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D0C3" w14:textId="77777777" w:rsidR="00877B3D" w:rsidRDefault="00285B8D" w:rsidP="00A12408">
      <w:pPr>
        <w:pStyle w:val="Pagedecouverture"/>
        <w:rPr>
          <w:noProof/>
        </w:rPr>
      </w:pPr>
      <w:r>
        <w:rPr>
          <w:noProof/>
        </w:rPr>
        <w:pict w14:anchorId="1D00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DCB18C-688C-4AE0-83DB-E2B745B3AEC8" style="width:455.3pt;height:355.95pt">
            <v:imagedata r:id="rId11" o:title=""/>
          </v:shape>
        </w:pict>
      </w:r>
    </w:p>
    <w:p w14:paraId="4A1FB8A2" w14:textId="77777777" w:rsidR="00E475A3" w:rsidRDefault="00E475A3" w:rsidP="00E475A3">
      <w:pPr>
        <w:rPr>
          <w:noProof/>
        </w:rPr>
        <w:sectPr w:rsidR="00E475A3" w:rsidSect="00A12408">
          <w:footerReference w:type="even" r:id="rId12"/>
          <w:footerReference w:type="default" r:id="rId13"/>
          <w:pgSz w:w="11907" w:h="16839"/>
          <w:pgMar w:top="1134" w:right="1417" w:bottom="1134" w:left="1417" w:header="709" w:footer="709" w:gutter="0"/>
          <w:pgNumType w:start="0"/>
          <w:cols w:space="720"/>
          <w:docGrid w:linePitch="360"/>
        </w:sectPr>
      </w:pPr>
    </w:p>
    <w:p w14:paraId="3DFAF8FE" w14:textId="77777777" w:rsidR="000852D5" w:rsidRDefault="000852D5">
      <w:pPr>
        <w:pStyle w:val="Exposdesmotifstitre"/>
        <w:rPr>
          <w:noProof/>
        </w:rPr>
      </w:pPr>
      <w:r w:rsidRPr="006F770D">
        <w:rPr>
          <w:noProof/>
        </w:rPr>
        <w:lastRenderedPageBreak/>
        <w:t>EXPLANATORY MEMORANDUM</w:t>
      </w:r>
    </w:p>
    <w:p w14:paraId="602EEF74" w14:textId="77777777" w:rsidR="000852D5" w:rsidRPr="006F770D" w:rsidRDefault="000852D5">
      <w:pPr>
        <w:pStyle w:val="ManualHeading1"/>
        <w:rPr>
          <w:noProof/>
        </w:rPr>
      </w:pPr>
      <w:r w:rsidRPr="00C567EE">
        <w:rPr>
          <w:noProof/>
        </w:rPr>
        <w:t>1.</w:t>
      </w:r>
      <w:r w:rsidRPr="00C567EE">
        <w:rPr>
          <w:noProof/>
        </w:rPr>
        <w:tab/>
      </w:r>
      <w:r w:rsidRPr="006F770D">
        <w:rPr>
          <w:noProof/>
        </w:rPr>
        <w:t>CONTEXT OF THE PROPOSAL</w:t>
      </w:r>
    </w:p>
    <w:p w14:paraId="03A5246A" w14:textId="77777777" w:rsidR="000852D5" w:rsidRPr="00044058" w:rsidRDefault="000852D5">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71729FDE" w14:textId="77777777" w:rsidR="00FC04A3" w:rsidRDefault="00FC04A3" w:rsidP="00FC04A3">
      <w:pPr>
        <w:rPr>
          <w:rFonts w:ascii="Segoe UI" w:hAnsi="Segoe UI" w:cs="Segoe UI"/>
          <w:noProof/>
          <w:sz w:val="18"/>
          <w:szCs w:val="18"/>
        </w:rPr>
      </w:pPr>
      <w:bookmarkStart w:id="0" w:name="_Hlk194321056"/>
      <w:r>
        <w:rPr>
          <w:noProof/>
        </w:rPr>
        <w:t>The mid-term review of cohesion policy presents an opportunity for Member States to redirect 2021-2027 resources towards investment in defence</w:t>
      </w:r>
      <w:r w:rsidR="479204BB">
        <w:rPr>
          <w:noProof/>
        </w:rPr>
        <w:t xml:space="preserve"> </w:t>
      </w:r>
      <w:r>
        <w:rPr>
          <w:noProof/>
        </w:rPr>
        <w:t>capabilities and for the competitiveness and strategic autonomy of the EU and in other emerging priorities,</w:t>
      </w:r>
      <w:r w:rsidR="004418C1">
        <w:rPr>
          <w:noProof/>
        </w:rPr>
        <w:t xml:space="preserve"> including clean industrial deal objectives</w:t>
      </w:r>
      <w:r>
        <w:rPr>
          <w:noProof/>
        </w:rPr>
        <w:t xml:space="preserve"> by submitting corresponding programme amendments to the Commission. However, the framework for cohesion policy investments set out in the ERDF, Cohesion Fund and JTF regulations is not sufficiently aligned with these new priorities. Furthermore, additional flexibility is required to accelerate investment in these areas, notably to reinforce the resilience of the EU economy and all its regions at a critical geopolitical juncture such as the one the EU is currently facing. This proposal sets out a number of adjustments to these regulations to achieve these objectives</w:t>
      </w:r>
      <w:bookmarkEnd w:id="0"/>
      <w:r>
        <w:rPr>
          <w:noProof/>
        </w:rPr>
        <w:t>.</w:t>
      </w:r>
    </w:p>
    <w:p w14:paraId="556BEBAD" w14:textId="77777777" w:rsidR="00FC04A3" w:rsidRPr="00C82240" w:rsidRDefault="00FC04A3" w:rsidP="00FC04A3">
      <w:pPr>
        <w:spacing w:before="240"/>
        <w:rPr>
          <w:rStyle w:val="eop"/>
          <w:rFonts w:eastAsiaTheme="majorEastAsia"/>
          <w:b/>
          <w:bCs/>
          <w:noProof/>
          <w:color w:val="000000" w:themeColor="text1"/>
        </w:rPr>
      </w:pPr>
      <w:r w:rsidRPr="00C82240">
        <w:rPr>
          <w:rStyle w:val="eop"/>
          <w:rFonts w:eastAsiaTheme="majorEastAsia"/>
          <w:b/>
          <w:bCs/>
          <w:noProof/>
          <w:color w:val="000000" w:themeColor="text1"/>
        </w:rPr>
        <w:t>Aligning cohesion policy investments to new priorities</w:t>
      </w:r>
    </w:p>
    <w:p w14:paraId="283D3892" w14:textId="77777777" w:rsidR="00FC04A3" w:rsidRPr="00C9580B" w:rsidRDefault="4B743CAF" w:rsidP="142F223E">
      <w:pPr>
        <w:rPr>
          <w:rStyle w:val="eop"/>
          <w:rFonts w:eastAsia="Times New Roman"/>
          <w:noProof/>
          <w:color w:val="000000" w:themeColor="text1"/>
        </w:rPr>
      </w:pPr>
      <w:bookmarkStart w:id="1" w:name="_Hlk194321097"/>
      <w:r w:rsidRPr="08875448">
        <w:rPr>
          <w:rStyle w:val="eop"/>
          <w:rFonts w:eastAsia="Times New Roman"/>
          <w:noProof/>
          <w:color w:val="000000" w:themeColor="text1"/>
        </w:rPr>
        <w:t>In recent years, geopolitical dynamics have been marked by profound uncertainty, necessitating a fundamental re-evaluation of the EU’s strategic autonomy</w:t>
      </w:r>
      <w:r w:rsidR="5EDD7C20" w:rsidRPr="08875448">
        <w:rPr>
          <w:rStyle w:val="eop"/>
          <w:rFonts w:eastAsia="Times New Roman"/>
          <w:noProof/>
          <w:color w:val="000000" w:themeColor="text1"/>
        </w:rPr>
        <w:t>, resilience and preparedness</w:t>
      </w:r>
      <w:r w:rsidRPr="08875448">
        <w:rPr>
          <w:rStyle w:val="eop"/>
          <w:rFonts w:eastAsia="Times New Roman"/>
          <w:noProof/>
          <w:color w:val="000000" w:themeColor="text1"/>
        </w:rPr>
        <w:t xml:space="preserve">. These shifts are unfolding alongside the green, social and technological transitions, which are rapidly reshaping the world around us. The challenges posed by these simultaneous transformations were comprehensively analysed in the report on the “Future of European Competitiveness”, published in September 2024. The report underscores the urgent need to close the innovation gap, </w:t>
      </w:r>
      <w:r w:rsidR="38BE72B2" w:rsidRPr="08875448">
        <w:rPr>
          <w:rStyle w:val="eop"/>
          <w:rFonts w:eastAsia="Times New Roman"/>
          <w:noProof/>
          <w:color w:val="000000" w:themeColor="text1"/>
        </w:rPr>
        <w:t xml:space="preserve">accelerate </w:t>
      </w:r>
      <w:r w:rsidRPr="08875448">
        <w:rPr>
          <w:rStyle w:val="eop"/>
          <w:rFonts w:eastAsia="Times New Roman"/>
          <w:noProof/>
          <w:color w:val="000000" w:themeColor="text1"/>
        </w:rPr>
        <w:t xml:space="preserve">decarbonisation efforts </w:t>
      </w:r>
      <w:r w:rsidR="60E9D22D" w:rsidRPr="08875448">
        <w:rPr>
          <w:rStyle w:val="eop"/>
          <w:rFonts w:eastAsia="Times New Roman"/>
          <w:noProof/>
          <w:color w:val="000000" w:themeColor="text1"/>
        </w:rPr>
        <w:t xml:space="preserve">to strengthen </w:t>
      </w:r>
      <w:r w:rsidRPr="08875448">
        <w:rPr>
          <w:rStyle w:val="eop"/>
          <w:rFonts w:eastAsia="Times New Roman"/>
          <w:noProof/>
          <w:color w:val="000000" w:themeColor="text1"/>
        </w:rPr>
        <w:t>economic competitiveness, and reduce external dependencies by diversifying supply chains and</w:t>
      </w:r>
      <w:r w:rsidR="69451C10" w:rsidRPr="08875448">
        <w:rPr>
          <w:rStyle w:val="eop"/>
          <w:rFonts w:eastAsia="Times New Roman"/>
          <w:noProof/>
          <w:color w:val="000000" w:themeColor="text1"/>
        </w:rPr>
        <w:t xml:space="preserve"> scaling-up domestically produced green energy</w:t>
      </w:r>
      <w:r w:rsidRPr="08875448">
        <w:rPr>
          <w:rStyle w:val="eop"/>
          <w:rFonts w:eastAsia="Times New Roman"/>
          <w:noProof/>
          <w:color w:val="000000" w:themeColor="text1"/>
        </w:rPr>
        <w:t xml:space="preserve"> investing in </w:t>
      </w:r>
      <w:r w:rsidR="0B97C75A" w:rsidRPr="08875448">
        <w:rPr>
          <w:rStyle w:val="eop"/>
          <w:rFonts w:eastAsia="Times New Roman"/>
          <w:noProof/>
          <w:color w:val="000000" w:themeColor="text1"/>
        </w:rPr>
        <w:t>climate resilience</w:t>
      </w:r>
      <w:r>
        <w:rPr>
          <w:rStyle w:val="eop"/>
          <w:rFonts w:eastAsia="Times New Roman"/>
          <w:noProof/>
          <w:color w:val="000000" w:themeColor="text1"/>
        </w:rPr>
        <w:t>, digitalisation</w:t>
      </w:r>
      <w:r w:rsidR="0B97C75A" w:rsidRPr="08875448">
        <w:rPr>
          <w:rStyle w:val="eop"/>
          <w:rFonts w:eastAsia="Times New Roman"/>
          <w:noProof/>
          <w:color w:val="000000" w:themeColor="text1"/>
        </w:rPr>
        <w:t xml:space="preserve"> and </w:t>
      </w:r>
      <w:r w:rsidRPr="08875448">
        <w:rPr>
          <w:rStyle w:val="eop"/>
          <w:rFonts w:eastAsia="Times New Roman"/>
          <w:noProof/>
          <w:color w:val="000000" w:themeColor="text1"/>
        </w:rPr>
        <w:t>critical sectors.</w:t>
      </w:r>
    </w:p>
    <w:p w14:paraId="4FB00205" w14:textId="77777777" w:rsidR="00FC04A3" w:rsidRDefault="00FC04A3" w:rsidP="00FC04A3">
      <w:pPr>
        <w:rPr>
          <w:rStyle w:val="eop"/>
          <w:rFonts w:eastAsiaTheme="majorEastAsia"/>
          <w:noProof/>
          <w:color w:val="000000" w:themeColor="text1"/>
        </w:rPr>
      </w:pPr>
      <w:r w:rsidRPr="1D413D18">
        <w:rPr>
          <w:rStyle w:val="eop"/>
          <w:rFonts w:eastAsiaTheme="majorEastAsia"/>
          <w:noProof/>
          <w:color w:val="000000" w:themeColor="text1"/>
        </w:rPr>
        <w:t>In response, several major initiatives have already been launched to enhance the EU’s economic resilience and strategic autonomy. These include the “Strategic Technologies for Europe Platform” (STEP), which aims to strengthen Europe’s technological leadership; “REPowerEU</w:t>
      </w:r>
      <w:r w:rsidR="00E96617">
        <w:rPr>
          <w:rStyle w:val="eop"/>
          <w:rFonts w:eastAsiaTheme="majorEastAsia"/>
          <w:noProof/>
          <w:color w:val="000000" w:themeColor="text1"/>
        </w:rPr>
        <w:t>”</w:t>
      </w:r>
      <w:r w:rsidRPr="1D413D18">
        <w:rPr>
          <w:rStyle w:val="eop"/>
          <w:rFonts w:eastAsiaTheme="majorEastAsia"/>
          <w:noProof/>
          <w:color w:val="000000" w:themeColor="text1"/>
        </w:rPr>
        <w:t>, designed to reduce reliance on external energy sources and accelerate the green transition</w:t>
      </w:r>
      <w:r w:rsidR="004B4B67">
        <w:rPr>
          <w:rStyle w:val="eop"/>
          <w:rFonts w:eastAsiaTheme="majorEastAsia"/>
          <w:noProof/>
          <w:color w:val="000000" w:themeColor="text1"/>
        </w:rPr>
        <w:t>,</w:t>
      </w:r>
      <w:r w:rsidRPr="1D413D18">
        <w:rPr>
          <w:rStyle w:val="eop"/>
          <w:rFonts w:eastAsiaTheme="majorEastAsia"/>
          <w:noProof/>
          <w:color w:val="000000" w:themeColor="text1"/>
        </w:rPr>
        <w:t xml:space="preserve"> to complete interventions already underway via cohesion policy programmes and the “Recovery and Resilience Facility” (RRF), to support structural changes in Member States and regions as well as to enhance their resilience.</w:t>
      </w:r>
    </w:p>
    <w:p w14:paraId="2E4A5083" w14:textId="77777777" w:rsidR="00FC04A3" w:rsidRDefault="00FC04A3" w:rsidP="00FC04A3">
      <w:pPr>
        <w:rPr>
          <w:rStyle w:val="eop"/>
          <w:rFonts w:eastAsiaTheme="majorEastAsia"/>
          <w:noProof/>
          <w:color w:val="000000" w:themeColor="text1"/>
        </w:rPr>
      </w:pPr>
      <w:r w:rsidRPr="1D413D18">
        <w:rPr>
          <w:rStyle w:val="eop"/>
          <w:rFonts w:eastAsiaTheme="majorEastAsia"/>
          <w:noProof/>
          <w:color w:val="000000" w:themeColor="text1"/>
        </w:rPr>
        <w:t>As the EU’s main investment instrument within the Multiannual Financial Framework (MFF), cohesion policy plays a crucial role in supporting these priorities. It drives targeted investments that contribute to economic, social and territorial cohesion while at the same time addressing emerging challenges. However, the regulatory framework governing the 2021-2027 cohesion policy funds was drafted, negotiated and adopted before the series of major geopolitical and economic events that have since reshaped some of the EU’s strategic political priorities.</w:t>
      </w:r>
    </w:p>
    <w:p w14:paraId="73FF6B22" w14:textId="77777777" w:rsidR="00FC04A3" w:rsidRDefault="00FC04A3" w:rsidP="00FC04A3">
      <w:pPr>
        <w:rPr>
          <w:rStyle w:val="eop"/>
          <w:rFonts w:eastAsiaTheme="majorEastAsia"/>
          <w:noProof/>
          <w:color w:val="000000" w:themeColor="text1"/>
        </w:rPr>
      </w:pPr>
      <w:r w:rsidRPr="1D413D18">
        <w:rPr>
          <w:rStyle w:val="eop"/>
          <w:rFonts w:eastAsiaTheme="majorEastAsia"/>
          <w:noProof/>
          <w:color w:val="000000" w:themeColor="text1"/>
        </w:rPr>
        <w:t xml:space="preserve">Similarly, the Partnership Agreements and the national and regional cohesion policy programmes were developed and approved within this same timeframe, hence reflecting the priorities set at the time. Given the evolving global and regional context, the 2025 mid-term review presents a critical opportunity to assess their implementation and the effectiveness of their contribution to the evolving priorities. This review will help determine the extent to which cohesion policy programmes can </w:t>
      </w:r>
      <w:r>
        <w:rPr>
          <w:rStyle w:val="eop"/>
          <w:rFonts w:eastAsiaTheme="majorEastAsia"/>
          <w:noProof/>
          <w:color w:val="000000" w:themeColor="text1"/>
        </w:rPr>
        <w:t>directly and swiftly</w:t>
      </w:r>
      <w:r w:rsidRPr="1D413D18">
        <w:rPr>
          <w:rStyle w:val="eop"/>
          <w:rFonts w:eastAsiaTheme="majorEastAsia"/>
          <w:noProof/>
          <w:color w:val="000000" w:themeColor="text1"/>
        </w:rPr>
        <w:t xml:space="preserve"> respond to rapidly changing political, economic and social realities.</w:t>
      </w:r>
    </w:p>
    <w:p w14:paraId="28BDE460" w14:textId="77777777" w:rsidR="00FC04A3" w:rsidRDefault="00FC04A3" w:rsidP="00FC04A3">
      <w:pPr>
        <w:rPr>
          <w:rStyle w:val="eop"/>
          <w:rFonts w:eastAsiaTheme="majorEastAsia"/>
          <w:noProof/>
          <w:color w:val="000000" w:themeColor="text1"/>
        </w:rPr>
      </w:pPr>
      <w:r>
        <w:rPr>
          <w:rStyle w:val="eop"/>
          <w:rFonts w:eastAsiaTheme="majorEastAsia"/>
          <w:noProof/>
          <w:color w:val="000000" w:themeColor="text1"/>
        </w:rPr>
        <w:lastRenderedPageBreak/>
        <w:t>At the same time</w:t>
      </w:r>
      <w:r w:rsidRPr="1D413D18">
        <w:rPr>
          <w:rStyle w:val="eop"/>
          <w:rFonts w:eastAsiaTheme="majorEastAsia"/>
          <w:noProof/>
          <w:color w:val="000000" w:themeColor="text1"/>
        </w:rPr>
        <w:t>, it has become evident that the early implementation of the 2021-2027 cohesion policy programmes has faced challenges</w:t>
      </w:r>
      <w:r>
        <w:rPr>
          <w:rStyle w:val="eop"/>
          <w:rFonts w:eastAsiaTheme="majorEastAsia"/>
          <w:noProof/>
          <w:color w:val="000000" w:themeColor="text1"/>
        </w:rPr>
        <w:t xml:space="preserve"> which </w:t>
      </w:r>
      <w:r w:rsidRPr="1D413D18">
        <w:rPr>
          <w:rStyle w:val="eop"/>
          <w:rFonts w:eastAsiaTheme="majorEastAsia"/>
          <w:noProof/>
          <w:color w:val="000000" w:themeColor="text1"/>
        </w:rPr>
        <w:t>have not been conducive to a swift uptake and rapid disbursement of the funds, leading to delays in their implementation compared to previous programming periods. These delays come at a time when strong and accelerated investment is essential to support economic resilience and competitiveness.</w:t>
      </w:r>
    </w:p>
    <w:p w14:paraId="17EEF571" w14:textId="77777777" w:rsidR="00F71339" w:rsidRDefault="00FC04A3">
      <w:pPr>
        <w:pStyle w:val="ListBullet"/>
        <w:rPr>
          <w:rStyle w:val="eop"/>
          <w:rFonts w:eastAsiaTheme="majorEastAsia"/>
          <w:noProof/>
          <w:color w:val="000000" w:themeColor="text1"/>
          <w:lang w:val="en-IE"/>
        </w:rPr>
      </w:pPr>
      <w:r>
        <w:rPr>
          <w:rStyle w:val="eop"/>
          <w:rFonts w:eastAsiaTheme="majorEastAsia"/>
          <w:noProof/>
          <w:color w:val="000000" w:themeColor="text1"/>
          <w:lang w:val="en-IE"/>
        </w:rPr>
        <w:t xml:space="preserve">Against this backdrop, the Commission is proposing targeted amendments to Regulations (EU) 2021/1056 and </w:t>
      </w:r>
      <w:r w:rsidR="004B4B67">
        <w:rPr>
          <w:rStyle w:val="eop"/>
          <w:rFonts w:eastAsiaTheme="majorEastAsia"/>
          <w:noProof/>
          <w:color w:val="000000" w:themeColor="text1"/>
          <w:lang w:val="en-IE"/>
        </w:rPr>
        <w:t xml:space="preserve">(EU) </w:t>
      </w:r>
      <w:r>
        <w:rPr>
          <w:rStyle w:val="eop"/>
          <w:rFonts w:eastAsiaTheme="majorEastAsia"/>
          <w:noProof/>
          <w:color w:val="000000" w:themeColor="text1"/>
          <w:lang w:val="en-IE"/>
        </w:rPr>
        <w:t>2021/1058. These changes aim to adjust investment priorities with the evolving economic, societal, and geopolitical context</w:t>
      </w:r>
      <w:r w:rsidR="082FD161">
        <w:rPr>
          <w:rStyle w:val="eop"/>
          <w:rFonts w:eastAsiaTheme="majorEastAsia"/>
          <w:noProof/>
          <w:color w:val="000000" w:themeColor="text1"/>
          <w:lang w:val="en-IE"/>
        </w:rPr>
        <w:t xml:space="preserve">, </w:t>
      </w:r>
      <w:r w:rsidR="082FD161">
        <w:rPr>
          <w:noProof/>
          <w:lang w:val="en-IE"/>
        </w:rPr>
        <w:t>as well as with our climate and environment objectives,</w:t>
      </w:r>
      <w:r>
        <w:rPr>
          <w:rStyle w:val="eop"/>
          <w:rFonts w:eastAsiaTheme="majorEastAsia"/>
          <w:noProof/>
          <w:color w:val="000000" w:themeColor="text1"/>
          <w:lang w:val="en-IE"/>
        </w:rPr>
        <w:t xml:space="preserve"> while at the same time introducing greater flexibility and incentives to facilitate and encourage the rapid deployment of much-needed resources. By refining the 2021-2027 cohesion policy framework, the EU can ensure that its investment mechanisms remain agile and responsive, enabling a more effective response to current and future challenges. </w:t>
      </w:r>
    </w:p>
    <w:p w14:paraId="454ABD3A" w14:textId="77777777" w:rsidR="00FC04A3" w:rsidRDefault="00FC04A3">
      <w:pPr>
        <w:pStyle w:val="ListBullet"/>
        <w:rPr>
          <w:rStyle w:val="eop"/>
          <w:noProof/>
          <w:color w:val="000000" w:themeColor="text1"/>
          <w:lang w:val="en-IE"/>
        </w:rPr>
      </w:pPr>
      <w:r>
        <w:rPr>
          <w:rStyle w:val="eop"/>
          <w:rFonts w:eastAsiaTheme="majorEastAsia"/>
          <w:noProof/>
          <w:color w:val="000000" w:themeColor="text1"/>
          <w:lang w:val="en-IE"/>
        </w:rPr>
        <w:t xml:space="preserve">In order for Member States to make effectively use of the possibilities provided in this proposal, the Commission proposes that they be allowed to re-submit their mid-term review proposal by 2 months after the entry into force of the present proposal for amendment to Regulation (EU) </w:t>
      </w:r>
      <w:r>
        <w:rPr>
          <w:rStyle w:val="eop"/>
          <w:noProof/>
          <w:color w:val="000000" w:themeColor="text1"/>
          <w:lang w:val="en-IE"/>
        </w:rPr>
        <w:t>2021/1058</w:t>
      </w:r>
      <w:bookmarkEnd w:id="1"/>
      <w:r>
        <w:rPr>
          <w:rStyle w:val="eop"/>
          <w:noProof/>
          <w:color w:val="000000" w:themeColor="text1"/>
          <w:lang w:val="en-IE"/>
        </w:rPr>
        <w:t xml:space="preserve">. </w:t>
      </w:r>
      <w:r>
        <w:rPr>
          <w:noProof/>
          <w:szCs w:val="24"/>
          <w:lang w:val="en-IE"/>
        </w:rPr>
        <w:t>Any programme amendment that would be carried out pursuant to the new priorities and flexibilities, shall be without prejudice to the application of any measures adopted under Regulation (EU) 2020/2092 and to the compliance by relevant programmes with the priorities under Article 15 of Regulation (EU) 2021/1060. In this context the Commission will closely monitor the conformity of the programmes with the requirements of relevant EU law.</w:t>
      </w:r>
    </w:p>
    <w:p w14:paraId="5F4A375B" w14:textId="77777777" w:rsidR="00FC04A3" w:rsidRPr="00D94844" w:rsidRDefault="4D7EBF05" w:rsidP="653353E9">
      <w:pPr>
        <w:ind w:left="360"/>
        <w:rPr>
          <w:rStyle w:val="eop"/>
          <w:rFonts w:eastAsia="Times New Roman"/>
          <w:noProof/>
          <w:color w:val="000000" w:themeColor="text1"/>
        </w:rPr>
      </w:pPr>
      <w:r w:rsidRPr="08875448">
        <w:rPr>
          <w:rStyle w:val="eop"/>
          <w:rFonts w:eastAsia="Times New Roman"/>
          <w:i/>
          <w:iCs/>
          <w:noProof/>
          <w:color w:val="000000" w:themeColor="text1"/>
        </w:rPr>
        <w:t>Competitiveness</w:t>
      </w:r>
      <w:r w:rsidR="6A379E12" w:rsidRPr="08875448">
        <w:rPr>
          <w:rStyle w:val="eop"/>
          <w:rFonts w:eastAsia="Times New Roman"/>
          <w:i/>
          <w:iCs/>
          <w:noProof/>
          <w:color w:val="000000" w:themeColor="text1"/>
        </w:rPr>
        <w:t xml:space="preserve"> </w:t>
      </w:r>
      <w:r>
        <w:rPr>
          <w:rStyle w:val="eop"/>
          <w:rFonts w:eastAsia="Times New Roman"/>
          <w:i/>
          <w:iCs/>
          <w:noProof/>
          <w:color w:val="000000" w:themeColor="text1"/>
        </w:rPr>
        <w:t>and decarbonisation</w:t>
      </w:r>
    </w:p>
    <w:p w14:paraId="3D3A7D5E" w14:textId="77777777" w:rsidR="00837962" w:rsidRDefault="48B5E561">
      <w:pPr>
        <w:rPr>
          <w:rFonts w:eastAsia="Times New Roman"/>
          <w:noProof/>
        </w:rPr>
      </w:pPr>
      <w:bookmarkStart w:id="2" w:name="_Hlk194321125"/>
      <w:r w:rsidRPr="08875448">
        <w:rPr>
          <w:rFonts w:eastAsia="Times New Roman"/>
          <w:noProof/>
        </w:rPr>
        <w:t>The Commission presented in the Competitiveness Compass, the Clean Industrial Deal and the Affordable Energy Action Plan a concrete path for Europe to regain its competitiveness and secure sustainable prosperity, with decarbonisation and circularity as drivers of growth.</w:t>
      </w:r>
    </w:p>
    <w:p w14:paraId="07E85ACA" w14:textId="77777777" w:rsidR="00837962" w:rsidRDefault="00837962">
      <w:pPr>
        <w:rPr>
          <w:rFonts w:eastAsia="Times New Roman"/>
          <w:noProof/>
        </w:rPr>
      </w:pPr>
      <w:r>
        <w:rPr>
          <w:rFonts w:eastAsia="Times New Roman"/>
          <w:noProof/>
          <w:lang w:val="en-US"/>
        </w:rPr>
        <w:t>In particular, energy intensive industries play a critical role in our regions and require special attention as part of the reprogramming of EU funds.  </w:t>
      </w:r>
      <w:r>
        <w:rPr>
          <w:rFonts w:eastAsia="Times New Roman"/>
          <w:noProof/>
        </w:rPr>
        <w:t>These industries face significant challenges, including higher energy costs compared to their global competitors, the continued lack of competitiveness of certain clean technologies, a slow-down in demand in some of the main downstream sectors, increased international competition driven by overcapacities and subsidised production in non-EU countries As a result, these factors undermine the competitiveness of energy intensive industries and weaken Europe’s decarbonisation and resilience objectives.</w:t>
      </w:r>
    </w:p>
    <w:p w14:paraId="77EFB07A" w14:textId="77777777" w:rsidR="00FC04A3" w:rsidRDefault="48B5E561">
      <w:pPr>
        <w:rPr>
          <w:rFonts w:eastAsia="Times New Roman"/>
          <w:noProof/>
        </w:rPr>
      </w:pPr>
      <w:r w:rsidRPr="08875448">
        <w:rPr>
          <w:rFonts w:eastAsia="Times New Roman"/>
          <w:noProof/>
        </w:rPr>
        <w:t xml:space="preserve">The cohesion funds can already support investments to climate objectives as </w:t>
      </w:r>
      <w:r w:rsidR="004B4B67">
        <w:rPr>
          <w:rFonts w:eastAsia="Times New Roman"/>
          <w:noProof/>
        </w:rPr>
        <w:t>laid down</w:t>
      </w:r>
      <w:r w:rsidRPr="08875448">
        <w:rPr>
          <w:rFonts w:eastAsia="Times New Roman"/>
          <w:noProof/>
        </w:rPr>
        <w:t xml:space="preserve"> in </w:t>
      </w:r>
      <w:bookmarkStart w:id="3" w:name="_Hlk194313841"/>
      <w:r w:rsidRPr="08875448">
        <w:rPr>
          <w:rFonts w:eastAsia="Times New Roman"/>
          <w:noProof/>
        </w:rPr>
        <w:t xml:space="preserve">Regulation </w:t>
      </w:r>
      <w:r w:rsidR="004B4B67">
        <w:rPr>
          <w:rFonts w:eastAsia="Times New Roman"/>
          <w:noProof/>
        </w:rPr>
        <w:t>(EU) 2021/1060</w:t>
      </w:r>
      <w:r w:rsidRPr="08875448">
        <w:rPr>
          <w:rFonts w:eastAsia="Times New Roman"/>
          <w:noProof/>
        </w:rPr>
        <w:t xml:space="preserve"> </w:t>
      </w:r>
      <w:bookmarkEnd w:id="3"/>
      <w:r w:rsidRPr="08875448">
        <w:rPr>
          <w:rFonts w:eastAsia="Times New Roman"/>
          <w:noProof/>
        </w:rPr>
        <w:t>but efforts should be further accelerated in order to ensure that decarbonisation is a driver for growth for European industries and the prosperity of Europeans. In light of the significant investment needs to achieve our decarbonisation and competitiveness objectives, Member States need to continue investing in projects directly contributing to the climate and energy transition in line</w:t>
      </w:r>
      <w:r w:rsidR="0BC253DA" w:rsidRPr="08875448">
        <w:rPr>
          <w:rFonts w:eastAsia="Times New Roman"/>
          <w:noProof/>
        </w:rPr>
        <w:t xml:space="preserve"> with</w:t>
      </w:r>
      <w:r w:rsidRPr="08875448">
        <w:rPr>
          <w:rFonts w:eastAsia="Times New Roman"/>
          <w:noProof/>
        </w:rPr>
        <w:t xml:space="preserve"> </w:t>
      </w:r>
      <w:r w:rsidR="7ABFB5B2" w:rsidRPr="08875448">
        <w:rPr>
          <w:rFonts w:eastAsia="Times New Roman"/>
          <w:noProof/>
        </w:rPr>
        <w:t xml:space="preserve">the requirements set out in Article 6 of Regulation (EU) 2021/1060 </w:t>
      </w:r>
      <w:r w:rsidR="06F8E6BB" w:rsidRPr="08875448">
        <w:rPr>
          <w:rFonts w:eastAsia="Times New Roman"/>
          <w:noProof/>
        </w:rPr>
        <w:t xml:space="preserve">which </w:t>
      </w:r>
      <w:r w:rsidR="7ABFB5B2" w:rsidRPr="08875448">
        <w:rPr>
          <w:rFonts w:eastAsia="Times New Roman"/>
          <w:noProof/>
        </w:rPr>
        <w:t xml:space="preserve">will continue to apply to maintain the level of climate related investments. </w:t>
      </w:r>
    </w:p>
    <w:p w14:paraId="415221E5" w14:textId="77777777" w:rsidR="00FC04A3" w:rsidRDefault="00FC04A3" w:rsidP="08875448">
      <w:pPr>
        <w:rPr>
          <w:rFonts w:eastAsia="Times New Roman"/>
          <w:noProof/>
          <w:lang w:val="en-IE"/>
        </w:rPr>
      </w:pPr>
      <w:r w:rsidRPr="4D8CB314">
        <w:rPr>
          <w:rFonts w:eastAsia="Times New Roman"/>
          <w:noProof/>
          <w:lang w:val="en-IE"/>
        </w:rPr>
        <w:t xml:space="preserve">Support for projects within the scope of STEP should be made possible in all regions, including in the more developed regions </w:t>
      </w:r>
      <w:r w:rsidR="00E959E9" w:rsidRPr="4D8CB314">
        <w:rPr>
          <w:rFonts w:eastAsia="Times New Roman"/>
          <w:noProof/>
          <w:lang w:val="en-IE"/>
        </w:rPr>
        <w:t>in</w:t>
      </w:r>
      <w:r w:rsidRPr="4D8CB314">
        <w:rPr>
          <w:rFonts w:eastAsia="Times New Roman"/>
          <w:noProof/>
          <w:lang w:val="en-IE"/>
        </w:rPr>
        <w:t xml:space="preserve"> Member States of the Union</w:t>
      </w:r>
      <w:r w:rsidR="000B7D90" w:rsidRPr="4D8CB314">
        <w:rPr>
          <w:rFonts w:eastAsia="Times New Roman"/>
          <w:noProof/>
          <w:lang w:val="en-IE"/>
        </w:rPr>
        <w:t xml:space="preserve"> with GDP per head above the EU average</w:t>
      </w:r>
      <w:r w:rsidR="5D4A1352" w:rsidRPr="4D8CB314">
        <w:rPr>
          <w:rFonts w:eastAsia="Times New Roman"/>
          <w:noProof/>
          <w:lang w:val="en-IE"/>
        </w:rPr>
        <w:t xml:space="preserve"> to the extent it is allowed by State aid rules as set out in Articles 107 and 108 of the Treaty</w:t>
      </w:r>
      <w:r>
        <w:rPr>
          <w:rFonts w:eastAsia="Times New Roman"/>
          <w:noProof/>
          <w:lang w:val="en-IE"/>
        </w:rPr>
        <w:t>, in particular</w:t>
      </w:r>
      <w:r w:rsidR="4626A101" w:rsidRPr="4D8CB314">
        <w:rPr>
          <w:rFonts w:eastAsia="Times New Roman"/>
          <w:noProof/>
          <w:lang w:val="en-IE"/>
        </w:rPr>
        <w:t xml:space="preserve"> </w:t>
      </w:r>
      <w:r w:rsidR="4626A101" w:rsidRPr="00B83E9E">
        <w:rPr>
          <w:rFonts w:eastAsia="Times New Roman"/>
          <w:noProof/>
          <w:lang w:val="en-IE"/>
        </w:rPr>
        <w:t xml:space="preserve">to the extent such investments contribute to the Union’s </w:t>
      </w:r>
      <w:r w:rsidR="4626A101" w:rsidRPr="00B83E9E">
        <w:rPr>
          <w:rFonts w:eastAsia="Times New Roman"/>
          <w:noProof/>
          <w:lang w:val="en-IE"/>
        </w:rPr>
        <w:lastRenderedPageBreak/>
        <w:t xml:space="preserve">strategic objectives </w:t>
      </w:r>
      <w:r>
        <w:rPr>
          <w:rFonts w:eastAsia="Times New Roman"/>
          <w:noProof/>
          <w:lang w:val="en-IE"/>
        </w:rPr>
        <w:t xml:space="preserve">as set out in the applicable guidelines </w:t>
      </w:r>
      <w:r w:rsidR="4626A101" w:rsidRPr="00B83E9E">
        <w:rPr>
          <w:rFonts w:eastAsia="Times New Roman"/>
          <w:noProof/>
          <w:lang w:val="en-IE"/>
        </w:rPr>
        <w:t>such as the future Clean Industrial State aid Framework (currently in public consultation) and in the IPCEI Communication</w:t>
      </w:r>
      <w:r w:rsidR="008F0722">
        <w:rPr>
          <w:rStyle w:val="FootnoteReference"/>
          <w:rFonts w:eastAsia="Times New Roman"/>
          <w:noProof/>
          <w:lang w:val="en-IE"/>
        </w:rPr>
        <w:footnoteReference w:id="2"/>
      </w:r>
      <w:r w:rsidR="4626A101" w:rsidRPr="00B83E9E">
        <w:rPr>
          <w:rFonts w:eastAsia="Times New Roman"/>
          <w:noProof/>
          <w:lang w:val="en-IE"/>
        </w:rPr>
        <w:t xml:space="preserve">. </w:t>
      </w:r>
    </w:p>
    <w:p w14:paraId="06EB257D" w14:textId="77777777" w:rsidR="4BCA091C" w:rsidRDefault="00FC04A3" w:rsidP="310F7DDB">
      <w:pPr>
        <w:rPr>
          <w:rFonts w:eastAsia="Times New Roman"/>
          <w:noProof/>
          <w:lang w:val="en-IE"/>
        </w:rPr>
      </w:pPr>
      <w:r w:rsidRPr="08875448">
        <w:rPr>
          <w:rFonts w:eastAsia="Times New Roman"/>
          <w:noProof/>
          <w:lang w:val="en-IE"/>
        </w:rPr>
        <w:t xml:space="preserve">Furthermore, other restrictions linked to STEP as regards the ceiling set at 20% of the ERDF allocation for reprogramming should be removed and the deadline for submitting STEP amendments and benefit from the additional one-off prefinancing deleted. This should also help in promoting investments in </w:t>
      </w:r>
      <w:r w:rsidR="000B6B8C" w:rsidRPr="08875448">
        <w:rPr>
          <w:rFonts w:eastAsia="Times New Roman"/>
          <w:noProof/>
          <w:lang w:val="en-IE"/>
        </w:rPr>
        <w:t xml:space="preserve">innovative </w:t>
      </w:r>
      <w:r w:rsidRPr="08875448">
        <w:rPr>
          <w:rFonts w:eastAsia="Times New Roman"/>
          <w:noProof/>
          <w:lang w:val="en-IE"/>
        </w:rPr>
        <w:t>clean technologies</w:t>
      </w:r>
      <w:r w:rsidR="00712C22" w:rsidRPr="08875448">
        <w:rPr>
          <w:rFonts w:eastAsia="Times New Roman"/>
          <w:noProof/>
          <w:lang w:val="en-IE"/>
        </w:rPr>
        <w:t xml:space="preserve"> (manufacturing capacities and deployment) </w:t>
      </w:r>
      <w:r w:rsidRPr="08875448">
        <w:rPr>
          <w:rFonts w:eastAsia="Times New Roman"/>
          <w:noProof/>
          <w:lang w:val="en-IE"/>
        </w:rPr>
        <w:t>that are essential to deliver on the objectives of the Clean Industrial Deal and also in other important support areas for which STEP provides important incentives.</w:t>
      </w:r>
    </w:p>
    <w:p w14:paraId="0609D0FB" w14:textId="77777777" w:rsidR="43A69A20" w:rsidRDefault="4B743CAF" w:rsidP="43FF4EBE">
      <w:pPr>
        <w:rPr>
          <w:rFonts w:eastAsia="Times New Roman"/>
          <w:noProof/>
        </w:rPr>
      </w:pPr>
      <w:r w:rsidRPr="08875448">
        <w:rPr>
          <w:rStyle w:val="eop"/>
          <w:rFonts w:eastAsiaTheme="majorEastAsia"/>
          <w:noProof/>
          <w:color w:val="000000" w:themeColor="text1"/>
        </w:rPr>
        <w:t xml:space="preserve">It is important to recognise and strengthen the role </w:t>
      </w:r>
      <w:r w:rsidR="2A569E06" w:rsidRPr="08875448">
        <w:rPr>
          <w:rStyle w:val="eop"/>
          <w:rFonts w:eastAsiaTheme="majorEastAsia"/>
          <w:noProof/>
          <w:color w:val="000000" w:themeColor="text1"/>
        </w:rPr>
        <w:t xml:space="preserve">also </w:t>
      </w:r>
      <w:r w:rsidRPr="08875448">
        <w:rPr>
          <w:rStyle w:val="eop"/>
          <w:rFonts w:eastAsiaTheme="majorEastAsia"/>
          <w:noProof/>
          <w:color w:val="000000" w:themeColor="text1"/>
        </w:rPr>
        <w:t xml:space="preserve">of large enterprises in regional development, as they steer research, innovation, knowledge, and technology transfer towards other companies </w:t>
      </w:r>
      <w:r w:rsidR="2BAC6C1E" w:rsidRPr="08875448">
        <w:rPr>
          <w:rStyle w:val="eop"/>
          <w:rFonts w:eastAsiaTheme="majorEastAsia"/>
          <w:noProof/>
          <w:color w:val="000000" w:themeColor="text1"/>
        </w:rPr>
        <w:t xml:space="preserve">and </w:t>
      </w:r>
      <w:r w:rsidR="737E847C" w:rsidRPr="08875448">
        <w:rPr>
          <w:rStyle w:val="eop"/>
          <w:rFonts w:eastAsiaTheme="majorEastAsia"/>
          <w:noProof/>
          <w:color w:val="000000" w:themeColor="text1"/>
        </w:rPr>
        <w:t xml:space="preserve">create </w:t>
      </w:r>
      <w:r w:rsidR="45E9B193" w:rsidRPr="08875448">
        <w:rPr>
          <w:rStyle w:val="eop"/>
          <w:rFonts w:eastAsiaTheme="majorEastAsia"/>
          <w:noProof/>
          <w:color w:val="000000" w:themeColor="text1"/>
        </w:rPr>
        <w:t xml:space="preserve">demand and </w:t>
      </w:r>
      <w:r w:rsidR="2BAC6C1E" w:rsidRPr="08875448">
        <w:rPr>
          <w:rStyle w:val="eop"/>
          <w:rFonts w:eastAsiaTheme="majorEastAsia"/>
          <w:noProof/>
          <w:color w:val="000000" w:themeColor="text1"/>
        </w:rPr>
        <w:t>employment</w:t>
      </w:r>
      <w:r w:rsidR="3F068224" w:rsidRPr="08875448">
        <w:rPr>
          <w:rStyle w:val="eop"/>
          <w:rFonts w:eastAsiaTheme="majorEastAsia"/>
          <w:noProof/>
          <w:color w:val="000000" w:themeColor="text1"/>
        </w:rPr>
        <w:t xml:space="preserve"> throughout the supply </w:t>
      </w:r>
      <w:r w:rsidR="263F88DB" w:rsidRPr="08875448">
        <w:rPr>
          <w:rStyle w:val="eop"/>
          <w:rFonts w:eastAsiaTheme="majorEastAsia"/>
          <w:noProof/>
          <w:color w:val="000000" w:themeColor="text1"/>
        </w:rPr>
        <w:t>c</w:t>
      </w:r>
      <w:r w:rsidR="3F068224" w:rsidRPr="08875448">
        <w:rPr>
          <w:rStyle w:val="eop"/>
          <w:rFonts w:eastAsiaTheme="majorEastAsia"/>
          <w:noProof/>
          <w:color w:val="000000" w:themeColor="text1"/>
        </w:rPr>
        <w:t>hain</w:t>
      </w:r>
      <w:r w:rsidRPr="08875448">
        <w:rPr>
          <w:rStyle w:val="eop"/>
          <w:rFonts w:eastAsiaTheme="majorEastAsia"/>
          <w:noProof/>
          <w:color w:val="000000" w:themeColor="text1"/>
        </w:rPr>
        <w:t>. With the objective to maximise the impact of EU support to boost growth and competitiveness, the Commission also proposes to expand the</w:t>
      </w:r>
      <w:r w:rsidR="566624D4" w:rsidRPr="08875448">
        <w:rPr>
          <w:rStyle w:val="eop"/>
          <w:rFonts w:eastAsiaTheme="majorEastAsia"/>
          <w:noProof/>
          <w:color w:val="000000" w:themeColor="text1"/>
        </w:rPr>
        <w:t xml:space="preserve"> possibilities </w:t>
      </w:r>
      <w:r w:rsidR="6F09D085" w:rsidRPr="08875448">
        <w:rPr>
          <w:rStyle w:val="eop"/>
          <w:rFonts w:eastAsiaTheme="majorEastAsia"/>
          <w:noProof/>
          <w:color w:val="000000" w:themeColor="text1"/>
        </w:rPr>
        <w:t xml:space="preserve">to provide </w:t>
      </w:r>
      <w:r w:rsidRPr="08875448">
        <w:rPr>
          <w:rStyle w:val="eop"/>
          <w:rFonts w:eastAsiaTheme="majorEastAsia"/>
          <w:noProof/>
          <w:color w:val="000000" w:themeColor="text1"/>
        </w:rPr>
        <w:t>support for productive investments in enterprises other than SMEs under the ERDF in cases where the financial resources are used for (1) supporting investments contributing to the STEP objectives, (2) enhancing the industrial capacities to foster defence</w:t>
      </w:r>
      <w:r w:rsidR="49C5E754" w:rsidRPr="08875448">
        <w:rPr>
          <w:rStyle w:val="eop"/>
          <w:rFonts w:eastAsiaTheme="majorEastAsia"/>
          <w:noProof/>
          <w:color w:val="000000" w:themeColor="text1"/>
        </w:rPr>
        <w:t xml:space="preserve"> </w:t>
      </w:r>
      <w:r w:rsidRPr="08875448">
        <w:rPr>
          <w:rStyle w:val="eop"/>
          <w:rFonts w:eastAsiaTheme="majorEastAsia"/>
          <w:noProof/>
          <w:color w:val="000000" w:themeColor="text1"/>
        </w:rPr>
        <w:t xml:space="preserve">capabilities, (3) </w:t>
      </w:r>
      <w:r w:rsidR="037BC4B1" w:rsidRPr="08875448">
        <w:rPr>
          <w:rStyle w:val="eop"/>
          <w:rFonts w:eastAsiaTheme="majorEastAsia"/>
          <w:noProof/>
          <w:color w:val="000000" w:themeColor="text1"/>
        </w:rPr>
        <w:t>contributing</w:t>
      </w:r>
      <w:r w:rsidRPr="08875448">
        <w:rPr>
          <w:rStyle w:val="eop"/>
          <w:rFonts w:eastAsiaTheme="majorEastAsia"/>
          <w:noProof/>
          <w:color w:val="000000" w:themeColor="text1"/>
        </w:rPr>
        <w:t xml:space="preserve"> to  a defence </w:t>
      </w:r>
      <w:r w:rsidR="037BC4B1" w:rsidRPr="08875448">
        <w:rPr>
          <w:rStyle w:val="eop"/>
          <w:rFonts w:eastAsiaTheme="majorEastAsia"/>
          <w:noProof/>
          <w:color w:val="000000" w:themeColor="text1"/>
        </w:rPr>
        <w:t>project</w:t>
      </w:r>
      <w:r w:rsidR="2657CBFB" w:rsidRPr="08875448">
        <w:rPr>
          <w:rStyle w:val="eop"/>
          <w:rFonts w:eastAsiaTheme="majorEastAsia"/>
          <w:noProof/>
          <w:color w:val="000000" w:themeColor="text1"/>
        </w:rPr>
        <w:t>s</w:t>
      </w:r>
      <w:r w:rsidRPr="08875448">
        <w:rPr>
          <w:rStyle w:val="eop"/>
          <w:rFonts w:eastAsiaTheme="majorEastAsia"/>
          <w:noProof/>
          <w:color w:val="000000" w:themeColor="text1"/>
        </w:rPr>
        <w:t xml:space="preserve"> and (4) facilitating industrial adjustment linked to the decarbonisation </w:t>
      </w:r>
      <w:r w:rsidR="79AC9821" w:rsidRPr="08875448">
        <w:rPr>
          <w:rStyle w:val="eop"/>
          <w:rFonts w:eastAsiaTheme="majorEastAsia"/>
          <w:noProof/>
          <w:color w:val="000000" w:themeColor="text1"/>
        </w:rPr>
        <w:t xml:space="preserve">and support to circular processes </w:t>
      </w:r>
      <w:r w:rsidRPr="08875448">
        <w:rPr>
          <w:rStyle w:val="eop"/>
          <w:rFonts w:eastAsiaTheme="majorEastAsia"/>
          <w:noProof/>
          <w:color w:val="000000" w:themeColor="text1"/>
        </w:rPr>
        <w:t xml:space="preserve">of production processes and products, such as in the automotive </w:t>
      </w:r>
      <w:r w:rsidR="7A9D9D14" w:rsidRPr="08875448">
        <w:rPr>
          <w:rStyle w:val="eop"/>
          <w:rFonts w:eastAsiaTheme="majorEastAsia"/>
          <w:noProof/>
          <w:color w:val="000000" w:themeColor="text1"/>
        </w:rPr>
        <w:t xml:space="preserve">and energy intensive </w:t>
      </w:r>
      <w:r w:rsidRPr="08875448">
        <w:rPr>
          <w:rStyle w:val="eop"/>
          <w:rFonts w:eastAsiaTheme="majorEastAsia"/>
          <w:noProof/>
          <w:color w:val="000000" w:themeColor="text1"/>
        </w:rPr>
        <w:t>industr</w:t>
      </w:r>
      <w:r w:rsidR="7A9D9D14" w:rsidRPr="08875448">
        <w:rPr>
          <w:rStyle w:val="eop"/>
          <w:rFonts w:eastAsiaTheme="majorEastAsia"/>
          <w:noProof/>
          <w:color w:val="000000" w:themeColor="text1"/>
        </w:rPr>
        <w:t>ies</w:t>
      </w:r>
      <w:r w:rsidR="1F4DDBD5" w:rsidRPr="08875448">
        <w:rPr>
          <w:rStyle w:val="eop"/>
          <w:rFonts w:eastAsiaTheme="majorEastAsia"/>
          <w:noProof/>
          <w:color w:val="000000" w:themeColor="text1"/>
        </w:rPr>
        <w:t xml:space="preserve">, </w:t>
      </w:r>
      <w:r w:rsidR="1F4DDBD5" w:rsidRPr="08875448">
        <w:rPr>
          <w:rFonts w:eastAsia="Times New Roman"/>
          <w:noProof/>
          <w:color w:val="000000" w:themeColor="text1"/>
        </w:rPr>
        <w:t>to the extent allowed by State aid rules</w:t>
      </w:r>
      <w:r w:rsidRPr="08875448">
        <w:rPr>
          <w:rStyle w:val="eop"/>
          <w:rFonts w:eastAsiaTheme="majorEastAsia"/>
          <w:noProof/>
          <w:color w:val="000000" w:themeColor="text1"/>
        </w:rPr>
        <w:t xml:space="preserve">. </w:t>
      </w:r>
      <w:r w:rsidR="32987A6C" w:rsidRPr="08875448">
        <w:rPr>
          <w:rFonts w:eastAsia="Times New Roman"/>
          <w:noProof/>
          <w:color w:val="000000" w:themeColor="text1"/>
        </w:rPr>
        <w:t xml:space="preserve">Investments in projects directly participating in </w:t>
      </w:r>
      <w:r w:rsidR="32987A6C" w:rsidRPr="004E3D3D">
        <w:rPr>
          <w:rFonts w:eastAsia="Times New Roman"/>
          <w:noProof/>
          <w:color w:val="000000" w:themeColor="text1"/>
        </w:rPr>
        <w:t>an IPCEI as approved</w:t>
      </w:r>
      <w:r w:rsidR="32987A6C" w:rsidRPr="08875448">
        <w:rPr>
          <w:rFonts w:eastAsia="Times New Roman"/>
          <w:noProof/>
          <w:color w:val="000000" w:themeColor="text1"/>
        </w:rPr>
        <w:t xml:space="preserve"> by the Commission pursuant to Article 107(3), point (b) TFEU, and to Communication C</w:t>
      </w:r>
      <w:r w:rsidR="008F0722">
        <w:rPr>
          <w:rFonts w:eastAsia="Times New Roman"/>
          <w:noProof/>
          <w:color w:val="000000" w:themeColor="text1"/>
        </w:rPr>
        <w:t>(</w:t>
      </w:r>
      <w:r w:rsidR="32987A6C" w:rsidRPr="08875448">
        <w:rPr>
          <w:rFonts w:eastAsia="Times New Roman"/>
          <w:noProof/>
          <w:color w:val="000000" w:themeColor="text1"/>
        </w:rPr>
        <w:t>2021</w:t>
      </w:r>
      <w:r w:rsidR="008F0722">
        <w:rPr>
          <w:rFonts w:eastAsia="Times New Roman"/>
          <w:noProof/>
          <w:color w:val="000000" w:themeColor="text1"/>
        </w:rPr>
        <w:t>) </w:t>
      </w:r>
      <w:r w:rsidR="32987A6C" w:rsidRPr="08875448">
        <w:rPr>
          <w:rFonts w:eastAsia="Times New Roman"/>
          <w:noProof/>
          <w:color w:val="000000" w:themeColor="text1"/>
        </w:rPr>
        <w:t>8481, in enterprises other than SMEs may also be supported.</w:t>
      </w:r>
      <w:r w:rsidR="32987A6C" w:rsidRPr="08875448">
        <w:rPr>
          <w:rFonts w:eastAsia="Times New Roman"/>
          <w:noProof/>
        </w:rPr>
        <w:t xml:space="preserve"> </w:t>
      </w:r>
      <w:r w:rsidRPr="08875448">
        <w:rPr>
          <w:rStyle w:val="eop"/>
          <w:rFonts w:eastAsiaTheme="majorEastAsia"/>
          <w:noProof/>
          <w:color w:val="000000" w:themeColor="text1"/>
        </w:rPr>
        <w:t xml:space="preserve">Support for such enterprises needs to be further facilitated under the Just Transition Fund as well by not requiring a gap analysis. </w:t>
      </w:r>
      <w:r w:rsidR="076E1867" w:rsidRPr="08875448">
        <w:rPr>
          <w:rFonts w:eastAsia="Times New Roman"/>
          <w:noProof/>
        </w:rPr>
        <w:t xml:space="preserve">Therefore, it is proposed that Member States are allowed, in line with State aid rules, to directly grant support from ERDF to projects directly participating in </w:t>
      </w:r>
      <w:r w:rsidR="076E1867" w:rsidRPr="004E3D3D">
        <w:rPr>
          <w:rFonts w:eastAsia="Times New Roman"/>
          <w:noProof/>
        </w:rPr>
        <w:t>an Important Project of Common European Interest approved by the Commission pursuant t</w:t>
      </w:r>
      <w:r w:rsidR="076E1867" w:rsidRPr="08875448">
        <w:rPr>
          <w:rFonts w:eastAsia="Times New Roman"/>
          <w:noProof/>
        </w:rPr>
        <w:t xml:space="preserve">o Article 107(3), point (b), of the Treaty of the Functioning of the European Union (TFEU) </w:t>
      </w:r>
      <w:r w:rsidR="076E1867" w:rsidRPr="08875448">
        <w:rPr>
          <w:rFonts w:eastAsia="Times New Roman"/>
          <w:noProof/>
          <w:color w:val="000000" w:themeColor="text1"/>
        </w:rPr>
        <w:t>and to Communication C</w:t>
      </w:r>
      <w:r w:rsidR="008F0722">
        <w:rPr>
          <w:rFonts w:eastAsia="Times New Roman"/>
          <w:noProof/>
          <w:color w:val="000000" w:themeColor="text1"/>
        </w:rPr>
        <w:t>(</w:t>
      </w:r>
      <w:r w:rsidR="076E1867" w:rsidRPr="08875448">
        <w:rPr>
          <w:rFonts w:eastAsia="Times New Roman"/>
          <w:noProof/>
          <w:color w:val="000000" w:themeColor="text1"/>
        </w:rPr>
        <w:t>2021</w:t>
      </w:r>
      <w:r w:rsidR="008F0722">
        <w:rPr>
          <w:rFonts w:eastAsia="Times New Roman"/>
          <w:noProof/>
          <w:color w:val="000000" w:themeColor="text1"/>
        </w:rPr>
        <w:t>) </w:t>
      </w:r>
      <w:r w:rsidR="076E1867" w:rsidRPr="08875448">
        <w:rPr>
          <w:rFonts w:eastAsia="Times New Roman"/>
          <w:noProof/>
          <w:color w:val="000000" w:themeColor="text1"/>
        </w:rPr>
        <w:t>8481</w:t>
      </w:r>
      <w:r w:rsidR="076E1867" w:rsidRPr="08875448">
        <w:rPr>
          <w:rFonts w:eastAsia="Times New Roman"/>
          <w:noProof/>
        </w:rPr>
        <w:t>.</w:t>
      </w:r>
    </w:p>
    <w:p w14:paraId="41A2D2DF" w14:textId="77777777" w:rsidR="00FC04A3" w:rsidRPr="008F0722" w:rsidRDefault="00FC04A3" w:rsidP="08875448">
      <w:pPr>
        <w:rPr>
          <w:noProof/>
          <w:lang w:val="en-IE"/>
        </w:rPr>
      </w:pPr>
      <w:r w:rsidRPr="08875448">
        <w:rPr>
          <w:rStyle w:val="eop"/>
          <w:rFonts w:eastAsiaTheme="majorEastAsia"/>
          <w:noProof/>
          <w:color w:val="000000" w:themeColor="text1"/>
        </w:rPr>
        <w:t xml:space="preserve">To further enhance the leverage of InvestEU, the EU flagship programme to boost investments in </w:t>
      </w:r>
      <w:r w:rsidR="0075771D" w:rsidRPr="08875448">
        <w:rPr>
          <w:rStyle w:val="eop"/>
          <w:rFonts w:eastAsiaTheme="majorEastAsia"/>
          <w:noProof/>
          <w:color w:val="000000" w:themeColor="text1"/>
        </w:rPr>
        <w:t xml:space="preserve">strategic and </w:t>
      </w:r>
      <w:r w:rsidRPr="08875448">
        <w:rPr>
          <w:rStyle w:val="eop"/>
          <w:rFonts w:eastAsiaTheme="majorEastAsia"/>
          <w:noProof/>
          <w:color w:val="000000" w:themeColor="text1"/>
        </w:rPr>
        <w:t xml:space="preserve">critical industries, and further the transfer possibilities already provided by the legislation, the Commission proposes to make possible the transfer of resources from the ERDF and the Cohesion Fund to InvestEU </w:t>
      </w:r>
      <w:r w:rsidR="00712C22" w:rsidRPr="08875448">
        <w:rPr>
          <w:rStyle w:val="eop"/>
          <w:rFonts w:eastAsiaTheme="majorEastAsia"/>
          <w:noProof/>
          <w:color w:val="000000" w:themeColor="text1"/>
        </w:rPr>
        <w:t xml:space="preserve">Member State </w:t>
      </w:r>
      <w:r w:rsidRPr="08875448">
        <w:rPr>
          <w:rStyle w:val="eop"/>
          <w:rFonts w:eastAsiaTheme="majorEastAsia"/>
          <w:noProof/>
          <w:color w:val="000000" w:themeColor="text1"/>
        </w:rPr>
        <w:t xml:space="preserve">compartments for implementing a new InvestEU financial </w:t>
      </w:r>
      <w:r w:rsidR="00712C22" w:rsidRPr="08875448">
        <w:rPr>
          <w:rStyle w:val="eop"/>
          <w:rFonts w:eastAsiaTheme="majorEastAsia"/>
          <w:noProof/>
          <w:color w:val="000000" w:themeColor="text1"/>
        </w:rPr>
        <w:t xml:space="preserve">instrument </w:t>
      </w:r>
      <w:r w:rsidRPr="08875448">
        <w:rPr>
          <w:rStyle w:val="eop"/>
          <w:rFonts w:eastAsiaTheme="majorEastAsia"/>
          <w:noProof/>
          <w:color w:val="000000" w:themeColor="text1"/>
        </w:rPr>
        <w:t>for the achievement of cohesion policy objectives</w:t>
      </w:r>
      <w:bookmarkEnd w:id="2"/>
      <w:r w:rsidRPr="08875448">
        <w:rPr>
          <w:rStyle w:val="eop"/>
          <w:rFonts w:eastAsiaTheme="majorEastAsia"/>
          <w:noProof/>
          <w:color w:val="000000" w:themeColor="text1"/>
        </w:rPr>
        <w:t>.</w:t>
      </w:r>
      <w:r w:rsidR="7D199E2E" w:rsidRPr="08875448">
        <w:rPr>
          <w:rFonts w:eastAsia="Times New Roman"/>
          <w:noProof/>
        </w:rPr>
        <w:t xml:space="preserve"> </w:t>
      </w:r>
    </w:p>
    <w:p w14:paraId="1E809CDD" w14:textId="77777777" w:rsidR="00FC04A3" w:rsidRPr="00D94844" w:rsidRDefault="00FC04A3" w:rsidP="00E475A3">
      <w:pPr>
        <w:ind w:left="360"/>
        <w:rPr>
          <w:rStyle w:val="eop"/>
          <w:rFonts w:eastAsiaTheme="majorEastAsia"/>
          <w:i/>
          <w:iCs/>
          <w:noProof/>
          <w:color w:val="000000" w:themeColor="text1"/>
        </w:rPr>
      </w:pPr>
      <w:r w:rsidRPr="00D94844">
        <w:rPr>
          <w:rStyle w:val="eop"/>
          <w:rFonts w:eastAsiaTheme="majorEastAsia"/>
          <w:i/>
          <w:iCs/>
          <w:noProof/>
          <w:color w:val="000000" w:themeColor="text1"/>
        </w:rPr>
        <w:t xml:space="preserve">Defence </w:t>
      </w:r>
      <w:r w:rsidRPr="00D94844" w:rsidDel="007B79FD">
        <w:rPr>
          <w:rStyle w:val="eop"/>
          <w:rFonts w:eastAsiaTheme="majorEastAsia"/>
          <w:i/>
          <w:iCs/>
          <w:noProof/>
          <w:color w:val="000000" w:themeColor="text1"/>
        </w:rPr>
        <w:t xml:space="preserve">and security </w:t>
      </w:r>
    </w:p>
    <w:p w14:paraId="470E9AAF" w14:textId="77777777" w:rsidR="00FC04A3" w:rsidRPr="008F0722" w:rsidRDefault="4B743CAF" w:rsidP="4D8CB314">
      <w:pPr>
        <w:rPr>
          <w:noProof/>
          <w:lang w:val="en-IE"/>
        </w:rPr>
      </w:pPr>
      <w:bookmarkStart w:id="4" w:name="_Hlk194321158"/>
      <w:r w:rsidRPr="08875448">
        <w:rPr>
          <w:noProof/>
          <w:lang w:val="en-IE"/>
        </w:rPr>
        <w:t xml:space="preserve">In the face of unprecedented geopolitical instability in decades, the European Union must now make crucial decisions to ensure its </w:t>
      </w:r>
      <w:r w:rsidR="030D7E36" w:rsidRPr="08875448">
        <w:rPr>
          <w:noProof/>
          <w:lang w:val="en-IE"/>
        </w:rPr>
        <w:t xml:space="preserve">readiness and </w:t>
      </w:r>
      <w:r w:rsidRPr="08875448">
        <w:rPr>
          <w:noProof/>
          <w:lang w:val="en-IE"/>
        </w:rPr>
        <w:t xml:space="preserve">security. To guarantee its own defence deterrence, Europe must be prepared to enter a new era by significantly increasing its </w:t>
      </w:r>
      <w:r w:rsidRPr="08875448">
        <w:rPr>
          <w:rFonts w:eastAsia="Times New Roman"/>
          <w:noProof/>
          <w:lang w:val="en-IE"/>
        </w:rPr>
        <w:t>support for the development of the defence capabilities</w:t>
      </w:r>
      <w:r w:rsidR="284B5CB7" w:rsidRPr="08875448">
        <w:rPr>
          <w:rFonts w:eastAsia="Times New Roman"/>
          <w:noProof/>
          <w:lang w:val="en-IE"/>
        </w:rPr>
        <w:t xml:space="preserve">, reduced dependencies, infrastructure resilience </w:t>
      </w:r>
      <w:r w:rsidRPr="08875448">
        <w:rPr>
          <w:rFonts w:eastAsia="Times New Roman"/>
          <w:noProof/>
          <w:lang w:val="en-IE"/>
        </w:rPr>
        <w:t>and the competitiveness of the EU defence industry</w:t>
      </w:r>
      <w:r w:rsidRPr="08875448">
        <w:rPr>
          <w:noProof/>
          <w:lang w:val="en-IE"/>
        </w:rPr>
        <w:t>. This effort will enable the Union to address the short-term urgency of supporting Ukraine while ensuring the continent’s long-term stability.</w:t>
      </w:r>
    </w:p>
    <w:p w14:paraId="16510198" w14:textId="77777777" w:rsidR="00FC04A3" w:rsidRDefault="00FC04A3" w:rsidP="00FC04A3">
      <w:pPr>
        <w:rPr>
          <w:noProof/>
        </w:rPr>
      </w:pPr>
      <w:r w:rsidRPr="79FD4AFF">
        <w:rPr>
          <w:noProof/>
          <w:lang w:val="en-IE"/>
        </w:rPr>
        <w:t>The Commission has proposed to the European Council an immediate response plan — REARM Europe — amounting to EUR 800 b</w:t>
      </w:r>
      <w:r>
        <w:rPr>
          <w:noProof/>
          <w:lang w:val="en-IE"/>
        </w:rPr>
        <w:t>illio</w:t>
      </w:r>
      <w:r w:rsidRPr="79FD4AFF">
        <w:rPr>
          <w:noProof/>
          <w:lang w:val="en-IE"/>
        </w:rPr>
        <w:t xml:space="preserve">n, by activating all available financial levers to swiftly and significantly support investment in European defence capacities. Among these </w:t>
      </w:r>
      <w:r w:rsidRPr="79FD4AFF">
        <w:rPr>
          <w:noProof/>
          <w:lang w:val="en-IE"/>
        </w:rPr>
        <w:lastRenderedPageBreak/>
        <w:t>levers, the Union budget can further contribute to this collective effort through a new dedicated defence instrument and the strengthening of the European Defence Industry Programme (EDIP).</w:t>
      </w:r>
    </w:p>
    <w:p w14:paraId="3CB6EBC7" w14:textId="77777777" w:rsidR="00FC04A3" w:rsidRDefault="00FC04A3" w:rsidP="00FC04A3">
      <w:pPr>
        <w:rPr>
          <w:noProof/>
        </w:rPr>
      </w:pPr>
      <w:r w:rsidRPr="79FD4AFF">
        <w:rPr>
          <w:rFonts w:eastAsia="Times New Roman"/>
          <w:noProof/>
          <w:szCs w:val="24"/>
          <w:lang w:val="en-IE"/>
        </w:rPr>
        <w:t>To complement these tools and further incentivise Member States to directly support defence investments, it is essential that cohesion policy funding can be swiftly mobilised. These investments will reinforce the resilience and EU competitiveness while promoting regional development and growth. They will also tackle the dual challenge faced by the Union’s regions bordering Russia</w:t>
      </w:r>
      <w:r>
        <w:rPr>
          <w:rFonts w:eastAsia="Times New Roman"/>
          <w:noProof/>
          <w:szCs w:val="24"/>
          <w:lang w:val="en-IE"/>
        </w:rPr>
        <w:t>,</w:t>
      </w:r>
      <w:r w:rsidRPr="79FD4AFF">
        <w:rPr>
          <w:rFonts w:eastAsia="Times New Roman"/>
          <w:noProof/>
          <w:szCs w:val="24"/>
          <w:lang w:val="en-IE"/>
        </w:rPr>
        <w:t xml:space="preserve"> Belarus</w:t>
      </w:r>
      <w:r>
        <w:rPr>
          <w:rFonts w:eastAsia="Times New Roman"/>
          <w:noProof/>
          <w:szCs w:val="24"/>
          <w:lang w:val="en-IE"/>
        </w:rPr>
        <w:t xml:space="preserve"> and Ukraine</w:t>
      </w:r>
      <w:r w:rsidRPr="79FD4AFF">
        <w:rPr>
          <w:rFonts w:eastAsia="Times New Roman"/>
          <w:noProof/>
          <w:szCs w:val="24"/>
          <w:lang w:val="en-IE"/>
        </w:rPr>
        <w:t>: strengthening security while revitalising their economies.</w:t>
      </w:r>
    </w:p>
    <w:p w14:paraId="507FF6AD" w14:textId="77777777" w:rsidR="00FC04A3" w:rsidRDefault="00FC04A3" w:rsidP="142F223E">
      <w:pPr>
        <w:rPr>
          <w:rFonts w:eastAsia="Times New Roman"/>
          <w:noProof/>
        </w:rPr>
      </w:pPr>
      <w:r w:rsidRPr="08875448">
        <w:rPr>
          <w:rFonts w:eastAsia="Times New Roman"/>
          <w:noProof/>
          <w:lang w:val="en-IE"/>
        </w:rPr>
        <w:t xml:space="preserve">In order to provide for a framework that allows for flexibility and financial support, the Commission proposes to create two new specific objectives within the existing scope of the ERDF support. The first new </w:t>
      </w:r>
      <w:r w:rsidR="008F0722">
        <w:rPr>
          <w:rFonts w:eastAsia="Times New Roman"/>
          <w:noProof/>
          <w:lang w:val="en-IE"/>
        </w:rPr>
        <w:t xml:space="preserve">specific </w:t>
      </w:r>
      <w:r w:rsidRPr="08875448">
        <w:rPr>
          <w:rFonts w:eastAsia="Times New Roman"/>
          <w:noProof/>
          <w:lang w:val="en-IE"/>
        </w:rPr>
        <w:t xml:space="preserve">objective allows Member States to reprogramme under their 2021-2027 programmes under the Investments for </w:t>
      </w:r>
      <w:r w:rsidR="008F0722">
        <w:rPr>
          <w:rFonts w:eastAsia="Times New Roman"/>
          <w:noProof/>
          <w:lang w:val="en-IE"/>
        </w:rPr>
        <w:t>j</w:t>
      </w:r>
      <w:r w:rsidRPr="08875448">
        <w:rPr>
          <w:rFonts w:eastAsia="Times New Roman"/>
          <w:noProof/>
          <w:lang w:val="en-IE"/>
        </w:rPr>
        <w:t xml:space="preserve">obs and </w:t>
      </w:r>
      <w:r w:rsidR="008F0722">
        <w:rPr>
          <w:rFonts w:eastAsia="Times New Roman"/>
          <w:noProof/>
          <w:lang w:val="en-IE"/>
        </w:rPr>
        <w:t>g</w:t>
      </w:r>
      <w:r w:rsidRPr="08875448">
        <w:rPr>
          <w:rFonts w:eastAsia="Times New Roman"/>
          <w:noProof/>
          <w:lang w:val="en-IE"/>
        </w:rPr>
        <w:t xml:space="preserve">rowth goal amounts for enhancing productive capacities in enterprises in the defence sector without restriction in terms of geography or size of the enterprise. Productive investments in enterprises other than SMEs and made in all EU regions should also be able to access financial support for defence industry projects of common interest under EDIP and reinforce Europe’s overall defence and preparedness capacities. The second new specific objective related to defence contributes to building resilient </w:t>
      </w:r>
      <w:r w:rsidR="474CBCF0" w:rsidRPr="08875448">
        <w:rPr>
          <w:rFonts w:eastAsia="Times New Roman"/>
          <w:noProof/>
          <w:lang w:val="en-IE"/>
        </w:rPr>
        <w:t xml:space="preserve">defence or </w:t>
      </w:r>
      <w:r w:rsidR="7D9EFF23" w:rsidRPr="08875448">
        <w:rPr>
          <w:rFonts w:eastAsia="Times New Roman"/>
          <w:noProof/>
          <w:lang w:val="en-IE"/>
        </w:rPr>
        <w:t>dual use</w:t>
      </w:r>
      <w:r w:rsidRPr="08875448">
        <w:rPr>
          <w:rFonts w:eastAsia="Times New Roman"/>
          <w:noProof/>
          <w:lang w:val="en-IE"/>
        </w:rPr>
        <w:t xml:space="preserve"> infrastructure </w:t>
      </w:r>
      <w:r w:rsidR="27C0ACFA" w:rsidRPr="08875448">
        <w:rPr>
          <w:rFonts w:eastAsia="Times New Roman"/>
          <w:noProof/>
          <w:lang w:val="en-IE"/>
        </w:rPr>
        <w:t>to foster military mobility in</w:t>
      </w:r>
      <w:r w:rsidRPr="08875448">
        <w:rPr>
          <w:rFonts w:eastAsia="Times New Roman"/>
          <w:noProof/>
          <w:lang w:val="en-IE"/>
        </w:rPr>
        <w:t xml:space="preserve"> the EU. These specific objectives also help eastern border regions. </w:t>
      </w:r>
    </w:p>
    <w:p w14:paraId="58272C54" w14:textId="77777777" w:rsidR="00FC04A3" w:rsidRPr="00D94844" w:rsidRDefault="00FC04A3" w:rsidP="00FC04A3">
      <w:pPr>
        <w:rPr>
          <w:noProof/>
          <w:lang w:val="en-IE"/>
        </w:rPr>
      </w:pPr>
      <w:r w:rsidRPr="08875448">
        <w:rPr>
          <w:rFonts w:eastAsia="Times New Roman"/>
          <w:noProof/>
          <w:lang w:val="en-IE"/>
        </w:rPr>
        <w:t>It is proposed that Member States, when using the proposed framework, benefit from an additional one-off pre-financing of 30% of the amounts programmed under the dedicated priority and the possibility to apply a Union financing of up to 100% regarding both specific objectives</w:t>
      </w:r>
      <w:r w:rsidR="00EB120B" w:rsidRPr="08875448">
        <w:rPr>
          <w:rFonts w:eastAsia="Times New Roman"/>
          <w:noProof/>
          <w:lang w:val="en-IE"/>
        </w:rPr>
        <w:t xml:space="preserve"> – provided that the programme amendment is submitted in </w:t>
      </w:r>
      <w:r w:rsidR="004D57E7" w:rsidRPr="08875448">
        <w:rPr>
          <w:rFonts w:eastAsia="Times New Roman"/>
          <w:noProof/>
          <w:lang w:val="en-IE"/>
        </w:rPr>
        <w:t>2025</w:t>
      </w:r>
      <w:bookmarkEnd w:id="4"/>
      <w:r w:rsidRPr="08875448">
        <w:rPr>
          <w:rFonts w:eastAsia="Times New Roman"/>
          <w:noProof/>
          <w:lang w:val="en-IE"/>
        </w:rPr>
        <w:t xml:space="preserve">. </w:t>
      </w:r>
    </w:p>
    <w:p w14:paraId="71DC786A" w14:textId="77777777" w:rsidR="00FC04A3" w:rsidRPr="00B643F1" w:rsidRDefault="00FC04A3" w:rsidP="00E475A3">
      <w:pPr>
        <w:ind w:left="360"/>
        <w:rPr>
          <w:rStyle w:val="eop"/>
          <w:rFonts w:eastAsiaTheme="majorEastAsia"/>
          <w:i/>
          <w:iCs/>
          <w:noProof/>
          <w:color w:val="000000" w:themeColor="text1"/>
          <w:lang w:val="en-IE"/>
        </w:rPr>
      </w:pPr>
      <w:r w:rsidRPr="00B643F1">
        <w:rPr>
          <w:rStyle w:val="eop"/>
          <w:rFonts w:eastAsiaTheme="majorEastAsia"/>
          <w:i/>
          <w:iCs/>
          <w:noProof/>
          <w:color w:val="000000" w:themeColor="text1"/>
          <w:lang w:val="en-IE"/>
        </w:rPr>
        <w:t>Affordable housing (including social housing)</w:t>
      </w:r>
    </w:p>
    <w:p w14:paraId="32047BE9" w14:textId="77777777" w:rsidR="00FC04A3" w:rsidRDefault="00FC04A3" w:rsidP="00FC04A3">
      <w:pPr>
        <w:rPr>
          <w:rStyle w:val="eop"/>
          <w:rFonts w:eastAsiaTheme="majorEastAsia"/>
          <w:noProof/>
          <w:color w:val="000000" w:themeColor="text1"/>
        </w:rPr>
      </w:pPr>
      <w:bookmarkStart w:id="5" w:name="_Hlk194321180"/>
      <w:r w:rsidRPr="1D413D18">
        <w:rPr>
          <w:rStyle w:val="eop"/>
          <w:rFonts w:eastAsiaTheme="majorEastAsia"/>
          <w:noProof/>
          <w:color w:val="000000" w:themeColor="text1"/>
        </w:rPr>
        <w:t>Housing prices and rents have increased significantly over the past years. At the same time, wages have not increased at a similar pace. This uneven evolution has created a widening gap between the availability of affordable housing and the needs of the population.</w:t>
      </w:r>
    </w:p>
    <w:p w14:paraId="711267CB" w14:textId="77777777" w:rsidR="00FC04A3" w:rsidRDefault="00FC04A3" w:rsidP="00FC04A3">
      <w:pPr>
        <w:rPr>
          <w:rStyle w:val="eop"/>
          <w:rFonts w:eastAsiaTheme="majorEastAsia"/>
          <w:noProof/>
          <w:color w:val="000000" w:themeColor="text1"/>
        </w:rPr>
      </w:pPr>
      <w:r w:rsidRPr="79FD4AFF">
        <w:rPr>
          <w:rStyle w:val="eop"/>
          <w:rFonts w:eastAsiaTheme="majorEastAsia"/>
          <w:noProof/>
          <w:color w:val="000000" w:themeColor="text1"/>
        </w:rPr>
        <w:t>The average house prices declined after 2008 following the economic recession but have consistently risen throughout the EU since 2013. In total, there was an increase of 59% in the EU between 2013 and the third quarter of 2024, which is about twice the increase in the overall price level (HICP) in the same period.</w:t>
      </w:r>
    </w:p>
    <w:p w14:paraId="6A24C1E4" w14:textId="77777777" w:rsidR="00FC04A3" w:rsidRDefault="00FC04A3" w:rsidP="00FC04A3">
      <w:pPr>
        <w:rPr>
          <w:noProof/>
        </w:rPr>
      </w:pPr>
      <w:r w:rsidRPr="79FD4AFF">
        <w:rPr>
          <w:rStyle w:val="eop"/>
          <w:rFonts w:eastAsiaTheme="majorEastAsia"/>
          <w:noProof/>
          <w:color w:val="000000" w:themeColor="text1"/>
        </w:rPr>
        <w:t>The escalation of house price growth has not been matched by a corresponding rise in wages, leading to considerable pressure on housing affordability. The price-to-income ratio increased by more than 15pp between 2013 and 2022, and despite some respite in 2023 it is still above its long-term average.</w:t>
      </w:r>
    </w:p>
    <w:p w14:paraId="1F2F3E71" w14:textId="77777777" w:rsidR="00FC04A3" w:rsidRDefault="4B743CAF" w:rsidP="4D8CB314">
      <w:pPr>
        <w:rPr>
          <w:rStyle w:val="eop"/>
          <w:rFonts w:eastAsia="Times New Roman"/>
          <w:noProof/>
          <w:color w:val="000000" w:themeColor="text1"/>
        </w:rPr>
      </w:pPr>
      <w:r w:rsidRPr="08875448">
        <w:rPr>
          <w:rStyle w:val="eop"/>
          <w:rFonts w:eastAsiaTheme="majorEastAsia"/>
          <w:noProof/>
          <w:color w:val="000000" w:themeColor="text1"/>
        </w:rPr>
        <w:t xml:space="preserve">While the issue varies in severity from country to country and region to region, its impact is widespread. High housing costs force many households to allocate a disproportionate share of their income to rent or mortgages, leaving </w:t>
      </w:r>
      <w:r w:rsidRPr="08875448">
        <w:rPr>
          <w:rStyle w:val="eop"/>
          <w:rFonts w:eastAsia="Times New Roman"/>
          <w:noProof/>
          <w:color w:val="000000" w:themeColor="text1"/>
        </w:rPr>
        <w:t>less for other necessities like food, healthcare and education – with a risk of falling into poverty. In 2023, one out of three households that are at risk of poverty spend 40% or more of the household disposable income on housing. House prices differ also between urban and non-urban areas. Housing prices as a proportion of income are higher and have been steadily increasing since 2015 in metropolitan and other urban areas, while they remained stable in other areas.</w:t>
      </w:r>
      <w:r w:rsidR="00D53C08" w:rsidRPr="08875448">
        <w:rPr>
          <w:rFonts w:eastAsia="Times New Roman"/>
          <w:noProof/>
          <w:color w:val="000000" w:themeColor="text1"/>
        </w:rPr>
        <w:t xml:space="preserve"> The social impact of these figures is wider if we consider that they include the lack of students housing and of adequate lodgements for prospective new families</w:t>
      </w:r>
      <w:r w:rsidR="00D53C08" w:rsidRPr="08875448">
        <w:rPr>
          <w:rStyle w:val="eop"/>
          <w:rFonts w:eastAsiaTheme="majorEastAsia"/>
          <w:noProof/>
          <w:color w:val="000000" w:themeColor="text1"/>
        </w:rPr>
        <w:t>.</w:t>
      </w:r>
    </w:p>
    <w:p w14:paraId="727B3D21" w14:textId="77777777" w:rsidR="653353E9" w:rsidRDefault="233D000E" w:rsidP="08875448">
      <w:pPr>
        <w:spacing w:before="0" w:after="0"/>
        <w:rPr>
          <w:rStyle w:val="eop"/>
          <w:rFonts w:eastAsiaTheme="majorEastAsia"/>
          <w:noProof/>
          <w:color w:val="000000" w:themeColor="text1"/>
          <w:lang w:val="en-US"/>
        </w:rPr>
      </w:pPr>
      <w:r w:rsidRPr="08875448">
        <w:rPr>
          <w:rStyle w:val="eop"/>
          <w:rFonts w:eastAsiaTheme="majorEastAsia"/>
          <w:noProof/>
          <w:color w:val="000000" w:themeColor="text1"/>
        </w:rPr>
        <w:lastRenderedPageBreak/>
        <w:t>The lack of sufficient affordable housing puts an increasing number of households under severe difficulties, but it also has a competitiveness angle. Indeed, European companies in some areas start to have problems to attract workers because the costs of housing and living in those areas are disproportionately high as compared to income.</w:t>
      </w:r>
      <w:r w:rsidRPr="08875448">
        <w:rPr>
          <w:rStyle w:val="eop"/>
          <w:rFonts w:eastAsiaTheme="majorEastAsia"/>
          <w:noProof/>
          <w:color w:val="000000" w:themeColor="text1"/>
          <w:lang w:val="en-US"/>
        </w:rPr>
        <w:t xml:space="preserve"> </w:t>
      </w:r>
      <w:r w:rsidRPr="08875448">
        <w:rPr>
          <w:rStyle w:val="eop"/>
          <w:rFonts w:eastAsiaTheme="majorEastAsia"/>
          <w:noProof/>
          <w:color w:val="000000" w:themeColor="text1"/>
        </w:rPr>
        <w:t>High prices are also putting public services in certain cities under pressure due to difficulties in attracting essential public workers (teachers, nurses, police, etc.).</w:t>
      </w:r>
    </w:p>
    <w:p w14:paraId="7CE51126" w14:textId="77777777" w:rsidR="00FC04A3" w:rsidRPr="008F0722" w:rsidRDefault="7E7366B9" w:rsidP="08875448">
      <w:pPr>
        <w:rPr>
          <w:rStyle w:val="eop"/>
          <w:noProof/>
          <w:color w:val="000000" w:themeColor="text1"/>
        </w:rPr>
      </w:pPr>
      <w:r w:rsidRPr="08875448">
        <w:rPr>
          <w:rStyle w:val="eop"/>
          <w:rFonts w:eastAsiaTheme="majorEastAsia"/>
          <w:noProof/>
          <w:color w:val="000000" w:themeColor="text1"/>
        </w:rPr>
        <w:t xml:space="preserve">Against this background, the political guidelines of the Commission give housing policy strong emphasis by proposing a coordinated approach under </w:t>
      </w:r>
      <w:r w:rsidR="5D453934" w:rsidRPr="08875448">
        <w:rPr>
          <w:rStyle w:val="eop"/>
          <w:rFonts w:eastAsiaTheme="majorEastAsia"/>
          <w:noProof/>
          <w:color w:val="000000" w:themeColor="text1"/>
        </w:rPr>
        <w:t xml:space="preserve">the </w:t>
      </w:r>
      <w:r w:rsidR="49EB7E23" w:rsidRPr="08875448">
        <w:rPr>
          <w:rStyle w:val="eop"/>
          <w:rFonts w:eastAsiaTheme="majorEastAsia"/>
          <w:noProof/>
          <w:color w:val="000000" w:themeColor="text1"/>
        </w:rPr>
        <w:t>upcoming</w:t>
      </w:r>
      <w:r w:rsidR="4CF829C0" w:rsidRPr="08875448">
        <w:rPr>
          <w:rStyle w:val="eop"/>
          <w:rFonts w:eastAsiaTheme="majorEastAsia"/>
          <w:noProof/>
          <w:color w:val="000000" w:themeColor="text1"/>
        </w:rPr>
        <w:t xml:space="preserve"> </w:t>
      </w:r>
      <w:r w:rsidR="2EE6D04F" w:rsidRPr="08875448">
        <w:rPr>
          <w:rStyle w:val="eop"/>
          <w:rFonts w:eastAsiaTheme="majorEastAsia"/>
          <w:noProof/>
          <w:color w:val="000000" w:themeColor="text1"/>
        </w:rPr>
        <w:t>European</w:t>
      </w:r>
      <w:r w:rsidRPr="08875448">
        <w:rPr>
          <w:rStyle w:val="eop"/>
          <w:rFonts w:eastAsiaTheme="majorEastAsia"/>
          <w:noProof/>
          <w:color w:val="000000" w:themeColor="text1"/>
        </w:rPr>
        <w:t xml:space="preserve"> ‘Affordable Housing Plan’</w:t>
      </w:r>
      <w:r w:rsidR="448D1F37" w:rsidRPr="08875448">
        <w:rPr>
          <w:rStyle w:val="eop"/>
          <w:rFonts w:eastAsiaTheme="majorEastAsia"/>
          <w:noProof/>
          <w:color w:val="000000" w:themeColor="text1"/>
        </w:rPr>
        <w:t>.</w:t>
      </w:r>
      <w:r w:rsidR="448D1F37" w:rsidRPr="008F0722">
        <w:rPr>
          <w:noProof/>
        </w:rPr>
        <w:t xml:space="preserve"> </w:t>
      </w:r>
      <w:r w:rsidR="4B743CAF" w:rsidRPr="08875448">
        <w:rPr>
          <w:rStyle w:val="eop"/>
          <w:rFonts w:eastAsiaTheme="majorEastAsia"/>
          <w:noProof/>
          <w:color w:val="000000" w:themeColor="text1"/>
        </w:rPr>
        <w:t xml:space="preserve">As part of this overarching ambition, the Commission now proposes to address the growing investment gap </w:t>
      </w:r>
      <w:r w:rsidR="2BAC6C1E" w:rsidRPr="08875448">
        <w:rPr>
          <w:rStyle w:val="eop"/>
          <w:rFonts w:eastAsiaTheme="majorEastAsia"/>
          <w:noProof/>
          <w:color w:val="000000" w:themeColor="text1"/>
        </w:rPr>
        <w:t xml:space="preserve">in affordable housing </w:t>
      </w:r>
      <w:r w:rsidR="4B743CAF" w:rsidRPr="08875448">
        <w:rPr>
          <w:rStyle w:val="eop"/>
          <w:rFonts w:eastAsiaTheme="majorEastAsia"/>
          <w:noProof/>
          <w:color w:val="000000" w:themeColor="text1"/>
        </w:rPr>
        <w:t xml:space="preserve">by </w:t>
      </w:r>
      <w:r w:rsidR="4B743CAF">
        <w:rPr>
          <w:noProof/>
        </w:rPr>
        <w:t>allowing Member States to reprogramme under their 2021-2027 programmes amounts for supporting investments that promote access to affordable housing. Investments under the New European Bauhaus should make full use of these new possibilities provided.</w:t>
      </w:r>
    </w:p>
    <w:p w14:paraId="7ACFC9E0" w14:textId="77777777" w:rsidR="00C21DF8" w:rsidRDefault="00C21DF8" w:rsidP="00C21DF8">
      <w:pPr>
        <w:rPr>
          <w:noProof/>
        </w:rPr>
      </w:pPr>
      <w:r>
        <w:rPr>
          <w:noProof/>
        </w:rPr>
        <w:t>At the same time, it must be ensured that housing is climate resilient.</w:t>
      </w:r>
    </w:p>
    <w:p w14:paraId="108085F2" w14:textId="77777777" w:rsidR="00FC04A3" w:rsidRDefault="290D1D5B" w:rsidP="00FC04A3">
      <w:pPr>
        <w:rPr>
          <w:rFonts w:eastAsia="Times New Roman"/>
          <w:noProof/>
        </w:rPr>
      </w:pPr>
      <w:r w:rsidRPr="7DC1D849">
        <w:rPr>
          <w:rFonts w:eastAsia="Times New Roman"/>
          <w:noProof/>
        </w:rPr>
        <w:t xml:space="preserve">The Commission proposes to include </w:t>
      </w:r>
      <w:r w:rsidR="00FC04A3" w:rsidRPr="7DC1D849">
        <w:rPr>
          <w:rFonts w:eastAsia="Times New Roman"/>
          <w:noProof/>
        </w:rPr>
        <w:t xml:space="preserve">corresponding additional specific objectives under three policy objectives thus allowing flexibility for Member States and regions depending on their programming structures and the focus of the housing interventions. </w:t>
      </w:r>
    </w:p>
    <w:p w14:paraId="2D9F5A39" w14:textId="77777777" w:rsidR="00FC04A3" w:rsidRDefault="00FC04A3" w:rsidP="142F223E">
      <w:pPr>
        <w:rPr>
          <w:rFonts w:eastAsia="Times New Roman"/>
          <w:noProof/>
        </w:rPr>
      </w:pPr>
      <w:r w:rsidRPr="142F223E">
        <w:rPr>
          <w:rFonts w:eastAsia="Times New Roman"/>
          <w:noProof/>
        </w:rPr>
        <w:t xml:space="preserve">In order to incentivise reprioritising their programmes and uptake, </w:t>
      </w:r>
      <w:r w:rsidR="4A5E0C39" w:rsidRPr="142F223E">
        <w:rPr>
          <w:rFonts w:eastAsia="Times New Roman"/>
          <w:noProof/>
        </w:rPr>
        <w:t xml:space="preserve">and without prejudice to compliance with State aid rules, </w:t>
      </w:r>
      <w:r w:rsidRPr="142F223E">
        <w:rPr>
          <w:rFonts w:eastAsia="Times New Roman"/>
          <w:noProof/>
        </w:rPr>
        <w:t>it is proposed that Member States, when using the proposed framework, benefit from a 100% Union financing and a pre-financing of 30% of the amounts programmed under the dedicated priority. With a view to enhancing the impact of investments, the scope of interventions now allows to include actions linked to implementing reforms under cohesion policy</w:t>
      </w:r>
      <w:r w:rsidR="004D57E7" w:rsidRPr="142F223E">
        <w:rPr>
          <w:rFonts w:eastAsia="Times New Roman"/>
          <w:noProof/>
        </w:rPr>
        <w:t>, provided that the programme amendment is submitted in 2025</w:t>
      </w:r>
      <w:bookmarkEnd w:id="5"/>
      <w:r w:rsidRPr="142F223E">
        <w:rPr>
          <w:rFonts w:eastAsia="Times New Roman"/>
          <w:noProof/>
        </w:rPr>
        <w:t>.</w:t>
      </w:r>
    </w:p>
    <w:p w14:paraId="55551738" w14:textId="77777777" w:rsidR="653353E9" w:rsidRPr="008F0722" w:rsidRDefault="3044222C" w:rsidP="00E475A3">
      <w:pPr>
        <w:ind w:left="360"/>
        <w:rPr>
          <w:rStyle w:val="eop"/>
          <w:rFonts w:eastAsia="Times New Roman"/>
          <w:i/>
          <w:iCs/>
          <w:noProof/>
        </w:rPr>
      </w:pPr>
      <w:bookmarkStart w:id="6" w:name="_Hlk194321197"/>
      <w:r w:rsidRPr="08875448">
        <w:rPr>
          <w:rFonts w:eastAsia="Times New Roman"/>
          <w:i/>
          <w:iCs/>
          <w:noProof/>
        </w:rPr>
        <w:t>Access to water</w:t>
      </w:r>
      <w:r w:rsidR="531B4D51" w:rsidRPr="08875448">
        <w:rPr>
          <w:rFonts w:eastAsia="Times New Roman"/>
          <w:i/>
          <w:iCs/>
          <w:noProof/>
        </w:rPr>
        <w:t>,</w:t>
      </w:r>
      <w:r w:rsidRPr="08875448">
        <w:rPr>
          <w:rFonts w:eastAsia="Times New Roman"/>
          <w:i/>
          <w:iCs/>
          <w:noProof/>
        </w:rPr>
        <w:t xml:space="preserve"> sustainable water management and water</w:t>
      </w:r>
      <w:r w:rsidRPr="008F0722">
        <w:rPr>
          <w:noProof/>
        </w:rPr>
        <w:t xml:space="preserve"> </w:t>
      </w:r>
      <w:r w:rsidRPr="008F0722">
        <w:rPr>
          <w:i/>
          <w:iCs/>
          <w:noProof/>
        </w:rPr>
        <w:t>resilience</w:t>
      </w:r>
      <w:bookmarkEnd w:id="6"/>
    </w:p>
    <w:p w14:paraId="3C68A95E" w14:textId="77777777" w:rsidR="00ED2EBA" w:rsidRPr="00ED2EBA" w:rsidRDefault="4BED2DD2" w:rsidP="08875448">
      <w:pPr>
        <w:rPr>
          <w:rFonts w:eastAsiaTheme="majorEastAsia"/>
          <w:noProof/>
          <w:color w:val="000000" w:themeColor="text1"/>
          <w:lang w:val="en-IE"/>
        </w:rPr>
      </w:pPr>
      <w:r w:rsidRPr="08875448">
        <w:rPr>
          <w:rStyle w:val="eop"/>
          <w:rFonts w:eastAsiaTheme="majorEastAsia"/>
          <w:noProof/>
          <w:color w:val="000000" w:themeColor="text1"/>
        </w:rPr>
        <w:t xml:space="preserve">Water is a vital resource for the security of our food, energy and economic systems, yet both at EU and global level water resources are facing mounting pressures. </w:t>
      </w:r>
      <w:r w:rsidR="648B7ED1" w:rsidRPr="08875448">
        <w:rPr>
          <w:rStyle w:val="eop"/>
          <w:rFonts w:eastAsiaTheme="majorEastAsia"/>
          <w:noProof/>
          <w:color w:val="000000" w:themeColor="text1"/>
        </w:rPr>
        <w:t xml:space="preserve">Effective water management is essential for safeguarding public health, protecting the environment, and maintaining the EU’s economic competitiveness. Mismanagement, including over-abstraction and pollution, is increasingly constraining critical sectors such as agriculture, energy, manufacturing, and transport. </w:t>
      </w:r>
      <w:r w:rsidR="315E0622" w:rsidRPr="08875448">
        <w:rPr>
          <w:rFonts w:eastAsiaTheme="majorEastAsia"/>
          <w:noProof/>
          <w:color w:val="000000" w:themeColor="text1"/>
          <w:lang w:val="en-IE"/>
        </w:rPr>
        <w:t>The EU is faced with increasing impacts from climate change which exacerbate the existing pressures on water quality, water quantity and marine ecosystems.  In this context, it is urgent to enhance implementation of the water and marine protection legislation and improve water efficiency, address water scarcity, and progress towards a water resilient Europe</w:t>
      </w:r>
      <w:r w:rsidR="7AA9E807" w:rsidRPr="08875448">
        <w:rPr>
          <w:rFonts w:eastAsiaTheme="majorEastAsia"/>
          <w:noProof/>
          <w:color w:val="000000" w:themeColor="text1"/>
          <w:lang w:val="en-IE"/>
        </w:rPr>
        <w:t>, requiring significant efforts and investments</w:t>
      </w:r>
      <w:r w:rsidR="315E0622" w:rsidRPr="08875448">
        <w:rPr>
          <w:rFonts w:eastAsiaTheme="majorEastAsia"/>
          <w:noProof/>
          <w:color w:val="000000" w:themeColor="text1"/>
          <w:lang w:val="en-IE"/>
        </w:rPr>
        <w:t>.</w:t>
      </w:r>
      <w:r w:rsidR="315E0622" w:rsidRPr="008F0722">
        <w:rPr>
          <w:rFonts w:eastAsiaTheme="majorEastAsia"/>
          <w:noProof/>
          <w:color w:val="000000" w:themeColor="text1"/>
          <w:lang w:val="en-IE"/>
        </w:rPr>
        <w:t xml:space="preserve">  </w:t>
      </w:r>
      <w:r w:rsidR="7F633128">
        <w:rPr>
          <w:noProof/>
        </w:rPr>
        <w:t xml:space="preserve">The EU water sector and blue economy sector are significant economic sectors in many regions, driving innovation, and safeguarding public health, and sustainability, e.g. by offering advanced solutions such as desalination, water treatment, </w:t>
      </w:r>
      <w:r w:rsidR="08DF15A1">
        <w:rPr>
          <w:noProof/>
        </w:rPr>
        <w:t xml:space="preserve">water reuse, </w:t>
      </w:r>
      <w:r w:rsidR="7F633128">
        <w:rPr>
          <w:noProof/>
        </w:rPr>
        <w:t>blue biotechnology etc. The global leadership in water technologies enhances the EU’s export potential and creates jobs in all regions across Europe.</w:t>
      </w:r>
    </w:p>
    <w:p w14:paraId="163655D1" w14:textId="77777777" w:rsidR="00FC04A3" w:rsidRDefault="00ED2EBA" w:rsidP="3BBAE73C">
      <w:pPr>
        <w:rPr>
          <w:rStyle w:val="eop"/>
          <w:rFonts w:eastAsiaTheme="majorEastAsia"/>
          <w:noProof/>
          <w:color w:val="000000" w:themeColor="text1"/>
        </w:rPr>
      </w:pPr>
      <w:r>
        <w:rPr>
          <w:noProof/>
        </w:rPr>
        <w:t xml:space="preserve">The EU </w:t>
      </w:r>
      <w:r w:rsidR="3099767E">
        <w:rPr>
          <w:noProof/>
        </w:rPr>
        <w:t xml:space="preserve">therefore </w:t>
      </w:r>
      <w:r>
        <w:rPr>
          <w:noProof/>
        </w:rPr>
        <w:t xml:space="preserve">must protect these </w:t>
      </w:r>
      <w:r w:rsidR="635020C4">
        <w:rPr>
          <w:noProof/>
        </w:rPr>
        <w:t xml:space="preserve">water </w:t>
      </w:r>
      <w:r>
        <w:rPr>
          <w:noProof/>
        </w:rPr>
        <w:t>ecosystems and infrastructures by scaling up investments and consider water supply and infrastructure through the lens of ensuring access to and supply of water to our citizens and societies in all circumstances.</w:t>
      </w:r>
    </w:p>
    <w:p w14:paraId="3D86DE29" w14:textId="77777777" w:rsidR="00FC04A3" w:rsidRDefault="4B743CAF" w:rsidP="00FC04A3">
      <w:pPr>
        <w:rPr>
          <w:noProof/>
        </w:rPr>
      </w:pPr>
      <w:r>
        <w:rPr>
          <w:noProof/>
        </w:rPr>
        <w:t xml:space="preserve">The EU has established a strong legal framework for the sustainable and secure management of water, but further progress in implementation is essential and more decisive action is urgently needed. </w:t>
      </w:r>
      <w:r w:rsidR="35E52F97">
        <w:rPr>
          <w:noProof/>
        </w:rPr>
        <w:t>For that reason</w:t>
      </w:r>
      <w:r w:rsidR="1CEB1CF2">
        <w:rPr>
          <w:noProof/>
        </w:rPr>
        <w:t>,</w:t>
      </w:r>
      <w:r w:rsidR="35E52F97">
        <w:rPr>
          <w:noProof/>
        </w:rPr>
        <w:t xml:space="preserve"> the EU will come forward with an EU Water Resilience Strategy in the first half of 2025.</w:t>
      </w:r>
      <w:r w:rsidR="0E475AB5">
        <w:rPr>
          <w:noProof/>
        </w:rPr>
        <w:t xml:space="preserve"> </w:t>
      </w:r>
      <w:r w:rsidR="0E475AB5" w:rsidRPr="08875448">
        <w:rPr>
          <w:rFonts w:eastAsia="Times New Roman"/>
          <w:noProof/>
        </w:rPr>
        <w:t xml:space="preserve">In line with the Preparedness Union Strategy, </w:t>
      </w:r>
      <w:r w:rsidR="04999648">
        <w:rPr>
          <w:noProof/>
        </w:rPr>
        <w:t>w</w:t>
      </w:r>
      <w:r>
        <w:rPr>
          <w:noProof/>
        </w:rPr>
        <w:t xml:space="preserve">ater </w:t>
      </w:r>
      <w:r>
        <w:rPr>
          <w:noProof/>
        </w:rPr>
        <w:lastRenderedPageBreak/>
        <w:t>resilience requires a shift from reactive crisis management to proactive, risk-based management and increased preparedness.</w:t>
      </w:r>
    </w:p>
    <w:p w14:paraId="7A059D50" w14:textId="77777777" w:rsidR="00FC04A3" w:rsidRDefault="4E39F732" w:rsidP="00FC04A3">
      <w:pPr>
        <w:rPr>
          <w:noProof/>
        </w:rPr>
      </w:pPr>
      <w:r>
        <w:rPr>
          <w:noProof/>
        </w:rPr>
        <w:t>In the 2021-2027 period, almost EUR 13 billion are being invested in water services and improved wastewater collection and treatment in cohesion policy programmes. But additional efforts from the public and private sectors are needed to ensure sufficient progress</w:t>
      </w:r>
      <w:r w:rsidR="17EFEA2E">
        <w:rPr>
          <w:noProof/>
        </w:rPr>
        <w:t xml:space="preserve"> </w:t>
      </w:r>
      <w:r>
        <w:rPr>
          <w:noProof/>
        </w:rPr>
        <w:t xml:space="preserve">Therefore, to properly emphasise the importance and focus of investments in water resilience, the Commission proposes to modify the wording of the specific objective related to water management under </w:t>
      </w:r>
      <w:r w:rsidR="00385A96">
        <w:rPr>
          <w:noProof/>
        </w:rPr>
        <w:t>p</w:t>
      </w:r>
      <w:r>
        <w:rPr>
          <w:noProof/>
        </w:rPr>
        <w:t xml:space="preserve">olicy </w:t>
      </w:r>
      <w:r w:rsidR="00385A96">
        <w:rPr>
          <w:noProof/>
        </w:rPr>
        <w:t>o</w:t>
      </w:r>
      <w:r>
        <w:rPr>
          <w:noProof/>
        </w:rPr>
        <w:t xml:space="preserve">bjective 2 </w:t>
      </w:r>
      <w:r w:rsidR="00C07DE2">
        <w:rPr>
          <w:noProof/>
        </w:rPr>
        <w:t>“</w:t>
      </w:r>
      <w:r>
        <w:rPr>
          <w:noProof/>
        </w:rPr>
        <w:t xml:space="preserve">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 </w:t>
      </w:r>
    </w:p>
    <w:p w14:paraId="4470FEC6" w14:textId="77777777" w:rsidR="00BF7BFC" w:rsidRDefault="00FC04A3" w:rsidP="4D8CB314">
      <w:pPr>
        <w:rPr>
          <w:noProof/>
        </w:rPr>
      </w:pPr>
      <w:r>
        <w:rPr>
          <w:noProof/>
        </w:rPr>
        <w:t xml:space="preserve">Cohesion policy investments in sustainable and secure investments should be incentivised, notably to contribute to build a water resilient society, through increased </w:t>
      </w:r>
      <w:r w:rsidR="00DE5FBB">
        <w:rPr>
          <w:noProof/>
        </w:rPr>
        <w:t>r</w:t>
      </w:r>
      <w:r w:rsidR="00DE5FBB" w:rsidRPr="08875448">
        <w:rPr>
          <w:rFonts w:eastAsia="Times New Roman"/>
          <w:noProof/>
        </w:rPr>
        <w:t>estoration of water bodies, deployment of nature-based solutions to reduce floods risk and increase the capacity of ecosystems to store water, improved control of water abstractions and increased</w:t>
      </w:r>
      <w:r w:rsidR="00DE5FBB">
        <w:rPr>
          <w:noProof/>
        </w:rPr>
        <w:t xml:space="preserve"> </w:t>
      </w:r>
      <w:r>
        <w:rPr>
          <w:noProof/>
        </w:rPr>
        <w:t>water efficiency</w:t>
      </w:r>
      <w:r w:rsidR="2E91707F">
        <w:rPr>
          <w:noProof/>
        </w:rPr>
        <w:t xml:space="preserve"> and reuse</w:t>
      </w:r>
      <w:r>
        <w:rPr>
          <w:noProof/>
        </w:rPr>
        <w:t xml:space="preserve"> increased digitisation of water infrastructure, mitigation of drought and desertification impacts</w:t>
      </w:r>
      <w:r w:rsidR="0010674B">
        <w:rPr>
          <w:noProof/>
        </w:rPr>
        <w:t>,</w:t>
      </w:r>
      <w:r w:rsidR="00BA1227">
        <w:rPr>
          <w:noProof/>
        </w:rPr>
        <w:t xml:space="preserve"> flooding and extreme weather events, and compliance with the Water Framework, the Groundwater, the Urban Wastewater Treatment, and the Environmental Quality Standards Directives.</w:t>
      </w:r>
      <w:r>
        <w:rPr>
          <w:noProof/>
        </w:rPr>
        <w:t xml:space="preserve"> It is proposed that Member States, when using the proposed framework, benefit from </w:t>
      </w:r>
      <w:r w:rsidR="00CC6762">
        <w:rPr>
          <w:noProof/>
        </w:rPr>
        <w:t xml:space="preserve">the possibility of a Union financing up to 100% and </w:t>
      </w:r>
      <w:r>
        <w:rPr>
          <w:noProof/>
        </w:rPr>
        <w:t>a pre-financing of 30% of the amounts programmed under the dedicated priority for this new specific objective.</w:t>
      </w:r>
    </w:p>
    <w:p w14:paraId="3DEABD62" w14:textId="77777777" w:rsidR="00BF7BFC" w:rsidRPr="007A1971" w:rsidRDefault="00854387" w:rsidP="00E475A3">
      <w:pPr>
        <w:ind w:left="360"/>
        <w:rPr>
          <w:rFonts w:eastAsia="Times New Roman"/>
          <w:i/>
          <w:iCs/>
          <w:noProof/>
          <w:color w:val="000000" w:themeColor="text1"/>
        </w:rPr>
      </w:pPr>
      <w:r w:rsidRPr="08875448">
        <w:rPr>
          <w:rFonts w:eastAsia="Times New Roman"/>
          <w:i/>
          <w:iCs/>
          <w:noProof/>
          <w:color w:val="000000" w:themeColor="text1"/>
        </w:rPr>
        <w:t>E</w:t>
      </w:r>
      <w:r w:rsidR="004945D5" w:rsidRPr="08875448">
        <w:rPr>
          <w:rFonts w:eastAsia="Times New Roman"/>
          <w:i/>
          <w:iCs/>
          <w:noProof/>
          <w:color w:val="000000" w:themeColor="text1"/>
        </w:rPr>
        <w:t xml:space="preserve">nergy </w:t>
      </w:r>
      <w:r w:rsidR="00213F2E" w:rsidRPr="08875448">
        <w:rPr>
          <w:rFonts w:eastAsia="Times New Roman"/>
          <w:i/>
          <w:iCs/>
          <w:noProof/>
          <w:color w:val="000000" w:themeColor="text1"/>
        </w:rPr>
        <w:t xml:space="preserve">transition </w:t>
      </w:r>
    </w:p>
    <w:p w14:paraId="71702F11" w14:textId="77777777" w:rsidR="00BF7BFC" w:rsidRDefault="00BF7BFC" w:rsidP="00385A96">
      <w:pPr>
        <w:rPr>
          <w:rFonts w:eastAsia="Times New Roman"/>
          <w:noProof/>
          <w:color w:val="000000" w:themeColor="text1"/>
        </w:rPr>
      </w:pPr>
      <w:r w:rsidRPr="08875448">
        <w:rPr>
          <w:rFonts w:eastAsia="Times New Roman"/>
          <w:noProof/>
          <w:color w:val="000000" w:themeColor="text1"/>
        </w:rPr>
        <w:t xml:space="preserve">Another area where </w:t>
      </w:r>
      <w:r w:rsidR="00385A96">
        <w:rPr>
          <w:rFonts w:eastAsia="Times New Roman"/>
          <w:noProof/>
          <w:color w:val="000000" w:themeColor="text1"/>
        </w:rPr>
        <w:t>c</w:t>
      </w:r>
      <w:r w:rsidRPr="08875448">
        <w:rPr>
          <w:rFonts w:eastAsia="Times New Roman"/>
          <w:noProof/>
          <w:color w:val="000000" w:themeColor="text1"/>
        </w:rPr>
        <w:t>ohesion policy investments contribute to EU priorities is climate action and climate transition, where the policy invests more than EUR 110 billion. In light of the significant investment needs of the climate transition, Member States need to maintain their efforts to respect the funds’ climate ambition.</w:t>
      </w:r>
    </w:p>
    <w:p w14:paraId="77CA908A" w14:textId="77777777" w:rsidR="008E0F35" w:rsidRDefault="008E0F35" w:rsidP="00877B3D">
      <w:pPr>
        <w:rPr>
          <w:rFonts w:eastAsia="Times New Roman"/>
          <w:noProof/>
        </w:rPr>
      </w:pPr>
      <w:r w:rsidRPr="08875448">
        <w:rPr>
          <w:rFonts w:eastAsia="Times New Roman"/>
          <w:noProof/>
        </w:rPr>
        <w:t xml:space="preserve">In order to enhance energy security </w:t>
      </w:r>
      <w:r w:rsidR="00B05356" w:rsidRPr="08875448">
        <w:rPr>
          <w:rFonts w:eastAsia="Times New Roman"/>
          <w:noProof/>
        </w:rPr>
        <w:t xml:space="preserve">and accelerate </w:t>
      </w:r>
      <w:r w:rsidR="00A0619E" w:rsidRPr="08875448">
        <w:rPr>
          <w:rFonts w:eastAsia="Times New Roman"/>
          <w:noProof/>
        </w:rPr>
        <w:t>the transition</w:t>
      </w:r>
      <w:r w:rsidR="00B05356" w:rsidRPr="08875448">
        <w:rPr>
          <w:rFonts w:eastAsia="Times New Roman"/>
          <w:noProof/>
        </w:rPr>
        <w:t xml:space="preserve"> </w:t>
      </w:r>
      <w:r w:rsidRPr="08875448">
        <w:rPr>
          <w:rFonts w:eastAsia="Times New Roman"/>
          <w:noProof/>
        </w:rPr>
        <w:t xml:space="preserve">across the Union and also to promote clean mobility, a new specific objective should be created to promote energy interconnectors and </w:t>
      </w:r>
      <w:r>
        <w:rPr>
          <w:rFonts w:eastAsia="Times New Roman"/>
          <w:noProof/>
        </w:rPr>
        <w:t xml:space="preserve">related transmission infrastructure, and </w:t>
      </w:r>
      <w:r w:rsidRPr="08875448">
        <w:rPr>
          <w:rFonts w:eastAsia="Times New Roman"/>
          <w:noProof/>
        </w:rPr>
        <w:t xml:space="preserve">the deployment of recharging infrastructure from ERDF and Cohesion Fund resources. </w:t>
      </w:r>
    </w:p>
    <w:p w14:paraId="3117F798" w14:textId="77777777" w:rsidR="00BF7BFC" w:rsidRDefault="00BF7BFC" w:rsidP="08875448">
      <w:pPr>
        <w:rPr>
          <w:rStyle w:val="eop"/>
          <w:rFonts w:eastAsiaTheme="majorEastAsia"/>
          <w:noProof/>
          <w:color w:val="000000" w:themeColor="text1"/>
        </w:rPr>
      </w:pPr>
      <w:r w:rsidRPr="08875448">
        <w:rPr>
          <w:rStyle w:val="eop"/>
          <w:rFonts w:eastAsiaTheme="majorEastAsia"/>
          <w:noProof/>
          <w:color w:val="000000" w:themeColor="text1"/>
        </w:rPr>
        <w:t xml:space="preserve">In order to accelerate the </w:t>
      </w:r>
      <w:r w:rsidR="00213F2E" w:rsidRPr="08875448">
        <w:rPr>
          <w:rStyle w:val="eop"/>
          <w:rFonts w:eastAsiaTheme="majorEastAsia"/>
          <w:noProof/>
          <w:color w:val="000000" w:themeColor="text1"/>
        </w:rPr>
        <w:t>energy transition</w:t>
      </w:r>
      <w:r w:rsidRPr="08875448">
        <w:rPr>
          <w:rStyle w:val="eop"/>
          <w:rFonts w:eastAsiaTheme="majorEastAsia"/>
          <w:noProof/>
          <w:color w:val="000000" w:themeColor="text1"/>
        </w:rPr>
        <w:t xml:space="preserve"> of industry</w:t>
      </w:r>
      <w:r>
        <w:rPr>
          <w:rStyle w:val="eop"/>
          <w:rFonts w:eastAsiaTheme="majorEastAsia"/>
          <w:noProof/>
          <w:color w:val="000000" w:themeColor="text1"/>
        </w:rPr>
        <w:t>, notably in energy-intensive sectors,</w:t>
      </w:r>
      <w:r w:rsidRPr="08875448">
        <w:rPr>
          <w:rStyle w:val="eop"/>
          <w:rFonts w:eastAsiaTheme="majorEastAsia"/>
          <w:noProof/>
          <w:color w:val="000000" w:themeColor="text1"/>
        </w:rPr>
        <w:t xml:space="preserve"> that is necessary for reaching the EU climate objectives and for the EU’s competitiveness and resilience, the Commission proposes to enlarge the scope of support from the ERDF to decarbonisation of projects selected in the context of Union instruments </w:t>
      </w:r>
      <w:r w:rsidRPr="00385A96">
        <w:rPr>
          <w:rFonts w:eastAsia="Times New Roman"/>
          <w:noProof/>
          <w:color w:val="000000" w:themeColor="text1"/>
        </w:rPr>
        <w:t xml:space="preserve">in particular projects in installations that have been awarded a ‘Sovereignty Seal’ under </w:t>
      </w:r>
      <w:r w:rsidRPr="08875448">
        <w:rPr>
          <w:rFonts w:eastAsia="Times New Roman"/>
          <w:noProof/>
          <w:color w:val="000000" w:themeColor="text1"/>
        </w:rPr>
        <w:t>the Innovation Fund</w:t>
      </w:r>
      <w:r w:rsidRPr="00385A96">
        <w:rPr>
          <w:rFonts w:eastAsia="Times New Roman"/>
          <w:noProof/>
          <w:color w:val="000000" w:themeColor="text1"/>
        </w:rPr>
        <w:t xml:space="preserve"> established by </w:t>
      </w:r>
      <w:r w:rsidRPr="08875448">
        <w:rPr>
          <w:rFonts w:eastAsia="Times New Roman"/>
          <w:noProof/>
          <w:color w:val="000000" w:themeColor="text1"/>
        </w:rPr>
        <w:t>the EU Emissions Trading System (ETS)</w:t>
      </w:r>
      <w:r w:rsidRPr="00385A96">
        <w:rPr>
          <w:rFonts w:eastAsia="Times New Roman"/>
          <w:noProof/>
          <w:color w:val="000000" w:themeColor="text1"/>
        </w:rPr>
        <w:t xml:space="preserve">, </w:t>
      </w:r>
      <w:r w:rsidRPr="08875448">
        <w:rPr>
          <w:rFonts w:eastAsia="Times New Roman"/>
          <w:noProof/>
          <w:color w:val="000000" w:themeColor="text1"/>
        </w:rPr>
        <w:t xml:space="preserve">and </w:t>
      </w:r>
      <w:r w:rsidRPr="00385A96">
        <w:rPr>
          <w:rFonts w:eastAsia="Times New Roman"/>
          <w:noProof/>
          <w:color w:val="000000" w:themeColor="text1"/>
        </w:rPr>
        <w:t xml:space="preserve">to </w:t>
      </w:r>
      <w:r w:rsidRPr="08875448">
        <w:rPr>
          <w:rFonts w:eastAsia="Times New Roman"/>
          <w:noProof/>
          <w:color w:val="000000" w:themeColor="text1"/>
        </w:rPr>
        <w:t>reduc</w:t>
      </w:r>
      <w:r w:rsidRPr="00385A96">
        <w:rPr>
          <w:rFonts w:eastAsia="Times New Roman"/>
          <w:noProof/>
          <w:color w:val="000000" w:themeColor="text1"/>
        </w:rPr>
        <w:t>e</w:t>
      </w:r>
      <w:r w:rsidRPr="08875448">
        <w:rPr>
          <w:rStyle w:val="eop"/>
          <w:rFonts w:eastAsiaTheme="majorEastAsia"/>
          <w:noProof/>
          <w:color w:val="000000" w:themeColor="text1"/>
        </w:rPr>
        <w:t xml:space="preserve"> administrative checks for similar support under the JTF.</w:t>
      </w:r>
    </w:p>
    <w:p w14:paraId="7F8246A0" w14:textId="77777777" w:rsidR="00BF7BFC" w:rsidRPr="00385A96" w:rsidRDefault="00BF7BFC" w:rsidP="08875448">
      <w:pPr>
        <w:rPr>
          <w:rStyle w:val="eop"/>
          <w:rFonts w:eastAsiaTheme="majorEastAsia"/>
          <w:noProof/>
          <w:color w:val="000000" w:themeColor="text1"/>
        </w:rPr>
      </w:pPr>
      <w:r w:rsidRPr="08875448">
        <w:rPr>
          <w:rStyle w:val="eop"/>
          <w:rFonts w:eastAsiaTheme="majorEastAsia"/>
          <w:noProof/>
          <w:color w:val="000000" w:themeColor="text1"/>
        </w:rPr>
        <w:t>To increase climate resilience is essential to ensure competitiveness.</w:t>
      </w:r>
      <w:r w:rsidRPr="08875448">
        <w:rPr>
          <w:rStyle w:val="eop"/>
          <w:rFonts w:eastAsiaTheme="majorEastAsia"/>
          <w:noProof/>
        </w:rPr>
        <w:t xml:space="preserve"> In line with the Preparedness Union Strategy and the concept of preparedness and security by design, it is vital to ensure sustainable and informed investments, based on proper climate modelling data, so as to protect both vulnerable populations and the EU economy and competitiveness. </w:t>
      </w:r>
    </w:p>
    <w:p w14:paraId="43DC621C" w14:textId="77777777" w:rsidR="00FC04A3" w:rsidRDefault="00FC04A3" w:rsidP="00E475A3">
      <w:pPr>
        <w:ind w:left="360"/>
        <w:rPr>
          <w:rStyle w:val="eop"/>
          <w:rFonts w:eastAsiaTheme="majorEastAsia"/>
          <w:i/>
          <w:iCs/>
          <w:noProof/>
          <w:color w:val="000000" w:themeColor="text1"/>
          <w:lang w:val="en-IE"/>
        </w:rPr>
      </w:pPr>
      <w:r w:rsidRPr="01F8982D">
        <w:rPr>
          <w:rStyle w:val="eop"/>
          <w:rFonts w:eastAsiaTheme="majorEastAsia"/>
          <w:i/>
          <w:iCs/>
          <w:noProof/>
          <w:color w:val="000000" w:themeColor="text1"/>
          <w:lang w:val="en-IE"/>
        </w:rPr>
        <w:t>Eastern border regions</w:t>
      </w:r>
    </w:p>
    <w:p w14:paraId="78AC9AEB" w14:textId="77777777" w:rsidR="00FC04A3" w:rsidRDefault="4E39F732" w:rsidP="471CE5AE">
      <w:pPr>
        <w:rPr>
          <w:rStyle w:val="eop"/>
          <w:rFonts w:eastAsiaTheme="majorEastAsia"/>
          <w:b/>
          <w:bCs/>
          <w:noProof/>
          <w:color w:val="000000" w:themeColor="text1"/>
        </w:rPr>
      </w:pPr>
      <w:r w:rsidRPr="471CE5AE">
        <w:rPr>
          <w:rStyle w:val="eop"/>
          <w:rFonts w:eastAsiaTheme="majorEastAsia"/>
          <w:noProof/>
          <w:color w:val="000000" w:themeColor="text1"/>
          <w:lang w:val="en-IE"/>
        </w:rPr>
        <w:t xml:space="preserve">Given the challenges of the </w:t>
      </w:r>
      <w:r w:rsidR="0010674B">
        <w:rPr>
          <w:rStyle w:val="eop"/>
          <w:rFonts w:eastAsiaTheme="majorEastAsia"/>
          <w:noProof/>
          <w:color w:val="000000" w:themeColor="text1"/>
          <w:lang w:val="en-IE"/>
        </w:rPr>
        <w:t>e</w:t>
      </w:r>
      <w:r w:rsidRPr="471CE5AE">
        <w:rPr>
          <w:rStyle w:val="eop"/>
          <w:rFonts w:eastAsiaTheme="majorEastAsia"/>
          <w:noProof/>
          <w:color w:val="000000" w:themeColor="text1"/>
          <w:lang w:val="en-IE"/>
        </w:rPr>
        <w:t>astern border regions since the Russian aggression against Ukraine, programmes under the Investment for jobs and growth goal with NUTS 2 regions that have borders with Russia, Belarus or Ukraine, should benefit from the possibility of a one-off 9.5% pre-financing of the programme allocation and a 100% Union financing.</w:t>
      </w:r>
    </w:p>
    <w:p w14:paraId="10C025E8" w14:textId="77777777" w:rsidR="00FC04A3" w:rsidRDefault="00FC04A3" w:rsidP="00FC04A3">
      <w:pPr>
        <w:spacing w:before="240"/>
        <w:rPr>
          <w:rStyle w:val="eop"/>
          <w:rFonts w:eastAsiaTheme="majorEastAsia"/>
          <w:b/>
          <w:bCs/>
          <w:noProof/>
          <w:color w:val="000000" w:themeColor="text1"/>
        </w:rPr>
      </w:pPr>
      <w:r w:rsidRPr="79FD4AFF">
        <w:rPr>
          <w:rStyle w:val="eop"/>
          <w:rFonts w:eastAsiaTheme="majorEastAsia"/>
          <w:b/>
          <w:bCs/>
          <w:noProof/>
          <w:color w:val="000000" w:themeColor="text1"/>
        </w:rPr>
        <w:lastRenderedPageBreak/>
        <w:t>Greater flexibility and simplification for accelerating investments</w:t>
      </w:r>
    </w:p>
    <w:p w14:paraId="367AE490" w14:textId="77777777" w:rsidR="00FC04A3" w:rsidRDefault="00FC04A3" w:rsidP="142F223E">
      <w:pPr>
        <w:rPr>
          <w:rStyle w:val="eop"/>
          <w:rFonts w:eastAsiaTheme="majorEastAsia"/>
          <w:noProof/>
          <w:color w:val="000000" w:themeColor="text1"/>
        </w:rPr>
      </w:pPr>
      <w:r w:rsidRPr="142F223E">
        <w:rPr>
          <w:rStyle w:val="eop"/>
          <w:rFonts w:eastAsiaTheme="majorEastAsia"/>
          <w:noProof/>
          <w:color w:val="000000" w:themeColor="text1"/>
        </w:rPr>
        <w:t xml:space="preserve">Halfway </w:t>
      </w:r>
      <w:r w:rsidR="14F7DA24" w:rsidRPr="142F223E">
        <w:rPr>
          <w:rStyle w:val="eop"/>
          <w:rFonts w:eastAsiaTheme="majorEastAsia"/>
          <w:noProof/>
          <w:color w:val="000000" w:themeColor="text1"/>
        </w:rPr>
        <w:t xml:space="preserve">through </w:t>
      </w:r>
      <w:r w:rsidRPr="142F223E">
        <w:rPr>
          <w:rStyle w:val="eop"/>
          <w:rFonts w:eastAsiaTheme="majorEastAsia"/>
          <w:noProof/>
          <w:color w:val="000000" w:themeColor="text1"/>
        </w:rPr>
        <w:t>the 2021-2027 programming period, the level of payments claimed by the Member States to the Commission is low, owing to a combination of factors: the late adoption of the regulations governing the policy; the need to face successive crises from the COVID-19 pandemic to the war against Ukraine, and to the energy crisis; the pressure to close the previous programming period; and the priority given to implement the instruments of NGEU, given their shorter implementation timeframe. All this has in turn put a strain on the administrative capacities of Member States’ authorities to design and quickly deliver investments. Notwithstanding a rapid acceleration experienced over last year with project selection close to 40% of the allocations, cohesion policy implementation should rapidly pick up pace in a context where the Union is facing a range of new challenges requiring rapid responses. The Commission therefore proposes a set of measures aiming at further enhancing the flexibility and simplification of the use of cohesion policy support for accelerating investments:</w:t>
      </w:r>
    </w:p>
    <w:p w14:paraId="239F3365" w14:textId="77777777" w:rsidR="00FC04A3" w:rsidRPr="00C33947" w:rsidRDefault="00FC04A3" w:rsidP="003E5EF6">
      <w:pPr>
        <w:pStyle w:val="Tiret0"/>
        <w:numPr>
          <w:ilvl w:val="0"/>
          <w:numId w:val="21"/>
        </w:numPr>
        <w:rPr>
          <w:rStyle w:val="eop"/>
          <w:rFonts w:eastAsiaTheme="majorEastAsia"/>
          <w:noProof/>
          <w:color w:val="000000" w:themeColor="text1"/>
        </w:rPr>
      </w:pPr>
      <w:r w:rsidRPr="01F8982D">
        <w:rPr>
          <w:rStyle w:val="eop"/>
          <w:rFonts w:eastAsiaTheme="majorEastAsia"/>
          <w:noProof/>
          <w:color w:val="000000" w:themeColor="text1"/>
        </w:rPr>
        <w:t xml:space="preserve">To avoid that programme implementation is delayed because of national budgetary constraints, and to expand the financial capacity </w:t>
      </w:r>
      <w:r w:rsidR="0010674B">
        <w:rPr>
          <w:rStyle w:val="eop"/>
          <w:rFonts w:eastAsiaTheme="majorEastAsia"/>
          <w:noProof/>
          <w:color w:val="000000" w:themeColor="text1"/>
        </w:rPr>
        <w:t xml:space="preserve">of </w:t>
      </w:r>
      <w:r w:rsidRPr="01F8982D">
        <w:rPr>
          <w:rStyle w:val="eop"/>
          <w:rFonts w:eastAsiaTheme="majorEastAsia"/>
          <w:noProof/>
          <w:color w:val="000000" w:themeColor="text1"/>
        </w:rPr>
        <w:t xml:space="preserve">Member States to address the newly emerging challenges, the Commission proposes to provide a one-off </w:t>
      </w:r>
      <w:r w:rsidR="00684FD5">
        <w:rPr>
          <w:rStyle w:val="eop"/>
          <w:rFonts w:eastAsiaTheme="majorEastAsia"/>
          <w:noProof/>
          <w:color w:val="000000" w:themeColor="text1"/>
        </w:rPr>
        <w:t xml:space="preserve">4.5% </w:t>
      </w:r>
      <w:r w:rsidRPr="01F8982D">
        <w:rPr>
          <w:rStyle w:val="eop"/>
          <w:rFonts w:eastAsiaTheme="majorEastAsia"/>
          <w:noProof/>
          <w:color w:val="000000" w:themeColor="text1"/>
        </w:rPr>
        <w:t>pre-financing provided from the ERDF</w:t>
      </w:r>
      <w:r>
        <w:rPr>
          <w:rStyle w:val="eop"/>
          <w:rFonts w:eastAsiaTheme="majorEastAsia"/>
          <w:noProof/>
          <w:color w:val="000000" w:themeColor="text1"/>
        </w:rPr>
        <w:t xml:space="preserve"> and</w:t>
      </w:r>
      <w:r w:rsidRPr="01F8982D">
        <w:rPr>
          <w:rStyle w:val="eop"/>
          <w:rFonts w:eastAsiaTheme="majorEastAsia"/>
          <w:noProof/>
          <w:color w:val="000000" w:themeColor="text1"/>
        </w:rPr>
        <w:t xml:space="preserve"> the Cohesion Fund</w:t>
      </w:r>
      <w:r w:rsidR="00285350">
        <w:rPr>
          <w:rStyle w:val="eop"/>
          <w:rFonts w:eastAsiaTheme="majorEastAsia"/>
          <w:noProof/>
          <w:color w:val="000000" w:themeColor="text1"/>
        </w:rPr>
        <w:t xml:space="preserve"> in 2026</w:t>
      </w:r>
      <w:r>
        <w:rPr>
          <w:rStyle w:val="eop"/>
          <w:rFonts w:eastAsiaTheme="majorEastAsia"/>
          <w:noProof/>
          <w:color w:val="000000" w:themeColor="text1"/>
        </w:rPr>
        <w:t xml:space="preserve"> </w:t>
      </w:r>
      <w:r w:rsidRPr="01F8982D">
        <w:rPr>
          <w:rStyle w:val="eop"/>
          <w:rFonts w:eastAsiaTheme="majorEastAsia"/>
          <w:noProof/>
          <w:color w:val="000000" w:themeColor="text1"/>
        </w:rPr>
        <w:t xml:space="preserve">to </w:t>
      </w:r>
      <w:r w:rsidRPr="46E26D94">
        <w:rPr>
          <w:rStyle w:val="eop"/>
          <w:rFonts w:eastAsiaTheme="majorEastAsia"/>
          <w:noProof/>
          <w:color w:val="000000" w:themeColor="text1"/>
        </w:rPr>
        <w:t>all programmes that reallocate at least 15% of their resources for the new priorities in the context of the mid-term review process</w:t>
      </w:r>
      <w:r w:rsidRPr="01F8982D">
        <w:rPr>
          <w:rStyle w:val="eop"/>
          <w:rFonts w:eastAsiaTheme="majorEastAsia"/>
          <w:noProof/>
          <w:color w:val="000000" w:themeColor="text1"/>
        </w:rPr>
        <w:t xml:space="preserve">. </w:t>
      </w:r>
      <w:bookmarkStart w:id="7" w:name="_Hlk192757725"/>
      <w:r>
        <w:rPr>
          <w:noProof/>
        </w:rPr>
        <w:t xml:space="preserve">The pre-financing percentage is proposed to be increased to 9.5% </w:t>
      </w:r>
      <w:r w:rsidR="00285350">
        <w:rPr>
          <w:noProof/>
        </w:rPr>
        <w:t xml:space="preserve">in 2026 </w:t>
      </w:r>
      <w:r>
        <w:rPr>
          <w:noProof/>
        </w:rPr>
        <w:t xml:space="preserve">for programmes under the Investment for jobs and </w:t>
      </w:r>
      <w:r w:rsidRPr="00C33947">
        <w:rPr>
          <w:noProof/>
        </w:rPr>
        <w:t xml:space="preserve">growth goal covering one or more NUTS2 regions bordering Russia, Belarus or Ukraine. </w:t>
      </w:r>
      <w:bookmarkEnd w:id="7"/>
      <w:r w:rsidRPr="00C33947">
        <w:rPr>
          <w:rStyle w:val="eop"/>
          <w:rFonts w:eastAsiaTheme="majorEastAsia"/>
          <w:noProof/>
          <w:color w:val="000000" w:themeColor="text1"/>
        </w:rPr>
        <w:t xml:space="preserve">To avoid that the risk of delays and corresponding loss of funds reduces willingness to undertake programme amendments and to ensure the proper implementation of the operations concerned, the Commission proposes to extend the time limit for using the ERDF </w:t>
      </w:r>
      <w:r>
        <w:rPr>
          <w:rStyle w:val="eop"/>
          <w:rFonts w:eastAsiaTheme="majorEastAsia"/>
          <w:noProof/>
          <w:color w:val="000000" w:themeColor="text1"/>
        </w:rPr>
        <w:t xml:space="preserve">and </w:t>
      </w:r>
      <w:r w:rsidRPr="00C33947">
        <w:rPr>
          <w:rStyle w:val="eop"/>
          <w:rFonts w:eastAsiaTheme="majorEastAsia"/>
          <w:noProof/>
          <w:color w:val="000000" w:themeColor="text1"/>
        </w:rPr>
        <w:t>the Cohesion Fund resources and extend the end date for eligibility by an additional year. This flexibility is proposed to be made available only for programmes that proposed amendments resulting in reallocation of at least 15% of the resources for the new priorities set out in the present proposal and in the context of the mid-term review exercise, once approved.</w:t>
      </w:r>
    </w:p>
    <w:p w14:paraId="2D835D52" w14:textId="77777777" w:rsidR="00FC04A3" w:rsidRPr="00C33947" w:rsidRDefault="00FC04A3" w:rsidP="4D8CB314">
      <w:pPr>
        <w:pStyle w:val="Tiret0"/>
        <w:rPr>
          <w:rStyle w:val="eop"/>
          <w:rFonts w:eastAsiaTheme="majorEastAsia"/>
          <w:noProof/>
          <w:color w:val="000000" w:themeColor="text1"/>
        </w:rPr>
      </w:pPr>
      <w:r w:rsidRPr="4D8CB314">
        <w:rPr>
          <w:rStyle w:val="eop"/>
          <w:rFonts w:eastAsiaTheme="majorEastAsia"/>
          <w:noProof/>
          <w:color w:val="000000" w:themeColor="text1"/>
        </w:rPr>
        <w:t>Costs related to preparatory actions for reforms will be eligible including for self-standing reforms (i.e. not accompanied by investments).</w:t>
      </w:r>
    </w:p>
    <w:p w14:paraId="239FCC09" w14:textId="77777777" w:rsidR="00FC04A3" w:rsidRPr="00C33947" w:rsidRDefault="00FC04A3" w:rsidP="08875448">
      <w:pPr>
        <w:pStyle w:val="Tiret0"/>
        <w:rPr>
          <w:rStyle w:val="eop"/>
          <w:rFonts w:eastAsiaTheme="majorEastAsia"/>
          <w:noProof/>
          <w:color w:val="000000" w:themeColor="text1"/>
        </w:rPr>
      </w:pPr>
      <w:r w:rsidRPr="08875448">
        <w:rPr>
          <w:rStyle w:val="eop"/>
          <w:rFonts w:eastAsiaTheme="majorEastAsia"/>
          <w:noProof/>
          <w:color w:val="000000" w:themeColor="text1"/>
        </w:rPr>
        <w:t>To further enhance synergies among EU policies and instruments, it is proposed that the JTF is also covered by the Seal of Excellence</w:t>
      </w:r>
      <w:r w:rsidR="00073DF6" w:rsidRPr="08875448">
        <w:rPr>
          <w:rStyle w:val="eop"/>
          <w:rFonts w:eastAsiaTheme="majorEastAsia"/>
          <w:noProof/>
          <w:color w:val="000000" w:themeColor="text1"/>
        </w:rPr>
        <w:t xml:space="preserve"> (</w:t>
      </w:r>
      <w:r w:rsidR="49BEEC86" w:rsidRPr="08875448">
        <w:rPr>
          <w:rStyle w:val="eop"/>
          <w:rFonts w:eastAsiaTheme="majorEastAsia"/>
          <w:noProof/>
          <w:color w:val="000000" w:themeColor="text1"/>
        </w:rPr>
        <w:t xml:space="preserve">including </w:t>
      </w:r>
      <w:r w:rsidR="00073DF6" w:rsidRPr="08875448">
        <w:rPr>
          <w:rStyle w:val="eop"/>
          <w:rFonts w:eastAsiaTheme="majorEastAsia"/>
          <w:noProof/>
          <w:color w:val="000000" w:themeColor="text1"/>
        </w:rPr>
        <w:t>the Sovereignty Seal)</w:t>
      </w:r>
      <w:r w:rsidRPr="08875448">
        <w:rPr>
          <w:rStyle w:val="eop"/>
          <w:rFonts w:eastAsiaTheme="majorEastAsia"/>
          <w:noProof/>
          <w:color w:val="000000" w:themeColor="text1"/>
        </w:rPr>
        <w:t xml:space="preserve"> mechanism and the possibility for a simplified selection procedure under Regulation (EU) 2021/1060 thus providing support to projects selected under other EU instruments, which do not have sufficient funding. </w:t>
      </w:r>
      <w:r>
        <w:rPr>
          <w:rFonts w:eastAsiaTheme="majorEastAsia"/>
          <w:noProof/>
          <w:color w:val="000000" w:themeColor="text1"/>
        </w:rPr>
        <w:t xml:space="preserve">In light of the high demand for the Innovation Fund and its track record in supporting projects that are sufficiently mature and have a significant potential to reduce greenhouse gas emissions, and that either demonstrate highly innovative technologies, processes or products, or are aimed at scaling up innovative technologies, processes or products to achieve their broad commercial roll-out across the EU, </w:t>
      </w:r>
      <w:r>
        <w:rPr>
          <w:rStyle w:val="eop"/>
          <w:rFonts w:eastAsiaTheme="majorEastAsia"/>
          <w:noProof/>
          <w:color w:val="000000" w:themeColor="text1"/>
        </w:rPr>
        <w:t>t</w:t>
      </w:r>
      <w:r w:rsidRPr="08875448">
        <w:rPr>
          <w:rStyle w:val="eop"/>
          <w:rFonts w:eastAsiaTheme="majorEastAsia"/>
          <w:noProof/>
          <w:color w:val="000000" w:themeColor="text1"/>
        </w:rPr>
        <w:t xml:space="preserve">he Commission also proposes to </w:t>
      </w:r>
      <w:r w:rsidR="3F2C4DE3" w:rsidRPr="08875448">
        <w:rPr>
          <w:rStyle w:val="eop"/>
          <w:rFonts w:eastAsiaTheme="majorEastAsia"/>
          <w:noProof/>
          <w:color w:val="000000" w:themeColor="text1"/>
        </w:rPr>
        <w:t xml:space="preserve">align with the possibilities for </w:t>
      </w:r>
      <w:r w:rsidR="5557551C" w:rsidRPr="08875448">
        <w:rPr>
          <w:rStyle w:val="eop"/>
          <w:rFonts w:eastAsiaTheme="majorEastAsia"/>
          <w:noProof/>
          <w:color w:val="000000" w:themeColor="text1"/>
        </w:rPr>
        <w:t xml:space="preserve">projects </w:t>
      </w:r>
      <w:r w:rsidR="3F2C4DE3" w:rsidRPr="08875448">
        <w:rPr>
          <w:rStyle w:val="eop"/>
          <w:rFonts w:eastAsiaTheme="majorEastAsia"/>
          <w:noProof/>
          <w:color w:val="000000" w:themeColor="text1"/>
        </w:rPr>
        <w:t>support</w:t>
      </w:r>
      <w:r w:rsidR="3354528F" w:rsidRPr="08875448">
        <w:rPr>
          <w:rStyle w:val="eop"/>
          <w:rFonts w:eastAsiaTheme="majorEastAsia"/>
          <w:noProof/>
          <w:color w:val="000000" w:themeColor="text1"/>
        </w:rPr>
        <w:t>ed</w:t>
      </w:r>
      <w:r w:rsidR="3F2C4DE3" w:rsidRPr="08875448">
        <w:rPr>
          <w:rStyle w:val="eop"/>
          <w:rFonts w:eastAsiaTheme="majorEastAsia"/>
          <w:noProof/>
          <w:color w:val="000000" w:themeColor="text1"/>
        </w:rPr>
        <w:t xml:space="preserve"> under the Innovation Fund</w:t>
      </w:r>
      <w:r w:rsidR="77221CF0" w:rsidRPr="08875448">
        <w:rPr>
          <w:rStyle w:val="eop"/>
          <w:rFonts w:eastAsiaTheme="majorEastAsia"/>
          <w:noProof/>
          <w:color w:val="000000" w:themeColor="text1"/>
        </w:rPr>
        <w:t xml:space="preserve"> and include a corresponding </w:t>
      </w:r>
      <w:r>
        <w:rPr>
          <w:rStyle w:val="eop"/>
          <w:rFonts w:eastAsiaTheme="majorEastAsia"/>
          <w:noProof/>
          <w:color w:val="000000" w:themeColor="text1"/>
        </w:rPr>
        <w:t xml:space="preserve">targeted </w:t>
      </w:r>
      <w:r w:rsidR="77221CF0" w:rsidRPr="08875448">
        <w:rPr>
          <w:rStyle w:val="eop"/>
          <w:rFonts w:eastAsiaTheme="majorEastAsia"/>
          <w:noProof/>
          <w:color w:val="000000" w:themeColor="text1"/>
        </w:rPr>
        <w:t>provision</w:t>
      </w:r>
      <w:r w:rsidR="403074D4" w:rsidRPr="08875448">
        <w:rPr>
          <w:rStyle w:val="eop"/>
          <w:rFonts w:eastAsiaTheme="majorEastAsia"/>
          <w:noProof/>
          <w:color w:val="000000" w:themeColor="text1"/>
        </w:rPr>
        <w:t xml:space="preserve"> allowing for </w:t>
      </w:r>
      <w:r w:rsidR="4D8CB314" w:rsidRPr="08875448">
        <w:rPr>
          <w:rStyle w:val="eop"/>
          <w:rFonts w:eastAsiaTheme="majorEastAsia"/>
          <w:noProof/>
          <w:color w:val="000000" w:themeColor="text1"/>
        </w:rPr>
        <w:t xml:space="preserve">the production, processing, transport, distribution, storage or combustion of fossil fuels </w:t>
      </w:r>
      <w:r w:rsidR="09D2F65C" w:rsidRPr="08875448">
        <w:rPr>
          <w:rStyle w:val="eop"/>
          <w:rFonts w:eastAsiaTheme="majorEastAsia"/>
          <w:noProof/>
          <w:color w:val="000000" w:themeColor="text1"/>
        </w:rPr>
        <w:t>provided these</w:t>
      </w:r>
      <w:r w:rsidR="4D8CB314" w:rsidRPr="08875448">
        <w:rPr>
          <w:rStyle w:val="eop"/>
          <w:rFonts w:eastAsiaTheme="majorEastAsia"/>
          <w:noProof/>
          <w:color w:val="000000" w:themeColor="text1"/>
        </w:rPr>
        <w:t xml:space="preserve"> projects were attributed a Sovereignty Seal under the Innovation Fund.</w:t>
      </w:r>
    </w:p>
    <w:p w14:paraId="4463466B" w14:textId="77777777" w:rsidR="00FC04A3" w:rsidRPr="00E97690" w:rsidRDefault="00FC04A3" w:rsidP="08875448">
      <w:pPr>
        <w:pStyle w:val="Tiret0"/>
        <w:rPr>
          <w:rStyle w:val="eop"/>
          <w:rFonts w:eastAsiaTheme="majorEastAsia"/>
          <w:noProof/>
          <w:color w:val="000000" w:themeColor="text1"/>
        </w:rPr>
      </w:pPr>
      <w:r w:rsidRPr="08875448">
        <w:rPr>
          <w:rStyle w:val="eop"/>
          <w:rFonts w:eastAsiaTheme="majorEastAsia"/>
          <w:noProof/>
          <w:color w:val="000000" w:themeColor="text1"/>
        </w:rPr>
        <w:t xml:space="preserve">Recognising the important role of cities in delivering EU objectives, in addressing local challenges and in strengthening the urban-rural links to drive a balanced regional development, the Commission proposes to reinforce the European Urban Initiative (EUI) by introducing the possibility of reallocating resources from the ERDF to the EUI. Such amounts would support actions for the benefit of Member States initiating the reallocation. The Commission also proposes to establish a Seal of Excellence for the EUI, thus enabling support under cohesion policy programmes for EUI projects that have been selected but could not receive funding due to insufficient resources. </w:t>
      </w:r>
      <w:r>
        <w:rPr>
          <w:noProof/>
        </w:rPr>
        <w:t xml:space="preserve">Member States would also have the possibility to reallocate ERDF resources from their programmes under the Investment for </w:t>
      </w:r>
      <w:r w:rsidR="00C51F57">
        <w:rPr>
          <w:noProof/>
        </w:rPr>
        <w:t>j</w:t>
      </w:r>
      <w:r>
        <w:rPr>
          <w:noProof/>
        </w:rPr>
        <w:t xml:space="preserve">obs and </w:t>
      </w:r>
      <w:r w:rsidR="00C51F57">
        <w:rPr>
          <w:noProof/>
        </w:rPr>
        <w:t>g</w:t>
      </w:r>
      <w:r>
        <w:rPr>
          <w:noProof/>
        </w:rPr>
        <w:t xml:space="preserve">rowth goal to the Interregional Innovation Investment Instrument thus having more flexibility in the use of resources. </w:t>
      </w:r>
      <w:r w:rsidRPr="08875448">
        <w:rPr>
          <w:rStyle w:val="eop"/>
          <w:rFonts w:eastAsiaTheme="majorEastAsia"/>
          <w:noProof/>
          <w:color w:val="000000" w:themeColor="text1"/>
        </w:rPr>
        <w:t>These reallocations are taking place within the same fund, the ERDF, and therefore it is proposed not to count them towards the ceilings set out in Article 26 of Regulation (EU) 2021/1060.</w:t>
      </w:r>
    </w:p>
    <w:p w14:paraId="2F9145D9" w14:textId="77777777" w:rsidR="00FC04A3" w:rsidRPr="00044058" w:rsidRDefault="4B743CAF" w:rsidP="08875448">
      <w:pPr>
        <w:pBdr>
          <w:top w:val="nil"/>
          <w:left w:val="nil"/>
          <w:bottom w:val="nil"/>
          <w:right w:val="nil"/>
          <w:between w:val="nil"/>
          <w:bar w:val="nil"/>
        </w:pBdr>
        <w:spacing w:before="0" w:after="240"/>
        <w:rPr>
          <w:rFonts w:eastAsia="Arial Unicode MS"/>
          <w:noProof/>
        </w:rPr>
      </w:pPr>
      <w:r w:rsidRPr="08875448">
        <w:rPr>
          <w:rStyle w:val="eop"/>
          <w:rFonts w:eastAsiaTheme="majorEastAsia"/>
          <w:noProof/>
          <w:color w:val="000000" w:themeColor="text1"/>
        </w:rPr>
        <w:t>With the objective of easing the successful and effective implementation of the JTF, the Commission proposes to remove the current restrictions applicable to the modification of indicator targets in the Just Transition Plans after their amendment following the mid-term review.</w:t>
      </w:r>
      <w:r w:rsidR="2D31A472" w:rsidRPr="08875448">
        <w:rPr>
          <w:rStyle w:val="eop"/>
          <w:rFonts w:eastAsiaTheme="majorEastAsia"/>
          <w:noProof/>
          <w:color w:val="000000" w:themeColor="text1"/>
        </w:rPr>
        <w:t xml:space="preserve"> These restrictions can be removed only if they do</w:t>
      </w:r>
      <w:r w:rsidR="2D00F885" w:rsidRPr="08875448">
        <w:rPr>
          <w:rStyle w:val="eop"/>
          <w:rFonts w:eastAsiaTheme="majorEastAsia"/>
          <w:noProof/>
          <w:color w:val="000000" w:themeColor="text1"/>
        </w:rPr>
        <w:t xml:space="preserve"> not</w:t>
      </w:r>
      <w:r w:rsidR="2D31A472" w:rsidRPr="08875448">
        <w:rPr>
          <w:rStyle w:val="eop"/>
          <w:rFonts w:eastAsiaTheme="majorEastAsia"/>
          <w:noProof/>
          <w:color w:val="000000" w:themeColor="text1"/>
        </w:rPr>
        <w:t xml:space="preserve"> affect the transition to climate neutrality and fossil fuel phase out commitments.</w:t>
      </w:r>
    </w:p>
    <w:p w14:paraId="73315A8A" w14:textId="77777777" w:rsidR="00FC04A3" w:rsidRPr="002D5EE2" w:rsidRDefault="00FC04A3" w:rsidP="00FC04A3">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476B4FA0" w14:textId="77777777" w:rsidR="00FC04A3" w:rsidRPr="002D5EE2" w:rsidRDefault="00FC04A3" w:rsidP="00FC04A3">
      <w:pPr>
        <w:pBdr>
          <w:top w:val="nil"/>
          <w:left w:val="nil"/>
          <w:bottom w:val="nil"/>
          <w:right w:val="nil"/>
          <w:between w:val="nil"/>
          <w:bar w:val="nil"/>
        </w:pBdr>
        <w:spacing w:before="0" w:after="240"/>
        <w:rPr>
          <w:rFonts w:eastAsia="Arial Unicode MS"/>
          <w:noProof/>
        </w:rPr>
      </w:pPr>
      <w:r w:rsidRPr="79FD4AFF">
        <w:rPr>
          <w:rFonts w:eastAsia="Times New Roman"/>
          <w:noProof/>
          <w:szCs w:val="24"/>
        </w:rPr>
        <w:t>The proposal is consistent with the objectives followed by the cohesion policy funds and is limited to a targeted amendment of Regulation (EU) 2021/1058</w:t>
      </w:r>
      <w:r>
        <w:rPr>
          <w:rFonts w:eastAsia="Times New Roman"/>
          <w:noProof/>
          <w:szCs w:val="24"/>
        </w:rPr>
        <w:t xml:space="preserve"> and </w:t>
      </w:r>
      <w:r w:rsidRPr="00444E33">
        <w:rPr>
          <w:rFonts w:eastAsia="Times New Roman"/>
          <w:noProof/>
          <w:szCs w:val="24"/>
        </w:rPr>
        <w:t>Regulation (EU) 2021/1056</w:t>
      </w:r>
      <w:r>
        <w:rPr>
          <w:rFonts w:eastAsia="Times New Roman"/>
          <w:noProof/>
          <w:szCs w:val="24"/>
        </w:rPr>
        <w:t>.</w:t>
      </w:r>
    </w:p>
    <w:p w14:paraId="7ADA91C0" w14:textId="77777777" w:rsidR="00FC04A3" w:rsidRPr="002D5EE2" w:rsidRDefault="00FC04A3" w:rsidP="00FC04A3">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2E1670C8" w14:textId="77777777" w:rsidR="000852D5" w:rsidRPr="002D5EE2" w:rsidRDefault="00FC04A3" w:rsidP="00FC04A3">
      <w:pPr>
        <w:pBdr>
          <w:top w:val="nil"/>
          <w:left w:val="nil"/>
          <w:bottom w:val="nil"/>
          <w:right w:val="nil"/>
          <w:between w:val="nil"/>
          <w:bar w:val="nil"/>
        </w:pBdr>
        <w:spacing w:before="0" w:after="240"/>
        <w:rPr>
          <w:rFonts w:eastAsia="Arial Unicode MS"/>
          <w:noProof/>
        </w:rPr>
      </w:pPr>
      <w:r w:rsidRPr="1D413D18">
        <w:rPr>
          <w:rFonts w:eastAsia="Times New Roman"/>
          <w:noProof/>
          <w:szCs w:val="24"/>
        </w:rPr>
        <w:t>The proposal is limited to a targeted amendment of Regulation (EU) 2021/1058</w:t>
      </w:r>
      <w:r>
        <w:rPr>
          <w:rFonts w:eastAsia="Times New Roman"/>
          <w:noProof/>
          <w:szCs w:val="24"/>
        </w:rPr>
        <w:t xml:space="preserve"> and</w:t>
      </w:r>
      <w:r w:rsidRPr="00444E33">
        <w:rPr>
          <w:noProof/>
        </w:rPr>
        <w:t xml:space="preserve"> </w:t>
      </w:r>
      <w:r w:rsidRPr="00444E33">
        <w:rPr>
          <w:rFonts w:eastAsia="Times New Roman"/>
          <w:noProof/>
          <w:szCs w:val="24"/>
        </w:rPr>
        <w:t>Regulation (EU) 2021/1056</w:t>
      </w:r>
      <w:r w:rsidRPr="1D413D18">
        <w:rPr>
          <w:rFonts w:eastAsia="Times New Roman"/>
          <w:noProof/>
          <w:szCs w:val="24"/>
        </w:rPr>
        <w:t xml:space="preserve"> and maintains consistency with other Union policies</w:t>
      </w:r>
      <w:r w:rsidR="00ED1EDF">
        <w:rPr>
          <w:rFonts w:eastAsia="Times New Roman"/>
          <w:noProof/>
          <w:szCs w:val="24"/>
        </w:rPr>
        <w:t>.</w:t>
      </w:r>
    </w:p>
    <w:p w14:paraId="2DF17037" w14:textId="77777777" w:rsidR="000852D5" w:rsidRPr="002D5EE2" w:rsidRDefault="000852D5">
      <w:pPr>
        <w:pStyle w:val="ManualHeading1"/>
        <w:rPr>
          <w:noProof/>
        </w:rPr>
      </w:pPr>
      <w:r w:rsidRPr="002D5EE2">
        <w:rPr>
          <w:noProof/>
        </w:rPr>
        <w:t>2.</w:t>
      </w:r>
      <w:r w:rsidRPr="002D5EE2">
        <w:rPr>
          <w:noProof/>
        </w:rPr>
        <w:tab/>
        <w:t>LEGAL BASIS, SUBSIDIARITY AND PROPORTIONALITY</w:t>
      </w:r>
    </w:p>
    <w:p w14:paraId="226AB35E" w14:textId="77777777" w:rsidR="000852D5" w:rsidRPr="002D5EE2" w:rsidRDefault="000852D5">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726FD844" w14:textId="77777777" w:rsidR="000852D5" w:rsidRPr="002D5EE2" w:rsidRDefault="00FC04A3" w:rsidP="24923FD7">
      <w:pPr>
        <w:pBdr>
          <w:top w:val="nil"/>
          <w:left w:val="nil"/>
          <w:bottom w:val="nil"/>
          <w:right w:val="nil"/>
          <w:between w:val="nil"/>
          <w:bar w:val="nil"/>
        </w:pBdr>
        <w:spacing w:before="0" w:after="240"/>
        <w:rPr>
          <w:rFonts w:eastAsia="Arial Unicode MS"/>
          <w:noProof/>
        </w:rPr>
      </w:pPr>
      <w:r>
        <w:rPr>
          <w:noProof/>
        </w:rPr>
        <w:t xml:space="preserve">The proposal is based on </w:t>
      </w:r>
      <w:r w:rsidR="00C51F57">
        <w:rPr>
          <w:noProof/>
        </w:rPr>
        <w:t>A</w:t>
      </w:r>
      <w:r w:rsidR="4A08138B">
        <w:rPr>
          <w:noProof/>
        </w:rPr>
        <w:t>rticles</w:t>
      </w:r>
      <w:r>
        <w:rPr>
          <w:noProof/>
        </w:rPr>
        <w:t>, 175, 177</w:t>
      </w:r>
      <w:r w:rsidR="00252EF8">
        <w:rPr>
          <w:noProof/>
        </w:rPr>
        <w:t>,</w:t>
      </w:r>
      <w:r>
        <w:rPr>
          <w:noProof/>
        </w:rPr>
        <w:t xml:space="preserve">178 </w:t>
      </w:r>
      <w:r w:rsidR="00252EF8">
        <w:rPr>
          <w:noProof/>
        </w:rPr>
        <w:t xml:space="preserve">and 322 </w:t>
      </w:r>
      <w:r>
        <w:rPr>
          <w:noProof/>
        </w:rPr>
        <w:t>of the Treaty on the Functioning of the European Union</w:t>
      </w:r>
      <w:r w:rsidR="00ED1EDF">
        <w:rPr>
          <w:noProof/>
        </w:rPr>
        <w:t>.</w:t>
      </w:r>
    </w:p>
    <w:p w14:paraId="47C88E9B" w14:textId="77777777" w:rsidR="000852D5" w:rsidRPr="002D5EE2" w:rsidRDefault="000852D5">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7413AB58" w14:textId="77777777" w:rsidR="000852D5" w:rsidRPr="00044058" w:rsidRDefault="000848A7">
      <w:pPr>
        <w:pBdr>
          <w:top w:val="nil"/>
          <w:left w:val="nil"/>
          <w:bottom w:val="nil"/>
          <w:right w:val="nil"/>
          <w:between w:val="nil"/>
          <w:bar w:val="nil"/>
        </w:pBdr>
        <w:spacing w:before="0" w:after="240"/>
        <w:rPr>
          <w:rFonts w:eastAsia="Arial Unicode MS"/>
          <w:noProof/>
        </w:rPr>
      </w:pPr>
      <w:bookmarkStart w:id="8" w:name="_Hlk194315925"/>
      <w:r w:rsidRPr="1D413D18">
        <w:rPr>
          <w:rFonts w:eastAsia="Times New Roman"/>
          <w:noProof/>
          <w:szCs w:val="24"/>
        </w:rPr>
        <w:t>To encourage Member States to better align their cohesion policy program</w:t>
      </w:r>
      <w:r>
        <w:rPr>
          <w:rFonts w:eastAsia="Times New Roman"/>
          <w:noProof/>
          <w:szCs w:val="24"/>
        </w:rPr>
        <w:t>me</w:t>
      </w:r>
      <w:r w:rsidRPr="1D413D18">
        <w:rPr>
          <w:rFonts w:eastAsia="Times New Roman"/>
          <w:noProof/>
          <w:szCs w:val="24"/>
        </w:rPr>
        <w:t xml:space="preserve">s with emerging EU priorities while ensuring greater flexibility and simplification to accelerate investments, </w:t>
      </w:r>
      <w:r w:rsidRPr="00D96259">
        <w:rPr>
          <w:rFonts w:eastAsia="Times New Roman"/>
          <w:noProof/>
          <w:szCs w:val="24"/>
        </w:rPr>
        <w:t>amendments to Regulation (EU) 2021/1058 and Regulation (EU) 2021/1056</w:t>
      </w:r>
      <w:r>
        <w:rPr>
          <w:rFonts w:eastAsia="Times New Roman"/>
          <w:noProof/>
          <w:szCs w:val="24"/>
        </w:rPr>
        <w:t xml:space="preserve"> are proposed</w:t>
      </w:r>
      <w:r w:rsidRPr="00D96259">
        <w:rPr>
          <w:rFonts w:eastAsia="Times New Roman"/>
          <w:noProof/>
          <w:szCs w:val="24"/>
        </w:rPr>
        <w:t>.</w:t>
      </w:r>
      <w:r w:rsidRPr="1D413D18">
        <w:rPr>
          <w:rFonts w:eastAsia="Times New Roman"/>
          <w:noProof/>
          <w:szCs w:val="24"/>
        </w:rPr>
        <w:t xml:space="preserve"> </w:t>
      </w:r>
      <w:bookmarkEnd w:id="8"/>
      <w:r w:rsidRPr="1D413D18">
        <w:rPr>
          <w:rFonts w:eastAsia="Times New Roman"/>
          <w:noProof/>
          <w:szCs w:val="24"/>
        </w:rPr>
        <w:t>The same result cannot be achieved through actions at national level</w:t>
      </w:r>
      <w:r w:rsidR="00ED1EDF">
        <w:rPr>
          <w:rFonts w:eastAsia="Times New Roman"/>
          <w:noProof/>
          <w:szCs w:val="24"/>
        </w:rPr>
        <w:t>.</w:t>
      </w:r>
    </w:p>
    <w:p w14:paraId="31A14369" w14:textId="77777777" w:rsidR="000852D5"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12A3D11D" w14:textId="77777777" w:rsidR="000852D5" w:rsidRPr="00044058" w:rsidRDefault="00ED1EDF">
      <w:pPr>
        <w:pBdr>
          <w:top w:val="nil"/>
          <w:left w:val="nil"/>
          <w:bottom w:val="nil"/>
          <w:right w:val="nil"/>
          <w:between w:val="nil"/>
          <w:bar w:val="nil"/>
        </w:pBdr>
        <w:spacing w:before="0" w:after="240"/>
        <w:rPr>
          <w:rFonts w:eastAsia="Arial Unicode MS"/>
          <w:noProof/>
        </w:rPr>
      </w:pPr>
      <w:r w:rsidRPr="1D413D18">
        <w:rPr>
          <w:rFonts w:eastAsia="Times New Roman"/>
          <w:noProof/>
          <w:szCs w:val="24"/>
        </w:rPr>
        <w:t>The proposal aims at incentivising Member States to further align their cohesion policy programmes towards the emerging EU priorities and providing greater flexibility and simplification for accelerating investments. The measures do not go beyond what is necessary to achieve these goals</w:t>
      </w:r>
      <w:r>
        <w:rPr>
          <w:rFonts w:eastAsia="Times New Roman"/>
          <w:noProof/>
          <w:szCs w:val="24"/>
        </w:rPr>
        <w:t>.</w:t>
      </w:r>
    </w:p>
    <w:p w14:paraId="319A0154" w14:textId="77777777" w:rsidR="000852D5"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7C31CB67" w14:textId="77777777" w:rsidR="000852D5" w:rsidRPr="00044058" w:rsidRDefault="00ED1EDF">
      <w:pPr>
        <w:pBdr>
          <w:top w:val="nil"/>
          <w:left w:val="nil"/>
          <w:bottom w:val="nil"/>
          <w:right w:val="nil"/>
          <w:between w:val="nil"/>
          <w:bar w:val="nil"/>
        </w:pBdr>
        <w:spacing w:before="0" w:after="240"/>
        <w:rPr>
          <w:rFonts w:eastAsia="Arial Unicode MS"/>
          <w:noProof/>
        </w:rPr>
      </w:pPr>
      <w:r w:rsidRPr="1D413D18">
        <w:rPr>
          <w:rFonts w:eastAsia="Times New Roman"/>
          <w:noProof/>
          <w:szCs w:val="24"/>
        </w:rPr>
        <w:t>A Regulation is the appropriate instrument as it provides directly applicable rules for the support</w:t>
      </w:r>
      <w:r>
        <w:rPr>
          <w:rFonts w:eastAsia="Times New Roman"/>
          <w:noProof/>
          <w:szCs w:val="24"/>
        </w:rPr>
        <w:t>.</w:t>
      </w:r>
    </w:p>
    <w:p w14:paraId="1D553118" w14:textId="77777777" w:rsidR="000852D5" w:rsidRPr="00550536" w:rsidRDefault="000852D5">
      <w:pPr>
        <w:pStyle w:val="ManualHeading1"/>
        <w:rPr>
          <w:noProof/>
        </w:rPr>
      </w:pPr>
      <w:r w:rsidRPr="00550536">
        <w:rPr>
          <w:noProof/>
        </w:rPr>
        <w:t>3.</w:t>
      </w:r>
      <w:r w:rsidRPr="00550536">
        <w:rPr>
          <w:noProof/>
        </w:rPr>
        <w:tab/>
        <w:t>RESULTS OF EX-POST EVALUATIONS, STAKEHOLDER CONSULTATIONS AND IMPACT ASSESSMENTS</w:t>
      </w:r>
    </w:p>
    <w:p w14:paraId="6849372A" w14:textId="77777777" w:rsidR="000852D5"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14:paraId="5BD6311B" w14:textId="77777777" w:rsidR="000852D5" w:rsidRPr="00044058" w:rsidRDefault="00E719C1">
      <w:pPr>
        <w:pBdr>
          <w:top w:val="nil"/>
          <w:left w:val="nil"/>
          <w:bottom w:val="nil"/>
          <w:right w:val="nil"/>
          <w:between w:val="nil"/>
          <w:bar w:val="nil"/>
        </w:pBdr>
        <w:spacing w:before="0" w:after="240"/>
        <w:rPr>
          <w:rFonts w:eastAsia="Arial Unicode MS"/>
          <w:noProof/>
        </w:rPr>
      </w:pPr>
      <w:r w:rsidRPr="00C336A8">
        <w:rPr>
          <w:noProof/>
        </w:rPr>
        <w:t>N/A</w:t>
      </w:r>
    </w:p>
    <w:p w14:paraId="4326B366" w14:textId="77777777" w:rsidR="000852D5"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3EBD1AAF" w14:textId="77777777" w:rsidR="000852D5" w:rsidRPr="00044058" w:rsidRDefault="00E719C1">
      <w:pPr>
        <w:pBdr>
          <w:top w:val="nil"/>
          <w:left w:val="nil"/>
          <w:bottom w:val="nil"/>
          <w:right w:val="nil"/>
          <w:between w:val="nil"/>
          <w:bar w:val="nil"/>
        </w:pBdr>
        <w:spacing w:before="0" w:after="240"/>
        <w:rPr>
          <w:rFonts w:eastAsia="Arial Unicode MS"/>
          <w:noProof/>
        </w:rPr>
      </w:pPr>
      <w:r w:rsidRPr="00C336A8">
        <w:rPr>
          <w:noProof/>
        </w:rPr>
        <w:t>N/A</w:t>
      </w:r>
    </w:p>
    <w:p w14:paraId="77B5821D" w14:textId="77777777" w:rsidR="000852D5"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094D8AE0" w14:textId="77777777" w:rsidR="000852D5" w:rsidRPr="00044058" w:rsidRDefault="00E719C1">
      <w:pPr>
        <w:pBdr>
          <w:top w:val="nil"/>
          <w:left w:val="nil"/>
          <w:bottom w:val="nil"/>
          <w:right w:val="nil"/>
          <w:between w:val="nil"/>
          <w:bar w:val="nil"/>
        </w:pBdr>
        <w:spacing w:before="0" w:after="240"/>
        <w:rPr>
          <w:rFonts w:eastAsia="Arial Unicode MS"/>
          <w:noProof/>
        </w:rPr>
      </w:pPr>
      <w:r w:rsidRPr="00C336A8">
        <w:rPr>
          <w:noProof/>
        </w:rPr>
        <w:t>N/A</w:t>
      </w:r>
    </w:p>
    <w:p w14:paraId="7ED55C0F" w14:textId="77777777" w:rsidR="000852D5"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5A399D7D" w14:textId="77777777" w:rsidR="000852D5" w:rsidRPr="00044058" w:rsidRDefault="00E719C1">
      <w:pPr>
        <w:pBdr>
          <w:top w:val="nil"/>
          <w:left w:val="nil"/>
          <w:bottom w:val="nil"/>
          <w:right w:val="nil"/>
          <w:between w:val="nil"/>
          <w:bar w:val="nil"/>
        </w:pBdr>
        <w:spacing w:before="0" w:after="240"/>
        <w:rPr>
          <w:rFonts w:eastAsia="Arial Unicode MS"/>
          <w:noProof/>
        </w:rPr>
      </w:pPr>
      <w:r w:rsidRPr="79FD4AFF">
        <w:rPr>
          <w:rFonts w:eastAsia="Times New Roman"/>
          <w:noProof/>
          <w:szCs w:val="24"/>
        </w:rPr>
        <w:t xml:space="preserve">An impact assessment has been carried out to prepare the proposal for Regulation (EU) 2021/1058 </w:t>
      </w:r>
      <w:r w:rsidR="000848A7">
        <w:rPr>
          <w:rFonts w:eastAsia="Times New Roman"/>
          <w:noProof/>
          <w:szCs w:val="24"/>
        </w:rPr>
        <w:t>and</w:t>
      </w:r>
      <w:r w:rsidRPr="79FD4AFF">
        <w:rPr>
          <w:rFonts w:eastAsia="Times New Roman"/>
          <w:noProof/>
          <w:szCs w:val="24"/>
        </w:rPr>
        <w:t xml:space="preserve"> Regulation (EU) 2021/10</w:t>
      </w:r>
      <w:r w:rsidR="00751EE0">
        <w:rPr>
          <w:rFonts w:eastAsia="Times New Roman"/>
          <w:noProof/>
          <w:szCs w:val="24"/>
        </w:rPr>
        <w:t>56</w:t>
      </w:r>
      <w:r w:rsidRPr="79FD4AFF">
        <w:rPr>
          <w:rFonts w:eastAsia="Times New Roman"/>
          <w:noProof/>
          <w:szCs w:val="24"/>
        </w:rPr>
        <w:t>. The limited and targeted changes do not require a separate impact assessment</w:t>
      </w:r>
      <w:r>
        <w:rPr>
          <w:rFonts w:eastAsia="Times New Roman"/>
          <w:noProof/>
          <w:szCs w:val="24"/>
        </w:rPr>
        <w:t>.</w:t>
      </w:r>
    </w:p>
    <w:p w14:paraId="6F5BAFEE" w14:textId="77777777" w:rsidR="000852D5"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2B793067" w14:textId="77777777" w:rsidR="000852D5" w:rsidRPr="00044058" w:rsidRDefault="00E719C1">
      <w:pPr>
        <w:pBdr>
          <w:top w:val="nil"/>
          <w:left w:val="nil"/>
          <w:bottom w:val="nil"/>
          <w:right w:val="nil"/>
          <w:between w:val="nil"/>
          <w:bar w:val="nil"/>
        </w:pBdr>
        <w:spacing w:before="0" w:after="240"/>
        <w:rPr>
          <w:rFonts w:eastAsia="Arial Unicode MS"/>
          <w:noProof/>
        </w:rPr>
      </w:pPr>
      <w:r w:rsidRPr="00C336A8">
        <w:rPr>
          <w:noProof/>
        </w:rPr>
        <w:t>N/A</w:t>
      </w:r>
    </w:p>
    <w:p w14:paraId="6342AB78" w14:textId="77777777" w:rsidR="000852D5" w:rsidRPr="00BF4A37" w:rsidRDefault="000852D5">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BF4A37">
        <w:rPr>
          <w:rFonts w:eastAsia="Arial Unicode MS"/>
          <w:noProof/>
          <w:u w:color="000000"/>
          <w:bdr w:val="nil"/>
          <w:lang w:val="en-US" w:eastAsia="en-GB"/>
        </w:rPr>
        <w:t>Fundamental rights</w:t>
      </w:r>
    </w:p>
    <w:p w14:paraId="0FB90273" w14:textId="77777777" w:rsidR="000852D5" w:rsidRPr="00BF4A37" w:rsidRDefault="00E719C1">
      <w:pPr>
        <w:pBdr>
          <w:top w:val="nil"/>
          <w:left w:val="nil"/>
          <w:bottom w:val="nil"/>
          <w:right w:val="nil"/>
          <w:between w:val="nil"/>
          <w:bar w:val="nil"/>
        </w:pBdr>
        <w:spacing w:before="0" w:after="240"/>
        <w:rPr>
          <w:rFonts w:eastAsia="Arial Unicode MS"/>
          <w:noProof/>
        </w:rPr>
      </w:pPr>
      <w:r w:rsidRPr="00BF4A37">
        <w:rPr>
          <w:noProof/>
        </w:rPr>
        <w:t>N/A</w:t>
      </w:r>
    </w:p>
    <w:p w14:paraId="479F9FD0" w14:textId="77777777" w:rsidR="000852D5" w:rsidRPr="00BF4A37" w:rsidRDefault="000852D5">
      <w:pPr>
        <w:pStyle w:val="ManualHeading1"/>
        <w:rPr>
          <w:noProof/>
        </w:rPr>
      </w:pPr>
      <w:r w:rsidRPr="00BF4A37">
        <w:rPr>
          <w:noProof/>
        </w:rPr>
        <w:t>4.</w:t>
      </w:r>
      <w:r w:rsidRPr="00BF4A37">
        <w:rPr>
          <w:noProof/>
        </w:rPr>
        <w:tab/>
        <w:t>BUDGETARY IMPLICATIONS</w:t>
      </w:r>
    </w:p>
    <w:p w14:paraId="51C2C494" w14:textId="77777777" w:rsidR="007178E1" w:rsidRPr="00BF4A37" w:rsidRDefault="5D99C58F" w:rsidP="08875448">
      <w:pPr>
        <w:pBdr>
          <w:top w:val="nil"/>
          <w:left w:val="nil"/>
          <w:bottom w:val="nil"/>
          <w:right w:val="nil"/>
          <w:between w:val="nil"/>
          <w:bar w:val="nil"/>
        </w:pBdr>
        <w:spacing w:before="0" w:after="240"/>
        <w:rPr>
          <w:noProof/>
        </w:rPr>
      </w:pPr>
      <w:r>
        <w:rPr>
          <w:noProof/>
        </w:rPr>
        <w:t xml:space="preserve">The proposal concerns cohesion policy programmes </w:t>
      </w:r>
      <w:r w:rsidR="00C51F57">
        <w:rPr>
          <w:noProof/>
        </w:rPr>
        <w:t>under</w:t>
      </w:r>
      <w:r>
        <w:rPr>
          <w:noProof/>
        </w:rPr>
        <w:t xml:space="preserve"> the 2021-2027 period and will result in additional pre-financing to be paid under the ERDF in 2026</w:t>
      </w:r>
      <w:r w:rsidR="5482F935">
        <w:rPr>
          <w:noProof/>
        </w:rPr>
        <w:t xml:space="preserve">. This additional pre-financing will lead to frontloading of payment appropriations to 2026 </w:t>
      </w:r>
      <w:r w:rsidR="65982035">
        <w:rPr>
          <w:noProof/>
        </w:rPr>
        <w:t xml:space="preserve">compared to a no policy-change scenario </w:t>
      </w:r>
      <w:r w:rsidR="5482F935">
        <w:rPr>
          <w:noProof/>
        </w:rPr>
        <w:t xml:space="preserve">and is budgetary neutral over the 2021-2027 period. </w:t>
      </w:r>
      <w:r w:rsidR="0F6D0F3D">
        <w:rPr>
          <w:noProof/>
        </w:rPr>
        <w:t>Based on the estimated uptake of the proposal, the total additional pre-financing to be paid in 2026 amounts to EUR 1</w:t>
      </w:r>
      <w:r w:rsidR="2C3E883B">
        <w:rPr>
          <w:noProof/>
        </w:rPr>
        <w:t>6.1</w:t>
      </w:r>
      <w:r w:rsidR="0F6D0F3D">
        <w:rPr>
          <w:noProof/>
        </w:rPr>
        <w:t xml:space="preserve"> billion. At the same time, </w:t>
      </w:r>
      <w:r>
        <w:rPr>
          <w:noProof/>
        </w:rPr>
        <w:t>taking into account</w:t>
      </w:r>
      <w:r w:rsidR="0F6D0F3D">
        <w:rPr>
          <w:noProof/>
        </w:rPr>
        <w:t xml:space="preserve"> payment </w:t>
      </w:r>
      <w:r>
        <w:rPr>
          <w:noProof/>
        </w:rPr>
        <w:t xml:space="preserve">forecasts and implementation shifts, the </w:t>
      </w:r>
      <w:r w:rsidR="058A31B9">
        <w:rPr>
          <w:noProof/>
        </w:rPr>
        <w:t xml:space="preserve">net budgetary impact </w:t>
      </w:r>
      <w:r>
        <w:rPr>
          <w:noProof/>
        </w:rPr>
        <w:t xml:space="preserve">is estimated at </w:t>
      </w:r>
      <w:r w:rsidR="15DFF825">
        <w:rPr>
          <w:noProof/>
        </w:rPr>
        <w:t xml:space="preserve">EUR </w:t>
      </w:r>
      <w:r w:rsidR="20A75B45">
        <w:rPr>
          <w:noProof/>
        </w:rPr>
        <w:t>3.6</w:t>
      </w:r>
      <w:r w:rsidR="15DFF825">
        <w:rPr>
          <w:noProof/>
        </w:rPr>
        <w:t xml:space="preserve"> billion</w:t>
      </w:r>
      <w:r>
        <w:rPr>
          <w:noProof/>
        </w:rPr>
        <w:t>, which</w:t>
      </w:r>
      <w:r w:rsidR="15DFF825">
        <w:rPr>
          <w:noProof/>
        </w:rPr>
        <w:t xml:space="preserve"> </w:t>
      </w:r>
      <w:r w:rsidR="058A31B9">
        <w:rPr>
          <w:noProof/>
        </w:rPr>
        <w:t xml:space="preserve">will be included in the draft budget 2026. </w:t>
      </w:r>
      <w:r w:rsidR="000848A7">
        <w:rPr>
          <w:noProof/>
        </w:rPr>
        <w:t>The possibility to apply for an increased Union financing rate for investments in defence, housing, water resilience</w:t>
      </w:r>
      <w:r>
        <w:rPr>
          <w:noProof/>
        </w:rPr>
        <w:t>, certain energy infrastructure</w:t>
      </w:r>
      <w:r w:rsidR="000848A7">
        <w:rPr>
          <w:noProof/>
        </w:rPr>
        <w:t xml:space="preserve"> and for programmes covering </w:t>
      </w:r>
      <w:r w:rsidR="00C51F57">
        <w:rPr>
          <w:noProof/>
        </w:rPr>
        <w:t>e</w:t>
      </w:r>
      <w:r w:rsidR="000848A7">
        <w:rPr>
          <w:noProof/>
        </w:rPr>
        <w:t xml:space="preserve">astern border regions will also lead to a partial front-loading of payments, followed by lower payments at a later stage as the overall envelope is unchanged. </w:t>
      </w:r>
      <w:r w:rsidR="007178E1">
        <w:rPr>
          <w:noProof/>
        </w:rPr>
        <w:t xml:space="preserve">The actual budgetary impact of the increased co-financing rate on an annual basis will depend on the Member States’ uptake and the pace of submission of payment applications. </w:t>
      </w:r>
    </w:p>
    <w:p w14:paraId="37FC4FB0" w14:textId="77777777" w:rsidR="000852D5" w:rsidRPr="00BF4A37" w:rsidRDefault="00E719C1" w:rsidP="00E719C1">
      <w:pPr>
        <w:pBdr>
          <w:top w:val="nil"/>
          <w:left w:val="nil"/>
          <w:bottom w:val="nil"/>
          <w:right w:val="nil"/>
          <w:between w:val="nil"/>
          <w:bar w:val="nil"/>
        </w:pBdr>
        <w:spacing w:before="0" w:after="240"/>
        <w:rPr>
          <w:rFonts w:eastAsia="Arial Unicode MS"/>
          <w:noProof/>
        </w:rPr>
      </w:pPr>
      <w:r w:rsidRPr="00BF4A37">
        <w:rPr>
          <w:noProof/>
        </w:rPr>
        <w:t>The proposed modification does not require changes in the Multiannual Financial Framework annual ceilings for commitments and payments as per Annex I to Council Regulation (EU, Euratom) 2020/2093</w:t>
      </w:r>
      <w:r>
        <w:rPr>
          <w:noProof/>
        </w:rPr>
        <w:t xml:space="preserve">. </w:t>
      </w:r>
    </w:p>
    <w:p w14:paraId="6589D852" w14:textId="77777777" w:rsidR="000852D5" w:rsidRPr="00BF4A37" w:rsidRDefault="000852D5">
      <w:pPr>
        <w:pStyle w:val="ManualHeading1"/>
        <w:rPr>
          <w:noProof/>
        </w:rPr>
      </w:pPr>
      <w:r w:rsidRPr="00BF4A37">
        <w:rPr>
          <w:noProof/>
        </w:rPr>
        <w:t>5.</w:t>
      </w:r>
      <w:r w:rsidRPr="00BF4A37">
        <w:rPr>
          <w:noProof/>
        </w:rPr>
        <w:tab/>
        <w:t>OTHER ELEMENTS</w:t>
      </w:r>
    </w:p>
    <w:p w14:paraId="743CA345" w14:textId="77777777" w:rsidR="000852D5" w:rsidRPr="00BF4A37" w:rsidRDefault="000852D5">
      <w:pPr>
        <w:pStyle w:val="ManualHeading2"/>
        <w:rPr>
          <w:rFonts w:eastAsia="Arial Unicode MS"/>
          <w:noProof/>
          <w:u w:color="000000"/>
          <w:bdr w:val="nil"/>
          <w:lang w:val="en-US" w:eastAsia="en-GB"/>
        </w:rPr>
      </w:pPr>
      <w:r w:rsidRPr="00BF4A37">
        <w:rPr>
          <w:rFonts w:eastAsia="Arial Unicode MS"/>
          <w:noProof/>
          <w:u w:color="000000"/>
          <w:bdr w:val="nil"/>
          <w:lang w:val="en-US" w:eastAsia="en-GB"/>
        </w:rPr>
        <w:t>•</w:t>
      </w:r>
      <w:r w:rsidRPr="00BF4A37">
        <w:rPr>
          <w:rFonts w:eastAsia="Arial Unicode MS"/>
          <w:noProof/>
          <w:u w:color="000000"/>
          <w:bdr w:val="nil"/>
          <w:lang w:val="en-US" w:eastAsia="en-GB"/>
        </w:rPr>
        <w:tab/>
        <w:t>Implementation plans and monitoring, evaluation and reporting arrangements</w:t>
      </w:r>
    </w:p>
    <w:p w14:paraId="555073F8" w14:textId="77777777" w:rsidR="000852D5" w:rsidRPr="00BF4A37" w:rsidRDefault="00E719C1">
      <w:pPr>
        <w:pBdr>
          <w:top w:val="nil"/>
          <w:left w:val="nil"/>
          <w:bottom w:val="nil"/>
          <w:right w:val="nil"/>
          <w:between w:val="nil"/>
          <w:bar w:val="nil"/>
        </w:pBdr>
        <w:spacing w:before="0" w:after="240"/>
        <w:rPr>
          <w:rFonts w:eastAsia="Arial Unicode MS"/>
          <w:noProof/>
        </w:rPr>
      </w:pPr>
      <w:r w:rsidRPr="00BF4A37">
        <w:rPr>
          <w:noProof/>
        </w:rPr>
        <w:t>The implementation of the measure will be monitored and reported upon in the framework of the general reporting mechanisms established in Regulation (EU) 2021/</w:t>
      </w:r>
      <w:r w:rsidR="003D06EF" w:rsidRPr="00BF4A37">
        <w:rPr>
          <w:noProof/>
        </w:rPr>
        <w:t xml:space="preserve">1060.  </w:t>
      </w:r>
    </w:p>
    <w:p w14:paraId="0A7DCC23" w14:textId="77777777" w:rsidR="000852D5" w:rsidRPr="00BF4A37" w:rsidRDefault="000852D5">
      <w:pPr>
        <w:pStyle w:val="ManualHeading2"/>
        <w:rPr>
          <w:rFonts w:eastAsia="Arial Unicode MS"/>
          <w:noProof/>
          <w:u w:color="000000"/>
          <w:bdr w:val="nil"/>
          <w:lang w:val="en-US" w:eastAsia="en-GB"/>
        </w:rPr>
      </w:pPr>
      <w:r w:rsidRPr="00BF4A37">
        <w:rPr>
          <w:rFonts w:eastAsia="Arial Unicode MS"/>
          <w:noProof/>
          <w:u w:color="000000"/>
          <w:bdr w:val="nil"/>
          <w:lang w:val="en-US" w:eastAsia="en-GB"/>
        </w:rPr>
        <w:t>•</w:t>
      </w:r>
      <w:r w:rsidRPr="00BF4A37">
        <w:rPr>
          <w:rFonts w:eastAsia="Arial Unicode MS"/>
          <w:noProof/>
          <w:u w:color="000000"/>
          <w:bdr w:val="nil"/>
          <w:lang w:val="en-US" w:eastAsia="en-GB"/>
        </w:rPr>
        <w:tab/>
        <w:t>Explanatory documents (for directives)</w:t>
      </w:r>
    </w:p>
    <w:p w14:paraId="170D026E" w14:textId="77777777" w:rsidR="000852D5" w:rsidRPr="00BF4A37" w:rsidRDefault="00E719C1">
      <w:pPr>
        <w:pBdr>
          <w:top w:val="nil"/>
          <w:left w:val="nil"/>
          <w:bottom w:val="nil"/>
          <w:right w:val="nil"/>
          <w:between w:val="nil"/>
          <w:bar w:val="nil"/>
        </w:pBdr>
        <w:spacing w:before="0" w:after="240"/>
        <w:rPr>
          <w:rFonts w:eastAsia="Arial Unicode MS"/>
          <w:noProof/>
        </w:rPr>
      </w:pPr>
      <w:r w:rsidRPr="00BF4A37">
        <w:rPr>
          <w:noProof/>
        </w:rPr>
        <w:t>N/A</w:t>
      </w:r>
    </w:p>
    <w:p w14:paraId="6922F3C6" w14:textId="77777777" w:rsidR="000852D5" w:rsidRPr="00BF4A37" w:rsidRDefault="000852D5">
      <w:pPr>
        <w:pStyle w:val="ManualHeading2"/>
        <w:rPr>
          <w:rFonts w:eastAsia="Arial Unicode MS"/>
          <w:noProof/>
          <w:u w:color="000000"/>
          <w:bdr w:val="nil"/>
          <w:lang w:val="en-US" w:eastAsia="en-GB"/>
        </w:rPr>
      </w:pPr>
      <w:r w:rsidRPr="00BF4A37">
        <w:rPr>
          <w:rFonts w:eastAsia="Arial Unicode MS"/>
          <w:noProof/>
          <w:u w:color="000000"/>
          <w:bdr w:val="nil"/>
          <w:lang w:val="en-US" w:eastAsia="en-GB"/>
        </w:rPr>
        <w:t>•</w:t>
      </w:r>
      <w:r w:rsidRPr="00BF4A37">
        <w:rPr>
          <w:rFonts w:eastAsia="Arial Unicode MS"/>
          <w:noProof/>
          <w:u w:color="000000"/>
          <w:bdr w:val="nil"/>
          <w:lang w:val="en-US" w:eastAsia="en-GB"/>
        </w:rPr>
        <w:tab/>
        <w:t>Detailed explanation of the specific provisions of the proposal</w:t>
      </w:r>
    </w:p>
    <w:p w14:paraId="7CEEED82" w14:textId="77777777" w:rsidR="000852D5" w:rsidRPr="00BF4A37" w:rsidRDefault="00E719C1" w:rsidP="54388C04">
      <w:pPr>
        <w:pBdr>
          <w:top w:val="nil"/>
          <w:left w:val="nil"/>
          <w:bottom w:val="nil"/>
          <w:right w:val="nil"/>
          <w:between w:val="nil"/>
          <w:bar w:val="nil"/>
        </w:pBdr>
        <w:spacing w:before="0" w:after="240"/>
        <w:rPr>
          <w:noProof/>
        </w:rPr>
      </w:pPr>
      <w:r w:rsidRPr="00BF4A37">
        <w:rPr>
          <w:noProof/>
        </w:rPr>
        <w:t>The proposal involves the amendment of Regulations (EU) 2021/105</w:t>
      </w:r>
      <w:r w:rsidR="00C51F57">
        <w:rPr>
          <w:noProof/>
        </w:rPr>
        <w:t>8</w:t>
      </w:r>
      <w:r w:rsidRPr="00BF4A37">
        <w:rPr>
          <w:noProof/>
        </w:rPr>
        <w:t xml:space="preserve"> and (EU) 2021/105</w:t>
      </w:r>
      <w:r w:rsidR="00C51F57">
        <w:rPr>
          <w:noProof/>
        </w:rPr>
        <w:t>6</w:t>
      </w:r>
      <w:r w:rsidRPr="00BF4A37">
        <w:rPr>
          <w:noProof/>
        </w:rPr>
        <w:t xml:space="preserve"> as regards the </w:t>
      </w:r>
      <w:r w:rsidR="00CE703E" w:rsidRPr="00BF4A37">
        <w:rPr>
          <w:noProof/>
        </w:rPr>
        <w:t>ERDF</w:t>
      </w:r>
      <w:r w:rsidRPr="00BF4A37">
        <w:rPr>
          <w:noProof/>
        </w:rPr>
        <w:t>, the Cohesion Fund and the JTF:</w:t>
      </w:r>
    </w:p>
    <w:p w14:paraId="751A9AB8" w14:textId="77777777" w:rsidR="00112847" w:rsidRPr="00BF4A37" w:rsidRDefault="00112847" w:rsidP="54388C04">
      <w:pPr>
        <w:pBdr>
          <w:top w:val="nil"/>
          <w:left w:val="nil"/>
          <w:bottom w:val="nil"/>
          <w:right w:val="nil"/>
          <w:between w:val="nil"/>
          <w:bar w:val="nil"/>
        </w:pBdr>
        <w:spacing w:before="0" w:after="240"/>
        <w:rPr>
          <w:rFonts w:eastAsia="Arial Unicode MS"/>
          <w:b/>
          <w:bCs/>
          <w:noProof/>
        </w:rPr>
      </w:pPr>
      <w:r w:rsidRPr="00BF4A37">
        <w:rPr>
          <w:b/>
          <w:bCs/>
          <w:noProof/>
        </w:rPr>
        <w:t xml:space="preserve">Specific </w:t>
      </w:r>
      <w:r w:rsidR="00A103F3" w:rsidRPr="00BF4A37">
        <w:rPr>
          <w:b/>
          <w:bCs/>
          <w:noProof/>
        </w:rPr>
        <w:t>objectives</w:t>
      </w:r>
    </w:p>
    <w:p w14:paraId="18AE86D9" w14:textId="77777777" w:rsidR="00303689" w:rsidRPr="00BF4A37" w:rsidRDefault="003A7E4E" w:rsidP="08875448">
      <w:pPr>
        <w:rPr>
          <w:i/>
          <w:iCs/>
          <w:noProof/>
          <w:lang w:val="en-IE"/>
        </w:rPr>
      </w:pPr>
      <w:r w:rsidRPr="08875448">
        <w:rPr>
          <w:i/>
          <w:iCs/>
          <w:noProof/>
          <w:lang w:val="en-IE"/>
        </w:rPr>
        <w:t>Competitiveness</w:t>
      </w:r>
      <w:r>
        <w:rPr>
          <w:i/>
          <w:iCs/>
          <w:noProof/>
          <w:lang w:val="en-IE"/>
        </w:rPr>
        <w:t xml:space="preserve"> and decarbonisation</w:t>
      </w:r>
    </w:p>
    <w:p w14:paraId="7A77EC00" w14:textId="77777777" w:rsidR="00303689" w:rsidRPr="00BF4A37" w:rsidRDefault="003A7E4E" w:rsidP="54388C04">
      <w:pPr>
        <w:pStyle w:val="ListBullet"/>
        <w:rPr>
          <w:noProof/>
          <w:lang w:val="en-IE"/>
        </w:rPr>
      </w:pPr>
      <w:r w:rsidRPr="4D8CB314">
        <w:rPr>
          <w:noProof/>
          <w:lang w:val="en-IE"/>
        </w:rPr>
        <w:t xml:space="preserve">The 20% limitation set on reprogramming resources to the STEP specific objectives is removed.  </w:t>
      </w:r>
    </w:p>
    <w:p w14:paraId="65A5AC8A" w14:textId="77777777" w:rsidR="00303689" w:rsidRPr="0053110D" w:rsidRDefault="70473D4E" w:rsidP="00C9580B">
      <w:pPr>
        <w:pStyle w:val="ListBullet"/>
        <w:rPr>
          <w:noProof/>
          <w:lang w:val="en-IE"/>
        </w:rPr>
      </w:pPr>
      <w:r w:rsidRPr="08875448">
        <w:rPr>
          <w:noProof/>
          <w:lang w:val="en-IE"/>
        </w:rPr>
        <w:t>Support from the ERDF and the Cohesion Fund to enterprises other than SMEs is made possible,</w:t>
      </w:r>
      <w:r w:rsidR="7BDE07DE" w:rsidRPr="08875448">
        <w:rPr>
          <w:noProof/>
          <w:lang w:val="en-IE"/>
        </w:rPr>
        <w:t xml:space="preserve"> to the extent they comply with State aid rules as set out in Articles 107 and 108 of the Treaty</w:t>
      </w:r>
      <w:r w:rsidRPr="08875448">
        <w:rPr>
          <w:noProof/>
          <w:lang w:val="en-IE"/>
        </w:rPr>
        <w:t>, for investments that participate in an Important Project of Common European Interest approved by the Commission pursuant to Article 107(3), point (b), of the Treaty on the Functioning of the European Union (TFEU), and to Communication C</w:t>
      </w:r>
      <w:r w:rsidR="00C51F57">
        <w:rPr>
          <w:noProof/>
          <w:lang w:val="en-IE"/>
        </w:rPr>
        <w:t>(</w:t>
      </w:r>
      <w:r w:rsidRPr="08875448">
        <w:rPr>
          <w:noProof/>
          <w:lang w:val="en-IE"/>
        </w:rPr>
        <w:t>2021</w:t>
      </w:r>
      <w:r w:rsidR="00C51F57">
        <w:rPr>
          <w:noProof/>
          <w:lang w:val="en-IE"/>
        </w:rPr>
        <w:t>) </w:t>
      </w:r>
      <w:r w:rsidRPr="08875448">
        <w:rPr>
          <w:noProof/>
          <w:lang w:val="en-IE"/>
        </w:rPr>
        <w:t>8481,</w:t>
      </w:r>
      <w:r w:rsidR="003A7E4E" w:rsidRPr="08875448">
        <w:rPr>
          <w:noProof/>
          <w:lang w:val="en-IE"/>
        </w:rPr>
        <w:t xml:space="preserve"> or where the enterprises facilitate industrial adjustment linked to the decarbonisation of production processes and products</w:t>
      </w:r>
      <w:r>
        <w:rPr>
          <w:noProof/>
          <w:lang w:val="en-IE"/>
        </w:rPr>
        <w:t>.</w:t>
      </w:r>
      <w:r w:rsidR="003A7E4E" w:rsidRPr="08875448">
        <w:rPr>
          <w:noProof/>
          <w:lang w:val="en-IE"/>
        </w:rPr>
        <w:t xml:space="preserve"> In addition, the possibility to support large enterprises is extended to all regions in the context of the STEP specific objectives under policy objectives 1 and 2</w:t>
      </w:r>
      <w:r w:rsidR="4CA3C12B" w:rsidRPr="08875448">
        <w:rPr>
          <w:noProof/>
          <w:lang w:val="en-IE"/>
        </w:rPr>
        <w:t xml:space="preserve">, </w:t>
      </w:r>
      <w:r w:rsidR="248773D6" w:rsidRPr="08875448">
        <w:rPr>
          <w:noProof/>
          <w:lang w:val="en-IE"/>
        </w:rPr>
        <w:t>to the extent this is allowed under State aid rules</w:t>
      </w:r>
      <w:r w:rsidR="003A7E4E" w:rsidRPr="08875448">
        <w:rPr>
          <w:noProof/>
          <w:lang w:val="en-IE"/>
        </w:rPr>
        <w:t>;</w:t>
      </w:r>
    </w:p>
    <w:p w14:paraId="1FD923BE" w14:textId="77777777" w:rsidR="00303689" w:rsidRPr="00BF4A37" w:rsidRDefault="003A7E4E" w:rsidP="54388C04">
      <w:pPr>
        <w:pStyle w:val="ListBullet"/>
        <w:rPr>
          <w:noProof/>
          <w:lang w:val="en-IE"/>
        </w:rPr>
      </w:pPr>
      <w:r w:rsidRPr="4D8CB314">
        <w:rPr>
          <w:noProof/>
          <w:lang w:val="en-IE"/>
        </w:rPr>
        <w:t xml:space="preserve">The possibility for Member States to transfer resources from the ERDF or the Cohesion Fund to the Member State compartment of the InvestEU Fund for the deployment in the new </w:t>
      </w:r>
      <w:r w:rsidR="2599236B" w:rsidRPr="4D8CB314">
        <w:rPr>
          <w:noProof/>
          <w:lang w:val="en-IE"/>
        </w:rPr>
        <w:t>Invest</w:t>
      </w:r>
      <w:r w:rsidRPr="4D8CB314">
        <w:rPr>
          <w:noProof/>
          <w:lang w:val="en-IE"/>
        </w:rPr>
        <w:t>EU financial instrument, as included in the proposal for amendment of the InvestEU Regulation (COM(2025) 84);</w:t>
      </w:r>
    </w:p>
    <w:p w14:paraId="683D024B" w14:textId="77777777" w:rsidR="003D4E11" w:rsidRPr="00BF4A37" w:rsidRDefault="51E128E7" w:rsidP="003D4E11">
      <w:pPr>
        <w:pStyle w:val="ListBullet"/>
        <w:rPr>
          <w:noProof/>
          <w:lang w:val="en-IE"/>
        </w:rPr>
      </w:pPr>
      <w:r w:rsidRPr="08875448">
        <w:rPr>
          <w:rStyle w:val="normaltextrun"/>
          <w:noProof/>
          <w:color w:val="000000" w:themeColor="text1"/>
          <w:lang w:val="en-IE"/>
        </w:rPr>
        <w:t>For Important Projects of Common European Interest that have been approved by the Commission</w:t>
      </w:r>
      <w:r w:rsidR="26EC9CFA" w:rsidRPr="08875448">
        <w:rPr>
          <w:rStyle w:val="normaltextrun"/>
          <w:noProof/>
          <w:color w:val="000000" w:themeColor="text1"/>
          <w:lang w:val="en-IE"/>
        </w:rPr>
        <w:t xml:space="preserve"> </w:t>
      </w:r>
      <w:r w:rsidR="26EC9CFA" w:rsidRPr="08875448">
        <w:rPr>
          <w:noProof/>
          <w:lang w:val="en-IE"/>
        </w:rPr>
        <w:t>pursuant to Article 107(3), point (b), of the Treaty of the Functioning of the European Union (TFEU) and to Communication C</w:t>
      </w:r>
      <w:r w:rsidR="00C51F57">
        <w:rPr>
          <w:noProof/>
          <w:lang w:val="en-IE"/>
        </w:rPr>
        <w:t>(</w:t>
      </w:r>
      <w:r w:rsidR="26EC9CFA" w:rsidRPr="08875448">
        <w:rPr>
          <w:noProof/>
          <w:lang w:val="en-IE"/>
        </w:rPr>
        <w:t>2021</w:t>
      </w:r>
      <w:r w:rsidR="00C51F57">
        <w:rPr>
          <w:noProof/>
          <w:lang w:val="en-IE"/>
        </w:rPr>
        <w:t>) </w:t>
      </w:r>
      <w:r w:rsidR="26EC9CFA" w:rsidRPr="08875448">
        <w:rPr>
          <w:noProof/>
          <w:lang w:val="en-IE"/>
        </w:rPr>
        <w:t>8481</w:t>
      </w:r>
      <w:r w:rsidRPr="08875448">
        <w:rPr>
          <w:rStyle w:val="normaltextrun"/>
          <w:noProof/>
          <w:color w:val="000000" w:themeColor="text1"/>
          <w:lang w:val="en-IE"/>
        </w:rPr>
        <w:t xml:space="preserve">, the selection process is simplified as the managing authorities </w:t>
      </w:r>
      <w:r w:rsidR="1D62FA2F" w:rsidRPr="08875448">
        <w:rPr>
          <w:noProof/>
          <w:color w:val="000000" w:themeColor="text1"/>
          <w:lang w:val="en-IE"/>
        </w:rPr>
        <w:t xml:space="preserve">are able, in line with State aid rules, to directly grant support from the ERDF for projects directly participating in </w:t>
      </w:r>
      <w:r>
        <w:rPr>
          <w:noProof/>
          <w:color w:val="000000" w:themeColor="text1"/>
          <w:lang w:val="en-IE"/>
        </w:rPr>
        <w:t xml:space="preserve">such </w:t>
      </w:r>
      <w:r w:rsidR="1D62FA2F" w:rsidRPr="08875448">
        <w:rPr>
          <w:noProof/>
          <w:color w:val="000000" w:themeColor="text1"/>
          <w:lang w:val="en-IE"/>
        </w:rPr>
        <w:t xml:space="preserve">an </w:t>
      </w:r>
      <w:r>
        <w:rPr>
          <w:noProof/>
          <w:color w:val="000000" w:themeColor="text1"/>
          <w:lang w:val="en-IE"/>
        </w:rPr>
        <w:t xml:space="preserve">approved </w:t>
      </w:r>
      <w:r w:rsidR="1D62FA2F" w:rsidRPr="08875448">
        <w:rPr>
          <w:noProof/>
          <w:color w:val="000000" w:themeColor="text1"/>
          <w:lang w:val="en-IE"/>
        </w:rPr>
        <w:t>Important Project of Common European Interest</w:t>
      </w:r>
      <w:r>
        <w:rPr>
          <w:noProof/>
          <w:color w:val="000000" w:themeColor="text1"/>
          <w:lang w:val="en-IE"/>
        </w:rPr>
        <w:t>.</w:t>
      </w:r>
      <w:r w:rsidR="1D62FA2F" w:rsidRPr="08875448">
        <w:rPr>
          <w:noProof/>
          <w:color w:val="000000" w:themeColor="text1"/>
          <w:lang w:val="en-IE"/>
        </w:rPr>
        <w:t xml:space="preserve"> </w:t>
      </w:r>
    </w:p>
    <w:p w14:paraId="078DE206" w14:textId="77777777" w:rsidR="00CD50D3" w:rsidRDefault="4EA95BAE" w:rsidP="00CD50D3">
      <w:pPr>
        <w:pStyle w:val="ListBullet"/>
        <w:rPr>
          <w:noProof/>
          <w:lang w:val="en-IE"/>
        </w:rPr>
      </w:pPr>
      <w:r w:rsidRPr="08875448">
        <w:rPr>
          <w:noProof/>
          <w:lang w:val="en-IE"/>
        </w:rPr>
        <w:t xml:space="preserve">Ensuring </w:t>
      </w:r>
      <w:r w:rsidR="7F485FCD" w:rsidRPr="08875448">
        <w:rPr>
          <w:noProof/>
          <w:lang w:val="en-IE"/>
        </w:rPr>
        <w:t xml:space="preserve">that investments with cohesion funding increase </w:t>
      </w:r>
      <w:r w:rsidRPr="08875448">
        <w:rPr>
          <w:noProof/>
          <w:lang w:val="en-IE"/>
        </w:rPr>
        <w:t>climate resilience</w:t>
      </w:r>
      <w:r w:rsidR="4289D3DA" w:rsidRPr="08875448">
        <w:rPr>
          <w:noProof/>
          <w:lang w:val="en-IE"/>
        </w:rPr>
        <w:t>, as it</w:t>
      </w:r>
      <w:r w:rsidRPr="08875448">
        <w:rPr>
          <w:noProof/>
          <w:lang w:val="en-IE"/>
        </w:rPr>
        <w:t xml:space="preserve"> is </w:t>
      </w:r>
      <w:r w:rsidR="7A273C43" w:rsidRPr="08875448">
        <w:rPr>
          <w:noProof/>
          <w:lang w:val="en-IE"/>
        </w:rPr>
        <w:t xml:space="preserve">also </w:t>
      </w:r>
      <w:r w:rsidRPr="08875448">
        <w:rPr>
          <w:noProof/>
          <w:lang w:val="en-IE"/>
        </w:rPr>
        <w:t>an essential part of ensuring competitiveness.</w:t>
      </w:r>
    </w:p>
    <w:p w14:paraId="6924AD6F" w14:textId="77777777" w:rsidR="00170AF9" w:rsidRPr="00BF4A37" w:rsidRDefault="00170AF9" w:rsidP="08875448">
      <w:pPr>
        <w:rPr>
          <w:rFonts w:eastAsia="Times New Roman"/>
          <w:i/>
          <w:iCs/>
          <w:noProof/>
        </w:rPr>
      </w:pPr>
      <w:r w:rsidRPr="08875448">
        <w:rPr>
          <w:rFonts w:eastAsia="Times New Roman"/>
          <w:i/>
          <w:iCs/>
          <w:noProof/>
        </w:rPr>
        <w:t xml:space="preserve">Defence and </w:t>
      </w:r>
      <w:r w:rsidR="00DC5DD6" w:rsidRPr="08875448">
        <w:rPr>
          <w:rFonts w:eastAsia="Times New Roman"/>
          <w:i/>
          <w:iCs/>
          <w:noProof/>
        </w:rPr>
        <w:t>security</w:t>
      </w:r>
      <w:r w:rsidRPr="08875448">
        <w:rPr>
          <w:rFonts w:eastAsia="Times New Roman"/>
          <w:i/>
          <w:iCs/>
          <w:noProof/>
        </w:rPr>
        <w:t xml:space="preserve"> </w:t>
      </w:r>
    </w:p>
    <w:p w14:paraId="3F1E7070" w14:textId="77777777" w:rsidR="00E366FA" w:rsidRPr="0053110D" w:rsidRDefault="0DE62688" w:rsidP="00C9580B">
      <w:pPr>
        <w:pStyle w:val="ListBullet"/>
        <w:rPr>
          <w:noProof/>
          <w:lang w:val="en-IE"/>
        </w:rPr>
      </w:pPr>
      <w:r w:rsidRPr="08875448">
        <w:rPr>
          <w:noProof/>
          <w:lang w:val="en-IE"/>
        </w:rPr>
        <w:t>A new specific objective is introduced under policy objective 1 for the ERDF and under policy objective 3 for the ERDF and the Cohesion Fund in support of investments in the EU’s defence capability and the scope of support is amended to allow for support to enterprises other than SMEs for these specific objectives</w:t>
      </w:r>
      <w:r w:rsidR="47500765" w:rsidRPr="08875448">
        <w:rPr>
          <w:noProof/>
          <w:lang w:val="en-IE"/>
        </w:rPr>
        <w:t xml:space="preserve">, </w:t>
      </w:r>
      <w:r w:rsidR="3E651502" w:rsidRPr="08875448">
        <w:rPr>
          <w:noProof/>
          <w:lang w:val="en-IE"/>
        </w:rPr>
        <w:t>to the extent allowed under</w:t>
      </w:r>
      <w:r w:rsidR="195346B6" w:rsidRPr="08875448">
        <w:rPr>
          <w:noProof/>
          <w:lang w:val="en-IE"/>
        </w:rPr>
        <w:t xml:space="preserve"> State aid rules</w:t>
      </w:r>
      <w:r w:rsidRPr="08875448">
        <w:rPr>
          <w:noProof/>
          <w:lang w:val="en-IE"/>
        </w:rPr>
        <w:t xml:space="preserve">. </w:t>
      </w:r>
      <w:r w:rsidR="1F41BFBD" w:rsidRPr="08875448">
        <w:rPr>
          <w:noProof/>
          <w:lang w:val="en-IE"/>
        </w:rPr>
        <w:t xml:space="preserve">The specific objective under policy objective 3 will promote </w:t>
      </w:r>
      <w:r w:rsidR="56D4B9DD" w:rsidRPr="08875448">
        <w:rPr>
          <w:noProof/>
          <w:lang w:val="en-IE"/>
        </w:rPr>
        <w:t xml:space="preserve">resilient defence or </w:t>
      </w:r>
      <w:r w:rsidR="1F41BFBD" w:rsidRPr="08875448">
        <w:rPr>
          <w:noProof/>
          <w:lang w:val="en-IE"/>
        </w:rPr>
        <w:t xml:space="preserve">dual use infrastructure to foster military mobility in the Union. </w:t>
      </w:r>
      <w:r w:rsidRPr="08875448">
        <w:rPr>
          <w:noProof/>
          <w:lang w:val="en-IE"/>
        </w:rPr>
        <w:t>Furthermore, the Commission will pay, in addition to the yearly pre-financing for the programmes, 30% exceptional one-off pre-financing based on the resources allocated to these specific objectives in dedicated priorities and the maximum co-financing rate for these priorities is set at 100%.</w:t>
      </w:r>
    </w:p>
    <w:p w14:paraId="0DCC4EDC" w14:textId="77777777" w:rsidR="00FA67E3" w:rsidRPr="00BF4A37" w:rsidRDefault="00FA67E3" w:rsidP="00C974C5">
      <w:pPr>
        <w:keepNext/>
        <w:rPr>
          <w:rFonts w:eastAsia="Times New Roman"/>
          <w:i/>
          <w:iCs/>
          <w:noProof/>
        </w:rPr>
      </w:pPr>
      <w:r w:rsidRPr="08875448">
        <w:rPr>
          <w:rFonts w:eastAsia="Times New Roman"/>
          <w:i/>
          <w:iCs/>
          <w:noProof/>
        </w:rPr>
        <w:t>Affordable housing (including social housing)</w:t>
      </w:r>
    </w:p>
    <w:p w14:paraId="71F9FD0D" w14:textId="77777777" w:rsidR="00FA67E3" w:rsidRPr="00BF4A37" w:rsidRDefault="053703D5" w:rsidP="54388C04">
      <w:pPr>
        <w:pStyle w:val="ListBullet"/>
        <w:rPr>
          <w:noProof/>
          <w:lang w:val="en-IE"/>
        </w:rPr>
      </w:pPr>
      <w:r w:rsidRPr="08875448">
        <w:rPr>
          <w:noProof/>
          <w:lang w:val="en-IE"/>
        </w:rPr>
        <w:t>To promote investments in affordable housing, including social housing</w:t>
      </w:r>
      <w:r w:rsidR="71B3AB3D" w:rsidRPr="08875448">
        <w:rPr>
          <w:noProof/>
          <w:lang w:val="en-IE"/>
        </w:rPr>
        <w:t xml:space="preserve"> </w:t>
      </w:r>
      <w:r w:rsidRPr="08875448">
        <w:rPr>
          <w:noProof/>
          <w:lang w:val="en-IE"/>
        </w:rPr>
        <w:t>and support to related reforms, three new specific objectives are introduced for the ERDF and one for the Cohesion Fund. For these specific objectives, the Commission will pay, in addition to the yearly pre-financing for the programmes, 30% exceptional one-off pre-financing based on the resources allocated to dedicated priorities and the maximum co-financing rate for dedicated priorities supporting these objectives is 100%</w:t>
      </w:r>
      <w:r w:rsidR="3EA82F98" w:rsidRPr="08875448">
        <w:rPr>
          <w:noProof/>
          <w:lang w:val="en-IE"/>
        </w:rPr>
        <w:t xml:space="preserve">. </w:t>
      </w:r>
      <w:r w:rsidR="1A9753E9" w:rsidRPr="08875448">
        <w:rPr>
          <w:noProof/>
          <w:lang w:val="en-IE"/>
        </w:rPr>
        <w:t>At the same time, it must be ensured that housing is climate resilient.</w:t>
      </w:r>
    </w:p>
    <w:p w14:paraId="1E6DBF3B" w14:textId="77777777" w:rsidR="00FA67E3" w:rsidRPr="00BF4A37" w:rsidRDefault="3EA82F98" w:rsidP="54388C04">
      <w:pPr>
        <w:pStyle w:val="ListBullet"/>
        <w:rPr>
          <w:noProof/>
          <w:lang w:val="en-IE"/>
        </w:rPr>
      </w:pPr>
      <w:r w:rsidRPr="4D8CB314">
        <w:rPr>
          <w:noProof/>
          <w:lang w:val="en-IE"/>
        </w:rPr>
        <w:t>Furthermore, the scope of the Just Transition Fund is amended to allow for investments in affordable housing and support for relevant reforms also to take place in support of the implementation of the territorial just transition plans.</w:t>
      </w:r>
    </w:p>
    <w:p w14:paraId="734DF64C" w14:textId="77777777" w:rsidR="00170AF9" w:rsidRPr="00BF4A37" w:rsidRDefault="6DF629FC" w:rsidP="001301D4">
      <w:pPr>
        <w:keepNext/>
        <w:rPr>
          <w:rFonts w:eastAsia="Times New Roman"/>
          <w:i/>
          <w:iCs/>
          <w:noProof/>
        </w:rPr>
      </w:pPr>
      <w:r w:rsidRPr="08875448">
        <w:rPr>
          <w:rFonts w:eastAsia="Times New Roman"/>
          <w:i/>
          <w:iCs/>
          <w:noProof/>
        </w:rPr>
        <w:t xml:space="preserve">Secure </w:t>
      </w:r>
      <w:r w:rsidR="1C919C9B" w:rsidRPr="08875448">
        <w:rPr>
          <w:rFonts w:eastAsia="Times New Roman"/>
          <w:i/>
          <w:iCs/>
          <w:noProof/>
        </w:rPr>
        <w:t>a</w:t>
      </w:r>
      <w:r w:rsidR="43FB8B1A" w:rsidRPr="08875448">
        <w:rPr>
          <w:rFonts w:eastAsia="Times New Roman"/>
          <w:i/>
          <w:iCs/>
          <w:noProof/>
        </w:rPr>
        <w:t>ccess to water</w:t>
      </w:r>
      <w:r w:rsidR="1B964F9D" w:rsidRPr="08875448">
        <w:rPr>
          <w:rFonts w:eastAsia="Times New Roman"/>
          <w:i/>
          <w:iCs/>
          <w:noProof/>
        </w:rPr>
        <w:t>,</w:t>
      </w:r>
      <w:r w:rsidR="43FB8B1A" w:rsidRPr="08875448">
        <w:rPr>
          <w:rFonts w:eastAsia="Times New Roman"/>
          <w:i/>
          <w:iCs/>
          <w:noProof/>
        </w:rPr>
        <w:t xml:space="preserve"> sustainable</w:t>
      </w:r>
      <w:r>
        <w:rPr>
          <w:rFonts w:eastAsia="Times New Roman"/>
          <w:i/>
          <w:iCs/>
          <w:noProof/>
        </w:rPr>
        <w:t xml:space="preserve"> </w:t>
      </w:r>
      <w:r w:rsidR="43FB8B1A" w:rsidRPr="08875448">
        <w:rPr>
          <w:rFonts w:eastAsia="Times New Roman"/>
          <w:i/>
          <w:iCs/>
          <w:noProof/>
        </w:rPr>
        <w:t>water management</w:t>
      </w:r>
      <w:r w:rsidR="7C394CFE" w:rsidRPr="08875448">
        <w:rPr>
          <w:rFonts w:eastAsia="Times New Roman"/>
          <w:i/>
          <w:iCs/>
          <w:noProof/>
        </w:rPr>
        <w:t xml:space="preserve"> and water resilience</w:t>
      </w:r>
    </w:p>
    <w:p w14:paraId="10EEC6D6" w14:textId="77777777" w:rsidR="000848A7" w:rsidRPr="00BF4A37" w:rsidRDefault="4BE724A8" w:rsidP="00E475A3">
      <w:pPr>
        <w:pStyle w:val="ListBullet"/>
        <w:rPr>
          <w:noProof/>
          <w:lang w:val="en-IE"/>
        </w:rPr>
      </w:pPr>
      <w:r w:rsidRPr="08875448">
        <w:rPr>
          <w:noProof/>
          <w:lang w:val="en-IE"/>
        </w:rPr>
        <w:t xml:space="preserve">The </w:t>
      </w:r>
      <w:r w:rsidR="657DAB8F" w:rsidRPr="08875448">
        <w:rPr>
          <w:noProof/>
          <w:lang w:val="en-IE"/>
        </w:rPr>
        <w:t xml:space="preserve">amendment of the </w:t>
      </w:r>
      <w:r w:rsidRPr="08875448">
        <w:rPr>
          <w:noProof/>
          <w:lang w:val="en-IE"/>
        </w:rPr>
        <w:t xml:space="preserve">specific objective </w:t>
      </w:r>
      <w:r w:rsidR="4827AEDB" w:rsidRPr="08875448">
        <w:rPr>
          <w:noProof/>
          <w:lang w:val="en-IE"/>
        </w:rPr>
        <w:t xml:space="preserve">into </w:t>
      </w:r>
      <w:r w:rsidRPr="08875448">
        <w:rPr>
          <w:noProof/>
          <w:lang w:val="en-IE"/>
        </w:rPr>
        <w:t xml:space="preserve">‘promoting </w:t>
      </w:r>
      <w:r w:rsidR="63F896CC" w:rsidRPr="00DA5FFF">
        <w:rPr>
          <w:noProof/>
          <w:lang w:val="en-IE"/>
        </w:rPr>
        <w:t xml:space="preserve">secure </w:t>
      </w:r>
      <w:r w:rsidR="63F896CC" w:rsidRPr="001301D4">
        <w:rPr>
          <w:rFonts w:eastAsiaTheme="minorHAnsi"/>
          <w:noProof/>
          <w:lang w:val="en-GB" w:eastAsia="en-US"/>
        </w:rPr>
        <w:t>access to water</w:t>
      </w:r>
      <w:r w:rsidR="63F896CC" w:rsidRPr="00DA5FFF">
        <w:rPr>
          <w:noProof/>
          <w:lang w:val="en-IE"/>
        </w:rPr>
        <w:t>,</w:t>
      </w:r>
      <w:r w:rsidR="63F896CC" w:rsidRPr="001301D4">
        <w:rPr>
          <w:rFonts w:eastAsiaTheme="minorHAnsi"/>
          <w:noProof/>
          <w:lang w:val="en-GB" w:eastAsia="en-US"/>
        </w:rPr>
        <w:t xml:space="preserve"> sustainable water </w:t>
      </w:r>
      <w:r w:rsidR="63F896CC" w:rsidRPr="00DA5FFF">
        <w:rPr>
          <w:noProof/>
          <w:lang w:val="en-IE"/>
        </w:rPr>
        <w:t>management and water resilience</w:t>
      </w:r>
      <w:r w:rsidRPr="08875448">
        <w:rPr>
          <w:noProof/>
          <w:lang w:val="en-IE"/>
        </w:rPr>
        <w:t>’ reflect</w:t>
      </w:r>
      <w:r w:rsidR="100739D8" w:rsidRPr="08875448">
        <w:rPr>
          <w:noProof/>
          <w:lang w:val="en-IE"/>
        </w:rPr>
        <w:t>s</w:t>
      </w:r>
      <w:r w:rsidRPr="08875448">
        <w:rPr>
          <w:noProof/>
          <w:lang w:val="en-IE"/>
        </w:rPr>
        <w:t xml:space="preserve"> the strategic importance for the EU of resilient water management. To help accelerate investments in this area, the Commission will pay, in addition to the yearly pre-financing for the programmes, 30% exceptional one-off pre-financing based on the resources allocated to dedicated priorities supporting the specific objective</w:t>
      </w:r>
      <w:r w:rsidR="4044A217" w:rsidRPr="08875448">
        <w:rPr>
          <w:noProof/>
          <w:lang w:val="en-IE"/>
        </w:rPr>
        <w:t xml:space="preserve"> and the maximum co-financing rate for dedicated priorities supporting these objectives is 100%</w:t>
      </w:r>
      <w:r w:rsidRPr="08875448">
        <w:rPr>
          <w:noProof/>
          <w:lang w:val="en-IE"/>
        </w:rPr>
        <w:t>.</w:t>
      </w:r>
    </w:p>
    <w:p w14:paraId="334EB1B8" w14:textId="77777777" w:rsidR="005636A3" w:rsidRPr="00BF4A37" w:rsidRDefault="00854387" w:rsidP="00DA5FFF">
      <w:pPr>
        <w:rPr>
          <w:rStyle w:val="eop"/>
          <w:rFonts w:eastAsiaTheme="minorEastAsia"/>
          <w:i/>
          <w:iCs/>
          <w:noProof/>
          <w:lang w:val="en-IE"/>
        </w:rPr>
      </w:pPr>
      <w:r w:rsidRPr="08875448">
        <w:rPr>
          <w:rStyle w:val="eop"/>
          <w:rFonts w:eastAsiaTheme="majorEastAsia"/>
          <w:i/>
          <w:iCs/>
          <w:noProof/>
          <w:color w:val="000000" w:themeColor="text1"/>
          <w:lang w:val="en-IE"/>
        </w:rPr>
        <w:t>E</w:t>
      </w:r>
      <w:r w:rsidR="005636A3" w:rsidRPr="08875448">
        <w:rPr>
          <w:rStyle w:val="eop"/>
          <w:rFonts w:eastAsiaTheme="majorEastAsia"/>
          <w:i/>
          <w:iCs/>
          <w:noProof/>
          <w:color w:val="000000" w:themeColor="text1"/>
          <w:lang w:val="en-IE"/>
        </w:rPr>
        <w:t xml:space="preserve">nergy transition </w:t>
      </w:r>
    </w:p>
    <w:p w14:paraId="6D04BF9A" w14:textId="77777777" w:rsidR="005636A3" w:rsidRPr="005636A3" w:rsidRDefault="005636A3" w:rsidP="005636A3">
      <w:pPr>
        <w:pStyle w:val="ListBullet"/>
        <w:rPr>
          <w:noProof/>
          <w:lang w:val="en-IE"/>
        </w:rPr>
      </w:pPr>
      <w:r w:rsidRPr="08875448">
        <w:rPr>
          <w:noProof/>
          <w:lang w:val="en-IE"/>
        </w:rPr>
        <w:t xml:space="preserve">In order to enhance energy security and accelerate the transition across the Union and also to promote clean mobility, a new specific objective should be created to promote energy interconnectors and </w:t>
      </w:r>
      <w:r>
        <w:rPr>
          <w:noProof/>
          <w:lang w:val="en-IE"/>
        </w:rPr>
        <w:t xml:space="preserve">related transmission infrastructure, and </w:t>
      </w:r>
      <w:r w:rsidRPr="08875448">
        <w:rPr>
          <w:noProof/>
          <w:lang w:val="en-IE"/>
        </w:rPr>
        <w:t xml:space="preserve">the deployment of recharging infrastructure from ERDF and Cohesion Fund resources. </w:t>
      </w:r>
    </w:p>
    <w:p w14:paraId="6A375607" w14:textId="77777777" w:rsidR="000848A7" w:rsidRPr="00BF4A37" w:rsidRDefault="000848A7" w:rsidP="000848A7">
      <w:pPr>
        <w:rPr>
          <w:rStyle w:val="eop"/>
          <w:rFonts w:eastAsiaTheme="minorEastAsia"/>
          <w:i/>
          <w:noProof/>
          <w:lang w:val="en-IE"/>
        </w:rPr>
      </w:pPr>
      <w:r w:rsidRPr="00BF4A37">
        <w:rPr>
          <w:rStyle w:val="eop"/>
          <w:rFonts w:eastAsiaTheme="majorEastAsia"/>
          <w:i/>
          <w:iCs/>
          <w:noProof/>
          <w:color w:val="000000" w:themeColor="text1"/>
          <w:lang w:val="en-IE"/>
        </w:rPr>
        <w:t>Eastern border regions</w:t>
      </w:r>
    </w:p>
    <w:p w14:paraId="67EC37B6" w14:textId="77777777" w:rsidR="000848A7" w:rsidRPr="00BF4A37" w:rsidRDefault="053703D5" w:rsidP="4D8CB314">
      <w:pPr>
        <w:pStyle w:val="ListBullet"/>
        <w:rPr>
          <w:rFonts w:eastAsiaTheme="minorEastAsia"/>
          <w:i/>
          <w:iCs/>
          <w:noProof/>
          <w:lang w:val="en-IE" w:eastAsia="en-US"/>
        </w:rPr>
      </w:pPr>
      <w:r w:rsidRPr="4D8CB314">
        <w:rPr>
          <w:rStyle w:val="eop"/>
          <w:rFonts w:eastAsiaTheme="majorEastAsia"/>
          <w:noProof/>
          <w:color w:val="000000" w:themeColor="text1"/>
          <w:lang w:val="en-IE"/>
        </w:rPr>
        <w:t xml:space="preserve">Given the challenges of the </w:t>
      </w:r>
      <w:r w:rsidR="0063664F">
        <w:rPr>
          <w:rStyle w:val="eop"/>
          <w:rFonts w:eastAsiaTheme="majorEastAsia"/>
          <w:noProof/>
          <w:color w:val="000000" w:themeColor="text1"/>
          <w:lang w:val="en-IE"/>
        </w:rPr>
        <w:t>e</w:t>
      </w:r>
      <w:r w:rsidRPr="4D8CB314">
        <w:rPr>
          <w:rStyle w:val="eop"/>
          <w:rFonts w:eastAsiaTheme="majorEastAsia"/>
          <w:noProof/>
          <w:color w:val="000000" w:themeColor="text1"/>
          <w:lang w:val="en-IE"/>
        </w:rPr>
        <w:t>astern border regions since Russia</w:t>
      </w:r>
      <w:r w:rsidR="22BF695B" w:rsidRPr="4D8CB314">
        <w:rPr>
          <w:rStyle w:val="eop"/>
          <w:rFonts w:eastAsiaTheme="majorEastAsia"/>
          <w:noProof/>
          <w:color w:val="000000" w:themeColor="text1"/>
          <w:lang w:val="en-IE"/>
        </w:rPr>
        <w:t>’s</w:t>
      </w:r>
      <w:r w:rsidRPr="4D8CB314">
        <w:rPr>
          <w:rStyle w:val="eop"/>
          <w:rFonts w:eastAsiaTheme="majorEastAsia"/>
          <w:noProof/>
          <w:color w:val="000000" w:themeColor="text1"/>
          <w:lang w:val="en-IE"/>
        </w:rPr>
        <w:t xml:space="preserve"> </w:t>
      </w:r>
      <w:r w:rsidR="507565D1" w:rsidRPr="4D8CB314">
        <w:rPr>
          <w:rStyle w:val="eop"/>
          <w:rFonts w:eastAsiaTheme="majorEastAsia"/>
          <w:noProof/>
          <w:color w:val="000000" w:themeColor="text1"/>
          <w:lang w:val="en-IE"/>
        </w:rPr>
        <w:t xml:space="preserve">war of </w:t>
      </w:r>
      <w:r w:rsidRPr="4D8CB314">
        <w:rPr>
          <w:rStyle w:val="eop"/>
          <w:rFonts w:eastAsiaTheme="majorEastAsia"/>
          <w:noProof/>
          <w:color w:val="000000" w:themeColor="text1"/>
          <w:lang w:val="en-IE"/>
        </w:rPr>
        <w:t>aggression against Ukraine, programmes under the Investment for jobs and growth goal - financed by the ERDF or the Cohesion Fund with NUTS 2 regions that have borders with Russia, Belarus or Ukraine</w:t>
      </w:r>
      <w:r w:rsidR="0063664F">
        <w:rPr>
          <w:rStyle w:val="eop"/>
          <w:rFonts w:eastAsiaTheme="majorEastAsia"/>
          <w:noProof/>
          <w:color w:val="000000" w:themeColor="text1"/>
          <w:lang w:val="en-IE"/>
        </w:rPr>
        <w:t xml:space="preserve"> -</w:t>
      </w:r>
      <w:r w:rsidRPr="4D8CB314">
        <w:rPr>
          <w:rStyle w:val="eop"/>
          <w:rFonts w:eastAsiaTheme="majorEastAsia"/>
          <w:noProof/>
          <w:color w:val="000000" w:themeColor="text1"/>
          <w:lang w:val="en-IE"/>
        </w:rPr>
        <w:t xml:space="preserve"> should benefit from the possibility of a one-off 9.5% pre-financing and a 100% Union financing</w:t>
      </w:r>
      <w:r w:rsidR="5BE17AC7" w:rsidRPr="4D8CB314">
        <w:rPr>
          <w:rStyle w:val="eop"/>
          <w:rFonts w:eastAsiaTheme="majorEastAsia"/>
          <w:noProof/>
          <w:color w:val="000000" w:themeColor="text1"/>
          <w:lang w:val="en-IE"/>
        </w:rPr>
        <w:t xml:space="preserve">, if </w:t>
      </w:r>
      <w:r w:rsidR="5BE17AC7" w:rsidRPr="4D8CB314">
        <w:rPr>
          <w:noProof/>
          <w:lang w:val="en-IE"/>
        </w:rPr>
        <w:t>programmes reallocate at least 15% of their resources for the newly introduced specific objectives and STEP</w:t>
      </w:r>
      <w:r w:rsidRPr="4D8CB314">
        <w:rPr>
          <w:rStyle w:val="eop"/>
          <w:rFonts w:eastAsiaTheme="majorEastAsia"/>
          <w:noProof/>
          <w:color w:val="000000" w:themeColor="text1"/>
          <w:lang w:val="en-IE"/>
        </w:rPr>
        <w:t>. Where the corresponding programme covers the entire territory of the Member State, these financial flexibilities should only apply if the programme covering the entire territory of the Member State is the only programme in the Member State that includes the concerned NUTS 2 regions.</w:t>
      </w:r>
    </w:p>
    <w:p w14:paraId="6C2233E8" w14:textId="77777777" w:rsidR="000848A7" w:rsidRPr="00BF4A37" w:rsidRDefault="000848A7" w:rsidP="001818DA">
      <w:pPr>
        <w:rPr>
          <w:rStyle w:val="eop"/>
          <w:rFonts w:eastAsiaTheme="majorEastAsia"/>
          <w:noProof/>
          <w:color w:val="000000" w:themeColor="text1"/>
          <w:lang w:val="en-IE"/>
        </w:rPr>
      </w:pPr>
      <w:r w:rsidRPr="00BF4A37">
        <w:rPr>
          <w:i/>
          <w:iCs/>
          <w:noProof/>
          <w:lang w:val="en-IE"/>
        </w:rPr>
        <w:t xml:space="preserve">Cities </w:t>
      </w:r>
    </w:p>
    <w:p w14:paraId="772E2F9B" w14:textId="77777777" w:rsidR="000848A7" w:rsidRPr="00BF4A37" w:rsidRDefault="053703D5" w:rsidP="4D8CB314">
      <w:pPr>
        <w:pStyle w:val="ListBullet"/>
        <w:rPr>
          <w:rFonts w:eastAsiaTheme="majorEastAsia"/>
          <w:noProof/>
          <w:color w:val="000000" w:themeColor="text1"/>
          <w:lang w:val="en-IE"/>
        </w:rPr>
      </w:pPr>
      <w:r w:rsidRPr="4D8CB314">
        <w:rPr>
          <w:rStyle w:val="eop"/>
          <w:rFonts w:eastAsiaTheme="majorEastAsia"/>
          <w:noProof/>
          <w:color w:val="000000" w:themeColor="text1"/>
          <w:lang w:val="en-IE"/>
        </w:rPr>
        <w:t xml:space="preserve">The European Urban Initiative is strengthened by allowing the attribution of a Seal of Excellence for innovative actions that were assessed and comply with the minimum quality requirements but could not be financed due to budgetary constraints and by allowing Member States to allocate part of their initial national allocation of the ERDF to the European Urban Initiative. This reallocation would not count towards the ceilings set out in Article 26 of Regulation (EU) </w:t>
      </w:r>
      <w:r w:rsidR="0063664F" w:rsidRPr="4D8CB314">
        <w:rPr>
          <w:rStyle w:val="eop"/>
          <w:rFonts w:eastAsiaTheme="majorEastAsia"/>
          <w:noProof/>
          <w:color w:val="000000" w:themeColor="text1"/>
          <w:lang w:val="en-IE"/>
        </w:rPr>
        <w:t>2021</w:t>
      </w:r>
      <w:r w:rsidR="0063664F">
        <w:rPr>
          <w:rStyle w:val="eop"/>
          <w:rFonts w:eastAsiaTheme="majorEastAsia"/>
          <w:noProof/>
          <w:color w:val="000000" w:themeColor="text1"/>
          <w:lang w:val="en-IE"/>
        </w:rPr>
        <w:t>/</w:t>
      </w:r>
      <w:r w:rsidRPr="4D8CB314">
        <w:rPr>
          <w:rStyle w:val="eop"/>
          <w:rFonts w:eastAsiaTheme="majorEastAsia"/>
          <w:noProof/>
          <w:color w:val="000000" w:themeColor="text1"/>
          <w:lang w:val="en-IE"/>
        </w:rPr>
        <w:t>1060.</w:t>
      </w:r>
    </w:p>
    <w:p w14:paraId="41E555E7" w14:textId="77777777" w:rsidR="000848A7" w:rsidRPr="00BF4A37" w:rsidRDefault="000848A7" w:rsidP="000848A7">
      <w:pPr>
        <w:rPr>
          <w:b/>
          <w:bCs/>
          <w:noProof/>
          <w:lang w:val="en-IE"/>
        </w:rPr>
      </w:pPr>
      <w:r w:rsidRPr="00BF4A37">
        <w:rPr>
          <w:b/>
          <w:bCs/>
          <w:noProof/>
          <w:lang w:val="en-IE"/>
        </w:rPr>
        <w:t>Further flexibilities on implementation</w:t>
      </w:r>
    </w:p>
    <w:p w14:paraId="161D5DDB" w14:textId="77777777" w:rsidR="000848A7" w:rsidRPr="00BF4A37" w:rsidRDefault="000848A7" w:rsidP="000848A7">
      <w:pPr>
        <w:rPr>
          <w:i/>
          <w:iCs/>
          <w:noProof/>
          <w:lang w:val="en-IE"/>
        </w:rPr>
      </w:pPr>
      <w:r w:rsidRPr="00BF4A37">
        <w:rPr>
          <w:i/>
          <w:iCs/>
          <w:noProof/>
          <w:lang w:val="en-IE"/>
        </w:rPr>
        <w:t>Thematic concentration</w:t>
      </w:r>
    </w:p>
    <w:p w14:paraId="7FA6535A" w14:textId="77777777" w:rsidR="000848A7" w:rsidRPr="0063664F" w:rsidRDefault="053703D5" w:rsidP="0063664F">
      <w:pPr>
        <w:pStyle w:val="ListBullet"/>
        <w:rPr>
          <w:noProof/>
          <w:lang w:val="en-IE"/>
        </w:rPr>
      </w:pPr>
      <w:r w:rsidRPr="08875448">
        <w:rPr>
          <w:noProof/>
          <w:lang w:val="en-IE"/>
        </w:rPr>
        <w:t>The ERDF thematic concentration requirements are revised to accommodate the introduction of the new and amended specific objectives and the specific objectives that were introduced as part of the STEP Regulation.</w:t>
      </w:r>
      <w:r w:rsidR="2A38BB6A" w:rsidRPr="08875448">
        <w:rPr>
          <w:noProof/>
          <w:lang w:val="en-IE"/>
        </w:rPr>
        <w:t xml:space="preserve"> However, the </w:t>
      </w:r>
      <w:r w:rsidR="2C12FC07" w:rsidRPr="08875448">
        <w:rPr>
          <w:noProof/>
          <w:lang w:val="en-IE"/>
        </w:rPr>
        <w:t xml:space="preserve">requirements set out in Article 6 of Regulation (EU) 2021/1060 </w:t>
      </w:r>
      <w:r w:rsidR="776DD348" w:rsidRPr="08875448">
        <w:rPr>
          <w:noProof/>
          <w:lang w:val="en-IE"/>
        </w:rPr>
        <w:t xml:space="preserve">in relation to climate-related investments </w:t>
      </w:r>
      <w:r w:rsidR="2C12FC07" w:rsidRPr="08875448">
        <w:rPr>
          <w:noProof/>
          <w:lang w:val="en-IE"/>
        </w:rPr>
        <w:t>will continue to apply.</w:t>
      </w:r>
      <w:r w:rsidR="6976E53C" w:rsidRPr="08875448">
        <w:rPr>
          <w:noProof/>
          <w:lang w:val="en-IE"/>
        </w:rPr>
        <w:t xml:space="preserve"> </w:t>
      </w:r>
    </w:p>
    <w:p w14:paraId="2AD897C3" w14:textId="77777777" w:rsidR="000848A7" w:rsidRPr="00BF4A37" w:rsidRDefault="000848A7" w:rsidP="000848A7">
      <w:pPr>
        <w:rPr>
          <w:i/>
          <w:iCs/>
          <w:noProof/>
          <w:lang w:val="en-IE"/>
        </w:rPr>
      </w:pPr>
      <w:r w:rsidRPr="00BF4A37">
        <w:rPr>
          <w:i/>
          <w:iCs/>
          <w:noProof/>
          <w:lang w:val="en-IE"/>
        </w:rPr>
        <w:t>Mid-term review</w:t>
      </w:r>
    </w:p>
    <w:p w14:paraId="5242D540" w14:textId="77777777" w:rsidR="000848A7" w:rsidRPr="00BF4A37" w:rsidRDefault="053703D5" w:rsidP="4D8CB314">
      <w:pPr>
        <w:pStyle w:val="ListBullet"/>
        <w:ind w:left="720" w:hanging="360"/>
        <w:rPr>
          <w:i/>
          <w:iCs/>
          <w:noProof/>
          <w:lang w:val="en-IE"/>
        </w:rPr>
      </w:pPr>
      <w:r w:rsidRPr="4D8CB314">
        <w:rPr>
          <w:noProof/>
          <w:lang w:val="en-IE"/>
        </w:rPr>
        <w:t>In order that Member State</w:t>
      </w:r>
      <w:r>
        <w:rPr>
          <w:noProof/>
          <w:lang w:val="en-IE"/>
        </w:rPr>
        <w:t>s</w:t>
      </w:r>
      <w:r w:rsidRPr="4D8CB314">
        <w:rPr>
          <w:noProof/>
          <w:lang w:val="en-IE"/>
        </w:rPr>
        <w:t xml:space="preserve"> could effectively make use of the new priorities and flexibilities, it is proposed </w:t>
      </w:r>
      <w:r>
        <w:rPr>
          <w:noProof/>
          <w:lang w:val="en-IE"/>
        </w:rPr>
        <w:t>they be allowed to re-submit their</w:t>
      </w:r>
      <w:r w:rsidRPr="4D8CB314">
        <w:rPr>
          <w:noProof/>
          <w:lang w:val="en-IE"/>
        </w:rPr>
        <w:t xml:space="preserve"> mid-term review </w:t>
      </w:r>
      <w:r>
        <w:rPr>
          <w:noProof/>
          <w:lang w:val="en-IE"/>
        </w:rPr>
        <w:t>proposal by</w:t>
      </w:r>
      <w:r w:rsidRPr="4D8CB314">
        <w:rPr>
          <w:noProof/>
          <w:lang w:val="en-IE"/>
        </w:rPr>
        <w:t xml:space="preserve"> 2 months after the entry into force of these regulatory amendments</w:t>
      </w:r>
      <w:r w:rsidRPr="4D8CB314">
        <w:rPr>
          <w:i/>
          <w:iCs/>
          <w:noProof/>
          <w:lang w:val="en-IE"/>
        </w:rPr>
        <w:t xml:space="preserve">. </w:t>
      </w:r>
    </w:p>
    <w:p w14:paraId="68FBE80A" w14:textId="77777777" w:rsidR="000848A7" w:rsidRPr="00BF4A37" w:rsidRDefault="053703D5" w:rsidP="000848A7">
      <w:pPr>
        <w:pStyle w:val="ListBullet"/>
        <w:ind w:left="720" w:hanging="360"/>
        <w:rPr>
          <w:noProof/>
          <w:lang w:val="en-IE"/>
        </w:rPr>
      </w:pPr>
      <w:r w:rsidRPr="4D8CB314">
        <w:rPr>
          <w:noProof/>
          <w:lang w:val="en-IE"/>
        </w:rPr>
        <w:t>To help accelerate the implementation of the ERDF and the Cohesion Fund, all programmes that reallocate at least 15% of their resources for the newly introduced specific objectives and STEP would receive a one-off pre-financing of 4.5% on the basis of their amended programme budget</w:t>
      </w:r>
      <w:r w:rsidR="73180CCA" w:rsidRPr="4D8CB314">
        <w:rPr>
          <w:noProof/>
          <w:lang w:val="en-IE"/>
        </w:rPr>
        <w:t xml:space="preserve"> (with the exception of </w:t>
      </w:r>
      <w:r w:rsidR="73180CCA" w:rsidRPr="4D8CB314">
        <w:rPr>
          <w:rStyle w:val="eop"/>
          <w:rFonts w:eastAsiaTheme="majorEastAsia"/>
          <w:noProof/>
          <w:color w:val="000000" w:themeColor="text1"/>
          <w:lang w:val="en-IE"/>
        </w:rPr>
        <w:t>NUTS 2 regions that have borders with Russia, Belarus or Ukraine</w:t>
      </w:r>
      <w:r w:rsidR="778AD192" w:rsidRPr="4D8CB314">
        <w:rPr>
          <w:rStyle w:val="eop"/>
          <w:rFonts w:eastAsiaTheme="majorEastAsia"/>
          <w:noProof/>
          <w:color w:val="000000" w:themeColor="text1"/>
          <w:lang w:val="en-IE"/>
        </w:rPr>
        <w:t>, that benefit of the higher one-off prefinancing of 9.5%</w:t>
      </w:r>
      <w:r w:rsidR="73180CCA" w:rsidRPr="4D8CB314">
        <w:rPr>
          <w:rStyle w:val="eop"/>
          <w:rFonts w:eastAsiaTheme="majorEastAsia"/>
          <w:noProof/>
          <w:color w:val="000000" w:themeColor="text1"/>
          <w:lang w:val="en-IE"/>
        </w:rPr>
        <w:t>)</w:t>
      </w:r>
      <w:r w:rsidRPr="4D8CB314">
        <w:rPr>
          <w:noProof/>
          <w:lang w:val="en-IE"/>
        </w:rPr>
        <w:t>. The additional pre-financing related to the above set new priority areas would come in addition.</w:t>
      </w:r>
    </w:p>
    <w:p w14:paraId="2301C823" w14:textId="77777777" w:rsidR="003C6A77" w:rsidRDefault="053703D5" w:rsidP="000848A7">
      <w:pPr>
        <w:pStyle w:val="ListBullet"/>
        <w:ind w:left="720" w:hanging="360"/>
        <w:rPr>
          <w:noProof/>
          <w:lang w:val="en-IE"/>
        </w:rPr>
      </w:pPr>
      <w:r w:rsidRPr="4D8CB314">
        <w:rPr>
          <w:noProof/>
          <w:lang w:val="en-IE"/>
        </w:rPr>
        <w:t xml:space="preserve">In addition, the end-date for eligibility of expenditure is extended by one additional year for </w:t>
      </w:r>
      <w:r w:rsidR="0BFB4ECB" w:rsidRPr="4D8CB314">
        <w:rPr>
          <w:noProof/>
          <w:lang w:val="en-IE"/>
        </w:rPr>
        <w:t>ERDF</w:t>
      </w:r>
      <w:r w:rsidR="10AF32C6" w:rsidRPr="4D8CB314">
        <w:rPr>
          <w:noProof/>
          <w:lang w:val="en-IE"/>
        </w:rPr>
        <w:t xml:space="preserve"> and Cohesion Fund</w:t>
      </w:r>
      <w:r w:rsidRPr="4D8CB314">
        <w:rPr>
          <w:noProof/>
          <w:lang w:val="en-IE"/>
        </w:rPr>
        <w:t xml:space="preserve"> programmes</w:t>
      </w:r>
      <w:r w:rsidR="3C1E4690" w:rsidRPr="4D8CB314">
        <w:rPr>
          <w:noProof/>
          <w:lang w:val="en-IE"/>
        </w:rPr>
        <w:t xml:space="preserve"> </w:t>
      </w:r>
      <w:r w:rsidR="6EBFA4C3" w:rsidRPr="4D8CB314">
        <w:rPr>
          <w:noProof/>
          <w:lang w:val="en-IE"/>
        </w:rPr>
        <w:t>for</w:t>
      </w:r>
      <w:r w:rsidR="3C1E4690" w:rsidRPr="4D8CB314">
        <w:rPr>
          <w:noProof/>
          <w:lang w:val="en-IE"/>
        </w:rPr>
        <w:t xml:space="preserve"> which at least 15% of the envelope is refocused towards the new priority areas</w:t>
      </w:r>
      <w:r w:rsidRPr="4D8CB314">
        <w:rPr>
          <w:noProof/>
          <w:lang w:val="en-IE"/>
        </w:rPr>
        <w:t>.</w:t>
      </w:r>
    </w:p>
    <w:p w14:paraId="1667ADE6" w14:textId="30231E3B" w:rsidR="000848A7" w:rsidRPr="00BF4A37" w:rsidRDefault="003C6A77" w:rsidP="000848A7">
      <w:pPr>
        <w:pStyle w:val="ListBullet"/>
        <w:ind w:left="720" w:hanging="360"/>
        <w:rPr>
          <w:noProof/>
          <w:lang w:val="en-IE"/>
        </w:rPr>
      </w:pPr>
      <w:r>
        <w:rPr>
          <w:noProof/>
          <w:lang w:val="en-GB"/>
        </w:rPr>
        <w:t>In order to provide flexibility regarding the calculation of climate contribution, where the climate contribution as referred to in Article 6(1)  of Regulation (EU) 2021/1060 is exceeded for either the Cohesion Fund or the ERDF, the amount exceeding the target could be taken into account when calculating the climate contribution for the other fund.</w:t>
      </w:r>
      <w:r w:rsidR="053703D5" w:rsidRPr="4D8CB314">
        <w:rPr>
          <w:noProof/>
          <w:lang w:val="en-IE"/>
        </w:rPr>
        <w:t xml:space="preserve"> </w:t>
      </w:r>
    </w:p>
    <w:p w14:paraId="22871976" w14:textId="77777777" w:rsidR="000848A7" w:rsidRPr="00BF4A37" w:rsidRDefault="000848A7" w:rsidP="000848A7">
      <w:pPr>
        <w:rPr>
          <w:i/>
          <w:iCs/>
          <w:noProof/>
          <w:lang w:val="en-IE"/>
        </w:rPr>
      </w:pPr>
      <w:r w:rsidRPr="00BF4A37">
        <w:rPr>
          <w:i/>
          <w:iCs/>
          <w:noProof/>
          <w:lang w:val="en-IE"/>
        </w:rPr>
        <w:t>Further amendments aimed at streamlining the implementation include:</w:t>
      </w:r>
    </w:p>
    <w:p w14:paraId="33E89398" w14:textId="77777777" w:rsidR="000848A7" w:rsidRPr="00BF4A37" w:rsidRDefault="000848A7" w:rsidP="00C9580B">
      <w:pPr>
        <w:pStyle w:val="ListBullet"/>
        <w:ind w:left="720" w:hanging="360"/>
        <w:rPr>
          <w:noProof/>
          <w:lang w:val="en-IE"/>
        </w:rPr>
      </w:pPr>
      <w:r w:rsidRPr="4D8CB314">
        <w:rPr>
          <w:noProof/>
          <w:lang w:val="en-IE"/>
        </w:rPr>
        <w:t>The possibility for Member States to reallocate resources from the ERDF to the Interregional Innovation Investments Instrument;</w:t>
      </w:r>
    </w:p>
    <w:p w14:paraId="7C72EBE2" w14:textId="77777777" w:rsidR="000848A7" w:rsidRPr="00BF4A37" w:rsidRDefault="053703D5" w:rsidP="00C9580B">
      <w:pPr>
        <w:pStyle w:val="ListBullet"/>
        <w:ind w:left="720" w:hanging="360"/>
        <w:rPr>
          <w:noProof/>
          <w:lang w:val="en-IE"/>
        </w:rPr>
      </w:pPr>
      <w:r w:rsidRPr="4D8CB314">
        <w:rPr>
          <w:noProof/>
          <w:lang w:val="en-IE"/>
        </w:rPr>
        <w:t>The possibility to support activities that contribute to the implementation of reforms;</w:t>
      </w:r>
    </w:p>
    <w:p w14:paraId="5FD029BF" w14:textId="77777777" w:rsidR="00390C6B" w:rsidRDefault="000848A7" w:rsidP="00C9580B">
      <w:pPr>
        <w:pStyle w:val="ListBullet"/>
        <w:ind w:left="720" w:hanging="360"/>
        <w:rPr>
          <w:noProof/>
          <w:lang w:val="en-IE"/>
        </w:rPr>
      </w:pPr>
      <w:r w:rsidRPr="08875448">
        <w:rPr>
          <w:noProof/>
          <w:lang w:val="en-IE"/>
        </w:rPr>
        <w:t>The duly justified revision of output indicator targets as part of a JTF programme amendment</w:t>
      </w:r>
      <w:r w:rsidR="148E9CF9" w:rsidRPr="08875448">
        <w:rPr>
          <w:noProof/>
          <w:lang w:val="en-IE"/>
        </w:rPr>
        <w:t xml:space="preserve"> </w:t>
      </w:r>
      <w:r w:rsidR="03517370" w:rsidRPr="08875448">
        <w:rPr>
          <w:noProof/>
          <w:lang w:val="en-IE"/>
        </w:rPr>
        <w:t xml:space="preserve">while ensuring </w:t>
      </w:r>
      <w:r w:rsidR="4D89AD37" w:rsidRPr="08875448">
        <w:rPr>
          <w:noProof/>
          <w:lang w:val="en-IE"/>
        </w:rPr>
        <w:t xml:space="preserve">that </w:t>
      </w:r>
      <w:r w:rsidR="03517370" w:rsidRPr="08875448">
        <w:rPr>
          <w:noProof/>
          <w:lang w:val="en-IE"/>
        </w:rPr>
        <w:t>such revisions do not affect the transition to climate neutrality and fossil fuel phase out commitments</w:t>
      </w:r>
      <w:r w:rsidR="2B08C70D" w:rsidRPr="08875448">
        <w:rPr>
          <w:noProof/>
          <w:lang w:val="en-IE"/>
        </w:rPr>
        <w:t>.</w:t>
      </w:r>
    </w:p>
    <w:p w14:paraId="4FDE6CE9" w14:textId="77777777" w:rsidR="0063664F" w:rsidRPr="00BF4A37" w:rsidRDefault="0063664F" w:rsidP="00877B3D">
      <w:pPr>
        <w:rPr>
          <w:noProof/>
          <w:lang w:val="en-IE"/>
        </w:rPr>
        <w:sectPr w:rsidR="0063664F" w:rsidRPr="00BF4A37" w:rsidSect="00A1240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pPr>
    </w:p>
    <w:p w14:paraId="23050F65" w14:textId="77777777" w:rsidR="00002605" w:rsidRPr="00BF4A37" w:rsidRDefault="00481C26" w:rsidP="00481C26">
      <w:pPr>
        <w:pStyle w:val="Rfrenceinterinstitutionnelle"/>
        <w:rPr>
          <w:noProof/>
        </w:rPr>
      </w:pPr>
      <w:r>
        <w:rPr>
          <w:noProof/>
        </w:rPr>
        <w:t>2025/0084 (COD)</w:t>
      </w:r>
    </w:p>
    <w:p w14:paraId="142C6CFC" w14:textId="77777777" w:rsidR="000852D5" w:rsidRPr="00BF4A37" w:rsidRDefault="00481C26" w:rsidP="00481C26">
      <w:pPr>
        <w:pStyle w:val="Statut"/>
        <w:rPr>
          <w:noProof/>
        </w:rPr>
      </w:pPr>
      <w:r w:rsidRPr="00481C26">
        <w:rPr>
          <w:noProof/>
        </w:rPr>
        <w:t>Proposal for a</w:t>
      </w:r>
    </w:p>
    <w:p w14:paraId="075DCA7B" w14:textId="77777777" w:rsidR="000852D5" w:rsidRPr="00BF4A37" w:rsidRDefault="00481C26" w:rsidP="00481C26">
      <w:pPr>
        <w:pStyle w:val="Typedudocument"/>
        <w:rPr>
          <w:noProof/>
        </w:rPr>
      </w:pPr>
      <w:r w:rsidRPr="00481C26">
        <w:rPr>
          <w:noProof/>
        </w:rPr>
        <w:t>REGULATION OF THE EUROPEAN PARLIAMENT AND OF THE COUNCIL</w:t>
      </w:r>
    </w:p>
    <w:p w14:paraId="342D7660" w14:textId="77777777" w:rsidR="000852D5" w:rsidRPr="00BF4A37" w:rsidRDefault="00481C26" w:rsidP="00481C26">
      <w:pPr>
        <w:pStyle w:val="Titreobjet"/>
        <w:rPr>
          <w:noProof/>
        </w:rPr>
      </w:pPr>
      <w:r w:rsidRPr="00481C26">
        <w:rPr>
          <w:noProof/>
        </w:rPr>
        <w:t>amending Regulations (EU) 2021/1058 and (EU) 2021/1056 as regards specific measures to address strategic challenges in the context of the mid-term review</w:t>
      </w:r>
    </w:p>
    <w:p w14:paraId="4F23025D" w14:textId="77777777" w:rsidR="000852D5" w:rsidRPr="00BF4A37" w:rsidRDefault="000852D5">
      <w:pPr>
        <w:pStyle w:val="Institutionquiagit"/>
        <w:rPr>
          <w:noProof/>
        </w:rPr>
      </w:pPr>
      <w:r w:rsidRPr="00BF4A37">
        <w:rPr>
          <w:noProof/>
        </w:rPr>
        <w:t xml:space="preserve">THE EUROPEAN PARLIAMENT AND THE COUNCIL OF THE EUROPEAN </w:t>
      </w:r>
      <w:smartTag w:uri="urn:schemas-microsoft-com:office:smarttags" w:element="place">
        <w:r w:rsidRPr="00BF4A37">
          <w:rPr>
            <w:noProof/>
          </w:rPr>
          <w:t>UNION</w:t>
        </w:r>
      </w:smartTag>
      <w:r w:rsidRPr="00BF4A37">
        <w:rPr>
          <w:noProof/>
        </w:rPr>
        <w:t>,</w:t>
      </w:r>
    </w:p>
    <w:p w14:paraId="0D1E7A30" w14:textId="77777777" w:rsidR="000852D5" w:rsidRPr="00BF4A37" w:rsidRDefault="000852D5">
      <w:pPr>
        <w:rPr>
          <w:noProof/>
        </w:rPr>
      </w:pPr>
      <w:r w:rsidRPr="00BF4A37">
        <w:rPr>
          <w:noProof/>
        </w:rPr>
        <w:t>Having regard to the Treaty on the Functioning of the European Union, and in particular Article</w:t>
      </w:r>
      <w:r w:rsidR="00167EFF" w:rsidRPr="00BF4A37">
        <w:rPr>
          <w:noProof/>
        </w:rPr>
        <w:t>s</w:t>
      </w:r>
      <w:r w:rsidR="001E6740" w:rsidRPr="00BF4A37">
        <w:rPr>
          <w:noProof/>
        </w:rPr>
        <w:t xml:space="preserve"> </w:t>
      </w:r>
      <w:r w:rsidR="00167EFF" w:rsidRPr="00BF4A37">
        <w:rPr>
          <w:noProof/>
        </w:rPr>
        <w:t>175</w:t>
      </w:r>
      <w:r w:rsidR="00674DEC" w:rsidRPr="00BF4A37">
        <w:rPr>
          <w:noProof/>
        </w:rPr>
        <w:t xml:space="preserve">, </w:t>
      </w:r>
      <w:r w:rsidR="00167EFF" w:rsidRPr="00BF4A37">
        <w:rPr>
          <w:noProof/>
        </w:rPr>
        <w:t>177</w:t>
      </w:r>
      <w:r w:rsidR="4C75B8ED" w:rsidRPr="00BF4A37">
        <w:rPr>
          <w:noProof/>
        </w:rPr>
        <w:t xml:space="preserve">, </w:t>
      </w:r>
      <w:r w:rsidR="009E0335" w:rsidRPr="00BF4A37">
        <w:rPr>
          <w:noProof/>
        </w:rPr>
        <w:t>178</w:t>
      </w:r>
      <w:r w:rsidR="295F44A8" w:rsidRPr="00BF4A37">
        <w:rPr>
          <w:noProof/>
        </w:rPr>
        <w:t xml:space="preserve"> and 322</w:t>
      </w:r>
      <w:r w:rsidRPr="00BF4A37">
        <w:rPr>
          <w:noProof/>
        </w:rPr>
        <w:t xml:space="preserve"> thereof,</w:t>
      </w:r>
    </w:p>
    <w:p w14:paraId="65423317" w14:textId="77777777" w:rsidR="000852D5" w:rsidRPr="00BF4A37" w:rsidRDefault="000852D5">
      <w:pPr>
        <w:rPr>
          <w:noProof/>
        </w:rPr>
      </w:pPr>
      <w:r w:rsidRPr="00BF4A37">
        <w:rPr>
          <w:noProof/>
        </w:rPr>
        <w:t>Having regard to the proposal from the European Commission,</w:t>
      </w:r>
    </w:p>
    <w:p w14:paraId="37AEE747" w14:textId="77777777" w:rsidR="000852D5" w:rsidRPr="00BF4A37" w:rsidRDefault="000852D5">
      <w:pPr>
        <w:rPr>
          <w:noProof/>
        </w:rPr>
      </w:pPr>
      <w:r w:rsidRPr="00BF4A37">
        <w:rPr>
          <w:noProof/>
        </w:rPr>
        <w:t>After transmission of the draft legislative act to the national parliaments,</w:t>
      </w:r>
    </w:p>
    <w:p w14:paraId="4BEB542D" w14:textId="77777777" w:rsidR="000852D5" w:rsidRPr="00BF4A37" w:rsidRDefault="000852D5">
      <w:pPr>
        <w:rPr>
          <w:noProof/>
        </w:rPr>
      </w:pPr>
      <w:r w:rsidRPr="00BF4A37">
        <w:rPr>
          <w:noProof/>
        </w:rPr>
        <w:t>Having regard to the opinion of the European Economic and Social Committee</w:t>
      </w:r>
      <w:r w:rsidRPr="00BF4A37">
        <w:rPr>
          <w:rStyle w:val="FootnoteReference"/>
          <w:noProof/>
        </w:rPr>
        <w:footnoteReference w:id="3"/>
      </w:r>
      <w:r w:rsidRPr="00BF4A37">
        <w:rPr>
          <w:noProof/>
        </w:rPr>
        <w:t xml:space="preserve">, </w:t>
      </w:r>
    </w:p>
    <w:p w14:paraId="1E0923D5" w14:textId="77777777" w:rsidR="000852D5" w:rsidRPr="00BC0CD0" w:rsidRDefault="000852D5" w:rsidP="5EA49681">
      <w:pPr>
        <w:rPr>
          <w:rFonts w:eastAsia="Times New Roman"/>
          <w:noProof/>
        </w:rPr>
      </w:pPr>
      <w:r w:rsidRPr="00BF4A37">
        <w:rPr>
          <w:noProof/>
        </w:rPr>
        <w:t>Having regard to t</w:t>
      </w:r>
      <w:r w:rsidRPr="00BC0CD0">
        <w:rPr>
          <w:rFonts w:eastAsia="Times New Roman"/>
          <w:noProof/>
        </w:rPr>
        <w:t>he opinion of the Committee of the Regions</w:t>
      </w:r>
      <w:r w:rsidRPr="5EA49681">
        <w:rPr>
          <w:rStyle w:val="FootnoteReference"/>
          <w:rFonts w:eastAsia="Times New Roman"/>
          <w:noProof/>
        </w:rPr>
        <w:footnoteReference w:id="4"/>
      </w:r>
      <w:r w:rsidRPr="00BC0CD0">
        <w:rPr>
          <w:rFonts w:eastAsia="Times New Roman"/>
          <w:noProof/>
        </w:rPr>
        <w:t>,</w:t>
      </w:r>
    </w:p>
    <w:p w14:paraId="5FB061EB" w14:textId="77777777" w:rsidR="000852D5" w:rsidRPr="00BC0CD0" w:rsidRDefault="000852D5" w:rsidP="5EA49681">
      <w:pPr>
        <w:rPr>
          <w:rFonts w:eastAsia="Times New Roman"/>
          <w:noProof/>
        </w:rPr>
      </w:pPr>
      <w:r w:rsidRPr="00BC0CD0">
        <w:rPr>
          <w:rFonts w:eastAsia="Times New Roman"/>
          <w:noProof/>
        </w:rPr>
        <w:t>Acting in accordance with the ordinary legislative procedure,</w:t>
      </w:r>
    </w:p>
    <w:p w14:paraId="0CA94F6A" w14:textId="77777777" w:rsidR="000852D5" w:rsidRPr="00BC0CD0" w:rsidRDefault="000852D5" w:rsidP="5EA49681">
      <w:pPr>
        <w:rPr>
          <w:rFonts w:eastAsia="Times New Roman"/>
          <w:noProof/>
        </w:rPr>
      </w:pPr>
      <w:r w:rsidRPr="00BC0CD0">
        <w:rPr>
          <w:rFonts w:eastAsia="Times New Roman"/>
          <w:noProof/>
        </w:rPr>
        <w:t>Whereas:</w:t>
      </w:r>
    </w:p>
    <w:p w14:paraId="56583D38" w14:textId="77777777" w:rsidR="000852D5" w:rsidRPr="00FC1B6A" w:rsidRDefault="00C45D17" w:rsidP="00C45D17">
      <w:pPr>
        <w:pStyle w:val="ManualConsidrant"/>
        <w:rPr>
          <w:noProof/>
          <w:lang w:val="en-IE"/>
        </w:rPr>
      </w:pPr>
      <w:r w:rsidRPr="00C45D17">
        <w:rPr>
          <w:noProof/>
        </w:rPr>
        <w:t>(1)</w:t>
      </w:r>
      <w:r w:rsidRPr="00C45D17">
        <w:rPr>
          <w:noProof/>
        </w:rPr>
        <w:tab/>
      </w:r>
      <w:r w:rsidR="2D4FCB8C" w:rsidRPr="00BC0CD0">
        <w:rPr>
          <w:noProof/>
        </w:rPr>
        <w:t xml:space="preserve">In recent years, geopolitical dynamics have been marked by profound uncertainty, necessitating a fundamental re-evaluation of the </w:t>
      </w:r>
      <w:r w:rsidR="234713C0" w:rsidRPr="00BC0CD0">
        <w:rPr>
          <w:noProof/>
        </w:rPr>
        <w:t>Union</w:t>
      </w:r>
      <w:r w:rsidR="2D4FCB8C" w:rsidRPr="00BC0CD0">
        <w:rPr>
          <w:noProof/>
        </w:rPr>
        <w:t>’s strategic autonomy</w:t>
      </w:r>
      <w:r w:rsidR="47AD1F41" w:rsidRPr="00BC0CD0">
        <w:rPr>
          <w:noProof/>
        </w:rPr>
        <w:t xml:space="preserve">, resilience </w:t>
      </w:r>
      <w:r w:rsidR="7E73C5C8" w:rsidRPr="00BC0CD0">
        <w:rPr>
          <w:noProof/>
        </w:rPr>
        <w:t xml:space="preserve">and security </w:t>
      </w:r>
      <w:r w:rsidR="2D4FCB8C" w:rsidRPr="00BC0CD0">
        <w:rPr>
          <w:noProof/>
        </w:rPr>
        <w:t>alongside the challenges stemming from the green, social and technological transitions. Th</w:t>
      </w:r>
      <w:r w:rsidR="234713C0" w:rsidRPr="00BC0CD0">
        <w:rPr>
          <w:noProof/>
        </w:rPr>
        <w:t>o</w:t>
      </w:r>
      <w:r w:rsidR="2D4FCB8C" w:rsidRPr="00BC0CD0">
        <w:rPr>
          <w:noProof/>
        </w:rPr>
        <w:t xml:space="preserve">se simultaneous transformations demonstrate the urgent need to close the innovation gap, </w:t>
      </w:r>
      <w:r w:rsidR="6B2A738D" w:rsidRPr="4D8CB314">
        <w:rPr>
          <w:noProof/>
        </w:rPr>
        <w:t xml:space="preserve">accelerate </w:t>
      </w:r>
      <w:r w:rsidR="2D4FCB8C" w:rsidRPr="00BC0CD0">
        <w:rPr>
          <w:noProof/>
        </w:rPr>
        <w:t xml:space="preserve">decarbonisation efforts </w:t>
      </w:r>
      <w:r w:rsidR="2DF5F738" w:rsidRPr="4D8CB314">
        <w:rPr>
          <w:noProof/>
        </w:rPr>
        <w:t xml:space="preserve">to reinforce </w:t>
      </w:r>
      <w:r w:rsidR="2D4FCB8C" w:rsidRPr="00BC0CD0">
        <w:rPr>
          <w:noProof/>
        </w:rPr>
        <w:t>economic competitiveness and reduce external dependencies by diversifying supply chains</w:t>
      </w:r>
      <w:r w:rsidR="35B9BD01" w:rsidRPr="61F735FB">
        <w:rPr>
          <w:noProof/>
        </w:rPr>
        <w:t>, scaling-up domestically produced green energy,</w:t>
      </w:r>
      <w:r w:rsidR="2D4FCB8C" w:rsidRPr="00BC0CD0">
        <w:rPr>
          <w:noProof/>
        </w:rPr>
        <w:t xml:space="preserve"> and investing in critical sectors</w:t>
      </w:r>
      <w:r w:rsidR="3000FC9B" w:rsidRPr="00BC0CD0">
        <w:rPr>
          <w:noProof/>
        </w:rPr>
        <w:t>.</w:t>
      </w:r>
    </w:p>
    <w:p w14:paraId="12317187" w14:textId="77777777" w:rsidR="009E0335" w:rsidRPr="00BC0CD0" w:rsidRDefault="00C45D17" w:rsidP="00C45D17">
      <w:pPr>
        <w:pStyle w:val="ManualConsidrant"/>
        <w:rPr>
          <w:noProof/>
        </w:rPr>
      </w:pPr>
      <w:r w:rsidRPr="00C45D17">
        <w:rPr>
          <w:noProof/>
        </w:rPr>
        <w:t>(2)</w:t>
      </w:r>
      <w:r w:rsidRPr="00C45D17">
        <w:rPr>
          <w:noProof/>
        </w:rPr>
        <w:tab/>
      </w:r>
      <w:r w:rsidR="6218322A" w:rsidRPr="00BC0CD0">
        <w:rPr>
          <w:noProof/>
        </w:rPr>
        <w:t xml:space="preserve">As the </w:t>
      </w:r>
      <w:r w:rsidR="5F64FA8E" w:rsidRPr="00BC0CD0">
        <w:rPr>
          <w:noProof/>
        </w:rPr>
        <w:t>Union</w:t>
      </w:r>
      <w:r w:rsidR="6218322A" w:rsidRPr="00BC0CD0">
        <w:rPr>
          <w:noProof/>
        </w:rPr>
        <w:t>’s main investment instrument within the Multiannual Financial Framework, cohesion policy plays a crucial role in supporting th</w:t>
      </w:r>
      <w:r w:rsidR="35AD7ADC" w:rsidRPr="00BC0CD0">
        <w:rPr>
          <w:noProof/>
        </w:rPr>
        <w:t>o</w:t>
      </w:r>
      <w:r w:rsidR="6218322A" w:rsidRPr="00BC0CD0">
        <w:rPr>
          <w:noProof/>
        </w:rPr>
        <w:t>se priorities. It drives targeted investments that contribute to economic, social and territorial cohesion while at the same time addressing emerging challenges.</w:t>
      </w:r>
      <w:r w:rsidR="38AF30AC" w:rsidRPr="00BC0CD0">
        <w:rPr>
          <w:noProof/>
        </w:rPr>
        <w:t xml:space="preserve"> </w:t>
      </w:r>
    </w:p>
    <w:p w14:paraId="0DDCF5E7" w14:textId="77777777" w:rsidR="009E0335" w:rsidRPr="00FF1EF4" w:rsidRDefault="00C45D17" w:rsidP="00C45D17">
      <w:pPr>
        <w:pStyle w:val="ManualConsidrant"/>
        <w:rPr>
          <w:noProof/>
        </w:rPr>
      </w:pPr>
      <w:r w:rsidRPr="00C45D17">
        <w:rPr>
          <w:noProof/>
        </w:rPr>
        <w:t>(3)</w:t>
      </w:r>
      <w:r w:rsidRPr="00C45D17">
        <w:rPr>
          <w:noProof/>
        </w:rPr>
        <w:tab/>
      </w:r>
      <w:r w:rsidR="6218322A" w:rsidRPr="00FF1EF4">
        <w:rPr>
          <w:noProof/>
          <w:lang w:val="en-IE"/>
        </w:rPr>
        <w:t xml:space="preserve">The </w:t>
      </w:r>
      <w:r w:rsidR="1E3F4F80" w:rsidRPr="00FF1EF4">
        <w:rPr>
          <w:noProof/>
          <w:lang w:val="en-IE"/>
        </w:rPr>
        <w:t>legal</w:t>
      </w:r>
      <w:r w:rsidR="6218322A" w:rsidRPr="00FF1EF4">
        <w:rPr>
          <w:noProof/>
          <w:lang w:val="en-IE"/>
        </w:rPr>
        <w:t xml:space="preserve"> framework for cohesion policy programmes provides for a mid-term review in 2025, which offers a timely and unique opportunity to refocus programmes on addressing new challenges and opportunities, to accelerate implementation and to increase their effectiveness to respond to both old and new </w:t>
      </w:r>
      <w:r w:rsidR="1E3F4F80" w:rsidRPr="00FF1EF4">
        <w:rPr>
          <w:noProof/>
          <w:lang w:val="en-IE"/>
        </w:rPr>
        <w:t xml:space="preserve">Union </w:t>
      </w:r>
      <w:r w:rsidR="6218322A" w:rsidRPr="00FF1EF4">
        <w:rPr>
          <w:noProof/>
          <w:lang w:val="en-IE"/>
        </w:rPr>
        <w:t>priorities.</w:t>
      </w:r>
      <w:r w:rsidR="30004A9E" w:rsidRPr="00BC0CD0">
        <w:rPr>
          <w:rFonts w:eastAsia="Times New Roman"/>
          <w:noProof/>
          <w:lang w:val="en-IE"/>
        </w:rPr>
        <w:t xml:space="preserve"> </w:t>
      </w:r>
    </w:p>
    <w:p w14:paraId="70D258AF" w14:textId="77777777" w:rsidR="009E0335" w:rsidRPr="00BC0CD0" w:rsidRDefault="00C45D17" w:rsidP="00C45D17">
      <w:pPr>
        <w:pStyle w:val="ManualConsidrant"/>
        <w:rPr>
          <w:noProof/>
        </w:rPr>
      </w:pPr>
      <w:r w:rsidRPr="00C45D17">
        <w:rPr>
          <w:noProof/>
        </w:rPr>
        <w:t>(4)</w:t>
      </w:r>
      <w:r w:rsidRPr="00C45D17">
        <w:rPr>
          <w:noProof/>
        </w:rPr>
        <w:tab/>
      </w:r>
      <w:r w:rsidR="30004A9E" w:rsidRPr="00BC0CD0">
        <w:rPr>
          <w:noProof/>
          <w:lang w:val="en-IE"/>
        </w:rPr>
        <w:t xml:space="preserve">The Commission presented in the Competitiveness Compass, the Clean Industrial Deal and the Affordable Energy Action Plan a concrete path for Europe to regain its competitiveness and secure sustainable prosperity. The ERDF and the Cohesion Fund already support investments to climate objectives as stipulated in Regulation </w:t>
      </w:r>
      <w:r w:rsidR="00FC1B6A">
        <w:rPr>
          <w:noProof/>
          <w:lang w:val="en-IE"/>
        </w:rPr>
        <w:t>(EU) 2021/1060</w:t>
      </w:r>
      <w:r w:rsidR="30004A9E" w:rsidRPr="00BC0CD0">
        <w:rPr>
          <w:noProof/>
          <w:lang w:val="en-IE"/>
        </w:rPr>
        <w:t>. However</w:t>
      </w:r>
      <w:r w:rsidR="00FC1B6A">
        <w:rPr>
          <w:noProof/>
          <w:lang w:val="en-IE"/>
        </w:rPr>
        <w:t>,</w:t>
      </w:r>
      <w:r w:rsidR="30004A9E" w:rsidRPr="00BC0CD0">
        <w:rPr>
          <w:noProof/>
          <w:lang w:val="en-IE"/>
        </w:rPr>
        <w:t xml:space="preserve"> Member States should step up their efforts in order to ensure  that decarbonisation is a driver for growth for European industries and the prosperity of Europeans by, amongst others, scaling up support to clean-tech and the transition to clean energy, investing in energy infrastructure projects that can ensure a true Energy Union as well as supporting decarbonisation of production processes and products.</w:t>
      </w:r>
    </w:p>
    <w:p w14:paraId="50A13380" w14:textId="77777777" w:rsidR="001E6740" w:rsidRPr="00BC0CD0" w:rsidRDefault="00C45D17" w:rsidP="00C45D17">
      <w:pPr>
        <w:pStyle w:val="ManualConsidrant"/>
        <w:rPr>
          <w:noProof/>
        </w:rPr>
      </w:pPr>
      <w:r w:rsidRPr="00C45D17">
        <w:rPr>
          <w:noProof/>
        </w:rPr>
        <w:t>(5)</w:t>
      </w:r>
      <w:r w:rsidRPr="00C45D17">
        <w:rPr>
          <w:noProof/>
        </w:rPr>
        <w:tab/>
      </w:r>
      <w:r w:rsidR="6218322A" w:rsidRPr="00BC0CD0">
        <w:rPr>
          <w:noProof/>
        </w:rPr>
        <w:t xml:space="preserve">In light of the unprecedented geopolitical instability and the need for the </w:t>
      </w:r>
      <w:r w:rsidR="6CB9F634" w:rsidRPr="00BC0CD0">
        <w:rPr>
          <w:noProof/>
        </w:rPr>
        <w:t>Union</w:t>
      </w:r>
      <w:r w:rsidR="6218322A" w:rsidRPr="00BC0CD0">
        <w:rPr>
          <w:noProof/>
        </w:rPr>
        <w:t xml:space="preserve"> to guarantee its own defence, cohesion policy funding should be swiftly mobilised to directly support investments</w:t>
      </w:r>
      <w:r w:rsidR="3C921D2E" w:rsidRPr="00BC0CD0">
        <w:rPr>
          <w:noProof/>
        </w:rPr>
        <w:t xml:space="preserve"> in defence capabilities</w:t>
      </w:r>
      <w:r w:rsidR="6218322A" w:rsidRPr="00BC0CD0">
        <w:rPr>
          <w:noProof/>
        </w:rPr>
        <w:t xml:space="preserve">. It is therefore </w:t>
      </w:r>
      <w:r w:rsidR="7AF9CCA7" w:rsidRPr="00BC0CD0">
        <w:rPr>
          <w:noProof/>
        </w:rPr>
        <w:t>necessary</w:t>
      </w:r>
      <w:r w:rsidR="6218322A" w:rsidRPr="00BC0CD0">
        <w:rPr>
          <w:noProof/>
        </w:rPr>
        <w:t xml:space="preserve"> to create new specific objectives for support from the European Regional Development Fund (ERDF) and the Cohesion Fund </w:t>
      </w:r>
      <w:r w:rsidR="01D7AEB8" w:rsidRPr="00BC0CD0">
        <w:rPr>
          <w:noProof/>
        </w:rPr>
        <w:t>established by Regulation (EU) 2021/1058</w:t>
      </w:r>
      <w:r w:rsidR="2649D71F" w:rsidRPr="00BC0CD0">
        <w:rPr>
          <w:noProof/>
        </w:rPr>
        <w:t xml:space="preserve"> of the European Parliament and of the Council</w:t>
      </w:r>
      <w:r w:rsidR="00324945">
        <w:rPr>
          <w:rStyle w:val="FootnoteReference"/>
          <w:rFonts w:eastAsia="Times New Roman"/>
          <w:noProof/>
        </w:rPr>
        <w:footnoteReference w:id="5"/>
      </w:r>
      <w:r w:rsidR="01D7AEB8" w:rsidRPr="00BC0CD0">
        <w:rPr>
          <w:noProof/>
        </w:rPr>
        <w:t xml:space="preserve"> </w:t>
      </w:r>
      <w:r w:rsidR="6218322A" w:rsidRPr="00BC0CD0">
        <w:rPr>
          <w:noProof/>
        </w:rPr>
        <w:t xml:space="preserve">to finance industrial capacities in the defence sector and to allow for investments in </w:t>
      </w:r>
      <w:r w:rsidR="51F8E585" w:rsidRPr="595789C7">
        <w:rPr>
          <w:noProof/>
        </w:rPr>
        <w:t xml:space="preserve">resilient </w:t>
      </w:r>
      <w:r w:rsidR="1E7BBA66" w:rsidRPr="00BC0CD0">
        <w:rPr>
          <w:noProof/>
        </w:rPr>
        <w:t>d</w:t>
      </w:r>
      <w:r w:rsidR="0F80856A" w:rsidRPr="37732FBB">
        <w:rPr>
          <w:noProof/>
        </w:rPr>
        <w:t xml:space="preserve">efence or </w:t>
      </w:r>
      <w:r w:rsidR="2B51800C" w:rsidRPr="37732FBB">
        <w:rPr>
          <w:noProof/>
        </w:rPr>
        <w:t>d</w:t>
      </w:r>
      <w:r w:rsidR="2B51800C" w:rsidRPr="00BC0CD0">
        <w:rPr>
          <w:noProof/>
        </w:rPr>
        <w:t xml:space="preserve">ual-use </w:t>
      </w:r>
      <w:r w:rsidR="6218322A" w:rsidRPr="00BC0CD0">
        <w:rPr>
          <w:noProof/>
        </w:rPr>
        <w:t xml:space="preserve">infrastructure </w:t>
      </w:r>
      <w:r w:rsidR="544E9066" w:rsidRPr="00BC0CD0">
        <w:rPr>
          <w:noProof/>
        </w:rPr>
        <w:t xml:space="preserve">with a view </w:t>
      </w:r>
      <w:r w:rsidR="6218322A" w:rsidRPr="00BC0CD0">
        <w:rPr>
          <w:noProof/>
        </w:rPr>
        <w:t xml:space="preserve">to </w:t>
      </w:r>
      <w:r w:rsidR="2764C096" w:rsidRPr="00BC0CD0">
        <w:rPr>
          <w:noProof/>
        </w:rPr>
        <w:t>fostering military mobility</w:t>
      </w:r>
      <w:r w:rsidR="4DF0FBF9" w:rsidRPr="00BC0CD0">
        <w:rPr>
          <w:noProof/>
        </w:rPr>
        <w:t>,</w:t>
      </w:r>
      <w:r w:rsidR="6218322A" w:rsidRPr="00BC0CD0">
        <w:rPr>
          <w:noProof/>
        </w:rPr>
        <w:t xml:space="preserve"> in line with </w:t>
      </w:r>
      <w:r w:rsidR="65F81012" w:rsidRPr="00BC0CD0">
        <w:rPr>
          <w:noProof/>
        </w:rPr>
        <w:t xml:space="preserve">the </w:t>
      </w:r>
      <w:r w:rsidR="6218322A" w:rsidRPr="00BC0CD0">
        <w:rPr>
          <w:noProof/>
        </w:rPr>
        <w:t>scope</w:t>
      </w:r>
      <w:r w:rsidR="65F81012" w:rsidRPr="00BC0CD0">
        <w:rPr>
          <w:noProof/>
        </w:rPr>
        <w:t xml:space="preserve"> of those funds</w:t>
      </w:r>
      <w:r w:rsidR="6218322A" w:rsidRPr="00BC0CD0">
        <w:rPr>
          <w:noProof/>
        </w:rPr>
        <w:t>.</w:t>
      </w:r>
      <w:r w:rsidR="35175A36" w:rsidRPr="00BC0CD0">
        <w:rPr>
          <w:noProof/>
        </w:rPr>
        <w:t xml:space="preserve"> </w:t>
      </w:r>
      <w:r w:rsidR="1FE02A56" w:rsidRPr="4D8CB314">
        <w:rPr>
          <w:noProof/>
        </w:rPr>
        <w:t xml:space="preserve">Industrial capacities to foster defence capabilities should relate to the technological development and production of defence products and other products for defence purposes, as defined in Article 2 of [draft] Council Regulation [xxxx] establishing the Security Action for Europe (SAFE) through the reinforcement of European defence industry Instrument, in particular those referred to in Article 1 of that Regulation. </w:t>
      </w:r>
      <w:r w:rsidR="35175A36" w:rsidRPr="00BC0CD0">
        <w:rPr>
          <w:noProof/>
        </w:rPr>
        <w:t>Member States are encouraged to use the possibility foreseen in the current legal framework of voluntarily transferring resources allocated to them in shared management to directly managed programmes with defence and security objectives. In this context, transfers to the Connecting Europe Facility (CEF) military mobility envelope would ensure coordinated interventions along the military mobility corridors highlighted in the White Paper on Defence.</w:t>
      </w:r>
    </w:p>
    <w:p w14:paraId="53418E24" w14:textId="77777777" w:rsidR="009E0335" w:rsidRPr="00BC0CD0" w:rsidRDefault="00C45D17" w:rsidP="00C45D17">
      <w:pPr>
        <w:pStyle w:val="ManualConsidrant"/>
        <w:rPr>
          <w:noProof/>
        </w:rPr>
      </w:pPr>
      <w:r w:rsidRPr="00C45D17">
        <w:rPr>
          <w:noProof/>
        </w:rPr>
        <w:t>(6)</w:t>
      </w:r>
      <w:r w:rsidRPr="00C45D17">
        <w:rPr>
          <w:noProof/>
        </w:rPr>
        <w:tab/>
      </w:r>
      <w:r w:rsidR="6218322A" w:rsidRPr="00BC0CD0">
        <w:rPr>
          <w:noProof/>
        </w:rPr>
        <w:t>Furthermore, in order to quickly inject liquidity to cover the most pressing needs</w:t>
      </w:r>
      <w:r w:rsidR="6282A2E3" w:rsidRPr="00BC0CD0">
        <w:rPr>
          <w:noProof/>
        </w:rPr>
        <w:t xml:space="preserve"> </w:t>
      </w:r>
      <w:r w:rsidR="7D3A9AC7" w:rsidRPr="00BC0CD0">
        <w:rPr>
          <w:noProof/>
        </w:rPr>
        <w:t xml:space="preserve">notably </w:t>
      </w:r>
      <w:r w:rsidR="6282A2E3" w:rsidRPr="00BC0CD0">
        <w:rPr>
          <w:noProof/>
        </w:rPr>
        <w:t>for investments in enhanced defence</w:t>
      </w:r>
      <w:r w:rsidR="5402498E" w:rsidRPr="082389FE">
        <w:rPr>
          <w:noProof/>
        </w:rPr>
        <w:t xml:space="preserve"> </w:t>
      </w:r>
      <w:r w:rsidR="6282A2E3" w:rsidRPr="00BC0CD0">
        <w:rPr>
          <w:noProof/>
        </w:rPr>
        <w:t>capabilities</w:t>
      </w:r>
      <w:r w:rsidR="6218322A" w:rsidRPr="00BC0CD0">
        <w:rPr>
          <w:noProof/>
        </w:rPr>
        <w:t xml:space="preserve">, </w:t>
      </w:r>
      <w:r w:rsidR="2A1705FD" w:rsidRPr="00BC0CD0">
        <w:rPr>
          <w:noProof/>
        </w:rPr>
        <w:t>additional financing possibilities</w:t>
      </w:r>
      <w:r w:rsidR="30A63DCC" w:rsidRPr="00BC0CD0">
        <w:rPr>
          <w:noProof/>
        </w:rPr>
        <w:t xml:space="preserve"> should be </w:t>
      </w:r>
      <w:r w:rsidR="57CCB067" w:rsidRPr="00BC0CD0">
        <w:rPr>
          <w:noProof/>
        </w:rPr>
        <w:t>offered</w:t>
      </w:r>
      <w:r w:rsidR="516560D5" w:rsidRPr="00BC0CD0">
        <w:rPr>
          <w:noProof/>
        </w:rPr>
        <w:t xml:space="preserve">. In particular, </w:t>
      </w:r>
      <w:r w:rsidR="57CCB067" w:rsidRPr="00BC0CD0">
        <w:rPr>
          <w:noProof/>
        </w:rPr>
        <w:t xml:space="preserve">it is necessary to provide for </w:t>
      </w:r>
      <w:r w:rsidR="6218322A" w:rsidRPr="00BC0CD0">
        <w:rPr>
          <w:noProof/>
        </w:rPr>
        <w:t xml:space="preserve">an additional one-off pre-financing of 30% of the amounts programmed under dedicated priorities for defence under the respective policy objectives </w:t>
      </w:r>
      <w:r w:rsidR="7816F8B0" w:rsidRPr="00BC0CD0">
        <w:rPr>
          <w:noProof/>
        </w:rPr>
        <w:t>of the ERDF</w:t>
      </w:r>
      <w:r w:rsidR="590E836B" w:rsidRPr="00BC0CD0">
        <w:rPr>
          <w:noProof/>
        </w:rPr>
        <w:t xml:space="preserve"> and the Cohesion Fund</w:t>
      </w:r>
      <w:r w:rsidR="7816F8B0" w:rsidRPr="00BC0CD0">
        <w:rPr>
          <w:noProof/>
        </w:rPr>
        <w:t xml:space="preserve"> </w:t>
      </w:r>
      <w:r w:rsidR="6218322A" w:rsidRPr="00BC0CD0">
        <w:rPr>
          <w:noProof/>
        </w:rPr>
        <w:t xml:space="preserve">and </w:t>
      </w:r>
      <w:bookmarkStart w:id="9" w:name="_Hlk192683983"/>
      <w:r w:rsidR="6218322A" w:rsidRPr="00BC0CD0">
        <w:rPr>
          <w:noProof/>
        </w:rPr>
        <w:t xml:space="preserve">the possibility to apply a Union co-financing </w:t>
      </w:r>
      <w:r w:rsidR="784E2FFD" w:rsidRPr="00BC0CD0">
        <w:rPr>
          <w:noProof/>
        </w:rPr>
        <w:t xml:space="preserve">rate </w:t>
      </w:r>
      <w:r w:rsidR="6218322A" w:rsidRPr="00BC0CD0">
        <w:rPr>
          <w:noProof/>
        </w:rPr>
        <w:t>of up to 100%.</w:t>
      </w:r>
      <w:bookmarkEnd w:id="9"/>
      <w:r w:rsidR="77860666" w:rsidRPr="00BC0CD0">
        <w:rPr>
          <w:noProof/>
        </w:rPr>
        <w:t xml:space="preserve"> </w:t>
      </w:r>
    </w:p>
    <w:p w14:paraId="14F6D059" w14:textId="77777777" w:rsidR="009E0335" w:rsidRPr="0053110D" w:rsidRDefault="00C45D17" w:rsidP="00C45D17">
      <w:pPr>
        <w:pStyle w:val="ManualConsidrant"/>
        <w:rPr>
          <w:noProof/>
        </w:rPr>
      </w:pPr>
      <w:r w:rsidRPr="00C45D17">
        <w:rPr>
          <w:noProof/>
        </w:rPr>
        <w:t>(7)</w:t>
      </w:r>
      <w:r w:rsidRPr="00C45D17">
        <w:rPr>
          <w:noProof/>
        </w:rPr>
        <w:tab/>
      </w:r>
      <w:r w:rsidR="6218322A" w:rsidRPr="00BC0CD0">
        <w:rPr>
          <w:noProof/>
        </w:rPr>
        <w:t xml:space="preserve">The ERDF and the Cohesion Fund </w:t>
      </w:r>
      <w:r w:rsidR="57CCB067" w:rsidRPr="00BC0CD0">
        <w:rPr>
          <w:noProof/>
        </w:rPr>
        <w:t>may</w:t>
      </w:r>
      <w:r w:rsidR="5C5A769D" w:rsidRPr="00BC0CD0">
        <w:rPr>
          <w:noProof/>
        </w:rPr>
        <w:t>,</w:t>
      </w:r>
      <w:r w:rsidR="57CCB067" w:rsidRPr="00BC0CD0">
        <w:rPr>
          <w:noProof/>
        </w:rPr>
        <w:t xml:space="preserve"> </w:t>
      </w:r>
      <w:r w:rsidR="5C5A769D" w:rsidRPr="00BC0CD0">
        <w:rPr>
          <w:noProof/>
        </w:rPr>
        <w:t xml:space="preserve">within their respective scopes, </w:t>
      </w:r>
      <w:r w:rsidR="6218322A" w:rsidRPr="00BC0CD0">
        <w:rPr>
          <w:noProof/>
        </w:rPr>
        <w:t xml:space="preserve">already support investments contributing to the objectives of the </w:t>
      </w:r>
      <w:bookmarkStart w:id="10" w:name="_Hlk193349554"/>
      <w:r w:rsidR="57CCB067" w:rsidRPr="00BC0CD0">
        <w:rPr>
          <w:noProof/>
        </w:rPr>
        <w:t>‘</w:t>
      </w:r>
      <w:r w:rsidR="6CA76CF8" w:rsidRPr="00BC0CD0">
        <w:rPr>
          <w:noProof/>
        </w:rPr>
        <w:t>Strategic Technologies for Europe Platform</w:t>
      </w:r>
      <w:r w:rsidR="57CCB067" w:rsidRPr="00BC0CD0">
        <w:rPr>
          <w:noProof/>
        </w:rPr>
        <w:t>’</w:t>
      </w:r>
      <w:r w:rsidR="6CA76CF8" w:rsidRPr="00BC0CD0">
        <w:rPr>
          <w:noProof/>
        </w:rPr>
        <w:t xml:space="preserve"> (STEP)</w:t>
      </w:r>
      <w:bookmarkEnd w:id="10"/>
      <w:r w:rsidR="6218322A" w:rsidRPr="00BC0CD0">
        <w:rPr>
          <w:noProof/>
        </w:rPr>
        <w:t>, which aims to strengthen Europe’s technological leadership</w:t>
      </w:r>
      <w:r w:rsidR="707B4CC1" w:rsidRPr="00BC0CD0">
        <w:rPr>
          <w:noProof/>
        </w:rPr>
        <w:t xml:space="preserve">. </w:t>
      </w:r>
      <w:r w:rsidR="6218322A" w:rsidRPr="00BC0CD0">
        <w:rPr>
          <w:noProof/>
        </w:rPr>
        <w:t>In order to further incentivise investments from the ERDF and the Cohesion Fund in th</w:t>
      </w:r>
      <w:r w:rsidR="072137D4" w:rsidRPr="00BC0CD0">
        <w:rPr>
          <w:noProof/>
        </w:rPr>
        <w:t>o</w:t>
      </w:r>
      <w:r w:rsidR="6218322A" w:rsidRPr="00BC0CD0">
        <w:rPr>
          <w:noProof/>
        </w:rPr>
        <w:t>se critical fields</w:t>
      </w:r>
      <w:r w:rsidR="7230B487" w:rsidRPr="5EA49681">
        <w:rPr>
          <w:noProof/>
        </w:rPr>
        <w:t>,</w:t>
      </w:r>
      <w:r w:rsidR="459B487E" w:rsidRPr="5EA49681">
        <w:rPr>
          <w:noProof/>
        </w:rPr>
        <w:t xml:space="preserve"> </w:t>
      </w:r>
      <w:r w:rsidR="6218322A" w:rsidRPr="00BC0CD0">
        <w:rPr>
          <w:noProof/>
        </w:rPr>
        <w:t>the limitation for the overall contribution of the ERDF and the Cohesion Fund to th</w:t>
      </w:r>
      <w:r w:rsidR="130DE293" w:rsidRPr="00BC0CD0">
        <w:rPr>
          <w:noProof/>
        </w:rPr>
        <w:t>o</w:t>
      </w:r>
      <w:r w:rsidR="6218322A" w:rsidRPr="00BC0CD0">
        <w:rPr>
          <w:noProof/>
        </w:rPr>
        <w:t>se priorities should be removed and the possibility for Member States to receive a higher pre-financing for related programme amendments should be extended</w:t>
      </w:r>
      <w:r w:rsidR="784E2FFD" w:rsidRPr="00BC0CD0">
        <w:rPr>
          <w:noProof/>
        </w:rPr>
        <w:t xml:space="preserve">. </w:t>
      </w:r>
      <w:r w:rsidR="6218322A" w:rsidRPr="00BC0CD0">
        <w:rPr>
          <w:noProof/>
        </w:rPr>
        <w:t>Furthermore, the possibilities for the financing of productive investments contributing to STEP objectives in enterprises other than SMEs should be extended to all regions</w:t>
      </w:r>
      <w:r w:rsidR="6218322A">
        <w:rPr>
          <w:noProof/>
        </w:rPr>
        <w:t>.</w:t>
      </w:r>
      <w:r w:rsidR="6218322A" w:rsidRPr="00BC0CD0">
        <w:rPr>
          <w:noProof/>
        </w:rPr>
        <w:t xml:space="preserve"> </w:t>
      </w:r>
      <w:bookmarkStart w:id="11" w:name="_Hlk192609733"/>
      <w:r w:rsidR="6218322A" w:rsidRPr="00BC0CD0">
        <w:rPr>
          <w:noProof/>
        </w:rPr>
        <w:t>Similarly, such investments should also be possible in</w:t>
      </w:r>
      <w:r w:rsidR="6DB7C509" w:rsidRPr="00BC0CD0">
        <w:rPr>
          <w:noProof/>
        </w:rPr>
        <w:t xml:space="preserve"> </w:t>
      </w:r>
      <w:r w:rsidR="6218322A" w:rsidRPr="00BC0CD0">
        <w:rPr>
          <w:noProof/>
        </w:rPr>
        <w:t xml:space="preserve">regions where they facilitate industrial adjustment linked to </w:t>
      </w:r>
      <w:r w:rsidR="6218322A">
        <w:rPr>
          <w:noProof/>
        </w:rPr>
        <w:t xml:space="preserve">digital transformation, including digital capacities in cloud, AI and supercomputing, or </w:t>
      </w:r>
      <w:r w:rsidR="6218322A" w:rsidRPr="00BC0CD0">
        <w:rPr>
          <w:noProof/>
        </w:rPr>
        <w:t xml:space="preserve">the decarbonisation </w:t>
      </w:r>
      <w:r w:rsidR="1506101C" w:rsidRPr="00BC0CD0">
        <w:rPr>
          <w:noProof/>
        </w:rPr>
        <w:t xml:space="preserve">and circularity </w:t>
      </w:r>
      <w:r w:rsidR="6218322A" w:rsidRPr="00BC0CD0">
        <w:rPr>
          <w:noProof/>
        </w:rPr>
        <w:t>of production processes and products, such as in the automotive industry</w:t>
      </w:r>
      <w:bookmarkEnd w:id="11"/>
      <w:r w:rsidR="5851365E" w:rsidRPr="00BC0CD0">
        <w:rPr>
          <w:noProof/>
        </w:rPr>
        <w:t xml:space="preserve"> or the energy intensive industries</w:t>
      </w:r>
      <w:r w:rsidR="6218322A" w:rsidRPr="00BC0CD0">
        <w:rPr>
          <w:noProof/>
        </w:rPr>
        <w:t xml:space="preserve">. In addition, the possibility provided for investments contributing to STEP objectives to finance productive investments in enterprises other than SMEs from the Just Transition Fund (JTF) </w:t>
      </w:r>
      <w:r w:rsidR="0AE4E9AF" w:rsidRPr="00BC0CD0">
        <w:rPr>
          <w:noProof/>
        </w:rPr>
        <w:t>established by Regulation (EU) 2021/1056</w:t>
      </w:r>
      <w:r w:rsidR="2649D71F" w:rsidRPr="00BC0CD0">
        <w:rPr>
          <w:noProof/>
        </w:rPr>
        <w:t xml:space="preserve"> of the European Parliament and of the Council</w:t>
      </w:r>
      <w:r w:rsidR="00324945">
        <w:rPr>
          <w:rStyle w:val="FootnoteReference"/>
          <w:rFonts w:eastAsia="Times New Roman"/>
          <w:noProof/>
        </w:rPr>
        <w:footnoteReference w:id="6"/>
      </w:r>
      <w:r w:rsidR="0AE4E9AF" w:rsidRPr="00BC0CD0">
        <w:rPr>
          <w:noProof/>
        </w:rPr>
        <w:t xml:space="preserve"> </w:t>
      </w:r>
      <w:r w:rsidR="6218322A" w:rsidRPr="00BC0CD0">
        <w:rPr>
          <w:noProof/>
        </w:rPr>
        <w:t>without the need and irrespective of the outcome of a gap analysis should be extended to all investments.</w:t>
      </w:r>
      <w:r w:rsidR="64DEA3DE" w:rsidRPr="00BC0CD0">
        <w:rPr>
          <w:noProof/>
        </w:rPr>
        <w:t xml:space="preserve"> </w:t>
      </w:r>
    </w:p>
    <w:p w14:paraId="5BA3B4EE" w14:textId="77777777" w:rsidR="009E0335" w:rsidRPr="00BC0CD0" w:rsidRDefault="00C45D17" w:rsidP="00C45D17">
      <w:pPr>
        <w:pStyle w:val="ManualConsidrant"/>
        <w:rPr>
          <w:noProof/>
        </w:rPr>
      </w:pPr>
      <w:r w:rsidRPr="00C45D17">
        <w:rPr>
          <w:noProof/>
        </w:rPr>
        <w:t>(8)</w:t>
      </w:r>
      <w:r w:rsidRPr="00C45D17">
        <w:rPr>
          <w:noProof/>
        </w:rPr>
        <w:tab/>
      </w:r>
      <w:r w:rsidR="1F974114" w:rsidRPr="5AD8E47D">
        <w:rPr>
          <w:noProof/>
        </w:rPr>
        <w:t>In order to enhance energy security</w:t>
      </w:r>
      <w:r w:rsidR="009425E3">
        <w:rPr>
          <w:noProof/>
        </w:rPr>
        <w:t>, accelerate the</w:t>
      </w:r>
      <w:r w:rsidR="004F0B3B">
        <w:rPr>
          <w:noProof/>
        </w:rPr>
        <w:t xml:space="preserve"> energy transition</w:t>
      </w:r>
      <w:r w:rsidR="1F974114" w:rsidRPr="5AD8E47D">
        <w:rPr>
          <w:noProof/>
        </w:rPr>
        <w:t xml:space="preserve"> and clean mobility, the investments under STEP </w:t>
      </w:r>
      <w:r w:rsidR="1F974114">
        <w:rPr>
          <w:noProof/>
        </w:rPr>
        <w:t xml:space="preserve">and the Alternative Fuels Infrastructure Facility </w:t>
      </w:r>
      <w:r w:rsidR="1F974114" w:rsidRPr="5AD8E47D">
        <w:rPr>
          <w:noProof/>
        </w:rPr>
        <w:t xml:space="preserve">should be complemented by creating a new specific objective </w:t>
      </w:r>
      <w:r w:rsidR="40517A23" w:rsidRPr="5AD8E47D">
        <w:rPr>
          <w:noProof/>
        </w:rPr>
        <w:t xml:space="preserve">for the </w:t>
      </w:r>
      <w:r w:rsidR="1F974114" w:rsidRPr="5AD8E47D">
        <w:rPr>
          <w:noProof/>
        </w:rPr>
        <w:t xml:space="preserve">ERDF </w:t>
      </w:r>
      <w:r w:rsidR="35BE9B1B" w:rsidRPr="5FDC80D3">
        <w:rPr>
          <w:noProof/>
        </w:rPr>
        <w:t>and the Cohesion Fund</w:t>
      </w:r>
      <w:r w:rsidR="1F974114" w:rsidRPr="5FDC80D3">
        <w:rPr>
          <w:noProof/>
        </w:rPr>
        <w:t xml:space="preserve"> </w:t>
      </w:r>
      <w:r w:rsidR="1A32BFBA" w:rsidRPr="5AD8E47D">
        <w:rPr>
          <w:noProof/>
        </w:rPr>
        <w:t xml:space="preserve">under </w:t>
      </w:r>
      <w:r w:rsidR="00C2720B">
        <w:rPr>
          <w:noProof/>
        </w:rPr>
        <w:t xml:space="preserve">policy objective </w:t>
      </w:r>
      <w:r w:rsidR="1A32BFBA" w:rsidRPr="5AD8E47D">
        <w:rPr>
          <w:noProof/>
        </w:rPr>
        <w:t xml:space="preserve">2 </w:t>
      </w:r>
      <w:r w:rsidR="1F974114" w:rsidRPr="5AD8E47D">
        <w:rPr>
          <w:noProof/>
        </w:rPr>
        <w:t xml:space="preserve">to promote energy interconnectors and </w:t>
      </w:r>
      <w:r w:rsidR="1F974114">
        <w:rPr>
          <w:noProof/>
        </w:rPr>
        <w:t xml:space="preserve">related transmission infrastructure, and </w:t>
      </w:r>
      <w:r w:rsidR="1F974114" w:rsidRPr="5AD8E47D">
        <w:rPr>
          <w:noProof/>
        </w:rPr>
        <w:t xml:space="preserve">the deployment of charging infrastructure. </w:t>
      </w:r>
      <w:r w:rsidR="1F974114" w:rsidRPr="5FDC80D3">
        <w:rPr>
          <w:noProof/>
        </w:rPr>
        <w:t>I</w:t>
      </w:r>
      <w:r w:rsidR="18F58ED6" w:rsidRPr="5FDC80D3">
        <w:rPr>
          <w:noProof/>
        </w:rPr>
        <w:t>n</w:t>
      </w:r>
      <w:r w:rsidR="1F974114" w:rsidRPr="5AD8E47D">
        <w:rPr>
          <w:noProof/>
        </w:rPr>
        <w:t xml:space="preserve"> order to accel</w:t>
      </w:r>
      <w:r w:rsidR="7DD53D46" w:rsidRPr="5AD8E47D">
        <w:rPr>
          <w:noProof/>
        </w:rPr>
        <w:t xml:space="preserve">erate </w:t>
      </w:r>
      <w:r w:rsidR="1F974114" w:rsidRPr="5AD8E47D">
        <w:rPr>
          <w:noProof/>
        </w:rPr>
        <w:t>investments in t</w:t>
      </w:r>
      <w:r w:rsidR="7F8FC14F" w:rsidRPr="5AD8E47D">
        <w:rPr>
          <w:noProof/>
        </w:rPr>
        <w:t>hese fields</w:t>
      </w:r>
      <w:r w:rsidR="407745B7" w:rsidRPr="5AD8E47D">
        <w:rPr>
          <w:noProof/>
        </w:rPr>
        <w:t>, p</w:t>
      </w:r>
      <w:r w:rsidR="1F974114" w:rsidRPr="5AD8E47D">
        <w:rPr>
          <w:noProof/>
        </w:rPr>
        <w:t xml:space="preserve">riorities dedicated to this specific objective should benefit </w:t>
      </w:r>
      <w:r w:rsidR="3CE9B78F" w:rsidRPr="5AD8E47D">
        <w:rPr>
          <w:noProof/>
        </w:rPr>
        <w:t>from</w:t>
      </w:r>
      <w:r w:rsidR="1F974114" w:rsidRPr="5AD8E47D">
        <w:rPr>
          <w:noProof/>
        </w:rPr>
        <w:t xml:space="preserve"> an additional one-off pre-financing of 30% of the amounts programmed under </w:t>
      </w:r>
      <w:r w:rsidR="1AA3060B" w:rsidRPr="5AD8E47D">
        <w:rPr>
          <w:noProof/>
        </w:rPr>
        <w:t xml:space="preserve">those priorities </w:t>
      </w:r>
      <w:r w:rsidR="1F974114" w:rsidRPr="5AD8E47D">
        <w:rPr>
          <w:noProof/>
        </w:rPr>
        <w:t xml:space="preserve">and </w:t>
      </w:r>
      <w:r w:rsidR="1959A5CB" w:rsidRPr="59B49F0B">
        <w:rPr>
          <w:noProof/>
        </w:rPr>
        <w:t xml:space="preserve">from </w:t>
      </w:r>
      <w:r w:rsidR="1F974114" w:rsidRPr="5AD8E47D">
        <w:rPr>
          <w:noProof/>
        </w:rPr>
        <w:t>the possibility to apply a Union co-financing rate of up to 100</w:t>
      </w:r>
      <w:r w:rsidR="05AADBD9" w:rsidRPr="59B49F0B">
        <w:rPr>
          <w:noProof/>
        </w:rPr>
        <w:t xml:space="preserve">%. </w:t>
      </w:r>
      <w:r w:rsidR="1F974114">
        <w:rPr>
          <w:noProof/>
        </w:rPr>
        <w:t>Managing authorities should aim to leverage a maximum amount of private finance, where relevant. This enhanced investment effort will enable energy-intensive sectors to access more stable and diverse energy sources in a less fragmented internal energy market, buttressing their sustainability and competitiveness. Moreover, expanding the ERDF’s support for decarbonisation projects allows energy-intensive industries to prioritise high-impact innovations aligned with EU climate objectives.</w:t>
      </w:r>
    </w:p>
    <w:p w14:paraId="3260FD0E" w14:textId="77777777" w:rsidR="009E0335" w:rsidRPr="00BC0CD0" w:rsidRDefault="00C45D17" w:rsidP="00C45D17">
      <w:pPr>
        <w:pStyle w:val="ManualConsidrant"/>
        <w:rPr>
          <w:noProof/>
        </w:rPr>
      </w:pPr>
      <w:r w:rsidRPr="00C45D17">
        <w:rPr>
          <w:noProof/>
        </w:rPr>
        <w:t>(9)</w:t>
      </w:r>
      <w:r w:rsidRPr="00C45D17">
        <w:rPr>
          <w:noProof/>
        </w:rPr>
        <w:tab/>
      </w:r>
      <w:r w:rsidR="00921A82">
        <w:rPr>
          <w:noProof/>
        </w:rPr>
        <w:t>I</w:t>
      </w:r>
      <w:r w:rsidR="6218322A" w:rsidRPr="00BC0CD0">
        <w:rPr>
          <w:noProof/>
        </w:rPr>
        <w:t xml:space="preserve">mportant </w:t>
      </w:r>
      <w:r w:rsidR="320BE7A2" w:rsidRPr="00BC0CD0">
        <w:rPr>
          <w:noProof/>
        </w:rPr>
        <w:t>P</w:t>
      </w:r>
      <w:r w:rsidR="6218322A" w:rsidRPr="00BC0CD0">
        <w:rPr>
          <w:noProof/>
        </w:rPr>
        <w:t xml:space="preserve">rojects of </w:t>
      </w:r>
      <w:r w:rsidR="6178E0A8" w:rsidRPr="00BC0CD0">
        <w:rPr>
          <w:noProof/>
        </w:rPr>
        <w:t>C</w:t>
      </w:r>
      <w:r w:rsidR="6218322A" w:rsidRPr="00BC0CD0">
        <w:rPr>
          <w:noProof/>
        </w:rPr>
        <w:t xml:space="preserve">ommon </w:t>
      </w:r>
      <w:r w:rsidR="0B229885" w:rsidRPr="00BC0CD0">
        <w:rPr>
          <w:noProof/>
        </w:rPr>
        <w:t>E</w:t>
      </w:r>
      <w:r w:rsidR="6218322A" w:rsidRPr="00BC0CD0">
        <w:rPr>
          <w:noProof/>
        </w:rPr>
        <w:t xml:space="preserve">uropean </w:t>
      </w:r>
      <w:r w:rsidR="01CC41FB" w:rsidRPr="00BC0CD0">
        <w:rPr>
          <w:noProof/>
        </w:rPr>
        <w:t>I</w:t>
      </w:r>
      <w:r w:rsidR="6218322A" w:rsidRPr="00BC0CD0">
        <w:rPr>
          <w:noProof/>
        </w:rPr>
        <w:t>nterest (IPCEI)</w:t>
      </w:r>
      <w:r w:rsidR="13E2F0C3" w:rsidRPr="00BC0CD0">
        <w:rPr>
          <w:noProof/>
        </w:rPr>
        <w:t xml:space="preserve"> </w:t>
      </w:r>
      <w:r w:rsidR="1E4EDD98" w:rsidRPr="00BC0CD0">
        <w:rPr>
          <w:noProof/>
        </w:rPr>
        <w:t xml:space="preserve">result from a State aid instrument requiring cross-European cooperation for innovative technologies or pan-European infrastructures. IPCEI are projects that </w:t>
      </w:r>
      <w:r w:rsidR="6218322A" w:rsidRPr="00BC0CD0">
        <w:rPr>
          <w:noProof/>
        </w:rPr>
        <w:t xml:space="preserve">support and promote large-scale, cross-border projects that are considered essential for the economic growth, innovation, and competitiveness of the </w:t>
      </w:r>
      <w:r w:rsidR="0C4C172E" w:rsidRPr="00BC0CD0">
        <w:rPr>
          <w:noProof/>
        </w:rPr>
        <w:t>Union</w:t>
      </w:r>
      <w:r w:rsidR="6218322A" w:rsidRPr="00BC0CD0">
        <w:rPr>
          <w:noProof/>
        </w:rPr>
        <w:t>. To help accelerate the design of new IPCEI and the implementation of the existing ones, support from the ERDF</w:t>
      </w:r>
      <w:r w:rsidR="6D136386" w:rsidRPr="00BC0CD0">
        <w:rPr>
          <w:noProof/>
        </w:rPr>
        <w:t xml:space="preserve"> for investments in projects participating in an IPCEI as approved by the Commission pursuant to Article 107(3), point (b), of the Treaty on the Functioning of the European Union (TFEU) and to Communication C</w:t>
      </w:r>
      <w:r w:rsidR="00324945">
        <w:rPr>
          <w:noProof/>
        </w:rPr>
        <w:t>(</w:t>
      </w:r>
      <w:r w:rsidR="6D136386" w:rsidRPr="00BC0CD0">
        <w:rPr>
          <w:noProof/>
        </w:rPr>
        <w:t>2021</w:t>
      </w:r>
      <w:r w:rsidR="00324945">
        <w:rPr>
          <w:noProof/>
        </w:rPr>
        <w:t>) </w:t>
      </w:r>
      <w:r w:rsidR="6D136386" w:rsidRPr="00BC0CD0">
        <w:rPr>
          <w:noProof/>
        </w:rPr>
        <w:t>8481</w:t>
      </w:r>
      <w:r w:rsidR="6218322A" w:rsidRPr="00BC0CD0">
        <w:rPr>
          <w:noProof/>
        </w:rPr>
        <w:t xml:space="preserve"> should be allowed in all categories of region</w:t>
      </w:r>
      <w:r w:rsidR="1F2A063C" w:rsidRPr="00BC0CD0">
        <w:rPr>
          <w:noProof/>
        </w:rPr>
        <w:t>s</w:t>
      </w:r>
      <w:r w:rsidR="6218322A" w:rsidRPr="00BC0CD0">
        <w:rPr>
          <w:noProof/>
        </w:rPr>
        <w:t>.</w:t>
      </w:r>
      <w:r w:rsidR="5BD6904E" w:rsidRPr="00BC0CD0">
        <w:rPr>
          <w:noProof/>
        </w:rPr>
        <w:t xml:space="preserve"> </w:t>
      </w:r>
      <w:r w:rsidR="068984FF" w:rsidRPr="00BC0CD0">
        <w:rPr>
          <w:noProof/>
        </w:rPr>
        <w:t>F</w:t>
      </w:r>
      <w:r w:rsidR="3542A9E8" w:rsidRPr="00BC0CD0">
        <w:rPr>
          <w:noProof/>
        </w:rPr>
        <w:t>urthermore,</w:t>
      </w:r>
      <w:r w:rsidR="139A069E" w:rsidRPr="00BC0CD0">
        <w:rPr>
          <w:noProof/>
        </w:rPr>
        <w:t xml:space="preserve"> </w:t>
      </w:r>
      <w:r w:rsidR="3A56FC0C" w:rsidRPr="00BC0CD0">
        <w:rPr>
          <w:noProof/>
        </w:rPr>
        <w:t>operations contributing to an IPCEI approved by the Commission</w:t>
      </w:r>
      <w:r w:rsidR="317FFE82" w:rsidRPr="00BC0CD0">
        <w:rPr>
          <w:noProof/>
        </w:rPr>
        <w:t xml:space="preserve"> should benefit from simplified selection procedures.</w:t>
      </w:r>
    </w:p>
    <w:p w14:paraId="4DD8DFD2" w14:textId="77777777" w:rsidR="009E0335" w:rsidRPr="00BC0CD0" w:rsidRDefault="00C45D17" w:rsidP="00C45D17">
      <w:pPr>
        <w:pStyle w:val="ManualConsidrant"/>
        <w:rPr>
          <w:noProof/>
        </w:rPr>
      </w:pPr>
      <w:r w:rsidRPr="00C45D17">
        <w:rPr>
          <w:noProof/>
        </w:rPr>
        <w:t>(10)</w:t>
      </w:r>
      <w:r w:rsidRPr="00C45D17">
        <w:rPr>
          <w:noProof/>
        </w:rPr>
        <w:tab/>
      </w:r>
      <w:r w:rsidR="20475409" w:rsidRPr="00BC0CD0">
        <w:rPr>
          <w:noProof/>
        </w:rPr>
        <w:t xml:space="preserve">Affordable housing is another challenge that has come to the forefront </w:t>
      </w:r>
      <w:r w:rsidR="13495913" w:rsidRPr="00BC0CD0">
        <w:rPr>
          <w:noProof/>
        </w:rPr>
        <w:t xml:space="preserve">due to the </w:t>
      </w:r>
      <w:r w:rsidR="4B4D70F0" w:rsidRPr="00BC0CD0">
        <w:rPr>
          <w:noProof/>
        </w:rPr>
        <w:t xml:space="preserve">significant increase in prices and rents </w:t>
      </w:r>
      <w:r w:rsidR="20475409" w:rsidRPr="00BC0CD0">
        <w:rPr>
          <w:noProof/>
        </w:rPr>
        <w:t xml:space="preserve">in recent years. </w:t>
      </w:r>
      <w:r w:rsidR="2A5A28CB" w:rsidRPr="00BC0CD0">
        <w:rPr>
          <w:noProof/>
        </w:rPr>
        <w:t xml:space="preserve">With a view </w:t>
      </w:r>
      <w:r w:rsidR="20475409" w:rsidRPr="00BC0CD0">
        <w:rPr>
          <w:noProof/>
        </w:rPr>
        <w:t>to incentivis</w:t>
      </w:r>
      <w:r w:rsidR="2A5A28CB" w:rsidRPr="00BC0CD0">
        <w:rPr>
          <w:noProof/>
        </w:rPr>
        <w:t>ing Member States and regions to double</w:t>
      </w:r>
      <w:r w:rsidR="20475409" w:rsidRPr="00BC0CD0">
        <w:rPr>
          <w:noProof/>
        </w:rPr>
        <w:t xml:space="preserve"> investments from the ERDF and the Cohesion Fund, within their respective scopes, in the construction and renovation of the affordable housing stock, </w:t>
      </w:r>
      <w:r w:rsidR="094E0CA9" w:rsidRPr="00BC0CD0">
        <w:rPr>
          <w:noProof/>
        </w:rPr>
        <w:t>includ</w:t>
      </w:r>
      <w:r w:rsidR="37C21E1E" w:rsidRPr="00BC0CD0">
        <w:rPr>
          <w:noProof/>
        </w:rPr>
        <w:t xml:space="preserve">ing </w:t>
      </w:r>
      <w:r w:rsidR="094E0CA9" w:rsidRPr="00BC0CD0">
        <w:rPr>
          <w:noProof/>
        </w:rPr>
        <w:t xml:space="preserve">social housing, </w:t>
      </w:r>
      <w:r w:rsidR="20475409" w:rsidRPr="00BC0CD0">
        <w:rPr>
          <w:noProof/>
        </w:rPr>
        <w:t xml:space="preserve">new specific objectives should be </w:t>
      </w:r>
      <w:r w:rsidR="3805EE2E" w:rsidRPr="00BC0CD0">
        <w:rPr>
          <w:noProof/>
        </w:rPr>
        <w:t>created under different</w:t>
      </w:r>
      <w:r w:rsidR="7786E0A0" w:rsidRPr="00BC0CD0">
        <w:rPr>
          <w:noProof/>
        </w:rPr>
        <w:t xml:space="preserve"> </w:t>
      </w:r>
      <w:r w:rsidR="4A124F5B" w:rsidRPr="00BC0CD0">
        <w:rPr>
          <w:noProof/>
        </w:rPr>
        <w:t>policy objectives to provide flexibility for the programming of housing interventions</w:t>
      </w:r>
      <w:r w:rsidR="20475409" w:rsidRPr="00BC0CD0">
        <w:rPr>
          <w:noProof/>
        </w:rPr>
        <w:t xml:space="preserve"> under dedicated priorit</w:t>
      </w:r>
      <w:r w:rsidR="4A124F5B" w:rsidRPr="00BC0CD0">
        <w:rPr>
          <w:noProof/>
        </w:rPr>
        <w:t>ies</w:t>
      </w:r>
      <w:r w:rsidR="20475409" w:rsidRPr="00BC0CD0">
        <w:rPr>
          <w:noProof/>
        </w:rPr>
        <w:t>.</w:t>
      </w:r>
      <w:bookmarkStart w:id="12" w:name="_Hlk192231915"/>
      <w:r w:rsidR="20475409" w:rsidRPr="00BC0CD0">
        <w:rPr>
          <w:noProof/>
        </w:rPr>
        <w:t xml:space="preserve"> Such priorities should</w:t>
      </w:r>
      <w:r w:rsidR="36E40497" w:rsidRPr="00BC0CD0">
        <w:rPr>
          <w:noProof/>
        </w:rPr>
        <w:t xml:space="preserve"> </w:t>
      </w:r>
      <w:r w:rsidR="788468F2" w:rsidRPr="00BC0CD0">
        <w:rPr>
          <w:noProof/>
        </w:rPr>
        <w:t xml:space="preserve">entail </w:t>
      </w:r>
      <w:r w:rsidR="36E40497" w:rsidRPr="00BC0CD0">
        <w:rPr>
          <w:noProof/>
        </w:rPr>
        <w:t xml:space="preserve">the possibility to apply a Union co-financing rate of up to 100% and </w:t>
      </w:r>
      <w:r w:rsidR="20475409" w:rsidRPr="00BC0CD0">
        <w:rPr>
          <w:noProof/>
        </w:rPr>
        <w:t xml:space="preserve">benefit from an additional one-off pre-financing </w:t>
      </w:r>
      <w:r w:rsidR="4D40D3CF" w:rsidRPr="00BC0CD0">
        <w:rPr>
          <w:noProof/>
        </w:rPr>
        <w:t xml:space="preserve">of 30% </w:t>
      </w:r>
      <w:r w:rsidR="63D68B70" w:rsidRPr="00BC0CD0">
        <w:rPr>
          <w:noProof/>
        </w:rPr>
        <w:t xml:space="preserve">of the amounts programmed </w:t>
      </w:r>
      <w:r w:rsidR="20475409" w:rsidRPr="00BC0CD0">
        <w:rPr>
          <w:noProof/>
        </w:rPr>
        <w:t>in order to alleviate the burden on public budgets</w:t>
      </w:r>
      <w:bookmarkEnd w:id="12"/>
      <w:r w:rsidR="20475409" w:rsidRPr="00BC0CD0">
        <w:rPr>
          <w:noProof/>
        </w:rPr>
        <w:t xml:space="preserve">. </w:t>
      </w:r>
      <w:r w:rsidR="6E1D2241" w:rsidRPr="00BC0CD0">
        <w:rPr>
          <w:noProof/>
        </w:rPr>
        <w:t xml:space="preserve">For example, investments under the ‘New European Bauhaus’ initiative should make full use of those new possibilities. </w:t>
      </w:r>
      <w:r w:rsidR="20475409" w:rsidRPr="00BC0CD0">
        <w:rPr>
          <w:noProof/>
        </w:rPr>
        <w:t xml:space="preserve">Costs resulting from the temporary renting of alternative accommodation for the occupants during the time of the renovation may also be </w:t>
      </w:r>
      <w:r w:rsidR="3E0C2F98" w:rsidRPr="00BC0CD0">
        <w:rPr>
          <w:noProof/>
        </w:rPr>
        <w:t>entitled to</w:t>
      </w:r>
      <w:r w:rsidR="20475409" w:rsidRPr="00BC0CD0">
        <w:rPr>
          <w:noProof/>
        </w:rPr>
        <w:t xml:space="preserve"> support under </w:t>
      </w:r>
      <w:r w:rsidR="1A514785" w:rsidRPr="00BC0CD0">
        <w:rPr>
          <w:noProof/>
        </w:rPr>
        <w:t>such priorities</w:t>
      </w:r>
      <w:r w:rsidR="20475409" w:rsidRPr="00BC0CD0">
        <w:rPr>
          <w:noProof/>
        </w:rPr>
        <w:t>, as well as costs of reforms related to housing</w:t>
      </w:r>
      <w:r w:rsidR="25012669" w:rsidRPr="00BC0CD0">
        <w:rPr>
          <w:noProof/>
        </w:rPr>
        <w:t>,</w:t>
      </w:r>
      <w:r w:rsidR="20475409" w:rsidRPr="00BC0CD0">
        <w:rPr>
          <w:noProof/>
        </w:rPr>
        <w:t xml:space="preserve"> such as preparatory work for improvements in housing market regulation and permitting at local and city level. It is also appropriate to clarify the support of the JTF in th</w:t>
      </w:r>
      <w:r w:rsidR="253B94FF" w:rsidRPr="00BC0CD0">
        <w:rPr>
          <w:noProof/>
        </w:rPr>
        <w:t xml:space="preserve">at </w:t>
      </w:r>
      <w:r w:rsidR="20475409" w:rsidRPr="00BC0CD0">
        <w:rPr>
          <w:noProof/>
        </w:rPr>
        <w:t>context.</w:t>
      </w:r>
    </w:p>
    <w:p w14:paraId="140F5E0C" w14:textId="77777777" w:rsidR="009E0335" w:rsidRPr="00BC0CD0" w:rsidRDefault="00C45D17" w:rsidP="00C45D17">
      <w:pPr>
        <w:pStyle w:val="ManualConsidrant"/>
        <w:rPr>
          <w:noProof/>
        </w:rPr>
      </w:pPr>
      <w:r w:rsidRPr="00C45D17">
        <w:rPr>
          <w:noProof/>
        </w:rPr>
        <w:t>(11)</w:t>
      </w:r>
      <w:r w:rsidRPr="00C45D17">
        <w:rPr>
          <w:noProof/>
        </w:rPr>
        <w:tab/>
      </w:r>
      <w:r w:rsidR="47CB12EE" w:rsidRPr="00BC0CD0">
        <w:rPr>
          <w:noProof/>
        </w:rPr>
        <w:t xml:space="preserve">Water has a vital role as a resource for the security of food, energy and economic systems. </w:t>
      </w:r>
      <w:r w:rsidR="2AECE320" w:rsidRPr="00BC0CD0">
        <w:rPr>
          <w:noProof/>
        </w:rPr>
        <w:t xml:space="preserve">This is also a key aspect of ensuring climate resilience. </w:t>
      </w:r>
      <w:r w:rsidR="47CB12EE" w:rsidRPr="00BC0CD0">
        <w:rPr>
          <w:noProof/>
        </w:rPr>
        <w:t>Given the challenges posed by the impact of climate change on water resources, f</w:t>
      </w:r>
      <w:r w:rsidR="3D42F699" w:rsidRPr="00BC0CD0">
        <w:rPr>
          <w:noProof/>
        </w:rPr>
        <w:t xml:space="preserve">urther investments in water resilience should be encouraged. </w:t>
      </w:r>
      <w:r w:rsidR="6134C44B" w:rsidRPr="00BC0CD0">
        <w:rPr>
          <w:noProof/>
          <w:lang w:val="en-IE"/>
        </w:rPr>
        <w:t xml:space="preserve">It is urgent to enhance </w:t>
      </w:r>
      <w:r w:rsidR="34F613CE" w:rsidRPr="00BC0CD0">
        <w:rPr>
          <w:noProof/>
          <w:lang w:val="en-IE"/>
        </w:rPr>
        <w:t>the</w:t>
      </w:r>
      <w:r w:rsidR="6134C44B" w:rsidRPr="00BC0CD0">
        <w:rPr>
          <w:noProof/>
          <w:lang w:val="en-IE"/>
        </w:rPr>
        <w:t xml:space="preserve"> implementation of the water and marine protection legislation and improve water efficiency, address water scarcity, and progress towards a water resilient Europe.  This requires important investments. </w:t>
      </w:r>
      <w:r w:rsidR="3D42F699" w:rsidRPr="00BC0CD0">
        <w:rPr>
          <w:noProof/>
        </w:rPr>
        <w:t>It is therefore appropriate to</w:t>
      </w:r>
      <w:r w:rsidR="32737F92" w:rsidRPr="00BC0CD0">
        <w:rPr>
          <w:noProof/>
        </w:rPr>
        <w:t xml:space="preserve"> </w:t>
      </w:r>
      <w:r w:rsidR="3D42F699" w:rsidRPr="00BC0CD0">
        <w:rPr>
          <w:noProof/>
        </w:rPr>
        <w:t xml:space="preserve">include a reference to </w:t>
      </w:r>
      <w:r w:rsidR="01226A22" w:rsidRPr="0A07029C">
        <w:rPr>
          <w:noProof/>
        </w:rPr>
        <w:t>secure access to water, sustainable</w:t>
      </w:r>
      <w:r w:rsidR="01226A22" w:rsidRPr="6EB48071">
        <w:rPr>
          <w:noProof/>
        </w:rPr>
        <w:t xml:space="preserve"> water management </w:t>
      </w:r>
      <w:r w:rsidR="01226A22" w:rsidRPr="0A07029C">
        <w:rPr>
          <w:noProof/>
        </w:rPr>
        <w:t xml:space="preserve">and </w:t>
      </w:r>
      <w:r w:rsidR="3D42F699" w:rsidRPr="00BC0CD0">
        <w:rPr>
          <w:noProof/>
        </w:rPr>
        <w:t xml:space="preserve">water resilience in the </w:t>
      </w:r>
      <w:r w:rsidR="00C2720B">
        <w:rPr>
          <w:noProof/>
        </w:rPr>
        <w:t xml:space="preserve">new </w:t>
      </w:r>
      <w:r w:rsidR="3D42F699" w:rsidRPr="00BC0CD0">
        <w:rPr>
          <w:noProof/>
        </w:rPr>
        <w:t>specific objective under policy objective 2 to allow for proactive, risk-based management and increased preparedness. Dedicated priorities established for th</w:t>
      </w:r>
      <w:r w:rsidR="6CD0D5A5" w:rsidRPr="00BC0CD0">
        <w:rPr>
          <w:noProof/>
        </w:rPr>
        <w:t xml:space="preserve">at </w:t>
      </w:r>
      <w:r w:rsidR="3D42F699" w:rsidRPr="00BC0CD0">
        <w:rPr>
          <w:noProof/>
        </w:rPr>
        <w:t xml:space="preserve">specific objective should also benefit from an additional one-off pre-financing </w:t>
      </w:r>
      <w:r w:rsidR="1DFC1D06" w:rsidRPr="00BC0CD0">
        <w:rPr>
          <w:noProof/>
        </w:rPr>
        <w:t xml:space="preserve">of 30% </w:t>
      </w:r>
      <w:r w:rsidR="4F2B4BEC" w:rsidRPr="00BC0CD0">
        <w:rPr>
          <w:noProof/>
        </w:rPr>
        <w:t xml:space="preserve">of the amounts programmed </w:t>
      </w:r>
      <w:r w:rsidR="6134C44B" w:rsidRPr="00BC0CD0">
        <w:rPr>
          <w:noProof/>
        </w:rPr>
        <w:t xml:space="preserve">and the possibility of a co-financing rate of up to 100% </w:t>
      </w:r>
      <w:r w:rsidR="3D42F699" w:rsidRPr="00BC0CD0">
        <w:rPr>
          <w:noProof/>
        </w:rPr>
        <w:t>in order to incentivise crucial investments in th</w:t>
      </w:r>
      <w:r w:rsidR="6CD0D5A5" w:rsidRPr="00BC0CD0">
        <w:rPr>
          <w:noProof/>
        </w:rPr>
        <w:t xml:space="preserve">at </w:t>
      </w:r>
      <w:r w:rsidR="3D42F699" w:rsidRPr="00BC0CD0">
        <w:rPr>
          <w:noProof/>
        </w:rPr>
        <w:t>field.</w:t>
      </w:r>
    </w:p>
    <w:p w14:paraId="2C97B546" w14:textId="77777777" w:rsidR="009E0335" w:rsidRPr="00BC0CD0" w:rsidRDefault="00C45D17" w:rsidP="00C45D17">
      <w:pPr>
        <w:pStyle w:val="ManualConsidrant"/>
        <w:rPr>
          <w:noProof/>
        </w:rPr>
      </w:pPr>
      <w:r w:rsidRPr="00C45D17">
        <w:rPr>
          <w:noProof/>
        </w:rPr>
        <w:t>(12)</w:t>
      </w:r>
      <w:r w:rsidRPr="00C45D17">
        <w:rPr>
          <w:noProof/>
        </w:rPr>
        <w:tab/>
      </w:r>
      <w:r w:rsidR="6218322A" w:rsidRPr="00BC0CD0">
        <w:rPr>
          <w:noProof/>
        </w:rPr>
        <w:t xml:space="preserve">Finally, </w:t>
      </w:r>
      <w:r w:rsidR="5B5BD00B" w:rsidRPr="00BC0CD0">
        <w:rPr>
          <w:noProof/>
        </w:rPr>
        <w:t xml:space="preserve">in order to enhance the effectiveness of investments, </w:t>
      </w:r>
      <w:r w:rsidR="6218322A" w:rsidRPr="00BC0CD0">
        <w:rPr>
          <w:noProof/>
        </w:rPr>
        <w:t xml:space="preserve">it is important to allow for the payment of costs related to the implementation of reforms, also where </w:t>
      </w:r>
      <w:r w:rsidR="3FB891DF" w:rsidRPr="00BC0CD0">
        <w:rPr>
          <w:noProof/>
        </w:rPr>
        <w:t>such costs</w:t>
      </w:r>
      <w:r w:rsidR="6218322A" w:rsidRPr="00BC0CD0">
        <w:rPr>
          <w:noProof/>
        </w:rPr>
        <w:t xml:space="preserve"> are not directly </w:t>
      </w:r>
      <w:r w:rsidR="69DD1C18" w:rsidRPr="00BC0CD0">
        <w:rPr>
          <w:noProof/>
        </w:rPr>
        <w:t>linked</w:t>
      </w:r>
      <w:r w:rsidR="6218322A" w:rsidRPr="00BC0CD0">
        <w:rPr>
          <w:noProof/>
        </w:rPr>
        <w:t xml:space="preserve"> to the implementation of investments.</w:t>
      </w:r>
    </w:p>
    <w:p w14:paraId="5311F9C6" w14:textId="77777777" w:rsidR="009E0335" w:rsidRPr="00BC0CD0" w:rsidRDefault="00C45D17" w:rsidP="00C45D17">
      <w:pPr>
        <w:pStyle w:val="ManualConsidrant"/>
        <w:rPr>
          <w:noProof/>
        </w:rPr>
      </w:pPr>
      <w:r w:rsidRPr="00C45D17">
        <w:rPr>
          <w:noProof/>
        </w:rPr>
        <w:t>(13)</w:t>
      </w:r>
      <w:r w:rsidRPr="00C45D17">
        <w:rPr>
          <w:noProof/>
        </w:rPr>
        <w:tab/>
      </w:r>
      <w:r w:rsidR="40AE8FA0" w:rsidRPr="00BC0CD0">
        <w:rPr>
          <w:noProof/>
        </w:rPr>
        <w:t xml:space="preserve">In order to enable Member States to carry out a meaningful reprogramming in the context of the mid-term review </w:t>
      </w:r>
      <w:r w:rsidR="66E84728" w:rsidRPr="00BC0CD0">
        <w:rPr>
          <w:noProof/>
        </w:rPr>
        <w:t xml:space="preserve">and </w:t>
      </w:r>
      <w:r w:rsidR="40AE8FA0" w:rsidRPr="00BC0CD0">
        <w:rPr>
          <w:noProof/>
        </w:rPr>
        <w:t xml:space="preserve">focus resources on </w:t>
      </w:r>
      <w:r w:rsidR="2A0C65DD" w:rsidRPr="00BC0CD0">
        <w:rPr>
          <w:noProof/>
        </w:rPr>
        <w:t xml:space="preserve">those new </w:t>
      </w:r>
      <w:r w:rsidR="40AE8FA0" w:rsidRPr="00BC0CD0">
        <w:rPr>
          <w:noProof/>
        </w:rPr>
        <w:t xml:space="preserve">strategic </w:t>
      </w:r>
      <w:r w:rsidR="66E84728" w:rsidRPr="00BC0CD0">
        <w:rPr>
          <w:noProof/>
        </w:rPr>
        <w:t xml:space="preserve">Union </w:t>
      </w:r>
      <w:r w:rsidR="40AE8FA0" w:rsidRPr="00BC0CD0">
        <w:rPr>
          <w:noProof/>
        </w:rPr>
        <w:t xml:space="preserve">priorities, additional restrictions should be lifted. </w:t>
      </w:r>
      <w:r w:rsidR="2A0C65DD" w:rsidRPr="00BC0CD0">
        <w:rPr>
          <w:noProof/>
        </w:rPr>
        <w:t xml:space="preserve">As regards </w:t>
      </w:r>
      <w:r w:rsidR="40AE8FA0" w:rsidRPr="00BC0CD0">
        <w:rPr>
          <w:noProof/>
        </w:rPr>
        <w:t xml:space="preserve">thematic concentration requirements, it is appropriate to allow Member States to </w:t>
      </w:r>
      <w:r w:rsidR="66926A5A" w:rsidRPr="00BC0CD0">
        <w:rPr>
          <w:noProof/>
        </w:rPr>
        <w:t xml:space="preserve">count </w:t>
      </w:r>
      <w:r w:rsidR="40AE8FA0" w:rsidRPr="00BC0CD0">
        <w:rPr>
          <w:noProof/>
        </w:rPr>
        <w:t>amounts programmed for new strategic priorities</w:t>
      </w:r>
      <w:r w:rsidR="2A0C65DD" w:rsidRPr="00BC0CD0">
        <w:rPr>
          <w:noProof/>
        </w:rPr>
        <w:t>,</w:t>
      </w:r>
      <w:r w:rsidR="40AE8FA0" w:rsidRPr="00BC0CD0">
        <w:rPr>
          <w:noProof/>
        </w:rPr>
        <w:t xml:space="preserve"> including those contributing to STEP objectives</w:t>
      </w:r>
      <w:r w:rsidR="2A0C65DD" w:rsidRPr="00BC0CD0">
        <w:rPr>
          <w:noProof/>
        </w:rPr>
        <w:t>,</w:t>
      </w:r>
      <w:r w:rsidR="40AE8FA0" w:rsidRPr="00BC0CD0">
        <w:rPr>
          <w:noProof/>
        </w:rPr>
        <w:t xml:space="preserve"> </w:t>
      </w:r>
      <w:r w:rsidR="66926A5A" w:rsidRPr="00BC0CD0">
        <w:rPr>
          <w:noProof/>
        </w:rPr>
        <w:t xml:space="preserve">towards </w:t>
      </w:r>
      <w:r w:rsidR="40AE8FA0" w:rsidRPr="00BC0CD0">
        <w:rPr>
          <w:noProof/>
        </w:rPr>
        <w:t>the amounts required to ensure compliance with thematic concentration requirements</w:t>
      </w:r>
      <w:r w:rsidR="40AE8FA0">
        <w:rPr>
          <w:noProof/>
        </w:rPr>
        <w:t>.</w:t>
      </w:r>
      <w:r w:rsidR="05AB274E" w:rsidRPr="00BC0CD0">
        <w:rPr>
          <w:noProof/>
        </w:rPr>
        <w:t xml:space="preserve"> </w:t>
      </w:r>
      <w:r w:rsidR="40AE8FA0">
        <w:rPr>
          <w:noProof/>
        </w:rPr>
        <w:t xml:space="preserve">This should be accompanied with some flexibility regarding the calculation of the respective climate contribution for the ERDF and the Cohesion Fund as </w:t>
      </w:r>
      <w:r w:rsidR="60670F41" w:rsidRPr="00BC0CD0">
        <w:rPr>
          <w:noProof/>
        </w:rPr>
        <w:t xml:space="preserve">set out in Article </w:t>
      </w:r>
      <w:r w:rsidR="6DB6AE00" w:rsidRPr="00BC0CD0">
        <w:rPr>
          <w:noProof/>
        </w:rPr>
        <w:t xml:space="preserve">6 </w:t>
      </w:r>
      <w:r w:rsidR="60670F41" w:rsidRPr="00BC0CD0">
        <w:rPr>
          <w:noProof/>
        </w:rPr>
        <w:t>of Regulation (EU)</w:t>
      </w:r>
      <w:r w:rsidR="5143E929" w:rsidRPr="00BC0CD0">
        <w:rPr>
          <w:noProof/>
        </w:rPr>
        <w:t xml:space="preserve"> </w:t>
      </w:r>
      <w:r w:rsidR="60670F41" w:rsidRPr="00BC0CD0">
        <w:rPr>
          <w:noProof/>
        </w:rPr>
        <w:t>2</w:t>
      </w:r>
      <w:r w:rsidR="05870A20" w:rsidRPr="00BC0CD0">
        <w:rPr>
          <w:noProof/>
        </w:rPr>
        <w:t>0</w:t>
      </w:r>
      <w:r w:rsidR="60670F41" w:rsidRPr="00BC0CD0">
        <w:rPr>
          <w:noProof/>
        </w:rPr>
        <w:t>21/1060</w:t>
      </w:r>
      <w:r w:rsidR="40AE8FA0">
        <w:rPr>
          <w:noProof/>
        </w:rPr>
        <w:t>, while respecting the overall requirements of that Article</w:t>
      </w:r>
      <w:r w:rsidR="40AE8FA0" w:rsidRPr="00BC0CD0">
        <w:rPr>
          <w:noProof/>
        </w:rPr>
        <w:t xml:space="preserve">. In addition, </w:t>
      </w:r>
      <w:r w:rsidR="66926A5A" w:rsidRPr="00BC0CD0">
        <w:rPr>
          <w:noProof/>
        </w:rPr>
        <w:t xml:space="preserve">to accelerate the decarbonisation of industry that is necessary for reaching the </w:t>
      </w:r>
      <w:r w:rsidR="2A0C65DD" w:rsidRPr="00BC0CD0">
        <w:rPr>
          <w:noProof/>
        </w:rPr>
        <w:t xml:space="preserve">Union’s </w:t>
      </w:r>
      <w:r w:rsidR="66926A5A" w:rsidRPr="00BC0CD0">
        <w:rPr>
          <w:noProof/>
        </w:rPr>
        <w:t xml:space="preserve">climate objectives, </w:t>
      </w:r>
      <w:r w:rsidR="2DC6A6C3" w:rsidRPr="00BC0CD0">
        <w:rPr>
          <w:noProof/>
        </w:rPr>
        <w:t>it is necessary to provide</w:t>
      </w:r>
      <w:r w:rsidR="2FE0DC54" w:rsidRPr="00BC0CD0">
        <w:rPr>
          <w:noProof/>
        </w:rPr>
        <w:t xml:space="preserve"> for the possibility </w:t>
      </w:r>
      <w:r w:rsidR="40AE8FA0" w:rsidRPr="00BC0CD0">
        <w:rPr>
          <w:noProof/>
        </w:rPr>
        <w:t>to finance</w:t>
      </w:r>
      <w:r w:rsidR="5639D9F4" w:rsidRPr="00BC0CD0">
        <w:rPr>
          <w:noProof/>
        </w:rPr>
        <w:t>, through the ERDF</w:t>
      </w:r>
      <w:r w:rsidR="2C9AA80E" w:rsidRPr="00BC0CD0">
        <w:rPr>
          <w:noProof/>
        </w:rPr>
        <w:t>,</w:t>
      </w:r>
      <w:r w:rsidR="40AE8FA0" w:rsidRPr="00BC0CD0">
        <w:rPr>
          <w:noProof/>
        </w:rPr>
        <w:t xml:space="preserve"> investments </w:t>
      </w:r>
      <w:r w:rsidR="5B9627E0" w:rsidRPr="00BC0CD0">
        <w:rPr>
          <w:noProof/>
        </w:rPr>
        <w:t xml:space="preserve">aimed at achieving </w:t>
      </w:r>
      <w:r w:rsidR="40AE8FA0" w:rsidRPr="00BC0CD0">
        <w:rPr>
          <w:noProof/>
        </w:rPr>
        <w:t xml:space="preserve">the reduction of greenhouse gas emissions also from activities listed in Annex I </w:t>
      </w:r>
      <w:r w:rsidR="3D01F387" w:rsidRPr="00BC0CD0">
        <w:rPr>
          <w:noProof/>
        </w:rPr>
        <w:t>to</w:t>
      </w:r>
      <w:r w:rsidR="40AE8FA0" w:rsidRPr="00BC0CD0">
        <w:rPr>
          <w:noProof/>
        </w:rPr>
        <w:t xml:space="preserve"> Directive 2003/87/EC</w:t>
      </w:r>
      <w:r w:rsidR="4D2EA928" w:rsidRPr="00BC0CD0">
        <w:rPr>
          <w:noProof/>
        </w:rPr>
        <w:t xml:space="preserve"> of the European Parliament and of the Council</w:t>
      </w:r>
      <w:r w:rsidR="00AF1DE2">
        <w:rPr>
          <w:rStyle w:val="FootnoteReference"/>
          <w:rFonts w:eastAsia="Times New Roman"/>
          <w:noProof/>
        </w:rPr>
        <w:footnoteReference w:id="7"/>
      </w:r>
      <w:r w:rsidR="00C2720B">
        <w:rPr>
          <w:noProof/>
        </w:rPr>
        <w:t xml:space="preserve"> </w:t>
      </w:r>
      <w:r w:rsidR="7D2F876F" w:rsidRPr="4D8CB314">
        <w:rPr>
          <w:noProof/>
        </w:rPr>
        <w:t xml:space="preserve">provided that they have been awarded a Seal </w:t>
      </w:r>
      <w:r w:rsidR="7D2F876F" w:rsidRPr="4D8CB314" w:rsidDel="000E54BB">
        <w:rPr>
          <w:noProof/>
        </w:rPr>
        <w:t>Excellence</w:t>
      </w:r>
      <w:r w:rsidR="7D2F876F" w:rsidRPr="4D8CB314">
        <w:rPr>
          <w:noProof/>
        </w:rPr>
        <w:t xml:space="preserve">. </w:t>
      </w:r>
      <w:r w:rsidR="73D36391" w:rsidRPr="00BC0CD0">
        <w:rPr>
          <w:noProof/>
        </w:rPr>
        <w:t>Similarly</w:t>
      </w:r>
      <w:r w:rsidR="2AB6CD49" w:rsidRPr="00BC0CD0">
        <w:rPr>
          <w:noProof/>
        </w:rPr>
        <w:t xml:space="preserve">, </w:t>
      </w:r>
      <w:r w:rsidR="73D36391" w:rsidRPr="00BC0CD0">
        <w:rPr>
          <w:noProof/>
        </w:rPr>
        <w:t xml:space="preserve">as regards </w:t>
      </w:r>
      <w:r w:rsidR="40AE8FA0" w:rsidRPr="00BC0CD0">
        <w:rPr>
          <w:noProof/>
        </w:rPr>
        <w:t>the JTF</w:t>
      </w:r>
      <w:r w:rsidR="73D36391" w:rsidRPr="00BC0CD0">
        <w:rPr>
          <w:noProof/>
        </w:rPr>
        <w:t>,</w:t>
      </w:r>
      <w:r w:rsidR="40AE8FA0" w:rsidRPr="00BC0CD0">
        <w:rPr>
          <w:noProof/>
        </w:rPr>
        <w:t xml:space="preserve"> the conditions for financing such investments should be simplified. Furthermore, </w:t>
      </w:r>
      <w:r w:rsidR="3C367CE1" w:rsidRPr="00BC0CD0">
        <w:rPr>
          <w:noProof/>
        </w:rPr>
        <w:t>in order to ensure consistency of support between financing granted under direct</w:t>
      </w:r>
      <w:r w:rsidR="0BC671CC" w:rsidRPr="00BC0CD0">
        <w:rPr>
          <w:noProof/>
        </w:rPr>
        <w:t xml:space="preserve"> </w:t>
      </w:r>
      <w:r w:rsidR="3C367CE1" w:rsidRPr="00BC0CD0">
        <w:rPr>
          <w:noProof/>
        </w:rPr>
        <w:t xml:space="preserve">and shared management, </w:t>
      </w:r>
      <w:r w:rsidR="40AE8FA0" w:rsidRPr="00BC0CD0">
        <w:rPr>
          <w:noProof/>
        </w:rPr>
        <w:t xml:space="preserve">operations </w:t>
      </w:r>
      <w:r w:rsidR="5A439815" w:rsidRPr="00BC0CD0">
        <w:rPr>
          <w:noProof/>
        </w:rPr>
        <w:t>that</w:t>
      </w:r>
      <w:r w:rsidR="2CB2F9AE" w:rsidRPr="00BC0CD0">
        <w:rPr>
          <w:noProof/>
        </w:rPr>
        <w:t xml:space="preserve"> </w:t>
      </w:r>
      <w:r w:rsidR="40AE8FA0" w:rsidRPr="00BC0CD0">
        <w:rPr>
          <w:noProof/>
        </w:rPr>
        <w:t xml:space="preserve">have </w:t>
      </w:r>
      <w:r w:rsidR="0BC671CC" w:rsidRPr="00BC0CD0">
        <w:rPr>
          <w:noProof/>
        </w:rPr>
        <w:t xml:space="preserve">already been assessed in the context of directly managed programmes and </w:t>
      </w:r>
      <w:r w:rsidR="40AE8FA0" w:rsidRPr="00BC0CD0">
        <w:rPr>
          <w:noProof/>
        </w:rPr>
        <w:t xml:space="preserve">been attributed a </w:t>
      </w:r>
      <w:r w:rsidR="38F41241" w:rsidRPr="00BC0CD0">
        <w:rPr>
          <w:noProof/>
        </w:rPr>
        <w:t>‘</w:t>
      </w:r>
      <w:r w:rsidR="0863C1CF" w:rsidRPr="00BC0CD0">
        <w:rPr>
          <w:noProof/>
        </w:rPr>
        <w:t>Sovereignty Seal</w:t>
      </w:r>
      <w:r w:rsidR="7E35EDAA" w:rsidRPr="00BC0CD0">
        <w:rPr>
          <w:noProof/>
        </w:rPr>
        <w:t>’</w:t>
      </w:r>
      <w:r w:rsidR="091C4BF7" w:rsidRPr="00BC0CD0">
        <w:rPr>
          <w:noProof/>
        </w:rPr>
        <w:t xml:space="preserve"> </w:t>
      </w:r>
      <w:r w:rsidR="27B2675A" w:rsidRPr="00BC0CD0">
        <w:rPr>
          <w:noProof/>
        </w:rPr>
        <w:t xml:space="preserve">as defined in </w:t>
      </w:r>
      <w:r w:rsidR="312B016F" w:rsidRPr="00BC0CD0">
        <w:rPr>
          <w:noProof/>
        </w:rPr>
        <w:t xml:space="preserve">Article 4(1) of Regulation (EU) 2024/795 in a call for proposals under Commission Delegated Regulation (EU) 2019/856 </w:t>
      </w:r>
      <w:r w:rsidR="03CB6841" w:rsidRPr="00BC0CD0">
        <w:rPr>
          <w:noProof/>
        </w:rPr>
        <w:t>by the Commission</w:t>
      </w:r>
      <w:r w:rsidR="4CA0E85B" w:rsidRPr="5EA49681">
        <w:rPr>
          <w:noProof/>
        </w:rPr>
        <w:t xml:space="preserve"> should not be subject to the fossil fuel exclusion</w:t>
      </w:r>
      <w:r w:rsidR="40AE8FA0" w:rsidRPr="00BC0CD0">
        <w:rPr>
          <w:noProof/>
        </w:rPr>
        <w:t xml:space="preserve">. Member States should </w:t>
      </w:r>
      <w:r w:rsidR="0BC671CC" w:rsidRPr="00BC0CD0">
        <w:rPr>
          <w:noProof/>
        </w:rPr>
        <w:t xml:space="preserve">also </w:t>
      </w:r>
      <w:r w:rsidR="40AE8FA0" w:rsidRPr="00BC0CD0">
        <w:rPr>
          <w:noProof/>
        </w:rPr>
        <w:t>be given the possibility to contribute resources from the ERDF and the Cohesion Fund to the Member State compartment of the InvestEU Fund</w:t>
      </w:r>
      <w:r w:rsidR="00AF1DE2">
        <w:rPr>
          <w:rStyle w:val="FootnoteReference"/>
          <w:rFonts w:eastAsia="Times New Roman"/>
          <w:noProof/>
        </w:rPr>
        <w:footnoteReference w:id="8"/>
      </w:r>
      <w:r w:rsidR="6868E442" w:rsidRPr="00BC0CD0">
        <w:rPr>
          <w:noProof/>
        </w:rPr>
        <w:t xml:space="preserve"> </w:t>
      </w:r>
      <w:r w:rsidR="40AE8FA0" w:rsidRPr="00BC0CD0">
        <w:rPr>
          <w:noProof/>
        </w:rPr>
        <w:t xml:space="preserve">to deploy them through the InvestEU financial instrument set out in </w:t>
      </w:r>
      <w:r w:rsidR="107CC7B9" w:rsidRPr="00BC0CD0">
        <w:rPr>
          <w:noProof/>
        </w:rPr>
        <w:t>[</w:t>
      </w:r>
      <w:r w:rsidR="40AE8FA0" w:rsidRPr="00BC0CD0">
        <w:rPr>
          <w:noProof/>
        </w:rPr>
        <w:t>Article 10a of Regulation (EU) 2021/523</w:t>
      </w:r>
      <w:r w:rsidR="702EB993" w:rsidRPr="00BC0CD0">
        <w:rPr>
          <w:noProof/>
        </w:rPr>
        <w:t>]</w:t>
      </w:r>
      <w:r w:rsidR="40AE8FA0" w:rsidRPr="00BC0CD0">
        <w:rPr>
          <w:noProof/>
        </w:rPr>
        <w:t>.</w:t>
      </w:r>
      <w:r w:rsidR="6619F7B5" w:rsidRPr="00BC0CD0">
        <w:rPr>
          <w:noProof/>
        </w:rPr>
        <w:t xml:space="preserve"> </w:t>
      </w:r>
      <w:r w:rsidR="7E6F6731" w:rsidRPr="00BC0CD0">
        <w:rPr>
          <w:noProof/>
        </w:rPr>
        <w:t xml:space="preserve">Finally, </w:t>
      </w:r>
      <w:r w:rsidR="5E5A2F96" w:rsidRPr="00BC0CD0">
        <w:rPr>
          <w:noProof/>
        </w:rPr>
        <w:t>in order to allow for a comprehensive reprogramming</w:t>
      </w:r>
      <w:r w:rsidR="7E6F6731" w:rsidRPr="00BC0CD0">
        <w:rPr>
          <w:noProof/>
        </w:rPr>
        <w:t xml:space="preserve"> towards </w:t>
      </w:r>
      <w:r w:rsidR="6DD6E1F0" w:rsidRPr="00BC0CD0">
        <w:rPr>
          <w:noProof/>
        </w:rPr>
        <w:t xml:space="preserve">the </w:t>
      </w:r>
      <w:r w:rsidR="7E6F6731" w:rsidRPr="00BC0CD0">
        <w:rPr>
          <w:noProof/>
        </w:rPr>
        <w:t>new strategic priorities</w:t>
      </w:r>
      <w:r w:rsidR="39728626" w:rsidRPr="00BC0CD0">
        <w:rPr>
          <w:noProof/>
        </w:rPr>
        <w:t xml:space="preserve"> </w:t>
      </w:r>
      <w:r w:rsidR="7E6F6731" w:rsidRPr="00BC0CD0">
        <w:rPr>
          <w:noProof/>
        </w:rPr>
        <w:t xml:space="preserve">in the context of the mid-term review, </w:t>
      </w:r>
      <w:r w:rsidR="6A8963BC" w:rsidRPr="00BC0CD0">
        <w:rPr>
          <w:noProof/>
        </w:rPr>
        <w:t>Member States shou</w:t>
      </w:r>
      <w:r w:rsidR="34D3D0BF" w:rsidRPr="00BC0CD0">
        <w:rPr>
          <w:noProof/>
        </w:rPr>
        <w:t>ld benefit from additional time to comple</w:t>
      </w:r>
      <w:r w:rsidR="52D3E231" w:rsidRPr="00BC0CD0">
        <w:rPr>
          <w:noProof/>
        </w:rPr>
        <w:t>ment</w:t>
      </w:r>
      <w:r w:rsidR="34D3D0BF" w:rsidRPr="00BC0CD0">
        <w:rPr>
          <w:noProof/>
        </w:rPr>
        <w:t xml:space="preserve"> the assessment of the </w:t>
      </w:r>
      <w:r w:rsidR="713C8BDB" w:rsidRPr="00BC0CD0">
        <w:rPr>
          <w:noProof/>
        </w:rPr>
        <w:t>outcome of the mid</w:t>
      </w:r>
      <w:r w:rsidR="40AE8FA0">
        <w:rPr>
          <w:noProof/>
        </w:rPr>
        <w:t>-</w:t>
      </w:r>
      <w:r w:rsidR="713C8BDB" w:rsidRPr="00BC0CD0">
        <w:rPr>
          <w:noProof/>
        </w:rPr>
        <w:t>term review and the submission of related programme amendments</w:t>
      </w:r>
      <w:r w:rsidR="40833681" w:rsidRPr="00BC0CD0">
        <w:rPr>
          <w:noProof/>
        </w:rPr>
        <w:t xml:space="preserve">. </w:t>
      </w:r>
      <w:r w:rsidR="3492683D" w:rsidRPr="00BC0CD0">
        <w:rPr>
          <w:noProof/>
        </w:rPr>
        <w:t xml:space="preserve">This should also apply to JTF resources where they are included in a programme </w:t>
      </w:r>
      <w:r w:rsidR="53AEF1ED" w:rsidRPr="00BC0CD0">
        <w:rPr>
          <w:noProof/>
        </w:rPr>
        <w:t xml:space="preserve">together with ERDF or Cohesion Fund resources.  </w:t>
      </w:r>
    </w:p>
    <w:p w14:paraId="73A7F55F" w14:textId="77777777" w:rsidR="005C370E" w:rsidRPr="00BC0CD0" w:rsidRDefault="00C45D17" w:rsidP="00C45D17">
      <w:pPr>
        <w:pStyle w:val="ManualConsidrant"/>
        <w:rPr>
          <w:noProof/>
        </w:rPr>
      </w:pPr>
      <w:r w:rsidRPr="00C45D17">
        <w:rPr>
          <w:noProof/>
        </w:rPr>
        <w:t>(14)</w:t>
      </w:r>
      <w:r w:rsidRPr="00C45D17">
        <w:rPr>
          <w:noProof/>
        </w:rPr>
        <w:tab/>
      </w:r>
      <w:r w:rsidR="6218322A" w:rsidRPr="00BC0CD0">
        <w:rPr>
          <w:noProof/>
        </w:rPr>
        <w:t>In order to accelerate the</w:t>
      </w:r>
      <w:r w:rsidR="286CEC3C" w:rsidRPr="00BC0CD0">
        <w:rPr>
          <w:noProof/>
        </w:rPr>
        <w:t xml:space="preserve"> </w:t>
      </w:r>
      <w:r w:rsidR="6218322A" w:rsidRPr="00BC0CD0">
        <w:rPr>
          <w:noProof/>
        </w:rPr>
        <w:t xml:space="preserve">implementation of cohesion policy programmes more generally and inject the necessary liquidity for key investments to be implemented, </w:t>
      </w:r>
      <w:r w:rsidR="40DEDF8E" w:rsidRPr="00BC0CD0">
        <w:rPr>
          <w:noProof/>
        </w:rPr>
        <w:t xml:space="preserve">an additional </w:t>
      </w:r>
      <w:r w:rsidR="6D5EE242" w:rsidRPr="00BC0CD0">
        <w:rPr>
          <w:noProof/>
        </w:rPr>
        <w:t xml:space="preserve">one-off </w:t>
      </w:r>
      <w:r w:rsidR="6218322A" w:rsidRPr="00BC0CD0">
        <w:rPr>
          <w:noProof/>
        </w:rPr>
        <w:t>pre-financing for the ERDF</w:t>
      </w:r>
      <w:r w:rsidR="10343FFF" w:rsidRPr="00BC0CD0">
        <w:rPr>
          <w:noProof/>
        </w:rPr>
        <w:t xml:space="preserve"> and </w:t>
      </w:r>
      <w:r w:rsidR="6218322A" w:rsidRPr="00BC0CD0">
        <w:rPr>
          <w:noProof/>
        </w:rPr>
        <w:t>the Cohesion Fund</w:t>
      </w:r>
      <w:r w:rsidR="6D8B7FA7" w:rsidRPr="00BC0CD0">
        <w:rPr>
          <w:noProof/>
        </w:rPr>
        <w:t xml:space="preserve"> </w:t>
      </w:r>
      <w:r w:rsidR="6218322A" w:rsidRPr="00BC0CD0">
        <w:rPr>
          <w:noProof/>
        </w:rPr>
        <w:t xml:space="preserve">should be </w:t>
      </w:r>
      <w:r w:rsidR="5F6623B2" w:rsidRPr="00BC0CD0">
        <w:rPr>
          <w:noProof/>
        </w:rPr>
        <w:t>paid</w:t>
      </w:r>
      <w:r w:rsidR="15A63541" w:rsidRPr="00BC0CD0">
        <w:rPr>
          <w:noProof/>
        </w:rPr>
        <w:t xml:space="preserve"> for programmes </w:t>
      </w:r>
      <w:r w:rsidR="7CC6E607" w:rsidRPr="00BC0CD0">
        <w:rPr>
          <w:noProof/>
        </w:rPr>
        <w:t>under both</w:t>
      </w:r>
      <w:r w:rsidR="549A7551" w:rsidRPr="00BC0CD0">
        <w:rPr>
          <w:noProof/>
        </w:rPr>
        <w:t xml:space="preserve"> </w:t>
      </w:r>
      <w:r w:rsidR="15A63541" w:rsidRPr="00BC0CD0">
        <w:rPr>
          <w:noProof/>
        </w:rPr>
        <w:t xml:space="preserve">the Investment for jobs and growth goal </w:t>
      </w:r>
      <w:r w:rsidR="551E2313" w:rsidRPr="00BC0CD0">
        <w:rPr>
          <w:noProof/>
        </w:rPr>
        <w:t>and u</w:t>
      </w:r>
      <w:r w:rsidR="44965AB4" w:rsidRPr="00BC0CD0">
        <w:rPr>
          <w:noProof/>
        </w:rPr>
        <w:t>nder</w:t>
      </w:r>
      <w:r w:rsidR="551E2313" w:rsidRPr="00BC0CD0">
        <w:rPr>
          <w:noProof/>
        </w:rPr>
        <w:t xml:space="preserve"> </w:t>
      </w:r>
      <w:r w:rsidR="15A63541" w:rsidRPr="00BC0CD0">
        <w:rPr>
          <w:noProof/>
        </w:rPr>
        <w:t>European territorial cooperation goal</w:t>
      </w:r>
      <w:r w:rsidR="26AA1992" w:rsidRPr="00BC0CD0">
        <w:rPr>
          <w:noProof/>
        </w:rPr>
        <w:t xml:space="preserve"> (Interreg)</w:t>
      </w:r>
      <w:r w:rsidR="2A71D228" w:rsidRPr="00BC0CD0">
        <w:rPr>
          <w:noProof/>
        </w:rPr>
        <w:t>, when the reprogramming concerns a substantial share of the overall prog</w:t>
      </w:r>
      <w:r w:rsidR="11FB7D4C" w:rsidRPr="00BC0CD0">
        <w:rPr>
          <w:noProof/>
        </w:rPr>
        <w:t>r</w:t>
      </w:r>
      <w:r w:rsidR="2A71D228" w:rsidRPr="00BC0CD0">
        <w:rPr>
          <w:noProof/>
        </w:rPr>
        <w:t>amme</w:t>
      </w:r>
      <w:r w:rsidR="6218322A" w:rsidRPr="00BC0CD0">
        <w:rPr>
          <w:noProof/>
        </w:rPr>
        <w:t xml:space="preserve">. </w:t>
      </w:r>
      <w:bookmarkStart w:id="13" w:name="_Hlk192756547"/>
      <w:r w:rsidR="784E2FFD" w:rsidRPr="00BC0CD0">
        <w:rPr>
          <w:noProof/>
        </w:rPr>
        <w:t>The pre-financing percentage</w:t>
      </w:r>
      <w:r w:rsidR="7D3A9AC7" w:rsidRPr="00BC0CD0">
        <w:rPr>
          <w:noProof/>
        </w:rPr>
        <w:t xml:space="preserve"> </w:t>
      </w:r>
      <w:r w:rsidR="784E2FFD" w:rsidRPr="00BC0CD0">
        <w:rPr>
          <w:noProof/>
        </w:rPr>
        <w:t xml:space="preserve">should be </w:t>
      </w:r>
      <w:r w:rsidR="184A3555" w:rsidRPr="00BC0CD0">
        <w:rPr>
          <w:noProof/>
        </w:rPr>
        <w:t xml:space="preserve">further </w:t>
      </w:r>
      <w:r w:rsidR="784E2FFD" w:rsidRPr="00BC0CD0">
        <w:rPr>
          <w:noProof/>
        </w:rPr>
        <w:t xml:space="preserve">increased for </w:t>
      </w:r>
      <w:r w:rsidR="08860833" w:rsidRPr="00BC0CD0">
        <w:rPr>
          <w:noProof/>
        </w:rPr>
        <w:t xml:space="preserve">certain </w:t>
      </w:r>
      <w:r w:rsidR="784E2FFD" w:rsidRPr="00BC0CD0">
        <w:rPr>
          <w:noProof/>
        </w:rPr>
        <w:t>programmes under the Investment for jobs and growth goal covering one or more NUTS2 regions bordering Russia</w:t>
      </w:r>
      <w:r w:rsidR="13139DD6" w:rsidRPr="00BC0CD0">
        <w:rPr>
          <w:noProof/>
        </w:rPr>
        <w:t>, Belarus</w:t>
      </w:r>
      <w:r w:rsidR="784E2FFD" w:rsidRPr="00BC0CD0">
        <w:rPr>
          <w:noProof/>
        </w:rPr>
        <w:t xml:space="preserve"> or Ukraine</w:t>
      </w:r>
      <w:r w:rsidR="5A1807EA" w:rsidRPr="00BC0CD0">
        <w:rPr>
          <w:noProof/>
        </w:rPr>
        <w:t xml:space="preserve">, given the adverse impact </w:t>
      </w:r>
      <w:r w:rsidR="4B311CCA" w:rsidRPr="00BC0CD0">
        <w:rPr>
          <w:noProof/>
        </w:rPr>
        <w:t xml:space="preserve">on those regions </w:t>
      </w:r>
      <w:r w:rsidR="5A1807EA" w:rsidRPr="00BC0CD0">
        <w:rPr>
          <w:noProof/>
        </w:rPr>
        <w:t xml:space="preserve">of the Russian </w:t>
      </w:r>
      <w:r w:rsidR="7B4D0008" w:rsidRPr="00BC0CD0">
        <w:rPr>
          <w:noProof/>
        </w:rPr>
        <w:t xml:space="preserve">war of </w:t>
      </w:r>
      <w:r w:rsidR="5A1807EA" w:rsidRPr="00BC0CD0">
        <w:rPr>
          <w:noProof/>
        </w:rPr>
        <w:t xml:space="preserve">aggression </w:t>
      </w:r>
      <w:r w:rsidR="218D2C57" w:rsidRPr="00BC0CD0">
        <w:rPr>
          <w:noProof/>
        </w:rPr>
        <w:t>against Ukraine</w:t>
      </w:r>
      <w:r w:rsidR="41F21959" w:rsidRPr="00BC0CD0">
        <w:rPr>
          <w:noProof/>
        </w:rPr>
        <w:t>.</w:t>
      </w:r>
      <w:r w:rsidR="6D5EE242" w:rsidRPr="00BC0CD0">
        <w:rPr>
          <w:noProof/>
        </w:rPr>
        <w:t xml:space="preserve"> </w:t>
      </w:r>
      <w:r w:rsidR="19CE8155" w:rsidRPr="00BC0CD0">
        <w:rPr>
          <w:noProof/>
        </w:rPr>
        <w:t>In order to incentivise the re-programming towards key priorities in the context of the mid-term review,</w:t>
      </w:r>
      <w:r w:rsidR="0D7F601C" w:rsidRPr="00BC0CD0">
        <w:rPr>
          <w:noProof/>
        </w:rPr>
        <w:t xml:space="preserve"> the additional pre-</w:t>
      </w:r>
      <w:r w:rsidR="6A70CF4A" w:rsidRPr="00BC0CD0">
        <w:rPr>
          <w:noProof/>
        </w:rPr>
        <w:t xml:space="preserve">financing </w:t>
      </w:r>
      <w:r w:rsidR="0D7F601C" w:rsidRPr="00BC0CD0">
        <w:rPr>
          <w:noProof/>
        </w:rPr>
        <w:t>shou</w:t>
      </w:r>
      <w:r w:rsidR="47DC8844" w:rsidRPr="00BC0CD0">
        <w:rPr>
          <w:noProof/>
        </w:rPr>
        <w:t xml:space="preserve">ld </w:t>
      </w:r>
      <w:r w:rsidR="0D7F601C" w:rsidRPr="00BC0CD0">
        <w:rPr>
          <w:noProof/>
        </w:rPr>
        <w:t>only be av</w:t>
      </w:r>
      <w:r w:rsidR="3A695E9F" w:rsidRPr="00BC0CD0">
        <w:rPr>
          <w:noProof/>
        </w:rPr>
        <w:t>a</w:t>
      </w:r>
      <w:r w:rsidR="0D7F601C" w:rsidRPr="00BC0CD0">
        <w:rPr>
          <w:noProof/>
        </w:rPr>
        <w:t xml:space="preserve">ilable </w:t>
      </w:r>
      <w:r w:rsidR="603B78CD" w:rsidRPr="00BC0CD0">
        <w:rPr>
          <w:noProof/>
        </w:rPr>
        <w:t xml:space="preserve">where </w:t>
      </w:r>
      <w:r w:rsidR="589FD776" w:rsidRPr="00BC0CD0">
        <w:rPr>
          <w:noProof/>
        </w:rPr>
        <w:t>a certain threshold for the reallocat</w:t>
      </w:r>
      <w:r w:rsidR="0B056F69" w:rsidRPr="00BC0CD0">
        <w:rPr>
          <w:noProof/>
        </w:rPr>
        <w:t>i</w:t>
      </w:r>
      <w:r w:rsidR="589FD776" w:rsidRPr="00BC0CD0">
        <w:rPr>
          <w:noProof/>
        </w:rPr>
        <w:t xml:space="preserve">on of </w:t>
      </w:r>
      <w:r w:rsidR="728AE15A" w:rsidRPr="00BC0CD0">
        <w:rPr>
          <w:noProof/>
        </w:rPr>
        <w:t>financial resources to specific crucial priorities</w:t>
      </w:r>
      <w:r w:rsidR="49D5F194" w:rsidRPr="00BC0CD0">
        <w:rPr>
          <w:noProof/>
        </w:rPr>
        <w:t xml:space="preserve"> is reached </w:t>
      </w:r>
      <w:r w:rsidR="609E3620" w:rsidRPr="00BC0CD0">
        <w:rPr>
          <w:noProof/>
        </w:rPr>
        <w:t>in that context</w:t>
      </w:r>
      <w:bookmarkEnd w:id="13"/>
      <w:r w:rsidR="09B163F7" w:rsidRPr="00BC0CD0">
        <w:rPr>
          <w:noProof/>
        </w:rPr>
        <w:t xml:space="preserve">. </w:t>
      </w:r>
    </w:p>
    <w:p w14:paraId="0D7D328E" w14:textId="77777777" w:rsidR="009E0335" w:rsidRPr="00BC0CD0" w:rsidRDefault="00C45D17" w:rsidP="00C45D17">
      <w:pPr>
        <w:pStyle w:val="ManualConsidrant"/>
        <w:rPr>
          <w:noProof/>
        </w:rPr>
      </w:pPr>
      <w:r w:rsidRPr="00C45D17">
        <w:rPr>
          <w:noProof/>
        </w:rPr>
        <w:t>(15)</w:t>
      </w:r>
      <w:r w:rsidRPr="00C45D17">
        <w:rPr>
          <w:noProof/>
        </w:rPr>
        <w:tab/>
      </w:r>
      <w:r w:rsidR="6218322A" w:rsidRPr="00BC0CD0">
        <w:rPr>
          <w:noProof/>
        </w:rPr>
        <w:t>Furthermore, to take account of the time needed to refocus investments in the context of the mid-term review</w:t>
      </w:r>
      <w:r w:rsidR="67DEB84C" w:rsidRPr="00BC0CD0">
        <w:rPr>
          <w:noProof/>
        </w:rPr>
        <w:t xml:space="preserve"> and allow best use of available resources</w:t>
      </w:r>
      <w:r w:rsidR="6218322A" w:rsidRPr="00BC0CD0">
        <w:rPr>
          <w:noProof/>
        </w:rPr>
        <w:t xml:space="preserve">, the </w:t>
      </w:r>
      <w:r w:rsidR="1F69ED01" w:rsidRPr="00BC0CD0">
        <w:rPr>
          <w:noProof/>
        </w:rPr>
        <w:t xml:space="preserve">deadlines for the eligibility of expenditure as well as </w:t>
      </w:r>
      <w:r w:rsidR="6218322A" w:rsidRPr="00BC0CD0">
        <w:rPr>
          <w:noProof/>
        </w:rPr>
        <w:t xml:space="preserve">decommitment rules should be adjusted </w:t>
      </w:r>
      <w:r w:rsidR="784E2FFD" w:rsidRPr="00BC0CD0">
        <w:rPr>
          <w:noProof/>
        </w:rPr>
        <w:t xml:space="preserve">for programmes carrying out a reallocation of resources </w:t>
      </w:r>
      <w:r w:rsidR="69617E41" w:rsidRPr="00BC0CD0">
        <w:rPr>
          <w:noProof/>
        </w:rPr>
        <w:t xml:space="preserve">to strategic priorities </w:t>
      </w:r>
      <w:r w:rsidR="784E2FFD" w:rsidRPr="00BC0CD0">
        <w:rPr>
          <w:noProof/>
        </w:rPr>
        <w:t>in the context of the mid</w:t>
      </w:r>
      <w:r w:rsidR="1E034D84" w:rsidRPr="00BC0CD0">
        <w:rPr>
          <w:noProof/>
        </w:rPr>
        <w:t>-</w:t>
      </w:r>
      <w:r w:rsidR="784E2FFD" w:rsidRPr="00BC0CD0">
        <w:rPr>
          <w:noProof/>
        </w:rPr>
        <w:t>term review exercise</w:t>
      </w:r>
      <w:r w:rsidR="6218322A" w:rsidRPr="00BC0CD0">
        <w:rPr>
          <w:noProof/>
        </w:rPr>
        <w:t>.</w:t>
      </w:r>
      <w:r w:rsidR="757215CD" w:rsidRPr="00BC0CD0">
        <w:rPr>
          <w:noProof/>
        </w:rPr>
        <w:t xml:space="preserve"> It should also be possible to apply a maximum co-financing rate of up to 100% to priorities in programmes under the Investment for jobs and growth goal covering one or more NUTS2 regions bordering Russia</w:t>
      </w:r>
      <w:r w:rsidR="13139DD6" w:rsidRPr="00BC0CD0">
        <w:rPr>
          <w:noProof/>
        </w:rPr>
        <w:t>, Belarus</w:t>
      </w:r>
      <w:r w:rsidR="757215CD" w:rsidRPr="00BC0CD0">
        <w:rPr>
          <w:noProof/>
        </w:rPr>
        <w:t xml:space="preserve"> or Ukraine, given the adverse impact </w:t>
      </w:r>
      <w:r w:rsidR="780AD4C9" w:rsidRPr="00BC0CD0">
        <w:rPr>
          <w:noProof/>
        </w:rPr>
        <w:t xml:space="preserve">on those regions </w:t>
      </w:r>
      <w:r w:rsidR="757215CD" w:rsidRPr="00BC0CD0">
        <w:rPr>
          <w:noProof/>
        </w:rPr>
        <w:t xml:space="preserve">of the Russian </w:t>
      </w:r>
      <w:r w:rsidR="42AC1DCC" w:rsidRPr="00BC0CD0">
        <w:rPr>
          <w:noProof/>
        </w:rPr>
        <w:t xml:space="preserve">war </w:t>
      </w:r>
      <w:r w:rsidR="60408988" w:rsidRPr="01F46A27">
        <w:rPr>
          <w:noProof/>
        </w:rPr>
        <w:t xml:space="preserve">of </w:t>
      </w:r>
      <w:r w:rsidR="757215CD" w:rsidRPr="00BC0CD0">
        <w:rPr>
          <w:noProof/>
        </w:rPr>
        <w:t xml:space="preserve">aggression </w:t>
      </w:r>
      <w:r w:rsidR="6DA740E7" w:rsidRPr="00BC0CD0">
        <w:rPr>
          <w:noProof/>
        </w:rPr>
        <w:t>against Ukraine</w:t>
      </w:r>
      <w:r w:rsidR="757215CD" w:rsidRPr="00BC0CD0">
        <w:rPr>
          <w:noProof/>
        </w:rPr>
        <w:t xml:space="preserve">. </w:t>
      </w:r>
    </w:p>
    <w:p w14:paraId="17091A93" w14:textId="77777777" w:rsidR="009E0335" w:rsidRPr="00BC0CD0" w:rsidRDefault="00C45D17" w:rsidP="00C45D17">
      <w:pPr>
        <w:pStyle w:val="ManualConsidrant"/>
        <w:rPr>
          <w:noProof/>
        </w:rPr>
      </w:pPr>
      <w:r w:rsidRPr="00C45D17">
        <w:rPr>
          <w:noProof/>
        </w:rPr>
        <w:t>(16)</w:t>
      </w:r>
      <w:r w:rsidRPr="00C45D17">
        <w:rPr>
          <w:noProof/>
        </w:rPr>
        <w:tab/>
      </w:r>
      <w:r w:rsidR="6218322A" w:rsidRPr="00BC0CD0">
        <w:rPr>
          <w:noProof/>
        </w:rPr>
        <w:t xml:space="preserve">The mid-term review should also be used to reinforce the crucial role of cities in delivering many </w:t>
      </w:r>
      <w:r w:rsidR="7BB8C53B" w:rsidRPr="00BC0CD0">
        <w:rPr>
          <w:noProof/>
        </w:rPr>
        <w:t xml:space="preserve">Union </w:t>
      </w:r>
      <w:r w:rsidR="6218322A" w:rsidRPr="00BC0CD0">
        <w:rPr>
          <w:noProof/>
        </w:rPr>
        <w:t>objectives by giving Member States the possibility to</w:t>
      </w:r>
      <w:r w:rsidR="3790D736" w:rsidRPr="00BC0CD0">
        <w:rPr>
          <w:noProof/>
        </w:rPr>
        <w:t xml:space="preserve"> reallocate</w:t>
      </w:r>
      <w:r w:rsidR="6218322A" w:rsidRPr="00BC0CD0">
        <w:rPr>
          <w:noProof/>
        </w:rPr>
        <w:t xml:space="preserve"> </w:t>
      </w:r>
      <w:r w:rsidR="6874BFB7" w:rsidRPr="00BC0CD0">
        <w:rPr>
          <w:noProof/>
        </w:rPr>
        <w:t>f</w:t>
      </w:r>
      <w:r w:rsidR="6218322A" w:rsidRPr="00BC0CD0">
        <w:rPr>
          <w:noProof/>
        </w:rPr>
        <w:t>inancial resources from the ERDF</w:t>
      </w:r>
      <w:r w:rsidR="0A8C52A1" w:rsidRPr="00BC0CD0">
        <w:rPr>
          <w:noProof/>
        </w:rPr>
        <w:t xml:space="preserve"> to </w:t>
      </w:r>
      <w:r w:rsidR="6218322A" w:rsidRPr="00BC0CD0">
        <w:rPr>
          <w:noProof/>
        </w:rPr>
        <w:t>reinforce the European Urban Initiative</w:t>
      </w:r>
      <w:r w:rsidR="205BDC25" w:rsidRPr="00BC0CD0">
        <w:rPr>
          <w:noProof/>
        </w:rPr>
        <w:t xml:space="preserve"> </w:t>
      </w:r>
      <w:r w:rsidR="37E10239" w:rsidRPr="00BC0CD0">
        <w:rPr>
          <w:noProof/>
        </w:rPr>
        <w:t>referred to in Article 12 of Regulation (EU) 2021/1058.</w:t>
      </w:r>
      <w:r w:rsidR="6218322A" w:rsidRPr="00BC0CD0">
        <w:rPr>
          <w:noProof/>
        </w:rPr>
        <w:t xml:space="preserve"> In addition, in order to facilitate the uptake of key innovative actions identified under the European Urban Initiative, </w:t>
      </w:r>
      <w:r w:rsidR="178FAFA2" w:rsidRPr="00BC0CD0">
        <w:rPr>
          <w:noProof/>
        </w:rPr>
        <w:t xml:space="preserve">such actions </w:t>
      </w:r>
      <w:r w:rsidR="6218322A" w:rsidRPr="00BC0CD0">
        <w:rPr>
          <w:noProof/>
        </w:rPr>
        <w:t xml:space="preserve">should benefit from a simplified selection procedure for support under cohesion policy programmes. Member States should also be provided with the possibility to </w:t>
      </w:r>
      <w:r w:rsidR="5E9A0E01" w:rsidRPr="00BC0CD0">
        <w:rPr>
          <w:noProof/>
        </w:rPr>
        <w:t>reallocate</w:t>
      </w:r>
      <w:r w:rsidR="6218322A" w:rsidRPr="00BC0CD0">
        <w:rPr>
          <w:noProof/>
        </w:rPr>
        <w:t xml:space="preserve"> ERDF resources from their programmes under the Investment for </w:t>
      </w:r>
      <w:bookmarkStart w:id="14" w:name="_Hlk192677817"/>
      <w:r w:rsidR="2DB85563" w:rsidRPr="00BC0CD0">
        <w:rPr>
          <w:noProof/>
        </w:rPr>
        <w:t>j</w:t>
      </w:r>
      <w:r w:rsidR="3BF272DF" w:rsidRPr="00BC0CD0">
        <w:rPr>
          <w:noProof/>
        </w:rPr>
        <w:t xml:space="preserve">obs and </w:t>
      </w:r>
      <w:r w:rsidR="2DB85563" w:rsidRPr="00BC0CD0">
        <w:rPr>
          <w:noProof/>
        </w:rPr>
        <w:t>g</w:t>
      </w:r>
      <w:r w:rsidR="6218322A" w:rsidRPr="00BC0CD0">
        <w:rPr>
          <w:noProof/>
        </w:rPr>
        <w:t xml:space="preserve">rowth </w:t>
      </w:r>
      <w:bookmarkEnd w:id="14"/>
      <w:r w:rsidR="7DFDE8DB" w:rsidRPr="00BC0CD0">
        <w:rPr>
          <w:noProof/>
        </w:rPr>
        <w:t>g</w:t>
      </w:r>
      <w:r w:rsidR="6218322A" w:rsidRPr="00BC0CD0">
        <w:rPr>
          <w:noProof/>
        </w:rPr>
        <w:t xml:space="preserve">oal to the Interregional Innovation Investment </w:t>
      </w:r>
      <w:r w:rsidR="00AF1DE2">
        <w:rPr>
          <w:noProof/>
        </w:rPr>
        <w:t>I</w:t>
      </w:r>
      <w:r w:rsidR="6218322A" w:rsidRPr="00BC0CD0">
        <w:rPr>
          <w:noProof/>
        </w:rPr>
        <w:t xml:space="preserve">nstrument </w:t>
      </w:r>
      <w:r w:rsidR="1104A605" w:rsidRPr="00BC0CD0">
        <w:rPr>
          <w:noProof/>
        </w:rPr>
        <w:t xml:space="preserve">referred to in Article 13 of </w:t>
      </w:r>
      <w:r w:rsidR="37E10239" w:rsidRPr="00BC0CD0">
        <w:rPr>
          <w:noProof/>
        </w:rPr>
        <w:t>Regulation (EU) 2021/</w:t>
      </w:r>
      <w:r w:rsidR="694CED2A" w:rsidRPr="00BC0CD0">
        <w:rPr>
          <w:noProof/>
        </w:rPr>
        <w:t>1058</w:t>
      </w:r>
      <w:r w:rsidR="1104A605" w:rsidRPr="00BC0CD0">
        <w:rPr>
          <w:noProof/>
        </w:rPr>
        <w:t xml:space="preserve"> </w:t>
      </w:r>
      <w:r w:rsidR="6218322A" w:rsidRPr="00BC0CD0">
        <w:rPr>
          <w:noProof/>
        </w:rPr>
        <w:t>to enhance flexibility in the use of resources.</w:t>
      </w:r>
    </w:p>
    <w:p w14:paraId="534D3A97" w14:textId="77777777" w:rsidR="009E0335" w:rsidRPr="0053110D" w:rsidRDefault="00C45D17" w:rsidP="00C45D17">
      <w:pPr>
        <w:pStyle w:val="ManualConsidrant"/>
        <w:rPr>
          <w:noProof/>
        </w:rPr>
      </w:pPr>
      <w:r w:rsidRPr="00C45D17">
        <w:rPr>
          <w:noProof/>
        </w:rPr>
        <w:t>(17)</w:t>
      </w:r>
      <w:r w:rsidRPr="00C45D17">
        <w:rPr>
          <w:noProof/>
        </w:rPr>
        <w:tab/>
      </w:r>
      <w:r w:rsidR="6BA48A14" w:rsidRPr="00BC0CD0">
        <w:rPr>
          <w:noProof/>
        </w:rPr>
        <w:t xml:space="preserve">In order to simplify delivery and accelerate investments, it is appropriate to make additional targeted changes to the regulatory framework governing the use of the </w:t>
      </w:r>
      <w:r w:rsidR="527A2BCE" w:rsidRPr="00BC0CD0">
        <w:rPr>
          <w:noProof/>
        </w:rPr>
        <w:t>JTF</w:t>
      </w:r>
      <w:r w:rsidR="6BA48A14" w:rsidRPr="00BC0CD0">
        <w:rPr>
          <w:noProof/>
        </w:rPr>
        <w:t xml:space="preserve">. </w:t>
      </w:r>
      <w:r w:rsidR="3E4F806C" w:rsidRPr="00BC0CD0">
        <w:rPr>
          <w:noProof/>
        </w:rPr>
        <w:t xml:space="preserve">In particular, the </w:t>
      </w:r>
      <w:r w:rsidR="6BA48A14" w:rsidRPr="00BC0CD0">
        <w:rPr>
          <w:noProof/>
        </w:rPr>
        <w:t>possibility for a simplified selection procedure for operations that have been attributed a Seal of Excellence</w:t>
      </w:r>
      <w:r w:rsidR="28DBC750" w:rsidRPr="00BC0CD0">
        <w:rPr>
          <w:noProof/>
        </w:rPr>
        <w:t xml:space="preserve"> </w:t>
      </w:r>
      <w:r w:rsidR="6BA48A14" w:rsidRPr="00BC0CD0">
        <w:rPr>
          <w:noProof/>
        </w:rPr>
        <w:t>should be extended to the JTF. Furthermore, the limitations for the revision of targets should be removed in order to provide for the necessary flexibility in the context of changing implementation circumstances.</w:t>
      </w:r>
    </w:p>
    <w:p w14:paraId="54CD8DBE" w14:textId="77777777" w:rsidR="009E0335" w:rsidRPr="00BC0CD0" w:rsidRDefault="00C45D17" w:rsidP="00C45D17">
      <w:pPr>
        <w:pStyle w:val="ManualConsidrant"/>
        <w:rPr>
          <w:noProof/>
        </w:rPr>
      </w:pPr>
      <w:r w:rsidRPr="00C45D17">
        <w:rPr>
          <w:noProof/>
        </w:rPr>
        <w:t>(18)</w:t>
      </w:r>
      <w:r w:rsidRPr="00C45D17">
        <w:rPr>
          <w:noProof/>
        </w:rPr>
        <w:tab/>
      </w:r>
      <w:r w:rsidR="6218322A" w:rsidRPr="38359330">
        <w:rPr>
          <w:noProof/>
        </w:rPr>
        <w:t>Since the objective of this Regulation, namely to refocus investments on critical priorities in the context of the mid-term review and to simplify and accelerate policy delivery by amending Regulations (EU) 2021/1058</w:t>
      </w:r>
      <w:r w:rsidR="10343FFF" w:rsidRPr="38359330">
        <w:rPr>
          <w:noProof/>
        </w:rPr>
        <w:t xml:space="preserve"> and</w:t>
      </w:r>
      <w:r w:rsidR="05714B7F" w:rsidRPr="38359330">
        <w:rPr>
          <w:noProof/>
        </w:rPr>
        <w:t xml:space="preserve"> (EU) 2021/105</w:t>
      </w:r>
      <w:r w:rsidR="6218322A" w:rsidRPr="38359330">
        <w:rPr>
          <w:noProof/>
        </w:rPr>
        <w:t>6</w:t>
      </w:r>
      <w:r w:rsidR="56ECB9E7" w:rsidRPr="38359330">
        <w:rPr>
          <w:noProof/>
        </w:rPr>
        <w:t xml:space="preserve"> </w:t>
      </w:r>
      <w:r w:rsidR="6218322A" w:rsidRPr="38359330">
        <w:rPr>
          <w:noProof/>
        </w:rPr>
        <w:t xml:space="preserve">cannot be sufficiently achieved by the Member States but can </w:t>
      </w:r>
      <w:r w:rsidR="3BF272DF" w:rsidRPr="38359330">
        <w:rPr>
          <w:noProof/>
        </w:rPr>
        <w:t xml:space="preserve">rather be </w:t>
      </w:r>
      <w:r w:rsidR="6218322A" w:rsidRPr="38359330">
        <w:rPr>
          <w:noProof/>
        </w:rPr>
        <w:t xml:space="preserve">better achieved at Union level, the Union may adopt measures, in accordance with the principle of subsidiarity as set out in Article 5 </w:t>
      </w:r>
      <w:r w:rsidR="02B1947D" w:rsidRPr="38359330">
        <w:rPr>
          <w:noProof/>
          <w:lang w:val="en-IE"/>
        </w:rPr>
        <w:t>of the Treaty on European Union</w:t>
      </w:r>
      <w:r w:rsidR="3BF272DF" w:rsidRPr="38359330">
        <w:rPr>
          <w:noProof/>
        </w:rPr>
        <w:t xml:space="preserve">. </w:t>
      </w:r>
      <w:r w:rsidR="6218322A" w:rsidRPr="38359330">
        <w:rPr>
          <w:noProof/>
        </w:rPr>
        <w:t>In accordance with the principle of proportionality as set out in that Article, this Regulation does not go beyond what is necessary in order to achieve that objective.</w:t>
      </w:r>
      <w:r w:rsidR="408CDFCF" w:rsidRPr="4D8CB314">
        <w:rPr>
          <w:noProof/>
        </w:rPr>
        <w:t xml:space="preserve"> </w:t>
      </w:r>
    </w:p>
    <w:p w14:paraId="6CC39886" w14:textId="77777777" w:rsidR="009E0335" w:rsidRPr="00BC0CD0" w:rsidRDefault="00C45D17" w:rsidP="00C45D17">
      <w:pPr>
        <w:pStyle w:val="ManualConsidrant"/>
        <w:rPr>
          <w:noProof/>
        </w:rPr>
      </w:pPr>
      <w:bookmarkStart w:id="15" w:name="_Hlk192241934"/>
      <w:r w:rsidRPr="00C45D17">
        <w:rPr>
          <w:noProof/>
        </w:rPr>
        <w:t>(19)</w:t>
      </w:r>
      <w:r w:rsidRPr="00C45D17">
        <w:rPr>
          <w:noProof/>
        </w:rPr>
        <w:tab/>
      </w:r>
      <w:r w:rsidR="6218322A" w:rsidRPr="00BC0CD0">
        <w:rPr>
          <w:noProof/>
        </w:rPr>
        <w:t>Regulations (EU) 2021/1058</w:t>
      </w:r>
      <w:r w:rsidR="10343FFF" w:rsidRPr="00BC0CD0">
        <w:rPr>
          <w:noProof/>
        </w:rPr>
        <w:t xml:space="preserve"> and </w:t>
      </w:r>
      <w:r w:rsidR="05714B7F" w:rsidRPr="00BC0CD0">
        <w:rPr>
          <w:noProof/>
        </w:rPr>
        <w:t>(EU) 2021/1056</w:t>
      </w:r>
      <w:bookmarkEnd w:id="15"/>
      <w:r w:rsidR="10343FFF" w:rsidRPr="00BC0CD0">
        <w:rPr>
          <w:noProof/>
        </w:rPr>
        <w:t xml:space="preserve"> </w:t>
      </w:r>
      <w:r w:rsidR="6218322A" w:rsidRPr="00BC0CD0">
        <w:rPr>
          <w:noProof/>
        </w:rPr>
        <w:t>should therefore be amended accordingly.</w:t>
      </w:r>
    </w:p>
    <w:p w14:paraId="26BF391A" w14:textId="77777777" w:rsidR="000852D5" w:rsidRPr="00BC0CD0" w:rsidRDefault="00C45D17" w:rsidP="00C45D17">
      <w:pPr>
        <w:pStyle w:val="ManualConsidrant"/>
        <w:rPr>
          <w:noProof/>
        </w:rPr>
      </w:pPr>
      <w:bookmarkStart w:id="16" w:name="_Hlk193353580"/>
      <w:r w:rsidRPr="00C45D17">
        <w:rPr>
          <w:noProof/>
        </w:rPr>
        <w:t>(20)</w:t>
      </w:r>
      <w:r w:rsidRPr="00C45D17">
        <w:rPr>
          <w:noProof/>
        </w:rPr>
        <w:tab/>
      </w:r>
      <w:r w:rsidR="6218322A" w:rsidRPr="00BC0CD0">
        <w:rPr>
          <w:noProof/>
        </w:rPr>
        <w:t>Given the urgen</w:t>
      </w:r>
      <w:r w:rsidR="552D074B" w:rsidRPr="00BC0CD0">
        <w:rPr>
          <w:noProof/>
        </w:rPr>
        <w:t>t need</w:t>
      </w:r>
      <w:r w:rsidR="6218322A" w:rsidRPr="00BC0CD0">
        <w:rPr>
          <w:noProof/>
        </w:rPr>
        <w:t xml:space="preserve"> </w:t>
      </w:r>
      <w:r w:rsidR="552D074B" w:rsidRPr="00BC0CD0">
        <w:rPr>
          <w:noProof/>
        </w:rPr>
        <w:t xml:space="preserve">to enable crucial investments notably in defence capabilities </w:t>
      </w:r>
      <w:r w:rsidR="6218322A" w:rsidRPr="00BC0CD0">
        <w:rPr>
          <w:noProof/>
        </w:rPr>
        <w:t xml:space="preserve">in the context of </w:t>
      </w:r>
      <w:r w:rsidR="552D074B" w:rsidRPr="00BC0CD0">
        <w:rPr>
          <w:noProof/>
        </w:rPr>
        <w:t>pressing</w:t>
      </w:r>
      <w:r w:rsidR="6218322A" w:rsidRPr="00BC0CD0">
        <w:rPr>
          <w:noProof/>
        </w:rPr>
        <w:t xml:space="preserve"> geopolitical challenges</w:t>
      </w:r>
      <w:bookmarkEnd w:id="16"/>
      <w:r w:rsidR="6218322A" w:rsidRPr="00BC0CD0">
        <w:rPr>
          <w:noProof/>
        </w:rPr>
        <w:t xml:space="preserve">, this Regulation </w:t>
      </w:r>
      <w:r w:rsidR="1720E56B" w:rsidRPr="00BC0CD0">
        <w:rPr>
          <w:noProof/>
        </w:rPr>
        <w:t xml:space="preserve">should </w:t>
      </w:r>
      <w:r w:rsidR="6218322A" w:rsidRPr="00BC0CD0">
        <w:rPr>
          <w:noProof/>
        </w:rPr>
        <w:t xml:space="preserve">enter into force on the </w:t>
      </w:r>
      <w:r w:rsidR="2DB85563" w:rsidRPr="00BC0CD0">
        <w:rPr>
          <w:noProof/>
        </w:rPr>
        <w:t xml:space="preserve">day following that </w:t>
      </w:r>
      <w:r w:rsidR="6218322A" w:rsidRPr="00BC0CD0">
        <w:rPr>
          <w:noProof/>
        </w:rPr>
        <w:t xml:space="preserve">of its publication in the </w:t>
      </w:r>
      <w:r w:rsidR="6218322A" w:rsidRPr="00AF1DE2">
        <w:rPr>
          <w:i/>
          <w:iCs/>
          <w:noProof/>
        </w:rPr>
        <w:t>Official Journal of the European Union</w:t>
      </w:r>
      <w:r w:rsidR="6218322A" w:rsidRPr="00BC0CD0">
        <w:rPr>
          <w:noProof/>
        </w:rPr>
        <w:t>,</w:t>
      </w:r>
    </w:p>
    <w:p w14:paraId="10FE6DFE" w14:textId="77777777" w:rsidR="000852D5" w:rsidRPr="00BC0CD0" w:rsidRDefault="000852D5" w:rsidP="5EA49681">
      <w:pPr>
        <w:pStyle w:val="Formuledadoption"/>
        <w:rPr>
          <w:rFonts w:eastAsia="Times New Roman"/>
          <w:noProof/>
        </w:rPr>
      </w:pPr>
      <w:r w:rsidRPr="00BC0CD0">
        <w:rPr>
          <w:rFonts w:eastAsia="Times New Roman"/>
          <w:noProof/>
        </w:rPr>
        <w:t>HAVE ADOPTED THIS REGULATION:</w:t>
      </w:r>
    </w:p>
    <w:p w14:paraId="0BCE710F" w14:textId="77777777" w:rsidR="000852D5" w:rsidRPr="00F96E01" w:rsidRDefault="000852D5">
      <w:pPr>
        <w:pStyle w:val="Titrearticle"/>
        <w:rPr>
          <w:noProof/>
        </w:rPr>
      </w:pPr>
      <w:r w:rsidRPr="00F96E01">
        <w:rPr>
          <w:noProof/>
        </w:rPr>
        <w:t>Article 1</w:t>
      </w:r>
    </w:p>
    <w:p w14:paraId="09D40061" w14:textId="77777777" w:rsidR="0001385B" w:rsidRPr="00131504" w:rsidRDefault="0001385B" w:rsidP="0001385B">
      <w:pPr>
        <w:spacing w:line="276" w:lineRule="auto"/>
        <w:jc w:val="left"/>
        <w:rPr>
          <w:noProof/>
          <w:lang w:eastAsia="en-GB"/>
        </w:rPr>
      </w:pPr>
      <w:r w:rsidRPr="00131504">
        <w:rPr>
          <w:noProof/>
        </w:rPr>
        <w:t>Regulation (EU) 2021/1058 is amended as follows:</w:t>
      </w:r>
    </w:p>
    <w:p w14:paraId="251F37FF" w14:textId="77777777" w:rsidR="0001385B" w:rsidRPr="00131504" w:rsidRDefault="00C45D17" w:rsidP="00C45D17">
      <w:pPr>
        <w:pStyle w:val="Point0"/>
        <w:rPr>
          <w:noProof/>
        </w:rPr>
      </w:pPr>
      <w:r w:rsidRPr="00C45D17">
        <w:rPr>
          <w:noProof/>
        </w:rPr>
        <w:t>(1)</w:t>
      </w:r>
      <w:r w:rsidRPr="00C45D17">
        <w:rPr>
          <w:noProof/>
        </w:rPr>
        <w:tab/>
      </w:r>
      <w:r w:rsidR="0001385B" w:rsidRPr="00131504">
        <w:rPr>
          <w:noProof/>
        </w:rPr>
        <w:t>Article 3 is amended as follows:</w:t>
      </w:r>
    </w:p>
    <w:p w14:paraId="39B3F24D" w14:textId="77777777" w:rsidR="00C16F7E" w:rsidRDefault="00C45D17" w:rsidP="00C45D17">
      <w:pPr>
        <w:pStyle w:val="Point1"/>
        <w:rPr>
          <w:noProof/>
        </w:rPr>
      </w:pPr>
      <w:r w:rsidRPr="00C45D17">
        <w:rPr>
          <w:noProof/>
        </w:rPr>
        <w:t>(a)</w:t>
      </w:r>
      <w:r w:rsidRPr="00C45D17">
        <w:rPr>
          <w:noProof/>
        </w:rPr>
        <w:tab/>
      </w:r>
      <w:r w:rsidR="0001385B" w:rsidRPr="00131504">
        <w:rPr>
          <w:noProof/>
        </w:rPr>
        <w:t>paragraph 1</w:t>
      </w:r>
      <w:r w:rsidR="00C16F7E">
        <w:rPr>
          <w:noProof/>
        </w:rPr>
        <w:t xml:space="preserve"> is amended as follows:</w:t>
      </w:r>
    </w:p>
    <w:p w14:paraId="47634472" w14:textId="77777777" w:rsidR="0001385B" w:rsidRPr="00131504" w:rsidRDefault="00C16F7E" w:rsidP="008307EC">
      <w:pPr>
        <w:pStyle w:val="Point2"/>
        <w:rPr>
          <w:noProof/>
        </w:rPr>
      </w:pPr>
      <w:r>
        <w:rPr>
          <w:noProof/>
        </w:rPr>
        <w:t xml:space="preserve">(i) in </w:t>
      </w:r>
      <w:r w:rsidR="0001385B" w:rsidRPr="00131504">
        <w:rPr>
          <w:noProof/>
        </w:rPr>
        <w:t>point (a)</w:t>
      </w:r>
      <w:r w:rsidR="00CA4DB7">
        <w:rPr>
          <w:noProof/>
        </w:rPr>
        <w:t>,</w:t>
      </w:r>
      <w:r w:rsidR="0001385B" w:rsidRPr="00131504">
        <w:rPr>
          <w:noProof/>
        </w:rPr>
        <w:t xml:space="preserve"> the following point </w:t>
      </w:r>
      <w:r w:rsidR="00D744ED">
        <w:rPr>
          <w:noProof/>
        </w:rPr>
        <w:t xml:space="preserve">(vii) </w:t>
      </w:r>
      <w:r w:rsidR="0001385B" w:rsidRPr="00131504">
        <w:rPr>
          <w:noProof/>
        </w:rPr>
        <w:t>is added:</w:t>
      </w:r>
    </w:p>
    <w:p w14:paraId="4645A666" w14:textId="77777777" w:rsidR="0001385B" w:rsidRPr="00131504" w:rsidRDefault="00DD65D6" w:rsidP="0001385B">
      <w:pPr>
        <w:pStyle w:val="Text2"/>
        <w:rPr>
          <w:noProof/>
        </w:rPr>
      </w:pPr>
      <w:r w:rsidRPr="4D8CB314">
        <w:rPr>
          <w:noProof/>
        </w:rPr>
        <w:t>‘</w:t>
      </w:r>
      <w:r w:rsidR="0001385B" w:rsidRPr="4D8CB314">
        <w:rPr>
          <w:noProof/>
        </w:rPr>
        <w:t xml:space="preserve">(vii) enhancing industrial capacities to foster </w:t>
      </w:r>
      <w:r w:rsidR="00846C1A" w:rsidRPr="4D8CB314">
        <w:rPr>
          <w:noProof/>
        </w:rPr>
        <w:t xml:space="preserve">dual use as well as </w:t>
      </w:r>
      <w:r w:rsidR="0001385B" w:rsidRPr="4D8CB314">
        <w:rPr>
          <w:noProof/>
        </w:rPr>
        <w:t>defence</w:t>
      </w:r>
      <w:r w:rsidR="2AE10F83" w:rsidRPr="4D8CB314">
        <w:rPr>
          <w:noProof/>
        </w:rPr>
        <w:t xml:space="preserve"> </w:t>
      </w:r>
      <w:r w:rsidR="0001385B" w:rsidRPr="4D8CB314">
        <w:rPr>
          <w:noProof/>
        </w:rPr>
        <w:t xml:space="preserve"> capabilities</w:t>
      </w:r>
      <w:r w:rsidR="008307EC">
        <w:rPr>
          <w:noProof/>
        </w:rPr>
        <w:t>.</w:t>
      </w:r>
      <w:r w:rsidRPr="4D8CB314">
        <w:rPr>
          <w:noProof/>
        </w:rPr>
        <w:t>’;</w:t>
      </w:r>
    </w:p>
    <w:p w14:paraId="790D80DA" w14:textId="77777777" w:rsidR="005433C9" w:rsidRPr="008307EC" w:rsidRDefault="00C16F7E" w:rsidP="008307EC">
      <w:pPr>
        <w:pStyle w:val="Point2"/>
        <w:rPr>
          <w:noProof/>
        </w:rPr>
      </w:pPr>
      <w:r w:rsidRPr="008307EC">
        <w:rPr>
          <w:noProof/>
        </w:rPr>
        <w:t xml:space="preserve">(ii) </w:t>
      </w:r>
      <w:r w:rsidR="008307EC" w:rsidRPr="008307EC">
        <w:rPr>
          <w:noProof/>
        </w:rPr>
        <w:t xml:space="preserve">in </w:t>
      </w:r>
      <w:r w:rsidR="0001385B" w:rsidRPr="008307EC">
        <w:rPr>
          <w:noProof/>
        </w:rPr>
        <w:t>point (b)</w:t>
      </w:r>
      <w:r w:rsidR="008307EC" w:rsidRPr="008307EC">
        <w:rPr>
          <w:noProof/>
        </w:rPr>
        <w:t>,</w:t>
      </w:r>
      <w:r w:rsidR="005433C9" w:rsidRPr="008307EC">
        <w:rPr>
          <w:noProof/>
        </w:rPr>
        <w:t xml:space="preserve"> </w:t>
      </w:r>
      <w:r w:rsidR="008307EC" w:rsidRPr="008307EC">
        <w:rPr>
          <w:noProof/>
        </w:rPr>
        <w:t xml:space="preserve">point (v) </w:t>
      </w:r>
      <w:r w:rsidR="005433C9" w:rsidRPr="008307EC">
        <w:rPr>
          <w:noProof/>
        </w:rPr>
        <w:t xml:space="preserve">is </w:t>
      </w:r>
      <w:r w:rsidR="008307EC" w:rsidRPr="008307EC">
        <w:rPr>
          <w:noProof/>
        </w:rPr>
        <w:t>replaced by the following</w:t>
      </w:r>
      <w:r w:rsidR="005433C9" w:rsidRPr="008307EC">
        <w:rPr>
          <w:noProof/>
        </w:rPr>
        <w:t>:</w:t>
      </w:r>
    </w:p>
    <w:p w14:paraId="16151752" w14:textId="77777777" w:rsidR="0001385B" w:rsidRPr="00131504" w:rsidRDefault="00214775" w:rsidP="0001385B">
      <w:pPr>
        <w:pStyle w:val="Text2"/>
        <w:rPr>
          <w:noProof/>
        </w:rPr>
      </w:pPr>
      <w:r w:rsidRPr="008307EC">
        <w:rPr>
          <w:noProof/>
        </w:rPr>
        <w:t>‘</w:t>
      </w:r>
      <w:r w:rsidR="0001385B" w:rsidRPr="008307EC">
        <w:rPr>
          <w:noProof/>
        </w:rPr>
        <w:t xml:space="preserve">(v) promoting </w:t>
      </w:r>
      <w:r w:rsidR="00115660" w:rsidRPr="008307EC">
        <w:rPr>
          <w:noProof/>
        </w:rPr>
        <w:t xml:space="preserve">secure </w:t>
      </w:r>
      <w:r w:rsidR="0001385B" w:rsidRPr="008307EC">
        <w:rPr>
          <w:noProof/>
        </w:rPr>
        <w:t>access to water</w:t>
      </w:r>
      <w:r w:rsidR="004E3E81" w:rsidRPr="008307EC">
        <w:rPr>
          <w:noProof/>
        </w:rPr>
        <w:t>,</w:t>
      </w:r>
      <w:r w:rsidR="0001385B" w:rsidRPr="008307EC">
        <w:rPr>
          <w:noProof/>
        </w:rPr>
        <w:t xml:space="preserve"> sustainable </w:t>
      </w:r>
      <w:r w:rsidR="004E3E81" w:rsidRPr="008307EC">
        <w:rPr>
          <w:noProof/>
        </w:rPr>
        <w:t xml:space="preserve">water management </w:t>
      </w:r>
      <w:r w:rsidR="0001385B" w:rsidRPr="008307EC">
        <w:rPr>
          <w:noProof/>
        </w:rPr>
        <w:t xml:space="preserve">and water </w:t>
      </w:r>
      <w:r w:rsidR="004E3E81" w:rsidRPr="008307EC">
        <w:rPr>
          <w:noProof/>
        </w:rPr>
        <w:t>resilience</w:t>
      </w:r>
      <w:r w:rsidRPr="008307EC">
        <w:rPr>
          <w:noProof/>
        </w:rPr>
        <w:t>;’</w:t>
      </w:r>
      <w:r w:rsidR="00CA4DB7" w:rsidRPr="008307EC">
        <w:rPr>
          <w:noProof/>
        </w:rPr>
        <w:t>;</w:t>
      </w:r>
      <w:r w:rsidR="008307EC">
        <w:rPr>
          <w:noProof/>
        </w:rPr>
        <w:t xml:space="preserve"> </w:t>
      </w:r>
    </w:p>
    <w:p w14:paraId="422C5C76" w14:textId="77777777" w:rsidR="0001385B" w:rsidRPr="00131504" w:rsidRDefault="00D8190F" w:rsidP="008307EC">
      <w:pPr>
        <w:pStyle w:val="Point2"/>
        <w:rPr>
          <w:noProof/>
        </w:rPr>
      </w:pPr>
      <w:bookmarkStart w:id="17" w:name="_Hlk192164763"/>
      <w:bookmarkStart w:id="18" w:name="_Hlk192164876"/>
      <w:r>
        <w:rPr>
          <w:noProof/>
        </w:rPr>
        <w:t>(</w:t>
      </w:r>
      <w:r w:rsidR="008307EC">
        <w:rPr>
          <w:noProof/>
        </w:rPr>
        <w:t>iii</w:t>
      </w:r>
      <w:r>
        <w:rPr>
          <w:noProof/>
        </w:rPr>
        <w:t xml:space="preserve">) </w:t>
      </w:r>
      <w:r w:rsidR="0001385B" w:rsidRPr="00131504">
        <w:rPr>
          <w:noProof/>
        </w:rPr>
        <w:t>the following point</w:t>
      </w:r>
      <w:r w:rsidR="00B8610D">
        <w:rPr>
          <w:noProof/>
        </w:rPr>
        <w:t>s</w:t>
      </w:r>
      <w:r w:rsidR="0001385B" w:rsidRPr="00131504">
        <w:rPr>
          <w:noProof/>
        </w:rPr>
        <w:t xml:space="preserve"> </w:t>
      </w:r>
      <w:r w:rsidR="00C014FC">
        <w:rPr>
          <w:noProof/>
        </w:rPr>
        <w:t xml:space="preserve">(xi) </w:t>
      </w:r>
      <w:r w:rsidR="00B8610D">
        <w:rPr>
          <w:noProof/>
        </w:rPr>
        <w:t>and (xii) are</w:t>
      </w:r>
      <w:r w:rsidR="0001385B" w:rsidRPr="00131504">
        <w:rPr>
          <w:noProof/>
        </w:rPr>
        <w:t xml:space="preserve"> added</w:t>
      </w:r>
      <w:bookmarkEnd w:id="17"/>
      <w:r w:rsidR="0001385B" w:rsidRPr="00131504">
        <w:rPr>
          <w:noProof/>
        </w:rPr>
        <w:t xml:space="preserve">: </w:t>
      </w:r>
    </w:p>
    <w:p w14:paraId="3AE3F322" w14:textId="77777777" w:rsidR="0001385B" w:rsidRPr="00131504" w:rsidRDefault="53FF79EF" w:rsidP="01F46A27">
      <w:pPr>
        <w:pStyle w:val="Text2"/>
        <w:rPr>
          <w:noProof/>
        </w:rPr>
      </w:pPr>
      <w:bookmarkStart w:id="19" w:name="_Hlk191485389"/>
      <w:bookmarkEnd w:id="18"/>
      <w:r w:rsidRPr="4D8CB314">
        <w:rPr>
          <w:noProof/>
        </w:rPr>
        <w:t>‘</w:t>
      </w:r>
      <w:r w:rsidR="52E2F3E5" w:rsidRPr="4D8CB314">
        <w:rPr>
          <w:noProof/>
        </w:rPr>
        <w:t xml:space="preserve">(xi) </w:t>
      </w:r>
      <w:bookmarkStart w:id="20" w:name="_Hlk192246283"/>
      <w:r w:rsidR="52E2F3E5" w:rsidRPr="4D8CB314">
        <w:rPr>
          <w:noProof/>
        </w:rPr>
        <w:t xml:space="preserve">promoting access to affordable </w:t>
      </w:r>
      <w:r w:rsidR="6A2BE2D2" w:rsidRPr="4D8CB314">
        <w:rPr>
          <w:noProof/>
        </w:rPr>
        <w:t xml:space="preserve"> </w:t>
      </w:r>
      <w:r w:rsidR="52E2F3E5" w:rsidRPr="4D8CB314">
        <w:rPr>
          <w:noProof/>
        </w:rPr>
        <w:t>housing, and related reforms</w:t>
      </w:r>
      <w:r w:rsidR="00B8610D">
        <w:rPr>
          <w:noProof/>
        </w:rPr>
        <w:t>;</w:t>
      </w:r>
    </w:p>
    <w:p w14:paraId="55F33824" w14:textId="77777777" w:rsidR="0001385B" w:rsidRPr="00131504" w:rsidRDefault="5E4FB1C2" w:rsidP="0001385B">
      <w:pPr>
        <w:pStyle w:val="Text2"/>
        <w:rPr>
          <w:noProof/>
        </w:rPr>
      </w:pPr>
      <w:r w:rsidRPr="01F46A27">
        <w:rPr>
          <w:noProof/>
        </w:rPr>
        <w:t xml:space="preserve">(xii) promoting energy interconnectors and </w:t>
      </w:r>
      <w:r>
        <w:rPr>
          <w:noProof/>
        </w:rPr>
        <w:t xml:space="preserve">related transmission infrastructure, and </w:t>
      </w:r>
      <w:r w:rsidR="4F7965E7" w:rsidRPr="1285F095">
        <w:rPr>
          <w:noProof/>
        </w:rPr>
        <w:t xml:space="preserve">the deployment of </w:t>
      </w:r>
      <w:r w:rsidR="457F4B99" w:rsidRPr="14143AA3">
        <w:rPr>
          <w:noProof/>
        </w:rPr>
        <w:t>re</w:t>
      </w:r>
      <w:r w:rsidRPr="14143AA3">
        <w:rPr>
          <w:noProof/>
        </w:rPr>
        <w:t>charging</w:t>
      </w:r>
      <w:r w:rsidRPr="01F46A27">
        <w:rPr>
          <w:noProof/>
        </w:rPr>
        <w:t xml:space="preserve"> infrastructure</w:t>
      </w:r>
      <w:r w:rsidR="00B8610D">
        <w:rPr>
          <w:noProof/>
        </w:rPr>
        <w:t>.’</w:t>
      </w:r>
      <w:r w:rsidR="5F25DFBE" w:rsidRPr="4D8CB314">
        <w:rPr>
          <w:noProof/>
        </w:rPr>
        <w:t>;</w:t>
      </w:r>
      <w:bookmarkEnd w:id="19"/>
    </w:p>
    <w:bookmarkEnd w:id="20"/>
    <w:p w14:paraId="6EBDA048" w14:textId="77777777" w:rsidR="0001385B" w:rsidRPr="00131504" w:rsidRDefault="77CE1E85" w:rsidP="00B8610D">
      <w:pPr>
        <w:pStyle w:val="Point2"/>
        <w:rPr>
          <w:noProof/>
        </w:rPr>
      </w:pPr>
      <w:r w:rsidRPr="1416669B">
        <w:rPr>
          <w:noProof/>
        </w:rPr>
        <w:t>(</w:t>
      </w:r>
      <w:r w:rsidR="00B8610D">
        <w:rPr>
          <w:noProof/>
        </w:rPr>
        <w:t>i</w:t>
      </w:r>
      <w:r w:rsidR="008307EC">
        <w:rPr>
          <w:noProof/>
        </w:rPr>
        <w:t>v</w:t>
      </w:r>
      <w:r w:rsidRPr="1416669B">
        <w:rPr>
          <w:noProof/>
        </w:rPr>
        <w:t xml:space="preserve">) </w:t>
      </w:r>
      <w:r w:rsidR="52E2F3E5" w:rsidRPr="1416669B">
        <w:rPr>
          <w:noProof/>
        </w:rPr>
        <w:t xml:space="preserve">in point (c), the following point </w:t>
      </w:r>
      <w:r w:rsidR="67024EC3" w:rsidRPr="1416669B">
        <w:rPr>
          <w:noProof/>
        </w:rPr>
        <w:t xml:space="preserve">(iii) </w:t>
      </w:r>
      <w:r w:rsidR="52E2F3E5" w:rsidRPr="1416669B">
        <w:rPr>
          <w:noProof/>
        </w:rPr>
        <w:t xml:space="preserve">is added: </w:t>
      </w:r>
    </w:p>
    <w:p w14:paraId="7BBAD6E0" w14:textId="77777777" w:rsidR="0001385B" w:rsidRPr="00131504" w:rsidRDefault="364A7094" w:rsidP="0001385B">
      <w:pPr>
        <w:pStyle w:val="Text2"/>
        <w:rPr>
          <w:noProof/>
        </w:rPr>
      </w:pPr>
      <w:r w:rsidRPr="4D8CB314">
        <w:rPr>
          <w:noProof/>
        </w:rPr>
        <w:t>‘</w:t>
      </w:r>
      <w:r w:rsidR="4DE337F8" w:rsidRPr="4D8CB314">
        <w:rPr>
          <w:noProof/>
        </w:rPr>
        <w:t xml:space="preserve">(iii) developing resilient </w:t>
      </w:r>
      <w:r w:rsidR="21B3DCD3">
        <w:rPr>
          <w:noProof/>
        </w:rPr>
        <w:t>defence</w:t>
      </w:r>
      <w:r w:rsidR="00B8610D">
        <w:rPr>
          <w:noProof/>
        </w:rPr>
        <w:t xml:space="preserve"> </w:t>
      </w:r>
      <w:r w:rsidR="21B3DCD3">
        <w:rPr>
          <w:noProof/>
        </w:rPr>
        <w:t>or</w:t>
      </w:r>
      <w:r w:rsidR="00B8610D">
        <w:rPr>
          <w:noProof/>
        </w:rPr>
        <w:t xml:space="preserve"> </w:t>
      </w:r>
      <w:r w:rsidR="4DE337F8">
        <w:rPr>
          <w:noProof/>
        </w:rPr>
        <w:t>dual use</w:t>
      </w:r>
      <w:r w:rsidR="4DE337F8" w:rsidRPr="4D8CB314">
        <w:rPr>
          <w:noProof/>
        </w:rPr>
        <w:t xml:space="preserve"> infrastructure</w:t>
      </w:r>
      <w:r w:rsidR="00B8610D">
        <w:rPr>
          <w:noProof/>
        </w:rPr>
        <w:t xml:space="preserve"> </w:t>
      </w:r>
      <w:r w:rsidR="5C9E621F" w:rsidRPr="4D8CB314">
        <w:rPr>
          <w:noProof/>
        </w:rPr>
        <w:t>to foster military mobility in the</w:t>
      </w:r>
      <w:r w:rsidR="4DE337F8" w:rsidRPr="4D8CB314">
        <w:rPr>
          <w:noProof/>
        </w:rPr>
        <w:t xml:space="preserve"> </w:t>
      </w:r>
      <w:r w:rsidR="7A56AE2D" w:rsidRPr="4D8CB314">
        <w:rPr>
          <w:noProof/>
        </w:rPr>
        <w:t>Union</w:t>
      </w:r>
      <w:r w:rsidR="00B8610D">
        <w:rPr>
          <w:noProof/>
        </w:rPr>
        <w:t>.</w:t>
      </w:r>
      <w:r w:rsidRPr="4D8CB314">
        <w:rPr>
          <w:noProof/>
        </w:rPr>
        <w:t>’</w:t>
      </w:r>
      <w:r w:rsidR="193A0A5F" w:rsidRPr="4D8CB314">
        <w:rPr>
          <w:noProof/>
        </w:rPr>
        <w:t>;</w:t>
      </w:r>
    </w:p>
    <w:p w14:paraId="49D23ECB" w14:textId="77777777" w:rsidR="0001385B" w:rsidRPr="00131504" w:rsidRDefault="77CE1E85" w:rsidP="00B8610D">
      <w:pPr>
        <w:pStyle w:val="Point2"/>
        <w:rPr>
          <w:noProof/>
        </w:rPr>
      </w:pPr>
      <w:r w:rsidRPr="1416669B">
        <w:rPr>
          <w:noProof/>
        </w:rPr>
        <w:t xml:space="preserve">(v) in </w:t>
      </w:r>
      <w:r w:rsidR="52E2F3E5" w:rsidRPr="1416669B">
        <w:rPr>
          <w:noProof/>
        </w:rPr>
        <w:t xml:space="preserve">point (d), the following point </w:t>
      </w:r>
      <w:r w:rsidR="6992498C" w:rsidRPr="1416669B">
        <w:rPr>
          <w:noProof/>
        </w:rPr>
        <w:t xml:space="preserve">(vii) </w:t>
      </w:r>
      <w:r w:rsidR="52E2F3E5" w:rsidRPr="1416669B">
        <w:rPr>
          <w:noProof/>
        </w:rPr>
        <w:t>is added:</w:t>
      </w:r>
    </w:p>
    <w:p w14:paraId="21BFCF7C" w14:textId="77777777" w:rsidR="0001385B" w:rsidRPr="00131504" w:rsidRDefault="2C25D4D7" w:rsidP="0001385B">
      <w:pPr>
        <w:pStyle w:val="Text2"/>
        <w:rPr>
          <w:noProof/>
        </w:rPr>
      </w:pPr>
      <w:bookmarkStart w:id="21" w:name="_Hlk193049353"/>
      <w:r w:rsidRPr="4D8CB314">
        <w:rPr>
          <w:noProof/>
        </w:rPr>
        <w:t>‘</w:t>
      </w:r>
      <w:r w:rsidR="52E2F3E5" w:rsidRPr="4D8CB314">
        <w:rPr>
          <w:noProof/>
        </w:rPr>
        <w:t xml:space="preserve">(vii) promoting access to affordable </w:t>
      </w:r>
      <w:r w:rsidR="6A2BE2D2" w:rsidRPr="4D8CB314">
        <w:rPr>
          <w:noProof/>
        </w:rPr>
        <w:t xml:space="preserve"> </w:t>
      </w:r>
      <w:r w:rsidR="52E2F3E5" w:rsidRPr="4D8CB314">
        <w:rPr>
          <w:noProof/>
        </w:rPr>
        <w:t>housing, and related reforms.</w:t>
      </w:r>
      <w:r w:rsidRPr="4D8CB314">
        <w:rPr>
          <w:noProof/>
        </w:rPr>
        <w:t>’</w:t>
      </w:r>
      <w:r w:rsidR="5F25DFBE" w:rsidRPr="4D8CB314">
        <w:rPr>
          <w:noProof/>
        </w:rPr>
        <w:t>;</w:t>
      </w:r>
    </w:p>
    <w:bookmarkEnd w:id="21"/>
    <w:p w14:paraId="56878470" w14:textId="77777777" w:rsidR="0001385B" w:rsidRPr="00131504" w:rsidRDefault="6A89AB93" w:rsidP="00B8610D">
      <w:pPr>
        <w:pStyle w:val="Point2"/>
        <w:rPr>
          <w:noProof/>
        </w:rPr>
      </w:pPr>
      <w:r w:rsidRPr="1416669B">
        <w:rPr>
          <w:noProof/>
        </w:rPr>
        <w:t>(v</w:t>
      </w:r>
      <w:r w:rsidR="00B8610D">
        <w:rPr>
          <w:noProof/>
        </w:rPr>
        <w:t>i</w:t>
      </w:r>
      <w:r w:rsidRPr="1416669B">
        <w:rPr>
          <w:noProof/>
        </w:rPr>
        <w:t xml:space="preserve">) </w:t>
      </w:r>
      <w:r w:rsidR="52E2F3E5" w:rsidRPr="1416669B">
        <w:rPr>
          <w:noProof/>
        </w:rPr>
        <w:t xml:space="preserve">in point (e), </w:t>
      </w:r>
      <w:r w:rsidR="008BC9EA" w:rsidRPr="1416669B">
        <w:rPr>
          <w:noProof/>
        </w:rPr>
        <w:t xml:space="preserve">first subparagraph, </w:t>
      </w:r>
      <w:r w:rsidR="52E2F3E5" w:rsidRPr="1416669B">
        <w:rPr>
          <w:noProof/>
        </w:rPr>
        <w:t xml:space="preserve">the following point </w:t>
      </w:r>
      <w:r w:rsidR="50A9075B" w:rsidRPr="1416669B">
        <w:rPr>
          <w:noProof/>
        </w:rPr>
        <w:t xml:space="preserve">(iii) </w:t>
      </w:r>
      <w:r w:rsidR="5F25DFBE" w:rsidRPr="1416669B">
        <w:rPr>
          <w:noProof/>
        </w:rPr>
        <w:t xml:space="preserve">is </w:t>
      </w:r>
      <w:r w:rsidR="52E2F3E5" w:rsidRPr="1416669B">
        <w:rPr>
          <w:noProof/>
        </w:rPr>
        <w:t>added:</w:t>
      </w:r>
    </w:p>
    <w:p w14:paraId="27F0A5F7" w14:textId="77777777" w:rsidR="0001385B" w:rsidRDefault="008BC9EA" w:rsidP="0001385B">
      <w:pPr>
        <w:pStyle w:val="Text2"/>
        <w:rPr>
          <w:noProof/>
        </w:rPr>
      </w:pPr>
      <w:bookmarkStart w:id="22" w:name="_Hlk193049404"/>
      <w:r w:rsidRPr="4D8CB314">
        <w:rPr>
          <w:noProof/>
        </w:rPr>
        <w:t>‘</w:t>
      </w:r>
      <w:r w:rsidR="52E2F3E5" w:rsidRPr="4D8CB314">
        <w:rPr>
          <w:noProof/>
        </w:rPr>
        <w:t xml:space="preserve">(iii) fostering integrated territorial development, through access to affordable </w:t>
      </w:r>
      <w:r w:rsidR="6A2BE2D2" w:rsidRPr="4D8CB314">
        <w:rPr>
          <w:noProof/>
        </w:rPr>
        <w:t xml:space="preserve"> </w:t>
      </w:r>
      <w:r w:rsidR="52E2F3E5" w:rsidRPr="4D8CB314">
        <w:rPr>
          <w:noProof/>
        </w:rPr>
        <w:t>housing, and the development of related reforms in all types of territories.</w:t>
      </w:r>
      <w:r w:rsidRPr="4D8CB314">
        <w:rPr>
          <w:noProof/>
        </w:rPr>
        <w:t>’</w:t>
      </w:r>
      <w:r w:rsidR="5F25DFBE" w:rsidRPr="4D8CB314">
        <w:rPr>
          <w:noProof/>
        </w:rPr>
        <w:t>;</w:t>
      </w:r>
      <w:r w:rsidR="52E2F3E5" w:rsidRPr="4D8CB314">
        <w:rPr>
          <w:noProof/>
        </w:rPr>
        <w:t xml:space="preserve"> </w:t>
      </w:r>
    </w:p>
    <w:p w14:paraId="561BB013" w14:textId="77777777" w:rsidR="00566902" w:rsidRDefault="00B8610D" w:rsidP="00B8610D">
      <w:pPr>
        <w:pStyle w:val="Point2"/>
        <w:rPr>
          <w:noProof/>
        </w:rPr>
      </w:pPr>
      <w:r>
        <w:rPr>
          <w:noProof/>
        </w:rPr>
        <w:t xml:space="preserve">(vii) </w:t>
      </w:r>
      <w:r w:rsidR="00566902">
        <w:rPr>
          <w:noProof/>
        </w:rPr>
        <w:t xml:space="preserve">The following </w:t>
      </w:r>
      <w:r w:rsidR="00566902" w:rsidRPr="74D6B1C3">
        <w:rPr>
          <w:noProof/>
        </w:rPr>
        <w:t>subpar</w:t>
      </w:r>
      <w:r w:rsidR="46203CF4" w:rsidRPr="74D6B1C3">
        <w:rPr>
          <w:noProof/>
        </w:rPr>
        <w:t>agraph</w:t>
      </w:r>
      <w:r w:rsidR="00566902">
        <w:rPr>
          <w:noProof/>
        </w:rPr>
        <w:t xml:space="preserve"> is added in paragraph 1:</w:t>
      </w:r>
    </w:p>
    <w:p w14:paraId="7F3E9D58" w14:textId="77777777" w:rsidR="00566902" w:rsidRPr="00131504" w:rsidRDefault="00B8610D" w:rsidP="0001385B">
      <w:pPr>
        <w:pStyle w:val="Text2"/>
        <w:rPr>
          <w:noProof/>
        </w:rPr>
      </w:pPr>
      <w:r>
        <w:rPr>
          <w:noProof/>
        </w:rPr>
        <w:t>‘O</w:t>
      </w:r>
      <w:r w:rsidR="00566902" w:rsidRPr="3BBA3D08">
        <w:rPr>
          <w:noProof/>
        </w:rPr>
        <w:t>perations supported under the specific objective set out in point (</w:t>
      </w:r>
      <w:r w:rsidR="21144CCA" w:rsidRPr="3BBA3D08">
        <w:rPr>
          <w:noProof/>
        </w:rPr>
        <w:t>c</w:t>
      </w:r>
      <w:r w:rsidR="00566902" w:rsidRPr="3BBA3D08">
        <w:rPr>
          <w:noProof/>
        </w:rPr>
        <w:t>)(</w:t>
      </w:r>
      <w:r w:rsidR="4AE339C0" w:rsidRPr="3BBA3D08">
        <w:rPr>
          <w:noProof/>
        </w:rPr>
        <w:t>iii</w:t>
      </w:r>
      <w:r w:rsidR="00566902" w:rsidRPr="3BBA3D08">
        <w:rPr>
          <w:noProof/>
        </w:rPr>
        <w:t xml:space="preserve">) </w:t>
      </w:r>
      <w:r>
        <w:rPr>
          <w:noProof/>
        </w:rPr>
        <w:t xml:space="preserve">shall primarlily focus, where relevant, </w:t>
      </w:r>
      <w:r w:rsidR="3836DE6B">
        <w:rPr>
          <w:noProof/>
        </w:rPr>
        <w:t xml:space="preserve">on </w:t>
      </w:r>
      <w:r>
        <w:rPr>
          <w:noProof/>
        </w:rPr>
        <w:t xml:space="preserve">one or more </w:t>
      </w:r>
      <w:r w:rsidR="3836DE6B">
        <w:rPr>
          <w:noProof/>
        </w:rPr>
        <w:t>of the four EU Priority Military Mobility Corridors identified by Member States in Annex II to the Military Requirements for Military Mobility within and beyond the EU as adopted by the Council on [18 March 2025 and with reference ST 6728/25 ADD1]</w:t>
      </w:r>
      <w:r>
        <w:rPr>
          <w:noProof/>
        </w:rPr>
        <w:t>.</w:t>
      </w:r>
      <w:r w:rsidR="3836DE6B" w:rsidRPr="3BBA3D08">
        <w:rPr>
          <w:noProof/>
        </w:rPr>
        <w:t xml:space="preserve"> </w:t>
      </w:r>
      <w:r>
        <w:rPr>
          <w:noProof/>
        </w:rPr>
        <w:t>Operations supported which are part of those Corridors</w:t>
      </w:r>
      <w:r w:rsidR="394F9EC0" w:rsidRPr="3BBA3D08">
        <w:rPr>
          <w:noProof/>
        </w:rPr>
        <w:t xml:space="preserve"> </w:t>
      </w:r>
      <w:r w:rsidR="00566902" w:rsidRPr="3BBA3D08">
        <w:rPr>
          <w:noProof/>
        </w:rPr>
        <w:t xml:space="preserve">shall comply with the infrastructure requirements laid down in implementing acts based on Article 12(2) of </w:t>
      </w:r>
      <w:r w:rsidR="00566902">
        <w:rPr>
          <w:noProof/>
        </w:rPr>
        <w:t>Regulation (EU) 2021/1153</w:t>
      </w:r>
      <w:r w:rsidR="4047FC00">
        <w:rPr>
          <w:noProof/>
        </w:rPr>
        <w:t>.</w:t>
      </w:r>
      <w:r>
        <w:rPr>
          <w:noProof/>
        </w:rPr>
        <w:t>’;</w:t>
      </w:r>
      <w:r w:rsidR="00566902">
        <w:rPr>
          <w:noProof/>
        </w:rPr>
        <w:t xml:space="preserve">  </w:t>
      </w:r>
    </w:p>
    <w:bookmarkEnd w:id="22"/>
    <w:p w14:paraId="20272E02" w14:textId="77777777" w:rsidR="0001385B" w:rsidRPr="00131504" w:rsidRDefault="00C45D17" w:rsidP="00C45D17">
      <w:pPr>
        <w:pStyle w:val="Point1"/>
        <w:rPr>
          <w:noProof/>
        </w:rPr>
      </w:pPr>
      <w:r w:rsidRPr="00C45D17">
        <w:rPr>
          <w:noProof/>
        </w:rPr>
        <w:t>(b)</w:t>
      </w:r>
      <w:r w:rsidRPr="00C45D17">
        <w:rPr>
          <w:noProof/>
        </w:rPr>
        <w:tab/>
      </w:r>
      <w:r w:rsidR="00545EE6">
        <w:rPr>
          <w:noProof/>
        </w:rPr>
        <w:t xml:space="preserve">in </w:t>
      </w:r>
      <w:r w:rsidR="0001385B" w:rsidRPr="00131504">
        <w:rPr>
          <w:noProof/>
        </w:rPr>
        <w:t>paragraph 1a</w:t>
      </w:r>
      <w:r w:rsidR="00545EE6">
        <w:rPr>
          <w:noProof/>
        </w:rPr>
        <w:t>,</w:t>
      </w:r>
      <w:r w:rsidR="0001385B" w:rsidRPr="00131504">
        <w:rPr>
          <w:noProof/>
        </w:rPr>
        <w:t xml:space="preserve"> </w:t>
      </w:r>
      <w:r w:rsidR="00545EE6" w:rsidRPr="00131504">
        <w:rPr>
          <w:noProof/>
        </w:rPr>
        <w:t>the first and second subparagraphs</w:t>
      </w:r>
      <w:r w:rsidR="0001385B" w:rsidRPr="00131504">
        <w:rPr>
          <w:noProof/>
        </w:rPr>
        <w:t xml:space="preserve"> are </w:t>
      </w:r>
      <w:r w:rsidR="00545EE6">
        <w:rPr>
          <w:noProof/>
        </w:rPr>
        <w:t>replaced by the</w:t>
      </w:r>
      <w:r w:rsidR="0001385B" w:rsidRPr="00131504">
        <w:rPr>
          <w:noProof/>
        </w:rPr>
        <w:t xml:space="preserve"> follow</w:t>
      </w:r>
      <w:r w:rsidR="00545EE6">
        <w:rPr>
          <w:noProof/>
        </w:rPr>
        <w:t>ing</w:t>
      </w:r>
      <w:r w:rsidR="0001385B" w:rsidRPr="00131504">
        <w:rPr>
          <w:noProof/>
        </w:rPr>
        <w:t>:</w:t>
      </w:r>
    </w:p>
    <w:p w14:paraId="1A1CD214" w14:textId="77777777" w:rsidR="0001385B" w:rsidRDefault="00545EE6" w:rsidP="0001385B">
      <w:pPr>
        <w:pStyle w:val="Text2"/>
        <w:rPr>
          <w:noProof/>
        </w:rPr>
      </w:pPr>
      <w:bookmarkStart w:id="23" w:name="_Hlk193049463"/>
      <w:r>
        <w:rPr>
          <w:noProof/>
        </w:rPr>
        <w:t>‘</w:t>
      </w:r>
      <w:r w:rsidR="0001385B" w:rsidRPr="00131504">
        <w:rPr>
          <w:noProof/>
        </w:rPr>
        <w:t xml:space="preserve">The </w:t>
      </w:r>
      <w:bookmarkStart w:id="24" w:name="_Hlk192166547"/>
      <w:r w:rsidR="0001385B" w:rsidRPr="00131504">
        <w:rPr>
          <w:noProof/>
        </w:rPr>
        <w:t>resources under the specific objective referred to in paragraph 1, points (a)(vi) and (b)(ix)</w:t>
      </w:r>
      <w:bookmarkEnd w:id="24"/>
      <w:r w:rsidR="0001385B" w:rsidRPr="00131504">
        <w:rPr>
          <w:noProof/>
        </w:rPr>
        <w:t>, shall be programmed under dedicated priorities corresponding to the respective policy objective.</w:t>
      </w:r>
    </w:p>
    <w:p w14:paraId="5EB40A74" w14:textId="77777777" w:rsidR="00110674" w:rsidRPr="00131504" w:rsidRDefault="00110674" w:rsidP="757EBBDA">
      <w:pPr>
        <w:pStyle w:val="Text2"/>
        <w:rPr>
          <w:rFonts w:eastAsia="Times New Roman"/>
          <w:noProof/>
          <w:szCs w:val="24"/>
        </w:rPr>
      </w:pPr>
      <w:r w:rsidRPr="757EBBDA">
        <w:rPr>
          <w:noProof/>
        </w:rPr>
        <w:t xml:space="preserve">The Commission shall pay 30% of the allocation to </w:t>
      </w:r>
      <w:r w:rsidR="00BC2F92" w:rsidRPr="757EBBDA">
        <w:rPr>
          <w:noProof/>
        </w:rPr>
        <w:t xml:space="preserve">those </w:t>
      </w:r>
      <w:r w:rsidRPr="757EBBDA">
        <w:rPr>
          <w:noProof/>
        </w:rPr>
        <w:t>priorities as set out in the decision approving the programme amendment as exceptional one-off pre-financing in addition to the yearly pre-financing for the programme provided for in Article 90(1) and (2) of Regulation (EU) 2021/1060 or in</w:t>
      </w:r>
      <w:r w:rsidR="00B8610D">
        <w:rPr>
          <w:noProof/>
        </w:rPr>
        <w:t xml:space="preserve"> </w:t>
      </w:r>
      <w:r w:rsidRPr="757EBBDA">
        <w:rPr>
          <w:noProof/>
        </w:rPr>
        <w:t>Article 51(2), (3) and (4) of Regulation (EU) 2021/1059 of the European Parliament and of the Council</w:t>
      </w:r>
      <w:r w:rsidR="00545EE6" w:rsidRPr="757EBBDA">
        <w:rPr>
          <w:noProof/>
        </w:rPr>
        <w:t>*</w:t>
      </w:r>
      <w:r w:rsidR="195485D3" w:rsidRPr="757EBBDA">
        <w:rPr>
          <w:noProof/>
        </w:rPr>
        <w:t>.</w:t>
      </w:r>
      <w:r w:rsidRPr="757EBBDA">
        <w:rPr>
          <w:noProof/>
        </w:rPr>
        <w:t xml:space="preserve"> That exceptional pre-financing shall be paid </w:t>
      </w:r>
      <w:bookmarkStart w:id="25" w:name="_Hlk193996331"/>
      <w:r w:rsidR="00A1027B" w:rsidRPr="757EBBDA">
        <w:rPr>
          <w:noProof/>
        </w:rPr>
        <w:t>provided that the programme amendment is submitted to the Commission by 31 December 2025</w:t>
      </w:r>
      <w:r w:rsidRPr="757EBBDA">
        <w:rPr>
          <w:noProof/>
        </w:rPr>
        <w:t>.</w:t>
      </w:r>
      <w:bookmarkEnd w:id="25"/>
      <w:r w:rsidR="67A43CCC" w:rsidRPr="757EBBDA">
        <w:rPr>
          <w:rFonts w:eastAsia="Times New Roman"/>
          <w:noProof/>
          <w:szCs w:val="24"/>
        </w:rPr>
        <w:t xml:space="preserve"> It shall be paid within 60 days of the adoption of the Commission decision approving the programme amendment.</w:t>
      </w:r>
    </w:p>
    <w:bookmarkEnd w:id="23"/>
    <w:p w14:paraId="3C01DF07" w14:textId="77777777" w:rsidR="00150A54" w:rsidRDefault="00150A54" w:rsidP="0001385B">
      <w:pPr>
        <w:pStyle w:val="Text2"/>
        <w:rPr>
          <w:noProof/>
        </w:rPr>
      </w:pPr>
      <w:r>
        <w:rPr>
          <w:noProof/>
        </w:rPr>
        <w:t>_______</w:t>
      </w:r>
    </w:p>
    <w:p w14:paraId="2ED5F60C" w14:textId="77777777" w:rsidR="00150A54" w:rsidRPr="00131504" w:rsidRDefault="00150A54" w:rsidP="0001385B">
      <w:pPr>
        <w:pStyle w:val="Text2"/>
        <w:rPr>
          <w:noProof/>
        </w:rPr>
      </w:pPr>
      <w:r>
        <w:rPr>
          <w:noProof/>
        </w:rPr>
        <w:t xml:space="preserve">* </w:t>
      </w:r>
      <w:r w:rsidR="00C547B1" w:rsidRPr="00C547B1">
        <w:rPr>
          <w:noProof/>
        </w:rPr>
        <w:t>Regulation (EU) 2021/1059 of the European Parliament and of the Council of 24 June 2021 on specific provisions for the European territorial cooperation goal (Interreg) supported by the European Regional Development Fund and external financing instruments (OJ L 231, 30.6.2021, p. 94, ELI: http://data.europa.eu/eli/reg/2021/1059/oj)</w:t>
      </w:r>
      <w:r>
        <w:rPr>
          <w:noProof/>
        </w:rPr>
        <w:t>.’;</w:t>
      </w:r>
    </w:p>
    <w:p w14:paraId="614CF06A" w14:textId="77777777" w:rsidR="0001385B" w:rsidRPr="00131504" w:rsidRDefault="00C45D17" w:rsidP="00C45D17">
      <w:pPr>
        <w:pStyle w:val="Point1"/>
        <w:rPr>
          <w:noProof/>
        </w:rPr>
      </w:pPr>
      <w:r w:rsidRPr="00C45D17">
        <w:rPr>
          <w:noProof/>
        </w:rPr>
        <w:t>(c)</w:t>
      </w:r>
      <w:r w:rsidRPr="00C45D17">
        <w:rPr>
          <w:noProof/>
        </w:rPr>
        <w:tab/>
      </w:r>
      <w:r w:rsidR="0001385B" w:rsidRPr="00131504">
        <w:rPr>
          <w:noProof/>
        </w:rPr>
        <w:t>the following paragraph</w:t>
      </w:r>
      <w:r w:rsidR="000B52F8">
        <w:rPr>
          <w:noProof/>
        </w:rPr>
        <w:t xml:space="preserve"> 1c</w:t>
      </w:r>
      <w:r w:rsidR="0001385B" w:rsidRPr="00131504">
        <w:rPr>
          <w:noProof/>
        </w:rPr>
        <w:t xml:space="preserve"> </w:t>
      </w:r>
      <w:r w:rsidR="00101A17">
        <w:rPr>
          <w:noProof/>
        </w:rPr>
        <w:t>is</w:t>
      </w:r>
      <w:r w:rsidR="001D4C91">
        <w:rPr>
          <w:noProof/>
        </w:rPr>
        <w:t xml:space="preserve"> </w:t>
      </w:r>
      <w:r w:rsidR="0001385B" w:rsidRPr="00131504">
        <w:rPr>
          <w:noProof/>
        </w:rPr>
        <w:t xml:space="preserve">inserted: </w:t>
      </w:r>
    </w:p>
    <w:p w14:paraId="5FB00C57" w14:textId="77777777" w:rsidR="0001385B" w:rsidRPr="00131504" w:rsidRDefault="00101A17" w:rsidP="0001385B">
      <w:pPr>
        <w:pStyle w:val="Text2"/>
        <w:rPr>
          <w:noProof/>
        </w:rPr>
      </w:pPr>
      <w:bookmarkStart w:id="26" w:name="_Hlk193049825"/>
      <w:r>
        <w:rPr>
          <w:noProof/>
        </w:rPr>
        <w:t>‘</w:t>
      </w:r>
      <w:r w:rsidR="0001385B" w:rsidRPr="00131504">
        <w:rPr>
          <w:noProof/>
        </w:rPr>
        <w:t>1c. The resources under the specific objectives referred to in paragraph 1, points</w:t>
      </w:r>
      <w:r w:rsidR="0070603E">
        <w:rPr>
          <w:noProof/>
        </w:rPr>
        <w:t xml:space="preserve"> </w:t>
      </w:r>
      <w:bookmarkStart w:id="27" w:name="_Hlk192676966"/>
      <w:r w:rsidR="0070603E">
        <w:rPr>
          <w:noProof/>
        </w:rPr>
        <w:t>(a)(vii), (b)(v)</w:t>
      </w:r>
      <w:r w:rsidR="002E32F0">
        <w:rPr>
          <w:noProof/>
        </w:rPr>
        <w:t>,</w:t>
      </w:r>
      <w:r w:rsidR="0070603E">
        <w:rPr>
          <w:noProof/>
        </w:rPr>
        <w:t xml:space="preserve"> (</w:t>
      </w:r>
      <w:r w:rsidR="007B693F">
        <w:rPr>
          <w:noProof/>
        </w:rPr>
        <w:t>b)</w:t>
      </w:r>
      <w:r w:rsidR="0070603E">
        <w:rPr>
          <w:noProof/>
        </w:rPr>
        <w:t>(xi), (</w:t>
      </w:r>
      <w:r w:rsidR="7E9A86C2" w:rsidRPr="01F46A27">
        <w:rPr>
          <w:noProof/>
        </w:rPr>
        <w:t xml:space="preserve">b)(xii), </w:t>
      </w:r>
      <w:r w:rsidR="0070603E" w:rsidRPr="01F46A27">
        <w:rPr>
          <w:noProof/>
        </w:rPr>
        <w:t>(</w:t>
      </w:r>
      <w:r w:rsidR="0070603E">
        <w:rPr>
          <w:noProof/>
        </w:rPr>
        <w:t>c)(iii), (d)(vii) and (e)(iii)</w:t>
      </w:r>
      <w:bookmarkEnd w:id="27"/>
      <w:r w:rsidR="0001385B" w:rsidRPr="00131504">
        <w:rPr>
          <w:noProof/>
        </w:rPr>
        <w:t xml:space="preserve">, shall be programmed under dedicated priorities corresponding to the respective policy objective. </w:t>
      </w:r>
    </w:p>
    <w:p w14:paraId="7FD64CC7" w14:textId="77777777" w:rsidR="0001385B" w:rsidRPr="00131504" w:rsidRDefault="0001385B" w:rsidP="757EBBDA">
      <w:pPr>
        <w:pStyle w:val="Text2"/>
        <w:rPr>
          <w:noProof/>
        </w:rPr>
      </w:pPr>
      <w:r w:rsidRPr="757EBBDA">
        <w:rPr>
          <w:noProof/>
        </w:rPr>
        <w:t xml:space="preserve">The Commission shall pay </w:t>
      </w:r>
      <w:r w:rsidR="532803F4" w:rsidRPr="757EBBDA">
        <w:rPr>
          <w:noProof/>
        </w:rPr>
        <w:t>30</w:t>
      </w:r>
      <w:r w:rsidRPr="757EBBDA">
        <w:rPr>
          <w:noProof/>
        </w:rPr>
        <w:t xml:space="preserve">% of the allocation to </w:t>
      </w:r>
      <w:r w:rsidR="003B419B" w:rsidRPr="757EBBDA">
        <w:rPr>
          <w:noProof/>
        </w:rPr>
        <w:t xml:space="preserve">those </w:t>
      </w:r>
      <w:r w:rsidRPr="757EBBDA">
        <w:rPr>
          <w:noProof/>
        </w:rPr>
        <w:t xml:space="preserve">priorities as set out in the decision approving the programme amendment as </w:t>
      </w:r>
      <w:bookmarkStart w:id="28" w:name="_Hlk192756150"/>
      <w:r w:rsidRPr="757EBBDA">
        <w:rPr>
          <w:noProof/>
        </w:rPr>
        <w:t xml:space="preserve">exceptional one-off pre-financing </w:t>
      </w:r>
      <w:bookmarkEnd w:id="28"/>
      <w:r w:rsidRPr="757EBBDA">
        <w:rPr>
          <w:noProof/>
        </w:rPr>
        <w:t xml:space="preserve">in addition to the yearly pre-financing for the programme provided for in Article 90(1) and (2) of Regulation (EU) 2021/1060. That exceptional pre-financing shall be paid </w:t>
      </w:r>
      <w:r w:rsidR="00A1027B" w:rsidRPr="757EBBDA">
        <w:rPr>
          <w:noProof/>
        </w:rPr>
        <w:t>provided that the programme amendment is submitted to the Commission by 31 December 2025</w:t>
      </w:r>
      <w:r w:rsidRPr="757EBBDA">
        <w:rPr>
          <w:noProof/>
        </w:rPr>
        <w:t>.</w:t>
      </w:r>
      <w:r w:rsidR="673F9351" w:rsidRPr="757EBBDA">
        <w:rPr>
          <w:rFonts w:eastAsia="Times New Roman"/>
          <w:noProof/>
          <w:szCs w:val="24"/>
        </w:rPr>
        <w:t xml:space="preserve"> It shall be paid within 60 days of the adoption of the Commission decision approving the programme amendment.</w:t>
      </w:r>
    </w:p>
    <w:p w14:paraId="5B4C7311" w14:textId="77777777" w:rsidR="0001385B" w:rsidRPr="00131504" w:rsidRDefault="0001385B" w:rsidP="0001385B">
      <w:pPr>
        <w:pStyle w:val="Text2"/>
        <w:rPr>
          <w:noProof/>
        </w:rPr>
      </w:pPr>
      <w:r w:rsidRPr="00131504">
        <w:rPr>
          <w:noProof/>
        </w:rPr>
        <w:t>In accordance with Article 90(5) of Regulation (EU) 2021/1060, the amount paid as exceptional pre-financing shall be cleared from the Commission accounts no later than with the final accounting year.</w:t>
      </w:r>
    </w:p>
    <w:p w14:paraId="1EE727EC" w14:textId="77777777" w:rsidR="0001385B" w:rsidRPr="00131504" w:rsidRDefault="0001385B" w:rsidP="0001385B">
      <w:pPr>
        <w:pStyle w:val="Text2"/>
        <w:rPr>
          <w:noProof/>
        </w:rPr>
      </w:pPr>
      <w:r w:rsidRPr="00131504">
        <w:rPr>
          <w:noProof/>
        </w:rPr>
        <w:t>In accordance with Article 90(6) of Regulation (EU) 2021/1060, any interest generated by the exceptional pre-financing shall be used for the programme concerned in the same way as the ERDF and shall be included in the accounts for the final accounting year.</w:t>
      </w:r>
    </w:p>
    <w:p w14:paraId="24F34CEC" w14:textId="77777777" w:rsidR="0001385B" w:rsidRPr="00131504" w:rsidRDefault="0001385B" w:rsidP="0001385B">
      <w:pPr>
        <w:pStyle w:val="Text2"/>
        <w:rPr>
          <w:noProof/>
        </w:rPr>
      </w:pPr>
      <w:r w:rsidRPr="00131504">
        <w:rPr>
          <w:noProof/>
        </w:rPr>
        <w:t>In accordance with Article 97(1) of Regulation (EU) 2021/1060, the exceptional pre-financing shall not be suspended.</w:t>
      </w:r>
    </w:p>
    <w:p w14:paraId="24DAB874" w14:textId="77777777" w:rsidR="0001385B" w:rsidRPr="00131504" w:rsidRDefault="0001385B" w:rsidP="0001385B">
      <w:pPr>
        <w:pStyle w:val="Text2"/>
        <w:rPr>
          <w:noProof/>
        </w:rPr>
      </w:pPr>
      <w:r w:rsidRPr="00131504">
        <w:rPr>
          <w:noProof/>
        </w:rPr>
        <w:t>In accordance with Article 105(1) of Regulation (EU) 2021/1060, the pre-financing to be taken into account for the purposes of calculating amounts to be de-committed shall include the exceptional pre-financing paid.</w:t>
      </w:r>
    </w:p>
    <w:p w14:paraId="75E2EEE3" w14:textId="77777777" w:rsidR="001D4C91" w:rsidRPr="00131504" w:rsidRDefault="0001385B" w:rsidP="0001385B">
      <w:pPr>
        <w:pStyle w:val="Text2"/>
        <w:rPr>
          <w:noProof/>
        </w:rPr>
      </w:pPr>
      <w:bookmarkStart w:id="29" w:name="_Hlk192683446"/>
      <w:r w:rsidRPr="01F8982D">
        <w:rPr>
          <w:noProof/>
        </w:rPr>
        <w:t>By way of derogation from Article 112 of Regulation (EU) 2021/1060, the maximum co-financing rate for dedicated priorities established to support the specific objectives referred to in paragraph 1</w:t>
      </w:r>
      <w:r w:rsidR="002E32F0">
        <w:rPr>
          <w:noProof/>
        </w:rPr>
        <w:t>,</w:t>
      </w:r>
      <w:r w:rsidRPr="01F8982D">
        <w:rPr>
          <w:noProof/>
        </w:rPr>
        <w:t xml:space="preserve"> point</w:t>
      </w:r>
      <w:r w:rsidR="009C2F92" w:rsidRPr="01F8982D">
        <w:rPr>
          <w:noProof/>
        </w:rPr>
        <w:t>s</w:t>
      </w:r>
      <w:r w:rsidRPr="01F8982D">
        <w:rPr>
          <w:noProof/>
        </w:rPr>
        <w:t xml:space="preserve"> (a)(vii)</w:t>
      </w:r>
      <w:r w:rsidR="009C2F92" w:rsidRPr="01F8982D">
        <w:rPr>
          <w:noProof/>
        </w:rPr>
        <w:t xml:space="preserve">, </w:t>
      </w:r>
      <w:r w:rsidR="12B2AD66" w:rsidRPr="01F8982D">
        <w:rPr>
          <w:noProof/>
        </w:rPr>
        <w:t>(</w:t>
      </w:r>
      <w:r w:rsidR="009C2F92" w:rsidRPr="01F8982D">
        <w:rPr>
          <w:noProof/>
        </w:rPr>
        <w:t>b</w:t>
      </w:r>
      <w:r w:rsidR="7B284BCD" w:rsidRPr="01F8982D">
        <w:rPr>
          <w:noProof/>
        </w:rPr>
        <w:t>)</w:t>
      </w:r>
      <w:r w:rsidR="5A38B333" w:rsidRPr="01F8982D">
        <w:rPr>
          <w:noProof/>
        </w:rPr>
        <w:t>(v)</w:t>
      </w:r>
      <w:r w:rsidR="20C615F3" w:rsidRPr="01F8982D">
        <w:rPr>
          <w:noProof/>
        </w:rPr>
        <w:t>, (b)</w:t>
      </w:r>
      <w:r w:rsidR="009C2F92" w:rsidRPr="01F8982D">
        <w:rPr>
          <w:noProof/>
        </w:rPr>
        <w:t>(xi)</w:t>
      </w:r>
      <w:r w:rsidR="00192517" w:rsidRPr="01F8982D">
        <w:rPr>
          <w:noProof/>
        </w:rPr>
        <w:t>,</w:t>
      </w:r>
      <w:r w:rsidRPr="01F8982D">
        <w:rPr>
          <w:noProof/>
        </w:rPr>
        <w:t xml:space="preserve"> (</w:t>
      </w:r>
      <w:r w:rsidR="2C31B2C8" w:rsidRPr="01F46A27">
        <w:rPr>
          <w:noProof/>
        </w:rPr>
        <w:t xml:space="preserve">b) (xii), </w:t>
      </w:r>
      <w:r w:rsidRPr="01F46A27">
        <w:rPr>
          <w:noProof/>
        </w:rPr>
        <w:t>(</w:t>
      </w:r>
      <w:r w:rsidRPr="01F8982D">
        <w:rPr>
          <w:noProof/>
        </w:rPr>
        <w:t>c)(iii)</w:t>
      </w:r>
      <w:r w:rsidR="009C2F92" w:rsidRPr="01F8982D">
        <w:rPr>
          <w:noProof/>
        </w:rPr>
        <w:t xml:space="preserve">, (d)(vii) and </w:t>
      </w:r>
      <w:r w:rsidR="00B8610D">
        <w:rPr>
          <w:noProof/>
        </w:rPr>
        <w:t>(</w:t>
      </w:r>
      <w:r w:rsidR="009C2F92" w:rsidRPr="00233602">
        <w:rPr>
          <w:noProof/>
        </w:rPr>
        <w:t>e</w:t>
      </w:r>
      <w:r w:rsidR="00B8610D">
        <w:rPr>
          <w:noProof/>
        </w:rPr>
        <w:t>)</w:t>
      </w:r>
      <w:r w:rsidR="009C2F92" w:rsidRPr="00233602">
        <w:rPr>
          <w:noProof/>
        </w:rPr>
        <w:t>(iii)</w:t>
      </w:r>
      <w:r w:rsidR="002E32F0">
        <w:rPr>
          <w:noProof/>
        </w:rPr>
        <w:t>,</w:t>
      </w:r>
      <w:r w:rsidR="009C2F92" w:rsidRPr="00233602">
        <w:rPr>
          <w:noProof/>
        </w:rPr>
        <w:t xml:space="preserve"> </w:t>
      </w:r>
      <w:r w:rsidR="00DB3D31">
        <w:rPr>
          <w:noProof/>
        </w:rPr>
        <w:t xml:space="preserve">of this Article </w:t>
      </w:r>
      <w:r w:rsidRPr="00233602">
        <w:rPr>
          <w:noProof/>
        </w:rPr>
        <w:t xml:space="preserve">shall be </w:t>
      </w:r>
      <w:r w:rsidR="009C2F92" w:rsidRPr="00233602">
        <w:rPr>
          <w:noProof/>
        </w:rPr>
        <w:t>100</w:t>
      </w:r>
      <w:r w:rsidRPr="00233602">
        <w:rPr>
          <w:noProof/>
        </w:rPr>
        <w:t>%</w:t>
      </w:r>
      <w:bookmarkEnd w:id="29"/>
      <w:r w:rsidRPr="00233602">
        <w:rPr>
          <w:noProof/>
        </w:rPr>
        <w:t>.</w:t>
      </w:r>
      <w:bookmarkEnd w:id="26"/>
      <w:r w:rsidR="00101A17">
        <w:rPr>
          <w:noProof/>
        </w:rPr>
        <w:t>’;</w:t>
      </w:r>
    </w:p>
    <w:p w14:paraId="1DF375E0" w14:textId="77777777" w:rsidR="0001385B" w:rsidRPr="00131504" w:rsidRDefault="00C45D17" w:rsidP="00C45D17">
      <w:pPr>
        <w:pStyle w:val="Point1"/>
        <w:rPr>
          <w:noProof/>
        </w:rPr>
      </w:pPr>
      <w:r w:rsidRPr="00C45D17">
        <w:rPr>
          <w:noProof/>
        </w:rPr>
        <w:t>(d)</w:t>
      </w:r>
      <w:r w:rsidRPr="00C45D17">
        <w:rPr>
          <w:noProof/>
        </w:rPr>
        <w:tab/>
      </w:r>
      <w:r w:rsidR="0001385B" w:rsidRPr="00131504">
        <w:rPr>
          <w:noProof/>
        </w:rPr>
        <w:t>paragraph 3 is replaced by the following:</w:t>
      </w:r>
    </w:p>
    <w:p w14:paraId="1FFDCC26" w14:textId="77777777" w:rsidR="0001385B" w:rsidRPr="00131504" w:rsidRDefault="003A5937" w:rsidP="0001385B">
      <w:pPr>
        <w:pStyle w:val="Text2"/>
        <w:rPr>
          <w:noProof/>
        </w:rPr>
      </w:pPr>
      <w:bookmarkStart w:id="30" w:name="_Hlk193051717"/>
      <w:r>
        <w:rPr>
          <w:noProof/>
        </w:rPr>
        <w:t>‘</w:t>
      </w:r>
      <w:r w:rsidR="0001385B" w:rsidRPr="00131504">
        <w:rPr>
          <w:noProof/>
        </w:rPr>
        <w:t>(3) The Cohesion Fund shall support PO 2 and 3, including the specific objectives set out in paragraph 1, point</w:t>
      </w:r>
      <w:r w:rsidR="00DB3D31">
        <w:rPr>
          <w:noProof/>
        </w:rPr>
        <w:t>s</w:t>
      </w:r>
      <w:r w:rsidR="0001385B" w:rsidRPr="00131504">
        <w:rPr>
          <w:noProof/>
        </w:rPr>
        <w:t xml:space="preserve"> (b)(x)</w:t>
      </w:r>
      <w:r w:rsidR="00DB3D31">
        <w:rPr>
          <w:noProof/>
        </w:rPr>
        <w:t>,</w:t>
      </w:r>
      <w:r w:rsidR="0001385B" w:rsidRPr="00131504">
        <w:rPr>
          <w:noProof/>
        </w:rPr>
        <w:t xml:space="preserve"> (</w:t>
      </w:r>
      <w:r w:rsidR="00DB3D31">
        <w:rPr>
          <w:noProof/>
        </w:rPr>
        <w:t>b)</w:t>
      </w:r>
      <w:r w:rsidR="0001385B" w:rsidRPr="00131504">
        <w:rPr>
          <w:noProof/>
        </w:rPr>
        <w:t>(xi</w:t>
      </w:r>
      <w:r w:rsidR="0001385B" w:rsidRPr="34339966">
        <w:rPr>
          <w:noProof/>
        </w:rPr>
        <w:t>)</w:t>
      </w:r>
      <w:r w:rsidR="33382C1A" w:rsidRPr="34339966">
        <w:rPr>
          <w:noProof/>
        </w:rPr>
        <w:t xml:space="preserve">, </w:t>
      </w:r>
      <w:r w:rsidR="33382C1A" w:rsidRPr="26F55A47">
        <w:rPr>
          <w:noProof/>
        </w:rPr>
        <w:t>(b)(xii)</w:t>
      </w:r>
      <w:r w:rsidR="0001385B" w:rsidRPr="00131504">
        <w:rPr>
          <w:noProof/>
        </w:rPr>
        <w:t xml:space="preserve"> </w:t>
      </w:r>
      <w:r w:rsidR="00DB3D31">
        <w:rPr>
          <w:noProof/>
        </w:rPr>
        <w:t xml:space="preserve">and </w:t>
      </w:r>
      <w:r w:rsidR="0001385B" w:rsidRPr="00131504">
        <w:rPr>
          <w:noProof/>
        </w:rPr>
        <w:t xml:space="preserve">(c)(iii), </w:t>
      </w:r>
      <w:r w:rsidR="0065636C">
        <w:rPr>
          <w:noProof/>
        </w:rPr>
        <w:t>of this Article,</w:t>
      </w:r>
      <w:r w:rsidR="0001385B" w:rsidRPr="00131504">
        <w:rPr>
          <w:noProof/>
        </w:rPr>
        <w:t xml:space="preserve"> insofar as </w:t>
      </w:r>
      <w:r w:rsidR="00A7110D">
        <w:rPr>
          <w:noProof/>
        </w:rPr>
        <w:t xml:space="preserve">such support </w:t>
      </w:r>
      <w:r w:rsidR="0001385B" w:rsidRPr="00131504">
        <w:rPr>
          <w:noProof/>
        </w:rPr>
        <w:t>is in line with the scope of support as set out in Articles 6 and 7.</w:t>
      </w:r>
      <w:r>
        <w:rPr>
          <w:noProof/>
        </w:rPr>
        <w:t>’</w:t>
      </w:r>
      <w:r w:rsidR="00FF2195">
        <w:rPr>
          <w:noProof/>
        </w:rPr>
        <w:t>;</w:t>
      </w:r>
    </w:p>
    <w:bookmarkEnd w:id="30"/>
    <w:p w14:paraId="668D8300" w14:textId="77777777" w:rsidR="0001385B" w:rsidRPr="00131504" w:rsidRDefault="00C45D17" w:rsidP="00C45D17">
      <w:pPr>
        <w:pStyle w:val="Point1"/>
        <w:rPr>
          <w:noProof/>
        </w:rPr>
      </w:pPr>
      <w:r w:rsidRPr="00C45D17">
        <w:rPr>
          <w:noProof/>
        </w:rPr>
        <w:t>(e)</w:t>
      </w:r>
      <w:r w:rsidRPr="00C45D17">
        <w:rPr>
          <w:noProof/>
        </w:rPr>
        <w:tab/>
      </w:r>
      <w:r w:rsidR="00FF2195" w:rsidRPr="78E99963">
        <w:rPr>
          <w:noProof/>
        </w:rPr>
        <w:t>i</w:t>
      </w:r>
      <w:r w:rsidR="0001385B" w:rsidRPr="78E99963">
        <w:rPr>
          <w:noProof/>
        </w:rPr>
        <w:t>n paragraph 4</w:t>
      </w:r>
      <w:r w:rsidR="005D63E2">
        <w:rPr>
          <w:noProof/>
        </w:rPr>
        <w:t>,</w:t>
      </w:r>
      <w:r w:rsidR="0001385B" w:rsidRPr="78E99963">
        <w:rPr>
          <w:noProof/>
        </w:rPr>
        <w:t xml:space="preserve"> </w:t>
      </w:r>
      <w:r w:rsidR="00F61181">
        <w:rPr>
          <w:noProof/>
        </w:rPr>
        <w:t>first subpar</w:t>
      </w:r>
      <w:r w:rsidR="00A1027B">
        <w:rPr>
          <w:noProof/>
        </w:rPr>
        <w:t>a</w:t>
      </w:r>
      <w:r w:rsidR="00F61181">
        <w:rPr>
          <w:noProof/>
        </w:rPr>
        <w:t xml:space="preserve">graph, </w:t>
      </w:r>
      <w:r w:rsidR="0001385B" w:rsidRPr="78E99963">
        <w:rPr>
          <w:noProof/>
        </w:rPr>
        <w:t xml:space="preserve">the following point </w:t>
      </w:r>
      <w:r w:rsidR="00F61181">
        <w:rPr>
          <w:noProof/>
        </w:rPr>
        <w:t xml:space="preserve">(d) </w:t>
      </w:r>
      <w:r w:rsidR="6C3D52D7" w:rsidRPr="78E99963">
        <w:rPr>
          <w:noProof/>
        </w:rPr>
        <w:t>is</w:t>
      </w:r>
      <w:r w:rsidR="0001385B" w:rsidRPr="78E99963">
        <w:rPr>
          <w:noProof/>
        </w:rPr>
        <w:t xml:space="preserve"> added:</w:t>
      </w:r>
      <w:bookmarkStart w:id="31" w:name="_Hlk193051942"/>
    </w:p>
    <w:p w14:paraId="5DE795DA" w14:textId="77777777" w:rsidR="0001385B" w:rsidRPr="00131504" w:rsidRDefault="000E7561" w:rsidP="0001385B">
      <w:pPr>
        <w:pStyle w:val="Text2"/>
        <w:rPr>
          <w:noProof/>
        </w:rPr>
      </w:pPr>
      <w:r>
        <w:rPr>
          <w:noProof/>
        </w:rPr>
        <w:t>‘</w:t>
      </w:r>
      <w:r w:rsidR="0001385B" w:rsidRPr="00131504">
        <w:rPr>
          <w:noProof/>
        </w:rPr>
        <w:t>(</w:t>
      </w:r>
      <w:r w:rsidR="00233602">
        <w:rPr>
          <w:noProof/>
        </w:rPr>
        <w:t>d</w:t>
      </w:r>
      <w:r w:rsidR="0001385B" w:rsidRPr="00131504">
        <w:rPr>
          <w:noProof/>
        </w:rPr>
        <w:t>) contribute to the implementation of reforms</w:t>
      </w:r>
      <w:bookmarkEnd w:id="31"/>
      <w:r w:rsidR="0001385B" w:rsidRPr="00131504">
        <w:rPr>
          <w:noProof/>
        </w:rPr>
        <w:t>.</w:t>
      </w:r>
      <w:r>
        <w:rPr>
          <w:noProof/>
        </w:rPr>
        <w:t>’</w:t>
      </w:r>
      <w:r w:rsidR="00037D9D">
        <w:rPr>
          <w:noProof/>
        </w:rPr>
        <w:t>.</w:t>
      </w:r>
    </w:p>
    <w:p w14:paraId="186CB9E5" w14:textId="77777777" w:rsidR="0001385B" w:rsidRPr="00131504" w:rsidRDefault="00C45D17" w:rsidP="00C45D17">
      <w:pPr>
        <w:pStyle w:val="Point0"/>
        <w:rPr>
          <w:noProof/>
        </w:rPr>
      </w:pPr>
      <w:r w:rsidRPr="00C45D17">
        <w:rPr>
          <w:noProof/>
        </w:rPr>
        <w:t>(2)</w:t>
      </w:r>
      <w:r w:rsidRPr="00C45D17">
        <w:rPr>
          <w:noProof/>
        </w:rPr>
        <w:tab/>
      </w:r>
      <w:r w:rsidR="00037D9D">
        <w:rPr>
          <w:noProof/>
        </w:rPr>
        <w:t>I</w:t>
      </w:r>
      <w:r w:rsidR="00A66A95">
        <w:rPr>
          <w:noProof/>
        </w:rPr>
        <w:t xml:space="preserve">n </w:t>
      </w:r>
      <w:r w:rsidR="0001385B" w:rsidRPr="00131504">
        <w:rPr>
          <w:noProof/>
        </w:rPr>
        <w:t>Article 4</w:t>
      </w:r>
      <w:r w:rsidR="00A66A95">
        <w:rPr>
          <w:noProof/>
        </w:rPr>
        <w:t>, paragraph</w:t>
      </w:r>
      <w:r w:rsidR="00DA2428">
        <w:rPr>
          <w:noProof/>
        </w:rPr>
        <w:t xml:space="preserve"> </w:t>
      </w:r>
      <w:r w:rsidR="0001385B" w:rsidRPr="00131504">
        <w:rPr>
          <w:noProof/>
        </w:rPr>
        <w:t xml:space="preserve">10 is replaced by the following: </w:t>
      </w:r>
    </w:p>
    <w:p w14:paraId="1E2436AC" w14:textId="77777777" w:rsidR="0001385B" w:rsidRPr="00131504" w:rsidRDefault="17C0D68F" w:rsidP="0001385B">
      <w:pPr>
        <w:pStyle w:val="Text1"/>
        <w:rPr>
          <w:noProof/>
        </w:rPr>
      </w:pPr>
      <w:bookmarkStart w:id="32" w:name="_Hlk193052289"/>
      <w:r w:rsidRPr="4D8CB314">
        <w:rPr>
          <w:noProof/>
        </w:rPr>
        <w:t>‘</w:t>
      </w:r>
      <w:r w:rsidR="4A7B1379" w:rsidRPr="4D8CB314">
        <w:rPr>
          <w:noProof/>
        </w:rPr>
        <w:t xml:space="preserve">10. </w:t>
      </w:r>
      <w:r w:rsidR="41FAFD08" w:rsidRPr="4D8CB314">
        <w:rPr>
          <w:noProof/>
        </w:rPr>
        <w:t xml:space="preserve">The thematic concentration requirements set out in paragraph </w:t>
      </w:r>
      <w:r w:rsidR="41FAFD08">
        <w:rPr>
          <w:noProof/>
        </w:rPr>
        <w:t>6</w:t>
      </w:r>
      <w:r w:rsidR="41FAFD08" w:rsidRPr="4D8CB314">
        <w:rPr>
          <w:noProof/>
        </w:rPr>
        <w:t xml:space="preserve"> of this Article shall be complied with throughout the entire programming period, including when ERDF allocations are transferred between priorities of a programme or between programmes</w:t>
      </w:r>
      <w:r w:rsidR="76E1547E" w:rsidRPr="4D8CB314">
        <w:rPr>
          <w:noProof/>
        </w:rPr>
        <w:t xml:space="preserve"> and at the mid</w:t>
      </w:r>
      <w:r w:rsidR="00037D9D">
        <w:rPr>
          <w:noProof/>
        </w:rPr>
        <w:t>-</w:t>
      </w:r>
      <w:r w:rsidR="76E1547E" w:rsidRPr="4D8CB314">
        <w:rPr>
          <w:noProof/>
        </w:rPr>
        <w:t xml:space="preserve">term review in accordance with Article 18 of Regulation (EU) </w:t>
      </w:r>
      <w:r w:rsidR="51C3EAAB" w:rsidRPr="4D8CB314">
        <w:rPr>
          <w:noProof/>
        </w:rPr>
        <w:t>2021/1060</w:t>
      </w:r>
      <w:r w:rsidR="41FAFD08" w:rsidRPr="4D8CB314">
        <w:rPr>
          <w:noProof/>
        </w:rPr>
        <w:t>. Where a Member State submits a</w:t>
      </w:r>
      <w:r w:rsidR="4100AD32" w:rsidRPr="4D8CB314">
        <w:rPr>
          <w:noProof/>
        </w:rPr>
        <w:t xml:space="preserve"> request for an amendment of</w:t>
      </w:r>
      <w:r w:rsidR="41FAFD08" w:rsidRPr="4D8CB314">
        <w:rPr>
          <w:noProof/>
        </w:rPr>
        <w:t xml:space="preserve"> a programme in accordance with Article 24 of Regulation (EU) 2021/1060, amounts programmed for the specific objectives referred to in </w:t>
      </w:r>
      <w:bookmarkStart w:id="33" w:name="_Hlk192677349"/>
      <w:r w:rsidR="41FAFD08" w:rsidRPr="4D8CB314">
        <w:rPr>
          <w:noProof/>
        </w:rPr>
        <w:t>paragraph 1, points (a)(vi) and (b)(ix</w:t>
      </w:r>
      <w:bookmarkEnd w:id="33"/>
      <w:r w:rsidR="41FAFD08" w:rsidRPr="4D8CB314">
        <w:rPr>
          <w:noProof/>
        </w:rPr>
        <w:t>)</w:t>
      </w:r>
      <w:r w:rsidR="5DF4F801" w:rsidRPr="4D8CB314">
        <w:rPr>
          <w:noProof/>
        </w:rPr>
        <w:t>, of this Article,</w:t>
      </w:r>
      <w:r w:rsidR="41FAFD08" w:rsidRPr="4D8CB314">
        <w:rPr>
          <w:noProof/>
        </w:rPr>
        <w:t xml:space="preserve"> </w:t>
      </w:r>
      <w:bookmarkStart w:id="34" w:name="_Hlk192677393"/>
      <w:r w:rsidR="41FAFD08" w:rsidRPr="4D8CB314">
        <w:rPr>
          <w:noProof/>
        </w:rPr>
        <w:t xml:space="preserve">as well as </w:t>
      </w:r>
      <w:r w:rsidR="5DF4F801" w:rsidRPr="4D8CB314">
        <w:rPr>
          <w:noProof/>
        </w:rPr>
        <w:t xml:space="preserve">for </w:t>
      </w:r>
      <w:r w:rsidR="41FAFD08" w:rsidRPr="4D8CB314">
        <w:rPr>
          <w:noProof/>
        </w:rPr>
        <w:t xml:space="preserve">the specific objectives referred to in </w:t>
      </w:r>
      <w:r w:rsidR="5DF4F801" w:rsidRPr="4D8CB314">
        <w:rPr>
          <w:noProof/>
        </w:rPr>
        <w:t xml:space="preserve">paragraph 1, </w:t>
      </w:r>
      <w:r w:rsidR="41FAFD08" w:rsidRPr="4D8CB314">
        <w:rPr>
          <w:noProof/>
        </w:rPr>
        <w:t xml:space="preserve">points </w:t>
      </w:r>
      <w:r w:rsidR="6F56360C" w:rsidRPr="4D8CB314">
        <w:rPr>
          <w:noProof/>
        </w:rPr>
        <w:t>(a)(vii), (b)(v)</w:t>
      </w:r>
      <w:r w:rsidR="5DF4F801" w:rsidRPr="4D8CB314">
        <w:rPr>
          <w:noProof/>
        </w:rPr>
        <w:t>,</w:t>
      </w:r>
      <w:r w:rsidR="6F56360C" w:rsidRPr="4D8CB314">
        <w:rPr>
          <w:noProof/>
        </w:rPr>
        <w:t xml:space="preserve"> (</w:t>
      </w:r>
      <w:r w:rsidR="5DF4F801" w:rsidRPr="4D8CB314">
        <w:rPr>
          <w:noProof/>
        </w:rPr>
        <w:t>b)</w:t>
      </w:r>
      <w:r w:rsidR="6F56360C" w:rsidRPr="4D8CB314">
        <w:rPr>
          <w:noProof/>
        </w:rPr>
        <w:t>(xi), (</w:t>
      </w:r>
      <w:r w:rsidR="02F3C44D" w:rsidRPr="01F46A27">
        <w:rPr>
          <w:noProof/>
        </w:rPr>
        <w:t xml:space="preserve">b)(xii), </w:t>
      </w:r>
      <w:r w:rsidR="6F56360C" w:rsidRPr="01F46A27">
        <w:rPr>
          <w:noProof/>
        </w:rPr>
        <w:t>(</w:t>
      </w:r>
      <w:r w:rsidR="6F56360C" w:rsidRPr="4D8CB314">
        <w:rPr>
          <w:noProof/>
        </w:rPr>
        <w:t>c)(iii), (d)(vii) and (e)(iii</w:t>
      </w:r>
      <w:bookmarkEnd w:id="34"/>
      <w:r w:rsidR="6F56360C" w:rsidRPr="4D8CB314">
        <w:rPr>
          <w:noProof/>
        </w:rPr>
        <w:t>)</w:t>
      </w:r>
      <w:r w:rsidR="5DF4F801" w:rsidRPr="4D8CB314">
        <w:rPr>
          <w:noProof/>
        </w:rPr>
        <w:t>,</w:t>
      </w:r>
      <w:r w:rsidR="6F56360C" w:rsidRPr="4D8CB314">
        <w:rPr>
          <w:noProof/>
        </w:rPr>
        <w:t xml:space="preserve"> </w:t>
      </w:r>
      <w:r w:rsidR="5DF4F801" w:rsidRPr="4D8CB314">
        <w:rPr>
          <w:noProof/>
        </w:rPr>
        <w:t>of this Article,</w:t>
      </w:r>
      <w:r w:rsidR="41FAFD08" w:rsidRPr="4D8CB314">
        <w:rPr>
          <w:noProof/>
        </w:rPr>
        <w:t xml:space="preserve"> </w:t>
      </w:r>
      <w:r w:rsidR="41FAFD08" w:rsidRPr="01F46A27">
        <w:rPr>
          <w:noProof/>
        </w:rPr>
        <w:t>may be counted towards either the amounts required for PO</w:t>
      </w:r>
      <w:r w:rsidR="00037D9D">
        <w:rPr>
          <w:noProof/>
        </w:rPr>
        <w:t> </w:t>
      </w:r>
      <w:r w:rsidR="41FAFD08" w:rsidRPr="01F46A27">
        <w:rPr>
          <w:noProof/>
        </w:rPr>
        <w:t>1 or PO</w:t>
      </w:r>
      <w:r w:rsidR="00037D9D">
        <w:rPr>
          <w:noProof/>
        </w:rPr>
        <w:t> </w:t>
      </w:r>
      <w:r w:rsidR="41FAFD08" w:rsidRPr="01F46A27">
        <w:rPr>
          <w:noProof/>
        </w:rPr>
        <w:t>2 or divided between the two.</w:t>
      </w:r>
      <w:r w:rsidRPr="01F46A27">
        <w:rPr>
          <w:noProof/>
        </w:rPr>
        <w:t>’</w:t>
      </w:r>
      <w:r w:rsidR="00EF2EB8">
        <w:rPr>
          <w:noProof/>
        </w:rPr>
        <w:t>.</w:t>
      </w:r>
      <w:r w:rsidR="41FAFD08" w:rsidRPr="4D8CB314">
        <w:rPr>
          <w:noProof/>
        </w:rPr>
        <w:t xml:space="preserve"> </w:t>
      </w:r>
    </w:p>
    <w:p w14:paraId="6E522BF7" w14:textId="77777777" w:rsidR="0001385B" w:rsidRPr="00131504" w:rsidRDefault="00C45D17" w:rsidP="00C45D17">
      <w:pPr>
        <w:pStyle w:val="Point0"/>
        <w:rPr>
          <w:noProof/>
        </w:rPr>
      </w:pPr>
      <w:bookmarkStart w:id="35" w:name="_Hlk191394998"/>
      <w:bookmarkEnd w:id="32"/>
      <w:r w:rsidRPr="00C45D17">
        <w:rPr>
          <w:noProof/>
        </w:rPr>
        <w:t>(3)</w:t>
      </w:r>
      <w:r w:rsidRPr="00C45D17">
        <w:rPr>
          <w:noProof/>
        </w:rPr>
        <w:tab/>
      </w:r>
      <w:r w:rsidR="0001385B" w:rsidRPr="00131504">
        <w:rPr>
          <w:noProof/>
        </w:rPr>
        <w:t>Article 5 is amended as follow</w:t>
      </w:r>
      <w:r w:rsidR="00211E79">
        <w:rPr>
          <w:noProof/>
        </w:rPr>
        <w:t>s</w:t>
      </w:r>
      <w:r w:rsidR="0001385B" w:rsidRPr="00131504">
        <w:rPr>
          <w:noProof/>
        </w:rPr>
        <w:t>:</w:t>
      </w:r>
    </w:p>
    <w:p w14:paraId="616D8782" w14:textId="77777777" w:rsidR="00D95CDF" w:rsidRDefault="00C45D17" w:rsidP="00C45D17">
      <w:pPr>
        <w:pStyle w:val="Point1"/>
        <w:rPr>
          <w:noProof/>
        </w:rPr>
      </w:pPr>
      <w:r w:rsidRPr="00C45D17">
        <w:rPr>
          <w:noProof/>
        </w:rPr>
        <w:t>(a)</w:t>
      </w:r>
      <w:r w:rsidRPr="00C45D17">
        <w:rPr>
          <w:noProof/>
        </w:rPr>
        <w:tab/>
      </w:r>
      <w:r w:rsidR="2FAC7181" w:rsidRPr="471CE5AE">
        <w:rPr>
          <w:noProof/>
        </w:rPr>
        <w:t xml:space="preserve">paragraph 2 is amended as follows: </w:t>
      </w:r>
    </w:p>
    <w:p w14:paraId="41F46BE8" w14:textId="77777777" w:rsidR="00AC2305" w:rsidRDefault="00CB3F91" w:rsidP="00037D9D">
      <w:pPr>
        <w:pStyle w:val="Point2"/>
        <w:rPr>
          <w:noProof/>
        </w:rPr>
      </w:pPr>
      <w:r>
        <w:rPr>
          <w:noProof/>
        </w:rPr>
        <w:t>(i)</w:t>
      </w:r>
      <w:r>
        <w:rPr>
          <w:noProof/>
        </w:rPr>
        <w:tab/>
      </w:r>
      <w:r w:rsidR="00AC2305">
        <w:rPr>
          <w:noProof/>
        </w:rPr>
        <w:t>the first subparagraph is amended as follows:</w:t>
      </w:r>
    </w:p>
    <w:p w14:paraId="58DC696A" w14:textId="77777777" w:rsidR="0001385B" w:rsidRPr="00131504" w:rsidRDefault="5C786600" w:rsidP="001B6C6C">
      <w:pPr>
        <w:pStyle w:val="Text2"/>
        <w:rPr>
          <w:noProof/>
        </w:rPr>
      </w:pPr>
      <w:r w:rsidRPr="471CE5AE">
        <w:rPr>
          <w:noProof/>
        </w:rPr>
        <w:t>(</w:t>
      </w:r>
      <w:r w:rsidR="33BCBB44" w:rsidRPr="471CE5AE">
        <w:rPr>
          <w:noProof/>
        </w:rPr>
        <w:t>1</w:t>
      </w:r>
      <w:r w:rsidRPr="471CE5AE">
        <w:rPr>
          <w:noProof/>
        </w:rPr>
        <w:t>)</w:t>
      </w:r>
      <w:r w:rsidR="00AC2305">
        <w:rPr>
          <w:noProof/>
        </w:rPr>
        <w:tab/>
      </w:r>
      <w:r w:rsidR="41FAFD08" w:rsidRPr="471CE5AE">
        <w:rPr>
          <w:noProof/>
        </w:rPr>
        <w:t>point (e) is replaced by the following:</w:t>
      </w:r>
    </w:p>
    <w:p w14:paraId="1AC4E1F3" w14:textId="77777777" w:rsidR="009E771D" w:rsidRDefault="78FC8916" w:rsidP="13254EE5">
      <w:pPr>
        <w:pStyle w:val="Text2"/>
        <w:rPr>
          <w:noProof/>
        </w:rPr>
      </w:pPr>
      <w:r w:rsidRPr="4D8CB314">
        <w:rPr>
          <w:noProof/>
        </w:rPr>
        <w:t>‘</w:t>
      </w:r>
      <w:r w:rsidR="73D41856" w:rsidRPr="4D8CB314">
        <w:rPr>
          <w:noProof/>
        </w:rPr>
        <w:t>(e) when they contribute to the specific objectives under PO 1 set out in Article 3(1), points (a)(vi) and (</w:t>
      </w:r>
      <w:r w:rsidRPr="4D8CB314">
        <w:rPr>
          <w:noProof/>
        </w:rPr>
        <w:t>a)</w:t>
      </w:r>
      <w:r w:rsidR="73D41856" w:rsidRPr="4D8CB314">
        <w:rPr>
          <w:noProof/>
        </w:rPr>
        <w:t>(vii)</w:t>
      </w:r>
      <w:r w:rsidRPr="4D8CB314">
        <w:rPr>
          <w:noProof/>
        </w:rPr>
        <w:t>, of this Regulation</w:t>
      </w:r>
      <w:r w:rsidR="68F982F3" w:rsidRPr="4D8CB314">
        <w:rPr>
          <w:noProof/>
        </w:rPr>
        <w:t>,</w:t>
      </w:r>
      <w:r w:rsidR="73D41856" w:rsidRPr="4D8CB314">
        <w:rPr>
          <w:noProof/>
        </w:rPr>
        <w:t xml:space="preserve"> or to the specific objective under PO 2 set out in Article 3(1), point (b)(ix), </w:t>
      </w:r>
      <w:r w:rsidRPr="4D8CB314">
        <w:rPr>
          <w:noProof/>
        </w:rPr>
        <w:t>of this Regulation</w:t>
      </w:r>
      <w:r w:rsidR="00037D9D">
        <w:rPr>
          <w:noProof/>
        </w:rPr>
        <w:t>;</w:t>
      </w:r>
      <w:r>
        <w:rPr>
          <w:noProof/>
        </w:rPr>
        <w:t>’;</w:t>
      </w:r>
    </w:p>
    <w:p w14:paraId="0E1CE3F9" w14:textId="77777777" w:rsidR="78FC8916" w:rsidRDefault="009E771D" w:rsidP="13254EE5">
      <w:pPr>
        <w:pStyle w:val="Text2"/>
        <w:rPr>
          <w:noProof/>
        </w:rPr>
      </w:pPr>
      <w:r>
        <w:rPr>
          <w:noProof/>
        </w:rPr>
        <w:t>(2)</w:t>
      </w:r>
      <w:r>
        <w:rPr>
          <w:noProof/>
        </w:rPr>
        <w:tab/>
        <w:t>the following point (f) is added:</w:t>
      </w:r>
      <w:r w:rsidR="78FC8916" w:rsidRPr="4D8CB314">
        <w:rPr>
          <w:noProof/>
        </w:rPr>
        <w:t xml:space="preserve"> </w:t>
      </w:r>
    </w:p>
    <w:p w14:paraId="05627FE2" w14:textId="77777777" w:rsidR="78FC8916" w:rsidRDefault="009E771D" w:rsidP="142F223E">
      <w:pPr>
        <w:pStyle w:val="Text2"/>
        <w:rPr>
          <w:noProof/>
        </w:rPr>
      </w:pPr>
      <w:r>
        <w:rPr>
          <w:noProof/>
        </w:rPr>
        <w:t>‘</w:t>
      </w:r>
      <w:r w:rsidR="5499064E" w:rsidRPr="13254EE5">
        <w:rPr>
          <w:noProof/>
        </w:rPr>
        <w:t>(f)</w:t>
      </w:r>
      <w:r w:rsidR="79189768" w:rsidRPr="4D8CB314">
        <w:rPr>
          <w:noProof/>
        </w:rPr>
        <w:t xml:space="preserve"> </w:t>
      </w:r>
      <w:r w:rsidR="73D41856" w:rsidRPr="4D8CB314">
        <w:rPr>
          <w:noProof/>
        </w:rPr>
        <w:t xml:space="preserve"> when they contribute to an </w:t>
      </w:r>
      <w:r w:rsidR="350AC2EF" w:rsidRPr="4D8CB314">
        <w:rPr>
          <w:noProof/>
        </w:rPr>
        <w:t>I</w:t>
      </w:r>
      <w:r w:rsidR="73D41856" w:rsidRPr="4D8CB314">
        <w:rPr>
          <w:noProof/>
        </w:rPr>
        <w:t xml:space="preserve">mportant </w:t>
      </w:r>
      <w:r w:rsidR="5D074FB2" w:rsidRPr="4D8CB314">
        <w:rPr>
          <w:noProof/>
        </w:rPr>
        <w:t>P</w:t>
      </w:r>
      <w:r w:rsidR="73D41856" w:rsidRPr="4D8CB314">
        <w:rPr>
          <w:noProof/>
        </w:rPr>
        <w:t xml:space="preserve">roject of </w:t>
      </w:r>
      <w:r w:rsidR="69B51B86" w:rsidRPr="4D8CB314">
        <w:rPr>
          <w:noProof/>
        </w:rPr>
        <w:t>C</w:t>
      </w:r>
      <w:r w:rsidR="73D41856" w:rsidRPr="4D8CB314">
        <w:rPr>
          <w:noProof/>
        </w:rPr>
        <w:t xml:space="preserve">ommon European </w:t>
      </w:r>
      <w:r w:rsidR="5A13AEE0" w:rsidRPr="4D8CB314">
        <w:rPr>
          <w:noProof/>
        </w:rPr>
        <w:t>I</w:t>
      </w:r>
      <w:r w:rsidR="73D41856" w:rsidRPr="4D8CB314">
        <w:rPr>
          <w:noProof/>
        </w:rPr>
        <w:t xml:space="preserve">nterest </w:t>
      </w:r>
      <w:r w:rsidR="1EC7B26E" w:rsidRPr="4D8CB314">
        <w:rPr>
          <w:noProof/>
        </w:rPr>
        <w:t xml:space="preserve">as </w:t>
      </w:r>
      <w:r w:rsidR="1683AE17" w:rsidRPr="4D8CB314">
        <w:rPr>
          <w:noProof/>
        </w:rPr>
        <w:t xml:space="preserve">approved by the Commission pursuant to </w:t>
      </w:r>
      <w:r w:rsidR="73D41856" w:rsidRPr="4D8CB314">
        <w:rPr>
          <w:noProof/>
        </w:rPr>
        <w:t>Article 107(3)</w:t>
      </w:r>
      <w:r w:rsidR="111C5364" w:rsidRPr="4D8CB314">
        <w:rPr>
          <w:noProof/>
        </w:rPr>
        <w:t xml:space="preserve">, point </w:t>
      </w:r>
      <w:r w:rsidR="73D41856" w:rsidRPr="4D8CB314">
        <w:rPr>
          <w:noProof/>
        </w:rPr>
        <w:t>(b)</w:t>
      </w:r>
      <w:r w:rsidR="111C5364" w:rsidRPr="4D8CB314">
        <w:rPr>
          <w:noProof/>
        </w:rPr>
        <w:t>,</w:t>
      </w:r>
      <w:r w:rsidR="73D41856" w:rsidRPr="4D8CB314">
        <w:rPr>
          <w:noProof/>
        </w:rPr>
        <w:t xml:space="preserve"> of the Treaty </w:t>
      </w:r>
      <w:r w:rsidR="111C5364">
        <w:rPr>
          <w:noProof/>
        </w:rPr>
        <w:t xml:space="preserve">on the Functioning of the European Union </w:t>
      </w:r>
      <w:r w:rsidR="00037D9D">
        <w:rPr>
          <w:noProof/>
        </w:rPr>
        <w:t>(</w:t>
      </w:r>
      <w:r w:rsidR="470CD8D2" w:rsidRPr="4D8CB314">
        <w:rPr>
          <w:rFonts w:eastAsia="Times New Roman"/>
          <w:noProof/>
        </w:rPr>
        <w:t>TFEU</w:t>
      </w:r>
      <w:r w:rsidR="00037D9D">
        <w:rPr>
          <w:rFonts w:eastAsia="Times New Roman"/>
          <w:noProof/>
        </w:rPr>
        <w:t>)</w:t>
      </w:r>
      <w:r w:rsidR="470CD8D2" w:rsidRPr="4D8CB314">
        <w:rPr>
          <w:rFonts w:eastAsia="Times New Roman"/>
          <w:noProof/>
        </w:rPr>
        <w:t xml:space="preserve"> and to Communication C</w:t>
      </w:r>
      <w:r w:rsidR="00037D9D">
        <w:rPr>
          <w:rFonts w:eastAsia="Times New Roman"/>
          <w:noProof/>
        </w:rPr>
        <w:t>(</w:t>
      </w:r>
      <w:r w:rsidR="470CD8D2" w:rsidRPr="4D8CB314">
        <w:rPr>
          <w:rFonts w:eastAsia="Times New Roman"/>
          <w:noProof/>
        </w:rPr>
        <w:t>2021</w:t>
      </w:r>
      <w:r w:rsidR="00037D9D">
        <w:rPr>
          <w:rFonts w:eastAsia="Times New Roman"/>
          <w:noProof/>
        </w:rPr>
        <w:t>) </w:t>
      </w:r>
      <w:r w:rsidR="470CD8D2" w:rsidRPr="4D8CB314">
        <w:rPr>
          <w:rFonts w:eastAsia="Times New Roman"/>
          <w:noProof/>
        </w:rPr>
        <w:t>8481</w:t>
      </w:r>
      <w:r w:rsidR="73D41856" w:rsidRPr="4D8CB314">
        <w:rPr>
          <w:noProof/>
        </w:rPr>
        <w:t>,</w:t>
      </w:r>
      <w:r w:rsidR="78FC8916" w:rsidRPr="4D8CB314">
        <w:rPr>
          <w:noProof/>
        </w:rPr>
        <w:t xml:space="preserve"> </w:t>
      </w:r>
      <w:r w:rsidR="254A111B" w:rsidRPr="4D8CB314">
        <w:rPr>
          <w:noProof/>
        </w:rPr>
        <w:t>while preserving a focus on SMEs</w:t>
      </w:r>
      <w:r w:rsidR="00037D9D">
        <w:rPr>
          <w:noProof/>
        </w:rPr>
        <w:t>;’</w:t>
      </w:r>
      <w:r>
        <w:rPr>
          <w:noProof/>
        </w:rPr>
        <w:t>;</w:t>
      </w:r>
    </w:p>
    <w:p w14:paraId="2ED0ABF6" w14:textId="77777777" w:rsidR="0001385B" w:rsidRDefault="00AC2305" w:rsidP="001B6C6C">
      <w:pPr>
        <w:pStyle w:val="Text2"/>
        <w:rPr>
          <w:noProof/>
        </w:rPr>
      </w:pPr>
      <w:r>
        <w:rPr>
          <w:noProof/>
        </w:rPr>
        <w:t>(3)</w:t>
      </w:r>
      <w:r>
        <w:rPr>
          <w:noProof/>
        </w:rPr>
        <w:tab/>
      </w:r>
      <w:r w:rsidR="009A3045">
        <w:rPr>
          <w:noProof/>
        </w:rPr>
        <w:t>the following</w:t>
      </w:r>
      <w:r w:rsidR="0001385B" w:rsidRPr="54388C04">
        <w:rPr>
          <w:noProof/>
        </w:rPr>
        <w:t xml:space="preserve"> point </w:t>
      </w:r>
      <w:r w:rsidR="00D95CDF">
        <w:rPr>
          <w:noProof/>
        </w:rPr>
        <w:t>(</w:t>
      </w:r>
      <w:r w:rsidR="4603569D" w:rsidRPr="1EC1ACA8">
        <w:rPr>
          <w:noProof/>
        </w:rPr>
        <w:t>g</w:t>
      </w:r>
      <w:r w:rsidR="00D95CDF">
        <w:rPr>
          <w:noProof/>
        </w:rPr>
        <w:t xml:space="preserve">) </w:t>
      </w:r>
      <w:r w:rsidR="0001385B" w:rsidRPr="54388C04">
        <w:rPr>
          <w:noProof/>
        </w:rPr>
        <w:t>is added:</w:t>
      </w:r>
    </w:p>
    <w:p w14:paraId="1661D250" w14:textId="77777777" w:rsidR="0001385B" w:rsidRPr="00131504" w:rsidRDefault="67705C1E" w:rsidP="0001385B">
      <w:pPr>
        <w:pStyle w:val="Text2"/>
        <w:rPr>
          <w:noProof/>
        </w:rPr>
      </w:pPr>
      <w:bookmarkStart w:id="36" w:name="_Hlk193053661"/>
      <w:bookmarkStart w:id="37" w:name="_Hlk192609345"/>
      <w:r w:rsidRPr="4D8CB314">
        <w:rPr>
          <w:noProof/>
        </w:rPr>
        <w:t>‘</w:t>
      </w:r>
      <w:r w:rsidR="7EAB6239" w:rsidRPr="4D8CB314">
        <w:rPr>
          <w:noProof/>
        </w:rPr>
        <w:t>(</w:t>
      </w:r>
      <w:r w:rsidR="7D77B75E" w:rsidRPr="1EC1ACA8">
        <w:rPr>
          <w:noProof/>
        </w:rPr>
        <w:t>g</w:t>
      </w:r>
      <w:r w:rsidR="7EAB6239" w:rsidRPr="4D8CB314">
        <w:rPr>
          <w:noProof/>
        </w:rPr>
        <w:t>) where they facilitate industrial adjustment linked to the decarbonisation of production processes and products</w:t>
      </w:r>
      <w:r>
        <w:rPr>
          <w:noProof/>
        </w:rPr>
        <w:t>.’;</w:t>
      </w:r>
      <w:bookmarkEnd w:id="36"/>
      <w:bookmarkEnd w:id="37"/>
    </w:p>
    <w:bookmarkEnd w:id="35"/>
    <w:p w14:paraId="41CE07A7" w14:textId="77777777" w:rsidR="0001385B" w:rsidRPr="00131504" w:rsidRDefault="00CB3F91" w:rsidP="00037D9D">
      <w:pPr>
        <w:pStyle w:val="Point2"/>
        <w:rPr>
          <w:noProof/>
        </w:rPr>
      </w:pPr>
      <w:r>
        <w:rPr>
          <w:noProof/>
        </w:rPr>
        <w:t>(ii)</w:t>
      </w:r>
      <w:r>
        <w:rPr>
          <w:noProof/>
        </w:rPr>
        <w:tab/>
      </w:r>
      <w:r w:rsidR="0001385B" w:rsidRPr="00131504">
        <w:rPr>
          <w:noProof/>
        </w:rPr>
        <w:t>the second subparagraph is deleted</w:t>
      </w:r>
      <w:r w:rsidR="00D7560B" w:rsidRPr="65EA8DF4">
        <w:rPr>
          <w:noProof/>
        </w:rPr>
        <w:t>;</w:t>
      </w:r>
    </w:p>
    <w:p w14:paraId="18085B2D" w14:textId="77777777" w:rsidR="0001385B" w:rsidRPr="00131504" w:rsidRDefault="00C45D17" w:rsidP="00C45D17">
      <w:pPr>
        <w:pStyle w:val="Point1"/>
        <w:rPr>
          <w:noProof/>
        </w:rPr>
      </w:pPr>
      <w:r w:rsidRPr="00C45D17">
        <w:rPr>
          <w:noProof/>
        </w:rPr>
        <w:t>(b)</w:t>
      </w:r>
      <w:r w:rsidRPr="00C45D17">
        <w:rPr>
          <w:noProof/>
        </w:rPr>
        <w:tab/>
      </w:r>
      <w:r w:rsidR="52E2F3E5" w:rsidRPr="757EBBDA">
        <w:rPr>
          <w:noProof/>
        </w:rPr>
        <w:t>the following paragraph</w:t>
      </w:r>
      <w:r w:rsidR="0896F012" w:rsidRPr="757EBBDA">
        <w:rPr>
          <w:noProof/>
        </w:rPr>
        <w:t>s</w:t>
      </w:r>
      <w:r w:rsidR="52E2F3E5" w:rsidRPr="757EBBDA">
        <w:rPr>
          <w:noProof/>
        </w:rPr>
        <w:t xml:space="preserve"> </w:t>
      </w:r>
      <w:r w:rsidR="06BBB63C" w:rsidRPr="757EBBDA">
        <w:rPr>
          <w:noProof/>
        </w:rPr>
        <w:t>10</w:t>
      </w:r>
      <w:r w:rsidR="42FBFE33" w:rsidRPr="757EBBDA">
        <w:rPr>
          <w:noProof/>
        </w:rPr>
        <w:t xml:space="preserve"> and 11</w:t>
      </w:r>
      <w:r w:rsidR="0896F012" w:rsidRPr="757EBBDA">
        <w:rPr>
          <w:noProof/>
        </w:rPr>
        <w:t xml:space="preserve"> </w:t>
      </w:r>
      <w:r w:rsidR="4E5309E8" w:rsidRPr="757EBBDA">
        <w:rPr>
          <w:noProof/>
        </w:rPr>
        <w:t>are</w:t>
      </w:r>
      <w:r w:rsidR="52E2F3E5" w:rsidRPr="757EBBDA">
        <w:rPr>
          <w:noProof/>
        </w:rPr>
        <w:t xml:space="preserve"> added: </w:t>
      </w:r>
    </w:p>
    <w:p w14:paraId="139E8818" w14:textId="77777777" w:rsidR="00E52F62" w:rsidRDefault="18A587BF" w:rsidP="00E52F62">
      <w:pPr>
        <w:pStyle w:val="Text1"/>
        <w:rPr>
          <w:noProof/>
        </w:rPr>
      </w:pPr>
      <w:bookmarkStart w:id="38" w:name="_Hlk193054521"/>
      <w:r w:rsidRPr="757EBBDA">
        <w:rPr>
          <w:noProof/>
        </w:rPr>
        <w:t>‘</w:t>
      </w:r>
      <w:r w:rsidR="52E2F3E5" w:rsidRPr="757EBBDA">
        <w:rPr>
          <w:noProof/>
        </w:rPr>
        <w:t xml:space="preserve">10. In addition to the possibilities set out in Article 14 of Regulation (EU) 2021/1060, Member States may, with the agreement of the managing authorities concerned, allocate resources </w:t>
      </w:r>
      <w:bookmarkStart w:id="39" w:name="_Hlk192233916"/>
      <w:r w:rsidR="52E2F3E5" w:rsidRPr="757EBBDA">
        <w:rPr>
          <w:noProof/>
        </w:rPr>
        <w:t>from the ERDF and the Cohesion Fund to</w:t>
      </w:r>
      <w:r w:rsidR="52E2F3E5">
        <w:rPr>
          <w:noProof/>
        </w:rPr>
        <w:t xml:space="preserve"> the Member State compartment of the InvestEU Fund to deploy them through the InvestEU financial instrument to be set out in </w:t>
      </w:r>
      <w:r w:rsidR="58D2A308">
        <w:rPr>
          <w:noProof/>
        </w:rPr>
        <w:t>[</w:t>
      </w:r>
      <w:r w:rsidR="52E2F3E5">
        <w:rPr>
          <w:noProof/>
        </w:rPr>
        <w:t>Article 10a of Regulation (EU) 2021/523</w:t>
      </w:r>
      <w:bookmarkEnd w:id="39"/>
      <w:r w:rsidR="3B1F627E">
        <w:rPr>
          <w:noProof/>
        </w:rPr>
        <w:t xml:space="preserve"> of the European Parliament and of the Council</w:t>
      </w:r>
      <w:r w:rsidR="58D2A308">
        <w:rPr>
          <w:noProof/>
        </w:rPr>
        <w:t>]</w:t>
      </w:r>
      <w:r w:rsidR="3B1F627E">
        <w:rPr>
          <w:noProof/>
        </w:rPr>
        <w:t>*</w:t>
      </w:r>
      <w:r w:rsidR="52E2F3E5">
        <w:rPr>
          <w:noProof/>
        </w:rPr>
        <w:t>. Such contributions shall be subject to the procedures set out in Article 14 of Regulation (EU) 2021/1060 and count towards the ceilings set out in that Article.</w:t>
      </w:r>
      <w:r w:rsidR="0896F012">
        <w:rPr>
          <w:noProof/>
        </w:rPr>
        <w:t xml:space="preserve"> Resources generated by or attributable to the amounts contributed to the InvestEU financial instrument in accordance with Article 14 of Regulation (EU) 2021/1060 shall be made available to the Member State in accordance with the contribution agreement and shall be used for support under the same objective or objectives in the form of financial instruments or budgetary guarantees</w:t>
      </w:r>
      <w:r w:rsidR="42C74586">
        <w:rPr>
          <w:noProof/>
        </w:rPr>
        <w:t>.</w:t>
      </w:r>
    </w:p>
    <w:p w14:paraId="43D7C3C8" w14:textId="77777777" w:rsidR="00F76EA9" w:rsidRDefault="5834D59F" w:rsidP="0001385B">
      <w:pPr>
        <w:pStyle w:val="Text1"/>
        <w:rPr>
          <w:noProof/>
        </w:rPr>
      </w:pPr>
      <w:r w:rsidRPr="4D8CB314">
        <w:rPr>
          <w:rFonts w:eastAsia="Times New Roman"/>
          <w:noProof/>
        </w:rPr>
        <w:t>11.</w:t>
      </w:r>
      <w:r w:rsidRPr="4D8CB314">
        <w:rPr>
          <w:rFonts w:ascii="Aptos" w:eastAsia="Aptos" w:hAnsi="Aptos" w:cs="Aptos"/>
          <w:noProof/>
          <w:sz w:val="22"/>
        </w:rPr>
        <w:t xml:space="preserve"> </w:t>
      </w:r>
      <w:r w:rsidRPr="4D8CB314">
        <w:rPr>
          <w:rFonts w:eastAsia="Times New Roman"/>
          <w:noProof/>
        </w:rPr>
        <w:t>In addition to the possibilities set out in Article 73(4) of Regulation (EU) 2021/1060, for projects directly participating in an Important Project of Common European Interest approved by the Commission pursuant to Article 107(3), point (b) TFEU</w:t>
      </w:r>
      <w:r w:rsidR="453E791F" w:rsidRPr="01B71715">
        <w:rPr>
          <w:rFonts w:eastAsia="Times New Roman"/>
          <w:noProof/>
        </w:rPr>
        <w:t xml:space="preserve"> and to Communication C</w:t>
      </w:r>
      <w:r w:rsidR="00037D9D">
        <w:rPr>
          <w:rFonts w:eastAsia="Times New Roman"/>
          <w:noProof/>
        </w:rPr>
        <w:t>(</w:t>
      </w:r>
      <w:r w:rsidR="453E791F" w:rsidRPr="01B71715">
        <w:rPr>
          <w:rFonts w:eastAsia="Times New Roman"/>
          <w:noProof/>
        </w:rPr>
        <w:t>2021</w:t>
      </w:r>
      <w:r w:rsidR="00037D9D">
        <w:rPr>
          <w:rFonts w:eastAsia="Times New Roman"/>
          <w:noProof/>
        </w:rPr>
        <w:t>) </w:t>
      </w:r>
      <w:r w:rsidR="453E791F" w:rsidRPr="01B71715">
        <w:rPr>
          <w:rFonts w:eastAsia="Times New Roman"/>
          <w:noProof/>
        </w:rPr>
        <w:t>8481</w:t>
      </w:r>
      <w:r w:rsidRPr="4D8CB314">
        <w:rPr>
          <w:rFonts w:eastAsia="Times New Roman"/>
          <w:noProof/>
        </w:rPr>
        <w:t xml:space="preserve">, </w:t>
      </w:r>
      <w:r w:rsidR="54043444" w:rsidRPr="4D8CB314">
        <w:rPr>
          <w:rFonts w:eastAsia="Times New Roman"/>
          <w:noProof/>
        </w:rPr>
        <w:t>the managing authority may decide to grant support from the ERDF directly, provided that such operations meet the requirements set out in Article 73, paragraph 2, points (a), (b) and (g)</w:t>
      </w:r>
      <w:r w:rsidR="00037D9D">
        <w:rPr>
          <w:rFonts w:eastAsia="Times New Roman"/>
          <w:noProof/>
        </w:rPr>
        <w:t>,</w:t>
      </w:r>
      <w:r w:rsidR="54043444" w:rsidRPr="4D8CB314">
        <w:rPr>
          <w:rFonts w:eastAsia="Times New Roman"/>
          <w:noProof/>
        </w:rPr>
        <w:t xml:space="preserve"> of Regulation </w:t>
      </w:r>
      <w:r>
        <w:rPr>
          <w:rFonts w:eastAsia="Times New Roman"/>
          <w:noProof/>
        </w:rPr>
        <w:t xml:space="preserve">(EU) </w:t>
      </w:r>
      <w:r w:rsidR="54043444" w:rsidRPr="4D8CB314">
        <w:rPr>
          <w:rFonts w:eastAsia="Times New Roman"/>
          <w:noProof/>
        </w:rPr>
        <w:t>2021/1060</w:t>
      </w:r>
      <w:r w:rsidRPr="4D8CB314">
        <w:rPr>
          <w:rFonts w:eastAsia="Times New Roman"/>
          <w:noProof/>
        </w:rPr>
        <w:t>.</w:t>
      </w:r>
      <w:r w:rsidR="25980045">
        <w:rPr>
          <w:noProof/>
        </w:rPr>
        <w:t xml:space="preserve"> </w:t>
      </w:r>
    </w:p>
    <w:p w14:paraId="477E98F0" w14:textId="77777777" w:rsidR="00F76EA9" w:rsidRDefault="00F76EA9" w:rsidP="0001385B">
      <w:pPr>
        <w:pStyle w:val="Text1"/>
        <w:rPr>
          <w:noProof/>
        </w:rPr>
      </w:pPr>
      <w:r>
        <w:rPr>
          <w:noProof/>
        </w:rPr>
        <w:t>______</w:t>
      </w:r>
    </w:p>
    <w:p w14:paraId="5EBDFB63" w14:textId="77777777" w:rsidR="0001385B" w:rsidRPr="00131504" w:rsidRDefault="00F76EA9" w:rsidP="0001385B">
      <w:pPr>
        <w:pStyle w:val="Text1"/>
        <w:rPr>
          <w:noProof/>
        </w:rPr>
      </w:pPr>
      <w:r>
        <w:rPr>
          <w:noProof/>
        </w:rPr>
        <w:t xml:space="preserve">* </w:t>
      </w:r>
      <w:r w:rsidRPr="00F76EA9">
        <w:rPr>
          <w:noProof/>
        </w:rPr>
        <w:t>Regulation (EU) 2021/523 of the European Parliament and of the Council of 24 March 2021 establishing the InvestEU Programme and amending Regulation (EU) 2015/1017 (OJ L 107, 26.3.2021, p. 30, ELI: http://data.europa.eu/eli/reg/2021/523/oj)</w:t>
      </w:r>
      <w:r>
        <w:rPr>
          <w:noProof/>
        </w:rPr>
        <w:t>.</w:t>
      </w:r>
      <w:r w:rsidR="00D7560B">
        <w:rPr>
          <w:noProof/>
        </w:rPr>
        <w:t>’</w:t>
      </w:r>
      <w:r w:rsidR="00EF2EB8">
        <w:rPr>
          <w:noProof/>
        </w:rPr>
        <w:t>.</w:t>
      </w:r>
    </w:p>
    <w:bookmarkEnd w:id="38"/>
    <w:p w14:paraId="3961FAC1" w14:textId="77777777" w:rsidR="0001385B" w:rsidRPr="00131504" w:rsidRDefault="00C45D17" w:rsidP="00C45D17">
      <w:pPr>
        <w:pStyle w:val="Point0"/>
        <w:rPr>
          <w:noProof/>
        </w:rPr>
      </w:pPr>
      <w:r w:rsidRPr="00C45D17">
        <w:rPr>
          <w:noProof/>
        </w:rPr>
        <w:t>(4)</w:t>
      </w:r>
      <w:r w:rsidRPr="00C45D17">
        <w:rPr>
          <w:noProof/>
        </w:rPr>
        <w:tab/>
      </w:r>
      <w:r w:rsidR="00EF2EB8">
        <w:rPr>
          <w:noProof/>
        </w:rPr>
        <w:t>I</w:t>
      </w:r>
      <w:r w:rsidR="00B13018">
        <w:rPr>
          <w:noProof/>
        </w:rPr>
        <w:t xml:space="preserve">n </w:t>
      </w:r>
      <w:r w:rsidR="0001385B" w:rsidRPr="00131504">
        <w:rPr>
          <w:noProof/>
        </w:rPr>
        <w:t>Article 7</w:t>
      </w:r>
      <w:r w:rsidR="00B13018">
        <w:rPr>
          <w:noProof/>
        </w:rPr>
        <w:t xml:space="preserve">, paragraph </w:t>
      </w:r>
      <w:r w:rsidR="0001385B" w:rsidRPr="00131504">
        <w:rPr>
          <w:noProof/>
        </w:rPr>
        <w:t>1 is amended as follows:</w:t>
      </w:r>
    </w:p>
    <w:p w14:paraId="7EDD8644" w14:textId="77777777" w:rsidR="00A15047" w:rsidRDefault="00C45D17" w:rsidP="00C45D17">
      <w:pPr>
        <w:pStyle w:val="Point1"/>
        <w:rPr>
          <w:noProof/>
        </w:rPr>
      </w:pPr>
      <w:r w:rsidRPr="00C45D17">
        <w:rPr>
          <w:noProof/>
        </w:rPr>
        <w:t>(a)</w:t>
      </w:r>
      <w:r w:rsidRPr="00C45D17">
        <w:rPr>
          <w:noProof/>
        </w:rPr>
        <w:tab/>
      </w:r>
      <w:r w:rsidR="0001385B" w:rsidRPr="00131504">
        <w:rPr>
          <w:noProof/>
        </w:rPr>
        <w:t xml:space="preserve">point (b) is </w:t>
      </w:r>
      <w:r w:rsidR="00A15047">
        <w:rPr>
          <w:noProof/>
        </w:rPr>
        <w:t>amended as follows:</w:t>
      </w:r>
    </w:p>
    <w:p w14:paraId="1374DBD6" w14:textId="77777777" w:rsidR="0001385B" w:rsidRPr="00131504" w:rsidRDefault="00037D9D" w:rsidP="00037D9D">
      <w:pPr>
        <w:pStyle w:val="Text2"/>
        <w:rPr>
          <w:noProof/>
        </w:rPr>
      </w:pPr>
      <w:r>
        <w:rPr>
          <w:noProof/>
        </w:rPr>
        <w:t>‘(</w:t>
      </w:r>
      <w:r w:rsidR="00A15047" w:rsidRPr="5D7D5781">
        <w:rPr>
          <w:noProof/>
        </w:rPr>
        <w:t>b) investment to achieve the reduction of greenhouse gas emissions from activities listed in Annex I to Directive 2003/87/EC, except those which have been awarded a Seal of Excellence</w:t>
      </w:r>
      <w:r w:rsidR="00A15047">
        <w:rPr>
          <w:noProof/>
        </w:rPr>
        <w:t xml:space="preserve"> </w:t>
      </w:r>
      <w:r w:rsidR="00A15047" w:rsidRPr="5D7D5781">
        <w:rPr>
          <w:noProof/>
        </w:rPr>
        <w:t>as defined in Article 2, point (45), of Regulation (EU) 2021/1060</w:t>
      </w:r>
      <w:r w:rsidR="001D3BC5">
        <w:rPr>
          <w:noProof/>
        </w:rPr>
        <w:t>;</w:t>
      </w:r>
      <w:r>
        <w:rPr>
          <w:noProof/>
        </w:rPr>
        <w:t>’;</w:t>
      </w:r>
    </w:p>
    <w:p w14:paraId="05226169" w14:textId="77777777" w:rsidR="0001385B" w:rsidRPr="00131504" w:rsidRDefault="00C45D17" w:rsidP="00C45D17">
      <w:pPr>
        <w:pStyle w:val="Point1"/>
        <w:rPr>
          <w:noProof/>
        </w:rPr>
      </w:pPr>
      <w:r w:rsidRPr="00C45D17">
        <w:rPr>
          <w:noProof/>
        </w:rPr>
        <w:t>(b)</w:t>
      </w:r>
      <w:r w:rsidRPr="00C45D17">
        <w:rPr>
          <w:noProof/>
        </w:rPr>
        <w:tab/>
      </w:r>
      <w:r w:rsidR="0001385B" w:rsidRPr="00131504">
        <w:rPr>
          <w:noProof/>
        </w:rPr>
        <w:t>in point (h)</w:t>
      </w:r>
      <w:r w:rsidR="00B13018">
        <w:rPr>
          <w:noProof/>
        </w:rPr>
        <w:t>,</w:t>
      </w:r>
      <w:r w:rsidR="0001385B" w:rsidRPr="00131504">
        <w:rPr>
          <w:noProof/>
        </w:rPr>
        <w:t xml:space="preserve"> the following point </w:t>
      </w:r>
      <w:r w:rsidR="004F0B7C">
        <w:rPr>
          <w:noProof/>
        </w:rPr>
        <w:t xml:space="preserve">(iv) </w:t>
      </w:r>
      <w:r w:rsidR="0001385B" w:rsidRPr="00131504">
        <w:rPr>
          <w:noProof/>
        </w:rPr>
        <w:t>is added:</w:t>
      </w:r>
    </w:p>
    <w:p w14:paraId="12FFA342" w14:textId="77777777" w:rsidR="0001385B" w:rsidRPr="00131504" w:rsidRDefault="005308CB" w:rsidP="0001385B">
      <w:pPr>
        <w:pStyle w:val="Text2"/>
        <w:rPr>
          <w:noProof/>
        </w:rPr>
      </w:pPr>
      <w:bookmarkStart w:id="40" w:name="_Hlk193055228"/>
      <w:r w:rsidRPr="757EBBDA">
        <w:rPr>
          <w:noProof/>
        </w:rPr>
        <w:t>‘</w:t>
      </w:r>
      <w:r w:rsidR="0001385B" w:rsidRPr="757EBBDA">
        <w:rPr>
          <w:noProof/>
        </w:rPr>
        <w:t xml:space="preserve">(iv) investment in operations attributed </w:t>
      </w:r>
      <w:r w:rsidR="2E11BFDA" w:rsidRPr="757EBBDA">
        <w:rPr>
          <w:rFonts w:eastAsia="Times New Roman"/>
          <w:noProof/>
          <w:szCs w:val="24"/>
        </w:rPr>
        <w:t>a Sovereignty Seal under Article 4(1) of Regulation (EU) 2024/795 in a call for proposals under Commission Delegated Regulation (EU) 2019/856</w:t>
      </w:r>
      <w:r w:rsidR="0001385B" w:rsidRPr="757EBBDA">
        <w:rPr>
          <w:noProof/>
        </w:rPr>
        <w:t>.</w:t>
      </w:r>
      <w:r w:rsidRPr="757EBBDA">
        <w:rPr>
          <w:noProof/>
        </w:rPr>
        <w:t>’</w:t>
      </w:r>
      <w:r w:rsidR="00EF2EB8">
        <w:rPr>
          <w:noProof/>
        </w:rPr>
        <w:t>.</w:t>
      </w:r>
    </w:p>
    <w:bookmarkEnd w:id="40"/>
    <w:p w14:paraId="7426D199" w14:textId="77777777" w:rsidR="0001385B" w:rsidRPr="00131504" w:rsidRDefault="00C45D17" w:rsidP="00C45D17">
      <w:pPr>
        <w:pStyle w:val="Point0"/>
        <w:rPr>
          <w:noProof/>
        </w:rPr>
      </w:pPr>
      <w:r w:rsidRPr="00C45D17">
        <w:rPr>
          <w:noProof/>
        </w:rPr>
        <w:t>(5)</w:t>
      </w:r>
      <w:r w:rsidRPr="00C45D17">
        <w:rPr>
          <w:noProof/>
        </w:rPr>
        <w:tab/>
      </w:r>
      <w:r w:rsidR="00EF2EB8">
        <w:rPr>
          <w:noProof/>
        </w:rPr>
        <w:t>T</w:t>
      </w:r>
      <w:r w:rsidR="0001385B" w:rsidRPr="00131504">
        <w:rPr>
          <w:noProof/>
        </w:rPr>
        <w:t xml:space="preserve">he following Article </w:t>
      </w:r>
      <w:r w:rsidR="00D95CDF">
        <w:rPr>
          <w:noProof/>
        </w:rPr>
        <w:t xml:space="preserve">7a </w:t>
      </w:r>
      <w:r w:rsidR="00B63C6A">
        <w:rPr>
          <w:noProof/>
        </w:rPr>
        <w:t>is</w:t>
      </w:r>
      <w:r w:rsidR="00B63C6A" w:rsidRPr="00131504">
        <w:rPr>
          <w:noProof/>
        </w:rPr>
        <w:t xml:space="preserve"> </w:t>
      </w:r>
      <w:r w:rsidR="005308CB">
        <w:rPr>
          <w:noProof/>
        </w:rPr>
        <w:t>inserted</w:t>
      </w:r>
      <w:r w:rsidR="0001385B" w:rsidRPr="00131504">
        <w:rPr>
          <w:noProof/>
        </w:rPr>
        <w:t>:</w:t>
      </w:r>
    </w:p>
    <w:p w14:paraId="1043C462" w14:textId="77777777" w:rsidR="00C972A6" w:rsidRDefault="00C972A6" w:rsidP="757EBBDA">
      <w:pPr>
        <w:pStyle w:val="Titrearticle"/>
        <w:rPr>
          <w:b/>
          <w:bCs/>
          <w:i w:val="0"/>
          <w:noProof/>
        </w:rPr>
      </w:pPr>
      <w:bookmarkStart w:id="41" w:name="_Hlk193055708"/>
      <w:r w:rsidRPr="757EBBDA">
        <w:rPr>
          <w:noProof/>
        </w:rPr>
        <w:t>‘</w:t>
      </w:r>
      <w:bookmarkStart w:id="42" w:name="_Hlk194160521"/>
      <w:r w:rsidR="7B2AE25C" w:rsidRPr="757EBBDA">
        <w:rPr>
          <w:noProof/>
        </w:rPr>
        <w:t>Article 7a</w:t>
      </w:r>
      <w:r>
        <w:rPr>
          <w:noProof/>
        </w:rPr>
        <w:br/>
      </w:r>
      <w:r w:rsidR="7B2AE25C" w:rsidRPr="757EBBDA">
        <w:rPr>
          <w:b/>
          <w:bCs/>
          <w:i w:val="0"/>
          <w:noProof/>
        </w:rPr>
        <w:t xml:space="preserve">Specific provisions linked to the </w:t>
      </w:r>
      <w:r w:rsidR="44E0B909" w:rsidRPr="757EBBDA">
        <w:rPr>
          <w:b/>
          <w:bCs/>
          <w:i w:val="0"/>
          <w:noProof/>
        </w:rPr>
        <w:t>m</w:t>
      </w:r>
      <w:r w:rsidR="7B2AE25C" w:rsidRPr="757EBBDA">
        <w:rPr>
          <w:b/>
          <w:bCs/>
          <w:i w:val="0"/>
          <w:noProof/>
        </w:rPr>
        <w:t>id</w:t>
      </w:r>
      <w:r w:rsidR="44E0B909" w:rsidRPr="757EBBDA">
        <w:rPr>
          <w:b/>
          <w:bCs/>
          <w:i w:val="0"/>
          <w:noProof/>
        </w:rPr>
        <w:t>-</w:t>
      </w:r>
      <w:r w:rsidR="7B2AE25C" w:rsidRPr="757EBBDA">
        <w:rPr>
          <w:b/>
          <w:bCs/>
          <w:i w:val="0"/>
          <w:noProof/>
        </w:rPr>
        <w:t>term review</w:t>
      </w:r>
      <w:r w:rsidR="21F05AD4" w:rsidRPr="757EBBDA">
        <w:rPr>
          <w:b/>
          <w:bCs/>
          <w:i w:val="0"/>
          <w:noProof/>
        </w:rPr>
        <w:t xml:space="preserve"> and related flexibilities</w:t>
      </w:r>
    </w:p>
    <w:p w14:paraId="12D1A95D" w14:textId="77777777" w:rsidR="00273F32" w:rsidRDefault="59B2C6CF" w:rsidP="001818DA">
      <w:pPr>
        <w:pStyle w:val="Text1"/>
        <w:rPr>
          <w:noProof/>
        </w:rPr>
      </w:pPr>
      <w:bookmarkStart w:id="43" w:name="_Hlk191116180"/>
      <w:r>
        <w:rPr>
          <w:noProof/>
        </w:rPr>
        <w:t>1</w:t>
      </w:r>
      <w:r w:rsidR="227870B0">
        <w:rPr>
          <w:noProof/>
        </w:rPr>
        <w:t xml:space="preserve">. </w:t>
      </w:r>
      <w:r w:rsidR="2470D140">
        <w:rPr>
          <w:noProof/>
        </w:rPr>
        <w:t>T</w:t>
      </w:r>
      <w:r w:rsidR="18B0485F">
        <w:rPr>
          <w:noProof/>
        </w:rPr>
        <w:t xml:space="preserve">he Commission shall pay </w:t>
      </w:r>
      <w:r w:rsidR="14A33A1B">
        <w:rPr>
          <w:noProof/>
        </w:rPr>
        <w:t xml:space="preserve">in 2026 </w:t>
      </w:r>
      <w:r>
        <w:rPr>
          <w:noProof/>
        </w:rPr>
        <w:t>4</w:t>
      </w:r>
      <w:r w:rsidR="10A7302A">
        <w:rPr>
          <w:noProof/>
        </w:rPr>
        <w:t>.</w:t>
      </w:r>
      <w:r>
        <w:rPr>
          <w:noProof/>
        </w:rPr>
        <w:t>5</w:t>
      </w:r>
      <w:r w:rsidR="18B0485F">
        <w:rPr>
          <w:noProof/>
        </w:rPr>
        <w:t xml:space="preserve">% </w:t>
      </w:r>
      <w:bookmarkStart w:id="44" w:name="_Hlk192757152"/>
      <w:r w:rsidR="18B0485F">
        <w:rPr>
          <w:noProof/>
        </w:rPr>
        <w:t xml:space="preserve">of the total support from the ERDF and the Cohesion Fund </w:t>
      </w:r>
      <w:r w:rsidR="2AFA0125">
        <w:rPr>
          <w:noProof/>
        </w:rPr>
        <w:t xml:space="preserve">as </w:t>
      </w:r>
      <w:r w:rsidR="18B0485F">
        <w:rPr>
          <w:noProof/>
        </w:rPr>
        <w:t xml:space="preserve">set out in the decision approving the </w:t>
      </w:r>
      <w:r>
        <w:rPr>
          <w:noProof/>
        </w:rPr>
        <w:t>programme amendment</w:t>
      </w:r>
      <w:r w:rsidR="18B0485F">
        <w:rPr>
          <w:noProof/>
        </w:rPr>
        <w:t xml:space="preserve"> as </w:t>
      </w:r>
      <w:r w:rsidR="4FAB7C3B">
        <w:rPr>
          <w:noProof/>
        </w:rPr>
        <w:t>additional</w:t>
      </w:r>
      <w:r>
        <w:rPr>
          <w:noProof/>
        </w:rPr>
        <w:t xml:space="preserve"> one-off</w:t>
      </w:r>
      <w:r w:rsidR="4FAB7C3B">
        <w:rPr>
          <w:noProof/>
        </w:rPr>
        <w:t xml:space="preserve"> </w:t>
      </w:r>
      <w:r w:rsidR="18B0485F">
        <w:rPr>
          <w:noProof/>
        </w:rPr>
        <w:t>pre-financing</w:t>
      </w:r>
      <w:bookmarkEnd w:id="44"/>
      <w:r>
        <w:rPr>
          <w:noProof/>
        </w:rPr>
        <w:t xml:space="preserve">. </w:t>
      </w:r>
      <w:bookmarkStart w:id="45" w:name="_Hlk192684080"/>
      <w:r w:rsidR="06FE67CF">
        <w:rPr>
          <w:noProof/>
        </w:rPr>
        <w:t>Th</w:t>
      </w:r>
      <w:r w:rsidR="635D29D9">
        <w:rPr>
          <w:noProof/>
        </w:rPr>
        <w:t>is</w:t>
      </w:r>
      <w:r w:rsidR="06FE67CF">
        <w:rPr>
          <w:noProof/>
        </w:rPr>
        <w:t xml:space="preserve"> </w:t>
      </w:r>
      <w:r w:rsidR="635D29D9">
        <w:rPr>
          <w:noProof/>
        </w:rPr>
        <w:t xml:space="preserve">one-off </w:t>
      </w:r>
      <w:r w:rsidR="06FE67CF">
        <w:rPr>
          <w:noProof/>
        </w:rPr>
        <w:t xml:space="preserve">pre-financing percentage shall be increased to </w:t>
      </w:r>
      <w:r>
        <w:rPr>
          <w:noProof/>
        </w:rPr>
        <w:t>9</w:t>
      </w:r>
      <w:r w:rsidR="10A7302A">
        <w:rPr>
          <w:noProof/>
        </w:rPr>
        <w:t>.</w:t>
      </w:r>
      <w:r>
        <w:rPr>
          <w:noProof/>
        </w:rPr>
        <w:t>5</w:t>
      </w:r>
      <w:r w:rsidR="06FE67CF">
        <w:rPr>
          <w:noProof/>
        </w:rPr>
        <w:t xml:space="preserve">% for </w:t>
      </w:r>
      <w:bookmarkStart w:id="46" w:name="_Hlk192683620"/>
      <w:r w:rsidR="15330401">
        <w:rPr>
          <w:noProof/>
        </w:rPr>
        <w:t xml:space="preserve">programmes </w:t>
      </w:r>
      <w:r w:rsidR="06FE67CF">
        <w:rPr>
          <w:noProof/>
        </w:rPr>
        <w:t xml:space="preserve">under the Investment for jobs and growth goal </w:t>
      </w:r>
      <w:r w:rsidR="15330401">
        <w:rPr>
          <w:noProof/>
        </w:rPr>
        <w:t>covering one or more NUT</w:t>
      </w:r>
      <w:r w:rsidR="06FE67CF">
        <w:rPr>
          <w:noProof/>
        </w:rPr>
        <w:t>S</w:t>
      </w:r>
      <w:r w:rsidR="15330401">
        <w:rPr>
          <w:noProof/>
        </w:rPr>
        <w:t>2 regions bordering Russi</w:t>
      </w:r>
      <w:r w:rsidR="06FE67CF">
        <w:rPr>
          <w:noProof/>
        </w:rPr>
        <w:t>a</w:t>
      </w:r>
      <w:r w:rsidR="588718D9">
        <w:rPr>
          <w:noProof/>
        </w:rPr>
        <w:t>, Belarus</w:t>
      </w:r>
      <w:r w:rsidR="15330401">
        <w:rPr>
          <w:noProof/>
        </w:rPr>
        <w:t xml:space="preserve"> or Ukraine</w:t>
      </w:r>
      <w:bookmarkEnd w:id="46"/>
      <w:r w:rsidR="06FE67CF">
        <w:rPr>
          <w:noProof/>
        </w:rPr>
        <w:t>,</w:t>
      </w:r>
      <w:r>
        <w:rPr>
          <w:noProof/>
        </w:rPr>
        <w:t xml:space="preserve"> </w:t>
      </w:r>
      <w:r w:rsidR="66D7F60C">
        <w:rPr>
          <w:noProof/>
        </w:rPr>
        <w:t>provided the programme does not cover the entire territory of the Member State</w:t>
      </w:r>
      <w:r w:rsidR="1F7E09CE">
        <w:rPr>
          <w:noProof/>
        </w:rPr>
        <w:t>.</w:t>
      </w:r>
      <w:bookmarkEnd w:id="45"/>
      <w:r w:rsidR="06FE67CF">
        <w:rPr>
          <w:noProof/>
        </w:rPr>
        <w:t xml:space="preserve"> </w:t>
      </w:r>
      <w:r w:rsidR="7046E19E">
        <w:rPr>
          <w:noProof/>
        </w:rPr>
        <w:t xml:space="preserve">Where in a Member State NUTS 2 regions bordering Russia, Belarus or Ukraine are included exclusively in programmes covering the entire territory of </w:t>
      </w:r>
      <w:r w:rsidR="114E3303">
        <w:rPr>
          <w:noProof/>
        </w:rPr>
        <w:t>that</w:t>
      </w:r>
      <w:r w:rsidR="7046E19E">
        <w:rPr>
          <w:noProof/>
        </w:rPr>
        <w:t xml:space="preserve"> Member State, the increased pre-financing set out in this paragraph shall apply</w:t>
      </w:r>
      <w:r w:rsidR="114E3303">
        <w:rPr>
          <w:noProof/>
        </w:rPr>
        <w:t xml:space="preserve"> to th</w:t>
      </w:r>
      <w:r w:rsidR="44728C43">
        <w:rPr>
          <w:noProof/>
        </w:rPr>
        <w:t>o</w:t>
      </w:r>
      <w:r w:rsidR="114E3303">
        <w:rPr>
          <w:noProof/>
        </w:rPr>
        <w:t>se programmes</w:t>
      </w:r>
      <w:r w:rsidR="7046E19E">
        <w:rPr>
          <w:noProof/>
        </w:rPr>
        <w:t>.</w:t>
      </w:r>
    </w:p>
    <w:p w14:paraId="105B0C63" w14:textId="77777777" w:rsidR="0001385B" w:rsidRDefault="67663BE0" w:rsidP="001818DA">
      <w:pPr>
        <w:pStyle w:val="Text1"/>
        <w:rPr>
          <w:noProof/>
        </w:rPr>
      </w:pPr>
      <w:r>
        <w:rPr>
          <w:noProof/>
        </w:rPr>
        <w:t xml:space="preserve">The additional pre-financing </w:t>
      </w:r>
      <w:r w:rsidR="5CCB9B24">
        <w:rPr>
          <w:noProof/>
        </w:rPr>
        <w:t>referred to in the first su</w:t>
      </w:r>
      <w:r w:rsidR="6A50E0FB">
        <w:rPr>
          <w:noProof/>
        </w:rPr>
        <w:t xml:space="preserve">bparagraph </w:t>
      </w:r>
      <w:r w:rsidR="0F7F370A">
        <w:rPr>
          <w:noProof/>
        </w:rPr>
        <w:t xml:space="preserve">of this </w:t>
      </w:r>
      <w:r w:rsidR="31B5C0C0">
        <w:rPr>
          <w:noProof/>
        </w:rPr>
        <w:t>paragraph</w:t>
      </w:r>
      <w:r w:rsidR="0F7F370A">
        <w:rPr>
          <w:noProof/>
        </w:rPr>
        <w:t xml:space="preserve"> </w:t>
      </w:r>
      <w:r w:rsidR="6A50E0FB">
        <w:rPr>
          <w:noProof/>
        </w:rPr>
        <w:t xml:space="preserve">shall only apply where </w:t>
      </w:r>
      <w:r w:rsidR="1CCF2FA5">
        <w:rPr>
          <w:noProof/>
        </w:rPr>
        <w:t xml:space="preserve">reallocations of </w:t>
      </w:r>
      <w:r w:rsidR="6A50E0FB">
        <w:rPr>
          <w:noProof/>
        </w:rPr>
        <w:t xml:space="preserve">at least 15% of the </w:t>
      </w:r>
      <w:r w:rsidR="63C66EBF">
        <w:rPr>
          <w:noProof/>
        </w:rPr>
        <w:t>financial resources</w:t>
      </w:r>
      <w:r w:rsidR="43D42DF5">
        <w:rPr>
          <w:noProof/>
        </w:rPr>
        <w:t xml:space="preserve"> </w:t>
      </w:r>
      <w:r w:rsidR="0CC98048">
        <w:rPr>
          <w:noProof/>
        </w:rPr>
        <w:t xml:space="preserve">of the programme </w:t>
      </w:r>
      <w:r w:rsidR="44DF2BFE">
        <w:rPr>
          <w:noProof/>
        </w:rPr>
        <w:t xml:space="preserve">to </w:t>
      </w:r>
      <w:r w:rsidR="37F49886">
        <w:rPr>
          <w:noProof/>
        </w:rPr>
        <w:t xml:space="preserve">one or more </w:t>
      </w:r>
      <w:r w:rsidR="44DF2BFE">
        <w:rPr>
          <w:noProof/>
        </w:rPr>
        <w:t xml:space="preserve">dedicated priorities established for the specific objectives referred to in </w:t>
      </w:r>
      <w:r w:rsidR="61B04E05">
        <w:rPr>
          <w:noProof/>
        </w:rPr>
        <w:t xml:space="preserve">Article 3(1), </w:t>
      </w:r>
      <w:r w:rsidR="44DF2BFE">
        <w:rPr>
          <w:noProof/>
        </w:rPr>
        <w:t>points (a)(vi)</w:t>
      </w:r>
      <w:r w:rsidR="61B04E05">
        <w:rPr>
          <w:noProof/>
        </w:rPr>
        <w:t>,</w:t>
      </w:r>
      <w:r w:rsidR="44DF2BFE">
        <w:rPr>
          <w:noProof/>
        </w:rPr>
        <w:t xml:space="preserve"> (a)(vii), (b)(v), (b)(ix)</w:t>
      </w:r>
      <w:r w:rsidR="61B04E05">
        <w:rPr>
          <w:noProof/>
        </w:rPr>
        <w:t>,</w:t>
      </w:r>
      <w:r w:rsidR="44DF2BFE">
        <w:rPr>
          <w:noProof/>
        </w:rPr>
        <w:t xml:space="preserve"> (</w:t>
      </w:r>
      <w:r w:rsidR="61B04E05">
        <w:rPr>
          <w:noProof/>
        </w:rPr>
        <w:t>b)</w:t>
      </w:r>
      <w:r w:rsidR="44DF2BFE">
        <w:rPr>
          <w:noProof/>
        </w:rPr>
        <w:t>(xi), (</w:t>
      </w:r>
      <w:r w:rsidR="0CFFA6AD">
        <w:rPr>
          <w:noProof/>
        </w:rPr>
        <w:t xml:space="preserve">b)(xii), </w:t>
      </w:r>
      <w:r w:rsidR="44DF2BFE">
        <w:rPr>
          <w:noProof/>
        </w:rPr>
        <w:t>(c)(iii), (d)(vii) and (e)(iii)</w:t>
      </w:r>
      <w:r w:rsidR="00A362D4">
        <w:rPr>
          <w:noProof/>
        </w:rPr>
        <w:t>,</w:t>
      </w:r>
      <w:r w:rsidR="44DF2BFE">
        <w:rPr>
          <w:noProof/>
        </w:rPr>
        <w:t xml:space="preserve"> </w:t>
      </w:r>
      <w:r w:rsidR="00A362D4">
        <w:rPr>
          <w:noProof/>
        </w:rPr>
        <w:t xml:space="preserve">of this Regulation </w:t>
      </w:r>
      <w:r w:rsidR="44DF2BFE">
        <w:rPr>
          <w:noProof/>
        </w:rPr>
        <w:t>in the context of the mid-term review have been approved</w:t>
      </w:r>
      <w:r w:rsidR="23D79301">
        <w:rPr>
          <w:noProof/>
        </w:rPr>
        <w:t>, provided that the programme amendment is submitted by 31 December 2025</w:t>
      </w:r>
      <w:r w:rsidR="44DF2BFE">
        <w:rPr>
          <w:noProof/>
        </w:rPr>
        <w:t>.</w:t>
      </w:r>
    </w:p>
    <w:p w14:paraId="0FF6DCE7" w14:textId="77777777" w:rsidR="000526A6" w:rsidRPr="00500641" w:rsidRDefault="210680C7" w:rsidP="001818DA">
      <w:pPr>
        <w:pStyle w:val="Text1"/>
        <w:rPr>
          <w:noProof/>
        </w:rPr>
      </w:pPr>
      <w:bookmarkStart w:id="47" w:name="_Hlk193914674"/>
      <w:bookmarkStart w:id="48" w:name="_Hlk194160592"/>
      <w:bookmarkEnd w:id="42"/>
      <w:r>
        <w:rPr>
          <w:noProof/>
        </w:rPr>
        <w:t xml:space="preserve">The pre-financing due to the Member State which results from programme amendments pursuant to reallocation to the priorities </w:t>
      </w:r>
      <w:r w:rsidR="4BBFE4EE">
        <w:rPr>
          <w:noProof/>
        </w:rPr>
        <w:t xml:space="preserve">referred to </w:t>
      </w:r>
      <w:r>
        <w:rPr>
          <w:noProof/>
        </w:rPr>
        <w:t xml:space="preserve">in </w:t>
      </w:r>
      <w:r w:rsidR="4BBFE4EE">
        <w:rPr>
          <w:noProof/>
        </w:rPr>
        <w:t>the second</w:t>
      </w:r>
      <w:r>
        <w:rPr>
          <w:noProof/>
        </w:rPr>
        <w:t xml:space="preserve"> </w:t>
      </w:r>
      <w:r w:rsidR="321CFF24">
        <w:rPr>
          <w:noProof/>
        </w:rPr>
        <w:t>sub</w:t>
      </w:r>
      <w:r>
        <w:rPr>
          <w:noProof/>
        </w:rPr>
        <w:t xml:space="preserve">paragraph shall be counted </w:t>
      </w:r>
      <w:r w:rsidR="33108004">
        <w:rPr>
          <w:noProof/>
        </w:rPr>
        <w:t>as</w:t>
      </w:r>
      <w:r>
        <w:rPr>
          <w:noProof/>
        </w:rPr>
        <w:t xml:space="preserve"> </w:t>
      </w:r>
      <w:r w:rsidR="7685B7C6">
        <w:rPr>
          <w:noProof/>
        </w:rPr>
        <w:t>payments made in 2025 for the purposes of calculating the amounts to be decommitted</w:t>
      </w:r>
      <w:r w:rsidR="1182E2B4">
        <w:rPr>
          <w:noProof/>
        </w:rPr>
        <w:t xml:space="preserve"> in accordance with Article 105 of Regulation (EU)</w:t>
      </w:r>
      <w:r w:rsidR="00F43DF6">
        <w:rPr>
          <w:noProof/>
        </w:rPr>
        <w:t xml:space="preserve"> </w:t>
      </w:r>
      <w:r w:rsidR="1182E2B4">
        <w:rPr>
          <w:noProof/>
        </w:rPr>
        <w:t>2021/1060</w:t>
      </w:r>
      <w:r w:rsidR="2A871077">
        <w:rPr>
          <w:noProof/>
        </w:rPr>
        <w:t xml:space="preserve">, </w:t>
      </w:r>
      <w:r>
        <w:rPr>
          <w:noProof/>
        </w:rPr>
        <w:t xml:space="preserve">provided the </w:t>
      </w:r>
      <w:r w:rsidR="321CFF24">
        <w:rPr>
          <w:noProof/>
        </w:rPr>
        <w:t xml:space="preserve">request for </w:t>
      </w:r>
      <w:r>
        <w:rPr>
          <w:noProof/>
        </w:rPr>
        <w:t xml:space="preserve">programme amendment was </w:t>
      </w:r>
      <w:r w:rsidR="321CFF24">
        <w:rPr>
          <w:noProof/>
        </w:rPr>
        <w:t>submitted</w:t>
      </w:r>
      <w:r>
        <w:rPr>
          <w:noProof/>
        </w:rPr>
        <w:t xml:space="preserve"> in 2025</w:t>
      </w:r>
      <w:bookmarkEnd w:id="47"/>
      <w:r>
        <w:rPr>
          <w:noProof/>
        </w:rPr>
        <w:t>.</w:t>
      </w:r>
    </w:p>
    <w:bookmarkEnd w:id="43"/>
    <w:bookmarkEnd w:id="48"/>
    <w:p w14:paraId="0C854078" w14:textId="77777777" w:rsidR="0001385B" w:rsidRPr="00500641" w:rsidRDefault="00422C84" w:rsidP="001818DA">
      <w:pPr>
        <w:pStyle w:val="Text1"/>
        <w:rPr>
          <w:noProof/>
        </w:rPr>
      </w:pPr>
      <w:r w:rsidRPr="01F46A27">
        <w:rPr>
          <w:rFonts w:eastAsia="Times New Roman"/>
          <w:noProof/>
        </w:rPr>
        <w:t>2</w:t>
      </w:r>
      <w:r w:rsidR="00273F32" w:rsidRPr="01F46A27">
        <w:rPr>
          <w:rFonts w:eastAsia="Times New Roman"/>
          <w:noProof/>
        </w:rPr>
        <w:t xml:space="preserve">. </w:t>
      </w:r>
      <w:r w:rsidR="133AAAF4" w:rsidRPr="01F46A27">
        <w:rPr>
          <w:rFonts w:eastAsia="Times New Roman"/>
          <w:noProof/>
        </w:rPr>
        <w:t xml:space="preserve">By way of derogation from Article 63(2) and </w:t>
      </w:r>
      <w:r w:rsidR="005444A8" w:rsidRPr="01F46A27">
        <w:rPr>
          <w:rFonts w:eastAsia="Times New Roman"/>
          <w:noProof/>
        </w:rPr>
        <w:t xml:space="preserve">Article </w:t>
      </w:r>
      <w:r w:rsidR="133AAAF4" w:rsidRPr="01F46A27">
        <w:rPr>
          <w:rFonts w:eastAsia="Times New Roman"/>
          <w:noProof/>
        </w:rPr>
        <w:t xml:space="preserve">105(2) of Regulation (EU) 2021/1060, </w:t>
      </w:r>
      <w:bookmarkStart w:id="49" w:name="_Hlk193999064"/>
      <w:r w:rsidR="133AAAF4" w:rsidRPr="01F46A27">
        <w:rPr>
          <w:rFonts w:eastAsia="Times New Roman"/>
          <w:noProof/>
        </w:rPr>
        <w:t>the deadline for the eligibility of expenditure, the reimbursement of costs as well as for decommitment shall be 31 December 2030</w:t>
      </w:r>
      <w:bookmarkEnd w:id="49"/>
      <w:r w:rsidR="133AAAF4" w:rsidRPr="01F46A27">
        <w:rPr>
          <w:rFonts w:eastAsia="Times New Roman"/>
          <w:noProof/>
        </w:rPr>
        <w:t xml:space="preserve">. </w:t>
      </w:r>
      <w:r w:rsidR="00C10C16">
        <w:rPr>
          <w:noProof/>
        </w:rPr>
        <w:t>Th</w:t>
      </w:r>
      <w:r w:rsidR="009B1502">
        <w:rPr>
          <w:noProof/>
        </w:rPr>
        <w:t>at</w:t>
      </w:r>
      <w:r w:rsidR="00C10C16">
        <w:rPr>
          <w:noProof/>
        </w:rPr>
        <w:t xml:space="preserve"> derogation shall only apply where programme amendments reallocat</w:t>
      </w:r>
      <w:r w:rsidR="30F06F1E">
        <w:rPr>
          <w:noProof/>
        </w:rPr>
        <w:t>ing</w:t>
      </w:r>
      <w:r w:rsidR="00C10C16">
        <w:rPr>
          <w:noProof/>
        </w:rPr>
        <w:t xml:space="preserve"> </w:t>
      </w:r>
      <w:r w:rsidR="239A0042">
        <w:rPr>
          <w:noProof/>
        </w:rPr>
        <w:t xml:space="preserve">at least 15% of the financial </w:t>
      </w:r>
      <w:r w:rsidR="00C10C16">
        <w:rPr>
          <w:noProof/>
        </w:rPr>
        <w:t xml:space="preserve">resources </w:t>
      </w:r>
      <w:r w:rsidR="2492FAB0">
        <w:rPr>
          <w:noProof/>
        </w:rPr>
        <w:t xml:space="preserve">of the programme </w:t>
      </w:r>
      <w:r w:rsidR="005A17EE">
        <w:rPr>
          <w:noProof/>
        </w:rPr>
        <w:t xml:space="preserve">to </w:t>
      </w:r>
      <w:r w:rsidR="321A57F9">
        <w:rPr>
          <w:noProof/>
        </w:rPr>
        <w:t xml:space="preserve">one or more </w:t>
      </w:r>
      <w:r w:rsidR="005A17EE">
        <w:rPr>
          <w:noProof/>
        </w:rPr>
        <w:t xml:space="preserve">dedicated priorities </w:t>
      </w:r>
      <w:bookmarkStart w:id="50" w:name="_Hlk193266382"/>
      <w:r w:rsidR="005A17EE">
        <w:rPr>
          <w:noProof/>
        </w:rPr>
        <w:t xml:space="preserve">established for the specific objectives referred to in </w:t>
      </w:r>
      <w:r w:rsidR="009B1502">
        <w:rPr>
          <w:noProof/>
        </w:rPr>
        <w:t xml:space="preserve">Article 3(1), </w:t>
      </w:r>
      <w:r w:rsidR="005A17EE">
        <w:rPr>
          <w:noProof/>
        </w:rPr>
        <w:t>points (a)(vi)</w:t>
      </w:r>
      <w:r w:rsidR="009B1502">
        <w:rPr>
          <w:noProof/>
        </w:rPr>
        <w:t>,</w:t>
      </w:r>
      <w:r w:rsidR="005A17EE">
        <w:rPr>
          <w:noProof/>
        </w:rPr>
        <w:t xml:space="preserve"> (a)(vii), (b)(v), (b)(ix)</w:t>
      </w:r>
      <w:r w:rsidR="009B1502">
        <w:rPr>
          <w:noProof/>
        </w:rPr>
        <w:t>,</w:t>
      </w:r>
      <w:r w:rsidR="005A17EE">
        <w:rPr>
          <w:noProof/>
        </w:rPr>
        <w:t xml:space="preserve"> (</w:t>
      </w:r>
      <w:r w:rsidR="009B1502">
        <w:rPr>
          <w:noProof/>
        </w:rPr>
        <w:t>b)</w:t>
      </w:r>
      <w:r w:rsidR="005A17EE">
        <w:rPr>
          <w:noProof/>
        </w:rPr>
        <w:t>(xi), (</w:t>
      </w:r>
      <w:r w:rsidR="279AE172">
        <w:rPr>
          <w:noProof/>
        </w:rPr>
        <w:t xml:space="preserve">b)(xii), </w:t>
      </w:r>
      <w:r w:rsidR="005A17EE">
        <w:rPr>
          <w:noProof/>
        </w:rPr>
        <w:t>(c)(iii), (d)(vii) and (e)(iii)</w:t>
      </w:r>
      <w:r w:rsidR="009B1502">
        <w:rPr>
          <w:noProof/>
        </w:rPr>
        <w:t>, of this Regulation</w:t>
      </w:r>
      <w:r w:rsidR="005A17EE">
        <w:rPr>
          <w:noProof/>
        </w:rPr>
        <w:t xml:space="preserve"> </w:t>
      </w:r>
      <w:bookmarkEnd w:id="50"/>
      <w:r w:rsidR="00C10C16">
        <w:rPr>
          <w:noProof/>
        </w:rPr>
        <w:t xml:space="preserve">in the context of the mid-term review have been </w:t>
      </w:r>
      <w:r w:rsidR="005E4EB2">
        <w:rPr>
          <w:noProof/>
        </w:rPr>
        <w:t>approved</w:t>
      </w:r>
      <w:r w:rsidR="00C10C16">
        <w:rPr>
          <w:noProof/>
        </w:rPr>
        <w:t>.</w:t>
      </w:r>
    </w:p>
    <w:p w14:paraId="6F06F80F" w14:textId="77777777" w:rsidR="0001385B" w:rsidRDefault="00273F32" w:rsidP="001818DA">
      <w:pPr>
        <w:pStyle w:val="Text1"/>
        <w:rPr>
          <w:noProof/>
        </w:rPr>
      </w:pPr>
      <w:r>
        <w:rPr>
          <w:noProof/>
        </w:rPr>
        <w:t xml:space="preserve">3. </w:t>
      </w:r>
      <w:r w:rsidR="0001385B">
        <w:rPr>
          <w:noProof/>
        </w:rPr>
        <w:t xml:space="preserve">Member States may in requests for </w:t>
      </w:r>
      <w:r w:rsidR="00F43DF6">
        <w:rPr>
          <w:noProof/>
        </w:rPr>
        <w:t xml:space="preserve">programme </w:t>
      </w:r>
      <w:r w:rsidR="0001385B">
        <w:rPr>
          <w:noProof/>
        </w:rPr>
        <w:t>amendment</w:t>
      </w:r>
      <w:r w:rsidR="00F43DF6">
        <w:rPr>
          <w:noProof/>
        </w:rPr>
        <w:t>s</w:t>
      </w:r>
      <w:r w:rsidR="0001385B">
        <w:rPr>
          <w:noProof/>
        </w:rPr>
        <w:t xml:space="preserve"> in accordance with Article 24 of Regulation </w:t>
      </w:r>
      <w:bookmarkStart w:id="51" w:name="_Hlk193353909"/>
      <w:r w:rsidR="0001385B">
        <w:rPr>
          <w:noProof/>
        </w:rPr>
        <w:t xml:space="preserve">(EU) 2021/1060 </w:t>
      </w:r>
      <w:bookmarkEnd w:id="51"/>
      <w:r w:rsidR="0001385B">
        <w:rPr>
          <w:noProof/>
        </w:rPr>
        <w:t>request</w:t>
      </w:r>
      <w:r w:rsidR="00500641">
        <w:rPr>
          <w:noProof/>
        </w:rPr>
        <w:t xml:space="preserve"> </w:t>
      </w:r>
      <w:r w:rsidR="0001385B">
        <w:rPr>
          <w:noProof/>
        </w:rPr>
        <w:t>the</w:t>
      </w:r>
      <w:r w:rsidR="00500641">
        <w:rPr>
          <w:noProof/>
        </w:rPr>
        <w:t xml:space="preserve"> </w:t>
      </w:r>
      <w:r w:rsidR="00431C8F">
        <w:rPr>
          <w:noProof/>
        </w:rPr>
        <w:t>reallocation</w:t>
      </w:r>
      <w:r w:rsidR="0001385B">
        <w:rPr>
          <w:noProof/>
        </w:rPr>
        <w:t xml:space="preserve"> of ERDF resources programmed under the Investment for </w:t>
      </w:r>
      <w:r w:rsidR="00CD3073">
        <w:rPr>
          <w:noProof/>
        </w:rPr>
        <w:t>j</w:t>
      </w:r>
      <w:r w:rsidR="0001385B">
        <w:rPr>
          <w:noProof/>
        </w:rPr>
        <w:t xml:space="preserve">obs and </w:t>
      </w:r>
      <w:r w:rsidR="00CD3073">
        <w:rPr>
          <w:noProof/>
        </w:rPr>
        <w:t>g</w:t>
      </w:r>
      <w:r w:rsidR="0001385B">
        <w:rPr>
          <w:noProof/>
        </w:rPr>
        <w:t xml:space="preserve">rowth goal to the European Urban Initiative and to the Interregional Innovation Investments Instruments </w:t>
      </w:r>
      <w:r w:rsidR="00781277">
        <w:rPr>
          <w:noProof/>
        </w:rPr>
        <w:t xml:space="preserve">referred to in </w:t>
      </w:r>
      <w:r w:rsidR="0001385B">
        <w:rPr>
          <w:noProof/>
        </w:rPr>
        <w:t xml:space="preserve">Article 12 and Article 13 </w:t>
      </w:r>
      <w:r w:rsidR="0096521F">
        <w:rPr>
          <w:noProof/>
        </w:rPr>
        <w:t xml:space="preserve">of this Regulation </w:t>
      </w:r>
      <w:r w:rsidR="0001385B">
        <w:rPr>
          <w:noProof/>
        </w:rPr>
        <w:t xml:space="preserve">respectively. </w:t>
      </w:r>
      <w:r w:rsidR="00431C8F">
        <w:rPr>
          <w:noProof/>
        </w:rPr>
        <w:t xml:space="preserve">Reallocated </w:t>
      </w:r>
      <w:r w:rsidR="0001385B">
        <w:rPr>
          <w:noProof/>
        </w:rPr>
        <w:t xml:space="preserve">resources shall be implemented for the benefit of the Member State concerned. </w:t>
      </w:r>
      <w:r w:rsidR="00431C8F">
        <w:rPr>
          <w:noProof/>
        </w:rPr>
        <w:t>Such reallocations shall not constitute transfers within the meaning of Article 26</w:t>
      </w:r>
      <w:r w:rsidR="00500641">
        <w:rPr>
          <w:noProof/>
        </w:rPr>
        <w:t xml:space="preserve"> of Regulation </w:t>
      </w:r>
      <w:r w:rsidR="00500641" w:rsidRPr="00500641">
        <w:rPr>
          <w:noProof/>
        </w:rPr>
        <w:t>(EU) 2021/1060</w:t>
      </w:r>
      <w:r w:rsidR="00431C8F">
        <w:rPr>
          <w:noProof/>
        </w:rPr>
        <w:t xml:space="preserve">. </w:t>
      </w:r>
    </w:p>
    <w:p w14:paraId="796747B0" w14:textId="77777777" w:rsidR="00D47044" w:rsidRPr="000874AA" w:rsidRDefault="00273F32" w:rsidP="001818DA">
      <w:pPr>
        <w:pStyle w:val="Text1"/>
        <w:rPr>
          <w:noProof/>
        </w:rPr>
      </w:pPr>
      <w:r w:rsidRPr="2F550A03">
        <w:rPr>
          <w:noProof/>
        </w:rPr>
        <w:t xml:space="preserve">4. </w:t>
      </w:r>
      <w:r w:rsidR="009C2F92" w:rsidRPr="2F550A03">
        <w:rPr>
          <w:noProof/>
        </w:rPr>
        <w:t xml:space="preserve">By way of derogation from Article 112 of Regulation (EU) 2021/1060, </w:t>
      </w:r>
      <w:bookmarkStart w:id="52" w:name="_Hlk192684223"/>
      <w:r w:rsidR="009C2F92" w:rsidRPr="2F550A03">
        <w:rPr>
          <w:noProof/>
        </w:rPr>
        <w:t xml:space="preserve">the maximum co-financing rate for </w:t>
      </w:r>
      <w:r w:rsidR="00AA7299" w:rsidRPr="2F550A03">
        <w:rPr>
          <w:noProof/>
        </w:rPr>
        <w:t xml:space="preserve">priorities in </w:t>
      </w:r>
      <w:r w:rsidR="00AA7299">
        <w:rPr>
          <w:noProof/>
        </w:rPr>
        <w:t>programmes under the Investment for jobs and growth goal covering one or more NUTS2 regions bordering Russia</w:t>
      </w:r>
      <w:r w:rsidR="005A17EE">
        <w:rPr>
          <w:noProof/>
        </w:rPr>
        <w:t>, Belarus</w:t>
      </w:r>
      <w:r w:rsidR="00AA7299">
        <w:rPr>
          <w:noProof/>
        </w:rPr>
        <w:t xml:space="preserve"> or Ukraine</w:t>
      </w:r>
      <w:r w:rsidR="00776A69">
        <w:rPr>
          <w:noProof/>
        </w:rPr>
        <w:t xml:space="preserve"> shall be 100%</w:t>
      </w:r>
      <w:r w:rsidR="00075A19">
        <w:rPr>
          <w:noProof/>
        </w:rPr>
        <w:t xml:space="preserve">. </w:t>
      </w:r>
      <w:bookmarkStart w:id="53" w:name="_Hlk193351371"/>
      <w:r w:rsidR="00075A19">
        <w:rPr>
          <w:noProof/>
        </w:rPr>
        <w:t xml:space="preserve">The higher co-financing rate shall not apply to </w:t>
      </w:r>
      <w:r w:rsidR="00FB2308">
        <w:rPr>
          <w:noProof/>
        </w:rPr>
        <w:t>programme</w:t>
      </w:r>
      <w:r w:rsidR="00075A19">
        <w:rPr>
          <w:noProof/>
        </w:rPr>
        <w:t>s covering</w:t>
      </w:r>
      <w:r w:rsidR="00FC4A4A">
        <w:rPr>
          <w:noProof/>
        </w:rPr>
        <w:t xml:space="preserve"> the entire territory of the Member State</w:t>
      </w:r>
      <w:r w:rsidR="00075A19">
        <w:rPr>
          <w:noProof/>
        </w:rPr>
        <w:t xml:space="preserve"> concerned,</w:t>
      </w:r>
      <w:r w:rsidR="00500641">
        <w:rPr>
          <w:noProof/>
        </w:rPr>
        <w:t xml:space="preserve"> </w:t>
      </w:r>
      <w:r w:rsidR="00FB2308">
        <w:rPr>
          <w:noProof/>
        </w:rPr>
        <w:t>unless</w:t>
      </w:r>
      <w:r w:rsidR="00075A19">
        <w:rPr>
          <w:noProof/>
        </w:rPr>
        <w:t xml:space="preserve"> </w:t>
      </w:r>
      <w:r w:rsidR="00E17EFA">
        <w:rPr>
          <w:noProof/>
        </w:rPr>
        <w:t>th</w:t>
      </w:r>
      <w:r w:rsidR="00A16E84">
        <w:rPr>
          <w:noProof/>
        </w:rPr>
        <w:t>o</w:t>
      </w:r>
      <w:r w:rsidR="00E17EFA">
        <w:rPr>
          <w:noProof/>
        </w:rPr>
        <w:t xml:space="preserve">se regions are included </w:t>
      </w:r>
      <w:r w:rsidR="00FB2308">
        <w:rPr>
          <w:noProof/>
        </w:rPr>
        <w:t>only</w:t>
      </w:r>
      <w:r w:rsidR="00E17EFA">
        <w:rPr>
          <w:noProof/>
        </w:rPr>
        <w:t xml:space="preserve"> in</w:t>
      </w:r>
      <w:r w:rsidR="00FB2308">
        <w:rPr>
          <w:noProof/>
        </w:rPr>
        <w:t xml:space="preserve"> programmes covering the entire territory of th</w:t>
      </w:r>
      <w:r w:rsidR="00075A19">
        <w:rPr>
          <w:noProof/>
        </w:rPr>
        <w:t xml:space="preserve">at </w:t>
      </w:r>
      <w:r w:rsidR="00FB2308">
        <w:rPr>
          <w:noProof/>
        </w:rPr>
        <w:t>Member State</w:t>
      </w:r>
      <w:bookmarkEnd w:id="53"/>
      <w:r w:rsidR="00FB2308">
        <w:rPr>
          <w:noProof/>
        </w:rPr>
        <w:t>.</w:t>
      </w:r>
      <w:r w:rsidR="00AA7299">
        <w:rPr>
          <w:noProof/>
        </w:rPr>
        <w:t xml:space="preserve"> </w:t>
      </w:r>
      <w:bookmarkEnd w:id="52"/>
      <w:r w:rsidR="000874AA">
        <w:rPr>
          <w:noProof/>
        </w:rPr>
        <w:t>The derogation shall only apply where reallocations of at least 15% of the financial resources of the programme to one or more dedicated priorities established for the specific objectives referred to in Article 3(1), points (a)(vi), (a)(vii), (b)(v), (b)(ix), (b)(xi), (</w:t>
      </w:r>
      <w:r w:rsidR="50E8EEC4">
        <w:rPr>
          <w:noProof/>
        </w:rPr>
        <w:t xml:space="preserve">b)(xii), </w:t>
      </w:r>
      <w:r w:rsidR="000874AA">
        <w:rPr>
          <w:noProof/>
        </w:rPr>
        <w:t>(c)(iii), (d)(vii) and (e)(iii)</w:t>
      </w:r>
      <w:r w:rsidR="00F43DF6">
        <w:rPr>
          <w:noProof/>
        </w:rPr>
        <w:t>, of this Regulation</w:t>
      </w:r>
      <w:r w:rsidR="000874AA">
        <w:rPr>
          <w:noProof/>
        </w:rPr>
        <w:t xml:space="preserve"> in the context of the mid-term review have been approved, provided that the programme amendment is submitted by 31 December 2025.</w:t>
      </w:r>
    </w:p>
    <w:p w14:paraId="0A362F0A" w14:textId="77777777" w:rsidR="009E771D" w:rsidRDefault="7B95DD04" w:rsidP="001818DA">
      <w:pPr>
        <w:pStyle w:val="Text1"/>
        <w:rPr>
          <w:noProof/>
        </w:rPr>
      </w:pPr>
      <w:bookmarkStart w:id="54" w:name="_Hlk193348379"/>
      <w:r>
        <w:rPr>
          <w:noProof/>
        </w:rPr>
        <w:t xml:space="preserve">5. </w:t>
      </w:r>
      <w:bookmarkStart w:id="55" w:name="_Hlk193998696"/>
      <w:bookmarkEnd w:id="54"/>
      <w:r w:rsidR="721BA2CB" w:rsidRPr="4D8CB314">
        <w:rPr>
          <w:rFonts w:eastAsia="Times New Roman"/>
          <w:noProof/>
        </w:rPr>
        <w:t>In addition to the assessment for each programme on the outcome of the mid-term review to be submitted in accordance with Article 18(2) of Regulation (EU) 2021/1060, Member States may resubmit a complementary  assessment as well as related requests for programme amendments, taking into account the specific objectives introduced by Regulation (EU) XXXX/XXXX [this Regulation], within 2 months of the entry into force of Regulation (EU) XXXX/XXXX [this Regulation]. The deadlines set out in Article 18(</w:t>
      </w:r>
      <w:r w:rsidR="1CAA34CB" w:rsidRPr="4D8CB314">
        <w:rPr>
          <w:rFonts w:eastAsia="Times New Roman"/>
          <w:noProof/>
        </w:rPr>
        <w:t>3</w:t>
      </w:r>
      <w:r w:rsidR="721BA2CB" w:rsidRPr="4D8CB314">
        <w:rPr>
          <w:rFonts w:eastAsia="Times New Roman"/>
          <w:noProof/>
        </w:rPr>
        <w:t>)</w:t>
      </w:r>
      <w:r w:rsidR="1AD0C87E" w:rsidRPr="4D8CB314">
        <w:rPr>
          <w:rFonts w:eastAsia="Times New Roman"/>
          <w:noProof/>
        </w:rPr>
        <w:t xml:space="preserve"> of Regulation (EU) 2021/1060</w:t>
      </w:r>
      <w:r w:rsidR="721BA2CB" w:rsidRPr="4D8CB314">
        <w:rPr>
          <w:rFonts w:eastAsia="Times New Roman"/>
          <w:noProof/>
        </w:rPr>
        <w:t xml:space="preserve"> shall apply</w:t>
      </w:r>
      <w:r w:rsidR="0C471FA2" w:rsidRPr="4D8CB314">
        <w:rPr>
          <w:rFonts w:eastAsia="Times New Roman"/>
          <w:noProof/>
        </w:rPr>
        <w:t>.</w:t>
      </w:r>
      <w:bookmarkEnd w:id="55"/>
    </w:p>
    <w:p w14:paraId="5BB74F19" w14:textId="77777777" w:rsidR="009D5DED" w:rsidRPr="00254B72" w:rsidRDefault="009E771D" w:rsidP="001818DA">
      <w:pPr>
        <w:pStyle w:val="Text1"/>
        <w:rPr>
          <w:noProof/>
        </w:rPr>
      </w:pPr>
      <w:r>
        <w:rPr>
          <w:noProof/>
        </w:rPr>
        <w:t xml:space="preserve">6. Where the climate contribution </w:t>
      </w:r>
      <w:r>
        <w:rPr>
          <w:rFonts w:eastAsia="Times New Roman"/>
          <w:noProof/>
          <w:szCs w:val="24"/>
        </w:rPr>
        <w:t xml:space="preserve">as referred to in Article 6(1) of Regulation (EU) 2021/1060 </w:t>
      </w:r>
      <w:r>
        <w:rPr>
          <w:noProof/>
        </w:rPr>
        <w:t>of the Cohesion Fund would exceed the target of 37% of its total allocation, the amount exceeding that target may be taken into account when calculating the climate contribution of the ERDF for the purpose of reaching the target of 30% of its total allocation. The amounts exceeding the ERDF climate contribution target of 30% of its total allocation may be taken into account when calculating the climate contribution of the Cohesion Fund.’.</w:t>
      </w:r>
      <w:r w:rsidR="7D0DAC3D">
        <w:rPr>
          <w:noProof/>
        </w:rPr>
        <w:t xml:space="preserve"> </w:t>
      </w:r>
    </w:p>
    <w:p w14:paraId="22626254" w14:textId="77777777" w:rsidR="0001385B" w:rsidRPr="00131504" w:rsidRDefault="00C45D17" w:rsidP="00C45D17">
      <w:pPr>
        <w:pStyle w:val="Point0"/>
        <w:rPr>
          <w:noProof/>
        </w:rPr>
      </w:pPr>
      <w:r w:rsidRPr="00C45D17">
        <w:rPr>
          <w:noProof/>
        </w:rPr>
        <w:t>(6)</w:t>
      </w:r>
      <w:r w:rsidRPr="00C45D17">
        <w:rPr>
          <w:noProof/>
        </w:rPr>
        <w:tab/>
      </w:r>
      <w:r w:rsidR="00EF2EB8">
        <w:rPr>
          <w:noProof/>
        </w:rPr>
        <w:t>I</w:t>
      </w:r>
      <w:r w:rsidR="0001385B" w:rsidRPr="00131504">
        <w:rPr>
          <w:noProof/>
        </w:rPr>
        <w:t>n Article 12</w:t>
      </w:r>
      <w:r w:rsidR="00A16E84">
        <w:rPr>
          <w:noProof/>
        </w:rPr>
        <w:t>,</w:t>
      </w:r>
      <w:r w:rsidR="0001385B" w:rsidRPr="00131504">
        <w:rPr>
          <w:noProof/>
        </w:rPr>
        <w:t xml:space="preserve"> the following paragraph</w:t>
      </w:r>
      <w:r w:rsidR="00920D4B">
        <w:rPr>
          <w:noProof/>
        </w:rPr>
        <w:t xml:space="preserve"> 4 </w:t>
      </w:r>
      <w:r w:rsidR="00A16E84">
        <w:rPr>
          <w:noProof/>
        </w:rPr>
        <w:t>is</w:t>
      </w:r>
      <w:r w:rsidR="0001385B" w:rsidRPr="00131504">
        <w:rPr>
          <w:noProof/>
        </w:rPr>
        <w:t xml:space="preserve"> added:</w:t>
      </w:r>
    </w:p>
    <w:p w14:paraId="3362E7BD" w14:textId="77777777" w:rsidR="0001385B" w:rsidRPr="00131504" w:rsidRDefault="00B01519" w:rsidP="00233602">
      <w:pPr>
        <w:pStyle w:val="Text1"/>
        <w:rPr>
          <w:noProof/>
        </w:rPr>
      </w:pPr>
      <w:r>
        <w:rPr>
          <w:noProof/>
        </w:rPr>
        <w:t>‘</w:t>
      </w:r>
      <w:r w:rsidR="0001385B" w:rsidRPr="00131504">
        <w:rPr>
          <w:noProof/>
        </w:rPr>
        <w:t>4</w:t>
      </w:r>
      <w:r w:rsidR="00A16E84">
        <w:rPr>
          <w:noProof/>
        </w:rPr>
        <w:t>.</w:t>
      </w:r>
      <w:r w:rsidR="0001385B" w:rsidRPr="00131504">
        <w:rPr>
          <w:noProof/>
        </w:rPr>
        <w:t xml:space="preserve"> Innovative actions </w:t>
      </w:r>
      <w:r w:rsidR="00A550F7">
        <w:rPr>
          <w:noProof/>
        </w:rPr>
        <w:t>which have been assessed in a call for proposals under the European Urban Initiative and comply with the minimum quality requirements of that call</w:t>
      </w:r>
      <w:r w:rsidR="00C05D72">
        <w:rPr>
          <w:noProof/>
        </w:rPr>
        <w:t xml:space="preserve"> and cannot be financed under that call for proposals due to budgetary constraints</w:t>
      </w:r>
      <w:r w:rsidR="00A550F7">
        <w:rPr>
          <w:noProof/>
        </w:rPr>
        <w:t xml:space="preserve"> </w:t>
      </w:r>
      <w:r w:rsidR="0001385B" w:rsidRPr="00131504">
        <w:rPr>
          <w:noProof/>
        </w:rPr>
        <w:t>may be attributed a Seal of Excellence</w:t>
      </w:r>
      <w:r w:rsidR="003B184C">
        <w:rPr>
          <w:noProof/>
        </w:rPr>
        <w:t xml:space="preserve"> by the Commission</w:t>
      </w:r>
      <w:r w:rsidR="0001385B" w:rsidRPr="00131504">
        <w:rPr>
          <w:noProof/>
        </w:rPr>
        <w:t>.</w:t>
      </w:r>
    </w:p>
    <w:p w14:paraId="7461127A" w14:textId="77777777" w:rsidR="0001385B" w:rsidRPr="00131504" w:rsidRDefault="0001385B" w:rsidP="0001385B">
      <w:pPr>
        <w:pStyle w:val="Text1"/>
        <w:rPr>
          <w:noProof/>
        </w:rPr>
      </w:pPr>
      <w:r w:rsidRPr="00131504">
        <w:rPr>
          <w:noProof/>
        </w:rPr>
        <w:t>For the purpose of the Seal of Excellence, the European Urban Initiative is considered another Union source distinct from the programmes implemented and prepared in accordance with Article 7 of Regulation (EU) 2021/1060.</w:t>
      </w:r>
      <w:r w:rsidR="00B01519">
        <w:rPr>
          <w:noProof/>
        </w:rPr>
        <w:t>’</w:t>
      </w:r>
      <w:r w:rsidR="00EF2EB8">
        <w:rPr>
          <w:noProof/>
        </w:rPr>
        <w:t>.</w:t>
      </w:r>
      <w:r w:rsidRPr="00131504">
        <w:rPr>
          <w:noProof/>
        </w:rPr>
        <w:t xml:space="preserve"> </w:t>
      </w:r>
    </w:p>
    <w:p w14:paraId="4B0EC3D6" w14:textId="77777777" w:rsidR="00CD3073" w:rsidRDefault="00C45D17" w:rsidP="00C45D17">
      <w:pPr>
        <w:pStyle w:val="Point0"/>
        <w:rPr>
          <w:noProof/>
        </w:rPr>
      </w:pPr>
      <w:r w:rsidRPr="00C45D17">
        <w:rPr>
          <w:noProof/>
        </w:rPr>
        <w:t>(7)</w:t>
      </w:r>
      <w:r w:rsidRPr="00C45D17">
        <w:rPr>
          <w:noProof/>
        </w:rPr>
        <w:tab/>
      </w:r>
      <w:r w:rsidR="00090645">
        <w:rPr>
          <w:noProof/>
        </w:rPr>
        <w:t>In</w:t>
      </w:r>
      <w:r w:rsidR="0001385B" w:rsidRPr="00131504">
        <w:rPr>
          <w:noProof/>
        </w:rPr>
        <w:t xml:space="preserve"> Annex I,</w:t>
      </w:r>
      <w:r w:rsidR="00090645">
        <w:rPr>
          <w:noProof/>
        </w:rPr>
        <w:t xml:space="preserve"> Table 1 is amended as follows</w:t>
      </w:r>
      <w:r w:rsidR="00CD3073">
        <w:rPr>
          <w:noProof/>
        </w:rPr>
        <w:t>:</w:t>
      </w:r>
    </w:p>
    <w:p w14:paraId="107BC9C7" w14:textId="77777777" w:rsidR="0001385B" w:rsidRPr="00131504" w:rsidRDefault="00C45D17" w:rsidP="00C45D17">
      <w:pPr>
        <w:pStyle w:val="Point1"/>
        <w:rPr>
          <w:noProof/>
        </w:rPr>
      </w:pPr>
      <w:r w:rsidRPr="00C45D17">
        <w:rPr>
          <w:noProof/>
        </w:rPr>
        <w:t>(a)</w:t>
      </w:r>
      <w:r w:rsidRPr="00C45D17">
        <w:rPr>
          <w:noProof/>
        </w:rPr>
        <w:tab/>
      </w:r>
      <w:r w:rsidR="00090645">
        <w:rPr>
          <w:noProof/>
        </w:rPr>
        <w:t xml:space="preserve">in </w:t>
      </w:r>
      <w:r w:rsidR="0001385B" w:rsidRPr="00131504">
        <w:rPr>
          <w:noProof/>
        </w:rPr>
        <w:t>policy objective</w:t>
      </w:r>
      <w:r w:rsidR="00CD3073">
        <w:rPr>
          <w:noProof/>
        </w:rPr>
        <w:t xml:space="preserve"> 1</w:t>
      </w:r>
      <w:r w:rsidR="00D21D97">
        <w:rPr>
          <w:noProof/>
        </w:rPr>
        <w:t xml:space="preserve">, </w:t>
      </w:r>
      <w:r w:rsidR="00090645">
        <w:rPr>
          <w:noProof/>
        </w:rPr>
        <w:t>the following row is added</w:t>
      </w:r>
      <w:r w:rsidR="0001385B" w:rsidRPr="00131504">
        <w:rPr>
          <w:noProof/>
        </w:rPr>
        <w:t>:</w:t>
      </w:r>
    </w:p>
    <w:p w14:paraId="77F89362" w14:textId="77777777" w:rsidR="0001385B" w:rsidRPr="00131504" w:rsidRDefault="0001385B" w:rsidP="0001385B">
      <w:pPr>
        <w:pStyle w:val="Text1"/>
        <w:spacing w:line="276" w:lineRule="auto"/>
        <w:rPr>
          <w:noProof/>
        </w:rPr>
      </w:pPr>
    </w:p>
    <w:tbl>
      <w:tblPr>
        <w:tblW w:w="4359" w:type="pct"/>
        <w:tblInd w:w="11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16"/>
        <w:gridCol w:w="2325"/>
        <w:gridCol w:w="2165"/>
        <w:gridCol w:w="1520"/>
      </w:tblGrid>
      <w:tr w:rsidR="003100E7" w:rsidRPr="00781705" w14:paraId="425DB585" w14:textId="77777777" w:rsidTr="00D96259">
        <w:tc>
          <w:tcPr>
            <w:tcW w:w="1208" w:type="pct"/>
            <w:tcBorders>
              <w:top w:val="outset" w:sz="8" w:space="0" w:color="auto"/>
              <w:left w:val="outset" w:sz="8" w:space="0" w:color="auto"/>
              <w:bottom w:val="outset" w:sz="8" w:space="0" w:color="auto"/>
              <w:right w:val="outset" w:sz="8" w:space="0" w:color="auto"/>
            </w:tcBorders>
            <w:shd w:val="clear" w:color="auto" w:fill="FFFFFF" w:themeFill="background1"/>
            <w:hideMark/>
          </w:tcPr>
          <w:p w14:paraId="163B0A5E" w14:textId="77777777" w:rsidR="00CD3073" w:rsidRPr="00781705" w:rsidRDefault="00CD3073">
            <w:pPr>
              <w:pStyle w:val="Text1"/>
              <w:spacing w:line="276" w:lineRule="auto"/>
              <w:rPr>
                <w:noProof/>
              </w:rPr>
            </w:pPr>
          </w:p>
        </w:tc>
        <w:tc>
          <w:tcPr>
            <w:tcW w:w="146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209840C" w14:textId="77777777" w:rsidR="00CD3073" w:rsidRPr="00781705" w:rsidRDefault="00090645" w:rsidP="4D8CB314">
            <w:pPr>
              <w:pStyle w:val="Text1"/>
              <w:spacing w:before="0" w:after="0"/>
              <w:ind w:left="69"/>
              <w:rPr>
                <w:rFonts w:ascii="Calibri" w:hAnsi="Calibri" w:cs="Calibri"/>
                <w:noProof/>
                <w:sz w:val="22"/>
                <w:lang w:val="en-IE"/>
              </w:rPr>
            </w:pPr>
            <w:r w:rsidRPr="4D8CB314">
              <w:rPr>
                <w:noProof/>
              </w:rPr>
              <w:t>‘</w:t>
            </w:r>
            <w:r w:rsidR="00CD3073" w:rsidRPr="4D8CB314">
              <w:rPr>
                <w:noProof/>
              </w:rPr>
              <w:t xml:space="preserve">(vii) enhancing </w:t>
            </w:r>
            <w:r w:rsidR="00CD3073" w:rsidRPr="4D8CB314">
              <w:rPr>
                <w:noProof/>
                <w:lang w:val="en-IE"/>
              </w:rPr>
              <w:t>industrial</w:t>
            </w:r>
            <w:r w:rsidR="00CD3073" w:rsidRPr="4D8CB314">
              <w:rPr>
                <w:noProof/>
              </w:rPr>
              <w:t xml:space="preserve"> capacities to foster </w:t>
            </w:r>
            <w:r w:rsidR="1CBA7DF7" w:rsidRPr="4D8CB314">
              <w:rPr>
                <w:noProof/>
              </w:rPr>
              <w:t xml:space="preserve">dual use as well as </w:t>
            </w:r>
            <w:r w:rsidR="00CD3073" w:rsidRPr="4D8CB314">
              <w:rPr>
                <w:noProof/>
              </w:rPr>
              <w:t>defence capabilities</w:t>
            </w:r>
          </w:p>
        </w:tc>
        <w:tc>
          <w:tcPr>
            <w:tcW w:w="1366"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21BC0A2" w14:textId="77777777" w:rsidR="00CD3073" w:rsidRPr="00781705" w:rsidRDefault="00CD3073" w:rsidP="00192517">
            <w:pPr>
              <w:pStyle w:val="Text1"/>
              <w:spacing w:before="0" w:after="0"/>
              <w:ind w:left="69"/>
              <w:jc w:val="left"/>
              <w:rPr>
                <w:noProof/>
                <w:lang w:val="en-IE"/>
              </w:rPr>
            </w:pPr>
            <w:r w:rsidRPr="005C2C98">
              <w:rPr>
                <w:noProof/>
                <w:lang w:val="en-IE"/>
              </w:rPr>
              <w:t>Any RCO listed for specific objectives (i), (iii)</w:t>
            </w:r>
          </w:p>
          <w:p w14:paraId="2DBA05DB" w14:textId="77777777" w:rsidR="00CD3073" w:rsidRPr="005C2C98" w:rsidRDefault="00CD3073" w:rsidP="00192517">
            <w:pPr>
              <w:pStyle w:val="Text1"/>
              <w:spacing w:before="0" w:after="0"/>
              <w:ind w:left="69"/>
              <w:rPr>
                <w:noProof/>
                <w:lang w:val="en-IE"/>
              </w:rPr>
            </w:pPr>
            <w:r w:rsidRPr="4D8CB314">
              <w:rPr>
                <w:noProof/>
                <w:lang w:val="en-IE"/>
              </w:rPr>
              <w:t xml:space="preserve">RCO128 Enterprises supported linked primarily to foster </w:t>
            </w:r>
            <w:r w:rsidR="55DA1021" w:rsidRPr="4D8CB314">
              <w:rPr>
                <w:noProof/>
                <w:lang w:val="en-IE"/>
              </w:rPr>
              <w:t xml:space="preserve">dual use and </w:t>
            </w:r>
            <w:r w:rsidRPr="4D8CB314">
              <w:rPr>
                <w:noProof/>
                <w:lang w:val="en-IE"/>
              </w:rPr>
              <w:t>defence</w:t>
            </w:r>
            <w:r w:rsidR="6FFC328F" w:rsidRPr="4D8CB314">
              <w:rPr>
                <w:noProof/>
                <w:lang w:val="en-IE"/>
              </w:rPr>
              <w:t xml:space="preserve"> </w:t>
            </w:r>
            <w:r w:rsidRPr="4D8CB314">
              <w:rPr>
                <w:noProof/>
                <w:lang w:val="en-IE"/>
              </w:rPr>
              <w:t xml:space="preserve">capabilities (RearmEU) - </w:t>
            </w:r>
          </w:p>
          <w:p w14:paraId="547F77E7" w14:textId="77777777" w:rsidR="00CD3073" w:rsidRPr="005C2C98" w:rsidRDefault="00CD3073" w:rsidP="003E5EF6">
            <w:pPr>
              <w:pStyle w:val="Text1"/>
              <w:numPr>
                <w:ilvl w:val="0"/>
                <w:numId w:val="19"/>
              </w:numPr>
              <w:spacing w:before="0" w:after="0"/>
              <w:ind w:left="69"/>
              <w:jc w:val="left"/>
              <w:rPr>
                <w:noProof/>
                <w:lang w:val="en-IE"/>
              </w:rPr>
            </w:pPr>
            <w:r w:rsidRPr="005C2C98">
              <w:rPr>
                <w:noProof/>
                <w:lang w:val="en-IE"/>
              </w:rPr>
              <w:t xml:space="preserve"> entreprises</w:t>
            </w:r>
          </w:p>
        </w:tc>
        <w:tc>
          <w:tcPr>
            <w:tcW w:w="959"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927AE7D" w14:textId="77777777" w:rsidR="00CD3073" w:rsidRPr="00781705" w:rsidRDefault="00CD3073" w:rsidP="00192517">
            <w:pPr>
              <w:pStyle w:val="Text1"/>
              <w:spacing w:before="0" w:after="0"/>
              <w:ind w:left="69"/>
              <w:jc w:val="left"/>
              <w:rPr>
                <w:noProof/>
                <w:lang w:val="en-IE"/>
              </w:rPr>
            </w:pPr>
            <w:r w:rsidRPr="00781705">
              <w:rPr>
                <w:noProof/>
              </w:rPr>
              <w:t xml:space="preserve">Any RCR </w:t>
            </w:r>
            <w:r w:rsidRPr="005C2C98">
              <w:rPr>
                <w:noProof/>
                <w:lang w:val="en-IE"/>
              </w:rPr>
              <w:t>listed</w:t>
            </w:r>
            <w:r w:rsidRPr="00781705">
              <w:rPr>
                <w:noProof/>
              </w:rPr>
              <w:t xml:space="preserve"> for specific objectives (i), (iii)</w:t>
            </w:r>
            <w:r w:rsidR="00090645">
              <w:rPr>
                <w:noProof/>
              </w:rPr>
              <w:t>’</w:t>
            </w:r>
            <w:r w:rsidRPr="00781705">
              <w:rPr>
                <w:noProof/>
              </w:rPr>
              <w:t xml:space="preserve"> </w:t>
            </w:r>
          </w:p>
        </w:tc>
      </w:tr>
    </w:tbl>
    <w:p w14:paraId="20098D6E" w14:textId="77777777" w:rsidR="0001385B" w:rsidRDefault="0001385B" w:rsidP="0053777C">
      <w:pPr>
        <w:pStyle w:val="Text1"/>
        <w:spacing w:line="276" w:lineRule="auto"/>
        <w:ind w:left="0"/>
        <w:jc w:val="right"/>
        <w:rPr>
          <w:noProof/>
        </w:rPr>
      </w:pPr>
    </w:p>
    <w:p w14:paraId="29836DD5" w14:textId="77777777" w:rsidR="0053777C" w:rsidRDefault="00C45D17" w:rsidP="00C45D17">
      <w:pPr>
        <w:pStyle w:val="Point1"/>
        <w:rPr>
          <w:noProof/>
        </w:rPr>
      </w:pPr>
      <w:r w:rsidRPr="00C45D17">
        <w:rPr>
          <w:noProof/>
        </w:rPr>
        <w:t>(b)</w:t>
      </w:r>
      <w:r w:rsidRPr="00C45D17">
        <w:rPr>
          <w:noProof/>
        </w:rPr>
        <w:tab/>
      </w:r>
      <w:r w:rsidR="00090645">
        <w:rPr>
          <w:noProof/>
        </w:rPr>
        <w:t>in</w:t>
      </w:r>
      <w:r w:rsidR="0053777C">
        <w:rPr>
          <w:noProof/>
        </w:rPr>
        <w:t xml:space="preserve"> policy objective 2</w:t>
      </w:r>
      <w:r w:rsidR="00272E70">
        <w:rPr>
          <w:noProof/>
        </w:rPr>
        <w:t>, the row for specific objective (v) is replaced by the following</w:t>
      </w:r>
      <w:r w:rsidR="0053777C">
        <w:rPr>
          <w:noProof/>
        </w:rPr>
        <w:t>:</w:t>
      </w:r>
    </w:p>
    <w:p w14:paraId="3219590D" w14:textId="77777777" w:rsidR="0053777C" w:rsidRPr="00781705" w:rsidRDefault="0053777C" w:rsidP="0053777C">
      <w:pPr>
        <w:pStyle w:val="Text1"/>
        <w:spacing w:line="276" w:lineRule="auto"/>
        <w:rPr>
          <w:noProof/>
        </w:rPr>
      </w:pPr>
    </w:p>
    <w:tbl>
      <w:tblPr>
        <w:tblW w:w="4399" w:type="pct"/>
        <w:tblInd w:w="11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90"/>
        <w:gridCol w:w="2307"/>
        <w:gridCol w:w="1840"/>
        <w:gridCol w:w="1961"/>
      </w:tblGrid>
      <w:tr w:rsidR="0053777C" w:rsidRPr="00B5409C" w14:paraId="389C7938" w14:textId="77777777" w:rsidTr="24923FD7">
        <w:tc>
          <w:tcPr>
            <w:tcW w:w="1182" w:type="pct"/>
            <w:tcBorders>
              <w:top w:val="outset" w:sz="8" w:space="0" w:color="auto"/>
              <w:left w:val="outset" w:sz="8" w:space="0" w:color="auto"/>
              <w:bottom w:val="outset" w:sz="8" w:space="0" w:color="auto"/>
              <w:right w:val="outset" w:sz="8" w:space="0" w:color="auto"/>
            </w:tcBorders>
            <w:shd w:val="clear" w:color="auto" w:fill="FFFFFF" w:themeFill="background1"/>
          </w:tcPr>
          <w:p w14:paraId="117A04F1" w14:textId="77777777" w:rsidR="0053777C" w:rsidRPr="00B5409C" w:rsidRDefault="0053777C">
            <w:pPr>
              <w:pStyle w:val="Text1"/>
              <w:spacing w:line="276" w:lineRule="auto"/>
              <w:rPr>
                <w:noProof/>
              </w:rPr>
            </w:pPr>
          </w:p>
        </w:tc>
        <w:tc>
          <w:tcPr>
            <w:tcW w:w="1442"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11C5464" w14:textId="77777777" w:rsidR="0053777C" w:rsidRDefault="00E015E9" w:rsidP="24923FD7">
            <w:pPr>
              <w:pStyle w:val="Text1"/>
              <w:spacing w:before="0" w:after="0"/>
              <w:ind w:left="69"/>
              <w:jc w:val="left"/>
              <w:rPr>
                <w:noProof/>
                <w:lang w:val="en-IE"/>
              </w:rPr>
            </w:pPr>
            <w:r>
              <w:rPr>
                <w:noProof/>
              </w:rPr>
              <w:t>‘</w:t>
            </w:r>
            <w:r w:rsidR="0053777C">
              <w:rPr>
                <w:noProof/>
              </w:rPr>
              <w:t xml:space="preserve">(v) </w:t>
            </w:r>
            <w:r w:rsidR="17CDBEFD" w:rsidRPr="24923FD7">
              <w:rPr>
                <w:noProof/>
                <w:lang w:val="en-IE"/>
              </w:rPr>
              <w:t>P</w:t>
            </w:r>
            <w:r w:rsidR="0053777C" w:rsidRPr="24923FD7">
              <w:rPr>
                <w:noProof/>
                <w:lang w:val="en-IE"/>
              </w:rPr>
              <w:t>romoting</w:t>
            </w:r>
            <w:r w:rsidR="0053777C">
              <w:rPr>
                <w:noProof/>
              </w:rPr>
              <w:t xml:space="preserve"> </w:t>
            </w:r>
            <w:r>
              <w:rPr>
                <w:noProof/>
              </w:rPr>
              <w:t xml:space="preserve">secure </w:t>
            </w:r>
            <w:r w:rsidR="0053777C">
              <w:rPr>
                <w:noProof/>
              </w:rPr>
              <w:t>access to water</w:t>
            </w:r>
            <w:r w:rsidR="203DD814">
              <w:rPr>
                <w:noProof/>
              </w:rPr>
              <w:t xml:space="preserve">, </w:t>
            </w:r>
            <w:r w:rsidR="0053777C">
              <w:rPr>
                <w:noProof/>
              </w:rPr>
              <w:t xml:space="preserve">sustainable </w:t>
            </w:r>
            <w:r w:rsidR="203DD814">
              <w:rPr>
                <w:noProof/>
              </w:rPr>
              <w:t xml:space="preserve">water management </w:t>
            </w:r>
            <w:r w:rsidR="0053777C">
              <w:rPr>
                <w:noProof/>
              </w:rPr>
              <w:t xml:space="preserve">and </w:t>
            </w:r>
            <w:r w:rsidR="203DD814">
              <w:rPr>
                <w:noProof/>
              </w:rPr>
              <w:t xml:space="preserve">water </w:t>
            </w:r>
            <w:r w:rsidR="0053777C">
              <w:rPr>
                <w:noProof/>
              </w:rPr>
              <w:t>resilien</w:t>
            </w:r>
            <w:r w:rsidR="203DD814">
              <w:rPr>
                <w:noProof/>
              </w:rPr>
              <w:t>ce</w:t>
            </w:r>
            <w:r w:rsidR="0053777C">
              <w:rPr>
                <w:noProof/>
              </w:rPr>
              <w:t xml:space="preserve"> </w:t>
            </w:r>
          </w:p>
        </w:tc>
        <w:tc>
          <w:tcPr>
            <w:tcW w:w="1150" w:type="pct"/>
            <w:tcBorders>
              <w:top w:val="outset" w:sz="6" w:space="0" w:color="auto"/>
              <w:left w:val="outset" w:sz="6" w:space="0" w:color="auto"/>
              <w:bottom w:val="outset" w:sz="6" w:space="0" w:color="auto"/>
              <w:right w:val="outset" w:sz="6" w:space="0" w:color="auto"/>
            </w:tcBorders>
            <w:shd w:val="clear" w:color="auto" w:fill="FFFFFF" w:themeFill="background1"/>
          </w:tcPr>
          <w:p w14:paraId="06DE34B5" w14:textId="77777777" w:rsidR="0053777C" w:rsidRPr="005C2C98" w:rsidRDefault="0053777C" w:rsidP="00192517">
            <w:pPr>
              <w:pStyle w:val="Text1"/>
              <w:spacing w:before="0" w:after="0"/>
              <w:ind w:left="69"/>
              <w:jc w:val="left"/>
              <w:rPr>
                <w:noProof/>
                <w:lang w:val="en-IE"/>
              </w:rPr>
            </w:pPr>
            <w:r w:rsidRPr="005C2C98">
              <w:rPr>
                <w:noProof/>
                <w:lang w:val="en-IE"/>
              </w:rPr>
              <w:t>RCO30  Length of new or upgraded pipes for the distribution systems of public water supply - km</w:t>
            </w:r>
          </w:p>
          <w:p w14:paraId="1598B5F5" w14:textId="77777777" w:rsidR="0053777C" w:rsidRPr="005C2C98" w:rsidRDefault="0053777C" w:rsidP="00192517">
            <w:pPr>
              <w:pStyle w:val="Text1"/>
              <w:spacing w:before="0" w:after="0"/>
              <w:ind w:left="69"/>
              <w:jc w:val="left"/>
              <w:rPr>
                <w:noProof/>
                <w:lang w:val="en-IE"/>
              </w:rPr>
            </w:pPr>
            <w:r w:rsidRPr="005C2C98">
              <w:rPr>
                <w:noProof/>
                <w:lang w:val="en-IE"/>
              </w:rPr>
              <w:t>RCO31  Length of new or upgraded pipes for the public network for collection of waste water - km</w:t>
            </w:r>
          </w:p>
          <w:p w14:paraId="1E89464E" w14:textId="77777777" w:rsidR="0053777C" w:rsidRPr="00B5409C" w:rsidRDefault="0053777C" w:rsidP="00192517">
            <w:pPr>
              <w:pStyle w:val="Text1"/>
              <w:spacing w:before="0" w:after="0"/>
              <w:ind w:left="69"/>
              <w:jc w:val="left"/>
              <w:rPr>
                <w:noProof/>
                <w:lang w:val="en-IE"/>
              </w:rPr>
            </w:pPr>
            <w:r w:rsidRPr="005C2C98">
              <w:rPr>
                <w:noProof/>
                <w:lang w:val="en-IE"/>
              </w:rPr>
              <w:t>RCO32  New or upgraded capacity for waste water treatment - population equivalent</w:t>
            </w:r>
          </w:p>
        </w:tc>
        <w:tc>
          <w:tcPr>
            <w:tcW w:w="1226" w:type="pct"/>
            <w:tcBorders>
              <w:top w:val="outset" w:sz="6" w:space="0" w:color="auto"/>
              <w:left w:val="outset" w:sz="6" w:space="0" w:color="auto"/>
              <w:bottom w:val="outset" w:sz="6" w:space="0" w:color="auto"/>
              <w:right w:val="outset" w:sz="6" w:space="0" w:color="auto"/>
            </w:tcBorders>
            <w:shd w:val="clear" w:color="auto" w:fill="FFFFFF" w:themeFill="background1"/>
          </w:tcPr>
          <w:p w14:paraId="135AF10F" w14:textId="77777777" w:rsidR="0053777C" w:rsidRPr="005C2C98" w:rsidRDefault="0053777C" w:rsidP="00192517">
            <w:pPr>
              <w:pStyle w:val="Text1"/>
              <w:spacing w:before="0" w:after="0"/>
              <w:ind w:left="69"/>
              <w:jc w:val="left"/>
              <w:rPr>
                <w:noProof/>
                <w:lang w:val="en-IE"/>
              </w:rPr>
            </w:pPr>
            <w:r w:rsidRPr="005C2C98">
              <w:rPr>
                <w:noProof/>
                <w:lang w:val="en-IE"/>
              </w:rPr>
              <w:t>RCR41   Population connected to improved public water supply - persons</w:t>
            </w:r>
          </w:p>
          <w:p w14:paraId="22DE944F" w14:textId="77777777" w:rsidR="0053777C" w:rsidRPr="005C2C98" w:rsidRDefault="0053777C" w:rsidP="00192517">
            <w:pPr>
              <w:pStyle w:val="Text1"/>
              <w:spacing w:before="0" w:after="0"/>
              <w:ind w:left="69"/>
              <w:jc w:val="left"/>
              <w:rPr>
                <w:noProof/>
                <w:lang w:val="en-IE"/>
              </w:rPr>
            </w:pPr>
            <w:r w:rsidRPr="005C2C98">
              <w:rPr>
                <w:noProof/>
                <w:lang w:val="en-IE"/>
              </w:rPr>
              <w:t>RCR42   Population connected to at least secondary public waste water treatment - persons</w:t>
            </w:r>
          </w:p>
          <w:p w14:paraId="4FEC5598" w14:textId="77777777" w:rsidR="0053777C" w:rsidRDefault="0053777C" w:rsidP="00192517">
            <w:pPr>
              <w:pStyle w:val="Text1"/>
              <w:spacing w:before="0" w:after="0"/>
              <w:ind w:left="69"/>
              <w:jc w:val="left"/>
              <w:rPr>
                <w:noProof/>
                <w:lang w:val="en-IE"/>
              </w:rPr>
            </w:pPr>
            <w:r w:rsidRPr="005C2C98">
              <w:rPr>
                <w:noProof/>
                <w:lang w:val="en-IE"/>
              </w:rPr>
              <w:t>RCR43   Water losses in distribution systems for public water supply - cubic metres per year</w:t>
            </w:r>
            <w:r w:rsidR="00E015E9">
              <w:rPr>
                <w:noProof/>
                <w:lang w:val="en-IE"/>
              </w:rPr>
              <w:t>’</w:t>
            </w:r>
          </w:p>
        </w:tc>
      </w:tr>
    </w:tbl>
    <w:p w14:paraId="65E31A61" w14:textId="77777777" w:rsidR="00E015E9" w:rsidRDefault="00C45D17" w:rsidP="00C45D17">
      <w:pPr>
        <w:pStyle w:val="Point1"/>
        <w:rPr>
          <w:noProof/>
        </w:rPr>
      </w:pPr>
      <w:r w:rsidRPr="00C45D17">
        <w:rPr>
          <w:noProof/>
        </w:rPr>
        <w:t>(c)</w:t>
      </w:r>
      <w:r w:rsidRPr="00C45D17">
        <w:rPr>
          <w:noProof/>
        </w:rPr>
        <w:tab/>
      </w:r>
      <w:r w:rsidR="00E015E9">
        <w:rPr>
          <w:noProof/>
        </w:rPr>
        <w:t xml:space="preserve">in policy objective 2, </w:t>
      </w:r>
      <w:r w:rsidR="00CF6C01">
        <w:rPr>
          <w:noProof/>
        </w:rPr>
        <w:t xml:space="preserve">the </w:t>
      </w:r>
      <w:r w:rsidR="00E015E9">
        <w:rPr>
          <w:noProof/>
        </w:rPr>
        <w:t>following row</w:t>
      </w:r>
      <w:r w:rsidR="52FA7363">
        <w:rPr>
          <w:noProof/>
        </w:rPr>
        <w:t>s</w:t>
      </w:r>
      <w:r w:rsidR="00E015E9">
        <w:rPr>
          <w:noProof/>
        </w:rPr>
        <w:t xml:space="preserve"> </w:t>
      </w:r>
      <w:r w:rsidR="71C73012">
        <w:rPr>
          <w:noProof/>
        </w:rPr>
        <w:t xml:space="preserve">are </w:t>
      </w:r>
      <w:r w:rsidR="00E015E9">
        <w:rPr>
          <w:noProof/>
        </w:rPr>
        <w:t xml:space="preserve"> added:</w:t>
      </w:r>
    </w:p>
    <w:p w14:paraId="5477EE8D" w14:textId="77777777" w:rsidR="00E015E9" w:rsidRDefault="00E015E9" w:rsidP="00EF2EB8">
      <w:pPr>
        <w:pStyle w:val="Text1"/>
        <w:rPr>
          <w:noProof/>
        </w:rPr>
      </w:pPr>
    </w:p>
    <w:tbl>
      <w:tblPr>
        <w:tblW w:w="7998" w:type="dxa"/>
        <w:tblInd w:w="11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90"/>
        <w:gridCol w:w="2295"/>
        <w:gridCol w:w="1852"/>
        <w:gridCol w:w="1961"/>
      </w:tblGrid>
      <w:tr w:rsidR="003100E7" w:rsidRPr="00B5409C" w14:paraId="211DE221" w14:textId="77777777" w:rsidTr="00BC0CD0">
        <w:trPr>
          <w:trHeight w:val="300"/>
        </w:trPr>
        <w:tc>
          <w:tcPr>
            <w:tcW w:w="1890" w:type="dxa"/>
            <w:tcBorders>
              <w:top w:val="outset" w:sz="8" w:space="0" w:color="auto"/>
              <w:left w:val="outset" w:sz="8" w:space="0" w:color="auto"/>
              <w:bottom w:val="outset" w:sz="8" w:space="0" w:color="auto"/>
              <w:right w:val="outset" w:sz="8" w:space="0" w:color="auto"/>
            </w:tcBorders>
            <w:shd w:val="clear" w:color="auto" w:fill="FFFFFF" w:themeFill="background1"/>
            <w:hideMark/>
          </w:tcPr>
          <w:p w14:paraId="180785F8" w14:textId="77777777" w:rsidR="0053777C" w:rsidRPr="00B5409C" w:rsidRDefault="0053777C">
            <w:pPr>
              <w:pStyle w:val="Text1"/>
              <w:spacing w:line="276" w:lineRule="auto"/>
              <w:rPr>
                <w:noProof/>
              </w:rPr>
            </w:pPr>
          </w:p>
        </w:tc>
        <w:tc>
          <w:tcPr>
            <w:tcW w:w="229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3AB4066" w14:textId="77777777" w:rsidR="0053777C" w:rsidRPr="00B5409C" w:rsidRDefault="00E015E9" w:rsidP="4D8CB314">
            <w:pPr>
              <w:pStyle w:val="Text1"/>
              <w:spacing w:before="0" w:after="0"/>
              <w:ind w:left="69"/>
              <w:jc w:val="left"/>
              <w:rPr>
                <w:rFonts w:ascii="Calibri" w:hAnsi="Calibri" w:cs="Calibri"/>
                <w:noProof/>
                <w:sz w:val="22"/>
                <w:lang w:val="en-IE"/>
              </w:rPr>
            </w:pPr>
            <w:r w:rsidRPr="4D8CB314">
              <w:rPr>
                <w:noProof/>
                <w:lang w:val="en-IE"/>
              </w:rPr>
              <w:t>‘</w:t>
            </w:r>
            <w:r w:rsidR="0053777C" w:rsidRPr="4D8CB314">
              <w:rPr>
                <w:noProof/>
                <w:lang w:val="en-IE"/>
              </w:rPr>
              <w:t xml:space="preserve">(xi) </w:t>
            </w:r>
            <w:r w:rsidR="0053777C">
              <w:rPr>
                <w:noProof/>
              </w:rPr>
              <w:t>promoting</w:t>
            </w:r>
            <w:r w:rsidR="0053777C" w:rsidRPr="4D8CB314">
              <w:rPr>
                <w:noProof/>
                <w:lang w:val="en-IE"/>
              </w:rPr>
              <w:t xml:space="preserve"> access to affordable </w:t>
            </w:r>
            <w:r w:rsidR="0D5C5D61" w:rsidRPr="4D8CB314">
              <w:rPr>
                <w:noProof/>
                <w:lang w:val="en-IE"/>
              </w:rPr>
              <w:t xml:space="preserve"> </w:t>
            </w:r>
            <w:r w:rsidR="0053777C" w:rsidRPr="4D8CB314">
              <w:rPr>
                <w:noProof/>
                <w:lang w:val="en-IE"/>
              </w:rPr>
              <w:t>housing, and related reforms</w:t>
            </w:r>
          </w:p>
        </w:tc>
        <w:tc>
          <w:tcPr>
            <w:tcW w:w="18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BD289EF" w14:textId="77777777" w:rsidR="0053777C" w:rsidRDefault="0053777C" w:rsidP="00192517">
            <w:pPr>
              <w:pStyle w:val="Text1"/>
              <w:spacing w:before="0" w:after="0"/>
              <w:ind w:left="69"/>
              <w:jc w:val="left"/>
              <w:rPr>
                <w:noProof/>
                <w:lang w:val="en-IE"/>
              </w:rPr>
            </w:pPr>
            <w:r w:rsidRPr="653353E9">
              <w:rPr>
                <w:noProof/>
                <w:lang w:val="en-IE"/>
              </w:rPr>
              <w:t xml:space="preserve">RCO18  </w:t>
            </w:r>
            <w:r w:rsidR="35174FB7" w:rsidRPr="653353E9">
              <w:rPr>
                <w:noProof/>
                <w:lang w:val="en-IE"/>
              </w:rPr>
              <w:t xml:space="preserve">Affordable </w:t>
            </w:r>
            <w:r w:rsidR="67341AF6" w:rsidRPr="653353E9">
              <w:rPr>
                <w:noProof/>
                <w:lang w:val="en-IE"/>
              </w:rPr>
              <w:t>d</w:t>
            </w:r>
            <w:r w:rsidRPr="653353E9">
              <w:rPr>
                <w:noProof/>
                <w:lang w:val="en-IE"/>
              </w:rPr>
              <w:t>wellings with improved energy performance – dwellings</w:t>
            </w:r>
          </w:p>
          <w:p w14:paraId="2702597C" w14:textId="77777777" w:rsidR="0053777C" w:rsidRPr="009305E3" w:rsidRDefault="0053777C" w:rsidP="00192517">
            <w:pPr>
              <w:pStyle w:val="Text1"/>
              <w:spacing w:before="0" w:after="0"/>
              <w:ind w:left="69"/>
              <w:jc w:val="left"/>
              <w:rPr>
                <w:noProof/>
                <w:lang w:val="en-IE"/>
              </w:rPr>
            </w:pPr>
            <w:r w:rsidRPr="009305E3">
              <w:rPr>
                <w:noProof/>
                <w:lang w:val="en-IE"/>
              </w:rPr>
              <w:t xml:space="preserve">RCO65  Capacity of new or modernised </w:t>
            </w:r>
            <w:r w:rsidR="00922F56">
              <w:rPr>
                <w:noProof/>
                <w:lang w:val="en-IE"/>
              </w:rPr>
              <w:t xml:space="preserve">affordable and </w:t>
            </w:r>
            <w:r w:rsidRPr="009305E3">
              <w:rPr>
                <w:noProof/>
                <w:lang w:val="en-IE"/>
              </w:rPr>
              <w:t>social housing - persons</w:t>
            </w:r>
          </w:p>
          <w:p w14:paraId="202FC4B6" w14:textId="77777777" w:rsidR="0053777C" w:rsidRPr="00B5409C" w:rsidRDefault="0053777C" w:rsidP="00192517">
            <w:pPr>
              <w:pStyle w:val="Text1"/>
              <w:spacing w:before="0" w:after="0"/>
              <w:ind w:left="69"/>
              <w:jc w:val="left"/>
              <w:rPr>
                <w:noProof/>
                <w:lang w:val="en-IE"/>
              </w:rPr>
            </w:pPr>
            <w:r w:rsidRPr="4D8CB314">
              <w:rPr>
                <w:noProof/>
                <w:lang w:val="en-IE"/>
              </w:rPr>
              <w:t xml:space="preserve">RCO130 </w:t>
            </w:r>
            <w:r w:rsidR="232179BE" w:rsidRPr="4D8CB314">
              <w:rPr>
                <w:noProof/>
                <w:lang w:val="en-IE"/>
              </w:rPr>
              <w:t>Affordable</w:t>
            </w:r>
            <w:r w:rsidR="1D60D2BC" w:rsidRPr="4D8CB314">
              <w:rPr>
                <w:noProof/>
                <w:lang w:val="en-IE"/>
              </w:rPr>
              <w:t xml:space="preserve"> and</w:t>
            </w:r>
            <w:r w:rsidR="7C4034D5" w:rsidRPr="4D8CB314">
              <w:rPr>
                <w:noProof/>
                <w:lang w:val="en-IE"/>
              </w:rPr>
              <w:t xml:space="preserve"> social </w:t>
            </w:r>
            <w:r w:rsidR="602A0373" w:rsidRPr="4D8CB314">
              <w:rPr>
                <w:noProof/>
                <w:lang w:val="en-IE"/>
              </w:rPr>
              <w:t>h</w:t>
            </w:r>
            <w:r w:rsidRPr="4D8CB314">
              <w:rPr>
                <w:noProof/>
                <w:lang w:val="en-IE"/>
              </w:rPr>
              <w:t>ousing related reforms - number</w:t>
            </w:r>
          </w:p>
        </w:tc>
        <w:tc>
          <w:tcPr>
            <w:tcW w:w="196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639A4BB6" w14:textId="77777777" w:rsidR="0053777C" w:rsidRPr="009305E3" w:rsidRDefault="0053777C" w:rsidP="00192517">
            <w:pPr>
              <w:pStyle w:val="Text1"/>
              <w:spacing w:before="0" w:after="0"/>
              <w:ind w:left="69"/>
              <w:jc w:val="left"/>
              <w:rPr>
                <w:noProof/>
                <w:lang w:val="en-IE"/>
              </w:rPr>
            </w:pPr>
            <w:r w:rsidRPr="653353E9">
              <w:rPr>
                <w:noProof/>
                <w:lang w:val="en-IE"/>
              </w:rPr>
              <w:t xml:space="preserve">RCR26   Annual primary energy consumption (of which: </w:t>
            </w:r>
            <w:r w:rsidR="2F2813E6" w:rsidRPr="653353E9">
              <w:rPr>
                <w:noProof/>
                <w:lang w:val="en-IE"/>
              </w:rPr>
              <w:t xml:space="preserve">affordable </w:t>
            </w:r>
            <w:r w:rsidRPr="653353E9">
              <w:rPr>
                <w:noProof/>
                <w:lang w:val="en-IE"/>
              </w:rPr>
              <w:t>dwellings, public buildings, enterprises, other) - MWh/year</w:t>
            </w:r>
          </w:p>
          <w:p w14:paraId="31577DE7" w14:textId="77777777" w:rsidR="0053777C" w:rsidRPr="009305E3" w:rsidRDefault="0053777C" w:rsidP="00192517">
            <w:pPr>
              <w:pStyle w:val="Text1"/>
              <w:spacing w:before="0" w:after="0"/>
              <w:ind w:left="69"/>
              <w:jc w:val="left"/>
              <w:rPr>
                <w:noProof/>
                <w:lang w:val="en-IE"/>
              </w:rPr>
            </w:pPr>
            <w:r w:rsidRPr="009305E3">
              <w:rPr>
                <w:noProof/>
                <w:lang w:val="en-IE"/>
              </w:rPr>
              <w:t>RCR29   Estimated greenhouse emissions - tonnes CO</w:t>
            </w:r>
            <w:r w:rsidRPr="002F3402">
              <w:rPr>
                <w:noProof/>
                <w:vertAlign w:val="subscript"/>
                <w:lang w:val="en-IE"/>
              </w:rPr>
              <w:t>2</w:t>
            </w:r>
            <w:r w:rsidRPr="009305E3">
              <w:rPr>
                <w:noProof/>
                <w:lang w:val="en-IE"/>
              </w:rPr>
              <w:t xml:space="preserve"> eq./year </w:t>
            </w:r>
          </w:p>
          <w:p w14:paraId="0485D945" w14:textId="77777777" w:rsidR="0053777C" w:rsidRPr="009305E3" w:rsidRDefault="0053777C" w:rsidP="00192517">
            <w:pPr>
              <w:pStyle w:val="Text1"/>
              <w:spacing w:before="0" w:after="0"/>
              <w:ind w:left="69"/>
              <w:jc w:val="left"/>
              <w:rPr>
                <w:noProof/>
                <w:lang w:val="en-IE"/>
              </w:rPr>
            </w:pPr>
            <w:r w:rsidRPr="653353E9">
              <w:rPr>
                <w:noProof/>
                <w:lang w:val="en-IE"/>
              </w:rPr>
              <w:t xml:space="preserve">RCR67   Annual users of new or modernised </w:t>
            </w:r>
            <w:r w:rsidR="59555401" w:rsidRPr="653353E9">
              <w:rPr>
                <w:noProof/>
                <w:lang w:val="en-IE"/>
              </w:rPr>
              <w:t>affordable and</w:t>
            </w:r>
            <w:r w:rsidR="59555401" w:rsidRPr="653353E9">
              <w:rPr>
                <w:rFonts w:ascii="Calibri" w:eastAsia="Calibri" w:hAnsi="Calibri" w:cs="Calibri"/>
                <w:noProof/>
                <w:color w:val="FF0000"/>
                <w:sz w:val="22"/>
                <w:lang w:val="en-IE"/>
              </w:rPr>
              <w:t xml:space="preserve"> </w:t>
            </w:r>
            <w:r w:rsidRPr="653353E9">
              <w:rPr>
                <w:noProof/>
                <w:lang w:val="en-IE"/>
              </w:rPr>
              <w:t>social housing - users/year</w:t>
            </w:r>
          </w:p>
          <w:p w14:paraId="1DECD115" w14:textId="77777777" w:rsidR="0053777C" w:rsidRPr="00B5409C" w:rsidRDefault="0053777C" w:rsidP="00192517">
            <w:pPr>
              <w:pStyle w:val="Text1"/>
              <w:spacing w:before="0" w:after="0"/>
              <w:jc w:val="left"/>
              <w:rPr>
                <w:noProof/>
                <w:lang w:val="en-IE"/>
              </w:rPr>
            </w:pPr>
          </w:p>
        </w:tc>
      </w:tr>
      <w:tr w:rsidR="0758BC66" w14:paraId="59090AA6" w14:textId="77777777" w:rsidTr="00BC0CD0">
        <w:trPr>
          <w:trHeight w:val="300"/>
        </w:trPr>
        <w:tc>
          <w:tcPr>
            <w:tcW w:w="1890" w:type="dxa"/>
            <w:tcBorders>
              <w:top w:val="outset" w:sz="8" w:space="0" w:color="auto"/>
              <w:left w:val="outset" w:sz="8" w:space="0" w:color="auto"/>
              <w:bottom w:val="outset" w:sz="8" w:space="0" w:color="auto"/>
              <w:right w:val="outset" w:sz="8" w:space="0" w:color="auto"/>
            </w:tcBorders>
            <w:shd w:val="clear" w:color="auto" w:fill="FFFFFF" w:themeFill="background1"/>
            <w:hideMark/>
          </w:tcPr>
          <w:p w14:paraId="1278DB1E" w14:textId="77777777" w:rsidR="0758BC66" w:rsidRDefault="0758BC66" w:rsidP="00BC0CD0">
            <w:pPr>
              <w:pStyle w:val="Text1"/>
              <w:spacing w:line="276" w:lineRule="auto"/>
              <w:rPr>
                <w:noProof/>
              </w:rPr>
            </w:pPr>
          </w:p>
        </w:tc>
        <w:tc>
          <w:tcPr>
            <w:tcW w:w="229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17ABA2E" w14:textId="77777777" w:rsidR="1ACABF3F" w:rsidRDefault="1ACABF3F" w:rsidP="00BC0CD0">
            <w:pPr>
              <w:pStyle w:val="Text1"/>
              <w:ind w:left="0"/>
              <w:jc w:val="left"/>
              <w:rPr>
                <w:noProof/>
                <w:lang w:val="en-IE"/>
              </w:rPr>
            </w:pPr>
            <w:r w:rsidRPr="744D42DC">
              <w:rPr>
                <w:noProof/>
                <w:lang w:val="en-IE"/>
              </w:rPr>
              <w:t xml:space="preserve">(xii) promoting energy interconnectors and </w:t>
            </w:r>
            <w:r>
              <w:rPr>
                <w:noProof/>
                <w:lang w:val="en-IE"/>
              </w:rPr>
              <w:t xml:space="preserve">related transmission infrastructure, and </w:t>
            </w:r>
            <w:r w:rsidRPr="744D42DC">
              <w:rPr>
                <w:noProof/>
                <w:lang w:val="en-IE"/>
              </w:rPr>
              <w:t xml:space="preserve">the deployment of </w:t>
            </w:r>
            <w:r w:rsidR="0E50D1A9" w:rsidRPr="14143AA3">
              <w:rPr>
                <w:noProof/>
                <w:lang w:val="en-IE"/>
              </w:rPr>
              <w:t>re</w:t>
            </w:r>
            <w:r w:rsidRPr="14143AA3">
              <w:rPr>
                <w:noProof/>
                <w:lang w:val="en-IE"/>
              </w:rPr>
              <w:t>charging</w:t>
            </w:r>
            <w:r w:rsidRPr="744D42DC">
              <w:rPr>
                <w:noProof/>
                <w:lang w:val="en-IE"/>
              </w:rPr>
              <w:t xml:space="preserve"> infrastructure</w:t>
            </w:r>
          </w:p>
        </w:tc>
        <w:tc>
          <w:tcPr>
            <w:tcW w:w="18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C455DF7" w14:textId="77777777" w:rsidR="2F894092" w:rsidRDefault="2F894092" w:rsidP="00BC0CD0">
            <w:pPr>
              <w:pStyle w:val="Text1"/>
              <w:ind w:left="0"/>
              <w:jc w:val="left"/>
              <w:rPr>
                <w:noProof/>
                <w:lang w:val="en-IE"/>
              </w:rPr>
            </w:pPr>
            <w:r w:rsidRPr="12AAA179">
              <w:rPr>
                <w:noProof/>
                <w:lang w:val="en-IE"/>
              </w:rPr>
              <w:t>RCO 59 - Alternative fuels infrastructure (refuelling/ recharging points)</w:t>
            </w:r>
          </w:p>
          <w:p w14:paraId="2C328BBF" w14:textId="77777777" w:rsidR="0758BC66" w:rsidRDefault="6BFD3BB9" w:rsidP="69B6C51B">
            <w:pPr>
              <w:pStyle w:val="Text1"/>
              <w:ind w:left="0"/>
              <w:jc w:val="left"/>
              <w:rPr>
                <w:noProof/>
                <w:lang w:val="en-IE"/>
              </w:rPr>
            </w:pPr>
            <w:r w:rsidRPr="69B6C51B">
              <w:rPr>
                <w:noProof/>
                <w:lang w:val="en-IE"/>
              </w:rPr>
              <w:t>RCO</w:t>
            </w:r>
            <w:r w:rsidR="7CD0F126" w:rsidRPr="69B6C51B">
              <w:rPr>
                <w:noProof/>
                <w:lang w:val="en-IE"/>
              </w:rPr>
              <w:t xml:space="preserve"> 131</w:t>
            </w:r>
            <w:r w:rsidRPr="69B6C51B">
              <w:rPr>
                <w:noProof/>
                <w:lang w:val="en-IE"/>
              </w:rPr>
              <w:t xml:space="preserve"> Energy transmission network lines and interconnectors - newly constructed or improved</w:t>
            </w:r>
            <w:r w:rsidR="00D33D2F">
              <w:rPr>
                <w:noProof/>
                <w:lang w:val="en-IE"/>
              </w:rPr>
              <w:t>’</w:t>
            </w:r>
          </w:p>
        </w:tc>
        <w:tc>
          <w:tcPr>
            <w:tcW w:w="1961"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2A27EF03" w14:textId="77777777" w:rsidR="0758BC66" w:rsidRDefault="0758BC66" w:rsidP="00BC0CD0">
            <w:pPr>
              <w:pStyle w:val="Text1"/>
              <w:jc w:val="left"/>
              <w:rPr>
                <w:noProof/>
                <w:lang w:val="en-IE"/>
              </w:rPr>
            </w:pPr>
          </w:p>
        </w:tc>
      </w:tr>
    </w:tbl>
    <w:p w14:paraId="4AEA63DC" w14:textId="77777777" w:rsidR="00B2796D" w:rsidRDefault="00B2796D" w:rsidP="00B2796D">
      <w:pPr>
        <w:pStyle w:val="Text1"/>
        <w:jc w:val="right"/>
        <w:rPr>
          <w:noProof/>
        </w:rPr>
      </w:pPr>
    </w:p>
    <w:p w14:paraId="1D05DBCC" w14:textId="77777777" w:rsidR="0053777C" w:rsidRDefault="00C45D17" w:rsidP="00C45D17">
      <w:pPr>
        <w:pStyle w:val="Point1"/>
        <w:rPr>
          <w:noProof/>
        </w:rPr>
      </w:pPr>
      <w:r w:rsidRPr="00C45D17">
        <w:rPr>
          <w:noProof/>
        </w:rPr>
        <w:t>(d)</w:t>
      </w:r>
      <w:r w:rsidRPr="00C45D17">
        <w:rPr>
          <w:noProof/>
        </w:rPr>
        <w:tab/>
      </w:r>
      <w:r w:rsidR="00750604">
        <w:rPr>
          <w:noProof/>
        </w:rPr>
        <w:t>in</w:t>
      </w:r>
      <w:r w:rsidR="0053777C">
        <w:rPr>
          <w:noProof/>
        </w:rPr>
        <w:t xml:space="preserve"> policy objective 3</w:t>
      </w:r>
      <w:r w:rsidR="00750604">
        <w:rPr>
          <w:noProof/>
        </w:rPr>
        <w:t xml:space="preserve">, </w:t>
      </w:r>
      <w:r w:rsidR="00CF6C01">
        <w:rPr>
          <w:noProof/>
        </w:rPr>
        <w:t xml:space="preserve">the </w:t>
      </w:r>
      <w:r w:rsidR="00750604">
        <w:rPr>
          <w:noProof/>
        </w:rPr>
        <w:t>following row is added</w:t>
      </w:r>
      <w:r w:rsidR="0053777C">
        <w:rPr>
          <w:noProof/>
        </w:rPr>
        <w:t>:</w:t>
      </w:r>
    </w:p>
    <w:p w14:paraId="04CDD1AB" w14:textId="77777777" w:rsidR="0053777C" w:rsidRDefault="0053777C" w:rsidP="0053777C">
      <w:pPr>
        <w:pStyle w:val="Text1"/>
        <w:spacing w:line="276" w:lineRule="auto"/>
        <w:rPr>
          <w:noProof/>
        </w:rPr>
      </w:pPr>
    </w:p>
    <w:tbl>
      <w:tblPr>
        <w:tblW w:w="4399" w:type="pct"/>
        <w:tblInd w:w="11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1"/>
        <w:gridCol w:w="2347"/>
        <w:gridCol w:w="1880"/>
        <w:gridCol w:w="1840"/>
      </w:tblGrid>
      <w:tr w:rsidR="0053777C" w:rsidRPr="00781705" w14:paraId="1A6B64DF" w14:textId="77777777" w:rsidTr="4D8CB314">
        <w:tc>
          <w:tcPr>
            <w:tcW w:w="1208" w:type="pct"/>
            <w:tcBorders>
              <w:top w:val="outset" w:sz="8" w:space="0" w:color="auto"/>
              <w:left w:val="outset" w:sz="8" w:space="0" w:color="auto"/>
              <w:bottom w:val="outset" w:sz="8" w:space="0" w:color="auto"/>
              <w:right w:val="outset" w:sz="8" w:space="0" w:color="auto"/>
            </w:tcBorders>
            <w:shd w:val="clear" w:color="auto" w:fill="FFFFFF" w:themeFill="background1"/>
            <w:hideMark/>
          </w:tcPr>
          <w:p w14:paraId="66F13535" w14:textId="77777777" w:rsidR="0053777C" w:rsidRPr="00781705" w:rsidRDefault="0053777C">
            <w:pPr>
              <w:pStyle w:val="Text1"/>
              <w:spacing w:line="276" w:lineRule="auto"/>
              <w:rPr>
                <w:noProof/>
              </w:rPr>
            </w:pPr>
          </w:p>
        </w:tc>
        <w:tc>
          <w:tcPr>
            <w:tcW w:w="146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E9312E9" w14:textId="77777777" w:rsidR="0053777C" w:rsidRPr="00781705" w:rsidRDefault="0F808FE4" w:rsidP="4D8CB314">
            <w:pPr>
              <w:pStyle w:val="Text1"/>
              <w:spacing w:before="0" w:after="0"/>
              <w:ind w:left="69"/>
              <w:jc w:val="left"/>
              <w:rPr>
                <w:rFonts w:ascii="Calibri" w:hAnsi="Calibri" w:cs="Calibri"/>
                <w:noProof/>
                <w:sz w:val="22"/>
                <w:lang w:val="en-IE"/>
              </w:rPr>
            </w:pPr>
            <w:r w:rsidRPr="4D8CB314">
              <w:rPr>
                <w:noProof/>
              </w:rPr>
              <w:t>‘</w:t>
            </w:r>
            <w:r w:rsidR="585EF098" w:rsidRPr="4D8CB314">
              <w:rPr>
                <w:noProof/>
              </w:rPr>
              <w:t xml:space="preserve">(iii) developing resilient </w:t>
            </w:r>
            <w:r w:rsidR="428AE1D4" w:rsidRPr="44F6C31B">
              <w:rPr>
                <w:noProof/>
              </w:rPr>
              <w:t xml:space="preserve">defence or </w:t>
            </w:r>
            <w:r w:rsidR="585EF098" w:rsidRPr="4D8CB314">
              <w:rPr>
                <w:noProof/>
              </w:rPr>
              <w:t>dual use</w:t>
            </w:r>
            <w:r>
              <w:rPr>
                <w:noProof/>
              </w:rPr>
              <w:t xml:space="preserve"> </w:t>
            </w:r>
            <w:r w:rsidR="585EF098" w:rsidRPr="4D8CB314">
              <w:rPr>
                <w:noProof/>
              </w:rPr>
              <w:t xml:space="preserve">infrastructure </w:t>
            </w:r>
            <w:r w:rsidR="4DA99473" w:rsidRPr="4D8CB314">
              <w:rPr>
                <w:noProof/>
              </w:rPr>
              <w:t xml:space="preserve">to foster military mobility </w:t>
            </w:r>
            <w:r w:rsidR="585EF098" w:rsidRPr="4D8CB314">
              <w:rPr>
                <w:noProof/>
              </w:rPr>
              <w:t xml:space="preserve">for the </w:t>
            </w:r>
            <w:r w:rsidR="4DA99473" w:rsidRPr="4D8CB314">
              <w:rPr>
                <w:noProof/>
              </w:rPr>
              <w:t>Union</w:t>
            </w:r>
          </w:p>
        </w:tc>
        <w:tc>
          <w:tcPr>
            <w:tcW w:w="117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B495A9E" w14:textId="77777777" w:rsidR="0053777C" w:rsidRPr="00E3590D" w:rsidRDefault="0053777C" w:rsidP="00192517">
            <w:pPr>
              <w:pStyle w:val="Text1"/>
              <w:spacing w:before="0" w:after="0"/>
              <w:ind w:left="69"/>
              <w:jc w:val="left"/>
              <w:rPr>
                <w:noProof/>
                <w:lang w:val="en-IE"/>
              </w:rPr>
            </w:pPr>
            <w:r w:rsidRPr="00781705">
              <w:rPr>
                <w:noProof/>
                <w:lang w:val="en-IE"/>
              </w:rPr>
              <w:t xml:space="preserve">Any RCO </w:t>
            </w:r>
            <w:r w:rsidRPr="00E3590D">
              <w:rPr>
                <w:noProof/>
                <w:lang w:val="en-IE"/>
              </w:rPr>
              <w:t xml:space="preserve">listed for specific objectives (i), (ii) </w:t>
            </w:r>
          </w:p>
          <w:p w14:paraId="482667C5" w14:textId="77777777" w:rsidR="0053777C" w:rsidRPr="005C2C98" w:rsidRDefault="0053777C" w:rsidP="00566902">
            <w:pPr>
              <w:pStyle w:val="Text1"/>
              <w:spacing w:before="0" w:after="0"/>
              <w:ind w:left="69"/>
              <w:jc w:val="left"/>
              <w:rPr>
                <w:noProof/>
                <w:lang w:val="en-IE"/>
              </w:rPr>
            </w:pPr>
            <w:r w:rsidRPr="24923FD7">
              <w:rPr>
                <w:noProof/>
                <w:lang w:val="en-IE"/>
              </w:rPr>
              <w:t xml:space="preserve">RCO129 </w:t>
            </w:r>
            <w:r w:rsidR="00566902" w:rsidRPr="24923FD7">
              <w:rPr>
                <w:noProof/>
                <w:lang w:val="en-IE"/>
              </w:rPr>
              <w:t>Infrastru</w:t>
            </w:r>
            <w:r w:rsidR="2876845F" w:rsidRPr="24923FD7">
              <w:rPr>
                <w:noProof/>
                <w:lang w:val="en-IE"/>
              </w:rPr>
              <w:t>cture</w:t>
            </w:r>
            <w:r w:rsidR="00566902" w:rsidRPr="24923FD7">
              <w:rPr>
                <w:noProof/>
                <w:lang w:val="en-IE"/>
              </w:rPr>
              <w:t xml:space="preserve"> adapted to military mobility requirements, </w:t>
            </w:r>
          </w:p>
        </w:tc>
        <w:tc>
          <w:tcPr>
            <w:tcW w:w="1150"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467BA86" w14:textId="77777777" w:rsidR="0053777C" w:rsidRPr="00781705" w:rsidRDefault="0053777C" w:rsidP="00192517">
            <w:pPr>
              <w:pStyle w:val="Text1"/>
              <w:spacing w:before="0" w:after="0"/>
              <w:ind w:left="69"/>
              <w:jc w:val="left"/>
              <w:rPr>
                <w:noProof/>
                <w:lang w:val="en-IE"/>
              </w:rPr>
            </w:pPr>
            <w:r w:rsidRPr="00E3590D">
              <w:rPr>
                <w:noProof/>
                <w:lang w:val="en-IE"/>
              </w:rPr>
              <w:t>Any RCR listed for specific objectives (i), (ii)</w:t>
            </w:r>
            <w:r w:rsidR="0062529A">
              <w:rPr>
                <w:noProof/>
                <w:lang w:val="en-IE"/>
              </w:rPr>
              <w:t>’</w:t>
            </w:r>
          </w:p>
        </w:tc>
      </w:tr>
    </w:tbl>
    <w:p w14:paraId="25098FB6" w14:textId="77777777" w:rsidR="0053777C" w:rsidRDefault="0053777C" w:rsidP="00B5447C">
      <w:pPr>
        <w:pStyle w:val="Text1"/>
        <w:jc w:val="right"/>
        <w:rPr>
          <w:noProof/>
        </w:rPr>
      </w:pPr>
    </w:p>
    <w:p w14:paraId="7ADB04A4" w14:textId="77777777" w:rsidR="0053777C" w:rsidRDefault="00C45D17" w:rsidP="00C45D17">
      <w:pPr>
        <w:pStyle w:val="Point1"/>
        <w:rPr>
          <w:noProof/>
        </w:rPr>
      </w:pPr>
      <w:r w:rsidRPr="00C45D17">
        <w:rPr>
          <w:noProof/>
        </w:rPr>
        <w:t>(e)</w:t>
      </w:r>
      <w:r w:rsidRPr="00C45D17">
        <w:rPr>
          <w:noProof/>
        </w:rPr>
        <w:tab/>
      </w:r>
      <w:r w:rsidR="0081243F">
        <w:rPr>
          <w:noProof/>
        </w:rPr>
        <w:t xml:space="preserve">in </w:t>
      </w:r>
      <w:r w:rsidR="0053777C">
        <w:rPr>
          <w:noProof/>
        </w:rPr>
        <w:t>policy objective 4</w:t>
      </w:r>
      <w:r w:rsidR="0081243F">
        <w:rPr>
          <w:noProof/>
        </w:rPr>
        <w:t xml:space="preserve">, </w:t>
      </w:r>
      <w:r w:rsidR="00CF6C01">
        <w:rPr>
          <w:noProof/>
        </w:rPr>
        <w:t xml:space="preserve">the </w:t>
      </w:r>
      <w:r w:rsidR="0081243F">
        <w:rPr>
          <w:noProof/>
        </w:rPr>
        <w:t>following row is added</w:t>
      </w:r>
      <w:r w:rsidR="0053777C">
        <w:rPr>
          <w:noProof/>
        </w:rPr>
        <w:t>:</w:t>
      </w:r>
    </w:p>
    <w:p w14:paraId="3F4E0B61" w14:textId="77777777" w:rsidR="0053777C" w:rsidRDefault="0053777C" w:rsidP="0053777C">
      <w:pPr>
        <w:pStyle w:val="Text1"/>
        <w:spacing w:line="276" w:lineRule="auto"/>
        <w:rPr>
          <w:noProof/>
        </w:rPr>
      </w:pPr>
    </w:p>
    <w:tbl>
      <w:tblPr>
        <w:tblW w:w="4399" w:type="pct"/>
        <w:tblInd w:w="11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97"/>
        <w:gridCol w:w="2312"/>
        <w:gridCol w:w="1845"/>
        <w:gridCol w:w="1944"/>
      </w:tblGrid>
      <w:tr w:rsidR="0053777C" w:rsidRPr="00781705" w14:paraId="7FDC710A" w14:textId="77777777" w:rsidTr="4D8CB314">
        <w:tc>
          <w:tcPr>
            <w:tcW w:w="1208" w:type="pct"/>
            <w:tcBorders>
              <w:top w:val="outset" w:sz="8" w:space="0" w:color="auto"/>
              <w:left w:val="outset" w:sz="8" w:space="0" w:color="auto"/>
              <w:bottom w:val="outset" w:sz="8" w:space="0" w:color="auto"/>
              <w:right w:val="outset" w:sz="8" w:space="0" w:color="auto"/>
            </w:tcBorders>
            <w:shd w:val="clear" w:color="auto" w:fill="FFFFFF" w:themeFill="background1"/>
            <w:hideMark/>
          </w:tcPr>
          <w:p w14:paraId="30174F32" w14:textId="77777777" w:rsidR="0053777C" w:rsidRPr="00781705" w:rsidRDefault="0053777C">
            <w:pPr>
              <w:pStyle w:val="Text1"/>
              <w:spacing w:line="276" w:lineRule="auto"/>
              <w:rPr>
                <w:noProof/>
              </w:rPr>
            </w:pPr>
          </w:p>
        </w:tc>
        <w:tc>
          <w:tcPr>
            <w:tcW w:w="146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9460B88" w14:textId="77777777" w:rsidR="0053777C" w:rsidRPr="00781705" w:rsidRDefault="13C741C9" w:rsidP="4D8CB314">
            <w:pPr>
              <w:pStyle w:val="Text1"/>
              <w:spacing w:before="0" w:after="0"/>
              <w:ind w:left="69"/>
              <w:jc w:val="left"/>
              <w:rPr>
                <w:rFonts w:ascii="Calibri" w:hAnsi="Calibri" w:cs="Calibri"/>
                <w:noProof/>
                <w:sz w:val="22"/>
                <w:lang w:val="en-IE"/>
              </w:rPr>
            </w:pPr>
            <w:r w:rsidRPr="4D8CB314">
              <w:rPr>
                <w:noProof/>
              </w:rPr>
              <w:t>‘</w:t>
            </w:r>
            <w:r w:rsidR="0053777C" w:rsidRPr="4D8CB314">
              <w:rPr>
                <w:noProof/>
              </w:rPr>
              <w:t>(vii) promoting access to affordable housing, and related reforms</w:t>
            </w:r>
          </w:p>
        </w:tc>
        <w:tc>
          <w:tcPr>
            <w:tcW w:w="117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F351621" w14:textId="77777777" w:rsidR="0053777C" w:rsidRDefault="0053777C" w:rsidP="00192517">
            <w:pPr>
              <w:pStyle w:val="Text1"/>
              <w:spacing w:before="0" w:after="0"/>
              <w:ind w:left="69"/>
              <w:jc w:val="left"/>
              <w:rPr>
                <w:noProof/>
                <w:lang w:val="en-IE"/>
              </w:rPr>
            </w:pPr>
            <w:r w:rsidRPr="009305E3">
              <w:rPr>
                <w:noProof/>
                <w:lang w:val="en-IE"/>
              </w:rPr>
              <w:t>RCO18  Dwellings with improved energy performance – dwellings</w:t>
            </w:r>
          </w:p>
          <w:p w14:paraId="129ED2E6" w14:textId="77777777" w:rsidR="0053777C" w:rsidRPr="009305E3" w:rsidRDefault="0053777C" w:rsidP="00192517">
            <w:pPr>
              <w:pStyle w:val="Text1"/>
              <w:spacing w:before="0" w:after="0"/>
              <w:ind w:left="69"/>
              <w:jc w:val="left"/>
              <w:rPr>
                <w:noProof/>
                <w:lang w:val="en-IE"/>
              </w:rPr>
            </w:pPr>
            <w:r w:rsidRPr="4D8CB314">
              <w:rPr>
                <w:noProof/>
                <w:lang w:val="en-IE"/>
              </w:rPr>
              <w:t>RCO65  Capacity of new or modernised social</w:t>
            </w:r>
            <w:r w:rsidR="46300B05" w:rsidRPr="4D8CB314">
              <w:rPr>
                <w:noProof/>
                <w:lang w:val="en-IE"/>
              </w:rPr>
              <w:t>,</w:t>
            </w:r>
            <w:r w:rsidR="0377C1FE" w:rsidRPr="4D8CB314">
              <w:rPr>
                <w:noProof/>
                <w:lang w:val="en-IE"/>
              </w:rPr>
              <w:t xml:space="preserve"> affordable</w:t>
            </w:r>
            <w:r w:rsidR="2CD884FA" w:rsidRPr="4D8CB314">
              <w:rPr>
                <w:noProof/>
                <w:lang w:val="en-IE"/>
              </w:rPr>
              <w:t xml:space="preserve"> </w:t>
            </w:r>
            <w:r w:rsidR="0377C1FE" w:rsidRPr="4D8CB314">
              <w:rPr>
                <w:noProof/>
                <w:lang w:val="en-IE"/>
              </w:rPr>
              <w:t xml:space="preserve"> </w:t>
            </w:r>
            <w:r w:rsidRPr="4D8CB314">
              <w:rPr>
                <w:noProof/>
                <w:lang w:val="en-IE"/>
              </w:rPr>
              <w:t>housing - persons</w:t>
            </w:r>
          </w:p>
          <w:p w14:paraId="720D6C09" w14:textId="77777777" w:rsidR="0053777C" w:rsidRPr="005C2C98" w:rsidRDefault="0053777C" w:rsidP="00192517">
            <w:pPr>
              <w:pStyle w:val="Text1"/>
              <w:spacing w:before="0" w:after="0"/>
              <w:ind w:left="69"/>
              <w:jc w:val="left"/>
              <w:rPr>
                <w:noProof/>
                <w:lang w:val="en-IE"/>
              </w:rPr>
            </w:pPr>
            <w:r w:rsidRPr="653353E9">
              <w:rPr>
                <w:noProof/>
                <w:lang w:val="en-IE"/>
              </w:rPr>
              <w:t xml:space="preserve">RCO130 </w:t>
            </w:r>
            <w:r w:rsidR="142C471F" w:rsidRPr="653353E9">
              <w:rPr>
                <w:noProof/>
                <w:lang w:val="en-IE"/>
              </w:rPr>
              <w:t>Affordable</w:t>
            </w:r>
            <w:r w:rsidR="1AA018C4" w:rsidRPr="3E7D029C">
              <w:rPr>
                <w:noProof/>
                <w:lang w:val="en-IE"/>
              </w:rPr>
              <w:t xml:space="preserve"> </w:t>
            </w:r>
            <w:r w:rsidR="1AA018C4" w:rsidRPr="526B71BC">
              <w:rPr>
                <w:noProof/>
                <w:lang w:val="en-IE"/>
              </w:rPr>
              <w:t>and</w:t>
            </w:r>
            <w:r w:rsidR="142C471F" w:rsidRPr="653353E9">
              <w:rPr>
                <w:noProof/>
                <w:lang w:val="en-IE"/>
              </w:rPr>
              <w:t xml:space="preserve"> social </w:t>
            </w:r>
            <w:r w:rsidR="6200F693" w:rsidRPr="653353E9">
              <w:rPr>
                <w:noProof/>
                <w:lang w:val="en-IE"/>
              </w:rPr>
              <w:t>h</w:t>
            </w:r>
            <w:r w:rsidRPr="653353E9">
              <w:rPr>
                <w:noProof/>
                <w:lang w:val="en-IE"/>
              </w:rPr>
              <w:t>ousing related reforms - number</w:t>
            </w:r>
          </w:p>
        </w:tc>
        <w:tc>
          <w:tcPr>
            <w:tcW w:w="1150"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7F6951A" w14:textId="77777777" w:rsidR="0053777C" w:rsidRPr="009305E3" w:rsidRDefault="0053777C" w:rsidP="00192517">
            <w:pPr>
              <w:pStyle w:val="Text1"/>
              <w:spacing w:before="0" w:after="0"/>
              <w:ind w:left="69"/>
              <w:jc w:val="left"/>
              <w:rPr>
                <w:noProof/>
                <w:lang w:val="en-IE"/>
              </w:rPr>
            </w:pPr>
            <w:r w:rsidRPr="009305E3">
              <w:rPr>
                <w:noProof/>
                <w:lang w:val="en-IE"/>
              </w:rPr>
              <w:t>RCR26   Annual primary energy consumption (of which: dwellings, public buildings, enterprises, other) - MWh/year</w:t>
            </w:r>
          </w:p>
          <w:p w14:paraId="19C2B56E" w14:textId="77777777" w:rsidR="0053777C" w:rsidRPr="009305E3" w:rsidRDefault="0053777C" w:rsidP="00192517">
            <w:pPr>
              <w:pStyle w:val="Text1"/>
              <w:spacing w:before="0" w:after="0"/>
              <w:ind w:left="69"/>
              <w:jc w:val="left"/>
              <w:rPr>
                <w:noProof/>
                <w:lang w:val="en-IE"/>
              </w:rPr>
            </w:pPr>
            <w:r w:rsidRPr="009305E3">
              <w:rPr>
                <w:noProof/>
                <w:lang w:val="en-IE"/>
              </w:rPr>
              <w:t>RCR29   Estimated greenhouse emissions - tonnes CO</w:t>
            </w:r>
            <w:r w:rsidRPr="00D33D2F">
              <w:rPr>
                <w:noProof/>
                <w:vertAlign w:val="subscript"/>
                <w:lang w:val="en-IE"/>
              </w:rPr>
              <w:t xml:space="preserve">2 </w:t>
            </w:r>
            <w:r w:rsidRPr="009305E3">
              <w:rPr>
                <w:noProof/>
                <w:lang w:val="en-IE"/>
              </w:rPr>
              <w:t xml:space="preserve">eq./year </w:t>
            </w:r>
          </w:p>
          <w:p w14:paraId="5DB6EC2A" w14:textId="77777777" w:rsidR="0053777C" w:rsidRPr="009305E3" w:rsidRDefault="0053777C" w:rsidP="00192517">
            <w:pPr>
              <w:pStyle w:val="Text1"/>
              <w:spacing w:before="0" w:after="0"/>
              <w:ind w:left="69"/>
              <w:jc w:val="left"/>
              <w:rPr>
                <w:noProof/>
                <w:lang w:val="en-IE"/>
              </w:rPr>
            </w:pPr>
            <w:r w:rsidRPr="653353E9">
              <w:rPr>
                <w:noProof/>
                <w:lang w:val="en-IE"/>
              </w:rPr>
              <w:t xml:space="preserve">RCR67   Annual users of new or modernised </w:t>
            </w:r>
            <w:r w:rsidR="5995ED2F" w:rsidRPr="2989D5C3">
              <w:rPr>
                <w:noProof/>
                <w:lang w:val="en-IE"/>
              </w:rPr>
              <w:t>affordabl</w:t>
            </w:r>
            <w:r w:rsidR="58940D34" w:rsidRPr="2989D5C3">
              <w:rPr>
                <w:noProof/>
                <w:lang w:val="en-IE"/>
              </w:rPr>
              <w:t>e</w:t>
            </w:r>
            <w:r w:rsidR="3E062166" w:rsidRPr="653353E9">
              <w:rPr>
                <w:noProof/>
                <w:lang w:val="en-IE"/>
              </w:rPr>
              <w:t xml:space="preserve"> and </w:t>
            </w:r>
            <w:r w:rsidRPr="2989D5C3">
              <w:rPr>
                <w:noProof/>
                <w:lang w:val="en-IE"/>
              </w:rPr>
              <w:t>social</w:t>
            </w:r>
            <w:r w:rsidRPr="653353E9">
              <w:rPr>
                <w:noProof/>
                <w:lang w:val="en-IE"/>
              </w:rPr>
              <w:t xml:space="preserve"> housing - users/year</w:t>
            </w:r>
            <w:r w:rsidR="0AB01EFB" w:rsidRPr="653353E9">
              <w:rPr>
                <w:noProof/>
                <w:lang w:val="en-IE"/>
              </w:rPr>
              <w:t>’</w:t>
            </w:r>
          </w:p>
          <w:p w14:paraId="4D8EF1BB" w14:textId="77777777" w:rsidR="0053777C" w:rsidRPr="00781705" w:rsidRDefault="0053777C" w:rsidP="00192517">
            <w:pPr>
              <w:pStyle w:val="Text1"/>
              <w:spacing w:before="0" w:after="0"/>
              <w:ind w:left="69"/>
              <w:jc w:val="left"/>
              <w:rPr>
                <w:noProof/>
                <w:lang w:val="en-IE"/>
              </w:rPr>
            </w:pPr>
          </w:p>
        </w:tc>
      </w:tr>
    </w:tbl>
    <w:p w14:paraId="46E9923B" w14:textId="77777777" w:rsidR="0053777C" w:rsidRDefault="0053777C" w:rsidP="00192517">
      <w:pPr>
        <w:jc w:val="right"/>
        <w:rPr>
          <w:noProof/>
        </w:rPr>
      </w:pPr>
    </w:p>
    <w:p w14:paraId="099BB62E" w14:textId="77777777" w:rsidR="0053777C" w:rsidRDefault="00C45D17" w:rsidP="00C45D17">
      <w:pPr>
        <w:pStyle w:val="Point1"/>
        <w:rPr>
          <w:noProof/>
        </w:rPr>
      </w:pPr>
      <w:r w:rsidRPr="00C45D17">
        <w:rPr>
          <w:noProof/>
        </w:rPr>
        <w:t>(f)</w:t>
      </w:r>
      <w:r w:rsidRPr="00C45D17">
        <w:rPr>
          <w:noProof/>
        </w:rPr>
        <w:tab/>
      </w:r>
      <w:r w:rsidR="00D5131B">
        <w:rPr>
          <w:noProof/>
        </w:rPr>
        <w:t xml:space="preserve">in </w:t>
      </w:r>
      <w:r w:rsidR="0053777C">
        <w:rPr>
          <w:noProof/>
        </w:rPr>
        <w:t>policy objective 5</w:t>
      </w:r>
      <w:r w:rsidR="00D5131B">
        <w:rPr>
          <w:noProof/>
        </w:rPr>
        <w:t xml:space="preserve">, </w:t>
      </w:r>
      <w:r w:rsidR="00CF6C01">
        <w:rPr>
          <w:noProof/>
        </w:rPr>
        <w:t xml:space="preserve">the </w:t>
      </w:r>
      <w:r w:rsidR="00D5131B">
        <w:rPr>
          <w:noProof/>
        </w:rPr>
        <w:t>following row is added</w:t>
      </w:r>
      <w:r w:rsidR="0053777C">
        <w:rPr>
          <w:noProof/>
        </w:rPr>
        <w:t>:</w:t>
      </w:r>
    </w:p>
    <w:p w14:paraId="35A8C6E6" w14:textId="77777777" w:rsidR="0053777C" w:rsidRDefault="0053777C" w:rsidP="0053777C">
      <w:pPr>
        <w:pStyle w:val="Text1"/>
        <w:rPr>
          <w:noProof/>
        </w:rPr>
      </w:pPr>
    </w:p>
    <w:tbl>
      <w:tblPr>
        <w:tblW w:w="4399" w:type="pct"/>
        <w:tblInd w:w="11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97"/>
        <w:gridCol w:w="2312"/>
        <w:gridCol w:w="1845"/>
        <w:gridCol w:w="1944"/>
      </w:tblGrid>
      <w:tr w:rsidR="0053777C" w:rsidRPr="00781705" w14:paraId="701ED731" w14:textId="77777777" w:rsidTr="4D8CB314">
        <w:tc>
          <w:tcPr>
            <w:tcW w:w="1208" w:type="pct"/>
            <w:tcBorders>
              <w:top w:val="outset" w:sz="8" w:space="0" w:color="auto"/>
              <w:left w:val="outset" w:sz="8" w:space="0" w:color="auto"/>
              <w:bottom w:val="outset" w:sz="8" w:space="0" w:color="auto"/>
              <w:right w:val="outset" w:sz="8" w:space="0" w:color="auto"/>
            </w:tcBorders>
            <w:shd w:val="clear" w:color="auto" w:fill="FFFFFF" w:themeFill="background1"/>
            <w:hideMark/>
          </w:tcPr>
          <w:p w14:paraId="26E32446" w14:textId="77777777" w:rsidR="0053777C" w:rsidRPr="00781705" w:rsidRDefault="0053777C">
            <w:pPr>
              <w:pStyle w:val="Text1"/>
              <w:spacing w:line="276" w:lineRule="auto"/>
              <w:rPr>
                <w:noProof/>
              </w:rPr>
            </w:pPr>
          </w:p>
        </w:tc>
        <w:tc>
          <w:tcPr>
            <w:tcW w:w="146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2F3462D" w14:textId="77777777" w:rsidR="0053777C" w:rsidRPr="00781705" w:rsidRDefault="0053777C" w:rsidP="4D8CB314">
            <w:pPr>
              <w:pStyle w:val="Text1"/>
              <w:spacing w:before="0" w:after="0"/>
              <w:ind w:left="69"/>
              <w:jc w:val="left"/>
              <w:rPr>
                <w:rFonts w:ascii="Calibri" w:hAnsi="Calibri" w:cs="Calibri"/>
                <w:noProof/>
                <w:sz w:val="22"/>
                <w:lang w:val="en-IE"/>
              </w:rPr>
            </w:pPr>
            <w:r w:rsidRPr="4D8CB314">
              <w:rPr>
                <w:noProof/>
              </w:rPr>
              <w:t>(iii) fostering integrated territorial development, through access to affordable housing, and the development of related reforms in all types of territories</w:t>
            </w:r>
          </w:p>
        </w:tc>
        <w:tc>
          <w:tcPr>
            <w:tcW w:w="117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9D827C0" w14:textId="77777777" w:rsidR="0053777C" w:rsidRDefault="0053777C" w:rsidP="00192517">
            <w:pPr>
              <w:pStyle w:val="Text1"/>
              <w:spacing w:before="0" w:after="0"/>
              <w:ind w:left="69"/>
              <w:jc w:val="left"/>
              <w:rPr>
                <w:noProof/>
                <w:lang w:val="en-IE"/>
              </w:rPr>
            </w:pPr>
            <w:r w:rsidRPr="009305E3">
              <w:rPr>
                <w:noProof/>
                <w:lang w:val="en-IE"/>
              </w:rPr>
              <w:t>RCO18  Dwellings with improved energy performance – dwellings</w:t>
            </w:r>
          </w:p>
          <w:p w14:paraId="7479F73E" w14:textId="77777777" w:rsidR="0053777C" w:rsidRPr="009305E3" w:rsidRDefault="0053777C" w:rsidP="00192517">
            <w:pPr>
              <w:pStyle w:val="Text1"/>
              <w:spacing w:before="0" w:after="0"/>
              <w:ind w:left="69"/>
              <w:jc w:val="left"/>
              <w:rPr>
                <w:noProof/>
                <w:lang w:val="en-IE"/>
              </w:rPr>
            </w:pPr>
            <w:r w:rsidRPr="4D8CB314">
              <w:rPr>
                <w:noProof/>
                <w:lang w:val="en-IE"/>
              </w:rPr>
              <w:t xml:space="preserve">RCO65  Capacity of new or modernised </w:t>
            </w:r>
            <w:r w:rsidR="0377C1FE" w:rsidRPr="4D8CB314">
              <w:rPr>
                <w:noProof/>
                <w:lang w:val="en-IE"/>
              </w:rPr>
              <w:t>affordable</w:t>
            </w:r>
            <w:r w:rsidR="6153CD9C" w:rsidRPr="4D8CB314">
              <w:rPr>
                <w:noProof/>
                <w:lang w:val="en-IE"/>
              </w:rPr>
              <w:t>,</w:t>
            </w:r>
            <w:r w:rsidR="0377C1FE" w:rsidRPr="4D8CB314">
              <w:rPr>
                <w:noProof/>
                <w:lang w:val="en-IE"/>
              </w:rPr>
              <w:t xml:space="preserve"> </w:t>
            </w:r>
            <w:r w:rsidR="4EDF0EB9" w:rsidRPr="497342F4">
              <w:rPr>
                <w:noProof/>
                <w:lang w:val="en-IE"/>
              </w:rPr>
              <w:t xml:space="preserve">and </w:t>
            </w:r>
            <w:r w:rsidRPr="497342F4">
              <w:rPr>
                <w:noProof/>
                <w:lang w:val="en-IE"/>
              </w:rPr>
              <w:t>social</w:t>
            </w:r>
            <w:r w:rsidRPr="4D8CB314">
              <w:rPr>
                <w:noProof/>
                <w:lang w:val="en-IE"/>
              </w:rPr>
              <w:t xml:space="preserve"> housing - persons</w:t>
            </w:r>
          </w:p>
          <w:p w14:paraId="060F0787" w14:textId="77777777" w:rsidR="0053777C" w:rsidRPr="005C2C98" w:rsidRDefault="0053777C" w:rsidP="00192517">
            <w:pPr>
              <w:pStyle w:val="Text1"/>
              <w:spacing w:before="0" w:after="0"/>
              <w:ind w:left="69"/>
              <w:jc w:val="left"/>
              <w:rPr>
                <w:noProof/>
                <w:lang w:val="en-IE"/>
              </w:rPr>
            </w:pPr>
            <w:r w:rsidRPr="653353E9">
              <w:rPr>
                <w:noProof/>
                <w:lang w:val="en-IE"/>
              </w:rPr>
              <w:t xml:space="preserve">RCO130 </w:t>
            </w:r>
            <w:r w:rsidR="785288B5" w:rsidRPr="653353E9">
              <w:rPr>
                <w:noProof/>
                <w:lang w:val="en-IE"/>
              </w:rPr>
              <w:t>Affordable</w:t>
            </w:r>
            <w:r w:rsidR="6CB80236" w:rsidRPr="2FF455BD">
              <w:rPr>
                <w:noProof/>
                <w:lang w:val="en-IE"/>
              </w:rPr>
              <w:t xml:space="preserve"> and</w:t>
            </w:r>
            <w:r w:rsidR="785288B5" w:rsidRPr="653353E9">
              <w:rPr>
                <w:noProof/>
                <w:lang w:val="en-IE"/>
              </w:rPr>
              <w:t xml:space="preserve"> social </w:t>
            </w:r>
            <w:r w:rsidRPr="469FE37A">
              <w:rPr>
                <w:noProof/>
                <w:lang w:val="en-IE"/>
              </w:rPr>
              <w:t>ousing</w:t>
            </w:r>
            <w:r w:rsidRPr="653353E9">
              <w:rPr>
                <w:noProof/>
                <w:lang w:val="en-IE"/>
              </w:rPr>
              <w:t xml:space="preserve"> related reforms - number</w:t>
            </w:r>
          </w:p>
        </w:tc>
        <w:tc>
          <w:tcPr>
            <w:tcW w:w="1150"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9A07F38" w14:textId="77777777" w:rsidR="0053777C" w:rsidRPr="009305E3" w:rsidRDefault="0053777C" w:rsidP="00192517">
            <w:pPr>
              <w:pStyle w:val="Text1"/>
              <w:spacing w:before="0" w:after="0"/>
              <w:ind w:left="69"/>
              <w:jc w:val="left"/>
              <w:rPr>
                <w:noProof/>
                <w:lang w:val="en-IE"/>
              </w:rPr>
            </w:pPr>
            <w:r w:rsidRPr="009305E3">
              <w:rPr>
                <w:noProof/>
                <w:lang w:val="en-IE"/>
              </w:rPr>
              <w:t>RCR26   Annual primary energy consumption (of which: dwellings, public buildings, enterprises, other) - MWh/year</w:t>
            </w:r>
          </w:p>
          <w:p w14:paraId="6D3D2B28" w14:textId="77777777" w:rsidR="0053777C" w:rsidRPr="009305E3" w:rsidRDefault="0053777C" w:rsidP="00192517">
            <w:pPr>
              <w:pStyle w:val="Text1"/>
              <w:spacing w:before="0" w:after="0"/>
              <w:ind w:left="69"/>
              <w:jc w:val="left"/>
              <w:rPr>
                <w:noProof/>
                <w:lang w:val="en-IE"/>
              </w:rPr>
            </w:pPr>
            <w:r w:rsidRPr="009305E3">
              <w:rPr>
                <w:noProof/>
                <w:lang w:val="en-IE"/>
              </w:rPr>
              <w:t>RCR29   Estimated greenhouse emissions - tonnes CO</w:t>
            </w:r>
            <w:r w:rsidRPr="00D33D2F">
              <w:rPr>
                <w:noProof/>
                <w:vertAlign w:val="subscript"/>
                <w:lang w:val="en-IE"/>
              </w:rPr>
              <w:t xml:space="preserve">2 </w:t>
            </w:r>
            <w:r w:rsidRPr="009305E3">
              <w:rPr>
                <w:noProof/>
                <w:lang w:val="en-IE"/>
              </w:rPr>
              <w:t xml:space="preserve">eq./year </w:t>
            </w:r>
          </w:p>
          <w:p w14:paraId="5EAD96FD" w14:textId="77777777" w:rsidR="0053777C" w:rsidRPr="009305E3" w:rsidRDefault="0053777C" w:rsidP="00192517">
            <w:pPr>
              <w:pStyle w:val="Text1"/>
              <w:spacing w:before="0" w:after="0"/>
              <w:ind w:left="69"/>
              <w:jc w:val="left"/>
              <w:rPr>
                <w:noProof/>
                <w:lang w:val="en-IE"/>
              </w:rPr>
            </w:pPr>
            <w:r w:rsidRPr="653353E9">
              <w:rPr>
                <w:noProof/>
                <w:lang w:val="en-IE"/>
              </w:rPr>
              <w:t xml:space="preserve">RCR67   Annual users of new or modernised </w:t>
            </w:r>
            <w:r w:rsidR="213246A7" w:rsidRPr="653353E9">
              <w:rPr>
                <w:noProof/>
                <w:lang w:val="en-IE"/>
              </w:rPr>
              <w:t>affordable</w:t>
            </w:r>
            <w:r w:rsidR="46608A16" w:rsidRPr="4264E3A7">
              <w:rPr>
                <w:noProof/>
                <w:lang w:val="en-IE"/>
              </w:rPr>
              <w:t xml:space="preserve"> </w:t>
            </w:r>
            <w:r w:rsidR="46608A16" w:rsidRPr="0FFF840E">
              <w:rPr>
                <w:noProof/>
                <w:lang w:val="en-IE"/>
              </w:rPr>
              <w:t xml:space="preserve">and </w:t>
            </w:r>
            <w:r w:rsidRPr="653353E9">
              <w:rPr>
                <w:noProof/>
                <w:lang w:val="en-IE"/>
              </w:rPr>
              <w:t>social</w:t>
            </w:r>
            <w:r w:rsidR="09042785" w:rsidRPr="653353E9">
              <w:rPr>
                <w:noProof/>
                <w:lang w:val="en-IE"/>
              </w:rPr>
              <w:t xml:space="preserve"> </w:t>
            </w:r>
            <w:r w:rsidRPr="653353E9">
              <w:rPr>
                <w:noProof/>
                <w:lang w:val="en-IE"/>
              </w:rPr>
              <w:t>housing - users/year</w:t>
            </w:r>
            <w:r w:rsidR="05252978" w:rsidRPr="653353E9">
              <w:rPr>
                <w:noProof/>
                <w:lang w:val="en-IE"/>
              </w:rPr>
              <w:t>’</w:t>
            </w:r>
          </w:p>
          <w:p w14:paraId="448652AF" w14:textId="77777777" w:rsidR="0053777C" w:rsidRPr="00781705" w:rsidRDefault="0053777C" w:rsidP="00192517">
            <w:pPr>
              <w:pStyle w:val="Text1"/>
              <w:spacing w:before="0" w:after="0"/>
              <w:ind w:left="69"/>
              <w:jc w:val="left"/>
              <w:rPr>
                <w:noProof/>
                <w:lang w:val="en-IE"/>
              </w:rPr>
            </w:pPr>
          </w:p>
        </w:tc>
      </w:tr>
      <w:bookmarkEnd w:id="41"/>
    </w:tbl>
    <w:p w14:paraId="6A3267E9" w14:textId="77777777" w:rsidR="0053777C" w:rsidRPr="00131504" w:rsidRDefault="0053777C" w:rsidP="0053777C">
      <w:pPr>
        <w:pStyle w:val="Text1"/>
        <w:spacing w:line="276" w:lineRule="auto"/>
        <w:ind w:left="0"/>
        <w:jc w:val="right"/>
        <w:rPr>
          <w:noProof/>
        </w:rPr>
      </w:pPr>
    </w:p>
    <w:p w14:paraId="2AC95240" w14:textId="77777777" w:rsidR="0001385B" w:rsidRPr="00131504" w:rsidRDefault="0001385B" w:rsidP="0001385B">
      <w:pPr>
        <w:pStyle w:val="Titrearticle"/>
        <w:spacing w:line="276" w:lineRule="auto"/>
        <w:rPr>
          <w:noProof/>
        </w:rPr>
      </w:pPr>
      <w:bookmarkStart w:id="56" w:name="_Hlk193349779"/>
      <w:r w:rsidRPr="00131504">
        <w:rPr>
          <w:noProof/>
        </w:rPr>
        <w:t>Article 2</w:t>
      </w:r>
    </w:p>
    <w:p w14:paraId="08653DB7" w14:textId="77777777" w:rsidR="0001385B" w:rsidRPr="00131504" w:rsidRDefault="0001385B" w:rsidP="0001385B">
      <w:pPr>
        <w:spacing w:line="276" w:lineRule="auto"/>
        <w:rPr>
          <w:noProof/>
        </w:rPr>
      </w:pPr>
      <w:r w:rsidRPr="00131504">
        <w:rPr>
          <w:noProof/>
        </w:rPr>
        <w:t>Regulation (EU) 2021/1056 is amended as follows:</w:t>
      </w:r>
    </w:p>
    <w:bookmarkEnd w:id="56"/>
    <w:p w14:paraId="2EFD4E81" w14:textId="77777777" w:rsidR="0001385B" w:rsidRPr="00131504" w:rsidRDefault="00C45D17" w:rsidP="00C45D17">
      <w:pPr>
        <w:pStyle w:val="Point0"/>
        <w:rPr>
          <w:noProof/>
        </w:rPr>
      </w:pPr>
      <w:r w:rsidRPr="00C45D17">
        <w:rPr>
          <w:noProof/>
        </w:rPr>
        <w:t>(1)</w:t>
      </w:r>
      <w:r w:rsidRPr="00C45D17">
        <w:rPr>
          <w:noProof/>
        </w:rPr>
        <w:tab/>
      </w:r>
      <w:r w:rsidR="0001385B" w:rsidRPr="00131504">
        <w:rPr>
          <w:noProof/>
        </w:rPr>
        <w:t>Article 8(2) is amended as follows:</w:t>
      </w:r>
    </w:p>
    <w:p w14:paraId="46B9671B" w14:textId="77777777" w:rsidR="0001385B" w:rsidRPr="00131504" w:rsidRDefault="00C45D17" w:rsidP="00C45D17">
      <w:pPr>
        <w:pStyle w:val="Point1"/>
        <w:rPr>
          <w:noProof/>
        </w:rPr>
      </w:pPr>
      <w:r w:rsidRPr="00C45D17">
        <w:rPr>
          <w:noProof/>
        </w:rPr>
        <w:t>(a)</w:t>
      </w:r>
      <w:r w:rsidRPr="00C45D17">
        <w:rPr>
          <w:noProof/>
        </w:rPr>
        <w:tab/>
      </w:r>
      <w:r w:rsidR="00811BBC">
        <w:rPr>
          <w:noProof/>
        </w:rPr>
        <w:t xml:space="preserve">in the first subparagraph, </w:t>
      </w:r>
      <w:r w:rsidR="0001385B" w:rsidRPr="00131504">
        <w:rPr>
          <w:noProof/>
        </w:rPr>
        <w:t xml:space="preserve">the following point </w:t>
      </w:r>
      <w:r w:rsidR="003D7FCB">
        <w:rPr>
          <w:noProof/>
        </w:rPr>
        <w:t xml:space="preserve">(p) </w:t>
      </w:r>
      <w:r w:rsidR="0001385B" w:rsidRPr="00131504">
        <w:rPr>
          <w:noProof/>
        </w:rPr>
        <w:t>is added:</w:t>
      </w:r>
    </w:p>
    <w:p w14:paraId="51B55225" w14:textId="77777777" w:rsidR="0001385B" w:rsidRPr="00131504" w:rsidRDefault="375C77E2" w:rsidP="009F2519">
      <w:pPr>
        <w:pStyle w:val="Text2"/>
        <w:rPr>
          <w:noProof/>
        </w:rPr>
      </w:pPr>
      <w:bookmarkStart w:id="57" w:name="_Hlk193058675"/>
      <w:r>
        <w:rPr>
          <w:noProof/>
        </w:rPr>
        <w:t>‘</w:t>
      </w:r>
      <w:r w:rsidR="02CD95DC">
        <w:rPr>
          <w:noProof/>
        </w:rPr>
        <w:t>(p) promoting access to affordable housing, and related reforms</w:t>
      </w:r>
      <w:bookmarkEnd w:id="57"/>
      <w:r w:rsidR="02CD95DC">
        <w:rPr>
          <w:noProof/>
        </w:rPr>
        <w:t>.</w:t>
      </w:r>
      <w:r w:rsidR="31948489">
        <w:rPr>
          <w:noProof/>
        </w:rPr>
        <w:t>’</w:t>
      </w:r>
      <w:r w:rsidR="6010B37E">
        <w:rPr>
          <w:noProof/>
        </w:rPr>
        <w:t>;</w:t>
      </w:r>
    </w:p>
    <w:p w14:paraId="341D3F64" w14:textId="77777777" w:rsidR="0001385B" w:rsidRPr="00131504" w:rsidRDefault="00C45D17" w:rsidP="00C45D17">
      <w:pPr>
        <w:pStyle w:val="Point1"/>
        <w:rPr>
          <w:noProof/>
        </w:rPr>
      </w:pPr>
      <w:r w:rsidRPr="00C45D17">
        <w:rPr>
          <w:noProof/>
        </w:rPr>
        <w:t>(b)</w:t>
      </w:r>
      <w:r w:rsidRPr="00C45D17">
        <w:rPr>
          <w:noProof/>
        </w:rPr>
        <w:tab/>
      </w:r>
      <w:r w:rsidR="0001385B" w:rsidRPr="00131504">
        <w:rPr>
          <w:noProof/>
        </w:rPr>
        <w:t xml:space="preserve">the </w:t>
      </w:r>
      <w:r w:rsidR="00811BBC">
        <w:rPr>
          <w:noProof/>
        </w:rPr>
        <w:t>fourth</w:t>
      </w:r>
      <w:r w:rsidR="00811BBC" w:rsidRPr="00131504">
        <w:rPr>
          <w:noProof/>
        </w:rPr>
        <w:t xml:space="preserve"> </w:t>
      </w:r>
      <w:r w:rsidR="0001385B" w:rsidRPr="00131504">
        <w:rPr>
          <w:noProof/>
        </w:rPr>
        <w:t>subparagraph is replaced by the following:</w:t>
      </w:r>
    </w:p>
    <w:p w14:paraId="6115B305" w14:textId="77777777" w:rsidR="0001385B" w:rsidRPr="00131504" w:rsidRDefault="00676DBE" w:rsidP="009F2519">
      <w:pPr>
        <w:pStyle w:val="Text2"/>
        <w:rPr>
          <w:noProof/>
        </w:rPr>
      </w:pPr>
      <w:bookmarkStart w:id="58" w:name="_Hlk193059012"/>
      <w:r>
        <w:rPr>
          <w:noProof/>
        </w:rPr>
        <w:t>‘</w:t>
      </w:r>
      <w:r w:rsidR="0001385B" w:rsidRPr="00131504">
        <w:rPr>
          <w:noProof/>
        </w:rPr>
        <w:t>The JTF may also support productive investments in enterprises other than SMEs, while preserving a focus on SMEs, irrespective of whether the gap analysis was carried out in accordance with Article 11(2)</w:t>
      </w:r>
      <w:r w:rsidR="00DA5DCF">
        <w:rPr>
          <w:noProof/>
        </w:rPr>
        <w:t>,</w:t>
      </w:r>
      <w:r w:rsidR="0001385B" w:rsidRPr="00131504">
        <w:rPr>
          <w:noProof/>
        </w:rPr>
        <w:t xml:space="preserve"> </w:t>
      </w:r>
      <w:r w:rsidR="00DA5DCF" w:rsidRPr="00131504">
        <w:rPr>
          <w:noProof/>
        </w:rPr>
        <w:t>point (h)</w:t>
      </w:r>
      <w:r w:rsidR="00DA5DCF">
        <w:rPr>
          <w:noProof/>
        </w:rPr>
        <w:t>,</w:t>
      </w:r>
      <w:r w:rsidR="0001385B" w:rsidRPr="00131504">
        <w:rPr>
          <w:noProof/>
        </w:rPr>
        <w:t xml:space="preserve"> of this Regulation and irrespective of its outcome</w:t>
      </w:r>
      <w:r>
        <w:rPr>
          <w:noProof/>
        </w:rPr>
        <w:t>.</w:t>
      </w:r>
      <w:r w:rsidR="0001385B" w:rsidRPr="00131504">
        <w:rPr>
          <w:noProof/>
        </w:rPr>
        <w:t xml:space="preserve"> Such investments shall only be eligible where they do not lead to relocation as defined in Article 2</w:t>
      </w:r>
      <w:r w:rsidR="005066E6">
        <w:rPr>
          <w:noProof/>
        </w:rPr>
        <w:t>,</w:t>
      </w:r>
      <w:r w:rsidR="0001385B" w:rsidRPr="00131504">
        <w:rPr>
          <w:noProof/>
        </w:rPr>
        <w:t xml:space="preserve"> </w:t>
      </w:r>
      <w:r w:rsidR="005066E6" w:rsidRPr="00131504">
        <w:rPr>
          <w:noProof/>
        </w:rPr>
        <w:t>point (27)</w:t>
      </w:r>
      <w:r w:rsidR="005066E6">
        <w:rPr>
          <w:noProof/>
        </w:rPr>
        <w:t>,</w:t>
      </w:r>
      <w:r w:rsidR="0001385B" w:rsidRPr="00131504">
        <w:rPr>
          <w:noProof/>
        </w:rPr>
        <w:t xml:space="preserve"> of Regulation (EU) 2021/1060. The provision of such support shall not require a revision of the territorial just transition plan where that revision would be exclusively linked to the gap analysis. Apprenticeships and jobs, education or training for new skills shall be considered in the selection process.</w:t>
      </w:r>
      <w:r w:rsidR="008353A5">
        <w:rPr>
          <w:noProof/>
        </w:rPr>
        <w:t>’</w:t>
      </w:r>
      <w:r w:rsidR="0035015D">
        <w:rPr>
          <w:noProof/>
        </w:rPr>
        <w:t>;</w:t>
      </w:r>
    </w:p>
    <w:bookmarkEnd w:id="58"/>
    <w:p w14:paraId="1881C2E6" w14:textId="77777777" w:rsidR="0001385B" w:rsidRPr="00131504" w:rsidRDefault="00C45D17" w:rsidP="00C45D17">
      <w:pPr>
        <w:pStyle w:val="Point1"/>
        <w:rPr>
          <w:noProof/>
        </w:rPr>
      </w:pPr>
      <w:r w:rsidRPr="00C45D17">
        <w:rPr>
          <w:noProof/>
        </w:rPr>
        <w:t>(c)</w:t>
      </w:r>
      <w:r w:rsidRPr="00C45D17">
        <w:rPr>
          <w:noProof/>
        </w:rPr>
        <w:tab/>
      </w:r>
      <w:r w:rsidR="0001385B" w:rsidRPr="00131504">
        <w:rPr>
          <w:noProof/>
        </w:rPr>
        <w:t>the following subparagraph is added:</w:t>
      </w:r>
    </w:p>
    <w:p w14:paraId="451EC39A" w14:textId="77777777" w:rsidR="0001385B" w:rsidRPr="00131504" w:rsidRDefault="008353A5" w:rsidP="009F2519">
      <w:pPr>
        <w:pStyle w:val="Text2"/>
        <w:rPr>
          <w:noProof/>
        </w:rPr>
      </w:pPr>
      <w:bookmarkStart w:id="59" w:name="_Hlk193059231"/>
      <w:r>
        <w:rPr>
          <w:noProof/>
        </w:rPr>
        <w:t>‘</w:t>
      </w:r>
      <w:r w:rsidR="0001385B">
        <w:rPr>
          <w:noProof/>
        </w:rPr>
        <w:t>For operations attributed a Seal of Excellence as defined in Article 2</w:t>
      </w:r>
      <w:r w:rsidR="008A53E2">
        <w:rPr>
          <w:noProof/>
        </w:rPr>
        <w:t xml:space="preserve">, point </w:t>
      </w:r>
      <w:r w:rsidR="0001385B">
        <w:rPr>
          <w:noProof/>
        </w:rPr>
        <w:t>(45)</w:t>
      </w:r>
      <w:r w:rsidR="008A53E2">
        <w:rPr>
          <w:noProof/>
        </w:rPr>
        <w:t>,</w:t>
      </w:r>
      <w:r w:rsidR="0001385B">
        <w:rPr>
          <w:noProof/>
        </w:rPr>
        <w:t xml:space="preserve"> of Regulation (EU) 2021/1060</w:t>
      </w:r>
      <w:r w:rsidR="5485C5A3">
        <w:rPr>
          <w:noProof/>
        </w:rPr>
        <w:t xml:space="preserve"> and </w:t>
      </w:r>
      <w:r w:rsidR="0001385B">
        <w:rPr>
          <w:noProof/>
        </w:rPr>
        <w:t xml:space="preserve"> </w:t>
      </w:r>
      <w:r w:rsidR="6F11076D" w:rsidRPr="7FCAE1A7">
        <w:rPr>
          <w:rFonts w:eastAsia="Times New Roman"/>
          <w:noProof/>
        </w:rPr>
        <w:t>for projects directly participating in an Important Project of Common European Interest approved by the Commission pursuant to Article 107(3), point (b) TFEU</w:t>
      </w:r>
      <w:r w:rsidR="2FB84BEC" w:rsidRPr="2D9EFDC1">
        <w:rPr>
          <w:rFonts w:eastAsia="Times New Roman"/>
          <w:noProof/>
        </w:rPr>
        <w:t xml:space="preserve"> and to Communication C</w:t>
      </w:r>
      <w:r w:rsidR="007276F3">
        <w:rPr>
          <w:rFonts w:eastAsia="Times New Roman"/>
          <w:noProof/>
        </w:rPr>
        <w:t>(</w:t>
      </w:r>
      <w:r w:rsidR="2FB84BEC" w:rsidRPr="2D9EFDC1">
        <w:rPr>
          <w:rFonts w:eastAsia="Times New Roman"/>
          <w:noProof/>
        </w:rPr>
        <w:t>2021</w:t>
      </w:r>
      <w:r w:rsidR="007276F3">
        <w:rPr>
          <w:rFonts w:eastAsia="Times New Roman"/>
          <w:noProof/>
        </w:rPr>
        <w:t>) </w:t>
      </w:r>
      <w:r w:rsidR="2FB84BEC" w:rsidRPr="2D9EFDC1">
        <w:rPr>
          <w:rFonts w:eastAsia="Times New Roman"/>
          <w:noProof/>
        </w:rPr>
        <w:t>848</w:t>
      </w:r>
      <w:r w:rsidR="0001385B" w:rsidRPr="7FCAE1A7">
        <w:rPr>
          <w:rFonts w:eastAsia="Times New Roman"/>
          <w:noProof/>
        </w:rPr>
        <w:t>,</w:t>
      </w:r>
      <w:r w:rsidR="0001385B">
        <w:rPr>
          <w:noProof/>
        </w:rPr>
        <w:t xml:space="preserve"> the managing authority may decide to grant support from the JTF directly, provided that such operations contribute to the specific objective as set out in Article 2 </w:t>
      </w:r>
      <w:r w:rsidR="008A53E2">
        <w:rPr>
          <w:noProof/>
        </w:rPr>
        <w:t xml:space="preserve">of this Regulation </w:t>
      </w:r>
      <w:r w:rsidR="0001385B">
        <w:rPr>
          <w:noProof/>
        </w:rPr>
        <w:t>and contribute to the implementation of the territorial just transition plans</w:t>
      </w:r>
      <w:bookmarkEnd w:id="59"/>
      <w:r w:rsidR="0001385B">
        <w:rPr>
          <w:noProof/>
        </w:rPr>
        <w:t>.</w:t>
      </w:r>
      <w:r w:rsidR="008B7675">
        <w:rPr>
          <w:noProof/>
        </w:rPr>
        <w:t>’</w:t>
      </w:r>
      <w:r w:rsidR="007276F3">
        <w:rPr>
          <w:noProof/>
        </w:rPr>
        <w:t>.</w:t>
      </w:r>
    </w:p>
    <w:p w14:paraId="4842C0D0" w14:textId="77777777" w:rsidR="0001385B" w:rsidRPr="00131504" w:rsidRDefault="00C45D17" w:rsidP="00C45D17">
      <w:pPr>
        <w:pStyle w:val="Point0"/>
        <w:rPr>
          <w:noProof/>
        </w:rPr>
      </w:pPr>
      <w:bookmarkStart w:id="60" w:name="_Hlk190701300"/>
      <w:r w:rsidRPr="00C45D17">
        <w:rPr>
          <w:noProof/>
        </w:rPr>
        <w:t>(2)</w:t>
      </w:r>
      <w:r w:rsidRPr="00C45D17">
        <w:rPr>
          <w:noProof/>
        </w:rPr>
        <w:tab/>
      </w:r>
      <w:r w:rsidR="007276F3">
        <w:rPr>
          <w:noProof/>
        </w:rPr>
        <w:t>I</w:t>
      </w:r>
      <w:r w:rsidR="0001385B" w:rsidRPr="00131504">
        <w:rPr>
          <w:noProof/>
        </w:rPr>
        <w:t>n Article 9</w:t>
      </w:r>
      <w:r w:rsidR="00672BAD">
        <w:rPr>
          <w:noProof/>
        </w:rPr>
        <w:t>, p</w:t>
      </w:r>
      <w:r w:rsidR="00672BAD" w:rsidRPr="00131504">
        <w:rPr>
          <w:noProof/>
        </w:rPr>
        <w:t>oint (d)</w:t>
      </w:r>
      <w:r w:rsidR="0001385B" w:rsidRPr="00131504">
        <w:rPr>
          <w:noProof/>
        </w:rPr>
        <w:t xml:space="preserve"> is replaced </w:t>
      </w:r>
      <w:r w:rsidR="00672BAD">
        <w:rPr>
          <w:noProof/>
        </w:rPr>
        <w:t>by the</w:t>
      </w:r>
      <w:r w:rsidR="0001385B" w:rsidRPr="00131504">
        <w:rPr>
          <w:noProof/>
        </w:rPr>
        <w:t xml:space="preserve"> follow</w:t>
      </w:r>
      <w:r w:rsidR="00672BAD">
        <w:rPr>
          <w:noProof/>
        </w:rPr>
        <w:t>ing</w:t>
      </w:r>
      <w:r w:rsidR="0001385B" w:rsidRPr="00131504">
        <w:rPr>
          <w:noProof/>
        </w:rPr>
        <w:t>:</w:t>
      </w:r>
    </w:p>
    <w:p w14:paraId="43EBCB8C" w14:textId="77777777" w:rsidR="0001385B" w:rsidRDefault="463230F3" w:rsidP="009F2519">
      <w:pPr>
        <w:pStyle w:val="Text1"/>
        <w:rPr>
          <w:noProof/>
        </w:rPr>
      </w:pPr>
      <w:bookmarkStart w:id="61" w:name="_Hlk193059401"/>
      <w:r>
        <w:rPr>
          <w:noProof/>
        </w:rPr>
        <w:t>‘</w:t>
      </w:r>
      <w:r w:rsidR="4941FA31">
        <w:rPr>
          <w:noProof/>
        </w:rPr>
        <w:t xml:space="preserve">(d) investment related to the production, processing, transport, distribution, storage or combustion of fossil fuels, with the exception of </w:t>
      </w:r>
      <w:r w:rsidR="4941FA31" w:rsidRPr="653353E9">
        <w:rPr>
          <w:noProof/>
        </w:rPr>
        <w:t xml:space="preserve">investment in operations </w:t>
      </w:r>
      <w:r w:rsidR="68398E37" w:rsidRPr="653353E9">
        <w:rPr>
          <w:noProof/>
        </w:rPr>
        <w:t>attributed a Sovereignty Seal under Article 4(1) of Regulation (EU) 2024/795 in a call for proposals under Commission Delegated Regulation (EU) 2019/856</w:t>
      </w:r>
      <w:r w:rsidR="4941FA31" w:rsidRPr="653353E9">
        <w:rPr>
          <w:noProof/>
        </w:rPr>
        <w:t>.</w:t>
      </w:r>
      <w:r w:rsidRPr="653353E9">
        <w:rPr>
          <w:noProof/>
        </w:rPr>
        <w:t>’</w:t>
      </w:r>
      <w:r w:rsidR="007276F3">
        <w:rPr>
          <w:noProof/>
        </w:rPr>
        <w:t>.</w:t>
      </w:r>
    </w:p>
    <w:p w14:paraId="47EC877C" w14:textId="77777777" w:rsidR="00EA5E0E" w:rsidRDefault="00C45D17" w:rsidP="00C45D17">
      <w:pPr>
        <w:pStyle w:val="Point0"/>
        <w:rPr>
          <w:noProof/>
        </w:rPr>
      </w:pPr>
      <w:r w:rsidRPr="00C45D17">
        <w:rPr>
          <w:noProof/>
        </w:rPr>
        <w:t>(3)</w:t>
      </w:r>
      <w:r w:rsidRPr="00C45D17">
        <w:rPr>
          <w:noProof/>
        </w:rPr>
        <w:tab/>
      </w:r>
      <w:r w:rsidR="00EA5E0E">
        <w:rPr>
          <w:noProof/>
        </w:rPr>
        <w:t>In Article 10, the following paragraph is added:</w:t>
      </w:r>
    </w:p>
    <w:p w14:paraId="581680C7" w14:textId="77777777" w:rsidR="00EA5E0E" w:rsidRDefault="007276F3" w:rsidP="007276F3">
      <w:pPr>
        <w:pStyle w:val="Text1"/>
        <w:rPr>
          <w:rStyle w:val="cf01"/>
          <w:rFonts w:ascii="Times New Roman" w:hAnsi="Times New Roman" w:cs="Times New Roman"/>
          <w:b w:val="0"/>
          <w:bCs w:val="0"/>
          <w:noProof/>
          <w:sz w:val="24"/>
          <w:szCs w:val="24"/>
        </w:rPr>
      </w:pPr>
      <w:r>
        <w:rPr>
          <w:noProof/>
        </w:rPr>
        <w:t>‘</w:t>
      </w:r>
      <w:r w:rsidR="52E87157">
        <w:rPr>
          <w:noProof/>
        </w:rPr>
        <w:t xml:space="preserve">4. </w:t>
      </w:r>
      <w:r w:rsidR="1DBE36B1">
        <w:rPr>
          <w:noProof/>
        </w:rPr>
        <w:t>W</w:t>
      </w:r>
      <w:r w:rsidR="52E87157">
        <w:rPr>
          <w:noProof/>
        </w:rPr>
        <w:t>here JTF resources are programmed as priorities within a programme also containing ERDF or Cohesion Fund resources</w:t>
      </w:r>
      <w:r w:rsidR="7E01DDF4">
        <w:rPr>
          <w:noProof/>
        </w:rPr>
        <w:t xml:space="preserve">, </w:t>
      </w:r>
      <w:r w:rsidR="0579173E">
        <w:rPr>
          <w:noProof/>
        </w:rPr>
        <w:t>i</w:t>
      </w:r>
      <w:r w:rsidR="64D061D6">
        <w:rPr>
          <w:noProof/>
        </w:rPr>
        <w:t>n addition to the assessment for each programme on the outcome of the mid-term review to be submitted in accordance with Article 18(2) of Regulation (EU) 2021/1060, Member States may resubmit a complementary  assessment as well as related requests for programme amendments, taking into account the specific objectives introduced by Regulation (EU) XXXX/XXXX [this Regulation], within 2 months of the entry into force of  Regulation (EU) XXXX/XXXX [this Regulation]. The deadlines set out in Article 18 (</w:t>
      </w:r>
      <w:r w:rsidR="1DA3EDD6">
        <w:rPr>
          <w:noProof/>
        </w:rPr>
        <w:t>3</w:t>
      </w:r>
      <w:r w:rsidR="64D061D6">
        <w:rPr>
          <w:noProof/>
        </w:rPr>
        <w:t>) of Regulation (EU) 2021/1060 shall apply</w:t>
      </w:r>
      <w:r w:rsidR="52E87157" w:rsidRPr="4D8CB314">
        <w:rPr>
          <w:rStyle w:val="cf01"/>
          <w:rFonts w:ascii="Times New Roman" w:hAnsi="Times New Roman" w:cs="Times New Roman"/>
          <w:b w:val="0"/>
          <w:bCs w:val="0"/>
          <w:noProof/>
          <w:sz w:val="24"/>
          <w:szCs w:val="24"/>
        </w:rPr>
        <w:t>.</w:t>
      </w:r>
    </w:p>
    <w:p w14:paraId="72573F3C" w14:textId="77777777" w:rsidR="00EA5E0E" w:rsidRPr="00131504" w:rsidRDefault="00EA5E0E" w:rsidP="00FF1EF4">
      <w:pPr>
        <w:pStyle w:val="Text1"/>
        <w:rPr>
          <w:noProof/>
        </w:rPr>
      </w:pPr>
      <w:r>
        <w:rPr>
          <w:rStyle w:val="cf01"/>
          <w:rFonts w:ascii="Times New Roman" w:hAnsi="Times New Roman" w:cs="Times New Roman"/>
          <w:b w:val="0"/>
          <w:bCs w:val="0"/>
          <w:noProof/>
          <w:sz w:val="24"/>
          <w:szCs w:val="24"/>
        </w:rPr>
        <w:t xml:space="preserve">Where such programme benefits from an extended </w:t>
      </w:r>
      <w:r w:rsidRPr="01F8982D">
        <w:rPr>
          <w:noProof/>
          <w:szCs w:val="24"/>
        </w:rPr>
        <w:t xml:space="preserve">deadline for the eligibility of expenditure, the reimbursement of costs as well as for decommitment </w:t>
      </w:r>
      <w:r>
        <w:rPr>
          <w:noProof/>
          <w:szCs w:val="24"/>
        </w:rPr>
        <w:t>in accordance with Art</w:t>
      </w:r>
      <w:r w:rsidR="00533889">
        <w:rPr>
          <w:noProof/>
          <w:szCs w:val="24"/>
        </w:rPr>
        <w:t>icle</w:t>
      </w:r>
      <w:r>
        <w:rPr>
          <w:noProof/>
          <w:szCs w:val="24"/>
        </w:rPr>
        <w:t xml:space="preserve"> 7a of Regulation (EU) 2021/1058, such extension shall also apply to the JTF resources.</w:t>
      </w:r>
      <w:r w:rsidR="007276F3">
        <w:rPr>
          <w:noProof/>
          <w:szCs w:val="24"/>
        </w:rPr>
        <w:t>’.</w:t>
      </w:r>
    </w:p>
    <w:bookmarkEnd w:id="60"/>
    <w:bookmarkEnd w:id="61"/>
    <w:p w14:paraId="1821E50C" w14:textId="77777777" w:rsidR="0001385B" w:rsidRPr="00131504" w:rsidRDefault="00C45D17" w:rsidP="00C45D17">
      <w:pPr>
        <w:pStyle w:val="Point0"/>
        <w:rPr>
          <w:noProof/>
        </w:rPr>
      </w:pPr>
      <w:r w:rsidRPr="00C45D17">
        <w:rPr>
          <w:noProof/>
        </w:rPr>
        <w:t>(4)</w:t>
      </w:r>
      <w:r w:rsidRPr="00C45D17">
        <w:rPr>
          <w:noProof/>
        </w:rPr>
        <w:tab/>
      </w:r>
      <w:r w:rsidR="007276F3">
        <w:rPr>
          <w:noProof/>
        </w:rPr>
        <w:t>I</w:t>
      </w:r>
      <w:r w:rsidR="0070603E">
        <w:rPr>
          <w:noProof/>
        </w:rPr>
        <w:t xml:space="preserve">n </w:t>
      </w:r>
      <w:r w:rsidR="0001385B" w:rsidRPr="00131504">
        <w:rPr>
          <w:noProof/>
        </w:rPr>
        <w:t>Article 11(2)</w:t>
      </w:r>
      <w:r w:rsidR="0070603E">
        <w:rPr>
          <w:noProof/>
        </w:rPr>
        <w:t>, point (i)</w:t>
      </w:r>
      <w:r w:rsidR="0001385B" w:rsidRPr="00131504">
        <w:rPr>
          <w:noProof/>
        </w:rPr>
        <w:t xml:space="preserve"> is replaced by the following:</w:t>
      </w:r>
    </w:p>
    <w:p w14:paraId="675CC7C3" w14:textId="77777777" w:rsidR="0001385B" w:rsidRPr="00131504" w:rsidRDefault="00E51AB5" w:rsidP="009F2519">
      <w:pPr>
        <w:pStyle w:val="Text1"/>
        <w:rPr>
          <w:noProof/>
        </w:rPr>
      </w:pPr>
      <w:bookmarkStart w:id="62" w:name="_Hlk193059726"/>
      <w:r>
        <w:rPr>
          <w:noProof/>
        </w:rPr>
        <w:t>‘</w:t>
      </w:r>
      <w:r w:rsidR="0001385B" w:rsidRPr="00131504">
        <w:rPr>
          <w:noProof/>
        </w:rPr>
        <w:t>(i) where support is to be provided to investments to achieve the reduction of greenhouse gas emissions from activities listed in Annex I to Directive 2003/87/EC, a list of operations to be supported and a justification that they contribute to a transition to a climate-neutral economy and lead to a reduction in greenhouse gas emissions going below the relevant benchmarks established for free allocation under Directive 2003/87/EC and provided that th</w:t>
      </w:r>
      <w:r w:rsidR="004A1E06">
        <w:rPr>
          <w:noProof/>
        </w:rPr>
        <w:t>o</w:t>
      </w:r>
      <w:r w:rsidR="0001385B" w:rsidRPr="00131504">
        <w:rPr>
          <w:noProof/>
        </w:rPr>
        <w:t>se operations are necessary for the protection of a significant number of jobs</w:t>
      </w:r>
      <w:r w:rsidR="0035015D">
        <w:rPr>
          <w:noProof/>
        </w:rPr>
        <w:t>;</w:t>
      </w:r>
      <w:r w:rsidR="004A1E06">
        <w:rPr>
          <w:noProof/>
        </w:rPr>
        <w:t>’</w:t>
      </w:r>
      <w:r w:rsidR="007276F3">
        <w:rPr>
          <w:noProof/>
        </w:rPr>
        <w:t>.</w:t>
      </w:r>
      <w:r w:rsidR="0001385B" w:rsidRPr="00131504">
        <w:rPr>
          <w:noProof/>
        </w:rPr>
        <w:t xml:space="preserve"> </w:t>
      </w:r>
    </w:p>
    <w:bookmarkEnd w:id="62"/>
    <w:p w14:paraId="6D686BD6" w14:textId="77777777" w:rsidR="0001385B" w:rsidRPr="00131504" w:rsidRDefault="00C45D17" w:rsidP="00C45D17">
      <w:pPr>
        <w:pStyle w:val="Point0"/>
        <w:rPr>
          <w:noProof/>
        </w:rPr>
      </w:pPr>
      <w:r w:rsidRPr="00C45D17">
        <w:rPr>
          <w:noProof/>
        </w:rPr>
        <w:t>(5)</w:t>
      </w:r>
      <w:r w:rsidRPr="00C45D17">
        <w:rPr>
          <w:noProof/>
        </w:rPr>
        <w:tab/>
      </w:r>
      <w:r w:rsidR="007276F3">
        <w:rPr>
          <w:noProof/>
        </w:rPr>
        <w:t>I</w:t>
      </w:r>
      <w:r w:rsidR="0001385B" w:rsidRPr="00131504">
        <w:rPr>
          <w:noProof/>
        </w:rPr>
        <w:t>n Article 12(2)</w:t>
      </w:r>
      <w:r w:rsidR="004A1E06">
        <w:rPr>
          <w:noProof/>
        </w:rPr>
        <w:t>,</w:t>
      </w:r>
      <w:r w:rsidR="0001385B" w:rsidRPr="00131504">
        <w:rPr>
          <w:noProof/>
        </w:rPr>
        <w:t xml:space="preserve"> the </w:t>
      </w:r>
      <w:r w:rsidR="00C05D72">
        <w:rPr>
          <w:noProof/>
        </w:rPr>
        <w:t>third</w:t>
      </w:r>
      <w:r w:rsidR="00C05D72" w:rsidRPr="00131504">
        <w:rPr>
          <w:noProof/>
        </w:rPr>
        <w:t xml:space="preserve"> </w:t>
      </w:r>
      <w:r w:rsidR="0001385B" w:rsidRPr="00131504">
        <w:rPr>
          <w:noProof/>
        </w:rPr>
        <w:t>sentence is deleted</w:t>
      </w:r>
      <w:r w:rsidR="007276F3">
        <w:rPr>
          <w:noProof/>
        </w:rPr>
        <w:t>.</w:t>
      </w:r>
    </w:p>
    <w:p w14:paraId="59FDF570" w14:textId="77777777" w:rsidR="007719A8" w:rsidRPr="007F79B1" w:rsidRDefault="000852D5" w:rsidP="007F79B1">
      <w:pPr>
        <w:pStyle w:val="Titrearticle"/>
        <w:rPr>
          <w:noProof/>
        </w:rPr>
      </w:pPr>
      <w:bookmarkStart w:id="63" w:name="_Hlk193199357"/>
      <w:r w:rsidRPr="00894317">
        <w:rPr>
          <w:noProof/>
        </w:rPr>
        <w:t xml:space="preserve">Article </w:t>
      </w:r>
      <w:r w:rsidR="00703536" w:rsidRPr="00894317">
        <w:rPr>
          <w:noProof/>
        </w:rPr>
        <w:t>3</w:t>
      </w:r>
      <w:bookmarkEnd w:id="63"/>
    </w:p>
    <w:p w14:paraId="7EBDBDE6" w14:textId="77777777" w:rsidR="000852D5" w:rsidRPr="00F96E01" w:rsidRDefault="000852D5">
      <w:pPr>
        <w:rPr>
          <w:noProof/>
        </w:rPr>
      </w:pPr>
      <w:r w:rsidRPr="00F96E01">
        <w:rPr>
          <w:noProof/>
        </w:rPr>
        <w:t xml:space="preserve">This Regulation shall enter into force on the </w:t>
      </w:r>
      <w:r w:rsidR="00267750">
        <w:rPr>
          <w:noProof/>
        </w:rPr>
        <w:t>[</w:t>
      </w:r>
      <w:r w:rsidRPr="00F96E01">
        <w:rPr>
          <w:noProof/>
        </w:rPr>
        <w:t>day</w:t>
      </w:r>
      <w:r w:rsidR="00FD1CF6">
        <w:rPr>
          <w:noProof/>
        </w:rPr>
        <w:t>]</w:t>
      </w:r>
      <w:r w:rsidRPr="00F96E01">
        <w:rPr>
          <w:noProof/>
        </w:rPr>
        <w:t xml:space="preserve"> following that of its publication in the </w:t>
      </w:r>
      <w:r w:rsidRPr="00F96E01">
        <w:rPr>
          <w:i/>
          <w:noProof/>
        </w:rPr>
        <w:t>Official Journal of the European Union</w:t>
      </w:r>
      <w:r w:rsidRPr="00F96E01">
        <w:rPr>
          <w:noProof/>
        </w:rPr>
        <w:t>.</w:t>
      </w:r>
    </w:p>
    <w:p w14:paraId="502B1631" w14:textId="77777777" w:rsidR="000852D5" w:rsidRDefault="000852D5">
      <w:pPr>
        <w:pStyle w:val="Applicationdirecte"/>
        <w:rPr>
          <w:noProof/>
        </w:rPr>
      </w:pPr>
      <w:r>
        <w:rPr>
          <w:noProof/>
        </w:rPr>
        <w:t xml:space="preserve">This Regulation shall be binding in its entirety and directly applicable in </w:t>
      </w:r>
      <w:r w:rsidR="00A7110D">
        <w:rPr>
          <w:noProof/>
        </w:rPr>
        <w:t xml:space="preserve">all </w:t>
      </w:r>
      <w:r>
        <w:rPr>
          <w:noProof/>
        </w:rPr>
        <w:t>Member States.</w:t>
      </w:r>
    </w:p>
    <w:p w14:paraId="1FFF3689" w14:textId="77777777" w:rsidR="000852D5" w:rsidRDefault="00481C26" w:rsidP="002D6592">
      <w:pPr>
        <w:pStyle w:val="Fait"/>
        <w:rPr>
          <w:noProof/>
        </w:rPr>
      </w:pPr>
      <w:r>
        <w:rPr>
          <w:noProof/>
        </w:rPr>
        <w:t>Done at Strasbourg,</w:t>
      </w:r>
    </w:p>
    <w:p w14:paraId="1CDBEC5B" w14:textId="77777777" w:rsidR="000852D5" w:rsidRDefault="000852D5" w:rsidP="002D6592">
      <w:pPr>
        <w:pStyle w:val="Institutionquisigne"/>
        <w:rPr>
          <w:noProof/>
        </w:rPr>
      </w:pPr>
      <w:r w:rsidRPr="000852D5">
        <w:rPr>
          <w:noProof/>
        </w:rPr>
        <w:t>For the European Parliament</w:t>
      </w:r>
      <w:r w:rsidRPr="000852D5">
        <w:rPr>
          <w:noProof/>
        </w:rPr>
        <w:tab/>
        <w:t>For the Council</w:t>
      </w:r>
    </w:p>
    <w:p w14:paraId="3C071695" w14:textId="77777777" w:rsidR="000852D5" w:rsidRDefault="000852D5" w:rsidP="000852D5">
      <w:pPr>
        <w:pStyle w:val="Personnequisigne"/>
        <w:rPr>
          <w:noProof/>
        </w:rPr>
      </w:pPr>
      <w:r w:rsidRPr="000852D5">
        <w:rPr>
          <w:noProof/>
        </w:rPr>
        <w:t>The President</w:t>
      </w:r>
      <w:r w:rsidRPr="000852D5">
        <w:rPr>
          <w:noProof/>
        </w:rPr>
        <w:tab/>
        <w:t>The President</w:t>
      </w:r>
    </w:p>
    <w:p w14:paraId="76FA1C74" w14:textId="77777777" w:rsidR="000852D5" w:rsidRDefault="000852D5" w:rsidP="000852D5">
      <w:pPr>
        <w:rPr>
          <w:noProof/>
        </w:rPr>
        <w:sectPr w:rsidR="000852D5" w:rsidSect="00A12408">
          <w:pgSz w:w="11907" w:h="16839"/>
          <w:pgMar w:top="1134" w:right="1417" w:bottom="1134" w:left="1417" w:header="709" w:footer="709" w:gutter="0"/>
          <w:cols w:space="708"/>
          <w:docGrid w:linePitch="360"/>
        </w:sectPr>
      </w:pPr>
    </w:p>
    <w:p w14:paraId="74229588" w14:textId="77777777" w:rsidR="00A56747" w:rsidRPr="009846D6" w:rsidRDefault="00A56747" w:rsidP="00A56747">
      <w:pPr>
        <w:pStyle w:val="Fichefinanciretitre"/>
        <w:keepNext/>
        <w:rPr>
          <w:noProof/>
        </w:rPr>
      </w:pPr>
      <w:r w:rsidRPr="00732102">
        <w:rPr>
          <w:noProof/>
        </w:rPr>
        <w:t>LEGISLATIVE FINANCIAL AND DIGITAL STATEMENT</w:t>
      </w:r>
    </w:p>
    <w:p w14:paraId="6DCF8B4C" w14:textId="77777777" w:rsidR="00A56747" w:rsidRDefault="00A56747" w:rsidP="00A56747">
      <w:pPr>
        <w:pStyle w:val="TOC1"/>
        <w:rPr>
          <w:rFonts w:asciiTheme="minorHAnsi" w:eastAsiaTheme="minorEastAsia" w:hAnsiTheme="minorHAnsi" w:cstheme="minorBidi"/>
          <w:noProof/>
          <w:kern w:val="2"/>
          <w:sz w:val="22"/>
          <w:lang w:eastAsia="en-GB"/>
          <w14:ligatures w14:val="standardContextual"/>
        </w:rPr>
      </w:pPr>
      <w:r w:rsidRPr="00292B05">
        <w:rPr>
          <w:noProof/>
        </w:rPr>
        <w:t>1.</w:t>
      </w:r>
      <w:r>
        <w:rPr>
          <w:rFonts w:asciiTheme="minorHAnsi" w:eastAsiaTheme="minorEastAsia" w:hAnsiTheme="minorHAnsi" w:cstheme="minorBidi"/>
          <w:noProof/>
          <w:kern w:val="2"/>
          <w:sz w:val="22"/>
          <w:lang w:eastAsia="en-GB"/>
          <w14:ligatures w14:val="standardContextual"/>
        </w:rPr>
        <w:tab/>
      </w:r>
      <w:r w:rsidRPr="00292B05">
        <w:rPr>
          <w:noProof/>
        </w:rPr>
        <w:t>FRAMEWORK OF THE PROPOSAL/INITIATIVE</w:t>
      </w:r>
      <w:r>
        <w:rPr>
          <w:noProof/>
          <w:webHidden/>
        </w:rPr>
        <w:tab/>
        <w:t>3</w:t>
      </w:r>
    </w:p>
    <w:p w14:paraId="4E1FDD6B"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1.1.</w:t>
      </w:r>
      <w:r>
        <w:rPr>
          <w:rFonts w:asciiTheme="minorHAnsi" w:eastAsiaTheme="minorEastAsia" w:hAnsiTheme="minorHAnsi" w:cstheme="minorBidi"/>
          <w:noProof/>
          <w:kern w:val="2"/>
          <w:sz w:val="22"/>
          <w:lang w:eastAsia="en-GB"/>
          <w14:ligatures w14:val="standardContextual"/>
        </w:rPr>
        <w:tab/>
      </w:r>
      <w:r w:rsidRPr="00292B05">
        <w:rPr>
          <w:noProof/>
        </w:rPr>
        <w:t>Title of the proposal/initiative</w:t>
      </w:r>
      <w:r>
        <w:rPr>
          <w:noProof/>
          <w:webHidden/>
        </w:rPr>
        <w:tab/>
        <w:t>3</w:t>
      </w:r>
    </w:p>
    <w:p w14:paraId="377E209F"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1.2.</w:t>
      </w:r>
      <w:r>
        <w:rPr>
          <w:rFonts w:asciiTheme="minorHAnsi" w:eastAsiaTheme="minorEastAsia" w:hAnsiTheme="minorHAnsi" w:cstheme="minorBidi"/>
          <w:noProof/>
          <w:kern w:val="2"/>
          <w:sz w:val="22"/>
          <w:lang w:eastAsia="en-GB"/>
          <w14:ligatures w14:val="standardContextual"/>
        </w:rPr>
        <w:tab/>
      </w:r>
      <w:r w:rsidRPr="00292B05">
        <w:rPr>
          <w:noProof/>
        </w:rPr>
        <w:t>Policy area(s) concerned</w:t>
      </w:r>
      <w:r>
        <w:rPr>
          <w:noProof/>
          <w:webHidden/>
        </w:rPr>
        <w:tab/>
        <w:t>3</w:t>
      </w:r>
    </w:p>
    <w:p w14:paraId="7CB649ED"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1.3.</w:t>
      </w:r>
      <w:r>
        <w:rPr>
          <w:rFonts w:asciiTheme="minorHAnsi" w:eastAsiaTheme="minorEastAsia" w:hAnsiTheme="minorHAnsi" w:cstheme="minorBidi"/>
          <w:noProof/>
          <w:kern w:val="2"/>
          <w:sz w:val="22"/>
          <w:lang w:eastAsia="en-GB"/>
          <w14:ligatures w14:val="standardContextual"/>
        </w:rPr>
        <w:tab/>
      </w:r>
      <w:r w:rsidRPr="00292B05">
        <w:rPr>
          <w:noProof/>
        </w:rPr>
        <w:t>Objective(s)</w:t>
      </w:r>
      <w:r>
        <w:rPr>
          <w:noProof/>
          <w:webHidden/>
        </w:rPr>
        <w:tab/>
        <w:t>3</w:t>
      </w:r>
    </w:p>
    <w:p w14:paraId="783F04F3"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1.3.1.</w:t>
      </w:r>
      <w:r>
        <w:rPr>
          <w:rFonts w:asciiTheme="minorHAnsi" w:eastAsiaTheme="minorEastAsia" w:hAnsiTheme="minorHAnsi" w:cstheme="minorBidi"/>
          <w:noProof/>
          <w:kern w:val="2"/>
          <w:sz w:val="22"/>
          <w:lang w:eastAsia="en-GB"/>
          <w14:ligatures w14:val="standardContextual"/>
        </w:rPr>
        <w:tab/>
      </w:r>
      <w:r w:rsidRPr="00292B05">
        <w:rPr>
          <w:noProof/>
        </w:rPr>
        <w:t>General objective(s)</w:t>
      </w:r>
      <w:r>
        <w:rPr>
          <w:noProof/>
          <w:webHidden/>
        </w:rPr>
        <w:tab/>
        <w:t>3</w:t>
      </w:r>
    </w:p>
    <w:p w14:paraId="24ADE839"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1.3.2.</w:t>
      </w:r>
      <w:r>
        <w:rPr>
          <w:rFonts w:asciiTheme="minorHAnsi" w:eastAsiaTheme="minorEastAsia" w:hAnsiTheme="minorHAnsi" w:cstheme="minorBidi"/>
          <w:noProof/>
          <w:kern w:val="2"/>
          <w:sz w:val="22"/>
          <w:lang w:eastAsia="en-GB"/>
          <w14:ligatures w14:val="standardContextual"/>
        </w:rPr>
        <w:tab/>
      </w:r>
      <w:r w:rsidRPr="00292B05">
        <w:rPr>
          <w:noProof/>
        </w:rPr>
        <w:t>Specific objective(s)</w:t>
      </w:r>
      <w:r>
        <w:rPr>
          <w:noProof/>
          <w:webHidden/>
        </w:rPr>
        <w:tab/>
        <w:t>3</w:t>
      </w:r>
    </w:p>
    <w:p w14:paraId="3EB2959E"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1.3.3.</w:t>
      </w:r>
      <w:r>
        <w:rPr>
          <w:rFonts w:asciiTheme="minorHAnsi" w:eastAsiaTheme="minorEastAsia" w:hAnsiTheme="minorHAnsi" w:cstheme="minorBidi"/>
          <w:noProof/>
          <w:kern w:val="2"/>
          <w:sz w:val="22"/>
          <w:lang w:eastAsia="en-GB"/>
          <w14:ligatures w14:val="standardContextual"/>
        </w:rPr>
        <w:tab/>
      </w:r>
      <w:r w:rsidRPr="00292B05">
        <w:rPr>
          <w:noProof/>
        </w:rPr>
        <w:t>Expected result(s) and impact</w:t>
      </w:r>
      <w:r>
        <w:rPr>
          <w:noProof/>
          <w:webHidden/>
        </w:rPr>
        <w:tab/>
        <w:t>3</w:t>
      </w:r>
    </w:p>
    <w:p w14:paraId="6422B01A"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1.3.4.</w:t>
      </w:r>
      <w:r>
        <w:rPr>
          <w:rFonts w:asciiTheme="minorHAnsi" w:eastAsiaTheme="minorEastAsia" w:hAnsiTheme="minorHAnsi" w:cstheme="minorBidi"/>
          <w:noProof/>
          <w:kern w:val="2"/>
          <w:sz w:val="22"/>
          <w:lang w:eastAsia="en-GB"/>
          <w14:ligatures w14:val="standardContextual"/>
        </w:rPr>
        <w:tab/>
      </w:r>
      <w:r w:rsidRPr="00292B05">
        <w:rPr>
          <w:noProof/>
        </w:rPr>
        <w:t>Indicators of performance</w:t>
      </w:r>
      <w:r>
        <w:rPr>
          <w:noProof/>
          <w:webHidden/>
        </w:rPr>
        <w:tab/>
        <w:t>3</w:t>
      </w:r>
    </w:p>
    <w:p w14:paraId="21CAD041"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1.4.</w:t>
      </w:r>
      <w:r>
        <w:rPr>
          <w:rFonts w:asciiTheme="minorHAnsi" w:eastAsiaTheme="minorEastAsia" w:hAnsiTheme="minorHAnsi" w:cstheme="minorBidi"/>
          <w:noProof/>
          <w:kern w:val="2"/>
          <w:sz w:val="22"/>
          <w:lang w:eastAsia="en-GB"/>
          <w14:ligatures w14:val="standardContextual"/>
        </w:rPr>
        <w:tab/>
      </w:r>
      <w:r w:rsidRPr="00292B05">
        <w:rPr>
          <w:noProof/>
        </w:rPr>
        <w:t>The proposal/initiative relates to:</w:t>
      </w:r>
      <w:r>
        <w:rPr>
          <w:noProof/>
          <w:webHidden/>
        </w:rPr>
        <w:tab/>
        <w:t>4</w:t>
      </w:r>
    </w:p>
    <w:p w14:paraId="7CA41C49"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1.5.</w:t>
      </w:r>
      <w:r>
        <w:rPr>
          <w:rFonts w:asciiTheme="minorHAnsi" w:eastAsiaTheme="minorEastAsia" w:hAnsiTheme="minorHAnsi" w:cstheme="minorBidi"/>
          <w:noProof/>
          <w:kern w:val="2"/>
          <w:sz w:val="22"/>
          <w:lang w:eastAsia="en-GB"/>
          <w14:ligatures w14:val="standardContextual"/>
        </w:rPr>
        <w:tab/>
      </w:r>
      <w:r w:rsidRPr="00292B05">
        <w:rPr>
          <w:noProof/>
        </w:rPr>
        <w:t>Grounds for the proposal/initiative</w:t>
      </w:r>
      <w:r>
        <w:rPr>
          <w:noProof/>
          <w:webHidden/>
        </w:rPr>
        <w:tab/>
        <w:t>4</w:t>
      </w:r>
    </w:p>
    <w:p w14:paraId="3EDE1215"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1.5.1.</w:t>
      </w:r>
      <w:r>
        <w:rPr>
          <w:rFonts w:asciiTheme="minorHAnsi" w:eastAsiaTheme="minorEastAsia" w:hAnsiTheme="minorHAnsi" w:cstheme="minorBidi"/>
          <w:noProof/>
          <w:kern w:val="2"/>
          <w:sz w:val="22"/>
          <w:lang w:eastAsia="en-GB"/>
          <w14:ligatures w14:val="standardContextual"/>
        </w:rPr>
        <w:tab/>
      </w:r>
      <w:r w:rsidRPr="00292B05">
        <w:rPr>
          <w:noProof/>
        </w:rPr>
        <w:t>Requirement(s) to be met in the short or long term including a detailed timeline for roll-out of the implementation of the initiative</w:t>
      </w:r>
      <w:r>
        <w:rPr>
          <w:noProof/>
          <w:webHidden/>
        </w:rPr>
        <w:tab/>
        <w:t>4</w:t>
      </w:r>
    </w:p>
    <w:p w14:paraId="68688951"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1.5.2.</w:t>
      </w:r>
      <w:r>
        <w:rPr>
          <w:rFonts w:asciiTheme="minorHAnsi" w:eastAsiaTheme="minorEastAsia" w:hAnsiTheme="minorHAnsi" w:cstheme="minorBidi"/>
          <w:noProof/>
          <w:kern w:val="2"/>
          <w:sz w:val="22"/>
          <w:lang w:eastAsia="en-GB"/>
          <w14:ligatures w14:val="standardContextual"/>
        </w:rPr>
        <w:tab/>
      </w:r>
      <w:r w:rsidRPr="00292B05">
        <w:rPr>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Pr>
          <w:noProof/>
          <w:webHidden/>
        </w:rPr>
        <w:tab/>
        <w:t>4</w:t>
      </w:r>
    </w:p>
    <w:p w14:paraId="0D68D287"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1.5.3.</w:t>
      </w:r>
      <w:r>
        <w:rPr>
          <w:rFonts w:asciiTheme="minorHAnsi" w:eastAsiaTheme="minorEastAsia" w:hAnsiTheme="minorHAnsi" w:cstheme="minorBidi"/>
          <w:noProof/>
          <w:kern w:val="2"/>
          <w:sz w:val="22"/>
          <w:lang w:eastAsia="en-GB"/>
          <w14:ligatures w14:val="standardContextual"/>
        </w:rPr>
        <w:tab/>
      </w:r>
      <w:r w:rsidRPr="00292B05">
        <w:rPr>
          <w:noProof/>
        </w:rPr>
        <w:t>Lessons learned from similar experiences in the past</w:t>
      </w:r>
      <w:r>
        <w:rPr>
          <w:noProof/>
          <w:webHidden/>
        </w:rPr>
        <w:tab/>
        <w:t>4</w:t>
      </w:r>
    </w:p>
    <w:p w14:paraId="09614051"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1.5.4.</w:t>
      </w:r>
      <w:r>
        <w:rPr>
          <w:rFonts w:asciiTheme="minorHAnsi" w:eastAsiaTheme="minorEastAsia" w:hAnsiTheme="minorHAnsi" w:cstheme="minorBidi"/>
          <w:noProof/>
          <w:kern w:val="2"/>
          <w:sz w:val="22"/>
          <w:lang w:eastAsia="en-GB"/>
          <w14:ligatures w14:val="standardContextual"/>
        </w:rPr>
        <w:tab/>
      </w:r>
      <w:r w:rsidRPr="00292B05">
        <w:rPr>
          <w:noProof/>
        </w:rPr>
        <w:t>Compatibility with the multiannual financial framework and possible synergies with other appropriate instruments</w:t>
      </w:r>
      <w:r>
        <w:rPr>
          <w:noProof/>
          <w:webHidden/>
        </w:rPr>
        <w:tab/>
        <w:t>5</w:t>
      </w:r>
    </w:p>
    <w:p w14:paraId="72ED0A89"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1.5.5.</w:t>
      </w:r>
      <w:r>
        <w:rPr>
          <w:rFonts w:asciiTheme="minorHAnsi" w:eastAsiaTheme="minorEastAsia" w:hAnsiTheme="minorHAnsi" w:cstheme="minorBidi"/>
          <w:noProof/>
          <w:kern w:val="2"/>
          <w:sz w:val="22"/>
          <w:lang w:eastAsia="en-GB"/>
          <w14:ligatures w14:val="standardContextual"/>
        </w:rPr>
        <w:tab/>
      </w:r>
      <w:r w:rsidRPr="00292B05">
        <w:rPr>
          <w:noProof/>
        </w:rPr>
        <w:t>Assessment of the different available financing options, including scope for redeployment</w:t>
      </w:r>
      <w:r>
        <w:rPr>
          <w:noProof/>
          <w:webHidden/>
        </w:rPr>
        <w:tab/>
        <w:t>5</w:t>
      </w:r>
    </w:p>
    <w:p w14:paraId="0ABA22EF"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1.6.</w:t>
      </w:r>
      <w:r>
        <w:rPr>
          <w:rFonts w:asciiTheme="minorHAnsi" w:eastAsiaTheme="minorEastAsia" w:hAnsiTheme="minorHAnsi" w:cstheme="minorBidi"/>
          <w:noProof/>
          <w:kern w:val="2"/>
          <w:sz w:val="22"/>
          <w:lang w:eastAsia="en-GB"/>
          <w14:ligatures w14:val="standardContextual"/>
        </w:rPr>
        <w:tab/>
      </w:r>
      <w:r w:rsidRPr="00292B05">
        <w:rPr>
          <w:noProof/>
        </w:rPr>
        <w:t>Duration of the proposal/initiative and of its financial impact</w:t>
      </w:r>
      <w:r>
        <w:rPr>
          <w:noProof/>
          <w:webHidden/>
        </w:rPr>
        <w:tab/>
        <w:t>6</w:t>
      </w:r>
    </w:p>
    <w:p w14:paraId="21DAD35D"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1.7.</w:t>
      </w:r>
      <w:r>
        <w:rPr>
          <w:rFonts w:asciiTheme="minorHAnsi" w:eastAsiaTheme="minorEastAsia" w:hAnsiTheme="minorHAnsi" w:cstheme="minorBidi"/>
          <w:noProof/>
          <w:kern w:val="2"/>
          <w:sz w:val="22"/>
          <w:lang w:eastAsia="en-GB"/>
          <w14:ligatures w14:val="standardContextual"/>
        </w:rPr>
        <w:tab/>
      </w:r>
      <w:r w:rsidRPr="00292B05">
        <w:rPr>
          <w:noProof/>
        </w:rPr>
        <w:t>Method(s) of budget implementation planned</w:t>
      </w:r>
      <w:r>
        <w:rPr>
          <w:noProof/>
          <w:webHidden/>
        </w:rPr>
        <w:tab/>
        <w:t>6</w:t>
      </w:r>
    </w:p>
    <w:p w14:paraId="62EB5486" w14:textId="77777777" w:rsidR="00A56747" w:rsidRDefault="00A56747" w:rsidP="00A56747">
      <w:pPr>
        <w:pStyle w:val="TOC1"/>
        <w:rPr>
          <w:rFonts w:asciiTheme="minorHAnsi" w:eastAsiaTheme="minorEastAsia" w:hAnsiTheme="minorHAnsi" w:cstheme="minorBidi"/>
          <w:noProof/>
          <w:kern w:val="2"/>
          <w:sz w:val="22"/>
          <w:lang w:eastAsia="en-GB"/>
          <w14:ligatures w14:val="standardContextual"/>
        </w:rPr>
      </w:pPr>
      <w:r w:rsidRPr="00292B05">
        <w:rPr>
          <w:noProof/>
        </w:rPr>
        <w:t>2.</w:t>
      </w:r>
      <w:r>
        <w:rPr>
          <w:rFonts w:asciiTheme="minorHAnsi" w:eastAsiaTheme="minorEastAsia" w:hAnsiTheme="minorHAnsi" w:cstheme="minorBidi"/>
          <w:noProof/>
          <w:kern w:val="2"/>
          <w:sz w:val="22"/>
          <w:lang w:eastAsia="en-GB"/>
          <w14:ligatures w14:val="standardContextual"/>
        </w:rPr>
        <w:tab/>
      </w:r>
      <w:r w:rsidRPr="00292B05">
        <w:rPr>
          <w:noProof/>
        </w:rPr>
        <w:t>MANAGEMENT MEASURES</w:t>
      </w:r>
      <w:r>
        <w:rPr>
          <w:noProof/>
          <w:webHidden/>
        </w:rPr>
        <w:tab/>
        <w:t>8</w:t>
      </w:r>
    </w:p>
    <w:p w14:paraId="79168C4A"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2.1.</w:t>
      </w:r>
      <w:r>
        <w:rPr>
          <w:rFonts w:asciiTheme="minorHAnsi" w:eastAsiaTheme="minorEastAsia" w:hAnsiTheme="minorHAnsi" w:cstheme="minorBidi"/>
          <w:noProof/>
          <w:kern w:val="2"/>
          <w:sz w:val="22"/>
          <w:lang w:eastAsia="en-GB"/>
          <w14:ligatures w14:val="standardContextual"/>
        </w:rPr>
        <w:tab/>
      </w:r>
      <w:r w:rsidRPr="00292B05">
        <w:rPr>
          <w:noProof/>
        </w:rPr>
        <w:t>Monitoring and reporting rules</w:t>
      </w:r>
      <w:r>
        <w:rPr>
          <w:noProof/>
          <w:webHidden/>
        </w:rPr>
        <w:tab/>
        <w:t>8</w:t>
      </w:r>
    </w:p>
    <w:p w14:paraId="7110FD7F"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2.2.</w:t>
      </w:r>
      <w:r>
        <w:rPr>
          <w:rFonts w:asciiTheme="minorHAnsi" w:eastAsiaTheme="minorEastAsia" w:hAnsiTheme="minorHAnsi" w:cstheme="minorBidi"/>
          <w:noProof/>
          <w:kern w:val="2"/>
          <w:sz w:val="22"/>
          <w:lang w:eastAsia="en-GB"/>
          <w14:ligatures w14:val="standardContextual"/>
        </w:rPr>
        <w:tab/>
      </w:r>
      <w:r w:rsidRPr="00292B05">
        <w:rPr>
          <w:noProof/>
        </w:rPr>
        <w:t>Management and control system(s)</w:t>
      </w:r>
      <w:r>
        <w:rPr>
          <w:noProof/>
          <w:webHidden/>
        </w:rPr>
        <w:tab/>
        <w:t>8</w:t>
      </w:r>
    </w:p>
    <w:p w14:paraId="33D9F2D7"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2.2.1.</w:t>
      </w:r>
      <w:r>
        <w:rPr>
          <w:rFonts w:asciiTheme="minorHAnsi" w:eastAsiaTheme="minorEastAsia" w:hAnsiTheme="minorHAnsi" w:cstheme="minorBidi"/>
          <w:noProof/>
          <w:kern w:val="2"/>
          <w:sz w:val="22"/>
          <w:lang w:eastAsia="en-GB"/>
          <w14:ligatures w14:val="standardContextual"/>
        </w:rPr>
        <w:tab/>
      </w:r>
      <w:r w:rsidRPr="00292B05">
        <w:rPr>
          <w:noProof/>
        </w:rPr>
        <w:t>Justification of the budget implementation method(s), the funding implementation mechanism(s), the payment modalities and the control strategy proposed</w:t>
      </w:r>
      <w:r>
        <w:rPr>
          <w:noProof/>
          <w:webHidden/>
        </w:rPr>
        <w:tab/>
        <w:t>8</w:t>
      </w:r>
    </w:p>
    <w:p w14:paraId="4B45E5C4"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2.2.2.</w:t>
      </w:r>
      <w:r>
        <w:rPr>
          <w:rFonts w:asciiTheme="minorHAnsi" w:eastAsiaTheme="minorEastAsia" w:hAnsiTheme="minorHAnsi" w:cstheme="minorBidi"/>
          <w:noProof/>
          <w:kern w:val="2"/>
          <w:sz w:val="22"/>
          <w:lang w:eastAsia="en-GB"/>
          <w14:ligatures w14:val="standardContextual"/>
        </w:rPr>
        <w:tab/>
      </w:r>
      <w:r w:rsidRPr="00292B05">
        <w:rPr>
          <w:noProof/>
        </w:rPr>
        <w:t>Information concerning the risks identified and the internal control system(s) set up to mitigate them</w:t>
      </w:r>
      <w:r>
        <w:rPr>
          <w:noProof/>
          <w:webHidden/>
        </w:rPr>
        <w:tab/>
        <w:t>8</w:t>
      </w:r>
    </w:p>
    <w:p w14:paraId="538C6ADE"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2.2.3.</w:t>
      </w:r>
      <w:r>
        <w:rPr>
          <w:rFonts w:asciiTheme="minorHAnsi" w:eastAsiaTheme="minorEastAsia" w:hAnsiTheme="minorHAnsi" w:cstheme="minorBidi"/>
          <w:noProof/>
          <w:kern w:val="2"/>
          <w:sz w:val="22"/>
          <w:lang w:eastAsia="en-GB"/>
          <w14:ligatures w14:val="standardContextual"/>
        </w:rPr>
        <w:tab/>
      </w:r>
      <w:r w:rsidRPr="00292B05">
        <w:rPr>
          <w:noProof/>
        </w:rPr>
        <w:t>Estimation and justification of the cost-effectiveness of the controls (ratio between the control costs  and the value of the related funds managed), and assessment of the expected levels of risk of error (at payment &amp; at closure)</w:t>
      </w:r>
      <w:r>
        <w:rPr>
          <w:noProof/>
          <w:webHidden/>
        </w:rPr>
        <w:tab/>
        <w:t>8</w:t>
      </w:r>
    </w:p>
    <w:p w14:paraId="4CEC983F"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2.3.</w:t>
      </w:r>
      <w:r>
        <w:rPr>
          <w:rFonts w:asciiTheme="minorHAnsi" w:eastAsiaTheme="minorEastAsia" w:hAnsiTheme="minorHAnsi" w:cstheme="minorBidi"/>
          <w:noProof/>
          <w:kern w:val="2"/>
          <w:sz w:val="22"/>
          <w:lang w:eastAsia="en-GB"/>
          <w14:ligatures w14:val="standardContextual"/>
        </w:rPr>
        <w:tab/>
      </w:r>
      <w:r w:rsidRPr="00292B05">
        <w:rPr>
          <w:noProof/>
        </w:rPr>
        <w:t>Measures to prevent fraud and irregularities</w:t>
      </w:r>
      <w:r>
        <w:rPr>
          <w:noProof/>
          <w:webHidden/>
        </w:rPr>
        <w:tab/>
        <w:t>9</w:t>
      </w:r>
    </w:p>
    <w:p w14:paraId="2B997B4F" w14:textId="77777777" w:rsidR="00A56747" w:rsidRDefault="00A56747" w:rsidP="00A56747">
      <w:pPr>
        <w:pStyle w:val="TOC1"/>
        <w:rPr>
          <w:rFonts w:asciiTheme="minorHAnsi" w:eastAsiaTheme="minorEastAsia" w:hAnsiTheme="minorHAnsi" w:cstheme="minorBidi"/>
          <w:noProof/>
          <w:kern w:val="2"/>
          <w:sz w:val="22"/>
          <w:lang w:eastAsia="en-GB"/>
          <w14:ligatures w14:val="standardContextual"/>
        </w:rPr>
      </w:pPr>
      <w:r w:rsidRPr="00292B05">
        <w:rPr>
          <w:noProof/>
        </w:rPr>
        <w:t>3.</w:t>
      </w:r>
      <w:r>
        <w:rPr>
          <w:rFonts w:asciiTheme="minorHAnsi" w:eastAsiaTheme="minorEastAsia" w:hAnsiTheme="minorHAnsi" w:cstheme="minorBidi"/>
          <w:noProof/>
          <w:kern w:val="2"/>
          <w:sz w:val="22"/>
          <w:lang w:eastAsia="en-GB"/>
          <w14:ligatures w14:val="standardContextual"/>
        </w:rPr>
        <w:tab/>
      </w:r>
      <w:r w:rsidRPr="00292B05">
        <w:rPr>
          <w:noProof/>
        </w:rPr>
        <w:t>ESTIMATED FINANCIAL IMPACT OF THE PROPOSAL/INITIATIVE</w:t>
      </w:r>
      <w:r>
        <w:rPr>
          <w:noProof/>
          <w:webHidden/>
        </w:rPr>
        <w:tab/>
        <w:t>10</w:t>
      </w:r>
    </w:p>
    <w:p w14:paraId="3A1C580C"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3.1.</w:t>
      </w:r>
      <w:r>
        <w:rPr>
          <w:rFonts w:asciiTheme="minorHAnsi" w:eastAsiaTheme="minorEastAsia" w:hAnsiTheme="minorHAnsi" w:cstheme="minorBidi"/>
          <w:noProof/>
          <w:kern w:val="2"/>
          <w:sz w:val="22"/>
          <w:lang w:eastAsia="en-GB"/>
          <w14:ligatures w14:val="standardContextual"/>
        </w:rPr>
        <w:tab/>
      </w:r>
      <w:r w:rsidRPr="00292B05">
        <w:rPr>
          <w:noProof/>
        </w:rPr>
        <w:t>Heading(s) of the multiannual financial framework and expenditure budget line(s) affected</w:t>
      </w:r>
      <w:r>
        <w:rPr>
          <w:noProof/>
          <w:webHidden/>
        </w:rPr>
        <w:tab/>
        <w:t>10</w:t>
      </w:r>
    </w:p>
    <w:p w14:paraId="6C6A8FBC"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3.2.</w:t>
      </w:r>
      <w:r>
        <w:rPr>
          <w:rFonts w:asciiTheme="minorHAnsi" w:eastAsiaTheme="minorEastAsia" w:hAnsiTheme="minorHAnsi" w:cstheme="minorBidi"/>
          <w:noProof/>
          <w:kern w:val="2"/>
          <w:sz w:val="22"/>
          <w:lang w:eastAsia="en-GB"/>
          <w14:ligatures w14:val="standardContextual"/>
        </w:rPr>
        <w:tab/>
      </w:r>
      <w:r w:rsidRPr="00292B05">
        <w:rPr>
          <w:noProof/>
        </w:rPr>
        <w:t>Estimated financial impact of the proposal on appropriations</w:t>
      </w:r>
      <w:r>
        <w:rPr>
          <w:noProof/>
          <w:webHidden/>
        </w:rPr>
        <w:tab/>
        <w:t>12</w:t>
      </w:r>
    </w:p>
    <w:p w14:paraId="4F191529"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3.2.1.</w:t>
      </w:r>
      <w:r>
        <w:rPr>
          <w:rFonts w:asciiTheme="minorHAnsi" w:eastAsiaTheme="minorEastAsia" w:hAnsiTheme="minorHAnsi" w:cstheme="minorBidi"/>
          <w:noProof/>
          <w:kern w:val="2"/>
          <w:sz w:val="22"/>
          <w:lang w:eastAsia="en-GB"/>
          <w14:ligatures w14:val="standardContextual"/>
        </w:rPr>
        <w:tab/>
      </w:r>
      <w:r w:rsidRPr="00292B05">
        <w:rPr>
          <w:noProof/>
        </w:rPr>
        <w:t>Summary of estimated impact on operational appropriations</w:t>
      </w:r>
      <w:r>
        <w:rPr>
          <w:noProof/>
          <w:webHidden/>
        </w:rPr>
        <w:tab/>
        <w:t>12</w:t>
      </w:r>
    </w:p>
    <w:p w14:paraId="104D9519"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3.2.1.1.</w:t>
      </w:r>
      <w:r>
        <w:rPr>
          <w:rFonts w:asciiTheme="minorHAnsi" w:eastAsiaTheme="minorEastAsia" w:hAnsiTheme="minorHAnsi" w:cstheme="minorBidi"/>
          <w:noProof/>
          <w:kern w:val="2"/>
          <w:sz w:val="22"/>
          <w:lang w:eastAsia="en-GB"/>
          <w14:ligatures w14:val="standardContextual"/>
        </w:rPr>
        <w:tab/>
      </w:r>
      <w:r w:rsidRPr="00292B05">
        <w:rPr>
          <w:noProof/>
        </w:rPr>
        <w:t>Appropriations from voted budget</w:t>
      </w:r>
      <w:r>
        <w:rPr>
          <w:noProof/>
          <w:webHidden/>
        </w:rPr>
        <w:tab/>
        <w:t>12</w:t>
      </w:r>
    </w:p>
    <w:p w14:paraId="0B5D9356"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3.2.1.2.</w:t>
      </w:r>
      <w:r>
        <w:rPr>
          <w:rFonts w:asciiTheme="minorHAnsi" w:eastAsiaTheme="minorEastAsia" w:hAnsiTheme="minorHAnsi" w:cstheme="minorBidi"/>
          <w:noProof/>
          <w:kern w:val="2"/>
          <w:sz w:val="22"/>
          <w:lang w:eastAsia="en-GB"/>
          <w14:ligatures w14:val="standardContextual"/>
        </w:rPr>
        <w:tab/>
      </w:r>
      <w:r w:rsidRPr="00292B05">
        <w:rPr>
          <w:noProof/>
        </w:rPr>
        <w:t>Appropriations from external assigned revenues</w:t>
      </w:r>
      <w:r>
        <w:rPr>
          <w:noProof/>
          <w:webHidden/>
        </w:rPr>
        <w:tab/>
        <w:t>17</w:t>
      </w:r>
    </w:p>
    <w:p w14:paraId="1FEA0703"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3.2.2.</w:t>
      </w:r>
      <w:r>
        <w:rPr>
          <w:rFonts w:asciiTheme="minorHAnsi" w:eastAsiaTheme="minorEastAsia" w:hAnsiTheme="minorHAnsi" w:cstheme="minorBidi"/>
          <w:noProof/>
          <w:kern w:val="2"/>
          <w:sz w:val="22"/>
          <w:lang w:eastAsia="en-GB"/>
          <w14:ligatures w14:val="standardContextual"/>
        </w:rPr>
        <w:tab/>
      </w:r>
      <w:r w:rsidRPr="00292B05">
        <w:rPr>
          <w:noProof/>
        </w:rPr>
        <w:t>Estimated output funded from operational appropriations</w:t>
      </w:r>
      <w:r>
        <w:rPr>
          <w:noProof/>
          <w:webHidden/>
        </w:rPr>
        <w:tab/>
        <w:t>22</w:t>
      </w:r>
    </w:p>
    <w:p w14:paraId="701BBD7A"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3.2.3.</w:t>
      </w:r>
      <w:r>
        <w:rPr>
          <w:rFonts w:asciiTheme="minorHAnsi" w:eastAsiaTheme="minorEastAsia" w:hAnsiTheme="minorHAnsi" w:cstheme="minorBidi"/>
          <w:noProof/>
          <w:kern w:val="2"/>
          <w:sz w:val="22"/>
          <w:lang w:eastAsia="en-GB"/>
          <w14:ligatures w14:val="standardContextual"/>
        </w:rPr>
        <w:tab/>
      </w:r>
      <w:r w:rsidRPr="00292B05">
        <w:rPr>
          <w:noProof/>
        </w:rPr>
        <w:t>Summary of estimated impact on administrative appropriations</w:t>
      </w:r>
      <w:r>
        <w:rPr>
          <w:noProof/>
          <w:webHidden/>
        </w:rPr>
        <w:tab/>
        <w:t>24</w:t>
      </w:r>
    </w:p>
    <w:p w14:paraId="7340E4C8"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 xml:space="preserve">3.2.3.1. Appropriations </w:t>
      </w:r>
      <w:r w:rsidRPr="00292B05">
        <w:rPr>
          <w:rFonts w:eastAsia="Calibri"/>
          <w:noProof/>
        </w:rPr>
        <w:t>from</w:t>
      </w:r>
      <w:r w:rsidRPr="00292B05">
        <w:rPr>
          <w:noProof/>
        </w:rPr>
        <w:t xml:space="preserve"> voted budget</w:t>
      </w:r>
      <w:r>
        <w:rPr>
          <w:noProof/>
          <w:webHidden/>
        </w:rPr>
        <w:tab/>
        <w:t>24</w:t>
      </w:r>
    </w:p>
    <w:p w14:paraId="1B95C96A"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3.2.3.2.</w:t>
      </w:r>
      <w:r>
        <w:rPr>
          <w:rFonts w:asciiTheme="minorHAnsi" w:eastAsiaTheme="minorEastAsia" w:hAnsiTheme="minorHAnsi" w:cstheme="minorBidi"/>
          <w:noProof/>
          <w:kern w:val="2"/>
          <w:sz w:val="22"/>
          <w:lang w:eastAsia="en-GB"/>
          <w14:ligatures w14:val="standardContextual"/>
        </w:rPr>
        <w:tab/>
      </w:r>
      <w:r w:rsidRPr="00292B05">
        <w:rPr>
          <w:noProof/>
        </w:rPr>
        <w:t>Appropriations from external assigned revenues</w:t>
      </w:r>
      <w:r>
        <w:rPr>
          <w:noProof/>
          <w:webHidden/>
        </w:rPr>
        <w:tab/>
        <w:t>24</w:t>
      </w:r>
    </w:p>
    <w:p w14:paraId="5C5CAB9E"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3.2.3.3.</w:t>
      </w:r>
      <w:r>
        <w:rPr>
          <w:rFonts w:asciiTheme="minorHAnsi" w:eastAsiaTheme="minorEastAsia" w:hAnsiTheme="minorHAnsi" w:cstheme="minorBidi"/>
          <w:noProof/>
          <w:kern w:val="2"/>
          <w:sz w:val="22"/>
          <w:lang w:eastAsia="en-GB"/>
          <w14:ligatures w14:val="standardContextual"/>
        </w:rPr>
        <w:tab/>
      </w:r>
      <w:r w:rsidRPr="00292B05">
        <w:rPr>
          <w:noProof/>
        </w:rPr>
        <w:t>Total appropriations</w:t>
      </w:r>
      <w:r>
        <w:rPr>
          <w:noProof/>
          <w:webHidden/>
        </w:rPr>
        <w:tab/>
        <w:t>24</w:t>
      </w:r>
    </w:p>
    <w:p w14:paraId="6A30AA82"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3.2.4.</w:t>
      </w:r>
      <w:r>
        <w:rPr>
          <w:rFonts w:asciiTheme="minorHAnsi" w:eastAsiaTheme="minorEastAsia" w:hAnsiTheme="minorHAnsi" w:cstheme="minorBidi"/>
          <w:noProof/>
          <w:kern w:val="2"/>
          <w:sz w:val="22"/>
          <w:lang w:eastAsia="en-GB"/>
          <w14:ligatures w14:val="standardContextual"/>
        </w:rPr>
        <w:tab/>
      </w:r>
      <w:r w:rsidRPr="00292B05">
        <w:rPr>
          <w:noProof/>
        </w:rPr>
        <w:t>Estimated requirements of human resources</w:t>
      </w:r>
      <w:r>
        <w:rPr>
          <w:noProof/>
          <w:webHidden/>
        </w:rPr>
        <w:tab/>
        <w:t>25</w:t>
      </w:r>
    </w:p>
    <w:p w14:paraId="680A1C75"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3.2.4.1.</w:t>
      </w:r>
      <w:r>
        <w:rPr>
          <w:rFonts w:asciiTheme="minorHAnsi" w:eastAsiaTheme="minorEastAsia" w:hAnsiTheme="minorHAnsi" w:cstheme="minorBidi"/>
          <w:noProof/>
          <w:kern w:val="2"/>
          <w:sz w:val="22"/>
          <w:lang w:eastAsia="en-GB"/>
          <w14:ligatures w14:val="standardContextual"/>
        </w:rPr>
        <w:tab/>
      </w:r>
      <w:r w:rsidRPr="00292B05">
        <w:rPr>
          <w:noProof/>
        </w:rPr>
        <w:t>Financed from voted budget</w:t>
      </w:r>
      <w:r>
        <w:rPr>
          <w:noProof/>
          <w:webHidden/>
        </w:rPr>
        <w:tab/>
        <w:t>25</w:t>
      </w:r>
    </w:p>
    <w:p w14:paraId="66F2AF89"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3.2.4.2.</w:t>
      </w:r>
      <w:r>
        <w:rPr>
          <w:rFonts w:asciiTheme="minorHAnsi" w:eastAsiaTheme="minorEastAsia" w:hAnsiTheme="minorHAnsi" w:cstheme="minorBidi"/>
          <w:noProof/>
          <w:kern w:val="2"/>
          <w:sz w:val="22"/>
          <w:lang w:eastAsia="en-GB"/>
          <w14:ligatures w14:val="standardContextual"/>
        </w:rPr>
        <w:tab/>
      </w:r>
      <w:r w:rsidRPr="00292B05">
        <w:rPr>
          <w:noProof/>
        </w:rPr>
        <w:t>Financed from external assigned revenues</w:t>
      </w:r>
      <w:r>
        <w:rPr>
          <w:noProof/>
          <w:webHidden/>
        </w:rPr>
        <w:tab/>
        <w:t>26</w:t>
      </w:r>
    </w:p>
    <w:p w14:paraId="0744FE5A"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3.2.4.3.</w:t>
      </w:r>
      <w:r>
        <w:rPr>
          <w:rFonts w:asciiTheme="minorHAnsi" w:eastAsiaTheme="minorEastAsia" w:hAnsiTheme="minorHAnsi" w:cstheme="minorBidi"/>
          <w:noProof/>
          <w:kern w:val="2"/>
          <w:sz w:val="22"/>
          <w:lang w:eastAsia="en-GB"/>
          <w14:ligatures w14:val="standardContextual"/>
        </w:rPr>
        <w:tab/>
      </w:r>
      <w:r w:rsidRPr="00292B05">
        <w:rPr>
          <w:noProof/>
        </w:rPr>
        <w:t>Total requirements of human resources</w:t>
      </w:r>
      <w:r>
        <w:rPr>
          <w:noProof/>
          <w:webHidden/>
        </w:rPr>
        <w:tab/>
        <w:t>26</w:t>
      </w:r>
    </w:p>
    <w:p w14:paraId="7CDE8587"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3.2.5.</w:t>
      </w:r>
      <w:r>
        <w:rPr>
          <w:rFonts w:asciiTheme="minorHAnsi" w:eastAsiaTheme="minorEastAsia" w:hAnsiTheme="minorHAnsi" w:cstheme="minorBidi"/>
          <w:noProof/>
          <w:kern w:val="2"/>
          <w:sz w:val="22"/>
          <w:lang w:eastAsia="en-GB"/>
          <w14:ligatures w14:val="standardContextual"/>
        </w:rPr>
        <w:tab/>
      </w:r>
      <w:r w:rsidRPr="00292B05">
        <w:rPr>
          <w:noProof/>
        </w:rPr>
        <w:t>Overview of estimated impact on digital technology-related investments</w:t>
      </w:r>
      <w:r>
        <w:rPr>
          <w:noProof/>
          <w:webHidden/>
        </w:rPr>
        <w:tab/>
        <w:t>28</w:t>
      </w:r>
    </w:p>
    <w:p w14:paraId="7FB58D24"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3.2.6.</w:t>
      </w:r>
      <w:r>
        <w:rPr>
          <w:rFonts w:asciiTheme="minorHAnsi" w:eastAsiaTheme="minorEastAsia" w:hAnsiTheme="minorHAnsi" w:cstheme="minorBidi"/>
          <w:noProof/>
          <w:kern w:val="2"/>
          <w:sz w:val="22"/>
          <w:lang w:eastAsia="en-GB"/>
          <w14:ligatures w14:val="standardContextual"/>
        </w:rPr>
        <w:tab/>
      </w:r>
      <w:r w:rsidRPr="00292B05">
        <w:rPr>
          <w:noProof/>
        </w:rPr>
        <w:t>Compatibility with the current multiannual financial framework</w:t>
      </w:r>
      <w:r>
        <w:rPr>
          <w:noProof/>
          <w:webHidden/>
        </w:rPr>
        <w:tab/>
        <w:t>28</w:t>
      </w:r>
    </w:p>
    <w:p w14:paraId="72F49D14" w14:textId="77777777" w:rsidR="00A56747" w:rsidRDefault="00A56747" w:rsidP="00A56747">
      <w:pPr>
        <w:pStyle w:val="TOC3"/>
        <w:rPr>
          <w:rFonts w:asciiTheme="minorHAnsi" w:eastAsiaTheme="minorEastAsia" w:hAnsiTheme="minorHAnsi" w:cstheme="minorBidi"/>
          <w:noProof/>
          <w:kern w:val="2"/>
          <w:sz w:val="22"/>
          <w:lang w:eastAsia="en-GB"/>
          <w14:ligatures w14:val="standardContextual"/>
        </w:rPr>
      </w:pPr>
      <w:r w:rsidRPr="00292B05">
        <w:rPr>
          <w:noProof/>
        </w:rPr>
        <w:t>3.2.7.</w:t>
      </w:r>
      <w:r>
        <w:rPr>
          <w:rFonts w:asciiTheme="minorHAnsi" w:eastAsiaTheme="minorEastAsia" w:hAnsiTheme="minorHAnsi" w:cstheme="minorBidi"/>
          <w:noProof/>
          <w:kern w:val="2"/>
          <w:sz w:val="22"/>
          <w:lang w:eastAsia="en-GB"/>
          <w14:ligatures w14:val="standardContextual"/>
        </w:rPr>
        <w:tab/>
      </w:r>
      <w:r w:rsidRPr="00292B05">
        <w:rPr>
          <w:noProof/>
        </w:rPr>
        <w:t>Third-party contributions</w:t>
      </w:r>
      <w:r>
        <w:rPr>
          <w:noProof/>
          <w:webHidden/>
        </w:rPr>
        <w:tab/>
        <w:t>28</w:t>
      </w:r>
    </w:p>
    <w:p w14:paraId="2D3B03F9" w14:textId="77777777" w:rsidR="00A56747" w:rsidRPr="005F34F5"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3.3.</w:t>
      </w:r>
      <w:r w:rsidRPr="005F34F5">
        <w:rPr>
          <w:rFonts w:asciiTheme="minorHAnsi" w:eastAsiaTheme="minorEastAsia" w:hAnsiTheme="minorHAnsi" w:cstheme="minorBidi"/>
          <w:noProof/>
          <w:kern w:val="2"/>
          <w:sz w:val="22"/>
          <w:lang w:eastAsia="en-GB"/>
          <w14:ligatures w14:val="standardContextual"/>
        </w:rPr>
        <w:tab/>
      </w:r>
      <w:r w:rsidRPr="00292B05">
        <w:rPr>
          <w:noProof/>
        </w:rPr>
        <w:t>Estimated impact on revenue</w:t>
      </w:r>
      <w:r w:rsidRPr="005F34F5">
        <w:rPr>
          <w:noProof/>
          <w:webHidden/>
        </w:rPr>
        <w:tab/>
        <w:t>29</w:t>
      </w:r>
    </w:p>
    <w:p w14:paraId="4C143D1A" w14:textId="77777777" w:rsidR="00A56747" w:rsidRDefault="00A56747" w:rsidP="00A56747">
      <w:pPr>
        <w:pStyle w:val="TOC1"/>
        <w:rPr>
          <w:rFonts w:asciiTheme="minorHAnsi" w:eastAsiaTheme="minorEastAsia" w:hAnsiTheme="minorHAnsi" w:cstheme="minorBidi"/>
          <w:noProof/>
          <w:kern w:val="2"/>
          <w:sz w:val="22"/>
          <w:lang w:eastAsia="en-GB"/>
          <w14:ligatures w14:val="standardContextual"/>
        </w:rPr>
      </w:pPr>
      <w:r w:rsidRPr="00292B05">
        <w:rPr>
          <w:noProof/>
        </w:rPr>
        <w:t>4.</w:t>
      </w:r>
      <w:r>
        <w:rPr>
          <w:rFonts w:asciiTheme="minorHAnsi" w:eastAsiaTheme="minorEastAsia" w:hAnsiTheme="minorHAnsi" w:cstheme="minorBidi"/>
          <w:noProof/>
          <w:kern w:val="2"/>
          <w:sz w:val="22"/>
          <w:lang w:eastAsia="en-GB"/>
          <w14:ligatures w14:val="standardContextual"/>
        </w:rPr>
        <w:tab/>
      </w:r>
      <w:r w:rsidRPr="00292B05">
        <w:rPr>
          <w:caps/>
          <w:noProof/>
        </w:rPr>
        <w:t>Digital dimensions</w:t>
      </w:r>
      <w:r>
        <w:rPr>
          <w:noProof/>
          <w:webHidden/>
        </w:rPr>
        <w:tab/>
        <w:t>29</w:t>
      </w:r>
    </w:p>
    <w:p w14:paraId="3F78D986"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4.1.</w:t>
      </w:r>
      <w:r>
        <w:rPr>
          <w:rFonts w:asciiTheme="minorHAnsi" w:eastAsiaTheme="minorEastAsia" w:hAnsiTheme="minorHAnsi" w:cstheme="minorBidi"/>
          <w:noProof/>
          <w:kern w:val="2"/>
          <w:sz w:val="22"/>
          <w:lang w:eastAsia="en-GB"/>
          <w14:ligatures w14:val="standardContextual"/>
        </w:rPr>
        <w:tab/>
      </w:r>
      <w:r w:rsidRPr="00292B05">
        <w:rPr>
          <w:noProof/>
        </w:rPr>
        <w:t>Requirements of digital relevance</w:t>
      </w:r>
      <w:r>
        <w:rPr>
          <w:noProof/>
          <w:webHidden/>
        </w:rPr>
        <w:tab/>
        <w:t>30</w:t>
      </w:r>
    </w:p>
    <w:p w14:paraId="1A3DC3AC"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4.2.</w:t>
      </w:r>
      <w:r>
        <w:rPr>
          <w:rFonts w:asciiTheme="minorHAnsi" w:eastAsiaTheme="minorEastAsia" w:hAnsiTheme="minorHAnsi" w:cstheme="minorBidi"/>
          <w:noProof/>
          <w:kern w:val="2"/>
          <w:sz w:val="22"/>
          <w:lang w:eastAsia="en-GB"/>
          <w14:ligatures w14:val="standardContextual"/>
        </w:rPr>
        <w:tab/>
      </w:r>
      <w:r w:rsidRPr="00292B05">
        <w:rPr>
          <w:noProof/>
        </w:rPr>
        <w:t>Data</w:t>
      </w:r>
      <w:r>
        <w:rPr>
          <w:noProof/>
          <w:webHidden/>
        </w:rPr>
        <w:tab/>
        <w:t>30</w:t>
      </w:r>
    </w:p>
    <w:p w14:paraId="4E8856BB"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4.3.</w:t>
      </w:r>
      <w:r>
        <w:rPr>
          <w:rFonts w:asciiTheme="minorHAnsi" w:eastAsiaTheme="minorEastAsia" w:hAnsiTheme="minorHAnsi" w:cstheme="minorBidi"/>
          <w:noProof/>
          <w:kern w:val="2"/>
          <w:sz w:val="22"/>
          <w:lang w:eastAsia="en-GB"/>
          <w14:ligatures w14:val="standardContextual"/>
        </w:rPr>
        <w:tab/>
      </w:r>
      <w:r w:rsidRPr="00292B05">
        <w:rPr>
          <w:noProof/>
        </w:rPr>
        <w:t>Digital solutions</w:t>
      </w:r>
      <w:r>
        <w:rPr>
          <w:noProof/>
          <w:webHidden/>
        </w:rPr>
        <w:tab/>
        <w:t>31</w:t>
      </w:r>
    </w:p>
    <w:p w14:paraId="5F741514"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bCs/>
          <w:noProof/>
        </w:rPr>
        <w:t>4.4.</w:t>
      </w:r>
      <w:r>
        <w:rPr>
          <w:rFonts w:asciiTheme="minorHAnsi" w:eastAsiaTheme="minorEastAsia" w:hAnsiTheme="minorHAnsi" w:cstheme="minorBidi"/>
          <w:noProof/>
          <w:kern w:val="2"/>
          <w:sz w:val="22"/>
          <w:lang w:eastAsia="en-GB"/>
          <w14:ligatures w14:val="standardContextual"/>
        </w:rPr>
        <w:tab/>
      </w:r>
      <w:r w:rsidRPr="00292B05">
        <w:rPr>
          <w:bCs/>
          <w:noProof/>
        </w:rPr>
        <w:t>Interoperability assessment</w:t>
      </w:r>
      <w:r>
        <w:rPr>
          <w:noProof/>
          <w:webHidden/>
        </w:rPr>
        <w:tab/>
        <w:t>31</w:t>
      </w:r>
    </w:p>
    <w:p w14:paraId="0359959B" w14:textId="77777777" w:rsidR="00A56747" w:rsidRDefault="00A56747" w:rsidP="00A56747">
      <w:pPr>
        <w:pStyle w:val="TOC2"/>
        <w:rPr>
          <w:rFonts w:asciiTheme="minorHAnsi" w:eastAsiaTheme="minorEastAsia" w:hAnsiTheme="minorHAnsi" w:cstheme="minorBidi"/>
          <w:noProof/>
          <w:kern w:val="2"/>
          <w:sz w:val="22"/>
          <w:lang w:eastAsia="en-GB"/>
          <w14:ligatures w14:val="standardContextual"/>
        </w:rPr>
      </w:pPr>
      <w:r w:rsidRPr="00292B05">
        <w:rPr>
          <w:noProof/>
        </w:rPr>
        <w:t>4.5.</w:t>
      </w:r>
      <w:r>
        <w:rPr>
          <w:rFonts w:asciiTheme="minorHAnsi" w:eastAsiaTheme="minorEastAsia" w:hAnsiTheme="minorHAnsi" w:cstheme="minorBidi"/>
          <w:noProof/>
          <w:kern w:val="2"/>
          <w:sz w:val="22"/>
          <w:lang w:eastAsia="en-GB"/>
          <w14:ligatures w14:val="standardContextual"/>
        </w:rPr>
        <w:tab/>
      </w:r>
      <w:r w:rsidRPr="00292B05">
        <w:rPr>
          <w:noProof/>
        </w:rPr>
        <w:t>Measures to support digital implementation</w:t>
      </w:r>
      <w:r>
        <w:rPr>
          <w:noProof/>
          <w:webHidden/>
        </w:rPr>
        <w:tab/>
        <w:t>32</w:t>
      </w:r>
    </w:p>
    <w:p w14:paraId="1ECD2005" w14:textId="77777777" w:rsidR="00A56747" w:rsidRDefault="00A56747" w:rsidP="00A56747">
      <w:pPr>
        <w:pStyle w:val="TOC1"/>
        <w:ind w:left="0" w:firstLine="0"/>
        <w:rPr>
          <w:noProof/>
        </w:rPr>
        <w:sectPr w:rsidR="00A56747" w:rsidSect="00A12408">
          <w:pgSz w:w="11907" w:h="16840" w:code="9"/>
          <w:pgMar w:top="1134" w:right="1418" w:bottom="1134" w:left="1418" w:header="709" w:footer="709" w:gutter="0"/>
          <w:pgNumType w:start="1"/>
          <w:cols w:space="720"/>
          <w:docGrid w:linePitch="360"/>
        </w:sectPr>
      </w:pPr>
    </w:p>
    <w:p w14:paraId="3E5228F2" w14:textId="77777777" w:rsidR="00A56747" w:rsidRDefault="00A56747" w:rsidP="00A56747">
      <w:pPr>
        <w:pStyle w:val="ManualHeading1"/>
        <w:rPr>
          <w:noProof/>
        </w:rPr>
      </w:pPr>
      <w:bookmarkStart w:id="64" w:name="_Toc514938007"/>
      <w:bookmarkStart w:id="65" w:name="_Toc520485025"/>
      <w:bookmarkStart w:id="66" w:name="_Toc160804567"/>
      <w:bookmarkStart w:id="67" w:name="_Toc167220259"/>
      <w:bookmarkStart w:id="68" w:name="_Toc177548992"/>
      <w:r w:rsidRPr="0021790A">
        <w:rPr>
          <w:noProof/>
        </w:rPr>
        <w:t>1.</w:t>
      </w:r>
      <w:r w:rsidRPr="0021790A">
        <w:rPr>
          <w:noProof/>
        </w:rPr>
        <w:tab/>
      </w:r>
      <w:r>
        <w:rPr>
          <w:noProof/>
        </w:rPr>
        <w:t>FRAMEWORK OF THE PROPOSAL/INITIATIVE</w:t>
      </w:r>
      <w:bookmarkEnd w:id="64"/>
      <w:bookmarkEnd w:id="65"/>
      <w:bookmarkEnd w:id="66"/>
      <w:bookmarkEnd w:id="67"/>
      <w:bookmarkEnd w:id="68"/>
      <w:r>
        <w:rPr>
          <w:noProof/>
        </w:rPr>
        <w:t xml:space="preserve"> </w:t>
      </w:r>
    </w:p>
    <w:p w14:paraId="70F9B08A" w14:textId="77777777" w:rsidR="00A56747" w:rsidRPr="008774EA" w:rsidRDefault="00A56747" w:rsidP="00A56747">
      <w:pPr>
        <w:pStyle w:val="ManualHeading2"/>
        <w:rPr>
          <w:noProof/>
        </w:rPr>
      </w:pPr>
      <w:bookmarkStart w:id="69" w:name="_Toc514938008"/>
      <w:bookmarkStart w:id="70" w:name="_Toc520485026"/>
      <w:bookmarkStart w:id="71" w:name="_Toc160804568"/>
      <w:bookmarkStart w:id="72" w:name="_Toc167220260"/>
      <w:bookmarkStart w:id="73" w:name="_Toc177548993"/>
      <w:r w:rsidRPr="008774EA">
        <w:rPr>
          <w:noProof/>
        </w:rPr>
        <w:t>1.1.</w:t>
      </w:r>
      <w:r w:rsidRPr="008774EA">
        <w:rPr>
          <w:noProof/>
        </w:rPr>
        <w:tab/>
        <w:t>Title of the proposal/initiative</w:t>
      </w:r>
      <w:bookmarkEnd w:id="69"/>
      <w:bookmarkEnd w:id="70"/>
      <w:bookmarkEnd w:id="71"/>
      <w:bookmarkEnd w:id="72"/>
      <w:bookmarkEnd w:id="73"/>
    </w:p>
    <w:p w14:paraId="35F69C2A"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734EC6">
        <w:rPr>
          <w:noProof/>
        </w:rPr>
        <w:t>REGULATION OF THE EUROPEAN PARLIAMENT AND OF THE COUNCIL amending Regulation 2021/1056 and Regulation 2021/1058 […]</w:t>
      </w:r>
    </w:p>
    <w:p w14:paraId="50D1BED0" w14:textId="77777777" w:rsidR="00A56747" w:rsidRDefault="00A56747" w:rsidP="00A56747">
      <w:pPr>
        <w:pStyle w:val="ManualHeading2"/>
        <w:rPr>
          <w:i/>
          <w:noProof/>
        </w:rPr>
      </w:pPr>
      <w:bookmarkStart w:id="74" w:name="_Toc514938011"/>
      <w:bookmarkStart w:id="75" w:name="_Toc520485027"/>
      <w:bookmarkStart w:id="76" w:name="_Toc160804569"/>
      <w:bookmarkStart w:id="77" w:name="_Toc167220261"/>
      <w:bookmarkStart w:id="78" w:name="_Toc177548994"/>
      <w:r w:rsidRPr="0021790A">
        <w:rPr>
          <w:noProof/>
        </w:rPr>
        <w:t>1.2.</w:t>
      </w:r>
      <w:r w:rsidRPr="0021790A">
        <w:rPr>
          <w:noProof/>
        </w:rPr>
        <w:tab/>
      </w:r>
      <w:r>
        <w:rPr>
          <w:noProof/>
        </w:rPr>
        <w:t>Policy area(s) concerned</w:t>
      </w:r>
      <w:bookmarkEnd w:id="74"/>
      <w:bookmarkEnd w:id="75"/>
      <w:bookmarkEnd w:id="76"/>
      <w:bookmarkEnd w:id="77"/>
      <w:bookmarkEnd w:id="78"/>
      <w:r>
        <w:rPr>
          <w:i/>
          <w:noProof/>
        </w:rPr>
        <w:t xml:space="preserve"> </w:t>
      </w:r>
    </w:p>
    <w:p w14:paraId="19921D50"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CC620F">
        <w:rPr>
          <w:noProof/>
        </w:rPr>
        <w:t>Cohesion policy: European Regional Development Fund (ERDF), Cohesion Fund and Just Transition Fund (JTF)</w:t>
      </w:r>
    </w:p>
    <w:p w14:paraId="157B412F" w14:textId="77777777" w:rsidR="00A56747" w:rsidRDefault="00A56747" w:rsidP="00A56747">
      <w:pPr>
        <w:pStyle w:val="ManualHeading2"/>
        <w:rPr>
          <w:noProof/>
        </w:rPr>
      </w:pPr>
      <w:bookmarkStart w:id="79" w:name="_Toc514938015"/>
      <w:bookmarkStart w:id="80" w:name="_Toc520485029"/>
      <w:bookmarkStart w:id="81" w:name="_Toc160804571"/>
      <w:bookmarkStart w:id="82" w:name="_Toc167220263"/>
      <w:bookmarkStart w:id="83" w:name="_Toc177548995"/>
      <w:r>
        <w:rPr>
          <w:noProof/>
        </w:rPr>
        <w:t>1.3.</w:t>
      </w:r>
      <w:r>
        <w:rPr>
          <w:noProof/>
        </w:rPr>
        <w:tab/>
      </w:r>
      <w:r w:rsidRPr="7D67B65D">
        <w:rPr>
          <w:noProof/>
        </w:rPr>
        <w:t>Objective(s)</w:t>
      </w:r>
      <w:bookmarkEnd w:id="79"/>
      <w:bookmarkEnd w:id="80"/>
      <w:bookmarkEnd w:id="81"/>
      <w:bookmarkEnd w:id="82"/>
      <w:bookmarkEnd w:id="83"/>
    </w:p>
    <w:p w14:paraId="3480679D" w14:textId="77777777" w:rsidR="00A56747" w:rsidRPr="009B753E" w:rsidRDefault="00A56747" w:rsidP="00A56747">
      <w:pPr>
        <w:pStyle w:val="ManualHeading3"/>
        <w:rPr>
          <w:noProof/>
        </w:rPr>
      </w:pPr>
      <w:bookmarkStart w:id="84" w:name="_Toc514938016"/>
      <w:bookmarkStart w:id="85" w:name="_Toc520485030"/>
      <w:bookmarkStart w:id="86" w:name="_Toc160804572"/>
      <w:bookmarkStart w:id="87" w:name="_Toc167220264"/>
      <w:bookmarkStart w:id="88" w:name="_Toc177548996"/>
      <w:r>
        <w:rPr>
          <w:noProof/>
        </w:rPr>
        <w:t>1.3.1.</w:t>
      </w:r>
      <w:r>
        <w:rPr>
          <w:noProof/>
        </w:rPr>
        <w:tab/>
      </w:r>
      <w:r w:rsidRPr="7D67B65D">
        <w:rPr>
          <w:noProof/>
        </w:rPr>
        <w:t>General objective(s)</w:t>
      </w:r>
      <w:bookmarkEnd w:id="84"/>
      <w:bookmarkEnd w:id="85"/>
      <w:bookmarkEnd w:id="86"/>
      <w:bookmarkEnd w:id="87"/>
      <w:bookmarkEnd w:id="88"/>
    </w:p>
    <w:p w14:paraId="3D13CD13"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 xml:space="preserve">The cohesion policy funds and the JTF provide financing in support of the harmonious development of the EU, through actions that lead to the strengthening of its economic, social and territorial cohesion. </w:t>
      </w:r>
    </w:p>
    <w:p w14:paraId="3BAF1FFA"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In support of this overarching objective, the Funds also contribute to advancing key policy objectives, including strengthening the overall competitiveness and the strategic autonomy of the EU, and addressing challenges and opportunities that are associated with the green, digital and social transitions.</w:t>
      </w:r>
    </w:p>
    <w:p w14:paraId="486A9E00" w14:textId="77777777" w:rsidR="00A56747" w:rsidRDefault="00A56747" w:rsidP="00A56747">
      <w:pPr>
        <w:pStyle w:val="ManualHeading3"/>
        <w:rPr>
          <w:noProof/>
        </w:rPr>
      </w:pPr>
      <w:bookmarkStart w:id="89" w:name="_Toc514938018"/>
      <w:bookmarkStart w:id="90" w:name="_Toc520485031"/>
      <w:bookmarkStart w:id="91" w:name="_Toc160804573"/>
      <w:bookmarkStart w:id="92" w:name="_Toc167220265"/>
      <w:bookmarkStart w:id="93" w:name="_Toc177548997"/>
      <w:r>
        <w:rPr>
          <w:noProof/>
        </w:rPr>
        <w:t>1.3.2.</w:t>
      </w:r>
      <w:r>
        <w:rPr>
          <w:noProof/>
        </w:rPr>
        <w:tab/>
      </w:r>
      <w:r w:rsidRPr="7D67B65D">
        <w:rPr>
          <w:noProof/>
        </w:rPr>
        <w:t>Specific objective(s)</w:t>
      </w:r>
      <w:bookmarkEnd w:id="89"/>
      <w:bookmarkEnd w:id="90"/>
      <w:bookmarkEnd w:id="91"/>
      <w:bookmarkEnd w:id="92"/>
      <w:bookmarkEnd w:id="93"/>
    </w:p>
    <w:p w14:paraId="3D3C3A38"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Specific objective No 1</w:t>
      </w:r>
    </w:p>
    <w:p w14:paraId="4A92567A" w14:textId="77777777" w:rsidR="00A56747" w:rsidRPr="005B4314"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 xml:space="preserve">Accelerate the implementation of 2021-2027 cohesion policy programmes by enhancing the flexibility and provide areas of simplification for the use of cohesion policy funds. </w:t>
      </w:r>
    </w:p>
    <w:p w14:paraId="6B0C61E1" w14:textId="77777777" w:rsidR="00A56747" w:rsidRPr="005B4314" w:rsidRDefault="00A56747" w:rsidP="00A56747">
      <w:pPr>
        <w:pStyle w:val="Text1"/>
        <w:rPr>
          <w:noProof/>
        </w:rPr>
      </w:pPr>
    </w:p>
    <w:p w14:paraId="5513F397" w14:textId="77777777" w:rsidR="00A56747" w:rsidRPr="005B4314" w:rsidRDefault="00A56747" w:rsidP="00A56747">
      <w:pPr>
        <w:pStyle w:val="Text1"/>
        <w:pBdr>
          <w:top w:val="single" w:sz="4" w:space="1" w:color="auto"/>
          <w:left w:val="single" w:sz="4" w:space="4" w:color="auto"/>
          <w:bottom w:val="single" w:sz="4" w:space="1" w:color="auto"/>
          <w:right w:val="single" w:sz="4" w:space="4" w:color="auto"/>
        </w:pBdr>
        <w:rPr>
          <w:noProof/>
          <w:u w:val="single"/>
        </w:rPr>
      </w:pPr>
      <w:r w:rsidRPr="00B33FAF">
        <w:rPr>
          <w:noProof/>
        </w:rPr>
        <w:t xml:space="preserve">Specific objective No 2 </w:t>
      </w:r>
    </w:p>
    <w:p w14:paraId="7974D59F"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 xml:space="preserve">Provide support from cohesion policy funds under the 2021-2027 programmes to defence related investments as a short-term reaction to recent geopolitical events by providing additional possibilities for Member States to increase investment in the defence sector and for enhancing production capacities and resilient dual-use infrastructure. </w:t>
      </w:r>
    </w:p>
    <w:p w14:paraId="123438F0"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 xml:space="preserve">Emphasise the importance of addressing the housing crisis by creating incentives in the 2021-2027 regulatory framework for the investment in affordable housing. </w:t>
      </w:r>
    </w:p>
    <w:p w14:paraId="7879128B"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 xml:space="preserve">Emphasise the strategic importance of secure access to water and sustainable and resilient water management by creating incentives in the 2021-2027 regulatory framework for investment in relevant projects. </w:t>
      </w:r>
    </w:p>
    <w:p w14:paraId="57C96A03"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Address specific territorial challenges of the Regions bordering Ukraine, Russia and Belarus.</w:t>
      </w:r>
    </w:p>
    <w:p w14:paraId="64F4D752" w14:textId="77777777" w:rsidR="00A56747" w:rsidRPr="00BD0A20" w:rsidRDefault="00A56747" w:rsidP="00A56747">
      <w:pPr>
        <w:pStyle w:val="ManualHeading3"/>
        <w:rPr>
          <w:noProof/>
        </w:rPr>
      </w:pPr>
      <w:bookmarkStart w:id="94" w:name="_Toc514938019"/>
      <w:bookmarkStart w:id="95" w:name="_Toc520485032"/>
      <w:bookmarkStart w:id="96" w:name="_Toc160804574"/>
      <w:bookmarkStart w:id="97" w:name="_Toc167220266"/>
      <w:bookmarkStart w:id="98" w:name="_Toc177548998"/>
      <w:r>
        <w:rPr>
          <w:noProof/>
        </w:rPr>
        <w:t>1.3.3.</w:t>
      </w:r>
      <w:r>
        <w:rPr>
          <w:noProof/>
        </w:rPr>
        <w:tab/>
      </w:r>
      <w:r w:rsidRPr="7D67B65D">
        <w:rPr>
          <w:noProof/>
        </w:rPr>
        <w:t>Expected result(s) and impact</w:t>
      </w:r>
      <w:bookmarkEnd w:id="94"/>
      <w:bookmarkEnd w:id="95"/>
      <w:bookmarkEnd w:id="96"/>
      <w:bookmarkEnd w:id="97"/>
      <w:bookmarkEnd w:id="98"/>
    </w:p>
    <w:p w14:paraId="1FF543A7" w14:textId="77777777" w:rsidR="00A56747" w:rsidRDefault="00A56747" w:rsidP="00A56747">
      <w:pPr>
        <w:pStyle w:val="Text1"/>
        <w:rPr>
          <w:i/>
          <w:noProof/>
          <w:sz w:val="20"/>
        </w:rPr>
      </w:pPr>
      <w:r>
        <w:rPr>
          <w:i/>
          <w:noProof/>
          <w:sz w:val="20"/>
        </w:rPr>
        <w:t>Specify the effects which the proposal/initiative should have on the beneficiaries/groups targeted.</w:t>
      </w:r>
    </w:p>
    <w:p w14:paraId="1F310F7F"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Specific objective No 1 </w:t>
      </w:r>
    </w:p>
    <w:p w14:paraId="382C4CF6" w14:textId="77777777" w:rsidR="00A56747" w:rsidRPr="009D211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Maximising the use of the resources allocated to the ERDF and Cohesion Fund under the 2021-2027 MFF, and the resources allocated to the Just Transition Fund under the 2021-2027 MFF and NGEU for the policy objectives set out in the regulations. </w:t>
      </w:r>
    </w:p>
    <w:p w14:paraId="16913A55" w14:textId="77777777" w:rsidR="00A56747" w:rsidRPr="009D2117" w:rsidRDefault="00A56747" w:rsidP="00A56747">
      <w:pPr>
        <w:pStyle w:val="ManualHeading3"/>
        <w:rPr>
          <w:noProof/>
        </w:rPr>
      </w:pPr>
      <w:bookmarkStart w:id="99" w:name="_Toc514938023"/>
      <w:bookmarkStart w:id="100" w:name="_Toc520485033"/>
      <w:bookmarkStart w:id="101" w:name="_Toc160804575"/>
      <w:bookmarkStart w:id="102" w:name="_Toc167220267"/>
      <w:bookmarkStart w:id="103" w:name="_Toc177548999"/>
    </w:p>
    <w:p w14:paraId="5C7794DC"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Specific objective No 2 </w:t>
      </w:r>
    </w:p>
    <w:p w14:paraId="7296AEC9"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Increased production capacity of enterprises in the defence sector and the adaptation of critical mobility infrastructure to emerging defence challenges of critical mobility infrastructure. </w:t>
      </w:r>
    </w:p>
    <w:p w14:paraId="19BC4052"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Increased support to address the specific challenges of regions bordering Russia, Belarus and Ukraine.</w:t>
      </w:r>
    </w:p>
    <w:p w14:paraId="65FC4175"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An uptake in investments supporting the EU’s competitiveness.</w:t>
      </w:r>
    </w:p>
    <w:p w14:paraId="19682423"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An uptake in investments in building and renovation projects in affordable housing. </w:t>
      </w:r>
    </w:p>
    <w:p w14:paraId="4B3F0524"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An uptake in investments in projects that increase the EU’s water resilience and improve the sustainable water management. </w:t>
      </w:r>
    </w:p>
    <w:p w14:paraId="4BB51948" w14:textId="77777777" w:rsidR="00A56747" w:rsidRPr="002116DC" w:rsidRDefault="00A56747" w:rsidP="00A56747">
      <w:pPr>
        <w:pStyle w:val="Text1"/>
        <w:rPr>
          <w:noProof/>
        </w:rPr>
      </w:pPr>
    </w:p>
    <w:p w14:paraId="7D97CBE0" w14:textId="77777777" w:rsidR="00A56747" w:rsidRDefault="00A56747" w:rsidP="00A56747">
      <w:pPr>
        <w:pStyle w:val="ManualHeading3"/>
        <w:rPr>
          <w:noProof/>
        </w:rPr>
      </w:pPr>
      <w:r>
        <w:rPr>
          <w:noProof/>
        </w:rPr>
        <w:t>1.3.4.</w:t>
      </w:r>
      <w:r>
        <w:rPr>
          <w:noProof/>
        </w:rPr>
        <w:tab/>
      </w:r>
      <w:r w:rsidRPr="7D67B65D">
        <w:rPr>
          <w:noProof/>
        </w:rPr>
        <w:t>Indicators of performance</w:t>
      </w:r>
      <w:bookmarkEnd w:id="99"/>
      <w:bookmarkEnd w:id="100"/>
      <w:bookmarkEnd w:id="101"/>
      <w:bookmarkEnd w:id="102"/>
      <w:bookmarkEnd w:id="103"/>
    </w:p>
    <w:p w14:paraId="43753FB8" w14:textId="77777777" w:rsidR="00A56747" w:rsidRDefault="00A56747" w:rsidP="00A56747">
      <w:pPr>
        <w:pStyle w:val="Text1"/>
        <w:rPr>
          <w:i/>
          <w:noProof/>
          <w:sz w:val="20"/>
        </w:rPr>
      </w:pPr>
      <w:r>
        <w:rPr>
          <w:i/>
          <w:noProof/>
          <w:sz w:val="20"/>
        </w:rPr>
        <w:t>Specify the indicators for monitoring progress and achievements.</w:t>
      </w:r>
    </w:p>
    <w:p w14:paraId="041A4CB1"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Specific objective No 1 </w:t>
      </w:r>
    </w:p>
    <w:p w14:paraId="7FFCC36A"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Financial data on the amounts related to operations selected and implemented by Member States and on disbursements made from the EU budget to Member States. </w:t>
      </w:r>
    </w:p>
    <w:p w14:paraId="1EE1C4A7" w14:textId="77777777" w:rsidR="00A56747" w:rsidRPr="009D2117" w:rsidRDefault="00A56747" w:rsidP="00A56747">
      <w:pPr>
        <w:spacing w:after="160" w:line="259" w:lineRule="auto"/>
        <w:jc w:val="left"/>
        <w:rPr>
          <w:noProof/>
        </w:rPr>
      </w:pPr>
    </w:p>
    <w:p w14:paraId="5641F9FB"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Specific objective No 2 </w:t>
      </w:r>
    </w:p>
    <w:p w14:paraId="3C1FFEAE"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Common Output Indicator 128 – Number of enterprises supported linked primarily to foster defence capabilities (RearmEU) - number of enterprises </w:t>
      </w:r>
    </w:p>
    <w:p w14:paraId="327A33A7" w14:textId="77777777" w:rsidR="00A56747" w:rsidRPr="00B33FAF" w:rsidRDefault="00A56747" w:rsidP="4D8CB314">
      <w:pPr>
        <w:pStyle w:val="Text1"/>
        <w:pBdr>
          <w:top w:val="single" w:sz="4" w:space="1" w:color="auto"/>
          <w:left w:val="single" w:sz="4" w:space="4" w:color="auto"/>
          <w:bottom w:val="single" w:sz="4" w:space="1" w:color="auto"/>
          <w:right w:val="single" w:sz="4" w:space="4" w:color="auto"/>
        </w:pBdr>
        <w:rPr>
          <w:noProof/>
        </w:rPr>
      </w:pPr>
      <w:r>
        <w:rPr>
          <w:noProof/>
        </w:rPr>
        <w:t>Common Output Indicator 129 - Road and rail bridges built or upgraded for dual use number </w:t>
      </w:r>
    </w:p>
    <w:p w14:paraId="151C4A5D"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Common Output Indicator 65 - Capacity of new or modernised social housing – number of persons </w:t>
      </w:r>
    </w:p>
    <w:p w14:paraId="795D8A34"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Common Result Indicator 43 - Water losses in distribution systems for public water supply - cubic metres per year </w:t>
      </w:r>
    </w:p>
    <w:p w14:paraId="148BE47B" w14:textId="77777777" w:rsidR="00A56747" w:rsidRDefault="00A56747" w:rsidP="00A56747">
      <w:pPr>
        <w:pStyle w:val="ManualHeading2"/>
        <w:rPr>
          <w:noProof/>
        </w:rPr>
      </w:pPr>
      <w:bookmarkStart w:id="104" w:name="_Toc177549000"/>
      <w:r>
        <w:rPr>
          <w:noProof/>
        </w:rPr>
        <w:t>1.4.</w:t>
      </w:r>
      <w:r>
        <w:rPr>
          <w:noProof/>
        </w:rPr>
        <w:tab/>
      </w:r>
      <w:r w:rsidRPr="7D67B65D">
        <w:rPr>
          <w:noProof/>
        </w:rPr>
        <w:t>The proposal/initiative relates to:</w:t>
      </w:r>
      <w:bookmarkEnd w:id="104"/>
      <w:r w:rsidRPr="7D67B65D">
        <w:rPr>
          <w:noProof/>
        </w:rPr>
        <w:t xml:space="preserve"> </w:t>
      </w:r>
    </w:p>
    <w:p w14:paraId="55C8F243" w14:textId="77777777" w:rsidR="00A56747" w:rsidRPr="003B4AA4" w:rsidRDefault="00A56747" w:rsidP="00A56747">
      <w:pPr>
        <w:pStyle w:val="Text1"/>
        <w:rPr>
          <w:noProof/>
          <w:sz w:val="22"/>
        </w:rPr>
      </w:pPr>
      <w:r w:rsidRPr="003B4AA4">
        <w:rPr>
          <w:rFonts w:ascii="Wingdings" w:eastAsia="Wingdings" w:hAnsi="Wingdings" w:cs="Wingdings"/>
          <w:noProof/>
          <w:sz w:val="22"/>
        </w:rPr>
        <w:t></w:t>
      </w:r>
      <w:r w:rsidRPr="003B4AA4">
        <w:rPr>
          <w:i/>
          <w:iCs/>
          <w:noProof/>
          <w:sz w:val="22"/>
        </w:rPr>
        <w:t xml:space="preserve"> </w:t>
      </w:r>
      <w:r w:rsidRPr="003B4AA4">
        <w:rPr>
          <w:noProof/>
        </w:rPr>
        <w:t>a new action</w:t>
      </w:r>
      <w:r w:rsidRPr="003B4AA4">
        <w:rPr>
          <w:noProof/>
          <w:sz w:val="22"/>
        </w:rPr>
        <w:t xml:space="preserve"> </w:t>
      </w:r>
    </w:p>
    <w:p w14:paraId="1902DB4B" w14:textId="77777777" w:rsidR="00A56747" w:rsidRPr="003B4AA4" w:rsidRDefault="00A56747" w:rsidP="00A56747">
      <w:pPr>
        <w:pStyle w:val="Text1"/>
        <w:rPr>
          <w:noProof/>
          <w:sz w:val="22"/>
        </w:rPr>
      </w:pPr>
      <w:r w:rsidRPr="4D8CB314">
        <w:rPr>
          <w:rFonts w:ascii="Wingdings" w:eastAsia="Wingdings" w:hAnsi="Wingdings" w:cs="Wingdings"/>
          <w:noProof/>
          <w:sz w:val="22"/>
        </w:rPr>
        <w:t></w:t>
      </w:r>
      <w:r w:rsidRPr="4D8CB314">
        <w:rPr>
          <w:i/>
          <w:iCs/>
          <w:noProof/>
          <w:sz w:val="22"/>
        </w:rPr>
        <w:t xml:space="preserve"> </w:t>
      </w:r>
      <w:r w:rsidRPr="003B4AA4">
        <w:rPr>
          <w:noProof/>
        </w:rPr>
        <w:t>a new action following a pilot project / preparatory action</w:t>
      </w:r>
      <w:r w:rsidRPr="003B4AA4">
        <w:rPr>
          <w:rStyle w:val="FootnoteReference"/>
          <w:noProof/>
        </w:rPr>
        <w:footnoteReference w:id="9"/>
      </w:r>
      <w:r w:rsidRPr="4D8CB314">
        <w:rPr>
          <w:noProof/>
          <w:sz w:val="22"/>
        </w:rPr>
        <w:t xml:space="preserve"> </w:t>
      </w:r>
    </w:p>
    <w:p w14:paraId="1DA395C1" w14:textId="77777777" w:rsidR="00A56747" w:rsidRPr="003B4AA4" w:rsidRDefault="00A56747" w:rsidP="00A56747">
      <w:pPr>
        <w:pStyle w:val="Text1"/>
        <w:rPr>
          <w:noProof/>
          <w:sz w:val="22"/>
        </w:rPr>
      </w:pPr>
      <w:r w:rsidRPr="003B4AA4">
        <w:rPr>
          <w:rFonts w:ascii="Wingdings" w:eastAsia="Wingdings" w:hAnsi="Wingdings" w:cs="Wingdings"/>
          <w:noProof/>
          <w:sz w:val="22"/>
        </w:rPr>
        <w:t></w:t>
      </w:r>
      <w:r w:rsidRPr="003B4AA4">
        <w:rPr>
          <w:i/>
          <w:iCs/>
          <w:noProof/>
          <w:sz w:val="22"/>
        </w:rPr>
        <w:t xml:space="preserve"> </w:t>
      </w:r>
      <w:r w:rsidRPr="003B4AA4">
        <w:rPr>
          <w:noProof/>
        </w:rPr>
        <w:t>the extension of an existing action</w:t>
      </w:r>
      <w:r w:rsidRPr="003B4AA4">
        <w:rPr>
          <w:noProof/>
          <w:sz w:val="22"/>
        </w:rPr>
        <w:t xml:space="preserve"> </w:t>
      </w:r>
    </w:p>
    <w:p w14:paraId="27B4C7DC" w14:textId="77777777" w:rsidR="00A56747" w:rsidRPr="003B4AA4" w:rsidRDefault="00A56747" w:rsidP="00A56747">
      <w:pPr>
        <w:pStyle w:val="Text1"/>
        <w:rPr>
          <w:noProof/>
        </w:rPr>
      </w:pPr>
      <w:r w:rsidRPr="003B4AA4">
        <w:rPr>
          <w:rFonts w:ascii="Wingdings" w:eastAsia="Wingdings" w:hAnsi="Wingdings" w:cs="Wingdings"/>
          <w:noProof/>
          <w:sz w:val="22"/>
        </w:rPr>
        <w:t></w:t>
      </w:r>
      <w:r w:rsidRPr="003B4AA4">
        <w:rPr>
          <w:i/>
          <w:iCs/>
          <w:noProof/>
          <w:sz w:val="22"/>
        </w:rPr>
        <w:t xml:space="preserve"> </w:t>
      </w:r>
      <w:r w:rsidRPr="003B4AA4">
        <w:rPr>
          <w:noProof/>
        </w:rPr>
        <w:t>a merger or redirection of one or more actions towards another/a new action</w:t>
      </w:r>
    </w:p>
    <w:p w14:paraId="5D6405FB" w14:textId="77777777" w:rsidR="00A56747" w:rsidRDefault="00A56747" w:rsidP="00A56747">
      <w:pPr>
        <w:pStyle w:val="ManualHeading2"/>
        <w:rPr>
          <w:bCs/>
          <w:noProof/>
          <w:szCs w:val="24"/>
        </w:rPr>
      </w:pPr>
      <w:bookmarkStart w:id="105" w:name="_Toc514938025"/>
      <w:bookmarkStart w:id="106" w:name="_Toc520485034"/>
      <w:bookmarkStart w:id="107" w:name="_Toc160804576"/>
      <w:bookmarkStart w:id="108" w:name="_Toc167220268"/>
      <w:bookmarkStart w:id="109" w:name="_Toc177549001"/>
      <w:r w:rsidRPr="0021790A">
        <w:rPr>
          <w:noProof/>
        </w:rPr>
        <w:t>1.5.</w:t>
      </w:r>
      <w:r w:rsidRPr="0021790A">
        <w:rPr>
          <w:noProof/>
        </w:rPr>
        <w:tab/>
      </w:r>
      <w:r>
        <w:rPr>
          <w:noProof/>
        </w:rPr>
        <w:t>Grounds for the proposal/initiative</w:t>
      </w:r>
      <w:bookmarkEnd w:id="105"/>
      <w:bookmarkEnd w:id="106"/>
      <w:bookmarkEnd w:id="107"/>
      <w:bookmarkEnd w:id="108"/>
      <w:bookmarkEnd w:id="109"/>
      <w:r>
        <w:rPr>
          <w:noProof/>
        </w:rPr>
        <w:t xml:space="preserve"> </w:t>
      </w:r>
    </w:p>
    <w:p w14:paraId="61465DD3" w14:textId="77777777" w:rsidR="00A56747" w:rsidRDefault="00A56747" w:rsidP="00A56747">
      <w:pPr>
        <w:pStyle w:val="ManualHeading3"/>
        <w:rPr>
          <w:noProof/>
        </w:rPr>
      </w:pPr>
      <w:bookmarkStart w:id="110" w:name="_Toc514938026"/>
      <w:bookmarkStart w:id="111" w:name="_Toc520485035"/>
      <w:bookmarkStart w:id="112" w:name="_Toc160804577"/>
      <w:bookmarkStart w:id="113" w:name="_Toc167220269"/>
      <w:bookmarkStart w:id="114" w:name="_Toc177549002"/>
      <w:r w:rsidRPr="0021790A">
        <w:rPr>
          <w:noProof/>
        </w:rPr>
        <w:t>1.5.1.</w:t>
      </w:r>
      <w:r w:rsidRPr="0021790A">
        <w:rPr>
          <w:noProof/>
        </w:rPr>
        <w:tab/>
      </w:r>
      <w:r>
        <w:rPr>
          <w:noProof/>
        </w:rPr>
        <w:t>Requirement(s) to be met in the short or long term including a detailed timeline for roll-out of the implementation of the initiative</w:t>
      </w:r>
      <w:bookmarkEnd w:id="110"/>
      <w:bookmarkEnd w:id="111"/>
      <w:bookmarkEnd w:id="112"/>
      <w:bookmarkEnd w:id="113"/>
      <w:bookmarkEnd w:id="114"/>
    </w:p>
    <w:p w14:paraId="638A5A37"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Recent economic and geopolitical events have brought to the front important priorities that require substantial investments. Cohesion policy provides a strong framework for such investments, and the specific investments within the scope of this amendment are already possible to a large extent under the current legal framework governing the Funds. Therefore, they are already in line with the overall objective of strengthening economic, social and territorial cohesion. However, the pace and volume of investments need to be increase. The ongoing mid-term review of the 2021-2027 cohesion policy programmes provides a crucial opportunity to assess how these programmes can help deliver on the policy objectives. Therefore, the current amendment creates incentives and flexibilities to allow Member States to put a greater focus with resources from the MFF on these priorities within a relatively short time frame.</w:t>
      </w:r>
    </w:p>
    <w:p w14:paraId="4DB3E5C4" w14:textId="77777777" w:rsidR="00A56747" w:rsidRDefault="00A56747" w:rsidP="00A56747">
      <w:pPr>
        <w:pStyle w:val="ManualHeading3"/>
        <w:rPr>
          <w:bCs/>
          <w:noProof/>
          <w:szCs w:val="24"/>
        </w:rPr>
      </w:pPr>
      <w:bookmarkStart w:id="115" w:name="_Toc514938029"/>
      <w:bookmarkStart w:id="116" w:name="_Toc520485036"/>
      <w:bookmarkStart w:id="117" w:name="_Toc160804578"/>
      <w:bookmarkStart w:id="118" w:name="_Toc167220270"/>
      <w:bookmarkStart w:id="119" w:name="_Toc177549003"/>
      <w:r w:rsidRPr="0021790A">
        <w:rPr>
          <w:noProof/>
        </w:rPr>
        <w:t>1.5.2.</w:t>
      </w:r>
      <w:r w:rsidRPr="0021790A">
        <w:rPr>
          <w:noProof/>
        </w:rPr>
        <w:tab/>
      </w:r>
      <w:r>
        <w:rPr>
          <w:noProof/>
        </w:rPr>
        <w:t xml:space="preserve">Added value of EU </w:t>
      </w:r>
      <w:r w:rsidRPr="00CD72BB">
        <w:rPr>
          <w:noProof/>
        </w:rPr>
        <w:t>involvement (it may result from different factors, e.g. coordination gains, legal certainty, great</w:t>
      </w:r>
      <w:r w:rsidRPr="004830A5">
        <w:rPr>
          <w:noProof/>
        </w:rPr>
        <w:t>er effectiveness or complementarities).</w:t>
      </w:r>
      <w:r>
        <w:rPr>
          <w:noProof/>
        </w:rPr>
        <w:t xml:space="preserve"> For the purposes of this section 'added value of EU involvement' is the value resulting from EU action, that is additional to the value that would have been otherwise created by Member States alone.</w:t>
      </w:r>
      <w:bookmarkEnd w:id="115"/>
      <w:bookmarkEnd w:id="116"/>
      <w:bookmarkEnd w:id="117"/>
      <w:bookmarkEnd w:id="118"/>
      <w:bookmarkEnd w:id="119"/>
    </w:p>
    <w:p w14:paraId="09827EBA"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0F13C4">
        <w:rPr>
          <w:noProof/>
          <w:u w:val="single"/>
        </w:rPr>
        <w:t>Overall</w:t>
      </w:r>
      <w:r>
        <w:rPr>
          <w:noProof/>
        </w:rPr>
        <w:t xml:space="preserve">: </w:t>
      </w:r>
    </w:p>
    <w:p w14:paraId="6E4455F9"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Pr>
          <w:noProof/>
        </w:rPr>
        <w:t xml:space="preserve">The amendment is designed to allow Member States to direct necessary cohesion policy funding to investments in policy areas that have been identified as priorities, and to maintain and strenghten the economic, social and territorial cohesion of the EU.  </w:t>
      </w:r>
    </w:p>
    <w:p w14:paraId="4EA31855"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797E43">
        <w:rPr>
          <w:noProof/>
          <w:u w:val="single"/>
        </w:rPr>
        <w:t>Specific objective 1:</w:t>
      </w:r>
      <w:r>
        <w:rPr>
          <w:noProof/>
        </w:rPr>
        <w:t xml:space="preserve"> </w:t>
      </w:r>
    </w:p>
    <w:p w14:paraId="61E95DDA"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Pr>
          <w:noProof/>
        </w:rPr>
        <w:t xml:space="preserve">Cohesion policy funding is vital for economic stability, fairness, and integration in the EU. It plays a primary role in reducing regional disparities and ensuring balanced development across all Member States. It ensures that all regions have the resources to grow, innovate, and adapt to future challenges while promoting EU-wide solidarity. Maintaining and accelerateing the flow of funds to the Member States from the EU budget is essential for ensuring the necessery level of public funding in Member States and to achieve the cohesion objectives enshrined in the Treaty. </w:t>
      </w:r>
    </w:p>
    <w:p w14:paraId="50C26064" w14:textId="77777777" w:rsidR="00A56747" w:rsidRPr="00797E43" w:rsidRDefault="00A56747" w:rsidP="00A56747">
      <w:pPr>
        <w:pStyle w:val="Text1"/>
        <w:pBdr>
          <w:top w:val="single" w:sz="4" w:space="1" w:color="auto"/>
          <w:left w:val="single" w:sz="4" w:space="4" w:color="auto"/>
          <w:bottom w:val="single" w:sz="4" w:space="1" w:color="auto"/>
          <w:right w:val="single" w:sz="4" w:space="4" w:color="auto"/>
        </w:pBdr>
        <w:rPr>
          <w:noProof/>
          <w:u w:val="single"/>
        </w:rPr>
      </w:pPr>
      <w:r w:rsidRPr="00797E43">
        <w:rPr>
          <w:noProof/>
          <w:u w:val="single"/>
        </w:rPr>
        <w:t xml:space="preserve">Specific objective 2 </w:t>
      </w:r>
    </w:p>
    <w:p w14:paraId="4BF8C142" w14:textId="77777777" w:rsidR="00A56747" w:rsidRDefault="4B8FD976" w:rsidP="00A56747">
      <w:pPr>
        <w:pStyle w:val="Text1"/>
        <w:pBdr>
          <w:top w:val="single" w:sz="4" w:space="1" w:color="auto"/>
          <w:left w:val="single" w:sz="4" w:space="4" w:color="auto"/>
          <w:bottom w:val="single" w:sz="4" w:space="1" w:color="auto"/>
          <w:right w:val="single" w:sz="4" w:space="4" w:color="auto"/>
        </w:pBdr>
        <w:rPr>
          <w:noProof/>
        </w:rPr>
      </w:pPr>
      <w:r w:rsidRPr="452CB7CA">
        <w:rPr>
          <w:noProof/>
          <w:u w:val="single"/>
        </w:rPr>
        <w:t>D</w:t>
      </w:r>
      <w:r w:rsidR="323D0211" w:rsidRPr="452CB7CA">
        <w:rPr>
          <w:noProof/>
          <w:u w:val="single"/>
        </w:rPr>
        <w:t>efence</w:t>
      </w:r>
      <w:r w:rsidR="00A56747" w:rsidRPr="646F33C0">
        <w:rPr>
          <w:noProof/>
        </w:rPr>
        <w:t xml:space="preserve">: The Versailles Declaration of March 2022, as well as communications JOIN(2022) 24 and COM(2022) 60 already outlined the need for the EU to step up its own preparedness, capability and resilience to better protect its citizens. The rapidly evolving geopolitical context of the past months has emphasised the need to step up the efforts. The European Council conclusions of 6 March 2025 stress “that Europe must become more sovereign, more responsible for its own defence and better equipped to act and deal autonomously with immediate and future challenges and threats with a 360° approach”. To that end, the EU will accelerate the mobilisation of the necessary instruments and financing. The European Council “calls on the Commission to propose additional funding sources for defence at EU level, including by means of additional possibilities and incentives offered to all Member States, on the basis of the principles of objectivity, non-discrimination and equal treatment of Member States, in the use of their current allocations under the relevant EU funding programmes, and to swiftly present relevant proposals”. </w:t>
      </w:r>
    </w:p>
    <w:p w14:paraId="211ACE28"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646F33C0">
        <w:rPr>
          <w:noProof/>
          <w:u w:val="single"/>
        </w:rPr>
        <w:t>Competitiveness</w:t>
      </w:r>
      <w:r w:rsidRPr="646F33C0">
        <w:rPr>
          <w:noProof/>
        </w:rPr>
        <w:t>: Strengthening the competitiveness and resilience in strategic sectors and reducing the dependencies of the European economy through the green and digital transformations has been the EU compass over the last years. The STEP Regulation has already introduced increased possibilities for supporting strategic technologies and critical sectors, through the use of the cohesion policy funds. The proposal gives further impetus to use the scale of the EU to invest in areas important for the EU’s future competitiveness.</w:t>
      </w:r>
    </w:p>
    <w:p w14:paraId="1C638B75"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056CCA">
        <w:rPr>
          <w:noProof/>
          <w:u w:val="single"/>
        </w:rPr>
        <w:t>Affordable housing</w:t>
      </w:r>
      <w:r>
        <w:rPr>
          <w:noProof/>
        </w:rPr>
        <w:t xml:space="preserve">: The recent cost-of-living crisis has exacerbated a longstanding problem with housing affordability in the EU. The general trend can be observed in all Member States and the political guidelines acknowledge that this is putting a strain on cohesion. To that end, a taskforce has been set up within the Commission and the European Parliament has set up a special Committee on Housing. In anticipation of, and in line with the general objective of the European Affordable Housing Plan, the mid-term review of the cohesion policy programmes provides an opportunity to emphasise the importance of water resilience and to create incentives that would allow Member States to direct parts of their cohesion policy allocations to measures that support affordable housing. </w:t>
      </w:r>
    </w:p>
    <w:p w14:paraId="31E9C073" w14:textId="77777777" w:rsidR="00FF5B0A" w:rsidRDefault="15728A19" w:rsidP="00166892">
      <w:pPr>
        <w:pStyle w:val="Text1"/>
        <w:pBdr>
          <w:top w:val="single" w:sz="4" w:space="1" w:color="000000"/>
          <w:left w:val="single" w:sz="4" w:space="4" w:color="000000"/>
          <w:bottom w:val="single" w:sz="4" w:space="1" w:color="000000"/>
          <w:right w:val="single" w:sz="4" w:space="4" w:color="000000"/>
        </w:pBdr>
        <w:rPr>
          <w:noProof/>
        </w:rPr>
      </w:pPr>
      <w:r>
        <w:rPr>
          <w:noProof/>
          <w:u w:val="single"/>
        </w:rPr>
        <w:t xml:space="preserve">Energy interconnectors and related transmission infrastructure, and </w:t>
      </w:r>
      <w:r w:rsidRPr="00BC0CD0">
        <w:rPr>
          <w:noProof/>
          <w:u w:val="single"/>
        </w:rPr>
        <w:t>recharging infrastructure</w:t>
      </w:r>
      <w:r w:rsidRPr="10679E7D">
        <w:rPr>
          <w:noProof/>
        </w:rPr>
        <w:t xml:space="preserve">: </w:t>
      </w:r>
      <w:r w:rsidR="0B181DAA" w:rsidRPr="10679E7D">
        <w:rPr>
          <w:noProof/>
        </w:rPr>
        <w:t>Enhancing energy security and integration, reducing reliance on fossil fuels and bolstering energy independence</w:t>
      </w:r>
      <w:r w:rsidR="0B181DAA" w:rsidRPr="72AE479B">
        <w:rPr>
          <w:noProof/>
        </w:rPr>
        <w:t xml:space="preserve"> is </w:t>
      </w:r>
      <w:r w:rsidR="79F05721" w:rsidRPr="7AA8A3AA">
        <w:rPr>
          <w:noProof/>
        </w:rPr>
        <w:t xml:space="preserve">crucial for the EU to support a sustainable and resilient energy system. </w:t>
      </w:r>
      <w:r w:rsidR="6C963201" w:rsidRPr="44F6C31B">
        <w:rPr>
          <w:noProof/>
        </w:rPr>
        <w:t>C</w:t>
      </w:r>
      <w:r w:rsidR="00268263" w:rsidRPr="44F6C31B">
        <w:rPr>
          <w:noProof/>
        </w:rPr>
        <w:t>ohesion</w:t>
      </w:r>
      <w:r w:rsidR="00268263" w:rsidRPr="5D80369A">
        <w:rPr>
          <w:noProof/>
        </w:rPr>
        <w:t xml:space="preserve"> policy already</w:t>
      </w:r>
      <w:r w:rsidR="00268263" w:rsidRPr="0EE5CED5">
        <w:rPr>
          <w:noProof/>
        </w:rPr>
        <w:t xml:space="preserve"> invests</w:t>
      </w:r>
      <w:r w:rsidR="00268263" w:rsidRPr="5D80369A">
        <w:rPr>
          <w:noProof/>
        </w:rPr>
        <w:t xml:space="preserve"> </w:t>
      </w:r>
      <w:r w:rsidR="0242EA98" w:rsidRPr="412786E2">
        <w:rPr>
          <w:noProof/>
        </w:rPr>
        <w:t xml:space="preserve">in </w:t>
      </w:r>
      <w:r w:rsidR="0242EA98" w:rsidRPr="7FE6BC36">
        <w:rPr>
          <w:noProof/>
        </w:rPr>
        <w:t>the developement of</w:t>
      </w:r>
      <w:r w:rsidR="0242EA98" w:rsidRPr="412786E2">
        <w:rPr>
          <w:noProof/>
        </w:rPr>
        <w:t xml:space="preserve"> smart energy systems and </w:t>
      </w:r>
      <w:r w:rsidR="0242EA98" w:rsidRPr="3F4FB862">
        <w:rPr>
          <w:noProof/>
        </w:rPr>
        <w:t>in</w:t>
      </w:r>
      <w:r w:rsidR="0242EA98" w:rsidRPr="412786E2">
        <w:rPr>
          <w:noProof/>
        </w:rPr>
        <w:t xml:space="preserve"> the </w:t>
      </w:r>
      <w:r w:rsidR="7BB9FC5B" w:rsidRPr="3F4FB862">
        <w:rPr>
          <w:noProof/>
        </w:rPr>
        <w:t>deployment of charging infrastructure</w:t>
      </w:r>
      <w:r w:rsidR="7BB9FC5B" w:rsidRPr="44F6C31B">
        <w:rPr>
          <w:noProof/>
        </w:rPr>
        <w:t xml:space="preserve"> supporting </w:t>
      </w:r>
      <w:r w:rsidR="31C304F7" w:rsidRPr="44F6C31B">
        <w:rPr>
          <w:noProof/>
        </w:rPr>
        <w:t>electric mobility.</w:t>
      </w:r>
    </w:p>
    <w:p w14:paraId="6F88D769" w14:textId="77777777" w:rsidR="53043B79" w:rsidRDefault="58744DB9" w:rsidP="00166892">
      <w:pPr>
        <w:pStyle w:val="Text1"/>
        <w:pBdr>
          <w:top w:val="single" w:sz="4" w:space="1" w:color="000000"/>
          <w:left w:val="single" w:sz="4" w:space="4" w:color="000000"/>
          <w:bottom w:val="single" w:sz="4" w:space="1" w:color="000000"/>
          <w:right w:val="single" w:sz="4" w:space="4" w:color="000000"/>
        </w:pBdr>
        <w:rPr>
          <w:noProof/>
        </w:rPr>
      </w:pPr>
      <w:r>
        <w:rPr>
          <w:noProof/>
        </w:rPr>
        <w:t xml:space="preserve">To </w:t>
      </w:r>
      <w:r w:rsidR="73F0A1D3">
        <w:rPr>
          <w:noProof/>
        </w:rPr>
        <w:t>accelerate investment efforts</w:t>
      </w:r>
      <w:r w:rsidR="2F973016">
        <w:rPr>
          <w:noProof/>
        </w:rPr>
        <w:t xml:space="preserve"> in this area</w:t>
      </w:r>
      <w:r w:rsidR="306067C6">
        <w:rPr>
          <w:noProof/>
        </w:rPr>
        <w:t xml:space="preserve"> and achieve greater cross-border energy integration</w:t>
      </w:r>
      <w:r>
        <w:rPr>
          <w:noProof/>
        </w:rPr>
        <w:t xml:space="preserve">, it is </w:t>
      </w:r>
      <w:r w:rsidR="7C972B0C">
        <w:rPr>
          <w:noProof/>
        </w:rPr>
        <w:t xml:space="preserve">however </w:t>
      </w:r>
      <w:r>
        <w:rPr>
          <w:noProof/>
        </w:rPr>
        <w:t xml:space="preserve">important to </w:t>
      </w:r>
      <w:r w:rsidR="5F99D69A">
        <w:rPr>
          <w:noProof/>
        </w:rPr>
        <w:t xml:space="preserve">provide </w:t>
      </w:r>
      <w:r w:rsidR="478405F7">
        <w:rPr>
          <w:noProof/>
        </w:rPr>
        <w:t xml:space="preserve">specific </w:t>
      </w:r>
      <w:r w:rsidR="5F99D69A">
        <w:rPr>
          <w:noProof/>
        </w:rPr>
        <w:t>incentives</w:t>
      </w:r>
      <w:r w:rsidR="2C921606" w:rsidRPr="7E84BF90">
        <w:rPr>
          <w:noProof/>
        </w:rPr>
        <w:t xml:space="preserve"> </w:t>
      </w:r>
      <w:r w:rsidR="231F92DB" w:rsidRPr="6613EFDC">
        <w:rPr>
          <w:noProof/>
        </w:rPr>
        <w:t>for</w:t>
      </w:r>
      <w:r w:rsidR="5F99D69A">
        <w:rPr>
          <w:noProof/>
        </w:rPr>
        <w:t xml:space="preserve"> </w:t>
      </w:r>
      <w:r w:rsidR="0714779B">
        <w:rPr>
          <w:noProof/>
        </w:rPr>
        <w:t xml:space="preserve">the </w:t>
      </w:r>
      <w:r w:rsidR="231F92DB" w:rsidRPr="6613EFDC">
        <w:rPr>
          <w:noProof/>
        </w:rPr>
        <w:t xml:space="preserve">promotion </w:t>
      </w:r>
      <w:r w:rsidR="434BD8CC" w:rsidRPr="536A7D83">
        <w:rPr>
          <w:noProof/>
        </w:rPr>
        <w:t>of</w:t>
      </w:r>
      <w:r w:rsidR="00FF5B0A">
        <w:rPr>
          <w:noProof/>
        </w:rPr>
        <w:t xml:space="preserve"> </w:t>
      </w:r>
      <w:r w:rsidR="2C921606" w:rsidRPr="7E84BF90">
        <w:rPr>
          <w:noProof/>
        </w:rPr>
        <w:t xml:space="preserve">energy interconnectors and </w:t>
      </w:r>
      <w:r>
        <w:rPr>
          <w:noProof/>
        </w:rPr>
        <w:t xml:space="preserve">related transmission infrastructure, and </w:t>
      </w:r>
      <w:r w:rsidR="6B852C02" w:rsidRPr="6613EFDC">
        <w:rPr>
          <w:noProof/>
        </w:rPr>
        <w:t>the</w:t>
      </w:r>
      <w:r w:rsidR="2C921606" w:rsidRPr="6613EFDC">
        <w:rPr>
          <w:noProof/>
        </w:rPr>
        <w:t xml:space="preserve"> </w:t>
      </w:r>
      <w:r w:rsidR="2C6B7DA2" w:rsidRPr="117CDE80">
        <w:rPr>
          <w:noProof/>
        </w:rPr>
        <w:t>deployment</w:t>
      </w:r>
      <w:r w:rsidR="2C921606" w:rsidRPr="7E84BF90">
        <w:rPr>
          <w:noProof/>
        </w:rPr>
        <w:t xml:space="preserve"> </w:t>
      </w:r>
      <w:r w:rsidR="2C6B7DA2" w:rsidRPr="23E315B0">
        <w:rPr>
          <w:noProof/>
        </w:rPr>
        <w:t>of</w:t>
      </w:r>
      <w:r w:rsidR="2C921606" w:rsidRPr="23E315B0">
        <w:rPr>
          <w:noProof/>
        </w:rPr>
        <w:t xml:space="preserve"> </w:t>
      </w:r>
      <w:r w:rsidR="2C921606" w:rsidRPr="7E84BF90">
        <w:rPr>
          <w:noProof/>
        </w:rPr>
        <w:t xml:space="preserve">charging infrastructure </w:t>
      </w:r>
      <w:r w:rsidR="38753383" w:rsidRPr="23E315B0">
        <w:rPr>
          <w:noProof/>
        </w:rPr>
        <w:t>supporting</w:t>
      </w:r>
      <w:r w:rsidR="2C921606" w:rsidRPr="7E84BF90">
        <w:rPr>
          <w:noProof/>
        </w:rPr>
        <w:t xml:space="preserve"> electric mobility</w:t>
      </w:r>
      <w:r w:rsidR="2C921606" w:rsidRPr="23E315B0">
        <w:rPr>
          <w:noProof/>
        </w:rPr>
        <w:t>.</w:t>
      </w:r>
      <w:r w:rsidR="2C921606" w:rsidRPr="7E84BF90">
        <w:rPr>
          <w:noProof/>
        </w:rPr>
        <w:t xml:space="preserve"> </w:t>
      </w:r>
    </w:p>
    <w:p w14:paraId="6FBCDCF7"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A1628D">
        <w:rPr>
          <w:noProof/>
          <w:u w:val="single"/>
        </w:rPr>
        <w:t>Access to water and water management</w:t>
      </w:r>
      <w:r>
        <w:rPr>
          <w:noProof/>
        </w:rPr>
        <w:t xml:space="preserve">: Despite the EU’s comprehensive legal framework to protect and sustainably manage water resources, structural mismanagement of water has resulted in the continued degradation and pollution of this resource and water-related ecosystems, including coastal and marine ones. Over the last 5 years, floods, prolonged droughts and water scarcity have affected more and more areas of the EU and this is exacerbated by climate change, pollution and biodiversity loss. The transboundary nature of water challenges, their cross-cutting nature and their relevance to delivering EU policies and legislation in various domains provide a clear basis for a European strategy on water resilience. In anticipation of the strategy, the mid-term review of the cohesion policy programmes provides an opportunity to direct the necessary financing to projects that </w:t>
      </w:r>
      <w:r w:rsidR="323D0211" w:rsidRPr="60611E3F">
        <w:rPr>
          <w:noProof/>
        </w:rPr>
        <w:t>tac</w:t>
      </w:r>
      <w:r w:rsidR="5B279519" w:rsidRPr="60611E3F">
        <w:rPr>
          <w:noProof/>
        </w:rPr>
        <w:t>k</w:t>
      </w:r>
      <w:r w:rsidR="323D0211" w:rsidRPr="60611E3F">
        <w:rPr>
          <w:noProof/>
        </w:rPr>
        <w:t xml:space="preserve">le </w:t>
      </w:r>
      <w:r w:rsidR="32E26322" w:rsidRPr="602CDBE4">
        <w:rPr>
          <w:noProof/>
        </w:rPr>
        <w:t>security of</w:t>
      </w:r>
      <w:r w:rsidR="32E26322" w:rsidRPr="60611E3F">
        <w:rPr>
          <w:noProof/>
        </w:rPr>
        <w:t xml:space="preserve"> access,</w:t>
      </w:r>
      <w:r>
        <w:rPr>
          <w:noProof/>
        </w:rPr>
        <w:t xml:space="preserve"> sustainable water management</w:t>
      </w:r>
      <w:r w:rsidR="41C69D36" w:rsidRPr="602CDBE4">
        <w:rPr>
          <w:noProof/>
        </w:rPr>
        <w:t xml:space="preserve"> and water resilience</w:t>
      </w:r>
      <w:r>
        <w:rPr>
          <w:noProof/>
        </w:rPr>
        <w:t>.</w:t>
      </w:r>
    </w:p>
    <w:p w14:paraId="3B75D974" w14:textId="77777777" w:rsidR="00A56747" w:rsidRDefault="00A56747" w:rsidP="00A56747">
      <w:pPr>
        <w:pStyle w:val="ManualHeading3"/>
        <w:rPr>
          <w:noProof/>
        </w:rPr>
      </w:pPr>
      <w:bookmarkStart w:id="120" w:name="_Toc514938030"/>
      <w:bookmarkStart w:id="121" w:name="_Toc520485037"/>
      <w:bookmarkStart w:id="122" w:name="_Toc160804579"/>
      <w:bookmarkStart w:id="123" w:name="_Toc167220271"/>
      <w:bookmarkStart w:id="124" w:name="_Toc177549004"/>
      <w:r w:rsidRPr="0021790A">
        <w:rPr>
          <w:noProof/>
        </w:rPr>
        <w:t>1.5.3.</w:t>
      </w:r>
      <w:r w:rsidRPr="0021790A">
        <w:rPr>
          <w:noProof/>
        </w:rPr>
        <w:tab/>
      </w:r>
      <w:r>
        <w:rPr>
          <w:noProof/>
        </w:rPr>
        <w:t>Lessons learned from similar experiences in the past</w:t>
      </w:r>
      <w:bookmarkEnd w:id="120"/>
      <w:bookmarkEnd w:id="121"/>
      <w:bookmarkEnd w:id="122"/>
      <w:bookmarkEnd w:id="123"/>
      <w:bookmarkEnd w:id="124"/>
    </w:p>
    <w:p w14:paraId="33241C5F"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Recent amendments to the 2014-2020 and 2021-2027 Regulations in the context of the COVID-19 crisis, the military aggression of Russia in Ukraine, the energy crisis, and competitiveness (STEP) have resulted in an important uptake of funds to support relevant investments.</w:t>
      </w:r>
    </w:p>
    <w:p w14:paraId="0B612B34" w14:textId="77777777" w:rsidR="00A56747" w:rsidRDefault="00A56747" w:rsidP="00A56747">
      <w:pPr>
        <w:pStyle w:val="ManualHeading3"/>
        <w:rPr>
          <w:noProof/>
        </w:rPr>
      </w:pPr>
      <w:bookmarkStart w:id="125" w:name="_Toc514938033"/>
      <w:bookmarkStart w:id="126" w:name="_Toc520485038"/>
      <w:bookmarkStart w:id="127" w:name="_Toc160804580"/>
      <w:bookmarkStart w:id="128" w:name="_Toc167220272"/>
      <w:bookmarkStart w:id="129" w:name="_Toc177549005"/>
      <w:r w:rsidRPr="0021790A">
        <w:rPr>
          <w:noProof/>
        </w:rPr>
        <w:t>1.5.4.</w:t>
      </w:r>
      <w:r w:rsidRPr="0021790A">
        <w:rPr>
          <w:noProof/>
        </w:rPr>
        <w:tab/>
      </w:r>
      <w:r>
        <w:rPr>
          <w:noProof/>
        </w:rPr>
        <w:t>Compatibility with the multiannual financial framework and possible synergies with other appropriate instruments</w:t>
      </w:r>
      <w:bookmarkEnd w:id="125"/>
      <w:bookmarkEnd w:id="126"/>
      <w:bookmarkEnd w:id="127"/>
      <w:bookmarkEnd w:id="128"/>
      <w:bookmarkEnd w:id="129"/>
    </w:p>
    <w:p w14:paraId="29C31055" w14:textId="77777777" w:rsidR="00A56747" w:rsidRDefault="00A56747" w:rsidP="24923FD7">
      <w:pPr>
        <w:pStyle w:val="Text1"/>
        <w:pBdr>
          <w:top w:val="single" w:sz="4" w:space="1" w:color="auto"/>
          <w:left w:val="single" w:sz="4" w:space="4" w:color="auto"/>
          <w:bottom w:val="single" w:sz="4" w:space="1" w:color="auto"/>
          <w:right w:val="single" w:sz="4" w:space="4" w:color="auto"/>
        </w:pBdr>
        <w:rPr>
          <w:noProof/>
        </w:rPr>
      </w:pPr>
      <w:r>
        <w:rPr>
          <w:noProof/>
        </w:rPr>
        <w:t xml:space="preserve">The amendment does not alter the existing cohesion policy allocations and is intended to help </w:t>
      </w:r>
      <w:r w:rsidR="34F706E7">
        <w:rPr>
          <w:noProof/>
        </w:rPr>
        <w:t>accelerate</w:t>
      </w:r>
      <w:r>
        <w:rPr>
          <w:noProof/>
        </w:rPr>
        <w:t xml:space="preserve"> investments of the Funds in an efficient and effective manner</w:t>
      </w:r>
      <w:r w:rsidRPr="24923FD7">
        <w:rPr>
          <w:noProof/>
        </w:rPr>
        <w:t>.</w:t>
      </w:r>
    </w:p>
    <w:p w14:paraId="3B564753" w14:textId="77777777" w:rsidR="00A56747" w:rsidRDefault="00A56747" w:rsidP="00A56747">
      <w:pPr>
        <w:pStyle w:val="ManualHeading3"/>
        <w:rPr>
          <w:noProof/>
        </w:rPr>
      </w:pPr>
      <w:bookmarkStart w:id="130" w:name="_Toc514938036"/>
      <w:bookmarkStart w:id="131" w:name="_Toc520485039"/>
      <w:bookmarkStart w:id="132" w:name="_Toc160804581"/>
      <w:bookmarkStart w:id="133" w:name="_Toc167220273"/>
      <w:bookmarkStart w:id="134" w:name="_Toc177549006"/>
      <w:r w:rsidRPr="0021790A">
        <w:rPr>
          <w:noProof/>
        </w:rPr>
        <w:t>1.5.5.</w:t>
      </w:r>
      <w:r w:rsidRPr="0021790A">
        <w:rPr>
          <w:noProof/>
        </w:rPr>
        <w:tab/>
      </w:r>
      <w:r>
        <w:rPr>
          <w:noProof/>
        </w:rPr>
        <w:t>Assessment of the different available financing options, including scope for redeployment</w:t>
      </w:r>
      <w:bookmarkEnd w:id="130"/>
      <w:bookmarkEnd w:id="131"/>
      <w:bookmarkEnd w:id="132"/>
      <w:bookmarkEnd w:id="133"/>
      <w:bookmarkEnd w:id="134"/>
    </w:p>
    <w:p w14:paraId="77FB08B3"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The amendment does not alter the core structure of the existing cohesion policy regulatory framework, nor does it alter the fixed Member State allocations. It is intended to emphasise and incentivise support measures that are already possible within the scope of the funds and that are complementary to investments through other financing options either at EU level or at Member State level.</w:t>
      </w:r>
      <w:r w:rsidRPr="00B33FAF" w:rsidDel="005F6832">
        <w:rPr>
          <w:noProof/>
        </w:rPr>
        <w:t xml:space="preserve"> </w:t>
      </w:r>
    </w:p>
    <w:p w14:paraId="7489BB27" w14:textId="77777777" w:rsidR="00A56747" w:rsidRDefault="00A56747" w:rsidP="00A56747">
      <w:pPr>
        <w:pStyle w:val="ManualHeading2"/>
        <w:rPr>
          <w:bCs/>
          <w:noProof/>
          <w:szCs w:val="24"/>
        </w:rPr>
      </w:pPr>
      <w:r>
        <w:rPr>
          <w:noProof/>
        </w:rPr>
        <w:br w:type="page"/>
      </w:r>
      <w:bookmarkStart w:id="135" w:name="_Toc514938039"/>
      <w:bookmarkStart w:id="136" w:name="_Toc520485040"/>
      <w:bookmarkStart w:id="137" w:name="_Toc160804582"/>
      <w:bookmarkStart w:id="138" w:name="_Toc167220274"/>
      <w:bookmarkStart w:id="139" w:name="_Toc177549007"/>
      <w:r w:rsidRPr="0021790A">
        <w:rPr>
          <w:noProof/>
        </w:rPr>
        <w:t>1.6.</w:t>
      </w:r>
      <w:r w:rsidRPr="0021790A">
        <w:rPr>
          <w:noProof/>
        </w:rPr>
        <w:tab/>
      </w:r>
      <w:r>
        <w:rPr>
          <w:noProof/>
        </w:rPr>
        <w:t>Duration of the proposal/initiative</w:t>
      </w:r>
      <w:bookmarkEnd w:id="135"/>
      <w:bookmarkEnd w:id="136"/>
      <w:r>
        <w:rPr>
          <w:noProof/>
        </w:rPr>
        <w:t xml:space="preserve"> and of its financial impact</w:t>
      </w:r>
      <w:bookmarkEnd w:id="137"/>
      <w:bookmarkEnd w:id="138"/>
      <w:bookmarkEnd w:id="139"/>
    </w:p>
    <w:p w14:paraId="62DDB862" w14:textId="77777777" w:rsidR="00A56747" w:rsidRDefault="00A56747" w:rsidP="00A56747">
      <w:pPr>
        <w:pStyle w:val="Text1"/>
        <w:rPr>
          <w:noProof/>
        </w:rPr>
      </w:pPr>
      <w:r w:rsidRPr="778E2EFC">
        <w:rPr>
          <w:rFonts w:ascii="Segoe UI Symbol" w:hAnsi="Segoe UI Symbol" w:cs="Segoe UI Symbol"/>
          <w:noProof/>
          <w:color w:val="001E62"/>
        </w:rPr>
        <w:t>☑</w:t>
      </w:r>
      <w:r>
        <w:rPr>
          <w:b/>
          <w:i/>
          <w:noProof/>
        </w:rPr>
        <w:t xml:space="preserve"> </w:t>
      </w:r>
      <w:r>
        <w:rPr>
          <w:b/>
          <w:noProof/>
        </w:rPr>
        <w:t xml:space="preserve">limited duration </w:t>
      </w:r>
    </w:p>
    <w:p w14:paraId="6EF7731F" w14:textId="77777777" w:rsidR="00A56747" w:rsidRDefault="00A56747" w:rsidP="00A56747">
      <w:pPr>
        <w:pStyle w:val="ListDash2"/>
        <w:rPr>
          <w:noProof/>
        </w:rPr>
      </w:pPr>
      <w:r w:rsidRPr="778E2EFC">
        <w:rPr>
          <w:rFonts w:ascii="Segoe UI Symbol" w:hAnsi="Segoe UI Symbol" w:cs="Segoe UI Symbol"/>
          <w:noProof/>
          <w:color w:val="001E62"/>
        </w:rPr>
        <w:t>☑</w:t>
      </w:r>
      <w:r>
        <w:rPr>
          <w:noProof/>
        </w:rPr>
        <w:tab/>
        <w:t xml:space="preserve">financial impact from 2026 to 2029 for payment appropriations. No impact on commitments appropriations.  </w:t>
      </w:r>
    </w:p>
    <w:p w14:paraId="26085F34" w14:textId="77777777" w:rsidR="00A56747" w:rsidRDefault="00A56747" w:rsidP="00A56747">
      <w:pPr>
        <w:pStyle w:val="ManualHeading2"/>
        <w:rPr>
          <w:bCs/>
          <w:noProof/>
          <w:szCs w:val="24"/>
        </w:rPr>
      </w:pPr>
      <w:bookmarkStart w:id="140" w:name="_Toc514938040"/>
      <w:bookmarkStart w:id="141" w:name="_Toc520485041"/>
      <w:bookmarkStart w:id="142" w:name="_Toc160804583"/>
      <w:bookmarkStart w:id="143" w:name="_Toc167220275"/>
      <w:bookmarkStart w:id="144" w:name="_Toc177549008"/>
      <w:r w:rsidRPr="0021790A">
        <w:rPr>
          <w:noProof/>
        </w:rPr>
        <w:t>1.7.</w:t>
      </w:r>
      <w:r w:rsidRPr="0021790A">
        <w:rPr>
          <w:noProof/>
        </w:rPr>
        <w:tab/>
      </w:r>
      <w:r>
        <w:rPr>
          <w:noProof/>
        </w:rPr>
        <w:t>Method(s) of budget implementation planned</w:t>
      </w:r>
      <w:r>
        <w:rPr>
          <w:rStyle w:val="FootnoteReference"/>
          <w:noProof/>
        </w:rPr>
        <w:footnoteReference w:id="10"/>
      </w:r>
      <w:bookmarkEnd w:id="140"/>
      <w:bookmarkEnd w:id="141"/>
      <w:bookmarkEnd w:id="142"/>
      <w:bookmarkEnd w:id="143"/>
      <w:bookmarkEnd w:id="144"/>
      <w:r>
        <w:rPr>
          <w:rStyle w:val="FootnoteReference"/>
          <w:noProof/>
        </w:rPr>
        <w:t xml:space="preserve"> </w:t>
      </w:r>
    </w:p>
    <w:p w14:paraId="2A3919F2" w14:textId="77777777" w:rsidR="00A56747" w:rsidRDefault="00A56747" w:rsidP="00A56747">
      <w:pPr>
        <w:pStyle w:val="Text1"/>
        <w:rPr>
          <w:noProof/>
        </w:rPr>
      </w:pPr>
      <w:r w:rsidRPr="2F1C47AE">
        <w:rPr>
          <w:rFonts w:ascii="Segoe UI Symbol" w:hAnsi="Segoe UI Symbol" w:cs="Segoe UI Symbol"/>
          <w:noProof/>
          <w:color w:val="001E62"/>
          <w:szCs w:val="24"/>
        </w:rPr>
        <w:t>☑</w:t>
      </w:r>
      <w:r>
        <w:rPr>
          <w:b/>
          <w:i/>
          <w:noProof/>
        </w:rPr>
        <w:t xml:space="preserve"> </w:t>
      </w:r>
      <w:r>
        <w:rPr>
          <w:b/>
          <w:noProof/>
        </w:rPr>
        <w:t>Shared management</w:t>
      </w:r>
      <w:r>
        <w:rPr>
          <w:noProof/>
        </w:rPr>
        <w:t xml:space="preserve"> with the Member States </w:t>
      </w:r>
    </w:p>
    <w:p w14:paraId="6BA51A66" w14:textId="77777777" w:rsidR="00A56747" w:rsidRDefault="00A56747" w:rsidP="00A56747">
      <w:pPr>
        <w:pStyle w:val="ManualHeading1"/>
        <w:rPr>
          <w:bCs/>
          <w:noProof/>
          <w:szCs w:val="24"/>
        </w:rPr>
      </w:pPr>
      <w:bookmarkStart w:id="145" w:name="_Toc514938041"/>
      <w:bookmarkStart w:id="146" w:name="_Toc520485042"/>
      <w:bookmarkStart w:id="147" w:name="_Toc160804584"/>
      <w:bookmarkStart w:id="148" w:name="_Toc167220276"/>
      <w:bookmarkStart w:id="149" w:name="_Toc177549009"/>
      <w:r w:rsidRPr="0021790A">
        <w:rPr>
          <w:noProof/>
        </w:rPr>
        <w:t>2.</w:t>
      </w:r>
      <w:r w:rsidRPr="0021790A">
        <w:rPr>
          <w:noProof/>
        </w:rPr>
        <w:tab/>
      </w:r>
      <w:r>
        <w:rPr>
          <w:noProof/>
        </w:rPr>
        <w:t>MANAGEMENT MEASURES</w:t>
      </w:r>
      <w:bookmarkEnd w:id="145"/>
      <w:bookmarkEnd w:id="146"/>
      <w:bookmarkEnd w:id="147"/>
      <w:bookmarkEnd w:id="148"/>
      <w:bookmarkEnd w:id="149"/>
      <w:r>
        <w:rPr>
          <w:noProof/>
        </w:rPr>
        <w:t xml:space="preserve"> </w:t>
      </w:r>
    </w:p>
    <w:p w14:paraId="37F2B1D1" w14:textId="77777777" w:rsidR="00A56747" w:rsidRDefault="00A56747" w:rsidP="00A56747">
      <w:pPr>
        <w:pStyle w:val="ManualHeading2"/>
        <w:rPr>
          <w:noProof/>
        </w:rPr>
      </w:pPr>
      <w:bookmarkStart w:id="150" w:name="_Toc514938042"/>
      <w:bookmarkStart w:id="151" w:name="_Toc520485043"/>
      <w:bookmarkStart w:id="152" w:name="_Toc160804585"/>
      <w:bookmarkStart w:id="153" w:name="_Toc167220277"/>
      <w:bookmarkStart w:id="154" w:name="_Toc177549010"/>
      <w:r w:rsidRPr="0021790A">
        <w:rPr>
          <w:noProof/>
        </w:rPr>
        <w:t>2.1.</w:t>
      </w:r>
      <w:r w:rsidRPr="0021790A">
        <w:rPr>
          <w:noProof/>
        </w:rPr>
        <w:tab/>
      </w:r>
      <w:r>
        <w:rPr>
          <w:noProof/>
        </w:rPr>
        <w:t>Monitoring and reporting rules</w:t>
      </w:r>
      <w:bookmarkEnd w:id="150"/>
      <w:bookmarkEnd w:id="151"/>
      <w:bookmarkEnd w:id="152"/>
      <w:bookmarkEnd w:id="153"/>
      <w:bookmarkEnd w:id="154"/>
      <w:r>
        <w:rPr>
          <w:noProof/>
        </w:rPr>
        <w:t xml:space="preserve"> </w:t>
      </w:r>
    </w:p>
    <w:p w14:paraId="749C7504" w14:textId="77777777" w:rsidR="00A56747" w:rsidRPr="00B33FAF" w:rsidRDefault="00A56747" w:rsidP="00A56747">
      <w:pPr>
        <w:pStyle w:val="Text1"/>
        <w:rPr>
          <w:noProof/>
        </w:rPr>
      </w:pPr>
      <w:r w:rsidRPr="00B33FAF">
        <w:rPr>
          <w:noProof/>
        </w:rPr>
        <w:t xml:space="preserve">The monitoring and reporting rules laid down in Regulation (EU) 2021/1060 remain fully applicable: </w:t>
      </w:r>
    </w:p>
    <w:p w14:paraId="31420F58" w14:textId="77777777" w:rsidR="00A56747" w:rsidRPr="00B33FAF" w:rsidRDefault="00A56747" w:rsidP="00B33FAF">
      <w:pPr>
        <w:pStyle w:val="Text1"/>
        <w:rPr>
          <w:noProof/>
        </w:rPr>
      </w:pPr>
      <w:r w:rsidRPr="00B33FAF">
        <w:rPr>
          <w:noProof/>
        </w:rPr>
        <w:t xml:space="preserve">Programme monitoring committee: minimum once a year </w:t>
      </w:r>
    </w:p>
    <w:p w14:paraId="4E53643B" w14:textId="77777777" w:rsidR="00A56747" w:rsidRPr="00B33FAF" w:rsidRDefault="00A56747" w:rsidP="00B33FAF">
      <w:pPr>
        <w:pStyle w:val="Text1"/>
        <w:rPr>
          <w:noProof/>
        </w:rPr>
      </w:pPr>
      <w:r w:rsidRPr="00B33FAF">
        <w:rPr>
          <w:noProof/>
        </w:rPr>
        <w:t xml:space="preserve">Annual performance review between the Member State and the Commission </w:t>
      </w:r>
    </w:p>
    <w:p w14:paraId="70390D4A" w14:textId="77777777" w:rsidR="00A56747" w:rsidRPr="00B33FAF" w:rsidRDefault="00A56747" w:rsidP="00B33FAF">
      <w:pPr>
        <w:pStyle w:val="Text1"/>
        <w:rPr>
          <w:noProof/>
        </w:rPr>
      </w:pPr>
      <w:r w:rsidRPr="00B33FAF">
        <w:rPr>
          <w:noProof/>
        </w:rPr>
        <w:t xml:space="preserve">Data transmission per programme: five times per year </w:t>
      </w:r>
    </w:p>
    <w:p w14:paraId="57BFB243" w14:textId="77777777" w:rsidR="00A56747" w:rsidRPr="00B33FAF" w:rsidRDefault="00A56747" w:rsidP="00B33FAF">
      <w:pPr>
        <w:pStyle w:val="Text1"/>
        <w:rPr>
          <w:noProof/>
        </w:rPr>
      </w:pPr>
      <w:r w:rsidRPr="00B33FAF">
        <w:rPr>
          <w:noProof/>
        </w:rPr>
        <w:t>Annual control (audit) report.</w:t>
      </w:r>
    </w:p>
    <w:p w14:paraId="7026A135" w14:textId="77777777" w:rsidR="00A56747" w:rsidRPr="00F14AD9" w:rsidRDefault="00A56747" w:rsidP="00B33FAF">
      <w:pPr>
        <w:pStyle w:val="Text1"/>
        <w:rPr>
          <w:noProof/>
        </w:rPr>
      </w:pPr>
      <w:r w:rsidRPr="00B33FAF">
        <w:rPr>
          <w:noProof/>
        </w:rPr>
        <w:t>A final performance report for each programme needs to be submitted by 15 February 2031.</w:t>
      </w:r>
    </w:p>
    <w:p w14:paraId="15036B89" w14:textId="77777777" w:rsidR="00A56747" w:rsidRDefault="00A56747" w:rsidP="00A56747">
      <w:pPr>
        <w:pStyle w:val="ManualHeading2"/>
        <w:rPr>
          <w:bCs/>
          <w:noProof/>
          <w:szCs w:val="24"/>
        </w:rPr>
      </w:pPr>
      <w:bookmarkStart w:id="155" w:name="_Toc514938045"/>
      <w:bookmarkStart w:id="156" w:name="_Toc520485044"/>
      <w:bookmarkStart w:id="157" w:name="_Toc160804586"/>
      <w:bookmarkStart w:id="158" w:name="_Toc167220278"/>
      <w:bookmarkStart w:id="159" w:name="_Toc177549011"/>
      <w:r w:rsidRPr="0021790A">
        <w:rPr>
          <w:noProof/>
        </w:rPr>
        <w:t>2.2.</w:t>
      </w:r>
      <w:r w:rsidRPr="0021790A">
        <w:rPr>
          <w:noProof/>
        </w:rPr>
        <w:tab/>
      </w:r>
      <w:r>
        <w:rPr>
          <w:noProof/>
        </w:rPr>
        <w:t>Management and control system(s)</w:t>
      </w:r>
      <w:bookmarkEnd w:id="155"/>
      <w:bookmarkEnd w:id="156"/>
      <w:bookmarkEnd w:id="157"/>
      <w:bookmarkEnd w:id="158"/>
      <w:bookmarkEnd w:id="159"/>
      <w:r>
        <w:rPr>
          <w:noProof/>
        </w:rPr>
        <w:t xml:space="preserve"> </w:t>
      </w:r>
    </w:p>
    <w:p w14:paraId="3F413538" w14:textId="77777777" w:rsidR="00A56747" w:rsidRPr="00721674" w:rsidRDefault="00A56747" w:rsidP="00A56747">
      <w:pPr>
        <w:pStyle w:val="ManualHeading3"/>
        <w:rPr>
          <w:noProof/>
        </w:rPr>
      </w:pPr>
      <w:bookmarkStart w:id="160" w:name="_Toc514938046"/>
      <w:bookmarkStart w:id="161" w:name="_Toc520485045"/>
      <w:bookmarkStart w:id="162" w:name="_Toc160804587"/>
      <w:bookmarkStart w:id="163" w:name="_Toc167220279"/>
      <w:bookmarkStart w:id="164" w:name="_Toc177549012"/>
      <w:r w:rsidRPr="0021790A">
        <w:rPr>
          <w:noProof/>
        </w:rPr>
        <w:t>2.2.1.</w:t>
      </w:r>
      <w:r w:rsidRPr="0021790A">
        <w:rPr>
          <w:noProof/>
        </w:rPr>
        <w:tab/>
      </w:r>
      <w:r>
        <w:rPr>
          <w:noProof/>
        </w:rPr>
        <w:t>Justification of the budget implementation method(s), the funding implementation mechanism(s), the payment modalities and the control strategy proposed</w:t>
      </w:r>
      <w:bookmarkEnd w:id="160"/>
      <w:bookmarkEnd w:id="161"/>
      <w:bookmarkEnd w:id="162"/>
      <w:bookmarkEnd w:id="163"/>
      <w:bookmarkEnd w:id="164"/>
    </w:p>
    <w:p w14:paraId="43A38600"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D05146">
        <w:rPr>
          <w:noProof/>
        </w:rPr>
        <w:t>The proposal for amendment does not alter the existing shared management budget implementation method, nor does it change the implementation mechanisms, the payment modalities or the control strategies defined in Regulation (EU) 2021/1060.</w:t>
      </w:r>
    </w:p>
    <w:p w14:paraId="735893F9" w14:textId="77777777" w:rsidR="00A56747" w:rsidRDefault="00A56747" w:rsidP="00A56747">
      <w:pPr>
        <w:pStyle w:val="ManualHeading3"/>
        <w:rPr>
          <w:bCs/>
          <w:noProof/>
          <w:szCs w:val="24"/>
        </w:rPr>
      </w:pPr>
      <w:bookmarkStart w:id="165" w:name="_Toc514938047"/>
      <w:bookmarkStart w:id="166" w:name="_Toc520485046"/>
      <w:bookmarkStart w:id="167" w:name="_Toc160804588"/>
      <w:bookmarkStart w:id="168" w:name="_Toc167220280"/>
      <w:bookmarkStart w:id="169" w:name="_Toc177549013"/>
      <w:r w:rsidRPr="0021790A">
        <w:rPr>
          <w:noProof/>
        </w:rPr>
        <w:t>2.2.2.</w:t>
      </w:r>
      <w:r w:rsidRPr="0021790A">
        <w:rPr>
          <w:noProof/>
        </w:rPr>
        <w:tab/>
      </w:r>
      <w:r>
        <w:rPr>
          <w:noProof/>
        </w:rPr>
        <w:t>Information concerning the risks identified and the internal control system(s) set up to mitigate them</w:t>
      </w:r>
      <w:bookmarkEnd w:id="165"/>
      <w:bookmarkEnd w:id="166"/>
      <w:bookmarkEnd w:id="167"/>
      <w:bookmarkEnd w:id="168"/>
      <w:bookmarkEnd w:id="169"/>
    </w:p>
    <w:p w14:paraId="2831BFD4"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No specific risks have been identified. The proposal for amendment does not structurally alter the risk-management and control setup of the cohesion policy programmes, which is considered appropriate for the envisaged investments.</w:t>
      </w:r>
    </w:p>
    <w:p w14:paraId="1798F1F9" w14:textId="77777777" w:rsidR="00A56747" w:rsidRDefault="00A56747" w:rsidP="00A56747">
      <w:pPr>
        <w:pStyle w:val="ManualHeading3"/>
        <w:rPr>
          <w:noProof/>
        </w:rPr>
      </w:pPr>
      <w:bookmarkStart w:id="170" w:name="_Toc514938048"/>
      <w:bookmarkStart w:id="171" w:name="_Toc520485047"/>
      <w:bookmarkStart w:id="172" w:name="_Toc160804589"/>
      <w:bookmarkStart w:id="173" w:name="_Toc167220281"/>
      <w:bookmarkStart w:id="174" w:name="_Toc177549014"/>
      <w:r w:rsidRPr="0021790A">
        <w:rPr>
          <w:noProof/>
        </w:rPr>
        <w:t>2.2.3.</w:t>
      </w:r>
      <w:r w:rsidRPr="0021790A">
        <w:rPr>
          <w:noProof/>
        </w:rPr>
        <w:tab/>
      </w:r>
      <w:r>
        <w:rPr>
          <w:noProof/>
        </w:rPr>
        <w:t>Estimation and justification of the cost-effectiveness of the controls (ratio between the control costs  and the value of the related funds managed), and assessment of the expected levels of risk of error (at payment &amp; at closure)</w:t>
      </w:r>
      <w:bookmarkEnd w:id="170"/>
      <w:bookmarkEnd w:id="171"/>
      <w:bookmarkEnd w:id="172"/>
      <w:bookmarkEnd w:id="173"/>
      <w:bookmarkEnd w:id="174"/>
      <w:r>
        <w:rPr>
          <w:noProof/>
        </w:rPr>
        <w:t xml:space="preserve"> </w:t>
      </w:r>
    </w:p>
    <w:p w14:paraId="61879BA5" w14:textId="77777777" w:rsidR="00A56747" w:rsidRPr="00B33FAF" w:rsidRDefault="00A56747" w:rsidP="00A56747">
      <w:pPr>
        <w:pStyle w:val="Text1"/>
        <w:pBdr>
          <w:top w:val="single" w:sz="4" w:space="1" w:color="auto"/>
          <w:left w:val="single" w:sz="4" w:space="4" w:color="auto"/>
          <w:bottom w:val="single" w:sz="4" w:space="1" w:color="auto"/>
          <w:right w:val="single" w:sz="4" w:space="4" w:color="auto"/>
        </w:pBdr>
        <w:rPr>
          <w:noProof/>
        </w:rPr>
      </w:pPr>
      <w:r w:rsidRPr="00D61A72">
        <w:rPr>
          <w:noProof/>
        </w:rPr>
        <w:t>The control framework of cohesion policy remains unchanged and fully applicable. This has been designed to protect the financial interests of the EU and adjusted over multiple programming periods to take into account the recommendations of ECA and OLAF.</w:t>
      </w:r>
    </w:p>
    <w:p w14:paraId="2A6B0001" w14:textId="77777777" w:rsidR="00A56747" w:rsidRDefault="00A56747" w:rsidP="00A56747">
      <w:pPr>
        <w:pStyle w:val="ManualHeading2"/>
        <w:rPr>
          <w:noProof/>
        </w:rPr>
      </w:pPr>
      <w:bookmarkStart w:id="175" w:name="_Toc514938049"/>
      <w:bookmarkStart w:id="176" w:name="_Toc520485048"/>
      <w:bookmarkStart w:id="177" w:name="_Toc160804590"/>
      <w:bookmarkStart w:id="178" w:name="_Toc167220282"/>
      <w:bookmarkStart w:id="179" w:name="_Toc177549015"/>
      <w:r w:rsidRPr="0021790A">
        <w:rPr>
          <w:noProof/>
        </w:rPr>
        <w:t>2.3.</w:t>
      </w:r>
      <w:r w:rsidRPr="0021790A">
        <w:rPr>
          <w:noProof/>
        </w:rPr>
        <w:tab/>
      </w:r>
      <w:r>
        <w:rPr>
          <w:noProof/>
        </w:rPr>
        <w:t>Measures to prevent fraud and irregularities</w:t>
      </w:r>
      <w:bookmarkEnd w:id="175"/>
      <w:bookmarkEnd w:id="176"/>
      <w:bookmarkEnd w:id="177"/>
      <w:bookmarkEnd w:id="178"/>
      <w:bookmarkEnd w:id="179"/>
      <w:r>
        <w:rPr>
          <w:noProof/>
        </w:rPr>
        <w:t xml:space="preserve"> </w:t>
      </w:r>
    </w:p>
    <w:p w14:paraId="65EBF1E4"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r w:rsidRPr="00B33FAF">
        <w:rPr>
          <w:noProof/>
        </w:rPr>
        <w:t>Member States need to comply with the existing cohesion policy control framework, and need to have in place a management and control system that allows for the prevention, detection and correction and reporting on irregularities, including fraud.</w:t>
      </w:r>
    </w:p>
    <w:p w14:paraId="27AB9544" w14:textId="77777777" w:rsidR="00A56747" w:rsidRDefault="00A56747" w:rsidP="00A56747">
      <w:pPr>
        <w:rPr>
          <w:noProof/>
        </w:rPr>
        <w:sectPr w:rsidR="00A56747" w:rsidSect="00A12408">
          <w:pgSz w:w="11907" w:h="16840" w:code="9"/>
          <w:pgMar w:top="1134" w:right="1418" w:bottom="1134" w:left="1418" w:header="709" w:footer="709" w:gutter="0"/>
          <w:cols w:space="708"/>
          <w:docGrid w:linePitch="360"/>
        </w:sectPr>
      </w:pPr>
    </w:p>
    <w:p w14:paraId="7C8A1895" w14:textId="77777777" w:rsidR="00A56747" w:rsidRDefault="00A56747" w:rsidP="00A56747">
      <w:pPr>
        <w:pStyle w:val="ManualHeading1"/>
        <w:rPr>
          <w:bCs/>
          <w:noProof/>
          <w:szCs w:val="24"/>
        </w:rPr>
      </w:pPr>
      <w:bookmarkStart w:id="180" w:name="_Toc514938050"/>
      <w:bookmarkStart w:id="181" w:name="_Toc520485049"/>
      <w:bookmarkStart w:id="182" w:name="_Toc160804591"/>
      <w:bookmarkStart w:id="183" w:name="_Toc167220283"/>
      <w:bookmarkStart w:id="184" w:name="_Toc177549016"/>
      <w:r w:rsidRPr="0021790A">
        <w:rPr>
          <w:noProof/>
        </w:rPr>
        <w:t>3.</w:t>
      </w:r>
      <w:r w:rsidRPr="0021790A">
        <w:rPr>
          <w:noProof/>
        </w:rPr>
        <w:tab/>
      </w:r>
      <w:r>
        <w:rPr>
          <w:noProof/>
        </w:rPr>
        <w:t>ESTIMATED FINANCIAL IMPACT OF THE PROPOSAL/INITIATIVE</w:t>
      </w:r>
      <w:bookmarkEnd w:id="180"/>
      <w:bookmarkEnd w:id="181"/>
      <w:bookmarkEnd w:id="182"/>
      <w:bookmarkEnd w:id="183"/>
      <w:bookmarkEnd w:id="184"/>
      <w:r>
        <w:rPr>
          <w:noProof/>
        </w:rPr>
        <w:t xml:space="preserve"> </w:t>
      </w:r>
    </w:p>
    <w:p w14:paraId="58DE05E3" w14:textId="77777777" w:rsidR="00A56747" w:rsidRDefault="00A56747" w:rsidP="00A56747">
      <w:pPr>
        <w:pStyle w:val="ManualHeading2"/>
        <w:rPr>
          <w:noProof/>
        </w:rPr>
      </w:pPr>
      <w:bookmarkStart w:id="185" w:name="_Toc514938051"/>
      <w:bookmarkStart w:id="186" w:name="_Toc520485050"/>
      <w:bookmarkStart w:id="187" w:name="_Toc160804592"/>
      <w:bookmarkStart w:id="188" w:name="_Toc167220284"/>
      <w:bookmarkStart w:id="189" w:name="_Toc177549017"/>
      <w:r w:rsidRPr="0021790A">
        <w:rPr>
          <w:noProof/>
        </w:rPr>
        <w:t>3.1.</w:t>
      </w:r>
      <w:r w:rsidRPr="0021790A">
        <w:rPr>
          <w:noProof/>
        </w:rPr>
        <w:tab/>
      </w:r>
      <w:r>
        <w:rPr>
          <w:noProof/>
        </w:rPr>
        <w:t>Heading(s) of the multiannual financial framework and expenditure budget line(s) affected</w:t>
      </w:r>
      <w:bookmarkEnd w:id="185"/>
      <w:bookmarkEnd w:id="186"/>
      <w:bookmarkEnd w:id="187"/>
      <w:bookmarkEnd w:id="188"/>
      <w:bookmarkEnd w:id="189"/>
      <w:r>
        <w:rPr>
          <w:noProof/>
        </w:rPr>
        <w:t xml:space="preserve"> </w:t>
      </w:r>
    </w:p>
    <w:p w14:paraId="5894B5BF" w14:textId="77777777" w:rsidR="00A56747" w:rsidRDefault="00A56747" w:rsidP="00A56747">
      <w:pPr>
        <w:pStyle w:val="ListBullet1"/>
        <w:rPr>
          <w:noProof/>
        </w:rPr>
      </w:pPr>
      <w:r>
        <w:rPr>
          <w:noProof/>
        </w:rPr>
        <w:t xml:space="preserve">Existing budget lines </w:t>
      </w:r>
    </w:p>
    <w:p w14:paraId="5C0D49E2" w14:textId="77777777" w:rsidR="00A56747" w:rsidRDefault="00A56747" w:rsidP="00A56747">
      <w:pPr>
        <w:pStyle w:val="Text1"/>
        <w:rPr>
          <w:i/>
          <w:noProof/>
        </w:rPr>
      </w:pPr>
      <w:r w:rsidRPr="009B753E">
        <w:rPr>
          <w:i/>
          <w:noProof/>
          <w:u w:val="single"/>
        </w:rPr>
        <w:t>In order</w:t>
      </w:r>
      <w:r w:rsidRPr="009B753E">
        <w:rPr>
          <w:i/>
          <w:noProof/>
        </w:rPr>
        <w:t xml:space="preserve"> of multiannual financial framework headings and budget lines.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A56747" w14:paraId="3548F405" w14:textId="77777777" w:rsidTr="00FF1EF4">
        <w:trPr>
          <w:jc w:val="center"/>
        </w:trPr>
        <w:tc>
          <w:tcPr>
            <w:tcW w:w="1092" w:type="dxa"/>
            <w:vMerge w:val="restart"/>
            <w:vAlign w:val="center"/>
          </w:tcPr>
          <w:p w14:paraId="04D859B8" w14:textId="77777777" w:rsidR="00A56747" w:rsidRPr="003A769F" w:rsidRDefault="00A56747" w:rsidP="004B53CC">
            <w:pPr>
              <w:spacing w:before="60" w:after="60"/>
              <w:jc w:val="center"/>
              <w:rPr>
                <w:noProof/>
                <w:lang w:val="en-IE"/>
              </w:rPr>
            </w:pPr>
            <w:r w:rsidRPr="003A769F">
              <w:rPr>
                <w:noProof/>
                <w:sz w:val="18"/>
                <w:lang w:val="en-IE"/>
              </w:rPr>
              <w:t>Heading of multiannual financial framework</w:t>
            </w:r>
          </w:p>
        </w:tc>
        <w:tc>
          <w:tcPr>
            <w:tcW w:w="4002" w:type="dxa"/>
            <w:vAlign w:val="center"/>
          </w:tcPr>
          <w:p w14:paraId="7AF6898F" w14:textId="77777777" w:rsidR="00A56747" w:rsidRDefault="00A56747" w:rsidP="004B53CC">
            <w:pPr>
              <w:spacing w:before="60" w:after="60"/>
              <w:jc w:val="center"/>
              <w:rPr>
                <w:noProof/>
              </w:rPr>
            </w:pPr>
            <w:r>
              <w:rPr>
                <w:noProof/>
                <w:sz w:val="20"/>
              </w:rPr>
              <w:t>Budget line</w:t>
            </w:r>
          </w:p>
        </w:tc>
        <w:tc>
          <w:tcPr>
            <w:tcW w:w="1092" w:type="dxa"/>
            <w:vAlign w:val="center"/>
          </w:tcPr>
          <w:p w14:paraId="5F08291C" w14:textId="77777777" w:rsidR="00A56747" w:rsidRDefault="00A56747" w:rsidP="004B53CC">
            <w:pPr>
              <w:spacing w:before="60" w:after="60"/>
              <w:jc w:val="center"/>
              <w:rPr>
                <w:noProof/>
              </w:rPr>
            </w:pPr>
            <w:r>
              <w:rPr>
                <w:noProof/>
                <w:sz w:val="18"/>
              </w:rPr>
              <w:t>Type of expenditure</w:t>
            </w:r>
          </w:p>
        </w:tc>
        <w:tc>
          <w:tcPr>
            <w:tcW w:w="4487" w:type="dxa"/>
            <w:gridSpan w:val="4"/>
            <w:vAlign w:val="center"/>
          </w:tcPr>
          <w:p w14:paraId="571E023E" w14:textId="77777777" w:rsidR="00A56747" w:rsidRDefault="00A56747" w:rsidP="004B53CC">
            <w:pPr>
              <w:spacing w:before="60" w:after="60"/>
              <w:jc w:val="center"/>
              <w:rPr>
                <w:noProof/>
              </w:rPr>
            </w:pPr>
            <w:r>
              <w:rPr>
                <w:noProof/>
                <w:sz w:val="20"/>
              </w:rPr>
              <w:t xml:space="preserve">Contribution </w:t>
            </w:r>
          </w:p>
        </w:tc>
      </w:tr>
      <w:tr w:rsidR="00A56747" w:rsidRPr="00FF5DD8" w14:paraId="7EB1807B" w14:textId="77777777" w:rsidTr="00FF1EF4">
        <w:trPr>
          <w:cantSplit/>
          <w:jc w:val="center"/>
        </w:trPr>
        <w:tc>
          <w:tcPr>
            <w:tcW w:w="1092" w:type="dxa"/>
            <w:vMerge/>
            <w:vAlign w:val="center"/>
          </w:tcPr>
          <w:p w14:paraId="4AC62215" w14:textId="77777777" w:rsidR="00A56747" w:rsidRPr="00FF5DD8" w:rsidRDefault="00A56747" w:rsidP="004B53CC">
            <w:pPr>
              <w:jc w:val="center"/>
              <w:rPr>
                <w:noProof/>
              </w:rPr>
            </w:pPr>
          </w:p>
        </w:tc>
        <w:tc>
          <w:tcPr>
            <w:tcW w:w="4002" w:type="dxa"/>
            <w:vAlign w:val="center"/>
          </w:tcPr>
          <w:p w14:paraId="2E16574C" w14:textId="77777777" w:rsidR="00A56747" w:rsidRPr="00FF5DD8" w:rsidRDefault="00A56747" w:rsidP="004B53CC">
            <w:pPr>
              <w:rPr>
                <w:noProof/>
              </w:rPr>
            </w:pPr>
            <w:r w:rsidRPr="00FF5DD8">
              <w:rPr>
                <w:noProof/>
                <w:sz w:val="20"/>
              </w:rPr>
              <w:t xml:space="preserve">Number </w:t>
            </w:r>
            <w:r w:rsidRPr="00FF5DD8">
              <w:rPr>
                <w:noProof/>
                <w:sz w:val="22"/>
              </w:rPr>
              <w:br/>
            </w:r>
          </w:p>
        </w:tc>
        <w:tc>
          <w:tcPr>
            <w:tcW w:w="1092" w:type="dxa"/>
            <w:vAlign w:val="center"/>
          </w:tcPr>
          <w:p w14:paraId="2A1FC605" w14:textId="77777777" w:rsidR="00A56747" w:rsidRPr="00FF5DD8" w:rsidRDefault="00A56747" w:rsidP="004B53CC">
            <w:pPr>
              <w:jc w:val="center"/>
              <w:rPr>
                <w:noProof/>
              </w:rPr>
            </w:pPr>
            <w:r w:rsidRPr="4B118F64">
              <w:rPr>
                <w:noProof/>
                <w:sz w:val="18"/>
                <w:szCs w:val="18"/>
              </w:rPr>
              <w:t>Diff./Non-diff.</w:t>
            </w:r>
            <w:r w:rsidRPr="4B118F64">
              <w:rPr>
                <w:rStyle w:val="FootnoteReference"/>
                <w:noProof/>
                <w:sz w:val="18"/>
                <w:szCs w:val="18"/>
              </w:rPr>
              <w:footnoteReference w:id="11"/>
            </w:r>
          </w:p>
        </w:tc>
        <w:tc>
          <w:tcPr>
            <w:tcW w:w="966" w:type="dxa"/>
            <w:vAlign w:val="center"/>
          </w:tcPr>
          <w:p w14:paraId="1FFC6544" w14:textId="77777777" w:rsidR="00A56747" w:rsidRPr="00FF5DD8" w:rsidRDefault="00A56747" w:rsidP="004B53CC">
            <w:pPr>
              <w:jc w:val="center"/>
              <w:rPr>
                <w:b/>
                <w:noProof/>
                <w:sz w:val="18"/>
              </w:rPr>
            </w:pPr>
            <w:r w:rsidRPr="4B118F64">
              <w:rPr>
                <w:noProof/>
                <w:sz w:val="18"/>
                <w:szCs w:val="18"/>
              </w:rPr>
              <w:t>from EFTA countries</w:t>
            </w:r>
            <w:r w:rsidRPr="4B118F64">
              <w:rPr>
                <w:rStyle w:val="FootnoteReference"/>
                <w:noProof/>
                <w:sz w:val="18"/>
                <w:szCs w:val="18"/>
              </w:rPr>
              <w:footnoteReference w:id="12"/>
            </w:r>
          </w:p>
        </w:tc>
        <w:tc>
          <w:tcPr>
            <w:tcW w:w="1092" w:type="dxa"/>
            <w:vAlign w:val="center"/>
          </w:tcPr>
          <w:p w14:paraId="30C5A511" w14:textId="77777777" w:rsidR="00A56747" w:rsidRPr="003A769F" w:rsidRDefault="00A56747" w:rsidP="004B53CC">
            <w:pPr>
              <w:jc w:val="center"/>
              <w:rPr>
                <w:noProof/>
                <w:sz w:val="18"/>
                <w:lang w:val="en-IE"/>
              </w:rPr>
            </w:pPr>
            <w:r w:rsidRPr="4B118F64">
              <w:rPr>
                <w:noProof/>
                <w:sz w:val="18"/>
                <w:szCs w:val="18"/>
                <w:lang w:val="en-IE"/>
              </w:rPr>
              <w:t>from candidate countries and potential candidates</w:t>
            </w:r>
            <w:r w:rsidRPr="4B118F64">
              <w:rPr>
                <w:rStyle w:val="FootnoteReference"/>
                <w:noProof/>
                <w:sz w:val="18"/>
                <w:szCs w:val="18"/>
              </w:rPr>
              <w:footnoteReference w:id="13"/>
            </w:r>
          </w:p>
        </w:tc>
        <w:tc>
          <w:tcPr>
            <w:tcW w:w="966" w:type="dxa"/>
            <w:vAlign w:val="center"/>
          </w:tcPr>
          <w:p w14:paraId="295A3BF8" w14:textId="77777777" w:rsidR="00A56747" w:rsidRPr="00FF5DD8" w:rsidRDefault="00A56747" w:rsidP="004B53CC">
            <w:pPr>
              <w:jc w:val="center"/>
              <w:rPr>
                <w:noProof/>
                <w:sz w:val="18"/>
              </w:rPr>
            </w:pPr>
            <w:r>
              <w:rPr>
                <w:noProof/>
                <w:sz w:val="18"/>
              </w:rPr>
              <w:t>F</w:t>
            </w:r>
            <w:r w:rsidRPr="00FF5DD8">
              <w:rPr>
                <w:noProof/>
                <w:sz w:val="18"/>
              </w:rPr>
              <w:t>rom</w:t>
            </w:r>
            <w:r>
              <w:rPr>
                <w:noProof/>
                <w:sz w:val="18"/>
              </w:rPr>
              <w:t xml:space="preserve"> other </w:t>
            </w:r>
            <w:r w:rsidRPr="00FF5DD8">
              <w:rPr>
                <w:noProof/>
                <w:sz w:val="18"/>
              </w:rPr>
              <w:t>third countries</w:t>
            </w:r>
          </w:p>
        </w:tc>
        <w:tc>
          <w:tcPr>
            <w:tcW w:w="1463" w:type="dxa"/>
            <w:vAlign w:val="center"/>
          </w:tcPr>
          <w:p w14:paraId="05BB54D1" w14:textId="77777777" w:rsidR="00A56747" w:rsidRPr="00FF5DD8" w:rsidRDefault="00A56747" w:rsidP="004B53CC">
            <w:pPr>
              <w:jc w:val="center"/>
              <w:rPr>
                <w:noProof/>
              </w:rPr>
            </w:pPr>
            <w:r w:rsidRPr="00154373">
              <w:rPr>
                <w:noProof/>
                <w:sz w:val="18"/>
                <w:szCs w:val="18"/>
                <w:lang w:val="en-IE"/>
              </w:rPr>
              <w:t>other assigned revenue</w:t>
            </w:r>
          </w:p>
        </w:tc>
      </w:tr>
      <w:tr w:rsidR="00A56747" w14:paraId="7308F478" w14:textId="77777777" w:rsidTr="00FF1EF4">
        <w:trPr>
          <w:jc w:val="center"/>
        </w:trPr>
        <w:tc>
          <w:tcPr>
            <w:tcW w:w="1092" w:type="dxa"/>
            <w:vAlign w:val="center"/>
          </w:tcPr>
          <w:p w14:paraId="7A9AF57A" w14:textId="77777777" w:rsidR="00A56747" w:rsidRPr="006036B3" w:rsidRDefault="00A56747" w:rsidP="004B53CC">
            <w:pPr>
              <w:jc w:val="center"/>
              <w:rPr>
                <w:noProof/>
              </w:rPr>
            </w:pPr>
            <w:r w:rsidRPr="006036B3">
              <w:rPr>
                <w:noProof/>
              </w:rPr>
              <w:t>H2a</w:t>
            </w:r>
          </w:p>
        </w:tc>
        <w:tc>
          <w:tcPr>
            <w:tcW w:w="4002" w:type="dxa"/>
            <w:vAlign w:val="center"/>
          </w:tcPr>
          <w:p w14:paraId="25C840D5" w14:textId="77777777" w:rsidR="00A56747" w:rsidRPr="006036B3" w:rsidRDefault="00A56747" w:rsidP="004B53CC">
            <w:pPr>
              <w:spacing w:before="60"/>
              <w:rPr>
                <w:noProof/>
                <w:sz w:val="22"/>
              </w:rPr>
            </w:pPr>
            <w:r w:rsidRPr="006036B3">
              <w:rPr>
                <w:noProof/>
                <w:sz w:val="22"/>
              </w:rPr>
              <w:t>05 02 01 ERDF – Operational expenditure</w:t>
            </w:r>
          </w:p>
          <w:p w14:paraId="0E6BFA6E" w14:textId="77777777" w:rsidR="00A56747" w:rsidRPr="006036B3" w:rsidRDefault="00A56747" w:rsidP="004B53CC">
            <w:pPr>
              <w:spacing w:after="60"/>
              <w:rPr>
                <w:noProof/>
              </w:rPr>
            </w:pPr>
          </w:p>
        </w:tc>
        <w:tc>
          <w:tcPr>
            <w:tcW w:w="1092" w:type="dxa"/>
            <w:vAlign w:val="center"/>
          </w:tcPr>
          <w:p w14:paraId="5F7319A3" w14:textId="77777777" w:rsidR="00A56747" w:rsidRDefault="00A56747" w:rsidP="004B53CC">
            <w:pPr>
              <w:jc w:val="center"/>
              <w:rPr>
                <w:noProof/>
                <w:color w:val="0000FF"/>
              </w:rPr>
            </w:pPr>
            <w:r>
              <w:rPr>
                <w:noProof/>
                <w:sz w:val="22"/>
              </w:rPr>
              <w:t>Diff</w:t>
            </w:r>
            <w:r w:rsidDel="00736DCD">
              <w:rPr>
                <w:noProof/>
                <w:sz w:val="22"/>
              </w:rPr>
              <w:t>.</w:t>
            </w:r>
          </w:p>
        </w:tc>
        <w:tc>
          <w:tcPr>
            <w:tcW w:w="966" w:type="dxa"/>
            <w:vAlign w:val="center"/>
          </w:tcPr>
          <w:p w14:paraId="5DAB6D96" w14:textId="77777777" w:rsidR="00A56747" w:rsidRPr="008D0E8A" w:rsidRDefault="00A56747" w:rsidP="004B53CC">
            <w:pPr>
              <w:jc w:val="center"/>
              <w:rPr>
                <w:noProof/>
                <w:sz w:val="20"/>
                <w:szCs w:val="20"/>
              </w:rPr>
            </w:pPr>
            <w:r w:rsidRPr="007974DD">
              <w:rPr>
                <w:noProof/>
                <w:sz w:val="20"/>
                <w:szCs w:val="20"/>
              </w:rPr>
              <w:t>NO</w:t>
            </w:r>
          </w:p>
        </w:tc>
        <w:tc>
          <w:tcPr>
            <w:tcW w:w="1092" w:type="dxa"/>
            <w:vAlign w:val="center"/>
          </w:tcPr>
          <w:p w14:paraId="1497F880" w14:textId="77777777" w:rsidR="00A56747" w:rsidRPr="008D0E8A" w:rsidRDefault="00A56747" w:rsidP="004B53CC">
            <w:pPr>
              <w:jc w:val="center"/>
              <w:rPr>
                <w:noProof/>
                <w:sz w:val="20"/>
                <w:szCs w:val="20"/>
              </w:rPr>
            </w:pPr>
            <w:r w:rsidRPr="007974DD">
              <w:rPr>
                <w:noProof/>
                <w:sz w:val="20"/>
                <w:szCs w:val="20"/>
              </w:rPr>
              <w:t>NO</w:t>
            </w:r>
          </w:p>
        </w:tc>
        <w:tc>
          <w:tcPr>
            <w:tcW w:w="966" w:type="dxa"/>
            <w:vAlign w:val="center"/>
          </w:tcPr>
          <w:p w14:paraId="2524F448" w14:textId="77777777" w:rsidR="00A56747" w:rsidRPr="008D0E8A" w:rsidRDefault="00A56747" w:rsidP="004B53CC">
            <w:pPr>
              <w:jc w:val="center"/>
              <w:rPr>
                <w:noProof/>
                <w:sz w:val="20"/>
                <w:szCs w:val="20"/>
              </w:rPr>
            </w:pPr>
            <w:r w:rsidRPr="007974DD">
              <w:rPr>
                <w:noProof/>
                <w:sz w:val="20"/>
                <w:szCs w:val="20"/>
              </w:rPr>
              <w:t>NO</w:t>
            </w:r>
          </w:p>
        </w:tc>
        <w:tc>
          <w:tcPr>
            <w:tcW w:w="1463" w:type="dxa"/>
            <w:vAlign w:val="center"/>
          </w:tcPr>
          <w:p w14:paraId="15BC4753" w14:textId="77777777" w:rsidR="00A56747" w:rsidRPr="008D0E8A" w:rsidRDefault="00A56747" w:rsidP="004B53CC">
            <w:pPr>
              <w:jc w:val="center"/>
              <w:rPr>
                <w:noProof/>
                <w:sz w:val="20"/>
                <w:szCs w:val="20"/>
              </w:rPr>
            </w:pPr>
            <w:r w:rsidRPr="007974DD">
              <w:rPr>
                <w:noProof/>
                <w:sz w:val="20"/>
                <w:szCs w:val="20"/>
              </w:rPr>
              <w:t>NO</w:t>
            </w:r>
          </w:p>
        </w:tc>
      </w:tr>
      <w:tr w:rsidR="00A56747" w14:paraId="1A99F022" w14:textId="77777777" w:rsidTr="00FF1EF4">
        <w:trPr>
          <w:jc w:val="center"/>
        </w:trPr>
        <w:tc>
          <w:tcPr>
            <w:tcW w:w="1092" w:type="dxa"/>
            <w:vAlign w:val="center"/>
          </w:tcPr>
          <w:p w14:paraId="39979E13" w14:textId="77777777" w:rsidR="00A56747" w:rsidRPr="006036B3" w:rsidRDefault="00A56747" w:rsidP="004B53CC">
            <w:pPr>
              <w:jc w:val="center"/>
              <w:rPr>
                <w:noProof/>
              </w:rPr>
            </w:pPr>
            <w:r w:rsidRPr="006036B3">
              <w:rPr>
                <w:noProof/>
              </w:rPr>
              <w:t>H2a</w:t>
            </w:r>
          </w:p>
          <w:p w14:paraId="089809C2" w14:textId="77777777" w:rsidR="00A56747" w:rsidRPr="006036B3" w:rsidRDefault="00A56747" w:rsidP="004B53CC">
            <w:pPr>
              <w:jc w:val="center"/>
              <w:rPr>
                <w:noProof/>
              </w:rPr>
            </w:pPr>
          </w:p>
        </w:tc>
        <w:tc>
          <w:tcPr>
            <w:tcW w:w="4002" w:type="dxa"/>
            <w:vAlign w:val="center"/>
          </w:tcPr>
          <w:p w14:paraId="4BBB1C8F" w14:textId="77777777" w:rsidR="00A56747" w:rsidRPr="006036B3" w:rsidRDefault="00A56747" w:rsidP="004B53CC">
            <w:pPr>
              <w:spacing w:before="60"/>
              <w:rPr>
                <w:noProof/>
                <w:sz w:val="22"/>
              </w:rPr>
            </w:pPr>
            <w:r w:rsidRPr="006036B3">
              <w:rPr>
                <w:noProof/>
                <w:sz w:val="22"/>
              </w:rPr>
              <w:t>05 03 01 CF – Operational expenditure</w:t>
            </w:r>
          </w:p>
          <w:p w14:paraId="644385EB" w14:textId="77777777" w:rsidR="00A56747" w:rsidRPr="006036B3" w:rsidRDefault="00A56747" w:rsidP="004B53CC">
            <w:pPr>
              <w:spacing w:after="60"/>
              <w:rPr>
                <w:noProof/>
              </w:rPr>
            </w:pPr>
          </w:p>
        </w:tc>
        <w:tc>
          <w:tcPr>
            <w:tcW w:w="1092" w:type="dxa"/>
            <w:vAlign w:val="center"/>
          </w:tcPr>
          <w:p w14:paraId="0D757EC3" w14:textId="77777777" w:rsidR="00A56747" w:rsidRDefault="00A56747" w:rsidP="004B53CC">
            <w:pPr>
              <w:jc w:val="center"/>
              <w:rPr>
                <w:noProof/>
                <w:color w:val="0000FF"/>
              </w:rPr>
            </w:pPr>
            <w:r>
              <w:rPr>
                <w:noProof/>
                <w:sz w:val="22"/>
              </w:rPr>
              <w:t>Diff</w:t>
            </w:r>
            <w:r w:rsidDel="00736DCD">
              <w:rPr>
                <w:noProof/>
                <w:sz w:val="22"/>
              </w:rPr>
              <w:t>.</w:t>
            </w:r>
          </w:p>
        </w:tc>
        <w:tc>
          <w:tcPr>
            <w:tcW w:w="966" w:type="dxa"/>
            <w:vAlign w:val="center"/>
          </w:tcPr>
          <w:p w14:paraId="6F8CB203" w14:textId="77777777" w:rsidR="00A56747" w:rsidRPr="008D0E8A" w:rsidRDefault="00A56747" w:rsidP="004B53CC">
            <w:pPr>
              <w:jc w:val="center"/>
              <w:rPr>
                <w:noProof/>
                <w:sz w:val="20"/>
                <w:szCs w:val="20"/>
              </w:rPr>
            </w:pPr>
            <w:r w:rsidRPr="007974DD">
              <w:rPr>
                <w:noProof/>
                <w:sz w:val="20"/>
                <w:szCs w:val="20"/>
              </w:rPr>
              <w:t>NO</w:t>
            </w:r>
          </w:p>
        </w:tc>
        <w:tc>
          <w:tcPr>
            <w:tcW w:w="1092" w:type="dxa"/>
            <w:vAlign w:val="center"/>
          </w:tcPr>
          <w:p w14:paraId="03961F9E" w14:textId="77777777" w:rsidR="00A56747" w:rsidRPr="008D0E8A" w:rsidRDefault="00A56747" w:rsidP="004B53CC">
            <w:pPr>
              <w:jc w:val="center"/>
              <w:rPr>
                <w:noProof/>
                <w:sz w:val="20"/>
                <w:szCs w:val="20"/>
              </w:rPr>
            </w:pPr>
            <w:r w:rsidRPr="007974DD">
              <w:rPr>
                <w:noProof/>
                <w:sz w:val="20"/>
                <w:szCs w:val="20"/>
              </w:rPr>
              <w:t>NO</w:t>
            </w:r>
          </w:p>
        </w:tc>
        <w:tc>
          <w:tcPr>
            <w:tcW w:w="966" w:type="dxa"/>
            <w:vAlign w:val="center"/>
          </w:tcPr>
          <w:p w14:paraId="3147B40F" w14:textId="77777777" w:rsidR="00A56747" w:rsidRPr="008D0E8A" w:rsidRDefault="00A56747" w:rsidP="004B53CC">
            <w:pPr>
              <w:jc w:val="center"/>
              <w:rPr>
                <w:noProof/>
                <w:sz w:val="20"/>
                <w:szCs w:val="20"/>
              </w:rPr>
            </w:pPr>
            <w:r w:rsidRPr="007974DD">
              <w:rPr>
                <w:noProof/>
                <w:sz w:val="20"/>
                <w:szCs w:val="20"/>
              </w:rPr>
              <w:t>NO</w:t>
            </w:r>
          </w:p>
        </w:tc>
        <w:tc>
          <w:tcPr>
            <w:tcW w:w="1463" w:type="dxa"/>
            <w:vAlign w:val="center"/>
          </w:tcPr>
          <w:p w14:paraId="26D37E1D" w14:textId="77777777" w:rsidR="00A56747" w:rsidRPr="008D0E8A" w:rsidRDefault="00A56747" w:rsidP="004B53CC">
            <w:pPr>
              <w:jc w:val="center"/>
              <w:rPr>
                <w:noProof/>
                <w:sz w:val="20"/>
                <w:szCs w:val="20"/>
              </w:rPr>
            </w:pPr>
            <w:r w:rsidRPr="007974DD">
              <w:rPr>
                <w:noProof/>
                <w:sz w:val="20"/>
                <w:szCs w:val="20"/>
              </w:rPr>
              <w:t>NO</w:t>
            </w:r>
          </w:p>
        </w:tc>
      </w:tr>
    </w:tbl>
    <w:p w14:paraId="1E9E1AC6" w14:textId="77777777" w:rsidR="00A56747" w:rsidRDefault="00A56747" w:rsidP="00A56747">
      <w:pPr>
        <w:rPr>
          <w:noProof/>
        </w:rPr>
        <w:sectPr w:rsidR="00A56747" w:rsidSect="00A12408">
          <w:pgSz w:w="11907" w:h="16840" w:code="1"/>
          <w:pgMar w:top="1134" w:right="1418" w:bottom="1134" w:left="1418" w:header="709" w:footer="709" w:gutter="0"/>
          <w:cols w:space="708"/>
          <w:docGrid w:linePitch="360"/>
        </w:sectPr>
      </w:pPr>
    </w:p>
    <w:p w14:paraId="3275F047" w14:textId="77777777" w:rsidR="00A56747" w:rsidRDefault="00A56747" w:rsidP="00A56747">
      <w:pPr>
        <w:pStyle w:val="ManualHeading2"/>
        <w:rPr>
          <w:bCs/>
          <w:noProof/>
          <w:szCs w:val="24"/>
        </w:rPr>
      </w:pPr>
      <w:bookmarkStart w:id="190" w:name="_Toc514938052"/>
      <w:bookmarkStart w:id="191" w:name="_Toc520485051"/>
      <w:bookmarkStart w:id="192" w:name="_Toc160804593"/>
      <w:bookmarkStart w:id="193" w:name="_Toc167220285"/>
      <w:bookmarkStart w:id="194" w:name="_Toc177549018"/>
      <w:r w:rsidRPr="0021790A">
        <w:rPr>
          <w:noProof/>
        </w:rPr>
        <w:t>3.2.</w:t>
      </w:r>
      <w:r w:rsidRPr="0021790A">
        <w:rPr>
          <w:noProof/>
        </w:rPr>
        <w:tab/>
      </w:r>
      <w:r>
        <w:rPr>
          <w:noProof/>
        </w:rPr>
        <w:t>Estimated financial impact of the proposal on appropriations</w:t>
      </w:r>
      <w:bookmarkEnd w:id="190"/>
      <w:bookmarkEnd w:id="191"/>
      <w:bookmarkEnd w:id="192"/>
      <w:bookmarkEnd w:id="193"/>
      <w:bookmarkEnd w:id="194"/>
      <w:r>
        <w:rPr>
          <w:noProof/>
        </w:rPr>
        <w:t xml:space="preserve"> </w:t>
      </w:r>
    </w:p>
    <w:p w14:paraId="718F9F2B" w14:textId="77777777" w:rsidR="00A56747" w:rsidRDefault="00A56747" w:rsidP="00A56747">
      <w:pPr>
        <w:pStyle w:val="ManualHeading3"/>
        <w:rPr>
          <w:noProof/>
        </w:rPr>
      </w:pPr>
      <w:bookmarkStart w:id="195" w:name="_Toc514938053"/>
      <w:bookmarkStart w:id="196" w:name="_Toc520485052"/>
      <w:bookmarkStart w:id="197" w:name="_Toc160804594"/>
      <w:bookmarkStart w:id="198" w:name="_Toc167220286"/>
      <w:bookmarkStart w:id="199" w:name="_Toc177549019"/>
      <w:r w:rsidRPr="0021790A">
        <w:rPr>
          <w:noProof/>
        </w:rPr>
        <w:t>3.2.1.</w:t>
      </w:r>
      <w:r w:rsidRPr="0021790A">
        <w:rPr>
          <w:noProof/>
        </w:rPr>
        <w:tab/>
      </w:r>
      <w:r>
        <w:rPr>
          <w:noProof/>
        </w:rPr>
        <w:t>Summary of estimated impact on operational appropriations</w:t>
      </w:r>
      <w:bookmarkEnd w:id="195"/>
      <w:bookmarkEnd w:id="196"/>
      <w:bookmarkEnd w:id="197"/>
      <w:bookmarkEnd w:id="198"/>
      <w:bookmarkEnd w:id="199"/>
      <w:r>
        <w:rPr>
          <w:noProof/>
        </w:rPr>
        <w:t xml:space="preserve"> </w:t>
      </w:r>
    </w:p>
    <w:p w14:paraId="2DDA2A7C" w14:textId="77777777" w:rsidR="00A56747" w:rsidRDefault="00A56747" w:rsidP="00A56747">
      <w:pPr>
        <w:pStyle w:val="ListDash1"/>
        <w:tabs>
          <w:tab w:val="clear" w:pos="3523"/>
          <w:tab w:val="num" w:pos="1134"/>
        </w:tabs>
        <w:ind w:left="1134"/>
        <w:rPr>
          <w:noProof/>
        </w:rPr>
      </w:pPr>
      <w:r>
        <w:rPr>
          <w:rFonts w:ascii="Wingdings" w:eastAsia="Wingdings" w:hAnsi="Wingdings" w:cs="Wingdings"/>
          <w:noProof/>
        </w:rPr>
        <w:t></w:t>
      </w:r>
      <w:r>
        <w:rPr>
          <w:noProof/>
        </w:rPr>
        <w:tab/>
        <w:t xml:space="preserve">The proposal/initiative does not require the use of operational appropriations </w:t>
      </w:r>
    </w:p>
    <w:p w14:paraId="259CA63F" w14:textId="77777777" w:rsidR="00A56747" w:rsidRDefault="00A56747" w:rsidP="00A56747">
      <w:pPr>
        <w:pStyle w:val="ListDash1"/>
        <w:tabs>
          <w:tab w:val="clear" w:pos="3523"/>
          <w:tab w:val="num" w:pos="1134"/>
        </w:tabs>
        <w:ind w:left="1134"/>
        <w:rPr>
          <w:noProof/>
        </w:rPr>
      </w:pPr>
      <w:r w:rsidRPr="784B621B">
        <w:rPr>
          <w:noProof/>
          <w:color w:val="001E62"/>
          <w:szCs w:val="24"/>
        </w:rPr>
        <w:t>☑</w:t>
      </w:r>
      <w:r w:rsidRPr="784B621B">
        <w:rPr>
          <w:noProof/>
        </w:rPr>
        <w:t xml:space="preserve"> </w:t>
      </w:r>
      <w:r w:rsidRPr="724DE73C">
        <w:rPr>
          <w:noProof/>
        </w:rPr>
        <w:t>The proposal/initiative requires the use of operational appropriations, as explained below</w:t>
      </w:r>
    </w:p>
    <w:p w14:paraId="05A29881" w14:textId="77777777" w:rsidR="00A56747" w:rsidRDefault="00A56747" w:rsidP="00A56747">
      <w:pPr>
        <w:pStyle w:val="ManualHeading3"/>
        <w:rPr>
          <w:noProof/>
        </w:rPr>
      </w:pPr>
      <w:bookmarkStart w:id="200" w:name="_Toc160804595"/>
      <w:bookmarkStart w:id="201" w:name="_Toc167220287"/>
      <w:bookmarkStart w:id="202" w:name="_Toc177549020"/>
      <w:r>
        <w:rPr>
          <w:noProof/>
        </w:rPr>
        <w:t>3.2.1.1.</w:t>
      </w:r>
      <w:r>
        <w:rPr>
          <w:noProof/>
        </w:rPr>
        <w:tab/>
        <w:t>Appropriations from voted budget</w:t>
      </w:r>
      <w:bookmarkEnd w:id="200"/>
      <w:bookmarkEnd w:id="201"/>
      <w:bookmarkEnd w:id="202"/>
    </w:p>
    <w:p w14:paraId="49C149A1" w14:textId="77777777" w:rsidR="00A56747" w:rsidRPr="003A769F" w:rsidRDefault="00A56747" w:rsidP="00A56747">
      <w:pPr>
        <w:jc w:val="right"/>
        <w:rPr>
          <w:noProof/>
          <w:sz w:val="18"/>
          <w:szCs w:val="18"/>
          <w:lang w:val="en-IE"/>
        </w:rPr>
      </w:pPr>
      <w:r w:rsidRPr="003A769F">
        <w:rPr>
          <w:noProof/>
          <w:sz w:val="18"/>
          <w:szCs w:val="18"/>
          <w:lang w:val="en-IE"/>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A56747" w14:paraId="2C45287B" w14:textId="77777777" w:rsidTr="00FF1EF4">
        <w:tc>
          <w:tcPr>
            <w:tcW w:w="1739" w:type="pct"/>
            <w:shd w:val="thinDiagStripe" w:color="C0C0C0" w:fill="auto"/>
            <w:vAlign w:val="center"/>
          </w:tcPr>
          <w:p w14:paraId="17328B3E" w14:textId="77777777" w:rsidR="00A56747" w:rsidRPr="003A769F" w:rsidRDefault="00A56747" w:rsidP="004B53CC">
            <w:pPr>
              <w:spacing w:before="60" w:after="60"/>
              <w:jc w:val="center"/>
              <w:rPr>
                <w:b/>
                <w:noProof/>
                <w:lang w:val="en-IE"/>
              </w:rPr>
            </w:pPr>
            <w:r w:rsidRPr="003A769F">
              <w:rPr>
                <w:b/>
                <w:noProof/>
                <w:sz w:val="22"/>
                <w:lang w:val="en-IE"/>
              </w:rPr>
              <w:t xml:space="preserve">Heading of multiannual financial framework </w:t>
            </w:r>
          </w:p>
        </w:tc>
        <w:tc>
          <w:tcPr>
            <w:tcW w:w="396" w:type="pct"/>
            <w:vAlign w:val="center"/>
          </w:tcPr>
          <w:p w14:paraId="091496A1" w14:textId="77777777" w:rsidR="00A56747" w:rsidRDefault="00A56747" w:rsidP="004B53CC">
            <w:pPr>
              <w:spacing w:before="60" w:after="60"/>
              <w:jc w:val="center"/>
              <w:rPr>
                <w:noProof/>
              </w:rPr>
            </w:pPr>
            <w:r>
              <w:rPr>
                <w:noProof/>
                <w:sz w:val="22"/>
              </w:rPr>
              <w:t>Number</w:t>
            </w:r>
          </w:p>
        </w:tc>
        <w:tc>
          <w:tcPr>
            <w:tcW w:w="2865" w:type="pct"/>
            <w:vAlign w:val="center"/>
          </w:tcPr>
          <w:p w14:paraId="75E34E70" w14:textId="77777777" w:rsidR="00A56747" w:rsidRDefault="00A56747" w:rsidP="004B53CC">
            <w:pPr>
              <w:spacing w:before="60" w:after="60"/>
              <w:rPr>
                <w:noProof/>
              </w:rPr>
            </w:pPr>
            <w:r>
              <w:rPr>
                <w:noProof/>
              </w:rPr>
              <w:t>H2a</w:t>
            </w:r>
          </w:p>
        </w:tc>
      </w:tr>
    </w:tbl>
    <w:p w14:paraId="742ED205" w14:textId="77777777" w:rsidR="00A56747" w:rsidRDefault="00A56747" w:rsidP="00A56747">
      <w:pPr>
        <w:rPr>
          <w:noProof/>
          <w:sz w:val="16"/>
        </w:rPr>
      </w:pPr>
    </w:p>
    <w:tbl>
      <w:tblPr>
        <w:tblW w:w="5000" w:type="pct"/>
        <w:tblLook w:val="04A0" w:firstRow="1" w:lastRow="0" w:firstColumn="1" w:lastColumn="0" w:noHBand="0" w:noVBand="1"/>
      </w:tblPr>
      <w:tblGrid>
        <w:gridCol w:w="4012"/>
        <w:gridCol w:w="23"/>
        <w:gridCol w:w="293"/>
        <w:gridCol w:w="1189"/>
        <w:gridCol w:w="23"/>
        <w:gridCol w:w="128"/>
        <w:gridCol w:w="1038"/>
        <w:gridCol w:w="210"/>
        <w:gridCol w:w="34"/>
        <w:gridCol w:w="796"/>
        <w:gridCol w:w="572"/>
        <w:gridCol w:w="43"/>
        <w:gridCol w:w="629"/>
        <w:gridCol w:w="731"/>
        <w:gridCol w:w="51"/>
        <w:gridCol w:w="461"/>
        <w:gridCol w:w="890"/>
        <w:gridCol w:w="60"/>
        <w:gridCol w:w="293"/>
        <w:gridCol w:w="1049"/>
        <w:gridCol w:w="17"/>
        <w:gridCol w:w="176"/>
        <w:gridCol w:w="1502"/>
      </w:tblGrid>
      <w:tr w:rsidR="003100E7" w:rsidRPr="00C2043F" w14:paraId="01BF4B15" w14:textId="77777777" w:rsidTr="4D8CB314">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33BF3C4" w14:textId="77777777" w:rsidR="00A56747" w:rsidRPr="00C2043F" w:rsidRDefault="00A56747" w:rsidP="004B53CC">
            <w:pPr>
              <w:spacing w:before="0" w:after="0"/>
              <w:jc w:val="center"/>
              <w:rPr>
                <w:noProof/>
                <w:color w:val="000000"/>
                <w:sz w:val="22"/>
                <w:lang w:val="en-IE" w:eastAsia="en-IE"/>
              </w:rPr>
            </w:pPr>
            <w:r w:rsidRPr="00C2043F">
              <w:rPr>
                <w:noProof/>
                <w:color w:val="000000"/>
                <w:sz w:val="22"/>
                <w:lang w:val="en-IE" w:eastAsia="en-IE"/>
              </w:rPr>
              <w:t xml:space="preserve">DG: </w:t>
            </w:r>
            <w:r>
              <w:rPr>
                <w:noProof/>
                <w:color w:val="000000"/>
                <w:sz w:val="22"/>
                <w:lang w:val="en-IE" w:eastAsia="en-IE"/>
              </w:rPr>
              <w:t>REGIO</w:t>
            </w:r>
            <w:r w:rsidRPr="00C2043F">
              <w:rPr>
                <w:noProof/>
                <w:color w:val="000000"/>
                <w:sz w:val="22"/>
                <w:lang w:val="en-IE" w:eastAsia="en-IE"/>
              </w:rPr>
              <w:t>.</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6E037A0C"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66E0204"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496" w:type="pct"/>
            <w:gridSpan w:val="3"/>
            <w:tcBorders>
              <w:top w:val="single" w:sz="8" w:space="0" w:color="auto"/>
              <w:left w:val="nil"/>
              <w:bottom w:val="single" w:sz="8" w:space="0" w:color="auto"/>
              <w:right w:val="single" w:sz="8" w:space="0" w:color="auto"/>
            </w:tcBorders>
            <w:shd w:val="clear" w:color="auto" w:fill="auto"/>
            <w:vAlign w:val="center"/>
            <w:hideMark/>
          </w:tcPr>
          <w:p w14:paraId="15501D69"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478" w:type="pct"/>
            <w:gridSpan w:val="3"/>
            <w:tcBorders>
              <w:top w:val="single" w:sz="8" w:space="0" w:color="auto"/>
              <w:left w:val="nil"/>
              <w:bottom w:val="single" w:sz="8" w:space="0" w:color="auto"/>
              <w:right w:val="single" w:sz="8" w:space="0" w:color="auto"/>
            </w:tcBorders>
            <w:shd w:val="clear" w:color="auto" w:fill="auto"/>
            <w:vAlign w:val="center"/>
            <w:hideMark/>
          </w:tcPr>
          <w:p w14:paraId="3D850356"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590"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2DDCAF1"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TOTAL MF</w:t>
            </w:r>
            <w:r>
              <w:rPr>
                <w:b/>
                <w:bCs/>
                <w:noProof/>
                <w:color w:val="000000"/>
                <w:sz w:val="20"/>
                <w:szCs w:val="20"/>
                <w:lang w:val="en-IE" w:eastAsia="en-IE"/>
              </w:rPr>
              <w:t xml:space="preserve">F </w:t>
            </w:r>
            <w:r w:rsidRPr="00C2043F">
              <w:rPr>
                <w:b/>
                <w:bCs/>
                <w:noProof/>
                <w:color w:val="000000"/>
                <w:sz w:val="20"/>
                <w:szCs w:val="20"/>
                <w:lang w:val="en-IE" w:eastAsia="en-IE"/>
              </w:rPr>
              <w:t>2021-2027</w:t>
            </w:r>
          </w:p>
        </w:tc>
      </w:tr>
      <w:tr w:rsidR="00A56747" w:rsidRPr="00C2043F" w14:paraId="3368A094" w14:textId="77777777" w:rsidTr="00FF1EF4">
        <w:trPr>
          <w:trHeight w:val="288"/>
        </w:trPr>
        <w:tc>
          <w:tcPr>
            <w:tcW w:w="2444" w:type="pct"/>
            <w:gridSpan w:val="9"/>
            <w:vMerge/>
            <w:vAlign w:val="center"/>
            <w:hideMark/>
          </w:tcPr>
          <w:p w14:paraId="22B01BB4" w14:textId="77777777" w:rsidR="00A56747" w:rsidRPr="00C2043F" w:rsidRDefault="00A56747" w:rsidP="004B53CC">
            <w:pPr>
              <w:spacing w:before="0" w:after="0"/>
              <w:jc w:val="left"/>
              <w:rPr>
                <w:noProof/>
                <w:color w:val="000000"/>
                <w:sz w:val="22"/>
                <w:lang w:val="en-IE" w:eastAsia="en-IE"/>
              </w:rPr>
            </w:pPr>
          </w:p>
        </w:tc>
        <w:tc>
          <w:tcPr>
            <w:tcW w:w="496" w:type="pct"/>
            <w:gridSpan w:val="3"/>
            <w:tcBorders>
              <w:top w:val="nil"/>
              <w:left w:val="nil"/>
              <w:bottom w:val="single" w:sz="8" w:space="0" w:color="auto"/>
              <w:right w:val="single" w:sz="8" w:space="0" w:color="auto"/>
            </w:tcBorders>
            <w:shd w:val="clear" w:color="auto" w:fill="auto"/>
            <w:vAlign w:val="center"/>
            <w:hideMark/>
          </w:tcPr>
          <w:p w14:paraId="59238F46"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2024</w:t>
            </w:r>
          </w:p>
        </w:tc>
        <w:tc>
          <w:tcPr>
            <w:tcW w:w="496" w:type="pct"/>
            <w:gridSpan w:val="3"/>
            <w:tcBorders>
              <w:top w:val="nil"/>
              <w:left w:val="nil"/>
              <w:bottom w:val="single" w:sz="8" w:space="0" w:color="auto"/>
              <w:right w:val="single" w:sz="8" w:space="0" w:color="auto"/>
            </w:tcBorders>
            <w:shd w:val="clear" w:color="auto" w:fill="auto"/>
            <w:vAlign w:val="center"/>
            <w:hideMark/>
          </w:tcPr>
          <w:p w14:paraId="443C5AD4"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2025</w:t>
            </w:r>
          </w:p>
        </w:tc>
        <w:tc>
          <w:tcPr>
            <w:tcW w:w="496" w:type="pct"/>
            <w:gridSpan w:val="3"/>
            <w:tcBorders>
              <w:top w:val="nil"/>
              <w:left w:val="nil"/>
              <w:bottom w:val="single" w:sz="8" w:space="0" w:color="auto"/>
              <w:right w:val="single" w:sz="8" w:space="0" w:color="auto"/>
            </w:tcBorders>
            <w:shd w:val="clear" w:color="auto" w:fill="auto"/>
            <w:vAlign w:val="center"/>
            <w:hideMark/>
          </w:tcPr>
          <w:p w14:paraId="5A754E28"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2026</w:t>
            </w:r>
          </w:p>
        </w:tc>
        <w:tc>
          <w:tcPr>
            <w:tcW w:w="478" w:type="pct"/>
            <w:gridSpan w:val="3"/>
            <w:tcBorders>
              <w:top w:val="nil"/>
              <w:left w:val="nil"/>
              <w:bottom w:val="single" w:sz="8" w:space="0" w:color="auto"/>
              <w:right w:val="single" w:sz="8" w:space="0" w:color="auto"/>
            </w:tcBorders>
            <w:shd w:val="clear" w:color="auto" w:fill="auto"/>
            <w:vAlign w:val="center"/>
            <w:hideMark/>
          </w:tcPr>
          <w:p w14:paraId="614437E2"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2027</w:t>
            </w:r>
          </w:p>
        </w:tc>
        <w:tc>
          <w:tcPr>
            <w:tcW w:w="590" w:type="pct"/>
            <w:gridSpan w:val="2"/>
            <w:vMerge/>
            <w:vAlign w:val="center"/>
            <w:hideMark/>
          </w:tcPr>
          <w:p w14:paraId="1120D3C3" w14:textId="77777777" w:rsidR="00A56747" w:rsidRPr="00C2043F" w:rsidRDefault="00A56747" w:rsidP="004B53CC">
            <w:pPr>
              <w:spacing w:before="0" w:after="0"/>
              <w:jc w:val="left"/>
              <w:rPr>
                <w:b/>
                <w:bCs/>
                <w:noProof/>
                <w:color w:val="000000"/>
                <w:sz w:val="20"/>
                <w:szCs w:val="20"/>
                <w:lang w:val="en-IE" w:eastAsia="en-IE"/>
              </w:rPr>
            </w:pPr>
          </w:p>
        </w:tc>
      </w:tr>
      <w:tr w:rsidR="00A56747" w:rsidRPr="00C2043F" w14:paraId="24D13B1F" w14:textId="77777777" w:rsidTr="00FF1EF4">
        <w:trPr>
          <w:trHeight w:val="300"/>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vAlign w:val="center"/>
            <w:hideMark/>
          </w:tcPr>
          <w:p w14:paraId="4FE52535" w14:textId="77777777" w:rsidR="00A56747" w:rsidRPr="00C2043F" w:rsidRDefault="00A56747" w:rsidP="004B53CC">
            <w:pPr>
              <w:spacing w:before="0" w:after="0"/>
              <w:jc w:val="left"/>
              <w:rPr>
                <w:noProof/>
                <w:color w:val="000000"/>
                <w:sz w:val="21"/>
                <w:szCs w:val="21"/>
                <w:lang w:val="en-IE" w:eastAsia="en-IE"/>
              </w:rPr>
            </w:pPr>
            <w:r w:rsidRPr="00C2043F">
              <w:rPr>
                <w:noProof/>
                <w:color w:val="000000"/>
                <w:sz w:val="21"/>
                <w:szCs w:val="21"/>
                <w:lang w:val="en-IE" w:eastAsia="en-IE"/>
              </w:rPr>
              <w:t xml:space="preserve">Operational appropriations </w:t>
            </w:r>
          </w:p>
        </w:tc>
      </w:tr>
      <w:tr w:rsidR="003100E7" w:rsidRPr="00C2043F" w14:paraId="4DBFFB5F" w14:textId="77777777" w:rsidTr="4D8CB314">
        <w:trPr>
          <w:trHeight w:val="288"/>
        </w:trPr>
        <w:tc>
          <w:tcPr>
            <w:tcW w:w="1419" w:type="pct"/>
            <w:gridSpan w:val="2"/>
            <w:vMerge w:val="restart"/>
            <w:tcBorders>
              <w:top w:val="nil"/>
              <w:left w:val="single" w:sz="8" w:space="0" w:color="auto"/>
              <w:bottom w:val="single" w:sz="8" w:space="0" w:color="auto"/>
              <w:right w:val="single" w:sz="8" w:space="0" w:color="auto"/>
            </w:tcBorders>
            <w:shd w:val="clear" w:color="auto" w:fill="auto"/>
            <w:noWrap/>
            <w:vAlign w:val="center"/>
            <w:hideMark/>
          </w:tcPr>
          <w:p w14:paraId="09D5D813" w14:textId="77777777" w:rsidR="00A56747" w:rsidRPr="00C2043F" w:rsidRDefault="00A56747" w:rsidP="004B53CC">
            <w:pPr>
              <w:spacing w:before="0" w:after="0"/>
              <w:jc w:val="left"/>
              <w:rPr>
                <w:noProof/>
                <w:color w:val="000000"/>
                <w:sz w:val="22"/>
                <w:lang w:val="en-IE" w:eastAsia="en-IE"/>
              </w:rPr>
            </w:pPr>
            <w:r>
              <w:rPr>
                <w:noProof/>
                <w:color w:val="000000"/>
                <w:sz w:val="22"/>
                <w:lang w:val="en-IE" w:eastAsia="en-IE"/>
              </w:rPr>
              <w:t>05.0201 ERDF Operational expenditure</w:t>
            </w:r>
          </w:p>
        </w:tc>
        <w:tc>
          <w:tcPr>
            <w:tcW w:w="529" w:type="pct"/>
            <w:gridSpan w:val="3"/>
            <w:tcBorders>
              <w:top w:val="nil"/>
              <w:left w:val="nil"/>
              <w:bottom w:val="single" w:sz="8" w:space="0" w:color="auto"/>
              <w:right w:val="single" w:sz="8" w:space="0" w:color="auto"/>
            </w:tcBorders>
            <w:shd w:val="clear" w:color="auto" w:fill="auto"/>
            <w:vAlign w:val="center"/>
            <w:hideMark/>
          </w:tcPr>
          <w:p w14:paraId="6BCF1323"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021E1570"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(1a)</w:t>
            </w:r>
          </w:p>
        </w:tc>
        <w:tc>
          <w:tcPr>
            <w:tcW w:w="496" w:type="pct"/>
            <w:gridSpan w:val="3"/>
            <w:tcBorders>
              <w:top w:val="nil"/>
              <w:left w:val="nil"/>
              <w:bottom w:val="single" w:sz="8" w:space="0" w:color="auto"/>
              <w:right w:val="single" w:sz="8" w:space="0" w:color="auto"/>
            </w:tcBorders>
            <w:shd w:val="clear" w:color="auto" w:fill="auto"/>
            <w:vAlign w:val="center"/>
            <w:hideMark/>
          </w:tcPr>
          <w:p w14:paraId="57291692"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5E53B150"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4BC6257A" w14:textId="77777777" w:rsidR="00A56747" w:rsidRPr="00C2043F" w:rsidRDefault="00A56747" w:rsidP="004B53CC">
            <w:pPr>
              <w:spacing w:before="0" w:after="0"/>
              <w:jc w:val="right"/>
              <w:rPr>
                <w:noProof/>
                <w:color w:val="000000"/>
                <w:sz w:val="20"/>
                <w:szCs w:val="20"/>
                <w:lang w:val="en-IE" w:eastAsia="en-IE"/>
              </w:rPr>
            </w:pPr>
            <w:r>
              <w:rPr>
                <w:noProof/>
                <w:color w:val="000000"/>
                <w:sz w:val="20"/>
                <w:szCs w:val="20"/>
                <w:lang w:val="en-IE" w:eastAsia="en-IE"/>
              </w:rPr>
              <w:t>0.000</w:t>
            </w:r>
            <w:r w:rsidRPr="00C2043F">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14:paraId="0B9883E1" w14:textId="77777777" w:rsidR="00A56747" w:rsidRPr="00C2043F" w:rsidRDefault="00A56747" w:rsidP="004B53CC">
            <w:pPr>
              <w:spacing w:before="0" w:after="0"/>
              <w:jc w:val="right"/>
              <w:rPr>
                <w:noProof/>
                <w:color w:val="000000"/>
                <w:sz w:val="20"/>
                <w:szCs w:val="20"/>
                <w:lang w:val="en-IE" w:eastAsia="en-IE"/>
              </w:rPr>
            </w:pPr>
            <w:r>
              <w:rPr>
                <w:noProof/>
                <w:color w:val="000000"/>
                <w:sz w:val="20"/>
                <w:szCs w:val="20"/>
                <w:lang w:val="en-IE" w:eastAsia="en-IE"/>
              </w:rPr>
              <w:t>0.000</w:t>
            </w:r>
            <w:r w:rsidRPr="00C2043F">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507F7F2"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A56747" w:rsidRPr="00C2043F" w14:paraId="36938C39" w14:textId="77777777" w:rsidTr="4D8CB314">
        <w:trPr>
          <w:trHeight w:val="315"/>
        </w:trPr>
        <w:tc>
          <w:tcPr>
            <w:tcW w:w="1419" w:type="pct"/>
            <w:gridSpan w:val="2"/>
            <w:vMerge/>
            <w:vAlign w:val="center"/>
            <w:hideMark/>
          </w:tcPr>
          <w:p w14:paraId="591B3A1C" w14:textId="77777777" w:rsidR="00A56747" w:rsidRPr="00C2043F" w:rsidRDefault="00A56747" w:rsidP="004B53CC">
            <w:pPr>
              <w:spacing w:before="0" w:after="0"/>
              <w:jc w:val="left"/>
              <w:rPr>
                <w:noProof/>
                <w:color w:val="000000"/>
                <w:sz w:val="22"/>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049132C5"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15566F0"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(2a)</w:t>
            </w:r>
          </w:p>
        </w:tc>
        <w:tc>
          <w:tcPr>
            <w:tcW w:w="496" w:type="pct"/>
            <w:gridSpan w:val="3"/>
            <w:tcBorders>
              <w:top w:val="nil"/>
              <w:left w:val="nil"/>
              <w:bottom w:val="single" w:sz="8" w:space="0" w:color="auto"/>
              <w:right w:val="single" w:sz="8" w:space="0" w:color="auto"/>
            </w:tcBorders>
            <w:shd w:val="clear" w:color="auto" w:fill="auto"/>
            <w:vAlign w:val="center"/>
            <w:hideMark/>
          </w:tcPr>
          <w:p w14:paraId="545AE7F1"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3E80F1D3"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73CA0D5B" w14:textId="77777777" w:rsidR="00A56747" w:rsidRPr="00C2043F" w:rsidRDefault="00671C30"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060467F4" w:rsidRPr="57A61160">
              <w:rPr>
                <w:noProof/>
                <w:color w:val="000000" w:themeColor="text1"/>
                <w:sz w:val="20"/>
                <w:szCs w:val="20"/>
                <w:lang w:val="en-IE" w:eastAsia="en-IE"/>
              </w:rPr>
              <w:t>3</w:t>
            </w:r>
            <w:r w:rsidR="5620B630" w:rsidRPr="57A61160">
              <w:rPr>
                <w:noProof/>
                <w:color w:val="000000" w:themeColor="text1"/>
                <w:sz w:val="20"/>
                <w:szCs w:val="20"/>
                <w:lang w:val="en-IE" w:eastAsia="en-IE"/>
              </w:rPr>
              <w:t xml:space="preserve"> </w:t>
            </w:r>
            <w:r w:rsidR="34EAA02D" w:rsidRPr="432A71E7">
              <w:rPr>
                <w:noProof/>
                <w:color w:val="000000" w:themeColor="text1"/>
                <w:sz w:val="20"/>
                <w:szCs w:val="20"/>
                <w:lang w:val="en-IE" w:eastAsia="en-IE"/>
              </w:rPr>
              <w:t>0</w:t>
            </w:r>
            <w:r w:rsidR="00756EF9">
              <w:rPr>
                <w:noProof/>
                <w:color w:val="000000" w:themeColor="text1"/>
                <w:sz w:val="20"/>
                <w:szCs w:val="20"/>
                <w:lang w:val="en-IE" w:eastAsia="en-IE"/>
              </w:rPr>
              <w:t>60</w:t>
            </w:r>
            <w:r w:rsidR="34EAA02D" w:rsidRPr="432A71E7">
              <w:rPr>
                <w:noProof/>
                <w:color w:val="000000" w:themeColor="text1"/>
                <w:sz w:val="20"/>
                <w:szCs w:val="20"/>
                <w:lang w:val="en-IE" w:eastAsia="en-IE"/>
              </w:rPr>
              <w:t>.000</w:t>
            </w:r>
            <w:r>
              <w:rPr>
                <w:noProof/>
                <w:color w:val="000000" w:themeColor="text1"/>
                <w:sz w:val="20"/>
                <w:szCs w:val="20"/>
                <w:lang w:val="en-IE" w:eastAsia="en-IE"/>
              </w:rPr>
              <w:t>]</w:t>
            </w:r>
            <w:r w:rsidR="34EAA02D" w:rsidRPr="432A71E7">
              <w:rPr>
                <w:noProof/>
                <w:color w:val="000000" w:themeColor="text1"/>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14:paraId="296F56DE" w14:textId="77777777" w:rsidR="00A56747" w:rsidRPr="00C2043F" w:rsidRDefault="00671C30"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34EAA02D" w:rsidRPr="432A71E7">
              <w:rPr>
                <w:noProof/>
                <w:color w:val="000000" w:themeColor="text1"/>
                <w:sz w:val="20"/>
                <w:szCs w:val="20"/>
                <w:lang w:val="en-IE" w:eastAsia="en-IE"/>
              </w:rPr>
              <w:t>-</w:t>
            </w:r>
            <w:r w:rsidR="22E0DF13" w:rsidRPr="3B94B95B">
              <w:rPr>
                <w:noProof/>
                <w:color w:val="000000" w:themeColor="text1"/>
                <w:sz w:val="20"/>
                <w:szCs w:val="20"/>
                <w:lang w:val="en-IE" w:eastAsia="en-IE"/>
              </w:rPr>
              <w:t>3</w:t>
            </w:r>
            <w:r w:rsidR="00530D5E">
              <w:rPr>
                <w:noProof/>
                <w:color w:val="000000" w:themeColor="text1"/>
                <w:sz w:val="20"/>
                <w:szCs w:val="20"/>
                <w:lang w:val="en-IE" w:eastAsia="en-IE"/>
              </w:rPr>
              <w:t xml:space="preserve"> 0</w:t>
            </w:r>
            <w:r w:rsidR="00756EF9">
              <w:rPr>
                <w:noProof/>
                <w:color w:val="000000" w:themeColor="text1"/>
                <w:sz w:val="20"/>
                <w:szCs w:val="20"/>
                <w:lang w:val="en-IE" w:eastAsia="en-IE"/>
              </w:rPr>
              <w:t>6</w:t>
            </w:r>
            <w:r w:rsidR="00B06136">
              <w:rPr>
                <w:noProof/>
                <w:color w:val="000000" w:themeColor="text1"/>
                <w:sz w:val="20"/>
                <w:szCs w:val="20"/>
                <w:lang w:val="en-IE" w:eastAsia="en-IE"/>
              </w:rPr>
              <w:t>0</w:t>
            </w:r>
            <w:r w:rsidR="34EAA02D" w:rsidRPr="432A71E7">
              <w:rPr>
                <w:noProof/>
                <w:color w:val="000000" w:themeColor="text1"/>
                <w:sz w:val="20"/>
                <w:szCs w:val="20"/>
                <w:lang w:val="en-IE" w:eastAsia="en-IE"/>
              </w:rPr>
              <w:t>.</w:t>
            </w:r>
            <w:r w:rsidR="00530D5E">
              <w:rPr>
                <w:noProof/>
                <w:color w:val="000000" w:themeColor="text1"/>
                <w:sz w:val="20"/>
                <w:szCs w:val="20"/>
                <w:lang w:val="en-IE" w:eastAsia="en-IE"/>
              </w:rPr>
              <w:t>0</w:t>
            </w:r>
            <w:r w:rsidR="34EAA02D" w:rsidRPr="432A71E7">
              <w:rPr>
                <w:noProof/>
                <w:color w:val="000000" w:themeColor="text1"/>
                <w:sz w:val="20"/>
                <w:szCs w:val="20"/>
                <w:lang w:val="en-IE" w:eastAsia="en-IE"/>
              </w:rPr>
              <w:t>00</w:t>
            </w:r>
            <w:r w:rsidR="00A3606D">
              <w:rPr>
                <w:noProof/>
                <w:color w:val="000000" w:themeColor="text1"/>
                <w:sz w:val="20"/>
                <w:szCs w:val="20"/>
                <w:lang w:val="en-IE" w:eastAsia="en-IE"/>
              </w:rPr>
              <w:t>]</w:t>
            </w:r>
            <w:r w:rsidR="34EAA02D" w:rsidRPr="432A71E7">
              <w:rPr>
                <w:noProof/>
                <w:color w:val="000000" w:themeColor="text1"/>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F645166"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3100E7" w:rsidRPr="00C2043F" w14:paraId="2C206C33" w14:textId="77777777" w:rsidTr="4D8CB314">
        <w:trPr>
          <w:trHeight w:val="315"/>
        </w:trPr>
        <w:tc>
          <w:tcPr>
            <w:tcW w:w="1419"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55773C33" w14:textId="77777777" w:rsidR="00A56747" w:rsidRPr="00C2043F" w:rsidRDefault="00A56747" w:rsidP="004B53CC">
            <w:pPr>
              <w:spacing w:before="0" w:after="0"/>
              <w:rPr>
                <w:noProof/>
                <w:color w:val="000000"/>
                <w:sz w:val="20"/>
                <w:szCs w:val="20"/>
                <w:lang w:val="en-IE" w:eastAsia="en-IE"/>
              </w:rPr>
            </w:pPr>
            <w:r>
              <w:rPr>
                <w:noProof/>
                <w:color w:val="000000"/>
                <w:sz w:val="20"/>
                <w:szCs w:val="20"/>
                <w:lang w:val="en-IE" w:eastAsia="en-IE"/>
              </w:rPr>
              <w:t xml:space="preserve"> </w:t>
            </w:r>
            <w:r w:rsidRPr="00383752">
              <w:rPr>
                <w:noProof/>
                <w:color w:val="000000"/>
                <w:sz w:val="22"/>
                <w:lang w:val="en-IE" w:eastAsia="en-IE"/>
              </w:rPr>
              <w:t>05.0301 CF Operational expenditure</w:t>
            </w:r>
          </w:p>
        </w:tc>
        <w:tc>
          <w:tcPr>
            <w:tcW w:w="529" w:type="pct"/>
            <w:gridSpan w:val="3"/>
            <w:tcBorders>
              <w:top w:val="nil"/>
              <w:left w:val="nil"/>
              <w:bottom w:val="single" w:sz="8" w:space="0" w:color="auto"/>
              <w:right w:val="single" w:sz="8" w:space="0" w:color="auto"/>
            </w:tcBorders>
            <w:shd w:val="clear" w:color="auto" w:fill="auto"/>
            <w:vAlign w:val="center"/>
            <w:hideMark/>
          </w:tcPr>
          <w:p w14:paraId="5A4D5408"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639D9923"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(1b)</w:t>
            </w:r>
          </w:p>
        </w:tc>
        <w:tc>
          <w:tcPr>
            <w:tcW w:w="496" w:type="pct"/>
            <w:gridSpan w:val="3"/>
            <w:tcBorders>
              <w:top w:val="nil"/>
              <w:left w:val="nil"/>
              <w:bottom w:val="single" w:sz="8" w:space="0" w:color="auto"/>
              <w:right w:val="single" w:sz="8" w:space="0" w:color="auto"/>
            </w:tcBorders>
            <w:shd w:val="clear" w:color="auto" w:fill="auto"/>
            <w:vAlign w:val="center"/>
            <w:hideMark/>
          </w:tcPr>
          <w:p w14:paraId="3008B293"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58B78997"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14265E0B" w14:textId="77777777" w:rsidR="00A56747" w:rsidRPr="00C2043F" w:rsidRDefault="00A56747" w:rsidP="004B53CC">
            <w:pPr>
              <w:spacing w:before="0" w:after="0"/>
              <w:jc w:val="right"/>
              <w:rPr>
                <w:noProof/>
                <w:color w:val="000000"/>
                <w:sz w:val="20"/>
                <w:szCs w:val="20"/>
                <w:lang w:val="en-IE" w:eastAsia="en-IE"/>
              </w:rPr>
            </w:pPr>
            <w:r>
              <w:rPr>
                <w:noProof/>
                <w:color w:val="000000"/>
                <w:sz w:val="20"/>
                <w:szCs w:val="20"/>
                <w:lang w:val="en-IE" w:eastAsia="en-IE"/>
              </w:rPr>
              <w:t>0.000</w:t>
            </w:r>
            <w:r w:rsidRPr="00C2043F">
              <w:rPr>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14:paraId="1EF28CF6" w14:textId="77777777" w:rsidR="00A56747" w:rsidRPr="00C2043F" w:rsidRDefault="00A56747" w:rsidP="004B53CC">
            <w:pPr>
              <w:spacing w:before="0" w:after="0"/>
              <w:jc w:val="right"/>
              <w:rPr>
                <w:noProof/>
                <w:color w:val="000000"/>
                <w:sz w:val="20"/>
                <w:szCs w:val="20"/>
                <w:lang w:val="en-IE" w:eastAsia="en-IE"/>
              </w:rPr>
            </w:pPr>
            <w:r>
              <w:rPr>
                <w:noProof/>
                <w:color w:val="000000"/>
                <w:sz w:val="20"/>
                <w:szCs w:val="20"/>
                <w:lang w:val="en-IE" w:eastAsia="en-IE"/>
              </w:rPr>
              <w:t>0.000</w:t>
            </w:r>
            <w:r w:rsidRPr="00C2043F">
              <w:rPr>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A167F59"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A56747" w:rsidRPr="00C2043F" w14:paraId="6F069819" w14:textId="77777777" w:rsidTr="4D8CB314">
        <w:trPr>
          <w:trHeight w:val="315"/>
        </w:trPr>
        <w:tc>
          <w:tcPr>
            <w:tcW w:w="1419" w:type="pct"/>
            <w:gridSpan w:val="2"/>
            <w:vMerge/>
            <w:vAlign w:val="center"/>
            <w:hideMark/>
          </w:tcPr>
          <w:p w14:paraId="72E3A575" w14:textId="77777777" w:rsidR="00A56747" w:rsidRPr="00C2043F" w:rsidRDefault="00A56747" w:rsidP="004B53CC">
            <w:pPr>
              <w:spacing w:before="0" w:after="0"/>
              <w:jc w:val="left"/>
              <w:rPr>
                <w:noProof/>
                <w:color w:val="000000"/>
                <w:sz w:val="20"/>
                <w:szCs w:val="20"/>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224F7DE8"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5E9DDF42"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(2b)</w:t>
            </w:r>
          </w:p>
        </w:tc>
        <w:tc>
          <w:tcPr>
            <w:tcW w:w="496" w:type="pct"/>
            <w:gridSpan w:val="3"/>
            <w:tcBorders>
              <w:top w:val="nil"/>
              <w:left w:val="nil"/>
              <w:bottom w:val="single" w:sz="8" w:space="0" w:color="auto"/>
              <w:right w:val="single" w:sz="8" w:space="0" w:color="auto"/>
            </w:tcBorders>
            <w:shd w:val="clear" w:color="auto" w:fill="auto"/>
            <w:vAlign w:val="center"/>
            <w:hideMark/>
          </w:tcPr>
          <w:p w14:paraId="698AC6BC"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0BF6F962"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1CC9EB56" w14:textId="77777777" w:rsidR="00A56747" w:rsidRPr="00C2043F" w:rsidRDefault="00671C30"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00756EF9">
              <w:rPr>
                <w:noProof/>
                <w:color w:val="000000" w:themeColor="text1"/>
                <w:sz w:val="20"/>
                <w:szCs w:val="20"/>
                <w:lang w:val="en-IE" w:eastAsia="en-IE"/>
              </w:rPr>
              <w:t>54</w:t>
            </w:r>
            <w:r w:rsidR="34EAA02D" w:rsidRPr="432A71E7">
              <w:rPr>
                <w:noProof/>
                <w:color w:val="000000" w:themeColor="text1"/>
                <w:sz w:val="20"/>
                <w:szCs w:val="20"/>
                <w:lang w:val="en-IE" w:eastAsia="en-IE"/>
              </w:rPr>
              <w:t>0.000</w:t>
            </w:r>
            <w:r>
              <w:rPr>
                <w:noProof/>
                <w:color w:val="000000" w:themeColor="text1"/>
                <w:sz w:val="20"/>
                <w:szCs w:val="20"/>
                <w:lang w:val="en-IE" w:eastAsia="en-IE"/>
              </w:rPr>
              <w:t>]</w:t>
            </w:r>
            <w:r w:rsidR="34EAA02D" w:rsidRPr="432A71E7">
              <w:rPr>
                <w:noProof/>
                <w:color w:val="000000" w:themeColor="text1"/>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14:paraId="095607B4" w14:textId="77777777" w:rsidR="00A56747" w:rsidRPr="00C2043F" w:rsidRDefault="00A3606D"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34EAA02D" w:rsidRPr="432A71E7">
              <w:rPr>
                <w:noProof/>
                <w:color w:val="000000" w:themeColor="text1"/>
                <w:sz w:val="20"/>
                <w:szCs w:val="20"/>
                <w:lang w:val="en-IE" w:eastAsia="en-IE"/>
              </w:rPr>
              <w:t>-</w:t>
            </w:r>
            <w:r w:rsidR="00756EF9">
              <w:rPr>
                <w:noProof/>
                <w:color w:val="000000" w:themeColor="text1"/>
                <w:sz w:val="20"/>
                <w:szCs w:val="20"/>
                <w:lang w:val="en-IE" w:eastAsia="en-IE"/>
              </w:rPr>
              <w:t>54</w:t>
            </w:r>
            <w:r w:rsidR="34EAA02D" w:rsidRPr="432A71E7">
              <w:rPr>
                <w:noProof/>
                <w:color w:val="000000" w:themeColor="text1"/>
                <w:sz w:val="20"/>
                <w:szCs w:val="20"/>
                <w:lang w:val="en-IE" w:eastAsia="en-IE"/>
              </w:rPr>
              <w:t>0.</w:t>
            </w:r>
            <w:r w:rsidR="00756EF9">
              <w:rPr>
                <w:noProof/>
                <w:color w:val="000000" w:themeColor="text1"/>
                <w:sz w:val="20"/>
                <w:szCs w:val="20"/>
                <w:lang w:val="en-IE" w:eastAsia="en-IE"/>
              </w:rPr>
              <w:t>0</w:t>
            </w:r>
            <w:r w:rsidR="34EAA02D" w:rsidRPr="432A71E7">
              <w:rPr>
                <w:noProof/>
                <w:color w:val="000000" w:themeColor="text1"/>
                <w:sz w:val="20"/>
                <w:szCs w:val="20"/>
                <w:lang w:val="en-IE" w:eastAsia="en-IE"/>
              </w:rPr>
              <w:t>00</w:t>
            </w:r>
            <w:r>
              <w:rPr>
                <w:noProof/>
                <w:color w:val="000000" w:themeColor="text1"/>
                <w:sz w:val="20"/>
                <w:szCs w:val="20"/>
                <w:lang w:val="en-IE" w:eastAsia="en-IE"/>
              </w:rPr>
              <w:t>]</w:t>
            </w:r>
            <w:r w:rsidR="34EAA02D" w:rsidRPr="432A71E7">
              <w:rPr>
                <w:noProof/>
                <w:color w:val="000000" w:themeColor="text1"/>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472467A"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A56747" w:rsidRPr="00C2043F" w14:paraId="5F28DA79" w14:textId="77777777" w:rsidTr="00FF1EF4">
        <w:trPr>
          <w:trHeight w:val="288"/>
        </w:trPr>
        <w:tc>
          <w:tcPr>
            <w:tcW w:w="5000" w:type="pct"/>
            <w:gridSpan w:val="23"/>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05F8DB" w14:textId="77777777" w:rsidR="00A56747" w:rsidRPr="00C2043F" w:rsidRDefault="00A56747" w:rsidP="004B53CC">
            <w:pPr>
              <w:spacing w:before="0" w:after="0"/>
              <w:jc w:val="left"/>
              <w:rPr>
                <w:noProof/>
                <w:color w:val="000000"/>
                <w:sz w:val="22"/>
                <w:lang w:val="en-IE" w:eastAsia="en-IE"/>
              </w:rPr>
            </w:pPr>
            <w:r w:rsidRPr="4D8CB314">
              <w:rPr>
                <w:noProof/>
                <w:color w:val="000000"/>
                <w:sz w:val="22"/>
                <w:lang w:val="en-IE" w:eastAsia="en-IE"/>
              </w:rPr>
              <w:t>Appropriations of an administrative nature financed from the envelope of specific programmes</w:t>
            </w:r>
            <w:r w:rsidRPr="4D8CB314">
              <w:rPr>
                <w:rStyle w:val="FootnoteReference"/>
                <w:noProof/>
                <w:color w:val="000000"/>
                <w:sz w:val="22"/>
                <w:lang w:val="en-IE" w:eastAsia="en-IE"/>
              </w:rPr>
              <w:footnoteReference w:id="14"/>
            </w:r>
          </w:p>
        </w:tc>
      </w:tr>
      <w:tr w:rsidR="003100E7" w:rsidRPr="00C2043F" w14:paraId="3DBB35B5" w14:textId="77777777" w:rsidTr="4D8CB314">
        <w:trPr>
          <w:trHeight w:val="288"/>
        </w:trPr>
        <w:tc>
          <w:tcPr>
            <w:tcW w:w="1419" w:type="pct"/>
            <w:gridSpan w:val="2"/>
            <w:tcBorders>
              <w:top w:val="nil"/>
              <w:left w:val="single" w:sz="8" w:space="0" w:color="auto"/>
              <w:bottom w:val="single" w:sz="8" w:space="0" w:color="auto"/>
              <w:right w:val="single" w:sz="8" w:space="0" w:color="auto"/>
            </w:tcBorders>
            <w:shd w:val="clear" w:color="auto" w:fill="auto"/>
            <w:vAlign w:val="center"/>
            <w:hideMark/>
          </w:tcPr>
          <w:p w14:paraId="3D5249F8" w14:textId="77777777" w:rsidR="00A56747" w:rsidRPr="00C2043F" w:rsidRDefault="00A56747" w:rsidP="004B53CC">
            <w:pPr>
              <w:spacing w:before="0" w:after="0"/>
              <w:rPr>
                <w:noProof/>
                <w:color w:val="000000"/>
                <w:sz w:val="20"/>
                <w:szCs w:val="20"/>
                <w:lang w:val="en-IE" w:eastAsia="en-IE"/>
              </w:rPr>
            </w:pPr>
            <w:r w:rsidRPr="00C2043F">
              <w:rPr>
                <w:noProof/>
                <w:color w:val="000000"/>
                <w:sz w:val="20"/>
                <w:szCs w:val="20"/>
                <w:lang w:val="en-IE" w:eastAsia="en-IE"/>
              </w:rPr>
              <w:t>Budget line</w:t>
            </w:r>
          </w:p>
        </w:tc>
        <w:tc>
          <w:tcPr>
            <w:tcW w:w="529" w:type="pct"/>
            <w:gridSpan w:val="3"/>
            <w:tcBorders>
              <w:top w:val="nil"/>
              <w:left w:val="nil"/>
              <w:bottom w:val="single" w:sz="8" w:space="0" w:color="auto"/>
              <w:right w:val="single" w:sz="8" w:space="0" w:color="auto"/>
            </w:tcBorders>
            <w:shd w:val="clear" w:color="auto" w:fill="auto"/>
            <w:vAlign w:val="center"/>
            <w:hideMark/>
          </w:tcPr>
          <w:p w14:paraId="18EC8C28" w14:textId="77777777" w:rsidR="00A56747" w:rsidRPr="00C2043F" w:rsidRDefault="00A56747" w:rsidP="004B53CC">
            <w:pPr>
              <w:spacing w:before="0" w:after="0"/>
              <w:jc w:val="right"/>
              <w:rPr>
                <w:noProof/>
                <w:color w:val="000000"/>
                <w:sz w:val="18"/>
                <w:szCs w:val="18"/>
                <w:lang w:val="en-IE" w:eastAsia="en-IE"/>
              </w:rPr>
            </w:pPr>
            <w:r w:rsidRPr="00C2043F">
              <w:rPr>
                <w:noProof/>
                <w:color w:val="000000"/>
                <w:sz w:val="18"/>
                <w:szCs w:val="18"/>
                <w:lang w:val="en-IE" w:eastAsia="en-IE"/>
              </w:rPr>
              <w:t> </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45C9A4EF"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(3)</w:t>
            </w:r>
          </w:p>
        </w:tc>
        <w:tc>
          <w:tcPr>
            <w:tcW w:w="496" w:type="pct"/>
            <w:gridSpan w:val="3"/>
            <w:tcBorders>
              <w:top w:val="nil"/>
              <w:left w:val="nil"/>
              <w:bottom w:val="single" w:sz="8" w:space="0" w:color="auto"/>
              <w:right w:val="single" w:sz="8" w:space="0" w:color="auto"/>
            </w:tcBorders>
            <w:shd w:val="clear" w:color="auto" w:fill="auto"/>
            <w:vAlign w:val="center"/>
            <w:hideMark/>
          </w:tcPr>
          <w:p w14:paraId="63C94CD3"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3C9518FD"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496" w:type="pct"/>
            <w:gridSpan w:val="3"/>
            <w:tcBorders>
              <w:top w:val="nil"/>
              <w:left w:val="nil"/>
              <w:bottom w:val="single" w:sz="8" w:space="0" w:color="auto"/>
              <w:right w:val="single" w:sz="8" w:space="0" w:color="auto"/>
            </w:tcBorders>
            <w:shd w:val="clear" w:color="auto" w:fill="auto"/>
            <w:vAlign w:val="center"/>
            <w:hideMark/>
          </w:tcPr>
          <w:p w14:paraId="3EEC6FB0"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478" w:type="pct"/>
            <w:gridSpan w:val="3"/>
            <w:tcBorders>
              <w:top w:val="nil"/>
              <w:left w:val="nil"/>
              <w:bottom w:val="single" w:sz="8" w:space="0" w:color="auto"/>
              <w:right w:val="single" w:sz="8" w:space="0" w:color="auto"/>
            </w:tcBorders>
            <w:shd w:val="clear" w:color="auto" w:fill="auto"/>
            <w:vAlign w:val="center"/>
            <w:hideMark/>
          </w:tcPr>
          <w:p w14:paraId="0F857B3F"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ED5DE3B"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3100E7" w:rsidRPr="00C2043F" w14:paraId="47521600" w14:textId="77777777" w:rsidTr="4D8CB314">
        <w:trPr>
          <w:trHeight w:val="288"/>
        </w:trPr>
        <w:tc>
          <w:tcPr>
            <w:tcW w:w="1419" w:type="pct"/>
            <w:gridSpan w:val="2"/>
            <w:vMerge w:val="restart"/>
            <w:tcBorders>
              <w:top w:val="nil"/>
              <w:left w:val="single" w:sz="8" w:space="0" w:color="auto"/>
              <w:right w:val="single" w:sz="8" w:space="0" w:color="auto"/>
            </w:tcBorders>
            <w:shd w:val="clear" w:color="auto" w:fill="auto"/>
            <w:vAlign w:val="center"/>
            <w:hideMark/>
          </w:tcPr>
          <w:p w14:paraId="5208240A" w14:textId="77777777" w:rsidR="00A56747" w:rsidRPr="00C2043F" w:rsidRDefault="00A56747" w:rsidP="004B53CC">
            <w:pPr>
              <w:spacing w:before="0" w:after="0"/>
              <w:jc w:val="center"/>
              <w:rPr>
                <w:b/>
                <w:bCs/>
                <w:noProof/>
                <w:color w:val="000000"/>
                <w:sz w:val="22"/>
                <w:lang w:val="en-IE" w:eastAsia="en-IE"/>
              </w:rPr>
            </w:pPr>
            <w:r w:rsidRPr="00C2043F">
              <w:rPr>
                <w:b/>
                <w:bCs/>
                <w:noProof/>
                <w:color w:val="000000"/>
                <w:sz w:val="22"/>
                <w:lang w:val="en-IE" w:eastAsia="en-IE"/>
              </w:rPr>
              <w:t>TOTAL appropriations</w:t>
            </w:r>
          </w:p>
          <w:p w14:paraId="1D5B71D2" w14:textId="77777777" w:rsidR="00A56747" w:rsidRPr="00C2043F" w:rsidRDefault="00A56747" w:rsidP="004B53CC">
            <w:pPr>
              <w:spacing w:before="0" w:after="0"/>
              <w:jc w:val="center"/>
              <w:rPr>
                <w:b/>
                <w:bCs/>
                <w:noProof/>
                <w:color w:val="000000"/>
                <w:sz w:val="22"/>
                <w:lang w:val="en-IE" w:eastAsia="en-IE"/>
              </w:rPr>
            </w:pPr>
            <w:r w:rsidRPr="00C2043F">
              <w:rPr>
                <w:b/>
                <w:bCs/>
                <w:noProof/>
                <w:color w:val="000000"/>
                <w:sz w:val="22"/>
                <w:lang w:val="en-IE" w:eastAsia="en-IE"/>
              </w:rPr>
              <w:t xml:space="preserve">for DG </w:t>
            </w:r>
            <w:r>
              <w:rPr>
                <w:noProof/>
                <w:color w:val="000000"/>
                <w:sz w:val="22"/>
                <w:lang w:val="en-IE" w:eastAsia="en-IE"/>
              </w:rPr>
              <w:t>REGIO</w:t>
            </w:r>
          </w:p>
        </w:tc>
        <w:tc>
          <w:tcPr>
            <w:tcW w:w="529" w:type="pct"/>
            <w:gridSpan w:val="3"/>
            <w:tcBorders>
              <w:top w:val="nil"/>
              <w:left w:val="nil"/>
              <w:bottom w:val="single" w:sz="8" w:space="0" w:color="auto"/>
              <w:right w:val="single" w:sz="8" w:space="0" w:color="auto"/>
            </w:tcBorders>
            <w:shd w:val="clear" w:color="auto" w:fill="auto"/>
            <w:vAlign w:val="center"/>
            <w:hideMark/>
          </w:tcPr>
          <w:p w14:paraId="582A4520"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68AAD389"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=1a+1b+3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C8212B8"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51528E3"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7CE52AC"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14671E5"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68C16C4"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A56747" w:rsidRPr="00C2043F" w14:paraId="1EAA6109" w14:textId="77777777" w:rsidTr="4D8CB314">
        <w:trPr>
          <w:trHeight w:val="288"/>
        </w:trPr>
        <w:tc>
          <w:tcPr>
            <w:tcW w:w="1419" w:type="pct"/>
            <w:gridSpan w:val="2"/>
            <w:vMerge/>
            <w:vAlign w:val="center"/>
            <w:hideMark/>
          </w:tcPr>
          <w:p w14:paraId="3322D733" w14:textId="77777777" w:rsidR="00A56747" w:rsidRPr="00C2043F" w:rsidRDefault="00A56747" w:rsidP="004B53CC">
            <w:pPr>
              <w:spacing w:before="0" w:after="0"/>
              <w:jc w:val="center"/>
              <w:rPr>
                <w:b/>
                <w:bCs/>
                <w:noProof/>
                <w:color w:val="000000"/>
                <w:sz w:val="22"/>
                <w:lang w:val="en-IE" w:eastAsia="en-IE"/>
              </w:rPr>
            </w:pPr>
          </w:p>
        </w:tc>
        <w:tc>
          <w:tcPr>
            <w:tcW w:w="529" w:type="pct"/>
            <w:gridSpan w:val="3"/>
            <w:tcBorders>
              <w:top w:val="nil"/>
              <w:left w:val="single" w:sz="8" w:space="0" w:color="auto"/>
              <w:bottom w:val="single" w:sz="8" w:space="0" w:color="auto"/>
              <w:right w:val="single" w:sz="8" w:space="0" w:color="auto"/>
            </w:tcBorders>
            <w:shd w:val="clear" w:color="auto" w:fill="auto"/>
            <w:vAlign w:val="center"/>
            <w:hideMark/>
          </w:tcPr>
          <w:p w14:paraId="5AA687E8"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Payments</w:t>
            </w:r>
          </w:p>
        </w:tc>
        <w:tc>
          <w:tcPr>
            <w:tcW w:w="496" w:type="pct"/>
            <w:gridSpan w:val="4"/>
            <w:tcBorders>
              <w:top w:val="single" w:sz="8" w:space="0" w:color="auto"/>
              <w:left w:val="nil"/>
              <w:bottom w:val="single" w:sz="8" w:space="0" w:color="auto"/>
              <w:right w:val="single" w:sz="8" w:space="0" w:color="auto"/>
            </w:tcBorders>
            <w:shd w:val="clear" w:color="auto" w:fill="auto"/>
            <w:vAlign w:val="center"/>
            <w:hideMark/>
          </w:tcPr>
          <w:p w14:paraId="41B8BAF4"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=2a+2b+3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6E8FD27"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344AB32"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C685177" w14:textId="77777777" w:rsidR="00A56747" w:rsidRPr="00C2043F" w:rsidRDefault="00671C30" w:rsidP="004B53CC">
            <w:pPr>
              <w:spacing w:before="0" w:after="0"/>
              <w:jc w:val="right"/>
              <w:rPr>
                <w:b/>
                <w:bCs/>
                <w:noProof/>
                <w:color w:val="000000"/>
                <w:sz w:val="20"/>
                <w:szCs w:val="20"/>
                <w:lang w:val="en-IE" w:eastAsia="en-IE"/>
              </w:rPr>
            </w:pPr>
            <w:r>
              <w:rPr>
                <w:b/>
                <w:noProof/>
                <w:color w:val="000000" w:themeColor="text1"/>
                <w:sz w:val="20"/>
                <w:szCs w:val="20"/>
                <w:lang w:val="en-IE" w:eastAsia="en-IE"/>
              </w:rPr>
              <w:t>[</w:t>
            </w:r>
            <w:r w:rsidR="1CC0CCE5" w:rsidRPr="6DC0ECE3">
              <w:rPr>
                <w:b/>
                <w:bCs/>
                <w:noProof/>
                <w:color w:val="000000" w:themeColor="text1"/>
                <w:sz w:val="20"/>
                <w:szCs w:val="20"/>
                <w:lang w:val="en-IE" w:eastAsia="en-IE"/>
              </w:rPr>
              <w:t>3</w:t>
            </w:r>
            <w:r w:rsidR="00C39189" w:rsidRPr="6DC0ECE3">
              <w:rPr>
                <w:b/>
                <w:bCs/>
                <w:noProof/>
                <w:color w:val="000000" w:themeColor="text1"/>
                <w:sz w:val="20"/>
                <w:szCs w:val="20"/>
                <w:lang w:val="en-IE" w:eastAsia="en-IE"/>
              </w:rPr>
              <w:t xml:space="preserve"> </w:t>
            </w:r>
            <w:r w:rsidR="34A23B93" w:rsidRPr="6DC0ECE3">
              <w:rPr>
                <w:b/>
                <w:bCs/>
                <w:noProof/>
                <w:color w:val="000000" w:themeColor="text1"/>
                <w:sz w:val="20"/>
                <w:szCs w:val="20"/>
                <w:lang w:val="en-IE" w:eastAsia="en-IE"/>
              </w:rPr>
              <w:t>6</w:t>
            </w:r>
            <w:r w:rsidR="34EAA02D" w:rsidRPr="432A71E7">
              <w:rPr>
                <w:b/>
                <w:bCs/>
                <w:noProof/>
                <w:color w:val="000000" w:themeColor="text1"/>
                <w:sz w:val="20"/>
                <w:szCs w:val="20"/>
                <w:lang w:val="en-IE" w:eastAsia="en-IE"/>
              </w:rPr>
              <w:t>00.</w:t>
            </w:r>
            <w:r w:rsidR="34EAA02D" w:rsidRPr="567AE996">
              <w:rPr>
                <w:b/>
                <w:noProof/>
                <w:color w:val="000000" w:themeColor="text1"/>
                <w:sz w:val="20"/>
                <w:szCs w:val="20"/>
                <w:lang w:val="en-IE" w:eastAsia="en-IE"/>
              </w:rPr>
              <w:t>000</w:t>
            </w:r>
            <w:r>
              <w:rPr>
                <w:b/>
                <w:noProof/>
                <w:color w:val="000000" w:themeColor="text1"/>
                <w:sz w:val="20"/>
                <w:szCs w:val="20"/>
                <w:lang w:val="en-IE" w:eastAsia="en-IE"/>
              </w:rPr>
              <w:t>]</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90A13D4" w14:textId="77777777" w:rsidR="00A56747" w:rsidRPr="00C2043F" w:rsidRDefault="00671C30" w:rsidP="004B53CC">
            <w:pPr>
              <w:spacing w:before="0" w:after="0"/>
              <w:jc w:val="right"/>
              <w:rPr>
                <w:b/>
                <w:bCs/>
                <w:noProof/>
                <w:color w:val="000000"/>
                <w:sz w:val="20"/>
                <w:szCs w:val="20"/>
                <w:lang w:val="en-IE" w:eastAsia="en-IE"/>
              </w:rPr>
            </w:pPr>
            <w:r>
              <w:rPr>
                <w:b/>
                <w:noProof/>
                <w:color w:val="000000" w:themeColor="text1"/>
                <w:sz w:val="20"/>
                <w:szCs w:val="20"/>
                <w:lang w:val="en-IE" w:eastAsia="en-IE"/>
              </w:rPr>
              <w:t>[</w:t>
            </w:r>
            <w:r w:rsidR="34EAA02D" w:rsidRPr="567AE996">
              <w:rPr>
                <w:b/>
                <w:noProof/>
                <w:color w:val="000000" w:themeColor="text1"/>
                <w:sz w:val="20"/>
                <w:szCs w:val="20"/>
                <w:lang w:val="en-IE" w:eastAsia="en-IE"/>
              </w:rPr>
              <w:t>-</w:t>
            </w:r>
            <w:r w:rsidR="001607D6">
              <w:rPr>
                <w:b/>
                <w:noProof/>
                <w:color w:val="000000" w:themeColor="text1"/>
                <w:sz w:val="20"/>
                <w:szCs w:val="20"/>
                <w:lang w:val="en-IE" w:eastAsia="en-IE"/>
              </w:rPr>
              <w:t>3</w:t>
            </w:r>
            <w:r w:rsidR="34EAA02D" w:rsidRPr="567AE996">
              <w:rPr>
                <w:b/>
                <w:noProof/>
                <w:color w:val="000000" w:themeColor="text1"/>
                <w:sz w:val="20"/>
                <w:szCs w:val="20"/>
                <w:lang w:val="en-IE" w:eastAsia="en-IE"/>
              </w:rPr>
              <w:t xml:space="preserve"> </w:t>
            </w:r>
            <w:r w:rsidR="001607D6">
              <w:rPr>
                <w:b/>
                <w:bCs/>
                <w:noProof/>
                <w:color w:val="000000" w:themeColor="text1"/>
                <w:sz w:val="20"/>
                <w:szCs w:val="20"/>
                <w:lang w:val="en-IE" w:eastAsia="en-IE"/>
              </w:rPr>
              <w:t>6</w:t>
            </w:r>
            <w:r w:rsidR="34EAA02D" w:rsidRPr="432A71E7">
              <w:rPr>
                <w:b/>
                <w:bCs/>
                <w:noProof/>
                <w:color w:val="000000" w:themeColor="text1"/>
                <w:sz w:val="20"/>
                <w:szCs w:val="20"/>
                <w:lang w:val="en-IE" w:eastAsia="en-IE"/>
              </w:rPr>
              <w:t>00</w:t>
            </w:r>
            <w:r w:rsidR="34EAA02D" w:rsidRPr="567AE996">
              <w:rPr>
                <w:b/>
                <w:noProof/>
                <w:color w:val="000000" w:themeColor="text1"/>
                <w:sz w:val="20"/>
                <w:szCs w:val="20"/>
                <w:lang w:val="en-IE" w:eastAsia="en-IE"/>
              </w:rPr>
              <w:t>.000</w:t>
            </w:r>
            <w:r>
              <w:rPr>
                <w:b/>
                <w:noProof/>
                <w:color w:val="000000" w:themeColor="text1"/>
                <w:sz w:val="20"/>
                <w:szCs w:val="20"/>
                <w:lang w:val="en-IE" w:eastAsia="en-IE"/>
              </w:rPr>
              <w:t>]</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2A77E6F"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3100E7" w:rsidRPr="00C2043F" w14:paraId="7FA19D78" w14:textId="77777777" w:rsidTr="2618532F">
        <w:trPr>
          <w:cantSplit/>
          <w:trHeight w:val="300"/>
        </w:trPr>
        <w:tc>
          <w:tcPr>
            <w:tcW w:w="2432" w:type="pct"/>
            <w:gridSpan w:val="8"/>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14:paraId="095961BA" w14:textId="77777777" w:rsidR="00A56747" w:rsidRPr="00C2043F" w:rsidRDefault="00A56747" w:rsidP="004B53CC">
            <w:pPr>
              <w:spacing w:before="0" w:after="0"/>
              <w:jc w:val="center"/>
              <w:rPr>
                <w:b/>
                <w:bCs/>
                <w:noProof/>
                <w:color w:val="000000"/>
                <w:sz w:val="22"/>
                <w:lang w:val="en-IE" w:eastAsia="en-IE"/>
              </w:rPr>
            </w:pPr>
            <w:r w:rsidRPr="00C2043F">
              <w:rPr>
                <w:b/>
                <w:bCs/>
                <w:noProof/>
                <w:color w:val="000000"/>
                <w:sz w:val="22"/>
                <w:lang w:val="en-IE" w:eastAsia="en-IE"/>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4506CCAD"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30E6D3DA"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225A2538"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14:paraId="775292B5" w14:textId="77777777" w:rsidR="00A56747" w:rsidRPr="00C2043F" w:rsidRDefault="00A56747" w:rsidP="004B53CC">
            <w:pPr>
              <w:spacing w:before="0" w:after="0"/>
              <w:jc w:val="center"/>
              <w:rPr>
                <w:noProof/>
                <w:color w:val="000000"/>
                <w:sz w:val="20"/>
                <w:szCs w:val="20"/>
                <w:lang w:val="en-IE" w:eastAsia="en-IE"/>
              </w:rPr>
            </w:pPr>
            <w:r w:rsidRPr="00C2043F">
              <w:rPr>
                <w:noProof/>
                <w:color w:val="000000"/>
                <w:sz w:val="20"/>
                <w:szCs w:val="20"/>
                <w:lang w:val="en-IE" w:eastAsia="en-IE"/>
              </w:rPr>
              <w:t>Year</w:t>
            </w:r>
          </w:p>
        </w:tc>
        <w:tc>
          <w:tcPr>
            <w:tcW w:w="596"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5D320E4"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TOTAL MFF</w:t>
            </w:r>
            <w:r>
              <w:rPr>
                <w:b/>
                <w:bCs/>
                <w:noProof/>
                <w:color w:val="000000"/>
                <w:sz w:val="20"/>
                <w:szCs w:val="20"/>
                <w:lang w:val="en-IE" w:eastAsia="en-IE"/>
              </w:rPr>
              <w:t xml:space="preserve"> </w:t>
            </w:r>
            <w:r w:rsidRPr="00C2043F">
              <w:rPr>
                <w:b/>
                <w:bCs/>
                <w:noProof/>
                <w:color w:val="000000"/>
                <w:sz w:val="20"/>
                <w:szCs w:val="20"/>
                <w:lang w:val="en-IE" w:eastAsia="en-IE"/>
              </w:rPr>
              <w:t>2021-2027</w:t>
            </w:r>
          </w:p>
        </w:tc>
      </w:tr>
      <w:tr w:rsidR="00A56747" w:rsidRPr="00C2043F" w14:paraId="5E0FF8FF" w14:textId="77777777" w:rsidTr="00FF1EF4">
        <w:trPr>
          <w:cantSplit/>
          <w:trHeight w:val="300"/>
        </w:trPr>
        <w:tc>
          <w:tcPr>
            <w:tcW w:w="2432" w:type="pct"/>
            <w:gridSpan w:val="8"/>
            <w:vMerge/>
            <w:vAlign w:val="center"/>
            <w:hideMark/>
          </w:tcPr>
          <w:p w14:paraId="76231235" w14:textId="77777777" w:rsidR="00A56747" w:rsidRPr="00C2043F" w:rsidRDefault="00A56747" w:rsidP="004B53CC">
            <w:pPr>
              <w:spacing w:before="0" w:after="0"/>
              <w:jc w:val="left"/>
              <w:rPr>
                <w:b/>
                <w:bCs/>
                <w:noProof/>
                <w:color w:val="000000"/>
                <w:sz w:val="22"/>
                <w:lang w:val="en-IE"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14:paraId="3A7E60C8"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14:paraId="1D53B74B"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14:paraId="2FAB7B88"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2026</w:t>
            </w:r>
          </w:p>
        </w:tc>
        <w:tc>
          <w:tcPr>
            <w:tcW w:w="493" w:type="pct"/>
            <w:gridSpan w:val="3"/>
            <w:tcBorders>
              <w:top w:val="nil"/>
              <w:left w:val="nil"/>
              <w:bottom w:val="single" w:sz="8" w:space="0" w:color="auto"/>
              <w:right w:val="single" w:sz="8" w:space="0" w:color="auto"/>
            </w:tcBorders>
            <w:shd w:val="clear" w:color="auto" w:fill="auto"/>
            <w:vAlign w:val="center"/>
            <w:hideMark/>
          </w:tcPr>
          <w:p w14:paraId="60AEEE97" w14:textId="77777777" w:rsidR="00A56747" w:rsidRPr="00C2043F" w:rsidRDefault="00A56747" w:rsidP="004B53CC">
            <w:pPr>
              <w:spacing w:before="0" w:after="0"/>
              <w:jc w:val="center"/>
              <w:rPr>
                <w:b/>
                <w:bCs/>
                <w:noProof/>
                <w:color w:val="000000"/>
                <w:sz w:val="20"/>
                <w:szCs w:val="20"/>
                <w:lang w:val="en-IE" w:eastAsia="en-IE"/>
              </w:rPr>
            </w:pPr>
            <w:r w:rsidRPr="00C2043F">
              <w:rPr>
                <w:b/>
                <w:bCs/>
                <w:noProof/>
                <w:color w:val="000000"/>
                <w:sz w:val="20"/>
                <w:szCs w:val="20"/>
                <w:lang w:val="en-IE" w:eastAsia="en-IE"/>
              </w:rPr>
              <w:t>2027</w:t>
            </w:r>
          </w:p>
        </w:tc>
        <w:tc>
          <w:tcPr>
            <w:tcW w:w="596" w:type="pct"/>
            <w:gridSpan w:val="3"/>
            <w:vMerge/>
            <w:vAlign w:val="center"/>
            <w:hideMark/>
          </w:tcPr>
          <w:p w14:paraId="3203FD0F" w14:textId="77777777" w:rsidR="00A56747" w:rsidRPr="00C2043F" w:rsidRDefault="00A56747" w:rsidP="004B53CC">
            <w:pPr>
              <w:spacing w:before="0" w:after="0"/>
              <w:jc w:val="left"/>
              <w:rPr>
                <w:b/>
                <w:bCs/>
                <w:noProof/>
                <w:color w:val="000000"/>
                <w:sz w:val="20"/>
                <w:szCs w:val="20"/>
                <w:lang w:val="en-IE" w:eastAsia="en-IE"/>
              </w:rPr>
            </w:pPr>
          </w:p>
        </w:tc>
      </w:tr>
      <w:tr w:rsidR="003100E7" w:rsidRPr="00C2043F" w14:paraId="6CB00301" w14:textId="77777777" w:rsidTr="2618532F">
        <w:trPr>
          <w:cantSplit/>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14:paraId="25D03298" w14:textId="77777777" w:rsidR="00A56747" w:rsidRPr="00C2043F" w:rsidRDefault="00A56747" w:rsidP="004B53CC">
            <w:pPr>
              <w:spacing w:before="0" w:after="0"/>
              <w:rPr>
                <w:noProof/>
                <w:color w:val="000000"/>
                <w:sz w:val="21"/>
                <w:szCs w:val="21"/>
                <w:lang w:val="en-IE" w:eastAsia="en-IE"/>
              </w:rPr>
            </w:pPr>
            <w:r w:rsidRPr="00C2043F">
              <w:rPr>
                <w:noProof/>
                <w:color w:val="000000"/>
                <w:sz w:val="21"/>
                <w:szCs w:val="21"/>
                <w:lang w:val="en-IE" w:eastAsia="en-IE"/>
              </w:rPr>
              <w:t xml:space="preserve">TOTAL operational appropriations </w:t>
            </w:r>
            <w:r w:rsidRPr="00C2043F">
              <w:rPr>
                <w:noProof/>
                <w:color w:val="000000"/>
                <w:sz w:val="21"/>
                <w:szCs w:val="21"/>
                <w:lang w:val="en-IE" w:eastAsia="en-IE"/>
              </w:rPr>
              <w:br/>
            </w:r>
          </w:p>
        </w:tc>
        <w:tc>
          <w:tcPr>
            <w:tcW w:w="529" w:type="pct"/>
            <w:gridSpan w:val="3"/>
            <w:tcBorders>
              <w:top w:val="nil"/>
              <w:left w:val="nil"/>
              <w:bottom w:val="single" w:sz="8" w:space="0" w:color="auto"/>
              <w:right w:val="single" w:sz="8" w:space="0" w:color="auto"/>
            </w:tcBorders>
            <w:shd w:val="clear" w:color="auto" w:fill="auto"/>
            <w:vAlign w:val="center"/>
            <w:hideMark/>
          </w:tcPr>
          <w:p w14:paraId="3F31B089"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704E3DE6"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4A9A15C"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AA0032F"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7A72E30"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3A3DB0E"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01765FB"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A56747" w:rsidRPr="00C2043F" w14:paraId="3F2693FE" w14:textId="77777777" w:rsidTr="2618532F">
        <w:trPr>
          <w:cantSplit/>
          <w:trHeight w:val="456"/>
        </w:trPr>
        <w:tc>
          <w:tcPr>
            <w:tcW w:w="1411" w:type="pct"/>
            <w:vMerge/>
            <w:vAlign w:val="center"/>
            <w:hideMark/>
          </w:tcPr>
          <w:p w14:paraId="37703FBD" w14:textId="77777777" w:rsidR="00A56747" w:rsidRPr="00C2043F" w:rsidRDefault="00A56747" w:rsidP="004B53CC">
            <w:pPr>
              <w:spacing w:before="0" w:after="0"/>
              <w:jc w:val="left"/>
              <w:rPr>
                <w:noProof/>
                <w:color w:val="000000"/>
                <w:sz w:val="21"/>
                <w:szCs w:val="21"/>
                <w:lang w:val="en-IE"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14:paraId="684A1198"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Payments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7C91EF8C"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59FCD51"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E944EDA"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AA1E466" w14:textId="77777777" w:rsidR="00A56747" w:rsidRPr="00C2043F" w:rsidRDefault="00A3606D"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617D73F9" w:rsidRPr="6DC0ECE3">
              <w:rPr>
                <w:noProof/>
                <w:color w:val="000000" w:themeColor="text1"/>
                <w:sz w:val="20"/>
                <w:szCs w:val="20"/>
                <w:lang w:val="en-IE" w:eastAsia="en-IE"/>
              </w:rPr>
              <w:t>3</w:t>
            </w:r>
            <w:r w:rsidR="6F5DA862" w:rsidRPr="6DC0ECE3">
              <w:rPr>
                <w:noProof/>
                <w:color w:val="000000" w:themeColor="text1"/>
                <w:sz w:val="20"/>
                <w:szCs w:val="20"/>
                <w:lang w:val="en-IE" w:eastAsia="en-IE"/>
              </w:rPr>
              <w:t xml:space="preserve"> </w:t>
            </w:r>
            <w:r w:rsidR="74E09058" w:rsidRPr="6DC0ECE3">
              <w:rPr>
                <w:noProof/>
                <w:color w:val="000000" w:themeColor="text1"/>
                <w:sz w:val="20"/>
                <w:szCs w:val="20"/>
                <w:lang w:val="en-IE" w:eastAsia="en-IE"/>
              </w:rPr>
              <w:t>6</w:t>
            </w:r>
            <w:r w:rsidR="00A56747" w:rsidRPr="5735739A">
              <w:rPr>
                <w:noProof/>
                <w:color w:val="000000" w:themeColor="text1"/>
                <w:sz w:val="20"/>
                <w:szCs w:val="20"/>
                <w:lang w:val="en-IE" w:eastAsia="en-IE"/>
              </w:rPr>
              <w:t>00.000</w:t>
            </w:r>
            <w:r>
              <w:rPr>
                <w:noProof/>
                <w:color w:val="000000" w:themeColor="text1"/>
                <w:sz w:val="20"/>
                <w:szCs w:val="20"/>
                <w:lang w:val="en-IE" w:eastAsia="en-IE"/>
              </w:rPr>
              <w:t>]</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FC409C7" w14:textId="77777777" w:rsidR="00A56747" w:rsidRPr="00C2043F" w:rsidRDefault="00A3606D"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00A56747" w:rsidRPr="2618532F">
              <w:rPr>
                <w:noProof/>
                <w:color w:val="000000" w:themeColor="text1"/>
                <w:sz w:val="20"/>
                <w:szCs w:val="20"/>
                <w:lang w:val="en-IE" w:eastAsia="en-IE"/>
              </w:rPr>
              <w:t>-</w:t>
            </w:r>
            <w:r w:rsidR="00756EF9">
              <w:rPr>
                <w:noProof/>
                <w:color w:val="000000" w:themeColor="text1"/>
                <w:sz w:val="20"/>
                <w:szCs w:val="20"/>
                <w:lang w:val="en-IE" w:eastAsia="en-IE"/>
              </w:rPr>
              <w:t>3</w:t>
            </w:r>
            <w:r w:rsidR="00A56747" w:rsidRPr="2618532F">
              <w:rPr>
                <w:noProof/>
                <w:color w:val="000000" w:themeColor="text1"/>
                <w:sz w:val="20"/>
                <w:szCs w:val="20"/>
                <w:lang w:val="en-IE" w:eastAsia="en-IE"/>
              </w:rPr>
              <w:t xml:space="preserve"> </w:t>
            </w:r>
            <w:r w:rsidR="00756EF9">
              <w:rPr>
                <w:noProof/>
                <w:color w:val="000000" w:themeColor="text1"/>
                <w:sz w:val="20"/>
                <w:szCs w:val="20"/>
                <w:lang w:val="en-IE" w:eastAsia="en-IE"/>
              </w:rPr>
              <w:t>6</w:t>
            </w:r>
            <w:r w:rsidR="00A56747" w:rsidRPr="2618532F">
              <w:rPr>
                <w:noProof/>
                <w:color w:val="000000" w:themeColor="text1"/>
                <w:sz w:val="20"/>
                <w:szCs w:val="20"/>
                <w:lang w:val="en-IE" w:eastAsia="en-IE"/>
              </w:rPr>
              <w:t>00.000</w:t>
            </w:r>
            <w:r>
              <w:rPr>
                <w:noProof/>
                <w:color w:val="000000" w:themeColor="text1"/>
                <w:sz w:val="20"/>
                <w:szCs w:val="20"/>
                <w:lang w:val="en-IE" w:eastAsia="en-IE"/>
              </w:rPr>
              <w:t>]</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EB7E05A"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3100E7" w:rsidRPr="00C2043F" w14:paraId="7CBE57C8" w14:textId="77777777" w:rsidTr="2618532F">
        <w:trPr>
          <w:cantSplit/>
          <w:trHeight w:val="924"/>
        </w:trPr>
        <w:tc>
          <w:tcPr>
            <w:tcW w:w="19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6085310" w14:textId="77777777" w:rsidR="00A56747" w:rsidRPr="00C2043F" w:rsidRDefault="00A56747" w:rsidP="004B53CC">
            <w:pPr>
              <w:spacing w:before="0" w:after="0"/>
              <w:rPr>
                <w:noProof/>
                <w:color w:val="000000"/>
                <w:sz w:val="21"/>
                <w:szCs w:val="21"/>
                <w:lang w:val="en-IE" w:eastAsia="en-IE"/>
              </w:rPr>
            </w:pPr>
            <w:r w:rsidRPr="00C2043F">
              <w:rPr>
                <w:noProof/>
                <w:color w:val="000000"/>
                <w:sz w:val="21"/>
                <w:szCs w:val="21"/>
                <w:lang w:val="en-IE" w:eastAsia="en-IE"/>
              </w:rPr>
              <w:t xml:space="preserve">TOTAL appropriations of an administrative nature financed from the envelope for specific programmes </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486753D8"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F0866CD"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05C9E70"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C3711F8"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7B9246C" w14:textId="77777777" w:rsidR="00A56747" w:rsidRPr="00C2043F" w:rsidRDefault="00A56747" w:rsidP="004B53CC">
            <w:pPr>
              <w:spacing w:before="0" w:after="0"/>
              <w:jc w:val="right"/>
              <w:rPr>
                <w:noProof/>
                <w:color w:val="000000"/>
                <w:sz w:val="20"/>
                <w:szCs w:val="20"/>
                <w:lang w:val="en-IE" w:eastAsia="en-IE"/>
              </w:rPr>
            </w:pPr>
            <w:r w:rsidRPr="00C2043F">
              <w:rPr>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4B70819"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3100E7" w:rsidRPr="00C2043F" w14:paraId="5F8593E8" w14:textId="77777777" w:rsidTr="2618532F">
        <w:trPr>
          <w:cantSplit/>
          <w:trHeight w:val="564"/>
        </w:trPr>
        <w:tc>
          <w:tcPr>
            <w:tcW w:w="1411" w:type="pct"/>
            <w:tcBorders>
              <w:top w:val="nil"/>
              <w:left w:val="single" w:sz="8" w:space="0" w:color="auto"/>
              <w:bottom w:val="nil"/>
              <w:right w:val="single" w:sz="8" w:space="0" w:color="auto"/>
            </w:tcBorders>
            <w:shd w:val="clear" w:color="auto" w:fill="F1F1F1"/>
            <w:vAlign w:val="center"/>
            <w:hideMark/>
          </w:tcPr>
          <w:p w14:paraId="2D3A9668" w14:textId="77777777" w:rsidR="00A56747" w:rsidRPr="00C2043F" w:rsidRDefault="00A56747" w:rsidP="004B53CC">
            <w:pPr>
              <w:spacing w:before="0" w:after="0"/>
              <w:jc w:val="center"/>
              <w:rPr>
                <w:b/>
                <w:bCs/>
                <w:noProof/>
                <w:color w:val="000000"/>
                <w:sz w:val="22"/>
                <w:lang w:val="en-IE" w:eastAsia="en-IE"/>
              </w:rPr>
            </w:pPr>
            <w:r w:rsidRPr="00C2043F">
              <w:rPr>
                <w:b/>
                <w:bCs/>
                <w:noProof/>
                <w:color w:val="000000"/>
                <w:sz w:val="22"/>
                <w:lang w:val="en-IE" w:eastAsia="en-IE"/>
              </w:rPr>
              <w:t>TOTAL appropriations</w:t>
            </w:r>
            <w:r>
              <w:rPr>
                <w:b/>
                <w:bCs/>
                <w:noProof/>
                <w:color w:val="000000"/>
                <w:sz w:val="22"/>
                <w:lang w:val="en-IE" w:eastAsia="en-IE"/>
              </w:rPr>
              <w:t xml:space="preserve"> </w:t>
            </w:r>
            <w:r w:rsidRPr="00C2043F">
              <w:rPr>
                <w:b/>
                <w:bCs/>
                <w:noProof/>
                <w:color w:val="000000"/>
                <w:sz w:val="22"/>
                <w:lang w:val="en-IE" w:eastAsia="en-IE"/>
              </w:rPr>
              <w:t xml:space="preserve">under HEADING </w:t>
            </w:r>
            <w:r>
              <w:rPr>
                <w:b/>
                <w:bCs/>
                <w:noProof/>
                <w:color w:val="000000"/>
                <w:sz w:val="22"/>
                <w:lang w:val="en-IE" w:eastAsia="en-IE"/>
              </w:rPr>
              <w:t>2a</w:t>
            </w:r>
          </w:p>
        </w:tc>
        <w:tc>
          <w:tcPr>
            <w:tcW w:w="529" w:type="pct"/>
            <w:gridSpan w:val="3"/>
            <w:tcBorders>
              <w:top w:val="nil"/>
              <w:left w:val="nil"/>
              <w:bottom w:val="single" w:sz="8" w:space="0" w:color="auto"/>
              <w:right w:val="single" w:sz="8" w:space="0" w:color="auto"/>
            </w:tcBorders>
            <w:shd w:val="clear" w:color="auto" w:fill="auto"/>
            <w:vAlign w:val="center"/>
            <w:hideMark/>
          </w:tcPr>
          <w:p w14:paraId="3BA8EC46"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Commitments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5A7D00C3"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8930FAF"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CCD740F"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0EA21DD"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12200E3"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088E9FE"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A56747" w:rsidRPr="00C2043F" w14:paraId="07408C44" w14:textId="77777777" w:rsidTr="2618532F">
        <w:trPr>
          <w:cantSplit/>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14:paraId="228814EF" w14:textId="77777777" w:rsidR="00A56747" w:rsidRPr="00C2043F" w:rsidRDefault="00A56747" w:rsidP="004B53CC">
            <w:pPr>
              <w:spacing w:before="0" w:after="0"/>
              <w:jc w:val="center"/>
              <w:rPr>
                <w:noProof/>
                <w:color w:val="000000"/>
                <w:sz w:val="22"/>
                <w:lang w:val="en-IE" w:eastAsia="en-IE"/>
              </w:rPr>
            </w:pPr>
            <w:r w:rsidRPr="00C2043F">
              <w:rPr>
                <w:noProof/>
                <w:color w:val="000000"/>
                <w:sz w:val="22"/>
                <w:lang w:val="en-IE" w:eastAsia="en-IE"/>
              </w:rPr>
              <w:t>of the multiannual financial framework</w:t>
            </w:r>
          </w:p>
        </w:tc>
        <w:tc>
          <w:tcPr>
            <w:tcW w:w="529" w:type="pct"/>
            <w:gridSpan w:val="3"/>
            <w:tcBorders>
              <w:top w:val="nil"/>
              <w:left w:val="nil"/>
              <w:bottom w:val="single" w:sz="8" w:space="0" w:color="auto"/>
              <w:right w:val="single" w:sz="8" w:space="0" w:color="auto"/>
            </w:tcBorders>
            <w:shd w:val="clear" w:color="auto" w:fill="auto"/>
            <w:vAlign w:val="center"/>
            <w:hideMark/>
          </w:tcPr>
          <w:p w14:paraId="5997CCA5" w14:textId="77777777" w:rsidR="00A56747" w:rsidRPr="00C2043F" w:rsidRDefault="00A56747" w:rsidP="004B53CC">
            <w:pPr>
              <w:spacing w:before="0" w:after="0"/>
              <w:rPr>
                <w:noProof/>
                <w:color w:val="000000"/>
                <w:sz w:val="18"/>
                <w:szCs w:val="18"/>
                <w:lang w:val="en-IE" w:eastAsia="en-IE"/>
              </w:rPr>
            </w:pPr>
            <w:r w:rsidRPr="00C2043F">
              <w:rPr>
                <w:noProof/>
                <w:color w:val="000000"/>
                <w:sz w:val="18"/>
                <w:szCs w:val="18"/>
                <w:lang w:val="en-IE" w:eastAsia="en-IE"/>
              </w:rPr>
              <w:t>Payments</w:t>
            </w:r>
          </w:p>
        </w:tc>
        <w:tc>
          <w:tcPr>
            <w:tcW w:w="492" w:type="pct"/>
            <w:gridSpan w:val="4"/>
            <w:tcBorders>
              <w:top w:val="single" w:sz="8" w:space="0" w:color="auto"/>
              <w:left w:val="nil"/>
              <w:bottom w:val="single" w:sz="8" w:space="0" w:color="auto"/>
              <w:right w:val="single" w:sz="8" w:space="0" w:color="auto"/>
            </w:tcBorders>
            <w:shd w:val="clear" w:color="auto" w:fill="auto"/>
            <w:vAlign w:val="center"/>
            <w:hideMark/>
          </w:tcPr>
          <w:p w14:paraId="2F92BC25" w14:textId="77777777" w:rsidR="00A56747" w:rsidRPr="00C2043F" w:rsidRDefault="00A56747" w:rsidP="004B53CC">
            <w:pPr>
              <w:spacing w:before="0" w:after="0"/>
              <w:jc w:val="center"/>
              <w:rPr>
                <w:noProof/>
                <w:color w:val="000000"/>
                <w:sz w:val="14"/>
                <w:szCs w:val="14"/>
                <w:lang w:val="en-IE" w:eastAsia="en-IE"/>
              </w:rPr>
            </w:pPr>
            <w:r w:rsidRPr="00C2043F">
              <w:rPr>
                <w:noProof/>
                <w:color w:val="000000"/>
                <w:sz w:val="14"/>
                <w:szCs w:val="14"/>
                <w:lang w:val="en-IE" w:eastAsia="en-IE"/>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B48A7FE"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D6178DE"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F669BF7" w14:textId="77777777" w:rsidR="00A56747" w:rsidRPr="00C2043F" w:rsidRDefault="00202D3C" w:rsidP="004B53CC">
            <w:pPr>
              <w:spacing w:before="0" w:after="0"/>
              <w:jc w:val="right"/>
              <w:rPr>
                <w:b/>
                <w:bCs/>
                <w:noProof/>
                <w:color w:val="000000"/>
                <w:sz w:val="20"/>
                <w:szCs w:val="20"/>
                <w:lang w:val="en-IE" w:eastAsia="en-IE"/>
              </w:rPr>
            </w:pPr>
            <w:r>
              <w:rPr>
                <w:b/>
                <w:bCs/>
                <w:noProof/>
                <w:color w:val="000000" w:themeColor="text1"/>
                <w:sz w:val="20"/>
                <w:szCs w:val="20"/>
                <w:lang w:val="en-IE" w:eastAsia="en-IE"/>
              </w:rPr>
              <w:t>[</w:t>
            </w:r>
            <w:r w:rsidR="7E53B498" w:rsidRPr="6DC0ECE3">
              <w:rPr>
                <w:b/>
                <w:bCs/>
                <w:noProof/>
                <w:color w:val="000000" w:themeColor="text1"/>
                <w:sz w:val="20"/>
                <w:szCs w:val="20"/>
                <w:lang w:val="en-IE" w:eastAsia="en-IE"/>
              </w:rPr>
              <w:t>3</w:t>
            </w:r>
            <w:r w:rsidR="6F5DA862" w:rsidRPr="6DC0ECE3">
              <w:rPr>
                <w:b/>
                <w:bCs/>
                <w:noProof/>
                <w:color w:val="000000" w:themeColor="text1"/>
                <w:sz w:val="20"/>
                <w:szCs w:val="20"/>
                <w:lang w:val="en-IE" w:eastAsia="en-IE"/>
              </w:rPr>
              <w:t xml:space="preserve"> </w:t>
            </w:r>
            <w:r w:rsidR="05732F09" w:rsidRPr="6DC0ECE3">
              <w:rPr>
                <w:b/>
                <w:bCs/>
                <w:noProof/>
                <w:color w:val="000000" w:themeColor="text1"/>
                <w:sz w:val="20"/>
                <w:szCs w:val="20"/>
                <w:lang w:val="en-IE" w:eastAsia="en-IE"/>
              </w:rPr>
              <w:t>6</w:t>
            </w:r>
            <w:r w:rsidR="00A56747" w:rsidRPr="5735739A">
              <w:rPr>
                <w:b/>
                <w:bCs/>
                <w:noProof/>
                <w:color w:val="000000" w:themeColor="text1"/>
                <w:sz w:val="20"/>
                <w:szCs w:val="20"/>
                <w:lang w:val="en-IE" w:eastAsia="en-IE"/>
              </w:rPr>
              <w:t>00.000</w:t>
            </w:r>
            <w:r w:rsidR="00342A3B">
              <w:rPr>
                <w:b/>
                <w:bCs/>
                <w:noProof/>
                <w:color w:val="000000" w:themeColor="text1"/>
                <w:sz w:val="20"/>
                <w:szCs w:val="20"/>
                <w:lang w:val="en-IE" w:eastAsia="en-IE"/>
              </w:rPr>
              <w:t>]</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E7A18DD" w14:textId="77777777" w:rsidR="00A56747" w:rsidRPr="00C2043F" w:rsidRDefault="00671C30" w:rsidP="004B53CC">
            <w:pPr>
              <w:spacing w:before="0" w:after="0"/>
              <w:jc w:val="right"/>
              <w:rPr>
                <w:b/>
                <w:bCs/>
                <w:noProof/>
                <w:color w:val="000000"/>
                <w:sz w:val="20"/>
                <w:szCs w:val="20"/>
                <w:lang w:val="en-IE" w:eastAsia="en-IE"/>
              </w:rPr>
            </w:pPr>
            <w:r>
              <w:rPr>
                <w:b/>
                <w:bCs/>
                <w:noProof/>
                <w:color w:val="000000" w:themeColor="text1"/>
                <w:sz w:val="20"/>
                <w:szCs w:val="20"/>
                <w:lang w:val="en-IE" w:eastAsia="en-IE"/>
              </w:rPr>
              <w:t>[</w:t>
            </w:r>
            <w:r w:rsidR="00A56747" w:rsidRPr="5735739A">
              <w:rPr>
                <w:b/>
                <w:bCs/>
                <w:noProof/>
                <w:color w:val="000000" w:themeColor="text1"/>
                <w:sz w:val="20"/>
                <w:szCs w:val="20"/>
                <w:lang w:val="en-IE" w:eastAsia="en-IE"/>
              </w:rPr>
              <w:t>-</w:t>
            </w:r>
            <w:r w:rsidR="00756EF9">
              <w:rPr>
                <w:b/>
                <w:bCs/>
                <w:noProof/>
                <w:color w:val="000000" w:themeColor="text1"/>
                <w:sz w:val="20"/>
                <w:szCs w:val="20"/>
                <w:lang w:val="en-IE" w:eastAsia="en-IE"/>
              </w:rPr>
              <w:t>3</w:t>
            </w:r>
            <w:r w:rsidR="00A56747" w:rsidRPr="5735739A">
              <w:rPr>
                <w:b/>
                <w:bCs/>
                <w:noProof/>
                <w:color w:val="000000" w:themeColor="text1"/>
                <w:sz w:val="20"/>
                <w:szCs w:val="20"/>
                <w:lang w:val="en-IE" w:eastAsia="en-IE"/>
              </w:rPr>
              <w:t xml:space="preserve"> </w:t>
            </w:r>
            <w:r w:rsidR="00756EF9">
              <w:rPr>
                <w:b/>
                <w:bCs/>
                <w:noProof/>
                <w:color w:val="000000" w:themeColor="text1"/>
                <w:sz w:val="20"/>
                <w:szCs w:val="20"/>
                <w:lang w:val="en-IE" w:eastAsia="en-IE"/>
              </w:rPr>
              <w:t>6</w:t>
            </w:r>
            <w:r w:rsidR="00A56747" w:rsidRPr="5735739A">
              <w:rPr>
                <w:b/>
                <w:bCs/>
                <w:noProof/>
                <w:color w:val="000000" w:themeColor="text1"/>
                <w:sz w:val="20"/>
                <w:szCs w:val="20"/>
                <w:lang w:val="en-IE" w:eastAsia="en-IE"/>
              </w:rPr>
              <w:t>00.000</w:t>
            </w:r>
            <w:r>
              <w:rPr>
                <w:b/>
                <w:bCs/>
                <w:noProof/>
                <w:color w:val="000000" w:themeColor="text1"/>
                <w:sz w:val="20"/>
                <w:szCs w:val="20"/>
                <w:lang w:val="en-IE" w:eastAsia="en-IE"/>
              </w:rPr>
              <w:t>]</w:t>
            </w:r>
          </w:p>
        </w:tc>
        <w:tc>
          <w:tcPr>
            <w:tcW w:w="5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D18B0BA" w14:textId="77777777" w:rsidR="00A56747" w:rsidRPr="00C2043F" w:rsidRDefault="00A56747" w:rsidP="004B53CC">
            <w:pPr>
              <w:spacing w:before="0" w:after="0"/>
              <w:jc w:val="right"/>
              <w:rPr>
                <w:b/>
                <w:bCs/>
                <w:noProof/>
                <w:color w:val="000000"/>
                <w:sz w:val="20"/>
                <w:szCs w:val="20"/>
                <w:lang w:val="en-IE" w:eastAsia="en-IE"/>
              </w:rPr>
            </w:pPr>
            <w:r w:rsidRPr="00C2043F">
              <w:rPr>
                <w:b/>
                <w:bCs/>
                <w:noProof/>
                <w:color w:val="000000"/>
                <w:sz w:val="20"/>
                <w:szCs w:val="20"/>
                <w:lang w:val="en-IE" w:eastAsia="en-IE"/>
              </w:rPr>
              <w:t>0.000</w:t>
            </w:r>
          </w:p>
        </w:tc>
      </w:tr>
      <w:tr w:rsidR="003100E7" w:rsidRPr="003268F2" w14:paraId="4B493283" w14:textId="77777777" w:rsidTr="5735739A">
        <w:trPr>
          <w:trHeight w:val="288"/>
        </w:trPr>
        <w:tc>
          <w:tcPr>
            <w:tcW w:w="1522" w:type="pct"/>
            <w:gridSpan w:val="3"/>
            <w:tcBorders>
              <w:top w:val="nil"/>
              <w:left w:val="nil"/>
              <w:bottom w:val="nil"/>
              <w:right w:val="nil"/>
            </w:tcBorders>
            <w:shd w:val="clear" w:color="auto" w:fill="auto"/>
            <w:noWrap/>
            <w:vAlign w:val="bottom"/>
            <w:hideMark/>
          </w:tcPr>
          <w:p w14:paraId="5251C520" w14:textId="77777777" w:rsidR="00A56747" w:rsidRPr="003268F2" w:rsidRDefault="00A56747" w:rsidP="004B53CC">
            <w:pPr>
              <w:spacing w:before="0" w:after="0"/>
              <w:jc w:val="left"/>
              <w:rPr>
                <w:noProof/>
                <w:sz w:val="20"/>
                <w:szCs w:val="24"/>
                <w:lang w:val="en-IE" w:eastAsia="en-IE"/>
              </w:rPr>
            </w:pPr>
          </w:p>
        </w:tc>
        <w:tc>
          <w:tcPr>
            <w:tcW w:w="471" w:type="pct"/>
            <w:gridSpan w:val="3"/>
            <w:tcBorders>
              <w:top w:val="nil"/>
              <w:left w:val="nil"/>
              <w:bottom w:val="nil"/>
              <w:right w:val="nil"/>
            </w:tcBorders>
            <w:shd w:val="clear" w:color="auto" w:fill="auto"/>
            <w:noWrap/>
            <w:vAlign w:val="bottom"/>
            <w:hideMark/>
          </w:tcPr>
          <w:p w14:paraId="26042DD9" w14:textId="77777777" w:rsidR="00A56747" w:rsidRPr="003268F2" w:rsidRDefault="00A56747" w:rsidP="004B53CC">
            <w:pPr>
              <w:spacing w:before="0" w:after="0"/>
              <w:jc w:val="left"/>
              <w:rPr>
                <w:noProof/>
                <w:sz w:val="20"/>
                <w:szCs w:val="20"/>
                <w:lang w:val="en-IE" w:eastAsia="en-IE"/>
              </w:rPr>
            </w:pPr>
          </w:p>
        </w:tc>
        <w:tc>
          <w:tcPr>
            <w:tcW w:w="365" w:type="pct"/>
            <w:tcBorders>
              <w:top w:val="nil"/>
              <w:left w:val="nil"/>
              <w:bottom w:val="nil"/>
              <w:right w:val="nil"/>
            </w:tcBorders>
            <w:shd w:val="clear" w:color="auto" w:fill="auto"/>
            <w:noWrap/>
            <w:vAlign w:val="bottom"/>
            <w:hideMark/>
          </w:tcPr>
          <w:p w14:paraId="095FB3C7" w14:textId="77777777" w:rsidR="00A56747" w:rsidRPr="003268F2" w:rsidRDefault="00A56747" w:rsidP="004B53CC">
            <w:pPr>
              <w:spacing w:before="0" w:after="0"/>
              <w:jc w:val="left"/>
              <w:rPr>
                <w:noProof/>
                <w:sz w:val="20"/>
                <w:szCs w:val="20"/>
                <w:lang w:val="en-IE" w:eastAsia="en-IE"/>
              </w:rPr>
            </w:pPr>
          </w:p>
        </w:tc>
        <w:tc>
          <w:tcPr>
            <w:tcW w:w="365" w:type="pct"/>
            <w:gridSpan w:val="3"/>
            <w:tcBorders>
              <w:top w:val="nil"/>
              <w:left w:val="nil"/>
              <w:bottom w:val="nil"/>
              <w:right w:val="single" w:sz="4" w:space="0" w:color="auto"/>
            </w:tcBorders>
            <w:shd w:val="clear" w:color="auto" w:fill="auto"/>
            <w:noWrap/>
            <w:vAlign w:val="bottom"/>
            <w:hideMark/>
          </w:tcPr>
          <w:p w14:paraId="378099E2" w14:textId="77777777" w:rsidR="00A56747" w:rsidRPr="003268F2" w:rsidRDefault="00A56747" w:rsidP="004B53CC">
            <w:pPr>
              <w:spacing w:before="0" w:after="0"/>
              <w:jc w:val="left"/>
              <w:rPr>
                <w:noProof/>
                <w:sz w:val="20"/>
                <w:szCs w:val="20"/>
                <w:lang w:val="en-IE" w:eastAsia="en-IE"/>
              </w:rPr>
            </w:pPr>
          </w:p>
        </w:tc>
        <w:tc>
          <w:tcPr>
            <w:tcW w:w="437" w:type="pct"/>
            <w:gridSpan w:val="3"/>
            <w:tcBorders>
              <w:top w:val="single" w:sz="8" w:space="0" w:color="auto"/>
              <w:left w:val="single" w:sz="4" w:space="0" w:color="auto"/>
              <w:bottom w:val="nil"/>
              <w:right w:val="single" w:sz="8" w:space="0" w:color="auto"/>
            </w:tcBorders>
            <w:shd w:val="clear" w:color="auto" w:fill="auto"/>
            <w:vAlign w:val="center"/>
            <w:hideMark/>
          </w:tcPr>
          <w:p w14:paraId="5B9C3C9B"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37" w:type="pct"/>
            <w:gridSpan w:val="3"/>
            <w:tcBorders>
              <w:top w:val="single" w:sz="8" w:space="0" w:color="auto"/>
              <w:left w:val="nil"/>
              <w:bottom w:val="nil"/>
              <w:right w:val="single" w:sz="8" w:space="0" w:color="auto"/>
            </w:tcBorders>
            <w:shd w:val="clear" w:color="auto" w:fill="auto"/>
            <w:vAlign w:val="center"/>
            <w:hideMark/>
          </w:tcPr>
          <w:p w14:paraId="13CDE76B"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37" w:type="pct"/>
            <w:gridSpan w:val="3"/>
            <w:tcBorders>
              <w:top w:val="single" w:sz="8" w:space="0" w:color="auto"/>
              <w:left w:val="nil"/>
              <w:bottom w:val="nil"/>
              <w:right w:val="single" w:sz="8" w:space="0" w:color="auto"/>
            </w:tcBorders>
            <w:shd w:val="clear" w:color="auto" w:fill="auto"/>
            <w:vAlign w:val="center"/>
            <w:hideMark/>
          </w:tcPr>
          <w:p w14:paraId="5D33B6EE"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37" w:type="pct"/>
            <w:gridSpan w:val="3"/>
            <w:tcBorders>
              <w:top w:val="single" w:sz="8" w:space="0" w:color="auto"/>
              <w:left w:val="nil"/>
              <w:bottom w:val="nil"/>
              <w:right w:val="single" w:sz="8" w:space="0" w:color="auto"/>
            </w:tcBorders>
            <w:shd w:val="clear" w:color="auto" w:fill="auto"/>
            <w:vAlign w:val="center"/>
            <w:hideMark/>
          </w:tcPr>
          <w:p w14:paraId="23FDB81B"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529" w:type="pct"/>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78CB002"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TOTAL MFF</w:t>
            </w:r>
            <w:r>
              <w:rPr>
                <w:b/>
                <w:bCs/>
                <w:noProof/>
                <w:color w:val="000000"/>
                <w:sz w:val="20"/>
                <w:szCs w:val="20"/>
                <w:lang w:val="en-IE" w:eastAsia="en-IE"/>
              </w:rPr>
              <w:t xml:space="preserve"> </w:t>
            </w:r>
            <w:r w:rsidRPr="003268F2">
              <w:rPr>
                <w:b/>
                <w:bCs/>
                <w:noProof/>
                <w:color w:val="000000"/>
                <w:sz w:val="20"/>
                <w:szCs w:val="20"/>
                <w:lang w:val="en-IE" w:eastAsia="en-IE"/>
              </w:rPr>
              <w:t>2021-2027</w:t>
            </w:r>
          </w:p>
        </w:tc>
      </w:tr>
      <w:tr w:rsidR="003100E7" w:rsidRPr="003268F2" w14:paraId="4C6736C4" w14:textId="77777777" w:rsidTr="5735739A">
        <w:trPr>
          <w:trHeight w:val="300"/>
        </w:trPr>
        <w:tc>
          <w:tcPr>
            <w:tcW w:w="1522" w:type="pct"/>
            <w:gridSpan w:val="3"/>
            <w:tcBorders>
              <w:top w:val="nil"/>
              <w:left w:val="nil"/>
              <w:bottom w:val="nil"/>
              <w:right w:val="nil"/>
            </w:tcBorders>
            <w:shd w:val="clear" w:color="auto" w:fill="auto"/>
            <w:noWrap/>
            <w:vAlign w:val="bottom"/>
            <w:hideMark/>
          </w:tcPr>
          <w:p w14:paraId="5223BA1C" w14:textId="77777777" w:rsidR="00A56747" w:rsidRPr="003268F2" w:rsidRDefault="00A56747" w:rsidP="004B53CC">
            <w:pPr>
              <w:spacing w:before="0" w:after="0"/>
              <w:jc w:val="center"/>
              <w:rPr>
                <w:b/>
                <w:bCs/>
                <w:noProof/>
                <w:color w:val="000000"/>
                <w:sz w:val="20"/>
                <w:szCs w:val="20"/>
                <w:lang w:val="en-IE" w:eastAsia="en-IE"/>
              </w:rPr>
            </w:pPr>
          </w:p>
        </w:tc>
        <w:tc>
          <w:tcPr>
            <w:tcW w:w="471" w:type="pct"/>
            <w:gridSpan w:val="3"/>
            <w:tcBorders>
              <w:top w:val="nil"/>
              <w:left w:val="nil"/>
              <w:bottom w:val="nil"/>
              <w:right w:val="nil"/>
            </w:tcBorders>
            <w:shd w:val="clear" w:color="auto" w:fill="auto"/>
            <w:noWrap/>
            <w:vAlign w:val="bottom"/>
            <w:hideMark/>
          </w:tcPr>
          <w:p w14:paraId="3FA79AF0" w14:textId="77777777" w:rsidR="00A56747" w:rsidRPr="003268F2" w:rsidRDefault="00A56747" w:rsidP="004B53CC">
            <w:pPr>
              <w:spacing w:before="0" w:after="0"/>
              <w:jc w:val="left"/>
              <w:rPr>
                <w:noProof/>
                <w:sz w:val="20"/>
                <w:szCs w:val="20"/>
                <w:lang w:val="en-IE" w:eastAsia="en-IE"/>
              </w:rPr>
            </w:pPr>
          </w:p>
        </w:tc>
        <w:tc>
          <w:tcPr>
            <w:tcW w:w="365" w:type="pct"/>
            <w:tcBorders>
              <w:top w:val="nil"/>
              <w:left w:val="nil"/>
              <w:bottom w:val="nil"/>
              <w:right w:val="nil"/>
            </w:tcBorders>
            <w:shd w:val="clear" w:color="auto" w:fill="auto"/>
            <w:noWrap/>
            <w:vAlign w:val="bottom"/>
            <w:hideMark/>
          </w:tcPr>
          <w:p w14:paraId="1BEFD011" w14:textId="77777777" w:rsidR="00A56747" w:rsidRPr="003268F2" w:rsidRDefault="00A56747" w:rsidP="004B53CC">
            <w:pPr>
              <w:spacing w:before="0" w:after="0"/>
              <w:jc w:val="left"/>
              <w:rPr>
                <w:noProof/>
                <w:sz w:val="20"/>
                <w:szCs w:val="20"/>
                <w:lang w:val="en-IE" w:eastAsia="en-IE"/>
              </w:rPr>
            </w:pPr>
          </w:p>
        </w:tc>
        <w:tc>
          <w:tcPr>
            <w:tcW w:w="365" w:type="pct"/>
            <w:gridSpan w:val="3"/>
            <w:tcBorders>
              <w:top w:val="nil"/>
              <w:left w:val="nil"/>
              <w:bottom w:val="nil"/>
              <w:right w:val="single" w:sz="4" w:space="0" w:color="auto"/>
            </w:tcBorders>
            <w:shd w:val="clear" w:color="auto" w:fill="auto"/>
            <w:noWrap/>
            <w:vAlign w:val="bottom"/>
            <w:hideMark/>
          </w:tcPr>
          <w:p w14:paraId="5A0DDEB6" w14:textId="77777777" w:rsidR="00A56747" w:rsidRPr="003268F2" w:rsidRDefault="00A56747" w:rsidP="004B53CC">
            <w:pPr>
              <w:spacing w:before="0" w:after="0"/>
              <w:jc w:val="left"/>
              <w:rPr>
                <w:noProof/>
                <w:sz w:val="20"/>
                <w:szCs w:val="20"/>
                <w:lang w:val="en-IE" w:eastAsia="en-IE"/>
              </w:rPr>
            </w:pPr>
          </w:p>
        </w:tc>
        <w:tc>
          <w:tcPr>
            <w:tcW w:w="437" w:type="pct"/>
            <w:gridSpan w:val="3"/>
            <w:tcBorders>
              <w:top w:val="nil"/>
              <w:left w:val="single" w:sz="4" w:space="0" w:color="auto"/>
              <w:bottom w:val="single" w:sz="8" w:space="0" w:color="auto"/>
              <w:right w:val="single" w:sz="8" w:space="0" w:color="auto"/>
            </w:tcBorders>
            <w:shd w:val="clear" w:color="auto" w:fill="auto"/>
            <w:vAlign w:val="center"/>
            <w:hideMark/>
          </w:tcPr>
          <w:p w14:paraId="6125D158"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2024</w:t>
            </w:r>
          </w:p>
        </w:tc>
        <w:tc>
          <w:tcPr>
            <w:tcW w:w="437" w:type="pct"/>
            <w:gridSpan w:val="3"/>
            <w:tcBorders>
              <w:top w:val="nil"/>
              <w:left w:val="nil"/>
              <w:bottom w:val="single" w:sz="8" w:space="0" w:color="auto"/>
              <w:right w:val="single" w:sz="8" w:space="0" w:color="auto"/>
            </w:tcBorders>
            <w:shd w:val="clear" w:color="auto" w:fill="auto"/>
            <w:vAlign w:val="center"/>
            <w:hideMark/>
          </w:tcPr>
          <w:p w14:paraId="02DD0606"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2025</w:t>
            </w:r>
          </w:p>
        </w:tc>
        <w:tc>
          <w:tcPr>
            <w:tcW w:w="437" w:type="pct"/>
            <w:gridSpan w:val="3"/>
            <w:tcBorders>
              <w:top w:val="nil"/>
              <w:left w:val="nil"/>
              <w:bottom w:val="single" w:sz="8" w:space="0" w:color="auto"/>
              <w:right w:val="single" w:sz="8" w:space="0" w:color="auto"/>
            </w:tcBorders>
            <w:shd w:val="clear" w:color="auto" w:fill="auto"/>
            <w:vAlign w:val="center"/>
            <w:hideMark/>
          </w:tcPr>
          <w:p w14:paraId="743CBA9D"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2026</w:t>
            </w:r>
          </w:p>
        </w:tc>
        <w:tc>
          <w:tcPr>
            <w:tcW w:w="437" w:type="pct"/>
            <w:gridSpan w:val="3"/>
            <w:tcBorders>
              <w:top w:val="nil"/>
              <w:left w:val="nil"/>
              <w:bottom w:val="single" w:sz="8" w:space="0" w:color="auto"/>
              <w:right w:val="single" w:sz="8" w:space="0" w:color="auto"/>
            </w:tcBorders>
            <w:shd w:val="clear" w:color="auto" w:fill="auto"/>
            <w:vAlign w:val="center"/>
            <w:hideMark/>
          </w:tcPr>
          <w:p w14:paraId="58D02035"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2027</w:t>
            </w:r>
          </w:p>
        </w:tc>
        <w:tc>
          <w:tcPr>
            <w:tcW w:w="529" w:type="pct"/>
            <w:vMerge/>
            <w:vAlign w:val="center"/>
            <w:hideMark/>
          </w:tcPr>
          <w:p w14:paraId="437075E2" w14:textId="77777777" w:rsidR="00A56747" w:rsidRPr="003268F2" w:rsidRDefault="00A56747" w:rsidP="004B53CC">
            <w:pPr>
              <w:spacing w:before="0" w:after="0"/>
              <w:jc w:val="left"/>
              <w:rPr>
                <w:b/>
                <w:bCs/>
                <w:noProof/>
                <w:color w:val="000000"/>
                <w:sz w:val="20"/>
                <w:szCs w:val="20"/>
                <w:lang w:val="en-IE" w:eastAsia="en-IE"/>
              </w:rPr>
            </w:pPr>
          </w:p>
        </w:tc>
      </w:tr>
      <w:tr w:rsidR="003100E7" w:rsidRPr="003268F2" w14:paraId="09D560C5" w14:textId="77777777" w:rsidTr="5735739A">
        <w:trPr>
          <w:trHeight w:val="300"/>
        </w:trPr>
        <w:tc>
          <w:tcPr>
            <w:tcW w:w="1522"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EACEAF9" w14:textId="77777777" w:rsidR="00A56747" w:rsidRPr="003268F2" w:rsidRDefault="00A56747" w:rsidP="004B53CC">
            <w:pPr>
              <w:spacing w:before="0" w:after="0"/>
              <w:rPr>
                <w:noProof/>
                <w:color w:val="000000"/>
                <w:sz w:val="21"/>
                <w:szCs w:val="21"/>
                <w:lang w:val="en-IE" w:eastAsia="en-IE"/>
              </w:rPr>
            </w:pPr>
            <w:r w:rsidRPr="003268F2">
              <w:rPr>
                <w:rFonts w:ascii="Calibri" w:hAnsi="Calibri" w:cs="Calibri"/>
                <w:noProof/>
                <w:color w:val="000000"/>
                <w:sz w:val="21"/>
                <w:szCs w:val="21"/>
                <w:lang w:val="en-IE" w:eastAsia="en-IE"/>
              </w:rPr>
              <w:t xml:space="preserve">• </w:t>
            </w:r>
            <w:r w:rsidRPr="003268F2">
              <w:rPr>
                <w:noProof/>
                <w:color w:val="000000"/>
                <w:sz w:val="21"/>
                <w:szCs w:val="21"/>
                <w:lang w:val="en-IE" w:eastAsia="en-IE"/>
              </w:rPr>
              <w:t>TOTAL operational appropriations (all operational headings)</w:t>
            </w:r>
          </w:p>
        </w:tc>
        <w:tc>
          <w:tcPr>
            <w:tcW w:w="471" w:type="pct"/>
            <w:gridSpan w:val="3"/>
            <w:tcBorders>
              <w:top w:val="single" w:sz="8" w:space="0" w:color="auto"/>
              <w:left w:val="nil"/>
              <w:bottom w:val="single" w:sz="8" w:space="0" w:color="auto"/>
              <w:right w:val="single" w:sz="8" w:space="0" w:color="auto"/>
            </w:tcBorders>
            <w:shd w:val="clear" w:color="auto" w:fill="auto"/>
            <w:vAlign w:val="center"/>
            <w:hideMark/>
          </w:tcPr>
          <w:p w14:paraId="3ABF3045" w14:textId="77777777" w:rsidR="00A56747" w:rsidRPr="003268F2" w:rsidRDefault="00A56747" w:rsidP="004B53CC">
            <w:pPr>
              <w:spacing w:before="0" w:after="0"/>
              <w:rPr>
                <w:noProof/>
                <w:color w:val="000000"/>
                <w:sz w:val="18"/>
                <w:szCs w:val="18"/>
                <w:lang w:val="en-IE" w:eastAsia="en-IE"/>
              </w:rPr>
            </w:pPr>
            <w:r w:rsidRPr="003268F2">
              <w:rPr>
                <w:noProof/>
                <w:color w:val="000000"/>
                <w:sz w:val="18"/>
                <w:szCs w:val="18"/>
                <w:lang w:val="en-IE" w:eastAsia="en-IE"/>
              </w:rPr>
              <w:t>Commitments</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53AB8A6D" w14:textId="77777777" w:rsidR="00A56747" w:rsidRPr="003268F2" w:rsidRDefault="00A56747" w:rsidP="004B53CC">
            <w:pPr>
              <w:spacing w:before="0" w:after="0"/>
              <w:jc w:val="center"/>
              <w:rPr>
                <w:noProof/>
                <w:color w:val="000000"/>
                <w:sz w:val="14"/>
                <w:szCs w:val="14"/>
                <w:lang w:val="en-IE" w:eastAsia="en-IE"/>
              </w:rPr>
            </w:pPr>
            <w:r w:rsidRPr="003268F2">
              <w:rPr>
                <w:noProof/>
                <w:color w:val="000000"/>
                <w:sz w:val="14"/>
                <w:szCs w:val="14"/>
                <w:lang w:val="en-IE" w:eastAsia="en-IE"/>
              </w:rPr>
              <w:t>(4)</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6EA5CBF"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7F513D5"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006A361"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9B68148"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398A4DBF"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A56747" w:rsidRPr="003268F2" w14:paraId="121A703B" w14:textId="77777777" w:rsidTr="5735739A">
        <w:trPr>
          <w:trHeight w:val="300"/>
        </w:trPr>
        <w:tc>
          <w:tcPr>
            <w:tcW w:w="1522" w:type="pct"/>
            <w:gridSpan w:val="3"/>
            <w:vMerge/>
            <w:vAlign w:val="center"/>
            <w:hideMark/>
          </w:tcPr>
          <w:p w14:paraId="59EE2AE0" w14:textId="77777777" w:rsidR="00A56747" w:rsidRPr="003268F2" w:rsidRDefault="00A56747" w:rsidP="004B53CC">
            <w:pPr>
              <w:spacing w:before="0" w:after="0"/>
              <w:jc w:val="left"/>
              <w:rPr>
                <w:noProof/>
                <w:color w:val="000000"/>
                <w:sz w:val="21"/>
                <w:szCs w:val="21"/>
                <w:lang w:val="en-IE" w:eastAsia="en-IE"/>
              </w:rPr>
            </w:pPr>
          </w:p>
        </w:tc>
        <w:tc>
          <w:tcPr>
            <w:tcW w:w="471" w:type="pct"/>
            <w:gridSpan w:val="3"/>
            <w:tcBorders>
              <w:top w:val="nil"/>
              <w:left w:val="nil"/>
              <w:bottom w:val="single" w:sz="8" w:space="0" w:color="auto"/>
              <w:right w:val="single" w:sz="8" w:space="0" w:color="auto"/>
            </w:tcBorders>
            <w:shd w:val="clear" w:color="auto" w:fill="auto"/>
            <w:vAlign w:val="center"/>
            <w:hideMark/>
          </w:tcPr>
          <w:p w14:paraId="20EFADE4" w14:textId="77777777" w:rsidR="00A56747" w:rsidRPr="003268F2" w:rsidRDefault="00A56747" w:rsidP="004B53CC">
            <w:pPr>
              <w:spacing w:before="0" w:after="0"/>
              <w:rPr>
                <w:noProof/>
                <w:color w:val="000000"/>
                <w:sz w:val="18"/>
                <w:szCs w:val="18"/>
                <w:lang w:val="en-IE" w:eastAsia="en-IE"/>
              </w:rPr>
            </w:pPr>
            <w:r w:rsidRPr="003268F2">
              <w:rPr>
                <w:noProof/>
                <w:color w:val="000000"/>
                <w:sz w:val="18"/>
                <w:szCs w:val="18"/>
                <w:lang w:val="en-IE" w:eastAsia="en-IE"/>
              </w:rPr>
              <w:t>Payments</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25EEC77E" w14:textId="77777777" w:rsidR="00A56747" w:rsidRPr="003268F2" w:rsidRDefault="00A56747" w:rsidP="004B53CC">
            <w:pPr>
              <w:spacing w:before="0" w:after="0"/>
              <w:jc w:val="center"/>
              <w:rPr>
                <w:noProof/>
                <w:color w:val="000000"/>
                <w:sz w:val="14"/>
                <w:szCs w:val="14"/>
                <w:lang w:val="en-IE" w:eastAsia="en-IE"/>
              </w:rPr>
            </w:pPr>
            <w:r w:rsidRPr="003268F2">
              <w:rPr>
                <w:noProof/>
                <w:color w:val="000000"/>
                <w:sz w:val="14"/>
                <w:szCs w:val="14"/>
                <w:lang w:val="en-IE" w:eastAsia="en-IE"/>
              </w:rPr>
              <w:t>(5)</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467E113"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0326780"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8B96BED" w14:textId="77777777" w:rsidR="00A56747" w:rsidRPr="003268F2" w:rsidRDefault="00A3606D"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00756EF9">
              <w:rPr>
                <w:noProof/>
                <w:color w:val="000000" w:themeColor="text1"/>
                <w:sz w:val="20"/>
                <w:szCs w:val="20"/>
                <w:lang w:val="en-IE" w:eastAsia="en-IE"/>
              </w:rPr>
              <w:t>3</w:t>
            </w:r>
            <w:r w:rsidR="00A56747" w:rsidRPr="5735739A">
              <w:rPr>
                <w:noProof/>
                <w:color w:val="000000" w:themeColor="text1"/>
                <w:sz w:val="20"/>
                <w:szCs w:val="20"/>
                <w:lang w:val="en-IE" w:eastAsia="en-IE"/>
              </w:rPr>
              <w:t xml:space="preserve"> </w:t>
            </w:r>
            <w:r w:rsidR="00756EF9">
              <w:rPr>
                <w:noProof/>
                <w:color w:val="000000" w:themeColor="text1"/>
                <w:sz w:val="20"/>
                <w:szCs w:val="20"/>
                <w:lang w:val="en-IE" w:eastAsia="en-IE"/>
              </w:rPr>
              <w:t>6</w:t>
            </w:r>
            <w:r w:rsidR="00A56747" w:rsidRPr="5735739A">
              <w:rPr>
                <w:noProof/>
                <w:color w:val="000000" w:themeColor="text1"/>
                <w:sz w:val="20"/>
                <w:szCs w:val="20"/>
                <w:lang w:val="en-IE" w:eastAsia="en-IE"/>
              </w:rPr>
              <w:t>00.000</w:t>
            </w:r>
            <w:r>
              <w:rPr>
                <w:noProof/>
                <w:color w:val="000000" w:themeColor="text1"/>
                <w:sz w:val="20"/>
                <w:szCs w:val="20"/>
                <w:lang w:val="en-IE" w:eastAsia="en-IE"/>
              </w:rPr>
              <w:t>]</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C6E0F15" w14:textId="77777777" w:rsidR="00A56747" w:rsidRPr="003268F2" w:rsidRDefault="00A3606D" w:rsidP="004B53CC">
            <w:pPr>
              <w:spacing w:before="0" w:after="0"/>
              <w:jc w:val="right"/>
              <w:rPr>
                <w:noProof/>
                <w:color w:val="000000"/>
                <w:sz w:val="20"/>
                <w:szCs w:val="20"/>
                <w:lang w:val="en-IE" w:eastAsia="en-IE"/>
              </w:rPr>
            </w:pPr>
            <w:r>
              <w:rPr>
                <w:noProof/>
                <w:color w:val="000000" w:themeColor="text1"/>
                <w:sz w:val="20"/>
                <w:szCs w:val="20"/>
                <w:lang w:val="en-IE" w:eastAsia="en-IE"/>
              </w:rPr>
              <w:t>[</w:t>
            </w:r>
            <w:r w:rsidR="00A56747" w:rsidRPr="5735739A">
              <w:rPr>
                <w:noProof/>
                <w:color w:val="000000" w:themeColor="text1"/>
                <w:sz w:val="20"/>
                <w:szCs w:val="20"/>
                <w:lang w:val="en-IE" w:eastAsia="en-IE"/>
              </w:rPr>
              <w:t>-</w:t>
            </w:r>
            <w:r w:rsidR="00756EF9">
              <w:rPr>
                <w:noProof/>
                <w:color w:val="000000" w:themeColor="text1"/>
                <w:sz w:val="20"/>
                <w:szCs w:val="20"/>
                <w:lang w:val="en-IE" w:eastAsia="en-IE"/>
              </w:rPr>
              <w:t>3</w:t>
            </w:r>
            <w:r w:rsidR="00A56747" w:rsidRPr="5735739A">
              <w:rPr>
                <w:noProof/>
                <w:color w:val="000000" w:themeColor="text1"/>
                <w:sz w:val="20"/>
                <w:szCs w:val="20"/>
                <w:lang w:val="en-IE" w:eastAsia="en-IE"/>
              </w:rPr>
              <w:t xml:space="preserve"> </w:t>
            </w:r>
            <w:r w:rsidR="00756EF9">
              <w:rPr>
                <w:noProof/>
                <w:color w:val="000000" w:themeColor="text1"/>
                <w:sz w:val="20"/>
                <w:szCs w:val="20"/>
                <w:lang w:val="en-IE" w:eastAsia="en-IE"/>
              </w:rPr>
              <w:t>6</w:t>
            </w:r>
            <w:r w:rsidR="00A56747" w:rsidRPr="5735739A">
              <w:rPr>
                <w:noProof/>
                <w:color w:val="000000" w:themeColor="text1"/>
                <w:sz w:val="20"/>
                <w:szCs w:val="20"/>
                <w:lang w:val="en-IE" w:eastAsia="en-IE"/>
              </w:rPr>
              <w:t>00.000</w:t>
            </w:r>
            <w:r>
              <w:rPr>
                <w:noProof/>
                <w:color w:val="000000" w:themeColor="text1"/>
                <w:sz w:val="20"/>
                <w:szCs w:val="20"/>
                <w:lang w:val="en-IE" w:eastAsia="en-IE"/>
              </w:rPr>
              <w:t>]</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45456402"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3100E7" w:rsidRPr="003268F2" w14:paraId="41FF5075" w14:textId="77777777" w:rsidTr="5735739A">
        <w:trPr>
          <w:trHeight w:val="990"/>
        </w:trPr>
        <w:tc>
          <w:tcPr>
            <w:tcW w:w="1993" w:type="pct"/>
            <w:gridSpan w:val="6"/>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1B503032" w14:textId="77777777" w:rsidR="00A56747" w:rsidRPr="003268F2" w:rsidRDefault="00A56747" w:rsidP="004B53CC">
            <w:pPr>
              <w:spacing w:before="0" w:after="0"/>
              <w:rPr>
                <w:noProof/>
                <w:color w:val="000000"/>
                <w:sz w:val="21"/>
                <w:szCs w:val="21"/>
                <w:lang w:val="en-IE" w:eastAsia="en-IE"/>
              </w:rPr>
            </w:pPr>
            <w:r w:rsidRPr="003268F2">
              <w:rPr>
                <w:rFonts w:ascii="Calibri" w:hAnsi="Calibri" w:cs="Calibri"/>
                <w:noProof/>
                <w:color w:val="000000"/>
                <w:sz w:val="21"/>
                <w:szCs w:val="21"/>
                <w:lang w:val="en-IE" w:eastAsia="en-IE"/>
              </w:rPr>
              <w:t>•</w:t>
            </w:r>
            <w:r w:rsidRPr="003268F2">
              <w:rPr>
                <w:noProof/>
                <w:color w:val="000000"/>
                <w:sz w:val="21"/>
                <w:szCs w:val="21"/>
                <w:lang w:val="en-IE" w:eastAsia="en-IE"/>
              </w:rPr>
              <w:t xml:space="preserve"> TOTAL appropriations of an administrative nature financed from the envelope for specific programmes (all operational headings)</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6E55C0CF" w14:textId="77777777" w:rsidR="00A56747" w:rsidRPr="003268F2" w:rsidRDefault="00A56747" w:rsidP="004B53CC">
            <w:pPr>
              <w:spacing w:before="0" w:after="0"/>
              <w:jc w:val="center"/>
              <w:rPr>
                <w:noProof/>
                <w:color w:val="000000"/>
                <w:sz w:val="14"/>
                <w:szCs w:val="14"/>
                <w:lang w:val="en-IE" w:eastAsia="en-IE"/>
              </w:rPr>
            </w:pPr>
            <w:r w:rsidRPr="003268F2">
              <w:rPr>
                <w:noProof/>
                <w:color w:val="000000"/>
                <w:sz w:val="14"/>
                <w:szCs w:val="14"/>
                <w:lang w:val="en-IE" w:eastAsia="en-IE"/>
              </w:rPr>
              <w:t>(6)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AD2AC73"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F2E9D4E"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A5597F9"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0B3EEBE"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01DACD36"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A56747" w:rsidRPr="003268F2" w14:paraId="39CBD8A9" w14:textId="77777777" w:rsidTr="5735739A">
        <w:trPr>
          <w:trHeight w:val="564"/>
        </w:trPr>
        <w:tc>
          <w:tcPr>
            <w:tcW w:w="1522" w:type="pct"/>
            <w:gridSpan w:val="3"/>
            <w:tcBorders>
              <w:top w:val="nil"/>
              <w:left w:val="single" w:sz="8" w:space="0" w:color="auto"/>
              <w:bottom w:val="nil"/>
              <w:right w:val="single" w:sz="8" w:space="0" w:color="auto"/>
            </w:tcBorders>
            <w:shd w:val="clear" w:color="auto" w:fill="F1F1F1"/>
            <w:vAlign w:val="center"/>
            <w:hideMark/>
          </w:tcPr>
          <w:p w14:paraId="7ABE690D" w14:textId="77777777" w:rsidR="00A56747" w:rsidRPr="003268F2" w:rsidRDefault="00A56747" w:rsidP="004B53CC">
            <w:pPr>
              <w:spacing w:before="0" w:after="0"/>
              <w:jc w:val="center"/>
              <w:rPr>
                <w:b/>
                <w:bCs/>
                <w:noProof/>
                <w:color w:val="000000"/>
                <w:sz w:val="22"/>
                <w:lang w:val="en-IE" w:eastAsia="en-IE"/>
              </w:rPr>
            </w:pPr>
            <w:r w:rsidRPr="003268F2">
              <w:rPr>
                <w:b/>
                <w:bCs/>
                <w:noProof/>
                <w:color w:val="000000"/>
                <w:sz w:val="22"/>
                <w:lang w:val="en-IE" w:eastAsia="en-IE"/>
              </w:rPr>
              <w:t>TOTAL appropriations</w:t>
            </w:r>
            <w:r>
              <w:rPr>
                <w:b/>
                <w:bCs/>
                <w:noProof/>
                <w:color w:val="000000"/>
                <w:sz w:val="22"/>
                <w:lang w:val="en-IE" w:eastAsia="en-IE"/>
              </w:rPr>
              <w:t xml:space="preserve"> </w:t>
            </w:r>
            <w:r w:rsidRPr="003268F2">
              <w:rPr>
                <w:b/>
                <w:bCs/>
                <w:noProof/>
                <w:color w:val="000000"/>
                <w:sz w:val="22"/>
                <w:lang w:val="en-IE" w:eastAsia="en-IE"/>
              </w:rPr>
              <w:t xml:space="preserve">Under </w:t>
            </w:r>
            <w:r>
              <w:rPr>
                <w:b/>
                <w:bCs/>
                <w:noProof/>
                <w:color w:val="000000"/>
                <w:sz w:val="22"/>
                <w:lang w:val="en-IE" w:eastAsia="en-IE"/>
              </w:rPr>
              <w:t xml:space="preserve">         </w:t>
            </w:r>
            <w:r w:rsidRPr="003268F2">
              <w:rPr>
                <w:b/>
                <w:bCs/>
                <w:noProof/>
                <w:color w:val="000000"/>
                <w:sz w:val="22"/>
                <w:lang w:val="en-IE" w:eastAsia="en-IE"/>
              </w:rPr>
              <w:t>Heading 1 to 6</w:t>
            </w:r>
          </w:p>
        </w:tc>
        <w:tc>
          <w:tcPr>
            <w:tcW w:w="471" w:type="pct"/>
            <w:gridSpan w:val="3"/>
            <w:tcBorders>
              <w:top w:val="nil"/>
              <w:left w:val="nil"/>
              <w:bottom w:val="nil"/>
              <w:right w:val="single" w:sz="8" w:space="0" w:color="auto"/>
            </w:tcBorders>
            <w:shd w:val="clear" w:color="auto" w:fill="auto"/>
            <w:vAlign w:val="center"/>
            <w:hideMark/>
          </w:tcPr>
          <w:p w14:paraId="75D112AD" w14:textId="77777777" w:rsidR="00A56747" w:rsidRPr="003268F2" w:rsidRDefault="00A56747" w:rsidP="004B53CC">
            <w:pPr>
              <w:spacing w:before="0" w:after="0"/>
              <w:rPr>
                <w:noProof/>
                <w:color w:val="000000"/>
                <w:sz w:val="18"/>
                <w:szCs w:val="18"/>
                <w:lang w:val="en-IE" w:eastAsia="en-IE"/>
              </w:rPr>
            </w:pPr>
            <w:r w:rsidRPr="003268F2">
              <w:rPr>
                <w:noProof/>
                <w:color w:val="000000"/>
                <w:sz w:val="18"/>
                <w:szCs w:val="18"/>
                <w:lang w:val="en-IE" w:eastAsia="en-IE"/>
              </w:rPr>
              <w:t>Commitments</w:t>
            </w:r>
          </w:p>
        </w:tc>
        <w:tc>
          <w:tcPr>
            <w:tcW w:w="731" w:type="pct"/>
            <w:gridSpan w:val="4"/>
            <w:tcBorders>
              <w:top w:val="single" w:sz="8" w:space="0" w:color="auto"/>
              <w:left w:val="nil"/>
              <w:bottom w:val="nil"/>
              <w:right w:val="single" w:sz="8" w:space="0" w:color="000000" w:themeColor="text1"/>
            </w:tcBorders>
            <w:shd w:val="clear" w:color="auto" w:fill="auto"/>
            <w:vAlign w:val="center"/>
            <w:hideMark/>
          </w:tcPr>
          <w:p w14:paraId="70C679E5" w14:textId="77777777" w:rsidR="00A56747" w:rsidRPr="003268F2" w:rsidRDefault="00A56747" w:rsidP="004B53CC">
            <w:pPr>
              <w:spacing w:before="0" w:after="0"/>
              <w:jc w:val="center"/>
              <w:rPr>
                <w:noProof/>
                <w:color w:val="000000"/>
                <w:sz w:val="14"/>
                <w:szCs w:val="14"/>
                <w:lang w:val="en-IE" w:eastAsia="en-IE"/>
              </w:rPr>
            </w:pPr>
            <w:r w:rsidRPr="003268F2">
              <w:rPr>
                <w:noProof/>
                <w:color w:val="000000"/>
                <w:sz w:val="14"/>
                <w:szCs w:val="14"/>
                <w:lang w:val="en-IE" w:eastAsia="en-IE"/>
              </w:rPr>
              <w:t>=4+6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93F3A8F"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9B636DF"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3E63E852" w14:textId="77777777" w:rsidR="00A56747" w:rsidRPr="003268F2" w:rsidRDefault="00262E62" w:rsidP="004B53CC">
            <w:pPr>
              <w:spacing w:before="0" w:after="0"/>
              <w:jc w:val="right"/>
              <w:rPr>
                <w:b/>
                <w:bCs/>
                <w:noProof/>
                <w:color w:val="000000"/>
                <w:sz w:val="20"/>
                <w:szCs w:val="20"/>
                <w:lang w:val="en-IE" w:eastAsia="en-IE"/>
              </w:rPr>
            </w:pPr>
            <w:r>
              <w:rPr>
                <w:b/>
                <w:bCs/>
                <w:noProof/>
                <w:color w:val="000000"/>
                <w:sz w:val="20"/>
                <w:szCs w:val="20"/>
                <w:lang w:val="en-IE" w:eastAsia="en-IE"/>
              </w:rPr>
              <w:t xml:space="preserve"> </w:t>
            </w:r>
            <w:r w:rsidR="00A56747" w:rsidRPr="003268F2">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9D46D6E"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0576CE0F"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A56747" w:rsidRPr="003268F2" w14:paraId="6928E44F" w14:textId="77777777" w:rsidTr="5735739A">
        <w:trPr>
          <w:trHeight w:val="588"/>
        </w:trPr>
        <w:tc>
          <w:tcPr>
            <w:tcW w:w="1522" w:type="pct"/>
            <w:gridSpan w:val="3"/>
            <w:tcBorders>
              <w:top w:val="nil"/>
              <w:left w:val="single" w:sz="8" w:space="0" w:color="auto"/>
              <w:bottom w:val="single" w:sz="8" w:space="0" w:color="auto"/>
              <w:right w:val="single" w:sz="8" w:space="0" w:color="auto"/>
            </w:tcBorders>
            <w:shd w:val="clear" w:color="auto" w:fill="F1F1F1"/>
            <w:vAlign w:val="center"/>
            <w:hideMark/>
          </w:tcPr>
          <w:p w14:paraId="5C43A29C"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of the multiannual financial framework</w:t>
            </w:r>
            <w:r w:rsidRPr="003268F2">
              <w:rPr>
                <w:noProof/>
                <w:color w:val="000000"/>
                <w:sz w:val="20"/>
                <w:szCs w:val="20"/>
                <w:lang w:val="en-IE" w:eastAsia="en-IE"/>
              </w:rPr>
              <w:br/>
              <w:t>(Reference amount)</w:t>
            </w:r>
          </w:p>
        </w:tc>
        <w:tc>
          <w:tcPr>
            <w:tcW w:w="471" w:type="pct"/>
            <w:gridSpan w:val="3"/>
            <w:tcBorders>
              <w:top w:val="nil"/>
              <w:left w:val="nil"/>
              <w:bottom w:val="single" w:sz="8" w:space="0" w:color="auto"/>
              <w:right w:val="single" w:sz="8" w:space="0" w:color="auto"/>
            </w:tcBorders>
            <w:shd w:val="clear" w:color="auto" w:fill="auto"/>
            <w:vAlign w:val="center"/>
            <w:hideMark/>
          </w:tcPr>
          <w:p w14:paraId="29C224FF" w14:textId="77777777" w:rsidR="00A56747" w:rsidRPr="003268F2" w:rsidRDefault="00A56747" w:rsidP="004B53CC">
            <w:pPr>
              <w:spacing w:before="0" w:after="0"/>
              <w:rPr>
                <w:noProof/>
                <w:color w:val="000000"/>
                <w:sz w:val="18"/>
                <w:szCs w:val="18"/>
                <w:lang w:val="en-IE" w:eastAsia="en-IE"/>
              </w:rPr>
            </w:pPr>
            <w:r w:rsidRPr="003268F2">
              <w:rPr>
                <w:noProof/>
                <w:color w:val="000000"/>
                <w:sz w:val="18"/>
                <w:szCs w:val="18"/>
                <w:lang w:val="en-IE" w:eastAsia="en-IE"/>
              </w:rPr>
              <w:t>Payments</w:t>
            </w:r>
          </w:p>
        </w:tc>
        <w:tc>
          <w:tcPr>
            <w:tcW w:w="731" w:type="pct"/>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18121AD0" w14:textId="77777777" w:rsidR="00A56747" w:rsidRPr="003268F2" w:rsidRDefault="00A56747" w:rsidP="004B53CC">
            <w:pPr>
              <w:spacing w:before="0" w:after="0"/>
              <w:jc w:val="center"/>
              <w:rPr>
                <w:noProof/>
                <w:color w:val="000000"/>
                <w:sz w:val="14"/>
                <w:szCs w:val="14"/>
                <w:lang w:val="en-IE" w:eastAsia="en-IE"/>
              </w:rPr>
            </w:pPr>
            <w:r w:rsidRPr="003268F2">
              <w:rPr>
                <w:noProof/>
                <w:color w:val="000000"/>
                <w:sz w:val="14"/>
                <w:szCs w:val="14"/>
                <w:lang w:val="en-IE" w:eastAsia="en-IE"/>
              </w:rPr>
              <w:t>=5+6</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099B5EAE"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88BE6C5"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A20D7D4" w14:textId="77777777" w:rsidR="00A56747" w:rsidRPr="003268F2" w:rsidRDefault="55575D98" w:rsidP="004B53CC">
            <w:pPr>
              <w:spacing w:before="0" w:after="0"/>
              <w:jc w:val="right"/>
              <w:rPr>
                <w:b/>
                <w:bCs/>
                <w:noProof/>
                <w:color w:val="000000"/>
                <w:sz w:val="20"/>
                <w:szCs w:val="20"/>
                <w:lang w:val="en-IE" w:eastAsia="en-IE"/>
              </w:rPr>
            </w:pPr>
            <w:r w:rsidRPr="6DC0ECE3">
              <w:rPr>
                <w:b/>
                <w:bCs/>
                <w:noProof/>
                <w:color w:val="000000" w:themeColor="text1"/>
                <w:sz w:val="20"/>
                <w:szCs w:val="20"/>
                <w:lang w:val="en-IE" w:eastAsia="en-IE"/>
              </w:rPr>
              <w:t>[</w:t>
            </w:r>
            <w:r w:rsidR="25C906AF" w:rsidRPr="6DC0ECE3">
              <w:rPr>
                <w:b/>
                <w:bCs/>
                <w:noProof/>
                <w:color w:val="000000" w:themeColor="text1"/>
                <w:sz w:val="20"/>
                <w:szCs w:val="20"/>
                <w:lang w:val="en-IE" w:eastAsia="en-IE"/>
              </w:rPr>
              <w:t>3</w:t>
            </w:r>
            <w:r w:rsidR="6F5DA862" w:rsidRPr="6DC0ECE3">
              <w:rPr>
                <w:b/>
                <w:bCs/>
                <w:noProof/>
                <w:color w:val="000000" w:themeColor="text1"/>
                <w:sz w:val="20"/>
                <w:szCs w:val="20"/>
                <w:lang w:val="en-IE" w:eastAsia="en-IE"/>
              </w:rPr>
              <w:t xml:space="preserve"> </w:t>
            </w:r>
            <w:r w:rsidR="6DD243F6" w:rsidRPr="6DC0ECE3">
              <w:rPr>
                <w:b/>
                <w:bCs/>
                <w:noProof/>
                <w:color w:val="000000" w:themeColor="text1"/>
                <w:sz w:val="20"/>
                <w:szCs w:val="20"/>
                <w:lang w:val="en-IE" w:eastAsia="en-IE"/>
              </w:rPr>
              <w:t>6</w:t>
            </w:r>
            <w:r w:rsidR="6F5DA862" w:rsidRPr="6DC0ECE3">
              <w:rPr>
                <w:b/>
                <w:bCs/>
                <w:noProof/>
                <w:color w:val="000000" w:themeColor="text1"/>
                <w:sz w:val="20"/>
                <w:szCs w:val="20"/>
                <w:lang w:val="en-IE" w:eastAsia="en-IE"/>
              </w:rPr>
              <w:t>00.000</w:t>
            </w:r>
            <w:r w:rsidR="1273E47E" w:rsidRPr="6DC0ECE3">
              <w:rPr>
                <w:b/>
                <w:bCs/>
                <w:noProof/>
                <w:color w:val="000000" w:themeColor="text1"/>
                <w:sz w:val="20"/>
                <w:szCs w:val="20"/>
                <w:lang w:val="en-IE" w:eastAsia="en-IE"/>
              </w:rPr>
              <w:t>]</w:t>
            </w:r>
          </w:p>
        </w:tc>
        <w:tc>
          <w:tcPr>
            <w:tcW w:w="437"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904A5B2" w14:textId="77777777" w:rsidR="00A56747" w:rsidRPr="003268F2" w:rsidRDefault="00991ABF" w:rsidP="004B53CC">
            <w:pPr>
              <w:spacing w:before="0" w:after="0"/>
              <w:jc w:val="right"/>
              <w:rPr>
                <w:b/>
                <w:bCs/>
                <w:noProof/>
                <w:color w:val="000000"/>
                <w:sz w:val="20"/>
                <w:szCs w:val="20"/>
                <w:lang w:val="en-IE" w:eastAsia="en-IE"/>
              </w:rPr>
            </w:pPr>
            <w:r>
              <w:rPr>
                <w:b/>
                <w:bCs/>
                <w:noProof/>
                <w:color w:val="000000" w:themeColor="text1"/>
                <w:sz w:val="20"/>
                <w:szCs w:val="20"/>
                <w:lang w:val="en-IE" w:eastAsia="en-IE"/>
              </w:rPr>
              <w:t>[</w:t>
            </w:r>
            <w:r w:rsidR="00A56747" w:rsidRPr="5735739A">
              <w:rPr>
                <w:b/>
                <w:bCs/>
                <w:noProof/>
                <w:color w:val="000000" w:themeColor="text1"/>
                <w:sz w:val="20"/>
                <w:szCs w:val="20"/>
                <w:lang w:val="en-IE" w:eastAsia="en-IE"/>
              </w:rPr>
              <w:t>-</w:t>
            </w:r>
            <w:r w:rsidR="694B1468" w:rsidRPr="6DC0ECE3">
              <w:rPr>
                <w:b/>
                <w:bCs/>
                <w:noProof/>
                <w:color w:val="000000" w:themeColor="text1"/>
                <w:sz w:val="20"/>
                <w:szCs w:val="20"/>
                <w:lang w:val="en-IE" w:eastAsia="en-IE"/>
              </w:rPr>
              <w:t>3</w:t>
            </w:r>
            <w:r w:rsidR="6F5DA862" w:rsidRPr="6DC0ECE3">
              <w:rPr>
                <w:b/>
                <w:bCs/>
                <w:noProof/>
                <w:color w:val="000000" w:themeColor="text1"/>
                <w:sz w:val="20"/>
                <w:szCs w:val="20"/>
                <w:lang w:val="en-IE" w:eastAsia="en-IE"/>
              </w:rPr>
              <w:t xml:space="preserve"> </w:t>
            </w:r>
            <w:r w:rsidR="20CC45FC" w:rsidRPr="6DC0ECE3">
              <w:rPr>
                <w:b/>
                <w:bCs/>
                <w:noProof/>
                <w:color w:val="000000" w:themeColor="text1"/>
                <w:sz w:val="20"/>
                <w:szCs w:val="20"/>
                <w:lang w:val="en-IE" w:eastAsia="en-IE"/>
              </w:rPr>
              <w:t>6</w:t>
            </w:r>
            <w:r w:rsidR="00A56747" w:rsidRPr="5735739A">
              <w:rPr>
                <w:b/>
                <w:bCs/>
                <w:noProof/>
                <w:color w:val="000000" w:themeColor="text1"/>
                <w:sz w:val="20"/>
                <w:szCs w:val="20"/>
                <w:lang w:val="en-IE" w:eastAsia="en-IE"/>
              </w:rPr>
              <w:t>00.000</w:t>
            </w:r>
            <w:r>
              <w:rPr>
                <w:b/>
                <w:bCs/>
                <w:noProof/>
                <w:color w:val="000000" w:themeColor="text1"/>
                <w:sz w:val="20"/>
                <w:szCs w:val="20"/>
                <w:lang w:val="en-IE" w:eastAsia="en-IE"/>
              </w:rPr>
              <w:t>]</w:t>
            </w:r>
          </w:p>
        </w:tc>
        <w:tc>
          <w:tcPr>
            <w:tcW w:w="529" w:type="pct"/>
            <w:tcBorders>
              <w:top w:val="nil"/>
              <w:left w:val="nil"/>
              <w:bottom w:val="single" w:sz="8" w:space="0" w:color="auto"/>
              <w:right w:val="single" w:sz="8" w:space="0" w:color="auto"/>
            </w:tcBorders>
            <w:shd w:val="clear" w:color="auto" w:fill="D9D9D9" w:themeFill="background1" w:themeFillShade="D9"/>
            <w:vAlign w:val="center"/>
            <w:hideMark/>
          </w:tcPr>
          <w:p w14:paraId="42559B05"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bl>
    <w:p w14:paraId="60CB8E34" w14:textId="77777777" w:rsidR="00A56747" w:rsidRDefault="009345A5" w:rsidP="00A56747">
      <w:pPr>
        <w:rPr>
          <w:noProof/>
        </w:rPr>
      </w:pPr>
      <w:r>
        <w:rPr>
          <w:noProof/>
        </w:rPr>
        <w:t>Based on t</w:t>
      </w:r>
      <w:r w:rsidR="00A56747" w:rsidRPr="0DC0506B">
        <w:rPr>
          <w:noProof/>
        </w:rPr>
        <w:t xml:space="preserve">he estimated </w:t>
      </w:r>
      <w:r>
        <w:rPr>
          <w:noProof/>
        </w:rPr>
        <w:t xml:space="preserve">uptake </w:t>
      </w:r>
      <w:r w:rsidR="00A56747" w:rsidRPr="0DC0506B">
        <w:rPr>
          <w:noProof/>
        </w:rPr>
        <w:t>of th</w:t>
      </w:r>
      <w:r>
        <w:rPr>
          <w:noProof/>
        </w:rPr>
        <w:t>e</w:t>
      </w:r>
      <w:r w:rsidR="00A56747" w:rsidRPr="0DC0506B">
        <w:rPr>
          <w:noProof/>
        </w:rPr>
        <w:t xml:space="preserve"> proposal</w:t>
      </w:r>
      <w:r>
        <w:rPr>
          <w:noProof/>
        </w:rPr>
        <w:t>,</w:t>
      </w:r>
      <w:r w:rsidR="00A56747" w:rsidRPr="0DC0506B">
        <w:rPr>
          <w:noProof/>
        </w:rPr>
        <w:t xml:space="preserve"> </w:t>
      </w:r>
      <w:r>
        <w:rPr>
          <w:noProof/>
        </w:rPr>
        <w:t>the total</w:t>
      </w:r>
      <w:r w:rsidR="00A56747" w:rsidRPr="0DC0506B">
        <w:rPr>
          <w:noProof/>
        </w:rPr>
        <w:t xml:space="preserve"> additional pre-financing to be paid in 2026</w:t>
      </w:r>
      <w:r>
        <w:rPr>
          <w:noProof/>
        </w:rPr>
        <w:t xml:space="preserve"> amounts to </w:t>
      </w:r>
      <w:r>
        <w:rPr>
          <w:b/>
          <w:bCs/>
          <w:noProof/>
        </w:rPr>
        <w:t>EUR [16.1 billion]</w:t>
      </w:r>
      <w:r w:rsidR="00A56747" w:rsidRPr="0DC0506B">
        <w:rPr>
          <w:noProof/>
        </w:rPr>
        <w:t xml:space="preserve">. </w:t>
      </w:r>
      <w:r>
        <w:rPr>
          <w:noProof/>
        </w:rPr>
        <w:t>At the same time, taking into account payment forecasts and implementation shifts, t</w:t>
      </w:r>
      <w:r w:rsidR="4573128B" w:rsidRPr="0DC0506B">
        <w:rPr>
          <w:noProof/>
        </w:rPr>
        <w:t xml:space="preserve">he </w:t>
      </w:r>
      <w:r w:rsidR="4573128B" w:rsidRPr="00FF1EF4">
        <w:rPr>
          <w:noProof/>
        </w:rPr>
        <w:t xml:space="preserve">net budgetary impact </w:t>
      </w:r>
      <w:r>
        <w:rPr>
          <w:noProof/>
        </w:rPr>
        <w:t>is estimated at</w:t>
      </w:r>
      <w:r w:rsidR="4573128B" w:rsidRPr="00FF1EF4">
        <w:rPr>
          <w:noProof/>
        </w:rPr>
        <w:t xml:space="preserve"> EUR </w:t>
      </w:r>
      <w:r w:rsidR="4A77BCE0" w:rsidRPr="0DC0506B">
        <w:rPr>
          <w:noProof/>
        </w:rPr>
        <w:t>[3.6]</w:t>
      </w:r>
      <w:r w:rsidR="4573128B" w:rsidRPr="00FF1EF4">
        <w:rPr>
          <w:noProof/>
        </w:rPr>
        <w:t xml:space="preserve"> billion</w:t>
      </w:r>
      <w:r>
        <w:rPr>
          <w:noProof/>
        </w:rPr>
        <w:t>,</w:t>
      </w:r>
      <w:r w:rsidR="4573128B" w:rsidRPr="0DC0506B">
        <w:rPr>
          <w:noProof/>
        </w:rPr>
        <w:t xml:space="preserve"> </w:t>
      </w:r>
      <w:r>
        <w:rPr>
          <w:noProof/>
        </w:rPr>
        <w:t>which</w:t>
      </w:r>
      <w:r w:rsidR="4573128B" w:rsidRPr="0DC0506B">
        <w:rPr>
          <w:noProof/>
        </w:rPr>
        <w:t xml:space="preserve"> will be included in the draft budget 2026. </w:t>
      </w:r>
      <w:r w:rsidR="00A56747" w:rsidRPr="0DC0506B">
        <w:rPr>
          <w:noProof/>
        </w:rPr>
        <w:t xml:space="preserve">The budgetary impact is budgetary neutral over the MFF duration. </w:t>
      </w:r>
    </w:p>
    <w:p w14:paraId="7C1B431E" w14:textId="77777777" w:rsidR="00A56747" w:rsidRDefault="00A56747" w:rsidP="00A56747">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45"/>
        <w:gridCol w:w="1126"/>
        <w:gridCol w:w="1274"/>
        <w:gridCol w:w="637"/>
        <w:gridCol w:w="640"/>
        <w:gridCol w:w="1069"/>
        <w:gridCol w:w="1069"/>
        <w:gridCol w:w="1069"/>
        <w:gridCol w:w="1069"/>
        <w:gridCol w:w="1320"/>
      </w:tblGrid>
      <w:tr w:rsidR="00A56747" w14:paraId="66FB8B79" w14:textId="77777777" w:rsidTr="00FF1EF4">
        <w:trPr>
          <w:jc w:val="center"/>
        </w:trPr>
        <w:tc>
          <w:tcPr>
            <w:tcW w:w="1739" w:type="pct"/>
            <w:gridSpan w:val="2"/>
            <w:shd w:val="clear" w:color="auto" w:fill="auto"/>
            <w:vAlign w:val="center"/>
          </w:tcPr>
          <w:p w14:paraId="3CEADB1F" w14:textId="77777777" w:rsidR="00A56747" w:rsidRPr="003A769F" w:rsidRDefault="00A56747" w:rsidP="004B53CC">
            <w:pPr>
              <w:spacing w:before="60" w:after="60"/>
              <w:jc w:val="center"/>
              <w:rPr>
                <w:b/>
                <w:noProof/>
                <w:lang w:val="en-IE"/>
              </w:rPr>
            </w:pPr>
            <w:r w:rsidRPr="003A769F">
              <w:rPr>
                <w:noProof/>
                <w:sz w:val="22"/>
                <w:lang w:val="en-IE"/>
              </w:rPr>
              <w:br w:type="page"/>
            </w:r>
            <w:r w:rsidRPr="003A769F">
              <w:rPr>
                <w:b/>
                <w:noProof/>
                <w:sz w:val="22"/>
                <w:lang w:val="en-IE"/>
              </w:rPr>
              <w:t xml:space="preserve">Heading of multiannual financial </w:t>
            </w:r>
            <w:r>
              <w:rPr>
                <w:b/>
                <w:noProof/>
                <w:sz w:val="22"/>
                <w:lang w:val="en-IE"/>
              </w:rPr>
              <w:t xml:space="preserve"> </w:t>
            </w:r>
            <w:r w:rsidRPr="003A769F">
              <w:rPr>
                <w:b/>
                <w:noProof/>
                <w:sz w:val="22"/>
                <w:lang w:val="en-IE"/>
              </w:rPr>
              <w:t xml:space="preserve">framework </w:t>
            </w:r>
          </w:p>
        </w:tc>
        <w:tc>
          <w:tcPr>
            <w:tcW w:w="396" w:type="pct"/>
            <w:shd w:val="clear" w:color="auto" w:fill="auto"/>
            <w:vAlign w:val="center"/>
          </w:tcPr>
          <w:p w14:paraId="18E50C9B" w14:textId="77777777" w:rsidR="00A56747" w:rsidRDefault="00A56747" w:rsidP="004B53CC">
            <w:pPr>
              <w:spacing w:before="60" w:after="60"/>
              <w:jc w:val="center"/>
              <w:rPr>
                <w:noProof/>
              </w:rPr>
            </w:pPr>
            <w:r>
              <w:rPr>
                <w:b/>
                <w:noProof/>
                <w:sz w:val="22"/>
              </w:rPr>
              <w:t>7</w:t>
            </w:r>
          </w:p>
        </w:tc>
        <w:tc>
          <w:tcPr>
            <w:tcW w:w="2865" w:type="pct"/>
            <w:gridSpan w:val="8"/>
            <w:vAlign w:val="center"/>
          </w:tcPr>
          <w:p w14:paraId="26214FB5" w14:textId="77777777" w:rsidR="00A56747" w:rsidRDefault="00A56747" w:rsidP="004B53CC">
            <w:pPr>
              <w:spacing w:before="60" w:after="60"/>
              <w:rPr>
                <w:noProof/>
              </w:rPr>
            </w:pPr>
            <w:r w:rsidRPr="4D8CB314">
              <w:rPr>
                <w:noProof/>
                <w:sz w:val="22"/>
              </w:rPr>
              <w:t>‘Administrative expenditure’</w:t>
            </w:r>
            <w:r w:rsidRPr="4D8CB314">
              <w:rPr>
                <w:rStyle w:val="FootnoteReference"/>
                <w:noProof/>
                <w:sz w:val="22"/>
              </w:rPr>
              <w:footnoteReference w:id="15"/>
            </w:r>
          </w:p>
        </w:tc>
      </w:tr>
      <w:tr w:rsidR="003100E7" w:rsidRPr="003268F2" w14:paraId="01C7ADF1"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228E0D" w14:textId="77777777" w:rsidR="00A56747" w:rsidRPr="003268F2" w:rsidRDefault="00A56747" w:rsidP="004B53CC">
            <w:pPr>
              <w:spacing w:before="0" w:after="0"/>
              <w:jc w:val="center"/>
              <w:rPr>
                <w:noProof/>
                <w:color w:val="000000"/>
                <w:szCs w:val="24"/>
                <w:lang w:val="en-IE" w:eastAsia="en-IE"/>
              </w:rPr>
            </w:pPr>
            <w:r w:rsidRPr="003268F2">
              <w:rPr>
                <w:noProof/>
                <w:color w:val="000000"/>
                <w:szCs w:val="24"/>
                <w:lang w:val="en-IE" w:eastAsia="en-IE"/>
              </w:rPr>
              <w:t>DG: &lt;…….&gt;</w:t>
            </w:r>
          </w:p>
        </w:tc>
        <w:tc>
          <w:tcPr>
            <w:tcW w:w="376" w:type="pct"/>
            <w:tcBorders>
              <w:top w:val="single" w:sz="8" w:space="0" w:color="auto"/>
              <w:left w:val="nil"/>
              <w:bottom w:val="nil"/>
              <w:right w:val="single" w:sz="8" w:space="0" w:color="auto"/>
            </w:tcBorders>
            <w:shd w:val="clear" w:color="auto" w:fill="auto"/>
            <w:vAlign w:val="center"/>
            <w:hideMark/>
          </w:tcPr>
          <w:p w14:paraId="57B0748B"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14:paraId="2773E0F3"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14:paraId="238985B3"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14:paraId="6DDAD913"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C69ED1"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TOTAL MFF</w:t>
            </w:r>
            <w:r>
              <w:rPr>
                <w:b/>
                <w:bCs/>
                <w:noProof/>
                <w:color w:val="000000"/>
                <w:sz w:val="20"/>
                <w:szCs w:val="20"/>
                <w:lang w:val="en-IE" w:eastAsia="en-IE"/>
              </w:rPr>
              <w:t xml:space="preserve"> </w:t>
            </w:r>
            <w:r w:rsidRPr="003268F2">
              <w:rPr>
                <w:b/>
                <w:bCs/>
                <w:noProof/>
                <w:color w:val="000000"/>
                <w:sz w:val="20"/>
                <w:szCs w:val="20"/>
                <w:lang w:val="en-IE" w:eastAsia="en-IE"/>
              </w:rPr>
              <w:t>2021-2027</w:t>
            </w:r>
          </w:p>
        </w:tc>
      </w:tr>
      <w:tr w:rsidR="00A56747" w:rsidRPr="003268F2" w14:paraId="0847A003" w14:textId="77777777" w:rsidTr="00FF1E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6468AD52" w14:textId="77777777" w:rsidR="00A56747" w:rsidRPr="003268F2" w:rsidRDefault="00A56747" w:rsidP="004B53CC">
            <w:pPr>
              <w:spacing w:before="0" w:after="0"/>
              <w:jc w:val="left"/>
              <w:rPr>
                <w:noProof/>
                <w:color w:val="000000"/>
                <w:szCs w:val="24"/>
                <w:lang w:val="en-IE" w:eastAsia="en-IE"/>
              </w:rPr>
            </w:pPr>
          </w:p>
        </w:tc>
        <w:tc>
          <w:tcPr>
            <w:tcW w:w="376" w:type="pct"/>
            <w:tcBorders>
              <w:top w:val="nil"/>
              <w:left w:val="nil"/>
              <w:bottom w:val="single" w:sz="8" w:space="0" w:color="auto"/>
              <w:right w:val="single" w:sz="8" w:space="0" w:color="auto"/>
            </w:tcBorders>
            <w:shd w:val="clear" w:color="auto" w:fill="auto"/>
            <w:vAlign w:val="center"/>
            <w:hideMark/>
          </w:tcPr>
          <w:p w14:paraId="1ECE1A87"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2024</w:t>
            </w:r>
          </w:p>
        </w:tc>
        <w:tc>
          <w:tcPr>
            <w:tcW w:w="376" w:type="pct"/>
            <w:tcBorders>
              <w:top w:val="nil"/>
              <w:left w:val="nil"/>
              <w:bottom w:val="single" w:sz="8" w:space="0" w:color="auto"/>
              <w:right w:val="single" w:sz="8" w:space="0" w:color="auto"/>
            </w:tcBorders>
            <w:shd w:val="clear" w:color="auto" w:fill="auto"/>
            <w:vAlign w:val="center"/>
            <w:hideMark/>
          </w:tcPr>
          <w:p w14:paraId="63DC818F"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2025</w:t>
            </w:r>
          </w:p>
        </w:tc>
        <w:tc>
          <w:tcPr>
            <w:tcW w:w="376" w:type="pct"/>
            <w:tcBorders>
              <w:top w:val="nil"/>
              <w:left w:val="nil"/>
              <w:bottom w:val="single" w:sz="8" w:space="0" w:color="auto"/>
              <w:right w:val="single" w:sz="8" w:space="0" w:color="auto"/>
            </w:tcBorders>
            <w:shd w:val="clear" w:color="auto" w:fill="auto"/>
            <w:vAlign w:val="center"/>
            <w:hideMark/>
          </w:tcPr>
          <w:p w14:paraId="1D6346F5"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2026</w:t>
            </w:r>
          </w:p>
        </w:tc>
        <w:tc>
          <w:tcPr>
            <w:tcW w:w="376" w:type="pct"/>
            <w:tcBorders>
              <w:top w:val="nil"/>
              <w:left w:val="nil"/>
              <w:bottom w:val="single" w:sz="8" w:space="0" w:color="auto"/>
              <w:right w:val="single" w:sz="8" w:space="0" w:color="auto"/>
            </w:tcBorders>
            <w:shd w:val="clear" w:color="auto" w:fill="auto"/>
            <w:vAlign w:val="center"/>
            <w:hideMark/>
          </w:tcPr>
          <w:p w14:paraId="04A5F016"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6CF82F9E" w14:textId="77777777" w:rsidR="00A56747" w:rsidRPr="003268F2" w:rsidRDefault="00A56747" w:rsidP="004B53CC">
            <w:pPr>
              <w:spacing w:before="0" w:after="0"/>
              <w:jc w:val="left"/>
              <w:rPr>
                <w:b/>
                <w:bCs/>
                <w:noProof/>
                <w:color w:val="000000"/>
                <w:sz w:val="20"/>
                <w:szCs w:val="20"/>
                <w:lang w:val="en-IE" w:eastAsia="en-IE"/>
              </w:rPr>
            </w:pPr>
          </w:p>
        </w:tc>
      </w:tr>
      <w:tr w:rsidR="003100E7" w:rsidRPr="003268F2" w14:paraId="179FAA7E"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ED23DE0" w14:textId="77777777" w:rsidR="00A56747" w:rsidRPr="003268F2" w:rsidRDefault="00A56747" w:rsidP="004B53CC">
            <w:pPr>
              <w:spacing w:before="0" w:after="0"/>
              <w:jc w:val="left"/>
              <w:rPr>
                <w:rFonts w:ascii="Wingdings" w:hAnsi="Wingdings" w:cs="Calibri"/>
                <w:noProof/>
                <w:color w:val="000000"/>
                <w:sz w:val="22"/>
                <w:lang w:val="en-IE" w:eastAsia="en-IE"/>
              </w:rPr>
            </w:pPr>
            <w:r w:rsidRPr="003268F2">
              <w:rPr>
                <w:rFonts w:ascii="Wingdings" w:hAnsi="Wingdings" w:cs="Calibri"/>
                <w:noProof/>
                <w:color w:val="000000"/>
                <w:sz w:val="22"/>
                <w:lang w:val="en-IE" w:eastAsia="en-IE"/>
              </w:rPr>
              <w:t></w:t>
            </w:r>
            <w:r w:rsidRPr="003268F2">
              <w:rPr>
                <w:noProof/>
                <w:color w:val="000000"/>
                <w:sz w:val="22"/>
                <w:lang w:val="en-IE" w:eastAsia="en-IE"/>
              </w:rPr>
              <w:t xml:space="preserve"> Human resources </w:t>
            </w:r>
          </w:p>
        </w:tc>
        <w:tc>
          <w:tcPr>
            <w:tcW w:w="376" w:type="pct"/>
            <w:tcBorders>
              <w:top w:val="nil"/>
              <w:left w:val="nil"/>
              <w:bottom w:val="single" w:sz="8" w:space="0" w:color="auto"/>
              <w:right w:val="single" w:sz="8" w:space="0" w:color="auto"/>
            </w:tcBorders>
            <w:shd w:val="clear" w:color="000000" w:fill="D9D9D9"/>
            <w:vAlign w:val="center"/>
            <w:hideMark/>
          </w:tcPr>
          <w:p w14:paraId="229C895A"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6A4E0667"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4E588CE9"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3622AB46"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14:paraId="6B117418"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3100E7" w:rsidRPr="003268F2" w14:paraId="315C15D6"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35C5B4B" w14:textId="77777777" w:rsidR="00A56747" w:rsidRPr="003268F2" w:rsidRDefault="00A56747" w:rsidP="004B53CC">
            <w:pPr>
              <w:spacing w:before="0" w:after="0"/>
              <w:jc w:val="left"/>
              <w:rPr>
                <w:rFonts w:ascii="Wingdings" w:hAnsi="Wingdings" w:cs="Calibri"/>
                <w:noProof/>
                <w:color w:val="000000"/>
                <w:sz w:val="22"/>
                <w:lang w:val="en-IE" w:eastAsia="en-IE"/>
              </w:rPr>
            </w:pPr>
            <w:r w:rsidRPr="003268F2">
              <w:rPr>
                <w:rFonts w:ascii="Wingdings" w:hAnsi="Wingdings" w:cs="Calibri"/>
                <w:noProof/>
                <w:color w:val="000000"/>
                <w:sz w:val="22"/>
                <w:lang w:val="en-IE" w:eastAsia="en-IE"/>
              </w:rPr>
              <w:t></w:t>
            </w:r>
            <w:r w:rsidRPr="003268F2">
              <w:rPr>
                <w:noProof/>
                <w:color w:val="000000"/>
                <w:sz w:val="22"/>
                <w:lang w:val="en-IE" w:eastAsia="en-IE"/>
              </w:rPr>
              <w:t xml:space="preserve"> Other administrative expenditure </w:t>
            </w:r>
          </w:p>
        </w:tc>
        <w:tc>
          <w:tcPr>
            <w:tcW w:w="376" w:type="pct"/>
            <w:tcBorders>
              <w:top w:val="nil"/>
              <w:left w:val="nil"/>
              <w:bottom w:val="single" w:sz="8" w:space="0" w:color="auto"/>
              <w:right w:val="single" w:sz="8" w:space="0" w:color="auto"/>
            </w:tcBorders>
            <w:shd w:val="clear" w:color="000000" w:fill="D9D9D9"/>
            <w:vAlign w:val="center"/>
            <w:hideMark/>
          </w:tcPr>
          <w:p w14:paraId="69273CF0"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2159A439"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06FDDACE"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53BFB7DF"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14:paraId="7CFDD833"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3100E7" w:rsidRPr="003268F2" w14:paraId="5CE6B58D"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14:paraId="34BE8F94" w14:textId="77777777" w:rsidR="00A56747" w:rsidRPr="003268F2" w:rsidRDefault="00A56747" w:rsidP="004B53CC">
            <w:pPr>
              <w:spacing w:before="0" w:after="0"/>
              <w:jc w:val="center"/>
              <w:rPr>
                <w:b/>
                <w:bCs/>
                <w:noProof/>
                <w:color w:val="000000"/>
                <w:sz w:val="22"/>
                <w:lang w:val="en-IE" w:eastAsia="en-IE"/>
              </w:rPr>
            </w:pPr>
            <w:r w:rsidRPr="003268F2">
              <w:rPr>
                <w:b/>
                <w:bCs/>
                <w:noProof/>
                <w:color w:val="000000"/>
                <w:sz w:val="22"/>
                <w:lang w:val="en-IE" w:eastAsia="en-IE"/>
              </w:rPr>
              <w:t xml:space="preserve">TOTAL DG </w:t>
            </w:r>
            <w:r w:rsidRPr="003268F2">
              <w:rPr>
                <w:noProof/>
                <w:color w:val="000000"/>
                <w:sz w:val="22"/>
                <w:lang w:val="en-IE" w:eastAsia="en-IE"/>
              </w:rPr>
              <w:t>&lt;…….&gt;</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14:paraId="0D96FCA2" w14:textId="77777777" w:rsidR="00A56747" w:rsidRPr="003268F2" w:rsidRDefault="00A56747" w:rsidP="004B53CC">
            <w:pPr>
              <w:spacing w:before="0" w:after="0"/>
              <w:jc w:val="left"/>
              <w:rPr>
                <w:noProof/>
                <w:color w:val="000000"/>
                <w:sz w:val="18"/>
                <w:szCs w:val="18"/>
                <w:lang w:val="en-IE" w:eastAsia="en-IE"/>
              </w:rPr>
            </w:pPr>
            <w:r w:rsidRPr="003268F2">
              <w:rPr>
                <w:noProof/>
                <w:color w:val="000000"/>
                <w:sz w:val="18"/>
                <w:szCs w:val="18"/>
                <w:lang w:val="en-IE" w:eastAsia="en-IE"/>
              </w:rPr>
              <w:t xml:space="preserve">Appropriations </w:t>
            </w:r>
          </w:p>
        </w:tc>
        <w:tc>
          <w:tcPr>
            <w:tcW w:w="376" w:type="pct"/>
            <w:tcBorders>
              <w:top w:val="nil"/>
              <w:left w:val="nil"/>
              <w:bottom w:val="single" w:sz="8" w:space="0" w:color="auto"/>
              <w:right w:val="single" w:sz="8" w:space="0" w:color="auto"/>
            </w:tcBorders>
            <w:shd w:val="clear" w:color="000000" w:fill="D9D9D9"/>
            <w:vAlign w:val="center"/>
            <w:hideMark/>
          </w:tcPr>
          <w:p w14:paraId="74667A7C"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1A75EAA0"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38B6AE1A"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5341FB34"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14:paraId="254ED8FA"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A56747" w:rsidRPr="003268F2" w14:paraId="759731F4" w14:textId="77777777" w:rsidTr="00FF1E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14:paraId="19CFCE0C" w14:textId="77777777" w:rsidR="00A56747" w:rsidRPr="003268F2" w:rsidRDefault="00A56747" w:rsidP="004B53CC">
            <w:pPr>
              <w:spacing w:before="0" w:after="0"/>
              <w:jc w:val="right"/>
              <w:rPr>
                <w:b/>
                <w:bCs/>
                <w:noProof/>
                <w:color w:val="000000"/>
                <w:sz w:val="20"/>
                <w:szCs w:val="20"/>
                <w:lang w:val="en-IE" w:eastAsia="en-IE"/>
              </w:rPr>
            </w:pPr>
          </w:p>
        </w:tc>
        <w:tc>
          <w:tcPr>
            <w:tcW w:w="929" w:type="pct"/>
            <w:gridSpan w:val="3"/>
            <w:tcBorders>
              <w:top w:val="nil"/>
              <w:left w:val="nil"/>
              <w:bottom w:val="nil"/>
              <w:right w:val="nil"/>
            </w:tcBorders>
            <w:shd w:val="clear" w:color="auto" w:fill="auto"/>
            <w:noWrap/>
            <w:vAlign w:val="bottom"/>
            <w:hideMark/>
          </w:tcPr>
          <w:p w14:paraId="54206472" w14:textId="77777777" w:rsidR="00A56747" w:rsidRPr="003268F2" w:rsidRDefault="00A56747" w:rsidP="004B53CC">
            <w:pPr>
              <w:spacing w:before="0" w:after="0"/>
              <w:jc w:val="left"/>
              <w:rPr>
                <w:noProof/>
                <w:sz w:val="20"/>
                <w:szCs w:val="20"/>
                <w:lang w:val="en-IE" w:eastAsia="en-IE"/>
              </w:rPr>
            </w:pPr>
          </w:p>
        </w:tc>
        <w:tc>
          <w:tcPr>
            <w:tcW w:w="224" w:type="pct"/>
            <w:tcBorders>
              <w:top w:val="nil"/>
              <w:left w:val="nil"/>
              <w:bottom w:val="nil"/>
              <w:right w:val="nil"/>
            </w:tcBorders>
            <w:shd w:val="clear" w:color="auto" w:fill="auto"/>
            <w:noWrap/>
            <w:vAlign w:val="bottom"/>
            <w:hideMark/>
          </w:tcPr>
          <w:p w14:paraId="79BA4B31" w14:textId="77777777" w:rsidR="00A56747" w:rsidRPr="003268F2" w:rsidRDefault="00A56747" w:rsidP="004B53CC">
            <w:pPr>
              <w:spacing w:before="0" w:after="0"/>
              <w:jc w:val="left"/>
              <w:rPr>
                <w:noProof/>
                <w:sz w:val="20"/>
                <w:szCs w:val="20"/>
                <w:lang w:val="en-IE" w:eastAsia="en-IE"/>
              </w:rPr>
            </w:pPr>
          </w:p>
        </w:tc>
        <w:tc>
          <w:tcPr>
            <w:tcW w:w="225" w:type="pct"/>
            <w:tcBorders>
              <w:top w:val="nil"/>
              <w:left w:val="nil"/>
              <w:bottom w:val="nil"/>
              <w:right w:val="nil"/>
            </w:tcBorders>
            <w:shd w:val="clear" w:color="auto" w:fill="auto"/>
            <w:noWrap/>
            <w:vAlign w:val="bottom"/>
            <w:hideMark/>
          </w:tcPr>
          <w:p w14:paraId="7AE39893"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08613053"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13878971"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51B06ABF"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77FC1227" w14:textId="77777777" w:rsidR="00A56747" w:rsidRPr="003268F2" w:rsidRDefault="00A56747" w:rsidP="004B53CC">
            <w:pPr>
              <w:spacing w:before="0" w:after="0"/>
              <w:jc w:val="left"/>
              <w:rPr>
                <w:noProof/>
                <w:sz w:val="20"/>
                <w:szCs w:val="20"/>
                <w:lang w:val="en-IE" w:eastAsia="en-IE"/>
              </w:rPr>
            </w:pPr>
          </w:p>
        </w:tc>
        <w:tc>
          <w:tcPr>
            <w:tcW w:w="465" w:type="pct"/>
            <w:tcBorders>
              <w:top w:val="nil"/>
              <w:left w:val="nil"/>
              <w:bottom w:val="nil"/>
              <w:right w:val="nil"/>
            </w:tcBorders>
            <w:shd w:val="clear" w:color="auto" w:fill="auto"/>
            <w:noWrap/>
            <w:vAlign w:val="bottom"/>
            <w:hideMark/>
          </w:tcPr>
          <w:p w14:paraId="1C514A2C" w14:textId="77777777" w:rsidR="00A56747" w:rsidRPr="003268F2" w:rsidRDefault="00A56747" w:rsidP="004B53CC">
            <w:pPr>
              <w:spacing w:before="0" w:after="0"/>
              <w:jc w:val="left"/>
              <w:rPr>
                <w:noProof/>
                <w:sz w:val="20"/>
                <w:szCs w:val="20"/>
                <w:lang w:val="en-IE" w:eastAsia="en-IE"/>
              </w:rPr>
            </w:pPr>
          </w:p>
        </w:tc>
      </w:tr>
      <w:tr w:rsidR="003100E7" w:rsidRPr="003268F2" w14:paraId="6FD75F48"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46451C8" w14:textId="77777777" w:rsidR="00A56747" w:rsidRPr="003268F2" w:rsidRDefault="00A56747" w:rsidP="004B53CC">
            <w:pPr>
              <w:spacing w:before="0" w:after="0"/>
              <w:jc w:val="center"/>
              <w:rPr>
                <w:noProof/>
                <w:color w:val="000000"/>
                <w:szCs w:val="24"/>
                <w:lang w:val="en-IE" w:eastAsia="en-IE"/>
              </w:rPr>
            </w:pPr>
            <w:r w:rsidRPr="003268F2">
              <w:rPr>
                <w:noProof/>
                <w:color w:val="000000"/>
                <w:szCs w:val="24"/>
                <w:lang w:val="en-IE" w:eastAsia="en-IE"/>
              </w:rPr>
              <w:t>DG: &lt;…….&gt;</w:t>
            </w:r>
          </w:p>
        </w:tc>
        <w:tc>
          <w:tcPr>
            <w:tcW w:w="376" w:type="pct"/>
            <w:tcBorders>
              <w:top w:val="single" w:sz="8" w:space="0" w:color="auto"/>
              <w:left w:val="nil"/>
              <w:bottom w:val="nil"/>
              <w:right w:val="single" w:sz="8" w:space="0" w:color="auto"/>
            </w:tcBorders>
            <w:shd w:val="clear" w:color="auto" w:fill="auto"/>
            <w:vAlign w:val="center"/>
            <w:hideMark/>
          </w:tcPr>
          <w:p w14:paraId="57A22E1C"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14:paraId="03CFDAD1"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14:paraId="580A33F4"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376" w:type="pct"/>
            <w:tcBorders>
              <w:top w:val="single" w:sz="8" w:space="0" w:color="auto"/>
              <w:left w:val="nil"/>
              <w:bottom w:val="nil"/>
              <w:right w:val="single" w:sz="8" w:space="0" w:color="auto"/>
            </w:tcBorders>
            <w:shd w:val="clear" w:color="auto" w:fill="auto"/>
            <w:vAlign w:val="center"/>
            <w:hideMark/>
          </w:tcPr>
          <w:p w14:paraId="1A78020B"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F310C7"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TOTAL MFF</w:t>
            </w:r>
            <w:r>
              <w:rPr>
                <w:b/>
                <w:bCs/>
                <w:noProof/>
                <w:color w:val="000000"/>
                <w:sz w:val="20"/>
                <w:szCs w:val="20"/>
                <w:lang w:val="en-IE" w:eastAsia="en-IE"/>
              </w:rPr>
              <w:t xml:space="preserve"> </w:t>
            </w:r>
            <w:r w:rsidRPr="003268F2">
              <w:rPr>
                <w:b/>
                <w:bCs/>
                <w:noProof/>
                <w:color w:val="000000"/>
                <w:sz w:val="20"/>
                <w:szCs w:val="20"/>
                <w:lang w:val="en-IE" w:eastAsia="en-IE"/>
              </w:rPr>
              <w:t>2021-2027</w:t>
            </w:r>
          </w:p>
        </w:tc>
      </w:tr>
      <w:tr w:rsidR="00A56747" w:rsidRPr="003268F2" w14:paraId="6EBF0DB4" w14:textId="77777777" w:rsidTr="00FF1E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346F47D1" w14:textId="77777777" w:rsidR="00A56747" w:rsidRPr="003268F2" w:rsidRDefault="00A56747" w:rsidP="004B53CC">
            <w:pPr>
              <w:spacing w:before="0" w:after="0"/>
              <w:jc w:val="left"/>
              <w:rPr>
                <w:noProof/>
                <w:color w:val="000000"/>
                <w:szCs w:val="24"/>
                <w:lang w:val="en-IE" w:eastAsia="en-IE"/>
              </w:rPr>
            </w:pPr>
          </w:p>
        </w:tc>
        <w:tc>
          <w:tcPr>
            <w:tcW w:w="376" w:type="pct"/>
            <w:tcBorders>
              <w:top w:val="nil"/>
              <w:left w:val="nil"/>
              <w:bottom w:val="single" w:sz="8" w:space="0" w:color="auto"/>
              <w:right w:val="single" w:sz="8" w:space="0" w:color="auto"/>
            </w:tcBorders>
            <w:shd w:val="clear" w:color="auto" w:fill="auto"/>
            <w:vAlign w:val="center"/>
            <w:hideMark/>
          </w:tcPr>
          <w:p w14:paraId="2C22DDBE"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2024</w:t>
            </w:r>
          </w:p>
        </w:tc>
        <w:tc>
          <w:tcPr>
            <w:tcW w:w="376" w:type="pct"/>
            <w:tcBorders>
              <w:top w:val="nil"/>
              <w:left w:val="nil"/>
              <w:bottom w:val="single" w:sz="8" w:space="0" w:color="auto"/>
              <w:right w:val="single" w:sz="8" w:space="0" w:color="auto"/>
            </w:tcBorders>
            <w:shd w:val="clear" w:color="auto" w:fill="auto"/>
            <w:vAlign w:val="center"/>
            <w:hideMark/>
          </w:tcPr>
          <w:p w14:paraId="50A17A12"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2025</w:t>
            </w:r>
          </w:p>
        </w:tc>
        <w:tc>
          <w:tcPr>
            <w:tcW w:w="376" w:type="pct"/>
            <w:tcBorders>
              <w:top w:val="nil"/>
              <w:left w:val="nil"/>
              <w:bottom w:val="single" w:sz="8" w:space="0" w:color="auto"/>
              <w:right w:val="single" w:sz="8" w:space="0" w:color="auto"/>
            </w:tcBorders>
            <w:shd w:val="clear" w:color="auto" w:fill="auto"/>
            <w:vAlign w:val="center"/>
            <w:hideMark/>
          </w:tcPr>
          <w:p w14:paraId="5DD4D948"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2026</w:t>
            </w:r>
          </w:p>
        </w:tc>
        <w:tc>
          <w:tcPr>
            <w:tcW w:w="376" w:type="pct"/>
            <w:tcBorders>
              <w:top w:val="nil"/>
              <w:left w:val="nil"/>
              <w:bottom w:val="single" w:sz="8" w:space="0" w:color="auto"/>
              <w:right w:val="single" w:sz="8" w:space="0" w:color="auto"/>
            </w:tcBorders>
            <w:shd w:val="clear" w:color="auto" w:fill="auto"/>
            <w:vAlign w:val="center"/>
            <w:hideMark/>
          </w:tcPr>
          <w:p w14:paraId="49A089B4"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2ECFA378" w14:textId="77777777" w:rsidR="00A56747" w:rsidRPr="003268F2" w:rsidRDefault="00A56747" w:rsidP="004B53CC">
            <w:pPr>
              <w:spacing w:before="0" w:after="0"/>
              <w:jc w:val="left"/>
              <w:rPr>
                <w:b/>
                <w:bCs/>
                <w:noProof/>
                <w:color w:val="000000"/>
                <w:sz w:val="20"/>
                <w:szCs w:val="20"/>
                <w:lang w:val="en-IE" w:eastAsia="en-IE"/>
              </w:rPr>
            </w:pPr>
          </w:p>
        </w:tc>
      </w:tr>
      <w:tr w:rsidR="003100E7" w:rsidRPr="003268F2" w14:paraId="15AC7BE0"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27DADCC" w14:textId="77777777" w:rsidR="00A56747" w:rsidRPr="003268F2" w:rsidRDefault="00A56747" w:rsidP="004B53CC">
            <w:pPr>
              <w:spacing w:before="0" w:after="0"/>
              <w:jc w:val="left"/>
              <w:rPr>
                <w:rFonts w:ascii="Wingdings" w:hAnsi="Wingdings" w:cs="Calibri"/>
                <w:noProof/>
                <w:color w:val="000000"/>
                <w:sz w:val="22"/>
                <w:lang w:val="en-IE" w:eastAsia="en-IE"/>
              </w:rPr>
            </w:pPr>
            <w:r w:rsidRPr="003268F2">
              <w:rPr>
                <w:rFonts w:ascii="Wingdings" w:hAnsi="Wingdings" w:cs="Calibri"/>
                <w:noProof/>
                <w:color w:val="000000"/>
                <w:sz w:val="22"/>
                <w:lang w:val="en-IE" w:eastAsia="en-IE"/>
              </w:rPr>
              <w:t></w:t>
            </w:r>
            <w:r w:rsidRPr="003268F2">
              <w:rPr>
                <w:noProof/>
                <w:color w:val="000000"/>
                <w:sz w:val="22"/>
                <w:lang w:val="en-IE" w:eastAsia="en-IE"/>
              </w:rPr>
              <w:t xml:space="preserve"> Human resources </w:t>
            </w:r>
          </w:p>
        </w:tc>
        <w:tc>
          <w:tcPr>
            <w:tcW w:w="376" w:type="pct"/>
            <w:tcBorders>
              <w:top w:val="nil"/>
              <w:left w:val="nil"/>
              <w:bottom w:val="single" w:sz="8" w:space="0" w:color="auto"/>
              <w:right w:val="single" w:sz="8" w:space="0" w:color="auto"/>
            </w:tcBorders>
            <w:shd w:val="clear" w:color="000000" w:fill="D9D9D9"/>
            <w:vAlign w:val="center"/>
            <w:hideMark/>
          </w:tcPr>
          <w:p w14:paraId="1A814B3F"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6D306515"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74A2D57B"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25E4BD75"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14:paraId="5344E906"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3100E7" w:rsidRPr="003268F2" w14:paraId="14BA5791"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518FB0C" w14:textId="77777777" w:rsidR="00A56747" w:rsidRPr="003268F2" w:rsidRDefault="00A56747" w:rsidP="004B53CC">
            <w:pPr>
              <w:spacing w:before="0" w:after="0"/>
              <w:jc w:val="left"/>
              <w:rPr>
                <w:rFonts w:ascii="Wingdings" w:hAnsi="Wingdings" w:cs="Calibri"/>
                <w:noProof/>
                <w:color w:val="000000"/>
                <w:sz w:val="22"/>
                <w:lang w:val="en-IE" w:eastAsia="en-IE"/>
              </w:rPr>
            </w:pPr>
            <w:r w:rsidRPr="003268F2">
              <w:rPr>
                <w:rFonts w:ascii="Wingdings" w:hAnsi="Wingdings" w:cs="Calibri"/>
                <w:noProof/>
                <w:color w:val="000000"/>
                <w:sz w:val="22"/>
                <w:lang w:val="en-IE" w:eastAsia="en-IE"/>
              </w:rPr>
              <w:t></w:t>
            </w:r>
            <w:r w:rsidRPr="003268F2">
              <w:rPr>
                <w:noProof/>
                <w:color w:val="000000"/>
                <w:sz w:val="22"/>
                <w:lang w:val="en-IE" w:eastAsia="en-IE"/>
              </w:rPr>
              <w:t xml:space="preserve"> Other administrative expenditure </w:t>
            </w:r>
          </w:p>
        </w:tc>
        <w:tc>
          <w:tcPr>
            <w:tcW w:w="376" w:type="pct"/>
            <w:tcBorders>
              <w:top w:val="nil"/>
              <w:left w:val="nil"/>
              <w:bottom w:val="single" w:sz="8" w:space="0" w:color="auto"/>
              <w:right w:val="single" w:sz="8" w:space="0" w:color="auto"/>
            </w:tcBorders>
            <w:shd w:val="clear" w:color="000000" w:fill="D9D9D9"/>
            <w:vAlign w:val="center"/>
            <w:hideMark/>
          </w:tcPr>
          <w:p w14:paraId="7A63B773"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5E81AA8A"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2F786266"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3863BCF8" w14:textId="77777777" w:rsidR="00A56747" w:rsidRPr="003268F2" w:rsidRDefault="00A56747" w:rsidP="004B53CC">
            <w:pPr>
              <w:spacing w:before="0" w:after="0"/>
              <w:jc w:val="right"/>
              <w:rPr>
                <w:noProof/>
                <w:color w:val="000000"/>
                <w:sz w:val="20"/>
                <w:szCs w:val="20"/>
                <w:lang w:val="en-IE" w:eastAsia="en-IE"/>
              </w:rPr>
            </w:pPr>
            <w:r w:rsidRPr="003268F2">
              <w:rPr>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14:paraId="65554EBB"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3100E7" w:rsidRPr="003268F2" w14:paraId="2C047CC5"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shd w:val="clear" w:color="auto" w:fill="auto"/>
            <w:vAlign w:val="center"/>
            <w:hideMark/>
          </w:tcPr>
          <w:p w14:paraId="4BBE2446" w14:textId="77777777" w:rsidR="00A56747" w:rsidRPr="003268F2" w:rsidRDefault="00A56747" w:rsidP="004B53CC">
            <w:pPr>
              <w:spacing w:before="0" w:after="0"/>
              <w:jc w:val="center"/>
              <w:rPr>
                <w:b/>
                <w:bCs/>
                <w:noProof/>
                <w:color w:val="000000"/>
                <w:sz w:val="22"/>
                <w:lang w:val="en-IE" w:eastAsia="en-IE"/>
              </w:rPr>
            </w:pPr>
            <w:r w:rsidRPr="003268F2">
              <w:rPr>
                <w:b/>
                <w:bCs/>
                <w:noProof/>
                <w:color w:val="000000"/>
                <w:sz w:val="22"/>
                <w:lang w:val="en-IE" w:eastAsia="en-IE"/>
              </w:rPr>
              <w:t xml:space="preserve">TOTAL DG </w:t>
            </w:r>
            <w:r w:rsidRPr="003268F2">
              <w:rPr>
                <w:noProof/>
                <w:color w:val="000000"/>
                <w:sz w:val="22"/>
                <w:lang w:val="en-IE" w:eastAsia="en-IE"/>
              </w:rPr>
              <w:t>&lt;…….&gt;</w:t>
            </w:r>
          </w:p>
        </w:tc>
        <w:tc>
          <w:tcPr>
            <w:tcW w:w="1378" w:type="pct"/>
            <w:gridSpan w:val="5"/>
            <w:tcBorders>
              <w:top w:val="single" w:sz="8" w:space="0" w:color="auto"/>
              <w:left w:val="nil"/>
              <w:bottom w:val="single" w:sz="8" w:space="0" w:color="auto"/>
              <w:right w:val="single" w:sz="8" w:space="0" w:color="auto"/>
            </w:tcBorders>
            <w:shd w:val="clear" w:color="auto" w:fill="auto"/>
            <w:vAlign w:val="center"/>
            <w:hideMark/>
          </w:tcPr>
          <w:p w14:paraId="58828006" w14:textId="77777777" w:rsidR="00A56747" w:rsidRPr="003268F2" w:rsidRDefault="00A56747" w:rsidP="004B53CC">
            <w:pPr>
              <w:spacing w:before="0" w:after="0"/>
              <w:jc w:val="left"/>
              <w:rPr>
                <w:noProof/>
                <w:color w:val="000000"/>
                <w:sz w:val="18"/>
                <w:szCs w:val="18"/>
                <w:lang w:val="en-IE" w:eastAsia="en-IE"/>
              </w:rPr>
            </w:pPr>
            <w:r w:rsidRPr="003268F2">
              <w:rPr>
                <w:noProof/>
                <w:color w:val="000000"/>
                <w:sz w:val="18"/>
                <w:szCs w:val="18"/>
                <w:lang w:val="en-IE" w:eastAsia="en-IE"/>
              </w:rPr>
              <w:t xml:space="preserve">Appropriations </w:t>
            </w:r>
          </w:p>
        </w:tc>
        <w:tc>
          <w:tcPr>
            <w:tcW w:w="376" w:type="pct"/>
            <w:tcBorders>
              <w:top w:val="nil"/>
              <w:left w:val="nil"/>
              <w:bottom w:val="single" w:sz="8" w:space="0" w:color="auto"/>
              <w:right w:val="single" w:sz="8" w:space="0" w:color="auto"/>
            </w:tcBorders>
            <w:shd w:val="clear" w:color="000000" w:fill="D9D9D9"/>
            <w:vAlign w:val="center"/>
            <w:hideMark/>
          </w:tcPr>
          <w:p w14:paraId="217643EB"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51184AC3"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2BF9041E"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nil"/>
              <w:left w:val="nil"/>
              <w:bottom w:val="single" w:sz="8" w:space="0" w:color="auto"/>
              <w:right w:val="single" w:sz="8" w:space="0" w:color="auto"/>
            </w:tcBorders>
            <w:shd w:val="clear" w:color="000000" w:fill="D9D9D9"/>
            <w:vAlign w:val="center"/>
            <w:hideMark/>
          </w:tcPr>
          <w:p w14:paraId="0B1FAE3F"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465" w:type="pct"/>
            <w:tcBorders>
              <w:top w:val="nil"/>
              <w:left w:val="nil"/>
              <w:bottom w:val="single" w:sz="8" w:space="0" w:color="auto"/>
              <w:right w:val="single" w:sz="8" w:space="0" w:color="auto"/>
            </w:tcBorders>
            <w:shd w:val="clear" w:color="000000" w:fill="D9D9D9"/>
            <w:vAlign w:val="center"/>
            <w:hideMark/>
          </w:tcPr>
          <w:p w14:paraId="596C54F7"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r w:rsidR="00A56747" w:rsidRPr="003268F2" w14:paraId="758C1B05" w14:textId="77777777" w:rsidTr="00FF1E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shd w:val="clear" w:color="auto" w:fill="auto"/>
            <w:noWrap/>
            <w:vAlign w:val="bottom"/>
            <w:hideMark/>
          </w:tcPr>
          <w:p w14:paraId="433360C4" w14:textId="77777777" w:rsidR="00A56747" w:rsidRPr="003268F2" w:rsidRDefault="00A56747" w:rsidP="004B53CC">
            <w:pPr>
              <w:spacing w:before="0" w:after="0"/>
              <w:jc w:val="right"/>
              <w:rPr>
                <w:b/>
                <w:bCs/>
                <w:noProof/>
                <w:color w:val="000000"/>
                <w:sz w:val="20"/>
                <w:szCs w:val="20"/>
                <w:lang w:val="en-IE" w:eastAsia="en-IE"/>
              </w:rPr>
            </w:pPr>
          </w:p>
        </w:tc>
        <w:tc>
          <w:tcPr>
            <w:tcW w:w="929" w:type="pct"/>
            <w:gridSpan w:val="3"/>
            <w:tcBorders>
              <w:top w:val="nil"/>
              <w:left w:val="nil"/>
              <w:bottom w:val="nil"/>
              <w:right w:val="nil"/>
            </w:tcBorders>
            <w:shd w:val="clear" w:color="auto" w:fill="auto"/>
            <w:noWrap/>
            <w:vAlign w:val="bottom"/>
            <w:hideMark/>
          </w:tcPr>
          <w:p w14:paraId="251418D2" w14:textId="77777777" w:rsidR="00A56747" w:rsidRPr="003268F2" w:rsidRDefault="00A56747" w:rsidP="004B53CC">
            <w:pPr>
              <w:spacing w:before="0" w:after="0"/>
              <w:jc w:val="left"/>
              <w:rPr>
                <w:noProof/>
                <w:sz w:val="20"/>
                <w:szCs w:val="20"/>
                <w:lang w:val="en-IE" w:eastAsia="en-IE"/>
              </w:rPr>
            </w:pPr>
          </w:p>
        </w:tc>
        <w:tc>
          <w:tcPr>
            <w:tcW w:w="224" w:type="pct"/>
            <w:tcBorders>
              <w:top w:val="nil"/>
              <w:left w:val="nil"/>
              <w:bottom w:val="nil"/>
              <w:right w:val="nil"/>
            </w:tcBorders>
            <w:shd w:val="clear" w:color="auto" w:fill="auto"/>
            <w:noWrap/>
            <w:vAlign w:val="bottom"/>
            <w:hideMark/>
          </w:tcPr>
          <w:p w14:paraId="0F08ED0F" w14:textId="77777777" w:rsidR="00A56747" w:rsidRPr="003268F2" w:rsidRDefault="00A56747" w:rsidP="004B53CC">
            <w:pPr>
              <w:spacing w:before="0" w:after="0"/>
              <w:jc w:val="left"/>
              <w:rPr>
                <w:noProof/>
                <w:sz w:val="20"/>
                <w:szCs w:val="20"/>
                <w:lang w:val="en-IE" w:eastAsia="en-IE"/>
              </w:rPr>
            </w:pPr>
          </w:p>
        </w:tc>
        <w:tc>
          <w:tcPr>
            <w:tcW w:w="225" w:type="pct"/>
            <w:tcBorders>
              <w:top w:val="nil"/>
              <w:left w:val="nil"/>
              <w:bottom w:val="nil"/>
              <w:right w:val="nil"/>
            </w:tcBorders>
            <w:shd w:val="clear" w:color="auto" w:fill="auto"/>
            <w:noWrap/>
            <w:vAlign w:val="bottom"/>
            <w:hideMark/>
          </w:tcPr>
          <w:p w14:paraId="647B17D6"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614E6034"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16CDA793"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6AA26F77" w14:textId="77777777" w:rsidR="00A56747" w:rsidRPr="003268F2" w:rsidRDefault="00A56747" w:rsidP="004B53CC">
            <w:pPr>
              <w:spacing w:before="0" w:after="0"/>
              <w:jc w:val="left"/>
              <w:rPr>
                <w:noProof/>
                <w:sz w:val="20"/>
                <w:szCs w:val="20"/>
                <w:lang w:val="en-IE" w:eastAsia="en-IE"/>
              </w:rPr>
            </w:pPr>
          </w:p>
        </w:tc>
        <w:tc>
          <w:tcPr>
            <w:tcW w:w="376" w:type="pct"/>
            <w:tcBorders>
              <w:top w:val="nil"/>
              <w:left w:val="nil"/>
              <w:bottom w:val="nil"/>
              <w:right w:val="nil"/>
            </w:tcBorders>
            <w:shd w:val="clear" w:color="auto" w:fill="auto"/>
            <w:noWrap/>
            <w:vAlign w:val="bottom"/>
            <w:hideMark/>
          </w:tcPr>
          <w:p w14:paraId="749B29DB" w14:textId="77777777" w:rsidR="00A56747" w:rsidRPr="003268F2" w:rsidRDefault="00A56747" w:rsidP="004B53CC">
            <w:pPr>
              <w:spacing w:before="0" w:after="0"/>
              <w:jc w:val="left"/>
              <w:rPr>
                <w:noProof/>
                <w:sz w:val="20"/>
                <w:szCs w:val="20"/>
                <w:lang w:val="en-IE" w:eastAsia="en-IE"/>
              </w:rPr>
            </w:pPr>
          </w:p>
        </w:tc>
        <w:tc>
          <w:tcPr>
            <w:tcW w:w="465" w:type="pct"/>
            <w:tcBorders>
              <w:top w:val="nil"/>
              <w:left w:val="nil"/>
              <w:bottom w:val="nil"/>
              <w:right w:val="nil"/>
            </w:tcBorders>
            <w:shd w:val="clear" w:color="auto" w:fill="auto"/>
            <w:noWrap/>
            <w:vAlign w:val="bottom"/>
            <w:hideMark/>
          </w:tcPr>
          <w:p w14:paraId="7FA19989" w14:textId="77777777" w:rsidR="00A56747" w:rsidRPr="003268F2" w:rsidRDefault="00A56747" w:rsidP="004B53CC">
            <w:pPr>
              <w:spacing w:before="0" w:after="0"/>
              <w:jc w:val="left"/>
              <w:rPr>
                <w:noProof/>
                <w:sz w:val="20"/>
                <w:szCs w:val="20"/>
                <w:lang w:val="en-IE" w:eastAsia="en-IE"/>
              </w:rPr>
            </w:pPr>
          </w:p>
        </w:tc>
      </w:tr>
      <w:tr w:rsidR="003100E7" w:rsidRPr="003268F2" w14:paraId="19E12B5C" w14:textId="77777777" w:rsidTr="004B53C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1AF59192" w14:textId="77777777" w:rsidR="00A56747" w:rsidRPr="003268F2" w:rsidRDefault="00A56747" w:rsidP="004B53CC">
            <w:pPr>
              <w:spacing w:before="0" w:after="0"/>
              <w:jc w:val="center"/>
              <w:rPr>
                <w:b/>
                <w:bCs/>
                <w:noProof/>
                <w:color w:val="000000"/>
                <w:sz w:val="22"/>
                <w:lang w:val="en-IE" w:eastAsia="en-IE"/>
              </w:rPr>
            </w:pPr>
            <w:r w:rsidRPr="003268F2">
              <w:rPr>
                <w:b/>
                <w:bCs/>
                <w:noProof/>
                <w:color w:val="000000"/>
                <w:sz w:val="22"/>
                <w:lang w:val="en-IE" w:eastAsia="en-IE"/>
              </w:rPr>
              <w:t>TOTAL appropriations</w:t>
            </w:r>
            <w:r>
              <w:rPr>
                <w:b/>
                <w:bCs/>
                <w:noProof/>
                <w:color w:val="000000"/>
                <w:sz w:val="22"/>
                <w:lang w:val="en-IE" w:eastAsia="en-IE"/>
              </w:rPr>
              <w:t xml:space="preserve"> </w:t>
            </w:r>
            <w:r w:rsidRPr="003268F2">
              <w:rPr>
                <w:b/>
                <w:bCs/>
                <w:noProof/>
                <w:color w:val="000000"/>
                <w:sz w:val="22"/>
                <w:lang w:val="en-IE" w:eastAsia="en-IE"/>
              </w:rPr>
              <w:t>under HEADING 7</w:t>
            </w:r>
            <w:r>
              <w:rPr>
                <w:b/>
                <w:bCs/>
                <w:noProof/>
                <w:color w:val="000000"/>
                <w:sz w:val="22"/>
                <w:lang w:val="en-IE" w:eastAsia="en-IE"/>
              </w:rPr>
              <w:t xml:space="preserve"> </w:t>
            </w:r>
            <w:r w:rsidRPr="003268F2">
              <w:rPr>
                <w:b/>
                <w:bCs/>
                <w:noProof/>
                <w:color w:val="000000"/>
                <w:sz w:val="22"/>
                <w:lang w:val="en-IE" w:eastAsia="en-IE"/>
              </w:rPr>
              <w:t xml:space="preserve">of the multiannual financial framework </w:t>
            </w:r>
          </w:p>
        </w:tc>
        <w:tc>
          <w:tcPr>
            <w:tcW w:w="449" w:type="pct"/>
            <w:gridSpan w:val="2"/>
            <w:tcBorders>
              <w:top w:val="single" w:sz="8" w:space="0" w:color="auto"/>
              <w:left w:val="nil"/>
              <w:bottom w:val="single" w:sz="8" w:space="0" w:color="auto"/>
              <w:right w:val="single" w:sz="8" w:space="0" w:color="auto"/>
            </w:tcBorders>
            <w:shd w:val="clear" w:color="auto" w:fill="auto"/>
            <w:vAlign w:val="center"/>
            <w:hideMark/>
          </w:tcPr>
          <w:p w14:paraId="59DE402A" w14:textId="77777777" w:rsidR="00A56747" w:rsidRPr="003268F2" w:rsidRDefault="00A56747" w:rsidP="004B53CC">
            <w:pPr>
              <w:spacing w:before="0" w:after="0"/>
              <w:jc w:val="center"/>
              <w:rPr>
                <w:noProof/>
                <w:color w:val="000000"/>
                <w:sz w:val="18"/>
                <w:szCs w:val="18"/>
                <w:lang w:val="en-IE" w:eastAsia="en-IE"/>
              </w:rPr>
            </w:pPr>
            <w:r w:rsidRPr="003268F2">
              <w:rPr>
                <w:noProof/>
                <w:color w:val="000000"/>
                <w:sz w:val="18"/>
                <w:szCs w:val="18"/>
                <w:lang w:val="en-IE" w:eastAsia="en-IE"/>
              </w:rPr>
              <w:t>(Total commitments = Total payments)</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3E5078F4"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303CFF7C"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2F21FF88"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4654C2D2"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3CC2D7E4" w14:textId="77777777" w:rsidR="00A56747" w:rsidRPr="003268F2" w:rsidRDefault="00A56747" w:rsidP="004B53CC">
            <w:pPr>
              <w:spacing w:before="0" w:after="0"/>
              <w:jc w:val="right"/>
              <w:rPr>
                <w:b/>
                <w:bCs/>
                <w:noProof/>
                <w:color w:val="000000"/>
                <w:sz w:val="20"/>
                <w:szCs w:val="20"/>
                <w:lang w:val="en-IE" w:eastAsia="en-IE"/>
              </w:rPr>
            </w:pPr>
            <w:r w:rsidRPr="003268F2">
              <w:rPr>
                <w:b/>
                <w:bCs/>
                <w:noProof/>
                <w:color w:val="000000"/>
                <w:sz w:val="20"/>
                <w:szCs w:val="20"/>
                <w:lang w:val="en-IE" w:eastAsia="en-IE"/>
              </w:rPr>
              <w:t>0.000</w:t>
            </w:r>
          </w:p>
        </w:tc>
      </w:tr>
    </w:tbl>
    <w:p w14:paraId="6E49209E" w14:textId="77777777" w:rsidR="00A56747" w:rsidRPr="003A769F" w:rsidRDefault="00A56747" w:rsidP="00A56747">
      <w:pPr>
        <w:jc w:val="right"/>
        <w:rPr>
          <w:noProof/>
          <w:sz w:val="20"/>
          <w:lang w:val="en-IE"/>
        </w:rPr>
      </w:pPr>
      <w:r w:rsidRPr="003A769F">
        <w:rPr>
          <w:noProof/>
          <w:sz w:val="20"/>
          <w:lang w:val="en-IE"/>
        </w:rPr>
        <w:t>EUR million (to three decimal places)</w:t>
      </w:r>
    </w:p>
    <w:tbl>
      <w:tblPr>
        <w:tblW w:w="5000" w:type="pct"/>
        <w:tblLook w:val="04A0" w:firstRow="1" w:lastRow="0" w:firstColumn="1" w:lastColumn="0" w:noHBand="0" w:noVBand="1"/>
      </w:tblPr>
      <w:tblGrid>
        <w:gridCol w:w="5607"/>
        <w:gridCol w:w="2080"/>
        <w:gridCol w:w="1255"/>
        <w:gridCol w:w="1254"/>
        <w:gridCol w:w="1254"/>
        <w:gridCol w:w="1254"/>
        <w:gridCol w:w="1516"/>
      </w:tblGrid>
      <w:tr w:rsidR="003100E7" w:rsidRPr="003268F2" w14:paraId="7FCD4255" w14:textId="77777777" w:rsidTr="24923FD7">
        <w:trPr>
          <w:cantSplit/>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6753015" w14:textId="77777777" w:rsidR="00A56747" w:rsidRPr="003268F2" w:rsidRDefault="00A56747" w:rsidP="004B53CC">
            <w:pPr>
              <w:spacing w:before="0" w:after="0"/>
              <w:jc w:val="center"/>
              <w:rPr>
                <w:noProof/>
                <w:color w:val="000000"/>
                <w:szCs w:val="24"/>
                <w:lang w:val="en-IE" w:eastAsia="en-IE"/>
              </w:rPr>
            </w:pPr>
            <w:r w:rsidRPr="003268F2">
              <w:rPr>
                <w:noProof/>
                <w:color w:val="000000"/>
                <w:szCs w:val="24"/>
                <w:lang w:val="en-IE" w:eastAsia="en-IE"/>
              </w:rPr>
              <w:t> </w:t>
            </w:r>
          </w:p>
        </w:tc>
        <w:tc>
          <w:tcPr>
            <w:tcW w:w="441" w:type="pct"/>
            <w:tcBorders>
              <w:top w:val="single" w:sz="8" w:space="0" w:color="auto"/>
              <w:left w:val="nil"/>
              <w:bottom w:val="nil"/>
              <w:right w:val="single" w:sz="8" w:space="0" w:color="auto"/>
            </w:tcBorders>
            <w:shd w:val="clear" w:color="auto" w:fill="auto"/>
            <w:vAlign w:val="center"/>
            <w:hideMark/>
          </w:tcPr>
          <w:p w14:paraId="58C251A5"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14:paraId="31C313BD"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14:paraId="23D9099C"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441" w:type="pct"/>
            <w:tcBorders>
              <w:top w:val="single" w:sz="8" w:space="0" w:color="auto"/>
              <w:left w:val="nil"/>
              <w:bottom w:val="nil"/>
              <w:right w:val="single" w:sz="8" w:space="0" w:color="auto"/>
            </w:tcBorders>
            <w:shd w:val="clear" w:color="auto" w:fill="auto"/>
            <w:vAlign w:val="center"/>
            <w:hideMark/>
          </w:tcPr>
          <w:p w14:paraId="5852783E" w14:textId="77777777" w:rsidR="00A56747" w:rsidRPr="003268F2" w:rsidRDefault="00A56747" w:rsidP="004B53CC">
            <w:pPr>
              <w:spacing w:before="0" w:after="0"/>
              <w:jc w:val="center"/>
              <w:rPr>
                <w:noProof/>
                <w:color w:val="000000"/>
                <w:sz w:val="20"/>
                <w:szCs w:val="20"/>
                <w:lang w:val="en-IE" w:eastAsia="en-IE"/>
              </w:rPr>
            </w:pPr>
            <w:r w:rsidRPr="003268F2">
              <w:rPr>
                <w:noProof/>
                <w:color w:val="000000"/>
                <w:sz w:val="20"/>
                <w:szCs w:val="20"/>
                <w:lang w:val="en-IE" w:eastAsia="en-IE"/>
              </w:rPr>
              <w:t>Year</w:t>
            </w:r>
          </w:p>
        </w:tc>
        <w:tc>
          <w:tcPr>
            <w:tcW w:w="533" w:type="pct"/>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6EDBC2CE"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TOTAL MFF</w:t>
            </w:r>
            <w:r>
              <w:rPr>
                <w:b/>
                <w:bCs/>
                <w:noProof/>
                <w:color w:val="000000"/>
                <w:sz w:val="20"/>
                <w:szCs w:val="20"/>
                <w:lang w:val="en-IE" w:eastAsia="en-IE"/>
              </w:rPr>
              <w:t xml:space="preserve"> </w:t>
            </w:r>
            <w:r w:rsidRPr="003268F2">
              <w:rPr>
                <w:b/>
                <w:bCs/>
                <w:noProof/>
                <w:color w:val="000000"/>
                <w:sz w:val="20"/>
                <w:szCs w:val="20"/>
                <w:lang w:val="en-IE" w:eastAsia="en-IE"/>
              </w:rPr>
              <w:t>2021-2027</w:t>
            </w:r>
          </w:p>
        </w:tc>
      </w:tr>
      <w:tr w:rsidR="00A56747" w:rsidRPr="003268F2" w14:paraId="3CB71775" w14:textId="77777777" w:rsidTr="00FF1EF4">
        <w:trPr>
          <w:cantSplit/>
          <w:trHeight w:val="300"/>
        </w:trPr>
        <w:tc>
          <w:tcPr>
            <w:tcW w:w="2702" w:type="pct"/>
            <w:gridSpan w:val="2"/>
            <w:vMerge/>
            <w:vAlign w:val="center"/>
            <w:hideMark/>
          </w:tcPr>
          <w:p w14:paraId="0076AD7F" w14:textId="77777777" w:rsidR="00A56747" w:rsidRPr="003268F2" w:rsidRDefault="00A56747" w:rsidP="004B53CC">
            <w:pPr>
              <w:spacing w:before="0" w:after="0"/>
              <w:jc w:val="left"/>
              <w:rPr>
                <w:noProof/>
                <w:color w:val="000000"/>
                <w:szCs w:val="24"/>
                <w:lang w:val="en-IE" w:eastAsia="en-IE"/>
              </w:rPr>
            </w:pPr>
          </w:p>
        </w:tc>
        <w:tc>
          <w:tcPr>
            <w:tcW w:w="441" w:type="pct"/>
            <w:tcBorders>
              <w:top w:val="nil"/>
              <w:left w:val="nil"/>
              <w:bottom w:val="single" w:sz="8" w:space="0" w:color="auto"/>
              <w:right w:val="single" w:sz="8" w:space="0" w:color="auto"/>
            </w:tcBorders>
            <w:shd w:val="clear" w:color="auto" w:fill="auto"/>
            <w:vAlign w:val="center"/>
            <w:hideMark/>
          </w:tcPr>
          <w:p w14:paraId="63EA82ED"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2024</w:t>
            </w:r>
          </w:p>
        </w:tc>
        <w:tc>
          <w:tcPr>
            <w:tcW w:w="441" w:type="pct"/>
            <w:tcBorders>
              <w:top w:val="nil"/>
              <w:left w:val="nil"/>
              <w:bottom w:val="single" w:sz="8" w:space="0" w:color="auto"/>
              <w:right w:val="single" w:sz="8" w:space="0" w:color="auto"/>
            </w:tcBorders>
            <w:shd w:val="clear" w:color="auto" w:fill="auto"/>
            <w:vAlign w:val="center"/>
            <w:hideMark/>
          </w:tcPr>
          <w:p w14:paraId="36ADBB3B"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2025</w:t>
            </w:r>
          </w:p>
        </w:tc>
        <w:tc>
          <w:tcPr>
            <w:tcW w:w="441" w:type="pct"/>
            <w:tcBorders>
              <w:top w:val="nil"/>
              <w:left w:val="nil"/>
              <w:bottom w:val="single" w:sz="8" w:space="0" w:color="auto"/>
              <w:right w:val="single" w:sz="8" w:space="0" w:color="auto"/>
            </w:tcBorders>
            <w:shd w:val="clear" w:color="auto" w:fill="auto"/>
            <w:vAlign w:val="center"/>
            <w:hideMark/>
          </w:tcPr>
          <w:p w14:paraId="41F49269"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2026</w:t>
            </w:r>
          </w:p>
        </w:tc>
        <w:tc>
          <w:tcPr>
            <w:tcW w:w="441" w:type="pct"/>
            <w:tcBorders>
              <w:top w:val="nil"/>
              <w:left w:val="nil"/>
              <w:bottom w:val="single" w:sz="8" w:space="0" w:color="auto"/>
              <w:right w:val="single" w:sz="8" w:space="0" w:color="auto"/>
            </w:tcBorders>
            <w:shd w:val="clear" w:color="auto" w:fill="auto"/>
            <w:vAlign w:val="center"/>
            <w:hideMark/>
          </w:tcPr>
          <w:p w14:paraId="5EA1A706" w14:textId="77777777" w:rsidR="00A56747" w:rsidRPr="003268F2" w:rsidRDefault="00A56747" w:rsidP="004B53CC">
            <w:pPr>
              <w:spacing w:before="0" w:after="0"/>
              <w:jc w:val="center"/>
              <w:rPr>
                <w:b/>
                <w:bCs/>
                <w:noProof/>
                <w:color w:val="000000"/>
                <w:sz w:val="20"/>
                <w:szCs w:val="20"/>
                <w:lang w:val="en-IE" w:eastAsia="en-IE"/>
              </w:rPr>
            </w:pPr>
            <w:r w:rsidRPr="003268F2">
              <w:rPr>
                <w:b/>
                <w:bCs/>
                <w:noProof/>
                <w:color w:val="000000"/>
                <w:sz w:val="20"/>
                <w:szCs w:val="20"/>
                <w:lang w:val="en-IE" w:eastAsia="en-IE"/>
              </w:rPr>
              <w:t>2027</w:t>
            </w:r>
          </w:p>
        </w:tc>
        <w:tc>
          <w:tcPr>
            <w:tcW w:w="533" w:type="pct"/>
            <w:vMerge/>
            <w:vAlign w:val="center"/>
            <w:hideMark/>
          </w:tcPr>
          <w:p w14:paraId="7A918C0F" w14:textId="77777777" w:rsidR="00A56747" w:rsidRPr="003268F2" w:rsidRDefault="00A56747" w:rsidP="004B53CC">
            <w:pPr>
              <w:spacing w:before="0" w:after="0"/>
              <w:jc w:val="left"/>
              <w:rPr>
                <w:b/>
                <w:bCs/>
                <w:noProof/>
                <w:color w:val="000000"/>
                <w:sz w:val="20"/>
                <w:szCs w:val="20"/>
                <w:lang w:val="en-IE" w:eastAsia="en-IE"/>
              </w:rPr>
            </w:pPr>
          </w:p>
        </w:tc>
      </w:tr>
      <w:tr w:rsidR="003100E7" w:rsidRPr="003268F2" w14:paraId="6FF82FEF" w14:textId="77777777" w:rsidTr="24923FD7">
        <w:trPr>
          <w:cantSplit/>
          <w:trHeight w:val="564"/>
        </w:trPr>
        <w:tc>
          <w:tcPr>
            <w:tcW w:w="1971" w:type="pct"/>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570BAEA8" w14:textId="77777777" w:rsidR="00A56747" w:rsidRPr="003268F2" w:rsidRDefault="00A56747" w:rsidP="004B53CC">
            <w:pPr>
              <w:spacing w:before="0" w:after="0"/>
              <w:jc w:val="center"/>
              <w:rPr>
                <w:b/>
                <w:bCs/>
                <w:noProof/>
                <w:color w:val="000000"/>
                <w:sz w:val="22"/>
                <w:lang w:val="en-IE" w:eastAsia="en-IE"/>
              </w:rPr>
            </w:pPr>
            <w:r w:rsidRPr="003268F2">
              <w:rPr>
                <w:b/>
                <w:bCs/>
                <w:noProof/>
                <w:color w:val="000000"/>
                <w:sz w:val="22"/>
                <w:lang w:val="en-IE" w:eastAsia="en-IE"/>
              </w:rPr>
              <w:t>TOTAL appropriations</w:t>
            </w:r>
            <w:r>
              <w:rPr>
                <w:b/>
                <w:bCs/>
                <w:noProof/>
                <w:color w:val="000000"/>
                <w:sz w:val="22"/>
                <w:lang w:val="en-IE" w:eastAsia="en-IE"/>
              </w:rPr>
              <w:t xml:space="preserve"> </w:t>
            </w:r>
            <w:r w:rsidRPr="003268F2">
              <w:rPr>
                <w:b/>
                <w:bCs/>
                <w:noProof/>
                <w:color w:val="000000"/>
                <w:sz w:val="22"/>
                <w:lang w:val="en-IE" w:eastAsia="en-IE"/>
              </w:rPr>
              <w:t>under HEADINGS 1 to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14:paraId="763843FC" w14:textId="77777777" w:rsidR="00A56747" w:rsidRPr="003268F2" w:rsidRDefault="00A56747" w:rsidP="004B53CC">
            <w:pPr>
              <w:spacing w:before="0" w:after="0"/>
              <w:rPr>
                <w:noProof/>
                <w:color w:val="000000"/>
                <w:sz w:val="18"/>
                <w:szCs w:val="18"/>
                <w:lang w:val="en-IE" w:eastAsia="en-IE"/>
              </w:rPr>
            </w:pPr>
            <w:r w:rsidRPr="003268F2">
              <w:rPr>
                <w:noProof/>
                <w:color w:val="000000"/>
                <w:sz w:val="18"/>
                <w:szCs w:val="18"/>
                <w:lang w:val="en-IE" w:eastAsia="en-IE"/>
              </w:rPr>
              <w:t>Commitments</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67951C65"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5E6F46A6"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6DF64716"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1C120FB4"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533" w:type="pct"/>
            <w:tcBorders>
              <w:top w:val="nil"/>
              <w:left w:val="nil"/>
              <w:bottom w:val="single" w:sz="8" w:space="0" w:color="auto"/>
              <w:right w:val="single" w:sz="8" w:space="0" w:color="auto"/>
            </w:tcBorders>
            <w:shd w:val="clear" w:color="auto" w:fill="D9D9D9" w:themeFill="background1" w:themeFillShade="D9"/>
            <w:vAlign w:val="center"/>
            <w:hideMark/>
          </w:tcPr>
          <w:p w14:paraId="7BF137D7"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r>
      <w:tr w:rsidR="00A56747" w:rsidRPr="003268F2" w14:paraId="020614F3" w14:textId="77777777" w:rsidTr="24923FD7">
        <w:trPr>
          <w:cantSplit/>
          <w:trHeight w:val="540"/>
        </w:trPr>
        <w:tc>
          <w:tcPr>
            <w:tcW w:w="1971" w:type="pct"/>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1F53D558" w14:textId="77777777" w:rsidR="00A56747" w:rsidRPr="003268F2" w:rsidRDefault="00A56747" w:rsidP="004B53CC">
            <w:pPr>
              <w:spacing w:before="0" w:after="0"/>
              <w:jc w:val="center"/>
              <w:rPr>
                <w:noProof/>
                <w:color w:val="000000"/>
                <w:sz w:val="22"/>
                <w:lang w:val="en-IE" w:eastAsia="en-IE"/>
              </w:rPr>
            </w:pPr>
            <w:r w:rsidRPr="003268F2">
              <w:rPr>
                <w:noProof/>
                <w:color w:val="000000"/>
                <w:sz w:val="22"/>
                <w:lang w:val="en-IE" w:eastAsia="en-IE"/>
              </w:rPr>
              <w:t>of the multiannual financial framework</w:t>
            </w:r>
            <w:r w:rsidRPr="003268F2">
              <w:rPr>
                <w:b/>
                <w:bCs/>
                <w:noProof/>
                <w:color w:val="000000"/>
                <w:sz w:val="22"/>
                <w:lang w:val="en-IE" w:eastAsia="en-IE"/>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14:paraId="6E2C4BA3" w14:textId="77777777" w:rsidR="00A56747" w:rsidRPr="003268F2" w:rsidRDefault="00A56747" w:rsidP="004B53CC">
            <w:pPr>
              <w:spacing w:before="0" w:after="0"/>
              <w:rPr>
                <w:noProof/>
                <w:color w:val="000000"/>
                <w:sz w:val="18"/>
                <w:szCs w:val="18"/>
                <w:lang w:val="en-IE" w:eastAsia="en-IE"/>
              </w:rPr>
            </w:pPr>
            <w:r w:rsidRPr="003268F2">
              <w:rPr>
                <w:noProof/>
                <w:color w:val="000000"/>
                <w:sz w:val="18"/>
                <w:szCs w:val="18"/>
                <w:lang w:val="en-IE" w:eastAsia="en-IE"/>
              </w:rPr>
              <w:t>Payments</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345E8EAC"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2A942A09"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111D7509" w14:textId="77777777" w:rsidR="00A56747" w:rsidRPr="003268F2" w:rsidRDefault="00A3606D" w:rsidP="24923FD7">
            <w:pPr>
              <w:spacing w:before="0" w:after="0"/>
              <w:jc w:val="right"/>
              <w:rPr>
                <w:b/>
                <w:bCs/>
                <w:noProof/>
                <w:color w:val="000000"/>
                <w:lang w:val="en-IE" w:eastAsia="en-IE"/>
              </w:rPr>
            </w:pPr>
            <w:r>
              <w:rPr>
                <w:b/>
                <w:bCs/>
                <w:noProof/>
                <w:color w:val="000000" w:themeColor="text1"/>
                <w:lang w:val="en-IE" w:eastAsia="en-IE"/>
              </w:rPr>
              <w:t>[3</w:t>
            </w:r>
            <w:r w:rsidRPr="24923FD7">
              <w:rPr>
                <w:b/>
                <w:bCs/>
                <w:noProof/>
                <w:color w:val="000000" w:themeColor="text1"/>
                <w:lang w:val="en-IE" w:eastAsia="en-IE"/>
              </w:rPr>
              <w:t xml:space="preserve"> </w:t>
            </w:r>
            <w:r>
              <w:rPr>
                <w:b/>
                <w:bCs/>
                <w:noProof/>
                <w:color w:val="000000" w:themeColor="text1"/>
                <w:lang w:val="en-IE" w:eastAsia="en-IE"/>
              </w:rPr>
              <w:t>6</w:t>
            </w:r>
            <w:r w:rsidR="00A56747" w:rsidRPr="24923FD7">
              <w:rPr>
                <w:b/>
                <w:bCs/>
                <w:noProof/>
                <w:color w:val="000000" w:themeColor="text1"/>
                <w:lang w:val="en-IE" w:eastAsia="en-IE"/>
              </w:rPr>
              <w:t>00.000</w:t>
            </w:r>
            <w:r>
              <w:rPr>
                <w:b/>
                <w:bCs/>
                <w:noProof/>
                <w:color w:val="000000" w:themeColor="text1"/>
                <w:lang w:val="en-IE" w:eastAsia="en-IE"/>
              </w:rPr>
              <w:t>]</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321FA4F9" w14:textId="77777777" w:rsidR="00A56747" w:rsidRPr="003268F2" w:rsidRDefault="00A3606D" w:rsidP="24923FD7">
            <w:pPr>
              <w:spacing w:before="0" w:after="0"/>
              <w:jc w:val="right"/>
              <w:rPr>
                <w:b/>
                <w:bCs/>
                <w:noProof/>
                <w:color w:val="000000"/>
                <w:lang w:val="en-IE" w:eastAsia="en-IE"/>
              </w:rPr>
            </w:pPr>
            <w:r>
              <w:rPr>
                <w:b/>
                <w:bCs/>
                <w:noProof/>
                <w:color w:val="000000" w:themeColor="text1"/>
                <w:lang w:val="en-IE" w:eastAsia="en-IE"/>
              </w:rPr>
              <w:t>[</w:t>
            </w:r>
            <w:r w:rsidR="00A56747" w:rsidRPr="24923FD7">
              <w:rPr>
                <w:b/>
                <w:bCs/>
                <w:noProof/>
                <w:color w:val="000000" w:themeColor="text1"/>
                <w:lang w:val="en-IE" w:eastAsia="en-IE"/>
              </w:rPr>
              <w:t>-</w:t>
            </w:r>
            <w:r>
              <w:rPr>
                <w:b/>
                <w:bCs/>
                <w:noProof/>
                <w:color w:val="000000" w:themeColor="text1"/>
                <w:lang w:val="en-IE" w:eastAsia="en-IE"/>
              </w:rPr>
              <w:t>3</w:t>
            </w:r>
            <w:r w:rsidR="00A56747" w:rsidRPr="24923FD7">
              <w:rPr>
                <w:b/>
                <w:bCs/>
                <w:noProof/>
                <w:color w:val="000000" w:themeColor="text1"/>
                <w:lang w:val="en-IE" w:eastAsia="en-IE"/>
              </w:rPr>
              <w:t xml:space="preserve"> </w:t>
            </w:r>
            <w:r>
              <w:rPr>
                <w:b/>
                <w:bCs/>
                <w:noProof/>
                <w:color w:val="000000" w:themeColor="text1"/>
                <w:lang w:val="en-IE" w:eastAsia="en-IE"/>
              </w:rPr>
              <w:t>6</w:t>
            </w:r>
            <w:r w:rsidR="00A56747" w:rsidRPr="24923FD7">
              <w:rPr>
                <w:b/>
                <w:bCs/>
                <w:noProof/>
                <w:color w:val="000000" w:themeColor="text1"/>
                <w:lang w:val="en-IE" w:eastAsia="en-IE"/>
              </w:rPr>
              <w:t>00.000</w:t>
            </w:r>
            <w:r>
              <w:rPr>
                <w:b/>
                <w:bCs/>
                <w:noProof/>
                <w:color w:val="000000" w:themeColor="text1"/>
                <w:lang w:val="en-IE" w:eastAsia="en-IE"/>
              </w:rPr>
              <w:t>]</w:t>
            </w:r>
          </w:p>
        </w:tc>
        <w:tc>
          <w:tcPr>
            <w:tcW w:w="533" w:type="pct"/>
            <w:tcBorders>
              <w:top w:val="nil"/>
              <w:left w:val="nil"/>
              <w:bottom w:val="single" w:sz="8" w:space="0" w:color="auto"/>
              <w:right w:val="single" w:sz="8" w:space="0" w:color="auto"/>
            </w:tcBorders>
            <w:shd w:val="clear" w:color="auto" w:fill="D9D9D9" w:themeFill="background1" w:themeFillShade="D9"/>
            <w:vAlign w:val="center"/>
            <w:hideMark/>
          </w:tcPr>
          <w:p w14:paraId="0308C1F9" w14:textId="77777777" w:rsidR="00A56747" w:rsidRPr="003268F2" w:rsidRDefault="00A56747" w:rsidP="004B53CC">
            <w:pPr>
              <w:spacing w:before="0" w:after="0"/>
              <w:jc w:val="right"/>
              <w:rPr>
                <w:b/>
                <w:bCs/>
                <w:noProof/>
                <w:color w:val="000000"/>
                <w:szCs w:val="24"/>
                <w:lang w:val="en-IE" w:eastAsia="en-IE"/>
              </w:rPr>
            </w:pPr>
            <w:r w:rsidRPr="003268F2">
              <w:rPr>
                <w:b/>
                <w:bCs/>
                <w:noProof/>
                <w:color w:val="000000"/>
                <w:szCs w:val="24"/>
                <w:lang w:val="en-IE" w:eastAsia="en-IE"/>
              </w:rPr>
              <w:t>0.000</w:t>
            </w:r>
          </w:p>
        </w:tc>
      </w:tr>
    </w:tbl>
    <w:p w14:paraId="3E5E5731" w14:textId="77777777" w:rsidR="00A56747" w:rsidRDefault="00A56747" w:rsidP="00A56747">
      <w:pPr>
        <w:pStyle w:val="ManualHeading3"/>
        <w:rPr>
          <w:bCs/>
          <w:noProof/>
          <w:szCs w:val="24"/>
        </w:rPr>
      </w:pPr>
      <w:bookmarkStart w:id="203" w:name="_Toc514938054"/>
      <w:bookmarkStart w:id="204" w:name="_Toc520485053"/>
      <w:bookmarkStart w:id="205" w:name="_Toc160804597"/>
      <w:bookmarkStart w:id="206" w:name="_Toc167220289"/>
      <w:bookmarkStart w:id="207" w:name="_Toc177549022"/>
      <w:r w:rsidRPr="0021790A">
        <w:rPr>
          <w:noProof/>
        </w:rPr>
        <w:t>3.2.2.</w:t>
      </w:r>
      <w:r w:rsidRPr="0021790A">
        <w:rPr>
          <w:noProof/>
        </w:rPr>
        <w:tab/>
      </w:r>
      <w:r>
        <w:rPr>
          <w:noProof/>
        </w:rPr>
        <w:t xml:space="preserve">Estimated output funded from operational </w:t>
      </w:r>
      <w:r w:rsidRPr="009C39E5">
        <w:rPr>
          <w:noProof/>
        </w:rPr>
        <w:t>appropriations</w:t>
      </w:r>
      <w:bookmarkEnd w:id="203"/>
      <w:bookmarkEnd w:id="204"/>
      <w:r w:rsidRPr="009C39E5">
        <w:rPr>
          <w:noProof/>
        </w:rPr>
        <w:t xml:space="preserve"> (not to be completed for decentralised agencies)</w:t>
      </w:r>
      <w:bookmarkEnd w:id="205"/>
      <w:bookmarkEnd w:id="206"/>
      <w:bookmarkEnd w:id="207"/>
    </w:p>
    <w:p w14:paraId="4443C405" w14:textId="77777777" w:rsidR="00A56747" w:rsidRPr="003A769F" w:rsidRDefault="00A56747" w:rsidP="00A56747">
      <w:pPr>
        <w:jc w:val="right"/>
        <w:rPr>
          <w:noProof/>
          <w:sz w:val="20"/>
          <w:lang w:val="en-IE"/>
        </w:rPr>
      </w:pPr>
      <w:r w:rsidRPr="003A769F">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A56747" w14:paraId="0D57F125" w14:textId="77777777" w:rsidTr="00FF1EF4">
        <w:trPr>
          <w:jc w:val="center"/>
        </w:trPr>
        <w:tc>
          <w:tcPr>
            <w:tcW w:w="1423" w:type="dxa"/>
            <w:vMerge w:val="restart"/>
            <w:vAlign w:val="center"/>
          </w:tcPr>
          <w:p w14:paraId="76C3C21D" w14:textId="77777777" w:rsidR="00A56747" w:rsidRDefault="00A56747" w:rsidP="004B53CC">
            <w:pPr>
              <w:ind w:right="-29"/>
              <w:jc w:val="center"/>
              <w:rPr>
                <w:b/>
                <w:noProof/>
                <w:sz w:val="18"/>
                <w:szCs w:val="18"/>
              </w:rPr>
            </w:pPr>
            <w:r>
              <w:rPr>
                <w:b/>
                <w:noProof/>
                <w:sz w:val="18"/>
              </w:rPr>
              <w:t xml:space="preserve">Indicate objectives and outputs </w:t>
            </w:r>
          </w:p>
          <w:p w14:paraId="4EFACB9E" w14:textId="77777777" w:rsidR="00A56747" w:rsidRDefault="00A56747" w:rsidP="004B53CC">
            <w:pPr>
              <w:ind w:right="-29"/>
              <w:jc w:val="center"/>
              <w:rPr>
                <w:b/>
                <w:noProof/>
                <w:sz w:val="18"/>
                <w:szCs w:val="18"/>
              </w:rPr>
            </w:pPr>
          </w:p>
          <w:p w14:paraId="06625A9F" w14:textId="77777777" w:rsidR="00A56747" w:rsidRDefault="00A56747" w:rsidP="004B53CC">
            <w:pPr>
              <w:ind w:right="-29"/>
              <w:jc w:val="center"/>
              <w:rPr>
                <w:noProof/>
                <w:sz w:val="18"/>
                <w:szCs w:val="18"/>
              </w:rPr>
            </w:pPr>
            <w:r>
              <w:rPr>
                <w:rFonts w:ascii="Wingdings" w:eastAsia="Wingdings" w:hAnsi="Wingdings" w:cs="Wingdings"/>
                <w:noProof/>
                <w:sz w:val="18"/>
              </w:rPr>
              <w:t></w:t>
            </w:r>
          </w:p>
        </w:tc>
        <w:tc>
          <w:tcPr>
            <w:tcW w:w="720" w:type="dxa"/>
            <w:vAlign w:val="center"/>
          </w:tcPr>
          <w:p w14:paraId="063B40A9" w14:textId="77777777" w:rsidR="00A56747" w:rsidRDefault="00A56747" w:rsidP="004B53CC">
            <w:pPr>
              <w:ind w:right="-29"/>
              <w:jc w:val="center"/>
              <w:rPr>
                <w:noProof/>
                <w:sz w:val="18"/>
                <w:szCs w:val="18"/>
              </w:rPr>
            </w:pPr>
          </w:p>
        </w:tc>
        <w:tc>
          <w:tcPr>
            <w:tcW w:w="701" w:type="dxa"/>
            <w:vAlign w:val="center"/>
          </w:tcPr>
          <w:p w14:paraId="2A2C3E08" w14:textId="77777777" w:rsidR="00A56747" w:rsidRDefault="00A56747" w:rsidP="004B53CC">
            <w:pPr>
              <w:ind w:right="-29"/>
              <w:jc w:val="center"/>
              <w:rPr>
                <w:noProof/>
                <w:sz w:val="18"/>
                <w:szCs w:val="18"/>
              </w:rPr>
            </w:pPr>
          </w:p>
        </w:tc>
        <w:tc>
          <w:tcPr>
            <w:tcW w:w="1224" w:type="dxa"/>
            <w:gridSpan w:val="2"/>
            <w:tcBorders>
              <w:left w:val="nil"/>
            </w:tcBorders>
            <w:vAlign w:val="center"/>
          </w:tcPr>
          <w:p w14:paraId="7E5479F1" w14:textId="77777777" w:rsidR="00A56747" w:rsidRDefault="00A56747" w:rsidP="004B53CC">
            <w:pPr>
              <w:ind w:right="-29"/>
              <w:jc w:val="center"/>
              <w:rPr>
                <w:noProof/>
                <w:sz w:val="18"/>
                <w:szCs w:val="18"/>
              </w:rPr>
            </w:pPr>
            <w:r>
              <w:rPr>
                <w:noProof/>
                <w:sz w:val="18"/>
              </w:rPr>
              <w:t xml:space="preserve">Year </w:t>
            </w:r>
            <w:r>
              <w:rPr>
                <w:noProof/>
                <w:sz w:val="22"/>
              </w:rPr>
              <w:br/>
            </w:r>
            <w:r>
              <w:rPr>
                <w:b/>
                <w:noProof/>
                <w:sz w:val="18"/>
              </w:rPr>
              <w:t>2024</w:t>
            </w:r>
          </w:p>
        </w:tc>
        <w:tc>
          <w:tcPr>
            <w:tcW w:w="1260" w:type="dxa"/>
            <w:gridSpan w:val="2"/>
            <w:vAlign w:val="center"/>
          </w:tcPr>
          <w:p w14:paraId="09D705DE" w14:textId="77777777" w:rsidR="00A56747" w:rsidRDefault="00A56747" w:rsidP="004B53CC">
            <w:pPr>
              <w:ind w:right="-29"/>
              <w:jc w:val="center"/>
              <w:rPr>
                <w:noProof/>
                <w:sz w:val="18"/>
                <w:szCs w:val="18"/>
              </w:rPr>
            </w:pPr>
            <w:r>
              <w:rPr>
                <w:noProof/>
                <w:sz w:val="18"/>
              </w:rPr>
              <w:t xml:space="preserve">Year </w:t>
            </w:r>
            <w:r>
              <w:rPr>
                <w:noProof/>
                <w:sz w:val="22"/>
              </w:rPr>
              <w:br/>
            </w:r>
            <w:r>
              <w:rPr>
                <w:b/>
                <w:noProof/>
                <w:sz w:val="18"/>
              </w:rPr>
              <w:t>2025</w:t>
            </w:r>
          </w:p>
        </w:tc>
        <w:tc>
          <w:tcPr>
            <w:tcW w:w="1440" w:type="dxa"/>
            <w:gridSpan w:val="2"/>
            <w:vAlign w:val="center"/>
          </w:tcPr>
          <w:p w14:paraId="1908DE1B" w14:textId="77777777" w:rsidR="00A56747" w:rsidRDefault="00A56747" w:rsidP="004B53CC">
            <w:pPr>
              <w:ind w:right="-29"/>
              <w:jc w:val="center"/>
              <w:rPr>
                <w:noProof/>
                <w:sz w:val="18"/>
                <w:szCs w:val="18"/>
              </w:rPr>
            </w:pPr>
            <w:r>
              <w:rPr>
                <w:noProof/>
                <w:sz w:val="18"/>
              </w:rPr>
              <w:t xml:space="preserve">Year </w:t>
            </w:r>
            <w:r>
              <w:rPr>
                <w:noProof/>
                <w:sz w:val="22"/>
              </w:rPr>
              <w:br/>
            </w:r>
            <w:r>
              <w:rPr>
                <w:b/>
                <w:noProof/>
                <w:sz w:val="18"/>
              </w:rPr>
              <w:t>2026</w:t>
            </w:r>
          </w:p>
        </w:tc>
        <w:tc>
          <w:tcPr>
            <w:tcW w:w="1620" w:type="dxa"/>
            <w:gridSpan w:val="3"/>
            <w:vAlign w:val="center"/>
          </w:tcPr>
          <w:p w14:paraId="043D7E17" w14:textId="77777777" w:rsidR="00A56747" w:rsidRDefault="00A56747" w:rsidP="004B53CC">
            <w:pPr>
              <w:ind w:right="-29"/>
              <w:jc w:val="center"/>
              <w:rPr>
                <w:noProof/>
                <w:sz w:val="18"/>
                <w:szCs w:val="18"/>
              </w:rPr>
            </w:pPr>
            <w:r>
              <w:rPr>
                <w:noProof/>
                <w:sz w:val="18"/>
              </w:rPr>
              <w:t xml:space="preserve">Year </w:t>
            </w:r>
            <w:r>
              <w:rPr>
                <w:noProof/>
                <w:sz w:val="22"/>
              </w:rPr>
              <w:br/>
            </w:r>
            <w:r>
              <w:rPr>
                <w:b/>
                <w:noProof/>
                <w:sz w:val="18"/>
              </w:rPr>
              <w:t>2027</w:t>
            </w:r>
          </w:p>
        </w:tc>
        <w:tc>
          <w:tcPr>
            <w:tcW w:w="3600" w:type="dxa"/>
            <w:gridSpan w:val="6"/>
            <w:vAlign w:val="center"/>
          </w:tcPr>
          <w:p w14:paraId="461AE862" w14:textId="77777777" w:rsidR="00A56747" w:rsidRPr="003A769F" w:rsidRDefault="00A56747" w:rsidP="004B53CC">
            <w:pPr>
              <w:jc w:val="center"/>
              <w:rPr>
                <w:noProof/>
                <w:sz w:val="18"/>
                <w:szCs w:val="18"/>
                <w:lang w:val="en-IE"/>
              </w:rPr>
            </w:pPr>
            <w:r w:rsidRPr="003A769F">
              <w:rPr>
                <w:noProof/>
                <w:sz w:val="18"/>
                <w:lang w:val="en-IE"/>
              </w:rPr>
              <w:t xml:space="preserve">Enter as many years as necessary to show the duration of the impact (see </w:t>
            </w:r>
            <w:r>
              <w:rPr>
                <w:noProof/>
                <w:sz w:val="18"/>
                <w:lang w:val="en-IE"/>
              </w:rPr>
              <w:t>Section</w:t>
            </w:r>
            <w:r w:rsidRPr="003A769F">
              <w:rPr>
                <w:noProof/>
                <w:sz w:val="18"/>
                <w:lang w:val="en-IE"/>
              </w:rPr>
              <w:t>1.6)</w:t>
            </w:r>
          </w:p>
        </w:tc>
        <w:tc>
          <w:tcPr>
            <w:tcW w:w="1620" w:type="dxa"/>
            <w:gridSpan w:val="2"/>
            <w:tcBorders>
              <w:left w:val="nil"/>
              <w:bottom w:val="nil"/>
            </w:tcBorders>
            <w:vAlign w:val="center"/>
          </w:tcPr>
          <w:p w14:paraId="1151E201" w14:textId="77777777" w:rsidR="00A56747" w:rsidRDefault="00A56747" w:rsidP="004B53CC">
            <w:pPr>
              <w:ind w:right="-29"/>
              <w:jc w:val="center"/>
              <w:rPr>
                <w:noProof/>
                <w:sz w:val="18"/>
                <w:szCs w:val="18"/>
              </w:rPr>
            </w:pPr>
            <w:r>
              <w:rPr>
                <w:b/>
                <w:noProof/>
                <w:sz w:val="18"/>
              </w:rPr>
              <w:t>TOTAL</w:t>
            </w:r>
          </w:p>
        </w:tc>
      </w:tr>
      <w:tr w:rsidR="00A56747" w14:paraId="66DEAF80" w14:textId="77777777" w:rsidTr="00FF1EF4">
        <w:trPr>
          <w:jc w:val="center"/>
        </w:trPr>
        <w:tc>
          <w:tcPr>
            <w:tcW w:w="1423" w:type="dxa"/>
            <w:vMerge/>
            <w:vAlign w:val="center"/>
          </w:tcPr>
          <w:p w14:paraId="01CAD570" w14:textId="77777777" w:rsidR="00A56747" w:rsidRDefault="00A56747" w:rsidP="004B53CC">
            <w:pPr>
              <w:ind w:right="-29"/>
              <w:jc w:val="center"/>
              <w:rPr>
                <w:noProof/>
                <w:sz w:val="18"/>
                <w:szCs w:val="18"/>
              </w:rPr>
            </w:pPr>
          </w:p>
        </w:tc>
        <w:tc>
          <w:tcPr>
            <w:tcW w:w="12185" w:type="dxa"/>
            <w:gridSpan w:val="19"/>
            <w:vAlign w:val="center"/>
          </w:tcPr>
          <w:p w14:paraId="5D6AD79E" w14:textId="77777777" w:rsidR="00A56747" w:rsidRDefault="00A56747" w:rsidP="004B53CC">
            <w:pPr>
              <w:spacing w:before="60" w:after="60"/>
              <w:ind w:right="-29"/>
              <w:jc w:val="center"/>
              <w:rPr>
                <w:noProof/>
                <w:sz w:val="18"/>
                <w:szCs w:val="18"/>
              </w:rPr>
            </w:pPr>
            <w:r>
              <w:rPr>
                <w:b/>
                <w:noProof/>
                <w:sz w:val="18"/>
              </w:rPr>
              <w:t>OUTPUTS</w:t>
            </w:r>
          </w:p>
        </w:tc>
      </w:tr>
      <w:tr w:rsidR="003100E7" w14:paraId="6A0A912C" w14:textId="77777777" w:rsidTr="4D8CB314">
        <w:trPr>
          <w:cantSplit/>
          <w:trHeight w:val="1134"/>
          <w:jc w:val="center"/>
        </w:trPr>
        <w:tc>
          <w:tcPr>
            <w:tcW w:w="1423" w:type="dxa"/>
            <w:vMerge/>
            <w:vAlign w:val="center"/>
          </w:tcPr>
          <w:p w14:paraId="07FFAFF3" w14:textId="77777777" w:rsidR="00A56747" w:rsidRDefault="00A56747" w:rsidP="004B53CC">
            <w:pPr>
              <w:rPr>
                <w:noProof/>
                <w:sz w:val="18"/>
                <w:szCs w:val="18"/>
              </w:rPr>
            </w:pPr>
          </w:p>
        </w:tc>
        <w:tc>
          <w:tcPr>
            <w:tcW w:w="720" w:type="dxa"/>
            <w:vAlign w:val="center"/>
          </w:tcPr>
          <w:p w14:paraId="770DA6B6" w14:textId="77777777" w:rsidR="00A56747" w:rsidRDefault="00A56747" w:rsidP="004B53CC">
            <w:pPr>
              <w:jc w:val="center"/>
              <w:rPr>
                <w:noProof/>
                <w:sz w:val="18"/>
                <w:szCs w:val="18"/>
              </w:rPr>
            </w:pPr>
            <w:r w:rsidRPr="4B118F64">
              <w:rPr>
                <w:noProof/>
                <w:sz w:val="18"/>
                <w:szCs w:val="18"/>
              </w:rPr>
              <w:t>Type</w:t>
            </w:r>
            <w:r w:rsidRPr="4B118F64">
              <w:rPr>
                <w:rStyle w:val="FootnoteReference"/>
                <w:noProof/>
                <w:sz w:val="18"/>
                <w:szCs w:val="18"/>
              </w:rPr>
              <w:footnoteReference w:id="16"/>
            </w:r>
          </w:p>
          <w:p w14:paraId="61C17F1D" w14:textId="77777777" w:rsidR="00A56747" w:rsidRDefault="00A56747" w:rsidP="004B53CC">
            <w:pPr>
              <w:spacing w:before="0" w:after="0"/>
              <w:jc w:val="center"/>
              <w:rPr>
                <w:noProof/>
                <w:sz w:val="18"/>
                <w:szCs w:val="18"/>
              </w:rPr>
            </w:pPr>
          </w:p>
        </w:tc>
        <w:tc>
          <w:tcPr>
            <w:tcW w:w="701" w:type="dxa"/>
            <w:vAlign w:val="center"/>
          </w:tcPr>
          <w:p w14:paraId="5736640F" w14:textId="77777777" w:rsidR="00A56747" w:rsidRDefault="00A56747" w:rsidP="004B53CC">
            <w:pPr>
              <w:jc w:val="center"/>
              <w:rPr>
                <w:noProof/>
                <w:sz w:val="18"/>
                <w:szCs w:val="18"/>
              </w:rPr>
            </w:pPr>
            <w:r>
              <w:rPr>
                <w:noProof/>
                <w:sz w:val="18"/>
              </w:rPr>
              <w:t>Average cost</w:t>
            </w:r>
          </w:p>
        </w:tc>
        <w:tc>
          <w:tcPr>
            <w:tcW w:w="504" w:type="dxa"/>
            <w:tcBorders>
              <w:left w:val="nil"/>
              <w:right w:val="dashSmallGap" w:sz="4" w:space="0" w:color="auto"/>
            </w:tcBorders>
            <w:shd w:val="clear" w:color="auto" w:fill="auto"/>
            <w:textDirection w:val="btLr"/>
            <w:vAlign w:val="center"/>
          </w:tcPr>
          <w:p w14:paraId="5CA97C33" w14:textId="77777777" w:rsidR="00A56747" w:rsidRDefault="00A56747" w:rsidP="004B53CC">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6D0E87D1" w14:textId="77777777" w:rsidR="00A56747" w:rsidRDefault="00A56747" w:rsidP="004B53CC">
            <w:pPr>
              <w:jc w:val="center"/>
              <w:rPr>
                <w:noProof/>
                <w:sz w:val="18"/>
                <w:szCs w:val="18"/>
              </w:rPr>
            </w:pPr>
            <w:r>
              <w:rPr>
                <w:noProof/>
                <w:sz w:val="18"/>
              </w:rPr>
              <w:t>Cost</w:t>
            </w:r>
          </w:p>
        </w:tc>
        <w:tc>
          <w:tcPr>
            <w:tcW w:w="540" w:type="dxa"/>
            <w:tcBorders>
              <w:right w:val="dashSmallGap" w:sz="4" w:space="0" w:color="auto"/>
            </w:tcBorders>
            <w:shd w:val="clear" w:color="auto" w:fill="auto"/>
            <w:textDirection w:val="btLr"/>
            <w:vAlign w:val="center"/>
          </w:tcPr>
          <w:p w14:paraId="617D4E37" w14:textId="77777777" w:rsidR="00A56747" w:rsidRDefault="00A56747" w:rsidP="004B53CC">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1F2E8666" w14:textId="77777777" w:rsidR="00A56747" w:rsidRDefault="00A56747" w:rsidP="004B53CC">
            <w:pPr>
              <w:jc w:val="center"/>
              <w:rPr>
                <w:noProof/>
                <w:sz w:val="18"/>
                <w:szCs w:val="18"/>
              </w:rPr>
            </w:pPr>
            <w:r>
              <w:rPr>
                <w:noProof/>
                <w:sz w:val="18"/>
              </w:rPr>
              <w:t>Cost</w:t>
            </w:r>
          </w:p>
        </w:tc>
        <w:tc>
          <w:tcPr>
            <w:tcW w:w="720" w:type="dxa"/>
            <w:tcBorders>
              <w:right w:val="dashSmallGap" w:sz="4" w:space="0" w:color="auto"/>
            </w:tcBorders>
            <w:shd w:val="clear" w:color="auto" w:fill="auto"/>
            <w:textDirection w:val="btLr"/>
            <w:vAlign w:val="center"/>
          </w:tcPr>
          <w:p w14:paraId="56E6B88A" w14:textId="77777777" w:rsidR="00A56747" w:rsidRDefault="00A56747" w:rsidP="004B53CC">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6C427CE4" w14:textId="77777777" w:rsidR="00A56747" w:rsidRDefault="00A56747" w:rsidP="004B53CC">
            <w:pPr>
              <w:jc w:val="center"/>
              <w:rPr>
                <w:noProof/>
                <w:sz w:val="18"/>
                <w:szCs w:val="18"/>
              </w:rPr>
            </w:pPr>
            <w:r>
              <w:rPr>
                <w:noProof/>
                <w:sz w:val="18"/>
              </w:rPr>
              <w:t>Cost</w:t>
            </w:r>
          </w:p>
        </w:tc>
        <w:tc>
          <w:tcPr>
            <w:tcW w:w="900" w:type="dxa"/>
            <w:tcBorders>
              <w:right w:val="dashSmallGap" w:sz="4" w:space="0" w:color="auto"/>
            </w:tcBorders>
            <w:shd w:val="clear" w:color="auto" w:fill="auto"/>
            <w:textDirection w:val="btLr"/>
            <w:vAlign w:val="center"/>
          </w:tcPr>
          <w:p w14:paraId="4DBE3335" w14:textId="77777777" w:rsidR="00A56747" w:rsidRDefault="00A56747" w:rsidP="004B53CC">
            <w:pPr>
              <w:ind w:left="113" w:right="113"/>
              <w:jc w:val="center"/>
              <w:rPr>
                <w:noProof/>
                <w:sz w:val="18"/>
                <w:szCs w:val="18"/>
              </w:rPr>
            </w:pPr>
            <w:r>
              <w:rPr>
                <w:noProof/>
                <w:sz w:val="18"/>
              </w:rPr>
              <w:t>No</w:t>
            </w:r>
          </w:p>
        </w:tc>
        <w:tc>
          <w:tcPr>
            <w:tcW w:w="720" w:type="dxa"/>
            <w:gridSpan w:val="2"/>
            <w:tcBorders>
              <w:left w:val="dashSmallGap" w:sz="4" w:space="0" w:color="auto"/>
            </w:tcBorders>
            <w:shd w:val="clear" w:color="auto" w:fill="auto"/>
            <w:vAlign w:val="center"/>
          </w:tcPr>
          <w:p w14:paraId="14BF662D" w14:textId="77777777" w:rsidR="00A56747" w:rsidRDefault="00A56747" w:rsidP="004B53CC">
            <w:pPr>
              <w:jc w:val="center"/>
              <w:rPr>
                <w:noProof/>
                <w:sz w:val="18"/>
                <w:szCs w:val="18"/>
              </w:rPr>
            </w:pPr>
            <w:r>
              <w:rPr>
                <w:noProof/>
                <w:sz w:val="18"/>
              </w:rPr>
              <w:t>Cost</w:t>
            </w:r>
          </w:p>
        </w:tc>
        <w:tc>
          <w:tcPr>
            <w:tcW w:w="540" w:type="dxa"/>
            <w:tcBorders>
              <w:right w:val="dashSmallGap" w:sz="4" w:space="0" w:color="auto"/>
            </w:tcBorders>
            <w:shd w:val="clear" w:color="auto" w:fill="auto"/>
            <w:textDirection w:val="btLr"/>
            <w:vAlign w:val="center"/>
          </w:tcPr>
          <w:p w14:paraId="0DBF91BC" w14:textId="77777777" w:rsidR="00A56747" w:rsidRDefault="00A56747" w:rsidP="004B53CC">
            <w:pPr>
              <w:ind w:left="113" w:right="113"/>
              <w:jc w:val="center"/>
              <w:rPr>
                <w:noProof/>
                <w:sz w:val="18"/>
                <w:szCs w:val="18"/>
              </w:rPr>
            </w:pPr>
            <w:r>
              <w:rPr>
                <w:noProof/>
                <w:sz w:val="18"/>
              </w:rPr>
              <w:t>No</w:t>
            </w:r>
          </w:p>
        </w:tc>
        <w:tc>
          <w:tcPr>
            <w:tcW w:w="648" w:type="dxa"/>
            <w:tcBorders>
              <w:left w:val="dashSmallGap" w:sz="4" w:space="0" w:color="auto"/>
            </w:tcBorders>
            <w:shd w:val="clear" w:color="auto" w:fill="auto"/>
            <w:vAlign w:val="center"/>
          </w:tcPr>
          <w:p w14:paraId="0946946B" w14:textId="77777777" w:rsidR="00A56747" w:rsidRDefault="00A56747" w:rsidP="004B53CC">
            <w:pPr>
              <w:jc w:val="center"/>
              <w:rPr>
                <w:noProof/>
                <w:sz w:val="18"/>
                <w:szCs w:val="18"/>
              </w:rPr>
            </w:pPr>
            <w:r>
              <w:rPr>
                <w:noProof/>
                <w:sz w:val="18"/>
              </w:rPr>
              <w:t>Cost</w:t>
            </w:r>
          </w:p>
        </w:tc>
        <w:tc>
          <w:tcPr>
            <w:tcW w:w="432" w:type="dxa"/>
            <w:tcBorders>
              <w:right w:val="dashSmallGap" w:sz="4" w:space="0" w:color="auto"/>
            </w:tcBorders>
            <w:shd w:val="clear" w:color="auto" w:fill="auto"/>
            <w:textDirection w:val="btLr"/>
            <w:vAlign w:val="center"/>
          </w:tcPr>
          <w:p w14:paraId="73B88C68" w14:textId="77777777" w:rsidR="00A56747" w:rsidRDefault="00A56747" w:rsidP="004B53CC">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09EF7330" w14:textId="77777777" w:rsidR="00A56747" w:rsidRDefault="00A56747" w:rsidP="004B53CC">
            <w:pPr>
              <w:jc w:val="center"/>
              <w:rPr>
                <w:noProof/>
                <w:sz w:val="18"/>
                <w:szCs w:val="18"/>
              </w:rPr>
            </w:pPr>
            <w:r>
              <w:rPr>
                <w:noProof/>
                <w:sz w:val="18"/>
              </w:rPr>
              <w:t>Cost</w:t>
            </w:r>
          </w:p>
        </w:tc>
        <w:tc>
          <w:tcPr>
            <w:tcW w:w="540" w:type="dxa"/>
            <w:tcBorders>
              <w:right w:val="dashSmallGap" w:sz="4" w:space="0" w:color="auto"/>
            </w:tcBorders>
            <w:shd w:val="clear" w:color="auto" w:fill="auto"/>
            <w:textDirection w:val="btLr"/>
            <w:vAlign w:val="center"/>
          </w:tcPr>
          <w:p w14:paraId="4222A03A" w14:textId="77777777" w:rsidR="00A56747" w:rsidRDefault="00A56747" w:rsidP="004B53CC">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456995DB" w14:textId="77777777" w:rsidR="00A56747" w:rsidRDefault="00A56747" w:rsidP="004B53CC">
            <w:pPr>
              <w:jc w:val="center"/>
              <w:rPr>
                <w:noProof/>
                <w:sz w:val="18"/>
                <w:szCs w:val="18"/>
              </w:rPr>
            </w:pPr>
            <w:r>
              <w:rPr>
                <w:noProof/>
                <w:sz w:val="18"/>
              </w:rPr>
              <w:t>Cost</w:t>
            </w:r>
          </w:p>
        </w:tc>
        <w:tc>
          <w:tcPr>
            <w:tcW w:w="720" w:type="dxa"/>
            <w:tcBorders>
              <w:right w:val="dashSmallGap" w:sz="4" w:space="0" w:color="auto"/>
            </w:tcBorders>
            <w:shd w:val="clear" w:color="auto" w:fill="auto"/>
            <w:vAlign w:val="center"/>
          </w:tcPr>
          <w:p w14:paraId="7EA6C2A7" w14:textId="77777777" w:rsidR="00A56747" w:rsidRDefault="00A56747" w:rsidP="004B53CC">
            <w:pPr>
              <w:jc w:val="center"/>
              <w:rPr>
                <w:noProof/>
                <w:sz w:val="18"/>
                <w:szCs w:val="18"/>
              </w:rPr>
            </w:pPr>
            <w:r>
              <w:rPr>
                <w:noProof/>
                <w:sz w:val="18"/>
              </w:rPr>
              <w:t>Total No</w:t>
            </w:r>
          </w:p>
        </w:tc>
        <w:tc>
          <w:tcPr>
            <w:tcW w:w="900" w:type="dxa"/>
            <w:tcBorders>
              <w:left w:val="dashSmallGap" w:sz="4" w:space="0" w:color="auto"/>
            </w:tcBorders>
            <w:shd w:val="clear" w:color="auto" w:fill="auto"/>
            <w:vAlign w:val="center"/>
          </w:tcPr>
          <w:p w14:paraId="5E86878A" w14:textId="77777777" w:rsidR="00A56747" w:rsidRDefault="00A56747" w:rsidP="004B53CC">
            <w:pPr>
              <w:jc w:val="center"/>
              <w:rPr>
                <w:noProof/>
                <w:sz w:val="18"/>
                <w:szCs w:val="18"/>
              </w:rPr>
            </w:pPr>
            <w:r>
              <w:rPr>
                <w:noProof/>
                <w:sz w:val="18"/>
              </w:rPr>
              <w:t>Total cost</w:t>
            </w:r>
          </w:p>
        </w:tc>
      </w:tr>
      <w:tr w:rsidR="00A56747" w14:paraId="2A543FB3" w14:textId="77777777" w:rsidTr="00FF1EF4">
        <w:trPr>
          <w:jc w:val="center"/>
        </w:trPr>
        <w:tc>
          <w:tcPr>
            <w:tcW w:w="2844" w:type="dxa"/>
            <w:gridSpan w:val="3"/>
            <w:vAlign w:val="center"/>
          </w:tcPr>
          <w:p w14:paraId="32702F3C" w14:textId="77777777" w:rsidR="00A56747" w:rsidRDefault="00A56747" w:rsidP="004B53CC">
            <w:pPr>
              <w:spacing w:before="60" w:after="60"/>
              <w:ind w:right="-29"/>
              <w:jc w:val="center"/>
              <w:rPr>
                <w:noProof/>
                <w:sz w:val="18"/>
                <w:szCs w:val="18"/>
              </w:rPr>
            </w:pPr>
            <w:r w:rsidRPr="4B118F64">
              <w:rPr>
                <w:noProof/>
                <w:sz w:val="18"/>
                <w:szCs w:val="18"/>
              </w:rPr>
              <w:t>SPECIFIC OBJECTIVE No 1</w:t>
            </w:r>
            <w:r w:rsidRPr="4B118F64">
              <w:rPr>
                <w:rStyle w:val="FootnoteReference"/>
                <w:noProof/>
                <w:sz w:val="18"/>
                <w:szCs w:val="18"/>
              </w:rPr>
              <w:footnoteReference w:id="17"/>
            </w:r>
            <w:r w:rsidRPr="4B118F64">
              <w:rPr>
                <w:noProof/>
                <w:sz w:val="18"/>
                <w:szCs w:val="18"/>
              </w:rPr>
              <w:t>…</w:t>
            </w:r>
          </w:p>
        </w:tc>
        <w:tc>
          <w:tcPr>
            <w:tcW w:w="504" w:type="dxa"/>
            <w:tcBorders>
              <w:top w:val="nil"/>
              <w:left w:val="nil"/>
              <w:bottom w:val="nil"/>
              <w:right w:val="nil"/>
            </w:tcBorders>
          </w:tcPr>
          <w:p w14:paraId="14D0DA01"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2B481D99" w14:textId="77777777" w:rsidR="00A56747" w:rsidRDefault="00A56747" w:rsidP="004B53CC">
            <w:pPr>
              <w:spacing w:before="60" w:after="60"/>
              <w:ind w:right="-29"/>
              <w:jc w:val="center"/>
              <w:rPr>
                <w:noProof/>
                <w:sz w:val="18"/>
                <w:szCs w:val="18"/>
              </w:rPr>
            </w:pPr>
          </w:p>
        </w:tc>
        <w:tc>
          <w:tcPr>
            <w:tcW w:w="540" w:type="dxa"/>
            <w:tcBorders>
              <w:top w:val="nil"/>
              <w:left w:val="nil"/>
              <w:bottom w:val="nil"/>
              <w:right w:val="nil"/>
            </w:tcBorders>
          </w:tcPr>
          <w:p w14:paraId="08A44A21"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21BC9BC6"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5BB0AEDB"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2430DCAE" w14:textId="77777777" w:rsidR="00A56747" w:rsidRDefault="00A56747" w:rsidP="004B53CC">
            <w:pPr>
              <w:spacing w:before="60" w:after="60"/>
              <w:ind w:right="-29"/>
              <w:jc w:val="center"/>
              <w:rPr>
                <w:noProof/>
                <w:sz w:val="18"/>
                <w:szCs w:val="18"/>
              </w:rPr>
            </w:pPr>
          </w:p>
        </w:tc>
        <w:tc>
          <w:tcPr>
            <w:tcW w:w="900" w:type="dxa"/>
            <w:tcBorders>
              <w:top w:val="nil"/>
              <w:left w:val="nil"/>
              <w:bottom w:val="nil"/>
              <w:right w:val="nil"/>
            </w:tcBorders>
          </w:tcPr>
          <w:p w14:paraId="018EBFE1" w14:textId="77777777" w:rsidR="00A56747" w:rsidRDefault="00A56747" w:rsidP="004B53CC">
            <w:pPr>
              <w:spacing w:before="60" w:after="60"/>
              <w:ind w:right="-29"/>
              <w:jc w:val="center"/>
              <w:rPr>
                <w:noProof/>
                <w:sz w:val="18"/>
                <w:szCs w:val="18"/>
              </w:rPr>
            </w:pPr>
          </w:p>
        </w:tc>
        <w:tc>
          <w:tcPr>
            <w:tcW w:w="720" w:type="dxa"/>
            <w:gridSpan w:val="2"/>
            <w:tcBorders>
              <w:top w:val="nil"/>
              <w:left w:val="nil"/>
              <w:bottom w:val="nil"/>
              <w:right w:val="nil"/>
            </w:tcBorders>
          </w:tcPr>
          <w:p w14:paraId="5C63C4D9" w14:textId="77777777" w:rsidR="00A56747" w:rsidRDefault="00A56747" w:rsidP="004B53CC">
            <w:pPr>
              <w:spacing w:before="60" w:after="60"/>
              <w:ind w:right="-29"/>
              <w:jc w:val="center"/>
              <w:rPr>
                <w:noProof/>
                <w:sz w:val="18"/>
                <w:szCs w:val="18"/>
              </w:rPr>
            </w:pPr>
          </w:p>
        </w:tc>
        <w:tc>
          <w:tcPr>
            <w:tcW w:w="540" w:type="dxa"/>
            <w:tcBorders>
              <w:top w:val="nil"/>
              <w:left w:val="nil"/>
              <w:bottom w:val="nil"/>
              <w:right w:val="nil"/>
            </w:tcBorders>
          </w:tcPr>
          <w:p w14:paraId="7A8395D1" w14:textId="77777777" w:rsidR="00A56747" w:rsidRDefault="00A56747" w:rsidP="004B53CC">
            <w:pPr>
              <w:spacing w:before="60" w:after="60"/>
              <w:ind w:right="-29"/>
              <w:jc w:val="center"/>
              <w:rPr>
                <w:noProof/>
                <w:sz w:val="18"/>
                <w:szCs w:val="18"/>
              </w:rPr>
            </w:pPr>
          </w:p>
        </w:tc>
        <w:tc>
          <w:tcPr>
            <w:tcW w:w="648" w:type="dxa"/>
            <w:tcBorders>
              <w:top w:val="nil"/>
              <w:left w:val="nil"/>
              <w:bottom w:val="nil"/>
              <w:right w:val="nil"/>
            </w:tcBorders>
          </w:tcPr>
          <w:p w14:paraId="25176831" w14:textId="77777777" w:rsidR="00A56747" w:rsidRDefault="00A56747" w:rsidP="004B53CC">
            <w:pPr>
              <w:spacing w:before="60" w:after="60"/>
              <w:ind w:right="-29"/>
              <w:jc w:val="center"/>
              <w:rPr>
                <w:noProof/>
                <w:sz w:val="18"/>
                <w:szCs w:val="18"/>
              </w:rPr>
            </w:pPr>
          </w:p>
        </w:tc>
        <w:tc>
          <w:tcPr>
            <w:tcW w:w="432" w:type="dxa"/>
            <w:tcBorders>
              <w:top w:val="nil"/>
              <w:left w:val="nil"/>
              <w:bottom w:val="nil"/>
              <w:right w:val="nil"/>
            </w:tcBorders>
          </w:tcPr>
          <w:p w14:paraId="0E04DD9F"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6BB6CA9E" w14:textId="77777777" w:rsidR="00A56747" w:rsidRDefault="00A56747" w:rsidP="004B53CC">
            <w:pPr>
              <w:spacing w:before="60" w:after="60"/>
              <w:ind w:right="-29"/>
              <w:jc w:val="center"/>
              <w:rPr>
                <w:noProof/>
                <w:sz w:val="18"/>
                <w:szCs w:val="18"/>
              </w:rPr>
            </w:pPr>
          </w:p>
        </w:tc>
        <w:tc>
          <w:tcPr>
            <w:tcW w:w="540" w:type="dxa"/>
            <w:tcBorders>
              <w:top w:val="nil"/>
              <w:left w:val="nil"/>
              <w:bottom w:val="nil"/>
              <w:right w:val="nil"/>
            </w:tcBorders>
          </w:tcPr>
          <w:p w14:paraId="5E87EF88"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1FFD100C"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4A5D5574" w14:textId="77777777" w:rsidR="00A56747" w:rsidRDefault="00A56747" w:rsidP="004B53CC">
            <w:pPr>
              <w:spacing w:before="60" w:after="60"/>
              <w:ind w:right="-29"/>
              <w:jc w:val="center"/>
              <w:rPr>
                <w:noProof/>
                <w:sz w:val="18"/>
                <w:szCs w:val="18"/>
              </w:rPr>
            </w:pPr>
          </w:p>
        </w:tc>
        <w:tc>
          <w:tcPr>
            <w:tcW w:w="900" w:type="dxa"/>
            <w:tcBorders>
              <w:top w:val="nil"/>
              <w:left w:val="nil"/>
              <w:bottom w:val="nil"/>
              <w:right w:val="nil"/>
            </w:tcBorders>
          </w:tcPr>
          <w:p w14:paraId="79A42CB6" w14:textId="77777777" w:rsidR="00A56747" w:rsidRDefault="00A56747" w:rsidP="004B53CC">
            <w:pPr>
              <w:spacing w:before="60" w:after="60"/>
              <w:ind w:right="-29"/>
              <w:jc w:val="center"/>
              <w:rPr>
                <w:noProof/>
                <w:sz w:val="18"/>
                <w:szCs w:val="18"/>
              </w:rPr>
            </w:pPr>
          </w:p>
        </w:tc>
      </w:tr>
      <w:tr w:rsidR="003100E7" w14:paraId="7C9DBA2B" w14:textId="77777777" w:rsidTr="4D8CB314">
        <w:trPr>
          <w:trHeight w:hRule="exact" w:val="369"/>
          <w:jc w:val="center"/>
        </w:trPr>
        <w:tc>
          <w:tcPr>
            <w:tcW w:w="1423" w:type="dxa"/>
          </w:tcPr>
          <w:p w14:paraId="7D1C79FC" w14:textId="77777777" w:rsidR="00A56747" w:rsidRDefault="00A56747" w:rsidP="004B53CC">
            <w:pPr>
              <w:ind w:right="-29"/>
              <w:jc w:val="center"/>
              <w:rPr>
                <w:noProof/>
                <w:sz w:val="18"/>
                <w:szCs w:val="18"/>
              </w:rPr>
            </w:pPr>
            <w:r>
              <w:rPr>
                <w:noProof/>
                <w:sz w:val="18"/>
              </w:rPr>
              <w:t>- Output</w:t>
            </w:r>
          </w:p>
        </w:tc>
        <w:tc>
          <w:tcPr>
            <w:tcW w:w="720" w:type="dxa"/>
          </w:tcPr>
          <w:p w14:paraId="4880AF15" w14:textId="77777777" w:rsidR="00A56747" w:rsidRDefault="00A56747" w:rsidP="004B53CC">
            <w:pPr>
              <w:ind w:right="-29"/>
              <w:jc w:val="center"/>
              <w:rPr>
                <w:noProof/>
                <w:sz w:val="18"/>
                <w:szCs w:val="18"/>
              </w:rPr>
            </w:pPr>
          </w:p>
        </w:tc>
        <w:tc>
          <w:tcPr>
            <w:tcW w:w="701" w:type="dxa"/>
          </w:tcPr>
          <w:p w14:paraId="0BC9A042" w14:textId="77777777" w:rsidR="00A56747" w:rsidRDefault="00A56747" w:rsidP="004B53CC">
            <w:pPr>
              <w:ind w:right="-29"/>
              <w:jc w:val="center"/>
              <w:rPr>
                <w:noProof/>
                <w:sz w:val="18"/>
                <w:szCs w:val="18"/>
              </w:rPr>
            </w:pPr>
          </w:p>
        </w:tc>
        <w:tc>
          <w:tcPr>
            <w:tcW w:w="504" w:type="dxa"/>
            <w:tcBorders>
              <w:right w:val="dashSmallGap" w:sz="4" w:space="0" w:color="auto"/>
            </w:tcBorders>
          </w:tcPr>
          <w:p w14:paraId="5115BF78" w14:textId="77777777" w:rsidR="00A56747" w:rsidRDefault="00A56747" w:rsidP="004B53CC">
            <w:pPr>
              <w:ind w:right="-29"/>
              <w:jc w:val="center"/>
              <w:rPr>
                <w:noProof/>
                <w:sz w:val="18"/>
                <w:szCs w:val="18"/>
              </w:rPr>
            </w:pPr>
          </w:p>
        </w:tc>
        <w:tc>
          <w:tcPr>
            <w:tcW w:w="720" w:type="dxa"/>
            <w:tcBorders>
              <w:left w:val="dashSmallGap" w:sz="4" w:space="0" w:color="auto"/>
            </w:tcBorders>
          </w:tcPr>
          <w:p w14:paraId="4A5F40F9" w14:textId="77777777" w:rsidR="00A56747" w:rsidRDefault="00A56747" w:rsidP="004B53CC">
            <w:pPr>
              <w:ind w:right="-29"/>
              <w:jc w:val="center"/>
              <w:rPr>
                <w:noProof/>
                <w:sz w:val="18"/>
                <w:szCs w:val="18"/>
              </w:rPr>
            </w:pPr>
          </w:p>
        </w:tc>
        <w:tc>
          <w:tcPr>
            <w:tcW w:w="540" w:type="dxa"/>
            <w:tcBorders>
              <w:right w:val="dashSmallGap" w:sz="4" w:space="0" w:color="auto"/>
            </w:tcBorders>
          </w:tcPr>
          <w:p w14:paraId="434C7D41" w14:textId="77777777" w:rsidR="00A56747" w:rsidRDefault="00A56747" w:rsidP="004B53CC">
            <w:pPr>
              <w:ind w:right="-29"/>
              <w:jc w:val="center"/>
              <w:rPr>
                <w:noProof/>
                <w:sz w:val="18"/>
                <w:szCs w:val="18"/>
              </w:rPr>
            </w:pPr>
          </w:p>
        </w:tc>
        <w:tc>
          <w:tcPr>
            <w:tcW w:w="720" w:type="dxa"/>
            <w:tcBorders>
              <w:left w:val="dashSmallGap" w:sz="4" w:space="0" w:color="auto"/>
            </w:tcBorders>
          </w:tcPr>
          <w:p w14:paraId="686DF68F" w14:textId="77777777" w:rsidR="00A56747" w:rsidRDefault="00A56747" w:rsidP="004B53CC">
            <w:pPr>
              <w:ind w:right="-29"/>
              <w:jc w:val="center"/>
              <w:rPr>
                <w:noProof/>
                <w:sz w:val="18"/>
                <w:szCs w:val="18"/>
              </w:rPr>
            </w:pPr>
          </w:p>
        </w:tc>
        <w:tc>
          <w:tcPr>
            <w:tcW w:w="720" w:type="dxa"/>
            <w:tcBorders>
              <w:right w:val="dashSmallGap" w:sz="4" w:space="0" w:color="auto"/>
            </w:tcBorders>
          </w:tcPr>
          <w:p w14:paraId="5D98C4E2" w14:textId="77777777" w:rsidR="00A56747" w:rsidRDefault="00A56747" w:rsidP="004B53CC">
            <w:pPr>
              <w:ind w:right="-29"/>
              <w:jc w:val="center"/>
              <w:rPr>
                <w:noProof/>
                <w:sz w:val="18"/>
                <w:szCs w:val="18"/>
              </w:rPr>
            </w:pPr>
          </w:p>
        </w:tc>
        <w:tc>
          <w:tcPr>
            <w:tcW w:w="720" w:type="dxa"/>
            <w:tcBorders>
              <w:left w:val="dashSmallGap" w:sz="4" w:space="0" w:color="auto"/>
            </w:tcBorders>
          </w:tcPr>
          <w:p w14:paraId="48C5F262" w14:textId="77777777" w:rsidR="00A56747" w:rsidRDefault="00A56747" w:rsidP="004B53CC">
            <w:pPr>
              <w:ind w:right="-29"/>
              <w:jc w:val="center"/>
              <w:rPr>
                <w:noProof/>
                <w:sz w:val="18"/>
                <w:szCs w:val="18"/>
              </w:rPr>
            </w:pPr>
          </w:p>
        </w:tc>
        <w:tc>
          <w:tcPr>
            <w:tcW w:w="900" w:type="dxa"/>
            <w:tcBorders>
              <w:right w:val="dashSmallGap" w:sz="4" w:space="0" w:color="auto"/>
            </w:tcBorders>
          </w:tcPr>
          <w:p w14:paraId="6CF08319" w14:textId="77777777" w:rsidR="00A56747" w:rsidRDefault="00A56747" w:rsidP="004B53CC">
            <w:pPr>
              <w:ind w:right="-29"/>
              <w:jc w:val="center"/>
              <w:rPr>
                <w:noProof/>
                <w:sz w:val="18"/>
                <w:szCs w:val="18"/>
              </w:rPr>
            </w:pPr>
          </w:p>
        </w:tc>
        <w:tc>
          <w:tcPr>
            <w:tcW w:w="720" w:type="dxa"/>
            <w:gridSpan w:val="2"/>
            <w:tcBorders>
              <w:left w:val="dashSmallGap" w:sz="4" w:space="0" w:color="auto"/>
            </w:tcBorders>
          </w:tcPr>
          <w:p w14:paraId="61E24CB1" w14:textId="77777777" w:rsidR="00A56747" w:rsidRDefault="00A56747" w:rsidP="004B53CC">
            <w:pPr>
              <w:ind w:right="-29"/>
              <w:jc w:val="center"/>
              <w:rPr>
                <w:noProof/>
                <w:sz w:val="18"/>
                <w:szCs w:val="18"/>
              </w:rPr>
            </w:pPr>
          </w:p>
        </w:tc>
        <w:tc>
          <w:tcPr>
            <w:tcW w:w="540" w:type="dxa"/>
            <w:tcBorders>
              <w:right w:val="dashSmallGap" w:sz="4" w:space="0" w:color="auto"/>
            </w:tcBorders>
          </w:tcPr>
          <w:p w14:paraId="41A510D2" w14:textId="77777777" w:rsidR="00A56747" w:rsidRDefault="00A56747" w:rsidP="004B53CC">
            <w:pPr>
              <w:ind w:right="-29"/>
              <w:jc w:val="center"/>
              <w:rPr>
                <w:noProof/>
                <w:sz w:val="18"/>
                <w:szCs w:val="18"/>
              </w:rPr>
            </w:pPr>
          </w:p>
        </w:tc>
        <w:tc>
          <w:tcPr>
            <w:tcW w:w="648" w:type="dxa"/>
            <w:tcBorders>
              <w:left w:val="dashSmallGap" w:sz="4" w:space="0" w:color="auto"/>
            </w:tcBorders>
          </w:tcPr>
          <w:p w14:paraId="74831F0E" w14:textId="77777777" w:rsidR="00A56747" w:rsidRDefault="00A56747" w:rsidP="004B53CC">
            <w:pPr>
              <w:ind w:right="-29"/>
              <w:jc w:val="center"/>
              <w:rPr>
                <w:noProof/>
                <w:sz w:val="18"/>
                <w:szCs w:val="18"/>
              </w:rPr>
            </w:pPr>
          </w:p>
        </w:tc>
        <w:tc>
          <w:tcPr>
            <w:tcW w:w="432" w:type="dxa"/>
            <w:tcBorders>
              <w:right w:val="dashSmallGap" w:sz="4" w:space="0" w:color="auto"/>
            </w:tcBorders>
          </w:tcPr>
          <w:p w14:paraId="654B42F6" w14:textId="77777777" w:rsidR="00A56747" w:rsidRDefault="00A56747" w:rsidP="004B53CC">
            <w:pPr>
              <w:ind w:right="-29"/>
              <w:jc w:val="center"/>
              <w:rPr>
                <w:noProof/>
                <w:sz w:val="18"/>
                <w:szCs w:val="18"/>
              </w:rPr>
            </w:pPr>
          </w:p>
        </w:tc>
        <w:tc>
          <w:tcPr>
            <w:tcW w:w="720" w:type="dxa"/>
            <w:tcBorders>
              <w:left w:val="dashSmallGap" w:sz="4" w:space="0" w:color="auto"/>
            </w:tcBorders>
          </w:tcPr>
          <w:p w14:paraId="1354C058" w14:textId="77777777" w:rsidR="00A56747" w:rsidRDefault="00A56747" w:rsidP="004B53CC">
            <w:pPr>
              <w:ind w:right="-29"/>
              <w:jc w:val="center"/>
              <w:rPr>
                <w:noProof/>
                <w:sz w:val="18"/>
                <w:szCs w:val="18"/>
              </w:rPr>
            </w:pPr>
          </w:p>
        </w:tc>
        <w:tc>
          <w:tcPr>
            <w:tcW w:w="540" w:type="dxa"/>
            <w:tcBorders>
              <w:right w:val="dashSmallGap" w:sz="4" w:space="0" w:color="auto"/>
            </w:tcBorders>
          </w:tcPr>
          <w:p w14:paraId="3563B5CE" w14:textId="77777777" w:rsidR="00A56747" w:rsidRDefault="00A56747" w:rsidP="004B53CC">
            <w:pPr>
              <w:ind w:right="-29"/>
              <w:jc w:val="center"/>
              <w:rPr>
                <w:noProof/>
                <w:sz w:val="18"/>
                <w:szCs w:val="18"/>
              </w:rPr>
            </w:pPr>
          </w:p>
        </w:tc>
        <w:tc>
          <w:tcPr>
            <w:tcW w:w="720" w:type="dxa"/>
            <w:tcBorders>
              <w:left w:val="dashSmallGap" w:sz="4" w:space="0" w:color="auto"/>
            </w:tcBorders>
          </w:tcPr>
          <w:p w14:paraId="4D425E67" w14:textId="77777777" w:rsidR="00A56747" w:rsidRDefault="00A56747" w:rsidP="004B53CC">
            <w:pPr>
              <w:ind w:right="-29"/>
              <w:jc w:val="center"/>
              <w:rPr>
                <w:noProof/>
                <w:sz w:val="18"/>
                <w:szCs w:val="18"/>
              </w:rPr>
            </w:pPr>
          </w:p>
        </w:tc>
        <w:tc>
          <w:tcPr>
            <w:tcW w:w="720" w:type="dxa"/>
          </w:tcPr>
          <w:p w14:paraId="062C6299" w14:textId="77777777" w:rsidR="00A56747" w:rsidRDefault="00A56747" w:rsidP="004B53CC">
            <w:pPr>
              <w:ind w:right="-29"/>
              <w:jc w:val="center"/>
              <w:rPr>
                <w:noProof/>
                <w:sz w:val="18"/>
                <w:szCs w:val="18"/>
              </w:rPr>
            </w:pPr>
          </w:p>
        </w:tc>
        <w:tc>
          <w:tcPr>
            <w:tcW w:w="900" w:type="dxa"/>
          </w:tcPr>
          <w:p w14:paraId="6FCF3E80" w14:textId="77777777" w:rsidR="00A56747" w:rsidRDefault="00A56747" w:rsidP="004B53CC">
            <w:pPr>
              <w:ind w:right="-29"/>
              <w:jc w:val="center"/>
              <w:rPr>
                <w:noProof/>
                <w:sz w:val="18"/>
                <w:szCs w:val="18"/>
              </w:rPr>
            </w:pPr>
          </w:p>
        </w:tc>
      </w:tr>
      <w:tr w:rsidR="003100E7" w14:paraId="1641EB27" w14:textId="77777777" w:rsidTr="4D8CB314">
        <w:trPr>
          <w:trHeight w:hRule="exact" w:val="369"/>
          <w:jc w:val="center"/>
        </w:trPr>
        <w:tc>
          <w:tcPr>
            <w:tcW w:w="1423" w:type="dxa"/>
          </w:tcPr>
          <w:p w14:paraId="49FC059F" w14:textId="77777777" w:rsidR="00A56747" w:rsidRDefault="00A56747" w:rsidP="004B53CC">
            <w:pPr>
              <w:ind w:right="-29"/>
              <w:jc w:val="center"/>
              <w:rPr>
                <w:noProof/>
                <w:sz w:val="18"/>
                <w:szCs w:val="18"/>
              </w:rPr>
            </w:pPr>
            <w:r>
              <w:rPr>
                <w:noProof/>
                <w:sz w:val="18"/>
              </w:rPr>
              <w:t>- Output</w:t>
            </w:r>
          </w:p>
        </w:tc>
        <w:tc>
          <w:tcPr>
            <w:tcW w:w="720" w:type="dxa"/>
          </w:tcPr>
          <w:p w14:paraId="6470844B" w14:textId="77777777" w:rsidR="00A56747" w:rsidRDefault="00A56747" w:rsidP="004B53CC">
            <w:pPr>
              <w:ind w:right="-29"/>
              <w:jc w:val="center"/>
              <w:rPr>
                <w:noProof/>
                <w:sz w:val="18"/>
                <w:szCs w:val="18"/>
              </w:rPr>
            </w:pPr>
          </w:p>
        </w:tc>
        <w:tc>
          <w:tcPr>
            <w:tcW w:w="701" w:type="dxa"/>
          </w:tcPr>
          <w:p w14:paraId="4B9021CA" w14:textId="77777777" w:rsidR="00A56747" w:rsidRDefault="00A56747" w:rsidP="004B53CC">
            <w:pPr>
              <w:ind w:right="-29"/>
              <w:jc w:val="center"/>
              <w:rPr>
                <w:noProof/>
                <w:sz w:val="18"/>
                <w:szCs w:val="18"/>
              </w:rPr>
            </w:pPr>
          </w:p>
        </w:tc>
        <w:tc>
          <w:tcPr>
            <w:tcW w:w="504" w:type="dxa"/>
            <w:tcBorders>
              <w:right w:val="dashSmallGap" w:sz="4" w:space="0" w:color="auto"/>
            </w:tcBorders>
          </w:tcPr>
          <w:p w14:paraId="736D157A" w14:textId="77777777" w:rsidR="00A56747" w:rsidRDefault="00A56747" w:rsidP="004B53CC">
            <w:pPr>
              <w:ind w:right="-29"/>
              <w:jc w:val="center"/>
              <w:rPr>
                <w:noProof/>
                <w:sz w:val="18"/>
                <w:szCs w:val="18"/>
              </w:rPr>
            </w:pPr>
          </w:p>
        </w:tc>
        <w:tc>
          <w:tcPr>
            <w:tcW w:w="720" w:type="dxa"/>
            <w:tcBorders>
              <w:left w:val="dashSmallGap" w:sz="4" w:space="0" w:color="auto"/>
            </w:tcBorders>
          </w:tcPr>
          <w:p w14:paraId="3ADDD405" w14:textId="77777777" w:rsidR="00A56747" w:rsidRDefault="00A56747" w:rsidP="004B53CC">
            <w:pPr>
              <w:ind w:right="-29"/>
              <w:jc w:val="center"/>
              <w:rPr>
                <w:noProof/>
                <w:sz w:val="18"/>
                <w:szCs w:val="18"/>
              </w:rPr>
            </w:pPr>
          </w:p>
        </w:tc>
        <w:tc>
          <w:tcPr>
            <w:tcW w:w="540" w:type="dxa"/>
            <w:tcBorders>
              <w:right w:val="dashSmallGap" w:sz="4" w:space="0" w:color="auto"/>
            </w:tcBorders>
          </w:tcPr>
          <w:p w14:paraId="6B1B9077" w14:textId="77777777" w:rsidR="00A56747" w:rsidRDefault="00A56747" w:rsidP="004B53CC">
            <w:pPr>
              <w:ind w:right="-29"/>
              <w:jc w:val="center"/>
              <w:rPr>
                <w:noProof/>
                <w:sz w:val="18"/>
                <w:szCs w:val="18"/>
              </w:rPr>
            </w:pPr>
          </w:p>
        </w:tc>
        <w:tc>
          <w:tcPr>
            <w:tcW w:w="720" w:type="dxa"/>
            <w:tcBorders>
              <w:left w:val="dashSmallGap" w:sz="4" w:space="0" w:color="auto"/>
            </w:tcBorders>
          </w:tcPr>
          <w:p w14:paraId="1B821E78" w14:textId="77777777" w:rsidR="00A56747" w:rsidRDefault="00A56747" w:rsidP="004B53CC">
            <w:pPr>
              <w:ind w:right="-29"/>
              <w:jc w:val="center"/>
              <w:rPr>
                <w:noProof/>
                <w:sz w:val="18"/>
                <w:szCs w:val="18"/>
              </w:rPr>
            </w:pPr>
          </w:p>
        </w:tc>
        <w:tc>
          <w:tcPr>
            <w:tcW w:w="720" w:type="dxa"/>
            <w:tcBorders>
              <w:right w:val="dashSmallGap" w:sz="4" w:space="0" w:color="auto"/>
            </w:tcBorders>
          </w:tcPr>
          <w:p w14:paraId="69D7912C" w14:textId="77777777" w:rsidR="00A56747" w:rsidRDefault="00A56747" w:rsidP="004B53CC">
            <w:pPr>
              <w:ind w:right="-29"/>
              <w:jc w:val="center"/>
              <w:rPr>
                <w:noProof/>
                <w:sz w:val="18"/>
                <w:szCs w:val="18"/>
              </w:rPr>
            </w:pPr>
          </w:p>
        </w:tc>
        <w:tc>
          <w:tcPr>
            <w:tcW w:w="720" w:type="dxa"/>
            <w:tcBorders>
              <w:left w:val="dashSmallGap" w:sz="4" w:space="0" w:color="auto"/>
            </w:tcBorders>
          </w:tcPr>
          <w:p w14:paraId="0DE92BF0" w14:textId="77777777" w:rsidR="00A56747" w:rsidRDefault="00A56747" w:rsidP="004B53CC">
            <w:pPr>
              <w:ind w:right="-29"/>
              <w:jc w:val="center"/>
              <w:rPr>
                <w:noProof/>
                <w:sz w:val="18"/>
                <w:szCs w:val="18"/>
              </w:rPr>
            </w:pPr>
          </w:p>
        </w:tc>
        <w:tc>
          <w:tcPr>
            <w:tcW w:w="900" w:type="dxa"/>
            <w:tcBorders>
              <w:right w:val="dashSmallGap" w:sz="4" w:space="0" w:color="auto"/>
            </w:tcBorders>
          </w:tcPr>
          <w:p w14:paraId="45475FB1" w14:textId="77777777" w:rsidR="00A56747" w:rsidRDefault="00A56747" w:rsidP="004B53CC">
            <w:pPr>
              <w:ind w:right="-29"/>
              <w:jc w:val="center"/>
              <w:rPr>
                <w:noProof/>
                <w:sz w:val="18"/>
                <w:szCs w:val="18"/>
              </w:rPr>
            </w:pPr>
          </w:p>
        </w:tc>
        <w:tc>
          <w:tcPr>
            <w:tcW w:w="720" w:type="dxa"/>
            <w:gridSpan w:val="2"/>
            <w:tcBorders>
              <w:left w:val="dashSmallGap" w:sz="4" w:space="0" w:color="auto"/>
            </w:tcBorders>
          </w:tcPr>
          <w:p w14:paraId="5E2EEA68" w14:textId="77777777" w:rsidR="00A56747" w:rsidRDefault="00A56747" w:rsidP="004B53CC">
            <w:pPr>
              <w:ind w:right="-29"/>
              <w:jc w:val="center"/>
              <w:rPr>
                <w:noProof/>
                <w:sz w:val="18"/>
                <w:szCs w:val="18"/>
              </w:rPr>
            </w:pPr>
          </w:p>
        </w:tc>
        <w:tc>
          <w:tcPr>
            <w:tcW w:w="540" w:type="dxa"/>
            <w:tcBorders>
              <w:right w:val="dashSmallGap" w:sz="4" w:space="0" w:color="auto"/>
            </w:tcBorders>
          </w:tcPr>
          <w:p w14:paraId="48E38135" w14:textId="77777777" w:rsidR="00A56747" w:rsidRDefault="00A56747" w:rsidP="004B53CC">
            <w:pPr>
              <w:ind w:right="-29"/>
              <w:jc w:val="center"/>
              <w:rPr>
                <w:noProof/>
                <w:sz w:val="18"/>
                <w:szCs w:val="18"/>
              </w:rPr>
            </w:pPr>
          </w:p>
        </w:tc>
        <w:tc>
          <w:tcPr>
            <w:tcW w:w="648" w:type="dxa"/>
            <w:tcBorders>
              <w:left w:val="dashSmallGap" w:sz="4" w:space="0" w:color="auto"/>
            </w:tcBorders>
          </w:tcPr>
          <w:p w14:paraId="5AE09788" w14:textId="77777777" w:rsidR="00A56747" w:rsidRDefault="00A56747" w:rsidP="004B53CC">
            <w:pPr>
              <w:ind w:right="-29"/>
              <w:jc w:val="center"/>
              <w:rPr>
                <w:noProof/>
                <w:sz w:val="18"/>
                <w:szCs w:val="18"/>
              </w:rPr>
            </w:pPr>
          </w:p>
        </w:tc>
        <w:tc>
          <w:tcPr>
            <w:tcW w:w="432" w:type="dxa"/>
            <w:tcBorders>
              <w:right w:val="dashSmallGap" w:sz="4" w:space="0" w:color="auto"/>
            </w:tcBorders>
          </w:tcPr>
          <w:p w14:paraId="75222EF8" w14:textId="77777777" w:rsidR="00A56747" w:rsidRDefault="00A56747" w:rsidP="004B53CC">
            <w:pPr>
              <w:ind w:right="-29"/>
              <w:jc w:val="center"/>
              <w:rPr>
                <w:noProof/>
                <w:sz w:val="18"/>
                <w:szCs w:val="18"/>
              </w:rPr>
            </w:pPr>
          </w:p>
        </w:tc>
        <w:tc>
          <w:tcPr>
            <w:tcW w:w="720" w:type="dxa"/>
            <w:tcBorders>
              <w:left w:val="dashSmallGap" w:sz="4" w:space="0" w:color="auto"/>
            </w:tcBorders>
          </w:tcPr>
          <w:p w14:paraId="3B70D5E2" w14:textId="77777777" w:rsidR="00A56747" w:rsidRDefault="00A56747" w:rsidP="004B53CC">
            <w:pPr>
              <w:ind w:right="-29"/>
              <w:jc w:val="center"/>
              <w:rPr>
                <w:noProof/>
                <w:sz w:val="18"/>
                <w:szCs w:val="18"/>
              </w:rPr>
            </w:pPr>
          </w:p>
        </w:tc>
        <w:tc>
          <w:tcPr>
            <w:tcW w:w="540" w:type="dxa"/>
            <w:tcBorders>
              <w:right w:val="dashSmallGap" w:sz="4" w:space="0" w:color="auto"/>
            </w:tcBorders>
          </w:tcPr>
          <w:p w14:paraId="72CA0741" w14:textId="77777777" w:rsidR="00A56747" w:rsidRDefault="00A56747" w:rsidP="004B53CC">
            <w:pPr>
              <w:ind w:right="-29"/>
              <w:jc w:val="center"/>
              <w:rPr>
                <w:noProof/>
                <w:sz w:val="18"/>
                <w:szCs w:val="18"/>
              </w:rPr>
            </w:pPr>
          </w:p>
        </w:tc>
        <w:tc>
          <w:tcPr>
            <w:tcW w:w="720" w:type="dxa"/>
            <w:tcBorders>
              <w:left w:val="dashSmallGap" w:sz="4" w:space="0" w:color="auto"/>
            </w:tcBorders>
          </w:tcPr>
          <w:p w14:paraId="4B8545BE" w14:textId="77777777" w:rsidR="00A56747" w:rsidRDefault="00A56747" w:rsidP="004B53CC">
            <w:pPr>
              <w:ind w:right="-29"/>
              <w:jc w:val="center"/>
              <w:rPr>
                <w:noProof/>
                <w:sz w:val="18"/>
                <w:szCs w:val="18"/>
              </w:rPr>
            </w:pPr>
          </w:p>
        </w:tc>
        <w:tc>
          <w:tcPr>
            <w:tcW w:w="720" w:type="dxa"/>
          </w:tcPr>
          <w:p w14:paraId="52D1710D" w14:textId="77777777" w:rsidR="00A56747" w:rsidRDefault="00A56747" w:rsidP="004B53CC">
            <w:pPr>
              <w:ind w:right="-29"/>
              <w:jc w:val="center"/>
              <w:rPr>
                <w:noProof/>
                <w:sz w:val="18"/>
                <w:szCs w:val="18"/>
              </w:rPr>
            </w:pPr>
          </w:p>
        </w:tc>
        <w:tc>
          <w:tcPr>
            <w:tcW w:w="900" w:type="dxa"/>
          </w:tcPr>
          <w:p w14:paraId="47EAD032" w14:textId="77777777" w:rsidR="00A56747" w:rsidRDefault="00A56747" w:rsidP="004B53CC">
            <w:pPr>
              <w:ind w:right="-29"/>
              <w:jc w:val="center"/>
              <w:rPr>
                <w:noProof/>
                <w:sz w:val="18"/>
                <w:szCs w:val="18"/>
              </w:rPr>
            </w:pPr>
          </w:p>
        </w:tc>
      </w:tr>
      <w:tr w:rsidR="00A56747" w14:paraId="35DDB44E" w14:textId="77777777" w:rsidTr="00FF1EF4">
        <w:trPr>
          <w:trHeight w:hRule="exact" w:val="369"/>
          <w:jc w:val="center"/>
        </w:trPr>
        <w:tc>
          <w:tcPr>
            <w:tcW w:w="1423" w:type="dxa"/>
          </w:tcPr>
          <w:p w14:paraId="79E6FA9A" w14:textId="77777777" w:rsidR="00A56747" w:rsidRDefault="00A56747" w:rsidP="004B53CC">
            <w:pPr>
              <w:ind w:right="-29"/>
              <w:jc w:val="center"/>
              <w:rPr>
                <w:noProof/>
                <w:sz w:val="18"/>
                <w:szCs w:val="18"/>
              </w:rPr>
            </w:pPr>
            <w:r>
              <w:rPr>
                <w:noProof/>
                <w:sz w:val="18"/>
              </w:rPr>
              <w:t>- Output</w:t>
            </w:r>
          </w:p>
        </w:tc>
        <w:tc>
          <w:tcPr>
            <w:tcW w:w="720" w:type="dxa"/>
          </w:tcPr>
          <w:p w14:paraId="2D28D211" w14:textId="77777777" w:rsidR="00A56747" w:rsidRDefault="00A56747" w:rsidP="004B53CC">
            <w:pPr>
              <w:ind w:right="-29"/>
              <w:jc w:val="center"/>
              <w:rPr>
                <w:noProof/>
                <w:sz w:val="18"/>
                <w:szCs w:val="18"/>
              </w:rPr>
            </w:pPr>
          </w:p>
        </w:tc>
        <w:tc>
          <w:tcPr>
            <w:tcW w:w="701" w:type="dxa"/>
          </w:tcPr>
          <w:p w14:paraId="120FB437" w14:textId="77777777" w:rsidR="00A56747" w:rsidRDefault="00A56747" w:rsidP="004B53CC">
            <w:pPr>
              <w:ind w:right="-29"/>
              <w:jc w:val="center"/>
              <w:rPr>
                <w:noProof/>
                <w:sz w:val="18"/>
                <w:szCs w:val="18"/>
              </w:rPr>
            </w:pPr>
          </w:p>
        </w:tc>
        <w:tc>
          <w:tcPr>
            <w:tcW w:w="504" w:type="dxa"/>
          </w:tcPr>
          <w:p w14:paraId="7F8153E1" w14:textId="77777777" w:rsidR="00A56747" w:rsidRDefault="00A56747" w:rsidP="004B53CC">
            <w:pPr>
              <w:ind w:right="-29"/>
              <w:jc w:val="center"/>
              <w:rPr>
                <w:noProof/>
                <w:sz w:val="18"/>
                <w:szCs w:val="18"/>
              </w:rPr>
            </w:pPr>
          </w:p>
        </w:tc>
        <w:tc>
          <w:tcPr>
            <w:tcW w:w="720" w:type="dxa"/>
          </w:tcPr>
          <w:p w14:paraId="1F7BDDE5" w14:textId="77777777" w:rsidR="00A56747" w:rsidRDefault="00A56747" w:rsidP="004B53CC">
            <w:pPr>
              <w:ind w:right="-29"/>
              <w:jc w:val="center"/>
              <w:rPr>
                <w:noProof/>
                <w:sz w:val="18"/>
                <w:szCs w:val="18"/>
              </w:rPr>
            </w:pPr>
          </w:p>
        </w:tc>
        <w:tc>
          <w:tcPr>
            <w:tcW w:w="540" w:type="dxa"/>
          </w:tcPr>
          <w:p w14:paraId="6DFC571B" w14:textId="77777777" w:rsidR="00A56747" w:rsidRDefault="00A56747" w:rsidP="004B53CC">
            <w:pPr>
              <w:ind w:right="-29"/>
              <w:jc w:val="center"/>
              <w:rPr>
                <w:noProof/>
                <w:sz w:val="18"/>
                <w:szCs w:val="18"/>
              </w:rPr>
            </w:pPr>
          </w:p>
        </w:tc>
        <w:tc>
          <w:tcPr>
            <w:tcW w:w="720" w:type="dxa"/>
          </w:tcPr>
          <w:p w14:paraId="04A69A80" w14:textId="77777777" w:rsidR="00A56747" w:rsidRDefault="00A56747" w:rsidP="004B53CC">
            <w:pPr>
              <w:ind w:right="-29"/>
              <w:jc w:val="center"/>
              <w:rPr>
                <w:noProof/>
                <w:sz w:val="18"/>
                <w:szCs w:val="18"/>
              </w:rPr>
            </w:pPr>
          </w:p>
        </w:tc>
        <w:tc>
          <w:tcPr>
            <w:tcW w:w="720" w:type="dxa"/>
          </w:tcPr>
          <w:p w14:paraId="0681E55D" w14:textId="77777777" w:rsidR="00A56747" w:rsidRDefault="00A56747" w:rsidP="004B53CC">
            <w:pPr>
              <w:ind w:right="-29"/>
              <w:jc w:val="center"/>
              <w:rPr>
                <w:noProof/>
                <w:sz w:val="18"/>
                <w:szCs w:val="18"/>
              </w:rPr>
            </w:pPr>
          </w:p>
        </w:tc>
        <w:tc>
          <w:tcPr>
            <w:tcW w:w="720" w:type="dxa"/>
          </w:tcPr>
          <w:p w14:paraId="4048D17D" w14:textId="77777777" w:rsidR="00A56747" w:rsidRDefault="00A56747" w:rsidP="004B53CC">
            <w:pPr>
              <w:ind w:right="-29"/>
              <w:jc w:val="center"/>
              <w:rPr>
                <w:noProof/>
                <w:sz w:val="18"/>
                <w:szCs w:val="18"/>
              </w:rPr>
            </w:pPr>
          </w:p>
        </w:tc>
        <w:tc>
          <w:tcPr>
            <w:tcW w:w="900" w:type="dxa"/>
          </w:tcPr>
          <w:p w14:paraId="449984CC" w14:textId="77777777" w:rsidR="00A56747" w:rsidRDefault="00A56747" w:rsidP="004B53CC">
            <w:pPr>
              <w:ind w:right="-29"/>
              <w:jc w:val="center"/>
              <w:rPr>
                <w:noProof/>
                <w:sz w:val="18"/>
                <w:szCs w:val="18"/>
              </w:rPr>
            </w:pPr>
          </w:p>
        </w:tc>
        <w:tc>
          <w:tcPr>
            <w:tcW w:w="720" w:type="dxa"/>
            <w:gridSpan w:val="2"/>
          </w:tcPr>
          <w:p w14:paraId="50885E86" w14:textId="77777777" w:rsidR="00A56747" w:rsidRDefault="00A56747" w:rsidP="004B53CC">
            <w:pPr>
              <w:ind w:right="-29"/>
              <w:jc w:val="center"/>
              <w:rPr>
                <w:noProof/>
                <w:sz w:val="18"/>
                <w:szCs w:val="18"/>
              </w:rPr>
            </w:pPr>
          </w:p>
        </w:tc>
        <w:tc>
          <w:tcPr>
            <w:tcW w:w="540" w:type="dxa"/>
          </w:tcPr>
          <w:p w14:paraId="1A9F2169" w14:textId="77777777" w:rsidR="00A56747" w:rsidRDefault="00A56747" w:rsidP="004B53CC">
            <w:pPr>
              <w:ind w:right="-29"/>
              <w:jc w:val="center"/>
              <w:rPr>
                <w:noProof/>
                <w:sz w:val="18"/>
                <w:szCs w:val="18"/>
              </w:rPr>
            </w:pPr>
          </w:p>
        </w:tc>
        <w:tc>
          <w:tcPr>
            <w:tcW w:w="648" w:type="dxa"/>
          </w:tcPr>
          <w:p w14:paraId="65D16DBE" w14:textId="77777777" w:rsidR="00A56747" w:rsidRDefault="00A56747" w:rsidP="004B53CC">
            <w:pPr>
              <w:ind w:right="-29"/>
              <w:jc w:val="center"/>
              <w:rPr>
                <w:noProof/>
                <w:sz w:val="18"/>
                <w:szCs w:val="18"/>
              </w:rPr>
            </w:pPr>
          </w:p>
        </w:tc>
        <w:tc>
          <w:tcPr>
            <w:tcW w:w="432" w:type="dxa"/>
          </w:tcPr>
          <w:p w14:paraId="2E6BFF7F" w14:textId="77777777" w:rsidR="00A56747" w:rsidRDefault="00A56747" w:rsidP="004B53CC">
            <w:pPr>
              <w:ind w:right="-29"/>
              <w:jc w:val="center"/>
              <w:rPr>
                <w:noProof/>
                <w:sz w:val="18"/>
                <w:szCs w:val="18"/>
              </w:rPr>
            </w:pPr>
          </w:p>
        </w:tc>
        <w:tc>
          <w:tcPr>
            <w:tcW w:w="720" w:type="dxa"/>
          </w:tcPr>
          <w:p w14:paraId="00356D14" w14:textId="77777777" w:rsidR="00A56747" w:rsidRDefault="00A56747" w:rsidP="004B53CC">
            <w:pPr>
              <w:ind w:right="-29"/>
              <w:jc w:val="center"/>
              <w:rPr>
                <w:noProof/>
                <w:sz w:val="18"/>
                <w:szCs w:val="18"/>
              </w:rPr>
            </w:pPr>
          </w:p>
        </w:tc>
        <w:tc>
          <w:tcPr>
            <w:tcW w:w="540" w:type="dxa"/>
          </w:tcPr>
          <w:p w14:paraId="1CA645C0" w14:textId="77777777" w:rsidR="00A56747" w:rsidRDefault="00A56747" w:rsidP="004B53CC">
            <w:pPr>
              <w:ind w:right="-29"/>
              <w:jc w:val="center"/>
              <w:rPr>
                <w:noProof/>
                <w:sz w:val="18"/>
                <w:szCs w:val="18"/>
              </w:rPr>
            </w:pPr>
          </w:p>
        </w:tc>
        <w:tc>
          <w:tcPr>
            <w:tcW w:w="720" w:type="dxa"/>
          </w:tcPr>
          <w:p w14:paraId="31CE940B" w14:textId="77777777" w:rsidR="00A56747" w:rsidRDefault="00A56747" w:rsidP="004B53CC">
            <w:pPr>
              <w:ind w:right="-29"/>
              <w:jc w:val="center"/>
              <w:rPr>
                <w:noProof/>
                <w:sz w:val="18"/>
                <w:szCs w:val="18"/>
              </w:rPr>
            </w:pPr>
          </w:p>
        </w:tc>
        <w:tc>
          <w:tcPr>
            <w:tcW w:w="720" w:type="dxa"/>
          </w:tcPr>
          <w:p w14:paraId="5D12422F" w14:textId="77777777" w:rsidR="00A56747" w:rsidRDefault="00A56747" w:rsidP="004B53CC">
            <w:pPr>
              <w:ind w:right="-29"/>
              <w:jc w:val="center"/>
              <w:rPr>
                <w:noProof/>
                <w:sz w:val="18"/>
                <w:szCs w:val="18"/>
              </w:rPr>
            </w:pPr>
          </w:p>
        </w:tc>
        <w:tc>
          <w:tcPr>
            <w:tcW w:w="900" w:type="dxa"/>
          </w:tcPr>
          <w:p w14:paraId="2081FD43" w14:textId="77777777" w:rsidR="00A56747" w:rsidRDefault="00A56747" w:rsidP="004B53CC">
            <w:pPr>
              <w:ind w:right="-29"/>
              <w:jc w:val="center"/>
              <w:rPr>
                <w:noProof/>
                <w:sz w:val="18"/>
                <w:szCs w:val="18"/>
              </w:rPr>
            </w:pPr>
          </w:p>
        </w:tc>
      </w:tr>
      <w:tr w:rsidR="00A56747" w:rsidRPr="003A769F" w14:paraId="490A481D" w14:textId="77777777" w:rsidTr="00FF1EF4">
        <w:trPr>
          <w:trHeight w:val="77"/>
          <w:jc w:val="center"/>
        </w:trPr>
        <w:tc>
          <w:tcPr>
            <w:tcW w:w="2844" w:type="dxa"/>
            <w:gridSpan w:val="3"/>
            <w:tcBorders>
              <w:bottom w:val="single" w:sz="12" w:space="0" w:color="auto"/>
            </w:tcBorders>
            <w:vAlign w:val="center"/>
          </w:tcPr>
          <w:p w14:paraId="155ADA52" w14:textId="77777777" w:rsidR="00A56747" w:rsidRPr="003A769F" w:rsidRDefault="00A56747" w:rsidP="004B53CC">
            <w:pPr>
              <w:ind w:right="-29"/>
              <w:jc w:val="center"/>
              <w:rPr>
                <w:noProof/>
                <w:sz w:val="18"/>
                <w:szCs w:val="18"/>
                <w:lang w:val="en-IE"/>
              </w:rPr>
            </w:pPr>
            <w:r w:rsidRPr="003A769F">
              <w:rPr>
                <w:noProof/>
                <w:sz w:val="18"/>
                <w:lang w:val="en-IE"/>
              </w:rPr>
              <w:t>Subtotal for specific objective No 1</w:t>
            </w:r>
          </w:p>
        </w:tc>
        <w:tc>
          <w:tcPr>
            <w:tcW w:w="504" w:type="dxa"/>
            <w:tcBorders>
              <w:bottom w:val="single" w:sz="12" w:space="0" w:color="auto"/>
            </w:tcBorders>
          </w:tcPr>
          <w:p w14:paraId="5976484A"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29C02A2F" w14:textId="77777777" w:rsidR="00A56747" w:rsidRPr="003A769F" w:rsidRDefault="00A56747" w:rsidP="004B53CC">
            <w:pPr>
              <w:ind w:right="-29"/>
              <w:jc w:val="center"/>
              <w:rPr>
                <w:noProof/>
                <w:sz w:val="18"/>
                <w:szCs w:val="18"/>
                <w:lang w:val="en-IE"/>
              </w:rPr>
            </w:pPr>
          </w:p>
        </w:tc>
        <w:tc>
          <w:tcPr>
            <w:tcW w:w="540" w:type="dxa"/>
            <w:tcBorders>
              <w:bottom w:val="single" w:sz="12" w:space="0" w:color="auto"/>
            </w:tcBorders>
          </w:tcPr>
          <w:p w14:paraId="4C1F04BF"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5D05EBA7"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472E3E75"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541EF1B5" w14:textId="77777777" w:rsidR="00A56747" w:rsidRPr="003A769F" w:rsidRDefault="00A56747" w:rsidP="004B53CC">
            <w:pPr>
              <w:ind w:right="-29"/>
              <w:jc w:val="center"/>
              <w:rPr>
                <w:noProof/>
                <w:sz w:val="18"/>
                <w:szCs w:val="18"/>
                <w:lang w:val="en-IE"/>
              </w:rPr>
            </w:pPr>
          </w:p>
        </w:tc>
        <w:tc>
          <w:tcPr>
            <w:tcW w:w="900" w:type="dxa"/>
            <w:tcBorders>
              <w:bottom w:val="single" w:sz="12" w:space="0" w:color="auto"/>
            </w:tcBorders>
          </w:tcPr>
          <w:p w14:paraId="422B997A" w14:textId="77777777" w:rsidR="00A56747" w:rsidRPr="003A769F" w:rsidRDefault="00A56747" w:rsidP="004B53CC">
            <w:pPr>
              <w:ind w:right="-29"/>
              <w:jc w:val="center"/>
              <w:rPr>
                <w:noProof/>
                <w:sz w:val="18"/>
                <w:szCs w:val="18"/>
                <w:lang w:val="en-IE"/>
              </w:rPr>
            </w:pPr>
          </w:p>
        </w:tc>
        <w:tc>
          <w:tcPr>
            <w:tcW w:w="720" w:type="dxa"/>
            <w:gridSpan w:val="2"/>
            <w:tcBorders>
              <w:bottom w:val="single" w:sz="12" w:space="0" w:color="auto"/>
            </w:tcBorders>
          </w:tcPr>
          <w:p w14:paraId="1DABA64E" w14:textId="77777777" w:rsidR="00A56747" w:rsidRPr="003A769F" w:rsidRDefault="00A56747" w:rsidP="004B53CC">
            <w:pPr>
              <w:ind w:right="-29"/>
              <w:jc w:val="center"/>
              <w:rPr>
                <w:noProof/>
                <w:sz w:val="18"/>
                <w:szCs w:val="18"/>
                <w:lang w:val="en-IE"/>
              </w:rPr>
            </w:pPr>
          </w:p>
        </w:tc>
        <w:tc>
          <w:tcPr>
            <w:tcW w:w="540" w:type="dxa"/>
            <w:tcBorders>
              <w:bottom w:val="single" w:sz="12" w:space="0" w:color="auto"/>
            </w:tcBorders>
          </w:tcPr>
          <w:p w14:paraId="5D17AEAA" w14:textId="77777777" w:rsidR="00A56747" w:rsidRPr="003A769F" w:rsidRDefault="00A56747" w:rsidP="004B53CC">
            <w:pPr>
              <w:ind w:right="-29"/>
              <w:jc w:val="center"/>
              <w:rPr>
                <w:noProof/>
                <w:sz w:val="18"/>
                <w:szCs w:val="18"/>
                <w:lang w:val="en-IE"/>
              </w:rPr>
            </w:pPr>
          </w:p>
        </w:tc>
        <w:tc>
          <w:tcPr>
            <w:tcW w:w="648" w:type="dxa"/>
            <w:tcBorders>
              <w:bottom w:val="single" w:sz="12" w:space="0" w:color="auto"/>
            </w:tcBorders>
          </w:tcPr>
          <w:p w14:paraId="70948FAA" w14:textId="77777777" w:rsidR="00A56747" w:rsidRPr="003A769F" w:rsidRDefault="00A56747" w:rsidP="004B53CC">
            <w:pPr>
              <w:ind w:right="-29"/>
              <w:jc w:val="center"/>
              <w:rPr>
                <w:noProof/>
                <w:sz w:val="18"/>
                <w:szCs w:val="18"/>
                <w:lang w:val="en-IE"/>
              </w:rPr>
            </w:pPr>
          </w:p>
        </w:tc>
        <w:tc>
          <w:tcPr>
            <w:tcW w:w="432" w:type="dxa"/>
            <w:tcBorders>
              <w:bottom w:val="single" w:sz="12" w:space="0" w:color="auto"/>
            </w:tcBorders>
          </w:tcPr>
          <w:p w14:paraId="0E5859C8"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6E790C38" w14:textId="77777777" w:rsidR="00A56747" w:rsidRPr="003A769F" w:rsidRDefault="00A56747" w:rsidP="004B53CC">
            <w:pPr>
              <w:ind w:right="-29"/>
              <w:jc w:val="center"/>
              <w:rPr>
                <w:noProof/>
                <w:sz w:val="18"/>
                <w:szCs w:val="18"/>
                <w:lang w:val="en-IE"/>
              </w:rPr>
            </w:pPr>
          </w:p>
        </w:tc>
        <w:tc>
          <w:tcPr>
            <w:tcW w:w="540" w:type="dxa"/>
            <w:tcBorders>
              <w:bottom w:val="single" w:sz="12" w:space="0" w:color="auto"/>
            </w:tcBorders>
          </w:tcPr>
          <w:p w14:paraId="34D6B3E2"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2BBFC28A"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7696EF03" w14:textId="77777777" w:rsidR="00A56747" w:rsidRPr="003A769F" w:rsidRDefault="00A56747" w:rsidP="004B53CC">
            <w:pPr>
              <w:ind w:right="-29"/>
              <w:jc w:val="center"/>
              <w:rPr>
                <w:noProof/>
                <w:sz w:val="18"/>
                <w:szCs w:val="18"/>
                <w:lang w:val="en-IE"/>
              </w:rPr>
            </w:pPr>
          </w:p>
        </w:tc>
        <w:tc>
          <w:tcPr>
            <w:tcW w:w="900" w:type="dxa"/>
            <w:tcBorders>
              <w:bottom w:val="single" w:sz="12" w:space="0" w:color="auto"/>
            </w:tcBorders>
          </w:tcPr>
          <w:p w14:paraId="175C3FDA" w14:textId="77777777" w:rsidR="00A56747" w:rsidRPr="003A769F" w:rsidRDefault="00A56747" w:rsidP="004B53CC">
            <w:pPr>
              <w:ind w:right="-29"/>
              <w:jc w:val="center"/>
              <w:rPr>
                <w:noProof/>
                <w:sz w:val="18"/>
                <w:szCs w:val="18"/>
                <w:lang w:val="en-IE"/>
              </w:rPr>
            </w:pPr>
          </w:p>
        </w:tc>
      </w:tr>
      <w:tr w:rsidR="00A56747" w14:paraId="3FC135B2" w14:textId="77777777" w:rsidTr="00FF1EF4">
        <w:trPr>
          <w:jc w:val="center"/>
        </w:trPr>
        <w:tc>
          <w:tcPr>
            <w:tcW w:w="2844" w:type="dxa"/>
            <w:gridSpan w:val="3"/>
            <w:vAlign w:val="center"/>
          </w:tcPr>
          <w:p w14:paraId="2A7D6A09" w14:textId="77777777" w:rsidR="00A56747" w:rsidRDefault="00A56747" w:rsidP="004B53CC">
            <w:pPr>
              <w:spacing w:before="60" w:after="60"/>
              <w:ind w:right="-29"/>
              <w:jc w:val="center"/>
              <w:rPr>
                <w:noProof/>
                <w:sz w:val="18"/>
                <w:szCs w:val="18"/>
              </w:rPr>
            </w:pPr>
            <w:r>
              <w:rPr>
                <w:noProof/>
                <w:sz w:val="18"/>
              </w:rPr>
              <w:t>SPECIFIC OBJECTIVE No 2 ...</w:t>
            </w:r>
          </w:p>
        </w:tc>
        <w:tc>
          <w:tcPr>
            <w:tcW w:w="504" w:type="dxa"/>
            <w:tcBorders>
              <w:top w:val="nil"/>
              <w:left w:val="nil"/>
              <w:bottom w:val="nil"/>
              <w:right w:val="nil"/>
            </w:tcBorders>
          </w:tcPr>
          <w:p w14:paraId="2859AB85"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1315D567" w14:textId="77777777" w:rsidR="00A56747" w:rsidRDefault="00A56747" w:rsidP="004B53CC">
            <w:pPr>
              <w:spacing w:before="60" w:after="60"/>
              <w:ind w:right="-29"/>
              <w:jc w:val="center"/>
              <w:rPr>
                <w:noProof/>
                <w:sz w:val="18"/>
                <w:szCs w:val="18"/>
              </w:rPr>
            </w:pPr>
          </w:p>
        </w:tc>
        <w:tc>
          <w:tcPr>
            <w:tcW w:w="540" w:type="dxa"/>
            <w:tcBorders>
              <w:top w:val="nil"/>
              <w:left w:val="nil"/>
              <w:bottom w:val="nil"/>
              <w:right w:val="nil"/>
            </w:tcBorders>
          </w:tcPr>
          <w:p w14:paraId="47A879DA"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25578B32"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2A83BF54"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1B4FBBE8" w14:textId="77777777" w:rsidR="00A56747" w:rsidRDefault="00A56747" w:rsidP="004B53CC">
            <w:pPr>
              <w:spacing w:before="60" w:after="60"/>
              <w:ind w:right="-29"/>
              <w:jc w:val="center"/>
              <w:rPr>
                <w:noProof/>
                <w:sz w:val="18"/>
                <w:szCs w:val="18"/>
              </w:rPr>
            </w:pPr>
          </w:p>
        </w:tc>
        <w:tc>
          <w:tcPr>
            <w:tcW w:w="900" w:type="dxa"/>
            <w:tcBorders>
              <w:top w:val="nil"/>
              <w:left w:val="nil"/>
              <w:bottom w:val="nil"/>
              <w:right w:val="nil"/>
            </w:tcBorders>
          </w:tcPr>
          <w:p w14:paraId="5CE86435" w14:textId="77777777" w:rsidR="00A56747" w:rsidRDefault="00A56747" w:rsidP="004B53CC">
            <w:pPr>
              <w:spacing w:before="60" w:after="60"/>
              <w:ind w:right="-29"/>
              <w:jc w:val="center"/>
              <w:rPr>
                <w:noProof/>
                <w:sz w:val="18"/>
                <w:szCs w:val="18"/>
              </w:rPr>
            </w:pPr>
          </w:p>
        </w:tc>
        <w:tc>
          <w:tcPr>
            <w:tcW w:w="720" w:type="dxa"/>
            <w:gridSpan w:val="2"/>
            <w:tcBorders>
              <w:top w:val="nil"/>
              <w:left w:val="nil"/>
              <w:bottom w:val="nil"/>
              <w:right w:val="nil"/>
            </w:tcBorders>
          </w:tcPr>
          <w:p w14:paraId="5A59368B" w14:textId="77777777" w:rsidR="00A56747" w:rsidRDefault="00A56747" w:rsidP="004B53CC">
            <w:pPr>
              <w:spacing w:before="60" w:after="60"/>
              <w:ind w:right="-29"/>
              <w:jc w:val="center"/>
              <w:rPr>
                <w:noProof/>
                <w:sz w:val="18"/>
                <w:szCs w:val="18"/>
              </w:rPr>
            </w:pPr>
          </w:p>
        </w:tc>
        <w:tc>
          <w:tcPr>
            <w:tcW w:w="540" w:type="dxa"/>
            <w:tcBorders>
              <w:top w:val="nil"/>
              <w:left w:val="nil"/>
              <w:bottom w:val="nil"/>
              <w:right w:val="nil"/>
            </w:tcBorders>
          </w:tcPr>
          <w:p w14:paraId="2B8E64EA" w14:textId="77777777" w:rsidR="00A56747" w:rsidRDefault="00A56747" w:rsidP="004B53CC">
            <w:pPr>
              <w:spacing w:before="60" w:after="60"/>
              <w:ind w:right="-29"/>
              <w:jc w:val="center"/>
              <w:rPr>
                <w:noProof/>
                <w:sz w:val="18"/>
                <w:szCs w:val="18"/>
              </w:rPr>
            </w:pPr>
          </w:p>
        </w:tc>
        <w:tc>
          <w:tcPr>
            <w:tcW w:w="648" w:type="dxa"/>
            <w:tcBorders>
              <w:top w:val="nil"/>
              <w:left w:val="nil"/>
              <w:bottom w:val="nil"/>
              <w:right w:val="nil"/>
            </w:tcBorders>
          </w:tcPr>
          <w:p w14:paraId="10C22680" w14:textId="77777777" w:rsidR="00A56747" w:rsidRDefault="00A56747" w:rsidP="004B53CC">
            <w:pPr>
              <w:spacing w:before="60" w:after="60"/>
              <w:ind w:right="-29"/>
              <w:jc w:val="center"/>
              <w:rPr>
                <w:noProof/>
                <w:sz w:val="18"/>
                <w:szCs w:val="18"/>
              </w:rPr>
            </w:pPr>
          </w:p>
        </w:tc>
        <w:tc>
          <w:tcPr>
            <w:tcW w:w="432" w:type="dxa"/>
            <w:tcBorders>
              <w:top w:val="nil"/>
              <w:left w:val="nil"/>
              <w:bottom w:val="nil"/>
              <w:right w:val="nil"/>
            </w:tcBorders>
          </w:tcPr>
          <w:p w14:paraId="034BA68A"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0840ABCA" w14:textId="77777777" w:rsidR="00A56747" w:rsidRDefault="00A56747" w:rsidP="004B53CC">
            <w:pPr>
              <w:spacing w:before="60" w:after="60"/>
              <w:ind w:right="-29"/>
              <w:jc w:val="center"/>
              <w:rPr>
                <w:noProof/>
                <w:sz w:val="18"/>
                <w:szCs w:val="18"/>
              </w:rPr>
            </w:pPr>
          </w:p>
        </w:tc>
        <w:tc>
          <w:tcPr>
            <w:tcW w:w="540" w:type="dxa"/>
            <w:tcBorders>
              <w:top w:val="nil"/>
              <w:left w:val="nil"/>
              <w:bottom w:val="nil"/>
              <w:right w:val="nil"/>
            </w:tcBorders>
          </w:tcPr>
          <w:p w14:paraId="340B2BF1"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2BA198EE" w14:textId="77777777" w:rsidR="00A56747" w:rsidRDefault="00A56747" w:rsidP="004B53CC">
            <w:pPr>
              <w:spacing w:before="60" w:after="60"/>
              <w:ind w:right="-29"/>
              <w:jc w:val="center"/>
              <w:rPr>
                <w:noProof/>
                <w:sz w:val="18"/>
                <w:szCs w:val="18"/>
              </w:rPr>
            </w:pPr>
          </w:p>
        </w:tc>
        <w:tc>
          <w:tcPr>
            <w:tcW w:w="720" w:type="dxa"/>
            <w:tcBorders>
              <w:top w:val="nil"/>
              <w:left w:val="nil"/>
              <w:bottom w:val="nil"/>
              <w:right w:val="nil"/>
            </w:tcBorders>
          </w:tcPr>
          <w:p w14:paraId="7174ABA0" w14:textId="77777777" w:rsidR="00A56747" w:rsidRDefault="00A56747" w:rsidP="004B53CC">
            <w:pPr>
              <w:spacing w:before="60" w:after="60"/>
              <w:ind w:right="-29"/>
              <w:jc w:val="center"/>
              <w:rPr>
                <w:noProof/>
                <w:sz w:val="18"/>
                <w:szCs w:val="18"/>
              </w:rPr>
            </w:pPr>
          </w:p>
        </w:tc>
        <w:tc>
          <w:tcPr>
            <w:tcW w:w="900" w:type="dxa"/>
            <w:tcBorders>
              <w:top w:val="nil"/>
              <w:left w:val="nil"/>
              <w:bottom w:val="nil"/>
              <w:right w:val="nil"/>
            </w:tcBorders>
          </w:tcPr>
          <w:p w14:paraId="23E9146C" w14:textId="77777777" w:rsidR="00A56747" w:rsidRDefault="00A56747" w:rsidP="004B53CC">
            <w:pPr>
              <w:spacing w:before="60" w:after="60"/>
              <w:ind w:right="-29"/>
              <w:jc w:val="center"/>
              <w:rPr>
                <w:noProof/>
                <w:sz w:val="18"/>
                <w:szCs w:val="18"/>
              </w:rPr>
            </w:pPr>
          </w:p>
        </w:tc>
      </w:tr>
      <w:tr w:rsidR="00A56747" w14:paraId="4C594D1E" w14:textId="77777777" w:rsidTr="00FF1EF4">
        <w:trPr>
          <w:trHeight w:hRule="exact" w:val="369"/>
          <w:jc w:val="center"/>
        </w:trPr>
        <w:tc>
          <w:tcPr>
            <w:tcW w:w="1423" w:type="dxa"/>
          </w:tcPr>
          <w:p w14:paraId="7235CBEC" w14:textId="77777777" w:rsidR="00A56747" w:rsidRDefault="00A56747" w:rsidP="004B53CC">
            <w:pPr>
              <w:ind w:right="-29"/>
              <w:jc w:val="center"/>
              <w:rPr>
                <w:noProof/>
                <w:sz w:val="18"/>
                <w:szCs w:val="18"/>
              </w:rPr>
            </w:pPr>
            <w:r>
              <w:rPr>
                <w:noProof/>
                <w:sz w:val="18"/>
              </w:rPr>
              <w:t>- Output</w:t>
            </w:r>
          </w:p>
        </w:tc>
        <w:tc>
          <w:tcPr>
            <w:tcW w:w="720" w:type="dxa"/>
          </w:tcPr>
          <w:p w14:paraId="14DD09E8" w14:textId="77777777" w:rsidR="00A56747" w:rsidRDefault="00A56747" w:rsidP="004B53CC">
            <w:pPr>
              <w:ind w:right="-29"/>
              <w:jc w:val="center"/>
              <w:rPr>
                <w:noProof/>
                <w:sz w:val="18"/>
                <w:szCs w:val="18"/>
              </w:rPr>
            </w:pPr>
          </w:p>
        </w:tc>
        <w:tc>
          <w:tcPr>
            <w:tcW w:w="701" w:type="dxa"/>
          </w:tcPr>
          <w:p w14:paraId="7ED1D5C8" w14:textId="77777777" w:rsidR="00A56747" w:rsidRDefault="00A56747" w:rsidP="004B53CC">
            <w:pPr>
              <w:ind w:right="-29"/>
              <w:jc w:val="center"/>
              <w:rPr>
                <w:noProof/>
                <w:sz w:val="18"/>
                <w:szCs w:val="18"/>
              </w:rPr>
            </w:pPr>
          </w:p>
        </w:tc>
        <w:tc>
          <w:tcPr>
            <w:tcW w:w="504" w:type="dxa"/>
          </w:tcPr>
          <w:p w14:paraId="530344F4" w14:textId="77777777" w:rsidR="00A56747" w:rsidRDefault="00A56747" w:rsidP="004B53CC">
            <w:pPr>
              <w:ind w:right="-29"/>
              <w:jc w:val="center"/>
              <w:rPr>
                <w:noProof/>
                <w:sz w:val="18"/>
                <w:szCs w:val="18"/>
              </w:rPr>
            </w:pPr>
          </w:p>
        </w:tc>
        <w:tc>
          <w:tcPr>
            <w:tcW w:w="720" w:type="dxa"/>
          </w:tcPr>
          <w:p w14:paraId="3F7922AD" w14:textId="77777777" w:rsidR="00A56747" w:rsidRDefault="00A56747" w:rsidP="004B53CC">
            <w:pPr>
              <w:ind w:right="-29"/>
              <w:jc w:val="center"/>
              <w:rPr>
                <w:noProof/>
                <w:sz w:val="18"/>
                <w:szCs w:val="18"/>
              </w:rPr>
            </w:pPr>
          </w:p>
        </w:tc>
        <w:tc>
          <w:tcPr>
            <w:tcW w:w="540" w:type="dxa"/>
          </w:tcPr>
          <w:p w14:paraId="25341F1D" w14:textId="77777777" w:rsidR="00A56747" w:rsidRDefault="00A56747" w:rsidP="004B53CC">
            <w:pPr>
              <w:ind w:right="-29"/>
              <w:jc w:val="center"/>
              <w:rPr>
                <w:noProof/>
                <w:sz w:val="18"/>
                <w:szCs w:val="18"/>
              </w:rPr>
            </w:pPr>
          </w:p>
        </w:tc>
        <w:tc>
          <w:tcPr>
            <w:tcW w:w="720" w:type="dxa"/>
          </w:tcPr>
          <w:p w14:paraId="5B9A7453" w14:textId="77777777" w:rsidR="00A56747" w:rsidRDefault="00A56747" w:rsidP="004B53CC">
            <w:pPr>
              <w:ind w:right="-29"/>
              <w:jc w:val="center"/>
              <w:rPr>
                <w:noProof/>
                <w:sz w:val="18"/>
                <w:szCs w:val="18"/>
              </w:rPr>
            </w:pPr>
          </w:p>
        </w:tc>
        <w:tc>
          <w:tcPr>
            <w:tcW w:w="720" w:type="dxa"/>
          </w:tcPr>
          <w:p w14:paraId="4F6D775B" w14:textId="77777777" w:rsidR="00A56747" w:rsidRDefault="00A56747" w:rsidP="004B53CC">
            <w:pPr>
              <w:ind w:right="-29"/>
              <w:jc w:val="center"/>
              <w:rPr>
                <w:noProof/>
                <w:sz w:val="18"/>
                <w:szCs w:val="18"/>
              </w:rPr>
            </w:pPr>
          </w:p>
        </w:tc>
        <w:tc>
          <w:tcPr>
            <w:tcW w:w="720" w:type="dxa"/>
          </w:tcPr>
          <w:p w14:paraId="3588CAC8" w14:textId="77777777" w:rsidR="00A56747" w:rsidRDefault="00A56747" w:rsidP="004B53CC">
            <w:pPr>
              <w:ind w:right="-29"/>
              <w:jc w:val="center"/>
              <w:rPr>
                <w:noProof/>
                <w:sz w:val="18"/>
                <w:szCs w:val="18"/>
              </w:rPr>
            </w:pPr>
          </w:p>
        </w:tc>
        <w:tc>
          <w:tcPr>
            <w:tcW w:w="900" w:type="dxa"/>
          </w:tcPr>
          <w:p w14:paraId="5BD823A3" w14:textId="77777777" w:rsidR="00A56747" w:rsidRDefault="00A56747" w:rsidP="004B53CC">
            <w:pPr>
              <w:ind w:right="-29"/>
              <w:jc w:val="center"/>
              <w:rPr>
                <w:noProof/>
                <w:sz w:val="18"/>
                <w:szCs w:val="18"/>
              </w:rPr>
            </w:pPr>
          </w:p>
        </w:tc>
        <w:tc>
          <w:tcPr>
            <w:tcW w:w="720" w:type="dxa"/>
            <w:gridSpan w:val="2"/>
          </w:tcPr>
          <w:p w14:paraId="0DDBFAE9" w14:textId="77777777" w:rsidR="00A56747" w:rsidRDefault="00A56747" w:rsidP="004B53CC">
            <w:pPr>
              <w:ind w:right="-29"/>
              <w:jc w:val="center"/>
              <w:rPr>
                <w:noProof/>
                <w:sz w:val="18"/>
                <w:szCs w:val="18"/>
              </w:rPr>
            </w:pPr>
          </w:p>
        </w:tc>
        <w:tc>
          <w:tcPr>
            <w:tcW w:w="540" w:type="dxa"/>
          </w:tcPr>
          <w:p w14:paraId="4B357630" w14:textId="77777777" w:rsidR="00A56747" w:rsidRDefault="00A56747" w:rsidP="004B53CC">
            <w:pPr>
              <w:ind w:right="-29"/>
              <w:jc w:val="center"/>
              <w:rPr>
                <w:noProof/>
                <w:sz w:val="18"/>
                <w:szCs w:val="18"/>
              </w:rPr>
            </w:pPr>
          </w:p>
        </w:tc>
        <w:tc>
          <w:tcPr>
            <w:tcW w:w="648" w:type="dxa"/>
          </w:tcPr>
          <w:p w14:paraId="5D03FC75" w14:textId="77777777" w:rsidR="00A56747" w:rsidRDefault="00A56747" w:rsidP="004B53CC">
            <w:pPr>
              <w:ind w:right="-29"/>
              <w:jc w:val="center"/>
              <w:rPr>
                <w:noProof/>
                <w:sz w:val="18"/>
                <w:szCs w:val="18"/>
              </w:rPr>
            </w:pPr>
          </w:p>
        </w:tc>
        <w:tc>
          <w:tcPr>
            <w:tcW w:w="432" w:type="dxa"/>
          </w:tcPr>
          <w:p w14:paraId="7CF8F95B" w14:textId="77777777" w:rsidR="00A56747" w:rsidRDefault="00A56747" w:rsidP="004B53CC">
            <w:pPr>
              <w:ind w:right="-29"/>
              <w:jc w:val="center"/>
              <w:rPr>
                <w:noProof/>
                <w:sz w:val="18"/>
                <w:szCs w:val="18"/>
              </w:rPr>
            </w:pPr>
          </w:p>
        </w:tc>
        <w:tc>
          <w:tcPr>
            <w:tcW w:w="720" w:type="dxa"/>
          </w:tcPr>
          <w:p w14:paraId="768304A0" w14:textId="77777777" w:rsidR="00A56747" w:rsidRDefault="00A56747" w:rsidP="004B53CC">
            <w:pPr>
              <w:ind w:right="-29"/>
              <w:jc w:val="center"/>
              <w:rPr>
                <w:noProof/>
                <w:sz w:val="18"/>
                <w:szCs w:val="18"/>
              </w:rPr>
            </w:pPr>
          </w:p>
        </w:tc>
        <w:tc>
          <w:tcPr>
            <w:tcW w:w="540" w:type="dxa"/>
          </w:tcPr>
          <w:p w14:paraId="1B5575F9" w14:textId="77777777" w:rsidR="00A56747" w:rsidRDefault="00A56747" w:rsidP="004B53CC">
            <w:pPr>
              <w:ind w:right="-29"/>
              <w:jc w:val="center"/>
              <w:rPr>
                <w:noProof/>
                <w:sz w:val="18"/>
                <w:szCs w:val="18"/>
              </w:rPr>
            </w:pPr>
          </w:p>
        </w:tc>
        <w:tc>
          <w:tcPr>
            <w:tcW w:w="720" w:type="dxa"/>
          </w:tcPr>
          <w:p w14:paraId="389B9112" w14:textId="77777777" w:rsidR="00A56747" w:rsidRDefault="00A56747" w:rsidP="004B53CC">
            <w:pPr>
              <w:ind w:right="-29"/>
              <w:jc w:val="center"/>
              <w:rPr>
                <w:noProof/>
                <w:sz w:val="18"/>
                <w:szCs w:val="18"/>
              </w:rPr>
            </w:pPr>
          </w:p>
        </w:tc>
        <w:tc>
          <w:tcPr>
            <w:tcW w:w="720" w:type="dxa"/>
          </w:tcPr>
          <w:p w14:paraId="4319418C" w14:textId="77777777" w:rsidR="00A56747" w:rsidRDefault="00A56747" w:rsidP="004B53CC">
            <w:pPr>
              <w:ind w:right="-29"/>
              <w:jc w:val="center"/>
              <w:rPr>
                <w:noProof/>
                <w:sz w:val="18"/>
                <w:szCs w:val="18"/>
              </w:rPr>
            </w:pPr>
          </w:p>
        </w:tc>
        <w:tc>
          <w:tcPr>
            <w:tcW w:w="900" w:type="dxa"/>
          </w:tcPr>
          <w:p w14:paraId="3AF461D0" w14:textId="77777777" w:rsidR="00A56747" w:rsidRDefault="00A56747" w:rsidP="004B53CC">
            <w:pPr>
              <w:ind w:right="-29"/>
              <w:jc w:val="center"/>
              <w:rPr>
                <w:noProof/>
                <w:sz w:val="18"/>
                <w:szCs w:val="18"/>
              </w:rPr>
            </w:pPr>
          </w:p>
        </w:tc>
      </w:tr>
      <w:tr w:rsidR="00A56747" w:rsidRPr="003A769F" w14:paraId="7E12D257" w14:textId="77777777" w:rsidTr="00FF1EF4">
        <w:trPr>
          <w:jc w:val="center"/>
        </w:trPr>
        <w:tc>
          <w:tcPr>
            <w:tcW w:w="2844" w:type="dxa"/>
            <w:gridSpan w:val="3"/>
            <w:tcBorders>
              <w:bottom w:val="single" w:sz="12" w:space="0" w:color="auto"/>
            </w:tcBorders>
            <w:vAlign w:val="center"/>
          </w:tcPr>
          <w:p w14:paraId="18F04899" w14:textId="77777777" w:rsidR="00A56747" w:rsidRPr="003A769F" w:rsidRDefault="00A56747" w:rsidP="004B53CC">
            <w:pPr>
              <w:jc w:val="center"/>
              <w:rPr>
                <w:noProof/>
                <w:sz w:val="18"/>
                <w:szCs w:val="18"/>
                <w:lang w:val="en-IE"/>
              </w:rPr>
            </w:pPr>
            <w:r w:rsidRPr="003A769F">
              <w:rPr>
                <w:noProof/>
                <w:sz w:val="18"/>
                <w:lang w:val="en-IE"/>
              </w:rPr>
              <w:t>Subtotal for specific objective No 2</w:t>
            </w:r>
          </w:p>
        </w:tc>
        <w:tc>
          <w:tcPr>
            <w:tcW w:w="504" w:type="dxa"/>
            <w:tcBorders>
              <w:bottom w:val="single" w:sz="12" w:space="0" w:color="auto"/>
            </w:tcBorders>
          </w:tcPr>
          <w:p w14:paraId="551DE11C"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7651CC9B" w14:textId="77777777" w:rsidR="00A56747" w:rsidRPr="003A769F" w:rsidRDefault="00A56747" w:rsidP="004B53CC">
            <w:pPr>
              <w:ind w:right="-29"/>
              <w:jc w:val="center"/>
              <w:rPr>
                <w:noProof/>
                <w:sz w:val="18"/>
                <w:szCs w:val="18"/>
                <w:lang w:val="en-IE"/>
              </w:rPr>
            </w:pPr>
          </w:p>
        </w:tc>
        <w:tc>
          <w:tcPr>
            <w:tcW w:w="540" w:type="dxa"/>
            <w:tcBorders>
              <w:bottom w:val="single" w:sz="12" w:space="0" w:color="auto"/>
            </w:tcBorders>
          </w:tcPr>
          <w:p w14:paraId="3B23438E"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52E37221"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7A9E4A21"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258ED4A4" w14:textId="77777777" w:rsidR="00A56747" w:rsidRPr="003A769F" w:rsidRDefault="00A56747" w:rsidP="004B53CC">
            <w:pPr>
              <w:ind w:right="-29"/>
              <w:jc w:val="center"/>
              <w:rPr>
                <w:noProof/>
                <w:sz w:val="18"/>
                <w:szCs w:val="18"/>
                <w:lang w:val="en-IE"/>
              </w:rPr>
            </w:pPr>
          </w:p>
        </w:tc>
        <w:tc>
          <w:tcPr>
            <w:tcW w:w="951" w:type="dxa"/>
            <w:gridSpan w:val="2"/>
            <w:tcBorders>
              <w:bottom w:val="single" w:sz="12" w:space="0" w:color="auto"/>
            </w:tcBorders>
          </w:tcPr>
          <w:p w14:paraId="73806CC5" w14:textId="77777777" w:rsidR="00A56747" w:rsidRPr="003A769F" w:rsidRDefault="00A56747" w:rsidP="004B53CC">
            <w:pPr>
              <w:ind w:right="-29"/>
              <w:jc w:val="center"/>
              <w:rPr>
                <w:noProof/>
                <w:sz w:val="18"/>
                <w:szCs w:val="18"/>
                <w:lang w:val="en-IE"/>
              </w:rPr>
            </w:pPr>
          </w:p>
        </w:tc>
        <w:tc>
          <w:tcPr>
            <w:tcW w:w="669" w:type="dxa"/>
            <w:tcBorders>
              <w:bottom w:val="single" w:sz="12" w:space="0" w:color="auto"/>
            </w:tcBorders>
          </w:tcPr>
          <w:p w14:paraId="20D9AF90" w14:textId="77777777" w:rsidR="00A56747" w:rsidRPr="003A769F" w:rsidRDefault="00A56747" w:rsidP="004B53CC">
            <w:pPr>
              <w:ind w:right="-29"/>
              <w:jc w:val="center"/>
              <w:rPr>
                <w:noProof/>
                <w:sz w:val="18"/>
                <w:szCs w:val="18"/>
                <w:lang w:val="en-IE"/>
              </w:rPr>
            </w:pPr>
          </w:p>
        </w:tc>
        <w:tc>
          <w:tcPr>
            <w:tcW w:w="540" w:type="dxa"/>
            <w:tcBorders>
              <w:bottom w:val="single" w:sz="12" w:space="0" w:color="auto"/>
            </w:tcBorders>
          </w:tcPr>
          <w:p w14:paraId="5A30F3AA" w14:textId="77777777" w:rsidR="00A56747" w:rsidRPr="003A769F" w:rsidRDefault="00A56747" w:rsidP="004B53CC">
            <w:pPr>
              <w:ind w:right="-29"/>
              <w:jc w:val="center"/>
              <w:rPr>
                <w:noProof/>
                <w:sz w:val="18"/>
                <w:szCs w:val="18"/>
                <w:lang w:val="en-IE"/>
              </w:rPr>
            </w:pPr>
          </w:p>
        </w:tc>
        <w:tc>
          <w:tcPr>
            <w:tcW w:w="648" w:type="dxa"/>
            <w:tcBorders>
              <w:bottom w:val="single" w:sz="12" w:space="0" w:color="auto"/>
            </w:tcBorders>
          </w:tcPr>
          <w:p w14:paraId="23009E1F" w14:textId="77777777" w:rsidR="00A56747" w:rsidRPr="003A769F" w:rsidRDefault="00A56747" w:rsidP="004B53CC">
            <w:pPr>
              <w:ind w:right="-29"/>
              <w:jc w:val="center"/>
              <w:rPr>
                <w:noProof/>
                <w:sz w:val="18"/>
                <w:szCs w:val="18"/>
                <w:lang w:val="en-IE"/>
              </w:rPr>
            </w:pPr>
          </w:p>
        </w:tc>
        <w:tc>
          <w:tcPr>
            <w:tcW w:w="432" w:type="dxa"/>
            <w:tcBorders>
              <w:bottom w:val="single" w:sz="12" w:space="0" w:color="auto"/>
            </w:tcBorders>
          </w:tcPr>
          <w:p w14:paraId="69BECB2C"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578554DD" w14:textId="77777777" w:rsidR="00A56747" w:rsidRPr="003A769F" w:rsidRDefault="00A56747" w:rsidP="004B53CC">
            <w:pPr>
              <w:ind w:right="-29"/>
              <w:jc w:val="center"/>
              <w:rPr>
                <w:noProof/>
                <w:sz w:val="18"/>
                <w:szCs w:val="18"/>
                <w:lang w:val="en-IE"/>
              </w:rPr>
            </w:pPr>
          </w:p>
        </w:tc>
        <w:tc>
          <w:tcPr>
            <w:tcW w:w="540" w:type="dxa"/>
            <w:tcBorders>
              <w:bottom w:val="single" w:sz="12" w:space="0" w:color="auto"/>
            </w:tcBorders>
          </w:tcPr>
          <w:p w14:paraId="3115821F"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212D9EF4" w14:textId="77777777" w:rsidR="00A56747" w:rsidRPr="003A769F" w:rsidRDefault="00A56747" w:rsidP="004B53CC">
            <w:pPr>
              <w:ind w:right="-29"/>
              <w:jc w:val="center"/>
              <w:rPr>
                <w:noProof/>
                <w:sz w:val="18"/>
                <w:szCs w:val="18"/>
                <w:lang w:val="en-IE"/>
              </w:rPr>
            </w:pPr>
          </w:p>
        </w:tc>
        <w:tc>
          <w:tcPr>
            <w:tcW w:w="720" w:type="dxa"/>
            <w:tcBorders>
              <w:bottom w:val="single" w:sz="12" w:space="0" w:color="auto"/>
            </w:tcBorders>
          </w:tcPr>
          <w:p w14:paraId="6E37B940" w14:textId="77777777" w:rsidR="00A56747" w:rsidRPr="003A769F" w:rsidRDefault="00A56747" w:rsidP="004B53CC">
            <w:pPr>
              <w:ind w:right="-29"/>
              <w:jc w:val="center"/>
              <w:rPr>
                <w:noProof/>
                <w:sz w:val="18"/>
                <w:szCs w:val="18"/>
                <w:lang w:val="en-IE"/>
              </w:rPr>
            </w:pPr>
          </w:p>
        </w:tc>
        <w:tc>
          <w:tcPr>
            <w:tcW w:w="900" w:type="dxa"/>
            <w:tcBorders>
              <w:bottom w:val="single" w:sz="12" w:space="0" w:color="auto"/>
            </w:tcBorders>
          </w:tcPr>
          <w:p w14:paraId="6ACAB872" w14:textId="77777777" w:rsidR="00A56747" w:rsidRPr="003A769F" w:rsidRDefault="00A56747" w:rsidP="004B53CC">
            <w:pPr>
              <w:ind w:right="-29"/>
              <w:jc w:val="center"/>
              <w:rPr>
                <w:noProof/>
                <w:sz w:val="18"/>
                <w:szCs w:val="18"/>
                <w:lang w:val="en-IE"/>
              </w:rPr>
            </w:pPr>
          </w:p>
        </w:tc>
      </w:tr>
      <w:tr w:rsidR="00A56747" w14:paraId="7C284F2F" w14:textId="77777777" w:rsidTr="00FF1EF4">
        <w:trPr>
          <w:jc w:val="center"/>
        </w:trPr>
        <w:tc>
          <w:tcPr>
            <w:tcW w:w="2844" w:type="dxa"/>
            <w:gridSpan w:val="3"/>
            <w:tcBorders>
              <w:top w:val="single" w:sz="12" w:space="0" w:color="auto"/>
              <w:left w:val="single" w:sz="12" w:space="0" w:color="auto"/>
              <w:bottom w:val="single" w:sz="12" w:space="0" w:color="auto"/>
            </w:tcBorders>
            <w:vAlign w:val="center"/>
          </w:tcPr>
          <w:p w14:paraId="331C4739" w14:textId="77777777" w:rsidR="00A56747" w:rsidRDefault="00A56747" w:rsidP="004B53CC">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14:paraId="5EE513AC" w14:textId="77777777" w:rsidR="00A56747" w:rsidRDefault="00A56747" w:rsidP="004B53CC">
            <w:pPr>
              <w:spacing w:before="180" w:after="180"/>
              <w:ind w:right="-29"/>
              <w:jc w:val="center"/>
              <w:rPr>
                <w:noProof/>
                <w:sz w:val="18"/>
                <w:szCs w:val="18"/>
              </w:rPr>
            </w:pPr>
          </w:p>
        </w:tc>
        <w:tc>
          <w:tcPr>
            <w:tcW w:w="720" w:type="dxa"/>
            <w:tcBorders>
              <w:top w:val="single" w:sz="12" w:space="0" w:color="auto"/>
              <w:bottom w:val="single" w:sz="12" w:space="0" w:color="auto"/>
            </w:tcBorders>
          </w:tcPr>
          <w:p w14:paraId="15308FA5" w14:textId="77777777" w:rsidR="00A56747" w:rsidRDefault="00A56747" w:rsidP="004B53CC">
            <w:pPr>
              <w:spacing w:before="180" w:after="180"/>
              <w:ind w:right="-29"/>
              <w:jc w:val="center"/>
              <w:rPr>
                <w:noProof/>
                <w:sz w:val="18"/>
                <w:szCs w:val="18"/>
              </w:rPr>
            </w:pPr>
          </w:p>
        </w:tc>
        <w:tc>
          <w:tcPr>
            <w:tcW w:w="540" w:type="dxa"/>
            <w:tcBorders>
              <w:top w:val="single" w:sz="12" w:space="0" w:color="auto"/>
              <w:bottom w:val="single" w:sz="12" w:space="0" w:color="auto"/>
            </w:tcBorders>
          </w:tcPr>
          <w:p w14:paraId="03035E79" w14:textId="77777777" w:rsidR="00A56747" w:rsidRDefault="00A56747" w:rsidP="004B53CC">
            <w:pPr>
              <w:spacing w:before="180" w:after="180"/>
              <w:ind w:right="-29"/>
              <w:jc w:val="center"/>
              <w:rPr>
                <w:noProof/>
                <w:sz w:val="18"/>
                <w:szCs w:val="18"/>
              </w:rPr>
            </w:pPr>
          </w:p>
        </w:tc>
        <w:tc>
          <w:tcPr>
            <w:tcW w:w="720" w:type="dxa"/>
            <w:tcBorders>
              <w:top w:val="single" w:sz="12" w:space="0" w:color="auto"/>
              <w:bottom w:val="single" w:sz="12" w:space="0" w:color="auto"/>
            </w:tcBorders>
          </w:tcPr>
          <w:p w14:paraId="334BFDE8" w14:textId="77777777" w:rsidR="00A56747" w:rsidRDefault="00A56747" w:rsidP="004B53CC">
            <w:pPr>
              <w:spacing w:before="180" w:after="180"/>
              <w:ind w:right="-29"/>
              <w:jc w:val="center"/>
              <w:rPr>
                <w:noProof/>
                <w:sz w:val="18"/>
                <w:szCs w:val="18"/>
              </w:rPr>
            </w:pPr>
          </w:p>
        </w:tc>
        <w:tc>
          <w:tcPr>
            <w:tcW w:w="720" w:type="dxa"/>
            <w:tcBorders>
              <w:top w:val="single" w:sz="12" w:space="0" w:color="auto"/>
              <w:bottom w:val="single" w:sz="12" w:space="0" w:color="auto"/>
            </w:tcBorders>
          </w:tcPr>
          <w:p w14:paraId="05587EBC" w14:textId="77777777" w:rsidR="00A56747" w:rsidRDefault="00A56747" w:rsidP="004B53CC">
            <w:pPr>
              <w:spacing w:before="180" w:after="180"/>
              <w:ind w:right="-29"/>
              <w:jc w:val="center"/>
              <w:rPr>
                <w:noProof/>
                <w:sz w:val="18"/>
                <w:szCs w:val="18"/>
              </w:rPr>
            </w:pPr>
          </w:p>
        </w:tc>
        <w:tc>
          <w:tcPr>
            <w:tcW w:w="720" w:type="dxa"/>
            <w:tcBorders>
              <w:top w:val="single" w:sz="12" w:space="0" w:color="auto"/>
              <w:bottom w:val="single" w:sz="12" w:space="0" w:color="auto"/>
            </w:tcBorders>
          </w:tcPr>
          <w:p w14:paraId="2F02A76C" w14:textId="77777777" w:rsidR="00A56747" w:rsidRDefault="00A56747" w:rsidP="004B53CC">
            <w:pPr>
              <w:spacing w:before="180" w:after="180"/>
              <w:ind w:right="-29"/>
              <w:jc w:val="center"/>
              <w:rPr>
                <w:noProof/>
                <w:sz w:val="18"/>
                <w:szCs w:val="18"/>
              </w:rPr>
            </w:pPr>
          </w:p>
        </w:tc>
        <w:tc>
          <w:tcPr>
            <w:tcW w:w="900" w:type="dxa"/>
            <w:tcBorders>
              <w:top w:val="single" w:sz="12" w:space="0" w:color="auto"/>
              <w:bottom w:val="single" w:sz="12" w:space="0" w:color="auto"/>
            </w:tcBorders>
          </w:tcPr>
          <w:p w14:paraId="13DDABC2" w14:textId="77777777" w:rsidR="00A56747" w:rsidRDefault="00A56747" w:rsidP="004B53CC">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3A12FCEE" w14:textId="77777777" w:rsidR="00A56747" w:rsidRDefault="00A56747" w:rsidP="004B53CC">
            <w:pPr>
              <w:spacing w:before="180" w:after="180"/>
              <w:ind w:right="-29"/>
              <w:jc w:val="center"/>
              <w:rPr>
                <w:noProof/>
                <w:sz w:val="18"/>
                <w:szCs w:val="18"/>
              </w:rPr>
            </w:pPr>
          </w:p>
        </w:tc>
        <w:tc>
          <w:tcPr>
            <w:tcW w:w="540" w:type="dxa"/>
            <w:tcBorders>
              <w:top w:val="single" w:sz="12" w:space="0" w:color="auto"/>
              <w:bottom w:val="single" w:sz="12" w:space="0" w:color="auto"/>
            </w:tcBorders>
          </w:tcPr>
          <w:p w14:paraId="057E0CEF" w14:textId="77777777" w:rsidR="00A56747" w:rsidRDefault="00A56747" w:rsidP="004B53CC">
            <w:pPr>
              <w:spacing w:before="180" w:after="180"/>
              <w:ind w:right="-29"/>
              <w:jc w:val="center"/>
              <w:rPr>
                <w:noProof/>
                <w:sz w:val="18"/>
                <w:szCs w:val="18"/>
              </w:rPr>
            </w:pPr>
          </w:p>
        </w:tc>
        <w:tc>
          <w:tcPr>
            <w:tcW w:w="648" w:type="dxa"/>
            <w:tcBorders>
              <w:top w:val="single" w:sz="12" w:space="0" w:color="auto"/>
              <w:bottom w:val="single" w:sz="12" w:space="0" w:color="auto"/>
            </w:tcBorders>
          </w:tcPr>
          <w:p w14:paraId="4FC2D177" w14:textId="77777777" w:rsidR="00A56747" w:rsidRDefault="00A56747" w:rsidP="004B53CC">
            <w:pPr>
              <w:spacing w:before="180" w:after="180"/>
              <w:ind w:right="-29"/>
              <w:jc w:val="center"/>
              <w:rPr>
                <w:noProof/>
                <w:sz w:val="18"/>
                <w:szCs w:val="18"/>
              </w:rPr>
            </w:pPr>
          </w:p>
        </w:tc>
        <w:tc>
          <w:tcPr>
            <w:tcW w:w="432" w:type="dxa"/>
            <w:tcBorders>
              <w:top w:val="single" w:sz="12" w:space="0" w:color="auto"/>
              <w:bottom w:val="single" w:sz="12" w:space="0" w:color="auto"/>
            </w:tcBorders>
          </w:tcPr>
          <w:p w14:paraId="7FEA953F" w14:textId="77777777" w:rsidR="00A56747" w:rsidRDefault="00A56747" w:rsidP="004B53CC">
            <w:pPr>
              <w:spacing w:before="180" w:after="180"/>
              <w:ind w:right="-29"/>
              <w:jc w:val="center"/>
              <w:rPr>
                <w:noProof/>
                <w:sz w:val="18"/>
                <w:szCs w:val="18"/>
              </w:rPr>
            </w:pPr>
          </w:p>
        </w:tc>
        <w:tc>
          <w:tcPr>
            <w:tcW w:w="720" w:type="dxa"/>
            <w:tcBorders>
              <w:top w:val="single" w:sz="12" w:space="0" w:color="auto"/>
              <w:bottom w:val="single" w:sz="12" w:space="0" w:color="auto"/>
            </w:tcBorders>
          </w:tcPr>
          <w:p w14:paraId="656C9BFA" w14:textId="77777777" w:rsidR="00A56747" w:rsidRDefault="00A56747" w:rsidP="004B53CC">
            <w:pPr>
              <w:spacing w:before="180" w:after="180"/>
              <w:ind w:right="-29"/>
              <w:jc w:val="center"/>
              <w:rPr>
                <w:noProof/>
                <w:sz w:val="18"/>
                <w:szCs w:val="18"/>
              </w:rPr>
            </w:pPr>
          </w:p>
        </w:tc>
        <w:tc>
          <w:tcPr>
            <w:tcW w:w="540" w:type="dxa"/>
            <w:tcBorders>
              <w:top w:val="single" w:sz="12" w:space="0" w:color="auto"/>
              <w:bottom w:val="single" w:sz="12" w:space="0" w:color="auto"/>
            </w:tcBorders>
          </w:tcPr>
          <w:p w14:paraId="12A8BD09" w14:textId="77777777" w:rsidR="00A56747" w:rsidRDefault="00A56747" w:rsidP="004B53CC">
            <w:pPr>
              <w:spacing w:before="180" w:after="180"/>
              <w:ind w:right="-29"/>
              <w:jc w:val="center"/>
              <w:rPr>
                <w:noProof/>
                <w:sz w:val="18"/>
                <w:szCs w:val="18"/>
              </w:rPr>
            </w:pPr>
          </w:p>
        </w:tc>
        <w:tc>
          <w:tcPr>
            <w:tcW w:w="720" w:type="dxa"/>
            <w:tcBorders>
              <w:top w:val="single" w:sz="12" w:space="0" w:color="auto"/>
              <w:bottom w:val="single" w:sz="12" w:space="0" w:color="auto"/>
            </w:tcBorders>
          </w:tcPr>
          <w:p w14:paraId="6E68B55E" w14:textId="77777777" w:rsidR="00A56747" w:rsidRDefault="00A56747" w:rsidP="004B53CC">
            <w:pPr>
              <w:spacing w:before="180" w:after="180"/>
              <w:ind w:right="-29"/>
              <w:jc w:val="center"/>
              <w:rPr>
                <w:noProof/>
                <w:sz w:val="18"/>
                <w:szCs w:val="18"/>
              </w:rPr>
            </w:pPr>
          </w:p>
        </w:tc>
        <w:tc>
          <w:tcPr>
            <w:tcW w:w="720" w:type="dxa"/>
            <w:tcBorders>
              <w:top w:val="single" w:sz="12" w:space="0" w:color="auto"/>
              <w:bottom w:val="single" w:sz="12" w:space="0" w:color="auto"/>
            </w:tcBorders>
          </w:tcPr>
          <w:p w14:paraId="4202D2B5" w14:textId="77777777" w:rsidR="00A56747" w:rsidRDefault="00A56747" w:rsidP="004B53CC">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15A3177" w14:textId="77777777" w:rsidR="00A56747" w:rsidRDefault="00A56747" w:rsidP="004B53CC">
            <w:pPr>
              <w:spacing w:before="180" w:after="180"/>
              <w:ind w:right="-29"/>
              <w:jc w:val="center"/>
              <w:rPr>
                <w:noProof/>
                <w:sz w:val="18"/>
                <w:szCs w:val="18"/>
              </w:rPr>
            </w:pPr>
          </w:p>
        </w:tc>
      </w:tr>
    </w:tbl>
    <w:p w14:paraId="3172BDAE" w14:textId="77777777" w:rsidR="00A56747" w:rsidRDefault="00A56747" w:rsidP="00A56747">
      <w:pPr>
        <w:rPr>
          <w:noProof/>
        </w:rPr>
        <w:sectPr w:rsidR="00A56747" w:rsidSect="00A12408">
          <w:headerReference w:type="default" r:id="rId19"/>
          <w:footerReference w:type="default" r:id="rId20"/>
          <w:pgSz w:w="16840" w:h="11907" w:orient="landscape" w:code="9"/>
          <w:pgMar w:top="1134" w:right="1418" w:bottom="567" w:left="1418" w:header="709" w:footer="709" w:gutter="0"/>
          <w:cols w:space="708"/>
          <w:docGrid w:linePitch="360"/>
        </w:sectPr>
      </w:pPr>
    </w:p>
    <w:p w14:paraId="19E3881E" w14:textId="77777777" w:rsidR="00A56747" w:rsidRPr="00910A6B" w:rsidRDefault="00A56747" w:rsidP="00A56747">
      <w:pPr>
        <w:pStyle w:val="ManualHeading3"/>
        <w:rPr>
          <w:bCs/>
          <w:noProof/>
          <w:szCs w:val="24"/>
        </w:rPr>
      </w:pPr>
      <w:bookmarkStart w:id="208" w:name="_Toc514938055"/>
      <w:bookmarkStart w:id="209" w:name="_Toc520485054"/>
      <w:bookmarkStart w:id="210" w:name="_Toc160804598"/>
      <w:bookmarkStart w:id="211" w:name="_Toc167220290"/>
      <w:bookmarkStart w:id="212" w:name="_Toc177549023"/>
      <w:r w:rsidRPr="0021790A">
        <w:rPr>
          <w:noProof/>
        </w:rPr>
        <w:t>3.2.3.</w:t>
      </w:r>
      <w:r w:rsidRPr="0021790A">
        <w:rPr>
          <w:noProof/>
        </w:rPr>
        <w:tab/>
      </w:r>
      <w:r>
        <w:rPr>
          <w:noProof/>
        </w:rPr>
        <w:t>Summary of estimated impact on administrative appropriations</w:t>
      </w:r>
      <w:bookmarkEnd w:id="208"/>
      <w:bookmarkEnd w:id="209"/>
      <w:bookmarkEnd w:id="210"/>
      <w:bookmarkEnd w:id="211"/>
      <w:bookmarkEnd w:id="212"/>
      <w:r>
        <w:rPr>
          <w:noProof/>
        </w:rPr>
        <w:t xml:space="preserve"> </w:t>
      </w:r>
    </w:p>
    <w:p w14:paraId="48E99A73" w14:textId="77777777" w:rsidR="00A56747" w:rsidRDefault="00A56747" w:rsidP="00A56747">
      <w:pPr>
        <w:pStyle w:val="ListDash1"/>
        <w:tabs>
          <w:tab w:val="clear" w:pos="3523"/>
          <w:tab w:val="num" w:pos="1134"/>
        </w:tabs>
        <w:ind w:left="1134"/>
        <w:rPr>
          <w:noProof/>
        </w:rPr>
      </w:pPr>
      <w:r w:rsidRPr="3BBA3D08">
        <w:rPr>
          <w:rFonts w:ascii="Wingdings" w:eastAsia="Wingdings" w:hAnsi="Wingdings" w:cs="Wingdings"/>
          <w:noProof/>
        </w:rPr>
        <w:t></w:t>
      </w:r>
      <w:r>
        <w:rPr>
          <w:noProof/>
        </w:rPr>
        <w:tab/>
      </w:r>
      <w:r w:rsidRPr="3BBA3D08">
        <w:rPr>
          <w:noProof/>
        </w:rPr>
        <w:t xml:space="preserve">The proposal/initiative does not require the use of appropriations of an administrative nature </w:t>
      </w:r>
    </w:p>
    <w:p w14:paraId="44D7066B" w14:textId="77777777" w:rsidR="00A56747" w:rsidRDefault="00A56747" w:rsidP="00A56747">
      <w:pPr>
        <w:pStyle w:val="ListDash1"/>
        <w:tabs>
          <w:tab w:val="clear" w:pos="3523"/>
          <w:tab w:val="num" w:pos="1134"/>
        </w:tabs>
        <w:ind w:left="1134"/>
        <w:rPr>
          <w:noProof/>
        </w:rPr>
      </w:pPr>
      <w:r w:rsidRPr="3BBA3D08">
        <w:rPr>
          <w:rFonts w:ascii="Wingdings" w:eastAsia="Wingdings" w:hAnsi="Wingdings" w:cs="Wingdings"/>
          <w:noProof/>
        </w:rPr>
        <w:t></w:t>
      </w:r>
      <w:r>
        <w:rPr>
          <w:noProof/>
        </w:rPr>
        <w:tab/>
      </w:r>
      <w:r w:rsidRPr="3BBA3D08">
        <w:rPr>
          <w:noProof/>
        </w:rPr>
        <w:t>The proposal/initiative requires the use of appropriations of an administrative nature, as explained below</w:t>
      </w:r>
    </w:p>
    <w:p w14:paraId="081E0C25" w14:textId="77777777" w:rsidR="00A56747" w:rsidRDefault="00A56747" w:rsidP="00A56747">
      <w:pPr>
        <w:pStyle w:val="ManualHeading3"/>
        <w:rPr>
          <w:noProof/>
        </w:rPr>
      </w:pPr>
      <w:bookmarkStart w:id="213" w:name="_Toc167220291"/>
      <w:bookmarkStart w:id="214" w:name="_Toc177549024"/>
      <w:r w:rsidRPr="003268F2">
        <w:rPr>
          <w:noProof/>
        </w:rPr>
        <w:t>3.2.3.1</w:t>
      </w:r>
      <w:r>
        <w:rPr>
          <w:noProof/>
        </w:rPr>
        <w:t>.</w:t>
      </w:r>
      <w:r w:rsidRPr="003268F2">
        <w:rPr>
          <w:noProof/>
        </w:rPr>
        <w:t xml:space="preserve"> </w:t>
      </w:r>
      <w:r w:rsidRPr="003A7A3D">
        <w:rPr>
          <w:noProof/>
        </w:rPr>
        <w:t>Appropriations</w:t>
      </w:r>
      <w:r>
        <w:rPr>
          <w:noProof/>
        </w:rPr>
        <w:t xml:space="preserve"> </w:t>
      </w:r>
      <w:r>
        <w:rPr>
          <w:rFonts w:eastAsia="Calibri"/>
          <w:noProof/>
        </w:rPr>
        <w:t>from</w:t>
      </w:r>
      <w:r>
        <w:rPr>
          <w:noProof/>
        </w:rPr>
        <w:t xml:space="preserve"> voted budget</w:t>
      </w:r>
      <w:bookmarkEnd w:id="213"/>
      <w:bookmarkEnd w:id="214"/>
    </w:p>
    <w:tbl>
      <w:tblPr>
        <w:tblW w:w="5000" w:type="pct"/>
        <w:tblLook w:val="04A0" w:firstRow="1" w:lastRow="0" w:firstColumn="1" w:lastColumn="0" w:noHBand="0" w:noVBand="1"/>
      </w:tblPr>
      <w:tblGrid>
        <w:gridCol w:w="4027"/>
        <w:gridCol w:w="1027"/>
        <w:gridCol w:w="1027"/>
        <w:gridCol w:w="1027"/>
        <w:gridCol w:w="1027"/>
        <w:gridCol w:w="1154"/>
      </w:tblGrid>
      <w:tr w:rsidR="003100E7" w:rsidRPr="00290112" w14:paraId="6B8B4E3D" w14:textId="77777777" w:rsidTr="004B53CC">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3C48FAF" w14:textId="77777777" w:rsidR="00A56747" w:rsidRPr="00290112" w:rsidRDefault="00A56747" w:rsidP="004B53CC">
            <w:pPr>
              <w:spacing w:before="0" w:after="0"/>
              <w:jc w:val="center"/>
              <w:rPr>
                <w:b/>
                <w:bCs/>
                <w:noProof/>
                <w:color w:val="000000"/>
                <w:sz w:val="18"/>
                <w:szCs w:val="18"/>
                <w:lang w:val="en-IE" w:eastAsia="en-IE"/>
              </w:rPr>
            </w:pPr>
            <w:r w:rsidRPr="00290112">
              <w:rPr>
                <w:b/>
                <w:bCs/>
                <w:noProof/>
                <w:color w:val="000000"/>
                <w:sz w:val="18"/>
                <w:szCs w:val="18"/>
                <w:lang w:val="en-IE" w:eastAsia="en-IE"/>
              </w:rPr>
              <w:t>VOTED APPROPRIATIONS</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26C8CE72" w14:textId="77777777" w:rsidR="00A56747" w:rsidRPr="00290112" w:rsidRDefault="00A56747" w:rsidP="004B53CC">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00A4A2CA" w14:textId="77777777" w:rsidR="00A56747" w:rsidRPr="00290112" w:rsidRDefault="00A56747" w:rsidP="004B53CC">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4705DBC6" w14:textId="77777777" w:rsidR="00A56747" w:rsidRPr="00290112" w:rsidRDefault="00A56747" w:rsidP="004B53CC">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46CD2434" w14:textId="77777777" w:rsidR="00A56747" w:rsidRPr="00290112" w:rsidRDefault="00A56747" w:rsidP="004B53CC">
            <w:pPr>
              <w:spacing w:before="0" w:after="0"/>
              <w:jc w:val="center"/>
              <w:rPr>
                <w:noProof/>
                <w:color w:val="000000"/>
                <w:sz w:val="18"/>
                <w:szCs w:val="18"/>
                <w:lang w:val="en-IE" w:eastAsia="en-IE"/>
              </w:rPr>
            </w:pPr>
            <w:r w:rsidRPr="00290112">
              <w:rPr>
                <w:noProof/>
                <w:color w:val="000000"/>
                <w:sz w:val="18"/>
                <w:szCs w:val="18"/>
                <w:lang w:val="en-IE" w:eastAsia="en-IE"/>
              </w:rPr>
              <w:t>Year</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6F2CC10" w14:textId="77777777" w:rsidR="00A56747" w:rsidRPr="00290112" w:rsidRDefault="00A56747" w:rsidP="004B53CC">
            <w:pPr>
              <w:spacing w:before="0" w:after="0"/>
              <w:jc w:val="center"/>
              <w:rPr>
                <w:b/>
                <w:bCs/>
                <w:noProof/>
                <w:color w:val="000000"/>
                <w:sz w:val="18"/>
                <w:szCs w:val="18"/>
                <w:lang w:val="en-IE" w:eastAsia="en-IE"/>
              </w:rPr>
            </w:pPr>
            <w:r w:rsidRPr="00290112">
              <w:rPr>
                <w:b/>
                <w:bCs/>
                <w:noProof/>
                <w:color w:val="000000"/>
                <w:sz w:val="18"/>
                <w:szCs w:val="18"/>
                <w:lang w:val="en-IE" w:eastAsia="en-IE"/>
              </w:rPr>
              <w:t>TOTAL</w:t>
            </w:r>
            <w:r>
              <w:rPr>
                <w:b/>
                <w:bCs/>
                <w:noProof/>
                <w:color w:val="000000"/>
                <w:sz w:val="18"/>
                <w:szCs w:val="18"/>
                <w:lang w:val="en-IE" w:eastAsia="en-IE"/>
              </w:rPr>
              <w:t xml:space="preserve"> </w:t>
            </w:r>
            <w:r w:rsidRPr="00290112">
              <w:rPr>
                <w:b/>
                <w:bCs/>
                <w:noProof/>
                <w:color w:val="000000"/>
                <w:sz w:val="18"/>
                <w:szCs w:val="18"/>
                <w:lang w:val="en-IE" w:eastAsia="en-IE"/>
              </w:rPr>
              <w:t>2021 - 2027</w:t>
            </w:r>
          </w:p>
        </w:tc>
      </w:tr>
      <w:tr w:rsidR="00A56747" w:rsidRPr="00290112" w14:paraId="0C9794C8" w14:textId="77777777" w:rsidTr="00FF1EF4">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5A455E7D" w14:textId="77777777" w:rsidR="00A56747" w:rsidRPr="00290112" w:rsidRDefault="00A56747" w:rsidP="004B53CC">
            <w:pPr>
              <w:spacing w:before="0" w:after="0"/>
              <w:jc w:val="left"/>
              <w:rPr>
                <w:b/>
                <w:bCs/>
                <w:noProof/>
                <w:color w:val="000000"/>
                <w:sz w:val="18"/>
                <w:szCs w:val="18"/>
                <w:lang w:val="en-IE" w:eastAsia="en-IE"/>
              </w:rPr>
            </w:pPr>
          </w:p>
        </w:tc>
        <w:tc>
          <w:tcPr>
            <w:tcW w:w="553" w:type="pct"/>
            <w:tcBorders>
              <w:top w:val="nil"/>
              <w:left w:val="nil"/>
              <w:bottom w:val="single" w:sz="8" w:space="0" w:color="auto"/>
              <w:right w:val="single" w:sz="8" w:space="0" w:color="auto"/>
            </w:tcBorders>
            <w:shd w:val="clear" w:color="auto" w:fill="auto"/>
            <w:vAlign w:val="center"/>
            <w:hideMark/>
          </w:tcPr>
          <w:p w14:paraId="3246C3A4" w14:textId="77777777" w:rsidR="00A56747" w:rsidRPr="00290112" w:rsidRDefault="00A56747" w:rsidP="004B53CC">
            <w:pPr>
              <w:spacing w:before="0" w:after="0"/>
              <w:jc w:val="center"/>
              <w:rPr>
                <w:b/>
                <w:bCs/>
                <w:noProof/>
                <w:color w:val="000000"/>
                <w:sz w:val="18"/>
                <w:szCs w:val="18"/>
                <w:lang w:val="en-IE" w:eastAsia="en-IE"/>
              </w:rPr>
            </w:pPr>
            <w:r w:rsidRPr="00290112">
              <w:rPr>
                <w:b/>
                <w:bCs/>
                <w:noProof/>
                <w:color w:val="000000"/>
                <w:sz w:val="18"/>
                <w:szCs w:val="18"/>
                <w:lang w:val="en-IE" w:eastAsia="en-IE"/>
              </w:rPr>
              <w:t>2024</w:t>
            </w:r>
          </w:p>
        </w:tc>
        <w:tc>
          <w:tcPr>
            <w:tcW w:w="553" w:type="pct"/>
            <w:tcBorders>
              <w:top w:val="nil"/>
              <w:left w:val="nil"/>
              <w:bottom w:val="single" w:sz="8" w:space="0" w:color="auto"/>
              <w:right w:val="single" w:sz="8" w:space="0" w:color="auto"/>
            </w:tcBorders>
            <w:shd w:val="clear" w:color="auto" w:fill="auto"/>
            <w:vAlign w:val="center"/>
            <w:hideMark/>
          </w:tcPr>
          <w:p w14:paraId="5FCC4970" w14:textId="77777777" w:rsidR="00A56747" w:rsidRPr="00290112" w:rsidRDefault="00A56747" w:rsidP="004B53CC">
            <w:pPr>
              <w:spacing w:before="0" w:after="0"/>
              <w:jc w:val="center"/>
              <w:rPr>
                <w:b/>
                <w:bCs/>
                <w:noProof/>
                <w:color w:val="000000"/>
                <w:sz w:val="18"/>
                <w:szCs w:val="18"/>
                <w:lang w:val="en-IE" w:eastAsia="en-IE"/>
              </w:rPr>
            </w:pPr>
            <w:r w:rsidRPr="00290112">
              <w:rPr>
                <w:b/>
                <w:bCs/>
                <w:noProof/>
                <w:color w:val="000000"/>
                <w:sz w:val="18"/>
                <w:szCs w:val="18"/>
                <w:lang w:val="en-IE" w:eastAsia="en-IE"/>
              </w:rPr>
              <w:t>2025</w:t>
            </w:r>
          </w:p>
        </w:tc>
        <w:tc>
          <w:tcPr>
            <w:tcW w:w="553" w:type="pct"/>
            <w:tcBorders>
              <w:top w:val="nil"/>
              <w:left w:val="nil"/>
              <w:bottom w:val="single" w:sz="8" w:space="0" w:color="auto"/>
              <w:right w:val="single" w:sz="8" w:space="0" w:color="auto"/>
            </w:tcBorders>
            <w:shd w:val="clear" w:color="auto" w:fill="auto"/>
            <w:vAlign w:val="center"/>
            <w:hideMark/>
          </w:tcPr>
          <w:p w14:paraId="3B2A25E1" w14:textId="77777777" w:rsidR="00A56747" w:rsidRPr="00290112" w:rsidRDefault="00A56747" w:rsidP="004B53CC">
            <w:pPr>
              <w:spacing w:before="0" w:after="0"/>
              <w:jc w:val="center"/>
              <w:rPr>
                <w:b/>
                <w:bCs/>
                <w:noProof/>
                <w:color w:val="000000"/>
                <w:sz w:val="18"/>
                <w:szCs w:val="18"/>
                <w:lang w:val="en-IE" w:eastAsia="en-IE"/>
              </w:rPr>
            </w:pPr>
            <w:r w:rsidRPr="00290112">
              <w:rPr>
                <w:b/>
                <w:bCs/>
                <w:noProof/>
                <w:color w:val="000000"/>
                <w:sz w:val="18"/>
                <w:szCs w:val="18"/>
                <w:lang w:val="en-IE" w:eastAsia="en-IE"/>
              </w:rPr>
              <w:t>2026</w:t>
            </w:r>
          </w:p>
        </w:tc>
        <w:tc>
          <w:tcPr>
            <w:tcW w:w="553" w:type="pct"/>
            <w:tcBorders>
              <w:top w:val="nil"/>
              <w:left w:val="nil"/>
              <w:bottom w:val="single" w:sz="8" w:space="0" w:color="auto"/>
              <w:right w:val="single" w:sz="8" w:space="0" w:color="auto"/>
            </w:tcBorders>
            <w:shd w:val="clear" w:color="auto" w:fill="auto"/>
            <w:vAlign w:val="center"/>
            <w:hideMark/>
          </w:tcPr>
          <w:p w14:paraId="5AFBFA8F" w14:textId="77777777" w:rsidR="00A56747" w:rsidRPr="00290112" w:rsidRDefault="00A56747" w:rsidP="004B53CC">
            <w:pPr>
              <w:spacing w:before="0" w:after="0"/>
              <w:jc w:val="center"/>
              <w:rPr>
                <w:b/>
                <w:bCs/>
                <w:noProof/>
                <w:color w:val="000000"/>
                <w:sz w:val="18"/>
                <w:szCs w:val="18"/>
                <w:lang w:val="en-IE" w:eastAsia="en-IE"/>
              </w:rPr>
            </w:pPr>
            <w:r w:rsidRPr="00290112">
              <w:rPr>
                <w:b/>
                <w:bCs/>
                <w:noProof/>
                <w:color w:val="000000"/>
                <w:sz w:val="18"/>
                <w:szCs w:val="18"/>
                <w:lang w:val="en-IE" w:eastAsia="en-IE"/>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0FC82747" w14:textId="77777777" w:rsidR="00A56747" w:rsidRPr="00290112" w:rsidRDefault="00A56747" w:rsidP="004B53CC">
            <w:pPr>
              <w:spacing w:before="0" w:after="0"/>
              <w:jc w:val="left"/>
              <w:rPr>
                <w:b/>
                <w:bCs/>
                <w:noProof/>
                <w:color w:val="000000"/>
                <w:sz w:val="18"/>
                <w:szCs w:val="18"/>
                <w:lang w:val="en-IE" w:eastAsia="en-IE"/>
              </w:rPr>
            </w:pPr>
          </w:p>
        </w:tc>
      </w:tr>
      <w:tr w:rsidR="00A56747" w:rsidRPr="00290112" w14:paraId="0461F10C" w14:textId="77777777" w:rsidTr="00FF1EF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2E3362CC" w14:textId="77777777" w:rsidR="00A56747" w:rsidRPr="00290112" w:rsidRDefault="00A56747" w:rsidP="004B53CC">
            <w:pPr>
              <w:spacing w:before="0" w:after="0"/>
              <w:jc w:val="left"/>
              <w:rPr>
                <w:b/>
                <w:bCs/>
                <w:noProof/>
                <w:sz w:val="16"/>
                <w:szCs w:val="16"/>
                <w:lang w:val="en-IE" w:eastAsia="en-IE"/>
              </w:rPr>
            </w:pPr>
            <w:r w:rsidRPr="00290112">
              <w:rPr>
                <w:b/>
                <w:bCs/>
                <w:noProof/>
                <w:sz w:val="16"/>
                <w:szCs w:val="16"/>
                <w:lang w:val="en-IE" w:eastAsia="en-IE"/>
              </w:rPr>
              <w:t>HEADING 7</w:t>
            </w:r>
          </w:p>
        </w:tc>
      </w:tr>
      <w:tr w:rsidR="003100E7" w:rsidRPr="00290112" w14:paraId="0C3E11AB" w14:textId="77777777" w:rsidTr="004B53C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3C691108" w14:textId="77777777" w:rsidR="00A56747" w:rsidRPr="00290112" w:rsidRDefault="00A56747" w:rsidP="004B53CC">
            <w:pPr>
              <w:spacing w:before="0" w:after="0"/>
              <w:jc w:val="left"/>
              <w:rPr>
                <w:noProof/>
                <w:color w:val="000000"/>
                <w:sz w:val="16"/>
                <w:szCs w:val="16"/>
                <w:lang w:val="en-IE" w:eastAsia="en-IE"/>
              </w:rPr>
            </w:pPr>
            <w:r w:rsidRPr="00290112">
              <w:rPr>
                <w:noProof/>
                <w:color w:val="000000"/>
                <w:sz w:val="16"/>
                <w:szCs w:val="16"/>
                <w:lang w:val="en-IE"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14:paraId="25BF382C"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33DAC8C7"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6B553722"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3F310013"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14:paraId="55DCA1F5"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r>
      <w:tr w:rsidR="003100E7" w:rsidRPr="00290112" w14:paraId="796C6B33" w14:textId="77777777" w:rsidTr="004B53C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4438828C" w14:textId="77777777" w:rsidR="00A56747" w:rsidRPr="00290112" w:rsidRDefault="00A56747" w:rsidP="004B53CC">
            <w:pPr>
              <w:spacing w:before="0" w:after="0"/>
              <w:jc w:val="left"/>
              <w:rPr>
                <w:noProof/>
                <w:color w:val="000000"/>
                <w:sz w:val="16"/>
                <w:szCs w:val="16"/>
                <w:lang w:val="en-IE" w:eastAsia="en-IE"/>
              </w:rPr>
            </w:pPr>
            <w:r w:rsidRPr="00290112">
              <w:rPr>
                <w:noProof/>
                <w:color w:val="000000"/>
                <w:sz w:val="16"/>
                <w:szCs w:val="16"/>
                <w:lang w:val="en-IE" w:eastAsia="en-IE"/>
              </w:rPr>
              <w:t xml:space="preserve">Other administrative expenditure </w:t>
            </w:r>
          </w:p>
        </w:tc>
        <w:tc>
          <w:tcPr>
            <w:tcW w:w="553" w:type="pct"/>
            <w:tcBorders>
              <w:top w:val="nil"/>
              <w:left w:val="nil"/>
              <w:bottom w:val="single" w:sz="8" w:space="0" w:color="auto"/>
              <w:right w:val="single" w:sz="8" w:space="0" w:color="auto"/>
            </w:tcBorders>
            <w:shd w:val="clear" w:color="000000" w:fill="D9D9D9"/>
            <w:vAlign w:val="center"/>
            <w:hideMark/>
          </w:tcPr>
          <w:p w14:paraId="46F4FBE4"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3F703B29"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4F9A6BDC"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7228BA33"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14:paraId="1F7C2A38"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r>
      <w:tr w:rsidR="003100E7" w:rsidRPr="00290112" w14:paraId="618C959B" w14:textId="77777777" w:rsidTr="004B53CC">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4F5980F5" w14:textId="77777777" w:rsidR="00A56747" w:rsidRPr="00290112" w:rsidRDefault="00A56747" w:rsidP="004B53CC">
            <w:pPr>
              <w:spacing w:before="0" w:after="0"/>
              <w:jc w:val="center"/>
              <w:rPr>
                <w:b/>
                <w:bCs/>
                <w:noProof/>
                <w:color w:val="000000"/>
                <w:sz w:val="16"/>
                <w:szCs w:val="16"/>
                <w:lang w:val="en-IE" w:eastAsia="en-IE"/>
              </w:rPr>
            </w:pPr>
            <w:r w:rsidRPr="00290112">
              <w:rPr>
                <w:b/>
                <w:bCs/>
                <w:noProof/>
                <w:color w:val="000000"/>
                <w:sz w:val="16"/>
                <w:szCs w:val="16"/>
                <w:lang w:val="en-IE" w:eastAsia="en-IE"/>
              </w:rPr>
              <w:t>Subtotal HEADING 7</w:t>
            </w:r>
          </w:p>
        </w:tc>
        <w:tc>
          <w:tcPr>
            <w:tcW w:w="553" w:type="pct"/>
            <w:tcBorders>
              <w:top w:val="nil"/>
              <w:left w:val="nil"/>
              <w:bottom w:val="single" w:sz="8" w:space="0" w:color="auto"/>
              <w:right w:val="single" w:sz="8" w:space="0" w:color="auto"/>
            </w:tcBorders>
            <w:shd w:val="clear" w:color="000000" w:fill="D9D9D9"/>
            <w:vAlign w:val="center"/>
            <w:hideMark/>
          </w:tcPr>
          <w:p w14:paraId="37B5138B"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38BB7B7C"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0B7D2289"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5AA2971E"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14:paraId="2A8C4054"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r>
      <w:tr w:rsidR="00A56747" w:rsidRPr="00290112" w14:paraId="5E31885B" w14:textId="77777777" w:rsidTr="00FF1EF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695432E6" w14:textId="77777777" w:rsidR="00A56747" w:rsidRPr="00290112" w:rsidRDefault="00A56747" w:rsidP="004B53CC">
            <w:pPr>
              <w:spacing w:before="0" w:after="0"/>
              <w:jc w:val="left"/>
              <w:rPr>
                <w:b/>
                <w:bCs/>
                <w:noProof/>
                <w:sz w:val="16"/>
                <w:szCs w:val="16"/>
                <w:lang w:val="en-IE" w:eastAsia="en-IE"/>
              </w:rPr>
            </w:pPr>
            <w:r w:rsidRPr="00290112">
              <w:rPr>
                <w:b/>
                <w:bCs/>
                <w:noProof/>
                <w:sz w:val="16"/>
                <w:szCs w:val="16"/>
                <w:lang w:val="en-IE" w:eastAsia="en-IE"/>
              </w:rPr>
              <w:t>Outside HEADING 7</w:t>
            </w:r>
          </w:p>
        </w:tc>
      </w:tr>
      <w:tr w:rsidR="003100E7" w:rsidRPr="00290112" w14:paraId="7452BC13" w14:textId="77777777" w:rsidTr="004B53C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2D48ECFE" w14:textId="77777777" w:rsidR="00A56747" w:rsidRPr="00290112" w:rsidRDefault="00A56747" w:rsidP="004B53CC">
            <w:pPr>
              <w:spacing w:before="0" w:after="0"/>
              <w:jc w:val="left"/>
              <w:rPr>
                <w:noProof/>
                <w:color w:val="000000"/>
                <w:sz w:val="16"/>
                <w:szCs w:val="16"/>
                <w:lang w:val="en-IE" w:eastAsia="en-IE"/>
              </w:rPr>
            </w:pPr>
            <w:r w:rsidRPr="00290112">
              <w:rPr>
                <w:noProof/>
                <w:color w:val="000000"/>
                <w:sz w:val="16"/>
                <w:szCs w:val="16"/>
                <w:lang w:val="en-IE" w:eastAsia="en-IE"/>
              </w:rPr>
              <w:t xml:space="preserve">Human resources </w:t>
            </w:r>
          </w:p>
        </w:tc>
        <w:tc>
          <w:tcPr>
            <w:tcW w:w="553" w:type="pct"/>
            <w:tcBorders>
              <w:top w:val="nil"/>
              <w:left w:val="nil"/>
              <w:bottom w:val="single" w:sz="8" w:space="0" w:color="auto"/>
              <w:right w:val="single" w:sz="8" w:space="0" w:color="auto"/>
            </w:tcBorders>
            <w:shd w:val="clear" w:color="000000" w:fill="D9D9D9"/>
            <w:vAlign w:val="center"/>
            <w:hideMark/>
          </w:tcPr>
          <w:p w14:paraId="61B88F42"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005CBFA8"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013139FF"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588A9453"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14:paraId="57690E34"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r>
      <w:tr w:rsidR="003100E7" w:rsidRPr="00290112" w14:paraId="0A8BFCC5" w14:textId="77777777" w:rsidTr="004B53C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25062748" w14:textId="77777777" w:rsidR="00A56747" w:rsidRPr="00290112" w:rsidRDefault="00A56747" w:rsidP="004B53CC">
            <w:pPr>
              <w:spacing w:before="0" w:after="0"/>
              <w:jc w:val="left"/>
              <w:rPr>
                <w:noProof/>
                <w:color w:val="000000"/>
                <w:sz w:val="16"/>
                <w:szCs w:val="16"/>
                <w:lang w:val="en-IE" w:eastAsia="en-IE"/>
              </w:rPr>
            </w:pPr>
            <w:r w:rsidRPr="00290112">
              <w:rPr>
                <w:noProof/>
                <w:color w:val="000000"/>
                <w:sz w:val="16"/>
                <w:szCs w:val="16"/>
                <w:lang w:val="en-IE" w:eastAsia="en-IE"/>
              </w:rPr>
              <w:t>Other expenditure of an administrative nature</w:t>
            </w:r>
          </w:p>
        </w:tc>
        <w:tc>
          <w:tcPr>
            <w:tcW w:w="553" w:type="pct"/>
            <w:tcBorders>
              <w:top w:val="nil"/>
              <w:left w:val="nil"/>
              <w:bottom w:val="single" w:sz="8" w:space="0" w:color="auto"/>
              <w:right w:val="single" w:sz="8" w:space="0" w:color="auto"/>
            </w:tcBorders>
            <w:shd w:val="clear" w:color="000000" w:fill="D9D9D9"/>
            <w:vAlign w:val="center"/>
            <w:hideMark/>
          </w:tcPr>
          <w:p w14:paraId="781DAABA"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252B9CE7"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152F2329"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4C649C2F" w14:textId="77777777" w:rsidR="00A56747" w:rsidRPr="00290112" w:rsidRDefault="00A56747" w:rsidP="004B53CC">
            <w:pPr>
              <w:spacing w:before="0" w:after="0"/>
              <w:jc w:val="right"/>
              <w:rPr>
                <w:noProof/>
                <w:color w:val="000000"/>
                <w:sz w:val="16"/>
                <w:szCs w:val="16"/>
                <w:lang w:val="en-IE" w:eastAsia="en-IE"/>
              </w:rPr>
            </w:pPr>
            <w:r w:rsidRPr="00290112">
              <w:rPr>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14:paraId="4AC88B12"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r>
      <w:tr w:rsidR="003100E7" w:rsidRPr="00290112" w14:paraId="7B7F535B" w14:textId="77777777" w:rsidTr="004B53CC">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376CD321" w14:textId="77777777" w:rsidR="00A56747" w:rsidRPr="00290112" w:rsidRDefault="00A56747" w:rsidP="004B53CC">
            <w:pPr>
              <w:spacing w:before="0" w:after="0"/>
              <w:jc w:val="center"/>
              <w:rPr>
                <w:b/>
                <w:bCs/>
                <w:noProof/>
                <w:color w:val="000000"/>
                <w:sz w:val="16"/>
                <w:szCs w:val="16"/>
                <w:lang w:val="en-IE" w:eastAsia="en-IE"/>
              </w:rPr>
            </w:pPr>
            <w:r w:rsidRPr="00290112">
              <w:rPr>
                <w:b/>
                <w:bCs/>
                <w:noProof/>
                <w:color w:val="000000"/>
                <w:sz w:val="16"/>
                <w:szCs w:val="16"/>
                <w:lang w:val="en-IE" w:eastAsia="en-IE"/>
              </w:rPr>
              <w:t>Subtotal outside HEADING 7</w:t>
            </w:r>
          </w:p>
        </w:tc>
        <w:tc>
          <w:tcPr>
            <w:tcW w:w="553" w:type="pct"/>
            <w:tcBorders>
              <w:top w:val="nil"/>
              <w:left w:val="nil"/>
              <w:bottom w:val="single" w:sz="8" w:space="0" w:color="auto"/>
              <w:right w:val="single" w:sz="8" w:space="0" w:color="auto"/>
            </w:tcBorders>
            <w:shd w:val="clear" w:color="000000" w:fill="D9D9D9"/>
            <w:vAlign w:val="center"/>
            <w:hideMark/>
          </w:tcPr>
          <w:p w14:paraId="64EC705A"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5D9F24F4"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3D5992F0"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3066C30D"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14:paraId="71559699"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r>
      <w:tr w:rsidR="00A56747" w:rsidRPr="00290112" w14:paraId="49C29A48" w14:textId="77777777" w:rsidTr="00FF1EF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EADB9ED" w14:textId="77777777" w:rsidR="00A56747" w:rsidRPr="00290112" w:rsidRDefault="00A56747" w:rsidP="004B53CC">
            <w:pPr>
              <w:spacing w:before="0" w:after="0"/>
              <w:jc w:val="center"/>
              <w:rPr>
                <w:noProof/>
                <w:color w:val="000000"/>
                <w:sz w:val="16"/>
                <w:szCs w:val="16"/>
                <w:lang w:val="en-IE" w:eastAsia="en-IE"/>
              </w:rPr>
            </w:pPr>
            <w:r w:rsidRPr="00290112">
              <w:rPr>
                <w:noProof/>
                <w:color w:val="000000"/>
                <w:sz w:val="16"/>
                <w:szCs w:val="16"/>
                <w:lang w:val="en-IE" w:eastAsia="en-IE"/>
              </w:rPr>
              <w:t> </w:t>
            </w:r>
          </w:p>
        </w:tc>
      </w:tr>
      <w:tr w:rsidR="003100E7" w:rsidRPr="00290112" w14:paraId="1CD72978" w14:textId="77777777" w:rsidTr="004B53C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14:paraId="49A5862F" w14:textId="77777777" w:rsidR="00A56747" w:rsidRPr="00290112" w:rsidRDefault="00A56747" w:rsidP="004B53CC">
            <w:pPr>
              <w:spacing w:before="0" w:after="0"/>
              <w:jc w:val="center"/>
              <w:rPr>
                <w:b/>
                <w:bCs/>
                <w:noProof/>
                <w:color w:val="000000"/>
                <w:sz w:val="16"/>
                <w:szCs w:val="16"/>
                <w:lang w:val="en-IE" w:eastAsia="en-IE"/>
              </w:rPr>
            </w:pPr>
            <w:r w:rsidRPr="00290112">
              <w:rPr>
                <w:b/>
                <w:bCs/>
                <w:noProof/>
                <w:color w:val="000000"/>
                <w:sz w:val="16"/>
                <w:szCs w:val="16"/>
                <w:lang w:val="en-IE" w:eastAsia="en-IE"/>
              </w:rPr>
              <w:t>TOTAL</w:t>
            </w:r>
          </w:p>
        </w:tc>
        <w:tc>
          <w:tcPr>
            <w:tcW w:w="553" w:type="pct"/>
            <w:tcBorders>
              <w:top w:val="nil"/>
              <w:left w:val="nil"/>
              <w:bottom w:val="single" w:sz="8" w:space="0" w:color="auto"/>
              <w:right w:val="single" w:sz="8" w:space="0" w:color="auto"/>
            </w:tcBorders>
            <w:shd w:val="clear" w:color="000000" w:fill="D9D9D9"/>
            <w:vAlign w:val="center"/>
            <w:hideMark/>
          </w:tcPr>
          <w:p w14:paraId="6E19A498"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68CC4E28"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00DF46F3"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553" w:type="pct"/>
            <w:tcBorders>
              <w:top w:val="nil"/>
              <w:left w:val="nil"/>
              <w:bottom w:val="single" w:sz="8" w:space="0" w:color="auto"/>
              <w:right w:val="single" w:sz="8" w:space="0" w:color="auto"/>
            </w:tcBorders>
            <w:shd w:val="clear" w:color="000000" w:fill="D9D9D9"/>
            <w:vAlign w:val="center"/>
            <w:hideMark/>
          </w:tcPr>
          <w:p w14:paraId="10B199C5"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c>
          <w:tcPr>
            <w:tcW w:w="622" w:type="pct"/>
            <w:tcBorders>
              <w:top w:val="nil"/>
              <w:left w:val="nil"/>
              <w:bottom w:val="single" w:sz="8" w:space="0" w:color="auto"/>
              <w:right w:val="single" w:sz="8" w:space="0" w:color="auto"/>
            </w:tcBorders>
            <w:shd w:val="clear" w:color="000000" w:fill="D9D9D9"/>
            <w:vAlign w:val="center"/>
            <w:hideMark/>
          </w:tcPr>
          <w:p w14:paraId="0864C49B" w14:textId="77777777" w:rsidR="00A56747" w:rsidRPr="00290112" w:rsidRDefault="00A56747" w:rsidP="004B53CC">
            <w:pPr>
              <w:spacing w:before="0" w:after="0"/>
              <w:jc w:val="right"/>
              <w:rPr>
                <w:b/>
                <w:bCs/>
                <w:noProof/>
                <w:color w:val="000000"/>
                <w:sz w:val="16"/>
                <w:szCs w:val="16"/>
                <w:lang w:val="en-IE" w:eastAsia="en-IE"/>
              </w:rPr>
            </w:pPr>
            <w:r w:rsidRPr="00290112">
              <w:rPr>
                <w:b/>
                <w:bCs/>
                <w:noProof/>
                <w:color w:val="000000"/>
                <w:sz w:val="16"/>
                <w:szCs w:val="16"/>
                <w:lang w:val="en-IE" w:eastAsia="en-IE"/>
              </w:rPr>
              <w:t>0.000</w:t>
            </w:r>
          </w:p>
        </w:tc>
      </w:tr>
    </w:tbl>
    <w:p w14:paraId="055E9070" w14:textId="77777777" w:rsidR="00A56747" w:rsidRPr="00290112" w:rsidRDefault="00A56747" w:rsidP="00A56747">
      <w:pPr>
        <w:rPr>
          <w:noProof/>
          <w:sz w:val="22"/>
          <w:szCs w:val="28"/>
          <w:lang w:val="en-IE"/>
        </w:rPr>
      </w:pPr>
      <w:r w:rsidRPr="00290112">
        <w:rPr>
          <w:noProof/>
          <w:sz w:val="22"/>
          <w:szCs w:val="28"/>
          <w:lang w:val="en-IE"/>
        </w:rPr>
        <w:t>The appropriations required for human resources and other expenditure of an administrative nature will be met by appropriations from the DG that are already assigned to management of the action and/or have been redeployed within the DG, together</w:t>
      </w:r>
      <w:r>
        <w:rPr>
          <w:noProof/>
          <w:sz w:val="22"/>
          <w:szCs w:val="28"/>
          <w:lang w:val="en-IE"/>
        </w:rPr>
        <w:t>,</w:t>
      </w:r>
      <w:r w:rsidRPr="00290112">
        <w:rPr>
          <w:noProof/>
          <w:sz w:val="22"/>
          <w:szCs w:val="28"/>
          <w:lang w:val="en-IE"/>
        </w:rPr>
        <w:t xml:space="preserve"> if necessary</w:t>
      </w:r>
      <w:r>
        <w:rPr>
          <w:noProof/>
          <w:sz w:val="22"/>
          <w:szCs w:val="28"/>
          <w:lang w:val="en-IE"/>
        </w:rPr>
        <w:t>,</w:t>
      </w:r>
      <w:r w:rsidRPr="00290112">
        <w:rPr>
          <w:noProof/>
          <w:sz w:val="22"/>
          <w:szCs w:val="28"/>
          <w:lang w:val="en-IE"/>
        </w:rPr>
        <w:t xml:space="preserve"> with any additional allocation which may be granted to the managing DG under the annual allocation procedure and in the light of budgetary constraints.</w:t>
      </w:r>
    </w:p>
    <w:p w14:paraId="17D7DE7C" w14:textId="77777777" w:rsidR="00A56747" w:rsidRDefault="00A56747" w:rsidP="00A56747">
      <w:pPr>
        <w:pStyle w:val="ManualHeading3"/>
        <w:rPr>
          <w:bCs/>
          <w:noProof/>
          <w:szCs w:val="24"/>
        </w:rPr>
      </w:pPr>
      <w:bookmarkStart w:id="215" w:name="_Toc167220294"/>
      <w:bookmarkStart w:id="216" w:name="_Toc177549027"/>
      <w:r w:rsidRPr="0021790A">
        <w:rPr>
          <w:noProof/>
        </w:rPr>
        <w:t>3.2.</w:t>
      </w:r>
      <w:r>
        <w:rPr>
          <w:noProof/>
        </w:rPr>
        <w:t>4</w:t>
      </w:r>
      <w:r w:rsidRPr="0021790A">
        <w:rPr>
          <w:noProof/>
        </w:rPr>
        <w:t>.</w:t>
      </w:r>
      <w:r w:rsidRPr="0021790A">
        <w:rPr>
          <w:noProof/>
        </w:rPr>
        <w:tab/>
      </w:r>
      <w:r w:rsidRPr="00A238FB">
        <w:rPr>
          <w:noProof/>
        </w:rPr>
        <w:t>Estimated requirements of human resources</w:t>
      </w:r>
      <w:bookmarkEnd w:id="215"/>
      <w:bookmarkEnd w:id="216"/>
      <w:r>
        <w:rPr>
          <w:noProof/>
        </w:rPr>
        <w:t xml:space="preserve"> </w:t>
      </w:r>
    </w:p>
    <w:p w14:paraId="4F7F094F" w14:textId="77777777" w:rsidR="00A56747" w:rsidRDefault="7B911141" w:rsidP="00A56747">
      <w:pPr>
        <w:pStyle w:val="ListDash1"/>
        <w:tabs>
          <w:tab w:val="clear" w:pos="3523"/>
          <w:tab w:val="num" w:pos="1134"/>
        </w:tabs>
        <w:ind w:left="1134"/>
        <w:rPr>
          <w:noProof/>
        </w:rPr>
      </w:pPr>
      <w:r w:rsidRPr="3BBA3D08">
        <w:rPr>
          <w:rFonts w:ascii="Segoe UI Symbol" w:hAnsi="Segoe UI Symbol" w:cs="Segoe UI Symbol"/>
          <w:noProof/>
          <w:color w:val="001E62"/>
        </w:rPr>
        <w:t xml:space="preserve">☑ </w:t>
      </w:r>
      <w:r w:rsidR="00A56747" w:rsidRPr="3BBA3D08">
        <w:rPr>
          <w:noProof/>
        </w:rPr>
        <w:t xml:space="preserve">The proposal/initiative does not require the use of human resources </w:t>
      </w:r>
    </w:p>
    <w:p w14:paraId="5794FE1E" w14:textId="77777777" w:rsidR="00A56747" w:rsidRDefault="32668CB4" w:rsidP="3BBA3D08">
      <w:pPr>
        <w:pStyle w:val="ListDash1"/>
        <w:tabs>
          <w:tab w:val="clear" w:pos="3523"/>
          <w:tab w:val="num" w:pos="1134"/>
        </w:tabs>
        <w:ind w:left="1134"/>
        <w:rPr>
          <w:noProof/>
        </w:rPr>
      </w:pPr>
      <w:r w:rsidRPr="3BBA3D08">
        <w:rPr>
          <w:rFonts w:ascii="Wingdings" w:eastAsia="Wingdings" w:hAnsi="Wingdings" w:cs="Wingdings"/>
          <w:noProof/>
        </w:rPr>
        <w:t></w:t>
      </w:r>
      <w:r w:rsidR="00A56747" w:rsidRPr="3BBA3D08">
        <w:rPr>
          <w:i/>
          <w:iCs/>
          <w:noProof/>
        </w:rPr>
        <w:t xml:space="preserve"> The proposal/initiative requires the use of human resources, as explained below</w:t>
      </w:r>
      <w:r w:rsidR="00A56747">
        <w:rPr>
          <w:noProof/>
        </w:rPr>
        <w:br/>
      </w:r>
      <w:r w:rsidR="00A56747">
        <w:rPr>
          <w:noProof/>
        </w:rPr>
        <w:br/>
      </w:r>
    </w:p>
    <w:p w14:paraId="09E5A1F7" w14:textId="77777777" w:rsidR="00A56747" w:rsidRDefault="00A56747" w:rsidP="00A56747">
      <w:pPr>
        <w:pStyle w:val="ManualHeading3"/>
        <w:rPr>
          <w:noProof/>
        </w:rPr>
      </w:pPr>
      <w:bookmarkStart w:id="217" w:name="_Toc167220295"/>
      <w:bookmarkStart w:id="218" w:name="_Toc177549028"/>
      <w:r w:rsidRPr="003268F2">
        <w:rPr>
          <w:noProof/>
        </w:rPr>
        <w:t>3.2.</w:t>
      </w:r>
      <w:r>
        <w:rPr>
          <w:noProof/>
        </w:rPr>
        <w:t>4</w:t>
      </w:r>
      <w:r w:rsidRPr="003268F2">
        <w:rPr>
          <w:noProof/>
        </w:rPr>
        <w:t>.1</w:t>
      </w:r>
      <w:r>
        <w:rPr>
          <w:noProof/>
        </w:rPr>
        <w:t>.</w:t>
      </w:r>
      <w:r>
        <w:rPr>
          <w:noProof/>
        </w:rPr>
        <w:tab/>
        <w:t>Financed from voted budget</w:t>
      </w:r>
      <w:bookmarkEnd w:id="217"/>
      <w:bookmarkEnd w:id="218"/>
    </w:p>
    <w:p w14:paraId="498324C5" w14:textId="77777777" w:rsidR="00A56747" w:rsidRPr="003A769F" w:rsidRDefault="00A56747" w:rsidP="00A56747">
      <w:pPr>
        <w:spacing w:after="60"/>
        <w:jc w:val="right"/>
        <w:rPr>
          <w:i/>
          <w:noProof/>
          <w:sz w:val="20"/>
          <w:lang w:val="en-IE"/>
        </w:rPr>
      </w:pPr>
      <w:r w:rsidRPr="4D8CB314">
        <w:rPr>
          <w:i/>
          <w:iCs/>
          <w:noProof/>
          <w:sz w:val="20"/>
          <w:szCs w:val="20"/>
          <w:lang w:val="en-IE"/>
        </w:rPr>
        <w:t>Estimate to be expressed in full-time equivalent units (FTEs)</w:t>
      </w:r>
      <w:r w:rsidRPr="4D8CB314">
        <w:rPr>
          <w:rStyle w:val="FootnoteReference"/>
          <w:i/>
          <w:iCs/>
          <w:noProof/>
          <w:sz w:val="20"/>
          <w:szCs w:val="20"/>
          <w:lang w:val="en-IE"/>
        </w:rPr>
        <w:footnoteReference w:id="18"/>
      </w:r>
    </w:p>
    <w:p w14:paraId="47268191" w14:textId="77777777" w:rsidR="00A56747" w:rsidRDefault="00A56747" w:rsidP="00A56747">
      <w:pPr>
        <w:pStyle w:val="Text1"/>
        <w:spacing w:before="60" w:after="60"/>
        <w:ind w:left="-426" w:right="-427"/>
        <w:rPr>
          <w:b/>
          <w:noProof/>
          <w:sz w:val="18"/>
          <w:szCs w:val="18"/>
          <w:lang w:val="en-IE"/>
        </w:rPr>
      </w:pPr>
      <w:bookmarkStart w:id="219" w:name="_Hlk156979231"/>
    </w:p>
    <w:tbl>
      <w:tblPr>
        <w:tblW w:w="5000" w:type="pct"/>
        <w:tblLook w:val="04A0" w:firstRow="1" w:lastRow="0" w:firstColumn="1" w:lastColumn="0" w:noHBand="0" w:noVBand="1"/>
      </w:tblPr>
      <w:tblGrid>
        <w:gridCol w:w="1513"/>
        <w:gridCol w:w="3898"/>
        <w:gridCol w:w="970"/>
        <w:gridCol w:w="970"/>
        <w:gridCol w:w="970"/>
        <w:gridCol w:w="968"/>
      </w:tblGrid>
      <w:tr w:rsidR="00A56747" w:rsidRPr="00E52FD3" w14:paraId="0FB2AAAC" w14:textId="77777777" w:rsidTr="00FF1EF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457603" w14:textId="77777777" w:rsidR="00A56747" w:rsidRPr="00E52FD3" w:rsidRDefault="00A56747" w:rsidP="004B53CC">
            <w:pPr>
              <w:spacing w:before="0" w:after="0"/>
              <w:jc w:val="center"/>
              <w:rPr>
                <w:b/>
                <w:bCs/>
                <w:noProof/>
                <w:color w:val="000000"/>
                <w:sz w:val="18"/>
                <w:szCs w:val="18"/>
                <w:lang w:val="en-IE" w:eastAsia="en-IE"/>
              </w:rPr>
            </w:pPr>
            <w:r w:rsidRPr="00E52FD3">
              <w:rPr>
                <w:b/>
                <w:bCs/>
                <w:noProof/>
                <w:color w:val="000000"/>
                <w:sz w:val="18"/>
                <w:szCs w:val="18"/>
                <w:lang w:val="en-IE" w:eastAsia="en-IE"/>
              </w:rPr>
              <w:t>VOTED APPROPRIATIONS</w:t>
            </w:r>
          </w:p>
        </w:tc>
        <w:tc>
          <w:tcPr>
            <w:tcW w:w="522" w:type="pct"/>
            <w:tcBorders>
              <w:top w:val="single" w:sz="8" w:space="0" w:color="auto"/>
              <w:left w:val="nil"/>
              <w:bottom w:val="nil"/>
              <w:right w:val="single" w:sz="8" w:space="0" w:color="auto"/>
            </w:tcBorders>
            <w:shd w:val="clear" w:color="auto" w:fill="auto"/>
            <w:vAlign w:val="center"/>
            <w:hideMark/>
          </w:tcPr>
          <w:p w14:paraId="22CD1EDE"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14:paraId="3225F2F5"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14:paraId="74E65F57"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14:paraId="44E4919A"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r>
      <w:tr w:rsidR="00A56747" w:rsidRPr="00E52FD3" w14:paraId="55A3969E" w14:textId="77777777" w:rsidTr="00FF1EF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544A4746" w14:textId="77777777" w:rsidR="00A56747" w:rsidRPr="00E52FD3" w:rsidRDefault="00A56747" w:rsidP="004B53CC">
            <w:pPr>
              <w:spacing w:before="0" w:after="0"/>
              <w:jc w:val="left"/>
              <w:rPr>
                <w:b/>
                <w:bCs/>
                <w:noProof/>
                <w:color w:val="000000"/>
                <w:sz w:val="18"/>
                <w:szCs w:val="18"/>
                <w:lang w:val="en-IE" w:eastAsia="en-IE"/>
              </w:rPr>
            </w:pPr>
          </w:p>
        </w:tc>
        <w:tc>
          <w:tcPr>
            <w:tcW w:w="522" w:type="pct"/>
            <w:tcBorders>
              <w:top w:val="nil"/>
              <w:left w:val="nil"/>
              <w:bottom w:val="single" w:sz="8" w:space="0" w:color="auto"/>
              <w:right w:val="single" w:sz="8" w:space="0" w:color="auto"/>
            </w:tcBorders>
            <w:shd w:val="clear" w:color="auto" w:fill="auto"/>
            <w:vAlign w:val="center"/>
            <w:hideMark/>
          </w:tcPr>
          <w:p w14:paraId="409D2A83"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2024</w:t>
            </w:r>
          </w:p>
        </w:tc>
        <w:tc>
          <w:tcPr>
            <w:tcW w:w="522" w:type="pct"/>
            <w:tcBorders>
              <w:top w:val="nil"/>
              <w:left w:val="nil"/>
              <w:bottom w:val="single" w:sz="8" w:space="0" w:color="auto"/>
              <w:right w:val="single" w:sz="8" w:space="0" w:color="auto"/>
            </w:tcBorders>
            <w:shd w:val="clear" w:color="auto" w:fill="auto"/>
            <w:vAlign w:val="center"/>
            <w:hideMark/>
          </w:tcPr>
          <w:p w14:paraId="6874B483"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2025</w:t>
            </w:r>
          </w:p>
        </w:tc>
        <w:tc>
          <w:tcPr>
            <w:tcW w:w="522" w:type="pct"/>
            <w:tcBorders>
              <w:top w:val="nil"/>
              <w:left w:val="nil"/>
              <w:bottom w:val="single" w:sz="8" w:space="0" w:color="auto"/>
              <w:right w:val="single" w:sz="8" w:space="0" w:color="auto"/>
            </w:tcBorders>
            <w:shd w:val="clear" w:color="auto" w:fill="auto"/>
            <w:vAlign w:val="center"/>
            <w:hideMark/>
          </w:tcPr>
          <w:p w14:paraId="603DE605"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2026</w:t>
            </w:r>
          </w:p>
        </w:tc>
        <w:tc>
          <w:tcPr>
            <w:tcW w:w="522" w:type="pct"/>
            <w:tcBorders>
              <w:top w:val="nil"/>
              <w:left w:val="nil"/>
              <w:bottom w:val="single" w:sz="8" w:space="0" w:color="auto"/>
              <w:right w:val="single" w:sz="8" w:space="0" w:color="auto"/>
            </w:tcBorders>
            <w:shd w:val="clear" w:color="auto" w:fill="auto"/>
            <w:vAlign w:val="center"/>
            <w:hideMark/>
          </w:tcPr>
          <w:p w14:paraId="41AE4541"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2027</w:t>
            </w:r>
          </w:p>
        </w:tc>
      </w:tr>
      <w:tr w:rsidR="00A56747" w:rsidRPr="00E52FD3" w14:paraId="53C701F9" w14:textId="77777777" w:rsidTr="00FF1EF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7FD61A97" w14:textId="77777777" w:rsidR="00A56747" w:rsidRPr="00E52FD3" w:rsidRDefault="00A56747" w:rsidP="004B53CC">
            <w:pPr>
              <w:spacing w:before="0" w:after="0"/>
              <w:jc w:val="left"/>
              <w:rPr>
                <w:rFonts w:ascii="Wingdings" w:hAnsi="Wingdings" w:cs="Calibri"/>
                <w:b/>
                <w:bCs/>
                <w:noProof/>
                <w:color w:val="000000"/>
                <w:sz w:val="16"/>
                <w:szCs w:val="16"/>
                <w:lang w:val="en-IE" w:eastAsia="en-IE"/>
              </w:rPr>
            </w:pPr>
            <w:r w:rsidRPr="00E52FD3">
              <w:rPr>
                <w:rFonts w:ascii="Wingdings" w:hAnsi="Wingdings" w:cs="Calibri"/>
                <w:b/>
                <w:bCs/>
                <w:noProof/>
                <w:color w:val="000000"/>
                <w:sz w:val="16"/>
                <w:szCs w:val="16"/>
                <w:lang w:val="en-IE" w:eastAsia="en-IE"/>
              </w:rPr>
              <w:t></w:t>
            </w:r>
            <w:r w:rsidRPr="00E52FD3">
              <w:rPr>
                <w:b/>
                <w:bCs/>
                <w:noProof/>
                <w:color w:val="000000"/>
                <w:sz w:val="16"/>
                <w:szCs w:val="16"/>
                <w:lang w:val="en-IE" w:eastAsia="en-IE"/>
              </w:rPr>
              <w:t xml:space="preserve"> Establishment plan posts (officials and temporary staff)</w:t>
            </w:r>
          </w:p>
        </w:tc>
      </w:tr>
      <w:tr w:rsidR="003100E7" w:rsidRPr="00E52FD3" w14:paraId="1E763467"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4A395AF"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(Headquarters and Commission’s Representation Offices)</w:t>
            </w:r>
          </w:p>
        </w:tc>
        <w:tc>
          <w:tcPr>
            <w:tcW w:w="522" w:type="pct"/>
            <w:tcBorders>
              <w:top w:val="nil"/>
              <w:left w:val="nil"/>
              <w:bottom w:val="single" w:sz="8" w:space="0" w:color="auto"/>
              <w:right w:val="single" w:sz="8" w:space="0" w:color="auto"/>
            </w:tcBorders>
            <w:shd w:val="clear" w:color="000000" w:fill="D9D9D9"/>
            <w:vAlign w:val="center"/>
            <w:hideMark/>
          </w:tcPr>
          <w:p w14:paraId="62B22773"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7A04E8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BF2670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D66DE9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7784C823"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7C51C79"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03 (EU Delegations)</w:t>
            </w:r>
          </w:p>
        </w:tc>
        <w:tc>
          <w:tcPr>
            <w:tcW w:w="522" w:type="pct"/>
            <w:tcBorders>
              <w:top w:val="nil"/>
              <w:left w:val="nil"/>
              <w:bottom w:val="single" w:sz="8" w:space="0" w:color="auto"/>
              <w:right w:val="single" w:sz="8" w:space="0" w:color="auto"/>
            </w:tcBorders>
            <w:shd w:val="clear" w:color="000000" w:fill="D9D9D9"/>
            <w:vAlign w:val="center"/>
            <w:hideMark/>
          </w:tcPr>
          <w:p w14:paraId="1FE22B9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2B0283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B02807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A075CE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68DD6BB6"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FED0F7"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(Indirect research)</w:t>
            </w:r>
          </w:p>
        </w:tc>
        <w:tc>
          <w:tcPr>
            <w:tcW w:w="522" w:type="pct"/>
            <w:tcBorders>
              <w:top w:val="nil"/>
              <w:left w:val="nil"/>
              <w:bottom w:val="single" w:sz="8" w:space="0" w:color="auto"/>
              <w:right w:val="single" w:sz="8" w:space="0" w:color="auto"/>
            </w:tcBorders>
            <w:shd w:val="clear" w:color="000000" w:fill="D9D9D9"/>
            <w:vAlign w:val="center"/>
            <w:hideMark/>
          </w:tcPr>
          <w:p w14:paraId="39A35D1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B36E82A"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14755E9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5B982D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26A2975A"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17A1DD4"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11 (Direct research)</w:t>
            </w:r>
          </w:p>
        </w:tc>
        <w:tc>
          <w:tcPr>
            <w:tcW w:w="522" w:type="pct"/>
            <w:tcBorders>
              <w:top w:val="nil"/>
              <w:left w:val="nil"/>
              <w:bottom w:val="single" w:sz="8" w:space="0" w:color="auto"/>
              <w:right w:val="single" w:sz="8" w:space="0" w:color="auto"/>
            </w:tcBorders>
            <w:shd w:val="clear" w:color="000000" w:fill="D9D9D9"/>
            <w:vAlign w:val="center"/>
            <w:hideMark/>
          </w:tcPr>
          <w:p w14:paraId="14D7196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1AF6073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B7EB1EC"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67CA3B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10846D8A"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6951DC1"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w:t>
            </w:r>
          </w:p>
        </w:tc>
        <w:tc>
          <w:tcPr>
            <w:tcW w:w="522" w:type="pct"/>
            <w:tcBorders>
              <w:top w:val="nil"/>
              <w:left w:val="nil"/>
              <w:bottom w:val="single" w:sz="8" w:space="0" w:color="auto"/>
              <w:right w:val="single" w:sz="8" w:space="0" w:color="auto"/>
            </w:tcBorders>
            <w:shd w:val="clear" w:color="000000" w:fill="D9D9D9"/>
            <w:vAlign w:val="center"/>
            <w:hideMark/>
          </w:tcPr>
          <w:p w14:paraId="61A3489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5024634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1F0285B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ED1C522"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A56747" w:rsidRPr="00E52FD3" w14:paraId="7BCC30F1" w14:textId="77777777" w:rsidTr="00FF1EF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436B05D9" w14:textId="77777777" w:rsidR="00A56747" w:rsidRPr="00E52FD3" w:rsidRDefault="00A56747" w:rsidP="004B53CC">
            <w:pPr>
              <w:spacing w:before="0" w:after="0"/>
              <w:jc w:val="left"/>
              <w:rPr>
                <w:rFonts w:ascii="Wingdings" w:hAnsi="Wingdings" w:cs="Calibri"/>
                <w:b/>
                <w:bCs/>
                <w:noProof/>
                <w:color w:val="000000"/>
                <w:sz w:val="16"/>
                <w:szCs w:val="16"/>
                <w:lang w:val="en-IE" w:eastAsia="en-IE"/>
              </w:rPr>
            </w:pPr>
            <w:r w:rsidRPr="00E52FD3">
              <w:rPr>
                <w:rFonts w:ascii="Calibri" w:hAnsi="Calibri" w:cs="Calibri"/>
                <w:b/>
                <w:bCs/>
                <w:noProof/>
                <w:color w:val="000000"/>
                <w:sz w:val="16"/>
                <w:szCs w:val="16"/>
                <w:lang w:val="en-IE" w:eastAsia="en-IE"/>
              </w:rPr>
              <w:t>•</w:t>
            </w:r>
            <w:r w:rsidRPr="00E52FD3">
              <w:rPr>
                <w:b/>
                <w:bCs/>
                <w:noProof/>
                <w:color w:val="000000"/>
                <w:sz w:val="16"/>
                <w:szCs w:val="16"/>
                <w:lang w:val="en-IE" w:eastAsia="en-IE"/>
              </w:rPr>
              <w:t xml:space="preserve"> External staff (inFTE</w:t>
            </w:r>
            <w:r>
              <w:rPr>
                <w:b/>
                <w:bCs/>
                <w:noProof/>
                <w:color w:val="000000"/>
                <w:sz w:val="16"/>
                <w:szCs w:val="16"/>
                <w:lang w:val="en-IE" w:eastAsia="en-IE"/>
              </w:rPr>
              <w:t>s</w:t>
            </w:r>
            <w:r w:rsidRPr="00E52FD3">
              <w:rPr>
                <w:b/>
                <w:bCs/>
                <w:noProof/>
                <w:color w:val="000000"/>
                <w:sz w:val="16"/>
                <w:szCs w:val="16"/>
                <w:lang w:val="en-IE" w:eastAsia="en-IE"/>
              </w:rPr>
              <w:t>)</w:t>
            </w:r>
          </w:p>
        </w:tc>
      </w:tr>
      <w:tr w:rsidR="003100E7" w:rsidRPr="00E52FD3" w14:paraId="30DD0A0A"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37E88F5"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from the ‘global envelope’)</w:t>
            </w:r>
          </w:p>
        </w:tc>
        <w:tc>
          <w:tcPr>
            <w:tcW w:w="522" w:type="pct"/>
            <w:tcBorders>
              <w:top w:val="nil"/>
              <w:left w:val="nil"/>
              <w:bottom w:val="single" w:sz="8" w:space="0" w:color="auto"/>
              <w:right w:val="single" w:sz="8" w:space="0" w:color="auto"/>
            </w:tcBorders>
            <w:shd w:val="clear" w:color="000000" w:fill="D9D9D9"/>
            <w:vAlign w:val="center"/>
            <w:hideMark/>
          </w:tcPr>
          <w:p w14:paraId="0858FF2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5940BD4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3AA254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516528DA"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426F97F2"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AD6E91E"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03 (AC, AL, END and JPD in the EU Delegations)</w:t>
            </w:r>
          </w:p>
        </w:tc>
        <w:tc>
          <w:tcPr>
            <w:tcW w:w="522" w:type="pct"/>
            <w:tcBorders>
              <w:top w:val="nil"/>
              <w:left w:val="nil"/>
              <w:bottom w:val="single" w:sz="8" w:space="0" w:color="auto"/>
              <w:right w:val="single" w:sz="8" w:space="0" w:color="auto"/>
            </w:tcBorders>
            <w:shd w:val="clear" w:color="000000" w:fill="D9D9D9"/>
            <w:vAlign w:val="center"/>
            <w:hideMark/>
          </w:tcPr>
          <w:p w14:paraId="11B9E25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32BFCAB"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988EB4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4B72E1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3A9294F4" w14:textId="77777777" w:rsidTr="004B53CC">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14:paraId="4E25013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Admin. Support line</w:t>
            </w:r>
            <w:r w:rsidRPr="00E52FD3">
              <w:rPr>
                <w:noProof/>
                <w:color w:val="000000"/>
                <w:sz w:val="16"/>
                <w:szCs w:val="16"/>
                <w:lang w:val="en-IE" w:eastAsia="en-IE"/>
              </w:rPr>
              <w:br/>
              <w:t>[XX.01.YY.YY]</w:t>
            </w:r>
          </w:p>
        </w:tc>
        <w:tc>
          <w:tcPr>
            <w:tcW w:w="2098" w:type="pct"/>
            <w:tcBorders>
              <w:top w:val="nil"/>
              <w:left w:val="nil"/>
              <w:bottom w:val="single" w:sz="8" w:space="0" w:color="auto"/>
              <w:right w:val="single" w:sz="8" w:space="0" w:color="auto"/>
            </w:tcBorders>
            <w:shd w:val="clear" w:color="auto" w:fill="auto"/>
            <w:vAlign w:val="center"/>
            <w:hideMark/>
          </w:tcPr>
          <w:p w14:paraId="7CACA72B"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at Headquarters</w:t>
            </w:r>
          </w:p>
        </w:tc>
        <w:tc>
          <w:tcPr>
            <w:tcW w:w="522" w:type="pct"/>
            <w:tcBorders>
              <w:top w:val="nil"/>
              <w:left w:val="nil"/>
              <w:bottom w:val="single" w:sz="8" w:space="0" w:color="auto"/>
              <w:right w:val="single" w:sz="8" w:space="0" w:color="auto"/>
            </w:tcBorders>
            <w:shd w:val="clear" w:color="000000" w:fill="D9D9D9"/>
            <w:vAlign w:val="center"/>
            <w:hideMark/>
          </w:tcPr>
          <w:p w14:paraId="0696170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6FF466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A3DDBB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22257E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3547C3A2" w14:textId="77777777" w:rsidTr="004B53CC">
        <w:trPr>
          <w:trHeight w:val="300"/>
        </w:trPr>
        <w:tc>
          <w:tcPr>
            <w:tcW w:w="815" w:type="pct"/>
            <w:vMerge/>
            <w:tcBorders>
              <w:top w:val="nil"/>
              <w:left w:val="single" w:sz="8" w:space="0" w:color="auto"/>
              <w:bottom w:val="single" w:sz="8" w:space="0" w:color="auto"/>
              <w:right w:val="single" w:sz="8" w:space="0" w:color="auto"/>
            </w:tcBorders>
            <w:vAlign w:val="center"/>
            <w:hideMark/>
          </w:tcPr>
          <w:p w14:paraId="2469274A" w14:textId="77777777" w:rsidR="00A56747" w:rsidRPr="00E52FD3" w:rsidRDefault="00A56747" w:rsidP="004B53CC">
            <w:pPr>
              <w:spacing w:before="0" w:after="0"/>
              <w:jc w:val="left"/>
              <w:rPr>
                <w:noProof/>
                <w:color w:val="000000"/>
                <w:sz w:val="16"/>
                <w:szCs w:val="16"/>
                <w:lang w:val="en-IE" w:eastAsia="en-IE"/>
              </w:rPr>
            </w:pPr>
          </w:p>
        </w:tc>
        <w:tc>
          <w:tcPr>
            <w:tcW w:w="2098" w:type="pct"/>
            <w:tcBorders>
              <w:top w:val="nil"/>
              <w:left w:val="nil"/>
              <w:bottom w:val="single" w:sz="8" w:space="0" w:color="auto"/>
              <w:right w:val="single" w:sz="8" w:space="0" w:color="auto"/>
            </w:tcBorders>
            <w:shd w:val="clear" w:color="auto" w:fill="auto"/>
            <w:vAlign w:val="center"/>
            <w:hideMark/>
          </w:tcPr>
          <w:p w14:paraId="711502C5"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in EU Delegations </w:t>
            </w:r>
          </w:p>
        </w:tc>
        <w:tc>
          <w:tcPr>
            <w:tcW w:w="522" w:type="pct"/>
            <w:tcBorders>
              <w:top w:val="nil"/>
              <w:left w:val="nil"/>
              <w:bottom w:val="single" w:sz="8" w:space="0" w:color="auto"/>
              <w:right w:val="single" w:sz="8" w:space="0" w:color="auto"/>
            </w:tcBorders>
            <w:shd w:val="clear" w:color="000000" w:fill="D9D9D9"/>
            <w:vAlign w:val="center"/>
            <w:hideMark/>
          </w:tcPr>
          <w:p w14:paraId="4E1824F2"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F4E289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478DA9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B65A3B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7BEF4BB9"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D28F166"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01 01 01 02</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 Indirect research)</w:t>
            </w:r>
          </w:p>
        </w:tc>
        <w:tc>
          <w:tcPr>
            <w:tcW w:w="522" w:type="pct"/>
            <w:tcBorders>
              <w:top w:val="nil"/>
              <w:left w:val="nil"/>
              <w:bottom w:val="single" w:sz="8" w:space="0" w:color="auto"/>
              <w:right w:val="single" w:sz="8" w:space="0" w:color="auto"/>
            </w:tcBorders>
            <w:shd w:val="clear" w:color="000000" w:fill="D9D9D9"/>
            <w:vAlign w:val="center"/>
            <w:hideMark/>
          </w:tcPr>
          <w:p w14:paraId="46C19DD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CD0F50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755090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448123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7E4CDBA6"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638FB8F"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01 01 01 12 (AC, END - Direct research)</w:t>
            </w:r>
          </w:p>
        </w:tc>
        <w:tc>
          <w:tcPr>
            <w:tcW w:w="522" w:type="pct"/>
            <w:tcBorders>
              <w:top w:val="nil"/>
              <w:left w:val="nil"/>
              <w:bottom w:val="single" w:sz="8" w:space="0" w:color="auto"/>
              <w:right w:val="single" w:sz="8" w:space="0" w:color="auto"/>
            </w:tcBorders>
            <w:shd w:val="clear" w:color="000000" w:fill="D9D9D9"/>
            <w:vAlign w:val="center"/>
            <w:hideMark/>
          </w:tcPr>
          <w:p w14:paraId="7317607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2DC5B9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AB2B00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419011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72364048"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59363F7"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Heading 7</w:t>
            </w:r>
          </w:p>
        </w:tc>
        <w:tc>
          <w:tcPr>
            <w:tcW w:w="522" w:type="pct"/>
            <w:tcBorders>
              <w:top w:val="nil"/>
              <w:left w:val="nil"/>
              <w:bottom w:val="single" w:sz="8" w:space="0" w:color="auto"/>
              <w:right w:val="single" w:sz="8" w:space="0" w:color="auto"/>
            </w:tcBorders>
            <w:shd w:val="clear" w:color="000000" w:fill="D9D9D9"/>
            <w:vAlign w:val="center"/>
            <w:hideMark/>
          </w:tcPr>
          <w:p w14:paraId="626EF3E3"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558F40A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3B023C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75A673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665E681D"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64CF6CE"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Outside Heading 7</w:t>
            </w:r>
          </w:p>
        </w:tc>
        <w:tc>
          <w:tcPr>
            <w:tcW w:w="522" w:type="pct"/>
            <w:tcBorders>
              <w:top w:val="nil"/>
              <w:left w:val="nil"/>
              <w:bottom w:val="single" w:sz="8" w:space="0" w:color="auto"/>
              <w:right w:val="single" w:sz="8" w:space="0" w:color="auto"/>
            </w:tcBorders>
            <w:shd w:val="clear" w:color="000000" w:fill="D9D9D9"/>
            <w:vAlign w:val="center"/>
            <w:hideMark/>
          </w:tcPr>
          <w:p w14:paraId="71A4FEF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1D76562"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1F595E6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28794A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1CEFBC73"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ECD0922" w14:textId="77777777" w:rsidR="00A56747" w:rsidRPr="00E52FD3" w:rsidRDefault="00A56747" w:rsidP="004B53CC">
            <w:pPr>
              <w:spacing w:before="0" w:after="0"/>
              <w:ind w:firstLineChars="100" w:firstLine="161"/>
              <w:jc w:val="left"/>
              <w:rPr>
                <w:b/>
                <w:bCs/>
                <w:noProof/>
                <w:color w:val="000000"/>
                <w:sz w:val="16"/>
                <w:szCs w:val="16"/>
                <w:lang w:val="en-IE" w:eastAsia="en-IE"/>
              </w:rPr>
            </w:pPr>
            <w:r w:rsidRPr="00E52FD3">
              <w:rPr>
                <w:b/>
                <w:bCs/>
                <w:noProof/>
                <w:color w:val="000000"/>
                <w:sz w:val="16"/>
                <w:szCs w:val="16"/>
                <w:lang w:val="en-IE" w:eastAsia="en-IE"/>
              </w:rPr>
              <w:t>TOTAL</w:t>
            </w:r>
          </w:p>
        </w:tc>
        <w:tc>
          <w:tcPr>
            <w:tcW w:w="522" w:type="pct"/>
            <w:tcBorders>
              <w:top w:val="nil"/>
              <w:left w:val="nil"/>
              <w:bottom w:val="single" w:sz="8" w:space="0" w:color="auto"/>
              <w:right w:val="single" w:sz="8" w:space="0" w:color="auto"/>
            </w:tcBorders>
            <w:shd w:val="clear" w:color="000000" w:fill="D9D9D9"/>
            <w:vAlign w:val="center"/>
            <w:hideMark/>
          </w:tcPr>
          <w:p w14:paraId="2AE44D12"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136D7EB6"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AA2D76B"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42F12C5"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r>
    </w:tbl>
    <w:p w14:paraId="341D5A0D" w14:textId="77777777" w:rsidR="00A56747" w:rsidRDefault="00A56747" w:rsidP="00A56747">
      <w:pPr>
        <w:pStyle w:val="ManualHeading3"/>
        <w:rPr>
          <w:noProof/>
        </w:rPr>
      </w:pPr>
      <w:bookmarkStart w:id="220" w:name="_Toc167220296"/>
      <w:bookmarkStart w:id="221" w:name="_Toc177549029"/>
      <w:r w:rsidRPr="003268F2">
        <w:rPr>
          <w:noProof/>
        </w:rPr>
        <w:t>3.2.</w:t>
      </w:r>
      <w:r>
        <w:rPr>
          <w:noProof/>
        </w:rPr>
        <w:t>4</w:t>
      </w:r>
      <w:r w:rsidRPr="003268F2">
        <w:rPr>
          <w:noProof/>
        </w:rPr>
        <w:t>.</w:t>
      </w:r>
      <w:r>
        <w:rPr>
          <w:noProof/>
        </w:rPr>
        <w:t>2.</w:t>
      </w:r>
      <w:r>
        <w:rPr>
          <w:noProof/>
        </w:rPr>
        <w:tab/>
        <w:t>Financed from external assigned revenues</w:t>
      </w:r>
      <w:bookmarkEnd w:id="220"/>
      <w:bookmarkEnd w:id="221"/>
    </w:p>
    <w:tbl>
      <w:tblPr>
        <w:tblW w:w="5000" w:type="pct"/>
        <w:tblLook w:val="04A0" w:firstRow="1" w:lastRow="0" w:firstColumn="1" w:lastColumn="0" w:noHBand="0" w:noVBand="1"/>
      </w:tblPr>
      <w:tblGrid>
        <w:gridCol w:w="1513"/>
        <w:gridCol w:w="3898"/>
        <w:gridCol w:w="970"/>
        <w:gridCol w:w="970"/>
        <w:gridCol w:w="970"/>
        <w:gridCol w:w="968"/>
      </w:tblGrid>
      <w:tr w:rsidR="00A56747" w:rsidRPr="00E52FD3" w14:paraId="31E82114" w14:textId="77777777" w:rsidTr="00FF1EF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5146921" w14:textId="77777777" w:rsidR="00A56747" w:rsidRPr="00E52FD3" w:rsidRDefault="00A56747" w:rsidP="004B53CC">
            <w:pPr>
              <w:spacing w:before="0" w:after="0"/>
              <w:jc w:val="center"/>
              <w:rPr>
                <w:b/>
                <w:bCs/>
                <w:noProof/>
                <w:color w:val="000000"/>
                <w:sz w:val="18"/>
                <w:szCs w:val="18"/>
                <w:lang w:val="en-IE" w:eastAsia="en-IE"/>
              </w:rPr>
            </w:pPr>
            <w:r w:rsidRPr="00E52FD3">
              <w:rPr>
                <w:b/>
                <w:bCs/>
                <w:noProof/>
                <w:color w:val="000000"/>
                <w:sz w:val="18"/>
                <w:szCs w:val="18"/>
                <w:lang w:val="en-IE" w:eastAsia="en-IE"/>
              </w:rPr>
              <w:t>EXTERNAL ASSIGNED REVENUES</w:t>
            </w:r>
          </w:p>
        </w:tc>
        <w:tc>
          <w:tcPr>
            <w:tcW w:w="522" w:type="pct"/>
            <w:tcBorders>
              <w:top w:val="single" w:sz="8" w:space="0" w:color="auto"/>
              <w:left w:val="nil"/>
              <w:bottom w:val="nil"/>
              <w:right w:val="single" w:sz="8" w:space="0" w:color="auto"/>
            </w:tcBorders>
            <w:shd w:val="clear" w:color="auto" w:fill="auto"/>
            <w:vAlign w:val="center"/>
            <w:hideMark/>
          </w:tcPr>
          <w:p w14:paraId="5B1210F8"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14:paraId="5F21EF35"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14:paraId="33E29A6C"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522" w:type="pct"/>
            <w:tcBorders>
              <w:top w:val="single" w:sz="8" w:space="0" w:color="auto"/>
              <w:left w:val="nil"/>
              <w:bottom w:val="nil"/>
              <w:right w:val="single" w:sz="8" w:space="0" w:color="auto"/>
            </w:tcBorders>
            <w:shd w:val="clear" w:color="auto" w:fill="auto"/>
            <w:vAlign w:val="center"/>
            <w:hideMark/>
          </w:tcPr>
          <w:p w14:paraId="174AF6BB"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r>
      <w:tr w:rsidR="00A56747" w:rsidRPr="00E52FD3" w14:paraId="67CAF651" w14:textId="77777777" w:rsidTr="00FF1EF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3149B822" w14:textId="77777777" w:rsidR="00A56747" w:rsidRPr="00E52FD3" w:rsidRDefault="00A56747" w:rsidP="004B53CC">
            <w:pPr>
              <w:spacing w:before="0" w:after="0"/>
              <w:jc w:val="left"/>
              <w:rPr>
                <w:b/>
                <w:bCs/>
                <w:noProof/>
                <w:color w:val="000000"/>
                <w:sz w:val="18"/>
                <w:szCs w:val="18"/>
                <w:lang w:val="en-IE" w:eastAsia="en-IE"/>
              </w:rPr>
            </w:pPr>
          </w:p>
        </w:tc>
        <w:tc>
          <w:tcPr>
            <w:tcW w:w="522" w:type="pct"/>
            <w:tcBorders>
              <w:top w:val="nil"/>
              <w:left w:val="nil"/>
              <w:bottom w:val="single" w:sz="8" w:space="0" w:color="auto"/>
              <w:right w:val="single" w:sz="8" w:space="0" w:color="auto"/>
            </w:tcBorders>
            <w:shd w:val="clear" w:color="auto" w:fill="auto"/>
            <w:vAlign w:val="center"/>
            <w:hideMark/>
          </w:tcPr>
          <w:p w14:paraId="7429CF35"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2024</w:t>
            </w:r>
          </w:p>
        </w:tc>
        <w:tc>
          <w:tcPr>
            <w:tcW w:w="522" w:type="pct"/>
            <w:tcBorders>
              <w:top w:val="nil"/>
              <w:left w:val="nil"/>
              <w:bottom w:val="single" w:sz="8" w:space="0" w:color="auto"/>
              <w:right w:val="single" w:sz="8" w:space="0" w:color="auto"/>
            </w:tcBorders>
            <w:shd w:val="clear" w:color="auto" w:fill="auto"/>
            <w:vAlign w:val="center"/>
            <w:hideMark/>
          </w:tcPr>
          <w:p w14:paraId="02FF22D0"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2025</w:t>
            </w:r>
          </w:p>
        </w:tc>
        <w:tc>
          <w:tcPr>
            <w:tcW w:w="522" w:type="pct"/>
            <w:tcBorders>
              <w:top w:val="nil"/>
              <w:left w:val="nil"/>
              <w:bottom w:val="single" w:sz="8" w:space="0" w:color="auto"/>
              <w:right w:val="single" w:sz="8" w:space="0" w:color="auto"/>
            </w:tcBorders>
            <w:shd w:val="clear" w:color="auto" w:fill="auto"/>
            <w:vAlign w:val="center"/>
            <w:hideMark/>
          </w:tcPr>
          <w:p w14:paraId="10E73119"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2026</w:t>
            </w:r>
          </w:p>
        </w:tc>
        <w:tc>
          <w:tcPr>
            <w:tcW w:w="522" w:type="pct"/>
            <w:tcBorders>
              <w:top w:val="nil"/>
              <w:left w:val="nil"/>
              <w:bottom w:val="single" w:sz="8" w:space="0" w:color="auto"/>
              <w:right w:val="single" w:sz="8" w:space="0" w:color="auto"/>
            </w:tcBorders>
            <w:shd w:val="clear" w:color="auto" w:fill="auto"/>
            <w:vAlign w:val="center"/>
            <w:hideMark/>
          </w:tcPr>
          <w:p w14:paraId="10535405"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2027</w:t>
            </w:r>
          </w:p>
        </w:tc>
      </w:tr>
      <w:tr w:rsidR="00A56747" w:rsidRPr="00E52FD3" w14:paraId="0B24B52F" w14:textId="77777777" w:rsidTr="00FF1EF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70586B99" w14:textId="77777777" w:rsidR="00A56747" w:rsidRPr="00E52FD3" w:rsidRDefault="00A56747" w:rsidP="004B53CC">
            <w:pPr>
              <w:spacing w:before="0" w:after="0"/>
              <w:jc w:val="left"/>
              <w:rPr>
                <w:rFonts w:ascii="Wingdings" w:hAnsi="Wingdings" w:cs="Calibri"/>
                <w:b/>
                <w:bCs/>
                <w:noProof/>
                <w:color w:val="000000"/>
                <w:sz w:val="16"/>
                <w:szCs w:val="16"/>
                <w:lang w:val="en-IE" w:eastAsia="en-IE"/>
              </w:rPr>
            </w:pPr>
            <w:r w:rsidRPr="00E52FD3">
              <w:rPr>
                <w:rFonts w:ascii="Wingdings" w:hAnsi="Wingdings" w:cs="Calibri"/>
                <w:b/>
                <w:bCs/>
                <w:noProof/>
                <w:color w:val="000000"/>
                <w:sz w:val="16"/>
                <w:szCs w:val="16"/>
                <w:lang w:val="en-IE" w:eastAsia="en-IE"/>
              </w:rPr>
              <w:t></w:t>
            </w:r>
            <w:r w:rsidRPr="00E52FD3">
              <w:rPr>
                <w:b/>
                <w:bCs/>
                <w:noProof/>
                <w:color w:val="000000"/>
                <w:sz w:val="16"/>
                <w:szCs w:val="16"/>
                <w:lang w:val="en-IE" w:eastAsia="en-IE"/>
              </w:rPr>
              <w:t xml:space="preserve"> Establishment plan posts (officials and temporary staff)</w:t>
            </w:r>
          </w:p>
        </w:tc>
      </w:tr>
      <w:tr w:rsidR="003100E7" w:rsidRPr="00E52FD3" w14:paraId="46B2E738"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A47956F"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(Headquarters and Commission’s Representation Offices)</w:t>
            </w:r>
          </w:p>
        </w:tc>
        <w:tc>
          <w:tcPr>
            <w:tcW w:w="522" w:type="pct"/>
            <w:tcBorders>
              <w:top w:val="nil"/>
              <w:left w:val="nil"/>
              <w:bottom w:val="single" w:sz="8" w:space="0" w:color="auto"/>
              <w:right w:val="single" w:sz="8" w:space="0" w:color="auto"/>
            </w:tcBorders>
            <w:shd w:val="clear" w:color="000000" w:fill="D9D9D9"/>
            <w:vAlign w:val="center"/>
            <w:hideMark/>
          </w:tcPr>
          <w:p w14:paraId="473C7022"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4A693A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57B5C9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589AD38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6D186A1C"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85D3A1E"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03 (EU Delegations)</w:t>
            </w:r>
          </w:p>
        </w:tc>
        <w:tc>
          <w:tcPr>
            <w:tcW w:w="522" w:type="pct"/>
            <w:tcBorders>
              <w:top w:val="nil"/>
              <w:left w:val="nil"/>
              <w:bottom w:val="single" w:sz="8" w:space="0" w:color="auto"/>
              <w:right w:val="single" w:sz="8" w:space="0" w:color="auto"/>
            </w:tcBorders>
            <w:shd w:val="clear" w:color="000000" w:fill="D9D9D9"/>
            <w:vAlign w:val="center"/>
            <w:hideMark/>
          </w:tcPr>
          <w:p w14:paraId="0B8B648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D9C111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7478F5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F52F89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5175CF10"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CABB486"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01 (Indirect research)</w:t>
            </w:r>
          </w:p>
        </w:tc>
        <w:tc>
          <w:tcPr>
            <w:tcW w:w="522" w:type="pct"/>
            <w:tcBorders>
              <w:top w:val="nil"/>
              <w:left w:val="nil"/>
              <w:bottom w:val="single" w:sz="8" w:space="0" w:color="auto"/>
              <w:right w:val="single" w:sz="8" w:space="0" w:color="auto"/>
            </w:tcBorders>
            <w:shd w:val="clear" w:color="000000" w:fill="D9D9D9"/>
            <w:vAlign w:val="center"/>
            <w:hideMark/>
          </w:tcPr>
          <w:p w14:paraId="4239585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CFFBFE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A71CBC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AA3300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731780DD"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F9568D6"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11 (Direct research)</w:t>
            </w:r>
          </w:p>
        </w:tc>
        <w:tc>
          <w:tcPr>
            <w:tcW w:w="522" w:type="pct"/>
            <w:tcBorders>
              <w:top w:val="nil"/>
              <w:left w:val="nil"/>
              <w:bottom w:val="single" w:sz="8" w:space="0" w:color="auto"/>
              <w:right w:val="single" w:sz="8" w:space="0" w:color="auto"/>
            </w:tcBorders>
            <w:shd w:val="clear" w:color="000000" w:fill="D9D9D9"/>
            <w:vAlign w:val="center"/>
            <w:hideMark/>
          </w:tcPr>
          <w:p w14:paraId="11E3B34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761AD5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942E64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689E4B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6A6AACA9"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7B79651"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w:t>
            </w:r>
          </w:p>
        </w:tc>
        <w:tc>
          <w:tcPr>
            <w:tcW w:w="522" w:type="pct"/>
            <w:tcBorders>
              <w:top w:val="nil"/>
              <w:left w:val="nil"/>
              <w:bottom w:val="single" w:sz="8" w:space="0" w:color="auto"/>
              <w:right w:val="single" w:sz="8" w:space="0" w:color="auto"/>
            </w:tcBorders>
            <w:shd w:val="clear" w:color="000000" w:fill="D9D9D9"/>
            <w:vAlign w:val="center"/>
            <w:hideMark/>
          </w:tcPr>
          <w:p w14:paraId="090EA15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114FEFA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2AAA9B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83DEAE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A56747" w:rsidRPr="00E52FD3" w14:paraId="49E5A05A" w14:textId="77777777" w:rsidTr="00FF1EF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196EC76F" w14:textId="77777777" w:rsidR="00A56747" w:rsidRPr="00E52FD3" w:rsidRDefault="00A56747" w:rsidP="004B53CC">
            <w:pPr>
              <w:spacing w:before="0" w:after="0"/>
              <w:jc w:val="left"/>
              <w:rPr>
                <w:rFonts w:ascii="Wingdings" w:hAnsi="Wingdings" w:cs="Calibri"/>
                <w:b/>
                <w:bCs/>
                <w:noProof/>
                <w:color w:val="000000"/>
                <w:sz w:val="16"/>
                <w:szCs w:val="16"/>
                <w:lang w:val="en-IE" w:eastAsia="en-IE"/>
              </w:rPr>
            </w:pPr>
            <w:r w:rsidRPr="00E52FD3">
              <w:rPr>
                <w:rFonts w:ascii="Calibri" w:hAnsi="Calibri" w:cs="Calibri"/>
                <w:b/>
                <w:bCs/>
                <w:noProof/>
                <w:color w:val="000000"/>
                <w:sz w:val="16"/>
                <w:szCs w:val="16"/>
                <w:lang w:val="en-IE" w:eastAsia="en-IE"/>
              </w:rPr>
              <w:t>•</w:t>
            </w:r>
            <w:r w:rsidRPr="00E52FD3">
              <w:rPr>
                <w:b/>
                <w:bCs/>
                <w:noProof/>
                <w:color w:val="000000"/>
                <w:sz w:val="16"/>
                <w:szCs w:val="16"/>
                <w:lang w:val="en-IE" w:eastAsia="en-IE"/>
              </w:rPr>
              <w:t xml:space="preserve"> External staff (in </w:t>
            </w:r>
            <w:r>
              <w:rPr>
                <w:b/>
                <w:bCs/>
                <w:noProof/>
                <w:color w:val="000000"/>
                <w:sz w:val="16"/>
                <w:szCs w:val="16"/>
                <w:lang w:val="en-IE" w:eastAsia="en-IE"/>
              </w:rPr>
              <w:t>f</w:t>
            </w:r>
            <w:r w:rsidRPr="00E52FD3">
              <w:rPr>
                <w:b/>
                <w:bCs/>
                <w:noProof/>
                <w:color w:val="000000"/>
                <w:sz w:val="16"/>
                <w:szCs w:val="16"/>
                <w:lang w:val="en-IE" w:eastAsia="en-IE"/>
              </w:rPr>
              <w:t xml:space="preserve">ull </w:t>
            </w:r>
            <w:r>
              <w:rPr>
                <w:b/>
                <w:bCs/>
                <w:noProof/>
                <w:color w:val="000000"/>
                <w:sz w:val="16"/>
                <w:szCs w:val="16"/>
                <w:lang w:val="en-IE" w:eastAsia="en-IE"/>
              </w:rPr>
              <w:t>t</w:t>
            </w:r>
            <w:r w:rsidRPr="00E52FD3">
              <w:rPr>
                <w:b/>
                <w:bCs/>
                <w:noProof/>
                <w:color w:val="000000"/>
                <w:sz w:val="16"/>
                <w:szCs w:val="16"/>
                <w:lang w:val="en-IE" w:eastAsia="en-IE"/>
              </w:rPr>
              <w:t xml:space="preserve">ime </w:t>
            </w:r>
            <w:r>
              <w:rPr>
                <w:b/>
                <w:bCs/>
                <w:noProof/>
                <w:color w:val="000000"/>
                <w:sz w:val="16"/>
                <w:szCs w:val="16"/>
                <w:lang w:val="en-IE" w:eastAsia="en-IE"/>
              </w:rPr>
              <w:t>e</w:t>
            </w:r>
            <w:r w:rsidRPr="00E52FD3">
              <w:rPr>
                <w:b/>
                <w:bCs/>
                <w:noProof/>
                <w:color w:val="000000"/>
                <w:sz w:val="16"/>
                <w:szCs w:val="16"/>
                <w:lang w:val="en-IE" w:eastAsia="en-IE"/>
              </w:rPr>
              <w:t>quivalent unit</w:t>
            </w:r>
            <w:r>
              <w:rPr>
                <w:b/>
                <w:bCs/>
                <w:noProof/>
                <w:color w:val="000000"/>
                <w:sz w:val="16"/>
                <w:szCs w:val="16"/>
                <w:lang w:val="en-IE" w:eastAsia="en-IE"/>
              </w:rPr>
              <w:t>s</w:t>
            </w:r>
            <w:r w:rsidRPr="00E52FD3">
              <w:rPr>
                <w:b/>
                <w:bCs/>
                <w:noProof/>
                <w:color w:val="000000"/>
                <w:sz w:val="16"/>
                <w:szCs w:val="16"/>
                <w:lang w:val="en-IE" w:eastAsia="en-IE"/>
              </w:rPr>
              <w:t>)</w:t>
            </w:r>
          </w:p>
        </w:tc>
      </w:tr>
      <w:tr w:rsidR="003100E7" w:rsidRPr="00E52FD3" w14:paraId="79EACB56"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9456AED"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from the ‘global envelope’)</w:t>
            </w:r>
          </w:p>
        </w:tc>
        <w:tc>
          <w:tcPr>
            <w:tcW w:w="522" w:type="pct"/>
            <w:tcBorders>
              <w:top w:val="nil"/>
              <w:left w:val="nil"/>
              <w:bottom w:val="single" w:sz="8" w:space="0" w:color="auto"/>
              <w:right w:val="single" w:sz="8" w:space="0" w:color="auto"/>
            </w:tcBorders>
            <w:shd w:val="clear" w:color="000000" w:fill="D9D9D9"/>
            <w:vAlign w:val="center"/>
            <w:hideMark/>
          </w:tcPr>
          <w:p w14:paraId="4723AB7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E76A663"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8DA04D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EF8CD5B"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7B482295"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F8793AF"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03 (AC, AL, END and JPD in the EU Delegations)</w:t>
            </w:r>
          </w:p>
        </w:tc>
        <w:tc>
          <w:tcPr>
            <w:tcW w:w="522" w:type="pct"/>
            <w:tcBorders>
              <w:top w:val="nil"/>
              <w:left w:val="nil"/>
              <w:bottom w:val="single" w:sz="8" w:space="0" w:color="auto"/>
              <w:right w:val="single" w:sz="8" w:space="0" w:color="auto"/>
            </w:tcBorders>
            <w:shd w:val="clear" w:color="000000" w:fill="D9D9D9"/>
            <w:vAlign w:val="center"/>
            <w:hideMark/>
          </w:tcPr>
          <w:p w14:paraId="4F397AB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B2585A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198593AA"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47EB08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3B6C9A89" w14:textId="77777777" w:rsidTr="004B53CC">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14:paraId="196396A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Admin. Support line</w:t>
            </w:r>
            <w:r>
              <w:rPr>
                <w:noProof/>
                <w:color w:val="000000"/>
                <w:sz w:val="16"/>
                <w:szCs w:val="16"/>
                <w:lang w:val="en-IE" w:eastAsia="en-IE"/>
              </w:rPr>
              <w:t xml:space="preserve"> </w:t>
            </w:r>
            <w:r w:rsidRPr="00E52FD3">
              <w:rPr>
                <w:noProof/>
                <w:color w:val="000000"/>
                <w:sz w:val="16"/>
                <w:szCs w:val="16"/>
                <w:lang w:val="en-IE" w:eastAsia="en-IE"/>
              </w:rPr>
              <w:br/>
              <w:t>[XX.01.YY.YY]</w:t>
            </w:r>
          </w:p>
        </w:tc>
        <w:tc>
          <w:tcPr>
            <w:tcW w:w="2098" w:type="pct"/>
            <w:tcBorders>
              <w:top w:val="nil"/>
              <w:left w:val="nil"/>
              <w:bottom w:val="single" w:sz="8" w:space="0" w:color="auto"/>
              <w:right w:val="single" w:sz="8" w:space="0" w:color="auto"/>
            </w:tcBorders>
            <w:shd w:val="clear" w:color="auto" w:fill="auto"/>
            <w:vAlign w:val="center"/>
            <w:hideMark/>
          </w:tcPr>
          <w:p w14:paraId="1C976D7F"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at Headquarters</w:t>
            </w:r>
          </w:p>
        </w:tc>
        <w:tc>
          <w:tcPr>
            <w:tcW w:w="522" w:type="pct"/>
            <w:tcBorders>
              <w:top w:val="nil"/>
              <w:left w:val="nil"/>
              <w:bottom w:val="single" w:sz="8" w:space="0" w:color="auto"/>
              <w:right w:val="single" w:sz="8" w:space="0" w:color="auto"/>
            </w:tcBorders>
            <w:shd w:val="clear" w:color="000000" w:fill="D9D9D9"/>
            <w:vAlign w:val="center"/>
            <w:hideMark/>
          </w:tcPr>
          <w:p w14:paraId="7850590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D74751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7BC4CC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DD9E68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422B2F3D" w14:textId="77777777" w:rsidTr="004B53CC">
        <w:trPr>
          <w:trHeight w:val="300"/>
        </w:trPr>
        <w:tc>
          <w:tcPr>
            <w:tcW w:w="815" w:type="pct"/>
            <w:vMerge/>
            <w:tcBorders>
              <w:top w:val="nil"/>
              <w:left w:val="single" w:sz="8" w:space="0" w:color="auto"/>
              <w:bottom w:val="single" w:sz="8" w:space="0" w:color="auto"/>
              <w:right w:val="single" w:sz="8" w:space="0" w:color="auto"/>
            </w:tcBorders>
            <w:vAlign w:val="center"/>
            <w:hideMark/>
          </w:tcPr>
          <w:p w14:paraId="50715209" w14:textId="77777777" w:rsidR="00A56747" w:rsidRPr="00E52FD3" w:rsidRDefault="00A56747" w:rsidP="004B53CC">
            <w:pPr>
              <w:spacing w:before="0" w:after="0"/>
              <w:jc w:val="left"/>
              <w:rPr>
                <w:noProof/>
                <w:color w:val="000000"/>
                <w:sz w:val="16"/>
                <w:szCs w:val="16"/>
                <w:lang w:val="en-IE" w:eastAsia="en-IE"/>
              </w:rPr>
            </w:pPr>
          </w:p>
        </w:tc>
        <w:tc>
          <w:tcPr>
            <w:tcW w:w="2098" w:type="pct"/>
            <w:tcBorders>
              <w:top w:val="nil"/>
              <w:left w:val="nil"/>
              <w:bottom w:val="single" w:sz="8" w:space="0" w:color="auto"/>
              <w:right w:val="single" w:sz="8" w:space="0" w:color="auto"/>
            </w:tcBorders>
            <w:shd w:val="clear" w:color="auto" w:fill="auto"/>
            <w:vAlign w:val="center"/>
            <w:hideMark/>
          </w:tcPr>
          <w:p w14:paraId="2664FC10"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in EU Delegations </w:t>
            </w:r>
          </w:p>
        </w:tc>
        <w:tc>
          <w:tcPr>
            <w:tcW w:w="522" w:type="pct"/>
            <w:tcBorders>
              <w:top w:val="nil"/>
              <w:left w:val="nil"/>
              <w:bottom w:val="single" w:sz="8" w:space="0" w:color="auto"/>
              <w:right w:val="single" w:sz="8" w:space="0" w:color="auto"/>
            </w:tcBorders>
            <w:shd w:val="clear" w:color="000000" w:fill="D9D9D9"/>
            <w:vAlign w:val="center"/>
            <w:hideMark/>
          </w:tcPr>
          <w:p w14:paraId="0B26AEA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66072963"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BCBAA4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F516F6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4C64C9F5"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DBFFDD2"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01 01 01 02</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 Indirect research)</w:t>
            </w:r>
          </w:p>
        </w:tc>
        <w:tc>
          <w:tcPr>
            <w:tcW w:w="522" w:type="pct"/>
            <w:tcBorders>
              <w:top w:val="nil"/>
              <w:left w:val="nil"/>
              <w:bottom w:val="single" w:sz="8" w:space="0" w:color="auto"/>
              <w:right w:val="single" w:sz="8" w:space="0" w:color="auto"/>
            </w:tcBorders>
            <w:shd w:val="clear" w:color="000000" w:fill="D9D9D9"/>
            <w:vAlign w:val="center"/>
            <w:hideMark/>
          </w:tcPr>
          <w:p w14:paraId="19791FC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56C501D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5EE55CB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021D13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30DEF722"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1A489B4"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01 01 01 12 (AC, END - Direct research)</w:t>
            </w:r>
          </w:p>
        </w:tc>
        <w:tc>
          <w:tcPr>
            <w:tcW w:w="522" w:type="pct"/>
            <w:tcBorders>
              <w:top w:val="nil"/>
              <w:left w:val="nil"/>
              <w:bottom w:val="single" w:sz="8" w:space="0" w:color="auto"/>
              <w:right w:val="single" w:sz="8" w:space="0" w:color="auto"/>
            </w:tcBorders>
            <w:shd w:val="clear" w:color="000000" w:fill="D9D9D9"/>
            <w:vAlign w:val="center"/>
            <w:hideMark/>
          </w:tcPr>
          <w:p w14:paraId="3043A61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E47A92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E3227F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534424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3C9E6E65"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4BB9150"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Heading 7</w:t>
            </w:r>
          </w:p>
        </w:tc>
        <w:tc>
          <w:tcPr>
            <w:tcW w:w="522" w:type="pct"/>
            <w:tcBorders>
              <w:top w:val="nil"/>
              <w:left w:val="nil"/>
              <w:bottom w:val="single" w:sz="8" w:space="0" w:color="auto"/>
              <w:right w:val="single" w:sz="8" w:space="0" w:color="auto"/>
            </w:tcBorders>
            <w:shd w:val="clear" w:color="000000" w:fill="D9D9D9"/>
            <w:vAlign w:val="center"/>
            <w:hideMark/>
          </w:tcPr>
          <w:p w14:paraId="5AC2B29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A49D62B"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DAA19D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01AF495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5D90FD62"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4FDEAF8"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Outside Heading 7</w:t>
            </w:r>
          </w:p>
        </w:tc>
        <w:tc>
          <w:tcPr>
            <w:tcW w:w="522" w:type="pct"/>
            <w:tcBorders>
              <w:top w:val="nil"/>
              <w:left w:val="nil"/>
              <w:bottom w:val="single" w:sz="8" w:space="0" w:color="auto"/>
              <w:right w:val="single" w:sz="8" w:space="0" w:color="auto"/>
            </w:tcBorders>
            <w:shd w:val="clear" w:color="000000" w:fill="D9D9D9"/>
            <w:vAlign w:val="center"/>
            <w:hideMark/>
          </w:tcPr>
          <w:p w14:paraId="3C2BE12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7A6912F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C0A903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2C4B3DDC"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19DF3AB2" w14:textId="77777777" w:rsidTr="004B53C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E5577FD" w14:textId="77777777" w:rsidR="00A56747" w:rsidRPr="00E52FD3" w:rsidRDefault="00A56747" w:rsidP="004B53CC">
            <w:pPr>
              <w:spacing w:before="0" w:after="0"/>
              <w:ind w:firstLineChars="100" w:firstLine="161"/>
              <w:jc w:val="left"/>
              <w:rPr>
                <w:b/>
                <w:bCs/>
                <w:noProof/>
                <w:color w:val="000000"/>
                <w:sz w:val="16"/>
                <w:szCs w:val="16"/>
                <w:lang w:val="en-IE" w:eastAsia="en-IE"/>
              </w:rPr>
            </w:pPr>
            <w:r w:rsidRPr="00E52FD3">
              <w:rPr>
                <w:b/>
                <w:bCs/>
                <w:noProof/>
                <w:color w:val="000000"/>
                <w:sz w:val="16"/>
                <w:szCs w:val="16"/>
                <w:lang w:val="en-IE" w:eastAsia="en-IE"/>
              </w:rPr>
              <w:t>TOTAL</w:t>
            </w:r>
          </w:p>
        </w:tc>
        <w:tc>
          <w:tcPr>
            <w:tcW w:w="522" w:type="pct"/>
            <w:tcBorders>
              <w:top w:val="nil"/>
              <w:left w:val="nil"/>
              <w:bottom w:val="single" w:sz="8" w:space="0" w:color="auto"/>
              <w:right w:val="single" w:sz="8" w:space="0" w:color="auto"/>
            </w:tcBorders>
            <w:shd w:val="clear" w:color="000000" w:fill="D9D9D9"/>
            <w:vAlign w:val="center"/>
            <w:hideMark/>
          </w:tcPr>
          <w:p w14:paraId="4FE8E127"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34127082"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272EED0"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522" w:type="pct"/>
            <w:tcBorders>
              <w:top w:val="nil"/>
              <w:left w:val="nil"/>
              <w:bottom w:val="single" w:sz="8" w:space="0" w:color="auto"/>
              <w:right w:val="single" w:sz="8" w:space="0" w:color="auto"/>
            </w:tcBorders>
            <w:shd w:val="clear" w:color="000000" w:fill="D9D9D9"/>
            <w:vAlign w:val="center"/>
            <w:hideMark/>
          </w:tcPr>
          <w:p w14:paraId="4E407542"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r>
    </w:tbl>
    <w:p w14:paraId="23DB90B6" w14:textId="77777777" w:rsidR="00A56747" w:rsidRDefault="00A56747" w:rsidP="00A56747">
      <w:pPr>
        <w:pStyle w:val="ManualHeading3"/>
        <w:rPr>
          <w:noProof/>
        </w:rPr>
      </w:pPr>
      <w:bookmarkStart w:id="222" w:name="_Toc167220297"/>
      <w:bookmarkStart w:id="223" w:name="_Toc177549030"/>
      <w:r w:rsidRPr="003268F2">
        <w:rPr>
          <w:noProof/>
        </w:rPr>
        <w:t>3.2.</w:t>
      </w:r>
      <w:r>
        <w:rPr>
          <w:noProof/>
        </w:rPr>
        <w:t>4</w:t>
      </w:r>
      <w:r w:rsidRPr="003268F2">
        <w:rPr>
          <w:noProof/>
        </w:rPr>
        <w:t>.</w:t>
      </w:r>
      <w:r>
        <w:rPr>
          <w:noProof/>
        </w:rPr>
        <w:t>3.</w:t>
      </w:r>
      <w:r>
        <w:rPr>
          <w:noProof/>
        </w:rPr>
        <w:tab/>
        <w:t>Total requirements of human resources</w:t>
      </w:r>
      <w:bookmarkEnd w:id="222"/>
      <w:bookmarkEnd w:id="223"/>
    </w:p>
    <w:tbl>
      <w:tblPr>
        <w:tblW w:w="9200" w:type="dxa"/>
        <w:tblLook w:val="04A0" w:firstRow="1" w:lastRow="0" w:firstColumn="1" w:lastColumn="0" w:noHBand="0" w:noVBand="1"/>
      </w:tblPr>
      <w:tblGrid>
        <w:gridCol w:w="1500"/>
        <w:gridCol w:w="3860"/>
        <w:gridCol w:w="960"/>
        <w:gridCol w:w="960"/>
        <w:gridCol w:w="960"/>
        <w:gridCol w:w="960"/>
      </w:tblGrid>
      <w:tr w:rsidR="00A56747" w:rsidRPr="00E52FD3" w14:paraId="1EC78CBA" w14:textId="77777777" w:rsidTr="00FF1EF4">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4B6BFC" w14:textId="77777777" w:rsidR="00A56747" w:rsidRPr="00E52FD3" w:rsidRDefault="00A56747" w:rsidP="004B53CC">
            <w:pPr>
              <w:spacing w:before="0" w:after="0"/>
              <w:jc w:val="center"/>
              <w:rPr>
                <w:b/>
                <w:bCs/>
                <w:noProof/>
                <w:color w:val="000000"/>
                <w:sz w:val="18"/>
                <w:szCs w:val="18"/>
                <w:lang w:val="en-IE" w:eastAsia="en-IE"/>
              </w:rPr>
            </w:pPr>
            <w:r w:rsidRPr="00E52FD3">
              <w:rPr>
                <w:b/>
                <w:bCs/>
                <w:noProof/>
                <w:color w:val="000000"/>
                <w:sz w:val="18"/>
                <w:szCs w:val="18"/>
                <w:lang w:val="en-IE" w:eastAsia="en-IE"/>
              </w:rPr>
              <w:t>TOTAL</w:t>
            </w:r>
            <w:r>
              <w:rPr>
                <w:b/>
                <w:bCs/>
                <w:noProof/>
                <w:color w:val="000000"/>
                <w:sz w:val="18"/>
                <w:szCs w:val="18"/>
                <w:lang w:val="en-IE" w:eastAsia="en-IE"/>
              </w:rPr>
              <w:t xml:space="preserve"> </w:t>
            </w:r>
            <w:r w:rsidRPr="00E52FD3">
              <w:rPr>
                <w:b/>
                <w:bCs/>
                <w:noProof/>
                <w:color w:val="000000"/>
                <w:sz w:val="18"/>
                <w:szCs w:val="18"/>
                <w:lang w:val="en-IE" w:eastAsia="en-IE"/>
              </w:rPr>
              <w:t xml:space="preserve">VOTED APPROPRIATIONS </w:t>
            </w:r>
            <w:r>
              <w:rPr>
                <w:b/>
                <w:bCs/>
                <w:noProof/>
                <w:color w:val="000000"/>
                <w:sz w:val="18"/>
                <w:szCs w:val="18"/>
                <w:lang w:val="en-IE" w:eastAsia="en-IE"/>
              </w:rPr>
              <w:t xml:space="preserve">                                                  </w:t>
            </w:r>
            <w:r w:rsidRPr="00E52FD3">
              <w:rPr>
                <w:b/>
                <w:bCs/>
                <w:noProof/>
                <w:color w:val="000000"/>
                <w:sz w:val="18"/>
                <w:szCs w:val="18"/>
                <w:lang w:val="en-IE" w:eastAsia="en-IE"/>
              </w:rPr>
              <w:t>+</w:t>
            </w:r>
            <w:r>
              <w:rPr>
                <w:b/>
                <w:bCs/>
                <w:noProof/>
                <w:color w:val="000000"/>
                <w:sz w:val="18"/>
                <w:szCs w:val="18"/>
                <w:lang w:val="en-IE" w:eastAsia="en-IE"/>
              </w:rPr>
              <w:t xml:space="preserve">                                                                                               </w:t>
            </w:r>
            <w:r w:rsidRPr="00E52FD3">
              <w:rPr>
                <w:b/>
                <w:bCs/>
                <w:noProof/>
                <w:color w:val="000000"/>
                <w:sz w:val="18"/>
                <w:szCs w:val="18"/>
                <w:lang w:val="en-IE" w:eastAsia="en-IE"/>
              </w:rPr>
              <w:t>EXTERNAL ASSIGNED REVENUES</w:t>
            </w:r>
          </w:p>
        </w:tc>
        <w:tc>
          <w:tcPr>
            <w:tcW w:w="960" w:type="dxa"/>
            <w:tcBorders>
              <w:top w:val="single" w:sz="8" w:space="0" w:color="auto"/>
              <w:left w:val="nil"/>
              <w:bottom w:val="nil"/>
              <w:right w:val="single" w:sz="8" w:space="0" w:color="auto"/>
            </w:tcBorders>
            <w:shd w:val="clear" w:color="auto" w:fill="auto"/>
            <w:vAlign w:val="center"/>
            <w:hideMark/>
          </w:tcPr>
          <w:p w14:paraId="1D7A8288"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14:paraId="7FEE6907"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14:paraId="784038A3"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c>
          <w:tcPr>
            <w:tcW w:w="960" w:type="dxa"/>
            <w:tcBorders>
              <w:top w:val="single" w:sz="8" w:space="0" w:color="auto"/>
              <w:left w:val="nil"/>
              <w:bottom w:val="nil"/>
              <w:right w:val="single" w:sz="8" w:space="0" w:color="auto"/>
            </w:tcBorders>
            <w:shd w:val="clear" w:color="auto" w:fill="auto"/>
            <w:vAlign w:val="center"/>
            <w:hideMark/>
          </w:tcPr>
          <w:p w14:paraId="52C9B23C" w14:textId="77777777" w:rsidR="00A56747" w:rsidRPr="00E52FD3" w:rsidRDefault="00A56747" w:rsidP="004B53CC">
            <w:pPr>
              <w:spacing w:before="0" w:after="0"/>
              <w:jc w:val="center"/>
              <w:rPr>
                <w:noProof/>
                <w:color w:val="000000"/>
                <w:sz w:val="20"/>
                <w:szCs w:val="20"/>
                <w:lang w:val="en-IE" w:eastAsia="en-IE"/>
              </w:rPr>
            </w:pPr>
            <w:r w:rsidRPr="00E52FD3">
              <w:rPr>
                <w:noProof/>
                <w:color w:val="000000"/>
                <w:sz w:val="20"/>
                <w:szCs w:val="20"/>
                <w:lang w:val="en-IE" w:eastAsia="en-IE"/>
              </w:rPr>
              <w:t>Year</w:t>
            </w:r>
          </w:p>
        </w:tc>
      </w:tr>
      <w:tr w:rsidR="00A56747" w:rsidRPr="00E52FD3" w14:paraId="2C513806" w14:textId="77777777" w:rsidTr="00FF1EF4">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14:paraId="686E88BF" w14:textId="77777777" w:rsidR="00A56747" w:rsidRPr="00E52FD3" w:rsidRDefault="00A56747" w:rsidP="004B53CC">
            <w:pPr>
              <w:spacing w:before="0" w:after="0"/>
              <w:jc w:val="left"/>
              <w:rPr>
                <w:b/>
                <w:bCs/>
                <w:noProof/>
                <w:color w:val="000000"/>
                <w:sz w:val="18"/>
                <w:szCs w:val="18"/>
                <w:lang w:val="en-IE" w:eastAsia="en-IE"/>
              </w:rPr>
            </w:pPr>
          </w:p>
        </w:tc>
        <w:tc>
          <w:tcPr>
            <w:tcW w:w="960" w:type="dxa"/>
            <w:tcBorders>
              <w:top w:val="nil"/>
              <w:left w:val="nil"/>
              <w:bottom w:val="single" w:sz="8" w:space="0" w:color="auto"/>
              <w:right w:val="single" w:sz="8" w:space="0" w:color="auto"/>
            </w:tcBorders>
            <w:shd w:val="clear" w:color="auto" w:fill="auto"/>
            <w:vAlign w:val="center"/>
            <w:hideMark/>
          </w:tcPr>
          <w:p w14:paraId="7380E4AB"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2024</w:t>
            </w:r>
          </w:p>
        </w:tc>
        <w:tc>
          <w:tcPr>
            <w:tcW w:w="960" w:type="dxa"/>
            <w:tcBorders>
              <w:top w:val="nil"/>
              <w:left w:val="nil"/>
              <w:bottom w:val="single" w:sz="8" w:space="0" w:color="auto"/>
              <w:right w:val="single" w:sz="8" w:space="0" w:color="auto"/>
            </w:tcBorders>
            <w:shd w:val="clear" w:color="auto" w:fill="auto"/>
            <w:vAlign w:val="center"/>
            <w:hideMark/>
          </w:tcPr>
          <w:p w14:paraId="32D179CB"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2025</w:t>
            </w:r>
          </w:p>
        </w:tc>
        <w:tc>
          <w:tcPr>
            <w:tcW w:w="960" w:type="dxa"/>
            <w:tcBorders>
              <w:top w:val="nil"/>
              <w:left w:val="nil"/>
              <w:bottom w:val="single" w:sz="8" w:space="0" w:color="auto"/>
              <w:right w:val="single" w:sz="8" w:space="0" w:color="auto"/>
            </w:tcBorders>
            <w:shd w:val="clear" w:color="auto" w:fill="auto"/>
            <w:vAlign w:val="center"/>
            <w:hideMark/>
          </w:tcPr>
          <w:p w14:paraId="293A3C63"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2026</w:t>
            </w:r>
          </w:p>
        </w:tc>
        <w:tc>
          <w:tcPr>
            <w:tcW w:w="960" w:type="dxa"/>
            <w:tcBorders>
              <w:top w:val="nil"/>
              <w:left w:val="nil"/>
              <w:bottom w:val="single" w:sz="8" w:space="0" w:color="auto"/>
              <w:right w:val="single" w:sz="8" w:space="0" w:color="auto"/>
            </w:tcBorders>
            <w:shd w:val="clear" w:color="auto" w:fill="auto"/>
            <w:vAlign w:val="center"/>
            <w:hideMark/>
          </w:tcPr>
          <w:p w14:paraId="3A2B5B10" w14:textId="77777777" w:rsidR="00A56747" w:rsidRPr="00E52FD3" w:rsidRDefault="00A56747" w:rsidP="004B53CC">
            <w:pPr>
              <w:spacing w:before="0" w:after="0"/>
              <w:jc w:val="center"/>
              <w:rPr>
                <w:b/>
                <w:bCs/>
                <w:noProof/>
                <w:color w:val="000000"/>
                <w:sz w:val="20"/>
                <w:szCs w:val="20"/>
                <w:lang w:val="en-IE" w:eastAsia="en-IE"/>
              </w:rPr>
            </w:pPr>
            <w:r w:rsidRPr="00E52FD3">
              <w:rPr>
                <w:b/>
                <w:bCs/>
                <w:noProof/>
                <w:color w:val="000000"/>
                <w:sz w:val="20"/>
                <w:szCs w:val="20"/>
                <w:lang w:val="en-IE" w:eastAsia="en-IE"/>
              </w:rPr>
              <w:t>2027</w:t>
            </w:r>
          </w:p>
        </w:tc>
      </w:tr>
      <w:tr w:rsidR="00A56747" w:rsidRPr="00E52FD3" w14:paraId="0344AE05" w14:textId="77777777" w:rsidTr="00FF1EF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42DF1565" w14:textId="77777777" w:rsidR="00A56747" w:rsidRPr="00E52FD3" w:rsidRDefault="00A56747" w:rsidP="004B53CC">
            <w:pPr>
              <w:spacing w:before="0" w:after="0"/>
              <w:jc w:val="left"/>
              <w:rPr>
                <w:rFonts w:ascii="Wingdings" w:hAnsi="Wingdings" w:cs="Calibri"/>
                <w:b/>
                <w:bCs/>
                <w:noProof/>
                <w:color w:val="000000"/>
                <w:sz w:val="16"/>
                <w:szCs w:val="16"/>
                <w:lang w:val="en-IE" w:eastAsia="en-IE"/>
              </w:rPr>
            </w:pPr>
            <w:r w:rsidRPr="00E52FD3">
              <w:rPr>
                <w:rFonts w:ascii="Wingdings" w:hAnsi="Wingdings" w:cs="Calibri"/>
                <w:b/>
                <w:bCs/>
                <w:noProof/>
                <w:color w:val="000000"/>
                <w:sz w:val="16"/>
                <w:szCs w:val="16"/>
                <w:lang w:val="en-IE" w:eastAsia="en-IE"/>
              </w:rPr>
              <w:t></w:t>
            </w:r>
            <w:r w:rsidRPr="00E52FD3">
              <w:rPr>
                <w:b/>
                <w:bCs/>
                <w:noProof/>
                <w:color w:val="000000"/>
                <w:sz w:val="16"/>
                <w:szCs w:val="16"/>
                <w:lang w:val="en-IE" w:eastAsia="en-IE"/>
              </w:rPr>
              <w:t xml:space="preserve"> Establishment plan posts (officials and temporary staff)</w:t>
            </w:r>
          </w:p>
        </w:tc>
      </w:tr>
      <w:tr w:rsidR="003100E7" w:rsidRPr="00E52FD3" w14:paraId="2F863AC2"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CD49F9F"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(Headquarters and Commission’s Representation Offices)</w:t>
            </w:r>
          </w:p>
        </w:tc>
        <w:tc>
          <w:tcPr>
            <w:tcW w:w="960" w:type="dxa"/>
            <w:tcBorders>
              <w:top w:val="nil"/>
              <w:left w:val="nil"/>
              <w:bottom w:val="single" w:sz="8" w:space="0" w:color="auto"/>
              <w:right w:val="single" w:sz="8" w:space="0" w:color="auto"/>
            </w:tcBorders>
            <w:shd w:val="clear" w:color="000000" w:fill="D9D9D9"/>
            <w:vAlign w:val="center"/>
            <w:hideMark/>
          </w:tcPr>
          <w:p w14:paraId="03FCA49B"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0E4392D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5166303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585427C3"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55492837"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B88F2ED"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01 02 03 (EU Delegations)</w:t>
            </w:r>
          </w:p>
        </w:tc>
        <w:tc>
          <w:tcPr>
            <w:tcW w:w="960" w:type="dxa"/>
            <w:tcBorders>
              <w:top w:val="nil"/>
              <w:left w:val="nil"/>
              <w:bottom w:val="single" w:sz="8" w:space="0" w:color="auto"/>
              <w:right w:val="single" w:sz="8" w:space="0" w:color="auto"/>
            </w:tcBorders>
            <w:shd w:val="clear" w:color="000000" w:fill="D9D9D9"/>
            <w:vAlign w:val="center"/>
            <w:hideMark/>
          </w:tcPr>
          <w:p w14:paraId="5FDC4EC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1C6281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49FCDC5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049EA5B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7C063FD4"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29896AD"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(Indirect research)</w:t>
            </w:r>
          </w:p>
        </w:tc>
        <w:tc>
          <w:tcPr>
            <w:tcW w:w="960" w:type="dxa"/>
            <w:tcBorders>
              <w:top w:val="nil"/>
              <w:left w:val="nil"/>
              <w:bottom w:val="single" w:sz="8" w:space="0" w:color="auto"/>
              <w:right w:val="single" w:sz="8" w:space="0" w:color="auto"/>
            </w:tcBorders>
            <w:shd w:val="clear" w:color="000000" w:fill="D9D9D9"/>
            <w:vAlign w:val="center"/>
            <w:hideMark/>
          </w:tcPr>
          <w:p w14:paraId="62D95CB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47C79C1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4FBC31F7"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01D5A42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56B86847"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6CBB0EA"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11 (Direct research)</w:t>
            </w:r>
          </w:p>
        </w:tc>
        <w:tc>
          <w:tcPr>
            <w:tcW w:w="960" w:type="dxa"/>
            <w:tcBorders>
              <w:top w:val="nil"/>
              <w:left w:val="nil"/>
              <w:bottom w:val="single" w:sz="8" w:space="0" w:color="auto"/>
              <w:right w:val="single" w:sz="8" w:space="0" w:color="auto"/>
            </w:tcBorders>
            <w:shd w:val="clear" w:color="000000" w:fill="D9D9D9"/>
            <w:vAlign w:val="center"/>
            <w:hideMark/>
          </w:tcPr>
          <w:p w14:paraId="1F4EC60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C0F6C7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66C098A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05ACF17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0F1E7115"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B8543E8"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w:t>
            </w:r>
          </w:p>
        </w:tc>
        <w:tc>
          <w:tcPr>
            <w:tcW w:w="960" w:type="dxa"/>
            <w:tcBorders>
              <w:top w:val="nil"/>
              <w:left w:val="nil"/>
              <w:bottom w:val="single" w:sz="8" w:space="0" w:color="auto"/>
              <w:right w:val="single" w:sz="8" w:space="0" w:color="auto"/>
            </w:tcBorders>
            <w:shd w:val="clear" w:color="000000" w:fill="D9D9D9"/>
            <w:vAlign w:val="center"/>
            <w:hideMark/>
          </w:tcPr>
          <w:p w14:paraId="428B0C8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6B6B4FA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0EDBD2F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2396683"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A56747" w:rsidRPr="00E52FD3" w14:paraId="6FF23BC6" w14:textId="77777777" w:rsidTr="00FF1EF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14:paraId="1DE4DCAB" w14:textId="77777777" w:rsidR="00A56747" w:rsidRPr="00E52FD3" w:rsidRDefault="00A56747" w:rsidP="004B53CC">
            <w:pPr>
              <w:spacing w:before="0" w:after="0"/>
              <w:jc w:val="left"/>
              <w:rPr>
                <w:rFonts w:ascii="Wingdings" w:hAnsi="Wingdings" w:cs="Calibri"/>
                <w:b/>
                <w:bCs/>
                <w:noProof/>
                <w:color w:val="000000"/>
                <w:sz w:val="16"/>
                <w:szCs w:val="16"/>
                <w:lang w:val="en-IE" w:eastAsia="en-IE"/>
              </w:rPr>
            </w:pPr>
            <w:r w:rsidRPr="00E52FD3">
              <w:rPr>
                <w:rFonts w:ascii="Calibri" w:hAnsi="Calibri" w:cs="Calibri"/>
                <w:b/>
                <w:bCs/>
                <w:noProof/>
                <w:color w:val="000000"/>
                <w:sz w:val="16"/>
                <w:szCs w:val="16"/>
                <w:lang w:val="en-IE" w:eastAsia="en-IE"/>
              </w:rPr>
              <w:t>•</w:t>
            </w:r>
            <w:r w:rsidRPr="00E52FD3">
              <w:rPr>
                <w:b/>
                <w:bCs/>
                <w:noProof/>
                <w:color w:val="000000"/>
                <w:sz w:val="16"/>
                <w:szCs w:val="16"/>
                <w:lang w:val="en-IE" w:eastAsia="en-IE"/>
              </w:rPr>
              <w:t xml:space="preserve"> External staff (in </w:t>
            </w:r>
            <w:r>
              <w:rPr>
                <w:b/>
                <w:bCs/>
                <w:noProof/>
                <w:color w:val="000000"/>
                <w:sz w:val="16"/>
                <w:szCs w:val="16"/>
                <w:lang w:val="en-IE" w:eastAsia="en-IE"/>
              </w:rPr>
              <w:t>f</w:t>
            </w:r>
            <w:r w:rsidRPr="00E52FD3">
              <w:rPr>
                <w:b/>
                <w:bCs/>
                <w:noProof/>
                <w:color w:val="000000"/>
                <w:sz w:val="16"/>
                <w:szCs w:val="16"/>
                <w:lang w:val="en-IE" w:eastAsia="en-IE"/>
              </w:rPr>
              <w:t xml:space="preserve">ull </w:t>
            </w:r>
            <w:r>
              <w:rPr>
                <w:b/>
                <w:bCs/>
                <w:noProof/>
                <w:color w:val="000000"/>
                <w:sz w:val="16"/>
                <w:szCs w:val="16"/>
                <w:lang w:val="en-IE" w:eastAsia="en-IE"/>
              </w:rPr>
              <w:t>t</w:t>
            </w:r>
            <w:r w:rsidRPr="00E52FD3">
              <w:rPr>
                <w:b/>
                <w:bCs/>
                <w:noProof/>
                <w:color w:val="000000"/>
                <w:sz w:val="16"/>
                <w:szCs w:val="16"/>
                <w:lang w:val="en-IE" w:eastAsia="en-IE"/>
              </w:rPr>
              <w:t xml:space="preserve">ime </w:t>
            </w:r>
            <w:r>
              <w:rPr>
                <w:b/>
                <w:bCs/>
                <w:noProof/>
                <w:color w:val="000000"/>
                <w:sz w:val="16"/>
                <w:szCs w:val="16"/>
                <w:lang w:val="en-IE" w:eastAsia="en-IE"/>
              </w:rPr>
              <w:t>e</w:t>
            </w:r>
            <w:r w:rsidRPr="00E52FD3">
              <w:rPr>
                <w:b/>
                <w:bCs/>
                <w:noProof/>
                <w:color w:val="000000"/>
                <w:sz w:val="16"/>
                <w:szCs w:val="16"/>
                <w:lang w:val="en-IE" w:eastAsia="en-IE"/>
              </w:rPr>
              <w:t>quivalent unit</w:t>
            </w:r>
            <w:r>
              <w:rPr>
                <w:b/>
                <w:bCs/>
                <w:noProof/>
                <w:color w:val="000000"/>
                <w:sz w:val="16"/>
                <w:szCs w:val="16"/>
                <w:lang w:val="en-IE" w:eastAsia="en-IE"/>
              </w:rPr>
              <w:t>s</w:t>
            </w:r>
            <w:r w:rsidRPr="00E52FD3">
              <w:rPr>
                <w:b/>
                <w:bCs/>
                <w:noProof/>
                <w:color w:val="000000"/>
                <w:sz w:val="16"/>
                <w:szCs w:val="16"/>
                <w:lang w:val="en-IE" w:eastAsia="en-IE"/>
              </w:rPr>
              <w:t>)</w:t>
            </w:r>
          </w:p>
        </w:tc>
      </w:tr>
      <w:tr w:rsidR="003100E7" w:rsidRPr="00E52FD3" w14:paraId="66231DAD"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AEC08DA"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20 02 01</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from the ‘global envelope’)</w:t>
            </w:r>
          </w:p>
        </w:tc>
        <w:tc>
          <w:tcPr>
            <w:tcW w:w="960" w:type="dxa"/>
            <w:tcBorders>
              <w:top w:val="nil"/>
              <w:left w:val="nil"/>
              <w:bottom w:val="single" w:sz="8" w:space="0" w:color="auto"/>
              <w:right w:val="single" w:sz="8" w:space="0" w:color="auto"/>
            </w:tcBorders>
            <w:shd w:val="clear" w:color="000000" w:fill="D9D9D9"/>
            <w:vAlign w:val="center"/>
            <w:hideMark/>
          </w:tcPr>
          <w:p w14:paraId="0C1C58A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3681E71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308C4BAE"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11402DA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4727B6F3"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C366BC8"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20 02 03 (AC, AL, END and JPD in the EU Delegations)</w:t>
            </w:r>
          </w:p>
        </w:tc>
        <w:tc>
          <w:tcPr>
            <w:tcW w:w="960" w:type="dxa"/>
            <w:tcBorders>
              <w:top w:val="nil"/>
              <w:left w:val="nil"/>
              <w:bottom w:val="single" w:sz="8" w:space="0" w:color="auto"/>
              <w:right w:val="single" w:sz="8" w:space="0" w:color="auto"/>
            </w:tcBorders>
            <w:shd w:val="clear" w:color="000000" w:fill="D9D9D9"/>
            <w:vAlign w:val="center"/>
            <w:hideMark/>
          </w:tcPr>
          <w:p w14:paraId="7ED1D41C"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52C32B22"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45AA60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449FF28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301D1D82" w14:textId="77777777" w:rsidTr="004B53CC">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14:paraId="59A271ED"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Admin. Support line</w:t>
            </w:r>
            <w:r>
              <w:rPr>
                <w:noProof/>
                <w:color w:val="000000"/>
                <w:sz w:val="16"/>
                <w:szCs w:val="16"/>
                <w:lang w:val="en-IE" w:eastAsia="en-IE"/>
              </w:rPr>
              <w:t xml:space="preserve"> </w:t>
            </w:r>
            <w:r w:rsidRPr="00E52FD3">
              <w:rPr>
                <w:noProof/>
                <w:color w:val="000000"/>
                <w:sz w:val="16"/>
                <w:szCs w:val="16"/>
                <w:lang w:val="en-IE" w:eastAsia="en-IE"/>
              </w:rPr>
              <w:br/>
              <w:t>[XX.01.YY.YY]</w:t>
            </w:r>
          </w:p>
        </w:tc>
        <w:tc>
          <w:tcPr>
            <w:tcW w:w="3860" w:type="dxa"/>
            <w:tcBorders>
              <w:top w:val="nil"/>
              <w:left w:val="nil"/>
              <w:bottom w:val="single" w:sz="8" w:space="0" w:color="auto"/>
              <w:right w:val="single" w:sz="8" w:space="0" w:color="auto"/>
            </w:tcBorders>
            <w:shd w:val="clear" w:color="auto" w:fill="auto"/>
            <w:vAlign w:val="center"/>
            <w:hideMark/>
          </w:tcPr>
          <w:p w14:paraId="47F96F48"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at Headquarters</w:t>
            </w:r>
          </w:p>
        </w:tc>
        <w:tc>
          <w:tcPr>
            <w:tcW w:w="960" w:type="dxa"/>
            <w:tcBorders>
              <w:top w:val="nil"/>
              <w:left w:val="nil"/>
              <w:bottom w:val="single" w:sz="8" w:space="0" w:color="auto"/>
              <w:right w:val="single" w:sz="8" w:space="0" w:color="auto"/>
            </w:tcBorders>
            <w:shd w:val="clear" w:color="000000" w:fill="D9D9D9"/>
            <w:vAlign w:val="center"/>
            <w:hideMark/>
          </w:tcPr>
          <w:p w14:paraId="472F035C"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71A0B0F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3CB1FE0C"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136BF83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158CCBEF" w14:textId="77777777" w:rsidTr="004B53CC">
        <w:trPr>
          <w:trHeight w:val="300"/>
        </w:trPr>
        <w:tc>
          <w:tcPr>
            <w:tcW w:w="1500" w:type="dxa"/>
            <w:vMerge/>
            <w:tcBorders>
              <w:top w:val="nil"/>
              <w:left w:val="single" w:sz="8" w:space="0" w:color="auto"/>
              <w:bottom w:val="single" w:sz="8" w:space="0" w:color="auto"/>
              <w:right w:val="single" w:sz="8" w:space="0" w:color="auto"/>
            </w:tcBorders>
            <w:vAlign w:val="center"/>
            <w:hideMark/>
          </w:tcPr>
          <w:p w14:paraId="6801D66C" w14:textId="77777777" w:rsidR="00A56747" w:rsidRPr="00E52FD3" w:rsidRDefault="00A56747" w:rsidP="004B53CC">
            <w:pPr>
              <w:spacing w:before="0" w:after="0"/>
              <w:jc w:val="left"/>
              <w:rPr>
                <w:noProof/>
                <w:color w:val="000000"/>
                <w:sz w:val="16"/>
                <w:szCs w:val="16"/>
                <w:lang w:val="en-IE" w:eastAsia="en-IE"/>
              </w:rPr>
            </w:pPr>
          </w:p>
        </w:tc>
        <w:tc>
          <w:tcPr>
            <w:tcW w:w="3860" w:type="dxa"/>
            <w:tcBorders>
              <w:top w:val="nil"/>
              <w:left w:val="nil"/>
              <w:bottom w:val="single" w:sz="8" w:space="0" w:color="auto"/>
              <w:right w:val="single" w:sz="8" w:space="0" w:color="auto"/>
            </w:tcBorders>
            <w:shd w:val="clear" w:color="auto" w:fill="auto"/>
            <w:vAlign w:val="center"/>
            <w:hideMark/>
          </w:tcPr>
          <w:p w14:paraId="298BD10A"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in EU Delegations </w:t>
            </w:r>
          </w:p>
        </w:tc>
        <w:tc>
          <w:tcPr>
            <w:tcW w:w="960" w:type="dxa"/>
            <w:tcBorders>
              <w:top w:val="nil"/>
              <w:left w:val="nil"/>
              <w:bottom w:val="single" w:sz="8" w:space="0" w:color="auto"/>
              <w:right w:val="single" w:sz="8" w:space="0" w:color="auto"/>
            </w:tcBorders>
            <w:shd w:val="clear" w:color="000000" w:fill="D9D9D9"/>
            <w:vAlign w:val="center"/>
            <w:hideMark/>
          </w:tcPr>
          <w:p w14:paraId="73DF445F"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574EE54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08BDA21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6E001E0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59765FCB"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5785E20"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01 01 01 02</w:t>
            </w:r>
            <w:r w:rsidRPr="00E52FD3">
              <w:rPr>
                <w:rFonts w:ascii="Arial Narrow" w:hAnsi="Arial Narrow"/>
                <w:noProof/>
                <w:color w:val="000000"/>
                <w:sz w:val="20"/>
                <w:szCs w:val="20"/>
                <w:lang w:val="en-IE" w:eastAsia="en-IE"/>
              </w:rPr>
              <w:t xml:space="preserve"> </w:t>
            </w:r>
            <w:r w:rsidRPr="00E52FD3">
              <w:rPr>
                <w:noProof/>
                <w:color w:val="000000"/>
                <w:sz w:val="16"/>
                <w:szCs w:val="16"/>
                <w:lang w:val="en-IE" w:eastAsia="en-IE"/>
              </w:rPr>
              <w:t>(AC, END - Indirect research)</w:t>
            </w:r>
          </w:p>
        </w:tc>
        <w:tc>
          <w:tcPr>
            <w:tcW w:w="960" w:type="dxa"/>
            <w:tcBorders>
              <w:top w:val="nil"/>
              <w:left w:val="nil"/>
              <w:bottom w:val="single" w:sz="8" w:space="0" w:color="auto"/>
              <w:right w:val="single" w:sz="8" w:space="0" w:color="auto"/>
            </w:tcBorders>
            <w:shd w:val="clear" w:color="000000" w:fill="D9D9D9"/>
            <w:vAlign w:val="center"/>
            <w:hideMark/>
          </w:tcPr>
          <w:p w14:paraId="05BFC45A"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8DC523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749DCB2"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57A469A9"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0852F5E7"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D45E210"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 xml:space="preserve"> 01 01 01 12 (AC, END - Direct research)</w:t>
            </w:r>
          </w:p>
        </w:tc>
        <w:tc>
          <w:tcPr>
            <w:tcW w:w="960" w:type="dxa"/>
            <w:tcBorders>
              <w:top w:val="nil"/>
              <w:left w:val="nil"/>
              <w:bottom w:val="single" w:sz="8" w:space="0" w:color="auto"/>
              <w:right w:val="single" w:sz="8" w:space="0" w:color="auto"/>
            </w:tcBorders>
            <w:shd w:val="clear" w:color="000000" w:fill="D9D9D9"/>
            <w:vAlign w:val="center"/>
            <w:hideMark/>
          </w:tcPr>
          <w:p w14:paraId="6CFE483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72246B7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7A3BDB8B"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65625490"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504935FB"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1B04D5F"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Heading 7</w:t>
            </w:r>
          </w:p>
        </w:tc>
        <w:tc>
          <w:tcPr>
            <w:tcW w:w="960" w:type="dxa"/>
            <w:tcBorders>
              <w:top w:val="nil"/>
              <w:left w:val="nil"/>
              <w:bottom w:val="single" w:sz="8" w:space="0" w:color="auto"/>
              <w:right w:val="single" w:sz="8" w:space="0" w:color="auto"/>
            </w:tcBorders>
            <w:shd w:val="clear" w:color="000000" w:fill="D9D9D9"/>
            <w:vAlign w:val="center"/>
            <w:hideMark/>
          </w:tcPr>
          <w:p w14:paraId="13952708"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5C071893"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1746A1DC"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0BBC4254"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5D06AF2A"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3A8B122" w14:textId="77777777" w:rsidR="00A56747" w:rsidRPr="00E52FD3" w:rsidRDefault="00A56747" w:rsidP="004B53CC">
            <w:pPr>
              <w:spacing w:before="0" w:after="0"/>
              <w:ind w:firstLineChars="100" w:firstLine="160"/>
              <w:jc w:val="left"/>
              <w:rPr>
                <w:noProof/>
                <w:color w:val="000000"/>
                <w:sz w:val="16"/>
                <w:szCs w:val="16"/>
                <w:lang w:val="en-IE" w:eastAsia="en-IE"/>
              </w:rPr>
            </w:pPr>
            <w:r w:rsidRPr="00E52FD3">
              <w:rPr>
                <w:noProof/>
                <w:color w:val="000000"/>
                <w:sz w:val="16"/>
                <w:szCs w:val="16"/>
                <w:lang w:val="en-IE" w:eastAsia="en-IE"/>
              </w:rPr>
              <w:t>Other budget lines (specify) - Outside Heading 7</w:t>
            </w:r>
          </w:p>
        </w:tc>
        <w:tc>
          <w:tcPr>
            <w:tcW w:w="960" w:type="dxa"/>
            <w:tcBorders>
              <w:top w:val="nil"/>
              <w:left w:val="nil"/>
              <w:bottom w:val="single" w:sz="8" w:space="0" w:color="auto"/>
              <w:right w:val="single" w:sz="8" w:space="0" w:color="auto"/>
            </w:tcBorders>
            <w:shd w:val="clear" w:color="000000" w:fill="D9D9D9"/>
            <w:vAlign w:val="center"/>
            <w:hideMark/>
          </w:tcPr>
          <w:p w14:paraId="19A01BC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E5569A5"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1DC2B111"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510F8FA6" w14:textId="77777777" w:rsidR="00A56747" w:rsidRPr="00E52FD3" w:rsidRDefault="00A56747" w:rsidP="004B53CC">
            <w:pPr>
              <w:spacing w:before="0" w:after="0"/>
              <w:jc w:val="center"/>
              <w:rPr>
                <w:noProof/>
                <w:color w:val="000000"/>
                <w:sz w:val="16"/>
                <w:szCs w:val="16"/>
                <w:lang w:val="en-IE" w:eastAsia="en-IE"/>
              </w:rPr>
            </w:pPr>
            <w:r w:rsidRPr="00E52FD3">
              <w:rPr>
                <w:noProof/>
                <w:color w:val="000000"/>
                <w:sz w:val="16"/>
                <w:szCs w:val="16"/>
                <w:lang w:val="en-IE" w:eastAsia="en-IE"/>
              </w:rPr>
              <w:t>0</w:t>
            </w:r>
          </w:p>
        </w:tc>
      </w:tr>
      <w:tr w:rsidR="003100E7" w:rsidRPr="00E52FD3" w14:paraId="19914508" w14:textId="77777777" w:rsidTr="004B53C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47AD29F" w14:textId="77777777" w:rsidR="00A56747" w:rsidRPr="00E52FD3" w:rsidRDefault="00A56747" w:rsidP="004B53CC">
            <w:pPr>
              <w:spacing w:before="0" w:after="0"/>
              <w:ind w:firstLineChars="100" w:firstLine="161"/>
              <w:jc w:val="left"/>
              <w:rPr>
                <w:b/>
                <w:bCs/>
                <w:noProof/>
                <w:color w:val="000000"/>
                <w:sz w:val="16"/>
                <w:szCs w:val="16"/>
                <w:lang w:val="en-IE" w:eastAsia="en-IE"/>
              </w:rPr>
            </w:pPr>
            <w:r w:rsidRPr="00E52FD3">
              <w:rPr>
                <w:b/>
                <w:bCs/>
                <w:noProof/>
                <w:color w:val="000000"/>
                <w:sz w:val="16"/>
                <w:szCs w:val="16"/>
                <w:lang w:val="en-IE" w:eastAsia="en-IE"/>
              </w:rPr>
              <w:t>TOTAL</w:t>
            </w:r>
          </w:p>
        </w:tc>
        <w:tc>
          <w:tcPr>
            <w:tcW w:w="960" w:type="dxa"/>
            <w:tcBorders>
              <w:top w:val="nil"/>
              <w:left w:val="nil"/>
              <w:bottom w:val="single" w:sz="8" w:space="0" w:color="auto"/>
              <w:right w:val="single" w:sz="8" w:space="0" w:color="auto"/>
            </w:tcBorders>
            <w:shd w:val="clear" w:color="000000" w:fill="D9D9D9"/>
            <w:vAlign w:val="center"/>
            <w:hideMark/>
          </w:tcPr>
          <w:p w14:paraId="56EEFAF9"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91EFACD"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248843DF"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c>
          <w:tcPr>
            <w:tcW w:w="960" w:type="dxa"/>
            <w:tcBorders>
              <w:top w:val="nil"/>
              <w:left w:val="nil"/>
              <w:bottom w:val="single" w:sz="8" w:space="0" w:color="auto"/>
              <w:right w:val="single" w:sz="8" w:space="0" w:color="auto"/>
            </w:tcBorders>
            <w:shd w:val="clear" w:color="000000" w:fill="D9D9D9"/>
            <w:vAlign w:val="center"/>
            <w:hideMark/>
          </w:tcPr>
          <w:p w14:paraId="1AA07ABC" w14:textId="77777777" w:rsidR="00A56747" w:rsidRPr="00E52FD3" w:rsidRDefault="00A56747" w:rsidP="004B53CC">
            <w:pPr>
              <w:spacing w:before="0" w:after="0"/>
              <w:jc w:val="center"/>
              <w:rPr>
                <w:b/>
                <w:bCs/>
                <w:noProof/>
                <w:color w:val="000000"/>
                <w:sz w:val="16"/>
                <w:szCs w:val="16"/>
                <w:lang w:val="en-IE" w:eastAsia="en-IE"/>
              </w:rPr>
            </w:pPr>
            <w:r w:rsidRPr="00E52FD3">
              <w:rPr>
                <w:b/>
                <w:bCs/>
                <w:noProof/>
                <w:color w:val="000000"/>
                <w:sz w:val="16"/>
                <w:szCs w:val="16"/>
                <w:lang w:val="en-IE" w:eastAsia="en-IE"/>
              </w:rPr>
              <w:t>0</w:t>
            </w:r>
          </w:p>
        </w:tc>
      </w:tr>
    </w:tbl>
    <w:p w14:paraId="7512095D" w14:textId="77777777" w:rsidR="00A56747" w:rsidRDefault="00A56747" w:rsidP="00A56747">
      <w:pPr>
        <w:rPr>
          <w:noProof/>
          <w:color w:val="000000" w:themeColor="text1"/>
        </w:rPr>
      </w:pPr>
      <w:bookmarkStart w:id="224" w:name="_Hlk167692843"/>
      <w:bookmarkEnd w:id="219"/>
      <w:r w:rsidRPr="00EB596E">
        <w:rPr>
          <w:noProof/>
          <w:color w:val="000000" w:themeColor="text1"/>
        </w:rPr>
        <w:t>The staff required to implement the proposal</w:t>
      </w:r>
      <w:r>
        <w:rPr>
          <w:noProof/>
          <w:color w:val="000000" w:themeColor="text1"/>
        </w:rPr>
        <w:t xml:space="preserve"> (in FTEs): </w:t>
      </w:r>
    </w:p>
    <w:tbl>
      <w:tblPr>
        <w:tblStyle w:val="TableGrid"/>
        <w:tblW w:w="9487" w:type="dxa"/>
        <w:tblInd w:w="-426" w:type="dxa"/>
        <w:tblLook w:val="04A0" w:firstRow="1" w:lastRow="0" w:firstColumn="1" w:lastColumn="0" w:noHBand="0" w:noVBand="1"/>
      </w:tblPr>
      <w:tblGrid>
        <w:gridCol w:w="1845"/>
        <w:gridCol w:w="2031"/>
        <w:gridCol w:w="1925"/>
        <w:gridCol w:w="1938"/>
        <w:gridCol w:w="1748"/>
      </w:tblGrid>
      <w:tr w:rsidR="001A0915" w14:paraId="4F1E700C" w14:textId="77777777" w:rsidTr="00FF1EF4">
        <w:trPr>
          <w:trHeight w:val="300"/>
        </w:trPr>
        <w:tc>
          <w:tcPr>
            <w:tcW w:w="1845" w:type="dxa"/>
          </w:tcPr>
          <w:p w14:paraId="4FFE1D3C" w14:textId="77777777" w:rsidR="00A56747" w:rsidRPr="00310A4B" w:rsidRDefault="00A56747" w:rsidP="004B53CC">
            <w:pPr>
              <w:pStyle w:val="Text1"/>
              <w:ind w:left="0"/>
              <w:jc w:val="center"/>
              <w:rPr>
                <w:b/>
                <w:bCs/>
                <w:noProof/>
                <w:sz w:val="22"/>
                <w:szCs w:val="28"/>
              </w:rPr>
            </w:pPr>
          </w:p>
        </w:tc>
        <w:tc>
          <w:tcPr>
            <w:tcW w:w="2031" w:type="dxa"/>
          </w:tcPr>
          <w:p w14:paraId="62B468BA" w14:textId="77777777" w:rsidR="00A56747" w:rsidRPr="00310A4B" w:rsidRDefault="00A56747" w:rsidP="004B53CC">
            <w:pPr>
              <w:pStyle w:val="Text1"/>
              <w:ind w:left="0"/>
              <w:jc w:val="center"/>
              <w:rPr>
                <w:b/>
                <w:bCs/>
                <w:noProof/>
                <w:sz w:val="22"/>
              </w:rPr>
            </w:pPr>
            <w:r w:rsidRPr="7814D1E9">
              <w:rPr>
                <w:b/>
                <w:bCs/>
                <w:noProof/>
                <w:sz w:val="22"/>
              </w:rPr>
              <w:t xml:space="preserve">To be covered by current staff available in the Commission services </w:t>
            </w:r>
          </w:p>
        </w:tc>
        <w:tc>
          <w:tcPr>
            <w:tcW w:w="5611" w:type="dxa"/>
            <w:gridSpan w:val="3"/>
          </w:tcPr>
          <w:p w14:paraId="3E2290EC" w14:textId="77777777" w:rsidR="00A56747" w:rsidRPr="00310A4B" w:rsidRDefault="00A56747" w:rsidP="004B53CC">
            <w:pPr>
              <w:pStyle w:val="Text1"/>
              <w:ind w:left="0"/>
              <w:jc w:val="center"/>
              <w:rPr>
                <w:b/>
                <w:bCs/>
                <w:noProof/>
                <w:sz w:val="22"/>
              </w:rPr>
            </w:pPr>
            <w:r w:rsidRPr="6C5FD46B">
              <w:rPr>
                <w:b/>
                <w:bCs/>
                <w:noProof/>
                <w:sz w:val="22"/>
              </w:rPr>
              <w:t>Exceptional additional staff*</w:t>
            </w:r>
          </w:p>
        </w:tc>
      </w:tr>
      <w:tr w:rsidR="001A0915" w14:paraId="4FE1051A" w14:textId="77777777" w:rsidTr="00FF1EF4">
        <w:trPr>
          <w:trHeight w:val="300"/>
        </w:trPr>
        <w:tc>
          <w:tcPr>
            <w:tcW w:w="1845" w:type="dxa"/>
          </w:tcPr>
          <w:p w14:paraId="5DBD4CAE" w14:textId="77777777" w:rsidR="00A56747" w:rsidRPr="00310A4B" w:rsidRDefault="00A56747" w:rsidP="004B53CC">
            <w:pPr>
              <w:pStyle w:val="Text1"/>
              <w:ind w:left="0"/>
              <w:jc w:val="center"/>
              <w:rPr>
                <w:b/>
                <w:bCs/>
                <w:noProof/>
                <w:sz w:val="22"/>
                <w:szCs w:val="28"/>
              </w:rPr>
            </w:pPr>
          </w:p>
        </w:tc>
        <w:tc>
          <w:tcPr>
            <w:tcW w:w="2031" w:type="dxa"/>
          </w:tcPr>
          <w:p w14:paraId="4233A4A0" w14:textId="77777777" w:rsidR="00A56747" w:rsidRPr="00310A4B" w:rsidRDefault="00A56747" w:rsidP="004B53CC">
            <w:pPr>
              <w:pStyle w:val="Text1"/>
              <w:ind w:left="0"/>
              <w:jc w:val="center"/>
              <w:rPr>
                <w:b/>
                <w:bCs/>
                <w:noProof/>
                <w:sz w:val="22"/>
                <w:szCs w:val="28"/>
              </w:rPr>
            </w:pPr>
          </w:p>
        </w:tc>
        <w:tc>
          <w:tcPr>
            <w:tcW w:w="1925" w:type="dxa"/>
          </w:tcPr>
          <w:p w14:paraId="523F59CD" w14:textId="77777777" w:rsidR="00A56747" w:rsidRPr="00310A4B" w:rsidRDefault="00A56747" w:rsidP="004B53CC">
            <w:pPr>
              <w:pStyle w:val="Text1"/>
              <w:ind w:left="0"/>
              <w:jc w:val="center"/>
              <w:rPr>
                <w:b/>
                <w:bCs/>
                <w:noProof/>
                <w:sz w:val="22"/>
              </w:rPr>
            </w:pPr>
            <w:r w:rsidRPr="73D5EDD6">
              <w:rPr>
                <w:b/>
                <w:bCs/>
                <w:noProof/>
                <w:sz w:val="22"/>
              </w:rPr>
              <w:t>To be financed under Heading 7</w:t>
            </w:r>
            <w:r>
              <w:rPr>
                <w:b/>
                <w:bCs/>
                <w:noProof/>
                <w:sz w:val="22"/>
              </w:rPr>
              <w:t xml:space="preserve"> </w:t>
            </w:r>
            <w:r w:rsidRPr="001C3DB5">
              <w:rPr>
                <w:b/>
                <w:bCs/>
                <w:noProof/>
                <w:sz w:val="22"/>
                <w:highlight w:val="yellow"/>
              </w:rPr>
              <w:t>or</w:t>
            </w:r>
            <w:r w:rsidRPr="73D5EDD6">
              <w:rPr>
                <w:b/>
                <w:bCs/>
                <w:noProof/>
                <w:sz w:val="22"/>
              </w:rPr>
              <w:t xml:space="preserve"> Research</w:t>
            </w:r>
          </w:p>
        </w:tc>
        <w:tc>
          <w:tcPr>
            <w:tcW w:w="1938" w:type="dxa"/>
          </w:tcPr>
          <w:p w14:paraId="6364F8D8" w14:textId="77777777" w:rsidR="00A56747" w:rsidRPr="00310A4B" w:rsidRDefault="00A56747" w:rsidP="004B53CC">
            <w:pPr>
              <w:pStyle w:val="Text1"/>
              <w:ind w:left="0"/>
              <w:jc w:val="center"/>
              <w:rPr>
                <w:b/>
                <w:bCs/>
                <w:noProof/>
                <w:sz w:val="22"/>
                <w:szCs w:val="28"/>
              </w:rPr>
            </w:pPr>
            <w:r w:rsidRPr="00310A4B">
              <w:rPr>
                <w:b/>
                <w:bCs/>
                <w:noProof/>
                <w:sz w:val="22"/>
                <w:szCs w:val="28"/>
              </w:rPr>
              <w:t>To be financed from BA line</w:t>
            </w:r>
          </w:p>
        </w:tc>
        <w:tc>
          <w:tcPr>
            <w:tcW w:w="1748" w:type="dxa"/>
          </w:tcPr>
          <w:p w14:paraId="33AB5B79" w14:textId="77777777" w:rsidR="00A56747" w:rsidRPr="00310A4B" w:rsidRDefault="00A56747" w:rsidP="004B53CC">
            <w:pPr>
              <w:pStyle w:val="Text1"/>
              <w:ind w:left="0"/>
              <w:jc w:val="center"/>
              <w:rPr>
                <w:b/>
                <w:bCs/>
                <w:noProof/>
                <w:sz w:val="22"/>
                <w:szCs w:val="28"/>
              </w:rPr>
            </w:pPr>
            <w:r w:rsidRPr="00310A4B">
              <w:rPr>
                <w:b/>
                <w:bCs/>
                <w:noProof/>
                <w:sz w:val="22"/>
                <w:szCs w:val="28"/>
              </w:rPr>
              <w:t>To be financed from fees</w:t>
            </w:r>
          </w:p>
        </w:tc>
      </w:tr>
      <w:tr w:rsidR="001A0915" w14:paraId="7365CA6D" w14:textId="77777777" w:rsidTr="00FF1EF4">
        <w:trPr>
          <w:trHeight w:val="300"/>
        </w:trPr>
        <w:tc>
          <w:tcPr>
            <w:tcW w:w="1845" w:type="dxa"/>
          </w:tcPr>
          <w:p w14:paraId="068D8F9D" w14:textId="77777777" w:rsidR="00A56747" w:rsidRDefault="00A56747" w:rsidP="004B53CC">
            <w:pPr>
              <w:pStyle w:val="Text1"/>
              <w:ind w:left="0"/>
              <w:rPr>
                <w:noProof/>
                <w:sz w:val="22"/>
                <w:szCs w:val="28"/>
              </w:rPr>
            </w:pPr>
            <w:r>
              <w:rPr>
                <w:noProof/>
                <w:sz w:val="22"/>
                <w:szCs w:val="28"/>
              </w:rPr>
              <w:t>Establishment plan posts</w:t>
            </w:r>
          </w:p>
        </w:tc>
        <w:tc>
          <w:tcPr>
            <w:tcW w:w="2031" w:type="dxa"/>
          </w:tcPr>
          <w:p w14:paraId="7FCB335A" w14:textId="77777777" w:rsidR="00A56747" w:rsidRDefault="00A56747" w:rsidP="004B53CC">
            <w:pPr>
              <w:pStyle w:val="Text1"/>
              <w:ind w:left="0"/>
              <w:rPr>
                <w:noProof/>
                <w:sz w:val="22"/>
                <w:szCs w:val="28"/>
              </w:rPr>
            </w:pPr>
          </w:p>
        </w:tc>
        <w:tc>
          <w:tcPr>
            <w:tcW w:w="1925" w:type="dxa"/>
          </w:tcPr>
          <w:p w14:paraId="317E022D" w14:textId="77777777" w:rsidR="00A56747" w:rsidRDefault="00A56747" w:rsidP="004B53CC">
            <w:pPr>
              <w:pStyle w:val="Text1"/>
              <w:ind w:left="0"/>
              <w:rPr>
                <w:noProof/>
                <w:sz w:val="22"/>
                <w:szCs w:val="28"/>
              </w:rPr>
            </w:pPr>
          </w:p>
        </w:tc>
        <w:tc>
          <w:tcPr>
            <w:tcW w:w="1938" w:type="dxa"/>
          </w:tcPr>
          <w:p w14:paraId="4A264333" w14:textId="77777777" w:rsidR="00A56747" w:rsidRDefault="00A56747" w:rsidP="004B53CC">
            <w:pPr>
              <w:pStyle w:val="Text1"/>
              <w:ind w:left="0"/>
              <w:rPr>
                <w:noProof/>
                <w:sz w:val="22"/>
                <w:szCs w:val="28"/>
              </w:rPr>
            </w:pPr>
            <w:r>
              <w:rPr>
                <w:noProof/>
                <w:sz w:val="22"/>
                <w:szCs w:val="28"/>
              </w:rPr>
              <w:t>N/A</w:t>
            </w:r>
          </w:p>
        </w:tc>
        <w:tc>
          <w:tcPr>
            <w:tcW w:w="1748" w:type="dxa"/>
          </w:tcPr>
          <w:p w14:paraId="38ECE6FA" w14:textId="77777777" w:rsidR="00A56747" w:rsidRDefault="00A56747" w:rsidP="004B53CC">
            <w:pPr>
              <w:pStyle w:val="Text1"/>
              <w:ind w:left="0"/>
              <w:rPr>
                <w:noProof/>
                <w:sz w:val="22"/>
                <w:szCs w:val="28"/>
              </w:rPr>
            </w:pPr>
          </w:p>
        </w:tc>
      </w:tr>
      <w:tr w:rsidR="001A0915" w14:paraId="3F996D0C" w14:textId="77777777" w:rsidTr="00FF1EF4">
        <w:trPr>
          <w:trHeight w:val="300"/>
        </w:trPr>
        <w:tc>
          <w:tcPr>
            <w:tcW w:w="1845" w:type="dxa"/>
          </w:tcPr>
          <w:p w14:paraId="2313ADFD" w14:textId="77777777" w:rsidR="00A56747" w:rsidRDefault="00A56747" w:rsidP="004B53CC">
            <w:pPr>
              <w:pStyle w:val="Text1"/>
              <w:ind w:left="0"/>
              <w:rPr>
                <w:noProof/>
                <w:sz w:val="22"/>
                <w:szCs w:val="28"/>
              </w:rPr>
            </w:pPr>
            <w:r>
              <w:rPr>
                <w:noProof/>
                <w:sz w:val="22"/>
                <w:szCs w:val="28"/>
              </w:rPr>
              <w:t>External staff (CA, SNEs, INT)</w:t>
            </w:r>
          </w:p>
        </w:tc>
        <w:tc>
          <w:tcPr>
            <w:tcW w:w="2031" w:type="dxa"/>
          </w:tcPr>
          <w:p w14:paraId="45067616" w14:textId="77777777" w:rsidR="00A56747" w:rsidRDefault="00A56747" w:rsidP="004B53CC">
            <w:pPr>
              <w:pStyle w:val="Text1"/>
              <w:ind w:left="0"/>
              <w:rPr>
                <w:noProof/>
                <w:sz w:val="22"/>
                <w:szCs w:val="28"/>
              </w:rPr>
            </w:pPr>
          </w:p>
        </w:tc>
        <w:tc>
          <w:tcPr>
            <w:tcW w:w="1925" w:type="dxa"/>
          </w:tcPr>
          <w:p w14:paraId="23ED0628" w14:textId="77777777" w:rsidR="00A56747" w:rsidRDefault="00A56747" w:rsidP="004B53CC">
            <w:pPr>
              <w:pStyle w:val="Text1"/>
              <w:ind w:left="0"/>
              <w:rPr>
                <w:noProof/>
                <w:sz w:val="22"/>
                <w:szCs w:val="28"/>
              </w:rPr>
            </w:pPr>
          </w:p>
        </w:tc>
        <w:tc>
          <w:tcPr>
            <w:tcW w:w="1938" w:type="dxa"/>
          </w:tcPr>
          <w:p w14:paraId="5711F00A" w14:textId="77777777" w:rsidR="00A56747" w:rsidRDefault="00A56747" w:rsidP="004B53CC">
            <w:pPr>
              <w:pStyle w:val="Text1"/>
              <w:ind w:left="0"/>
              <w:rPr>
                <w:noProof/>
                <w:sz w:val="22"/>
                <w:szCs w:val="28"/>
              </w:rPr>
            </w:pPr>
          </w:p>
        </w:tc>
        <w:tc>
          <w:tcPr>
            <w:tcW w:w="1748" w:type="dxa"/>
          </w:tcPr>
          <w:p w14:paraId="6632A2B8" w14:textId="77777777" w:rsidR="00A56747" w:rsidRDefault="00A56747" w:rsidP="004B53CC">
            <w:pPr>
              <w:pStyle w:val="Text1"/>
              <w:ind w:left="0"/>
              <w:rPr>
                <w:noProof/>
                <w:sz w:val="22"/>
                <w:szCs w:val="28"/>
              </w:rPr>
            </w:pPr>
          </w:p>
        </w:tc>
      </w:tr>
    </w:tbl>
    <w:p w14:paraId="7BF93707" w14:textId="77777777" w:rsidR="00A56747" w:rsidRDefault="00A56747" w:rsidP="00A56747">
      <w:pPr>
        <w:pStyle w:val="Text1"/>
        <w:rPr>
          <w:noProof/>
          <w:lang w:val="en-IE"/>
        </w:rPr>
      </w:pPr>
      <w:r w:rsidRPr="73D5EDD6">
        <w:rPr>
          <w:noProof/>
          <w:lang w:val="en-IE"/>
        </w:rPr>
        <w:t>Description of tasks to be carried out by:</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16350" w14:paraId="0EF9095E" w14:textId="77777777" w:rsidTr="00FF1EF4">
        <w:tc>
          <w:tcPr>
            <w:tcW w:w="3240" w:type="dxa"/>
          </w:tcPr>
          <w:p w14:paraId="22C1074C" w14:textId="77777777" w:rsidR="00A56747" w:rsidRDefault="00A56747" w:rsidP="004B53CC">
            <w:pPr>
              <w:rPr>
                <w:noProof/>
                <w:sz w:val="20"/>
              </w:rPr>
            </w:pPr>
            <w:r>
              <w:rPr>
                <w:noProof/>
                <w:sz w:val="20"/>
              </w:rPr>
              <w:t>Officials and temporary staff</w:t>
            </w:r>
          </w:p>
        </w:tc>
        <w:tc>
          <w:tcPr>
            <w:tcW w:w="7200" w:type="dxa"/>
          </w:tcPr>
          <w:p w14:paraId="6241BCE8" w14:textId="77777777" w:rsidR="00A56747" w:rsidRDefault="00A56747" w:rsidP="004B53CC">
            <w:pPr>
              <w:rPr>
                <w:noProof/>
                <w:sz w:val="20"/>
              </w:rPr>
            </w:pPr>
          </w:p>
        </w:tc>
      </w:tr>
      <w:tr w:rsidR="00816350" w14:paraId="62CDAAC2" w14:textId="77777777" w:rsidTr="00FF1EF4">
        <w:tc>
          <w:tcPr>
            <w:tcW w:w="3240" w:type="dxa"/>
          </w:tcPr>
          <w:p w14:paraId="02E92302" w14:textId="77777777" w:rsidR="00A56747" w:rsidRDefault="00A56747" w:rsidP="004B53CC">
            <w:pPr>
              <w:spacing w:before="60" w:after="60"/>
              <w:rPr>
                <w:noProof/>
                <w:sz w:val="20"/>
              </w:rPr>
            </w:pPr>
            <w:r>
              <w:rPr>
                <w:noProof/>
                <w:sz w:val="20"/>
              </w:rPr>
              <w:t>External staff</w:t>
            </w:r>
          </w:p>
        </w:tc>
        <w:tc>
          <w:tcPr>
            <w:tcW w:w="7200" w:type="dxa"/>
          </w:tcPr>
          <w:p w14:paraId="44F0BE9F" w14:textId="77777777" w:rsidR="00A56747" w:rsidRDefault="00A56747" w:rsidP="004B53CC">
            <w:pPr>
              <w:rPr>
                <w:noProof/>
                <w:sz w:val="20"/>
              </w:rPr>
            </w:pPr>
          </w:p>
        </w:tc>
      </w:tr>
    </w:tbl>
    <w:p w14:paraId="071CD2E2" w14:textId="77777777" w:rsidR="00A56747" w:rsidRDefault="00A56747" w:rsidP="00A56747">
      <w:pPr>
        <w:pStyle w:val="ManualHeading3"/>
        <w:rPr>
          <w:noProof/>
        </w:rPr>
      </w:pPr>
      <w:bookmarkStart w:id="225" w:name="_Toc177549031"/>
      <w:r>
        <w:rPr>
          <w:noProof/>
        </w:rPr>
        <w:t>3.2.5.</w:t>
      </w:r>
      <w:r>
        <w:rPr>
          <w:noProof/>
        </w:rPr>
        <w:tab/>
      </w:r>
      <w:r w:rsidRPr="000C2E25">
        <w:rPr>
          <w:noProof/>
        </w:rPr>
        <w:t xml:space="preserve">Overview of estimated impact on </w:t>
      </w:r>
      <w:r>
        <w:rPr>
          <w:noProof/>
        </w:rPr>
        <w:t>d</w:t>
      </w:r>
      <w:r w:rsidRPr="000C2E25">
        <w:rPr>
          <w:noProof/>
        </w:rPr>
        <w:t>igital</w:t>
      </w:r>
      <w:r>
        <w:rPr>
          <w:noProof/>
        </w:rPr>
        <w:t xml:space="preserve"> technology-</w:t>
      </w:r>
      <w:r w:rsidRPr="000C2E25">
        <w:rPr>
          <w:noProof/>
        </w:rPr>
        <w:t xml:space="preserve">related </w:t>
      </w:r>
      <w:r>
        <w:rPr>
          <w:noProof/>
        </w:rPr>
        <w:t>investments</w:t>
      </w:r>
      <w:bookmarkEnd w:id="225"/>
    </w:p>
    <w:p w14:paraId="77D2EBFC" w14:textId="77777777" w:rsidR="00A56747" w:rsidRPr="008C5AAB" w:rsidRDefault="00A56747" w:rsidP="00A56747">
      <w:pPr>
        <w:pStyle w:val="Text1"/>
        <w:spacing w:line="259" w:lineRule="auto"/>
        <w:rPr>
          <w:noProof/>
        </w:rPr>
      </w:pPr>
      <w:r w:rsidRPr="008C5AAB">
        <w:rPr>
          <w:noProof/>
        </w:rPr>
        <w:t xml:space="preserve">Compulsory: the best estimate of the </w:t>
      </w:r>
      <w:r>
        <w:rPr>
          <w:noProof/>
        </w:rPr>
        <w:t>d</w:t>
      </w:r>
      <w:r w:rsidRPr="008C5AAB">
        <w:rPr>
          <w:noProof/>
        </w:rPr>
        <w:t xml:space="preserve">igital </w:t>
      </w:r>
      <w:r>
        <w:rPr>
          <w:noProof/>
        </w:rPr>
        <w:t>technology-related investments</w:t>
      </w:r>
      <w:r w:rsidRPr="008C5AAB">
        <w:rPr>
          <w:noProof/>
        </w:rPr>
        <w:t xml:space="preserve"> entailed by the proposal/initiative should be included in the table below. </w:t>
      </w:r>
    </w:p>
    <w:p w14:paraId="71B4121D" w14:textId="77777777" w:rsidR="00A56747" w:rsidRPr="008C5AAB" w:rsidRDefault="00A56747" w:rsidP="00A56747">
      <w:pPr>
        <w:pStyle w:val="Text1"/>
        <w:spacing w:line="259" w:lineRule="auto"/>
        <w:rPr>
          <w:noProof/>
        </w:rPr>
      </w:pPr>
      <w:r w:rsidRPr="008C5AAB">
        <w:rPr>
          <w:noProof/>
        </w:rPr>
        <w:t>Exceptionally, when required for the implementation of the proposal/init</w:t>
      </w:r>
      <w:r>
        <w:rPr>
          <w:noProof/>
        </w:rPr>
        <w:t>i</w:t>
      </w:r>
      <w:r w:rsidRPr="008C5AAB">
        <w:rPr>
          <w:noProof/>
        </w:rPr>
        <w:t xml:space="preserve">ative, the appropriations under Heading 7 should be presented in the designated line. </w:t>
      </w:r>
    </w:p>
    <w:p w14:paraId="2427CE36" w14:textId="77777777" w:rsidR="00A56747" w:rsidRDefault="00A56747" w:rsidP="00A56747">
      <w:pPr>
        <w:pStyle w:val="Text1"/>
        <w:spacing w:line="259" w:lineRule="auto"/>
        <w:rPr>
          <w:noProof/>
        </w:rPr>
      </w:pPr>
      <w:r w:rsidRPr="008C5AAB">
        <w:rPr>
          <w:noProof/>
        </w:rPr>
        <w:t xml:space="preserve">The appropriations under Headings 1-6 should be reflected as “Policy IT expenditure on operational programmes”. This expenditure refers to the operational budget to be used to </w:t>
      </w:r>
      <w:r>
        <w:rPr>
          <w:noProof/>
        </w:rPr>
        <w:t xml:space="preserve">re-use/ buy/ </w:t>
      </w:r>
      <w:r w:rsidRPr="008C5AAB">
        <w:rPr>
          <w:noProof/>
        </w:rPr>
        <w:t xml:space="preserve">develop IT platforms/ tools directly linked to the implementation of the initiative and their associated </w:t>
      </w:r>
      <w:r>
        <w:rPr>
          <w:noProof/>
        </w:rPr>
        <w:t>investments</w:t>
      </w:r>
      <w:r w:rsidRPr="008C5AAB">
        <w:rPr>
          <w:noProof/>
        </w:rPr>
        <w:t xml:space="preserve"> (e.g. licences, studies, data storage etc). The information provided in this table should be co</w:t>
      </w:r>
      <w:r>
        <w:rPr>
          <w:noProof/>
        </w:rPr>
        <w:t>nsistent</w:t>
      </w:r>
      <w:r w:rsidRPr="008C5AAB">
        <w:rPr>
          <w:noProof/>
        </w:rPr>
        <w:t xml:space="preserve"> with details presented under </w:t>
      </w:r>
      <w:r>
        <w:rPr>
          <w:noProof/>
        </w:rPr>
        <w:t>S</w:t>
      </w:r>
      <w:r w:rsidRPr="008C5AAB">
        <w:rPr>
          <w:noProof/>
        </w:rPr>
        <w:t xml:space="preserve">ection 4 “Digital </w:t>
      </w:r>
      <w:r>
        <w:rPr>
          <w:noProof/>
        </w:rPr>
        <w:t>dimensions</w:t>
      </w:r>
      <w:r w:rsidRPr="008C5AAB">
        <w:rPr>
          <w:noProof/>
        </w:rPr>
        <w:t>”.</w:t>
      </w:r>
    </w:p>
    <w:p w14:paraId="261EA1D8" w14:textId="77777777" w:rsidR="00A56747" w:rsidRDefault="00A56747" w:rsidP="00A56747">
      <w:pPr>
        <w:pStyle w:val="Text1"/>
        <w:spacing w:line="259" w:lineRule="auto"/>
        <w:rPr>
          <w:noProof/>
        </w:rPr>
      </w:pPr>
    </w:p>
    <w:tbl>
      <w:tblPr>
        <w:tblW w:w="0" w:type="auto"/>
        <w:tblLayout w:type="fixed"/>
        <w:tblLook w:val="04A0" w:firstRow="1" w:lastRow="0" w:firstColumn="1" w:lastColumn="0" w:noHBand="0" w:noVBand="1"/>
      </w:tblPr>
      <w:tblGrid>
        <w:gridCol w:w="3214"/>
        <w:gridCol w:w="835"/>
        <w:gridCol w:w="835"/>
        <w:gridCol w:w="835"/>
        <w:gridCol w:w="835"/>
        <w:gridCol w:w="981"/>
      </w:tblGrid>
      <w:tr w:rsidR="00A56747" w14:paraId="3A02B48A" w14:textId="77777777" w:rsidTr="00FF1EF4">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0033A61A" w14:textId="77777777" w:rsidR="00A56747" w:rsidRDefault="00A56747" w:rsidP="004B53CC">
            <w:pPr>
              <w:spacing w:before="0" w:after="0"/>
              <w:jc w:val="center"/>
              <w:rPr>
                <w:b/>
                <w:bCs/>
                <w:noProof/>
                <w:color w:val="000000" w:themeColor="text1"/>
                <w:sz w:val="18"/>
                <w:szCs w:val="18"/>
              </w:rPr>
            </w:pPr>
            <w:r w:rsidRPr="52050D6D">
              <w:rPr>
                <w:b/>
                <w:bCs/>
                <w:noProof/>
                <w:color w:val="000000" w:themeColor="text1"/>
                <w:sz w:val="18"/>
                <w:szCs w:val="18"/>
              </w:rPr>
              <w:t>TOTAL Digital and IT appropriations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5877E39F" w14:textId="77777777" w:rsidR="00A56747" w:rsidRDefault="00A56747" w:rsidP="004B53CC">
            <w:pPr>
              <w:spacing w:before="0" w:after="0"/>
              <w:jc w:val="center"/>
              <w:rPr>
                <w:noProof/>
                <w:color w:val="000000" w:themeColor="text1"/>
                <w:sz w:val="18"/>
                <w:szCs w:val="18"/>
              </w:rPr>
            </w:pPr>
            <w:r w:rsidRPr="52050D6D">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A64431A" w14:textId="77777777" w:rsidR="00A56747" w:rsidRDefault="00A56747" w:rsidP="004B53CC">
            <w:pPr>
              <w:spacing w:before="0" w:after="0"/>
              <w:jc w:val="center"/>
              <w:rPr>
                <w:noProof/>
                <w:color w:val="000000" w:themeColor="text1"/>
                <w:sz w:val="18"/>
                <w:szCs w:val="18"/>
              </w:rPr>
            </w:pPr>
            <w:r w:rsidRPr="52050D6D">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436EF35E" w14:textId="77777777" w:rsidR="00A56747" w:rsidRDefault="00A56747" w:rsidP="004B53CC">
            <w:pPr>
              <w:spacing w:before="0" w:after="0"/>
              <w:jc w:val="center"/>
              <w:rPr>
                <w:noProof/>
                <w:color w:val="000000" w:themeColor="text1"/>
                <w:sz w:val="18"/>
                <w:szCs w:val="18"/>
              </w:rPr>
            </w:pPr>
            <w:r w:rsidRPr="52050D6D">
              <w:rPr>
                <w:noProof/>
                <w:color w:val="000000" w:themeColor="text1"/>
                <w:sz w:val="18"/>
                <w:szCs w:val="18"/>
              </w:rPr>
              <w:t>Year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127B3C76" w14:textId="77777777" w:rsidR="00A56747" w:rsidRDefault="00A56747" w:rsidP="004B53CC">
            <w:pPr>
              <w:spacing w:before="0" w:after="0"/>
              <w:jc w:val="center"/>
              <w:rPr>
                <w:noProof/>
                <w:color w:val="000000" w:themeColor="text1"/>
                <w:sz w:val="18"/>
                <w:szCs w:val="18"/>
              </w:rPr>
            </w:pPr>
            <w:r w:rsidRPr="52050D6D">
              <w:rPr>
                <w:noProof/>
                <w:color w:val="000000" w:themeColor="text1"/>
                <w:sz w:val="18"/>
                <w:szCs w:val="18"/>
              </w:rPr>
              <w:t>Year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1CCB3025" w14:textId="77777777" w:rsidR="00A56747" w:rsidRDefault="00A56747" w:rsidP="004B53CC">
            <w:pPr>
              <w:spacing w:before="0" w:after="0"/>
              <w:jc w:val="center"/>
              <w:rPr>
                <w:b/>
                <w:bCs/>
                <w:noProof/>
                <w:color w:val="000000" w:themeColor="text1"/>
                <w:sz w:val="18"/>
                <w:szCs w:val="18"/>
              </w:rPr>
            </w:pPr>
            <w:r w:rsidRPr="52050D6D">
              <w:rPr>
                <w:b/>
                <w:bCs/>
                <w:noProof/>
                <w:color w:val="000000" w:themeColor="text1"/>
                <w:sz w:val="18"/>
                <w:szCs w:val="18"/>
              </w:rPr>
              <w:t>TOTAL MFF 2021 - 2027</w:t>
            </w:r>
          </w:p>
        </w:tc>
      </w:tr>
      <w:tr w:rsidR="00A56747" w14:paraId="063AB4EB" w14:textId="77777777" w:rsidTr="00FF1EF4">
        <w:trPr>
          <w:trHeight w:val="525"/>
        </w:trPr>
        <w:tc>
          <w:tcPr>
            <w:tcW w:w="3214" w:type="dxa"/>
            <w:vMerge/>
            <w:tcBorders>
              <w:top w:val="single" w:sz="8" w:space="0" w:color="auto"/>
              <w:left w:val="single" w:sz="4" w:space="0" w:color="auto"/>
              <w:right w:val="single" w:sz="4" w:space="0" w:color="auto"/>
            </w:tcBorders>
            <w:vAlign w:val="center"/>
          </w:tcPr>
          <w:p w14:paraId="14D4D559" w14:textId="77777777" w:rsidR="00A56747" w:rsidRDefault="00A56747" w:rsidP="004B53CC">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4409682F" w14:textId="77777777" w:rsidR="00A56747" w:rsidRDefault="00A56747" w:rsidP="004B53CC">
            <w:pPr>
              <w:spacing w:before="0" w:after="0"/>
              <w:jc w:val="center"/>
              <w:rPr>
                <w:b/>
                <w:bCs/>
                <w:noProof/>
                <w:color w:val="000000" w:themeColor="text1"/>
                <w:sz w:val="18"/>
                <w:szCs w:val="18"/>
              </w:rPr>
            </w:pPr>
            <w:r w:rsidRPr="52050D6D">
              <w:rPr>
                <w:b/>
                <w:bCs/>
                <w:noProof/>
                <w:color w:val="000000" w:themeColor="text1"/>
                <w:sz w:val="18"/>
                <w:szCs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37EEBD66" w14:textId="77777777" w:rsidR="00A56747" w:rsidRDefault="00A56747" w:rsidP="004B53CC">
            <w:pPr>
              <w:spacing w:before="0" w:after="0"/>
              <w:jc w:val="center"/>
              <w:rPr>
                <w:b/>
                <w:bCs/>
                <w:noProof/>
                <w:color w:val="000000" w:themeColor="text1"/>
                <w:sz w:val="18"/>
                <w:szCs w:val="18"/>
              </w:rPr>
            </w:pPr>
            <w:r w:rsidRPr="52050D6D">
              <w:rPr>
                <w:b/>
                <w:bCs/>
                <w:noProof/>
                <w:color w:val="000000" w:themeColor="text1"/>
                <w:sz w:val="18"/>
                <w:szCs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5CE4C23A" w14:textId="77777777" w:rsidR="00A56747" w:rsidRDefault="00A56747" w:rsidP="004B53CC">
            <w:pPr>
              <w:spacing w:before="0" w:after="0"/>
              <w:jc w:val="center"/>
              <w:rPr>
                <w:b/>
                <w:bCs/>
                <w:noProof/>
                <w:color w:val="000000" w:themeColor="text1"/>
                <w:sz w:val="18"/>
                <w:szCs w:val="18"/>
              </w:rPr>
            </w:pPr>
            <w:r w:rsidRPr="52050D6D">
              <w:rPr>
                <w:b/>
                <w:bCs/>
                <w:noProof/>
                <w:color w:val="000000" w:themeColor="text1"/>
                <w:sz w:val="18"/>
                <w:szCs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4EFC128C" w14:textId="77777777" w:rsidR="00A56747" w:rsidRDefault="00A56747" w:rsidP="004B53CC">
            <w:pPr>
              <w:spacing w:before="0" w:after="0"/>
              <w:jc w:val="center"/>
              <w:rPr>
                <w:b/>
                <w:bCs/>
                <w:noProof/>
                <w:color w:val="000000" w:themeColor="text1"/>
                <w:sz w:val="18"/>
                <w:szCs w:val="18"/>
              </w:rPr>
            </w:pPr>
            <w:r w:rsidRPr="52050D6D">
              <w:rPr>
                <w:b/>
                <w:bCs/>
                <w:noProof/>
                <w:color w:val="000000" w:themeColor="text1"/>
                <w:sz w:val="18"/>
                <w:szCs w:val="18"/>
              </w:rPr>
              <w:t>2027</w:t>
            </w:r>
          </w:p>
        </w:tc>
        <w:tc>
          <w:tcPr>
            <w:tcW w:w="981" w:type="dxa"/>
            <w:vMerge/>
            <w:tcBorders>
              <w:bottom w:val="single" w:sz="4" w:space="0" w:color="auto"/>
              <w:right w:val="single" w:sz="4" w:space="0" w:color="auto"/>
            </w:tcBorders>
            <w:vAlign w:val="center"/>
          </w:tcPr>
          <w:p w14:paraId="376058C8" w14:textId="77777777" w:rsidR="00A56747" w:rsidRDefault="00A56747" w:rsidP="004B53CC">
            <w:pPr>
              <w:rPr>
                <w:noProof/>
              </w:rPr>
            </w:pPr>
          </w:p>
        </w:tc>
      </w:tr>
      <w:tr w:rsidR="00A56747" w14:paraId="22072D14" w14:textId="77777777" w:rsidTr="00FF1EF4">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153B610F" w14:textId="77777777" w:rsidR="00A56747" w:rsidRDefault="00A56747" w:rsidP="004B53CC">
            <w:pPr>
              <w:spacing w:before="0" w:after="0"/>
              <w:jc w:val="left"/>
              <w:rPr>
                <w:b/>
                <w:bCs/>
                <w:noProof/>
                <w:sz w:val="16"/>
                <w:szCs w:val="16"/>
              </w:rPr>
            </w:pPr>
            <w:r w:rsidRPr="52050D6D">
              <w:rPr>
                <w:b/>
                <w:bCs/>
                <w:noProof/>
                <w:sz w:val="16"/>
                <w:szCs w:val="16"/>
              </w:rPr>
              <w:t>HEADING 7</w:t>
            </w:r>
          </w:p>
        </w:tc>
      </w:tr>
      <w:tr w:rsidR="003100E7" w14:paraId="237D93C5" w14:textId="77777777" w:rsidTr="004B53C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592DB0" w14:textId="77777777" w:rsidR="00A56747" w:rsidRDefault="00A56747" w:rsidP="004B53CC">
            <w:pPr>
              <w:spacing w:before="0" w:after="0"/>
              <w:jc w:val="left"/>
              <w:rPr>
                <w:noProof/>
                <w:color w:val="000000" w:themeColor="text1"/>
                <w:sz w:val="16"/>
                <w:szCs w:val="16"/>
              </w:rPr>
            </w:pPr>
            <w:r w:rsidRPr="52050D6D">
              <w:rPr>
                <w:rFonts w:ascii="Arial Narrow" w:eastAsia="Arial Narrow" w:hAnsi="Arial Narrow" w:cs="Arial Narrow"/>
                <w:noProof/>
                <w:color w:val="000000" w:themeColor="text1"/>
                <w:sz w:val="20"/>
                <w:szCs w:val="20"/>
              </w:rPr>
              <w:t>IT expenditure (corporate)</w:t>
            </w:r>
            <w:r w:rsidRPr="52050D6D">
              <w:rPr>
                <w:noProof/>
                <w:color w:val="000000" w:themeColor="text1"/>
                <w:sz w:val="16"/>
                <w:szCs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3A6F1C"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C56B86"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CBAD229"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1D70F9"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83C085"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r>
      <w:tr w:rsidR="003100E7" w14:paraId="6EC143B6" w14:textId="77777777" w:rsidTr="004B53C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239AC429" w14:textId="77777777" w:rsidR="00A56747" w:rsidRDefault="00A56747" w:rsidP="004B53CC">
            <w:pPr>
              <w:spacing w:before="0" w:after="0"/>
              <w:jc w:val="center"/>
              <w:rPr>
                <w:b/>
                <w:bCs/>
                <w:noProof/>
                <w:color w:val="000000" w:themeColor="text1"/>
                <w:sz w:val="16"/>
                <w:szCs w:val="16"/>
              </w:rPr>
            </w:pPr>
            <w:r w:rsidRPr="52050D6D">
              <w:rPr>
                <w:b/>
                <w:bCs/>
                <w:noProof/>
                <w:color w:val="000000" w:themeColor="text1"/>
                <w:sz w:val="16"/>
                <w:szCs w:val="16"/>
              </w:rPr>
              <w:t>Subtotal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641956"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2CB3D0"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FAF58C"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AAE488"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0E2C2B"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r>
      <w:tr w:rsidR="00A56747" w14:paraId="12A117FE" w14:textId="77777777" w:rsidTr="00FF1EF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4F9202" w14:textId="77777777" w:rsidR="00A56747" w:rsidRDefault="00A56747" w:rsidP="004B53CC">
            <w:pPr>
              <w:spacing w:before="0" w:after="0"/>
              <w:jc w:val="left"/>
              <w:rPr>
                <w:b/>
                <w:bCs/>
                <w:noProof/>
                <w:sz w:val="16"/>
                <w:szCs w:val="16"/>
              </w:rPr>
            </w:pPr>
            <w:r w:rsidRPr="52050D6D">
              <w:rPr>
                <w:b/>
                <w:bCs/>
                <w:noProof/>
                <w:sz w:val="16"/>
                <w:szCs w:val="16"/>
              </w:rPr>
              <w:t>Outside HEADING 7</w:t>
            </w:r>
          </w:p>
        </w:tc>
      </w:tr>
      <w:tr w:rsidR="003100E7" w14:paraId="74905985" w14:textId="77777777" w:rsidTr="004B53C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226C4" w14:textId="77777777" w:rsidR="00A56747" w:rsidRDefault="00A56747" w:rsidP="004B53CC">
            <w:pPr>
              <w:spacing w:before="0" w:after="0"/>
              <w:jc w:val="left"/>
              <w:rPr>
                <w:rFonts w:ascii="Arial Narrow" w:eastAsia="Arial Narrow" w:hAnsi="Arial Narrow" w:cs="Arial Narrow"/>
                <w:noProof/>
                <w:color w:val="000000" w:themeColor="text1"/>
                <w:sz w:val="20"/>
                <w:szCs w:val="20"/>
              </w:rPr>
            </w:pPr>
            <w:r w:rsidRPr="52050D6D">
              <w:rPr>
                <w:rFonts w:ascii="Arial Narrow" w:eastAsia="Arial Narrow" w:hAnsi="Arial Narrow" w:cs="Arial Narrow"/>
                <w:noProof/>
                <w:color w:val="000000" w:themeColor="text1"/>
                <w:sz w:val="20"/>
                <w:szCs w:val="20"/>
              </w:rPr>
              <w:t>Policy IT expenditure on operational programmes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360F96"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00B3ED"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035B0C"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C8ADEF" w14:textId="77777777" w:rsidR="00A56747" w:rsidRDefault="00A56747" w:rsidP="004B53CC">
            <w:pPr>
              <w:spacing w:before="0" w:after="0"/>
              <w:jc w:val="right"/>
              <w:rPr>
                <w:noProof/>
                <w:color w:val="000000" w:themeColor="text1"/>
                <w:sz w:val="16"/>
                <w:szCs w:val="16"/>
              </w:rPr>
            </w:pPr>
            <w:r w:rsidRPr="52050D6D">
              <w:rPr>
                <w:noProof/>
                <w:color w:val="000000" w:themeColor="text1"/>
                <w:sz w:val="16"/>
                <w:szCs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C563BF"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r>
      <w:tr w:rsidR="003100E7" w14:paraId="5443DF5E" w14:textId="77777777" w:rsidTr="004B53C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60C739ED" w14:textId="77777777" w:rsidR="00A56747" w:rsidRDefault="00A56747" w:rsidP="004B53CC">
            <w:pPr>
              <w:spacing w:before="0" w:after="0"/>
              <w:jc w:val="center"/>
              <w:rPr>
                <w:b/>
                <w:bCs/>
                <w:noProof/>
                <w:color w:val="000000" w:themeColor="text1"/>
                <w:sz w:val="16"/>
                <w:szCs w:val="16"/>
              </w:rPr>
            </w:pPr>
            <w:r w:rsidRPr="52050D6D">
              <w:rPr>
                <w:b/>
                <w:bCs/>
                <w:noProof/>
                <w:color w:val="000000" w:themeColor="text1"/>
                <w:sz w:val="16"/>
                <w:szCs w:val="16"/>
              </w:rPr>
              <w:t>Subtotal outside HEADING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06279E"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2AAF2A"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8EC523"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2D9241"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50867A"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r>
      <w:tr w:rsidR="00A56747" w14:paraId="1D2E39DF" w14:textId="77777777" w:rsidTr="00FF1EF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DD0C50" w14:textId="77777777" w:rsidR="00A56747" w:rsidRDefault="00A56747" w:rsidP="004B53CC">
            <w:pPr>
              <w:spacing w:before="0" w:after="0"/>
              <w:jc w:val="center"/>
              <w:rPr>
                <w:noProof/>
                <w:color w:val="000000" w:themeColor="text1"/>
                <w:sz w:val="16"/>
                <w:szCs w:val="16"/>
              </w:rPr>
            </w:pPr>
            <w:r w:rsidRPr="52050D6D">
              <w:rPr>
                <w:noProof/>
                <w:color w:val="000000" w:themeColor="text1"/>
                <w:sz w:val="16"/>
                <w:szCs w:val="16"/>
              </w:rPr>
              <w:t xml:space="preserve"> </w:t>
            </w:r>
          </w:p>
        </w:tc>
      </w:tr>
      <w:tr w:rsidR="003100E7" w14:paraId="37A17534" w14:textId="77777777" w:rsidTr="004B53CC">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116EED91" w14:textId="77777777" w:rsidR="00A56747" w:rsidRDefault="00A56747" w:rsidP="004B53CC">
            <w:pPr>
              <w:spacing w:before="0" w:after="0"/>
              <w:jc w:val="center"/>
              <w:rPr>
                <w:b/>
                <w:bCs/>
                <w:noProof/>
                <w:color w:val="000000" w:themeColor="text1"/>
                <w:sz w:val="16"/>
                <w:szCs w:val="16"/>
              </w:rPr>
            </w:pPr>
            <w:r w:rsidRPr="52050D6D">
              <w:rPr>
                <w:b/>
                <w:bCs/>
                <w:noProof/>
                <w:color w:val="000000" w:themeColor="text1"/>
                <w:sz w:val="16"/>
                <w:szCs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79C8713"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7AF6D4F7"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A550B9A"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BAB0728"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B3E7F2B" w14:textId="77777777" w:rsidR="00A56747" w:rsidRDefault="00A56747" w:rsidP="004B53CC">
            <w:pPr>
              <w:spacing w:before="0" w:after="0"/>
              <w:jc w:val="right"/>
              <w:rPr>
                <w:b/>
                <w:bCs/>
                <w:noProof/>
                <w:color w:val="000000" w:themeColor="text1"/>
                <w:sz w:val="16"/>
                <w:szCs w:val="16"/>
              </w:rPr>
            </w:pPr>
            <w:r w:rsidRPr="52050D6D">
              <w:rPr>
                <w:b/>
                <w:bCs/>
                <w:noProof/>
                <w:color w:val="000000" w:themeColor="text1"/>
                <w:sz w:val="16"/>
                <w:szCs w:val="16"/>
              </w:rPr>
              <w:t>0.000</w:t>
            </w:r>
          </w:p>
        </w:tc>
      </w:tr>
    </w:tbl>
    <w:p w14:paraId="481A2AE6" w14:textId="77777777" w:rsidR="00A56747" w:rsidRDefault="00A56747" w:rsidP="00A56747">
      <w:pPr>
        <w:pStyle w:val="ManualHeading3"/>
        <w:rPr>
          <w:noProof/>
        </w:rPr>
      </w:pPr>
      <w:bookmarkStart w:id="226" w:name="_Toc514938056"/>
      <w:bookmarkStart w:id="227" w:name="_Toc520485055"/>
      <w:bookmarkStart w:id="228" w:name="_Toc160804599"/>
      <w:bookmarkStart w:id="229" w:name="_Toc167220298"/>
      <w:bookmarkStart w:id="230" w:name="_Toc177549032"/>
      <w:bookmarkEnd w:id="224"/>
      <w:r w:rsidRPr="0021790A">
        <w:rPr>
          <w:noProof/>
        </w:rPr>
        <w:t>3.2.</w:t>
      </w:r>
      <w:r>
        <w:rPr>
          <w:noProof/>
        </w:rPr>
        <w:t>6</w:t>
      </w:r>
      <w:r w:rsidRPr="0021790A">
        <w:rPr>
          <w:noProof/>
        </w:rPr>
        <w:t>.</w:t>
      </w:r>
      <w:r w:rsidRPr="0021790A">
        <w:rPr>
          <w:noProof/>
        </w:rPr>
        <w:tab/>
      </w:r>
      <w:r>
        <w:rPr>
          <w:noProof/>
        </w:rPr>
        <w:t>Compatibility with the current multiannual financial framework</w:t>
      </w:r>
      <w:bookmarkEnd w:id="226"/>
      <w:bookmarkEnd w:id="227"/>
      <w:bookmarkEnd w:id="228"/>
      <w:bookmarkEnd w:id="229"/>
      <w:bookmarkEnd w:id="230"/>
      <w:r>
        <w:rPr>
          <w:noProof/>
        </w:rPr>
        <w:t xml:space="preserve"> </w:t>
      </w:r>
    </w:p>
    <w:p w14:paraId="2EEC9FAF" w14:textId="77777777" w:rsidR="00A56747" w:rsidRDefault="00A56747" w:rsidP="00A56747">
      <w:pPr>
        <w:pStyle w:val="Text1"/>
        <w:rPr>
          <w:noProof/>
        </w:rPr>
      </w:pPr>
      <w:r w:rsidRPr="00386FF5">
        <w:rPr>
          <w:noProof/>
        </w:rPr>
        <w:t>The proposal/initiative</w:t>
      </w:r>
      <w:r w:rsidRPr="007974DD">
        <w:rPr>
          <w:noProof/>
        </w:rPr>
        <w:t>:</w:t>
      </w:r>
    </w:p>
    <w:p w14:paraId="46B6C627" w14:textId="77777777" w:rsidR="00A56747" w:rsidRDefault="00A56747" w:rsidP="00A56747">
      <w:pPr>
        <w:pStyle w:val="ListDash1"/>
        <w:tabs>
          <w:tab w:val="clear" w:pos="3523"/>
          <w:tab w:val="num" w:pos="1134"/>
        </w:tabs>
        <w:ind w:left="1134"/>
        <w:rPr>
          <w:noProof/>
        </w:rPr>
      </w:pPr>
      <w:r w:rsidRPr="3BBA3D08">
        <w:rPr>
          <w:noProof/>
          <w:color w:val="001E62"/>
        </w:rPr>
        <w:t>☑</w:t>
      </w:r>
      <w:r w:rsidRPr="3BBA3D08">
        <w:rPr>
          <w:noProof/>
        </w:rPr>
        <w:t>can be fully financed through redeployment within the relevant heading of the multiannual financial framework (MFF)</w:t>
      </w:r>
    </w:p>
    <w:p w14:paraId="6CDCAE3E" w14:textId="77777777" w:rsidR="00A56747" w:rsidRDefault="00A56747" w:rsidP="00A56747">
      <w:pPr>
        <w:pStyle w:val="ManualHeading3"/>
        <w:rPr>
          <w:noProof/>
        </w:rPr>
      </w:pPr>
      <w:bookmarkStart w:id="231" w:name="_Toc514938058"/>
      <w:bookmarkStart w:id="232" w:name="_Toc520485056"/>
      <w:bookmarkStart w:id="233" w:name="_Toc160804600"/>
      <w:bookmarkStart w:id="234" w:name="_Toc167220299"/>
      <w:bookmarkStart w:id="235" w:name="_Toc177549033"/>
      <w:r w:rsidRPr="0021790A">
        <w:rPr>
          <w:noProof/>
        </w:rPr>
        <w:t>3.2.</w:t>
      </w:r>
      <w:r>
        <w:rPr>
          <w:noProof/>
        </w:rPr>
        <w:t>7</w:t>
      </w:r>
      <w:r w:rsidRPr="0021790A">
        <w:rPr>
          <w:noProof/>
        </w:rPr>
        <w:t>.</w:t>
      </w:r>
      <w:r w:rsidRPr="0021790A">
        <w:rPr>
          <w:noProof/>
        </w:rPr>
        <w:tab/>
      </w:r>
      <w:r>
        <w:rPr>
          <w:noProof/>
        </w:rPr>
        <w:t>Third-party contributions</w:t>
      </w:r>
      <w:bookmarkEnd w:id="231"/>
      <w:bookmarkEnd w:id="232"/>
      <w:bookmarkEnd w:id="233"/>
      <w:bookmarkEnd w:id="234"/>
      <w:bookmarkEnd w:id="235"/>
      <w:r>
        <w:rPr>
          <w:noProof/>
        </w:rPr>
        <w:t xml:space="preserve"> </w:t>
      </w:r>
    </w:p>
    <w:p w14:paraId="691565D3" w14:textId="77777777" w:rsidR="00A56747" w:rsidRPr="00386FF5" w:rsidRDefault="00A56747" w:rsidP="00A56747">
      <w:pPr>
        <w:pStyle w:val="Text1"/>
        <w:rPr>
          <w:noProof/>
        </w:rPr>
      </w:pPr>
      <w:r w:rsidRPr="007974DD">
        <w:rPr>
          <w:noProof/>
        </w:rPr>
        <w:t>The proposal/initiative:</w:t>
      </w:r>
    </w:p>
    <w:p w14:paraId="74F03FAB" w14:textId="77777777" w:rsidR="00A56747" w:rsidRDefault="00A56747" w:rsidP="00A56747">
      <w:pPr>
        <w:pStyle w:val="ListDash1"/>
        <w:tabs>
          <w:tab w:val="clear" w:pos="3523"/>
          <w:tab w:val="num" w:pos="1134"/>
        </w:tabs>
        <w:ind w:left="1134"/>
        <w:rPr>
          <w:noProof/>
        </w:rPr>
      </w:pPr>
      <w:r w:rsidRPr="3BBA3D08">
        <w:rPr>
          <w:rFonts w:ascii="Wingdings" w:eastAsia="Wingdings" w:hAnsi="Wingdings" w:cs="Wingdings"/>
          <w:noProof/>
        </w:rPr>
        <w:t></w:t>
      </w:r>
      <w:r>
        <w:rPr>
          <w:noProof/>
        </w:rPr>
        <w:tab/>
      </w:r>
      <w:r w:rsidRPr="3BBA3D08">
        <w:rPr>
          <w:noProof/>
        </w:rPr>
        <w:t>does not provide for co-financing by third parties</w:t>
      </w:r>
    </w:p>
    <w:p w14:paraId="3FC7722A" w14:textId="77777777" w:rsidR="00A56747" w:rsidRDefault="00A56747" w:rsidP="00A56747">
      <w:pPr>
        <w:pStyle w:val="ListDash1"/>
        <w:tabs>
          <w:tab w:val="clear" w:pos="3523"/>
          <w:tab w:val="num" w:pos="1134"/>
        </w:tabs>
        <w:ind w:left="1134"/>
        <w:rPr>
          <w:noProof/>
        </w:rPr>
      </w:pPr>
      <w:r w:rsidRPr="3BBA3D08">
        <w:rPr>
          <w:rFonts w:ascii="Wingdings" w:eastAsia="Wingdings" w:hAnsi="Wingdings" w:cs="Wingdings"/>
          <w:noProof/>
        </w:rPr>
        <w:t></w:t>
      </w:r>
      <w:r>
        <w:rPr>
          <w:noProof/>
        </w:rPr>
        <w:tab/>
      </w:r>
      <w:r w:rsidRPr="3BBA3D08">
        <w:rPr>
          <w:noProof/>
        </w:rPr>
        <w:t>provides for the co-financing by third parties estimated below:</w:t>
      </w:r>
    </w:p>
    <w:p w14:paraId="61739697" w14:textId="77777777" w:rsidR="00A56747" w:rsidRPr="003A769F" w:rsidRDefault="00A56747" w:rsidP="00A56747">
      <w:pPr>
        <w:jc w:val="right"/>
        <w:rPr>
          <w:noProof/>
          <w:sz w:val="20"/>
          <w:lang w:val="en-IE"/>
        </w:rPr>
      </w:pPr>
      <w:r w:rsidRPr="003A769F">
        <w:rPr>
          <w:noProof/>
          <w:sz w:val="20"/>
          <w:lang w:val="en-IE"/>
        </w:rPr>
        <w:t>Appropriations in EUR million (to three decimal places)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A56747" w14:paraId="4F7997A8" w14:textId="77777777" w:rsidTr="00FF1EF4">
        <w:trPr>
          <w:cantSplit/>
        </w:trPr>
        <w:tc>
          <w:tcPr>
            <w:tcW w:w="1591" w:type="pct"/>
          </w:tcPr>
          <w:p w14:paraId="2A64F6D3" w14:textId="77777777" w:rsidR="00A56747" w:rsidRPr="003A769F" w:rsidRDefault="00A56747" w:rsidP="004B53CC">
            <w:pPr>
              <w:spacing w:before="60" w:after="60"/>
              <w:rPr>
                <w:noProof/>
                <w:sz w:val="20"/>
                <w:lang w:val="en-IE"/>
              </w:rPr>
            </w:pPr>
          </w:p>
        </w:tc>
        <w:tc>
          <w:tcPr>
            <w:tcW w:w="655" w:type="pct"/>
            <w:vAlign w:val="center"/>
          </w:tcPr>
          <w:p w14:paraId="7E5DB991" w14:textId="77777777" w:rsidR="00A56747" w:rsidRDefault="00A56747" w:rsidP="004B53CC">
            <w:pPr>
              <w:jc w:val="center"/>
              <w:rPr>
                <w:noProof/>
                <w:sz w:val="20"/>
              </w:rPr>
            </w:pPr>
            <w:r>
              <w:rPr>
                <w:noProof/>
                <w:sz w:val="20"/>
              </w:rPr>
              <w:t xml:space="preserve">Year </w:t>
            </w:r>
            <w:r>
              <w:rPr>
                <w:noProof/>
                <w:sz w:val="22"/>
              </w:rPr>
              <w:br/>
            </w:r>
            <w:r>
              <w:rPr>
                <w:b/>
                <w:noProof/>
                <w:sz w:val="20"/>
              </w:rPr>
              <w:t>2024</w:t>
            </w:r>
          </w:p>
        </w:tc>
        <w:tc>
          <w:tcPr>
            <w:tcW w:w="655" w:type="pct"/>
            <w:vAlign w:val="center"/>
          </w:tcPr>
          <w:p w14:paraId="6CA4E35D" w14:textId="77777777" w:rsidR="00A56747" w:rsidRDefault="00A56747" w:rsidP="004B53CC">
            <w:pPr>
              <w:jc w:val="center"/>
              <w:rPr>
                <w:noProof/>
                <w:sz w:val="20"/>
              </w:rPr>
            </w:pPr>
            <w:r>
              <w:rPr>
                <w:noProof/>
                <w:sz w:val="20"/>
              </w:rPr>
              <w:t xml:space="preserve">Year </w:t>
            </w:r>
            <w:r>
              <w:rPr>
                <w:noProof/>
                <w:sz w:val="22"/>
              </w:rPr>
              <w:br/>
            </w:r>
            <w:r>
              <w:rPr>
                <w:b/>
                <w:noProof/>
                <w:sz w:val="20"/>
              </w:rPr>
              <w:t>2025</w:t>
            </w:r>
          </w:p>
        </w:tc>
        <w:tc>
          <w:tcPr>
            <w:tcW w:w="655" w:type="pct"/>
            <w:vAlign w:val="center"/>
          </w:tcPr>
          <w:p w14:paraId="0CB35203" w14:textId="77777777" w:rsidR="00A56747" w:rsidRDefault="00A56747" w:rsidP="004B53CC">
            <w:pPr>
              <w:jc w:val="center"/>
              <w:rPr>
                <w:noProof/>
                <w:sz w:val="20"/>
              </w:rPr>
            </w:pPr>
            <w:r>
              <w:rPr>
                <w:noProof/>
                <w:sz w:val="20"/>
              </w:rPr>
              <w:t xml:space="preserve">Year </w:t>
            </w:r>
            <w:r>
              <w:rPr>
                <w:noProof/>
                <w:sz w:val="22"/>
              </w:rPr>
              <w:br/>
            </w:r>
            <w:r>
              <w:rPr>
                <w:b/>
                <w:noProof/>
                <w:sz w:val="20"/>
              </w:rPr>
              <w:t>2026</w:t>
            </w:r>
          </w:p>
        </w:tc>
        <w:tc>
          <w:tcPr>
            <w:tcW w:w="655" w:type="pct"/>
            <w:vAlign w:val="center"/>
          </w:tcPr>
          <w:p w14:paraId="565DEDDE" w14:textId="77777777" w:rsidR="00A56747" w:rsidRDefault="00A56747" w:rsidP="004B53CC">
            <w:pPr>
              <w:jc w:val="center"/>
              <w:rPr>
                <w:noProof/>
                <w:sz w:val="20"/>
              </w:rPr>
            </w:pPr>
            <w:r>
              <w:rPr>
                <w:noProof/>
                <w:sz w:val="20"/>
              </w:rPr>
              <w:t xml:space="preserve">Year </w:t>
            </w:r>
            <w:r>
              <w:rPr>
                <w:noProof/>
                <w:sz w:val="22"/>
              </w:rPr>
              <w:br/>
            </w:r>
            <w:r>
              <w:rPr>
                <w:b/>
                <w:noProof/>
                <w:sz w:val="20"/>
              </w:rPr>
              <w:t>2027</w:t>
            </w:r>
          </w:p>
        </w:tc>
        <w:tc>
          <w:tcPr>
            <w:tcW w:w="787" w:type="pct"/>
            <w:vAlign w:val="center"/>
          </w:tcPr>
          <w:p w14:paraId="6C7B4100" w14:textId="77777777" w:rsidR="00A56747" w:rsidRDefault="00A56747" w:rsidP="004B53CC">
            <w:pPr>
              <w:spacing w:before="60" w:after="60"/>
              <w:jc w:val="center"/>
              <w:rPr>
                <w:noProof/>
                <w:sz w:val="20"/>
              </w:rPr>
            </w:pPr>
            <w:r>
              <w:rPr>
                <w:noProof/>
                <w:sz w:val="20"/>
              </w:rPr>
              <w:t>Total</w:t>
            </w:r>
          </w:p>
        </w:tc>
      </w:tr>
      <w:tr w:rsidR="00A56747" w:rsidRPr="003A769F" w14:paraId="204632B9" w14:textId="77777777" w:rsidTr="00FF1EF4">
        <w:trPr>
          <w:cantSplit/>
        </w:trPr>
        <w:tc>
          <w:tcPr>
            <w:tcW w:w="1591" w:type="pct"/>
          </w:tcPr>
          <w:p w14:paraId="06BBEF36" w14:textId="77777777" w:rsidR="00A56747" w:rsidRPr="003A769F" w:rsidRDefault="00A56747" w:rsidP="004B53CC">
            <w:pPr>
              <w:rPr>
                <w:noProof/>
                <w:lang w:val="en-IE"/>
              </w:rPr>
            </w:pPr>
            <w:r w:rsidRPr="003A769F">
              <w:rPr>
                <w:noProof/>
                <w:sz w:val="20"/>
                <w:lang w:val="en-IE"/>
              </w:rPr>
              <w:t>Specify the co-financing body</w:t>
            </w:r>
            <w:r w:rsidRPr="003A769F">
              <w:rPr>
                <w:i/>
                <w:noProof/>
                <w:sz w:val="20"/>
                <w:lang w:val="en-IE"/>
              </w:rPr>
              <w:t xml:space="preserve"> </w:t>
            </w:r>
          </w:p>
        </w:tc>
        <w:tc>
          <w:tcPr>
            <w:tcW w:w="655" w:type="pct"/>
            <w:vAlign w:val="center"/>
          </w:tcPr>
          <w:p w14:paraId="72D4A2A9" w14:textId="77777777" w:rsidR="00A56747" w:rsidRPr="003A769F" w:rsidRDefault="00A56747" w:rsidP="004B53CC">
            <w:pPr>
              <w:spacing w:before="60" w:after="60"/>
              <w:jc w:val="center"/>
              <w:rPr>
                <w:noProof/>
                <w:sz w:val="20"/>
                <w:lang w:val="en-IE"/>
              </w:rPr>
            </w:pPr>
          </w:p>
        </w:tc>
        <w:tc>
          <w:tcPr>
            <w:tcW w:w="655" w:type="pct"/>
            <w:vAlign w:val="center"/>
          </w:tcPr>
          <w:p w14:paraId="62712880" w14:textId="77777777" w:rsidR="00A56747" w:rsidRPr="003A769F" w:rsidRDefault="00A56747" w:rsidP="004B53CC">
            <w:pPr>
              <w:spacing w:before="60" w:after="60"/>
              <w:jc w:val="center"/>
              <w:rPr>
                <w:noProof/>
                <w:sz w:val="20"/>
                <w:lang w:val="en-IE"/>
              </w:rPr>
            </w:pPr>
          </w:p>
        </w:tc>
        <w:tc>
          <w:tcPr>
            <w:tcW w:w="655" w:type="pct"/>
            <w:vAlign w:val="center"/>
          </w:tcPr>
          <w:p w14:paraId="2A2BA120" w14:textId="77777777" w:rsidR="00A56747" w:rsidRPr="003A769F" w:rsidRDefault="00A56747" w:rsidP="004B53CC">
            <w:pPr>
              <w:spacing w:before="60" w:after="60"/>
              <w:jc w:val="center"/>
              <w:rPr>
                <w:noProof/>
                <w:sz w:val="20"/>
                <w:lang w:val="en-IE"/>
              </w:rPr>
            </w:pPr>
          </w:p>
        </w:tc>
        <w:tc>
          <w:tcPr>
            <w:tcW w:w="655" w:type="pct"/>
            <w:vAlign w:val="center"/>
          </w:tcPr>
          <w:p w14:paraId="66D10E4E" w14:textId="77777777" w:rsidR="00A56747" w:rsidRPr="003A769F" w:rsidRDefault="00A56747" w:rsidP="004B53CC">
            <w:pPr>
              <w:spacing w:before="60" w:after="60"/>
              <w:jc w:val="center"/>
              <w:rPr>
                <w:noProof/>
                <w:sz w:val="20"/>
                <w:lang w:val="en-IE"/>
              </w:rPr>
            </w:pPr>
          </w:p>
        </w:tc>
        <w:tc>
          <w:tcPr>
            <w:tcW w:w="787" w:type="pct"/>
            <w:vAlign w:val="center"/>
          </w:tcPr>
          <w:p w14:paraId="7D1EC3B0" w14:textId="77777777" w:rsidR="00A56747" w:rsidRPr="003A769F" w:rsidRDefault="00A56747" w:rsidP="004B53CC">
            <w:pPr>
              <w:spacing w:before="60" w:after="60"/>
              <w:jc w:val="center"/>
              <w:rPr>
                <w:noProof/>
                <w:sz w:val="20"/>
                <w:lang w:val="en-IE"/>
              </w:rPr>
            </w:pPr>
          </w:p>
        </w:tc>
      </w:tr>
      <w:tr w:rsidR="00A56747" w14:paraId="37664519" w14:textId="77777777" w:rsidTr="00FF1EF4">
        <w:trPr>
          <w:cantSplit/>
        </w:trPr>
        <w:tc>
          <w:tcPr>
            <w:tcW w:w="1591" w:type="pct"/>
          </w:tcPr>
          <w:p w14:paraId="40149961" w14:textId="77777777" w:rsidR="00A56747" w:rsidRDefault="00A56747" w:rsidP="004B53CC">
            <w:pPr>
              <w:spacing w:before="60" w:after="60"/>
              <w:jc w:val="left"/>
              <w:rPr>
                <w:noProof/>
                <w:sz w:val="20"/>
              </w:rPr>
            </w:pPr>
            <w:r>
              <w:rPr>
                <w:noProof/>
                <w:sz w:val="20"/>
              </w:rPr>
              <w:t xml:space="preserve">TOTAL appropriations co-financed </w:t>
            </w:r>
          </w:p>
        </w:tc>
        <w:tc>
          <w:tcPr>
            <w:tcW w:w="655" w:type="pct"/>
            <w:vAlign w:val="center"/>
          </w:tcPr>
          <w:p w14:paraId="714D0496" w14:textId="77777777" w:rsidR="00A56747" w:rsidRDefault="00A56747" w:rsidP="004B53CC">
            <w:pPr>
              <w:spacing w:before="60" w:after="60"/>
              <w:jc w:val="center"/>
              <w:rPr>
                <w:noProof/>
                <w:sz w:val="20"/>
              </w:rPr>
            </w:pPr>
          </w:p>
        </w:tc>
        <w:tc>
          <w:tcPr>
            <w:tcW w:w="655" w:type="pct"/>
            <w:vAlign w:val="center"/>
          </w:tcPr>
          <w:p w14:paraId="32B5F357" w14:textId="77777777" w:rsidR="00A56747" w:rsidRDefault="00A56747" w:rsidP="004B53CC">
            <w:pPr>
              <w:spacing w:before="60" w:after="60"/>
              <w:jc w:val="center"/>
              <w:rPr>
                <w:noProof/>
                <w:sz w:val="20"/>
              </w:rPr>
            </w:pPr>
          </w:p>
        </w:tc>
        <w:tc>
          <w:tcPr>
            <w:tcW w:w="655" w:type="pct"/>
            <w:vAlign w:val="center"/>
          </w:tcPr>
          <w:p w14:paraId="09452C65" w14:textId="77777777" w:rsidR="00A56747" w:rsidRDefault="00A56747" w:rsidP="004B53CC">
            <w:pPr>
              <w:spacing w:before="60" w:after="60"/>
              <w:jc w:val="center"/>
              <w:rPr>
                <w:noProof/>
                <w:sz w:val="20"/>
              </w:rPr>
            </w:pPr>
          </w:p>
        </w:tc>
        <w:tc>
          <w:tcPr>
            <w:tcW w:w="655" w:type="pct"/>
            <w:vAlign w:val="center"/>
          </w:tcPr>
          <w:p w14:paraId="3DC4E5B9" w14:textId="77777777" w:rsidR="00A56747" w:rsidRDefault="00A56747" w:rsidP="004B53CC">
            <w:pPr>
              <w:spacing w:before="60" w:after="60"/>
              <w:jc w:val="center"/>
              <w:rPr>
                <w:noProof/>
                <w:sz w:val="20"/>
              </w:rPr>
            </w:pPr>
          </w:p>
        </w:tc>
        <w:tc>
          <w:tcPr>
            <w:tcW w:w="787" w:type="pct"/>
            <w:vAlign w:val="center"/>
          </w:tcPr>
          <w:p w14:paraId="45ADCB8A" w14:textId="77777777" w:rsidR="00A56747" w:rsidRDefault="00A56747" w:rsidP="004B53CC">
            <w:pPr>
              <w:spacing w:before="60" w:after="60"/>
              <w:jc w:val="center"/>
              <w:rPr>
                <w:noProof/>
                <w:sz w:val="20"/>
              </w:rPr>
            </w:pPr>
          </w:p>
        </w:tc>
      </w:tr>
    </w:tbl>
    <w:p w14:paraId="6975B35C" w14:textId="77777777" w:rsidR="00A56747" w:rsidRPr="005723F4" w:rsidRDefault="00A56747" w:rsidP="00A56747">
      <w:pPr>
        <w:outlineLvl w:val="1"/>
        <w:rPr>
          <w:noProof/>
          <w:szCs w:val="24"/>
        </w:rPr>
      </w:pPr>
      <w:r w:rsidRPr="005723F4">
        <w:rPr>
          <w:noProof/>
        </w:rPr>
        <w:br/>
      </w:r>
      <w:bookmarkStart w:id="236" w:name="_Toc514938059"/>
      <w:bookmarkStart w:id="237" w:name="_Toc520485057"/>
      <w:bookmarkStart w:id="238" w:name="_Toc160804602"/>
      <w:bookmarkStart w:id="239" w:name="_Toc167220300"/>
      <w:bookmarkStart w:id="240" w:name="_Toc177549034"/>
      <w:bookmarkStart w:id="241" w:name="_Hlk166860179"/>
      <w:r w:rsidRPr="005723F4">
        <w:rPr>
          <w:noProof/>
        </w:rPr>
        <w:t>3.3.</w:t>
      </w:r>
      <w:r w:rsidRPr="005723F4">
        <w:rPr>
          <w:noProof/>
        </w:rPr>
        <w:tab/>
        <w:t>Estimated impact on revenue</w:t>
      </w:r>
      <w:bookmarkEnd w:id="236"/>
      <w:bookmarkEnd w:id="237"/>
      <w:bookmarkEnd w:id="238"/>
      <w:bookmarkEnd w:id="239"/>
      <w:bookmarkEnd w:id="240"/>
      <w:r w:rsidRPr="005723F4">
        <w:rPr>
          <w:noProof/>
        </w:rPr>
        <w:t xml:space="preserve"> </w:t>
      </w:r>
    </w:p>
    <w:bookmarkEnd w:id="241"/>
    <w:p w14:paraId="636EC41C" w14:textId="77777777" w:rsidR="00A56747" w:rsidRDefault="00A56747" w:rsidP="00A56747">
      <w:pPr>
        <w:pStyle w:val="ListDash1"/>
        <w:tabs>
          <w:tab w:val="clear" w:pos="3523"/>
          <w:tab w:val="num" w:pos="1134"/>
        </w:tabs>
        <w:ind w:left="1134"/>
        <w:rPr>
          <w:noProof/>
        </w:rPr>
      </w:pPr>
      <w:r w:rsidRPr="3BBA3D08">
        <w:rPr>
          <w:rFonts w:ascii="Wingdings" w:eastAsia="Wingdings" w:hAnsi="Wingdings" w:cs="Wingdings"/>
          <w:noProof/>
        </w:rPr>
        <w:t></w:t>
      </w:r>
      <w:r>
        <w:rPr>
          <w:noProof/>
        </w:rPr>
        <w:tab/>
      </w:r>
      <w:r w:rsidRPr="3BBA3D08">
        <w:rPr>
          <w:noProof/>
        </w:rPr>
        <w:t>The proposal/initiative has no financial impact on revenue.</w:t>
      </w:r>
    </w:p>
    <w:p w14:paraId="2B665165" w14:textId="77777777" w:rsidR="00A56747" w:rsidRDefault="00A56747" w:rsidP="00A56747">
      <w:pPr>
        <w:pStyle w:val="ListDash1"/>
        <w:tabs>
          <w:tab w:val="clear" w:pos="3523"/>
          <w:tab w:val="num" w:pos="1134"/>
        </w:tabs>
        <w:ind w:left="1134"/>
        <w:rPr>
          <w:noProof/>
        </w:rPr>
      </w:pPr>
      <w:r w:rsidRPr="3BBA3D08">
        <w:rPr>
          <w:rFonts w:ascii="Wingdings" w:eastAsia="Wingdings" w:hAnsi="Wingdings" w:cs="Wingdings"/>
          <w:noProof/>
        </w:rPr>
        <w:t></w:t>
      </w:r>
      <w:r>
        <w:rPr>
          <w:noProof/>
        </w:rPr>
        <w:tab/>
      </w:r>
      <w:r w:rsidRPr="3BBA3D08">
        <w:rPr>
          <w:noProof/>
        </w:rPr>
        <w:t>The proposal/initiative has the following financial impact:</w:t>
      </w:r>
    </w:p>
    <w:p w14:paraId="0F4D66C3" w14:textId="77777777" w:rsidR="00A56747" w:rsidRDefault="00A56747" w:rsidP="00A56747">
      <w:pPr>
        <w:pStyle w:val="ListNumberLevel3"/>
        <w:tabs>
          <w:tab w:val="clear" w:pos="2126"/>
          <w:tab w:val="num" w:pos="1843"/>
        </w:tabs>
        <w:rPr>
          <w:noProof/>
        </w:rPr>
      </w:pPr>
      <w:r>
        <w:rPr>
          <w:rFonts w:ascii="Wingdings" w:eastAsia="Wingdings" w:hAnsi="Wingdings" w:cs="Wingdings"/>
          <w:noProof/>
        </w:rPr>
        <w:t></w:t>
      </w:r>
      <w:r>
        <w:rPr>
          <w:noProof/>
        </w:rPr>
        <w:tab/>
        <w:t xml:space="preserve">on own resources </w:t>
      </w:r>
    </w:p>
    <w:p w14:paraId="276BFCDD" w14:textId="77777777" w:rsidR="00A56747" w:rsidRDefault="00A56747" w:rsidP="00A56747">
      <w:pPr>
        <w:pStyle w:val="ListNumberLevel3"/>
        <w:tabs>
          <w:tab w:val="clear" w:pos="2126"/>
          <w:tab w:val="num" w:pos="1843"/>
        </w:tabs>
        <w:rPr>
          <w:noProof/>
        </w:rPr>
      </w:pPr>
      <w:r>
        <w:rPr>
          <w:rFonts w:ascii="Wingdings" w:eastAsia="Wingdings" w:hAnsi="Wingdings" w:cs="Wingdings"/>
          <w:noProof/>
        </w:rPr>
        <w:t></w:t>
      </w:r>
      <w:r>
        <w:rPr>
          <w:noProof/>
        </w:rPr>
        <w:tab/>
        <w:t>on other revenue</w:t>
      </w:r>
    </w:p>
    <w:p w14:paraId="74D082B3" w14:textId="77777777" w:rsidR="00A56747" w:rsidRPr="003E2B9D" w:rsidRDefault="00A56747" w:rsidP="00A56747">
      <w:pPr>
        <w:pStyle w:val="ListNumberLevel3"/>
        <w:tabs>
          <w:tab w:val="clear" w:pos="2126"/>
          <w:tab w:val="num" w:pos="1843"/>
        </w:tabs>
        <w:rPr>
          <w:noProof/>
        </w:rPr>
      </w:pPr>
      <w:r w:rsidRPr="003E2B9D">
        <w:rPr>
          <w:rFonts w:ascii="Wingdings" w:eastAsia="Wingdings" w:hAnsi="Wingdings" w:cs="Wingdings"/>
          <w:noProof/>
        </w:rPr>
        <w:t></w:t>
      </w:r>
      <w:r w:rsidRPr="003E2B9D">
        <w:rPr>
          <w:rFonts w:ascii="Wingdings" w:eastAsia="Wingdings" w:hAnsi="Wingdings" w:cs="Wingdings"/>
          <w:noProof/>
        </w:rPr>
        <w:tab/>
      </w:r>
      <w:r w:rsidRPr="003E2B9D">
        <w:rPr>
          <w:noProof/>
        </w:rPr>
        <w:t>please</w:t>
      </w:r>
      <w:r w:rsidRPr="009B753E">
        <w:rPr>
          <w:noProof/>
        </w:rPr>
        <w:t xml:space="preserve"> indicate, if the revenue is assigned to expenditure lines</w:t>
      </w:r>
    </w:p>
    <w:p w14:paraId="7E32F3C0" w14:textId="77777777" w:rsidR="00A56747" w:rsidRPr="00656209" w:rsidRDefault="00A56747" w:rsidP="00A56747">
      <w:pPr>
        <w:jc w:val="right"/>
        <w:rPr>
          <w:noProof/>
          <w:sz w:val="20"/>
          <w:lang w:val="en-IE"/>
        </w:rPr>
      </w:pPr>
      <w:r w:rsidRPr="00656209">
        <w:rPr>
          <w:noProof/>
          <w:sz w:val="20"/>
          <w:lang w:val="en-IE"/>
        </w:rPr>
        <w:t xml:space="preserve">     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A56747" w:rsidRPr="003A769F" w14:paraId="23298981" w14:textId="77777777" w:rsidTr="00FF1EF4">
        <w:trPr>
          <w:trHeight w:val="388"/>
        </w:trPr>
        <w:tc>
          <w:tcPr>
            <w:tcW w:w="1423" w:type="pct"/>
            <w:vMerge w:val="restart"/>
            <w:vAlign w:val="center"/>
          </w:tcPr>
          <w:p w14:paraId="03BE0E28" w14:textId="77777777" w:rsidR="00A56747" w:rsidRDefault="00A56747" w:rsidP="004B53CC">
            <w:pPr>
              <w:spacing w:before="40" w:after="40"/>
              <w:rPr>
                <w:noProof/>
                <w:sz w:val="18"/>
              </w:rPr>
            </w:pPr>
            <w:r>
              <w:rPr>
                <w:noProof/>
                <w:sz w:val="18"/>
              </w:rPr>
              <w:t>Budget revenue line:</w:t>
            </w:r>
          </w:p>
        </w:tc>
        <w:tc>
          <w:tcPr>
            <w:tcW w:w="869" w:type="pct"/>
            <w:vMerge w:val="restart"/>
            <w:vAlign w:val="center"/>
          </w:tcPr>
          <w:p w14:paraId="2D31BC52" w14:textId="77777777" w:rsidR="00A56747" w:rsidRPr="003A769F" w:rsidRDefault="00A56747" w:rsidP="004B53CC">
            <w:pPr>
              <w:jc w:val="center"/>
              <w:rPr>
                <w:noProof/>
                <w:sz w:val="18"/>
                <w:lang w:val="en-IE"/>
              </w:rPr>
            </w:pPr>
            <w:r w:rsidRPr="003A769F">
              <w:rPr>
                <w:noProof/>
                <w:sz w:val="18"/>
                <w:lang w:val="en-IE"/>
              </w:rPr>
              <w:t>Appropriations available for the current financial year</w:t>
            </w:r>
          </w:p>
        </w:tc>
        <w:tc>
          <w:tcPr>
            <w:tcW w:w="2709" w:type="pct"/>
            <w:gridSpan w:val="4"/>
            <w:vAlign w:val="center"/>
          </w:tcPr>
          <w:p w14:paraId="68125A92" w14:textId="77777777" w:rsidR="00A56747" w:rsidRPr="003A769F" w:rsidRDefault="00A56747" w:rsidP="004B53CC">
            <w:pPr>
              <w:jc w:val="center"/>
              <w:rPr>
                <w:noProof/>
                <w:sz w:val="18"/>
                <w:lang w:val="en-IE"/>
              </w:rPr>
            </w:pPr>
            <w:r w:rsidRPr="73D5EDD6">
              <w:rPr>
                <w:noProof/>
                <w:sz w:val="18"/>
                <w:szCs w:val="18"/>
                <w:lang w:val="en-IE"/>
              </w:rPr>
              <w:t>Impact of the proposal/initiative</w:t>
            </w:r>
            <w:r w:rsidRPr="73D5EDD6">
              <w:rPr>
                <w:rStyle w:val="FootnoteReference"/>
                <w:noProof/>
                <w:sz w:val="18"/>
                <w:szCs w:val="18"/>
              </w:rPr>
              <w:footnoteReference w:id="19"/>
            </w:r>
          </w:p>
        </w:tc>
      </w:tr>
      <w:tr w:rsidR="00A56747" w:rsidRPr="003A769F" w14:paraId="7FD3937C" w14:textId="77777777" w:rsidTr="00FF1EF4">
        <w:trPr>
          <w:trHeight w:val="388"/>
        </w:trPr>
        <w:tc>
          <w:tcPr>
            <w:tcW w:w="1423" w:type="pct"/>
            <w:vMerge/>
          </w:tcPr>
          <w:p w14:paraId="0B8CD403" w14:textId="77777777" w:rsidR="00A56747" w:rsidRPr="003A769F" w:rsidRDefault="00A56747" w:rsidP="004B53CC">
            <w:pPr>
              <w:spacing w:before="40" w:after="40"/>
              <w:rPr>
                <w:noProof/>
                <w:sz w:val="18"/>
                <w:lang w:val="en-IE"/>
              </w:rPr>
            </w:pPr>
          </w:p>
        </w:tc>
        <w:tc>
          <w:tcPr>
            <w:tcW w:w="869" w:type="pct"/>
            <w:vMerge/>
          </w:tcPr>
          <w:p w14:paraId="34AE28C5" w14:textId="77777777" w:rsidR="00A56747" w:rsidRPr="003A769F" w:rsidRDefault="00A56747" w:rsidP="004B53CC">
            <w:pPr>
              <w:spacing w:beforeLines="40" w:before="96" w:afterLines="40" w:after="96"/>
              <w:rPr>
                <w:i/>
                <w:noProof/>
                <w:sz w:val="18"/>
                <w:lang w:val="en-IE"/>
              </w:rPr>
            </w:pPr>
          </w:p>
        </w:tc>
        <w:tc>
          <w:tcPr>
            <w:tcW w:w="911" w:type="pct"/>
            <w:vAlign w:val="center"/>
          </w:tcPr>
          <w:p w14:paraId="185ED174" w14:textId="77777777" w:rsidR="00A56747" w:rsidRDefault="00A56747" w:rsidP="004B53CC">
            <w:pPr>
              <w:jc w:val="center"/>
              <w:rPr>
                <w:noProof/>
                <w:sz w:val="18"/>
              </w:rPr>
            </w:pPr>
            <w:r>
              <w:rPr>
                <w:noProof/>
                <w:sz w:val="18"/>
              </w:rPr>
              <w:t xml:space="preserve">Year </w:t>
            </w:r>
            <w:r>
              <w:rPr>
                <w:b/>
                <w:noProof/>
                <w:sz w:val="18"/>
              </w:rPr>
              <w:t>2024</w:t>
            </w:r>
          </w:p>
        </w:tc>
        <w:tc>
          <w:tcPr>
            <w:tcW w:w="562" w:type="pct"/>
            <w:vAlign w:val="center"/>
          </w:tcPr>
          <w:p w14:paraId="08961859" w14:textId="77777777" w:rsidR="00A56747" w:rsidRDefault="00A56747" w:rsidP="004B53CC">
            <w:pPr>
              <w:jc w:val="center"/>
              <w:rPr>
                <w:noProof/>
                <w:sz w:val="18"/>
              </w:rPr>
            </w:pPr>
            <w:r>
              <w:rPr>
                <w:noProof/>
                <w:sz w:val="18"/>
              </w:rPr>
              <w:t xml:space="preserve">Year </w:t>
            </w:r>
            <w:r>
              <w:rPr>
                <w:b/>
                <w:noProof/>
                <w:sz w:val="18"/>
              </w:rPr>
              <w:t>2025</w:t>
            </w:r>
          </w:p>
        </w:tc>
        <w:tc>
          <w:tcPr>
            <w:tcW w:w="557" w:type="pct"/>
            <w:vAlign w:val="center"/>
          </w:tcPr>
          <w:p w14:paraId="0130D392" w14:textId="77777777" w:rsidR="00A56747" w:rsidRDefault="00A56747" w:rsidP="004B53CC">
            <w:pPr>
              <w:jc w:val="center"/>
              <w:rPr>
                <w:noProof/>
                <w:sz w:val="18"/>
              </w:rPr>
            </w:pPr>
            <w:r>
              <w:rPr>
                <w:noProof/>
                <w:sz w:val="18"/>
              </w:rPr>
              <w:t xml:space="preserve">Year </w:t>
            </w:r>
            <w:r>
              <w:rPr>
                <w:b/>
                <w:noProof/>
                <w:sz w:val="18"/>
              </w:rPr>
              <w:t>2026</w:t>
            </w:r>
          </w:p>
        </w:tc>
        <w:tc>
          <w:tcPr>
            <w:tcW w:w="679" w:type="pct"/>
            <w:vAlign w:val="center"/>
          </w:tcPr>
          <w:p w14:paraId="49313538" w14:textId="77777777" w:rsidR="00A56747" w:rsidRDefault="00A56747" w:rsidP="004B53CC">
            <w:pPr>
              <w:jc w:val="center"/>
              <w:rPr>
                <w:noProof/>
                <w:sz w:val="18"/>
              </w:rPr>
            </w:pPr>
            <w:r>
              <w:rPr>
                <w:noProof/>
                <w:sz w:val="18"/>
              </w:rPr>
              <w:t xml:space="preserve">Year </w:t>
            </w:r>
            <w:r>
              <w:rPr>
                <w:b/>
                <w:noProof/>
                <w:sz w:val="18"/>
              </w:rPr>
              <w:t>2027</w:t>
            </w:r>
          </w:p>
        </w:tc>
      </w:tr>
      <w:tr w:rsidR="00A56747" w14:paraId="3202342B" w14:textId="77777777" w:rsidTr="00FF1EF4">
        <w:trPr>
          <w:trHeight w:val="388"/>
        </w:trPr>
        <w:tc>
          <w:tcPr>
            <w:tcW w:w="1423" w:type="pct"/>
            <w:vAlign w:val="center"/>
          </w:tcPr>
          <w:p w14:paraId="72CE0829" w14:textId="77777777" w:rsidR="00A56747" w:rsidRDefault="00A56747" w:rsidP="004B53CC">
            <w:pPr>
              <w:spacing w:before="40" w:after="40"/>
              <w:rPr>
                <w:noProof/>
                <w:sz w:val="18"/>
              </w:rPr>
            </w:pPr>
            <w:r>
              <w:rPr>
                <w:noProof/>
                <w:sz w:val="18"/>
              </w:rPr>
              <w:t>Article ………….</w:t>
            </w:r>
          </w:p>
        </w:tc>
        <w:tc>
          <w:tcPr>
            <w:tcW w:w="869" w:type="pct"/>
          </w:tcPr>
          <w:p w14:paraId="651C0082" w14:textId="77777777" w:rsidR="00A56747" w:rsidRDefault="00A56747" w:rsidP="004B53CC">
            <w:pPr>
              <w:spacing w:beforeLines="40" w:before="96" w:afterLines="40" w:after="96"/>
              <w:jc w:val="center"/>
              <w:rPr>
                <w:i/>
                <w:noProof/>
                <w:sz w:val="18"/>
              </w:rPr>
            </w:pPr>
          </w:p>
        </w:tc>
        <w:tc>
          <w:tcPr>
            <w:tcW w:w="911" w:type="pct"/>
          </w:tcPr>
          <w:p w14:paraId="7E4C5F8D" w14:textId="77777777" w:rsidR="00A56747" w:rsidRDefault="00A56747" w:rsidP="004B53CC">
            <w:pPr>
              <w:spacing w:beforeLines="40" w:before="96" w:afterLines="40" w:after="96"/>
              <w:jc w:val="center"/>
              <w:rPr>
                <w:noProof/>
                <w:sz w:val="18"/>
              </w:rPr>
            </w:pPr>
          </w:p>
        </w:tc>
        <w:tc>
          <w:tcPr>
            <w:tcW w:w="562" w:type="pct"/>
          </w:tcPr>
          <w:p w14:paraId="52FAACBE" w14:textId="77777777" w:rsidR="00A56747" w:rsidRDefault="00A56747" w:rsidP="004B53CC">
            <w:pPr>
              <w:spacing w:beforeLines="40" w:before="96" w:afterLines="40" w:after="96"/>
              <w:jc w:val="center"/>
              <w:rPr>
                <w:noProof/>
                <w:sz w:val="18"/>
              </w:rPr>
            </w:pPr>
          </w:p>
        </w:tc>
        <w:tc>
          <w:tcPr>
            <w:tcW w:w="557" w:type="pct"/>
          </w:tcPr>
          <w:p w14:paraId="75C1CD10" w14:textId="77777777" w:rsidR="00A56747" w:rsidRDefault="00A56747" w:rsidP="004B53CC">
            <w:pPr>
              <w:spacing w:beforeLines="40" w:before="96" w:afterLines="40" w:after="96"/>
              <w:jc w:val="center"/>
              <w:rPr>
                <w:noProof/>
                <w:sz w:val="18"/>
              </w:rPr>
            </w:pPr>
          </w:p>
        </w:tc>
        <w:tc>
          <w:tcPr>
            <w:tcW w:w="679" w:type="pct"/>
          </w:tcPr>
          <w:p w14:paraId="26E4C910" w14:textId="77777777" w:rsidR="00A56747" w:rsidRDefault="00A56747" w:rsidP="004B53CC">
            <w:pPr>
              <w:spacing w:beforeLines="40" w:before="96" w:afterLines="40" w:after="96"/>
              <w:jc w:val="center"/>
              <w:rPr>
                <w:noProof/>
                <w:sz w:val="18"/>
              </w:rPr>
            </w:pPr>
          </w:p>
        </w:tc>
      </w:tr>
    </w:tbl>
    <w:p w14:paraId="199828CB" w14:textId="77777777" w:rsidR="00A56747" w:rsidRPr="00B33C43" w:rsidRDefault="00A56747" w:rsidP="00A56747">
      <w:pPr>
        <w:pStyle w:val="Text1"/>
        <w:rPr>
          <w:noProof/>
          <w:szCs w:val="24"/>
        </w:rPr>
      </w:pPr>
      <w:r w:rsidRPr="00B33C43">
        <w:rPr>
          <w:noProof/>
          <w:szCs w:val="24"/>
        </w:rPr>
        <w:t>For assigned revenue, specify the budget expenditure line(s) affected.</w:t>
      </w:r>
    </w:p>
    <w:p w14:paraId="7D61BF0C"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p>
    <w:p w14:paraId="29EB1E41" w14:textId="77777777" w:rsidR="00A56747" w:rsidRPr="00B33C43" w:rsidRDefault="00A56747" w:rsidP="00A56747">
      <w:pPr>
        <w:pStyle w:val="Text1"/>
        <w:rPr>
          <w:noProof/>
          <w:szCs w:val="24"/>
        </w:rPr>
      </w:pPr>
      <w:r w:rsidRPr="00B33C43">
        <w:rPr>
          <w:noProof/>
          <w:szCs w:val="24"/>
        </w:rPr>
        <w:t>Other remarks (e.g. method/formula used for calculating the impact on revenue or any other information).</w:t>
      </w:r>
    </w:p>
    <w:p w14:paraId="3BF476DC" w14:textId="77777777" w:rsidR="00A56747" w:rsidRDefault="00A56747" w:rsidP="00A56747">
      <w:pPr>
        <w:pStyle w:val="Text1"/>
        <w:pBdr>
          <w:top w:val="single" w:sz="4" w:space="1" w:color="auto"/>
          <w:left w:val="single" w:sz="4" w:space="4" w:color="auto"/>
          <w:bottom w:val="single" w:sz="4" w:space="1" w:color="auto"/>
          <w:right w:val="single" w:sz="4" w:space="4" w:color="auto"/>
        </w:pBdr>
        <w:rPr>
          <w:noProof/>
        </w:rPr>
      </w:pPr>
    </w:p>
    <w:p w14:paraId="2C80A832" w14:textId="77777777" w:rsidR="00A56747" w:rsidRPr="00532763" w:rsidRDefault="00A56747" w:rsidP="00A56747">
      <w:pPr>
        <w:pStyle w:val="ManualHeading1"/>
        <w:rPr>
          <w:caps/>
          <w:noProof/>
        </w:rPr>
      </w:pPr>
      <w:bookmarkStart w:id="242" w:name="_Toc167220301"/>
      <w:bookmarkStart w:id="243" w:name="_Toc177549035"/>
      <w:r>
        <w:rPr>
          <w:noProof/>
        </w:rPr>
        <w:t>4.</w:t>
      </w:r>
      <w:r>
        <w:rPr>
          <w:noProof/>
        </w:rPr>
        <w:tab/>
      </w:r>
      <w:bookmarkStart w:id="244" w:name="_Hlk167692977"/>
      <w:r w:rsidRPr="76586ECE">
        <w:rPr>
          <w:caps/>
          <w:noProof/>
        </w:rPr>
        <w:t>Digital dimensions</w:t>
      </w:r>
      <w:bookmarkEnd w:id="242"/>
      <w:bookmarkEnd w:id="243"/>
    </w:p>
    <w:p w14:paraId="5EC14A92" w14:textId="77777777" w:rsidR="00A56747" w:rsidRPr="00663ACA" w:rsidRDefault="00A56747" w:rsidP="00A56747">
      <w:pPr>
        <w:pStyle w:val="ManualHeading2"/>
        <w:pBdr>
          <w:top w:val="single" w:sz="4" w:space="1" w:color="000000"/>
          <w:left w:val="single" w:sz="4" w:space="4" w:color="000000"/>
          <w:bottom w:val="single" w:sz="4" w:space="1" w:color="000000"/>
          <w:right w:val="single" w:sz="4" w:space="4" w:color="000000"/>
        </w:pBdr>
        <w:spacing w:line="259" w:lineRule="auto"/>
        <w:rPr>
          <w:noProof/>
        </w:rPr>
      </w:pPr>
      <w:bookmarkStart w:id="245" w:name="_Toc167220302"/>
      <w:bookmarkStart w:id="246" w:name="_Toc177549037"/>
      <w:r>
        <w:rPr>
          <w:noProof/>
        </w:rPr>
        <w:t>4.1.</w:t>
      </w:r>
      <w:r>
        <w:rPr>
          <w:noProof/>
        </w:rPr>
        <w:tab/>
      </w:r>
      <w:r w:rsidRPr="00663ACA">
        <w:rPr>
          <w:noProof/>
        </w:rPr>
        <w:t>Requirements of digital relevance</w:t>
      </w:r>
      <w:bookmarkEnd w:id="245"/>
      <w:bookmarkEnd w:id="246"/>
    </w:p>
    <w:tbl>
      <w:tblPr>
        <w:tblStyle w:val="TableGrid"/>
        <w:tblW w:w="9072" w:type="dxa"/>
        <w:tblInd w:w="-5" w:type="dxa"/>
        <w:tblLayout w:type="fixed"/>
        <w:tblLook w:val="06A0" w:firstRow="1" w:lastRow="0" w:firstColumn="1" w:lastColumn="0" w:noHBand="1" w:noVBand="1"/>
      </w:tblPr>
      <w:tblGrid>
        <w:gridCol w:w="9072"/>
      </w:tblGrid>
      <w:tr w:rsidR="001A0915" w:rsidRPr="00663ACA" w14:paraId="729E5DED" w14:textId="77777777" w:rsidTr="00FF1EF4">
        <w:trPr>
          <w:trHeight w:val="300"/>
        </w:trPr>
        <w:tc>
          <w:tcPr>
            <w:tcW w:w="9072" w:type="dxa"/>
          </w:tcPr>
          <w:p w14:paraId="3856BD06" w14:textId="77777777" w:rsidR="00A56747" w:rsidRPr="00663ACA" w:rsidRDefault="00A56747" w:rsidP="004B53CC">
            <w:pPr>
              <w:rPr>
                <w:noProof/>
              </w:rPr>
            </w:pPr>
            <w:r w:rsidRPr="00B33FAF">
              <w:rPr>
                <w:noProof/>
              </w:rPr>
              <w:t xml:space="preserve">The digital requirements are limited to adaptation and extension of already implemented solutions for shared management programmes, namely SFC2021. The adaptations will correspond to the definition and inclusion of specific priorities in amended programmes. </w:t>
            </w:r>
          </w:p>
        </w:tc>
      </w:tr>
    </w:tbl>
    <w:p w14:paraId="408649A1" w14:textId="77777777" w:rsidR="00A56747" w:rsidRPr="00663ACA" w:rsidRDefault="00A56747" w:rsidP="00A56747">
      <w:pPr>
        <w:pStyle w:val="ManualHeading2"/>
        <w:rPr>
          <w:noProof/>
        </w:rPr>
      </w:pPr>
      <w:bookmarkStart w:id="247" w:name="_Toc167220303"/>
      <w:bookmarkStart w:id="248" w:name="_Toc177549038"/>
      <w:r w:rsidRPr="00663ACA">
        <w:rPr>
          <w:noProof/>
        </w:rPr>
        <w:t>4.2.</w:t>
      </w:r>
      <w:r w:rsidRPr="00663ACA">
        <w:rPr>
          <w:noProof/>
        </w:rPr>
        <w:tab/>
        <w:t>Data</w:t>
      </w:r>
      <w:bookmarkEnd w:id="247"/>
      <w:bookmarkEnd w:id="248"/>
    </w:p>
    <w:tbl>
      <w:tblPr>
        <w:tblStyle w:val="TableGrid"/>
        <w:tblW w:w="0" w:type="auto"/>
        <w:tblLook w:val="04A0" w:firstRow="1" w:lastRow="0" w:firstColumn="1" w:lastColumn="0" w:noHBand="0" w:noVBand="1"/>
      </w:tblPr>
      <w:tblGrid>
        <w:gridCol w:w="9063"/>
      </w:tblGrid>
      <w:tr w:rsidR="00A56747" w:rsidRPr="00663ACA" w14:paraId="3857926E" w14:textId="77777777" w:rsidTr="00FF1EF4">
        <w:tc>
          <w:tcPr>
            <w:tcW w:w="9063" w:type="dxa"/>
          </w:tcPr>
          <w:p w14:paraId="7AC37B21" w14:textId="77777777" w:rsidR="00A56747" w:rsidRPr="00663ACA" w:rsidRDefault="00A56747" w:rsidP="004B53CC">
            <w:pPr>
              <w:rPr>
                <w:noProof/>
              </w:rPr>
            </w:pPr>
            <w:r w:rsidRPr="00B33FAF">
              <w:rPr>
                <w:noProof/>
              </w:rPr>
              <w:t>The data required is an extension and adaptation of the data model already implemented for the shared man</w:t>
            </w:r>
            <w:r>
              <w:rPr>
                <w:noProof/>
              </w:rPr>
              <w:t>a</w:t>
            </w:r>
            <w:r w:rsidRPr="00B33FAF">
              <w:rPr>
                <w:noProof/>
              </w:rPr>
              <w:t>gement programmes. The once-only principle is followed and this being an extension of an existing solution ensures full reuse of existing data.</w:t>
            </w:r>
          </w:p>
        </w:tc>
      </w:tr>
    </w:tbl>
    <w:p w14:paraId="1299601A" w14:textId="77777777" w:rsidR="00A56747" w:rsidRPr="00663ACA" w:rsidRDefault="00A56747" w:rsidP="00A56747">
      <w:pPr>
        <w:pStyle w:val="ManualHeading2"/>
        <w:rPr>
          <w:noProof/>
        </w:rPr>
      </w:pPr>
      <w:bookmarkStart w:id="249" w:name="_Toc167220305"/>
      <w:bookmarkStart w:id="250" w:name="_Toc177549039"/>
      <w:r w:rsidRPr="00663ACA">
        <w:rPr>
          <w:noProof/>
        </w:rPr>
        <w:t>4.3.</w:t>
      </w:r>
      <w:r w:rsidRPr="00663ACA">
        <w:rPr>
          <w:noProof/>
        </w:rPr>
        <w:tab/>
        <w:t>Digital solutions</w:t>
      </w:r>
      <w:bookmarkEnd w:id="249"/>
      <w:bookmarkEnd w:id="250"/>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56747" w:rsidRPr="00663ACA" w14:paraId="6007C564" w14:textId="77777777" w:rsidTr="00FF1EF4">
        <w:tc>
          <w:tcPr>
            <w:tcW w:w="9067" w:type="dxa"/>
          </w:tcPr>
          <w:p w14:paraId="21088CA1" w14:textId="77777777" w:rsidR="00A56747" w:rsidRPr="00663ACA" w:rsidRDefault="00A56747" w:rsidP="004B53CC">
            <w:pPr>
              <w:rPr>
                <w:noProof/>
              </w:rPr>
            </w:pPr>
            <w:r w:rsidRPr="00B33FAF">
              <w:rPr>
                <w:noProof/>
              </w:rPr>
              <w:t xml:space="preserve">The digital solution is a minor adaptation of the SFC2021 platform, which is the tool used for all shared management programmes. </w:t>
            </w:r>
          </w:p>
        </w:tc>
      </w:tr>
    </w:tbl>
    <w:p w14:paraId="252C836B" w14:textId="77777777" w:rsidR="00A56747" w:rsidRPr="00663ACA" w:rsidRDefault="00A56747" w:rsidP="00A56747">
      <w:pPr>
        <w:pStyle w:val="ManualHeading2"/>
        <w:rPr>
          <w:rStyle w:val="Emphasis"/>
          <w:b w:val="0"/>
          <w:i w:val="0"/>
          <w:iCs w:val="0"/>
          <w:noProof/>
        </w:rPr>
      </w:pPr>
      <w:bookmarkStart w:id="251" w:name="_Toc167220304"/>
      <w:bookmarkStart w:id="252" w:name="_Toc177549040"/>
      <w:r w:rsidRPr="00663ACA">
        <w:rPr>
          <w:rStyle w:val="Emphasis"/>
          <w:noProof/>
        </w:rPr>
        <w:t>4.4.</w:t>
      </w:r>
      <w:r w:rsidRPr="00663ACA">
        <w:rPr>
          <w:noProof/>
        </w:rPr>
        <w:tab/>
      </w:r>
      <w:r w:rsidRPr="00663ACA">
        <w:rPr>
          <w:rStyle w:val="Emphasis"/>
          <w:noProof/>
        </w:rPr>
        <w:t>Interoperability assessment</w:t>
      </w:r>
      <w:bookmarkEnd w:id="251"/>
      <w:bookmarkEnd w:id="252"/>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56747" w:rsidRPr="00663ACA" w14:paraId="03A33D6B" w14:textId="77777777" w:rsidTr="00FF1EF4">
        <w:trPr>
          <w:trHeight w:val="300"/>
        </w:trPr>
        <w:tc>
          <w:tcPr>
            <w:tcW w:w="9067" w:type="dxa"/>
          </w:tcPr>
          <w:p w14:paraId="37BA5D8A" w14:textId="77777777" w:rsidR="00A56747" w:rsidRPr="00663ACA" w:rsidRDefault="00A56747" w:rsidP="004B53CC">
            <w:pPr>
              <w:rPr>
                <w:noProof/>
              </w:rPr>
            </w:pPr>
            <w:r w:rsidRPr="00B33FAF">
              <w:rPr>
                <w:noProof/>
              </w:rPr>
              <w:t>SFC2021 is already in place and is used by all parties. The tool is interoperable with other systems and uses standard techniques for information exchange</w:t>
            </w:r>
          </w:p>
        </w:tc>
      </w:tr>
    </w:tbl>
    <w:p w14:paraId="2877F3E2" w14:textId="77777777" w:rsidR="00A56747" w:rsidRPr="00663ACA" w:rsidRDefault="00A56747" w:rsidP="00A56747">
      <w:pPr>
        <w:pStyle w:val="ManualHeading2"/>
        <w:rPr>
          <w:noProof/>
        </w:rPr>
      </w:pPr>
      <w:bookmarkStart w:id="253" w:name="_Toc167220306"/>
      <w:bookmarkStart w:id="254" w:name="_Toc177549041"/>
      <w:r w:rsidRPr="00663ACA">
        <w:rPr>
          <w:noProof/>
        </w:rPr>
        <w:t>4.5.</w:t>
      </w:r>
      <w:r w:rsidRPr="00663ACA">
        <w:rPr>
          <w:noProof/>
        </w:rPr>
        <w:tab/>
        <w:t>Measures to support digital implementation</w:t>
      </w:r>
      <w:bookmarkEnd w:id="253"/>
      <w:bookmarkEnd w:id="254"/>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56747" w:rsidRPr="00663ACA" w14:paraId="0C0D938B" w14:textId="77777777" w:rsidTr="00FF1EF4">
        <w:tc>
          <w:tcPr>
            <w:tcW w:w="9067" w:type="dxa"/>
          </w:tcPr>
          <w:p w14:paraId="1CD3FFEB" w14:textId="77777777" w:rsidR="00A56747" w:rsidRPr="00663ACA" w:rsidRDefault="00A56747" w:rsidP="004B53CC">
            <w:pPr>
              <w:rPr>
                <w:noProof/>
              </w:rPr>
            </w:pPr>
            <w:r w:rsidRPr="00B33FAF">
              <w:rPr>
                <w:noProof/>
              </w:rPr>
              <w:t>The changes required in SFC2021 will be planned and implemented in such a way that the new requirements are ready at the time of the adoption and entry into force of the final regulation</w:t>
            </w:r>
          </w:p>
        </w:tc>
      </w:tr>
      <w:bookmarkEnd w:id="244"/>
    </w:tbl>
    <w:p w14:paraId="7FE205AC" w14:textId="77777777" w:rsidR="000852D5" w:rsidRPr="00334B30" w:rsidRDefault="000852D5">
      <w:pPr>
        <w:rPr>
          <w:noProof/>
          <w:color w:val="008000"/>
        </w:rPr>
      </w:pPr>
    </w:p>
    <w:sectPr w:rsidR="000852D5" w:rsidRPr="00334B30" w:rsidSect="00A12408">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60EC" w14:textId="77777777" w:rsidR="003100E7" w:rsidRDefault="003100E7" w:rsidP="000852D5">
      <w:pPr>
        <w:spacing w:before="0" w:after="0"/>
      </w:pPr>
      <w:r>
        <w:separator/>
      </w:r>
    </w:p>
  </w:endnote>
  <w:endnote w:type="continuationSeparator" w:id="0">
    <w:p w14:paraId="408A407D" w14:textId="77777777" w:rsidR="003100E7" w:rsidRDefault="003100E7" w:rsidP="000852D5">
      <w:pPr>
        <w:spacing w:before="0" w:after="0"/>
      </w:pPr>
      <w:r>
        <w:continuationSeparator/>
      </w:r>
    </w:p>
  </w:endnote>
  <w:endnote w:type="continuationNotice" w:id="1">
    <w:p w14:paraId="25347602" w14:textId="77777777" w:rsidR="003100E7" w:rsidRDefault="003100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A513" w14:textId="77777777" w:rsidR="00A12408" w:rsidRPr="00A12408" w:rsidRDefault="00A12408" w:rsidP="00A12408">
    <w:pPr>
      <w:pStyle w:val="Footer"/>
      <w:rPr>
        <w:rFonts w:ascii="Arial" w:hAnsi="Arial" w:cs="Arial"/>
        <w:b/>
        <w:sz w:val="48"/>
      </w:rPr>
    </w:pPr>
    <w:r w:rsidRPr="00A12408">
      <w:rPr>
        <w:rFonts w:ascii="Arial" w:hAnsi="Arial" w:cs="Arial"/>
        <w:b/>
        <w:sz w:val="48"/>
      </w:rPr>
      <w:t>EN</w:t>
    </w:r>
    <w:r w:rsidRPr="00A12408">
      <w:rPr>
        <w:rFonts w:ascii="Arial" w:hAnsi="Arial" w:cs="Arial"/>
        <w:b/>
        <w:sz w:val="48"/>
      </w:rPr>
      <w:tab/>
    </w:r>
    <w:r w:rsidRPr="00A12408">
      <w:rPr>
        <w:rFonts w:ascii="Arial" w:hAnsi="Arial" w:cs="Arial"/>
        <w:b/>
        <w:sz w:val="48"/>
      </w:rPr>
      <w:tab/>
    </w:r>
    <w:r w:rsidRPr="00A12408">
      <w:tab/>
    </w:r>
    <w:r w:rsidRPr="00A1240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A0D9" w14:textId="77777777" w:rsidR="00A12408" w:rsidRPr="00A12408" w:rsidRDefault="00A12408" w:rsidP="00A12408">
    <w:pPr>
      <w:pStyle w:val="Footer"/>
      <w:rPr>
        <w:rFonts w:ascii="Arial" w:hAnsi="Arial" w:cs="Arial"/>
        <w:b/>
        <w:sz w:val="48"/>
      </w:rPr>
    </w:pPr>
    <w:r w:rsidRPr="00A12408">
      <w:rPr>
        <w:rFonts w:ascii="Arial" w:hAnsi="Arial" w:cs="Arial"/>
        <w:b/>
        <w:sz w:val="48"/>
      </w:rPr>
      <w:t>EN</w:t>
    </w:r>
    <w:r w:rsidRPr="00A12408">
      <w:rPr>
        <w:rFonts w:ascii="Arial" w:hAnsi="Arial" w:cs="Arial"/>
        <w:b/>
        <w:sz w:val="48"/>
      </w:rPr>
      <w:tab/>
    </w:r>
    <w:r w:rsidRPr="00A12408">
      <w:rPr>
        <w:rFonts w:ascii="Arial" w:hAnsi="Arial" w:cs="Arial"/>
        <w:b/>
        <w:sz w:val="48"/>
      </w:rPr>
      <w:tab/>
    </w:r>
    <w:r w:rsidRPr="00A12408">
      <w:tab/>
    </w:r>
    <w:r w:rsidRPr="00A1240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7624" w14:textId="77777777" w:rsidR="00A12408" w:rsidRDefault="00A124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075" w14:textId="77777777" w:rsidR="00A12408" w:rsidRPr="00A12408" w:rsidRDefault="00A12408" w:rsidP="00A12408">
    <w:pPr>
      <w:pStyle w:val="Footer"/>
      <w:rPr>
        <w:rFonts w:ascii="Arial" w:hAnsi="Arial" w:cs="Arial"/>
        <w:b/>
        <w:sz w:val="48"/>
      </w:rPr>
    </w:pPr>
    <w:r w:rsidRPr="00A12408">
      <w:rPr>
        <w:rFonts w:ascii="Arial" w:hAnsi="Arial" w:cs="Arial"/>
        <w:b/>
        <w:sz w:val="48"/>
      </w:rPr>
      <w:t>EN</w:t>
    </w:r>
    <w:r w:rsidRPr="00A12408">
      <w:rPr>
        <w:rFonts w:ascii="Arial" w:hAnsi="Arial" w:cs="Arial"/>
        <w:b/>
        <w:sz w:val="48"/>
      </w:rPr>
      <w:tab/>
    </w:r>
    <w:r>
      <w:fldChar w:fldCharType="begin"/>
    </w:r>
    <w:r>
      <w:instrText xml:space="preserve"> PAGE  \* MERGEFORMAT </w:instrText>
    </w:r>
    <w:r>
      <w:fldChar w:fldCharType="separate"/>
    </w:r>
    <w:r w:rsidR="002D6592">
      <w:rPr>
        <w:noProof/>
      </w:rPr>
      <w:t>27</w:t>
    </w:r>
    <w:r>
      <w:fldChar w:fldCharType="end"/>
    </w:r>
    <w:r>
      <w:tab/>
    </w:r>
    <w:r w:rsidRPr="00A12408">
      <w:tab/>
    </w:r>
    <w:r w:rsidRPr="00A1240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E679" w14:textId="77777777" w:rsidR="00A12408" w:rsidRDefault="00A12408" w:rsidP="00A124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7E01" w14:textId="77777777" w:rsidR="00A12408" w:rsidRPr="00A12408" w:rsidRDefault="00A12408" w:rsidP="00A12408">
    <w:pPr>
      <w:pStyle w:val="FooterLandscape"/>
      <w:rPr>
        <w:rFonts w:ascii="Arial" w:hAnsi="Arial" w:cs="Arial"/>
        <w:b/>
        <w:sz w:val="48"/>
      </w:rPr>
    </w:pPr>
    <w:r w:rsidRPr="00A12408">
      <w:rPr>
        <w:rFonts w:ascii="Arial" w:hAnsi="Arial" w:cs="Arial"/>
        <w:b/>
        <w:sz w:val="48"/>
      </w:rPr>
      <w:t>EN</w:t>
    </w:r>
    <w:r w:rsidRPr="00A1240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12408">
      <w:tab/>
    </w:r>
    <w:r w:rsidRPr="00A12408">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79CD" w14:textId="77777777" w:rsidR="00A12408" w:rsidRPr="00A12408" w:rsidRDefault="00A12408" w:rsidP="00A12408">
    <w:pPr>
      <w:pStyle w:val="Footer"/>
      <w:rPr>
        <w:rFonts w:ascii="Arial" w:hAnsi="Arial" w:cs="Arial"/>
        <w:b/>
        <w:sz w:val="48"/>
      </w:rPr>
    </w:pPr>
    <w:r w:rsidRPr="00A12408">
      <w:rPr>
        <w:rFonts w:ascii="Arial" w:hAnsi="Arial" w:cs="Arial"/>
        <w:b/>
        <w:sz w:val="48"/>
      </w:rPr>
      <w:t>EN</w:t>
    </w:r>
    <w:r w:rsidRPr="00A1240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12408">
      <w:tab/>
    </w:r>
    <w:r w:rsidRPr="00A12408">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E9AD" w14:textId="77777777" w:rsidR="003100E7" w:rsidRDefault="003100E7" w:rsidP="000852D5">
      <w:pPr>
        <w:spacing w:before="0" w:after="0"/>
      </w:pPr>
      <w:r>
        <w:separator/>
      </w:r>
    </w:p>
  </w:footnote>
  <w:footnote w:type="continuationSeparator" w:id="0">
    <w:p w14:paraId="029AF4BC" w14:textId="77777777" w:rsidR="003100E7" w:rsidRDefault="003100E7" w:rsidP="000852D5">
      <w:pPr>
        <w:spacing w:before="0" w:after="0"/>
      </w:pPr>
      <w:r>
        <w:continuationSeparator/>
      </w:r>
    </w:p>
  </w:footnote>
  <w:footnote w:type="continuationNotice" w:id="1">
    <w:p w14:paraId="095DE3ED" w14:textId="77777777" w:rsidR="003100E7" w:rsidRDefault="003100E7">
      <w:pPr>
        <w:spacing w:before="0" w:after="0"/>
      </w:pPr>
    </w:p>
  </w:footnote>
  <w:footnote w:id="2">
    <w:p w14:paraId="387DA2B5" w14:textId="77777777" w:rsidR="008F0722" w:rsidRPr="00DA5FFF" w:rsidRDefault="008F0722">
      <w:pPr>
        <w:pStyle w:val="FootnoteText"/>
        <w:rPr>
          <w:lang w:val="en-IE"/>
        </w:rPr>
      </w:pPr>
      <w:r>
        <w:rPr>
          <w:rStyle w:val="FootnoteReference"/>
        </w:rPr>
        <w:footnoteRef/>
      </w:r>
      <w:r w:rsidRPr="00DA5FFF">
        <w:rPr>
          <w:lang w:val="en-IE"/>
        </w:rPr>
        <w:tab/>
      </w:r>
      <w:hyperlink w:history="1">
        <w:hyperlink r:id="rId1" w:history="1">
          <w:r w:rsidRPr="00B976BF">
            <w:rPr>
              <w:rStyle w:val="Hyperlink"/>
              <w:rFonts w:eastAsia="Times New Roman"/>
              <w:color w:val="auto"/>
            </w:rPr>
            <w:t>Communication on the criteria for the analysis of the compatibility with the internal market of State aid to promote the execution of IPCEIs</w:t>
          </w:r>
        </w:hyperlink>
      </w:hyperlink>
      <w:r w:rsidRPr="00B976BF">
        <w:rPr>
          <w:rFonts w:eastAsia="Times New Roman"/>
        </w:rPr>
        <w:t xml:space="preserve"> </w:t>
      </w:r>
      <w:r>
        <w:rPr>
          <w:rFonts w:eastAsia="Times New Roman"/>
        </w:rPr>
        <w:t>(</w:t>
      </w:r>
      <w:r w:rsidRPr="00B976BF">
        <w:rPr>
          <w:rFonts w:eastAsia="Times New Roman"/>
        </w:rPr>
        <w:t>OJ C 528, 30.12.2021, p. 10</w:t>
      </w:r>
      <w:r>
        <w:rPr>
          <w:rFonts w:eastAsia="Times New Roman"/>
        </w:rPr>
        <w:t>).</w:t>
      </w:r>
    </w:p>
  </w:footnote>
  <w:footnote w:id="3">
    <w:p w14:paraId="46D7C7FB" w14:textId="77777777" w:rsidR="000852D5" w:rsidRPr="0097516D" w:rsidRDefault="000852D5">
      <w:pPr>
        <w:pStyle w:val="FootnoteText"/>
        <w:rPr>
          <w:lang w:val="es-ES"/>
        </w:rPr>
      </w:pPr>
      <w:r w:rsidRPr="0097516D">
        <w:rPr>
          <w:rStyle w:val="FootnoteReference"/>
          <w:lang w:val="en-IE"/>
        </w:rPr>
        <w:footnoteRef/>
      </w:r>
      <w:r w:rsidRPr="0097516D">
        <w:rPr>
          <w:lang w:val="es-ES"/>
        </w:rPr>
        <w:tab/>
        <w:t>OJ C , , p. .</w:t>
      </w:r>
    </w:p>
  </w:footnote>
  <w:footnote w:id="4">
    <w:p w14:paraId="5F1FB3EF" w14:textId="77777777" w:rsidR="000852D5" w:rsidRPr="0097516D" w:rsidRDefault="000852D5">
      <w:pPr>
        <w:pStyle w:val="FootnoteText"/>
        <w:rPr>
          <w:lang w:val="es-ES"/>
        </w:rPr>
      </w:pPr>
      <w:r w:rsidRPr="0097516D">
        <w:rPr>
          <w:rStyle w:val="FootnoteReference"/>
          <w:lang w:val="en-IE"/>
        </w:rPr>
        <w:footnoteRef/>
      </w:r>
      <w:r w:rsidRPr="0097516D">
        <w:rPr>
          <w:lang w:val="es-ES"/>
        </w:rPr>
        <w:tab/>
        <w:t>OJ C , , p. .</w:t>
      </w:r>
    </w:p>
  </w:footnote>
  <w:footnote w:id="5">
    <w:p w14:paraId="5E46CA2A" w14:textId="77777777" w:rsidR="00324945" w:rsidRPr="00AF1DE2" w:rsidRDefault="00324945">
      <w:pPr>
        <w:pStyle w:val="FootnoteText"/>
        <w:rPr>
          <w:lang w:val="en-IE"/>
        </w:rPr>
      </w:pPr>
      <w:r>
        <w:rPr>
          <w:rStyle w:val="FootnoteReference"/>
        </w:rPr>
        <w:footnoteRef/>
      </w:r>
      <w:r w:rsidRPr="00AF1DE2">
        <w:rPr>
          <w:lang w:val="en-IE"/>
        </w:rPr>
        <w:tab/>
      </w:r>
      <w:r w:rsidRPr="0097516D">
        <w:rPr>
          <w:lang w:val="es-ES"/>
        </w:rPr>
        <w:t xml:space="preserve">OJ L 231, </w:t>
      </w:r>
      <w:r>
        <w:rPr>
          <w:lang w:val="es-ES"/>
        </w:rPr>
        <w:t xml:space="preserve">30.6.2021, </w:t>
      </w:r>
      <w:r w:rsidRPr="0097516D">
        <w:rPr>
          <w:lang w:val="es-ES"/>
        </w:rPr>
        <w:t>p. 60</w:t>
      </w:r>
      <w:r>
        <w:rPr>
          <w:lang w:val="es-ES"/>
        </w:rPr>
        <w:t>.</w:t>
      </w:r>
    </w:p>
  </w:footnote>
  <w:footnote w:id="6">
    <w:p w14:paraId="5CC68E23" w14:textId="77777777" w:rsidR="00324945" w:rsidRPr="00AF1DE2" w:rsidRDefault="00324945">
      <w:pPr>
        <w:pStyle w:val="FootnoteText"/>
        <w:rPr>
          <w:lang w:val="en-IE"/>
        </w:rPr>
      </w:pPr>
      <w:r>
        <w:rPr>
          <w:rStyle w:val="FootnoteReference"/>
        </w:rPr>
        <w:footnoteRef/>
      </w:r>
      <w:r w:rsidRPr="00AF1DE2">
        <w:rPr>
          <w:lang w:val="en-IE"/>
        </w:rPr>
        <w:tab/>
      </w:r>
      <w:r w:rsidRPr="0097516D">
        <w:rPr>
          <w:lang w:val="es-ES"/>
        </w:rPr>
        <w:t xml:space="preserve">OJ L 231, </w:t>
      </w:r>
      <w:r>
        <w:rPr>
          <w:lang w:val="es-ES"/>
        </w:rPr>
        <w:t xml:space="preserve">30.6.2021, </w:t>
      </w:r>
      <w:r w:rsidRPr="0097516D">
        <w:rPr>
          <w:lang w:val="es-ES"/>
        </w:rPr>
        <w:t xml:space="preserve">p. </w:t>
      </w:r>
      <w:r>
        <w:rPr>
          <w:lang w:val="es-ES"/>
        </w:rPr>
        <w:t>1.</w:t>
      </w:r>
    </w:p>
  </w:footnote>
  <w:footnote w:id="7">
    <w:p w14:paraId="4847CF99" w14:textId="77777777" w:rsidR="00AF1DE2" w:rsidRPr="00AF1DE2" w:rsidRDefault="00AF1DE2">
      <w:pPr>
        <w:pStyle w:val="FootnoteText"/>
        <w:rPr>
          <w:lang w:val="en-IE"/>
        </w:rPr>
      </w:pPr>
      <w:r>
        <w:rPr>
          <w:rStyle w:val="FootnoteReference"/>
        </w:rPr>
        <w:footnoteRef/>
      </w:r>
      <w:r w:rsidRPr="00AF1DE2">
        <w:rPr>
          <w:lang w:val="en-IE"/>
        </w:rPr>
        <w:tab/>
      </w:r>
      <w:r w:rsidRPr="0097516D">
        <w:rPr>
          <w:lang w:val="en-IE"/>
        </w:rPr>
        <w:t>Directive 2003/87/EC of the European Parliament and of the Council of 13 October 2003 establishing a system for greenhouse gas emission allowance trading within the Union and amending Council Directive 96/61/EC (OJ L 275, 25.10.2003, p. 32, ELI: http://data.europa.eu/eli/dir/2003/87/oj)</w:t>
      </w:r>
      <w:r>
        <w:rPr>
          <w:lang w:val="en-IE"/>
        </w:rPr>
        <w:t>.</w:t>
      </w:r>
    </w:p>
  </w:footnote>
  <w:footnote w:id="8">
    <w:p w14:paraId="05F3F63B" w14:textId="77777777" w:rsidR="00AF1DE2" w:rsidRPr="00AF1DE2" w:rsidRDefault="00AF1DE2">
      <w:pPr>
        <w:pStyle w:val="FootnoteText"/>
        <w:rPr>
          <w:lang w:val="en-IE"/>
        </w:rPr>
      </w:pPr>
      <w:r>
        <w:rPr>
          <w:rStyle w:val="FootnoteReference"/>
        </w:rPr>
        <w:footnoteRef/>
      </w:r>
      <w:r w:rsidRPr="00AF1DE2">
        <w:rPr>
          <w:lang w:val="en-IE"/>
        </w:rPr>
        <w:tab/>
      </w:r>
      <w:r w:rsidRPr="0097516D">
        <w:rPr>
          <w:lang w:val="en-IE"/>
        </w:rPr>
        <w:t>Regulation (EU) 2021/523 of the European Parliament and of the Council of 24 March 2021 establishing the InvestEU Programme and amending Regulation (EU) 2015/1017 (OJ L 107, 26.3.2021, p. 30, ELI: http://data.europa.eu/eli/reg/2021/523/oj)</w:t>
      </w:r>
      <w:r>
        <w:rPr>
          <w:lang w:val="en-IE"/>
        </w:rPr>
        <w:t>.</w:t>
      </w:r>
    </w:p>
  </w:footnote>
  <w:footnote w:id="9">
    <w:p w14:paraId="7B39DA25" w14:textId="77777777" w:rsidR="00A56747" w:rsidRPr="0097516D" w:rsidRDefault="00A56747" w:rsidP="00A56747">
      <w:pPr>
        <w:pStyle w:val="FootnoteText"/>
        <w:rPr>
          <w:lang w:val="en-IE"/>
        </w:rPr>
      </w:pPr>
      <w:r w:rsidRPr="0097516D">
        <w:rPr>
          <w:rStyle w:val="FootnoteReference"/>
          <w:lang w:val="en-IE"/>
        </w:rPr>
        <w:footnoteRef/>
      </w:r>
      <w:r w:rsidRPr="0097516D">
        <w:rPr>
          <w:lang w:val="en-IE"/>
        </w:rPr>
        <w:tab/>
        <w:t>As referred to in Article 58(2), point (a) or (b) of the Financial Regulation.</w:t>
      </w:r>
    </w:p>
  </w:footnote>
  <w:footnote w:id="10">
    <w:p w14:paraId="7572BDCA" w14:textId="77777777" w:rsidR="00A56747" w:rsidRPr="0097516D" w:rsidRDefault="00A56747" w:rsidP="00A56747">
      <w:pPr>
        <w:pStyle w:val="FootnoteText"/>
        <w:jc w:val="left"/>
        <w:rPr>
          <w:szCs w:val="24"/>
          <w:lang w:val="en-IE"/>
        </w:rPr>
      </w:pPr>
      <w:r w:rsidRPr="0097516D">
        <w:rPr>
          <w:rStyle w:val="FootnoteReference"/>
          <w:lang w:val="en-IE"/>
        </w:rPr>
        <w:footnoteRef/>
      </w:r>
      <w:r w:rsidRPr="0097516D">
        <w:rPr>
          <w:lang w:val="en-IE"/>
        </w:rPr>
        <w:tab/>
        <w:t xml:space="preserve">Details of budget implementation methods and references to the Financial Regulation may be found on the BUDGpedia site: </w:t>
      </w:r>
      <w:hyperlink r:id="rId2" w:history="1">
        <w:r w:rsidRPr="0097516D">
          <w:rPr>
            <w:rStyle w:val="Hyperlink"/>
            <w:lang w:val="en-IE"/>
          </w:rPr>
          <w:t>https://myintracomm.ec.europa.eu/corp/budget/financial-rules/budget-implementation/Pages/implementation-methods.aspx</w:t>
        </w:r>
      </w:hyperlink>
      <w:r w:rsidRPr="0097516D">
        <w:rPr>
          <w:rStyle w:val="Hyperlink"/>
          <w:lang w:val="en-IE"/>
        </w:rPr>
        <w:t>.</w:t>
      </w:r>
    </w:p>
  </w:footnote>
  <w:footnote w:id="11">
    <w:p w14:paraId="4DE7F46E" w14:textId="77777777" w:rsidR="00A56747" w:rsidRPr="0097516D" w:rsidRDefault="00A56747" w:rsidP="00A56747">
      <w:pPr>
        <w:pStyle w:val="FootnoteText"/>
        <w:rPr>
          <w:szCs w:val="24"/>
          <w:lang w:val="en-IE"/>
        </w:rPr>
      </w:pPr>
      <w:r w:rsidRPr="0097516D">
        <w:rPr>
          <w:rStyle w:val="FootnoteReference"/>
          <w:lang w:val="en-IE"/>
        </w:rPr>
        <w:footnoteRef/>
      </w:r>
      <w:r w:rsidRPr="0097516D">
        <w:rPr>
          <w:lang w:val="en-IE"/>
        </w:rPr>
        <w:tab/>
        <w:t>Diff. = Differentiated appropriations / Non-diff. = Non-differentiated appropriations.</w:t>
      </w:r>
    </w:p>
  </w:footnote>
  <w:footnote w:id="12">
    <w:p w14:paraId="5698F827" w14:textId="77777777" w:rsidR="00A56747" w:rsidRPr="0097516D" w:rsidRDefault="00A56747" w:rsidP="00A56747">
      <w:pPr>
        <w:pStyle w:val="FootnoteText"/>
        <w:rPr>
          <w:szCs w:val="24"/>
          <w:lang w:val="en-IE"/>
        </w:rPr>
      </w:pPr>
      <w:r w:rsidRPr="0097516D">
        <w:rPr>
          <w:rStyle w:val="FootnoteReference"/>
          <w:lang w:val="en-IE"/>
        </w:rPr>
        <w:footnoteRef/>
      </w:r>
      <w:r w:rsidRPr="0097516D">
        <w:rPr>
          <w:lang w:val="en-IE"/>
        </w:rPr>
        <w:tab/>
        <w:t xml:space="preserve">EFTA: European Free Trade Association. </w:t>
      </w:r>
    </w:p>
  </w:footnote>
  <w:footnote w:id="13">
    <w:p w14:paraId="4574C1FD" w14:textId="77777777" w:rsidR="00A56747" w:rsidRPr="0097516D" w:rsidRDefault="00A56747" w:rsidP="00A56747">
      <w:pPr>
        <w:pStyle w:val="FootnoteText"/>
        <w:rPr>
          <w:szCs w:val="24"/>
          <w:lang w:val="en-IE"/>
        </w:rPr>
      </w:pPr>
      <w:r w:rsidRPr="0097516D">
        <w:rPr>
          <w:rStyle w:val="FootnoteReference"/>
          <w:lang w:val="en-IE"/>
        </w:rPr>
        <w:footnoteRef/>
      </w:r>
      <w:r w:rsidRPr="0097516D">
        <w:rPr>
          <w:lang w:val="en-IE"/>
        </w:rPr>
        <w:tab/>
        <w:t>Candidate countries and, where applicable, potential candidates from the Western Balkans.</w:t>
      </w:r>
    </w:p>
  </w:footnote>
  <w:footnote w:id="14">
    <w:p w14:paraId="2B42EE3D" w14:textId="77777777" w:rsidR="00A56747" w:rsidRPr="0097516D" w:rsidRDefault="00A56747" w:rsidP="00A56747">
      <w:pPr>
        <w:pStyle w:val="FootnoteText"/>
        <w:rPr>
          <w:lang w:val="en-IE"/>
        </w:rPr>
      </w:pPr>
      <w:r w:rsidRPr="0097516D">
        <w:rPr>
          <w:rStyle w:val="FootnoteReference"/>
          <w:lang w:val="en-IE"/>
        </w:rPr>
        <w:footnoteRef/>
      </w:r>
      <w:r w:rsidRPr="0097516D">
        <w:rPr>
          <w:lang w:val="en-IE"/>
        </w:rPr>
        <w:tab/>
      </w:r>
      <w:r w:rsidRPr="0097516D">
        <w:rPr>
          <w:sz w:val="18"/>
          <w:szCs w:val="18"/>
          <w:lang w:val="en-IE"/>
        </w:rPr>
        <w:t>Technical and/or administrative assistance and expenditure in support of the implementation of EU programmes and/or actions (former ‘BA’ lines), indirect research, direct research.</w:t>
      </w:r>
    </w:p>
  </w:footnote>
  <w:footnote w:id="15">
    <w:p w14:paraId="41BA6025" w14:textId="77777777" w:rsidR="00A56747" w:rsidRPr="0097516D" w:rsidRDefault="00A56747" w:rsidP="00A56747">
      <w:pPr>
        <w:pStyle w:val="FootnoteText"/>
        <w:rPr>
          <w:lang w:val="en-IE"/>
        </w:rPr>
      </w:pPr>
      <w:r w:rsidRPr="0097516D">
        <w:rPr>
          <w:rStyle w:val="FootnoteReference"/>
          <w:lang w:val="en-IE"/>
        </w:rPr>
        <w:footnoteRef/>
      </w:r>
      <w:r w:rsidRPr="0097516D">
        <w:rPr>
          <w:lang w:val="en-IE"/>
        </w:rPr>
        <w:tab/>
      </w:r>
      <w:r w:rsidRPr="0097516D">
        <w:rPr>
          <w:color w:val="374151"/>
          <w:sz w:val="18"/>
          <w:szCs w:val="18"/>
          <w:lang w:val="en-IE"/>
        </w:rPr>
        <w:t>The necessary appropriations should be determined using the annual average cost figures available on the appropriate BUDGpedia webpage</w:t>
      </w:r>
      <w:r w:rsidRPr="0097516D">
        <w:rPr>
          <w:rFonts w:ascii="Segoe UI" w:hAnsi="Segoe UI" w:cs="Segoe UI"/>
          <w:color w:val="374151"/>
          <w:lang w:val="en-IE"/>
        </w:rPr>
        <w:t>.</w:t>
      </w:r>
    </w:p>
  </w:footnote>
  <w:footnote w:id="16">
    <w:p w14:paraId="260737F2" w14:textId="77777777" w:rsidR="00A56747" w:rsidRPr="0097516D" w:rsidRDefault="00A56747" w:rsidP="00A56747">
      <w:pPr>
        <w:pStyle w:val="FootnoteText"/>
        <w:rPr>
          <w:szCs w:val="24"/>
          <w:lang w:val="en-IE"/>
        </w:rPr>
      </w:pPr>
      <w:r w:rsidRPr="0097516D">
        <w:rPr>
          <w:rStyle w:val="FootnoteReference"/>
          <w:lang w:val="en-IE"/>
        </w:rPr>
        <w:footnoteRef/>
      </w:r>
      <w:r w:rsidRPr="0097516D">
        <w:rPr>
          <w:lang w:val="en-IE"/>
        </w:rPr>
        <w:tab/>
        <w:t>Outputs are products and services to be supplied (e.g. number of student exchanges financed, number of km of roads built, etc.).</w:t>
      </w:r>
    </w:p>
  </w:footnote>
  <w:footnote w:id="17">
    <w:p w14:paraId="7DFA03D8" w14:textId="77777777" w:rsidR="00A56747" w:rsidRPr="0097516D" w:rsidRDefault="00A56747" w:rsidP="00A56747">
      <w:pPr>
        <w:pStyle w:val="FootnoteText"/>
        <w:rPr>
          <w:szCs w:val="24"/>
          <w:lang w:val="en-IE"/>
        </w:rPr>
      </w:pPr>
      <w:r w:rsidRPr="0097516D">
        <w:rPr>
          <w:rStyle w:val="FootnoteReference"/>
          <w:lang w:val="en-IE"/>
        </w:rPr>
        <w:footnoteRef/>
      </w:r>
      <w:r w:rsidRPr="0097516D">
        <w:rPr>
          <w:lang w:val="en-IE"/>
        </w:rPr>
        <w:tab/>
        <w:t xml:space="preserve">As described in Section 1.3.2. ‘Specific objective(s)’ </w:t>
      </w:r>
    </w:p>
  </w:footnote>
  <w:footnote w:id="18">
    <w:p w14:paraId="7B7279DD" w14:textId="77777777" w:rsidR="00A56747" w:rsidRPr="002F13CA" w:rsidRDefault="00A56747" w:rsidP="00A56747">
      <w:pPr>
        <w:pStyle w:val="FootnoteText"/>
        <w:rPr>
          <w:lang w:val="en-IE"/>
        </w:rPr>
      </w:pPr>
      <w:r w:rsidRPr="0097516D">
        <w:rPr>
          <w:rStyle w:val="FootnoteReference"/>
          <w:lang w:val="en-IE"/>
        </w:rPr>
        <w:footnoteRef/>
      </w:r>
      <w:r w:rsidRPr="0097516D">
        <w:rPr>
          <w:lang w:val="en-IE"/>
        </w:rPr>
        <w:tab/>
      </w:r>
      <w:r w:rsidRPr="002F13CA">
        <w:rPr>
          <w:lang w:val="en-IE"/>
        </w:rPr>
        <w:t>Please specify below the table how many FTEs within the number indicated are already assigned to the management of the action and/or can be redeployed within your DG and what are your net needs.</w:t>
      </w:r>
    </w:p>
  </w:footnote>
  <w:footnote w:id="19">
    <w:p w14:paraId="71BA11FC" w14:textId="77777777" w:rsidR="00A56747" w:rsidRPr="0097516D" w:rsidRDefault="00A56747" w:rsidP="00A56747">
      <w:pPr>
        <w:pStyle w:val="FootnoteText"/>
        <w:rPr>
          <w:szCs w:val="24"/>
          <w:lang w:val="en-IE"/>
        </w:rPr>
      </w:pPr>
      <w:r w:rsidRPr="0097516D">
        <w:rPr>
          <w:rStyle w:val="FootnoteReference"/>
          <w:lang w:val="en-IE"/>
        </w:rPr>
        <w:footnoteRef/>
      </w:r>
      <w:r w:rsidRPr="0097516D">
        <w:rPr>
          <w:lang w:val="en-IE"/>
        </w:rPr>
        <w:tab/>
        <w:t>As regards traditional own resources (customs duties, sugar levies), the amounts indicated must be net amounts, i.e. gross amounts after deduction of 20%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71D0" w14:textId="77777777" w:rsidR="00A12408" w:rsidRDefault="00A1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F933" w14:textId="77777777" w:rsidR="00A12408" w:rsidRDefault="00A12408" w:rsidP="00A1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47E1" w14:textId="77777777" w:rsidR="00A12408" w:rsidRPr="00A12408" w:rsidRDefault="00A12408" w:rsidP="00A12408">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0B14" w14:textId="77777777" w:rsidR="00A12408" w:rsidRPr="00A12408" w:rsidRDefault="00A12408" w:rsidP="00A1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F06B74"/>
    <w:multiLevelType w:val="hybridMultilevel"/>
    <w:tmpl w:val="EB26B522"/>
    <w:lvl w:ilvl="0" w:tplc="1AE6318A">
      <w:start w:val="4"/>
      <w:numFmt w:val="bullet"/>
      <w:lvlText w:val="-"/>
      <w:lvlJc w:val="left"/>
      <w:pPr>
        <w:ind w:left="1210" w:hanging="360"/>
      </w:pPr>
      <w:rPr>
        <w:rFonts w:ascii="Times New Roman" w:hAnsi="Times New Roman" w:hint="default"/>
      </w:rPr>
    </w:lvl>
    <w:lvl w:ilvl="1" w:tplc="E85EEFDE" w:tentative="1">
      <w:start w:val="1"/>
      <w:numFmt w:val="bullet"/>
      <w:lvlText w:val="o"/>
      <w:lvlJc w:val="left"/>
      <w:pPr>
        <w:ind w:left="1930" w:hanging="360"/>
      </w:pPr>
      <w:rPr>
        <w:rFonts w:ascii="Courier New" w:hAnsi="Courier New" w:hint="default"/>
      </w:rPr>
    </w:lvl>
    <w:lvl w:ilvl="2" w:tplc="96DA8D0A" w:tentative="1">
      <w:start w:val="1"/>
      <w:numFmt w:val="bullet"/>
      <w:lvlText w:val=""/>
      <w:lvlJc w:val="left"/>
      <w:pPr>
        <w:ind w:left="2650" w:hanging="360"/>
      </w:pPr>
      <w:rPr>
        <w:rFonts w:ascii="Wingdings" w:hAnsi="Wingdings" w:hint="default"/>
      </w:rPr>
    </w:lvl>
    <w:lvl w:ilvl="3" w:tplc="374EF6BE" w:tentative="1">
      <w:start w:val="1"/>
      <w:numFmt w:val="bullet"/>
      <w:lvlText w:val=""/>
      <w:lvlJc w:val="left"/>
      <w:pPr>
        <w:ind w:left="3370" w:hanging="360"/>
      </w:pPr>
      <w:rPr>
        <w:rFonts w:ascii="Symbol" w:hAnsi="Symbol" w:hint="default"/>
      </w:rPr>
    </w:lvl>
    <w:lvl w:ilvl="4" w:tplc="58ECCE76" w:tentative="1">
      <w:start w:val="1"/>
      <w:numFmt w:val="bullet"/>
      <w:lvlText w:val="o"/>
      <w:lvlJc w:val="left"/>
      <w:pPr>
        <w:ind w:left="4090" w:hanging="360"/>
      </w:pPr>
      <w:rPr>
        <w:rFonts w:ascii="Courier New" w:hAnsi="Courier New" w:hint="default"/>
      </w:rPr>
    </w:lvl>
    <w:lvl w:ilvl="5" w:tplc="FEAA59BC" w:tentative="1">
      <w:start w:val="1"/>
      <w:numFmt w:val="bullet"/>
      <w:lvlText w:val=""/>
      <w:lvlJc w:val="left"/>
      <w:pPr>
        <w:ind w:left="4810" w:hanging="360"/>
      </w:pPr>
      <w:rPr>
        <w:rFonts w:ascii="Wingdings" w:hAnsi="Wingdings" w:hint="default"/>
      </w:rPr>
    </w:lvl>
    <w:lvl w:ilvl="6" w:tplc="F04AECEC" w:tentative="1">
      <w:start w:val="1"/>
      <w:numFmt w:val="bullet"/>
      <w:lvlText w:val=""/>
      <w:lvlJc w:val="left"/>
      <w:pPr>
        <w:ind w:left="5530" w:hanging="360"/>
      </w:pPr>
      <w:rPr>
        <w:rFonts w:ascii="Symbol" w:hAnsi="Symbol" w:hint="default"/>
      </w:rPr>
    </w:lvl>
    <w:lvl w:ilvl="7" w:tplc="A7D05560" w:tentative="1">
      <w:start w:val="1"/>
      <w:numFmt w:val="bullet"/>
      <w:lvlText w:val="o"/>
      <w:lvlJc w:val="left"/>
      <w:pPr>
        <w:ind w:left="6250" w:hanging="360"/>
      </w:pPr>
      <w:rPr>
        <w:rFonts w:ascii="Courier New" w:hAnsi="Courier New" w:hint="default"/>
      </w:rPr>
    </w:lvl>
    <w:lvl w:ilvl="8" w:tplc="CA14E1F8" w:tentative="1">
      <w:start w:val="1"/>
      <w:numFmt w:val="bullet"/>
      <w:lvlText w:val=""/>
      <w:lvlJc w:val="left"/>
      <w:pPr>
        <w:ind w:left="6970" w:hanging="360"/>
      </w:pPr>
      <w:rPr>
        <w:rFonts w:ascii="Wingdings" w:hAnsi="Wingdings" w:hint="default"/>
      </w:r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3523"/>
        </w:tabs>
        <w:ind w:left="3523"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53231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732484">
    <w:abstractNumId w:val="0"/>
  </w:num>
  <w:num w:numId="3" w16cid:durableId="2109084528">
    <w:abstractNumId w:val="21"/>
  </w:num>
  <w:num w:numId="4" w16cid:durableId="239677461">
    <w:abstractNumId w:val="9"/>
  </w:num>
  <w:num w:numId="5" w16cid:durableId="1381827774">
    <w:abstractNumId w:val="18"/>
  </w:num>
  <w:num w:numId="6" w16cid:durableId="1291983074">
    <w:abstractNumId w:val="17"/>
  </w:num>
  <w:num w:numId="7" w16cid:durableId="1888494787">
    <w:abstractNumId w:val="28"/>
  </w:num>
  <w:num w:numId="8" w16cid:durableId="2001613957">
    <w:abstractNumId w:val="25"/>
  </w:num>
  <w:num w:numId="9" w16cid:durableId="191841962">
    <w:abstractNumId w:val="29"/>
  </w:num>
  <w:num w:numId="10" w16cid:durableId="400252902">
    <w:abstractNumId w:val="30"/>
  </w:num>
  <w:num w:numId="11" w16cid:durableId="1771394413">
    <w:abstractNumId w:val="1"/>
  </w:num>
  <w:num w:numId="12" w16cid:durableId="1963032045">
    <w:abstractNumId w:val="11"/>
  </w:num>
  <w:num w:numId="13" w16cid:durableId="1518275014">
    <w:abstractNumId w:val="2"/>
  </w:num>
  <w:num w:numId="14" w16cid:durableId="591738811">
    <w:abstractNumId w:val="12"/>
  </w:num>
  <w:num w:numId="15" w16cid:durableId="935282756">
    <w:abstractNumId w:val="10"/>
  </w:num>
  <w:num w:numId="16" w16cid:durableId="2113740049">
    <w:abstractNumId w:val="19"/>
  </w:num>
  <w:num w:numId="17" w16cid:durableId="126247503">
    <w:abstractNumId w:val="8"/>
  </w:num>
  <w:num w:numId="18" w16cid:durableId="2080008060">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6328135">
    <w:abstractNumId w:val="5"/>
  </w:num>
  <w:num w:numId="20" w16cid:durableId="498083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6687398">
    <w:abstractNumId w:val="24"/>
    <w:lvlOverride w:ilvl="0">
      <w:startOverride w:val="1"/>
    </w:lvlOverride>
  </w:num>
  <w:num w:numId="22" w16cid:durableId="1426611833">
    <w:abstractNumId w:val="31"/>
    <w:lvlOverride w:ilvl="0">
      <w:startOverride w:val="1"/>
    </w:lvlOverride>
  </w:num>
  <w:num w:numId="23" w16cid:durableId="494346971">
    <w:abstractNumId w:val="24"/>
  </w:num>
  <w:num w:numId="24" w16cid:durableId="320500113">
    <w:abstractNumId w:val="13"/>
  </w:num>
  <w:num w:numId="25" w16cid:durableId="698701328">
    <w:abstractNumId w:val="27"/>
  </w:num>
  <w:num w:numId="26" w16cid:durableId="1480149318">
    <w:abstractNumId w:val="7"/>
  </w:num>
  <w:num w:numId="27" w16cid:durableId="803036225">
    <w:abstractNumId w:val="14"/>
  </w:num>
  <w:num w:numId="28" w16cid:durableId="80033084">
    <w:abstractNumId w:val="15"/>
  </w:num>
  <w:num w:numId="29" w16cid:durableId="852577160">
    <w:abstractNumId w:val="4"/>
  </w:num>
  <w:num w:numId="30" w16cid:durableId="1745569181">
    <w:abstractNumId w:val="26"/>
  </w:num>
  <w:num w:numId="31" w16cid:durableId="2104061778">
    <w:abstractNumId w:val="3"/>
  </w:num>
  <w:num w:numId="32" w16cid:durableId="1541045588">
    <w:abstractNumId w:val="16"/>
  </w:num>
  <w:num w:numId="33" w16cid:durableId="889268253">
    <w:abstractNumId w:val="22"/>
  </w:num>
  <w:num w:numId="34" w16cid:durableId="1805074393">
    <w:abstractNumId w:val="23"/>
  </w:num>
  <w:num w:numId="35" w16cid:durableId="733087046">
    <w:abstractNumId w:val="6"/>
  </w:num>
  <w:num w:numId="36" w16cid:durableId="1764178886">
    <w:abstractNumId w:val="20"/>
  </w:num>
  <w:num w:numId="37" w16cid:durableId="612977939">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hideSpellingErrors/>
  <w:hideGrammaticalErrors/>
  <w:proofState w:spelling="clean" w:grammar="clean"/>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DQCDateTime" w:val="2025-03-31 14:01: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AFDCB18C-688C-4AE0-83DB-E2B745B3AEC8"/>
    <w:docVar w:name="LW_COVERPAGE_TYPE" w:val="1"/>
    <w:docVar w:name="LW_CreatedUtc" w:val="2025-03-12T07:50:45.9127408Z"/>
    <w:docVar w:name="LW_CROSSREFERENCE" w:val="&lt;UNUSED&gt;"/>
    <w:docVar w:name="LW_DocType" w:val="COM"/>
    <w:docVar w:name="LW_EMISSION" w:val="1.4.2025"/>
    <w:docVar w:name="LW_EMISSION_ISODATE" w:val="2025-04-01"/>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84"/>
    <w:docVar w:name="LW_REF.II.NEW.CP_YEAR" w:val="2025"/>
    <w:docVar w:name="LW_REF.INST.NEW" w:val="COM"/>
    <w:docVar w:name="LW_REF.INST.NEW_ADOPTED" w:val="final"/>
    <w:docVar w:name="LW_REF.INST.NEW_TEXT" w:val="(2025) 12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s (EU) 2021/1058 and (EU) 2021/1056 as regards specific measures to address strategic challenges in the context of the mid-term review"/>
    <w:docVar w:name="LW_TYPE.DOC.CP" w:val="REGULATION OF THE EUROPEAN PARLIAMENT AND OF THE COUNCIL"/>
    <w:docVar w:name="LwApiVersions" w:val="LW4CoDe 1.24.5.0; LW 9.0, Build 20240221"/>
  </w:docVars>
  <w:rsids>
    <w:rsidRoot w:val="000852D5"/>
    <w:rsid w:val="00000607"/>
    <w:rsid w:val="00001D33"/>
    <w:rsid w:val="00001E07"/>
    <w:rsid w:val="00002605"/>
    <w:rsid w:val="00002A9F"/>
    <w:rsid w:val="00002FA1"/>
    <w:rsid w:val="000031B2"/>
    <w:rsid w:val="00003490"/>
    <w:rsid w:val="000039C2"/>
    <w:rsid w:val="00003A40"/>
    <w:rsid w:val="00004B8E"/>
    <w:rsid w:val="00006943"/>
    <w:rsid w:val="00006FE3"/>
    <w:rsid w:val="00007482"/>
    <w:rsid w:val="0000754E"/>
    <w:rsid w:val="000078F6"/>
    <w:rsid w:val="0001089A"/>
    <w:rsid w:val="00011AA8"/>
    <w:rsid w:val="00012813"/>
    <w:rsid w:val="00012D8E"/>
    <w:rsid w:val="0001332A"/>
    <w:rsid w:val="0001347C"/>
    <w:rsid w:val="00013623"/>
    <w:rsid w:val="00013665"/>
    <w:rsid w:val="0001385B"/>
    <w:rsid w:val="000139BC"/>
    <w:rsid w:val="00013ED9"/>
    <w:rsid w:val="000142DB"/>
    <w:rsid w:val="00014613"/>
    <w:rsid w:val="00014F86"/>
    <w:rsid w:val="000153E2"/>
    <w:rsid w:val="00015873"/>
    <w:rsid w:val="00016BA1"/>
    <w:rsid w:val="00016C86"/>
    <w:rsid w:val="00016D6E"/>
    <w:rsid w:val="0001727E"/>
    <w:rsid w:val="000174DB"/>
    <w:rsid w:val="00017F77"/>
    <w:rsid w:val="0002011E"/>
    <w:rsid w:val="000212F4"/>
    <w:rsid w:val="00021305"/>
    <w:rsid w:val="00021906"/>
    <w:rsid w:val="00021B19"/>
    <w:rsid w:val="00023E1A"/>
    <w:rsid w:val="0002438D"/>
    <w:rsid w:val="00024CDF"/>
    <w:rsid w:val="000256C7"/>
    <w:rsid w:val="000258AE"/>
    <w:rsid w:val="000277FC"/>
    <w:rsid w:val="00027D8C"/>
    <w:rsid w:val="00027F2A"/>
    <w:rsid w:val="00027F81"/>
    <w:rsid w:val="00030D3A"/>
    <w:rsid w:val="00030E2D"/>
    <w:rsid w:val="00032A6C"/>
    <w:rsid w:val="00032AC3"/>
    <w:rsid w:val="00033F51"/>
    <w:rsid w:val="000349D5"/>
    <w:rsid w:val="00035320"/>
    <w:rsid w:val="0003636F"/>
    <w:rsid w:val="00036584"/>
    <w:rsid w:val="00036D53"/>
    <w:rsid w:val="00037033"/>
    <w:rsid w:val="000373A1"/>
    <w:rsid w:val="00037D9D"/>
    <w:rsid w:val="00040039"/>
    <w:rsid w:val="00040786"/>
    <w:rsid w:val="00040D51"/>
    <w:rsid w:val="0004107F"/>
    <w:rsid w:val="00041485"/>
    <w:rsid w:val="00041550"/>
    <w:rsid w:val="00043036"/>
    <w:rsid w:val="0004343C"/>
    <w:rsid w:val="00043EE1"/>
    <w:rsid w:val="000443DD"/>
    <w:rsid w:val="00044414"/>
    <w:rsid w:val="00044E4D"/>
    <w:rsid w:val="0004628F"/>
    <w:rsid w:val="000467F4"/>
    <w:rsid w:val="00046848"/>
    <w:rsid w:val="00047D87"/>
    <w:rsid w:val="000517E5"/>
    <w:rsid w:val="000518E5"/>
    <w:rsid w:val="000526A6"/>
    <w:rsid w:val="00052C16"/>
    <w:rsid w:val="00052C1C"/>
    <w:rsid w:val="00052D96"/>
    <w:rsid w:val="000541CD"/>
    <w:rsid w:val="000544E6"/>
    <w:rsid w:val="00054FF3"/>
    <w:rsid w:val="00055598"/>
    <w:rsid w:val="00055873"/>
    <w:rsid w:val="00060144"/>
    <w:rsid w:val="00060A71"/>
    <w:rsid w:val="00060F9A"/>
    <w:rsid w:val="000614DE"/>
    <w:rsid w:val="00061925"/>
    <w:rsid w:val="00061B7D"/>
    <w:rsid w:val="00061D69"/>
    <w:rsid w:val="000626AC"/>
    <w:rsid w:val="00062DEF"/>
    <w:rsid w:val="000635E9"/>
    <w:rsid w:val="00063A3E"/>
    <w:rsid w:val="00064069"/>
    <w:rsid w:val="00064234"/>
    <w:rsid w:val="00064485"/>
    <w:rsid w:val="0006518C"/>
    <w:rsid w:val="000659E6"/>
    <w:rsid w:val="00065F58"/>
    <w:rsid w:val="0006603C"/>
    <w:rsid w:val="000669D2"/>
    <w:rsid w:val="000673F7"/>
    <w:rsid w:val="000718E7"/>
    <w:rsid w:val="0007229F"/>
    <w:rsid w:val="00072BB9"/>
    <w:rsid w:val="00073068"/>
    <w:rsid w:val="00073A7D"/>
    <w:rsid w:val="00073DF6"/>
    <w:rsid w:val="0007429F"/>
    <w:rsid w:val="00074B09"/>
    <w:rsid w:val="00075A19"/>
    <w:rsid w:val="00075C40"/>
    <w:rsid w:val="00076962"/>
    <w:rsid w:val="00076A45"/>
    <w:rsid w:val="00077360"/>
    <w:rsid w:val="000774D6"/>
    <w:rsid w:val="000808A2"/>
    <w:rsid w:val="000808F9"/>
    <w:rsid w:val="000817D3"/>
    <w:rsid w:val="000821BB"/>
    <w:rsid w:val="00082566"/>
    <w:rsid w:val="000848A7"/>
    <w:rsid w:val="000852D5"/>
    <w:rsid w:val="00085F57"/>
    <w:rsid w:val="000861FA"/>
    <w:rsid w:val="0008689F"/>
    <w:rsid w:val="00086F1B"/>
    <w:rsid w:val="000874AA"/>
    <w:rsid w:val="00087AC9"/>
    <w:rsid w:val="00090645"/>
    <w:rsid w:val="000912EE"/>
    <w:rsid w:val="00091321"/>
    <w:rsid w:val="00091F92"/>
    <w:rsid w:val="00092134"/>
    <w:rsid w:val="000924F4"/>
    <w:rsid w:val="00092D39"/>
    <w:rsid w:val="00093870"/>
    <w:rsid w:val="00093E9D"/>
    <w:rsid w:val="000959EB"/>
    <w:rsid w:val="00096187"/>
    <w:rsid w:val="000967A7"/>
    <w:rsid w:val="00096ED5"/>
    <w:rsid w:val="000A0867"/>
    <w:rsid w:val="000A0998"/>
    <w:rsid w:val="000A0A6A"/>
    <w:rsid w:val="000A1E0E"/>
    <w:rsid w:val="000A2C75"/>
    <w:rsid w:val="000A2D0C"/>
    <w:rsid w:val="000A49B7"/>
    <w:rsid w:val="000A4AC9"/>
    <w:rsid w:val="000A513C"/>
    <w:rsid w:val="000A5C83"/>
    <w:rsid w:val="000A69AB"/>
    <w:rsid w:val="000A71DE"/>
    <w:rsid w:val="000A78E9"/>
    <w:rsid w:val="000B0828"/>
    <w:rsid w:val="000B085F"/>
    <w:rsid w:val="000B1089"/>
    <w:rsid w:val="000B1372"/>
    <w:rsid w:val="000B1A30"/>
    <w:rsid w:val="000B2375"/>
    <w:rsid w:val="000B268B"/>
    <w:rsid w:val="000B2E8F"/>
    <w:rsid w:val="000B32CE"/>
    <w:rsid w:val="000B52F8"/>
    <w:rsid w:val="000B5E06"/>
    <w:rsid w:val="000B6698"/>
    <w:rsid w:val="000B6B8C"/>
    <w:rsid w:val="000B6DBB"/>
    <w:rsid w:val="000B7D90"/>
    <w:rsid w:val="000B7F6C"/>
    <w:rsid w:val="000C0511"/>
    <w:rsid w:val="000C0C94"/>
    <w:rsid w:val="000C0DCF"/>
    <w:rsid w:val="000C1588"/>
    <w:rsid w:val="000C250C"/>
    <w:rsid w:val="000C370F"/>
    <w:rsid w:val="000C41B1"/>
    <w:rsid w:val="000C45E0"/>
    <w:rsid w:val="000C467C"/>
    <w:rsid w:val="000C62F7"/>
    <w:rsid w:val="000C6584"/>
    <w:rsid w:val="000C6F46"/>
    <w:rsid w:val="000C7264"/>
    <w:rsid w:val="000C75A6"/>
    <w:rsid w:val="000C7902"/>
    <w:rsid w:val="000C79AB"/>
    <w:rsid w:val="000C7F05"/>
    <w:rsid w:val="000D1FE7"/>
    <w:rsid w:val="000D4586"/>
    <w:rsid w:val="000D488B"/>
    <w:rsid w:val="000D4F0F"/>
    <w:rsid w:val="000D5360"/>
    <w:rsid w:val="000D5B8C"/>
    <w:rsid w:val="000D6138"/>
    <w:rsid w:val="000D6644"/>
    <w:rsid w:val="000D6862"/>
    <w:rsid w:val="000D715E"/>
    <w:rsid w:val="000D75D5"/>
    <w:rsid w:val="000D7999"/>
    <w:rsid w:val="000D7B3C"/>
    <w:rsid w:val="000D7C4C"/>
    <w:rsid w:val="000E0103"/>
    <w:rsid w:val="000E03EF"/>
    <w:rsid w:val="000E0496"/>
    <w:rsid w:val="000E07C4"/>
    <w:rsid w:val="000E0947"/>
    <w:rsid w:val="000E0E0F"/>
    <w:rsid w:val="000E192B"/>
    <w:rsid w:val="000E1DF8"/>
    <w:rsid w:val="000E25B4"/>
    <w:rsid w:val="000E3456"/>
    <w:rsid w:val="000E365B"/>
    <w:rsid w:val="000E36C0"/>
    <w:rsid w:val="000E3A1B"/>
    <w:rsid w:val="000E3C8F"/>
    <w:rsid w:val="000E4102"/>
    <w:rsid w:val="000E42F9"/>
    <w:rsid w:val="000E49B7"/>
    <w:rsid w:val="000E54BB"/>
    <w:rsid w:val="000E7027"/>
    <w:rsid w:val="000E7183"/>
    <w:rsid w:val="000E7561"/>
    <w:rsid w:val="000F01B4"/>
    <w:rsid w:val="000F03D2"/>
    <w:rsid w:val="000F2ED0"/>
    <w:rsid w:val="000F376A"/>
    <w:rsid w:val="000F40B9"/>
    <w:rsid w:val="00100C5B"/>
    <w:rsid w:val="00100D26"/>
    <w:rsid w:val="00101A17"/>
    <w:rsid w:val="00101D9A"/>
    <w:rsid w:val="00102FF4"/>
    <w:rsid w:val="001031B6"/>
    <w:rsid w:val="00103228"/>
    <w:rsid w:val="001036F5"/>
    <w:rsid w:val="00103909"/>
    <w:rsid w:val="00103B2F"/>
    <w:rsid w:val="00104E6C"/>
    <w:rsid w:val="001054AC"/>
    <w:rsid w:val="00105EE3"/>
    <w:rsid w:val="001065F5"/>
    <w:rsid w:val="0010674B"/>
    <w:rsid w:val="0010784E"/>
    <w:rsid w:val="00107B56"/>
    <w:rsid w:val="00110674"/>
    <w:rsid w:val="00110B04"/>
    <w:rsid w:val="00110D83"/>
    <w:rsid w:val="00111CEE"/>
    <w:rsid w:val="001127EF"/>
    <w:rsid w:val="00112847"/>
    <w:rsid w:val="00112AF0"/>
    <w:rsid w:val="00112C76"/>
    <w:rsid w:val="00112C97"/>
    <w:rsid w:val="00113793"/>
    <w:rsid w:val="00113BEE"/>
    <w:rsid w:val="001141DE"/>
    <w:rsid w:val="00114B91"/>
    <w:rsid w:val="00115374"/>
    <w:rsid w:val="00115660"/>
    <w:rsid w:val="0011580C"/>
    <w:rsid w:val="00116635"/>
    <w:rsid w:val="001179E4"/>
    <w:rsid w:val="00117F2F"/>
    <w:rsid w:val="0011AEF5"/>
    <w:rsid w:val="00120899"/>
    <w:rsid w:val="00120960"/>
    <w:rsid w:val="00120A4A"/>
    <w:rsid w:val="00120B18"/>
    <w:rsid w:val="00121459"/>
    <w:rsid w:val="00121AE5"/>
    <w:rsid w:val="00121E46"/>
    <w:rsid w:val="00123577"/>
    <w:rsid w:val="001238A2"/>
    <w:rsid w:val="001238EF"/>
    <w:rsid w:val="001245E3"/>
    <w:rsid w:val="00125620"/>
    <w:rsid w:val="001259DB"/>
    <w:rsid w:val="00126E06"/>
    <w:rsid w:val="00127938"/>
    <w:rsid w:val="001301D4"/>
    <w:rsid w:val="00130F9B"/>
    <w:rsid w:val="00132B0C"/>
    <w:rsid w:val="00133B2F"/>
    <w:rsid w:val="00134644"/>
    <w:rsid w:val="001347F0"/>
    <w:rsid w:val="00135808"/>
    <w:rsid w:val="00136B2C"/>
    <w:rsid w:val="00137411"/>
    <w:rsid w:val="0013A634"/>
    <w:rsid w:val="0014040E"/>
    <w:rsid w:val="0014172E"/>
    <w:rsid w:val="00143529"/>
    <w:rsid w:val="00143E50"/>
    <w:rsid w:val="001448E9"/>
    <w:rsid w:val="00144989"/>
    <w:rsid w:val="00144C9F"/>
    <w:rsid w:val="00145FCD"/>
    <w:rsid w:val="00147708"/>
    <w:rsid w:val="00150034"/>
    <w:rsid w:val="001504E4"/>
    <w:rsid w:val="00150883"/>
    <w:rsid w:val="00150A54"/>
    <w:rsid w:val="00150DF5"/>
    <w:rsid w:val="00151148"/>
    <w:rsid w:val="00151318"/>
    <w:rsid w:val="001514A5"/>
    <w:rsid w:val="00151609"/>
    <w:rsid w:val="00151B47"/>
    <w:rsid w:val="0015234D"/>
    <w:rsid w:val="00152364"/>
    <w:rsid w:val="00153475"/>
    <w:rsid w:val="00153C61"/>
    <w:rsid w:val="00153FAC"/>
    <w:rsid w:val="00154051"/>
    <w:rsid w:val="001548DA"/>
    <w:rsid w:val="00155FB9"/>
    <w:rsid w:val="00156008"/>
    <w:rsid w:val="001565D0"/>
    <w:rsid w:val="00156CAD"/>
    <w:rsid w:val="0016073A"/>
    <w:rsid w:val="001607D6"/>
    <w:rsid w:val="0016101C"/>
    <w:rsid w:val="00161829"/>
    <w:rsid w:val="00161F15"/>
    <w:rsid w:val="00162850"/>
    <w:rsid w:val="0016313B"/>
    <w:rsid w:val="001633A8"/>
    <w:rsid w:val="001646C9"/>
    <w:rsid w:val="00164ED0"/>
    <w:rsid w:val="0016553F"/>
    <w:rsid w:val="001655E7"/>
    <w:rsid w:val="001659A8"/>
    <w:rsid w:val="00165F1F"/>
    <w:rsid w:val="00166762"/>
    <w:rsid w:val="00166892"/>
    <w:rsid w:val="00166A94"/>
    <w:rsid w:val="00166B10"/>
    <w:rsid w:val="00167C94"/>
    <w:rsid w:val="00167EFF"/>
    <w:rsid w:val="00167F5C"/>
    <w:rsid w:val="0017016F"/>
    <w:rsid w:val="001705AB"/>
    <w:rsid w:val="0017085D"/>
    <w:rsid w:val="00170AF9"/>
    <w:rsid w:val="0017137F"/>
    <w:rsid w:val="00173506"/>
    <w:rsid w:val="00173628"/>
    <w:rsid w:val="00174156"/>
    <w:rsid w:val="001751BD"/>
    <w:rsid w:val="0017526C"/>
    <w:rsid w:val="00175C8B"/>
    <w:rsid w:val="00176539"/>
    <w:rsid w:val="00176A98"/>
    <w:rsid w:val="00177EA8"/>
    <w:rsid w:val="00177F91"/>
    <w:rsid w:val="0018070E"/>
    <w:rsid w:val="00180AEC"/>
    <w:rsid w:val="001816D7"/>
    <w:rsid w:val="001818DA"/>
    <w:rsid w:val="001824CC"/>
    <w:rsid w:val="001825B5"/>
    <w:rsid w:val="001825CE"/>
    <w:rsid w:val="00183A9E"/>
    <w:rsid w:val="001843CA"/>
    <w:rsid w:val="001845DB"/>
    <w:rsid w:val="00184F45"/>
    <w:rsid w:val="00190071"/>
    <w:rsid w:val="001900EE"/>
    <w:rsid w:val="001907D9"/>
    <w:rsid w:val="001912B5"/>
    <w:rsid w:val="00192517"/>
    <w:rsid w:val="001925B1"/>
    <w:rsid w:val="00192995"/>
    <w:rsid w:val="00192B1A"/>
    <w:rsid w:val="00192F48"/>
    <w:rsid w:val="00192F8F"/>
    <w:rsid w:val="00193083"/>
    <w:rsid w:val="001938CF"/>
    <w:rsid w:val="00193A8B"/>
    <w:rsid w:val="00193E64"/>
    <w:rsid w:val="001940CE"/>
    <w:rsid w:val="00194399"/>
    <w:rsid w:val="00194479"/>
    <w:rsid w:val="00194A7E"/>
    <w:rsid w:val="00194B1C"/>
    <w:rsid w:val="00194D75"/>
    <w:rsid w:val="00195A44"/>
    <w:rsid w:val="0019740E"/>
    <w:rsid w:val="00197613"/>
    <w:rsid w:val="00197BC1"/>
    <w:rsid w:val="001A0915"/>
    <w:rsid w:val="001A0D59"/>
    <w:rsid w:val="001A0FE3"/>
    <w:rsid w:val="001A2313"/>
    <w:rsid w:val="001A2493"/>
    <w:rsid w:val="001A257C"/>
    <w:rsid w:val="001A25EC"/>
    <w:rsid w:val="001A333A"/>
    <w:rsid w:val="001A3BBE"/>
    <w:rsid w:val="001A3FB9"/>
    <w:rsid w:val="001A6653"/>
    <w:rsid w:val="001A6872"/>
    <w:rsid w:val="001A71A9"/>
    <w:rsid w:val="001A7A90"/>
    <w:rsid w:val="001B1DF0"/>
    <w:rsid w:val="001B20B8"/>
    <w:rsid w:val="001B2888"/>
    <w:rsid w:val="001B2C4E"/>
    <w:rsid w:val="001B35D8"/>
    <w:rsid w:val="001B3A34"/>
    <w:rsid w:val="001B3FA3"/>
    <w:rsid w:val="001B4049"/>
    <w:rsid w:val="001B46D0"/>
    <w:rsid w:val="001B489F"/>
    <w:rsid w:val="001B67AC"/>
    <w:rsid w:val="001B6C6C"/>
    <w:rsid w:val="001B7593"/>
    <w:rsid w:val="001B7622"/>
    <w:rsid w:val="001B786D"/>
    <w:rsid w:val="001C0159"/>
    <w:rsid w:val="001C0263"/>
    <w:rsid w:val="001C0496"/>
    <w:rsid w:val="001C13C0"/>
    <w:rsid w:val="001C1B4D"/>
    <w:rsid w:val="001C1C88"/>
    <w:rsid w:val="001C3C95"/>
    <w:rsid w:val="001C4774"/>
    <w:rsid w:val="001C47F8"/>
    <w:rsid w:val="001C49F9"/>
    <w:rsid w:val="001C5518"/>
    <w:rsid w:val="001C5CFD"/>
    <w:rsid w:val="001C68F4"/>
    <w:rsid w:val="001C71B4"/>
    <w:rsid w:val="001C7701"/>
    <w:rsid w:val="001C78AC"/>
    <w:rsid w:val="001D0CDD"/>
    <w:rsid w:val="001D14DA"/>
    <w:rsid w:val="001D186F"/>
    <w:rsid w:val="001D1950"/>
    <w:rsid w:val="001D1D83"/>
    <w:rsid w:val="001D1E9B"/>
    <w:rsid w:val="001D2390"/>
    <w:rsid w:val="001D32E6"/>
    <w:rsid w:val="001D3BC5"/>
    <w:rsid w:val="001D3C17"/>
    <w:rsid w:val="001D4374"/>
    <w:rsid w:val="001D451E"/>
    <w:rsid w:val="001D4C91"/>
    <w:rsid w:val="001D4CB0"/>
    <w:rsid w:val="001D5252"/>
    <w:rsid w:val="001D531A"/>
    <w:rsid w:val="001D57B4"/>
    <w:rsid w:val="001D5D32"/>
    <w:rsid w:val="001D6095"/>
    <w:rsid w:val="001D64BE"/>
    <w:rsid w:val="001D6D56"/>
    <w:rsid w:val="001E04BD"/>
    <w:rsid w:val="001E0E3F"/>
    <w:rsid w:val="001E1FCB"/>
    <w:rsid w:val="001E2609"/>
    <w:rsid w:val="001E2C3B"/>
    <w:rsid w:val="001E3513"/>
    <w:rsid w:val="001E46F2"/>
    <w:rsid w:val="001E5FA0"/>
    <w:rsid w:val="001E6740"/>
    <w:rsid w:val="001E682B"/>
    <w:rsid w:val="001E7380"/>
    <w:rsid w:val="001F044D"/>
    <w:rsid w:val="001F17F0"/>
    <w:rsid w:val="001F22D3"/>
    <w:rsid w:val="001F342A"/>
    <w:rsid w:val="001F3869"/>
    <w:rsid w:val="001F4536"/>
    <w:rsid w:val="001F5D38"/>
    <w:rsid w:val="001F6023"/>
    <w:rsid w:val="001F6C05"/>
    <w:rsid w:val="001F6EA5"/>
    <w:rsid w:val="001F7DF4"/>
    <w:rsid w:val="00201DC1"/>
    <w:rsid w:val="0020232A"/>
    <w:rsid w:val="002027EF"/>
    <w:rsid w:val="00202D3C"/>
    <w:rsid w:val="00202F2D"/>
    <w:rsid w:val="002037B2"/>
    <w:rsid w:val="00203914"/>
    <w:rsid w:val="00203F56"/>
    <w:rsid w:val="00204514"/>
    <w:rsid w:val="00204E65"/>
    <w:rsid w:val="002062B0"/>
    <w:rsid w:val="00206C58"/>
    <w:rsid w:val="00207EB0"/>
    <w:rsid w:val="00210DD3"/>
    <w:rsid w:val="00210EA6"/>
    <w:rsid w:val="00211730"/>
    <w:rsid w:val="00211E79"/>
    <w:rsid w:val="00212AE4"/>
    <w:rsid w:val="00213748"/>
    <w:rsid w:val="0021379F"/>
    <w:rsid w:val="00213926"/>
    <w:rsid w:val="00213F2E"/>
    <w:rsid w:val="0021470B"/>
    <w:rsid w:val="00214775"/>
    <w:rsid w:val="002149AB"/>
    <w:rsid w:val="00214D09"/>
    <w:rsid w:val="0021508C"/>
    <w:rsid w:val="00215F6A"/>
    <w:rsid w:val="00216845"/>
    <w:rsid w:val="00220C28"/>
    <w:rsid w:val="00221129"/>
    <w:rsid w:val="002219EA"/>
    <w:rsid w:val="00222896"/>
    <w:rsid w:val="00222F80"/>
    <w:rsid w:val="0022339C"/>
    <w:rsid w:val="00224479"/>
    <w:rsid w:val="00224C2B"/>
    <w:rsid w:val="00224F88"/>
    <w:rsid w:val="00225702"/>
    <w:rsid w:val="00225799"/>
    <w:rsid w:val="002258CF"/>
    <w:rsid w:val="00225928"/>
    <w:rsid w:val="00225CD6"/>
    <w:rsid w:val="0022647F"/>
    <w:rsid w:val="002265E4"/>
    <w:rsid w:val="00226E16"/>
    <w:rsid w:val="00227848"/>
    <w:rsid w:val="00230C55"/>
    <w:rsid w:val="00230D13"/>
    <w:rsid w:val="0023102A"/>
    <w:rsid w:val="00231CF0"/>
    <w:rsid w:val="00233602"/>
    <w:rsid w:val="00233DC7"/>
    <w:rsid w:val="00234C7B"/>
    <w:rsid w:val="00235526"/>
    <w:rsid w:val="00235D0A"/>
    <w:rsid w:val="002365AF"/>
    <w:rsid w:val="00236A79"/>
    <w:rsid w:val="002372C8"/>
    <w:rsid w:val="002410A0"/>
    <w:rsid w:val="0024214D"/>
    <w:rsid w:val="00242B38"/>
    <w:rsid w:val="002449D6"/>
    <w:rsid w:val="00244F37"/>
    <w:rsid w:val="00246AAC"/>
    <w:rsid w:val="00246E2C"/>
    <w:rsid w:val="00246F52"/>
    <w:rsid w:val="00247152"/>
    <w:rsid w:val="00247779"/>
    <w:rsid w:val="00247A7B"/>
    <w:rsid w:val="0025052C"/>
    <w:rsid w:val="002506B8"/>
    <w:rsid w:val="00250BC8"/>
    <w:rsid w:val="002518F4"/>
    <w:rsid w:val="00252EF8"/>
    <w:rsid w:val="00254898"/>
    <w:rsid w:val="00254987"/>
    <w:rsid w:val="00254B72"/>
    <w:rsid w:val="002553E4"/>
    <w:rsid w:val="0025563B"/>
    <w:rsid w:val="00256027"/>
    <w:rsid w:val="00256039"/>
    <w:rsid w:val="002572CC"/>
    <w:rsid w:val="0025749B"/>
    <w:rsid w:val="00261AD4"/>
    <w:rsid w:val="00262E62"/>
    <w:rsid w:val="00262F92"/>
    <w:rsid w:val="00263612"/>
    <w:rsid w:val="00263AD9"/>
    <w:rsid w:val="002652EB"/>
    <w:rsid w:val="00265ECE"/>
    <w:rsid w:val="00266352"/>
    <w:rsid w:val="002670E4"/>
    <w:rsid w:val="00267305"/>
    <w:rsid w:val="00267750"/>
    <w:rsid w:val="00267B78"/>
    <w:rsid w:val="00268263"/>
    <w:rsid w:val="002706F2"/>
    <w:rsid w:val="00270C51"/>
    <w:rsid w:val="00271480"/>
    <w:rsid w:val="002715F3"/>
    <w:rsid w:val="002719BC"/>
    <w:rsid w:val="00272666"/>
    <w:rsid w:val="00272E70"/>
    <w:rsid w:val="0027327E"/>
    <w:rsid w:val="00273BF0"/>
    <w:rsid w:val="00273F32"/>
    <w:rsid w:val="00275464"/>
    <w:rsid w:val="00276A87"/>
    <w:rsid w:val="00277502"/>
    <w:rsid w:val="0028005E"/>
    <w:rsid w:val="00282879"/>
    <w:rsid w:val="002829F9"/>
    <w:rsid w:val="00282C31"/>
    <w:rsid w:val="00282D7C"/>
    <w:rsid w:val="00283037"/>
    <w:rsid w:val="00283686"/>
    <w:rsid w:val="00283CFE"/>
    <w:rsid w:val="00283EC8"/>
    <w:rsid w:val="002843B3"/>
    <w:rsid w:val="00284832"/>
    <w:rsid w:val="00284FA0"/>
    <w:rsid w:val="00285350"/>
    <w:rsid w:val="00285B8D"/>
    <w:rsid w:val="00285BEE"/>
    <w:rsid w:val="0028738F"/>
    <w:rsid w:val="00287465"/>
    <w:rsid w:val="0028756E"/>
    <w:rsid w:val="002878BA"/>
    <w:rsid w:val="00287E69"/>
    <w:rsid w:val="00290316"/>
    <w:rsid w:val="002908B9"/>
    <w:rsid w:val="0029137E"/>
    <w:rsid w:val="00291FC5"/>
    <w:rsid w:val="002932BB"/>
    <w:rsid w:val="0029374D"/>
    <w:rsid w:val="00294EB9"/>
    <w:rsid w:val="0029528F"/>
    <w:rsid w:val="0029533F"/>
    <w:rsid w:val="0029692B"/>
    <w:rsid w:val="00296949"/>
    <w:rsid w:val="00296F9E"/>
    <w:rsid w:val="002A0005"/>
    <w:rsid w:val="002A173C"/>
    <w:rsid w:val="002A17FC"/>
    <w:rsid w:val="002A1B90"/>
    <w:rsid w:val="002A2140"/>
    <w:rsid w:val="002A4880"/>
    <w:rsid w:val="002A4EDC"/>
    <w:rsid w:val="002A52C0"/>
    <w:rsid w:val="002A5C71"/>
    <w:rsid w:val="002A6B75"/>
    <w:rsid w:val="002A6C29"/>
    <w:rsid w:val="002A6E50"/>
    <w:rsid w:val="002A71DD"/>
    <w:rsid w:val="002A7262"/>
    <w:rsid w:val="002A7D49"/>
    <w:rsid w:val="002B019F"/>
    <w:rsid w:val="002B050C"/>
    <w:rsid w:val="002B08E5"/>
    <w:rsid w:val="002B0BC5"/>
    <w:rsid w:val="002B0E96"/>
    <w:rsid w:val="002B2261"/>
    <w:rsid w:val="002B27F2"/>
    <w:rsid w:val="002B2D52"/>
    <w:rsid w:val="002B30AF"/>
    <w:rsid w:val="002B3490"/>
    <w:rsid w:val="002B3C65"/>
    <w:rsid w:val="002B4678"/>
    <w:rsid w:val="002B4BB7"/>
    <w:rsid w:val="002B4CFC"/>
    <w:rsid w:val="002B54E6"/>
    <w:rsid w:val="002B6A31"/>
    <w:rsid w:val="002B719C"/>
    <w:rsid w:val="002C00A4"/>
    <w:rsid w:val="002C054F"/>
    <w:rsid w:val="002C0970"/>
    <w:rsid w:val="002C1299"/>
    <w:rsid w:val="002C1699"/>
    <w:rsid w:val="002C2529"/>
    <w:rsid w:val="002C253A"/>
    <w:rsid w:val="002C2693"/>
    <w:rsid w:val="002C3311"/>
    <w:rsid w:val="002C3515"/>
    <w:rsid w:val="002C3568"/>
    <w:rsid w:val="002C3ADC"/>
    <w:rsid w:val="002C3CF9"/>
    <w:rsid w:val="002C3E6C"/>
    <w:rsid w:val="002C4BE8"/>
    <w:rsid w:val="002C4CAE"/>
    <w:rsid w:val="002C4D9C"/>
    <w:rsid w:val="002C4E00"/>
    <w:rsid w:val="002D05E4"/>
    <w:rsid w:val="002D0747"/>
    <w:rsid w:val="002D0B57"/>
    <w:rsid w:val="002D0C16"/>
    <w:rsid w:val="002D207B"/>
    <w:rsid w:val="002D26B2"/>
    <w:rsid w:val="002D37EC"/>
    <w:rsid w:val="002D4801"/>
    <w:rsid w:val="002D4910"/>
    <w:rsid w:val="002D4B58"/>
    <w:rsid w:val="002D4E6D"/>
    <w:rsid w:val="002D4F7A"/>
    <w:rsid w:val="002D5ADB"/>
    <w:rsid w:val="002D6592"/>
    <w:rsid w:val="002D79FC"/>
    <w:rsid w:val="002E185D"/>
    <w:rsid w:val="002E1BA0"/>
    <w:rsid w:val="002E1EC5"/>
    <w:rsid w:val="002E2608"/>
    <w:rsid w:val="002E2694"/>
    <w:rsid w:val="002E2B3A"/>
    <w:rsid w:val="002E2C2C"/>
    <w:rsid w:val="002E2C8D"/>
    <w:rsid w:val="002E32F0"/>
    <w:rsid w:val="002E33D7"/>
    <w:rsid w:val="002E4906"/>
    <w:rsid w:val="002E4CD3"/>
    <w:rsid w:val="002E4E53"/>
    <w:rsid w:val="002E581D"/>
    <w:rsid w:val="002E64D0"/>
    <w:rsid w:val="002E7728"/>
    <w:rsid w:val="002E7824"/>
    <w:rsid w:val="002E7BE9"/>
    <w:rsid w:val="002F0582"/>
    <w:rsid w:val="002F13CA"/>
    <w:rsid w:val="002F14B2"/>
    <w:rsid w:val="002F17B6"/>
    <w:rsid w:val="002F1B5C"/>
    <w:rsid w:val="002F21AC"/>
    <w:rsid w:val="002F3402"/>
    <w:rsid w:val="002F3E9F"/>
    <w:rsid w:val="002F447D"/>
    <w:rsid w:val="002F482E"/>
    <w:rsid w:val="002F4997"/>
    <w:rsid w:val="002F4B73"/>
    <w:rsid w:val="002F6E3B"/>
    <w:rsid w:val="002F7C41"/>
    <w:rsid w:val="003006AC"/>
    <w:rsid w:val="00300A4E"/>
    <w:rsid w:val="00301CD8"/>
    <w:rsid w:val="00302483"/>
    <w:rsid w:val="00302EAA"/>
    <w:rsid w:val="00303585"/>
    <w:rsid w:val="00303689"/>
    <w:rsid w:val="003037AC"/>
    <w:rsid w:val="00303A26"/>
    <w:rsid w:val="00303D64"/>
    <w:rsid w:val="003043E1"/>
    <w:rsid w:val="0030479D"/>
    <w:rsid w:val="00304AB1"/>
    <w:rsid w:val="00305076"/>
    <w:rsid w:val="00305392"/>
    <w:rsid w:val="003053A0"/>
    <w:rsid w:val="003054DA"/>
    <w:rsid w:val="00305787"/>
    <w:rsid w:val="0030691E"/>
    <w:rsid w:val="00306971"/>
    <w:rsid w:val="003070CD"/>
    <w:rsid w:val="00307214"/>
    <w:rsid w:val="003074BB"/>
    <w:rsid w:val="003100E7"/>
    <w:rsid w:val="0031123E"/>
    <w:rsid w:val="003114ED"/>
    <w:rsid w:val="003119C8"/>
    <w:rsid w:val="00311E53"/>
    <w:rsid w:val="00312126"/>
    <w:rsid w:val="00312495"/>
    <w:rsid w:val="003127B0"/>
    <w:rsid w:val="003135CF"/>
    <w:rsid w:val="00314364"/>
    <w:rsid w:val="0031459E"/>
    <w:rsid w:val="00321488"/>
    <w:rsid w:val="00321DB0"/>
    <w:rsid w:val="00321F51"/>
    <w:rsid w:val="003221DD"/>
    <w:rsid w:val="0032250E"/>
    <w:rsid w:val="0032263A"/>
    <w:rsid w:val="003230C2"/>
    <w:rsid w:val="003232C8"/>
    <w:rsid w:val="00324945"/>
    <w:rsid w:val="00324980"/>
    <w:rsid w:val="003253A5"/>
    <w:rsid w:val="0032574F"/>
    <w:rsid w:val="00325F5F"/>
    <w:rsid w:val="00326993"/>
    <w:rsid w:val="00326A5C"/>
    <w:rsid w:val="0033012F"/>
    <w:rsid w:val="00330729"/>
    <w:rsid w:val="00330CA2"/>
    <w:rsid w:val="0033117C"/>
    <w:rsid w:val="003319E8"/>
    <w:rsid w:val="003326AE"/>
    <w:rsid w:val="00332914"/>
    <w:rsid w:val="00332D56"/>
    <w:rsid w:val="0033344A"/>
    <w:rsid w:val="00333568"/>
    <w:rsid w:val="00333BE9"/>
    <w:rsid w:val="00334A2F"/>
    <w:rsid w:val="00335C8B"/>
    <w:rsid w:val="003360E3"/>
    <w:rsid w:val="003364AC"/>
    <w:rsid w:val="00336E9C"/>
    <w:rsid w:val="0033764D"/>
    <w:rsid w:val="00337BA1"/>
    <w:rsid w:val="00337C85"/>
    <w:rsid w:val="00337F33"/>
    <w:rsid w:val="00340CAD"/>
    <w:rsid w:val="00341232"/>
    <w:rsid w:val="00341908"/>
    <w:rsid w:val="00342A3B"/>
    <w:rsid w:val="00344215"/>
    <w:rsid w:val="00344308"/>
    <w:rsid w:val="003444BB"/>
    <w:rsid w:val="00344576"/>
    <w:rsid w:val="00344A2B"/>
    <w:rsid w:val="00345087"/>
    <w:rsid w:val="00345E04"/>
    <w:rsid w:val="00346014"/>
    <w:rsid w:val="00347918"/>
    <w:rsid w:val="0035015D"/>
    <w:rsid w:val="0035042A"/>
    <w:rsid w:val="00350A29"/>
    <w:rsid w:val="00350DC3"/>
    <w:rsid w:val="00351889"/>
    <w:rsid w:val="00352661"/>
    <w:rsid w:val="0035420D"/>
    <w:rsid w:val="0035433E"/>
    <w:rsid w:val="00355566"/>
    <w:rsid w:val="00355F49"/>
    <w:rsid w:val="00356179"/>
    <w:rsid w:val="00356485"/>
    <w:rsid w:val="00356628"/>
    <w:rsid w:val="00356F0D"/>
    <w:rsid w:val="003574E7"/>
    <w:rsid w:val="003577AC"/>
    <w:rsid w:val="00361449"/>
    <w:rsid w:val="00361D05"/>
    <w:rsid w:val="00363ECA"/>
    <w:rsid w:val="003658A7"/>
    <w:rsid w:val="00365AD8"/>
    <w:rsid w:val="00365B87"/>
    <w:rsid w:val="0036610D"/>
    <w:rsid w:val="00366974"/>
    <w:rsid w:val="00367894"/>
    <w:rsid w:val="0037159D"/>
    <w:rsid w:val="003725D6"/>
    <w:rsid w:val="00373C16"/>
    <w:rsid w:val="003745AC"/>
    <w:rsid w:val="00374835"/>
    <w:rsid w:val="00374AB6"/>
    <w:rsid w:val="00374B7B"/>
    <w:rsid w:val="00374FE5"/>
    <w:rsid w:val="00377EC2"/>
    <w:rsid w:val="00377FE8"/>
    <w:rsid w:val="003807F9"/>
    <w:rsid w:val="00380E9C"/>
    <w:rsid w:val="003811FC"/>
    <w:rsid w:val="00381415"/>
    <w:rsid w:val="00381CE0"/>
    <w:rsid w:val="00381DAB"/>
    <w:rsid w:val="003824FF"/>
    <w:rsid w:val="00382860"/>
    <w:rsid w:val="00383723"/>
    <w:rsid w:val="003838E9"/>
    <w:rsid w:val="00383D68"/>
    <w:rsid w:val="00384D88"/>
    <w:rsid w:val="003850D6"/>
    <w:rsid w:val="00385379"/>
    <w:rsid w:val="003853D4"/>
    <w:rsid w:val="00385A70"/>
    <w:rsid w:val="00385A96"/>
    <w:rsid w:val="00385D1E"/>
    <w:rsid w:val="00386160"/>
    <w:rsid w:val="00390C6B"/>
    <w:rsid w:val="00391462"/>
    <w:rsid w:val="00391701"/>
    <w:rsid w:val="0039190D"/>
    <w:rsid w:val="00391B94"/>
    <w:rsid w:val="003931ED"/>
    <w:rsid w:val="00394613"/>
    <w:rsid w:val="00394DEF"/>
    <w:rsid w:val="00394F9E"/>
    <w:rsid w:val="0039596F"/>
    <w:rsid w:val="0039682D"/>
    <w:rsid w:val="0039712F"/>
    <w:rsid w:val="00397549"/>
    <w:rsid w:val="003978FE"/>
    <w:rsid w:val="003A02D7"/>
    <w:rsid w:val="003A1472"/>
    <w:rsid w:val="003A18B0"/>
    <w:rsid w:val="003A2454"/>
    <w:rsid w:val="003A3AF5"/>
    <w:rsid w:val="003A51BE"/>
    <w:rsid w:val="003A5937"/>
    <w:rsid w:val="003A649F"/>
    <w:rsid w:val="003A6902"/>
    <w:rsid w:val="003A6BCB"/>
    <w:rsid w:val="003A783B"/>
    <w:rsid w:val="003A7A51"/>
    <w:rsid w:val="003A7E4E"/>
    <w:rsid w:val="003B0101"/>
    <w:rsid w:val="003B011C"/>
    <w:rsid w:val="003B041E"/>
    <w:rsid w:val="003B0991"/>
    <w:rsid w:val="003B184C"/>
    <w:rsid w:val="003B4146"/>
    <w:rsid w:val="003B419B"/>
    <w:rsid w:val="003B5131"/>
    <w:rsid w:val="003B5800"/>
    <w:rsid w:val="003B66FD"/>
    <w:rsid w:val="003B707D"/>
    <w:rsid w:val="003B7961"/>
    <w:rsid w:val="003C0BA3"/>
    <w:rsid w:val="003C28E5"/>
    <w:rsid w:val="003C398F"/>
    <w:rsid w:val="003C4593"/>
    <w:rsid w:val="003C532E"/>
    <w:rsid w:val="003C54BE"/>
    <w:rsid w:val="003C6301"/>
    <w:rsid w:val="003C68E5"/>
    <w:rsid w:val="003C6A77"/>
    <w:rsid w:val="003C7A51"/>
    <w:rsid w:val="003C7B33"/>
    <w:rsid w:val="003C7BE5"/>
    <w:rsid w:val="003C7C19"/>
    <w:rsid w:val="003C7F3B"/>
    <w:rsid w:val="003D06EF"/>
    <w:rsid w:val="003D10AA"/>
    <w:rsid w:val="003D1290"/>
    <w:rsid w:val="003D1EDA"/>
    <w:rsid w:val="003D2272"/>
    <w:rsid w:val="003D2C4C"/>
    <w:rsid w:val="003D323C"/>
    <w:rsid w:val="003D3564"/>
    <w:rsid w:val="003D3EF6"/>
    <w:rsid w:val="003D4B0A"/>
    <w:rsid w:val="003D4E11"/>
    <w:rsid w:val="003D5799"/>
    <w:rsid w:val="003D5AA2"/>
    <w:rsid w:val="003D5D3F"/>
    <w:rsid w:val="003D7FCB"/>
    <w:rsid w:val="003E01DF"/>
    <w:rsid w:val="003E056B"/>
    <w:rsid w:val="003E0B5F"/>
    <w:rsid w:val="003E0C44"/>
    <w:rsid w:val="003E0C4A"/>
    <w:rsid w:val="003E0DD1"/>
    <w:rsid w:val="003E0EFE"/>
    <w:rsid w:val="003E239F"/>
    <w:rsid w:val="003E25A0"/>
    <w:rsid w:val="003E2771"/>
    <w:rsid w:val="003E2AEB"/>
    <w:rsid w:val="003E2F70"/>
    <w:rsid w:val="003E3257"/>
    <w:rsid w:val="003E3326"/>
    <w:rsid w:val="003E3BD3"/>
    <w:rsid w:val="003E3D5E"/>
    <w:rsid w:val="003E3E47"/>
    <w:rsid w:val="003E5B4A"/>
    <w:rsid w:val="003E5EF6"/>
    <w:rsid w:val="003E606D"/>
    <w:rsid w:val="003E7862"/>
    <w:rsid w:val="003E7997"/>
    <w:rsid w:val="003F04AB"/>
    <w:rsid w:val="003F062D"/>
    <w:rsid w:val="003F0871"/>
    <w:rsid w:val="003F16D6"/>
    <w:rsid w:val="003F272B"/>
    <w:rsid w:val="003F3CC5"/>
    <w:rsid w:val="003F44B3"/>
    <w:rsid w:val="003F47A6"/>
    <w:rsid w:val="003F5DBC"/>
    <w:rsid w:val="003F698E"/>
    <w:rsid w:val="003F6ABD"/>
    <w:rsid w:val="003F6C18"/>
    <w:rsid w:val="003F7C09"/>
    <w:rsid w:val="003F7DB6"/>
    <w:rsid w:val="00400653"/>
    <w:rsid w:val="004012EA"/>
    <w:rsid w:val="00401E8E"/>
    <w:rsid w:val="004034BA"/>
    <w:rsid w:val="004041D3"/>
    <w:rsid w:val="00404B6A"/>
    <w:rsid w:val="00405064"/>
    <w:rsid w:val="004105E4"/>
    <w:rsid w:val="00410E0D"/>
    <w:rsid w:val="004117A8"/>
    <w:rsid w:val="00411AF4"/>
    <w:rsid w:val="00411E54"/>
    <w:rsid w:val="004121FB"/>
    <w:rsid w:val="0041244B"/>
    <w:rsid w:val="004124DA"/>
    <w:rsid w:val="00412880"/>
    <w:rsid w:val="00412A25"/>
    <w:rsid w:val="00412B52"/>
    <w:rsid w:val="00413EEE"/>
    <w:rsid w:val="00414520"/>
    <w:rsid w:val="00414606"/>
    <w:rsid w:val="00416116"/>
    <w:rsid w:val="00416420"/>
    <w:rsid w:val="00416851"/>
    <w:rsid w:val="004169D6"/>
    <w:rsid w:val="00416F74"/>
    <w:rsid w:val="004177DA"/>
    <w:rsid w:val="00417BDF"/>
    <w:rsid w:val="004203F4"/>
    <w:rsid w:val="00420B20"/>
    <w:rsid w:val="00421323"/>
    <w:rsid w:val="004218F0"/>
    <w:rsid w:val="00422C84"/>
    <w:rsid w:val="00424B86"/>
    <w:rsid w:val="00425DB7"/>
    <w:rsid w:val="00425EF9"/>
    <w:rsid w:val="0042648E"/>
    <w:rsid w:val="004265DD"/>
    <w:rsid w:val="004269DF"/>
    <w:rsid w:val="00426CDB"/>
    <w:rsid w:val="00426EAE"/>
    <w:rsid w:val="0042CA7E"/>
    <w:rsid w:val="00430186"/>
    <w:rsid w:val="00430B2C"/>
    <w:rsid w:val="00430CAA"/>
    <w:rsid w:val="00431895"/>
    <w:rsid w:val="00431C8F"/>
    <w:rsid w:val="00432112"/>
    <w:rsid w:val="00432298"/>
    <w:rsid w:val="0043328D"/>
    <w:rsid w:val="00433BD1"/>
    <w:rsid w:val="004354CC"/>
    <w:rsid w:val="00436BCF"/>
    <w:rsid w:val="00436DD9"/>
    <w:rsid w:val="00437C49"/>
    <w:rsid w:val="00437E04"/>
    <w:rsid w:val="0044060A"/>
    <w:rsid w:val="00441670"/>
    <w:rsid w:val="00441767"/>
    <w:rsid w:val="004418C1"/>
    <w:rsid w:val="00443400"/>
    <w:rsid w:val="00443842"/>
    <w:rsid w:val="004438DA"/>
    <w:rsid w:val="00444680"/>
    <w:rsid w:val="00444E1D"/>
    <w:rsid w:val="00444E33"/>
    <w:rsid w:val="004450DE"/>
    <w:rsid w:val="0044563A"/>
    <w:rsid w:val="00445B6C"/>
    <w:rsid w:val="00445B78"/>
    <w:rsid w:val="00445FEC"/>
    <w:rsid w:val="004460C1"/>
    <w:rsid w:val="00446326"/>
    <w:rsid w:val="00446530"/>
    <w:rsid w:val="00446AE7"/>
    <w:rsid w:val="004509E6"/>
    <w:rsid w:val="00450A0A"/>
    <w:rsid w:val="00450E54"/>
    <w:rsid w:val="004512AF"/>
    <w:rsid w:val="00451C02"/>
    <w:rsid w:val="00454785"/>
    <w:rsid w:val="0045666D"/>
    <w:rsid w:val="0045711F"/>
    <w:rsid w:val="00457DF0"/>
    <w:rsid w:val="004601FF"/>
    <w:rsid w:val="0046051F"/>
    <w:rsid w:val="004610A1"/>
    <w:rsid w:val="00461841"/>
    <w:rsid w:val="00461AEA"/>
    <w:rsid w:val="004628F1"/>
    <w:rsid w:val="004658CF"/>
    <w:rsid w:val="0046607E"/>
    <w:rsid w:val="0046678E"/>
    <w:rsid w:val="00466EB7"/>
    <w:rsid w:val="004702C2"/>
    <w:rsid w:val="004709D5"/>
    <w:rsid w:val="00470F44"/>
    <w:rsid w:val="004717F0"/>
    <w:rsid w:val="0047223E"/>
    <w:rsid w:val="00472795"/>
    <w:rsid w:val="00472999"/>
    <w:rsid w:val="004730B4"/>
    <w:rsid w:val="004746CF"/>
    <w:rsid w:val="004753FE"/>
    <w:rsid w:val="00476691"/>
    <w:rsid w:val="0047685C"/>
    <w:rsid w:val="00476925"/>
    <w:rsid w:val="0047713E"/>
    <w:rsid w:val="00477D3C"/>
    <w:rsid w:val="004803F4"/>
    <w:rsid w:val="00480520"/>
    <w:rsid w:val="00480A6E"/>
    <w:rsid w:val="004818EA"/>
    <w:rsid w:val="00481C26"/>
    <w:rsid w:val="00482048"/>
    <w:rsid w:val="00482923"/>
    <w:rsid w:val="00482FBD"/>
    <w:rsid w:val="004843D4"/>
    <w:rsid w:val="0048462F"/>
    <w:rsid w:val="0048471F"/>
    <w:rsid w:val="004848DA"/>
    <w:rsid w:val="004850D8"/>
    <w:rsid w:val="004851D6"/>
    <w:rsid w:val="00485952"/>
    <w:rsid w:val="004867DC"/>
    <w:rsid w:val="004869DA"/>
    <w:rsid w:val="00486B40"/>
    <w:rsid w:val="00490392"/>
    <w:rsid w:val="00490E13"/>
    <w:rsid w:val="0049152B"/>
    <w:rsid w:val="00491C80"/>
    <w:rsid w:val="00492D41"/>
    <w:rsid w:val="004936D2"/>
    <w:rsid w:val="00493A9B"/>
    <w:rsid w:val="00493F27"/>
    <w:rsid w:val="004944A6"/>
    <w:rsid w:val="004944B8"/>
    <w:rsid w:val="004945D5"/>
    <w:rsid w:val="00494C5D"/>
    <w:rsid w:val="0049656D"/>
    <w:rsid w:val="0049726B"/>
    <w:rsid w:val="004A0803"/>
    <w:rsid w:val="004A0A96"/>
    <w:rsid w:val="004A0D47"/>
    <w:rsid w:val="004A1E06"/>
    <w:rsid w:val="004A28B5"/>
    <w:rsid w:val="004A3294"/>
    <w:rsid w:val="004A4D05"/>
    <w:rsid w:val="004A54C3"/>
    <w:rsid w:val="004A55EE"/>
    <w:rsid w:val="004A5683"/>
    <w:rsid w:val="004A5BE3"/>
    <w:rsid w:val="004A5F4C"/>
    <w:rsid w:val="004A66DA"/>
    <w:rsid w:val="004A75AC"/>
    <w:rsid w:val="004A7B2D"/>
    <w:rsid w:val="004B045F"/>
    <w:rsid w:val="004B0B86"/>
    <w:rsid w:val="004B0F35"/>
    <w:rsid w:val="004B1309"/>
    <w:rsid w:val="004B1F48"/>
    <w:rsid w:val="004B26D0"/>
    <w:rsid w:val="004B2944"/>
    <w:rsid w:val="004B2AEB"/>
    <w:rsid w:val="004B30EF"/>
    <w:rsid w:val="004B3942"/>
    <w:rsid w:val="004B4233"/>
    <w:rsid w:val="004B48F5"/>
    <w:rsid w:val="004B4B67"/>
    <w:rsid w:val="004B53CC"/>
    <w:rsid w:val="004B54FD"/>
    <w:rsid w:val="004B599A"/>
    <w:rsid w:val="004B660E"/>
    <w:rsid w:val="004B6F1E"/>
    <w:rsid w:val="004B7257"/>
    <w:rsid w:val="004B734E"/>
    <w:rsid w:val="004B788D"/>
    <w:rsid w:val="004B7E90"/>
    <w:rsid w:val="004C005D"/>
    <w:rsid w:val="004C0779"/>
    <w:rsid w:val="004C0804"/>
    <w:rsid w:val="004C19A4"/>
    <w:rsid w:val="004C19C0"/>
    <w:rsid w:val="004C2077"/>
    <w:rsid w:val="004C235A"/>
    <w:rsid w:val="004C246A"/>
    <w:rsid w:val="004C24E3"/>
    <w:rsid w:val="004C2C7A"/>
    <w:rsid w:val="004C3182"/>
    <w:rsid w:val="004C3471"/>
    <w:rsid w:val="004C3D35"/>
    <w:rsid w:val="004C4FE1"/>
    <w:rsid w:val="004C5191"/>
    <w:rsid w:val="004C5867"/>
    <w:rsid w:val="004C5D83"/>
    <w:rsid w:val="004C6588"/>
    <w:rsid w:val="004C7A2A"/>
    <w:rsid w:val="004D0139"/>
    <w:rsid w:val="004D0474"/>
    <w:rsid w:val="004D103C"/>
    <w:rsid w:val="004D11FD"/>
    <w:rsid w:val="004D1334"/>
    <w:rsid w:val="004D1703"/>
    <w:rsid w:val="004D2362"/>
    <w:rsid w:val="004D2CDC"/>
    <w:rsid w:val="004D3E4A"/>
    <w:rsid w:val="004D3E7F"/>
    <w:rsid w:val="004D4085"/>
    <w:rsid w:val="004D51F9"/>
    <w:rsid w:val="004D57E7"/>
    <w:rsid w:val="004D64F8"/>
    <w:rsid w:val="004D6BDF"/>
    <w:rsid w:val="004D7770"/>
    <w:rsid w:val="004D7BF1"/>
    <w:rsid w:val="004E0846"/>
    <w:rsid w:val="004E0BE3"/>
    <w:rsid w:val="004E0EF6"/>
    <w:rsid w:val="004E17EB"/>
    <w:rsid w:val="004E1E73"/>
    <w:rsid w:val="004E37D2"/>
    <w:rsid w:val="004E3AB1"/>
    <w:rsid w:val="004E3D3D"/>
    <w:rsid w:val="004E3E81"/>
    <w:rsid w:val="004E41A7"/>
    <w:rsid w:val="004E469B"/>
    <w:rsid w:val="004E48B9"/>
    <w:rsid w:val="004E55A8"/>
    <w:rsid w:val="004E578C"/>
    <w:rsid w:val="004E6038"/>
    <w:rsid w:val="004E68C1"/>
    <w:rsid w:val="004E78EE"/>
    <w:rsid w:val="004E7A26"/>
    <w:rsid w:val="004F0105"/>
    <w:rsid w:val="004F0B3B"/>
    <w:rsid w:val="004F0B7C"/>
    <w:rsid w:val="004F1076"/>
    <w:rsid w:val="004F1E36"/>
    <w:rsid w:val="004F383D"/>
    <w:rsid w:val="004F433B"/>
    <w:rsid w:val="004F4B2B"/>
    <w:rsid w:val="004F4FD7"/>
    <w:rsid w:val="004F51E8"/>
    <w:rsid w:val="004F57BA"/>
    <w:rsid w:val="004F5A25"/>
    <w:rsid w:val="004F613C"/>
    <w:rsid w:val="004F6368"/>
    <w:rsid w:val="004F692A"/>
    <w:rsid w:val="004F7351"/>
    <w:rsid w:val="005005B9"/>
    <w:rsid w:val="00500641"/>
    <w:rsid w:val="005012C1"/>
    <w:rsid w:val="00501D56"/>
    <w:rsid w:val="005030C8"/>
    <w:rsid w:val="00503A65"/>
    <w:rsid w:val="00505109"/>
    <w:rsid w:val="0050515D"/>
    <w:rsid w:val="00505550"/>
    <w:rsid w:val="00505593"/>
    <w:rsid w:val="00505E6F"/>
    <w:rsid w:val="005066E6"/>
    <w:rsid w:val="005070F5"/>
    <w:rsid w:val="00507A6B"/>
    <w:rsid w:val="00510FCF"/>
    <w:rsid w:val="005120B5"/>
    <w:rsid w:val="00512422"/>
    <w:rsid w:val="005127D8"/>
    <w:rsid w:val="00512B49"/>
    <w:rsid w:val="00513962"/>
    <w:rsid w:val="00514168"/>
    <w:rsid w:val="0051474C"/>
    <w:rsid w:val="00514A77"/>
    <w:rsid w:val="0051596F"/>
    <w:rsid w:val="0051603F"/>
    <w:rsid w:val="00516079"/>
    <w:rsid w:val="00516F07"/>
    <w:rsid w:val="005175F0"/>
    <w:rsid w:val="00517FD5"/>
    <w:rsid w:val="00520203"/>
    <w:rsid w:val="00520A83"/>
    <w:rsid w:val="005218F8"/>
    <w:rsid w:val="0052192C"/>
    <w:rsid w:val="00522775"/>
    <w:rsid w:val="005233AE"/>
    <w:rsid w:val="00523C72"/>
    <w:rsid w:val="00523D5F"/>
    <w:rsid w:val="00523DFB"/>
    <w:rsid w:val="005240D0"/>
    <w:rsid w:val="00525214"/>
    <w:rsid w:val="005256E7"/>
    <w:rsid w:val="0052661B"/>
    <w:rsid w:val="00526E7C"/>
    <w:rsid w:val="005308CB"/>
    <w:rsid w:val="00530D5E"/>
    <w:rsid w:val="0053110D"/>
    <w:rsid w:val="00532164"/>
    <w:rsid w:val="0053242C"/>
    <w:rsid w:val="005325D7"/>
    <w:rsid w:val="00533220"/>
    <w:rsid w:val="00533889"/>
    <w:rsid w:val="005347FF"/>
    <w:rsid w:val="0053484B"/>
    <w:rsid w:val="005349CF"/>
    <w:rsid w:val="00534BB8"/>
    <w:rsid w:val="005355D3"/>
    <w:rsid w:val="00535D7D"/>
    <w:rsid w:val="005361AA"/>
    <w:rsid w:val="0053625C"/>
    <w:rsid w:val="00536288"/>
    <w:rsid w:val="005366AA"/>
    <w:rsid w:val="00536EDB"/>
    <w:rsid w:val="0053777C"/>
    <w:rsid w:val="00537A67"/>
    <w:rsid w:val="0054161F"/>
    <w:rsid w:val="00541D32"/>
    <w:rsid w:val="00542FFD"/>
    <w:rsid w:val="005433C9"/>
    <w:rsid w:val="005438F6"/>
    <w:rsid w:val="00543C56"/>
    <w:rsid w:val="0054445B"/>
    <w:rsid w:val="005444A8"/>
    <w:rsid w:val="00545EE6"/>
    <w:rsid w:val="00546110"/>
    <w:rsid w:val="00546870"/>
    <w:rsid w:val="00550123"/>
    <w:rsid w:val="0055012F"/>
    <w:rsid w:val="005502FE"/>
    <w:rsid w:val="005513C4"/>
    <w:rsid w:val="00552670"/>
    <w:rsid w:val="00552712"/>
    <w:rsid w:val="00553480"/>
    <w:rsid w:val="005534E2"/>
    <w:rsid w:val="0055354B"/>
    <w:rsid w:val="00554A5C"/>
    <w:rsid w:val="00554E6B"/>
    <w:rsid w:val="0055520E"/>
    <w:rsid w:val="00555E80"/>
    <w:rsid w:val="00555E9D"/>
    <w:rsid w:val="00557D7B"/>
    <w:rsid w:val="00557F5D"/>
    <w:rsid w:val="00557F68"/>
    <w:rsid w:val="00560976"/>
    <w:rsid w:val="00560E55"/>
    <w:rsid w:val="00560E95"/>
    <w:rsid w:val="00561EFA"/>
    <w:rsid w:val="005623BB"/>
    <w:rsid w:val="00563024"/>
    <w:rsid w:val="005636A3"/>
    <w:rsid w:val="0056392F"/>
    <w:rsid w:val="005649D2"/>
    <w:rsid w:val="00564C83"/>
    <w:rsid w:val="00566708"/>
    <w:rsid w:val="00566902"/>
    <w:rsid w:val="0056699C"/>
    <w:rsid w:val="00566B9D"/>
    <w:rsid w:val="00566D84"/>
    <w:rsid w:val="00567A23"/>
    <w:rsid w:val="00567B74"/>
    <w:rsid w:val="005701D6"/>
    <w:rsid w:val="005704F1"/>
    <w:rsid w:val="00570CE2"/>
    <w:rsid w:val="00571B3A"/>
    <w:rsid w:val="005729A1"/>
    <w:rsid w:val="00574A12"/>
    <w:rsid w:val="00574C34"/>
    <w:rsid w:val="00574D9E"/>
    <w:rsid w:val="00577DA6"/>
    <w:rsid w:val="005801B1"/>
    <w:rsid w:val="00580EA7"/>
    <w:rsid w:val="005839DF"/>
    <w:rsid w:val="00583EF8"/>
    <w:rsid w:val="005842D1"/>
    <w:rsid w:val="0058438D"/>
    <w:rsid w:val="005846C1"/>
    <w:rsid w:val="00584AE8"/>
    <w:rsid w:val="005855C3"/>
    <w:rsid w:val="00585646"/>
    <w:rsid w:val="00585AAF"/>
    <w:rsid w:val="00585C0D"/>
    <w:rsid w:val="00585DA2"/>
    <w:rsid w:val="00586038"/>
    <w:rsid w:val="005878DB"/>
    <w:rsid w:val="00587E5B"/>
    <w:rsid w:val="00590349"/>
    <w:rsid w:val="00590C5A"/>
    <w:rsid w:val="0059168E"/>
    <w:rsid w:val="00591EC1"/>
    <w:rsid w:val="005924B4"/>
    <w:rsid w:val="005926F0"/>
    <w:rsid w:val="00592852"/>
    <w:rsid w:val="0059328A"/>
    <w:rsid w:val="00594C03"/>
    <w:rsid w:val="00595477"/>
    <w:rsid w:val="00595D1D"/>
    <w:rsid w:val="00595F7C"/>
    <w:rsid w:val="00596F03"/>
    <w:rsid w:val="005A0C42"/>
    <w:rsid w:val="005A1184"/>
    <w:rsid w:val="005A1631"/>
    <w:rsid w:val="005A17EE"/>
    <w:rsid w:val="005A1D56"/>
    <w:rsid w:val="005A249A"/>
    <w:rsid w:val="005A29FE"/>
    <w:rsid w:val="005A321E"/>
    <w:rsid w:val="005A3641"/>
    <w:rsid w:val="005A3EA0"/>
    <w:rsid w:val="005A48B7"/>
    <w:rsid w:val="005A5A1C"/>
    <w:rsid w:val="005A6514"/>
    <w:rsid w:val="005A73A5"/>
    <w:rsid w:val="005A746E"/>
    <w:rsid w:val="005A7859"/>
    <w:rsid w:val="005A7E32"/>
    <w:rsid w:val="005B0079"/>
    <w:rsid w:val="005B0A47"/>
    <w:rsid w:val="005B1101"/>
    <w:rsid w:val="005B1CDF"/>
    <w:rsid w:val="005B1EB6"/>
    <w:rsid w:val="005B2606"/>
    <w:rsid w:val="005B383D"/>
    <w:rsid w:val="005B3EE2"/>
    <w:rsid w:val="005B40EA"/>
    <w:rsid w:val="005B45DF"/>
    <w:rsid w:val="005B47C2"/>
    <w:rsid w:val="005B4E32"/>
    <w:rsid w:val="005B58F4"/>
    <w:rsid w:val="005B59A2"/>
    <w:rsid w:val="005B65AF"/>
    <w:rsid w:val="005B7ADB"/>
    <w:rsid w:val="005B7E29"/>
    <w:rsid w:val="005C0AE4"/>
    <w:rsid w:val="005C0EE2"/>
    <w:rsid w:val="005C138D"/>
    <w:rsid w:val="005C2C4C"/>
    <w:rsid w:val="005C2D06"/>
    <w:rsid w:val="005C370E"/>
    <w:rsid w:val="005C38C0"/>
    <w:rsid w:val="005C393A"/>
    <w:rsid w:val="005C438A"/>
    <w:rsid w:val="005C4F73"/>
    <w:rsid w:val="005C561A"/>
    <w:rsid w:val="005C6171"/>
    <w:rsid w:val="005C6493"/>
    <w:rsid w:val="005C7987"/>
    <w:rsid w:val="005D00C2"/>
    <w:rsid w:val="005D0B35"/>
    <w:rsid w:val="005D1946"/>
    <w:rsid w:val="005D1CDF"/>
    <w:rsid w:val="005D1DA9"/>
    <w:rsid w:val="005D2322"/>
    <w:rsid w:val="005D28AC"/>
    <w:rsid w:val="005D3305"/>
    <w:rsid w:val="005D42E4"/>
    <w:rsid w:val="005D4519"/>
    <w:rsid w:val="005D4FA4"/>
    <w:rsid w:val="005D5586"/>
    <w:rsid w:val="005D564F"/>
    <w:rsid w:val="005D5D87"/>
    <w:rsid w:val="005D63E2"/>
    <w:rsid w:val="005D7487"/>
    <w:rsid w:val="005E02CB"/>
    <w:rsid w:val="005E02D7"/>
    <w:rsid w:val="005E05B1"/>
    <w:rsid w:val="005E25B6"/>
    <w:rsid w:val="005E2A69"/>
    <w:rsid w:val="005E3039"/>
    <w:rsid w:val="005E387A"/>
    <w:rsid w:val="005E38DA"/>
    <w:rsid w:val="005E4EB2"/>
    <w:rsid w:val="005E5D63"/>
    <w:rsid w:val="005E7259"/>
    <w:rsid w:val="005F020F"/>
    <w:rsid w:val="005F1A60"/>
    <w:rsid w:val="005F2E09"/>
    <w:rsid w:val="005F327F"/>
    <w:rsid w:val="005F3CFF"/>
    <w:rsid w:val="005F3D68"/>
    <w:rsid w:val="005F4EF3"/>
    <w:rsid w:val="005F5009"/>
    <w:rsid w:val="005F51F8"/>
    <w:rsid w:val="005F549E"/>
    <w:rsid w:val="005F61EA"/>
    <w:rsid w:val="005F696C"/>
    <w:rsid w:val="005F72E9"/>
    <w:rsid w:val="005F73B1"/>
    <w:rsid w:val="00600111"/>
    <w:rsid w:val="006001D4"/>
    <w:rsid w:val="00600B30"/>
    <w:rsid w:val="0060117F"/>
    <w:rsid w:val="00601B62"/>
    <w:rsid w:val="0060237C"/>
    <w:rsid w:val="00603167"/>
    <w:rsid w:val="0060379E"/>
    <w:rsid w:val="0060441E"/>
    <w:rsid w:val="006050B6"/>
    <w:rsid w:val="0060536B"/>
    <w:rsid w:val="00606136"/>
    <w:rsid w:val="0060618C"/>
    <w:rsid w:val="00606712"/>
    <w:rsid w:val="00606F42"/>
    <w:rsid w:val="006071A1"/>
    <w:rsid w:val="0060720F"/>
    <w:rsid w:val="00607F85"/>
    <w:rsid w:val="0061019A"/>
    <w:rsid w:val="006105C0"/>
    <w:rsid w:val="006114A2"/>
    <w:rsid w:val="00611521"/>
    <w:rsid w:val="00611705"/>
    <w:rsid w:val="00611BD1"/>
    <w:rsid w:val="00612990"/>
    <w:rsid w:val="0061363B"/>
    <w:rsid w:val="00613D75"/>
    <w:rsid w:val="00613EEC"/>
    <w:rsid w:val="006148B5"/>
    <w:rsid w:val="00614B31"/>
    <w:rsid w:val="00615382"/>
    <w:rsid w:val="006154E6"/>
    <w:rsid w:val="006173F9"/>
    <w:rsid w:val="0061777F"/>
    <w:rsid w:val="006204B7"/>
    <w:rsid w:val="00621135"/>
    <w:rsid w:val="00621353"/>
    <w:rsid w:val="00622506"/>
    <w:rsid w:val="00622B3A"/>
    <w:rsid w:val="00622C8C"/>
    <w:rsid w:val="00623858"/>
    <w:rsid w:val="00623DCC"/>
    <w:rsid w:val="00623DCF"/>
    <w:rsid w:val="0062529A"/>
    <w:rsid w:val="006255BE"/>
    <w:rsid w:val="00625A0D"/>
    <w:rsid w:val="00625C41"/>
    <w:rsid w:val="006268FB"/>
    <w:rsid w:val="00626ED9"/>
    <w:rsid w:val="006271BF"/>
    <w:rsid w:val="006274DF"/>
    <w:rsid w:val="00627EC5"/>
    <w:rsid w:val="006300E6"/>
    <w:rsid w:val="00630739"/>
    <w:rsid w:val="00630C5B"/>
    <w:rsid w:val="006312F0"/>
    <w:rsid w:val="00631795"/>
    <w:rsid w:val="00631AC7"/>
    <w:rsid w:val="00632263"/>
    <w:rsid w:val="006322CA"/>
    <w:rsid w:val="00632954"/>
    <w:rsid w:val="00633316"/>
    <w:rsid w:val="00633366"/>
    <w:rsid w:val="00633886"/>
    <w:rsid w:val="00633A6D"/>
    <w:rsid w:val="006340EB"/>
    <w:rsid w:val="006344B1"/>
    <w:rsid w:val="0063488B"/>
    <w:rsid w:val="006349E1"/>
    <w:rsid w:val="00634AA2"/>
    <w:rsid w:val="00634BAE"/>
    <w:rsid w:val="00635090"/>
    <w:rsid w:val="0063528E"/>
    <w:rsid w:val="0063664F"/>
    <w:rsid w:val="00636B66"/>
    <w:rsid w:val="00640256"/>
    <w:rsid w:val="006402B7"/>
    <w:rsid w:val="006412D3"/>
    <w:rsid w:val="00642AD9"/>
    <w:rsid w:val="00642BEE"/>
    <w:rsid w:val="0064305A"/>
    <w:rsid w:val="006441AB"/>
    <w:rsid w:val="00644421"/>
    <w:rsid w:val="00645619"/>
    <w:rsid w:val="00645659"/>
    <w:rsid w:val="006456E3"/>
    <w:rsid w:val="0064592C"/>
    <w:rsid w:val="006459F9"/>
    <w:rsid w:val="00645A9D"/>
    <w:rsid w:val="0064747C"/>
    <w:rsid w:val="006501A0"/>
    <w:rsid w:val="00650475"/>
    <w:rsid w:val="0065060B"/>
    <w:rsid w:val="006516DE"/>
    <w:rsid w:val="00651E67"/>
    <w:rsid w:val="00651F61"/>
    <w:rsid w:val="0065212E"/>
    <w:rsid w:val="00652535"/>
    <w:rsid w:val="00653127"/>
    <w:rsid w:val="00653B02"/>
    <w:rsid w:val="00653E83"/>
    <w:rsid w:val="006545CD"/>
    <w:rsid w:val="00654619"/>
    <w:rsid w:val="00654E61"/>
    <w:rsid w:val="0065636C"/>
    <w:rsid w:val="0065681F"/>
    <w:rsid w:val="00656A1D"/>
    <w:rsid w:val="00656C81"/>
    <w:rsid w:val="00656CFE"/>
    <w:rsid w:val="006608EA"/>
    <w:rsid w:val="00661237"/>
    <w:rsid w:val="00661F9D"/>
    <w:rsid w:val="00662AFB"/>
    <w:rsid w:val="00663221"/>
    <w:rsid w:val="00663ABA"/>
    <w:rsid w:val="00664434"/>
    <w:rsid w:val="006649B0"/>
    <w:rsid w:val="00665127"/>
    <w:rsid w:val="0066589A"/>
    <w:rsid w:val="00665CDD"/>
    <w:rsid w:val="0066661F"/>
    <w:rsid w:val="00666845"/>
    <w:rsid w:val="006671E2"/>
    <w:rsid w:val="0066769E"/>
    <w:rsid w:val="006700A8"/>
    <w:rsid w:val="006707E2"/>
    <w:rsid w:val="00671571"/>
    <w:rsid w:val="00671B5F"/>
    <w:rsid w:val="00671C30"/>
    <w:rsid w:val="0067214F"/>
    <w:rsid w:val="00672BAD"/>
    <w:rsid w:val="006736C0"/>
    <w:rsid w:val="0067389A"/>
    <w:rsid w:val="00673DCC"/>
    <w:rsid w:val="0067412D"/>
    <w:rsid w:val="00674239"/>
    <w:rsid w:val="00674DEC"/>
    <w:rsid w:val="00676260"/>
    <w:rsid w:val="00676537"/>
    <w:rsid w:val="006769C7"/>
    <w:rsid w:val="00676B5C"/>
    <w:rsid w:val="00676DBE"/>
    <w:rsid w:val="00676E49"/>
    <w:rsid w:val="006772E4"/>
    <w:rsid w:val="0067736A"/>
    <w:rsid w:val="006775A5"/>
    <w:rsid w:val="00680FD0"/>
    <w:rsid w:val="00681548"/>
    <w:rsid w:val="00681FB4"/>
    <w:rsid w:val="00682920"/>
    <w:rsid w:val="00683511"/>
    <w:rsid w:val="00683B44"/>
    <w:rsid w:val="00684B4E"/>
    <w:rsid w:val="00684FD5"/>
    <w:rsid w:val="0068503D"/>
    <w:rsid w:val="00685102"/>
    <w:rsid w:val="0068591F"/>
    <w:rsid w:val="00685FF3"/>
    <w:rsid w:val="00686335"/>
    <w:rsid w:val="0068685A"/>
    <w:rsid w:val="006900A8"/>
    <w:rsid w:val="00691F56"/>
    <w:rsid w:val="0069224B"/>
    <w:rsid w:val="006929FC"/>
    <w:rsid w:val="006953BC"/>
    <w:rsid w:val="00696FE1"/>
    <w:rsid w:val="00697A6F"/>
    <w:rsid w:val="006A01E0"/>
    <w:rsid w:val="006A0202"/>
    <w:rsid w:val="006A10FF"/>
    <w:rsid w:val="006A1A74"/>
    <w:rsid w:val="006A1A76"/>
    <w:rsid w:val="006A395F"/>
    <w:rsid w:val="006A3AAB"/>
    <w:rsid w:val="006A4049"/>
    <w:rsid w:val="006A4419"/>
    <w:rsid w:val="006A4D48"/>
    <w:rsid w:val="006A66D5"/>
    <w:rsid w:val="006A6BA2"/>
    <w:rsid w:val="006A7A4E"/>
    <w:rsid w:val="006B03D1"/>
    <w:rsid w:val="006B03FA"/>
    <w:rsid w:val="006B0878"/>
    <w:rsid w:val="006B0BE0"/>
    <w:rsid w:val="006B0F09"/>
    <w:rsid w:val="006B1024"/>
    <w:rsid w:val="006B1221"/>
    <w:rsid w:val="006B19E1"/>
    <w:rsid w:val="006B1BC1"/>
    <w:rsid w:val="006B22F6"/>
    <w:rsid w:val="006B2AA0"/>
    <w:rsid w:val="006B2E91"/>
    <w:rsid w:val="006B2EB9"/>
    <w:rsid w:val="006B4E8C"/>
    <w:rsid w:val="006B4F7E"/>
    <w:rsid w:val="006B5219"/>
    <w:rsid w:val="006B5D17"/>
    <w:rsid w:val="006B5E54"/>
    <w:rsid w:val="006B60D6"/>
    <w:rsid w:val="006B687E"/>
    <w:rsid w:val="006C0566"/>
    <w:rsid w:val="006C3F70"/>
    <w:rsid w:val="006C4BBD"/>
    <w:rsid w:val="006C4C2F"/>
    <w:rsid w:val="006C5755"/>
    <w:rsid w:val="006C5939"/>
    <w:rsid w:val="006C5D29"/>
    <w:rsid w:val="006C6039"/>
    <w:rsid w:val="006C6750"/>
    <w:rsid w:val="006C6965"/>
    <w:rsid w:val="006C6994"/>
    <w:rsid w:val="006C6A89"/>
    <w:rsid w:val="006C6AFC"/>
    <w:rsid w:val="006C7241"/>
    <w:rsid w:val="006C78BF"/>
    <w:rsid w:val="006C7FDF"/>
    <w:rsid w:val="006D0EFB"/>
    <w:rsid w:val="006D125D"/>
    <w:rsid w:val="006D1624"/>
    <w:rsid w:val="006D1A3F"/>
    <w:rsid w:val="006D35FE"/>
    <w:rsid w:val="006D3BD9"/>
    <w:rsid w:val="006D3C5D"/>
    <w:rsid w:val="006D4809"/>
    <w:rsid w:val="006D4EED"/>
    <w:rsid w:val="006D5106"/>
    <w:rsid w:val="006D526B"/>
    <w:rsid w:val="006D660A"/>
    <w:rsid w:val="006D73F0"/>
    <w:rsid w:val="006D7604"/>
    <w:rsid w:val="006E07A7"/>
    <w:rsid w:val="006E23C9"/>
    <w:rsid w:val="006E27B9"/>
    <w:rsid w:val="006E2FC4"/>
    <w:rsid w:val="006E32DA"/>
    <w:rsid w:val="006E32F0"/>
    <w:rsid w:val="006E3985"/>
    <w:rsid w:val="006E4036"/>
    <w:rsid w:val="006E4EF7"/>
    <w:rsid w:val="006E5770"/>
    <w:rsid w:val="006E63C6"/>
    <w:rsid w:val="006E6851"/>
    <w:rsid w:val="006E6E74"/>
    <w:rsid w:val="006E7F70"/>
    <w:rsid w:val="006F0A60"/>
    <w:rsid w:val="006F159C"/>
    <w:rsid w:val="006F2EF8"/>
    <w:rsid w:val="006F3F3D"/>
    <w:rsid w:val="006F4044"/>
    <w:rsid w:val="006F5820"/>
    <w:rsid w:val="006F5DE7"/>
    <w:rsid w:val="006F6639"/>
    <w:rsid w:val="006F71BF"/>
    <w:rsid w:val="006F7203"/>
    <w:rsid w:val="00700C40"/>
    <w:rsid w:val="00700D42"/>
    <w:rsid w:val="00700E27"/>
    <w:rsid w:val="007013B5"/>
    <w:rsid w:val="0070252F"/>
    <w:rsid w:val="00703196"/>
    <w:rsid w:val="00703536"/>
    <w:rsid w:val="00704F2E"/>
    <w:rsid w:val="00705026"/>
    <w:rsid w:val="00705CB4"/>
    <w:rsid w:val="00705F65"/>
    <w:rsid w:val="00706037"/>
    <w:rsid w:val="0070603E"/>
    <w:rsid w:val="007060A0"/>
    <w:rsid w:val="007065A4"/>
    <w:rsid w:val="00706D7B"/>
    <w:rsid w:val="0070718B"/>
    <w:rsid w:val="0071004E"/>
    <w:rsid w:val="007104ED"/>
    <w:rsid w:val="00710B08"/>
    <w:rsid w:val="00710E41"/>
    <w:rsid w:val="0071117E"/>
    <w:rsid w:val="0071215D"/>
    <w:rsid w:val="0071249B"/>
    <w:rsid w:val="00712A20"/>
    <w:rsid w:val="00712C22"/>
    <w:rsid w:val="007130E8"/>
    <w:rsid w:val="007132A3"/>
    <w:rsid w:val="007143A9"/>
    <w:rsid w:val="007143AB"/>
    <w:rsid w:val="0071542B"/>
    <w:rsid w:val="00715436"/>
    <w:rsid w:val="007163FA"/>
    <w:rsid w:val="00716EF3"/>
    <w:rsid w:val="0071715D"/>
    <w:rsid w:val="00717407"/>
    <w:rsid w:val="0071776D"/>
    <w:rsid w:val="007178E1"/>
    <w:rsid w:val="00720133"/>
    <w:rsid w:val="00721647"/>
    <w:rsid w:val="00722525"/>
    <w:rsid w:val="0072314E"/>
    <w:rsid w:val="007235CC"/>
    <w:rsid w:val="0072393C"/>
    <w:rsid w:val="00724250"/>
    <w:rsid w:val="007246E3"/>
    <w:rsid w:val="00724C20"/>
    <w:rsid w:val="0072665D"/>
    <w:rsid w:val="00727520"/>
    <w:rsid w:val="007276F3"/>
    <w:rsid w:val="00727C44"/>
    <w:rsid w:val="0072F422"/>
    <w:rsid w:val="007307C1"/>
    <w:rsid w:val="00731162"/>
    <w:rsid w:val="00731ACB"/>
    <w:rsid w:val="00731AEE"/>
    <w:rsid w:val="00732DFF"/>
    <w:rsid w:val="0073337A"/>
    <w:rsid w:val="0073350E"/>
    <w:rsid w:val="0073388A"/>
    <w:rsid w:val="00734D9B"/>
    <w:rsid w:val="0073515C"/>
    <w:rsid w:val="00735292"/>
    <w:rsid w:val="00735E9F"/>
    <w:rsid w:val="00736307"/>
    <w:rsid w:val="007369D2"/>
    <w:rsid w:val="00736A8B"/>
    <w:rsid w:val="00737000"/>
    <w:rsid w:val="00737CFC"/>
    <w:rsid w:val="0074052D"/>
    <w:rsid w:val="00740867"/>
    <w:rsid w:val="007412D0"/>
    <w:rsid w:val="00742316"/>
    <w:rsid w:val="00742413"/>
    <w:rsid w:val="00742E26"/>
    <w:rsid w:val="00743741"/>
    <w:rsid w:val="007441A6"/>
    <w:rsid w:val="0074444D"/>
    <w:rsid w:val="0074479E"/>
    <w:rsid w:val="00744E09"/>
    <w:rsid w:val="007450A2"/>
    <w:rsid w:val="00745235"/>
    <w:rsid w:val="007458E6"/>
    <w:rsid w:val="007458F4"/>
    <w:rsid w:val="00746011"/>
    <w:rsid w:val="0074631A"/>
    <w:rsid w:val="0074631D"/>
    <w:rsid w:val="0074693B"/>
    <w:rsid w:val="00750516"/>
    <w:rsid w:val="00750604"/>
    <w:rsid w:val="007512EF"/>
    <w:rsid w:val="00751940"/>
    <w:rsid w:val="00751EE0"/>
    <w:rsid w:val="00752445"/>
    <w:rsid w:val="0075289A"/>
    <w:rsid w:val="00752F79"/>
    <w:rsid w:val="00753540"/>
    <w:rsid w:val="00753673"/>
    <w:rsid w:val="00754116"/>
    <w:rsid w:val="00754794"/>
    <w:rsid w:val="00754EDD"/>
    <w:rsid w:val="007551B5"/>
    <w:rsid w:val="00755D3C"/>
    <w:rsid w:val="0075621E"/>
    <w:rsid w:val="00756EF9"/>
    <w:rsid w:val="0075771D"/>
    <w:rsid w:val="0075799F"/>
    <w:rsid w:val="00757C44"/>
    <w:rsid w:val="00757ED6"/>
    <w:rsid w:val="00760F23"/>
    <w:rsid w:val="0076254D"/>
    <w:rsid w:val="007632D2"/>
    <w:rsid w:val="00763643"/>
    <w:rsid w:val="00764300"/>
    <w:rsid w:val="007649B2"/>
    <w:rsid w:val="00764B4C"/>
    <w:rsid w:val="00764BC6"/>
    <w:rsid w:val="00765E22"/>
    <w:rsid w:val="0076609E"/>
    <w:rsid w:val="00766F28"/>
    <w:rsid w:val="0077027B"/>
    <w:rsid w:val="00770B7F"/>
    <w:rsid w:val="00770FC4"/>
    <w:rsid w:val="00771777"/>
    <w:rsid w:val="007719A8"/>
    <w:rsid w:val="00771EF0"/>
    <w:rsid w:val="0077216F"/>
    <w:rsid w:val="00772479"/>
    <w:rsid w:val="00772EA3"/>
    <w:rsid w:val="00773331"/>
    <w:rsid w:val="007734F8"/>
    <w:rsid w:val="00773F73"/>
    <w:rsid w:val="0077435A"/>
    <w:rsid w:val="007749FF"/>
    <w:rsid w:val="00775681"/>
    <w:rsid w:val="00775EFD"/>
    <w:rsid w:val="00776A69"/>
    <w:rsid w:val="007810AA"/>
    <w:rsid w:val="00781277"/>
    <w:rsid w:val="007818CF"/>
    <w:rsid w:val="00781967"/>
    <w:rsid w:val="00781DC4"/>
    <w:rsid w:val="00782320"/>
    <w:rsid w:val="00782DB9"/>
    <w:rsid w:val="007833AA"/>
    <w:rsid w:val="007841CC"/>
    <w:rsid w:val="00784753"/>
    <w:rsid w:val="007852D1"/>
    <w:rsid w:val="00785603"/>
    <w:rsid w:val="00785797"/>
    <w:rsid w:val="007871F0"/>
    <w:rsid w:val="00787302"/>
    <w:rsid w:val="00787D69"/>
    <w:rsid w:val="007906E8"/>
    <w:rsid w:val="007915CF"/>
    <w:rsid w:val="00791959"/>
    <w:rsid w:val="00791BB2"/>
    <w:rsid w:val="00791C9E"/>
    <w:rsid w:val="00791FAB"/>
    <w:rsid w:val="00792166"/>
    <w:rsid w:val="00792361"/>
    <w:rsid w:val="00792E43"/>
    <w:rsid w:val="00792FB3"/>
    <w:rsid w:val="007932EF"/>
    <w:rsid w:val="00793440"/>
    <w:rsid w:val="0079363F"/>
    <w:rsid w:val="00793C0C"/>
    <w:rsid w:val="00793DB2"/>
    <w:rsid w:val="0079477E"/>
    <w:rsid w:val="00795AA8"/>
    <w:rsid w:val="00795F60"/>
    <w:rsid w:val="007962BB"/>
    <w:rsid w:val="00796712"/>
    <w:rsid w:val="0079677E"/>
    <w:rsid w:val="00796C90"/>
    <w:rsid w:val="0079708F"/>
    <w:rsid w:val="00797C58"/>
    <w:rsid w:val="007A0842"/>
    <w:rsid w:val="007A14AC"/>
    <w:rsid w:val="007A1630"/>
    <w:rsid w:val="007A21A3"/>
    <w:rsid w:val="007A2258"/>
    <w:rsid w:val="007A22C0"/>
    <w:rsid w:val="007A484E"/>
    <w:rsid w:val="007A485D"/>
    <w:rsid w:val="007A4B9E"/>
    <w:rsid w:val="007A560E"/>
    <w:rsid w:val="007A57AB"/>
    <w:rsid w:val="007A5DDD"/>
    <w:rsid w:val="007A64B6"/>
    <w:rsid w:val="007A653B"/>
    <w:rsid w:val="007A7124"/>
    <w:rsid w:val="007A7C5C"/>
    <w:rsid w:val="007B0315"/>
    <w:rsid w:val="007B1818"/>
    <w:rsid w:val="007B1977"/>
    <w:rsid w:val="007B1AD2"/>
    <w:rsid w:val="007B21C6"/>
    <w:rsid w:val="007B336A"/>
    <w:rsid w:val="007B3499"/>
    <w:rsid w:val="007B3D34"/>
    <w:rsid w:val="007B49B6"/>
    <w:rsid w:val="007B56BE"/>
    <w:rsid w:val="007B693F"/>
    <w:rsid w:val="007B74A9"/>
    <w:rsid w:val="007B75A2"/>
    <w:rsid w:val="007B79FD"/>
    <w:rsid w:val="007C0C14"/>
    <w:rsid w:val="007C116F"/>
    <w:rsid w:val="007C264E"/>
    <w:rsid w:val="007C2E26"/>
    <w:rsid w:val="007C3600"/>
    <w:rsid w:val="007C3B13"/>
    <w:rsid w:val="007C3E90"/>
    <w:rsid w:val="007C3F25"/>
    <w:rsid w:val="007C6E5B"/>
    <w:rsid w:val="007C7E34"/>
    <w:rsid w:val="007D0080"/>
    <w:rsid w:val="007D0B7E"/>
    <w:rsid w:val="007D147E"/>
    <w:rsid w:val="007D155A"/>
    <w:rsid w:val="007D1821"/>
    <w:rsid w:val="007D2AED"/>
    <w:rsid w:val="007D3B8C"/>
    <w:rsid w:val="007D4087"/>
    <w:rsid w:val="007D4228"/>
    <w:rsid w:val="007D4666"/>
    <w:rsid w:val="007D72EC"/>
    <w:rsid w:val="007D76C1"/>
    <w:rsid w:val="007E05B0"/>
    <w:rsid w:val="007E0A3D"/>
    <w:rsid w:val="007E0F3A"/>
    <w:rsid w:val="007E109F"/>
    <w:rsid w:val="007E1FC6"/>
    <w:rsid w:val="007E2200"/>
    <w:rsid w:val="007E2AE3"/>
    <w:rsid w:val="007E3DC3"/>
    <w:rsid w:val="007E5589"/>
    <w:rsid w:val="007E5B13"/>
    <w:rsid w:val="007E623D"/>
    <w:rsid w:val="007E64BC"/>
    <w:rsid w:val="007E6B82"/>
    <w:rsid w:val="007F05C6"/>
    <w:rsid w:val="007F13C7"/>
    <w:rsid w:val="007F19CB"/>
    <w:rsid w:val="007F2092"/>
    <w:rsid w:val="007F2613"/>
    <w:rsid w:val="007F2C34"/>
    <w:rsid w:val="007F2D4F"/>
    <w:rsid w:val="007F306F"/>
    <w:rsid w:val="007F30DD"/>
    <w:rsid w:val="007F360B"/>
    <w:rsid w:val="007F38E5"/>
    <w:rsid w:val="007F3B0B"/>
    <w:rsid w:val="007F3E9B"/>
    <w:rsid w:val="007F439F"/>
    <w:rsid w:val="007F4EB6"/>
    <w:rsid w:val="007F5015"/>
    <w:rsid w:val="007F70ED"/>
    <w:rsid w:val="007F7474"/>
    <w:rsid w:val="007F778D"/>
    <w:rsid w:val="007F783B"/>
    <w:rsid w:val="007F79B1"/>
    <w:rsid w:val="007F7B1D"/>
    <w:rsid w:val="007F7D13"/>
    <w:rsid w:val="007F7ECE"/>
    <w:rsid w:val="008007FC"/>
    <w:rsid w:val="008018EF"/>
    <w:rsid w:val="00802891"/>
    <w:rsid w:val="00802EDF"/>
    <w:rsid w:val="0080389D"/>
    <w:rsid w:val="008040E8"/>
    <w:rsid w:val="008044D7"/>
    <w:rsid w:val="00805276"/>
    <w:rsid w:val="00805552"/>
    <w:rsid w:val="00805719"/>
    <w:rsid w:val="0080591A"/>
    <w:rsid w:val="00805BBA"/>
    <w:rsid w:val="00806FE6"/>
    <w:rsid w:val="00807F7A"/>
    <w:rsid w:val="0080E1B3"/>
    <w:rsid w:val="00811BBC"/>
    <w:rsid w:val="0081243F"/>
    <w:rsid w:val="00812611"/>
    <w:rsid w:val="0081270C"/>
    <w:rsid w:val="008129DB"/>
    <w:rsid w:val="00812A31"/>
    <w:rsid w:val="00812B91"/>
    <w:rsid w:val="008144BC"/>
    <w:rsid w:val="0081573E"/>
    <w:rsid w:val="00815971"/>
    <w:rsid w:val="008159A3"/>
    <w:rsid w:val="00816350"/>
    <w:rsid w:val="0081642C"/>
    <w:rsid w:val="008168B7"/>
    <w:rsid w:val="008171B0"/>
    <w:rsid w:val="008173AF"/>
    <w:rsid w:val="008174E4"/>
    <w:rsid w:val="00817505"/>
    <w:rsid w:val="00817F7A"/>
    <w:rsid w:val="00821384"/>
    <w:rsid w:val="0082178E"/>
    <w:rsid w:val="00823258"/>
    <w:rsid w:val="00823C4B"/>
    <w:rsid w:val="008243F9"/>
    <w:rsid w:val="00824504"/>
    <w:rsid w:val="008249E3"/>
    <w:rsid w:val="00825067"/>
    <w:rsid w:val="0082557B"/>
    <w:rsid w:val="0082559B"/>
    <w:rsid w:val="00826239"/>
    <w:rsid w:val="00827BD0"/>
    <w:rsid w:val="008301E2"/>
    <w:rsid w:val="008307EC"/>
    <w:rsid w:val="008320F5"/>
    <w:rsid w:val="0083251D"/>
    <w:rsid w:val="008339FA"/>
    <w:rsid w:val="00833BEC"/>
    <w:rsid w:val="00834261"/>
    <w:rsid w:val="00834B75"/>
    <w:rsid w:val="00834B7E"/>
    <w:rsid w:val="00834FE3"/>
    <w:rsid w:val="008353A5"/>
    <w:rsid w:val="00835DDC"/>
    <w:rsid w:val="008365D2"/>
    <w:rsid w:val="00837962"/>
    <w:rsid w:val="00837A83"/>
    <w:rsid w:val="00837AF8"/>
    <w:rsid w:val="00837BBA"/>
    <w:rsid w:val="008408DA"/>
    <w:rsid w:val="00840D6E"/>
    <w:rsid w:val="00841216"/>
    <w:rsid w:val="00841CC4"/>
    <w:rsid w:val="0084292A"/>
    <w:rsid w:val="00842C8E"/>
    <w:rsid w:val="0084444D"/>
    <w:rsid w:val="008449B4"/>
    <w:rsid w:val="00844CEB"/>
    <w:rsid w:val="00844DDC"/>
    <w:rsid w:val="00844F5D"/>
    <w:rsid w:val="008450C6"/>
    <w:rsid w:val="008454DC"/>
    <w:rsid w:val="00845ED2"/>
    <w:rsid w:val="008463AE"/>
    <w:rsid w:val="0084663D"/>
    <w:rsid w:val="00846A2C"/>
    <w:rsid w:val="00846C1A"/>
    <w:rsid w:val="00846F78"/>
    <w:rsid w:val="008477CB"/>
    <w:rsid w:val="00847F29"/>
    <w:rsid w:val="008500C6"/>
    <w:rsid w:val="00850345"/>
    <w:rsid w:val="00850C5A"/>
    <w:rsid w:val="00851420"/>
    <w:rsid w:val="00851550"/>
    <w:rsid w:val="00851928"/>
    <w:rsid w:val="00851EC0"/>
    <w:rsid w:val="00851FBC"/>
    <w:rsid w:val="00852CBF"/>
    <w:rsid w:val="00852E44"/>
    <w:rsid w:val="00853315"/>
    <w:rsid w:val="00854051"/>
    <w:rsid w:val="00854387"/>
    <w:rsid w:val="008551F9"/>
    <w:rsid w:val="00855C29"/>
    <w:rsid w:val="0085E9B1"/>
    <w:rsid w:val="008610E8"/>
    <w:rsid w:val="008615F8"/>
    <w:rsid w:val="00861727"/>
    <w:rsid w:val="00862038"/>
    <w:rsid w:val="00862A3C"/>
    <w:rsid w:val="008630D1"/>
    <w:rsid w:val="008634BC"/>
    <w:rsid w:val="00864E9D"/>
    <w:rsid w:val="00865823"/>
    <w:rsid w:val="00866A4B"/>
    <w:rsid w:val="00866C23"/>
    <w:rsid w:val="00866CB4"/>
    <w:rsid w:val="008672BE"/>
    <w:rsid w:val="00867594"/>
    <w:rsid w:val="00867664"/>
    <w:rsid w:val="00867831"/>
    <w:rsid w:val="008678D5"/>
    <w:rsid w:val="00867DB3"/>
    <w:rsid w:val="00870368"/>
    <w:rsid w:val="00870488"/>
    <w:rsid w:val="0087084E"/>
    <w:rsid w:val="00870933"/>
    <w:rsid w:val="00871000"/>
    <w:rsid w:val="00871B36"/>
    <w:rsid w:val="0087232B"/>
    <w:rsid w:val="0087269C"/>
    <w:rsid w:val="008728CA"/>
    <w:rsid w:val="008733FB"/>
    <w:rsid w:val="0087346E"/>
    <w:rsid w:val="008734D4"/>
    <w:rsid w:val="00874924"/>
    <w:rsid w:val="00874D22"/>
    <w:rsid w:val="00875353"/>
    <w:rsid w:val="00876D1D"/>
    <w:rsid w:val="00877079"/>
    <w:rsid w:val="00877B3D"/>
    <w:rsid w:val="00880E6C"/>
    <w:rsid w:val="008838B1"/>
    <w:rsid w:val="008839DA"/>
    <w:rsid w:val="008843E9"/>
    <w:rsid w:val="008843FE"/>
    <w:rsid w:val="008848BC"/>
    <w:rsid w:val="008849A3"/>
    <w:rsid w:val="00884FE4"/>
    <w:rsid w:val="008857CD"/>
    <w:rsid w:val="00886312"/>
    <w:rsid w:val="00886528"/>
    <w:rsid w:val="008869C6"/>
    <w:rsid w:val="00887281"/>
    <w:rsid w:val="00887370"/>
    <w:rsid w:val="00887774"/>
    <w:rsid w:val="00887B53"/>
    <w:rsid w:val="0089016F"/>
    <w:rsid w:val="00890855"/>
    <w:rsid w:val="00891694"/>
    <w:rsid w:val="00891C14"/>
    <w:rsid w:val="00891EB7"/>
    <w:rsid w:val="00892747"/>
    <w:rsid w:val="008931BE"/>
    <w:rsid w:val="00893556"/>
    <w:rsid w:val="00893CF5"/>
    <w:rsid w:val="00894317"/>
    <w:rsid w:val="00895595"/>
    <w:rsid w:val="00895F43"/>
    <w:rsid w:val="00897A6D"/>
    <w:rsid w:val="00897AF7"/>
    <w:rsid w:val="00897C57"/>
    <w:rsid w:val="008A0F60"/>
    <w:rsid w:val="008A0F69"/>
    <w:rsid w:val="008A10E6"/>
    <w:rsid w:val="008A111F"/>
    <w:rsid w:val="008A16BB"/>
    <w:rsid w:val="008A16E6"/>
    <w:rsid w:val="008A186D"/>
    <w:rsid w:val="008A2053"/>
    <w:rsid w:val="008A2914"/>
    <w:rsid w:val="008A2AE8"/>
    <w:rsid w:val="008A3A67"/>
    <w:rsid w:val="008A3F6F"/>
    <w:rsid w:val="008A4A4A"/>
    <w:rsid w:val="008A4F6C"/>
    <w:rsid w:val="008A53E2"/>
    <w:rsid w:val="008A615C"/>
    <w:rsid w:val="008A615E"/>
    <w:rsid w:val="008A72DA"/>
    <w:rsid w:val="008B0605"/>
    <w:rsid w:val="008B1D6D"/>
    <w:rsid w:val="008B1E08"/>
    <w:rsid w:val="008B26D5"/>
    <w:rsid w:val="008B30EC"/>
    <w:rsid w:val="008B3538"/>
    <w:rsid w:val="008B4681"/>
    <w:rsid w:val="008B5A5E"/>
    <w:rsid w:val="008B614B"/>
    <w:rsid w:val="008B63D9"/>
    <w:rsid w:val="008B68A7"/>
    <w:rsid w:val="008B6D9E"/>
    <w:rsid w:val="008B6E94"/>
    <w:rsid w:val="008B7628"/>
    <w:rsid w:val="008B7675"/>
    <w:rsid w:val="008B781E"/>
    <w:rsid w:val="008BC9EA"/>
    <w:rsid w:val="008C0197"/>
    <w:rsid w:val="008C127D"/>
    <w:rsid w:val="008C211A"/>
    <w:rsid w:val="008C3929"/>
    <w:rsid w:val="008C499E"/>
    <w:rsid w:val="008C4E59"/>
    <w:rsid w:val="008C50E0"/>
    <w:rsid w:val="008C5D4C"/>
    <w:rsid w:val="008C5E38"/>
    <w:rsid w:val="008C5ECD"/>
    <w:rsid w:val="008C6218"/>
    <w:rsid w:val="008C6BB3"/>
    <w:rsid w:val="008C6CCE"/>
    <w:rsid w:val="008C764D"/>
    <w:rsid w:val="008C7F66"/>
    <w:rsid w:val="008D0E40"/>
    <w:rsid w:val="008D10DB"/>
    <w:rsid w:val="008D1D44"/>
    <w:rsid w:val="008D2C08"/>
    <w:rsid w:val="008D2F60"/>
    <w:rsid w:val="008D3823"/>
    <w:rsid w:val="008D39BE"/>
    <w:rsid w:val="008D3E72"/>
    <w:rsid w:val="008D3EBB"/>
    <w:rsid w:val="008D455D"/>
    <w:rsid w:val="008D4735"/>
    <w:rsid w:val="008D5100"/>
    <w:rsid w:val="008D5310"/>
    <w:rsid w:val="008D5A09"/>
    <w:rsid w:val="008D6910"/>
    <w:rsid w:val="008D7565"/>
    <w:rsid w:val="008D7BA9"/>
    <w:rsid w:val="008D7C54"/>
    <w:rsid w:val="008D7CCA"/>
    <w:rsid w:val="008E009C"/>
    <w:rsid w:val="008E02C3"/>
    <w:rsid w:val="008E0F35"/>
    <w:rsid w:val="008E1411"/>
    <w:rsid w:val="008E1602"/>
    <w:rsid w:val="008E1C26"/>
    <w:rsid w:val="008E20ED"/>
    <w:rsid w:val="008E3461"/>
    <w:rsid w:val="008E34F2"/>
    <w:rsid w:val="008E3879"/>
    <w:rsid w:val="008E3BB2"/>
    <w:rsid w:val="008E3C7B"/>
    <w:rsid w:val="008E4AED"/>
    <w:rsid w:val="008E4D1F"/>
    <w:rsid w:val="008E4D8E"/>
    <w:rsid w:val="008E611A"/>
    <w:rsid w:val="008E7541"/>
    <w:rsid w:val="008E7E5B"/>
    <w:rsid w:val="008F0686"/>
    <w:rsid w:val="008F0722"/>
    <w:rsid w:val="008F1934"/>
    <w:rsid w:val="008F25EF"/>
    <w:rsid w:val="008F31F8"/>
    <w:rsid w:val="008F5DF5"/>
    <w:rsid w:val="008F5F19"/>
    <w:rsid w:val="008F602C"/>
    <w:rsid w:val="008F6978"/>
    <w:rsid w:val="008F6D82"/>
    <w:rsid w:val="008F6ED2"/>
    <w:rsid w:val="008F797F"/>
    <w:rsid w:val="00901037"/>
    <w:rsid w:val="00901414"/>
    <w:rsid w:val="00902757"/>
    <w:rsid w:val="009031A7"/>
    <w:rsid w:val="00903590"/>
    <w:rsid w:val="009037D6"/>
    <w:rsid w:val="009038AE"/>
    <w:rsid w:val="00904471"/>
    <w:rsid w:val="00904B33"/>
    <w:rsid w:val="00904F61"/>
    <w:rsid w:val="0090552F"/>
    <w:rsid w:val="00905F71"/>
    <w:rsid w:val="009067DC"/>
    <w:rsid w:val="0090686C"/>
    <w:rsid w:val="00907CA7"/>
    <w:rsid w:val="00910221"/>
    <w:rsid w:val="00911575"/>
    <w:rsid w:val="00911999"/>
    <w:rsid w:val="009124B9"/>
    <w:rsid w:val="00912BAC"/>
    <w:rsid w:val="00912EF5"/>
    <w:rsid w:val="00912F4F"/>
    <w:rsid w:val="00912F6E"/>
    <w:rsid w:val="00912FBA"/>
    <w:rsid w:val="009141A8"/>
    <w:rsid w:val="00914531"/>
    <w:rsid w:val="0091517E"/>
    <w:rsid w:val="0091607E"/>
    <w:rsid w:val="009164C0"/>
    <w:rsid w:val="009200B1"/>
    <w:rsid w:val="009204D0"/>
    <w:rsid w:val="00920D4B"/>
    <w:rsid w:val="00921072"/>
    <w:rsid w:val="00921467"/>
    <w:rsid w:val="00921A82"/>
    <w:rsid w:val="00921A9D"/>
    <w:rsid w:val="00922F56"/>
    <w:rsid w:val="00923D8E"/>
    <w:rsid w:val="00923ED0"/>
    <w:rsid w:val="00924AAE"/>
    <w:rsid w:val="00925656"/>
    <w:rsid w:val="009261BB"/>
    <w:rsid w:val="009278C8"/>
    <w:rsid w:val="00927910"/>
    <w:rsid w:val="00931007"/>
    <w:rsid w:val="009310F3"/>
    <w:rsid w:val="009314AA"/>
    <w:rsid w:val="009325C5"/>
    <w:rsid w:val="00932F78"/>
    <w:rsid w:val="009333E8"/>
    <w:rsid w:val="009334F1"/>
    <w:rsid w:val="00933FA7"/>
    <w:rsid w:val="009345A5"/>
    <w:rsid w:val="0093480D"/>
    <w:rsid w:val="00934CAA"/>
    <w:rsid w:val="009351DF"/>
    <w:rsid w:val="00935B0E"/>
    <w:rsid w:val="009361E1"/>
    <w:rsid w:val="0093623E"/>
    <w:rsid w:val="0093631B"/>
    <w:rsid w:val="009368A5"/>
    <w:rsid w:val="00937038"/>
    <w:rsid w:val="0093722C"/>
    <w:rsid w:val="0093735D"/>
    <w:rsid w:val="009373BC"/>
    <w:rsid w:val="0093741C"/>
    <w:rsid w:val="00937552"/>
    <w:rsid w:val="009379F0"/>
    <w:rsid w:val="00940530"/>
    <w:rsid w:val="009405C0"/>
    <w:rsid w:val="00940684"/>
    <w:rsid w:val="00941006"/>
    <w:rsid w:val="00941685"/>
    <w:rsid w:val="009417EF"/>
    <w:rsid w:val="00941A3C"/>
    <w:rsid w:val="00942072"/>
    <w:rsid w:val="009422D5"/>
    <w:rsid w:val="0094254A"/>
    <w:rsid w:val="009425E3"/>
    <w:rsid w:val="00942CFB"/>
    <w:rsid w:val="00942FBB"/>
    <w:rsid w:val="00943045"/>
    <w:rsid w:val="009436A9"/>
    <w:rsid w:val="00943E6B"/>
    <w:rsid w:val="009452BE"/>
    <w:rsid w:val="00946697"/>
    <w:rsid w:val="009468FB"/>
    <w:rsid w:val="00947508"/>
    <w:rsid w:val="009514B4"/>
    <w:rsid w:val="00951854"/>
    <w:rsid w:val="009518E5"/>
    <w:rsid w:val="00951ABA"/>
    <w:rsid w:val="00952FB1"/>
    <w:rsid w:val="0095396F"/>
    <w:rsid w:val="00953A9C"/>
    <w:rsid w:val="00953D9F"/>
    <w:rsid w:val="00955513"/>
    <w:rsid w:val="009557CC"/>
    <w:rsid w:val="0095598B"/>
    <w:rsid w:val="00955B09"/>
    <w:rsid w:val="009561C2"/>
    <w:rsid w:val="009563AB"/>
    <w:rsid w:val="00956A11"/>
    <w:rsid w:val="00956E0A"/>
    <w:rsid w:val="009572F3"/>
    <w:rsid w:val="009574C3"/>
    <w:rsid w:val="009579BE"/>
    <w:rsid w:val="009604D9"/>
    <w:rsid w:val="00960DF7"/>
    <w:rsid w:val="009639CD"/>
    <w:rsid w:val="00964414"/>
    <w:rsid w:val="0096521F"/>
    <w:rsid w:val="009653E8"/>
    <w:rsid w:val="00966025"/>
    <w:rsid w:val="0096675D"/>
    <w:rsid w:val="009670FF"/>
    <w:rsid w:val="009675AB"/>
    <w:rsid w:val="00967996"/>
    <w:rsid w:val="00967C5F"/>
    <w:rsid w:val="00967DD4"/>
    <w:rsid w:val="00970229"/>
    <w:rsid w:val="0097092E"/>
    <w:rsid w:val="00970D94"/>
    <w:rsid w:val="009710CD"/>
    <w:rsid w:val="00972151"/>
    <w:rsid w:val="009728FC"/>
    <w:rsid w:val="009730EE"/>
    <w:rsid w:val="00973D63"/>
    <w:rsid w:val="00973DD5"/>
    <w:rsid w:val="00974025"/>
    <w:rsid w:val="0097516D"/>
    <w:rsid w:val="00975A67"/>
    <w:rsid w:val="00976607"/>
    <w:rsid w:val="0097725D"/>
    <w:rsid w:val="00977EA8"/>
    <w:rsid w:val="009801E2"/>
    <w:rsid w:val="0098023F"/>
    <w:rsid w:val="00980406"/>
    <w:rsid w:val="00981934"/>
    <w:rsid w:val="00981FAF"/>
    <w:rsid w:val="009820FA"/>
    <w:rsid w:val="00983218"/>
    <w:rsid w:val="00983287"/>
    <w:rsid w:val="00984AF9"/>
    <w:rsid w:val="00984D62"/>
    <w:rsid w:val="0098574E"/>
    <w:rsid w:val="00990146"/>
    <w:rsid w:val="009904D1"/>
    <w:rsid w:val="009908D9"/>
    <w:rsid w:val="00991ABF"/>
    <w:rsid w:val="00991EBD"/>
    <w:rsid w:val="0099227F"/>
    <w:rsid w:val="00993769"/>
    <w:rsid w:val="009938FB"/>
    <w:rsid w:val="009939F8"/>
    <w:rsid w:val="00993B0F"/>
    <w:rsid w:val="00993F1F"/>
    <w:rsid w:val="009941CF"/>
    <w:rsid w:val="0099503E"/>
    <w:rsid w:val="0099504A"/>
    <w:rsid w:val="00995741"/>
    <w:rsid w:val="00995858"/>
    <w:rsid w:val="00996E93"/>
    <w:rsid w:val="0099780A"/>
    <w:rsid w:val="009A1767"/>
    <w:rsid w:val="009A2591"/>
    <w:rsid w:val="009A2D67"/>
    <w:rsid w:val="009A3045"/>
    <w:rsid w:val="009A3126"/>
    <w:rsid w:val="009A3A11"/>
    <w:rsid w:val="009A3FFD"/>
    <w:rsid w:val="009A4034"/>
    <w:rsid w:val="009A659E"/>
    <w:rsid w:val="009A6EE1"/>
    <w:rsid w:val="009A7305"/>
    <w:rsid w:val="009A7E6C"/>
    <w:rsid w:val="009B0873"/>
    <w:rsid w:val="009B0FA8"/>
    <w:rsid w:val="009B148C"/>
    <w:rsid w:val="009B1502"/>
    <w:rsid w:val="009B1535"/>
    <w:rsid w:val="009B1988"/>
    <w:rsid w:val="009B2003"/>
    <w:rsid w:val="009B289A"/>
    <w:rsid w:val="009B414F"/>
    <w:rsid w:val="009B41BD"/>
    <w:rsid w:val="009B4253"/>
    <w:rsid w:val="009B4915"/>
    <w:rsid w:val="009B4CA3"/>
    <w:rsid w:val="009B4FA4"/>
    <w:rsid w:val="009B5213"/>
    <w:rsid w:val="009B5ACC"/>
    <w:rsid w:val="009B5C54"/>
    <w:rsid w:val="009B60AE"/>
    <w:rsid w:val="009B60F5"/>
    <w:rsid w:val="009B6BAD"/>
    <w:rsid w:val="009B6D73"/>
    <w:rsid w:val="009C0317"/>
    <w:rsid w:val="009C0C20"/>
    <w:rsid w:val="009C17E8"/>
    <w:rsid w:val="009C225E"/>
    <w:rsid w:val="009C2F92"/>
    <w:rsid w:val="009C3C83"/>
    <w:rsid w:val="009C4016"/>
    <w:rsid w:val="009C40D9"/>
    <w:rsid w:val="009C45BC"/>
    <w:rsid w:val="009C487E"/>
    <w:rsid w:val="009C49AE"/>
    <w:rsid w:val="009C4BB6"/>
    <w:rsid w:val="009C4ECC"/>
    <w:rsid w:val="009C574E"/>
    <w:rsid w:val="009C5CCA"/>
    <w:rsid w:val="009C6B59"/>
    <w:rsid w:val="009D0793"/>
    <w:rsid w:val="009D2357"/>
    <w:rsid w:val="009D39B5"/>
    <w:rsid w:val="009D4B25"/>
    <w:rsid w:val="009D5391"/>
    <w:rsid w:val="009D592D"/>
    <w:rsid w:val="009D5DED"/>
    <w:rsid w:val="009D6542"/>
    <w:rsid w:val="009D71CF"/>
    <w:rsid w:val="009D78AB"/>
    <w:rsid w:val="009D7E40"/>
    <w:rsid w:val="009E011F"/>
    <w:rsid w:val="009E0335"/>
    <w:rsid w:val="009E0611"/>
    <w:rsid w:val="009E08C5"/>
    <w:rsid w:val="009E18D2"/>
    <w:rsid w:val="009E1B79"/>
    <w:rsid w:val="009E2736"/>
    <w:rsid w:val="009E2905"/>
    <w:rsid w:val="009E2F83"/>
    <w:rsid w:val="009E36A5"/>
    <w:rsid w:val="009E37CA"/>
    <w:rsid w:val="009E3C8A"/>
    <w:rsid w:val="009E5323"/>
    <w:rsid w:val="009E54C9"/>
    <w:rsid w:val="009E59D1"/>
    <w:rsid w:val="009E6435"/>
    <w:rsid w:val="009E66B7"/>
    <w:rsid w:val="009E6A3D"/>
    <w:rsid w:val="009E771D"/>
    <w:rsid w:val="009E77F7"/>
    <w:rsid w:val="009E7C66"/>
    <w:rsid w:val="009F1623"/>
    <w:rsid w:val="009F1C9C"/>
    <w:rsid w:val="009F2519"/>
    <w:rsid w:val="009F29D4"/>
    <w:rsid w:val="009F36A6"/>
    <w:rsid w:val="009F4D05"/>
    <w:rsid w:val="009F518A"/>
    <w:rsid w:val="009F5853"/>
    <w:rsid w:val="009F6347"/>
    <w:rsid w:val="009F707B"/>
    <w:rsid w:val="009F779C"/>
    <w:rsid w:val="009F797B"/>
    <w:rsid w:val="00A01902"/>
    <w:rsid w:val="00A019D7"/>
    <w:rsid w:val="00A03F8F"/>
    <w:rsid w:val="00A041C1"/>
    <w:rsid w:val="00A049D0"/>
    <w:rsid w:val="00A0545B"/>
    <w:rsid w:val="00A05F7B"/>
    <w:rsid w:val="00A0619E"/>
    <w:rsid w:val="00A065EF"/>
    <w:rsid w:val="00A065F1"/>
    <w:rsid w:val="00A066AD"/>
    <w:rsid w:val="00A066FD"/>
    <w:rsid w:val="00A06DF4"/>
    <w:rsid w:val="00A06E3D"/>
    <w:rsid w:val="00A07037"/>
    <w:rsid w:val="00A1027B"/>
    <w:rsid w:val="00A103F3"/>
    <w:rsid w:val="00A1133D"/>
    <w:rsid w:val="00A12408"/>
    <w:rsid w:val="00A12AFC"/>
    <w:rsid w:val="00A12ED2"/>
    <w:rsid w:val="00A145F7"/>
    <w:rsid w:val="00A147FD"/>
    <w:rsid w:val="00A15047"/>
    <w:rsid w:val="00A160B5"/>
    <w:rsid w:val="00A16167"/>
    <w:rsid w:val="00A16E84"/>
    <w:rsid w:val="00A17FAB"/>
    <w:rsid w:val="00A21114"/>
    <w:rsid w:val="00A2121E"/>
    <w:rsid w:val="00A215BA"/>
    <w:rsid w:val="00A2171D"/>
    <w:rsid w:val="00A230E3"/>
    <w:rsid w:val="00A2317D"/>
    <w:rsid w:val="00A23931"/>
    <w:rsid w:val="00A23E44"/>
    <w:rsid w:val="00A23F4B"/>
    <w:rsid w:val="00A2410B"/>
    <w:rsid w:val="00A2430F"/>
    <w:rsid w:val="00A24A2E"/>
    <w:rsid w:val="00A24EF5"/>
    <w:rsid w:val="00A259FA"/>
    <w:rsid w:val="00A25FB8"/>
    <w:rsid w:val="00A26F6B"/>
    <w:rsid w:val="00A275D3"/>
    <w:rsid w:val="00A27D9F"/>
    <w:rsid w:val="00A3061D"/>
    <w:rsid w:val="00A3177E"/>
    <w:rsid w:val="00A31BE3"/>
    <w:rsid w:val="00A32C00"/>
    <w:rsid w:val="00A3409B"/>
    <w:rsid w:val="00A347A9"/>
    <w:rsid w:val="00A35307"/>
    <w:rsid w:val="00A35647"/>
    <w:rsid w:val="00A356AB"/>
    <w:rsid w:val="00A35D30"/>
    <w:rsid w:val="00A3606D"/>
    <w:rsid w:val="00A362D4"/>
    <w:rsid w:val="00A36930"/>
    <w:rsid w:val="00A36960"/>
    <w:rsid w:val="00A36A02"/>
    <w:rsid w:val="00A37D04"/>
    <w:rsid w:val="00A411DB"/>
    <w:rsid w:val="00A41D62"/>
    <w:rsid w:val="00A42082"/>
    <w:rsid w:val="00A42176"/>
    <w:rsid w:val="00A42EB2"/>
    <w:rsid w:val="00A430B9"/>
    <w:rsid w:val="00A44C98"/>
    <w:rsid w:val="00A45B39"/>
    <w:rsid w:val="00A45BAB"/>
    <w:rsid w:val="00A47E39"/>
    <w:rsid w:val="00A51005"/>
    <w:rsid w:val="00A51106"/>
    <w:rsid w:val="00A512E1"/>
    <w:rsid w:val="00A51803"/>
    <w:rsid w:val="00A51F44"/>
    <w:rsid w:val="00A51FC7"/>
    <w:rsid w:val="00A52AEF"/>
    <w:rsid w:val="00A52D43"/>
    <w:rsid w:val="00A536FD"/>
    <w:rsid w:val="00A53929"/>
    <w:rsid w:val="00A53D92"/>
    <w:rsid w:val="00A54AE1"/>
    <w:rsid w:val="00A54C90"/>
    <w:rsid w:val="00A550F7"/>
    <w:rsid w:val="00A55277"/>
    <w:rsid w:val="00A5582E"/>
    <w:rsid w:val="00A55851"/>
    <w:rsid w:val="00A55E90"/>
    <w:rsid w:val="00A56747"/>
    <w:rsid w:val="00A56AF7"/>
    <w:rsid w:val="00A56CF4"/>
    <w:rsid w:val="00A56DDF"/>
    <w:rsid w:val="00A57469"/>
    <w:rsid w:val="00A605F6"/>
    <w:rsid w:val="00A612CC"/>
    <w:rsid w:val="00A61A49"/>
    <w:rsid w:val="00A62640"/>
    <w:rsid w:val="00A62D2C"/>
    <w:rsid w:val="00A654EE"/>
    <w:rsid w:val="00A65BDF"/>
    <w:rsid w:val="00A66167"/>
    <w:rsid w:val="00A66A27"/>
    <w:rsid w:val="00A66A95"/>
    <w:rsid w:val="00A6702C"/>
    <w:rsid w:val="00A6733A"/>
    <w:rsid w:val="00A67416"/>
    <w:rsid w:val="00A67C00"/>
    <w:rsid w:val="00A70028"/>
    <w:rsid w:val="00A708D6"/>
    <w:rsid w:val="00A70C78"/>
    <w:rsid w:val="00A70C81"/>
    <w:rsid w:val="00A7110D"/>
    <w:rsid w:val="00A7217F"/>
    <w:rsid w:val="00A72234"/>
    <w:rsid w:val="00A732EE"/>
    <w:rsid w:val="00A73496"/>
    <w:rsid w:val="00A74123"/>
    <w:rsid w:val="00A750BF"/>
    <w:rsid w:val="00A76621"/>
    <w:rsid w:val="00A77319"/>
    <w:rsid w:val="00A77DC4"/>
    <w:rsid w:val="00A80662"/>
    <w:rsid w:val="00A81A93"/>
    <w:rsid w:val="00A82582"/>
    <w:rsid w:val="00A83A0E"/>
    <w:rsid w:val="00A83D40"/>
    <w:rsid w:val="00A849C8"/>
    <w:rsid w:val="00A849F1"/>
    <w:rsid w:val="00A84F6B"/>
    <w:rsid w:val="00A85C87"/>
    <w:rsid w:val="00A868FE"/>
    <w:rsid w:val="00A87754"/>
    <w:rsid w:val="00A877F0"/>
    <w:rsid w:val="00A87DFC"/>
    <w:rsid w:val="00A924D9"/>
    <w:rsid w:val="00A92760"/>
    <w:rsid w:val="00A9327C"/>
    <w:rsid w:val="00A944ED"/>
    <w:rsid w:val="00A944F3"/>
    <w:rsid w:val="00A95AD8"/>
    <w:rsid w:val="00A95E57"/>
    <w:rsid w:val="00A95EC1"/>
    <w:rsid w:val="00A9665B"/>
    <w:rsid w:val="00A97E68"/>
    <w:rsid w:val="00AA1930"/>
    <w:rsid w:val="00AA1FC2"/>
    <w:rsid w:val="00AA260D"/>
    <w:rsid w:val="00AA2804"/>
    <w:rsid w:val="00AA2B76"/>
    <w:rsid w:val="00AA38D7"/>
    <w:rsid w:val="00AA38E8"/>
    <w:rsid w:val="00AA483B"/>
    <w:rsid w:val="00AA5B13"/>
    <w:rsid w:val="00AA65A1"/>
    <w:rsid w:val="00AA68D5"/>
    <w:rsid w:val="00AA6F05"/>
    <w:rsid w:val="00AA7002"/>
    <w:rsid w:val="00AA7190"/>
    <w:rsid w:val="00AA7299"/>
    <w:rsid w:val="00AA7316"/>
    <w:rsid w:val="00AA7332"/>
    <w:rsid w:val="00AB0B3C"/>
    <w:rsid w:val="00AB1241"/>
    <w:rsid w:val="00AB19E8"/>
    <w:rsid w:val="00AB1F8B"/>
    <w:rsid w:val="00AB23F0"/>
    <w:rsid w:val="00AB266E"/>
    <w:rsid w:val="00AB332F"/>
    <w:rsid w:val="00AB3774"/>
    <w:rsid w:val="00AB409B"/>
    <w:rsid w:val="00AB475C"/>
    <w:rsid w:val="00AB5401"/>
    <w:rsid w:val="00AB608E"/>
    <w:rsid w:val="00AB60EC"/>
    <w:rsid w:val="00AB63C3"/>
    <w:rsid w:val="00AB6559"/>
    <w:rsid w:val="00AB6ACD"/>
    <w:rsid w:val="00AB6AE9"/>
    <w:rsid w:val="00AB7060"/>
    <w:rsid w:val="00AC0254"/>
    <w:rsid w:val="00AC1264"/>
    <w:rsid w:val="00AC16BC"/>
    <w:rsid w:val="00AC1B60"/>
    <w:rsid w:val="00AC2305"/>
    <w:rsid w:val="00AC24DD"/>
    <w:rsid w:val="00AC2E7C"/>
    <w:rsid w:val="00AC3078"/>
    <w:rsid w:val="00AC380E"/>
    <w:rsid w:val="00AC5421"/>
    <w:rsid w:val="00AC54E0"/>
    <w:rsid w:val="00AC5602"/>
    <w:rsid w:val="00AC78BC"/>
    <w:rsid w:val="00AC7B42"/>
    <w:rsid w:val="00AC7FBA"/>
    <w:rsid w:val="00AD0237"/>
    <w:rsid w:val="00AD04AC"/>
    <w:rsid w:val="00AD05A1"/>
    <w:rsid w:val="00AD096B"/>
    <w:rsid w:val="00AD0C48"/>
    <w:rsid w:val="00AD183F"/>
    <w:rsid w:val="00AD1C25"/>
    <w:rsid w:val="00AD246B"/>
    <w:rsid w:val="00AD28CD"/>
    <w:rsid w:val="00AD2B54"/>
    <w:rsid w:val="00AD2C37"/>
    <w:rsid w:val="00AD3AD8"/>
    <w:rsid w:val="00AD5B53"/>
    <w:rsid w:val="00AD5D43"/>
    <w:rsid w:val="00AD66E5"/>
    <w:rsid w:val="00AD7876"/>
    <w:rsid w:val="00AD7F36"/>
    <w:rsid w:val="00AE0052"/>
    <w:rsid w:val="00AE044A"/>
    <w:rsid w:val="00AE0504"/>
    <w:rsid w:val="00AE1AC5"/>
    <w:rsid w:val="00AE2E9E"/>
    <w:rsid w:val="00AE3566"/>
    <w:rsid w:val="00AE386C"/>
    <w:rsid w:val="00AE4CE6"/>
    <w:rsid w:val="00AE52D6"/>
    <w:rsid w:val="00AE64CC"/>
    <w:rsid w:val="00AE654B"/>
    <w:rsid w:val="00AE6936"/>
    <w:rsid w:val="00AE7390"/>
    <w:rsid w:val="00AF0915"/>
    <w:rsid w:val="00AF1DE2"/>
    <w:rsid w:val="00AF2406"/>
    <w:rsid w:val="00AF333B"/>
    <w:rsid w:val="00AF3E31"/>
    <w:rsid w:val="00AF3F67"/>
    <w:rsid w:val="00AF461E"/>
    <w:rsid w:val="00AF4B01"/>
    <w:rsid w:val="00AF5D9F"/>
    <w:rsid w:val="00AF6363"/>
    <w:rsid w:val="00AF6E2B"/>
    <w:rsid w:val="00AF6ECE"/>
    <w:rsid w:val="00AF772F"/>
    <w:rsid w:val="00AF7E35"/>
    <w:rsid w:val="00B0017C"/>
    <w:rsid w:val="00B0068B"/>
    <w:rsid w:val="00B007F2"/>
    <w:rsid w:val="00B00966"/>
    <w:rsid w:val="00B01519"/>
    <w:rsid w:val="00B017F1"/>
    <w:rsid w:val="00B030AF"/>
    <w:rsid w:val="00B031DC"/>
    <w:rsid w:val="00B038BC"/>
    <w:rsid w:val="00B0441B"/>
    <w:rsid w:val="00B044DF"/>
    <w:rsid w:val="00B0500F"/>
    <w:rsid w:val="00B05356"/>
    <w:rsid w:val="00B054FD"/>
    <w:rsid w:val="00B05A12"/>
    <w:rsid w:val="00B05C91"/>
    <w:rsid w:val="00B05DF9"/>
    <w:rsid w:val="00B06136"/>
    <w:rsid w:val="00B061D7"/>
    <w:rsid w:val="00B063A2"/>
    <w:rsid w:val="00B06528"/>
    <w:rsid w:val="00B068E4"/>
    <w:rsid w:val="00B06F3F"/>
    <w:rsid w:val="00B07308"/>
    <w:rsid w:val="00B07ED3"/>
    <w:rsid w:val="00B07FC9"/>
    <w:rsid w:val="00B10231"/>
    <w:rsid w:val="00B1047F"/>
    <w:rsid w:val="00B105C5"/>
    <w:rsid w:val="00B11B29"/>
    <w:rsid w:val="00B124D0"/>
    <w:rsid w:val="00B13018"/>
    <w:rsid w:val="00B1352C"/>
    <w:rsid w:val="00B13801"/>
    <w:rsid w:val="00B13F69"/>
    <w:rsid w:val="00B158BE"/>
    <w:rsid w:val="00B174DF"/>
    <w:rsid w:val="00B1765B"/>
    <w:rsid w:val="00B20EDE"/>
    <w:rsid w:val="00B214CA"/>
    <w:rsid w:val="00B2179D"/>
    <w:rsid w:val="00B22212"/>
    <w:rsid w:val="00B22AA9"/>
    <w:rsid w:val="00B22C9E"/>
    <w:rsid w:val="00B240A1"/>
    <w:rsid w:val="00B25E9F"/>
    <w:rsid w:val="00B263F7"/>
    <w:rsid w:val="00B2714D"/>
    <w:rsid w:val="00B2796D"/>
    <w:rsid w:val="00B303EE"/>
    <w:rsid w:val="00B30532"/>
    <w:rsid w:val="00B30ABF"/>
    <w:rsid w:val="00B31460"/>
    <w:rsid w:val="00B3181E"/>
    <w:rsid w:val="00B31D84"/>
    <w:rsid w:val="00B32851"/>
    <w:rsid w:val="00B33205"/>
    <w:rsid w:val="00B335B8"/>
    <w:rsid w:val="00B33FAF"/>
    <w:rsid w:val="00B34CBA"/>
    <w:rsid w:val="00B35724"/>
    <w:rsid w:val="00B35BEB"/>
    <w:rsid w:val="00B35FCD"/>
    <w:rsid w:val="00B36FCA"/>
    <w:rsid w:val="00B373BC"/>
    <w:rsid w:val="00B41E23"/>
    <w:rsid w:val="00B426EC"/>
    <w:rsid w:val="00B42F00"/>
    <w:rsid w:val="00B4324F"/>
    <w:rsid w:val="00B43317"/>
    <w:rsid w:val="00B45AF3"/>
    <w:rsid w:val="00B46539"/>
    <w:rsid w:val="00B47D7A"/>
    <w:rsid w:val="00B50B32"/>
    <w:rsid w:val="00B53C0E"/>
    <w:rsid w:val="00B5447C"/>
    <w:rsid w:val="00B54F2A"/>
    <w:rsid w:val="00B566EF"/>
    <w:rsid w:val="00B56DDA"/>
    <w:rsid w:val="00B57DCE"/>
    <w:rsid w:val="00B57E5B"/>
    <w:rsid w:val="00B608F7"/>
    <w:rsid w:val="00B60D34"/>
    <w:rsid w:val="00B61596"/>
    <w:rsid w:val="00B626A6"/>
    <w:rsid w:val="00B63623"/>
    <w:rsid w:val="00B637A8"/>
    <w:rsid w:val="00B63AF9"/>
    <w:rsid w:val="00B63B47"/>
    <w:rsid w:val="00B63C6A"/>
    <w:rsid w:val="00B64087"/>
    <w:rsid w:val="00B640BA"/>
    <w:rsid w:val="00B64134"/>
    <w:rsid w:val="00B643F1"/>
    <w:rsid w:val="00B6585C"/>
    <w:rsid w:val="00B6616D"/>
    <w:rsid w:val="00B66821"/>
    <w:rsid w:val="00B66B25"/>
    <w:rsid w:val="00B674F9"/>
    <w:rsid w:val="00B675FD"/>
    <w:rsid w:val="00B67FA9"/>
    <w:rsid w:val="00B7009A"/>
    <w:rsid w:val="00B701A7"/>
    <w:rsid w:val="00B70ACB"/>
    <w:rsid w:val="00B70BB4"/>
    <w:rsid w:val="00B71686"/>
    <w:rsid w:val="00B720AE"/>
    <w:rsid w:val="00B72965"/>
    <w:rsid w:val="00B73857"/>
    <w:rsid w:val="00B73EE1"/>
    <w:rsid w:val="00B761D2"/>
    <w:rsid w:val="00B767E9"/>
    <w:rsid w:val="00B76B8E"/>
    <w:rsid w:val="00B80103"/>
    <w:rsid w:val="00B8011E"/>
    <w:rsid w:val="00B806EA"/>
    <w:rsid w:val="00B80C9C"/>
    <w:rsid w:val="00B80D2A"/>
    <w:rsid w:val="00B81488"/>
    <w:rsid w:val="00B8163D"/>
    <w:rsid w:val="00B81F3F"/>
    <w:rsid w:val="00B8370B"/>
    <w:rsid w:val="00B83E9E"/>
    <w:rsid w:val="00B83FC5"/>
    <w:rsid w:val="00B84054"/>
    <w:rsid w:val="00B84EDD"/>
    <w:rsid w:val="00B854A1"/>
    <w:rsid w:val="00B86025"/>
    <w:rsid w:val="00B8610D"/>
    <w:rsid w:val="00B86CCF"/>
    <w:rsid w:val="00B86E68"/>
    <w:rsid w:val="00B86EC2"/>
    <w:rsid w:val="00B87098"/>
    <w:rsid w:val="00B879A9"/>
    <w:rsid w:val="00B87C10"/>
    <w:rsid w:val="00B87DA4"/>
    <w:rsid w:val="00B903B5"/>
    <w:rsid w:val="00B905F9"/>
    <w:rsid w:val="00B908FD"/>
    <w:rsid w:val="00B9252E"/>
    <w:rsid w:val="00B925B0"/>
    <w:rsid w:val="00B9307A"/>
    <w:rsid w:val="00B93236"/>
    <w:rsid w:val="00B9399C"/>
    <w:rsid w:val="00B93A44"/>
    <w:rsid w:val="00B93BE6"/>
    <w:rsid w:val="00B93EEA"/>
    <w:rsid w:val="00B957A7"/>
    <w:rsid w:val="00B95B5D"/>
    <w:rsid w:val="00B96B22"/>
    <w:rsid w:val="00B96F88"/>
    <w:rsid w:val="00B972C5"/>
    <w:rsid w:val="00B976BF"/>
    <w:rsid w:val="00BA0167"/>
    <w:rsid w:val="00BA1048"/>
    <w:rsid w:val="00BA1227"/>
    <w:rsid w:val="00BA1458"/>
    <w:rsid w:val="00BA1ADC"/>
    <w:rsid w:val="00BA2E90"/>
    <w:rsid w:val="00BA2EBD"/>
    <w:rsid w:val="00BA32CE"/>
    <w:rsid w:val="00BA3957"/>
    <w:rsid w:val="00BA435E"/>
    <w:rsid w:val="00BA4D26"/>
    <w:rsid w:val="00BA5FF4"/>
    <w:rsid w:val="00BA607E"/>
    <w:rsid w:val="00BA6736"/>
    <w:rsid w:val="00BB03DF"/>
    <w:rsid w:val="00BB07D4"/>
    <w:rsid w:val="00BB0D62"/>
    <w:rsid w:val="00BB0D77"/>
    <w:rsid w:val="00BB0F40"/>
    <w:rsid w:val="00BB105C"/>
    <w:rsid w:val="00BB12FA"/>
    <w:rsid w:val="00BB1F2D"/>
    <w:rsid w:val="00BB216D"/>
    <w:rsid w:val="00BB2F7D"/>
    <w:rsid w:val="00BB40C8"/>
    <w:rsid w:val="00BB4104"/>
    <w:rsid w:val="00BB5438"/>
    <w:rsid w:val="00BB59CD"/>
    <w:rsid w:val="00BC0753"/>
    <w:rsid w:val="00BC0CD0"/>
    <w:rsid w:val="00BC1F5E"/>
    <w:rsid w:val="00BC2258"/>
    <w:rsid w:val="00BC2F6E"/>
    <w:rsid w:val="00BC2F92"/>
    <w:rsid w:val="00BC3A79"/>
    <w:rsid w:val="00BC4530"/>
    <w:rsid w:val="00BC4813"/>
    <w:rsid w:val="00BC54CB"/>
    <w:rsid w:val="00BC59A6"/>
    <w:rsid w:val="00BC5F4C"/>
    <w:rsid w:val="00BC5FDA"/>
    <w:rsid w:val="00BC6330"/>
    <w:rsid w:val="00BC69CD"/>
    <w:rsid w:val="00BC71C9"/>
    <w:rsid w:val="00BC7458"/>
    <w:rsid w:val="00BC7C1C"/>
    <w:rsid w:val="00BD0093"/>
    <w:rsid w:val="00BD30DE"/>
    <w:rsid w:val="00BD3A6D"/>
    <w:rsid w:val="00BD3D16"/>
    <w:rsid w:val="00BD522A"/>
    <w:rsid w:val="00BD5C9C"/>
    <w:rsid w:val="00BD699A"/>
    <w:rsid w:val="00BD72EE"/>
    <w:rsid w:val="00BD773C"/>
    <w:rsid w:val="00BE03C9"/>
    <w:rsid w:val="00BE150E"/>
    <w:rsid w:val="00BE171B"/>
    <w:rsid w:val="00BE1BC9"/>
    <w:rsid w:val="00BE2738"/>
    <w:rsid w:val="00BE2BA5"/>
    <w:rsid w:val="00BE58D7"/>
    <w:rsid w:val="00BE6834"/>
    <w:rsid w:val="00BE6894"/>
    <w:rsid w:val="00BE6F0E"/>
    <w:rsid w:val="00BE702A"/>
    <w:rsid w:val="00BE72F4"/>
    <w:rsid w:val="00BE76F8"/>
    <w:rsid w:val="00BE77BF"/>
    <w:rsid w:val="00BF0803"/>
    <w:rsid w:val="00BF0F81"/>
    <w:rsid w:val="00BF12B0"/>
    <w:rsid w:val="00BF2405"/>
    <w:rsid w:val="00BF244C"/>
    <w:rsid w:val="00BF2A92"/>
    <w:rsid w:val="00BF2D3E"/>
    <w:rsid w:val="00BF2D8C"/>
    <w:rsid w:val="00BF33EE"/>
    <w:rsid w:val="00BF3945"/>
    <w:rsid w:val="00BF499D"/>
    <w:rsid w:val="00BF4A37"/>
    <w:rsid w:val="00BF4D24"/>
    <w:rsid w:val="00BF6FB9"/>
    <w:rsid w:val="00BF7625"/>
    <w:rsid w:val="00BF7BFC"/>
    <w:rsid w:val="00BF7D6B"/>
    <w:rsid w:val="00C00593"/>
    <w:rsid w:val="00C014FC"/>
    <w:rsid w:val="00C018BD"/>
    <w:rsid w:val="00C0343A"/>
    <w:rsid w:val="00C03732"/>
    <w:rsid w:val="00C0423E"/>
    <w:rsid w:val="00C057C7"/>
    <w:rsid w:val="00C05D72"/>
    <w:rsid w:val="00C06E8B"/>
    <w:rsid w:val="00C06F2D"/>
    <w:rsid w:val="00C071D0"/>
    <w:rsid w:val="00C079EC"/>
    <w:rsid w:val="00C07D14"/>
    <w:rsid w:val="00C07DE2"/>
    <w:rsid w:val="00C1022E"/>
    <w:rsid w:val="00C102C2"/>
    <w:rsid w:val="00C107AB"/>
    <w:rsid w:val="00C10C16"/>
    <w:rsid w:val="00C114C4"/>
    <w:rsid w:val="00C116CD"/>
    <w:rsid w:val="00C1197D"/>
    <w:rsid w:val="00C12301"/>
    <w:rsid w:val="00C123F5"/>
    <w:rsid w:val="00C13336"/>
    <w:rsid w:val="00C1336B"/>
    <w:rsid w:val="00C14088"/>
    <w:rsid w:val="00C14BE4"/>
    <w:rsid w:val="00C14C0C"/>
    <w:rsid w:val="00C1566F"/>
    <w:rsid w:val="00C1621D"/>
    <w:rsid w:val="00C1636A"/>
    <w:rsid w:val="00C16574"/>
    <w:rsid w:val="00C16B93"/>
    <w:rsid w:val="00C16F12"/>
    <w:rsid w:val="00C16F7E"/>
    <w:rsid w:val="00C17061"/>
    <w:rsid w:val="00C1721C"/>
    <w:rsid w:val="00C177F6"/>
    <w:rsid w:val="00C17996"/>
    <w:rsid w:val="00C216BF"/>
    <w:rsid w:val="00C21A1C"/>
    <w:rsid w:val="00C21DF8"/>
    <w:rsid w:val="00C21F8F"/>
    <w:rsid w:val="00C220DD"/>
    <w:rsid w:val="00C22A94"/>
    <w:rsid w:val="00C22EDD"/>
    <w:rsid w:val="00C2303A"/>
    <w:rsid w:val="00C23558"/>
    <w:rsid w:val="00C23FB3"/>
    <w:rsid w:val="00C24097"/>
    <w:rsid w:val="00C242CD"/>
    <w:rsid w:val="00C256C5"/>
    <w:rsid w:val="00C258CF"/>
    <w:rsid w:val="00C26D75"/>
    <w:rsid w:val="00C2720B"/>
    <w:rsid w:val="00C27A29"/>
    <w:rsid w:val="00C30D0D"/>
    <w:rsid w:val="00C3104D"/>
    <w:rsid w:val="00C310F1"/>
    <w:rsid w:val="00C31336"/>
    <w:rsid w:val="00C320D6"/>
    <w:rsid w:val="00C328E3"/>
    <w:rsid w:val="00C32FE7"/>
    <w:rsid w:val="00C336A8"/>
    <w:rsid w:val="00C339AB"/>
    <w:rsid w:val="00C341C9"/>
    <w:rsid w:val="00C3466E"/>
    <w:rsid w:val="00C373B4"/>
    <w:rsid w:val="00C37E5D"/>
    <w:rsid w:val="00C39189"/>
    <w:rsid w:val="00C40089"/>
    <w:rsid w:val="00C4083A"/>
    <w:rsid w:val="00C40E7C"/>
    <w:rsid w:val="00C424A8"/>
    <w:rsid w:val="00C428BD"/>
    <w:rsid w:val="00C42BA5"/>
    <w:rsid w:val="00C42F2F"/>
    <w:rsid w:val="00C43115"/>
    <w:rsid w:val="00C4321F"/>
    <w:rsid w:val="00C441FE"/>
    <w:rsid w:val="00C44417"/>
    <w:rsid w:val="00C4586C"/>
    <w:rsid w:val="00C45873"/>
    <w:rsid w:val="00C45D17"/>
    <w:rsid w:val="00C4618A"/>
    <w:rsid w:val="00C46272"/>
    <w:rsid w:val="00C47600"/>
    <w:rsid w:val="00C47675"/>
    <w:rsid w:val="00C504DC"/>
    <w:rsid w:val="00C509AF"/>
    <w:rsid w:val="00C50E1D"/>
    <w:rsid w:val="00C51F57"/>
    <w:rsid w:val="00C52857"/>
    <w:rsid w:val="00C52BB9"/>
    <w:rsid w:val="00C547B1"/>
    <w:rsid w:val="00C54ABD"/>
    <w:rsid w:val="00C55EED"/>
    <w:rsid w:val="00C56108"/>
    <w:rsid w:val="00C56207"/>
    <w:rsid w:val="00C57731"/>
    <w:rsid w:val="00C579CF"/>
    <w:rsid w:val="00C57E59"/>
    <w:rsid w:val="00C60317"/>
    <w:rsid w:val="00C60E98"/>
    <w:rsid w:val="00C61041"/>
    <w:rsid w:val="00C61427"/>
    <w:rsid w:val="00C61589"/>
    <w:rsid w:val="00C615A9"/>
    <w:rsid w:val="00C615BD"/>
    <w:rsid w:val="00C62613"/>
    <w:rsid w:val="00C63AEE"/>
    <w:rsid w:val="00C64875"/>
    <w:rsid w:val="00C65D81"/>
    <w:rsid w:val="00C67407"/>
    <w:rsid w:val="00C6754A"/>
    <w:rsid w:val="00C675CE"/>
    <w:rsid w:val="00C67C79"/>
    <w:rsid w:val="00C67EA7"/>
    <w:rsid w:val="00C7037B"/>
    <w:rsid w:val="00C7072E"/>
    <w:rsid w:val="00C70A48"/>
    <w:rsid w:val="00C70D7D"/>
    <w:rsid w:val="00C7117B"/>
    <w:rsid w:val="00C7247A"/>
    <w:rsid w:val="00C727F3"/>
    <w:rsid w:val="00C72D92"/>
    <w:rsid w:val="00C72E6C"/>
    <w:rsid w:val="00C73BED"/>
    <w:rsid w:val="00C743D2"/>
    <w:rsid w:val="00C7481F"/>
    <w:rsid w:val="00C74940"/>
    <w:rsid w:val="00C75241"/>
    <w:rsid w:val="00C75369"/>
    <w:rsid w:val="00C753BA"/>
    <w:rsid w:val="00C821BC"/>
    <w:rsid w:val="00C8235A"/>
    <w:rsid w:val="00C82389"/>
    <w:rsid w:val="00C825DE"/>
    <w:rsid w:val="00C8324A"/>
    <w:rsid w:val="00C8354F"/>
    <w:rsid w:val="00C84E5E"/>
    <w:rsid w:val="00C84EBA"/>
    <w:rsid w:val="00C85234"/>
    <w:rsid w:val="00C8531B"/>
    <w:rsid w:val="00C85469"/>
    <w:rsid w:val="00C86259"/>
    <w:rsid w:val="00C86D7F"/>
    <w:rsid w:val="00C87918"/>
    <w:rsid w:val="00C87D22"/>
    <w:rsid w:val="00C90500"/>
    <w:rsid w:val="00C909D0"/>
    <w:rsid w:val="00C9276A"/>
    <w:rsid w:val="00C92830"/>
    <w:rsid w:val="00C92EA3"/>
    <w:rsid w:val="00C930DD"/>
    <w:rsid w:val="00C9316C"/>
    <w:rsid w:val="00C94F9E"/>
    <w:rsid w:val="00C95775"/>
    <w:rsid w:val="00C95783"/>
    <w:rsid w:val="00C9580B"/>
    <w:rsid w:val="00C96EAD"/>
    <w:rsid w:val="00C972A6"/>
    <w:rsid w:val="00C973FD"/>
    <w:rsid w:val="00C974C5"/>
    <w:rsid w:val="00C9768A"/>
    <w:rsid w:val="00C97F9B"/>
    <w:rsid w:val="00CA094D"/>
    <w:rsid w:val="00CA0A9A"/>
    <w:rsid w:val="00CA13F7"/>
    <w:rsid w:val="00CA1B28"/>
    <w:rsid w:val="00CA2915"/>
    <w:rsid w:val="00CA30BB"/>
    <w:rsid w:val="00CA38EC"/>
    <w:rsid w:val="00CA3B46"/>
    <w:rsid w:val="00CA3BF7"/>
    <w:rsid w:val="00CA4DB7"/>
    <w:rsid w:val="00CA57C1"/>
    <w:rsid w:val="00CA59AD"/>
    <w:rsid w:val="00CA6755"/>
    <w:rsid w:val="00CA6C09"/>
    <w:rsid w:val="00CA6EB5"/>
    <w:rsid w:val="00CA7686"/>
    <w:rsid w:val="00CA7B69"/>
    <w:rsid w:val="00CA7C5A"/>
    <w:rsid w:val="00CB007D"/>
    <w:rsid w:val="00CB0813"/>
    <w:rsid w:val="00CB3ACE"/>
    <w:rsid w:val="00CB3D5A"/>
    <w:rsid w:val="00CB3F91"/>
    <w:rsid w:val="00CB3FB9"/>
    <w:rsid w:val="00CB40C7"/>
    <w:rsid w:val="00CB4138"/>
    <w:rsid w:val="00CB4D16"/>
    <w:rsid w:val="00CB588D"/>
    <w:rsid w:val="00CB61C2"/>
    <w:rsid w:val="00CB6D43"/>
    <w:rsid w:val="00CB7D14"/>
    <w:rsid w:val="00CC042B"/>
    <w:rsid w:val="00CC1073"/>
    <w:rsid w:val="00CC251C"/>
    <w:rsid w:val="00CC29E1"/>
    <w:rsid w:val="00CC39E4"/>
    <w:rsid w:val="00CC3B98"/>
    <w:rsid w:val="00CC40E9"/>
    <w:rsid w:val="00CC4457"/>
    <w:rsid w:val="00CC4859"/>
    <w:rsid w:val="00CC49EA"/>
    <w:rsid w:val="00CC4A93"/>
    <w:rsid w:val="00CC4F6C"/>
    <w:rsid w:val="00CC541D"/>
    <w:rsid w:val="00CC6273"/>
    <w:rsid w:val="00CC6762"/>
    <w:rsid w:val="00CC692C"/>
    <w:rsid w:val="00CC7FB9"/>
    <w:rsid w:val="00CD078C"/>
    <w:rsid w:val="00CD0D3E"/>
    <w:rsid w:val="00CD1DE7"/>
    <w:rsid w:val="00CD1EEE"/>
    <w:rsid w:val="00CD2E67"/>
    <w:rsid w:val="00CD2F1C"/>
    <w:rsid w:val="00CD3073"/>
    <w:rsid w:val="00CD37B8"/>
    <w:rsid w:val="00CD3F2F"/>
    <w:rsid w:val="00CD40B5"/>
    <w:rsid w:val="00CD410D"/>
    <w:rsid w:val="00CD50D3"/>
    <w:rsid w:val="00CD53C9"/>
    <w:rsid w:val="00CD553E"/>
    <w:rsid w:val="00CD77DB"/>
    <w:rsid w:val="00CE0149"/>
    <w:rsid w:val="00CE0377"/>
    <w:rsid w:val="00CE127F"/>
    <w:rsid w:val="00CE15BC"/>
    <w:rsid w:val="00CE1ECF"/>
    <w:rsid w:val="00CE2420"/>
    <w:rsid w:val="00CE3567"/>
    <w:rsid w:val="00CE397E"/>
    <w:rsid w:val="00CE3D46"/>
    <w:rsid w:val="00CE3ECC"/>
    <w:rsid w:val="00CE4996"/>
    <w:rsid w:val="00CE6638"/>
    <w:rsid w:val="00CE6E04"/>
    <w:rsid w:val="00CE6FF0"/>
    <w:rsid w:val="00CE703E"/>
    <w:rsid w:val="00CE729B"/>
    <w:rsid w:val="00CF0004"/>
    <w:rsid w:val="00CF1FEE"/>
    <w:rsid w:val="00CF22C9"/>
    <w:rsid w:val="00CF2375"/>
    <w:rsid w:val="00CF316F"/>
    <w:rsid w:val="00CF3839"/>
    <w:rsid w:val="00CF4000"/>
    <w:rsid w:val="00CF444C"/>
    <w:rsid w:val="00CF45A1"/>
    <w:rsid w:val="00CF4EA0"/>
    <w:rsid w:val="00CF5419"/>
    <w:rsid w:val="00CF5920"/>
    <w:rsid w:val="00CF59FC"/>
    <w:rsid w:val="00CF6C01"/>
    <w:rsid w:val="00CF7283"/>
    <w:rsid w:val="00CF7494"/>
    <w:rsid w:val="00CF7662"/>
    <w:rsid w:val="00CF7F5A"/>
    <w:rsid w:val="00D00283"/>
    <w:rsid w:val="00D004A1"/>
    <w:rsid w:val="00D00DEA"/>
    <w:rsid w:val="00D01610"/>
    <w:rsid w:val="00D01754"/>
    <w:rsid w:val="00D01F44"/>
    <w:rsid w:val="00D02BA4"/>
    <w:rsid w:val="00D05137"/>
    <w:rsid w:val="00D05999"/>
    <w:rsid w:val="00D0641D"/>
    <w:rsid w:val="00D06857"/>
    <w:rsid w:val="00D07335"/>
    <w:rsid w:val="00D07CCB"/>
    <w:rsid w:val="00D106F0"/>
    <w:rsid w:val="00D10997"/>
    <w:rsid w:val="00D1490C"/>
    <w:rsid w:val="00D149EB"/>
    <w:rsid w:val="00D14CE6"/>
    <w:rsid w:val="00D15520"/>
    <w:rsid w:val="00D15FC9"/>
    <w:rsid w:val="00D16163"/>
    <w:rsid w:val="00D176AB"/>
    <w:rsid w:val="00D17AA2"/>
    <w:rsid w:val="00D2019E"/>
    <w:rsid w:val="00D20381"/>
    <w:rsid w:val="00D204ED"/>
    <w:rsid w:val="00D2087A"/>
    <w:rsid w:val="00D2141B"/>
    <w:rsid w:val="00D21758"/>
    <w:rsid w:val="00D21D97"/>
    <w:rsid w:val="00D222C4"/>
    <w:rsid w:val="00D23C40"/>
    <w:rsid w:val="00D24048"/>
    <w:rsid w:val="00D2447E"/>
    <w:rsid w:val="00D25353"/>
    <w:rsid w:val="00D25894"/>
    <w:rsid w:val="00D258FF"/>
    <w:rsid w:val="00D25D04"/>
    <w:rsid w:val="00D26AB5"/>
    <w:rsid w:val="00D26ABB"/>
    <w:rsid w:val="00D2771A"/>
    <w:rsid w:val="00D27FBB"/>
    <w:rsid w:val="00D30116"/>
    <w:rsid w:val="00D32F29"/>
    <w:rsid w:val="00D33D2F"/>
    <w:rsid w:val="00D348FE"/>
    <w:rsid w:val="00D35096"/>
    <w:rsid w:val="00D35A3C"/>
    <w:rsid w:val="00D35DD7"/>
    <w:rsid w:val="00D3614A"/>
    <w:rsid w:val="00D3664D"/>
    <w:rsid w:val="00D368D8"/>
    <w:rsid w:val="00D368DE"/>
    <w:rsid w:val="00D36E21"/>
    <w:rsid w:val="00D374FD"/>
    <w:rsid w:val="00D37CE0"/>
    <w:rsid w:val="00D40065"/>
    <w:rsid w:val="00D403D9"/>
    <w:rsid w:val="00D410CC"/>
    <w:rsid w:val="00D417A1"/>
    <w:rsid w:val="00D41CC7"/>
    <w:rsid w:val="00D41D4D"/>
    <w:rsid w:val="00D41FF2"/>
    <w:rsid w:val="00D42527"/>
    <w:rsid w:val="00D43AAE"/>
    <w:rsid w:val="00D4463E"/>
    <w:rsid w:val="00D44A91"/>
    <w:rsid w:val="00D4501F"/>
    <w:rsid w:val="00D47044"/>
    <w:rsid w:val="00D500A7"/>
    <w:rsid w:val="00D5131B"/>
    <w:rsid w:val="00D531FC"/>
    <w:rsid w:val="00D538B7"/>
    <w:rsid w:val="00D53C08"/>
    <w:rsid w:val="00D574EF"/>
    <w:rsid w:val="00D57D46"/>
    <w:rsid w:val="00D60EA2"/>
    <w:rsid w:val="00D614BE"/>
    <w:rsid w:val="00D61C5E"/>
    <w:rsid w:val="00D6294A"/>
    <w:rsid w:val="00D62AFE"/>
    <w:rsid w:val="00D62C42"/>
    <w:rsid w:val="00D63377"/>
    <w:rsid w:val="00D63625"/>
    <w:rsid w:val="00D63A0C"/>
    <w:rsid w:val="00D652A5"/>
    <w:rsid w:val="00D65618"/>
    <w:rsid w:val="00D664DE"/>
    <w:rsid w:val="00D66BDC"/>
    <w:rsid w:val="00D67578"/>
    <w:rsid w:val="00D6781D"/>
    <w:rsid w:val="00D67B55"/>
    <w:rsid w:val="00D70F43"/>
    <w:rsid w:val="00D71F0A"/>
    <w:rsid w:val="00D727FE"/>
    <w:rsid w:val="00D72A06"/>
    <w:rsid w:val="00D72E3A"/>
    <w:rsid w:val="00D744ED"/>
    <w:rsid w:val="00D75005"/>
    <w:rsid w:val="00D7524E"/>
    <w:rsid w:val="00D7560B"/>
    <w:rsid w:val="00D75F08"/>
    <w:rsid w:val="00D760D5"/>
    <w:rsid w:val="00D801B9"/>
    <w:rsid w:val="00D80780"/>
    <w:rsid w:val="00D8112F"/>
    <w:rsid w:val="00D8190F"/>
    <w:rsid w:val="00D81FBA"/>
    <w:rsid w:val="00D8268D"/>
    <w:rsid w:val="00D828D9"/>
    <w:rsid w:val="00D8353B"/>
    <w:rsid w:val="00D83903"/>
    <w:rsid w:val="00D85038"/>
    <w:rsid w:val="00D85842"/>
    <w:rsid w:val="00D8700E"/>
    <w:rsid w:val="00D87219"/>
    <w:rsid w:val="00D90552"/>
    <w:rsid w:val="00D90998"/>
    <w:rsid w:val="00D91DA1"/>
    <w:rsid w:val="00D92868"/>
    <w:rsid w:val="00D936CF"/>
    <w:rsid w:val="00D9596A"/>
    <w:rsid w:val="00D95CDF"/>
    <w:rsid w:val="00D9602E"/>
    <w:rsid w:val="00D9603D"/>
    <w:rsid w:val="00D96259"/>
    <w:rsid w:val="00D9645A"/>
    <w:rsid w:val="00D96597"/>
    <w:rsid w:val="00D970F3"/>
    <w:rsid w:val="00D97677"/>
    <w:rsid w:val="00D97ABE"/>
    <w:rsid w:val="00DA140A"/>
    <w:rsid w:val="00DA230D"/>
    <w:rsid w:val="00DA2390"/>
    <w:rsid w:val="00DA2428"/>
    <w:rsid w:val="00DA3080"/>
    <w:rsid w:val="00DA34CC"/>
    <w:rsid w:val="00DA35DA"/>
    <w:rsid w:val="00DA35DD"/>
    <w:rsid w:val="00DA3A2E"/>
    <w:rsid w:val="00DA3E4A"/>
    <w:rsid w:val="00DA425D"/>
    <w:rsid w:val="00DA4706"/>
    <w:rsid w:val="00DA5DCF"/>
    <w:rsid w:val="00DA5FFF"/>
    <w:rsid w:val="00DA6701"/>
    <w:rsid w:val="00DA703E"/>
    <w:rsid w:val="00DA713B"/>
    <w:rsid w:val="00DA7345"/>
    <w:rsid w:val="00DA7AC2"/>
    <w:rsid w:val="00DB089C"/>
    <w:rsid w:val="00DB096A"/>
    <w:rsid w:val="00DB1415"/>
    <w:rsid w:val="00DB1986"/>
    <w:rsid w:val="00DB337E"/>
    <w:rsid w:val="00DB3D01"/>
    <w:rsid w:val="00DB3D31"/>
    <w:rsid w:val="00DB45DE"/>
    <w:rsid w:val="00DB4A43"/>
    <w:rsid w:val="00DB4DF1"/>
    <w:rsid w:val="00DB5CD6"/>
    <w:rsid w:val="00DB5DCC"/>
    <w:rsid w:val="00DB7391"/>
    <w:rsid w:val="00DC080F"/>
    <w:rsid w:val="00DC0E25"/>
    <w:rsid w:val="00DC117A"/>
    <w:rsid w:val="00DC137E"/>
    <w:rsid w:val="00DC13CB"/>
    <w:rsid w:val="00DC1F02"/>
    <w:rsid w:val="00DC265F"/>
    <w:rsid w:val="00DC2967"/>
    <w:rsid w:val="00DC40E7"/>
    <w:rsid w:val="00DC54C7"/>
    <w:rsid w:val="00DC5DD6"/>
    <w:rsid w:val="00DC5FF2"/>
    <w:rsid w:val="00DC6436"/>
    <w:rsid w:val="00DC6DE3"/>
    <w:rsid w:val="00DC7262"/>
    <w:rsid w:val="00DC7332"/>
    <w:rsid w:val="00DC75E4"/>
    <w:rsid w:val="00DC7C2A"/>
    <w:rsid w:val="00DC7E8C"/>
    <w:rsid w:val="00DD0391"/>
    <w:rsid w:val="00DD0E08"/>
    <w:rsid w:val="00DD13B0"/>
    <w:rsid w:val="00DD1505"/>
    <w:rsid w:val="00DD1E46"/>
    <w:rsid w:val="00DD238E"/>
    <w:rsid w:val="00DD29D7"/>
    <w:rsid w:val="00DD315C"/>
    <w:rsid w:val="00DD344D"/>
    <w:rsid w:val="00DD380A"/>
    <w:rsid w:val="00DD4468"/>
    <w:rsid w:val="00DD63F9"/>
    <w:rsid w:val="00DD65D6"/>
    <w:rsid w:val="00DD788A"/>
    <w:rsid w:val="00DD7E8F"/>
    <w:rsid w:val="00DD7F05"/>
    <w:rsid w:val="00DE11D4"/>
    <w:rsid w:val="00DE176C"/>
    <w:rsid w:val="00DE1C9D"/>
    <w:rsid w:val="00DE1E8B"/>
    <w:rsid w:val="00DE28B2"/>
    <w:rsid w:val="00DE2924"/>
    <w:rsid w:val="00DE2E36"/>
    <w:rsid w:val="00DE2F6C"/>
    <w:rsid w:val="00DE30BF"/>
    <w:rsid w:val="00DE3595"/>
    <w:rsid w:val="00DE3637"/>
    <w:rsid w:val="00DE4444"/>
    <w:rsid w:val="00DE4569"/>
    <w:rsid w:val="00DE463C"/>
    <w:rsid w:val="00DE4D44"/>
    <w:rsid w:val="00DE529C"/>
    <w:rsid w:val="00DE5C8D"/>
    <w:rsid w:val="00DE5FBB"/>
    <w:rsid w:val="00DE63B7"/>
    <w:rsid w:val="00DE6507"/>
    <w:rsid w:val="00DE73DF"/>
    <w:rsid w:val="00DF0A4E"/>
    <w:rsid w:val="00DF0AC3"/>
    <w:rsid w:val="00DF0B0E"/>
    <w:rsid w:val="00DF235D"/>
    <w:rsid w:val="00DF322A"/>
    <w:rsid w:val="00DF36E8"/>
    <w:rsid w:val="00DF4D09"/>
    <w:rsid w:val="00DF6BAE"/>
    <w:rsid w:val="00DF75A6"/>
    <w:rsid w:val="00E00ACC"/>
    <w:rsid w:val="00E01458"/>
    <w:rsid w:val="00E015E9"/>
    <w:rsid w:val="00E01A65"/>
    <w:rsid w:val="00E02AE7"/>
    <w:rsid w:val="00E03B6C"/>
    <w:rsid w:val="00E0400A"/>
    <w:rsid w:val="00E04D59"/>
    <w:rsid w:val="00E050F0"/>
    <w:rsid w:val="00E10856"/>
    <w:rsid w:val="00E10923"/>
    <w:rsid w:val="00E114F5"/>
    <w:rsid w:val="00E120A5"/>
    <w:rsid w:val="00E12A48"/>
    <w:rsid w:val="00E12BB6"/>
    <w:rsid w:val="00E131DE"/>
    <w:rsid w:val="00E14007"/>
    <w:rsid w:val="00E162FE"/>
    <w:rsid w:val="00E171C2"/>
    <w:rsid w:val="00E17EFA"/>
    <w:rsid w:val="00E208AD"/>
    <w:rsid w:val="00E2136C"/>
    <w:rsid w:val="00E22505"/>
    <w:rsid w:val="00E22688"/>
    <w:rsid w:val="00E22778"/>
    <w:rsid w:val="00E22AA0"/>
    <w:rsid w:val="00E23168"/>
    <w:rsid w:val="00E23757"/>
    <w:rsid w:val="00E241BC"/>
    <w:rsid w:val="00E24590"/>
    <w:rsid w:val="00E25A02"/>
    <w:rsid w:val="00E26794"/>
    <w:rsid w:val="00E268AD"/>
    <w:rsid w:val="00E27E9E"/>
    <w:rsid w:val="00E27FE5"/>
    <w:rsid w:val="00E304A2"/>
    <w:rsid w:val="00E30844"/>
    <w:rsid w:val="00E3092C"/>
    <w:rsid w:val="00E315E9"/>
    <w:rsid w:val="00E31A4C"/>
    <w:rsid w:val="00E32255"/>
    <w:rsid w:val="00E32B93"/>
    <w:rsid w:val="00E32BFC"/>
    <w:rsid w:val="00E33C81"/>
    <w:rsid w:val="00E3596C"/>
    <w:rsid w:val="00E3613A"/>
    <w:rsid w:val="00E366FA"/>
    <w:rsid w:val="00E37147"/>
    <w:rsid w:val="00E37B6C"/>
    <w:rsid w:val="00E407F8"/>
    <w:rsid w:val="00E42B37"/>
    <w:rsid w:val="00E43038"/>
    <w:rsid w:val="00E4308E"/>
    <w:rsid w:val="00E43194"/>
    <w:rsid w:val="00E431C8"/>
    <w:rsid w:val="00E43B01"/>
    <w:rsid w:val="00E442FE"/>
    <w:rsid w:val="00E4433C"/>
    <w:rsid w:val="00E4442A"/>
    <w:rsid w:val="00E46782"/>
    <w:rsid w:val="00E46F7E"/>
    <w:rsid w:val="00E475A3"/>
    <w:rsid w:val="00E50403"/>
    <w:rsid w:val="00E507B6"/>
    <w:rsid w:val="00E51AB5"/>
    <w:rsid w:val="00E5257C"/>
    <w:rsid w:val="00E52B59"/>
    <w:rsid w:val="00E52F62"/>
    <w:rsid w:val="00E52F9B"/>
    <w:rsid w:val="00E532A3"/>
    <w:rsid w:val="00E53AE9"/>
    <w:rsid w:val="00E54546"/>
    <w:rsid w:val="00E54A06"/>
    <w:rsid w:val="00E54D56"/>
    <w:rsid w:val="00E553F8"/>
    <w:rsid w:val="00E556D6"/>
    <w:rsid w:val="00E55C23"/>
    <w:rsid w:val="00E56BBE"/>
    <w:rsid w:val="00E57BBF"/>
    <w:rsid w:val="00E57BFE"/>
    <w:rsid w:val="00E57C52"/>
    <w:rsid w:val="00E57DA8"/>
    <w:rsid w:val="00E57EF4"/>
    <w:rsid w:val="00E604CD"/>
    <w:rsid w:val="00E60508"/>
    <w:rsid w:val="00E60625"/>
    <w:rsid w:val="00E60A2E"/>
    <w:rsid w:val="00E60B78"/>
    <w:rsid w:val="00E6107B"/>
    <w:rsid w:val="00E611DF"/>
    <w:rsid w:val="00E619A1"/>
    <w:rsid w:val="00E61BE7"/>
    <w:rsid w:val="00E6233F"/>
    <w:rsid w:val="00E62DCC"/>
    <w:rsid w:val="00E645A0"/>
    <w:rsid w:val="00E646CD"/>
    <w:rsid w:val="00E64A8B"/>
    <w:rsid w:val="00E64C20"/>
    <w:rsid w:val="00E64FF5"/>
    <w:rsid w:val="00E656F3"/>
    <w:rsid w:val="00E6617C"/>
    <w:rsid w:val="00E661FE"/>
    <w:rsid w:val="00E67341"/>
    <w:rsid w:val="00E67BA0"/>
    <w:rsid w:val="00E67E7E"/>
    <w:rsid w:val="00E70FF0"/>
    <w:rsid w:val="00E71162"/>
    <w:rsid w:val="00E715ED"/>
    <w:rsid w:val="00E719C1"/>
    <w:rsid w:val="00E71CCD"/>
    <w:rsid w:val="00E71FC9"/>
    <w:rsid w:val="00E723A2"/>
    <w:rsid w:val="00E7276C"/>
    <w:rsid w:val="00E72928"/>
    <w:rsid w:val="00E72E3B"/>
    <w:rsid w:val="00E7318D"/>
    <w:rsid w:val="00E73DB3"/>
    <w:rsid w:val="00E745CC"/>
    <w:rsid w:val="00E7484B"/>
    <w:rsid w:val="00E74D9A"/>
    <w:rsid w:val="00E75653"/>
    <w:rsid w:val="00E75E7A"/>
    <w:rsid w:val="00E76C3E"/>
    <w:rsid w:val="00E77700"/>
    <w:rsid w:val="00E77C9D"/>
    <w:rsid w:val="00E77D1C"/>
    <w:rsid w:val="00E80605"/>
    <w:rsid w:val="00E80855"/>
    <w:rsid w:val="00E8097E"/>
    <w:rsid w:val="00E80EB2"/>
    <w:rsid w:val="00E810F6"/>
    <w:rsid w:val="00E81DDB"/>
    <w:rsid w:val="00E82888"/>
    <w:rsid w:val="00E82FF9"/>
    <w:rsid w:val="00E8351F"/>
    <w:rsid w:val="00E83A10"/>
    <w:rsid w:val="00E83E13"/>
    <w:rsid w:val="00E83F71"/>
    <w:rsid w:val="00E86FA2"/>
    <w:rsid w:val="00E87698"/>
    <w:rsid w:val="00E905AC"/>
    <w:rsid w:val="00E90C92"/>
    <w:rsid w:val="00E90CC6"/>
    <w:rsid w:val="00E90E2E"/>
    <w:rsid w:val="00E911B2"/>
    <w:rsid w:val="00E91C82"/>
    <w:rsid w:val="00E922C1"/>
    <w:rsid w:val="00E92E33"/>
    <w:rsid w:val="00E92F20"/>
    <w:rsid w:val="00E93345"/>
    <w:rsid w:val="00E93C2A"/>
    <w:rsid w:val="00E9419C"/>
    <w:rsid w:val="00E941C4"/>
    <w:rsid w:val="00E945DE"/>
    <w:rsid w:val="00E94804"/>
    <w:rsid w:val="00E9563C"/>
    <w:rsid w:val="00E959E9"/>
    <w:rsid w:val="00E9603E"/>
    <w:rsid w:val="00E9644C"/>
    <w:rsid w:val="00E96617"/>
    <w:rsid w:val="00E97690"/>
    <w:rsid w:val="00EA1235"/>
    <w:rsid w:val="00EA1824"/>
    <w:rsid w:val="00EA23C3"/>
    <w:rsid w:val="00EA2D99"/>
    <w:rsid w:val="00EA3032"/>
    <w:rsid w:val="00EA3A2A"/>
    <w:rsid w:val="00EA3C5B"/>
    <w:rsid w:val="00EA477C"/>
    <w:rsid w:val="00EA4807"/>
    <w:rsid w:val="00EA4B2D"/>
    <w:rsid w:val="00EA53B8"/>
    <w:rsid w:val="00EA5E0E"/>
    <w:rsid w:val="00EA5F14"/>
    <w:rsid w:val="00EA616A"/>
    <w:rsid w:val="00EA6287"/>
    <w:rsid w:val="00EA76B4"/>
    <w:rsid w:val="00EB11E0"/>
    <w:rsid w:val="00EB120B"/>
    <w:rsid w:val="00EB262D"/>
    <w:rsid w:val="00EB2D2A"/>
    <w:rsid w:val="00EB2DDA"/>
    <w:rsid w:val="00EB2F83"/>
    <w:rsid w:val="00EB3BBE"/>
    <w:rsid w:val="00EB3F5A"/>
    <w:rsid w:val="00EB42A3"/>
    <w:rsid w:val="00EB7385"/>
    <w:rsid w:val="00EC0806"/>
    <w:rsid w:val="00EC16EC"/>
    <w:rsid w:val="00EC18DF"/>
    <w:rsid w:val="00EC1AF8"/>
    <w:rsid w:val="00EC2CFD"/>
    <w:rsid w:val="00EC2DD1"/>
    <w:rsid w:val="00EC3218"/>
    <w:rsid w:val="00EC324F"/>
    <w:rsid w:val="00EC365A"/>
    <w:rsid w:val="00EC3FE2"/>
    <w:rsid w:val="00EC41DA"/>
    <w:rsid w:val="00EC4574"/>
    <w:rsid w:val="00EC578A"/>
    <w:rsid w:val="00EC5A27"/>
    <w:rsid w:val="00EC5B73"/>
    <w:rsid w:val="00EC6AFA"/>
    <w:rsid w:val="00EC734D"/>
    <w:rsid w:val="00EC7A6E"/>
    <w:rsid w:val="00ED0984"/>
    <w:rsid w:val="00ED09AE"/>
    <w:rsid w:val="00ED100A"/>
    <w:rsid w:val="00ED13D3"/>
    <w:rsid w:val="00ED1C49"/>
    <w:rsid w:val="00ED1EDF"/>
    <w:rsid w:val="00ED21D1"/>
    <w:rsid w:val="00ED2BF5"/>
    <w:rsid w:val="00ED2EBA"/>
    <w:rsid w:val="00ED4886"/>
    <w:rsid w:val="00ED4968"/>
    <w:rsid w:val="00ED50B6"/>
    <w:rsid w:val="00ED574A"/>
    <w:rsid w:val="00ED64E0"/>
    <w:rsid w:val="00ED68D5"/>
    <w:rsid w:val="00ED7138"/>
    <w:rsid w:val="00ED749E"/>
    <w:rsid w:val="00ED7C06"/>
    <w:rsid w:val="00ED7C56"/>
    <w:rsid w:val="00ED7C76"/>
    <w:rsid w:val="00EE0040"/>
    <w:rsid w:val="00EE14B9"/>
    <w:rsid w:val="00EE177B"/>
    <w:rsid w:val="00EE18E7"/>
    <w:rsid w:val="00EE22F3"/>
    <w:rsid w:val="00EE362B"/>
    <w:rsid w:val="00EE45B2"/>
    <w:rsid w:val="00EE4A49"/>
    <w:rsid w:val="00EE5553"/>
    <w:rsid w:val="00EE5D7A"/>
    <w:rsid w:val="00EE607D"/>
    <w:rsid w:val="00EE6C9D"/>
    <w:rsid w:val="00EE714C"/>
    <w:rsid w:val="00EF0795"/>
    <w:rsid w:val="00EF0DD3"/>
    <w:rsid w:val="00EF144E"/>
    <w:rsid w:val="00EF1A9B"/>
    <w:rsid w:val="00EF1C97"/>
    <w:rsid w:val="00EF231D"/>
    <w:rsid w:val="00EF2EB8"/>
    <w:rsid w:val="00EF2F14"/>
    <w:rsid w:val="00EF3691"/>
    <w:rsid w:val="00EF3702"/>
    <w:rsid w:val="00EF3D01"/>
    <w:rsid w:val="00EF3DDE"/>
    <w:rsid w:val="00EF3E14"/>
    <w:rsid w:val="00EF4394"/>
    <w:rsid w:val="00EF4F0F"/>
    <w:rsid w:val="00EF7381"/>
    <w:rsid w:val="00EF7D49"/>
    <w:rsid w:val="00F00028"/>
    <w:rsid w:val="00F0018C"/>
    <w:rsid w:val="00F00436"/>
    <w:rsid w:val="00F00704"/>
    <w:rsid w:val="00F007EB"/>
    <w:rsid w:val="00F00D86"/>
    <w:rsid w:val="00F00EA4"/>
    <w:rsid w:val="00F02649"/>
    <w:rsid w:val="00F02D90"/>
    <w:rsid w:val="00F03060"/>
    <w:rsid w:val="00F03675"/>
    <w:rsid w:val="00F03C24"/>
    <w:rsid w:val="00F0468F"/>
    <w:rsid w:val="00F057E4"/>
    <w:rsid w:val="00F06360"/>
    <w:rsid w:val="00F06655"/>
    <w:rsid w:val="00F06696"/>
    <w:rsid w:val="00F06A29"/>
    <w:rsid w:val="00F06AB4"/>
    <w:rsid w:val="00F11373"/>
    <w:rsid w:val="00F1286D"/>
    <w:rsid w:val="00F12948"/>
    <w:rsid w:val="00F13717"/>
    <w:rsid w:val="00F13D94"/>
    <w:rsid w:val="00F14050"/>
    <w:rsid w:val="00F14437"/>
    <w:rsid w:val="00F145F6"/>
    <w:rsid w:val="00F14973"/>
    <w:rsid w:val="00F157E3"/>
    <w:rsid w:val="00F15C60"/>
    <w:rsid w:val="00F16193"/>
    <w:rsid w:val="00F17A46"/>
    <w:rsid w:val="00F20A4A"/>
    <w:rsid w:val="00F20BDE"/>
    <w:rsid w:val="00F218C6"/>
    <w:rsid w:val="00F22BAE"/>
    <w:rsid w:val="00F22D07"/>
    <w:rsid w:val="00F2312C"/>
    <w:rsid w:val="00F23532"/>
    <w:rsid w:val="00F246BD"/>
    <w:rsid w:val="00F24B21"/>
    <w:rsid w:val="00F24D56"/>
    <w:rsid w:val="00F25CEB"/>
    <w:rsid w:val="00F27F6B"/>
    <w:rsid w:val="00F307C6"/>
    <w:rsid w:val="00F30C0F"/>
    <w:rsid w:val="00F314E5"/>
    <w:rsid w:val="00F31C68"/>
    <w:rsid w:val="00F326CA"/>
    <w:rsid w:val="00F33543"/>
    <w:rsid w:val="00F33655"/>
    <w:rsid w:val="00F341D9"/>
    <w:rsid w:val="00F3551D"/>
    <w:rsid w:val="00F357E5"/>
    <w:rsid w:val="00F361CA"/>
    <w:rsid w:val="00F36426"/>
    <w:rsid w:val="00F369E0"/>
    <w:rsid w:val="00F37528"/>
    <w:rsid w:val="00F4067C"/>
    <w:rsid w:val="00F417D1"/>
    <w:rsid w:val="00F41E2C"/>
    <w:rsid w:val="00F4268C"/>
    <w:rsid w:val="00F4292A"/>
    <w:rsid w:val="00F43CFC"/>
    <w:rsid w:val="00F43DF6"/>
    <w:rsid w:val="00F43E95"/>
    <w:rsid w:val="00F448DF"/>
    <w:rsid w:val="00F44B17"/>
    <w:rsid w:val="00F44BB6"/>
    <w:rsid w:val="00F4537D"/>
    <w:rsid w:val="00F457C4"/>
    <w:rsid w:val="00F46277"/>
    <w:rsid w:val="00F47195"/>
    <w:rsid w:val="00F5031B"/>
    <w:rsid w:val="00F505DA"/>
    <w:rsid w:val="00F50866"/>
    <w:rsid w:val="00F51227"/>
    <w:rsid w:val="00F52265"/>
    <w:rsid w:val="00F5252E"/>
    <w:rsid w:val="00F5301A"/>
    <w:rsid w:val="00F53050"/>
    <w:rsid w:val="00F53338"/>
    <w:rsid w:val="00F5394A"/>
    <w:rsid w:val="00F54302"/>
    <w:rsid w:val="00F557C9"/>
    <w:rsid w:val="00F57151"/>
    <w:rsid w:val="00F60087"/>
    <w:rsid w:val="00F600A2"/>
    <w:rsid w:val="00F604ED"/>
    <w:rsid w:val="00F61181"/>
    <w:rsid w:val="00F62943"/>
    <w:rsid w:val="00F64C36"/>
    <w:rsid w:val="00F66B2E"/>
    <w:rsid w:val="00F67259"/>
    <w:rsid w:val="00F679C4"/>
    <w:rsid w:val="00F70E21"/>
    <w:rsid w:val="00F712E8"/>
    <w:rsid w:val="00F71339"/>
    <w:rsid w:val="00F72F89"/>
    <w:rsid w:val="00F7403D"/>
    <w:rsid w:val="00F749C4"/>
    <w:rsid w:val="00F75494"/>
    <w:rsid w:val="00F7593E"/>
    <w:rsid w:val="00F75BB7"/>
    <w:rsid w:val="00F7657C"/>
    <w:rsid w:val="00F768C8"/>
    <w:rsid w:val="00F76EA9"/>
    <w:rsid w:val="00F76FD2"/>
    <w:rsid w:val="00F80C57"/>
    <w:rsid w:val="00F80DA7"/>
    <w:rsid w:val="00F81B13"/>
    <w:rsid w:val="00F81EAB"/>
    <w:rsid w:val="00F82E5E"/>
    <w:rsid w:val="00F84723"/>
    <w:rsid w:val="00F849A9"/>
    <w:rsid w:val="00F84E92"/>
    <w:rsid w:val="00F85583"/>
    <w:rsid w:val="00F86723"/>
    <w:rsid w:val="00F86BAB"/>
    <w:rsid w:val="00F90E57"/>
    <w:rsid w:val="00F91397"/>
    <w:rsid w:val="00F91AF8"/>
    <w:rsid w:val="00F92AFC"/>
    <w:rsid w:val="00F93451"/>
    <w:rsid w:val="00F94B2F"/>
    <w:rsid w:val="00F94D05"/>
    <w:rsid w:val="00F94F64"/>
    <w:rsid w:val="00F952B3"/>
    <w:rsid w:val="00F95617"/>
    <w:rsid w:val="00FA2002"/>
    <w:rsid w:val="00FA213C"/>
    <w:rsid w:val="00FA2169"/>
    <w:rsid w:val="00FA248E"/>
    <w:rsid w:val="00FA3254"/>
    <w:rsid w:val="00FA34FB"/>
    <w:rsid w:val="00FA3B86"/>
    <w:rsid w:val="00FA4FDA"/>
    <w:rsid w:val="00FA5410"/>
    <w:rsid w:val="00FA5534"/>
    <w:rsid w:val="00FA5E44"/>
    <w:rsid w:val="00FA65D1"/>
    <w:rsid w:val="00FA67E3"/>
    <w:rsid w:val="00FA7673"/>
    <w:rsid w:val="00FA7D91"/>
    <w:rsid w:val="00FB0DA5"/>
    <w:rsid w:val="00FB0F40"/>
    <w:rsid w:val="00FB1868"/>
    <w:rsid w:val="00FB22B8"/>
    <w:rsid w:val="00FB2308"/>
    <w:rsid w:val="00FB2DB4"/>
    <w:rsid w:val="00FB4677"/>
    <w:rsid w:val="00FB4D56"/>
    <w:rsid w:val="00FB4F54"/>
    <w:rsid w:val="00FB4F9D"/>
    <w:rsid w:val="00FB6204"/>
    <w:rsid w:val="00FB647C"/>
    <w:rsid w:val="00FB7FD2"/>
    <w:rsid w:val="00FC01F2"/>
    <w:rsid w:val="00FC04A3"/>
    <w:rsid w:val="00FC07AC"/>
    <w:rsid w:val="00FC0FBC"/>
    <w:rsid w:val="00FC1987"/>
    <w:rsid w:val="00FC19EE"/>
    <w:rsid w:val="00FC1B6A"/>
    <w:rsid w:val="00FC1D5A"/>
    <w:rsid w:val="00FC31D2"/>
    <w:rsid w:val="00FC38F8"/>
    <w:rsid w:val="00FC4039"/>
    <w:rsid w:val="00FC419C"/>
    <w:rsid w:val="00FC4645"/>
    <w:rsid w:val="00FC48D4"/>
    <w:rsid w:val="00FC4A4A"/>
    <w:rsid w:val="00FC559C"/>
    <w:rsid w:val="00FC568D"/>
    <w:rsid w:val="00FC6EA8"/>
    <w:rsid w:val="00FC77DF"/>
    <w:rsid w:val="00FC78BC"/>
    <w:rsid w:val="00FC7ABD"/>
    <w:rsid w:val="00FD0E11"/>
    <w:rsid w:val="00FD1094"/>
    <w:rsid w:val="00FD14EF"/>
    <w:rsid w:val="00FD17E3"/>
    <w:rsid w:val="00FD1CF6"/>
    <w:rsid w:val="00FD1F75"/>
    <w:rsid w:val="00FD222C"/>
    <w:rsid w:val="00FD26D4"/>
    <w:rsid w:val="00FD386B"/>
    <w:rsid w:val="00FD3957"/>
    <w:rsid w:val="00FD39F1"/>
    <w:rsid w:val="00FD5EAA"/>
    <w:rsid w:val="00FD7774"/>
    <w:rsid w:val="00FD7EAF"/>
    <w:rsid w:val="00FE00DD"/>
    <w:rsid w:val="00FE0606"/>
    <w:rsid w:val="00FE0D22"/>
    <w:rsid w:val="00FE0DFC"/>
    <w:rsid w:val="00FE1907"/>
    <w:rsid w:val="00FE190A"/>
    <w:rsid w:val="00FE22CA"/>
    <w:rsid w:val="00FE274E"/>
    <w:rsid w:val="00FE4423"/>
    <w:rsid w:val="00FE508D"/>
    <w:rsid w:val="00FE51C3"/>
    <w:rsid w:val="00FE54C2"/>
    <w:rsid w:val="00FE5AEF"/>
    <w:rsid w:val="00FE6901"/>
    <w:rsid w:val="00FE6C6F"/>
    <w:rsid w:val="00FE6E8F"/>
    <w:rsid w:val="00FE70C5"/>
    <w:rsid w:val="00FF0008"/>
    <w:rsid w:val="00FF0D57"/>
    <w:rsid w:val="00FF10C4"/>
    <w:rsid w:val="00FF1A5D"/>
    <w:rsid w:val="00FF1EF4"/>
    <w:rsid w:val="00FF1F8C"/>
    <w:rsid w:val="00FF2195"/>
    <w:rsid w:val="00FF247A"/>
    <w:rsid w:val="00FF3E49"/>
    <w:rsid w:val="00FF41B9"/>
    <w:rsid w:val="00FF4935"/>
    <w:rsid w:val="00FF5964"/>
    <w:rsid w:val="00FF5B0A"/>
    <w:rsid w:val="00FF609A"/>
    <w:rsid w:val="00FF63A7"/>
    <w:rsid w:val="00FF69AC"/>
    <w:rsid w:val="00FF701C"/>
    <w:rsid w:val="00FF7570"/>
    <w:rsid w:val="01226A22"/>
    <w:rsid w:val="013B7EB4"/>
    <w:rsid w:val="013D4448"/>
    <w:rsid w:val="014E16B6"/>
    <w:rsid w:val="015B2D23"/>
    <w:rsid w:val="015BB5A4"/>
    <w:rsid w:val="0164438F"/>
    <w:rsid w:val="01723BC4"/>
    <w:rsid w:val="0188CB5E"/>
    <w:rsid w:val="0194343A"/>
    <w:rsid w:val="019912F1"/>
    <w:rsid w:val="01B71715"/>
    <w:rsid w:val="01C8E38D"/>
    <w:rsid w:val="01C9E2A7"/>
    <w:rsid w:val="01CBF142"/>
    <w:rsid w:val="01CC41FB"/>
    <w:rsid w:val="01D4914E"/>
    <w:rsid w:val="01D6950F"/>
    <w:rsid w:val="01D7AEB8"/>
    <w:rsid w:val="01E0EA54"/>
    <w:rsid w:val="01E12982"/>
    <w:rsid w:val="01ECB2BE"/>
    <w:rsid w:val="01F46A27"/>
    <w:rsid w:val="01F8982D"/>
    <w:rsid w:val="021258B7"/>
    <w:rsid w:val="021D7A0E"/>
    <w:rsid w:val="0228281C"/>
    <w:rsid w:val="0228DF05"/>
    <w:rsid w:val="022A71C0"/>
    <w:rsid w:val="0242EA98"/>
    <w:rsid w:val="02476CB5"/>
    <w:rsid w:val="02497D41"/>
    <w:rsid w:val="026DC6B9"/>
    <w:rsid w:val="0270CC9E"/>
    <w:rsid w:val="02746525"/>
    <w:rsid w:val="027A075B"/>
    <w:rsid w:val="02882082"/>
    <w:rsid w:val="028CD0B7"/>
    <w:rsid w:val="02B1947D"/>
    <w:rsid w:val="02BAB66B"/>
    <w:rsid w:val="02BE769C"/>
    <w:rsid w:val="02CD95DC"/>
    <w:rsid w:val="02D95953"/>
    <w:rsid w:val="02E60931"/>
    <w:rsid w:val="02F3C44D"/>
    <w:rsid w:val="030D7E36"/>
    <w:rsid w:val="03132D3B"/>
    <w:rsid w:val="0319F496"/>
    <w:rsid w:val="0329DF02"/>
    <w:rsid w:val="0340C97B"/>
    <w:rsid w:val="03460342"/>
    <w:rsid w:val="03517370"/>
    <w:rsid w:val="03595E73"/>
    <w:rsid w:val="0359EE01"/>
    <w:rsid w:val="036544CF"/>
    <w:rsid w:val="0377C1FE"/>
    <w:rsid w:val="037BC4B1"/>
    <w:rsid w:val="037C8D9C"/>
    <w:rsid w:val="0383B673"/>
    <w:rsid w:val="0393DE20"/>
    <w:rsid w:val="03958425"/>
    <w:rsid w:val="03BAAAB1"/>
    <w:rsid w:val="03BC82FA"/>
    <w:rsid w:val="03CB6841"/>
    <w:rsid w:val="03E2152F"/>
    <w:rsid w:val="03EBF2A8"/>
    <w:rsid w:val="03F350EF"/>
    <w:rsid w:val="0403B304"/>
    <w:rsid w:val="040E41E7"/>
    <w:rsid w:val="0441AD1C"/>
    <w:rsid w:val="044CDF44"/>
    <w:rsid w:val="04521F3B"/>
    <w:rsid w:val="0453AE07"/>
    <w:rsid w:val="04649035"/>
    <w:rsid w:val="04703F3F"/>
    <w:rsid w:val="04756D54"/>
    <w:rsid w:val="04764D30"/>
    <w:rsid w:val="047669A8"/>
    <w:rsid w:val="04769F61"/>
    <w:rsid w:val="0495EC50"/>
    <w:rsid w:val="0497DAA9"/>
    <w:rsid w:val="04999648"/>
    <w:rsid w:val="04C3E6C2"/>
    <w:rsid w:val="04DCC638"/>
    <w:rsid w:val="04DF8633"/>
    <w:rsid w:val="04E39766"/>
    <w:rsid w:val="04F9ECD4"/>
    <w:rsid w:val="0502B514"/>
    <w:rsid w:val="05173EDE"/>
    <w:rsid w:val="05252978"/>
    <w:rsid w:val="0526B6E5"/>
    <w:rsid w:val="0530EF8B"/>
    <w:rsid w:val="0532B198"/>
    <w:rsid w:val="05348D31"/>
    <w:rsid w:val="053703D5"/>
    <w:rsid w:val="053B5344"/>
    <w:rsid w:val="054D2B5A"/>
    <w:rsid w:val="0557F461"/>
    <w:rsid w:val="05642191"/>
    <w:rsid w:val="056F7A7F"/>
    <w:rsid w:val="05714B7F"/>
    <w:rsid w:val="05732F09"/>
    <w:rsid w:val="05753DB5"/>
    <w:rsid w:val="057875D1"/>
    <w:rsid w:val="0579173E"/>
    <w:rsid w:val="05812344"/>
    <w:rsid w:val="0582867F"/>
    <w:rsid w:val="05870A20"/>
    <w:rsid w:val="058A31B9"/>
    <w:rsid w:val="058D3771"/>
    <w:rsid w:val="058DA596"/>
    <w:rsid w:val="058E0813"/>
    <w:rsid w:val="05AADBD9"/>
    <w:rsid w:val="05AB274E"/>
    <w:rsid w:val="05C4CB36"/>
    <w:rsid w:val="060467F4"/>
    <w:rsid w:val="060703AD"/>
    <w:rsid w:val="060D3F44"/>
    <w:rsid w:val="06113B0B"/>
    <w:rsid w:val="0613FA0F"/>
    <w:rsid w:val="061C8D72"/>
    <w:rsid w:val="0622A874"/>
    <w:rsid w:val="06433A2F"/>
    <w:rsid w:val="0658EE4F"/>
    <w:rsid w:val="066EDFF5"/>
    <w:rsid w:val="0675791C"/>
    <w:rsid w:val="068208DF"/>
    <w:rsid w:val="068984FF"/>
    <w:rsid w:val="06BBB63C"/>
    <w:rsid w:val="06BDF868"/>
    <w:rsid w:val="06C5EA20"/>
    <w:rsid w:val="06CEE349"/>
    <w:rsid w:val="06DAA4BA"/>
    <w:rsid w:val="06F8E6BB"/>
    <w:rsid w:val="06FE67CF"/>
    <w:rsid w:val="070A075F"/>
    <w:rsid w:val="070B1D88"/>
    <w:rsid w:val="0714779B"/>
    <w:rsid w:val="07176653"/>
    <w:rsid w:val="071E18AD"/>
    <w:rsid w:val="072137D4"/>
    <w:rsid w:val="072267DA"/>
    <w:rsid w:val="07379783"/>
    <w:rsid w:val="0758BC66"/>
    <w:rsid w:val="0763903C"/>
    <w:rsid w:val="076C167E"/>
    <w:rsid w:val="076E1867"/>
    <w:rsid w:val="0772922E"/>
    <w:rsid w:val="07779EAA"/>
    <w:rsid w:val="0777F34E"/>
    <w:rsid w:val="07785672"/>
    <w:rsid w:val="0785401C"/>
    <w:rsid w:val="078BB3AC"/>
    <w:rsid w:val="0794973A"/>
    <w:rsid w:val="07A0EFC8"/>
    <w:rsid w:val="07A0F8F3"/>
    <w:rsid w:val="07A39ED9"/>
    <w:rsid w:val="07C276EB"/>
    <w:rsid w:val="07C83B0E"/>
    <w:rsid w:val="07D32116"/>
    <w:rsid w:val="07E01454"/>
    <w:rsid w:val="07E83051"/>
    <w:rsid w:val="07F39047"/>
    <w:rsid w:val="07FE5601"/>
    <w:rsid w:val="0811B77F"/>
    <w:rsid w:val="082389FE"/>
    <w:rsid w:val="0829A975"/>
    <w:rsid w:val="082C592F"/>
    <w:rsid w:val="082FD161"/>
    <w:rsid w:val="08343302"/>
    <w:rsid w:val="0840C0EE"/>
    <w:rsid w:val="08616ED3"/>
    <w:rsid w:val="0863C1CF"/>
    <w:rsid w:val="086C7ACF"/>
    <w:rsid w:val="086F083E"/>
    <w:rsid w:val="0874AFA7"/>
    <w:rsid w:val="0876E604"/>
    <w:rsid w:val="087FFC93"/>
    <w:rsid w:val="08860833"/>
    <w:rsid w:val="08875448"/>
    <w:rsid w:val="0896F012"/>
    <w:rsid w:val="08AAB9FE"/>
    <w:rsid w:val="08AD636D"/>
    <w:rsid w:val="08B05D00"/>
    <w:rsid w:val="08BAB444"/>
    <w:rsid w:val="08CAD914"/>
    <w:rsid w:val="08CDE417"/>
    <w:rsid w:val="08DB1CCF"/>
    <w:rsid w:val="08DF15A1"/>
    <w:rsid w:val="08E9C710"/>
    <w:rsid w:val="08EA531C"/>
    <w:rsid w:val="09042785"/>
    <w:rsid w:val="0910D0C2"/>
    <w:rsid w:val="091C4BF7"/>
    <w:rsid w:val="091CF9BA"/>
    <w:rsid w:val="092FFCC1"/>
    <w:rsid w:val="094E0CA9"/>
    <w:rsid w:val="09808477"/>
    <w:rsid w:val="0985DE58"/>
    <w:rsid w:val="09980059"/>
    <w:rsid w:val="099BEFF1"/>
    <w:rsid w:val="09A11AEF"/>
    <w:rsid w:val="09A1F126"/>
    <w:rsid w:val="09B163F7"/>
    <w:rsid w:val="09B9399C"/>
    <w:rsid w:val="09D2F65C"/>
    <w:rsid w:val="09E3F270"/>
    <w:rsid w:val="09E7E12A"/>
    <w:rsid w:val="09E908B6"/>
    <w:rsid w:val="09F9D197"/>
    <w:rsid w:val="09FBE2C5"/>
    <w:rsid w:val="09FF8632"/>
    <w:rsid w:val="0A045DBF"/>
    <w:rsid w:val="0A07029C"/>
    <w:rsid w:val="0A21F762"/>
    <w:rsid w:val="0A7EA4BD"/>
    <w:rsid w:val="0A860593"/>
    <w:rsid w:val="0A8C52A1"/>
    <w:rsid w:val="0AB01EFB"/>
    <w:rsid w:val="0ABA12FC"/>
    <w:rsid w:val="0AC39996"/>
    <w:rsid w:val="0AC39A24"/>
    <w:rsid w:val="0ACDF1A1"/>
    <w:rsid w:val="0AD12721"/>
    <w:rsid w:val="0AD6228E"/>
    <w:rsid w:val="0ADFED69"/>
    <w:rsid w:val="0AE1B21D"/>
    <w:rsid w:val="0AE4E9AF"/>
    <w:rsid w:val="0AE67BED"/>
    <w:rsid w:val="0AE7B189"/>
    <w:rsid w:val="0AEED936"/>
    <w:rsid w:val="0AF8931B"/>
    <w:rsid w:val="0B056F69"/>
    <w:rsid w:val="0B181DAA"/>
    <w:rsid w:val="0B229885"/>
    <w:rsid w:val="0B4320D9"/>
    <w:rsid w:val="0B4638BF"/>
    <w:rsid w:val="0B61B2B2"/>
    <w:rsid w:val="0B6CFC0B"/>
    <w:rsid w:val="0B73F9B2"/>
    <w:rsid w:val="0B7FB97F"/>
    <w:rsid w:val="0B88853C"/>
    <w:rsid w:val="0B97C75A"/>
    <w:rsid w:val="0B9BEC30"/>
    <w:rsid w:val="0BA9CB3A"/>
    <w:rsid w:val="0BAD55AF"/>
    <w:rsid w:val="0BB0DA44"/>
    <w:rsid w:val="0BB363F1"/>
    <w:rsid w:val="0BB6F7A5"/>
    <w:rsid w:val="0BB7BE29"/>
    <w:rsid w:val="0BC253DA"/>
    <w:rsid w:val="0BC671CC"/>
    <w:rsid w:val="0BE1DBB0"/>
    <w:rsid w:val="0BE492AF"/>
    <w:rsid w:val="0BEADE05"/>
    <w:rsid w:val="0BEF6959"/>
    <w:rsid w:val="0BF36DC8"/>
    <w:rsid w:val="0BFB4ECB"/>
    <w:rsid w:val="0C0D325C"/>
    <w:rsid w:val="0C0DE398"/>
    <w:rsid w:val="0C1A1267"/>
    <w:rsid w:val="0C1DCEBB"/>
    <w:rsid w:val="0C283BA7"/>
    <w:rsid w:val="0C3C7505"/>
    <w:rsid w:val="0C3D1D90"/>
    <w:rsid w:val="0C471FA2"/>
    <w:rsid w:val="0C4C172E"/>
    <w:rsid w:val="0C6AEDF3"/>
    <w:rsid w:val="0C6EB84C"/>
    <w:rsid w:val="0C6FB62C"/>
    <w:rsid w:val="0C757682"/>
    <w:rsid w:val="0C7FE19E"/>
    <w:rsid w:val="0C828F44"/>
    <w:rsid w:val="0C8A7945"/>
    <w:rsid w:val="0C90B4A7"/>
    <w:rsid w:val="0C91A439"/>
    <w:rsid w:val="0C946284"/>
    <w:rsid w:val="0C969E14"/>
    <w:rsid w:val="0CA32B41"/>
    <w:rsid w:val="0CA4AC6E"/>
    <w:rsid w:val="0CA73F1A"/>
    <w:rsid w:val="0CAA3444"/>
    <w:rsid w:val="0CB89EAD"/>
    <w:rsid w:val="0CBD0FCE"/>
    <w:rsid w:val="0CBFBBE8"/>
    <w:rsid w:val="0CC98048"/>
    <w:rsid w:val="0CDCC37F"/>
    <w:rsid w:val="0CF39CF3"/>
    <w:rsid w:val="0CFFA6AD"/>
    <w:rsid w:val="0D0005FF"/>
    <w:rsid w:val="0D132082"/>
    <w:rsid w:val="0D19A12D"/>
    <w:rsid w:val="0D2BE162"/>
    <w:rsid w:val="0D300D93"/>
    <w:rsid w:val="0D345842"/>
    <w:rsid w:val="0D3E1894"/>
    <w:rsid w:val="0D462AD0"/>
    <w:rsid w:val="0D471312"/>
    <w:rsid w:val="0D537125"/>
    <w:rsid w:val="0D550949"/>
    <w:rsid w:val="0D5C5D61"/>
    <w:rsid w:val="0D667957"/>
    <w:rsid w:val="0D7F601C"/>
    <w:rsid w:val="0D82BEA8"/>
    <w:rsid w:val="0D90CFAF"/>
    <w:rsid w:val="0D98849A"/>
    <w:rsid w:val="0D9CDB72"/>
    <w:rsid w:val="0D9E9CFF"/>
    <w:rsid w:val="0DA06864"/>
    <w:rsid w:val="0DC0506B"/>
    <w:rsid w:val="0DC2BB86"/>
    <w:rsid w:val="0DCE8CF0"/>
    <w:rsid w:val="0DD36AB9"/>
    <w:rsid w:val="0DDD1A7F"/>
    <w:rsid w:val="0DDD967D"/>
    <w:rsid w:val="0DE62688"/>
    <w:rsid w:val="0DF7AE2D"/>
    <w:rsid w:val="0E038659"/>
    <w:rsid w:val="0E0BEEE5"/>
    <w:rsid w:val="0E0C0FAF"/>
    <w:rsid w:val="0E160697"/>
    <w:rsid w:val="0E475AB5"/>
    <w:rsid w:val="0E50D1A9"/>
    <w:rsid w:val="0E5FA471"/>
    <w:rsid w:val="0E6E1E94"/>
    <w:rsid w:val="0E812B60"/>
    <w:rsid w:val="0E9AFF11"/>
    <w:rsid w:val="0E9E9D09"/>
    <w:rsid w:val="0EAD2ADA"/>
    <w:rsid w:val="0EB5A7A5"/>
    <w:rsid w:val="0EC25A09"/>
    <w:rsid w:val="0ECDBF66"/>
    <w:rsid w:val="0ED8D381"/>
    <w:rsid w:val="0EE5CED5"/>
    <w:rsid w:val="0EF940A5"/>
    <w:rsid w:val="0F1D108F"/>
    <w:rsid w:val="0F36102D"/>
    <w:rsid w:val="0F386940"/>
    <w:rsid w:val="0F5E55F5"/>
    <w:rsid w:val="0F6D0F3D"/>
    <w:rsid w:val="0F778266"/>
    <w:rsid w:val="0F7F370A"/>
    <w:rsid w:val="0F80856A"/>
    <w:rsid w:val="0F808FE4"/>
    <w:rsid w:val="0F8ED7F2"/>
    <w:rsid w:val="0F9F90F1"/>
    <w:rsid w:val="0FA43B68"/>
    <w:rsid w:val="0FA8FD29"/>
    <w:rsid w:val="0FC052AF"/>
    <w:rsid w:val="0FC756BC"/>
    <w:rsid w:val="0FE23508"/>
    <w:rsid w:val="0FFBDF0E"/>
    <w:rsid w:val="0FFF840E"/>
    <w:rsid w:val="1005758D"/>
    <w:rsid w:val="100739D8"/>
    <w:rsid w:val="100B5318"/>
    <w:rsid w:val="10241DB2"/>
    <w:rsid w:val="1027E986"/>
    <w:rsid w:val="102A2A71"/>
    <w:rsid w:val="10343FFF"/>
    <w:rsid w:val="10393F6D"/>
    <w:rsid w:val="103F03A7"/>
    <w:rsid w:val="105D3C38"/>
    <w:rsid w:val="10679E7D"/>
    <w:rsid w:val="107CC7B9"/>
    <w:rsid w:val="1081FAFB"/>
    <w:rsid w:val="1088509A"/>
    <w:rsid w:val="10963757"/>
    <w:rsid w:val="10A7302A"/>
    <w:rsid w:val="10AF32C6"/>
    <w:rsid w:val="10B029F4"/>
    <w:rsid w:val="10BAF3C6"/>
    <w:rsid w:val="10CAD80C"/>
    <w:rsid w:val="10D6932D"/>
    <w:rsid w:val="10DFC79B"/>
    <w:rsid w:val="1100F59E"/>
    <w:rsid w:val="1104A605"/>
    <w:rsid w:val="111C5364"/>
    <w:rsid w:val="1128DDF3"/>
    <w:rsid w:val="113FEE3C"/>
    <w:rsid w:val="11490330"/>
    <w:rsid w:val="114CCD68"/>
    <w:rsid w:val="114E3303"/>
    <w:rsid w:val="11523F0A"/>
    <w:rsid w:val="1157FCB8"/>
    <w:rsid w:val="115DDB68"/>
    <w:rsid w:val="11657788"/>
    <w:rsid w:val="1169A964"/>
    <w:rsid w:val="117702E8"/>
    <w:rsid w:val="117CDE80"/>
    <w:rsid w:val="1182E2B4"/>
    <w:rsid w:val="118839FC"/>
    <w:rsid w:val="119A52BC"/>
    <w:rsid w:val="119A7C67"/>
    <w:rsid w:val="119DBD3D"/>
    <w:rsid w:val="11C8F032"/>
    <w:rsid w:val="11D009E0"/>
    <w:rsid w:val="11D45D89"/>
    <w:rsid w:val="11DDAC64"/>
    <w:rsid w:val="11E2C18A"/>
    <w:rsid w:val="11F0F22F"/>
    <w:rsid w:val="11F61B2E"/>
    <w:rsid w:val="11FB7D4C"/>
    <w:rsid w:val="11FE6131"/>
    <w:rsid w:val="11FE6B44"/>
    <w:rsid w:val="120A5365"/>
    <w:rsid w:val="1216C258"/>
    <w:rsid w:val="121A3537"/>
    <w:rsid w:val="121B3777"/>
    <w:rsid w:val="12205EE1"/>
    <w:rsid w:val="12360060"/>
    <w:rsid w:val="123FEE89"/>
    <w:rsid w:val="123FF26A"/>
    <w:rsid w:val="1251632E"/>
    <w:rsid w:val="12589009"/>
    <w:rsid w:val="125CE1E4"/>
    <w:rsid w:val="126CE69F"/>
    <w:rsid w:val="126E60E4"/>
    <w:rsid w:val="1273E47E"/>
    <w:rsid w:val="127E94EE"/>
    <w:rsid w:val="1285F095"/>
    <w:rsid w:val="12964CB5"/>
    <w:rsid w:val="12AAA179"/>
    <w:rsid w:val="12B2AD66"/>
    <w:rsid w:val="12C6FFA7"/>
    <w:rsid w:val="12CC24BB"/>
    <w:rsid w:val="12D2763A"/>
    <w:rsid w:val="12EFFFD4"/>
    <w:rsid w:val="12F0D891"/>
    <w:rsid w:val="12FE9011"/>
    <w:rsid w:val="130DE293"/>
    <w:rsid w:val="13139DD6"/>
    <w:rsid w:val="131D4F2B"/>
    <w:rsid w:val="13254EE5"/>
    <w:rsid w:val="133522A9"/>
    <w:rsid w:val="133AAAF4"/>
    <w:rsid w:val="134109EF"/>
    <w:rsid w:val="13415A41"/>
    <w:rsid w:val="13420834"/>
    <w:rsid w:val="13495913"/>
    <w:rsid w:val="13603D0A"/>
    <w:rsid w:val="13720A3D"/>
    <w:rsid w:val="13984EB3"/>
    <w:rsid w:val="139A069E"/>
    <w:rsid w:val="139F1F4C"/>
    <w:rsid w:val="13C741C9"/>
    <w:rsid w:val="13C8B0CD"/>
    <w:rsid w:val="13CC759C"/>
    <w:rsid w:val="13D58EFA"/>
    <w:rsid w:val="13D82E2B"/>
    <w:rsid w:val="13DF0030"/>
    <w:rsid w:val="13E2F0C3"/>
    <w:rsid w:val="13F753BD"/>
    <w:rsid w:val="140B2D49"/>
    <w:rsid w:val="14143AA3"/>
    <w:rsid w:val="1416669B"/>
    <w:rsid w:val="141B195D"/>
    <w:rsid w:val="14255C7B"/>
    <w:rsid w:val="142C471F"/>
    <w:rsid w:val="142F223E"/>
    <w:rsid w:val="1434468F"/>
    <w:rsid w:val="14562EF7"/>
    <w:rsid w:val="1461102E"/>
    <w:rsid w:val="1479FFAB"/>
    <w:rsid w:val="147A014E"/>
    <w:rsid w:val="148E9CF9"/>
    <w:rsid w:val="148FBBD8"/>
    <w:rsid w:val="1494594E"/>
    <w:rsid w:val="1496C5F4"/>
    <w:rsid w:val="149DE81E"/>
    <w:rsid w:val="14A33A1B"/>
    <w:rsid w:val="14B0D813"/>
    <w:rsid w:val="14B829E5"/>
    <w:rsid w:val="14CD175A"/>
    <w:rsid w:val="14D820BF"/>
    <w:rsid w:val="14DF94B4"/>
    <w:rsid w:val="14EB2701"/>
    <w:rsid w:val="14F28DB4"/>
    <w:rsid w:val="14F7DA24"/>
    <w:rsid w:val="1506101C"/>
    <w:rsid w:val="1516A954"/>
    <w:rsid w:val="15330401"/>
    <w:rsid w:val="1547145E"/>
    <w:rsid w:val="156F5B7F"/>
    <w:rsid w:val="15728A19"/>
    <w:rsid w:val="15729A01"/>
    <w:rsid w:val="1582384A"/>
    <w:rsid w:val="15882FAC"/>
    <w:rsid w:val="158FE414"/>
    <w:rsid w:val="1594A37D"/>
    <w:rsid w:val="15A63541"/>
    <w:rsid w:val="15DDFA23"/>
    <w:rsid w:val="15DF7220"/>
    <w:rsid w:val="15DFF825"/>
    <w:rsid w:val="15E2B735"/>
    <w:rsid w:val="15F2E7C7"/>
    <w:rsid w:val="15FEDF7D"/>
    <w:rsid w:val="1613B695"/>
    <w:rsid w:val="161D832B"/>
    <w:rsid w:val="163D07B7"/>
    <w:rsid w:val="164398B4"/>
    <w:rsid w:val="16570C2D"/>
    <w:rsid w:val="165B8E89"/>
    <w:rsid w:val="166C35C2"/>
    <w:rsid w:val="167B702F"/>
    <w:rsid w:val="1683AE17"/>
    <w:rsid w:val="16846223"/>
    <w:rsid w:val="1689CEC9"/>
    <w:rsid w:val="16A1930F"/>
    <w:rsid w:val="16D36E8C"/>
    <w:rsid w:val="16E3DD6D"/>
    <w:rsid w:val="16F3F973"/>
    <w:rsid w:val="17033246"/>
    <w:rsid w:val="171AD131"/>
    <w:rsid w:val="171D8B42"/>
    <w:rsid w:val="1720E56B"/>
    <w:rsid w:val="17289841"/>
    <w:rsid w:val="173165CD"/>
    <w:rsid w:val="174138C7"/>
    <w:rsid w:val="17504A78"/>
    <w:rsid w:val="175193B7"/>
    <w:rsid w:val="175742AC"/>
    <w:rsid w:val="17804F35"/>
    <w:rsid w:val="178FAFA2"/>
    <w:rsid w:val="17AA11A1"/>
    <w:rsid w:val="17BF7910"/>
    <w:rsid w:val="17C0D68F"/>
    <w:rsid w:val="17CDBEFD"/>
    <w:rsid w:val="17D2472E"/>
    <w:rsid w:val="17E016B5"/>
    <w:rsid w:val="17E4EF5A"/>
    <w:rsid w:val="17EFEA2E"/>
    <w:rsid w:val="17FFDF48"/>
    <w:rsid w:val="1806DE1C"/>
    <w:rsid w:val="18194BFA"/>
    <w:rsid w:val="182555B8"/>
    <w:rsid w:val="182A6CFF"/>
    <w:rsid w:val="182F1EE7"/>
    <w:rsid w:val="182FA196"/>
    <w:rsid w:val="1847A3CA"/>
    <w:rsid w:val="184A3555"/>
    <w:rsid w:val="185150E6"/>
    <w:rsid w:val="185929A8"/>
    <w:rsid w:val="185B4FD4"/>
    <w:rsid w:val="18932EB2"/>
    <w:rsid w:val="18A587BF"/>
    <w:rsid w:val="18B0485F"/>
    <w:rsid w:val="18B46546"/>
    <w:rsid w:val="18B57488"/>
    <w:rsid w:val="18B9E3CA"/>
    <w:rsid w:val="18C22D32"/>
    <w:rsid w:val="18D97067"/>
    <w:rsid w:val="18E6420D"/>
    <w:rsid w:val="18E87DDD"/>
    <w:rsid w:val="18F3B3C7"/>
    <w:rsid w:val="18F58ED6"/>
    <w:rsid w:val="19020A7B"/>
    <w:rsid w:val="19190A75"/>
    <w:rsid w:val="1936FD08"/>
    <w:rsid w:val="193A0A5F"/>
    <w:rsid w:val="193CD86D"/>
    <w:rsid w:val="193DBD0E"/>
    <w:rsid w:val="194655AB"/>
    <w:rsid w:val="195346B6"/>
    <w:rsid w:val="195485D3"/>
    <w:rsid w:val="19571054"/>
    <w:rsid w:val="1959A5CB"/>
    <w:rsid w:val="1977B1A3"/>
    <w:rsid w:val="198D111C"/>
    <w:rsid w:val="19A2952E"/>
    <w:rsid w:val="19A8E4C2"/>
    <w:rsid w:val="19BF50CB"/>
    <w:rsid w:val="19CC797F"/>
    <w:rsid w:val="19CE8155"/>
    <w:rsid w:val="19F14819"/>
    <w:rsid w:val="19F9BBD3"/>
    <w:rsid w:val="19FD3EDC"/>
    <w:rsid w:val="1A1BE122"/>
    <w:rsid w:val="1A240BCF"/>
    <w:rsid w:val="1A24FB8E"/>
    <w:rsid w:val="1A32BFBA"/>
    <w:rsid w:val="1A3587BD"/>
    <w:rsid w:val="1A3F32CC"/>
    <w:rsid w:val="1A4D73F9"/>
    <w:rsid w:val="1A514785"/>
    <w:rsid w:val="1A51E5F3"/>
    <w:rsid w:val="1A58A572"/>
    <w:rsid w:val="1A7DE0CB"/>
    <w:rsid w:val="1A7F14AF"/>
    <w:rsid w:val="1A8702D5"/>
    <w:rsid w:val="1A9753E9"/>
    <w:rsid w:val="1A9D157C"/>
    <w:rsid w:val="1A9F14A2"/>
    <w:rsid w:val="1A9FBBB5"/>
    <w:rsid w:val="1AA018C4"/>
    <w:rsid w:val="1AA3060B"/>
    <w:rsid w:val="1AB43E5D"/>
    <w:rsid w:val="1AB9C7DE"/>
    <w:rsid w:val="1ACABF3F"/>
    <w:rsid w:val="1AD0C87E"/>
    <w:rsid w:val="1AE51E68"/>
    <w:rsid w:val="1B03E153"/>
    <w:rsid w:val="1B1067E3"/>
    <w:rsid w:val="1B14D038"/>
    <w:rsid w:val="1B2AED49"/>
    <w:rsid w:val="1B37B6E7"/>
    <w:rsid w:val="1B607856"/>
    <w:rsid w:val="1B6D5DFD"/>
    <w:rsid w:val="1B8D2873"/>
    <w:rsid w:val="1B964F9D"/>
    <w:rsid w:val="1B9F1C3B"/>
    <w:rsid w:val="1BB67AEB"/>
    <w:rsid w:val="1BBA8EE0"/>
    <w:rsid w:val="1BBCDE0F"/>
    <w:rsid w:val="1BCB0C93"/>
    <w:rsid w:val="1BDBEA1F"/>
    <w:rsid w:val="1BE70FBE"/>
    <w:rsid w:val="1BEFBDD8"/>
    <w:rsid w:val="1C1832E2"/>
    <w:rsid w:val="1C1FFA90"/>
    <w:rsid w:val="1C3E12B0"/>
    <w:rsid w:val="1C4281E1"/>
    <w:rsid w:val="1C4B46E7"/>
    <w:rsid w:val="1C5FC7EA"/>
    <w:rsid w:val="1C6B38E9"/>
    <w:rsid w:val="1C8609BB"/>
    <w:rsid w:val="1C919C9B"/>
    <w:rsid w:val="1C963BA0"/>
    <w:rsid w:val="1C9C80F7"/>
    <w:rsid w:val="1CAA34CB"/>
    <w:rsid w:val="1CBA7DF7"/>
    <w:rsid w:val="1CC0CCE5"/>
    <w:rsid w:val="1CCF2FA5"/>
    <w:rsid w:val="1CCF3D89"/>
    <w:rsid w:val="1CEAFBF4"/>
    <w:rsid w:val="1CEB1CF2"/>
    <w:rsid w:val="1CFF17D3"/>
    <w:rsid w:val="1D14CA26"/>
    <w:rsid w:val="1D15C9B4"/>
    <w:rsid w:val="1D260C6E"/>
    <w:rsid w:val="1D3DF5E2"/>
    <w:rsid w:val="1D488CC0"/>
    <w:rsid w:val="1D60D2BC"/>
    <w:rsid w:val="1D62FA2F"/>
    <w:rsid w:val="1D68FEF5"/>
    <w:rsid w:val="1D9BD087"/>
    <w:rsid w:val="1DA3EDD6"/>
    <w:rsid w:val="1DBE36B1"/>
    <w:rsid w:val="1DC4D998"/>
    <w:rsid w:val="1DDD4751"/>
    <w:rsid w:val="1DDDD55B"/>
    <w:rsid w:val="1DFC1D06"/>
    <w:rsid w:val="1E034D84"/>
    <w:rsid w:val="1E085BF6"/>
    <w:rsid w:val="1E088971"/>
    <w:rsid w:val="1E0B2EFB"/>
    <w:rsid w:val="1E0E91A1"/>
    <w:rsid w:val="1E14C40D"/>
    <w:rsid w:val="1E2B639B"/>
    <w:rsid w:val="1E36BF0A"/>
    <w:rsid w:val="1E3F4226"/>
    <w:rsid w:val="1E3F4F80"/>
    <w:rsid w:val="1E4ACBF8"/>
    <w:rsid w:val="1E4EDD98"/>
    <w:rsid w:val="1E530BE8"/>
    <w:rsid w:val="1E547E25"/>
    <w:rsid w:val="1E563A20"/>
    <w:rsid w:val="1E576FB6"/>
    <w:rsid w:val="1E7129F3"/>
    <w:rsid w:val="1E77E0E3"/>
    <w:rsid w:val="1E7BBA66"/>
    <w:rsid w:val="1E823232"/>
    <w:rsid w:val="1E9EF466"/>
    <w:rsid w:val="1EA943E1"/>
    <w:rsid w:val="1EBF391E"/>
    <w:rsid w:val="1EBFFBBC"/>
    <w:rsid w:val="1EC1ACA8"/>
    <w:rsid w:val="1EC3C613"/>
    <w:rsid w:val="1EC7B26E"/>
    <w:rsid w:val="1ED2E66F"/>
    <w:rsid w:val="1EFB8841"/>
    <w:rsid w:val="1F1363EA"/>
    <w:rsid w:val="1F2A063C"/>
    <w:rsid w:val="1F30BFF3"/>
    <w:rsid w:val="1F41BFBD"/>
    <w:rsid w:val="1F4DDBD5"/>
    <w:rsid w:val="1F4EF9C1"/>
    <w:rsid w:val="1F50FEF2"/>
    <w:rsid w:val="1F5EBA50"/>
    <w:rsid w:val="1F64798E"/>
    <w:rsid w:val="1F69ED01"/>
    <w:rsid w:val="1F756BD6"/>
    <w:rsid w:val="1F7E09CE"/>
    <w:rsid w:val="1F961EC6"/>
    <w:rsid w:val="1F974114"/>
    <w:rsid w:val="1FA46252"/>
    <w:rsid w:val="1FACCEF8"/>
    <w:rsid w:val="1FAE112A"/>
    <w:rsid w:val="1FD6D0EE"/>
    <w:rsid w:val="1FE02A56"/>
    <w:rsid w:val="1FF0D086"/>
    <w:rsid w:val="1FF9CD15"/>
    <w:rsid w:val="20000371"/>
    <w:rsid w:val="2001C79B"/>
    <w:rsid w:val="2013F7CC"/>
    <w:rsid w:val="2030008C"/>
    <w:rsid w:val="20360F14"/>
    <w:rsid w:val="203DD814"/>
    <w:rsid w:val="20475409"/>
    <w:rsid w:val="204C8ADA"/>
    <w:rsid w:val="204E6606"/>
    <w:rsid w:val="205BDC25"/>
    <w:rsid w:val="205ED410"/>
    <w:rsid w:val="2086456D"/>
    <w:rsid w:val="208D1287"/>
    <w:rsid w:val="209044B9"/>
    <w:rsid w:val="209616AB"/>
    <w:rsid w:val="20A257B2"/>
    <w:rsid w:val="20A75B45"/>
    <w:rsid w:val="20B0A81F"/>
    <w:rsid w:val="20BB1A67"/>
    <w:rsid w:val="20C615F3"/>
    <w:rsid w:val="20CC45FC"/>
    <w:rsid w:val="20F70206"/>
    <w:rsid w:val="20F8D7EF"/>
    <w:rsid w:val="20F8E85F"/>
    <w:rsid w:val="20F9CA8D"/>
    <w:rsid w:val="20FFDC6A"/>
    <w:rsid w:val="21000914"/>
    <w:rsid w:val="21053F2A"/>
    <w:rsid w:val="210680C7"/>
    <w:rsid w:val="2113DB9F"/>
    <w:rsid w:val="21144CCA"/>
    <w:rsid w:val="21186191"/>
    <w:rsid w:val="2129F43C"/>
    <w:rsid w:val="21312E0E"/>
    <w:rsid w:val="213246A7"/>
    <w:rsid w:val="2138D82B"/>
    <w:rsid w:val="2139E2FD"/>
    <w:rsid w:val="2141F194"/>
    <w:rsid w:val="21458D36"/>
    <w:rsid w:val="214B00F9"/>
    <w:rsid w:val="214EBED6"/>
    <w:rsid w:val="215E84C0"/>
    <w:rsid w:val="215FA24F"/>
    <w:rsid w:val="2160E9DD"/>
    <w:rsid w:val="21670731"/>
    <w:rsid w:val="217EF938"/>
    <w:rsid w:val="217FF5CC"/>
    <w:rsid w:val="218D2C57"/>
    <w:rsid w:val="21948C62"/>
    <w:rsid w:val="219C7F70"/>
    <w:rsid w:val="21B3DCD3"/>
    <w:rsid w:val="21B6E953"/>
    <w:rsid w:val="21BBCB6F"/>
    <w:rsid w:val="21BC6A72"/>
    <w:rsid w:val="21CFB6CA"/>
    <w:rsid w:val="21D0BA00"/>
    <w:rsid w:val="21EFB2EB"/>
    <w:rsid w:val="21F05AD4"/>
    <w:rsid w:val="220112E6"/>
    <w:rsid w:val="220B3D53"/>
    <w:rsid w:val="2214E931"/>
    <w:rsid w:val="22206B81"/>
    <w:rsid w:val="222ADDD2"/>
    <w:rsid w:val="222EE0FA"/>
    <w:rsid w:val="223479D0"/>
    <w:rsid w:val="223CAC2B"/>
    <w:rsid w:val="2267C476"/>
    <w:rsid w:val="227870B0"/>
    <w:rsid w:val="2284E26E"/>
    <w:rsid w:val="22860930"/>
    <w:rsid w:val="22B37633"/>
    <w:rsid w:val="22BF268C"/>
    <w:rsid w:val="22BF695B"/>
    <w:rsid w:val="22C4EA10"/>
    <w:rsid w:val="22CA2B0B"/>
    <w:rsid w:val="22D35AB9"/>
    <w:rsid w:val="22D4C549"/>
    <w:rsid w:val="22D72807"/>
    <w:rsid w:val="22E0DF13"/>
    <w:rsid w:val="22E3F1A3"/>
    <w:rsid w:val="22E412C2"/>
    <w:rsid w:val="22E9D3FF"/>
    <w:rsid w:val="22F6F7F4"/>
    <w:rsid w:val="231F92DB"/>
    <w:rsid w:val="232179BE"/>
    <w:rsid w:val="232E8A06"/>
    <w:rsid w:val="233D000E"/>
    <w:rsid w:val="2341D916"/>
    <w:rsid w:val="234713C0"/>
    <w:rsid w:val="23541E25"/>
    <w:rsid w:val="23603565"/>
    <w:rsid w:val="236ABB28"/>
    <w:rsid w:val="236C1D28"/>
    <w:rsid w:val="237C1BBE"/>
    <w:rsid w:val="239A0042"/>
    <w:rsid w:val="23B1AE45"/>
    <w:rsid w:val="23B9B5BF"/>
    <w:rsid w:val="23BE22F3"/>
    <w:rsid w:val="23C8B5BE"/>
    <w:rsid w:val="23CDE749"/>
    <w:rsid w:val="23D79301"/>
    <w:rsid w:val="23DAEB64"/>
    <w:rsid w:val="23E315B0"/>
    <w:rsid w:val="23E47464"/>
    <w:rsid w:val="23E70D81"/>
    <w:rsid w:val="23FE2906"/>
    <w:rsid w:val="2400DFDD"/>
    <w:rsid w:val="24023AAA"/>
    <w:rsid w:val="2405CF3E"/>
    <w:rsid w:val="2407EAC5"/>
    <w:rsid w:val="24189FC7"/>
    <w:rsid w:val="24206A45"/>
    <w:rsid w:val="24208823"/>
    <w:rsid w:val="2427C214"/>
    <w:rsid w:val="242D071A"/>
    <w:rsid w:val="242E5EDF"/>
    <w:rsid w:val="2432014F"/>
    <w:rsid w:val="244540D1"/>
    <w:rsid w:val="24530013"/>
    <w:rsid w:val="2470D140"/>
    <w:rsid w:val="247E06A7"/>
    <w:rsid w:val="248773D6"/>
    <w:rsid w:val="24923FD7"/>
    <w:rsid w:val="2492FAB0"/>
    <w:rsid w:val="24971BF9"/>
    <w:rsid w:val="24A25753"/>
    <w:rsid w:val="24A25897"/>
    <w:rsid w:val="24A84ED6"/>
    <w:rsid w:val="24A9AC86"/>
    <w:rsid w:val="24B6B339"/>
    <w:rsid w:val="24BAA287"/>
    <w:rsid w:val="24DFB7A1"/>
    <w:rsid w:val="24E7A47D"/>
    <w:rsid w:val="24FF1F13"/>
    <w:rsid w:val="25012669"/>
    <w:rsid w:val="251F1AFB"/>
    <w:rsid w:val="252DCC29"/>
    <w:rsid w:val="2532D723"/>
    <w:rsid w:val="253B94FF"/>
    <w:rsid w:val="254A111B"/>
    <w:rsid w:val="2551C628"/>
    <w:rsid w:val="2593D93A"/>
    <w:rsid w:val="25980045"/>
    <w:rsid w:val="2599236B"/>
    <w:rsid w:val="259EC05E"/>
    <w:rsid w:val="25A1ECCD"/>
    <w:rsid w:val="25C906AF"/>
    <w:rsid w:val="25CF1563"/>
    <w:rsid w:val="25FDAC8E"/>
    <w:rsid w:val="2601968A"/>
    <w:rsid w:val="2602CB01"/>
    <w:rsid w:val="26158C63"/>
    <w:rsid w:val="2618532F"/>
    <w:rsid w:val="263BF0B1"/>
    <w:rsid w:val="263ECF64"/>
    <w:rsid w:val="263F88DB"/>
    <w:rsid w:val="2649D71F"/>
    <w:rsid w:val="2657CBFB"/>
    <w:rsid w:val="2668475E"/>
    <w:rsid w:val="26839709"/>
    <w:rsid w:val="268E3F68"/>
    <w:rsid w:val="268FA9AD"/>
    <w:rsid w:val="26909277"/>
    <w:rsid w:val="2693C798"/>
    <w:rsid w:val="26956547"/>
    <w:rsid w:val="269DB0E7"/>
    <w:rsid w:val="26AA1992"/>
    <w:rsid w:val="26C1141D"/>
    <w:rsid w:val="26C5D240"/>
    <w:rsid w:val="26CC3EA6"/>
    <w:rsid w:val="26DE53D3"/>
    <w:rsid w:val="26EC9CFA"/>
    <w:rsid w:val="26F55A47"/>
    <w:rsid w:val="2710DF88"/>
    <w:rsid w:val="27292645"/>
    <w:rsid w:val="272C50C8"/>
    <w:rsid w:val="27360D36"/>
    <w:rsid w:val="2737F78E"/>
    <w:rsid w:val="27444C4C"/>
    <w:rsid w:val="274931DE"/>
    <w:rsid w:val="274CDC84"/>
    <w:rsid w:val="2757A66E"/>
    <w:rsid w:val="27613263"/>
    <w:rsid w:val="2764C096"/>
    <w:rsid w:val="276A2A6C"/>
    <w:rsid w:val="279645F3"/>
    <w:rsid w:val="279A73E9"/>
    <w:rsid w:val="279AE172"/>
    <w:rsid w:val="279D2FC2"/>
    <w:rsid w:val="27B2675A"/>
    <w:rsid w:val="27B43D40"/>
    <w:rsid w:val="27BAD323"/>
    <w:rsid w:val="27C0ACFA"/>
    <w:rsid w:val="27C57A69"/>
    <w:rsid w:val="27CB5594"/>
    <w:rsid w:val="27CC6603"/>
    <w:rsid w:val="27D0F0CF"/>
    <w:rsid w:val="27ED5763"/>
    <w:rsid w:val="28090887"/>
    <w:rsid w:val="280E5084"/>
    <w:rsid w:val="28137339"/>
    <w:rsid w:val="2828B1DB"/>
    <w:rsid w:val="2835EB85"/>
    <w:rsid w:val="283DF073"/>
    <w:rsid w:val="2846E532"/>
    <w:rsid w:val="284B5CB7"/>
    <w:rsid w:val="28597F8F"/>
    <w:rsid w:val="286A7CF9"/>
    <w:rsid w:val="286CEC3C"/>
    <w:rsid w:val="2876845F"/>
    <w:rsid w:val="289AA0FF"/>
    <w:rsid w:val="289D8D68"/>
    <w:rsid w:val="28BC7B66"/>
    <w:rsid w:val="28DBC750"/>
    <w:rsid w:val="28E6163D"/>
    <w:rsid w:val="290D1D5B"/>
    <w:rsid w:val="2925540E"/>
    <w:rsid w:val="292A30AC"/>
    <w:rsid w:val="2935A1A3"/>
    <w:rsid w:val="29459679"/>
    <w:rsid w:val="295F44A8"/>
    <w:rsid w:val="296DCC8A"/>
    <w:rsid w:val="296F06F0"/>
    <w:rsid w:val="2989D5C3"/>
    <w:rsid w:val="299A103E"/>
    <w:rsid w:val="299CFA49"/>
    <w:rsid w:val="299F8C03"/>
    <w:rsid w:val="299F8F68"/>
    <w:rsid w:val="29A1B43F"/>
    <w:rsid w:val="29BF76F6"/>
    <w:rsid w:val="29C434AF"/>
    <w:rsid w:val="29CBB4E2"/>
    <w:rsid w:val="29D2FC16"/>
    <w:rsid w:val="29D44C44"/>
    <w:rsid w:val="29E5054E"/>
    <w:rsid w:val="29F765AE"/>
    <w:rsid w:val="2A002EB8"/>
    <w:rsid w:val="2A0C65DD"/>
    <w:rsid w:val="2A1705FD"/>
    <w:rsid w:val="2A204E1D"/>
    <w:rsid w:val="2A2095E9"/>
    <w:rsid w:val="2A29E346"/>
    <w:rsid w:val="2A327E14"/>
    <w:rsid w:val="2A38BB6A"/>
    <w:rsid w:val="2A3CC8CA"/>
    <w:rsid w:val="2A569E06"/>
    <w:rsid w:val="2A5A28CB"/>
    <w:rsid w:val="2A6C2C3A"/>
    <w:rsid w:val="2A71A3A5"/>
    <w:rsid w:val="2A71D228"/>
    <w:rsid w:val="2A7A775F"/>
    <w:rsid w:val="2A7F5AAF"/>
    <w:rsid w:val="2A82470B"/>
    <w:rsid w:val="2A871077"/>
    <w:rsid w:val="2A9B7056"/>
    <w:rsid w:val="2A9DC2D8"/>
    <w:rsid w:val="2A9E78F7"/>
    <w:rsid w:val="2AA39E17"/>
    <w:rsid w:val="2AB6CD49"/>
    <w:rsid w:val="2AB7F956"/>
    <w:rsid w:val="2ABA20A3"/>
    <w:rsid w:val="2AD06C77"/>
    <w:rsid w:val="2AE10F83"/>
    <w:rsid w:val="2AEAF614"/>
    <w:rsid w:val="2AEBD5CF"/>
    <w:rsid w:val="2AECE320"/>
    <w:rsid w:val="2AF5287D"/>
    <w:rsid w:val="2AF7E793"/>
    <w:rsid w:val="2AF91014"/>
    <w:rsid w:val="2AFA0125"/>
    <w:rsid w:val="2AFE182F"/>
    <w:rsid w:val="2B059DCA"/>
    <w:rsid w:val="2B08C70D"/>
    <w:rsid w:val="2B280664"/>
    <w:rsid w:val="2B33C933"/>
    <w:rsid w:val="2B36E552"/>
    <w:rsid w:val="2B39F957"/>
    <w:rsid w:val="2B515DC1"/>
    <w:rsid w:val="2B51800C"/>
    <w:rsid w:val="2B587BBE"/>
    <w:rsid w:val="2B5D84B6"/>
    <w:rsid w:val="2B5FCAE6"/>
    <w:rsid w:val="2B800F79"/>
    <w:rsid w:val="2B8C3982"/>
    <w:rsid w:val="2B922195"/>
    <w:rsid w:val="2BA329B5"/>
    <w:rsid w:val="2BA6A28A"/>
    <w:rsid w:val="2BAC6C1E"/>
    <w:rsid w:val="2BB153AB"/>
    <w:rsid w:val="2BB1D902"/>
    <w:rsid w:val="2BBC1F17"/>
    <w:rsid w:val="2BC34FC9"/>
    <w:rsid w:val="2BD6286D"/>
    <w:rsid w:val="2BE94038"/>
    <w:rsid w:val="2BEAA068"/>
    <w:rsid w:val="2C12FC07"/>
    <w:rsid w:val="2C25D4D7"/>
    <w:rsid w:val="2C31B2C8"/>
    <w:rsid w:val="2C322981"/>
    <w:rsid w:val="2C3E883B"/>
    <w:rsid w:val="2C43EF7F"/>
    <w:rsid w:val="2C45AA08"/>
    <w:rsid w:val="2C5957EE"/>
    <w:rsid w:val="2C6B7DA2"/>
    <w:rsid w:val="2C82D66B"/>
    <w:rsid w:val="2C85AF69"/>
    <w:rsid w:val="2C921606"/>
    <w:rsid w:val="2C9AA80E"/>
    <w:rsid w:val="2CA4154F"/>
    <w:rsid w:val="2CA778CB"/>
    <w:rsid w:val="2CB2F9AE"/>
    <w:rsid w:val="2CC779C9"/>
    <w:rsid w:val="2CD4027B"/>
    <w:rsid w:val="2CD473F5"/>
    <w:rsid w:val="2CD625E6"/>
    <w:rsid w:val="2CD884FA"/>
    <w:rsid w:val="2CE219F6"/>
    <w:rsid w:val="2CFD0AC4"/>
    <w:rsid w:val="2D00F885"/>
    <w:rsid w:val="2D0AC353"/>
    <w:rsid w:val="2D16FFB5"/>
    <w:rsid w:val="2D20ACCE"/>
    <w:rsid w:val="2D24DC3E"/>
    <w:rsid w:val="2D31A472"/>
    <w:rsid w:val="2D4FCB8C"/>
    <w:rsid w:val="2D5ED6D1"/>
    <w:rsid w:val="2D617C01"/>
    <w:rsid w:val="2D7A9F7F"/>
    <w:rsid w:val="2D9B94B4"/>
    <w:rsid w:val="2D9EFDC1"/>
    <w:rsid w:val="2DAD3A40"/>
    <w:rsid w:val="2DB5D0CF"/>
    <w:rsid w:val="2DB6D6EB"/>
    <w:rsid w:val="2DB85563"/>
    <w:rsid w:val="2DC6A6C3"/>
    <w:rsid w:val="2DC86428"/>
    <w:rsid w:val="2DCA7CFD"/>
    <w:rsid w:val="2DD4ABB3"/>
    <w:rsid w:val="2DF091EC"/>
    <w:rsid w:val="2DF2FCEC"/>
    <w:rsid w:val="2DF5F738"/>
    <w:rsid w:val="2E07E122"/>
    <w:rsid w:val="2E0B3397"/>
    <w:rsid w:val="2E11BFDA"/>
    <w:rsid w:val="2E166B79"/>
    <w:rsid w:val="2E1B6AC3"/>
    <w:rsid w:val="2E1C503E"/>
    <w:rsid w:val="2E2998E7"/>
    <w:rsid w:val="2E4EB10F"/>
    <w:rsid w:val="2E606757"/>
    <w:rsid w:val="2E672504"/>
    <w:rsid w:val="2E711F5E"/>
    <w:rsid w:val="2E7ED240"/>
    <w:rsid w:val="2E811829"/>
    <w:rsid w:val="2E86DC86"/>
    <w:rsid w:val="2E902759"/>
    <w:rsid w:val="2E91707F"/>
    <w:rsid w:val="2EB861EF"/>
    <w:rsid w:val="2ED1B296"/>
    <w:rsid w:val="2EE6D04F"/>
    <w:rsid w:val="2F052A66"/>
    <w:rsid w:val="2F18D0C5"/>
    <w:rsid w:val="2F2813E6"/>
    <w:rsid w:val="2F3EBD1C"/>
    <w:rsid w:val="2F457E84"/>
    <w:rsid w:val="2F550A03"/>
    <w:rsid w:val="2F71F705"/>
    <w:rsid w:val="2F7FC8D4"/>
    <w:rsid w:val="2F8721FF"/>
    <w:rsid w:val="2F894092"/>
    <w:rsid w:val="2F89E999"/>
    <w:rsid w:val="2F90254A"/>
    <w:rsid w:val="2F950622"/>
    <w:rsid w:val="2F973016"/>
    <w:rsid w:val="2F99E5D2"/>
    <w:rsid w:val="2FAC7181"/>
    <w:rsid w:val="2FB84BEC"/>
    <w:rsid w:val="2FD473AC"/>
    <w:rsid w:val="2FD69F75"/>
    <w:rsid w:val="2FE0DC54"/>
    <w:rsid w:val="2FEBEFBE"/>
    <w:rsid w:val="2FF40987"/>
    <w:rsid w:val="2FF455BD"/>
    <w:rsid w:val="2FF67F9D"/>
    <w:rsid w:val="2FFC73BD"/>
    <w:rsid w:val="30004A9E"/>
    <w:rsid w:val="3000FC9B"/>
    <w:rsid w:val="30013CE1"/>
    <w:rsid w:val="30016A53"/>
    <w:rsid w:val="300E1F89"/>
    <w:rsid w:val="301C9A43"/>
    <w:rsid w:val="303FE550"/>
    <w:rsid w:val="3044222C"/>
    <w:rsid w:val="305A0771"/>
    <w:rsid w:val="306067C6"/>
    <w:rsid w:val="306EBD9D"/>
    <w:rsid w:val="30760854"/>
    <w:rsid w:val="3088304B"/>
    <w:rsid w:val="3099767E"/>
    <w:rsid w:val="30A63DCC"/>
    <w:rsid w:val="30BD4AB7"/>
    <w:rsid w:val="30BEAEF1"/>
    <w:rsid w:val="30D32E39"/>
    <w:rsid w:val="30D5413F"/>
    <w:rsid w:val="30D78C33"/>
    <w:rsid w:val="30DD6424"/>
    <w:rsid w:val="30F06F1E"/>
    <w:rsid w:val="30F5A8BE"/>
    <w:rsid w:val="310F7DDB"/>
    <w:rsid w:val="312B016F"/>
    <w:rsid w:val="313D32BF"/>
    <w:rsid w:val="31437A89"/>
    <w:rsid w:val="3146BD2F"/>
    <w:rsid w:val="3147BABB"/>
    <w:rsid w:val="315E0622"/>
    <w:rsid w:val="31703C14"/>
    <w:rsid w:val="317FFE82"/>
    <w:rsid w:val="318EB0B2"/>
    <w:rsid w:val="31948489"/>
    <w:rsid w:val="319932F0"/>
    <w:rsid w:val="31B0EA5B"/>
    <w:rsid w:val="31B5C0C0"/>
    <w:rsid w:val="31B6D543"/>
    <w:rsid w:val="31BA7048"/>
    <w:rsid w:val="31C1D303"/>
    <w:rsid w:val="31C304F7"/>
    <w:rsid w:val="31D3A206"/>
    <w:rsid w:val="31D3DB68"/>
    <w:rsid w:val="31DA4658"/>
    <w:rsid w:val="31F2AA05"/>
    <w:rsid w:val="31F7DD59"/>
    <w:rsid w:val="32083723"/>
    <w:rsid w:val="320BE7A2"/>
    <w:rsid w:val="320C658D"/>
    <w:rsid w:val="3218191B"/>
    <w:rsid w:val="321A57F9"/>
    <w:rsid w:val="321CFF24"/>
    <w:rsid w:val="3224C627"/>
    <w:rsid w:val="322ABB76"/>
    <w:rsid w:val="323D0211"/>
    <w:rsid w:val="324698D3"/>
    <w:rsid w:val="325C0FE8"/>
    <w:rsid w:val="32668CB4"/>
    <w:rsid w:val="3268B370"/>
    <w:rsid w:val="32737F92"/>
    <w:rsid w:val="3279867C"/>
    <w:rsid w:val="328455F0"/>
    <w:rsid w:val="32895AB4"/>
    <w:rsid w:val="32944B67"/>
    <w:rsid w:val="32987A6C"/>
    <w:rsid w:val="32BF4A88"/>
    <w:rsid w:val="32C5C063"/>
    <w:rsid w:val="32C8BB25"/>
    <w:rsid w:val="32D05C65"/>
    <w:rsid w:val="32D9280B"/>
    <w:rsid w:val="32E26322"/>
    <w:rsid w:val="32E47F00"/>
    <w:rsid w:val="330001F4"/>
    <w:rsid w:val="330B7354"/>
    <w:rsid w:val="33108004"/>
    <w:rsid w:val="331BDC26"/>
    <w:rsid w:val="33308138"/>
    <w:rsid w:val="33382C1A"/>
    <w:rsid w:val="333C9A34"/>
    <w:rsid w:val="334EFA70"/>
    <w:rsid w:val="3354528F"/>
    <w:rsid w:val="335AB279"/>
    <w:rsid w:val="3372A97E"/>
    <w:rsid w:val="338F2651"/>
    <w:rsid w:val="338FC442"/>
    <w:rsid w:val="33948531"/>
    <w:rsid w:val="339671FD"/>
    <w:rsid w:val="339EC575"/>
    <w:rsid w:val="33A4C8EC"/>
    <w:rsid w:val="33A94044"/>
    <w:rsid w:val="33B64F0A"/>
    <w:rsid w:val="33BC6647"/>
    <w:rsid w:val="33BCBB44"/>
    <w:rsid w:val="33C4D558"/>
    <w:rsid w:val="33C72C11"/>
    <w:rsid w:val="33C9279A"/>
    <w:rsid w:val="33D428D2"/>
    <w:rsid w:val="33E0B288"/>
    <w:rsid w:val="33F0885A"/>
    <w:rsid w:val="33FC1265"/>
    <w:rsid w:val="34035877"/>
    <w:rsid w:val="341089B3"/>
    <w:rsid w:val="341683D7"/>
    <w:rsid w:val="342BFCBC"/>
    <w:rsid w:val="34339966"/>
    <w:rsid w:val="343DE59E"/>
    <w:rsid w:val="34665268"/>
    <w:rsid w:val="346E7366"/>
    <w:rsid w:val="346F377D"/>
    <w:rsid w:val="34787385"/>
    <w:rsid w:val="3492683D"/>
    <w:rsid w:val="34A09D7B"/>
    <w:rsid w:val="34A23B93"/>
    <w:rsid w:val="34A3C433"/>
    <w:rsid w:val="34A5FC85"/>
    <w:rsid w:val="34D3D0BF"/>
    <w:rsid w:val="34DEDA32"/>
    <w:rsid w:val="34E71C5B"/>
    <w:rsid w:val="34EAA02D"/>
    <w:rsid w:val="34EE1493"/>
    <w:rsid w:val="34F1DD46"/>
    <w:rsid w:val="34F27BCF"/>
    <w:rsid w:val="34F613CE"/>
    <w:rsid w:val="34F706E7"/>
    <w:rsid w:val="34FB4326"/>
    <w:rsid w:val="350AC2EF"/>
    <w:rsid w:val="35174FB7"/>
    <w:rsid w:val="35175A36"/>
    <w:rsid w:val="3542A9E8"/>
    <w:rsid w:val="3548D3B9"/>
    <w:rsid w:val="3548EFB7"/>
    <w:rsid w:val="3550685C"/>
    <w:rsid w:val="3552583F"/>
    <w:rsid w:val="355FD8AE"/>
    <w:rsid w:val="356013A2"/>
    <w:rsid w:val="3585C351"/>
    <w:rsid w:val="35917501"/>
    <w:rsid w:val="35AD7ADC"/>
    <w:rsid w:val="35B84432"/>
    <w:rsid w:val="35B9BD01"/>
    <w:rsid w:val="35BE9B1B"/>
    <w:rsid w:val="35E52F97"/>
    <w:rsid w:val="35F055D1"/>
    <w:rsid w:val="35F1090E"/>
    <w:rsid w:val="35F3B7CC"/>
    <w:rsid w:val="35FAAE32"/>
    <w:rsid w:val="3614B39A"/>
    <w:rsid w:val="361E6C92"/>
    <w:rsid w:val="3640962A"/>
    <w:rsid w:val="36460DC9"/>
    <w:rsid w:val="364A7094"/>
    <w:rsid w:val="3650305E"/>
    <w:rsid w:val="366308CB"/>
    <w:rsid w:val="3671A9DC"/>
    <w:rsid w:val="36876206"/>
    <w:rsid w:val="36C61179"/>
    <w:rsid w:val="36CBE18D"/>
    <w:rsid w:val="36DCC710"/>
    <w:rsid w:val="36E40497"/>
    <w:rsid w:val="36FA33BA"/>
    <w:rsid w:val="36FD431F"/>
    <w:rsid w:val="371BF8F9"/>
    <w:rsid w:val="372286D4"/>
    <w:rsid w:val="372387EA"/>
    <w:rsid w:val="372A7273"/>
    <w:rsid w:val="372D8681"/>
    <w:rsid w:val="3743436C"/>
    <w:rsid w:val="375C77E2"/>
    <w:rsid w:val="376BB682"/>
    <w:rsid w:val="3770ACAE"/>
    <w:rsid w:val="37732FBB"/>
    <w:rsid w:val="377A7089"/>
    <w:rsid w:val="377EE7B7"/>
    <w:rsid w:val="3790D736"/>
    <w:rsid w:val="379B3239"/>
    <w:rsid w:val="37AC6D54"/>
    <w:rsid w:val="37AEB8F0"/>
    <w:rsid w:val="37BCAC76"/>
    <w:rsid w:val="37C21E1E"/>
    <w:rsid w:val="37D9C337"/>
    <w:rsid w:val="37DE6E55"/>
    <w:rsid w:val="37E10239"/>
    <w:rsid w:val="37F49886"/>
    <w:rsid w:val="37FA7E9B"/>
    <w:rsid w:val="3805EE2E"/>
    <w:rsid w:val="38073FD4"/>
    <w:rsid w:val="380DEE7B"/>
    <w:rsid w:val="382A849F"/>
    <w:rsid w:val="38359330"/>
    <w:rsid w:val="3836DE6B"/>
    <w:rsid w:val="3837E30E"/>
    <w:rsid w:val="383BFCAE"/>
    <w:rsid w:val="383D0EEB"/>
    <w:rsid w:val="384AE9A7"/>
    <w:rsid w:val="385C5F11"/>
    <w:rsid w:val="38667EC6"/>
    <w:rsid w:val="3870E381"/>
    <w:rsid w:val="38753383"/>
    <w:rsid w:val="387670FF"/>
    <w:rsid w:val="387FE783"/>
    <w:rsid w:val="3883E138"/>
    <w:rsid w:val="38AB427E"/>
    <w:rsid w:val="38AF30AC"/>
    <w:rsid w:val="38BE72B2"/>
    <w:rsid w:val="38CFB766"/>
    <w:rsid w:val="38D62758"/>
    <w:rsid w:val="38E0BAB8"/>
    <w:rsid w:val="38F41241"/>
    <w:rsid w:val="38FEFC48"/>
    <w:rsid w:val="3902519C"/>
    <w:rsid w:val="3927DD4C"/>
    <w:rsid w:val="392F2DDB"/>
    <w:rsid w:val="39317860"/>
    <w:rsid w:val="393797BC"/>
    <w:rsid w:val="3948115A"/>
    <w:rsid w:val="394F499B"/>
    <w:rsid w:val="394F9EC0"/>
    <w:rsid w:val="39549563"/>
    <w:rsid w:val="39728626"/>
    <w:rsid w:val="397EDA30"/>
    <w:rsid w:val="398AF40A"/>
    <w:rsid w:val="399B449F"/>
    <w:rsid w:val="39A07C8E"/>
    <w:rsid w:val="39A3FB23"/>
    <w:rsid w:val="39AABA51"/>
    <w:rsid w:val="39B971C5"/>
    <w:rsid w:val="39C59341"/>
    <w:rsid w:val="39CD7757"/>
    <w:rsid w:val="39E5B97B"/>
    <w:rsid w:val="39EFF756"/>
    <w:rsid w:val="39F1C277"/>
    <w:rsid w:val="39F4D9AB"/>
    <w:rsid w:val="39FFDC5F"/>
    <w:rsid w:val="3A015CC1"/>
    <w:rsid w:val="3A07F5B4"/>
    <w:rsid w:val="3A08E119"/>
    <w:rsid w:val="3A23A3ED"/>
    <w:rsid w:val="3A56FC0C"/>
    <w:rsid w:val="3A64DB0C"/>
    <w:rsid w:val="3A695E9F"/>
    <w:rsid w:val="3A887EE9"/>
    <w:rsid w:val="3A8B4652"/>
    <w:rsid w:val="3A8F7BFF"/>
    <w:rsid w:val="3AAB4EF4"/>
    <w:rsid w:val="3AC3A4A5"/>
    <w:rsid w:val="3AD4DE56"/>
    <w:rsid w:val="3AECEA7D"/>
    <w:rsid w:val="3AFA8F20"/>
    <w:rsid w:val="3B0FAFDA"/>
    <w:rsid w:val="3B1F627E"/>
    <w:rsid w:val="3B28ABE8"/>
    <w:rsid w:val="3B291245"/>
    <w:rsid w:val="3B2EE61D"/>
    <w:rsid w:val="3B3A6182"/>
    <w:rsid w:val="3B75F1C7"/>
    <w:rsid w:val="3B94B95B"/>
    <w:rsid w:val="3B94F4AF"/>
    <w:rsid w:val="3BA4FBAB"/>
    <w:rsid w:val="3BA7996C"/>
    <w:rsid w:val="3BAC0527"/>
    <w:rsid w:val="3BB111D1"/>
    <w:rsid w:val="3BB41CB4"/>
    <w:rsid w:val="3BBA3D08"/>
    <w:rsid w:val="3BBAE73C"/>
    <w:rsid w:val="3BBE795E"/>
    <w:rsid w:val="3BCEB761"/>
    <w:rsid w:val="3BE15900"/>
    <w:rsid w:val="3BE52923"/>
    <w:rsid w:val="3BEDD21A"/>
    <w:rsid w:val="3BF272DF"/>
    <w:rsid w:val="3BFB5972"/>
    <w:rsid w:val="3C0246AC"/>
    <w:rsid w:val="3C127A19"/>
    <w:rsid w:val="3C1E0F07"/>
    <w:rsid w:val="3C1E4690"/>
    <w:rsid w:val="3C28BFC5"/>
    <w:rsid w:val="3C367CE1"/>
    <w:rsid w:val="3C3BA292"/>
    <w:rsid w:val="3C41E257"/>
    <w:rsid w:val="3C4656F5"/>
    <w:rsid w:val="3C5B0371"/>
    <w:rsid w:val="3C6318A0"/>
    <w:rsid w:val="3C652992"/>
    <w:rsid w:val="3C7656D7"/>
    <w:rsid w:val="3C8F71BB"/>
    <w:rsid w:val="3C921D2E"/>
    <w:rsid w:val="3CB222C9"/>
    <w:rsid w:val="3CBAA2E0"/>
    <w:rsid w:val="3CBCEA9C"/>
    <w:rsid w:val="3CDE2B9F"/>
    <w:rsid w:val="3CE9B78F"/>
    <w:rsid w:val="3CF7CE53"/>
    <w:rsid w:val="3D017987"/>
    <w:rsid w:val="3D01F387"/>
    <w:rsid w:val="3D1BC6E4"/>
    <w:rsid w:val="3D225E74"/>
    <w:rsid w:val="3D339652"/>
    <w:rsid w:val="3D3A7625"/>
    <w:rsid w:val="3D3EC63A"/>
    <w:rsid w:val="3D42F699"/>
    <w:rsid w:val="3D544BE5"/>
    <w:rsid w:val="3D6258DB"/>
    <w:rsid w:val="3D69FEBE"/>
    <w:rsid w:val="3D7A243E"/>
    <w:rsid w:val="3D7F976B"/>
    <w:rsid w:val="3DBB411B"/>
    <w:rsid w:val="3DDB3B39"/>
    <w:rsid w:val="3DE60E6E"/>
    <w:rsid w:val="3DEA11BB"/>
    <w:rsid w:val="3DEDC2A2"/>
    <w:rsid w:val="3E062166"/>
    <w:rsid w:val="3E0C2F98"/>
    <w:rsid w:val="3E4F806C"/>
    <w:rsid w:val="3E529423"/>
    <w:rsid w:val="3E651502"/>
    <w:rsid w:val="3E69D458"/>
    <w:rsid w:val="3E7593DA"/>
    <w:rsid w:val="3E7D029C"/>
    <w:rsid w:val="3E7EC9CD"/>
    <w:rsid w:val="3E9DBA04"/>
    <w:rsid w:val="3EA5042E"/>
    <w:rsid w:val="3EA82F98"/>
    <w:rsid w:val="3EBB30F0"/>
    <w:rsid w:val="3EC7B19C"/>
    <w:rsid w:val="3EDB3399"/>
    <w:rsid w:val="3EE9714F"/>
    <w:rsid w:val="3EF4D23E"/>
    <w:rsid w:val="3EFDA568"/>
    <w:rsid w:val="3EFF6427"/>
    <w:rsid w:val="3F068224"/>
    <w:rsid w:val="3F296B9D"/>
    <w:rsid w:val="3F2C4DE3"/>
    <w:rsid w:val="3F2FD4FA"/>
    <w:rsid w:val="3F4187BD"/>
    <w:rsid w:val="3F4FB862"/>
    <w:rsid w:val="3F539E98"/>
    <w:rsid w:val="3F57753B"/>
    <w:rsid w:val="3F69B176"/>
    <w:rsid w:val="3F6F1BFC"/>
    <w:rsid w:val="3F7ABC09"/>
    <w:rsid w:val="3F9DA7DB"/>
    <w:rsid w:val="3FA09E26"/>
    <w:rsid w:val="3FA26AFC"/>
    <w:rsid w:val="3FA86151"/>
    <w:rsid w:val="3FAE4C05"/>
    <w:rsid w:val="3FB7EE90"/>
    <w:rsid w:val="3FB891DF"/>
    <w:rsid w:val="3FBAEDA7"/>
    <w:rsid w:val="3FBF1D05"/>
    <w:rsid w:val="3FC8B001"/>
    <w:rsid w:val="3FC92CD7"/>
    <w:rsid w:val="3FDA3EAE"/>
    <w:rsid w:val="3FE2D632"/>
    <w:rsid w:val="3FE493CD"/>
    <w:rsid w:val="3FE548AD"/>
    <w:rsid w:val="3FF793B8"/>
    <w:rsid w:val="3FF89573"/>
    <w:rsid w:val="40080557"/>
    <w:rsid w:val="402C8E3E"/>
    <w:rsid w:val="403074D4"/>
    <w:rsid w:val="4034F74C"/>
    <w:rsid w:val="4035BACA"/>
    <w:rsid w:val="4044A217"/>
    <w:rsid w:val="4047FC00"/>
    <w:rsid w:val="404B3ED8"/>
    <w:rsid w:val="404D2A7D"/>
    <w:rsid w:val="40517A23"/>
    <w:rsid w:val="4056764D"/>
    <w:rsid w:val="40586A60"/>
    <w:rsid w:val="4066C28E"/>
    <w:rsid w:val="407481BF"/>
    <w:rsid w:val="407745B7"/>
    <w:rsid w:val="407745E8"/>
    <w:rsid w:val="40833681"/>
    <w:rsid w:val="40840364"/>
    <w:rsid w:val="408CDFCF"/>
    <w:rsid w:val="409DDF46"/>
    <w:rsid w:val="409FE98E"/>
    <w:rsid w:val="40A8D6B3"/>
    <w:rsid w:val="40AE8FA0"/>
    <w:rsid w:val="40AF4DF7"/>
    <w:rsid w:val="40B03943"/>
    <w:rsid w:val="40D3B2EB"/>
    <w:rsid w:val="40DEDF8E"/>
    <w:rsid w:val="40F31F6E"/>
    <w:rsid w:val="40FCD137"/>
    <w:rsid w:val="4100AD32"/>
    <w:rsid w:val="4119E1A5"/>
    <w:rsid w:val="412786E2"/>
    <w:rsid w:val="413A332A"/>
    <w:rsid w:val="4142E3B5"/>
    <w:rsid w:val="41784965"/>
    <w:rsid w:val="417C8B15"/>
    <w:rsid w:val="41854C48"/>
    <w:rsid w:val="4187B7AB"/>
    <w:rsid w:val="41964BE4"/>
    <w:rsid w:val="41A8D673"/>
    <w:rsid w:val="41B88717"/>
    <w:rsid w:val="41C1C87E"/>
    <w:rsid w:val="41C69D36"/>
    <w:rsid w:val="41CD17C5"/>
    <w:rsid w:val="41D383BE"/>
    <w:rsid w:val="41D8FF63"/>
    <w:rsid w:val="41DF5FEF"/>
    <w:rsid w:val="41F11BF7"/>
    <w:rsid w:val="41F21959"/>
    <w:rsid w:val="41FAFD08"/>
    <w:rsid w:val="41FD1353"/>
    <w:rsid w:val="4200270D"/>
    <w:rsid w:val="421C823D"/>
    <w:rsid w:val="421E9692"/>
    <w:rsid w:val="423B009F"/>
    <w:rsid w:val="4244E46B"/>
    <w:rsid w:val="424A3F7E"/>
    <w:rsid w:val="424A7174"/>
    <w:rsid w:val="425C0011"/>
    <w:rsid w:val="425CF2BD"/>
    <w:rsid w:val="4264E3A7"/>
    <w:rsid w:val="4269B4D2"/>
    <w:rsid w:val="4289D3DA"/>
    <w:rsid w:val="428AE1D4"/>
    <w:rsid w:val="42918C10"/>
    <w:rsid w:val="4299342D"/>
    <w:rsid w:val="42AC1DCC"/>
    <w:rsid w:val="42B61D10"/>
    <w:rsid w:val="42B96B70"/>
    <w:rsid w:val="42C31E1A"/>
    <w:rsid w:val="42C74586"/>
    <w:rsid w:val="42EBE0EB"/>
    <w:rsid w:val="42F154D6"/>
    <w:rsid w:val="42FBFE33"/>
    <w:rsid w:val="42FE6A60"/>
    <w:rsid w:val="431BCF30"/>
    <w:rsid w:val="432A71E7"/>
    <w:rsid w:val="432B8C9F"/>
    <w:rsid w:val="4338403A"/>
    <w:rsid w:val="4339AD51"/>
    <w:rsid w:val="434BD8CC"/>
    <w:rsid w:val="435141C3"/>
    <w:rsid w:val="435F6EF9"/>
    <w:rsid w:val="437D5B0D"/>
    <w:rsid w:val="439B0B86"/>
    <w:rsid w:val="43A0EC62"/>
    <w:rsid w:val="43A69A20"/>
    <w:rsid w:val="43AD54E1"/>
    <w:rsid w:val="43B936A7"/>
    <w:rsid w:val="43BA242B"/>
    <w:rsid w:val="43C46AA8"/>
    <w:rsid w:val="43D42DF5"/>
    <w:rsid w:val="43D478BD"/>
    <w:rsid w:val="43DC6681"/>
    <w:rsid w:val="43DF7918"/>
    <w:rsid w:val="43E09015"/>
    <w:rsid w:val="43FB8B1A"/>
    <w:rsid w:val="43FC160A"/>
    <w:rsid w:val="43FE7395"/>
    <w:rsid w:val="43FF4EBE"/>
    <w:rsid w:val="440D1F88"/>
    <w:rsid w:val="4425CE5E"/>
    <w:rsid w:val="4439A7C9"/>
    <w:rsid w:val="445063BD"/>
    <w:rsid w:val="44560AC5"/>
    <w:rsid w:val="4461064A"/>
    <w:rsid w:val="44708D84"/>
    <w:rsid w:val="44728C43"/>
    <w:rsid w:val="44752786"/>
    <w:rsid w:val="448D1F37"/>
    <w:rsid w:val="448D8F08"/>
    <w:rsid w:val="448DC21D"/>
    <w:rsid w:val="448EA90B"/>
    <w:rsid w:val="44965AB4"/>
    <w:rsid w:val="44AB616D"/>
    <w:rsid w:val="44C87A8C"/>
    <w:rsid w:val="44CA8B3A"/>
    <w:rsid w:val="44DF2BFE"/>
    <w:rsid w:val="44E0B909"/>
    <w:rsid w:val="44E82A25"/>
    <w:rsid w:val="44F1D87A"/>
    <w:rsid w:val="44F6C31B"/>
    <w:rsid w:val="44FE39FD"/>
    <w:rsid w:val="4517F1DE"/>
    <w:rsid w:val="451B5C45"/>
    <w:rsid w:val="452A4DB1"/>
    <w:rsid w:val="452CB7CA"/>
    <w:rsid w:val="4534F4AE"/>
    <w:rsid w:val="453E791F"/>
    <w:rsid w:val="455E41BE"/>
    <w:rsid w:val="455FBA94"/>
    <w:rsid w:val="45608B60"/>
    <w:rsid w:val="4569C0C9"/>
    <w:rsid w:val="4573128B"/>
    <w:rsid w:val="457F4B99"/>
    <w:rsid w:val="458183BE"/>
    <w:rsid w:val="459B487E"/>
    <w:rsid w:val="45A4EA65"/>
    <w:rsid w:val="45AC33FB"/>
    <w:rsid w:val="45B0A78A"/>
    <w:rsid w:val="45B65DC7"/>
    <w:rsid w:val="45D83E6F"/>
    <w:rsid w:val="45DE728A"/>
    <w:rsid w:val="45E9B193"/>
    <w:rsid w:val="45E9B33D"/>
    <w:rsid w:val="45FE9FEB"/>
    <w:rsid w:val="4603569D"/>
    <w:rsid w:val="46203CF4"/>
    <w:rsid w:val="4626A101"/>
    <w:rsid w:val="462B52BB"/>
    <w:rsid w:val="462BFD6D"/>
    <w:rsid w:val="462D6C91"/>
    <w:rsid w:val="46300B05"/>
    <w:rsid w:val="463230F3"/>
    <w:rsid w:val="463427B4"/>
    <w:rsid w:val="463CCF76"/>
    <w:rsid w:val="463F4431"/>
    <w:rsid w:val="464A7FE3"/>
    <w:rsid w:val="465F2307"/>
    <w:rsid w:val="46608A16"/>
    <w:rsid w:val="466FB673"/>
    <w:rsid w:val="4678B25E"/>
    <w:rsid w:val="468575EE"/>
    <w:rsid w:val="4689A6E9"/>
    <w:rsid w:val="468D6DAE"/>
    <w:rsid w:val="469AEC3F"/>
    <w:rsid w:val="469FE37A"/>
    <w:rsid w:val="46A941E2"/>
    <w:rsid w:val="46C73BB2"/>
    <w:rsid w:val="46CE6D7C"/>
    <w:rsid w:val="46D60F1F"/>
    <w:rsid w:val="46E26D94"/>
    <w:rsid w:val="46E5EE9D"/>
    <w:rsid w:val="46EDB158"/>
    <w:rsid w:val="46FBC4EC"/>
    <w:rsid w:val="4704E471"/>
    <w:rsid w:val="4709F77A"/>
    <w:rsid w:val="470CD831"/>
    <w:rsid w:val="470CD8D2"/>
    <w:rsid w:val="471CE5AE"/>
    <w:rsid w:val="472D879B"/>
    <w:rsid w:val="474A4468"/>
    <w:rsid w:val="474CBCF0"/>
    <w:rsid w:val="47500765"/>
    <w:rsid w:val="476728EC"/>
    <w:rsid w:val="4767C010"/>
    <w:rsid w:val="476D1ACF"/>
    <w:rsid w:val="4778ED62"/>
    <w:rsid w:val="478405F7"/>
    <w:rsid w:val="478CD99C"/>
    <w:rsid w:val="478FB8D6"/>
    <w:rsid w:val="479204BB"/>
    <w:rsid w:val="479C00E7"/>
    <w:rsid w:val="47A7755F"/>
    <w:rsid w:val="47AD1F41"/>
    <w:rsid w:val="47BD4B43"/>
    <w:rsid w:val="47C89B92"/>
    <w:rsid w:val="47CB12EE"/>
    <w:rsid w:val="47DC8844"/>
    <w:rsid w:val="47E00372"/>
    <w:rsid w:val="47E3599F"/>
    <w:rsid w:val="47EDE188"/>
    <w:rsid w:val="47F87870"/>
    <w:rsid w:val="48043863"/>
    <w:rsid w:val="4827AEDB"/>
    <w:rsid w:val="4830304B"/>
    <w:rsid w:val="48369470"/>
    <w:rsid w:val="4837E888"/>
    <w:rsid w:val="48654671"/>
    <w:rsid w:val="486968C1"/>
    <w:rsid w:val="48707D67"/>
    <w:rsid w:val="488EA349"/>
    <w:rsid w:val="489DD273"/>
    <w:rsid w:val="48B5E561"/>
    <w:rsid w:val="48B73227"/>
    <w:rsid w:val="48B84FB3"/>
    <w:rsid w:val="48C4F963"/>
    <w:rsid w:val="48C606CB"/>
    <w:rsid w:val="48CBD413"/>
    <w:rsid w:val="48D146AA"/>
    <w:rsid w:val="48EBBA0E"/>
    <w:rsid w:val="48EBFB18"/>
    <w:rsid w:val="48ED2534"/>
    <w:rsid w:val="490B33B7"/>
    <w:rsid w:val="491BB98F"/>
    <w:rsid w:val="492BAFE7"/>
    <w:rsid w:val="4941FA31"/>
    <w:rsid w:val="4955C867"/>
    <w:rsid w:val="497342F4"/>
    <w:rsid w:val="49899A17"/>
    <w:rsid w:val="4995BAFF"/>
    <w:rsid w:val="49AE3727"/>
    <w:rsid w:val="49BEEC86"/>
    <w:rsid w:val="49C5E754"/>
    <w:rsid w:val="49D4FF56"/>
    <w:rsid w:val="49D5F194"/>
    <w:rsid w:val="49DA9732"/>
    <w:rsid w:val="49EB7E23"/>
    <w:rsid w:val="49FE90FF"/>
    <w:rsid w:val="4A018AA5"/>
    <w:rsid w:val="4A08138B"/>
    <w:rsid w:val="4A124F5B"/>
    <w:rsid w:val="4A1C95DC"/>
    <w:rsid w:val="4A2B7DED"/>
    <w:rsid w:val="4A2D0FE5"/>
    <w:rsid w:val="4A3F7669"/>
    <w:rsid w:val="4A5E0C39"/>
    <w:rsid w:val="4A60D605"/>
    <w:rsid w:val="4A77BCE0"/>
    <w:rsid w:val="4A7B1379"/>
    <w:rsid w:val="4A867D58"/>
    <w:rsid w:val="4A903DA2"/>
    <w:rsid w:val="4A93F8A6"/>
    <w:rsid w:val="4AAD2B4C"/>
    <w:rsid w:val="4AC35B94"/>
    <w:rsid w:val="4AE339C0"/>
    <w:rsid w:val="4AE74249"/>
    <w:rsid w:val="4AE7C31B"/>
    <w:rsid w:val="4AF2EFD3"/>
    <w:rsid w:val="4B118F64"/>
    <w:rsid w:val="4B1D7FDA"/>
    <w:rsid w:val="4B1FCB49"/>
    <w:rsid w:val="4B2D98E6"/>
    <w:rsid w:val="4B311CCA"/>
    <w:rsid w:val="4B3F729C"/>
    <w:rsid w:val="4B4D70F0"/>
    <w:rsid w:val="4B743CAF"/>
    <w:rsid w:val="4B8FD976"/>
    <w:rsid w:val="4B9A9892"/>
    <w:rsid w:val="4B9EBADF"/>
    <w:rsid w:val="4BA59D19"/>
    <w:rsid w:val="4BACDF98"/>
    <w:rsid w:val="4BB984D0"/>
    <w:rsid w:val="4BBFE4EE"/>
    <w:rsid w:val="4BC12620"/>
    <w:rsid w:val="4BC1CD5F"/>
    <w:rsid w:val="4BCA091C"/>
    <w:rsid w:val="4BDAC650"/>
    <w:rsid w:val="4BE724A8"/>
    <w:rsid w:val="4BEA6D07"/>
    <w:rsid w:val="4BED2DD2"/>
    <w:rsid w:val="4C20B9A4"/>
    <w:rsid w:val="4C260452"/>
    <w:rsid w:val="4C386F24"/>
    <w:rsid w:val="4C53F247"/>
    <w:rsid w:val="4C75B8ED"/>
    <w:rsid w:val="4C7C606F"/>
    <w:rsid w:val="4C843B37"/>
    <w:rsid w:val="4C96C5D9"/>
    <w:rsid w:val="4C9C47AE"/>
    <w:rsid w:val="4CA0E85B"/>
    <w:rsid w:val="4CA3C12B"/>
    <w:rsid w:val="4CC232EF"/>
    <w:rsid w:val="4CCDE8C5"/>
    <w:rsid w:val="4CF829C0"/>
    <w:rsid w:val="4D14D7E9"/>
    <w:rsid w:val="4D2EA928"/>
    <w:rsid w:val="4D2FFEEA"/>
    <w:rsid w:val="4D3E78AF"/>
    <w:rsid w:val="4D40D3CF"/>
    <w:rsid w:val="4D4C02FE"/>
    <w:rsid w:val="4D613467"/>
    <w:rsid w:val="4D713C3A"/>
    <w:rsid w:val="4D727687"/>
    <w:rsid w:val="4D78D981"/>
    <w:rsid w:val="4D7EBF05"/>
    <w:rsid w:val="4D89AD37"/>
    <w:rsid w:val="4D8CB314"/>
    <w:rsid w:val="4D942194"/>
    <w:rsid w:val="4D9674E4"/>
    <w:rsid w:val="4DA85178"/>
    <w:rsid w:val="4DA99473"/>
    <w:rsid w:val="4DAE1FBD"/>
    <w:rsid w:val="4DB22BC2"/>
    <w:rsid w:val="4DB9735B"/>
    <w:rsid w:val="4DC04799"/>
    <w:rsid w:val="4DC4A24F"/>
    <w:rsid w:val="4DDCAC13"/>
    <w:rsid w:val="4DE337F8"/>
    <w:rsid w:val="4DEFE03C"/>
    <w:rsid w:val="4DF0FBF9"/>
    <w:rsid w:val="4DF572BB"/>
    <w:rsid w:val="4E195AAF"/>
    <w:rsid w:val="4E1AF469"/>
    <w:rsid w:val="4E39F732"/>
    <w:rsid w:val="4E484D8E"/>
    <w:rsid w:val="4E5309E8"/>
    <w:rsid w:val="4E593225"/>
    <w:rsid w:val="4E5E6A53"/>
    <w:rsid w:val="4E6A7A54"/>
    <w:rsid w:val="4E7058C2"/>
    <w:rsid w:val="4E7854B2"/>
    <w:rsid w:val="4E7CD948"/>
    <w:rsid w:val="4E844208"/>
    <w:rsid w:val="4E90A5CD"/>
    <w:rsid w:val="4E913AC5"/>
    <w:rsid w:val="4EA5ABC0"/>
    <w:rsid w:val="4EA7C1CC"/>
    <w:rsid w:val="4EA95BAE"/>
    <w:rsid w:val="4EB11F93"/>
    <w:rsid w:val="4EB463A9"/>
    <w:rsid w:val="4EC1DCD2"/>
    <w:rsid w:val="4EDF0EB9"/>
    <w:rsid w:val="4EE01AF5"/>
    <w:rsid w:val="4F1AB9AE"/>
    <w:rsid w:val="4F1F549F"/>
    <w:rsid w:val="4F23EB3D"/>
    <w:rsid w:val="4F2B4BEC"/>
    <w:rsid w:val="4F54B94D"/>
    <w:rsid w:val="4F55F4D7"/>
    <w:rsid w:val="4F566D4A"/>
    <w:rsid w:val="4F636CA3"/>
    <w:rsid w:val="4F649CC2"/>
    <w:rsid w:val="4F6CA982"/>
    <w:rsid w:val="4F716317"/>
    <w:rsid w:val="4F73FFAE"/>
    <w:rsid w:val="4F7496BF"/>
    <w:rsid w:val="4F7965E7"/>
    <w:rsid w:val="4F9B0B4A"/>
    <w:rsid w:val="4FAB7C3B"/>
    <w:rsid w:val="4FABF89B"/>
    <w:rsid w:val="4FAD9F0E"/>
    <w:rsid w:val="4FC6A2D0"/>
    <w:rsid w:val="4FC9BF02"/>
    <w:rsid w:val="4FDCDC77"/>
    <w:rsid w:val="4FE2A1AA"/>
    <w:rsid w:val="4FEFA018"/>
    <w:rsid w:val="4FFC7A2F"/>
    <w:rsid w:val="500EEBCC"/>
    <w:rsid w:val="50160473"/>
    <w:rsid w:val="502D1884"/>
    <w:rsid w:val="5049381B"/>
    <w:rsid w:val="5057F4B6"/>
    <w:rsid w:val="50602B6C"/>
    <w:rsid w:val="5060A258"/>
    <w:rsid w:val="5069DBAF"/>
    <w:rsid w:val="506E574E"/>
    <w:rsid w:val="5072F341"/>
    <w:rsid w:val="507565D1"/>
    <w:rsid w:val="50A8843D"/>
    <w:rsid w:val="50A9075B"/>
    <w:rsid w:val="50D60F51"/>
    <w:rsid w:val="50DA5362"/>
    <w:rsid w:val="50E8EEC4"/>
    <w:rsid w:val="50F6B6EF"/>
    <w:rsid w:val="5109385D"/>
    <w:rsid w:val="510B97B5"/>
    <w:rsid w:val="5117C967"/>
    <w:rsid w:val="512B4C62"/>
    <w:rsid w:val="512B9F02"/>
    <w:rsid w:val="51373C71"/>
    <w:rsid w:val="51390B02"/>
    <w:rsid w:val="5143E929"/>
    <w:rsid w:val="514BF5D6"/>
    <w:rsid w:val="516560D5"/>
    <w:rsid w:val="516C54B8"/>
    <w:rsid w:val="51898DB9"/>
    <w:rsid w:val="51BC2663"/>
    <w:rsid w:val="51C3EAAB"/>
    <w:rsid w:val="51C608CE"/>
    <w:rsid w:val="51CF82E5"/>
    <w:rsid w:val="51CFDC8D"/>
    <w:rsid w:val="51D2EF46"/>
    <w:rsid w:val="51D88632"/>
    <w:rsid w:val="51DC9C5C"/>
    <w:rsid w:val="51E128E7"/>
    <w:rsid w:val="51E560E5"/>
    <w:rsid w:val="51F1E454"/>
    <w:rsid w:val="51F73AF0"/>
    <w:rsid w:val="51F8E585"/>
    <w:rsid w:val="5201B2CA"/>
    <w:rsid w:val="520E0D90"/>
    <w:rsid w:val="5212A436"/>
    <w:rsid w:val="521B0C65"/>
    <w:rsid w:val="521F6AE4"/>
    <w:rsid w:val="526B71BC"/>
    <w:rsid w:val="527027D2"/>
    <w:rsid w:val="527A2BCE"/>
    <w:rsid w:val="52848967"/>
    <w:rsid w:val="528E2F47"/>
    <w:rsid w:val="5291DED4"/>
    <w:rsid w:val="529D2D78"/>
    <w:rsid w:val="52B3D8A9"/>
    <w:rsid w:val="52C8B7A5"/>
    <w:rsid w:val="52D3E231"/>
    <w:rsid w:val="52E2F3E5"/>
    <w:rsid w:val="52E87157"/>
    <w:rsid w:val="52EB7F16"/>
    <w:rsid w:val="52EE7DEA"/>
    <w:rsid w:val="52FA7363"/>
    <w:rsid w:val="53043B79"/>
    <w:rsid w:val="5315DDDF"/>
    <w:rsid w:val="531B4D51"/>
    <w:rsid w:val="531DD410"/>
    <w:rsid w:val="53247790"/>
    <w:rsid w:val="532803F4"/>
    <w:rsid w:val="53289F7A"/>
    <w:rsid w:val="534AF6D8"/>
    <w:rsid w:val="536A7D83"/>
    <w:rsid w:val="536C0BDC"/>
    <w:rsid w:val="536CD64D"/>
    <w:rsid w:val="53949732"/>
    <w:rsid w:val="539AEC6F"/>
    <w:rsid w:val="53AEF1ED"/>
    <w:rsid w:val="53B3253A"/>
    <w:rsid w:val="53B41809"/>
    <w:rsid w:val="53E166DE"/>
    <w:rsid w:val="53E76936"/>
    <w:rsid w:val="53E90CF6"/>
    <w:rsid w:val="53FF79EF"/>
    <w:rsid w:val="5402498E"/>
    <w:rsid w:val="54043444"/>
    <w:rsid w:val="541C0BC3"/>
    <w:rsid w:val="54266A67"/>
    <w:rsid w:val="54289505"/>
    <w:rsid w:val="54388C04"/>
    <w:rsid w:val="54455DEF"/>
    <w:rsid w:val="544C8403"/>
    <w:rsid w:val="544E9066"/>
    <w:rsid w:val="544EBE49"/>
    <w:rsid w:val="544FADBF"/>
    <w:rsid w:val="54501C0F"/>
    <w:rsid w:val="54539D57"/>
    <w:rsid w:val="5458C0C1"/>
    <w:rsid w:val="545F0F25"/>
    <w:rsid w:val="546F4CF9"/>
    <w:rsid w:val="547D265C"/>
    <w:rsid w:val="5481A4B2"/>
    <w:rsid w:val="5482B36A"/>
    <w:rsid w:val="5482F935"/>
    <w:rsid w:val="5485C5A3"/>
    <w:rsid w:val="5499064E"/>
    <w:rsid w:val="549A7551"/>
    <w:rsid w:val="549B5FEC"/>
    <w:rsid w:val="54CC56B6"/>
    <w:rsid w:val="54E55260"/>
    <w:rsid w:val="54F21A7C"/>
    <w:rsid w:val="54FCD202"/>
    <w:rsid w:val="550999E0"/>
    <w:rsid w:val="550DD227"/>
    <w:rsid w:val="5513DC9B"/>
    <w:rsid w:val="55147202"/>
    <w:rsid w:val="551E2313"/>
    <w:rsid w:val="552B4AFB"/>
    <w:rsid w:val="552D074B"/>
    <w:rsid w:val="5536D2A3"/>
    <w:rsid w:val="553E4E43"/>
    <w:rsid w:val="554092F3"/>
    <w:rsid w:val="554CD67D"/>
    <w:rsid w:val="554CF208"/>
    <w:rsid w:val="5557551C"/>
    <w:rsid w:val="55575D98"/>
    <w:rsid w:val="556F09CD"/>
    <w:rsid w:val="5591DE4D"/>
    <w:rsid w:val="55966C07"/>
    <w:rsid w:val="559AB91D"/>
    <w:rsid w:val="559F8B0E"/>
    <w:rsid w:val="55A3B9AD"/>
    <w:rsid w:val="55B1A034"/>
    <w:rsid w:val="55C09019"/>
    <w:rsid w:val="55DA1021"/>
    <w:rsid w:val="55DA89BB"/>
    <w:rsid w:val="55FCA610"/>
    <w:rsid w:val="560337A1"/>
    <w:rsid w:val="5620B630"/>
    <w:rsid w:val="5622B01C"/>
    <w:rsid w:val="56245599"/>
    <w:rsid w:val="5635EF9F"/>
    <w:rsid w:val="5639D9F4"/>
    <w:rsid w:val="563FD557"/>
    <w:rsid w:val="564E0F5F"/>
    <w:rsid w:val="5657E119"/>
    <w:rsid w:val="565C0225"/>
    <w:rsid w:val="566624D4"/>
    <w:rsid w:val="567ADD86"/>
    <w:rsid w:val="56909062"/>
    <w:rsid w:val="569E19DC"/>
    <w:rsid w:val="56A2AA0F"/>
    <w:rsid w:val="56B4AC35"/>
    <w:rsid w:val="56B8BE6A"/>
    <w:rsid w:val="56C7C5E5"/>
    <w:rsid w:val="56C7E76B"/>
    <w:rsid w:val="56D4B9DD"/>
    <w:rsid w:val="56DA745F"/>
    <w:rsid w:val="56DE0219"/>
    <w:rsid w:val="56ECB9E7"/>
    <w:rsid w:val="56F3BFCD"/>
    <w:rsid w:val="56F95201"/>
    <w:rsid w:val="57043271"/>
    <w:rsid w:val="5735739A"/>
    <w:rsid w:val="57468F7B"/>
    <w:rsid w:val="57526AEB"/>
    <w:rsid w:val="57576838"/>
    <w:rsid w:val="576149F0"/>
    <w:rsid w:val="576FC67D"/>
    <w:rsid w:val="57A61160"/>
    <w:rsid w:val="57AAC11D"/>
    <w:rsid w:val="57AF96C6"/>
    <w:rsid w:val="57CCB067"/>
    <w:rsid w:val="57D0A440"/>
    <w:rsid w:val="57DD61CA"/>
    <w:rsid w:val="57E2CC4A"/>
    <w:rsid w:val="5834D59F"/>
    <w:rsid w:val="583A7493"/>
    <w:rsid w:val="583EC740"/>
    <w:rsid w:val="5851365E"/>
    <w:rsid w:val="585EF098"/>
    <w:rsid w:val="58623797"/>
    <w:rsid w:val="58744DB9"/>
    <w:rsid w:val="587837EA"/>
    <w:rsid w:val="587B9410"/>
    <w:rsid w:val="588718D9"/>
    <w:rsid w:val="58940D34"/>
    <w:rsid w:val="589FD776"/>
    <w:rsid w:val="58A169D7"/>
    <w:rsid w:val="58C270B7"/>
    <w:rsid w:val="58C2FCE9"/>
    <w:rsid w:val="58D2A308"/>
    <w:rsid w:val="58E31812"/>
    <w:rsid w:val="58E36D9B"/>
    <w:rsid w:val="590E836B"/>
    <w:rsid w:val="5915303A"/>
    <w:rsid w:val="591CEF06"/>
    <w:rsid w:val="5920DE45"/>
    <w:rsid w:val="5923FEBA"/>
    <w:rsid w:val="592E0F72"/>
    <w:rsid w:val="593D8903"/>
    <w:rsid w:val="5951D92A"/>
    <w:rsid w:val="59555401"/>
    <w:rsid w:val="595789C7"/>
    <w:rsid w:val="595AE1C0"/>
    <w:rsid w:val="597D50E6"/>
    <w:rsid w:val="5995CE70"/>
    <w:rsid w:val="5995ED2F"/>
    <w:rsid w:val="59998488"/>
    <w:rsid w:val="59A39A4F"/>
    <w:rsid w:val="59AADFBB"/>
    <w:rsid w:val="59B2C6CF"/>
    <w:rsid w:val="59B49F0B"/>
    <w:rsid w:val="59B5BE45"/>
    <w:rsid w:val="59BD8249"/>
    <w:rsid w:val="59F06008"/>
    <w:rsid w:val="5A013A20"/>
    <w:rsid w:val="5A13AEE0"/>
    <w:rsid w:val="5A1807EA"/>
    <w:rsid w:val="5A1F0537"/>
    <w:rsid w:val="5A31DA6C"/>
    <w:rsid w:val="5A38B333"/>
    <w:rsid w:val="5A439815"/>
    <w:rsid w:val="5A4D4070"/>
    <w:rsid w:val="5A5F83C3"/>
    <w:rsid w:val="5A6A2E15"/>
    <w:rsid w:val="5A6FDEC5"/>
    <w:rsid w:val="5A7A3469"/>
    <w:rsid w:val="5A7C5631"/>
    <w:rsid w:val="5AA7E70B"/>
    <w:rsid w:val="5AC9A4C5"/>
    <w:rsid w:val="5AD6DD88"/>
    <w:rsid w:val="5AD8E47D"/>
    <w:rsid w:val="5AF8F8EC"/>
    <w:rsid w:val="5B0BFFFB"/>
    <w:rsid w:val="5B10C8BE"/>
    <w:rsid w:val="5B161A27"/>
    <w:rsid w:val="5B1D0F54"/>
    <w:rsid w:val="5B24BFA3"/>
    <w:rsid w:val="5B279519"/>
    <w:rsid w:val="5B3FA0E6"/>
    <w:rsid w:val="5B56079E"/>
    <w:rsid w:val="5B5AE784"/>
    <w:rsid w:val="5B5AF5B7"/>
    <w:rsid w:val="5B5BD00B"/>
    <w:rsid w:val="5B6580E8"/>
    <w:rsid w:val="5B6D0DA5"/>
    <w:rsid w:val="5B70BACC"/>
    <w:rsid w:val="5B7188FA"/>
    <w:rsid w:val="5B71C1D2"/>
    <w:rsid w:val="5B75A0C6"/>
    <w:rsid w:val="5B81AA9A"/>
    <w:rsid w:val="5B8BB6B2"/>
    <w:rsid w:val="5B9161E1"/>
    <w:rsid w:val="5B942372"/>
    <w:rsid w:val="5B9627E0"/>
    <w:rsid w:val="5BC3C4C8"/>
    <w:rsid w:val="5BC952DC"/>
    <w:rsid w:val="5BD6904E"/>
    <w:rsid w:val="5BDC508B"/>
    <w:rsid w:val="5BE1325C"/>
    <w:rsid w:val="5BE17AC7"/>
    <w:rsid w:val="5BF51BEE"/>
    <w:rsid w:val="5BF5F78F"/>
    <w:rsid w:val="5C08B37A"/>
    <w:rsid w:val="5C0B4D60"/>
    <w:rsid w:val="5C15E503"/>
    <w:rsid w:val="5C1DABBF"/>
    <w:rsid w:val="5C23776B"/>
    <w:rsid w:val="5C2CD0A4"/>
    <w:rsid w:val="5C5A769D"/>
    <w:rsid w:val="5C613AAA"/>
    <w:rsid w:val="5C683860"/>
    <w:rsid w:val="5C786600"/>
    <w:rsid w:val="5C87CC2A"/>
    <w:rsid w:val="5C913B18"/>
    <w:rsid w:val="5C959ADD"/>
    <w:rsid w:val="5C999B5D"/>
    <w:rsid w:val="5C9BC34D"/>
    <w:rsid w:val="5C9E621F"/>
    <w:rsid w:val="5CB76148"/>
    <w:rsid w:val="5CB779D6"/>
    <w:rsid w:val="5CC694B6"/>
    <w:rsid w:val="5CCB9B24"/>
    <w:rsid w:val="5CD5B968"/>
    <w:rsid w:val="5CE2B8B2"/>
    <w:rsid w:val="5CEDF742"/>
    <w:rsid w:val="5CF59BFA"/>
    <w:rsid w:val="5CFA94B6"/>
    <w:rsid w:val="5CFF184F"/>
    <w:rsid w:val="5D052824"/>
    <w:rsid w:val="5D074FB2"/>
    <w:rsid w:val="5D09A926"/>
    <w:rsid w:val="5D0E82BB"/>
    <w:rsid w:val="5D10F8AC"/>
    <w:rsid w:val="5D12219D"/>
    <w:rsid w:val="5D3C48A0"/>
    <w:rsid w:val="5D3EE629"/>
    <w:rsid w:val="5D409D2A"/>
    <w:rsid w:val="5D453934"/>
    <w:rsid w:val="5D4A1352"/>
    <w:rsid w:val="5D4CE911"/>
    <w:rsid w:val="5D5159A8"/>
    <w:rsid w:val="5D616F21"/>
    <w:rsid w:val="5D70CF41"/>
    <w:rsid w:val="5D7D5781"/>
    <w:rsid w:val="5D80369A"/>
    <w:rsid w:val="5D844F39"/>
    <w:rsid w:val="5D99C58F"/>
    <w:rsid w:val="5D9F8468"/>
    <w:rsid w:val="5DA61597"/>
    <w:rsid w:val="5DAB9367"/>
    <w:rsid w:val="5DB819E9"/>
    <w:rsid w:val="5DF10B73"/>
    <w:rsid w:val="5DF4F801"/>
    <w:rsid w:val="5DF9BCD0"/>
    <w:rsid w:val="5E133E29"/>
    <w:rsid w:val="5E1C7D09"/>
    <w:rsid w:val="5E21D5E6"/>
    <w:rsid w:val="5E3698E6"/>
    <w:rsid w:val="5E4FB1C2"/>
    <w:rsid w:val="5E5A2F96"/>
    <w:rsid w:val="5E6542AA"/>
    <w:rsid w:val="5E65B6C3"/>
    <w:rsid w:val="5E7424D6"/>
    <w:rsid w:val="5E7F8066"/>
    <w:rsid w:val="5E8D98CE"/>
    <w:rsid w:val="5E912F82"/>
    <w:rsid w:val="5E9A0E01"/>
    <w:rsid w:val="5EA09F4E"/>
    <w:rsid w:val="5EA49681"/>
    <w:rsid w:val="5EA7C1E2"/>
    <w:rsid w:val="5EC79CC0"/>
    <w:rsid w:val="5ED2B435"/>
    <w:rsid w:val="5EDA8D17"/>
    <w:rsid w:val="5EDD7C20"/>
    <w:rsid w:val="5EDE5860"/>
    <w:rsid w:val="5EE262FA"/>
    <w:rsid w:val="5EEF8808"/>
    <w:rsid w:val="5F1C5EE2"/>
    <w:rsid w:val="5F25DFBE"/>
    <w:rsid w:val="5F294683"/>
    <w:rsid w:val="5F3D45C2"/>
    <w:rsid w:val="5F40F8EB"/>
    <w:rsid w:val="5F426AF4"/>
    <w:rsid w:val="5F64FA8E"/>
    <w:rsid w:val="5F6623B2"/>
    <w:rsid w:val="5F6745C6"/>
    <w:rsid w:val="5F6D16CA"/>
    <w:rsid w:val="5F6DA514"/>
    <w:rsid w:val="5F80A3ED"/>
    <w:rsid w:val="5F82A0AD"/>
    <w:rsid w:val="5F8D58F4"/>
    <w:rsid w:val="5F926CB0"/>
    <w:rsid w:val="5F99D69A"/>
    <w:rsid w:val="5FC530D4"/>
    <w:rsid w:val="5FDC80D3"/>
    <w:rsid w:val="5FDDDC24"/>
    <w:rsid w:val="5FE1A121"/>
    <w:rsid w:val="6010B37E"/>
    <w:rsid w:val="60217912"/>
    <w:rsid w:val="602A0373"/>
    <w:rsid w:val="602CDBE4"/>
    <w:rsid w:val="603B78CD"/>
    <w:rsid w:val="603E9486"/>
    <w:rsid w:val="60408988"/>
    <w:rsid w:val="6041A7C8"/>
    <w:rsid w:val="604344E5"/>
    <w:rsid w:val="6045D54A"/>
    <w:rsid w:val="6054E14C"/>
    <w:rsid w:val="60570254"/>
    <w:rsid w:val="60611E3F"/>
    <w:rsid w:val="606412AD"/>
    <w:rsid w:val="60670F41"/>
    <w:rsid w:val="606C69A5"/>
    <w:rsid w:val="606E9009"/>
    <w:rsid w:val="60764710"/>
    <w:rsid w:val="6083260E"/>
    <w:rsid w:val="608C49D8"/>
    <w:rsid w:val="6091985A"/>
    <w:rsid w:val="60925F08"/>
    <w:rsid w:val="609E1F0C"/>
    <w:rsid w:val="609E3620"/>
    <w:rsid w:val="60A01145"/>
    <w:rsid w:val="60A7AAD6"/>
    <w:rsid w:val="60CA3D05"/>
    <w:rsid w:val="60D03B05"/>
    <w:rsid w:val="60D26C66"/>
    <w:rsid w:val="60DCA62B"/>
    <w:rsid w:val="60E9D22D"/>
    <w:rsid w:val="60EFB342"/>
    <w:rsid w:val="60F4D898"/>
    <w:rsid w:val="611B234D"/>
    <w:rsid w:val="6134C44B"/>
    <w:rsid w:val="614EB119"/>
    <w:rsid w:val="6153CD9C"/>
    <w:rsid w:val="617496E6"/>
    <w:rsid w:val="6176D32B"/>
    <w:rsid w:val="6178E0A8"/>
    <w:rsid w:val="617D73F9"/>
    <w:rsid w:val="618F1946"/>
    <w:rsid w:val="61965B88"/>
    <w:rsid w:val="61AE43D4"/>
    <w:rsid w:val="61B04E05"/>
    <w:rsid w:val="61BA8C96"/>
    <w:rsid w:val="61DD66DA"/>
    <w:rsid w:val="61E66956"/>
    <w:rsid w:val="61EE0236"/>
    <w:rsid w:val="61EE1C97"/>
    <w:rsid w:val="61F735FB"/>
    <w:rsid w:val="61FF5543"/>
    <w:rsid w:val="6200F693"/>
    <w:rsid w:val="6210B43B"/>
    <w:rsid w:val="62128DE8"/>
    <w:rsid w:val="6212F619"/>
    <w:rsid w:val="6218322A"/>
    <w:rsid w:val="621BCB4B"/>
    <w:rsid w:val="622893F5"/>
    <w:rsid w:val="62401EC2"/>
    <w:rsid w:val="62487418"/>
    <w:rsid w:val="6254BBBB"/>
    <w:rsid w:val="62596A39"/>
    <w:rsid w:val="626D447C"/>
    <w:rsid w:val="6275F269"/>
    <w:rsid w:val="6282A2E3"/>
    <w:rsid w:val="628C52DC"/>
    <w:rsid w:val="628FB4F2"/>
    <w:rsid w:val="629D9419"/>
    <w:rsid w:val="62A50C74"/>
    <w:rsid w:val="62AA588A"/>
    <w:rsid w:val="62D7A2EC"/>
    <w:rsid w:val="62ED8F63"/>
    <w:rsid w:val="62F63C21"/>
    <w:rsid w:val="631AA0AB"/>
    <w:rsid w:val="63279C18"/>
    <w:rsid w:val="6331642D"/>
    <w:rsid w:val="63323C9D"/>
    <w:rsid w:val="633261EF"/>
    <w:rsid w:val="63350102"/>
    <w:rsid w:val="635020C4"/>
    <w:rsid w:val="635176B8"/>
    <w:rsid w:val="6351E2A3"/>
    <w:rsid w:val="6355AA65"/>
    <w:rsid w:val="635D29D9"/>
    <w:rsid w:val="63728499"/>
    <w:rsid w:val="63771961"/>
    <w:rsid w:val="638C3FAD"/>
    <w:rsid w:val="63C5BF06"/>
    <w:rsid w:val="63C5FAB1"/>
    <w:rsid w:val="63C66EBF"/>
    <w:rsid w:val="63CCAE9A"/>
    <w:rsid w:val="63D68B70"/>
    <w:rsid w:val="63E3A6D8"/>
    <w:rsid w:val="63F896CC"/>
    <w:rsid w:val="63F8F9BA"/>
    <w:rsid w:val="64056539"/>
    <w:rsid w:val="6418D23E"/>
    <w:rsid w:val="64321A7F"/>
    <w:rsid w:val="64360C56"/>
    <w:rsid w:val="643C2A8B"/>
    <w:rsid w:val="643E4DC7"/>
    <w:rsid w:val="643F46B0"/>
    <w:rsid w:val="6442C320"/>
    <w:rsid w:val="6443DA02"/>
    <w:rsid w:val="646A02DD"/>
    <w:rsid w:val="646CB9D9"/>
    <w:rsid w:val="646E35B8"/>
    <w:rsid w:val="647877DA"/>
    <w:rsid w:val="6484A8CF"/>
    <w:rsid w:val="648B7ED1"/>
    <w:rsid w:val="649EE413"/>
    <w:rsid w:val="64AA0E4A"/>
    <w:rsid w:val="64D061D6"/>
    <w:rsid w:val="64D9385E"/>
    <w:rsid w:val="64DEA3DE"/>
    <w:rsid w:val="650501B0"/>
    <w:rsid w:val="6515E33D"/>
    <w:rsid w:val="651EFD32"/>
    <w:rsid w:val="6526A5FE"/>
    <w:rsid w:val="6533023A"/>
    <w:rsid w:val="653353E9"/>
    <w:rsid w:val="6541B861"/>
    <w:rsid w:val="657CB7CD"/>
    <w:rsid w:val="657DAB8F"/>
    <w:rsid w:val="658FA133"/>
    <w:rsid w:val="659328D6"/>
    <w:rsid w:val="65957490"/>
    <w:rsid w:val="6596D10D"/>
    <w:rsid w:val="65982035"/>
    <w:rsid w:val="65A2031E"/>
    <w:rsid w:val="65BCFDFC"/>
    <w:rsid w:val="65DAC1F0"/>
    <w:rsid w:val="65DF89B3"/>
    <w:rsid w:val="65EA8DF4"/>
    <w:rsid w:val="65F0E030"/>
    <w:rsid w:val="65F81012"/>
    <w:rsid w:val="660BAE0B"/>
    <w:rsid w:val="660D586D"/>
    <w:rsid w:val="66137281"/>
    <w:rsid w:val="6613EFDC"/>
    <w:rsid w:val="661884B4"/>
    <w:rsid w:val="66189C6E"/>
    <w:rsid w:val="6619F7B5"/>
    <w:rsid w:val="662957F8"/>
    <w:rsid w:val="6639852A"/>
    <w:rsid w:val="6648029D"/>
    <w:rsid w:val="664C1656"/>
    <w:rsid w:val="664CE68E"/>
    <w:rsid w:val="6666E6CF"/>
    <w:rsid w:val="666BE6D2"/>
    <w:rsid w:val="666D2E8A"/>
    <w:rsid w:val="667AD59E"/>
    <w:rsid w:val="667B4D26"/>
    <w:rsid w:val="66926A5A"/>
    <w:rsid w:val="669B9EEE"/>
    <w:rsid w:val="66C70779"/>
    <w:rsid w:val="66D7F60C"/>
    <w:rsid w:val="66E84728"/>
    <w:rsid w:val="66EF86BE"/>
    <w:rsid w:val="66FB665A"/>
    <w:rsid w:val="66FE127A"/>
    <w:rsid w:val="67024EC3"/>
    <w:rsid w:val="671C7D1B"/>
    <w:rsid w:val="672E5A2A"/>
    <w:rsid w:val="67341AF6"/>
    <w:rsid w:val="67355106"/>
    <w:rsid w:val="673F9351"/>
    <w:rsid w:val="6744DBE8"/>
    <w:rsid w:val="674F6316"/>
    <w:rsid w:val="67509899"/>
    <w:rsid w:val="676344A9"/>
    <w:rsid w:val="67663BE0"/>
    <w:rsid w:val="67705C1E"/>
    <w:rsid w:val="67779635"/>
    <w:rsid w:val="677C11CA"/>
    <w:rsid w:val="677F4D03"/>
    <w:rsid w:val="67812770"/>
    <w:rsid w:val="6790F593"/>
    <w:rsid w:val="679EDCB8"/>
    <w:rsid w:val="67A32B28"/>
    <w:rsid w:val="67A43CCC"/>
    <w:rsid w:val="67A56B46"/>
    <w:rsid w:val="67B52E23"/>
    <w:rsid w:val="67C4C381"/>
    <w:rsid w:val="67CF979D"/>
    <w:rsid w:val="67CFDD84"/>
    <w:rsid w:val="67DEB84C"/>
    <w:rsid w:val="681DE9CA"/>
    <w:rsid w:val="6838AD26"/>
    <w:rsid w:val="68398E37"/>
    <w:rsid w:val="683A17BB"/>
    <w:rsid w:val="684DBA99"/>
    <w:rsid w:val="6858DF11"/>
    <w:rsid w:val="6859EEB3"/>
    <w:rsid w:val="6868E442"/>
    <w:rsid w:val="686B1E56"/>
    <w:rsid w:val="6874BFB7"/>
    <w:rsid w:val="687CC56E"/>
    <w:rsid w:val="687EC3A5"/>
    <w:rsid w:val="6897DFC7"/>
    <w:rsid w:val="68ADF016"/>
    <w:rsid w:val="68AE8172"/>
    <w:rsid w:val="68C50DE7"/>
    <w:rsid w:val="68C5B82C"/>
    <w:rsid w:val="68D7096B"/>
    <w:rsid w:val="68D86B01"/>
    <w:rsid w:val="68DF2091"/>
    <w:rsid w:val="68E0C73E"/>
    <w:rsid w:val="68F9703A"/>
    <w:rsid w:val="68F982F3"/>
    <w:rsid w:val="692ACDEC"/>
    <w:rsid w:val="6930F19F"/>
    <w:rsid w:val="6934CCA2"/>
    <w:rsid w:val="69353660"/>
    <w:rsid w:val="69363631"/>
    <w:rsid w:val="69451C10"/>
    <w:rsid w:val="694B1468"/>
    <w:rsid w:val="694CED2A"/>
    <w:rsid w:val="69617E41"/>
    <w:rsid w:val="696DFC07"/>
    <w:rsid w:val="6976E53C"/>
    <w:rsid w:val="69778587"/>
    <w:rsid w:val="697AA931"/>
    <w:rsid w:val="697BB45B"/>
    <w:rsid w:val="697F14BF"/>
    <w:rsid w:val="697F54BB"/>
    <w:rsid w:val="6992498C"/>
    <w:rsid w:val="6999DA4E"/>
    <w:rsid w:val="69AE5EEA"/>
    <w:rsid w:val="69AF1760"/>
    <w:rsid w:val="69B51B86"/>
    <w:rsid w:val="69B6C51B"/>
    <w:rsid w:val="69BA4A94"/>
    <w:rsid w:val="69CBD5CB"/>
    <w:rsid w:val="69D7C1FC"/>
    <w:rsid w:val="69D9390A"/>
    <w:rsid w:val="69DD1C18"/>
    <w:rsid w:val="69DE835C"/>
    <w:rsid w:val="69E6FB6A"/>
    <w:rsid w:val="69EFFC1C"/>
    <w:rsid w:val="69F4500D"/>
    <w:rsid w:val="6A2311EF"/>
    <w:rsid w:val="6A2BE2D2"/>
    <w:rsid w:val="6A2E179F"/>
    <w:rsid w:val="6A379E12"/>
    <w:rsid w:val="6A3D5130"/>
    <w:rsid w:val="6A49B160"/>
    <w:rsid w:val="6A50E0FB"/>
    <w:rsid w:val="6A577011"/>
    <w:rsid w:val="6A600BB6"/>
    <w:rsid w:val="6A6626CF"/>
    <w:rsid w:val="6A70CF4A"/>
    <w:rsid w:val="6A74896A"/>
    <w:rsid w:val="6A881A60"/>
    <w:rsid w:val="6A8963BC"/>
    <w:rsid w:val="6A89AB93"/>
    <w:rsid w:val="6AA9809E"/>
    <w:rsid w:val="6AB7A8B6"/>
    <w:rsid w:val="6AC1DA93"/>
    <w:rsid w:val="6AC42BEF"/>
    <w:rsid w:val="6AD1CFB8"/>
    <w:rsid w:val="6AD6FB4D"/>
    <w:rsid w:val="6AE7AF83"/>
    <w:rsid w:val="6AF64FD7"/>
    <w:rsid w:val="6B1325B0"/>
    <w:rsid w:val="6B19273A"/>
    <w:rsid w:val="6B2A738D"/>
    <w:rsid w:val="6B2F7EA6"/>
    <w:rsid w:val="6B3F70E9"/>
    <w:rsid w:val="6B71E4F2"/>
    <w:rsid w:val="6B852C02"/>
    <w:rsid w:val="6B8BB578"/>
    <w:rsid w:val="6B9370D8"/>
    <w:rsid w:val="6B985C78"/>
    <w:rsid w:val="6BA40C7A"/>
    <w:rsid w:val="6BA48A14"/>
    <w:rsid w:val="6BA5315C"/>
    <w:rsid w:val="6BB14D10"/>
    <w:rsid w:val="6BBB9AD2"/>
    <w:rsid w:val="6BBE8B12"/>
    <w:rsid w:val="6BC830B5"/>
    <w:rsid w:val="6BD853C8"/>
    <w:rsid w:val="6BEDA750"/>
    <w:rsid w:val="6BEE240C"/>
    <w:rsid w:val="6BF7A972"/>
    <w:rsid w:val="6BFD3BB9"/>
    <w:rsid w:val="6C0F5978"/>
    <w:rsid w:val="6C15C20E"/>
    <w:rsid w:val="6C3865FB"/>
    <w:rsid w:val="6C3D52D7"/>
    <w:rsid w:val="6C61A806"/>
    <w:rsid w:val="6C64E9C5"/>
    <w:rsid w:val="6C932C17"/>
    <w:rsid w:val="6C963201"/>
    <w:rsid w:val="6C9B29E2"/>
    <w:rsid w:val="6CA76CF8"/>
    <w:rsid w:val="6CB80236"/>
    <w:rsid w:val="6CB9F634"/>
    <w:rsid w:val="6CC1B07D"/>
    <w:rsid w:val="6CCB5E22"/>
    <w:rsid w:val="6CD0D5A5"/>
    <w:rsid w:val="6CE8F1FA"/>
    <w:rsid w:val="6CEE70DA"/>
    <w:rsid w:val="6CF06F7C"/>
    <w:rsid w:val="6CF5C829"/>
    <w:rsid w:val="6CFCDA48"/>
    <w:rsid w:val="6CFD18ED"/>
    <w:rsid w:val="6D0072CC"/>
    <w:rsid w:val="6D0BBB76"/>
    <w:rsid w:val="6D10A5BD"/>
    <w:rsid w:val="6D136386"/>
    <w:rsid w:val="6D1BD80C"/>
    <w:rsid w:val="6D200793"/>
    <w:rsid w:val="6D47FC3D"/>
    <w:rsid w:val="6D4C82AE"/>
    <w:rsid w:val="6D5CCE4A"/>
    <w:rsid w:val="6D5EE242"/>
    <w:rsid w:val="6D8B7FA7"/>
    <w:rsid w:val="6D99986E"/>
    <w:rsid w:val="6DA740E7"/>
    <w:rsid w:val="6DA8F7E0"/>
    <w:rsid w:val="6DACBB5A"/>
    <w:rsid w:val="6DB4935D"/>
    <w:rsid w:val="6DB6AE00"/>
    <w:rsid w:val="6DB7C509"/>
    <w:rsid w:val="6DBEA88E"/>
    <w:rsid w:val="6DC0ECE3"/>
    <w:rsid w:val="6DC2D495"/>
    <w:rsid w:val="6DD243F6"/>
    <w:rsid w:val="6DD6E1F0"/>
    <w:rsid w:val="6DD8B8F9"/>
    <w:rsid w:val="6DDCF715"/>
    <w:rsid w:val="6DED2751"/>
    <w:rsid w:val="6DEFA206"/>
    <w:rsid w:val="6DF44639"/>
    <w:rsid w:val="6DF5EAB2"/>
    <w:rsid w:val="6DF629FC"/>
    <w:rsid w:val="6E09FD20"/>
    <w:rsid w:val="6E1C9ACD"/>
    <w:rsid w:val="6E1D2241"/>
    <w:rsid w:val="6E47B348"/>
    <w:rsid w:val="6E4CC3F3"/>
    <w:rsid w:val="6E6BB484"/>
    <w:rsid w:val="6E72C648"/>
    <w:rsid w:val="6E78B4A3"/>
    <w:rsid w:val="6E80BE5A"/>
    <w:rsid w:val="6EA8B677"/>
    <w:rsid w:val="6EB48071"/>
    <w:rsid w:val="6EBFA4C3"/>
    <w:rsid w:val="6ED70EE1"/>
    <w:rsid w:val="6EDEC543"/>
    <w:rsid w:val="6EDF13F0"/>
    <w:rsid w:val="6EF4D28C"/>
    <w:rsid w:val="6EF5DCDA"/>
    <w:rsid w:val="6EF7849A"/>
    <w:rsid w:val="6F09D085"/>
    <w:rsid w:val="6F11076D"/>
    <w:rsid w:val="6F2C9AA8"/>
    <w:rsid w:val="6F2DB7E1"/>
    <w:rsid w:val="6F2FB28A"/>
    <w:rsid w:val="6F56360C"/>
    <w:rsid w:val="6F5DA862"/>
    <w:rsid w:val="6F798FBF"/>
    <w:rsid w:val="6F7D2D5B"/>
    <w:rsid w:val="6F8D2A10"/>
    <w:rsid w:val="6F8E6101"/>
    <w:rsid w:val="6F9AB6BF"/>
    <w:rsid w:val="6FA8977F"/>
    <w:rsid w:val="6FBC6771"/>
    <w:rsid w:val="6FCA9019"/>
    <w:rsid w:val="6FD0F6EC"/>
    <w:rsid w:val="6FE1C3F5"/>
    <w:rsid w:val="6FFC328F"/>
    <w:rsid w:val="6FFD7584"/>
    <w:rsid w:val="700429D0"/>
    <w:rsid w:val="701103EA"/>
    <w:rsid w:val="702EB993"/>
    <w:rsid w:val="70309716"/>
    <w:rsid w:val="7032D55E"/>
    <w:rsid w:val="7046E19E"/>
    <w:rsid w:val="70473D4E"/>
    <w:rsid w:val="706E2FAC"/>
    <w:rsid w:val="707B4CC1"/>
    <w:rsid w:val="70900CC8"/>
    <w:rsid w:val="70A073EF"/>
    <w:rsid w:val="70D417D4"/>
    <w:rsid w:val="70D6BC24"/>
    <w:rsid w:val="70EA6013"/>
    <w:rsid w:val="70EA96A1"/>
    <w:rsid w:val="7119DC31"/>
    <w:rsid w:val="711A54BB"/>
    <w:rsid w:val="711A585F"/>
    <w:rsid w:val="711C6738"/>
    <w:rsid w:val="71297E1D"/>
    <w:rsid w:val="712CC6E9"/>
    <w:rsid w:val="713C8BDB"/>
    <w:rsid w:val="713D439A"/>
    <w:rsid w:val="717B0DE5"/>
    <w:rsid w:val="717CF226"/>
    <w:rsid w:val="7194D71D"/>
    <w:rsid w:val="7197B3A7"/>
    <w:rsid w:val="719B4B6F"/>
    <w:rsid w:val="719CC540"/>
    <w:rsid w:val="71B3AB3D"/>
    <w:rsid w:val="71C73012"/>
    <w:rsid w:val="71CCD892"/>
    <w:rsid w:val="71E11B1B"/>
    <w:rsid w:val="71E568BA"/>
    <w:rsid w:val="71E77254"/>
    <w:rsid w:val="71EEBF89"/>
    <w:rsid w:val="71F6F332"/>
    <w:rsid w:val="71FAE96F"/>
    <w:rsid w:val="71FE36AC"/>
    <w:rsid w:val="7215651C"/>
    <w:rsid w:val="72164353"/>
    <w:rsid w:val="721BA2CB"/>
    <w:rsid w:val="7230B487"/>
    <w:rsid w:val="7235B334"/>
    <w:rsid w:val="7259A6DB"/>
    <w:rsid w:val="725DB5D2"/>
    <w:rsid w:val="7265D57F"/>
    <w:rsid w:val="72730305"/>
    <w:rsid w:val="72893C13"/>
    <w:rsid w:val="728AE15A"/>
    <w:rsid w:val="72934441"/>
    <w:rsid w:val="72AE479B"/>
    <w:rsid w:val="72BC9610"/>
    <w:rsid w:val="72C7FCA1"/>
    <w:rsid w:val="72CF11A9"/>
    <w:rsid w:val="72D8BFA8"/>
    <w:rsid w:val="72DB4244"/>
    <w:rsid w:val="72E5294A"/>
    <w:rsid w:val="72EA176B"/>
    <w:rsid w:val="73107D14"/>
    <w:rsid w:val="73115D57"/>
    <w:rsid w:val="73123918"/>
    <w:rsid w:val="73180CCA"/>
    <w:rsid w:val="7323B94C"/>
    <w:rsid w:val="732A14A4"/>
    <w:rsid w:val="73418ED6"/>
    <w:rsid w:val="7362F8A7"/>
    <w:rsid w:val="737E847C"/>
    <w:rsid w:val="73AB461C"/>
    <w:rsid w:val="73BBB7B9"/>
    <w:rsid w:val="73CB75D5"/>
    <w:rsid w:val="73D36391"/>
    <w:rsid w:val="73D41856"/>
    <w:rsid w:val="73D98C67"/>
    <w:rsid w:val="73F0A1D3"/>
    <w:rsid w:val="73F5D1A4"/>
    <w:rsid w:val="740D7845"/>
    <w:rsid w:val="741E78CE"/>
    <w:rsid w:val="74209024"/>
    <w:rsid w:val="7429BB36"/>
    <w:rsid w:val="7429FBD3"/>
    <w:rsid w:val="743DE214"/>
    <w:rsid w:val="744D42DC"/>
    <w:rsid w:val="7484B18E"/>
    <w:rsid w:val="7498C724"/>
    <w:rsid w:val="749EF086"/>
    <w:rsid w:val="74C12B2E"/>
    <w:rsid w:val="74C57FC2"/>
    <w:rsid w:val="74CD6F01"/>
    <w:rsid w:val="74D02901"/>
    <w:rsid w:val="74D6B1C3"/>
    <w:rsid w:val="74D79D60"/>
    <w:rsid w:val="74E09058"/>
    <w:rsid w:val="74E4D4EA"/>
    <w:rsid w:val="74E87CFE"/>
    <w:rsid w:val="74EBA4B9"/>
    <w:rsid w:val="74ECDED5"/>
    <w:rsid w:val="74EE5EEA"/>
    <w:rsid w:val="74F4D376"/>
    <w:rsid w:val="74F720AD"/>
    <w:rsid w:val="74F9BA63"/>
    <w:rsid w:val="74FE0CDC"/>
    <w:rsid w:val="75042E0D"/>
    <w:rsid w:val="750B0F6B"/>
    <w:rsid w:val="7513B117"/>
    <w:rsid w:val="75397274"/>
    <w:rsid w:val="7561D900"/>
    <w:rsid w:val="7563C74A"/>
    <w:rsid w:val="756C00F9"/>
    <w:rsid w:val="757215CD"/>
    <w:rsid w:val="757EBBDA"/>
    <w:rsid w:val="757EC0C3"/>
    <w:rsid w:val="759B1D17"/>
    <w:rsid w:val="75AC8154"/>
    <w:rsid w:val="75B14099"/>
    <w:rsid w:val="75B35800"/>
    <w:rsid w:val="75B5A7B9"/>
    <w:rsid w:val="75BAF77B"/>
    <w:rsid w:val="75C5A7D9"/>
    <w:rsid w:val="75FCACA6"/>
    <w:rsid w:val="761B882A"/>
    <w:rsid w:val="762D42F0"/>
    <w:rsid w:val="762E1038"/>
    <w:rsid w:val="762EE158"/>
    <w:rsid w:val="7642DBBB"/>
    <w:rsid w:val="765431ED"/>
    <w:rsid w:val="76570AB5"/>
    <w:rsid w:val="76636687"/>
    <w:rsid w:val="7681FFCA"/>
    <w:rsid w:val="7685B7C6"/>
    <w:rsid w:val="76A31C82"/>
    <w:rsid w:val="76A75E84"/>
    <w:rsid w:val="76B473E7"/>
    <w:rsid w:val="76E0B706"/>
    <w:rsid w:val="76E1547E"/>
    <w:rsid w:val="76EB015D"/>
    <w:rsid w:val="76ED7E2A"/>
    <w:rsid w:val="76F773A5"/>
    <w:rsid w:val="770E3556"/>
    <w:rsid w:val="771048F0"/>
    <w:rsid w:val="771B891B"/>
    <w:rsid w:val="771CA544"/>
    <w:rsid w:val="77221CF0"/>
    <w:rsid w:val="77302721"/>
    <w:rsid w:val="773434F4"/>
    <w:rsid w:val="77436FD3"/>
    <w:rsid w:val="776010B2"/>
    <w:rsid w:val="776816D6"/>
    <w:rsid w:val="776DD348"/>
    <w:rsid w:val="7779CBC7"/>
    <w:rsid w:val="77860666"/>
    <w:rsid w:val="7786E0A0"/>
    <w:rsid w:val="778AD192"/>
    <w:rsid w:val="77B05CBB"/>
    <w:rsid w:val="77B11B9F"/>
    <w:rsid w:val="77B5F780"/>
    <w:rsid w:val="77B60651"/>
    <w:rsid w:val="77B6D493"/>
    <w:rsid w:val="77B88A4C"/>
    <w:rsid w:val="77CE1E85"/>
    <w:rsid w:val="77FB7F84"/>
    <w:rsid w:val="7807E5F2"/>
    <w:rsid w:val="780AD4C9"/>
    <w:rsid w:val="781030E6"/>
    <w:rsid w:val="78139F77"/>
    <w:rsid w:val="7816F8B0"/>
    <w:rsid w:val="781793CC"/>
    <w:rsid w:val="7819E622"/>
    <w:rsid w:val="782AECDB"/>
    <w:rsid w:val="7838234F"/>
    <w:rsid w:val="784E2FFD"/>
    <w:rsid w:val="785288B5"/>
    <w:rsid w:val="786C6956"/>
    <w:rsid w:val="78741D57"/>
    <w:rsid w:val="787B0D0D"/>
    <w:rsid w:val="788468F2"/>
    <w:rsid w:val="7889754F"/>
    <w:rsid w:val="789C42EB"/>
    <w:rsid w:val="78AE9F5C"/>
    <w:rsid w:val="78B1EAA0"/>
    <w:rsid w:val="78B8FBEE"/>
    <w:rsid w:val="78C05ACF"/>
    <w:rsid w:val="78D7BE9B"/>
    <w:rsid w:val="78E99963"/>
    <w:rsid w:val="78FA08E9"/>
    <w:rsid w:val="78FC8916"/>
    <w:rsid w:val="790C2BD3"/>
    <w:rsid w:val="790EF760"/>
    <w:rsid w:val="79186496"/>
    <w:rsid w:val="79189768"/>
    <w:rsid w:val="791C01B9"/>
    <w:rsid w:val="792EDA74"/>
    <w:rsid w:val="793F071D"/>
    <w:rsid w:val="7950B6B2"/>
    <w:rsid w:val="79615245"/>
    <w:rsid w:val="7961D156"/>
    <w:rsid w:val="79634365"/>
    <w:rsid w:val="797E7848"/>
    <w:rsid w:val="79A6B315"/>
    <w:rsid w:val="79AC9821"/>
    <w:rsid w:val="79AD3DAC"/>
    <w:rsid w:val="79B7DF15"/>
    <w:rsid w:val="79C3CC13"/>
    <w:rsid w:val="79F05721"/>
    <w:rsid w:val="7A273C43"/>
    <w:rsid w:val="7A2C0C61"/>
    <w:rsid w:val="7A2CA60D"/>
    <w:rsid w:val="7A3602CC"/>
    <w:rsid w:val="7A4434BD"/>
    <w:rsid w:val="7A4A72CC"/>
    <w:rsid w:val="7A56AE2D"/>
    <w:rsid w:val="7A82F099"/>
    <w:rsid w:val="7A97BB57"/>
    <w:rsid w:val="7A995CAF"/>
    <w:rsid w:val="7A9D9D14"/>
    <w:rsid w:val="7AA4942D"/>
    <w:rsid w:val="7AA8A3AA"/>
    <w:rsid w:val="7AA9C60F"/>
    <w:rsid w:val="7AA9E807"/>
    <w:rsid w:val="7ABFB5B2"/>
    <w:rsid w:val="7AC33E2D"/>
    <w:rsid w:val="7AD2C4E4"/>
    <w:rsid w:val="7AD9D7CA"/>
    <w:rsid w:val="7ADA400B"/>
    <w:rsid w:val="7AF9CCA7"/>
    <w:rsid w:val="7B2048F5"/>
    <w:rsid w:val="7B284BCD"/>
    <w:rsid w:val="7B2AE25C"/>
    <w:rsid w:val="7B46A8B7"/>
    <w:rsid w:val="7B48C7AD"/>
    <w:rsid w:val="7B4D0008"/>
    <w:rsid w:val="7B4F3D83"/>
    <w:rsid w:val="7B67ECB5"/>
    <w:rsid w:val="7B700E3D"/>
    <w:rsid w:val="7B7CC44C"/>
    <w:rsid w:val="7B8C28DD"/>
    <w:rsid w:val="7B8C7262"/>
    <w:rsid w:val="7B911141"/>
    <w:rsid w:val="7B95DD04"/>
    <w:rsid w:val="7B9BEB1A"/>
    <w:rsid w:val="7B9E3F86"/>
    <w:rsid w:val="7BA120FC"/>
    <w:rsid w:val="7BA6FD7F"/>
    <w:rsid w:val="7BB8C53B"/>
    <w:rsid w:val="7BB9FC5B"/>
    <w:rsid w:val="7BBA34A3"/>
    <w:rsid w:val="7BBF8E2F"/>
    <w:rsid w:val="7BC3CC9A"/>
    <w:rsid w:val="7BD3D435"/>
    <w:rsid w:val="7BDE07DE"/>
    <w:rsid w:val="7BEBA4CE"/>
    <w:rsid w:val="7BEDA464"/>
    <w:rsid w:val="7BF55B03"/>
    <w:rsid w:val="7BFA1A8E"/>
    <w:rsid w:val="7BFFC3EC"/>
    <w:rsid w:val="7C110345"/>
    <w:rsid w:val="7C196A94"/>
    <w:rsid w:val="7C1F6149"/>
    <w:rsid w:val="7C320E52"/>
    <w:rsid w:val="7C394CFE"/>
    <w:rsid w:val="7C4034D5"/>
    <w:rsid w:val="7C483A6E"/>
    <w:rsid w:val="7C64F226"/>
    <w:rsid w:val="7C69B1A8"/>
    <w:rsid w:val="7C7940CE"/>
    <w:rsid w:val="7C79E950"/>
    <w:rsid w:val="7C8C7101"/>
    <w:rsid w:val="7C972B0C"/>
    <w:rsid w:val="7C9E2FE9"/>
    <w:rsid w:val="7CA2D3F9"/>
    <w:rsid w:val="7CB65857"/>
    <w:rsid w:val="7CC6E607"/>
    <w:rsid w:val="7CD0F126"/>
    <w:rsid w:val="7CD1A832"/>
    <w:rsid w:val="7CD35AD0"/>
    <w:rsid w:val="7CE51E42"/>
    <w:rsid w:val="7CE8327C"/>
    <w:rsid w:val="7D027FCD"/>
    <w:rsid w:val="7D06AE9F"/>
    <w:rsid w:val="7D0DAC3D"/>
    <w:rsid w:val="7D10726B"/>
    <w:rsid w:val="7D199E2E"/>
    <w:rsid w:val="7D1AF365"/>
    <w:rsid w:val="7D1DD782"/>
    <w:rsid w:val="7D29A528"/>
    <w:rsid w:val="7D2F876F"/>
    <w:rsid w:val="7D300CFF"/>
    <w:rsid w:val="7D3248E1"/>
    <w:rsid w:val="7D32779F"/>
    <w:rsid w:val="7D34A5C8"/>
    <w:rsid w:val="7D3A9AC7"/>
    <w:rsid w:val="7D3C12DA"/>
    <w:rsid w:val="7D420799"/>
    <w:rsid w:val="7D69D012"/>
    <w:rsid w:val="7D6A9920"/>
    <w:rsid w:val="7D74FEB4"/>
    <w:rsid w:val="7D75345E"/>
    <w:rsid w:val="7D77B75E"/>
    <w:rsid w:val="7D79591A"/>
    <w:rsid w:val="7D7D10E5"/>
    <w:rsid w:val="7D823A1A"/>
    <w:rsid w:val="7D8C34D2"/>
    <w:rsid w:val="7D9EFF23"/>
    <w:rsid w:val="7DA22BA2"/>
    <w:rsid w:val="7DBDBDD0"/>
    <w:rsid w:val="7DC1D849"/>
    <w:rsid w:val="7DC70DDB"/>
    <w:rsid w:val="7DD53D46"/>
    <w:rsid w:val="7DE83F66"/>
    <w:rsid w:val="7DEC01B8"/>
    <w:rsid w:val="7DF7FD65"/>
    <w:rsid w:val="7DF82882"/>
    <w:rsid w:val="7DFDE8DB"/>
    <w:rsid w:val="7E01DDF4"/>
    <w:rsid w:val="7E0219C8"/>
    <w:rsid w:val="7E05555C"/>
    <w:rsid w:val="7E118BDF"/>
    <w:rsid w:val="7E183F2E"/>
    <w:rsid w:val="7E24786F"/>
    <w:rsid w:val="7E25151B"/>
    <w:rsid w:val="7E27F515"/>
    <w:rsid w:val="7E35EDAA"/>
    <w:rsid w:val="7E4C40C9"/>
    <w:rsid w:val="7E4D1865"/>
    <w:rsid w:val="7E4EAFB2"/>
    <w:rsid w:val="7E53B498"/>
    <w:rsid w:val="7E5CB252"/>
    <w:rsid w:val="7E6434E4"/>
    <w:rsid w:val="7E649017"/>
    <w:rsid w:val="7E6F6731"/>
    <w:rsid w:val="7E7366B9"/>
    <w:rsid w:val="7E73C5C8"/>
    <w:rsid w:val="7E838496"/>
    <w:rsid w:val="7E84BF90"/>
    <w:rsid w:val="7E93F62B"/>
    <w:rsid w:val="7E9A86C2"/>
    <w:rsid w:val="7E9CF229"/>
    <w:rsid w:val="7EAB6239"/>
    <w:rsid w:val="7ECE4002"/>
    <w:rsid w:val="7ECF2655"/>
    <w:rsid w:val="7ED8C4E4"/>
    <w:rsid w:val="7EF82E70"/>
    <w:rsid w:val="7EF90507"/>
    <w:rsid w:val="7F1FEAE6"/>
    <w:rsid w:val="7F2E29E1"/>
    <w:rsid w:val="7F3875A1"/>
    <w:rsid w:val="7F40F5E4"/>
    <w:rsid w:val="7F4314E9"/>
    <w:rsid w:val="7F485FCD"/>
    <w:rsid w:val="7F48B515"/>
    <w:rsid w:val="7F522795"/>
    <w:rsid w:val="7F616250"/>
    <w:rsid w:val="7F633128"/>
    <w:rsid w:val="7F665549"/>
    <w:rsid w:val="7F729C2F"/>
    <w:rsid w:val="7F74D100"/>
    <w:rsid w:val="7F78DA19"/>
    <w:rsid w:val="7F8F1598"/>
    <w:rsid w:val="7F8FC14F"/>
    <w:rsid w:val="7FA763EF"/>
    <w:rsid w:val="7FC10BD0"/>
    <w:rsid w:val="7FC38941"/>
    <w:rsid w:val="7FCAE1A7"/>
    <w:rsid w:val="7FCBEEED"/>
    <w:rsid w:val="7FD28269"/>
    <w:rsid w:val="7FD7AE9D"/>
    <w:rsid w:val="7FE6BC36"/>
    <w:rsid w:val="7FF251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2A376977"/>
  <w15:docId w15:val="{4416B8EF-5BBB-4B03-B559-00BEA8B8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0852D5"/>
    <w:pPr>
      <w:numPr>
        <w:numId w:val="3"/>
      </w:numPr>
      <w:tabs>
        <w:tab w:val="num" w:pos="360"/>
      </w:tabs>
      <w:ind w:left="0" w:firstLine="0"/>
    </w:pPr>
    <w:rPr>
      <w:rFonts w:eastAsia="Times New Roman"/>
      <w:lang w:eastAsia="de-DE"/>
    </w:rPr>
  </w:style>
  <w:style w:type="paragraph" w:styleId="ListNumber">
    <w:name w:val="List Number"/>
    <w:basedOn w:val="Normal"/>
    <w:rsid w:val="000852D5"/>
    <w:pPr>
      <w:numPr>
        <w:numId w:val="7"/>
      </w:numPr>
    </w:pPr>
    <w:rPr>
      <w:rFonts w:eastAsia="Times New Roman"/>
      <w:lang w:eastAsia="de-DE"/>
    </w:rPr>
  </w:style>
  <w:style w:type="paragraph" w:customStyle="1" w:styleId="ListBullet1">
    <w:name w:val="List Bullet 1"/>
    <w:basedOn w:val="Normal"/>
    <w:rsid w:val="000852D5"/>
    <w:pPr>
      <w:numPr>
        <w:numId w:val="2"/>
      </w:numPr>
    </w:pPr>
    <w:rPr>
      <w:rFonts w:eastAsia="Times New Roman"/>
      <w:lang w:eastAsia="de-DE"/>
    </w:rPr>
  </w:style>
  <w:style w:type="paragraph" w:customStyle="1" w:styleId="ListDash">
    <w:name w:val="List Dash"/>
    <w:basedOn w:val="Normal"/>
    <w:rsid w:val="000852D5"/>
    <w:pPr>
      <w:numPr>
        <w:numId w:val="4"/>
      </w:numPr>
    </w:pPr>
    <w:rPr>
      <w:rFonts w:eastAsia="Times New Roman"/>
      <w:lang w:eastAsia="de-DE"/>
    </w:rPr>
  </w:style>
  <w:style w:type="paragraph" w:customStyle="1" w:styleId="ListDash1">
    <w:name w:val="List Dash 1"/>
    <w:basedOn w:val="Normal"/>
    <w:rsid w:val="000852D5"/>
    <w:pPr>
      <w:numPr>
        <w:numId w:val="5"/>
      </w:numPr>
    </w:pPr>
    <w:rPr>
      <w:rFonts w:eastAsia="Times New Roman"/>
      <w:lang w:eastAsia="de-DE"/>
    </w:rPr>
  </w:style>
  <w:style w:type="paragraph" w:customStyle="1" w:styleId="ListDash2">
    <w:name w:val="List Dash 2"/>
    <w:basedOn w:val="Normal"/>
    <w:rsid w:val="000852D5"/>
    <w:pPr>
      <w:numPr>
        <w:numId w:val="6"/>
      </w:numPr>
    </w:pPr>
    <w:rPr>
      <w:rFonts w:eastAsia="Times New Roman"/>
      <w:lang w:eastAsia="de-DE"/>
    </w:rPr>
  </w:style>
  <w:style w:type="paragraph" w:customStyle="1" w:styleId="ListNumberLevel2">
    <w:name w:val="List Number (Level 2)"/>
    <w:basedOn w:val="Normal"/>
    <w:rsid w:val="000852D5"/>
    <w:pPr>
      <w:numPr>
        <w:ilvl w:val="1"/>
        <w:numId w:val="7"/>
      </w:numPr>
    </w:pPr>
    <w:rPr>
      <w:rFonts w:eastAsia="Times New Roman"/>
      <w:lang w:eastAsia="de-DE"/>
    </w:rPr>
  </w:style>
  <w:style w:type="paragraph" w:customStyle="1" w:styleId="ListNumberLevel3">
    <w:name w:val="List Number (Level 3)"/>
    <w:basedOn w:val="Normal"/>
    <w:rsid w:val="000852D5"/>
    <w:pPr>
      <w:numPr>
        <w:ilvl w:val="2"/>
        <w:numId w:val="7"/>
      </w:numPr>
    </w:pPr>
    <w:rPr>
      <w:rFonts w:eastAsia="Times New Roman"/>
      <w:lang w:eastAsia="de-DE"/>
    </w:rPr>
  </w:style>
  <w:style w:type="paragraph" w:customStyle="1" w:styleId="ListNumberLevel4">
    <w:name w:val="List Number (Level 4)"/>
    <w:basedOn w:val="Normal"/>
    <w:rsid w:val="000852D5"/>
    <w:pPr>
      <w:numPr>
        <w:ilvl w:val="3"/>
        <w:numId w:val="7"/>
      </w:numPr>
    </w:pPr>
    <w:rPr>
      <w:rFonts w:eastAsia="Times New Roman"/>
      <w:lang w:eastAsia="de-DE"/>
    </w:rPr>
  </w:style>
  <w:style w:type="table" w:styleId="TableGrid">
    <w:name w:val="Table Grid"/>
    <w:basedOn w:val="TableNormal"/>
    <w:rsid w:val="000852D5"/>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852D5"/>
    <w:rPr>
      <w:color w:val="0000FF"/>
      <w:u w:val="single"/>
    </w:rPr>
  </w:style>
  <w:style w:type="paragraph" w:styleId="ListBullet">
    <w:name w:val="List Bullet"/>
    <w:basedOn w:val="Normal"/>
    <w:rsid w:val="000852D5"/>
    <w:pPr>
      <w:numPr>
        <w:numId w:val="8"/>
      </w:numPr>
    </w:pPr>
    <w:rPr>
      <w:rFonts w:eastAsia="Times New Roman"/>
      <w:lang w:val="fr-FR" w:eastAsia="en-GB"/>
    </w:rPr>
  </w:style>
  <w:style w:type="paragraph" w:styleId="ListBullet2">
    <w:name w:val="List Bullet 2"/>
    <w:basedOn w:val="Normal"/>
    <w:rsid w:val="000852D5"/>
    <w:pPr>
      <w:numPr>
        <w:numId w:val="9"/>
      </w:numPr>
    </w:pPr>
    <w:rPr>
      <w:rFonts w:eastAsia="Times New Roman"/>
      <w:lang w:val="fr-FR" w:eastAsia="en-GB"/>
    </w:rPr>
  </w:style>
  <w:style w:type="paragraph" w:styleId="ListBullet3">
    <w:name w:val="List Bullet 3"/>
    <w:basedOn w:val="Normal"/>
    <w:rsid w:val="000852D5"/>
    <w:pPr>
      <w:numPr>
        <w:numId w:val="10"/>
      </w:numPr>
    </w:pPr>
    <w:rPr>
      <w:rFonts w:eastAsia="Times New Roman"/>
      <w:lang w:val="fr-FR" w:eastAsia="en-GB"/>
    </w:rPr>
  </w:style>
  <w:style w:type="paragraph" w:styleId="ListNumber2">
    <w:name w:val="List Number 2"/>
    <w:basedOn w:val="Normal"/>
    <w:rsid w:val="000852D5"/>
    <w:pPr>
      <w:numPr>
        <w:numId w:val="14"/>
      </w:numPr>
      <w:tabs>
        <w:tab w:val="clear" w:pos="1560"/>
        <w:tab w:val="num" w:pos="850"/>
      </w:tabs>
      <w:ind w:left="850" w:hanging="850"/>
    </w:pPr>
    <w:rPr>
      <w:rFonts w:eastAsia="Times New Roman"/>
      <w:lang w:val="fr-FR" w:eastAsia="en-GB"/>
    </w:rPr>
  </w:style>
  <w:style w:type="paragraph" w:styleId="ListNumber3">
    <w:name w:val="List Number 3"/>
    <w:basedOn w:val="Normal"/>
    <w:rsid w:val="000852D5"/>
    <w:pPr>
      <w:numPr>
        <w:numId w:val="15"/>
      </w:numPr>
    </w:pPr>
    <w:rPr>
      <w:rFonts w:eastAsia="Times New Roman"/>
      <w:lang w:val="fr-FR" w:eastAsia="en-GB"/>
    </w:rPr>
  </w:style>
  <w:style w:type="paragraph" w:styleId="ListNumber4">
    <w:name w:val="List Number 4"/>
    <w:basedOn w:val="Normal"/>
    <w:rsid w:val="000852D5"/>
    <w:pPr>
      <w:numPr>
        <w:numId w:val="16"/>
      </w:numPr>
    </w:pPr>
    <w:rPr>
      <w:rFonts w:eastAsia="Times New Roman"/>
      <w:lang w:val="fr-FR" w:eastAsia="en-GB"/>
    </w:rPr>
  </w:style>
  <w:style w:type="paragraph" w:customStyle="1" w:styleId="ListDash3">
    <w:name w:val="List Dash 3"/>
    <w:basedOn w:val="Normal"/>
    <w:rsid w:val="000852D5"/>
    <w:pPr>
      <w:numPr>
        <w:numId w:val="11"/>
      </w:numPr>
    </w:pPr>
    <w:rPr>
      <w:rFonts w:eastAsia="Times New Roman"/>
      <w:lang w:val="fr-FR" w:eastAsia="en-GB"/>
    </w:rPr>
  </w:style>
  <w:style w:type="paragraph" w:customStyle="1" w:styleId="ListDash4">
    <w:name w:val="List Dash 4"/>
    <w:basedOn w:val="Normal"/>
    <w:rsid w:val="000852D5"/>
    <w:pPr>
      <w:numPr>
        <w:numId w:val="12"/>
      </w:numPr>
    </w:pPr>
    <w:rPr>
      <w:rFonts w:eastAsia="Times New Roman"/>
      <w:lang w:val="fr-FR" w:eastAsia="en-GB"/>
    </w:rPr>
  </w:style>
  <w:style w:type="paragraph" w:customStyle="1" w:styleId="ListNumber1">
    <w:name w:val="List Number 1"/>
    <w:basedOn w:val="Text1"/>
    <w:rsid w:val="000852D5"/>
    <w:pPr>
      <w:numPr>
        <w:numId w:val="13"/>
      </w:numPr>
    </w:pPr>
    <w:rPr>
      <w:rFonts w:eastAsia="Times New Roman"/>
      <w:lang w:val="fr-FR" w:eastAsia="en-GB"/>
    </w:rPr>
  </w:style>
  <w:style w:type="paragraph" w:customStyle="1" w:styleId="ListNumber1Level2">
    <w:name w:val="List Number 1 (Level 2)"/>
    <w:basedOn w:val="Text1"/>
    <w:rsid w:val="000852D5"/>
    <w:pPr>
      <w:numPr>
        <w:ilvl w:val="1"/>
        <w:numId w:val="13"/>
      </w:numPr>
    </w:pPr>
    <w:rPr>
      <w:rFonts w:eastAsia="Times New Roman"/>
      <w:lang w:val="fr-FR" w:eastAsia="en-GB"/>
    </w:rPr>
  </w:style>
  <w:style w:type="paragraph" w:customStyle="1" w:styleId="ListNumber2Level2">
    <w:name w:val="List Number 2 (Level 2)"/>
    <w:basedOn w:val="Text2"/>
    <w:rsid w:val="000852D5"/>
    <w:pPr>
      <w:numPr>
        <w:ilvl w:val="1"/>
        <w:numId w:val="14"/>
      </w:numPr>
      <w:tabs>
        <w:tab w:val="clear" w:pos="2268"/>
        <w:tab w:val="num" w:pos="850"/>
      </w:tabs>
      <w:ind w:left="850" w:hanging="850"/>
    </w:pPr>
    <w:rPr>
      <w:rFonts w:eastAsia="Times New Roman"/>
      <w:lang w:val="fr-FR" w:eastAsia="en-GB"/>
    </w:rPr>
  </w:style>
  <w:style w:type="paragraph" w:customStyle="1" w:styleId="ListNumber3Level2">
    <w:name w:val="List Number 3 (Level 2)"/>
    <w:basedOn w:val="Text3"/>
    <w:rsid w:val="000852D5"/>
    <w:pPr>
      <w:numPr>
        <w:ilvl w:val="1"/>
        <w:numId w:val="15"/>
      </w:numPr>
    </w:pPr>
    <w:rPr>
      <w:rFonts w:eastAsia="Times New Roman"/>
      <w:lang w:val="fr-FR" w:eastAsia="en-GB"/>
    </w:rPr>
  </w:style>
  <w:style w:type="paragraph" w:customStyle="1" w:styleId="ListNumber4Level2">
    <w:name w:val="List Number 4 (Level 2)"/>
    <w:basedOn w:val="Text4"/>
    <w:rsid w:val="000852D5"/>
    <w:pPr>
      <w:numPr>
        <w:ilvl w:val="1"/>
        <w:numId w:val="16"/>
      </w:numPr>
    </w:pPr>
    <w:rPr>
      <w:rFonts w:eastAsia="Times New Roman"/>
      <w:lang w:val="fr-FR" w:eastAsia="en-GB"/>
    </w:rPr>
  </w:style>
  <w:style w:type="paragraph" w:customStyle="1" w:styleId="ListNumber1Level3">
    <w:name w:val="List Number 1 (Level 3)"/>
    <w:basedOn w:val="Text1"/>
    <w:rsid w:val="000852D5"/>
    <w:pPr>
      <w:numPr>
        <w:ilvl w:val="2"/>
        <w:numId w:val="13"/>
      </w:numPr>
    </w:pPr>
    <w:rPr>
      <w:rFonts w:eastAsia="Times New Roman"/>
      <w:lang w:val="fr-FR" w:eastAsia="en-GB"/>
    </w:rPr>
  </w:style>
  <w:style w:type="paragraph" w:customStyle="1" w:styleId="ListNumber2Level3">
    <w:name w:val="List Number 2 (Level 3)"/>
    <w:basedOn w:val="Text2"/>
    <w:rsid w:val="000852D5"/>
    <w:pPr>
      <w:numPr>
        <w:ilvl w:val="2"/>
        <w:numId w:val="14"/>
      </w:numPr>
      <w:tabs>
        <w:tab w:val="clear" w:pos="2977"/>
        <w:tab w:val="num" w:pos="850"/>
      </w:tabs>
      <w:ind w:left="850" w:hanging="850"/>
    </w:pPr>
    <w:rPr>
      <w:rFonts w:eastAsia="Times New Roman"/>
      <w:lang w:val="fr-FR" w:eastAsia="en-GB"/>
    </w:rPr>
  </w:style>
  <w:style w:type="paragraph" w:customStyle="1" w:styleId="ListNumber3Level3">
    <w:name w:val="List Number 3 (Level 3)"/>
    <w:basedOn w:val="Text3"/>
    <w:rsid w:val="000852D5"/>
    <w:pPr>
      <w:numPr>
        <w:ilvl w:val="2"/>
        <w:numId w:val="15"/>
      </w:numPr>
    </w:pPr>
    <w:rPr>
      <w:rFonts w:eastAsia="Times New Roman"/>
      <w:lang w:val="fr-FR" w:eastAsia="en-GB"/>
    </w:rPr>
  </w:style>
  <w:style w:type="paragraph" w:customStyle="1" w:styleId="ListNumber4Level3">
    <w:name w:val="List Number 4 (Level 3)"/>
    <w:basedOn w:val="Text4"/>
    <w:rsid w:val="000852D5"/>
    <w:pPr>
      <w:numPr>
        <w:ilvl w:val="2"/>
        <w:numId w:val="16"/>
      </w:numPr>
    </w:pPr>
    <w:rPr>
      <w:rFonts w:eastAsia="Times New Roman"/>
      <w:lang w:val="fr-FR" w:eastAsia="en-GB"/>
    </w:rPr>
  </w:style>
  <w:style w:type="paragraph" w:customStyle="1" w:styleId="ListNumber1Level4">
    <w:name w:val="List Number 1 (Level 4)"/>
    <w:basedOn w:val="Text1"/>
    <w:rsid w:val="000852D5"/>
    <w:pPr>
      <w:numPr>
        <w:ilvl w:val="3"/>
        <w:numId w:val="13"/>
      </w:numPr>
    </w:pPr>
    <w:rPr>
      <w:rFonts w:eastAsia="Times New Roman"/>
      <w:lang w:val="fr-FR" w:eastAsia="en-GB"/>
    </w:rPr>
  </w:style>
  <w:style w:type="paragraph" w:customStyle="1" w:styleId="ListNumber2Level4">
    <w:name w:val="List Number 2 (Level 4)"/>
    <w:basedOn w:val="Text2"/>
    <w:rsid w:val="000852D5"/>
    <w:pPr>
      <w:numPr>
        <w:ilvl w:val="3"/>
        <w:numId w:val="14"/>
      </w:numPr>
      <w:tabs>
        <w:tab w:val="clear" w:pos="3686"/>
        <w:tab w:val="num" w:pos="850"/>
      </w:tabs>
      <w:ind w:left="850" w:hanging="850"/>
    </w:pPr>
    <w:rPr>
      <w:rFonts w:eastAsia="Times New Roman"/>
      <w:lang w:val="fr-FR" w:eastAsia="en-GB"/>
    </w:rPr>
  </w:style>
  <w:style w:type="paragraph" w:customStyle="1" w:styleId="ListNumber3Level4">
    <w:name w:val="List Number 3 (Level 4)"/>
    <w:basedOn w:val="Text3"/>
    <w:rsid w:val="000852D5"/>
    <w:pPr>
      <w:numPr>
        <w:ilvl w:val="3"/>
        <w:numId w:val="15"/>
      </w:numPr>
    </w:pPr>
    <w:rPr>
      <w:rFonts w:eastAsia="Times New Roman"/>
      <w:lang w:val="fr-FR" w:eastAsia="en-GB"/>
    </w:rPr>
  </w:style>
  <w:style w:type="paragraph" w:customStyle="1" w:styleId="ListNumber4Level4">
    <w:name w:val="List Number 4 (Level 4)"/>
    <w:basedOn w:val="Text4"/>
    <w:rsid w:val="000852D5"/>
    <w:pPr>
      <w:numPr>
        <w:ilvl w:val="3"/>
        <w:numId w:val="16"/>
      </w:numPr>
    </w:pPr>
    <w:rPr>
      <w:rFonts w:eastAsia="Times New Roman"/>
      <w:lang w:val="fr-FR" w:eastAsia="en-GB"/>
    </w:rPr>
  </w:style>
  <w:style w:type="paragraph" w:customStyle="1" w:styleId="Annexetitreacte">
    <w:name w:val="Annexe titre (acte)"/>
    <w:basedOn w:val="Normal"/>
    <w:next w:val="Normal"/>
    <w:rsid w:val="000852D5"/>
    <w:pPr>
      <w:jc w:val="center"/>
    </w:pPr>
    <w:rPr>
      <w:rFonts w:eastAsia="Times New Roman"/>
      <w:b/>
      <w:u w:val="single"/>
      <w:lang w:val="fr-FR" w:eastAsia="en-GB"/>
    </w:rPr>
  </w:style>
  <w:style w:type="paragraph" w:customStyle="1" w:styleId="Annexetitreexposglobal">
    <w:name w:val="Annexe titre (exposé global)"/>
    <w:basedOn w:val="Normal"/>
    <w:next w:val="Normal"/>
    <w:rsid w:val="000852D5"/>
    <w:pPr>
      <w:jc w:val="center"/>
    </w:pPr>
    <w:rPr>
      <w:rFonts w:eastAsia="Times New Roman"/>
      <w:b/>
      <w:u w:val="single"/>
      <w:lang w:val="fr-FR" w:eastAsia="en-GB"/>
    </w:rPr>
  </w:style>
  <w:style w:type="paragraph" w:customStyle="1" w:styleId="Annexetitrefichefinacte">
    <w:name w:val="Annexe titre (fiche fin. acte)"/>
    <w:basedOn w:val="Normal"/>
    <w:next w:val="Normal"/>
    <w:rsid w:val="000852D5"/>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0852D5"/>
    <w:pPr>
      <w:jc w:val="center"/>
    </w:pPr>
    <w:rPr>
      <w:rFonts w:eastAsia="Times New Roman"/>
      <w:b/>
      <w:u w:val="single"/>
      <w:lang w:val="fr-FR" w:eastAsia="en-GB"/>
    </w:rPr>
  </w:style>
  <w:style w:type="paragraph" w:customStyle="1" w:styleId="Annexetitreglobale">
    <w:name w:val="Annexe titre (globale)"/>
    <w:basedOn w:val="Normal"/>
    <w:next w:val="Normal"/>
    <w:rsid w:val="000852D5"/>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0852D5"/>
    <w:pPr>
      <w:jc w:val="center"/>
    </w:pPr>
    <w:rPr>
      <w:rFonts w:eastAsia="Times New Roman"/>
      <w:b/>
      <w:u w:val="single"/>
      <w:lang w:val="fr-FR" w:eastAsia="en-GB"/>
    </w:rPr>
  </w:style>
  <w:style w:type="paragraph" w:customStyle="1" w:styleId="Langueoriginale">
    <w:name w:val="Langue originale"/>
    <w:basedOn w:val="Normal"/>
    <w:rsid w:val="000852D5"/>
    <w:pPr>
      <w:spacing w:before="360"/>
      <w:jc w:val="center"/>
    </w:pPr>
    <w:rPr>
      <w:rFonts w:eastAsia="Times New Roman"/>
      <w:caps/>
      <w:lang w:val="fr-FR" w:eastAsia="en-GB"/>
    </w:rPr>
  </w:style>
  <w:style w:type="paragraph" w:customStyle="1" w:styleId="Phrasefinale">
    <w:name w:val="Phrase finale"/>
    <w:basedOn w:val="Normal"/>
    <w:next w:val="Normal"/>
    <w:rsid w:val="000852D5"/>
    <w:pPr>
      <w:spacing w:before="360" w:after="0"/>
      <w:jc w:val="center"/>
    </w:pPr>
    <w:rPr>
      <w:rFonts w:eastAsia="Times New Roman"/>
      <w:lang w:val="fr-FR" w:eastAsia="en-GB"/>
    </w:rPr>
  </w:style>
  <w:style w:type="paragraph" w:customStyle="1" w:styleId="Prliminairetitre">
    <w:name w:val="Préliminaire titre"/>
    <w:basedOn w:val="Normal"/>
    <w:next w:val="Normal"/>
    <w:rsid w:val="000852D5"/>
    <w:pPr>
      <w:spacing w:before="360" w:after="360"/>
      <w:jc w:val="center"/>
    </w:pPr>
    <w:rPr>
      <w:rFonts w:eastAsia="Times New Roman"/>
      <w:b/>
      <w:lang w:val="fr-FR" w:eastAsia="en-GB"/>
    </w:rPr>
  </w:style>
  <w:style w:type="paragraph" w:customStyle="1" w:styleId="Prliminairetype">
    <w:name w:val="Préliminaire type"/>
    <w:basedOn w:val="Normal"/>
    <w:next w:val="Normal"/>
    <w:rsid w:val="000852D5"/>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0852D5"/>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0852D5"/>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0852D5"/>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0852D5"/>
    <w:pPr>
      <w:spacing w:before="0" w:after="0"/>
      <w:jc w:val="center"/>
    </w:pPr>
    <w:rPr>
      <w:rFonts w:eastAsia="Times New Roman"/>
      <w:b/>
      <w:lang w:val="fr-FR" w:eastAsia="en-GB"/>
    </w:rPr>
  </w:style>
  <w:style w:type="paragraph" w:customStyle="1" w:styleId="Statutprliminaire">
    <w:name w:val="Statut (préliminaire)"/>
    <w:basedOn w:val="Normal"/>
    <w:next w:val="Normal"/>
    <w:rsid w:val="000852D5"/>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0852D5"/>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0852D5"/>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0852D5"/>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0852D5"/>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0852D5"/>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0852D5"/>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0852D5"/>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0852D5"/>
    <w:pPr>
      <w:jc w:val="center"/>
    </w:pPr>
    <w:rPr>
      <w:rFonts w:eastAsia="Times New Roman"/>
      <w:b/>
      <w:u w:val="single"/>
      <w:lang w:val="fr-FR" w:eastAsia="en-GB"/>
    </w:rPr>
  </w:style>
  <w:style w:type="character" w:styleId="CommentReference">
    <w:name w:val="annotation reference"/>
    <w:rsid w:val="000852D5"/>
    <w:rPr>
      <w:rFonts w:cs="Times New Roman"/>
      <w:sz w:val="16"/>
      <w:szCs w:val="16"/>
    </w:rPr>
  </w:style>
  <w:style w:type="paragraph" w:styleId="CommentText">
    <w:name w:val="annotation text"/>
    <w:basedOn w:val="Normal"/>
    <w:link w:val="CommentTextChar"/>
    <w:rsid w:val="000852D5"/>
    <w:rPr>
      <w:rFonts w:eastAsia="Times New Roman"/>
      <w:sz w:val="20"/>
      <w:szCs w:val="20"/>
      <w:lang w:val="fr-FR" w:eastAsia="en-GB"/>
    </w:rPr>
  </w:style>
  <w:style w:type="character" w:customStyle="1" w:styleId="CommentTextChar">
    <w:name w:val="Comment Text Char"/>
    <w:basedOn w:val="DefaultParagraphFont"/>
    <w:link w:val="CommentText"/>
    <w:rsid w:val="000852D5"/>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0852D5"/>
    <w:rPr>
      <w:b/>
      <w:bCs/>
    </w:rPr>
  </w:style>
  <w:style w:type="character" w:customStyle="1" w:styleId="CommentSubjectChar">
    <w:name w:val="Comment Subject Char"/>
    <w:basedOn w:val="CommentTextChar"/>
    <w:link w:val="CommentSubject"/>
    <w:rsid w:val="000852D5"/>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0852D5"/>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0852D5"/>
    <w:rPr>
      <w:rFonts w:ascii="Tahoma" w:eastAsia="Times New Roman" w:hAnsi="Tahoma" w:cs="Tahoma"/>
      <w:sz w:val="16"/>
      <w:szCs w:val="16"/>
      <w:lang w:val="fr-FR" w:eastAsia="en-GB"/>
    </w:rPr>
  </w:style>
  <w:style w:type="paragraph" w:styleId="Caption">
    <w:name w:val="caption"/>
    <w:basedOn w:val="Normal"/>
    <w:next w:val="Normal"/>
    <w:qFormat/>
    <w:rsid w:val="000852D5"/>
    <w:rPr>
      <w:rFonts w:eastAsia="Times New Roman"/>
      <w:b/>
      <w:bCs/>
      <w:sz w:val="20"/>
      <w:szCs w:val="20"/>
      <w:lang w:val="fr-FR" w:eastAsia="en-GB"/>
    </w:rPr>
  </w:style>
  <w:style w:type="paragraph" w:styleId="TableofFigures">
    <w:name w:val="table of figures"/>
    <w:basedOn w:val="Normal"/>
    <w:next w:val="Normal"/>
    <w:rsid w:val="000852D5"/>
    <w:rPr>
      <w:rFonts w:eastAsia="Times New Roman"/>
      <w:lang w:val="fr-FR" w:eastAsia="en-GB"/>
    </w:rPr>
  </w:style>
  <w:style w:type="character" w:styleId="PageNumber">
    <w:name w:val="page number"/>
    <w:rsid w:val="000852D5"/>
  </w:style>
  <w:style w:type="character" w:customStyle="1" w:styleId="tw4winMark">
    <w:name w:val="tw4winMark"/>
    <w:rsid w:val="000852D5"/>
    <w:rPr>
      <w:vanish/>
      <w:color w:val="800080"/>
      <w:vertAlign w:val="subscript"/>
    </w:rPr>
  </w:style>
  <w:style w:type="character" w:styleId="FollowedHyperlink">
    <w:name w:val="FollowedHyperlink"/>
    <w:rsid w:val="000852D5"/>
    <w:rPr>
      <w:color w:val="800080"/>
      <w:u w:val="single"/>
    </w:rPr>
  </w:style>
  <w:style w:type="paragraph" w:customStyle="1" w:styleId="Sous-titreobjet">
    <w:name w:val="Sous-titre objet"/>
    <w:basedOn w:val="Normal"/>
    <w:rsid w:val="000852D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0852D5"/>
  </w:style>
  <w:style w:type="paragraph" w:styleId="Revision">
    <w:name w:val="Revision"/>
    <w:hidden/>
    <w:uiPriority w:val="99"/>
    <w:semiHidden/>
    <w:rsid w:val="000852D5"/>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0852D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0852D5"/>
    <w:rPr>
      <w:rFonts w:ascii="Times New Roman" w:hAnsi="Times New Roman" w:cs="Times New Roman"/>
      <w:b/>
      <w:sz w:val="28"/>
      <w:lang w:val="en-GB"/>
    </w:rPr>
  </w:style>
  <w:style w:type="character" w:customStyle="1" w:styleId="FooterCoverPageChar">
    <w:name w:val="Footer Cover Page Char"/>
    <w:link w:val="FooterCoverPage"/>
    <w:rsid w:val="000852D5"/>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0852D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0852D5"/>
    <w:rPr>
      <w:rFonts w:ascii="Times New Roman" w:eastAsia="Calibri" w:hAnsi="Times New Roman" w:cs="Times New Roman"/>
      <w:sz w:val="24"/>
      <w:lang w:val="en-GB" w:eastAsia="en-GB"/>
    </w:rPr>
  </w:style>
  <w:style w:type="character" w:customStyle="1" w:styleId="FooterSensitivityChar">
    <w:name w:val="Footer Sensitivity Char"/>
    <w:rsid w:val="000852D5"/>
    <w:rPr>
      <w:rFonts w:ascii="Times New Roman" w:hAnsi="Times New Roman" w:cs="Times New Roman"/>
      <w:b/>
      <w:sz w:val="32"/>
      <w:lang w:val="en-GB"/>
    </w:rPr>
  </w:style>
  <w:style w:type="character" w:customStyle="1" w:styleId="HeaderSensitivityChar">
    <w:name w:val="Header Sensitivity Char"/>
    <w:rsid w:val="000852D5"/>
    <w:rPr>
      <w:rFonts w:ascii="Times New Roman" w:hAnsi="Times New Roman" w:cs="Times New Roman"/>
      <w:b/>
      <w:sz w:val="32"/>
      <w:lang w:val="en-GB"/>
    </w:rPr>
  </w:style>
  <w:style w:type="character" w:customStyle="1" w:styleId="HeaderSensitivityRightChar">
    <w:name w:val="Header Sensitivity Right Char"/>
    <w:rsid w:val="000852D5"/>
    <w:rPr>
      <w:rFonts w:ascii="Times New Roman" w:hAnsi="Times New Roman" w:cs="Times New Roman"/>
      <w:sz w:val="28"/>
      <w:lang w:val="en-GB"/>
    </w:rPr>
  </w:style>
  <w:style w:type="paragraph" w:customStyle="1" w:styleId="LegalNumPar">
    <w:name w:val="LegalNumPar"/>
    <w:basedOn w:val="Normal"/>
    <w:rsid w:val="000852D5"/>
    <w:pPr>
      <w:numPr>
        <w:numId w:val="17"/>
      </w:numPr>
      <w:tabs>
        <w:tab w:val="num" w:pos="2551"/>
      </w:tabs>
      <w:spacing w:line="360" w:lineRule="auto"/>
      <w:ind w:left="2551" w:hanging="567"/>
    </w:pPr>
    <w:rPr>
      <w:rFonts w:eastAsia="Times New Roman"/>
      <w:lang w:eastAsia="en-GB"/>
    </w:rPr>
  </w:style>
  <w:style w:type="paragraph" w:customStyle="1" w:styleId="LegalNumPar2">
    <w:name w:val="LegalNumPar2"/>
    <w:basedOn w:val="Normal"/>
    <w:rsid w:val="000852D5"/>
    <w:pPr>
      <w:numPr>
        <w:ilvl w:val="1"/>
        <w:numId w:val="17"/>
      </w:numPr>
      <w:tabs>
        <w:tab w:val="num" w:pos="2551"/>
      </w:tabs>
      <w:spacing w:line="360" w:lineRule="auto"/>
      <w:ind w:left="2551" w:hanging="567"/>
    </w:pPr>
    <w:rPr>
      <w:rFonts w:eastAsia="Times New Roman"/>
      <w:lang w:eastAsia="en-GB"/>
    </w:rPr>
  </w:style>
  <w:style w:type="paragraph" w:customStyle="1" w:styleId="LegalNumPar3">
    <w:name w:val="LegalNumPar3"/>
    <w:basedOn w:val="Normal"/>
    <w:rsid w:val="000852D5"/>
    <w:pPr>
      <w:numPr>
        <w:ilvl w:val="2"/>
        <w:numId w:val="17"/>
      </w:numPr>
      <w:tabs>
        <w:tab w:val="num" w:pos="2551"/>
      </w:tabs>
      <w:spacing w:line="360" w:lineRule="auto"/>
      <w:ind w:left="2551" w:hanging="567"/>
    </w:pPr>
    <w:rPr>
      <w:rFonts w:eastAsia="Times New Roman"/>
      <w:lang w:eastAsia="en-GB"/>
    </w:rPr>
  </w:style>
  <w:style w:type="paragraph" w:styleId="ListParagraph">
    <w:name w:val="List Paragraph"/>
    <w:basedOn w:val="Normal"/>
    <w:uiPriority w:val="34"/>
    <w:qFormat/>
    <w:rsid w:val="000852D5"/>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0852D5"/>
    <w:rPr>
      <w:color w:val="605E5C"/>
      <w:shd w:val="clear" w:color="auto" w:fill="E1DFDD"/>
    </w:rPr>
  </w:style>
  <w:style w:type="character" w:styleId="Strong">
    <w:name w:val="Strong"/>
    <w:basedOn w:val="DefaultParagraphFont"/>
    <w:qFormat/>
    <w:rsid w:val="000852D5"/>
    <w:rPr>
      <w:b/>
      <w:bCs/>
    </w:rPr>
  </w:style>
  <w:style w:type="character" w:styleId="Emphasis">
    <w:name w:val="Emphasis"/>
    <w:basedOn w:val="DefaultParagraphFont"/>
    <w:qFormat/>
    <w:rsid w:val="000852D5"/>
    <w:rPr>
      <w:i/>
      <w:iCs/>
    </w:rPr>
  </w:style>
  <w:style w:type="character" w:customStyle="1" w:styleId="Mention1">
    <w:name w:val="Mention1"/>
    <w:basedOn w:val="DefaultParagraphFont"/>
    <w:uiPriority w:val="99"/>
    <w:unhideWhenUsed/>
    <w:rsid w:val="000852D5"/>
    <w:rPr>
      <w:color w:val="2B579A"/>
      <w:shd w:val="clear" w:color="auto" w:fill="E1DFDD"/>
    </w:rPr>
  </w:style>
  <w:style w:type="character" w:customStyle="1" w:styleId="normaltextrun">
    <w:name w:val="normaltextrun"/>
    <w:basedOn w:val="DefaultParagraphFont"/>
    <w:rsid w:val="000852D5"/>
  </w:style>
  <w:style w:type="character" w:customStyle="1" w:styleId="eop">
    <w:name w:val="eop"/>
    <w:basedOn w:val="DefaultParagraphFont"/>
    <w:rsid w:val="000852D5"/>
  </w:style>
  <w:style w:type="paragraph" w:customStyle="1" w:styleId="paragraph">
    <w:name w:val="paragraph"/>
    <w:basedOn w:val="Normal"/>
    <w:rsid w:val="000852D5"/>
    <w:pPr>
      <w:spacing w:before="100" w:beforeAutospacing="1" w:after="100" w:afterAutospacing="1"/>
      <w:jc w:val="left"/>
    </w:pPr>
    <w:rPr>
      <w:rFonts w:eastAsia="Times New Roman"/>
      <w:szCs w:val="24"/>
      <w:lang w:val="en-IE" w:eastAsia="en-IE"/>
    </w:rPr>
  </w:style>
  <w:style w:type="character" w:customStyle="1" w:styleId="cf01">
    <w:name w:val="cf01"/>
    <w:basedOn w:val="DefaultParagraphFont"/>
    <w:rsid w:val="00254B72"/>
    <w:rPr>
      <w:rFonts w:ascii="Segoe UI" w:hAnsi="Segoe UI" w:cs="Segoe UI" w:hint="default"/>
      <w:b/>
      <w:bCs/>
      <w:sz w:val="18"/>
      <w:szCs w:val="18"/>
    </w:rPr>
  </w:style>
  <w:style w:type="character" w:customStyle="1" w:styleId="HeaderChar">
    <w:name w:val="Header Char"/>
    <w:basedOn w:val="DefaultParagraphFont"/>
    <w:link w:val="Header"/>
    <w:uiPriority w:val="99"/>
    <w:rsid w:val="00A12408"/>
    <w:rPr>
      <w:rFonts w:ascii="Times New Roman" w:hAnsi="Times New Roman" w:cs="Times New Roman"/>
      <w:sz w:val="24"/>
      <w:lang w:val="en-GB"/>
    </w:rPr>
  </w:style>
  <w:style w:type="character" w:customStyle="1" w:styleId="FooterChar">
    <w:name w:val="Footer Char"/>
    <w:basedOn w:val="DefaultParagraphFont"/>
    <w:link w:val="Footer"/>
    <w:uiPriority w:val="99"/>
    <w:rsid w:val="00A1240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1240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12408"/>
    <w:pPr>
      <w:spacing w:before="0"/>
      <w:jc w:val="right"/>
    </w:pPr>
    <w:rPr>
      <w:sz w:val="28"/>
    </w:rPr>
  </w:style>
  <w:style w:type="paragraph" w:customStyle="1" w:styleId="FooterSensitivity">
    <w:name w:val="Footer Sensitivity"/>
    <w:basedOn w:val="Normal"/>
    <w:rsid w:val="00A1240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12408"/>
    <w:pPr>
      <w:tabs>
        <w:tab w:val="center" w:pos="4535"/>
        <w:tab w:val="right" w:pos="9071"/>
      </w:tabs>
      <w:spacing w:before="0"/>
    </w:pPr>
  </w:style>
  <w:style w:type="paragraph" w:customStyle="1" w:styleId="HeaderLandscape">
    <w:name w:val="HeaderLandscape"/>
    <w:basedOn w:val="Normal"/>
    <w:rsid w:val="00A12408"/>
    <w:pPr>
      <w:tabs>
        <w:tab w:val="center" w:pos="7285"/>
        <w:tab w:val="right" w:pos="14003"/>
      </w:tabs>
      <w:spacing w:before="0"/>
    </w:pPr>
  </w:style>
  <w:style w:type="paragraph" w:styleId="Footer">
    <w:name w:val="footer"/>
    <w:basedOn w:val="Normal"/>
    <w:link w:val="FooterChar"/>
    <w:uiPriority w:val="99"/>
    <w:unhideWhenUsed/>
    <w:rsid w:val="00A1240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1240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6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r-lex.europa.eu/legal-content/EN/TXT/?uri=uriserv%3AOJ.C_.2021.528.01.0010.01.ENG&amp;toc=OJ%3AC%3A2021%3A528%3A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2581F4C1-2CFD-48C9-A294-062E4A73344C}">
    <t:Anchor>
      <t:Comment id="63662938"/>
    </t:Anchor>
    <t:History>
      <t:Event id="{D27F1860-0E0B-4644-80F5-7BB223CF0B31}" time="2025-03-30T12:10:55.385Z">
        <t:Attribution userId="S::eveline.petrat@ec.europa.eu::8362ef1a-07ce-49df-8191-f00f4d3146ab" userProvider="AD" userName="PETRAT Eveline (REGIO)"/>
        <t:Anchor>
          <t:Comment id="1832760408"/>
        </t:Anchor>
        <t:Create/>
      </t:Event>
      <t:Event id="{B52CBACF-1C6E-48EA-9D5B-FECA12D1A33D}" time="2025-03-30T12:10:55.385Z">
        <t:Attribution userId="S::eveline.petrat@ec.europa.eu::8362ef1a-07ce-49df-8191-f00f4d3146ab" userProvider="AD" userName="PETRAT Eveline (REGIO)"/>
        <t:Anchor>
          <t:Comment id="1832760408"/>
        </t:Anchor>
        <t:Assign userId="S::Anna.WAGNER@ec.europa.eu::3e29d0cb-e875-4cd0-975c-c286b5cd5d22" userProvider="AD" userName="WAGNER Anna (REGIO)"/>
      </t:Event>
      <t:Event id="{59A3CD29-0A2F-4E26-8AF5-3803C270701E}" time="2025-03-30T12:10:55.385Z">
        <t:Attribution userId="S::eveline.petrat@ec.europa.eu::8362ef1a-07ce-49df-8191-f00f4d3146ab" userProvider="AD" userName="PETRAT Eveline (REGIO)"/>
        <t:Anchor>
          <t:Comment id="1832760408"/>
        </t:Anchor>
        <t:SetTitle title="@WAGNER Anna (REGIO)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108D5DB348340BE1DE2D053F79295" ma:contentTypeVersion="4" ma:contentTypeDescription="Create a new document." ma:contentTypeScope="" ma:versionID="8390bf40849dea6e6a3ad0257128a719">
  <xsd:schema xmlns:xsd="http://www.w3.org/2001/XMLSchema" xmlns:xs="http://www.w3.org/2001/XMLSchema" xmlns:p="http://schemas.microsoft.com/office/2006/metadata/properties" xmlns:ns2="bd6295de-9a7c-45ce-8351-755b46c141ee" targetNamespace="http://schemas.microsoft.com/office/2006/metadata/properties" ma:root="true" ma:fieldsID="45bdcc73e13ea26a35542d9587c0b2cd" ns2:_="">
    <xsd:import namespace="bd6295de-9a7c-45ce-8351-755b46c141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95de-9a7c-45ce-8351-755b46c14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3628-30FE-41CD-A8A6-9F813AA260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ECDB8F-E8ED-4237-B075-32E6139B1A91}">
  <ds:schemaRefs>
    <ds:schemaRef ds:uri="http://schemas.microsoft.com/sharepoint/v3/contenttype/forms"/>
  </ds:schemaRefs>
</ds:datastoreItem>
</file>

<file path=customXml/itemProps3.xml><?xml version="1.0" encoding="utf-8"?>
<ds:datastoreItem xmlns:ds="http://schemas.openxmlformats.org/officeDocument/2006/customXml" ds:itemID="{847C7D55-FF55-4754-B518-5AEB5F79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95de-9a7c-45ce-8351-755b46c1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39107-9BAE-40C2-9819-C273530E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47</Pages>
  <Words>16647</Words>
  <Characters>94228</Characters>
  <Application>Microsoft Office Word</Application>
  <DocSecurity>0</DocSecurity>
  <Lines>2692</Lines>
  <Paragraphs>1368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PAREDES ECHAURI Cristina (SG)</dc:creator>
  <cp:keywords/>
  <dc:description/>
  <cp:lastModifiedBy>PAREDES ECHAURI Cristina (SG)</cp:lastModifiedBy>
  <cp:revision>3</cp:revision>
  <cp:lastPrinted>2025-03-14T23:31:00Z</cp:lastPrinted>
  <dcterms:created xsi:type="dcterms:W3CDTF">2025-04-01T10:17:00Z</dcterms:created>
  <dcterms:modified xsi:type="dcterms:W3CDTF">2025-04-01T11:05:00Z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2025-03-12T07:58:37Z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cd9da401-b654-4d30-90ee-2314419ceda7</vt:lpwstr>
  </property>
  <property fmtid="{D5CDD505-2E9C-101B-9397-08002B2CF9AE}" pid="16" name="MSIP_Label_6bd9ddd1-4d20-43f6-abfa-fc3c07406f94_ContentBits">
    <vt:lpwstr>0</vt:lpwstr>
  </property>
  <property fmtid="{D5CDD505-2E9C-101B-9397-08002B2CF9AE}" pid="17" name="ContentTypeId">
    <vt:lpwstr>0x010100F2F108D5DB348340BE1DE2D053F79295</vt:lpwstr>
  </property>
  <property fmtid="{D5CDD505-2E9C-101B-9397-08002B2CF9AE}" pid="18" name="EC_TX_Corporate_x0020_Body">
    <vt:lpwstr/>
  </property>
  <property fmtid="{D5CDD505-2E9C-101B-9397-08002B2CF9AE}" pid="19" name="EC_TX_All_World_Countries">
    <vt:lpwstr/>
  </property>
  <property fmtid="{D5CDD505-2E9C-101B-9397-08002B2CF9AE}" pid="20" name="MediaServiceImageTags">
    <vt:lpwstr/>
  </property>
  <property fmtid="{D5CDD505-2E9C-101B-9397-08002B2CF9AE}" pid="21" name="i8c8ab8b63424c5d9f8c4a8434abf670">
    <vt:lpwstr/>
  </property>
  <property fmtid="{D5CDD505-2E9C-101B-9397-08002B2CF9AE}" pid="22" name="p26229aee9004b9f888149fd0449ec68">
    <vt:lpwstr/>
  </property>
  <property fmtid="{D5CDD505-2E9C-101B-9397-08002B2CF9AE}" pid="23" name="eff2cf69f10b4279bbb27215ca009b37">
    <vt:lpwstr/>
  </property>
  <property fmtid="{D5CDD505-2E9C-101B-9397-08002B2CF9AE}" pid="24" name="EC_TX_Resource_Type">
    <vt:lpwstr/>
  </property>
  <property fmtid="{D5CDD505-2E9C-101B-9397-08002B2CF9AE}" pid="25" name="EC_TX_EU_Member_State">
    <vt:lpwstr/>
  </property>
  <property fmtid="{D5CDD505-2E9C-101B-9397-08002B2CF9AE}" pid="26" name="j8309f8bc3e645d1a2f07391f8e5795a">
    <vt:lpwstr/>
  </property>
  <property fmtid="{D5CDD505-2E9C-101B-9397-08002B2CF9AE}" pid="27" name="g81cb4d17be94922847ce418ea81f55a">
    <vt:lpwstr/>
  </property>
  <property fmtid="{D5CDD505-2E9C-101B-9397-08002B2CF9AE}" pid="28" name="TaxCatchAll">
    <vt:lpwstr/>
  </property>
  <property fmtid="{D5CDD505-2E9C-101B-9397-08002B2CF9AE}" pid="29" name="k2c54712f93b47eb83e1835ba301b6c6">
    <vt:lpwstr/>
  </property>
  <property fmtid="{D5CDD505-2E9C-101B-9397-08002B2CF9AE}" pid="30" name="EC_TX_Strategic_Priority">
    <vt:lpwstr/>
  </property>
  <property fmtid="{D5CDD505-2E9C-101B-9397-08002B2CF9AE}" pid="31" name="EC_TX_EU_Political_Leader">
    <vt:lpwstr/>
  </property>
  <property fmtid="{D5CDD505-2E9C-101B-9397-08002B2CF9AE}" pid="32" name="EC_TX_Corporate Body">
    <vt:lpwstr/>
  </property>
  <property fmtid="{D5CDD505-2E9C-101B-9397-08002B2CF9AE}" pid="33" name="DQCStatus">
    <vt:lpwstr>Yellow (DQC version 03)</vt:lpwstr>
  </property>
</Properties>
</file>