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8D7D9" w14:textId="6C473980" w:rsidR="00412E11" w:rsidRPr="00EC49A8" w:rsidRDefault="009F3D23" w:rsidP="009F3D23">
      <w:pPr>
        <w:pStyle w:val="Pagedecouverture"/>
        <w:rPr>
          <w:noProof/>
        </w:rPr>
      </w:pPr>
      <w:r>
        <w:rPr>
          <w:noProof/>
        </w:rPr>
        <w:pict w14:anchorId="77435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28F218D-2592-427F-9220-402040C6F78A" style="width:455.25pt;height:426pt">
            <v:imagedata r:id="rId11" o:title=""/>
          </v:shape>
        </w:pict>
      </w:r>
    </w:p>
    <w:p w14:paraId="2ECD6AD6" w14:textId="77777777" w:rsidR="00412E11" w:rsidRPr="00EC49A8" w:rsidRDefault="00412E11" w:rsidP="00412E11">
      <w:pPr>
        <w:rPr>
          <w:noProof/>
        </w:rPr>
        <w:sectPr w:rsidR="00412E11" w:rsidRPr="00EC49A8" w:rsidSect="009F3D23">
          <w:footerReference w:type="even" r:id="rId12"/>
          <w:footerReference w:type="default" r:id="rId13"/>
          <w:pgSz w:w="11907" w:h="16839"/>
          <w:pgMar w:top="1134" w:right="1417" w:bottom="1134" w:left="1417" w:header="709" w:footer="709" w:gutter="0"/>
          <w:pgNumType w:start="0"/>
          <w:cols w:space="720"/>
          <w:docGrid w:linePitch="360"/>
        </w:sectPr>
      </w:pPr>
    </w:p>
    <w:p w14:paraId="198866C4" w14:textId="77777777" w:rsidR="00412E11" w:rsidRPr="00EC49A8" w:rsidRDefault="00412E11" w:rsidP="000C5C29">
      <w:pPr>
        <w:pStyle w:val="Exposdesmotifstitre"/>
        <w:rPr>
          <w:noProof/>
        </w:rPr>
      </w:pPr>
      <w:bookmarkStart w:id="0" w:name="_GoBack"/>
      <w:bookmarkEnd w:id="0"/>
      <w:r w:rsidRPr="00EC49A8">
        <w:rPr>
          <w:noProof/>
        </w:rPr>
        <w:lastRenderedPageBreak/>
        <w:t>RELAZIONE</w:t>
      </w:r>
    </w:p>
    <w:p w14:paraId="20DB2A92" w14:textId="77777777" w:rsidR="00412E11" w:rsidRPr="00EC49A8" w:rsidRDefault="00412E11" w:rsidP="000C5C29">
      <w:pPr>
        <w:pStyle w:val="ManualHeading1"/>
        <w:rPr>
          <w:noProof/>
        </w:rPr>
      </w:pPr>
      <w:r w:rsidRPr="00B17672">
        <w:rPr>
          <w:noProof/>
        </w:rPr>
        <w:t>1</w:t>
      </w:r>
      <w:r w:rsidRPr="00EC49A8">
        <w:rPr>
          <w:noProof/>
        </w:rPr>
        <w:t>.</w:t>
      </w:r>
      <w:r w:rsidRPr="00EC49A8">
        <w:rPr>
          <w:noProof/>
        </w:rPr>
        <w:tab/>
        <w:t>CONTESTO DELLA PROPOSTA</w:t>
      </w:r>
    </w:p>
    <w:p w14:paraId="12FCF3D1" w14:textId="77777777" w:rsidR="00412E11" w:rsidRPr="00EC49A8" w:rsidRDefault="00412E11" w:rsidP="000C5C29">
      <w:pPr>
        <w:pStyle w:val="ManualHeading2"/>
        <w:rPr>
          <w:rFonts w:eastAsia="Arial Unicode MS"/>
          <w:noProof/>
        </w:rPr>
      </w:pPr>
      <w:r w:rsidRPr="00EC49A8">
        <w:rPr>
          <w:noProof/>
          <w:u w:color="000000"/>
          <w:bdr w:val="nil"/>
        </w:rPr>
        <w:t>•</w:t>
      </w:r>
      <w:r w:rsidRPr="00EC49A8">
        <w:rPr>
          <w:noProof/>
        </w:rPr>
        <w:tab/>
        <w:t>Motivi e obiettivi della proposta</w:t>
      </w:r>
    </w:p>
    <w:p w14:paraId="0D224510" w14:textId="715FAB3A" w:rsidR="003F43F0" w:rsidRPr="00EC49A8" w:rsidRDefault="00604009" w:rsidP="119954EC">
      <w:pPr>
        <w:pBdr>
          <w:top w:val="nil"/>
          <w:left w:val="nil"/>
          <w:bottom w:val="nil"/>
          <w:right w:val="nil"/>
          <w:between w:val="nil"/>
          <w:bar w:val="nil"/>
        </w:pBdr>
        <w:spacing w:before="0" w:after="240"/>
        <w:rPr>
          <w:rFonts w:eastAsia="Arial Unicode MS"/>
          <w:noProof/>
        </w:rPr>
      </w:pPr>
      <w:r w:rsidRPr="00EC49A8">
        <w:rPr>
          <w:noProof/>
        </w:rPr>
        <w:t xml:space="preserve">Il </w:t>
      </w:r>
      <w:hyperlink r:id="rId14">
        <w:r w:rsidRPr="00EC49A8">
          <w:rPr>
            <w:noProof/>
          </w:rPr>
          <w:t xml:space="preserve">regolamento (UE) </w:t>
        </w:r>
        <w:r w:rsidRPr="00B17672">
          <w:rPr>
            <w:noProof/>
          </w:rPr>
          <w:t>2019</w:t>
        </w:r>
        <w:r w:rsidRPr="00EC49A8">
          <w:rPr>
            <w:noProof/>
          </w:rPr>
          <w:t>/</w:t>
        </w:r>
        <w:r w:rsidRPr="00B17672">
          <w:rPr>
            <w:noProof/>
          </w:rPr>
          <w:t>631</w:t>
        </w:r>
        <w:r w:rsidRPr="00EC49A8">
          <w:rPr>
            <w:rStyle w:val="FootnoteReference"/>
            <w:rFonts w:eastAsia="Arial Unicode MS"/>
            <w:noProof/>
          </w:rPr>
          <w:footnoteReference w:id="2"/>
        </w:r>
      </w:hyperlink>
      <w:r w:rsidRPr="00EC49A8">
        <w:rPr>
          <w:noProof/>
        </w:rPr>
        <w:t xml:space="preserve"> definisce i livelli di prestazione in materia di emissioni di CO</w:t>
      </w:r>
      <w:r w:rsidRPr="00B17672">
        <w:rPr>
          <w:noProof/>
          <w:vertAlign w:val="subscript"/>
        </w:rPr>
        <w:t>2</w:t>
      </w:r>
      <w:r w:rsidRPr="00EC49A8">
        <w:rPr>
          <w:noProof/>
        </w:rPr>
        <w:t xml:space="preserve"> delle autovetture nuove e dei veicoli commerciali leggeri nuovi. Apporta così un contributo fondamentale al conseguimento degli obiettivi fissati nella normativa europea sul clima, tra cui il conseguimento della neutralità climatica entro il</w:t>
      </w:r>
      <w:r w:rsidR="00B17672">
        <w:rPr>
          <w:noProof/>
        </w:rPr>
        <w:t> </w:t>
      </w:r>
      <w:r w:rsidRPr="00B17672">
        <w:rPr>
          <w:noProof/>
        </w:rPr>
        <w:t>2050</w:t>
      </w:r>
      <w:r w:rsidRPr="00EC49A8">
        <w:rPr>
          <w:noProof/>
        </w:rPr>
        <w:t xml:space="preserve"> e la riduzione del </w:t>
      </w:r>
      <w:r w:rsidRPr="00B17672">
        <w:rPr>
          <w:noProof/>
        </w:rPr>
        <w:t>55</w:t>
      </w:r>
      <w:r w:rsidRPr="00EC49A8">
        <w:rPr>
          <w:noProof/>
        </w:rPr>
        <w:t> % delle emissioni di CO</w:t>
      </w:r>
      <w:r w:rsidRPr="00B17672">
        <w:rPr>
          <w:noProof/>
          <w:vertAlign w:val="subscript"/>
        </w:rPr>
        <w:t>2</w:t>
      </w:r>
      <w:r w:rsidRPr="00EC49A8">
        <w:rPr>
          <w:noProof/>
        </w:rPr>
        <w:t xml:space="preserve"> in tutti i settori dell</w:t>
      </w:r>
      <w:r w:rsidR="00B17672">
        <w:rPr>
          <w:noProof/>
        </w:rPr>
        <w:t>'</w:t>
      </w:r>
      <w:r w:rsidRPr="00EC49A8">
        <w:rPr>
          <w:noProof/>
        </w:rPr>
        <w:t xml:space="preserve">economia entro il </w:t>
      </w:r>
      <w:r w:rsidRPr="00B17672">
        <w:rPr>
          <w:noProof/>
        </w:rPr>
        <w:t>2030</w:t>
      </w:r>
      <w:r w:rsidRPr="00EC49A8">
        <w:rPr>
          <w:noProof/>
        </w:rPr>
        <w:t xml:space="preserve"> rispetto ai livelli del </w:t>
      </w:r>
      <w:r w:rsidRPr="00B17672">
        <w:rPr>
          <w:noProof/>
        </w:rPr>
        <w:t>1990</w:t>
      </w:r>
      <w:r w:rsidRPr="00EC49A8">
        <w:rPr>
          <w:noProof/>
        </w:rPr>
        <w:t xml:space="preserve">. </w:t>
      </w:r>
    </w:p>
    <w:p w14:paraId="76C029C3" w14:textId="48D80ABF" w:rsidR="00A96A0B" w:rsidRPr="00EC49A8" w:rsidRDefault="005400F3" w:rsidP="00A96A0B">
      <w:pPr>
        <w:pBdr>
          <w:top w:val="nil"/>
          <w:left w:val="nil"/>
          <w:bottom w:val="nil"/>
          <w:right w:val="nil"/>
          <w:between w:val="nil"/>
          <w:bar w:val="nil"/>
        </w:pBdr>
        <w:spacing w:before="0" w:after="240"/>
        <w:rPr>
          <w:rFonts w:eastAsia="Arial Unicode MS"/>
          <w:noProof/>
        </w:rPr>
      </w:pPr>
      <w:r w:rsidRPr="00EC49A8">
        <w:rPr>
          <w:noProof/>
        </w:rPr>
        <w:t>Il settore automobilistico, che è di fondamentale importanza per l</w:t>
      </w:r>
      <w:r w:rsidR="00B17672">
        <w:rPr>
          <w:noProof/>
        </w:rPr>
        <w:t>'</w:t>
      </w:r>
      <w:r w:rsidRPr="00EC49A8">
        <w:rPr>
          <w:noProof/>
        </w:rPr>
        <w:t>economia dell</w:t>
      </w:r>
      <w:r w:rsidR="00B17672">
        <w:rPr>
          <w:noProof/>
        </w:rPr>
        <w:t>'</w:t>
      </w:r>
      <w:r w:rsidRPr="00EC49A8">
        <w:rPr>
          <w:noProof/>
        </w:rPr>
        <w:t xml:space="preserve">UE, rappresentandone oltre il </w:t>
      </w:r>
      <w:r w:rsidRPr="00B17672">
        <w:rPr>
          <w:noProof/>
        </w:rPr>
        <w:t>7</w:t>
      </w:r>
      <w:r w:rsidRPr="00EC49A8">
        <w:rPr>
          <w:noProof/>
        </w:rPr>
        <w:t xml:space="preserve"> % del PIL, dà lavoro – direttamente o indirettamente, nei settori manifatturiero, delle vendite, della manutenzione, della costruzione e dei trasporti e servizi connessi – a circa </w:t>
      </w:r>
      <w:r w:rsidRPr="00B17672">
        <w:rPr>
          <w:noProof/>
        </w:rPr>
        <w:t>13</w:t>
      </w:r>
      <w:r w:rsidR="00B17672">
        <w:rPr>
          <w:noProof/>
        </w:rPr>
        <w:t> </w:t>
      </w:r>
      <w:r w:rsidRPr="00EC49A8">
        <w:rPr>
          <w:noProof/>
        </w:rPr>
        <w:t>milioni di europei. Tale settore è attualmente oggetto di una trasformazione strutturale che implica cambiamenti nelle tecnologie pulite e digitali, in particolare la transizione verso veicoli a zero emissioni. I livelli di emissioni di CO</w:t>
      </w:r>
      <w:r w:rsidRPr="00B17672">
        <w:rPr>
          <w:noProof/>
          <w:vertAlign w:val="subscript"/>
        </w:rPr>
        <w:t>2</w:t>
      </w:r>
      <w:r w:rsidRPr="00EC49A8">
        <w:rPr>
          <w:noProof/>
        </w:rPr>
        <w:t xml:space="preserve"> offrono certezza e prevedibilità a lungo termine agli investitori nella catena del valore, in modo da rendere possibile questa trasformazione strutturale e lasciare tempo sufficiente per una transizione equa.</w:t>
      </w:r>
    </w:p>
    <w:p w14:paraId="450F0B76" w14:textId="62E6A8D2" w:rsidR="00A96A0B" w:rsidRPr="00EC49A8" w:rsidRDefault="00A96A0B" w:rsidP="00A96A0B">
      <w:pPr>
        <w:pBdr>
          <w:top w:val="nil"/>
          <w:left w:val="nil"/>
          <w:bottom w:val="nil"/>
          <w:right w:val="nil"/>
          <w:between w:val="nil"/>
          <w:bar w:val="nil"/>
        </w:pBdr>
        <w:tabs>
          <w:tab w:val="num" w:pos="720"/>
        </w:tabs>
        <w:spacing w:before="0" w:after="240"/>
        <w:rPr>
          <w:rFonts w:eastAsia="Arial Unicode MS"/>
          <w:noProof/>
        </w:rPr>
      </w:pPr>
      <w:r w:rsidRPr="00EC49A8">
        <w:rPr>
          <w:noProof/>
        </w:rPr>
        <w:t>Il regolamento dispone a intervalli di cinque anni la riduzione per l</w:t>
      </w:r>
      <w:r w:rsidR="00B17672">
        <w:rPr>
          <w:noProof/>
        </w:rPr>
        <w:t>'</w:t>
      </w:r>
      <w:r w:rsidRPr="00EC49A8">
        <w:rPr>
          <w:noProof/>
        </w:rPr>
        <w:t>intero parco veicoli dell</w:t>
      </w:r>
      <w:r w:rsidR="00B17672">
        <w:rPr>
          <w:noProof/>
        </w:rPr>
        <w:t>'</w:t>
      </w:r>
      <w:r w:rsidRPr="00EC49A8">
        <w:rPr>
          <w:noProof/>
        </w:rPr>
        <w:t>UE delle emissioni medie annue di CO</w:t>
      </w:r>
      <w:r w:rsidRPr="00B17672">
        <w:rPr>
          <w:noProof/>
          <w:vertAlign w:val="subscript"/>
        </w:rPr>
        <w:t>2</w:t>
      </w:r>
      <w:r w:rsidRPr="00EC49A8">
        <w:rPr>
          <w:noProof/>
        </w:rPr>
        <w:t xml:space="preserve"> prodotte dalle autovetture nuove e dai furgoni nuovi. A decorrere dal </w:t>
      </w:r>
      <w:r w:rsidRPr="00B17672">
        <w:rPr>
          <w:noProof/>
        </w:rPr>
        <w:t>2025</w:t>
      </w:r>
      <w:r w:rsidRPr="00EC49A8">
        <w:rPr>
          <w:noProof/>
        </w:rPr>
        <w:t xml:space="preserve"> inizia ad applicarsi, per ogni anno del periodo dal </w:t>
      </w:r>
      <w:r w:rsidRPr="00B17672">
        <w:rPr>
          <w:noProof/>
        </w:rPr>
        <w:t>2025</w:t>
      </w:r>
      <w:r w:rsidRPr="00EC49A8">
        <w:rPr>
          <w:noProof/>
        </w:rPr>
        <w:t xml:space="preserve"> al </w:t>
      </w:r>
      <w:r w:rsidRPr="00B17672">
        <w:rPr>
          <w:noProof/>
        </w:rPr>
        <w:t>2029</w:t>
      </w:r>
      <w:r w:rsidRPr="00EC49A8">
        <w:rPr>
          <w:noProof/>
        </w:rPr>
        <w:t>, un obiettivo di riduzione delle emissioni di CO</w:t>
      </w:r>
      <w:r w:rsidRPr="00B17672">
        <w:rPr>
          <w:noProof/>
          <w:vertAlign w:val="subscript"/>
        </w:rPr>
        <w:t>2</w:t>
      </w:r>
      <w:r w:rsidRPr="00EC49A8">
        <w:rPr>
          <w:noProof/>
        </w:rPr>
        <w:t xml:space="preserve"> pari al </w:t>
      </w:r>
      <w:r w:rsidRPr="00B17672">
        <w:rPr>
          <w:noProof/>
        </w:rPr>
        <w:t>15</w:t>
      </w:r>
      <w:r w:rsidRPr="00EC49A8">
        <w:rPr>
          <w:noProof/>
        </w:rPr>
        <w:t xml:space="preserve"> % rispetto ai valori del </w:t>
      </w:r>
      <w:r w:rsidRPr="00B17672">
        <w:rPr>
          <w:noProof/>
        </w:rPr>
        <w:t>2021</w:t>
      </w:r>
      <w:r w:rsidRPr="00EC49A8">
        <w:rPr>
          <w:noProof/>
        </w:rPr>
        <w:t>.</w:t>
      </w:r>
    </w:p>
    <w:p w14:paraId="6D377DD0" w14:textId="17003715" w:rsidR="00A96A0B" w:rsidRPr="00EC49A8" w:rsidRDefault="00A96A0B" w:rsidP="00A96A0B">
      <w:pPr>
        <w:pBdr>
          <w:top w:val="nil"/>
          <w:left w:val="nil"/>
          <w:bottom w:val="nil"/>
          <w:right w:val="nil"/>
          <w:between w:val="nil"/>
          <w:bar w:val="nil"/>
        </w:pBdr>
        <w:tabs>
          <w:tab w:val="num" w:pos="720"/>
        </w:tabs>
        <w:spacing w:before="0" w:after="240"/>
        <w:rPr>
          <w:rFonts w:eastAsia="Arial Unicode MS"/>
          <w:noProof/>
        </w:rPr>
      </w:pPr>
      <w:r w:rsidRPr="00EC49A8">
        <w:rPr>
          <w:noProof/>
        </w:rPr>
        <w:t>Ogni anno, sulla base dell</w:t>
      </w:r>
      <w:r w:rsidR="00B17672">
        <w:rPr>
          <w:noProof/>
        </w:rPr>
        <w:t>'</w:t>
      </w:r>
      <w:r w:rsidRPr="00EC49A8">
        <w:rPr>
          <w:noProof/>
        </w:rPr>
        <w:t>obiettivo per l</w:t>
      </w:r>
      <w:r w:rsidR="00B17672">
        <w:rPr>
          <w:noProof/>
        </w:rPr>
        <w:t>'</w:t>
      </w:r>
      <w:r w:rsidRPr="00EC49A8">
        <w:rPr>
          <w:noProof/>
        </w:rPr>
        <w:t>intero parco veicoli dell</w:t>
      </w:r>
      <w:r w:rsidR="00B17672">
        <w:rPr>
          <w:noProof/>
        </w:rPr>
        <w:t>'</w:t>
      </w:r>
      <w:r w:rsidRPr="00EC49A8">
        <w:rPr>
          <w:noProof/>
        </w:rPr>
        <w:t>UE, si determinano le emissioni medie di CO</w:t>
      </w:r>
      <w:r w:rsidRPr="00B17672">
        <w:rPr>
          <w:noProof/>
          <w:vertAlign w:val="subscript"/>
        </w:rPr>
        <w:t>2</w:t>
      </w:r>
      <w:r w:rsidRPr="00EC49A8">
        <w:rPr>
          <w:noProof/>
        </w:rPr>
        <w:t xml:space="preserve"> e l</w:t>
      </w:r>
      <w:r w:rsidR="00B17672">
        <w:rPr>
          <w:noProof/>
        </w:rPr>
        <w:t>'</w:t>
      </w:r>
      <w:r w:rsidRPr="00EC49A8">
        <w:rPr>
          <w:noProof/>
        </w:rPr>
        <w:t>obiettivo specifico per le emissioni di CO</w:t>
      </w:r>
      <w:r w:rsidRPr="00B17672">
        <w:rPr>
          <w:noProof/>
          <w:vertAlign w:val="subscript"/>
        </w:rPr>
        <w:t>2</w:t>
      </w:r>
      <w:r w:rsidRPr="00EC49A8">
        <w:rPr>
          <w:noProof/>
        </w:rPr>
        <w:t xml:space="preserve"> di ciascun costruttore per valutarne le prestazioni nel conseguimento dei rispettivi obiettivi. I costruttori che superano l</w:t>
      </w:r>
      <w:r w:rsidR="00B17672">
        <w:rPr>
          <w:noProof/>
        </w:rPr>
        <w:t>'</w:t>
      </w:r>
      <w:r w:rsidRPr="00EC49A8">
        <w:rPr>
          <w:noProof/>
        </w:rPr>
        <w:t>obiettivo specifico per le emissioni versano un</w:t>
      </w:r>
      <w:r w:rsidR="00B17672">
        <w:rPr>
          <w:noProof/>
        </w:rPr>
        <w:t>'</w:t>
      </w:r>
      <w:r w:rsidRPr="00EC49A8">
        <w:rPr>
          <w:noProof/>
        </w:rPr>
        <w:t xml:space="preserve">indennità per le emissioni in eccesso pari a </w:t>
      </w:r>
      <w:r w:rsidRPr="00B17672">
        <w:rPr>
          <w:noProof/>
        </w:rPr>
        <w:t>95</w:t>
      </w:r>
      <w:r w:rsidRPr="00EC49A8">
        <w:rPr>
          <w:noProof/>
        </w:rPr>
        <w:t> EUR per g/km su ciascun veicolo di nuova immatricolazione.</w:t>
      </w:r>
    </w:p>
    <w:p w14:paraId="04E28D80" w14:textId="22309735" w:rsidR="003829F1" w:rsidRPr="00EC49A8" w:rsidRDefault="008942B3" w:rsidP="003829F1">
      <w:pPr>
        <w:pBdr>
          <w:top w:val="nil"/>
          <w:left w:val="nil"/>
          <w:bottom w:val="nil"/>
          <w:right w:val="nil"/>
          <w:between w:val="nil"/>
          <w:bar w:val="nil"/>
        </w:pBdr>
        <w:tabs>
          <w:tab w:val="num" w:pos="720"/>
        </w:tabs>
        <w:spacing w:before="0" w:after="240"/>
        <w:rPr>
          <w:rFonts w:eastAsia="Arial Unicode MS"/>
          <w:noProof/>
        </w:rPr>
      </w:pPr>
      <w:r w:rsidRPr="00EC49A8">
        <w:rPr>
          <w:noProof/>
        </w:rPr>
        <w:t>Nel contesto del dialogo strategico sul futuro dell</w:t>
      </w:r>
      <w:r w:rsidR="00B17672">
        <w:rPr>
          <w:noProof/>
        </w:rPr>
        <w:t>'</w:t>
      </w:r>
      <w:r w:rsidRPr="00EC49A8">
        <w:rPr>
          <w:noProof/>
        </w:rPr>
        <w:t xml:space="preserve">industria automobilistica, svolto nel primo trimestre del </w:t>
      </w:r>
      <w:r w:rsidRPr="00B17672">
        <w:rPr>
          <w:noProof/>
        </w:rPr>
        <w:t>2025</w:t>
      </w:r>
      <w:r w:rsidRPr="00EC49A8">
        <w:rPr>
          <w:noProof/>
        </w:rPr>
        <w:t>, e come annunciato nel piano d</w:t>
      </w:r>
      <w:r w:rsidR="00B17672">
        <w:rPr>
          <w:noProof/>
        </w:rPr>
        <w:t>'</w:t>
      </w:r>
      <w:r w:rsidRPr="00EC49A8">
        <w:rPr>
          <w:noProof/>
        </w:rPr>
        <w:t xml:space="preserve">azione della Commissione per il settore automobilistico del </w:t>
      </w:r>
      <w:r w:rsidRPr="00B17672">
        <w:rPr>
          <w:noProof/>
        </w:rPr>
        <w:t>5</w:t>
      </w:r>
      <w:r w:rsidRPr="00EC49A8">
        <w:rPr>
          <w:noProof/>
        </w:rPr>
        <w:t xml:space="preserve"> marzo </w:t>
      </w:r>
      <w:r w:rsidRPr="00B17672">
        <w:rPr>
          <w:noProof/>
        </w:rPr>
        <w:t>2025</w:t>
      </w:r>
      <w:r w:rsidRPr="00EC49A8">
        <w:rPr>
          <w:noProof/>
        </w:rPr>
        <w:t xml:space="preserve">, la proposta riguarda una modifica mirata del </w:t>
      </w:r>
      <w:hyperlink r:id="rId15" w:history="1">
        <w:r w:rsidRPr="00EC49A8">
          <w:rPr>
            <w:noProof/>
          </w:rPr>
          <w:t xml:space="preserve">regolamento (UE) </w:t>
        </w:r>
        <w:r w:rsidRPr="00B17672">
          <w:rPr>
            <w:noProof/>
          </w:rPr>
          <w:t>2019</w:t>
        </w:r>
        <w:r w:rsidRPr="00EC49A8">
          <w:rPr>
            <w:noProof/>
          </w:rPr>
          <w:t>/</w:t>
        </w:r>
        <w:r w:rsidRPr="00B17672">
          <w:rPr>
            <w:noProof/>
          </w:rPr>
          <w:t>631</w:t>
        </w:r>
      </w:hyperlink>
      <w:r w:rsidRPr="00EC49A8">
        <w:rPr>
          <w:noProof/>
        </w:rPr>
        <w:t xml:space="preserve"> tesa a offrire ai costruttori ulteriore flessibilità nell</w:t>
      </w:r>
      <w:r w:rsidR="00B17672">
        <w:rPr>
          <w:noProof/>
        </w:rPr>
        <w:t>'</w:t>
      </w:r>
      <w:r w:rsidRPr="00EC49A8">
        <w:rPr>
          <w:noProof/>
        </w:rPr>
        <w:t xml:space="preserve">adempiere i propri obblighi di conformità, prevedendo un periodo di adempimento triennale, anziché annuale, per il </w:t>
      </w:r>
      <w:r w:rsidRPr="00B17672">
        <w:rPr>
          <w:noProof/>
        </w:rPr>
        <w:t>2025</w:t>
      </w:r>
      <w:r w:rsidRPr="00EC49A8">
        <w:rPr>
          <w:noProof/>
        </w:rPr>
        <w:t xml:space="preserve">, il </w:t>
      </w:r>
      <w:r w:rsidRPr="00B17672">
        <w:rPr>
          <w:noProof/>
        </w:rPr>
        <w:t>2026</w:t>
      </w:r>
      <w:r w:rsidRPr="00EC49A8">
        <w:rPr>
          <w:noProof/>
        </w:rPr>
        <w:t xml:space="preserve"> e il </w:t>
      </w:r>
      <w:r w:rsidRPr="00B17672">
        <w:rPr>
          <w:noProof/>
        </w:rPr>
        <w:t>2027</w:t>
      </w:r>
      <w:r w:rsidRPr="00EC49A8">
        <w:rPr>
          <w:noProof/>
        </w:rPr>
        <w:t xml:space="preserve">. </w:t>
      </w:r>
    </w:p>
    <w:p w14:paraId="025B2193" w14:textId="6342F35D" w:rsidR="00A96A0B" w:rsidRPr="00EC49A8" w:rsidRDefault="00A96A0B" w:rsidP="00A96A0B">
      <w:pPr>
        <w:pBdr>
          <w:top w:val="nil"/>
          <w:left w:val="nil"/>
          <w:bottom w:val="nil"/>
          <w:right w:val="nil"/>
          <w:between w:val="nil"/>
          <w:bar w:val="nil"/>
        </w:pBdr>
        <w:tabs>
          <w:tab w:val="num" w:pos="720"/>
        </w:tabs>
        <w:spacing w:before="0" w:after="240"/>
        <w:rPr>
          <w:rFonts w:eastAsia="Arial Unicode MS"/>
          <w:noProof/>
        </w:rPr>
      </w:pPr>
      <w:r w:rsidRPr="00EC49A8">
        <w:rPr>
          <w:noProof/>
        </w:rPr>
        <w:t>Pur accordando ulteriore flessibilità ai costruttori, la modifica mirata mantiene il livello di ambizione dell</w:t>
      </w:r>
      <w:r w:rsidR="00B17672">
        <w:rPr>
          <w:noProof/>
        </w:rPr>
        <w:t>'</w:t>
      </w:r>
      <w:r w:rsidRPr="00EC49A8">
        <w:rPr>
          <w:noProof/>
        </w:rPr>
        <w:t>obiettivo di riduzione delle emissioni.</w:t>
      </w:r>
    </w:p>
    <w:p w14:paraId="7D23AF1C" w14:textId="77777777" w:rsidR="00F85402" w:rsidRPr="00EC49A8" w:rsidRDefault="00F85402" w:rsidP="00F85402">
      <w:pPr>
        <w:pBdr>
          <w:top w:val="nil"/>
          <w:left w:val="nil"/>
          <w:bottom w:val="nil"/>
          <w:right w:val="nil"/>
          <w:between w:val="nil"/>
          <w:bar w:val="nil"/>
        </w:pBdr>
        <w:tabs>
          <w:tab w:val="num" w:pos="720"/>
        </w:tabs>
        <w:spacing w:before="0" w:after="240"/>
        <w:rPr>
          <w:rFonts w:eastAsia="Arial Unicode MS"/>
          <w:noProof/>
        </w:rPr>
      </w:pPr>
      <w:r w:rsidRPr="00EC49A8">
        <w:rPr>
          <w:noProof/>
        </w:rPr>
        <w:t>Onde preservare la certezza e la prevedibilità normative, è indispensabile che questa flessibilità una tantum – che estende a tre anni il periodo di adempimento – sia concordata tra il Parlamento europeo e il Consiglio in modo rapido e tempestivo.</w:t>
      </w:r>
    </w:p>
    <w:p w14:paraId="5D01B38B" w14:textId="77777777" w:rsidR="00F85402" w:rsidRPr="00EC49A8" w:rsidRDefault="00F85402" w:rsidP="00A96A0B">
      <w:pPr>
        <w:pBdr>
          <w:top w:val="nil"/>
          <w:left w:val="nil"/>
          <w:bottom w:val="nil"/>
          <w:right w:val="nil"/>
          <w:between w:val="nil"/>
          <w:bar w:val="nil"/>
        </w:pBdr>
        <w:tabs>
          <w:tab w:val="num" w:pos="720"/>
        </w:tabs>
        <w:spacing w:before="0" w:after="240"/>
        <w:rPr>
          <w:rFonts w:eastAsia="Arial Unicode MS"/>
          <w:noProof/>
        </w:rPr>
      </w:pPr>
    </w:p>
    <w:p w14:paraId="2551BB55"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t>Coerenza con le disposizioni vigenti nel settore normativo interessato</w:t>
      </w:r>
    </w:p>
    <w:p w14:paraId="4B8C6B91" w14:textId="17855D9C" w:rsidR="00DD6223" w:rsidRPr="00EC49A8" w:rsidRDefault="00DD6223" w:rsidP="00DD6223">
      <w:pPr>
        <w:rPr>
          <w:rFonts w:eastAsia="Calibri"/>
          <w:noProof/>
          <w:szCs w:val="24"/>
        </w:rPr>
      </w:pPr>
      <w:r w:rsidRPr="00EC49A8">
        <w:rPr>
          <w:noProof/>
        </w:rPr>
        <w:t xml:space="preserve">La presente proposta non modifica le norme sostanziali del regolamento (UE) </w:t>
      </w:r>
      <w:r w:rsidRPr="00B17672">
        <w:rPr>
          <w:noProof/>
        </w:rPr>
        <w:t>2019</w:t>
      </w:r>
      <w:r w:rsidRPr="00EC49A8">
        <w:rPr>
          <w:noProof/>
        </w:rPr>
        <w:t>/</w:t>
      </w:r>
      <w:r w:rsidRPr="00B17672">
        <w:rPr>
          <w:noProof/>
        </w:rPr>
        <w:t>631</w:t>
      </w:r>
      <w:r w:rsidRPr="00EC49A8">
        <w:rPr>
          <w:noProof/>
        </w:rPr>
        <w:t xml:space="preserve"> e mantiene i suoi obiettivi. Risponde alle preoccupazioni espresse nell</w:t>
      </w:r>
      <w:r w:rsidR="00B17672">
        <w:rPr>
          <w:noProof/>
        </w:rPr>
        <w:t>'</w:t>
      </w:r>
      <w:r w:rsidRPr="00EC49A8">
        <w:rPr>
          <w:noProof/>
        </w:rPr>
        <w:t xml:space="preserve">UE dal settore automobilistico, offrendo ai costruttori ulteriore flessibilità nel conformarsi agli obiettivi fissati dal regolamento. </w:t>
      </w:r>
    </w:p>
    <w:p w14:paraId="650782A6" w14:textId="25592BE3" w:rsidR="00412E11" w:rsidRPr="00EC49A8" w:rsidRDefault="00412E11" w:rsidP="000C5C29">
      <w:pPr>
        <w:pStyle w:val="ManualHeading2"/>
        <w:rPr>
          <w:rFonts w:eastAsia="Arial Unicode MS"/>
          <w:noProof/>
        </w:rPr>
      </w:pPr>
      <w:r w:rsidRPr="00EC49A8">
        <w:rPr>
          <w:noProof/>
          <w:u w:color="000000"/>
          <w:bdr w:val="nil"/>
        </w:rPr>
        <w:t>•</w:t>
      </w:r>
      <w:r w:rsidRPr="00EC49A8">
        <w:rPr>
          <w:noProof/>
        </w:rPr>
        <w:tab/>
        <w:t>Coerenza con le altre normative dell</w:t>
      </w:r>
      <w:r w:rsidR="00B17672">
        <w:rPr>
          <w:noProof/>
        </w:rPr>
        <w:t>'</w:t>
      </w:r>
      <w:r w:rsidRPr="00EC49A8">
        <w:rPr>
          <w:noProof/>
        </w:rPr>
        <w:t>Unione</w:t>
      </w:r>
    </w:p>
    <w:p w14:paraId="6C2C0680" w14:textId="183B1604" w:rsidR="00D142E2" w:rsidRPr="00EC49A8" w:rsidRDefault="00652D90" w:rsidP="009F3F6A">
      <w:pPr>
        <w:pBdr>
          <w:top w:val="nil"/>
          <w:left w:val="nil"/>
          <w:bottom w:val="nil"/>
          <w:right w:val="nil"/>
          <w:between w:val="nil"/>
          <w:bar w:val="nil"/>
        </w:pBdr>
        <w:spacing w:before="0" w:after="240"/>
        <w:rPr>
          <w:rFonts w:eastAsia="Arial Unicode MS"/>
          <w:noProof/>
        </w:rPr>
      </w:pPr>
      <w:r w:rsidRPr="00EC49A8">
        <w:rPr>
          <w:noProof/>
        </w:rPr>
        <w:t xml:space="preserve">Il regolamento (UE) </w:t>
      </w:r>
      <w:r w:rsidRPr="00B17672">
        <w:rPr>
          <w:noProof/>
        </w:rPr>
        <w:t>2021</w:t>
      </w:r>
      <w:r w:rsidRPr="00EC49A8">
        <w:rPr>
          <w:noProof/>
        </w:rPr>
        <w:t>/</w:t>
      </w:r>
      <w:r w:rsidRPr="00B17672">
        <w:rPr>
          <w:noProof/>
        </w:rPr>
        <w:t>1119</w:t>
      </w:r>
      <w:r w:rsidRPr="00EC49A8">
        <w:rPr>
          <w:noProof/>
        </w:rPr>
        <w:t xml:space="preserve"> (normativa europea sul clima)</w:t>
      </w:r>
      <w:r w:rsidRPr="00EC49A8">
        <w:rPr>
          <w:rStyle w:val="FootnoteReference"/>
          <w:rFonts w:eastAsia="Arial Unicode MS"/>
          <w:noProof/>
        </w:rPr>
        <w:footnoteReference w:id="3"/>
      </w:r>
      <w:r w:rsidRPr="00EC49A8">
        <w:rPr>
          <w:rFonts w:ascii="Arial" w:hAnsi="Arial"/>
          <w:noProof/>
          <w:sz w:val="27"/>
          <w:shd w:val="clear" w:color="auto" w:fill="FFFFFF"/>
        </w:rPr>
        <w:t xml:space="preserve"> </w:t>
      </w:r>
      <w:r w:rsidRPr="00EC49A8">
        <w:rPr>
          <w:noProof/>
        </w:rPr>
        <w:t>istituisce il quadro per il conseguimento della neutralità climatica nell</w:t>
      </w:r>
      <w:r w:rsidR="00B17672">
        <w:rPr>
          <w:noProof/>
        </w:rPr>
        <w:t>'</w:t>
      </w:r>
      <w:r w:rsidRPr="00EC49A8">
        <w:rPr>
          <w:noProof/>
        </w:rPr>
        <w:t xml:space="preserve">UE entro il </w:t>
      </w:r>
      <w:r w:rsidRPr="00B17672">
        <w:rPr>
          <w:noProof/>
        </w:rPr>
        <w:t>2050</w:t>
      </w:r>
      <w:r w:rsidRPr="00EC49A8">
        <w:rPr>
          <w:noProof/>
        </w:rPr>
        <w:t>. Dispone di ridurre le emissioni nette di gas a effetto serra dell</w:t>
      </w:r>
      <w:r w:rsidR="00B17672">
        <w:rPr>
          <w:noProof/>
        </w:rPr>
        <w:t>'</w:t>
      </w:r>
      <w:r w:rsidRPr="00EC49A8">
        <w:rPr>
          <w:noProof/>
        </w:rPr>
        <w:t xml:space="preserve">UE di almeno il </w:t>
      </w:r>
      <w:r w:rsidRPr="00B17672">
        <w:rPr>
          <w:noProof/>
        </w:rPr>
        <w:t>55</w:t>
      </w:r>
      <w:r w:rsidRPr="00EC49A8">
        <w:rPr>
          <w:noProof/>
        </w:rPr>
        <w:t xml:space="preserve"> % (rispetto ai livelli del </w:t>
      </w:r>
      <w:r w:rsidRPr="00B17672">
        <w:rPr>
          <w:noProof/>
        </w:rPr>
        <w:t>1990</w:t>
      </w:r>
      <w:r w:rsidRPr="00EC49A8">
        <w:rPr>
          <w:noProof/>
        </w:rPr>
        <w:t xml:space="preserve">) entro il </w:t>
      </w:r>
      <w:r w:rsidRPr="00B17672">
        <w:rPr>
          <w:noProof/>
        </w:rPr>
        <w:t>2030</w:t>
      </w:r>
      <w:r w:rsidRPr="00EC49A8">
        <w:rPr>
          <w:noProof/>
        </w:rPr>
        <w:t xml:space="preserve"> e impone alla Commissione di proporre un traguardo per il </w:t>
      </w:r>
      <w:r w:rsidRPr="00B17672">
        <w:rPr>
          <w:noProof/>
        </w:rPr>
        <w:t>2040</w:t>
      </w:r>
      <w:r w:rsidRPr="00EC49A8">
        <w:rPr>
          <w:noProof/>
        </w:rPr>
        <w:t xml:space="preserve">. In linea con gli obiettivi di riduzione stabiliti dalla normativa europea sul clima, il regolamento (UE) </w:t>
      </w:r>
      <w:r w:rsidRPr="00B17672">
        <w:rPr>
          <w:noProof/>
        </w:rPr>
        <w:t>2019</w:t>
      </w:r>
      <w:r w:rsidRPr="00EC49A8">
        <w:rPr>
          <w:noProof/>
        </w:rPr>
        <w:t>/</w:t>
      </w:r>
      <w:r w:rsidRPr="00B17672">
        <w:rPr>
          <w:noProof/>
        </w:rPr>
        <w:t>631</w:t>
      </w:r>
      <w:r w:rsidRPr="00EC49A8">
        <w:rPr>
          <w:noProof/>
        </w:rPr>
        <w:t xml:space="preserve"> fissa obiettivi di riduzione delle emissioni per le autovetture e i furgoni.</w:t>
      </w:r>
    </w:p>
    <w:p w14:paraId="7002416D" w14:textId="79AFC9F4" w:rsidR="0075291E" w:rsidRPr="00EC49A8" w:rsidRDefault="00226600" w:rsidP="001E587E">
      <w:pPr>
        <w:pBdr>
          <w:top w:val="nil"/>
          <w:left w:val="nil"/>
          <w:bottom w:val="nil"/>
          <w:right w:val="nil"/>
          <w:between w:val="nil"/>
          <w:bar w:val="nil"/>
        </w:pBdr>
        <w:spacing w:before="0" w:after="240"/>
        <w:rPr>
          <w:rFonts w:eastAsia="Arial Unicode MS"/>
          <w:noProof/>
        </w:rPr>
      </w:pPr>
      <w:r w:rsidRPr="00EC49A8">
        <w:rPr>
          <w:noProof/>
        </w:rPr>
        <w:t>L</w:t>
      </w:r>
      <w:r w:rsidR="00B17672">
        <w:rPr>
          <w:noProof/>
        </w:rPr>
        <w:t>'</w:t>
      </w:r>
      <w:r w:rsidRPr="00EC49A8">
        <w:rPr>
          <w:noProof/>
        </w:rPr>
        <w:t>attuale proposta non modifica gli obiettivi di riduzione e non abbassa le ambizioni generali sui livelli di emissioni di CO</w:t>
      </w:r>
      <w:r w:rsidRPr="00B17672">
        <w:rPr>
          <w:noProof/>
          <w:vertAlign w:val="subscript"/>
        </w:rPr>
        <w:t>2</w:t>
      </w:r>
      <w:r w:rsidRPr="00EC49A8">
        <w:rPr>
          <w:noProof/>
        </w:rPr>
        <w:t xml:space="preserve">. Sostituendo la valutazione annuale con un periodo di adempimento triennale una tantum per il </w:t>
      </w:r>
      <w:r w:rsidRPr="00B17672">
        <w:rPr>
          <w:noProof/>
        </w:rPr>
        <w:t>2025</w:t>
      </w:r>
      <w:r w:rsidRPr="00EC49A8">
        <w:rPr>
          <w:noProof/>
        </w:rPr>
        <w:t xml:space="preserve">, il </w:t>
      </w:r>
      <w:r w:rsidRPr="00B17672">
        <w:rPr>
          <w:noProof/>
        </w:rPr>
        <w:t>2026</w:t>
      </w:r>
      <w:r w:rsidRPr="00EC49A8">
        <w:rPr>
          <w:noProof/>
        </w:rPr>
        <w:t xml:space="preserve"> e il </w:t>
      </w:r>
      <w:r w:rsidRPr="00B17672">
        <w:rPr>
          <w:noProof/>
        </w:rPr>
        <w:t>2027</w:t>
      </w:r>
      <w:r w:rsidRPr="00EC49A8">
        <w:rPr>
          <w:noProof/>
        </w:rPr>
        <w:t>, la proposta offre ulteriore flessibilità ai costruttori di veicoli e mantiene nel contempo la certezza e la prevedibilità per gli investitori lungo la catena del valore.</w:t>
      </w:r>
    </w:p>
    <w:p w14:paraId="2194E637" w14:textId="77777777" w:rsidR="00412E11" w:rsidRPr="00EC49A8" w:rsidRDefault="00412E11" w:rsidP="000C5C29">
      <w:pPr>
        <w:pStyle w:val="ManualHeading1"/>
        <w:rPr>
          <w:noProof/>
        </w:rPr>
      </w:pPr>
      <w:r w:rsidRPr="00B17672">
        <w:rPr>
          <w:noProof/>
        </w:rPr>
        <w:t>2</w:t>
      </w:r>
      <w:r w:rsidRPr="00EC49A8">
        <w:rPr>
          <w:noProof/>
        </w:rPr>
        <w:t>.</w:t>
      </w:r>
      <w:r w:rsidRPr="00EC49A8">
        <w:rPr>
          <w:noProof/>
        </w:rPr>
        <w:tab/>
        <w:t>BASE GIURIDICA, SUSSIDIARIETÀ E PROPORZIONALITÀ</w:t>
      </w:r>
    </w:p>
    <w:p w14:paraId="685089F2"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Base giuridica</w:t>
      </w:r>
    </w:p>
    <w:p w14:paraId="74C8EB11" w14:textId="1CBB0CDC" w:rsidR="00FB41C5" w:rsidRPr="00EC49A8" w:rsidRDefault="00FB41C5" w:rsidP="000C5C29">
      <w:pPr>
        <w:pBdr>
          <w:top w:val="nil"/>
          <w:left w:val="nil"/>
          <w:bottom w:val="nil"/>
          <w:right w:val="nil"/>
          <w:between w:val="nil"/>
          <w:bar w:val="nil"/>
        </w:pBdr>
        <w:spacing w:before="0" w:after="240"/>
        <w:rPr>
          <w:rFonts w:eastAsia="Arial Unicode MS"/>
          <w:noProof/>
        </w:rPr>
      </w:pPr>
      <w:r w:rsidRPr="00EC49A8">
        <w:rPr>
          <w:noProof/>
        </w:rPr>
        <w:t>La base giuridica della presente proposta è l</w:t>
      </w:r>
      <w:r w:rsidR="00B17672">
        <w:rPr>
          <w:noProof/>
        </w:rPr>
        <w:t>'</w:t>
      </w:r>
      <w:r w:rsidRPr="00EC49A8">
        <w:rPr>
          <w:noProof/>
        </w:rPr>
        <w:t>articolo</w:t>
      </w:r>
      <w:r w:rsidR="00B17672">
        <w:rPr>
          <w:noProof/>
        </w:rPr>
        <w:t> </w:t>
      </w:r>
      <w:r w:rsidRPr="00B17672">
        <w:rPr>
          <w:noProof/>
        </w:rPr>
        <w:t>192</w:t>
      </w:r>
      <w:r w:rsidRPr="00EC49A8">
        <w:rPr>
          <w:noProof/>
        </w:rPr>
        <w:t xml:space="preserve"> del trattato sul funzionamento dell</w:t>
      </w:r>
      <w:r w:rsidR="00B17672">
        <w:rPr>
          <w:noProof/>
        </w:rPr>
        <w:t>'</w:t>
      </w:r>
      <w:r w:rsidRPr="00EC49A8">
        <w:rPr>
          <w:noProof/>
        </w:rPr>
        <w:t>Unione europea (TFUE). Ai sensi dell</w:t>
      </w:r>
      <w:r w:rsidR="00B17672">
        <w:rPr>
          <w:noProof/>
        </w:rPr>
        <w:t>'</w:t>
      </w:r>
      <w:r w:rsidRPr="00EC49A8">
        <w:rPr>
          <w:noProof/>
        </w:rPr>
        <w:t xml:space="preserve">articolo </w:t>
      </w:r>
      <w:r w:rsidRPr="00B17672">
        <w:rPr>
          <w:noProof/>
        </w:rPr>
        <w:t>191</w:t>
      </w:r>
      <w:r w:rsidRPr="00EC49A8">
        <w:rPr>
          <w:noProof/>
        </w:rPr>
        <w:t xml:space="preserve"> e dell</w:t>
      </w:r>
      <w:r w:rsidR="00B17672">
        <w:rPr>
          <w:noProof/>
        </w:rPr>
        <w:t>'</w:t>
      </w:r>
      <w:r w:rsidRPr="00EC49A8">
        <w:rPr>
          <w:noProof/>
        </w:rPr>
        <w:t xml:space="preserve">articolo </w:t>
      </w:r>
      <w:r w:rsidRPr="00B17672">
        <w:rPr>
          <w:noProof/>
        </w:rPr>
        <w:t>192</w:t>
      </w:r>
      <w:r w:rsidRPr="00EC49A8">
        <w:rPr>
          <w:noProof/>
        </w:rPr>
        <w:t xml:space="preserve">, paragrafo </w:t>
      </w:r>
      <w:r w:rsidRPr="00B17672">
        <w:rPr>
          <w:noProof/>
        </w:rPr>
        <w:t>1</w:t>
      </w:r>
      <w:r w:rsidRPr="00EC49A8">
        <w:rPr>
          <w:noProof/>
        </w:rPr>
        <w:t>, TFUE, l</w:t>
      </w:r>
      <w:r w:rsidR="00B17672">
        <w:rPr>
          <w:noProof/>
        </w:rPr>
        <w:t>'</w:t>
      </w:r>
      <w:r w:rsidRPr="00EC49A8">
        <w:rPr>
          <w:noProof/>
        </w:rPr>
        <w:t>Unione europea deve contribuire al perseguimento, tra l</w:t>
      </w:r>
      <w:r w:rsidR="00B17672">
        <w:rPr>
          <w:noProof/>
        </w:rPr>
        <w:t>'</w:t>
      </w:r>
      <w:r w:rsidRPr="00EC49A8">
        <w:rPr>
          <w:noProof/>
        </w:rPr>
        <w:t>altro, dei seguenti obiettivi: salvaguardia, tutela e miglioramento della qualità dell</w:t>
      </w:r>
      <w:r w:rsidR="00B17672">
        <w:rPr>
          <w:noProof/>
        </w:rPr>
        <w:t>'</w:t>
      </w:r>
      <w:r w:rsidRPr="00EC49A8">
        <w:rPr>
          <w:noProof/>
        </w:rPr>
        <w:t>ambiente; promozione sul piano internazionale di misure destinate a risolvere i problemi dell</w:t>
      </w:r>
      <w:r w:rsidR="00B17672">
        <w:rPr>
          <w:noProof/>
        </w:rPr>
        <w:t>'</w:t>
      </w:r>
      <w:r w:rsidRPr="00EC49A8">
        <w:rPr>
          <w:noProof/>
        </w:rPr>
        <w:t>ambiente a livello regionale o mondiale e, in particolare, a combattere i cambiamenti climatici. Sulla base dell</w:t>
      </w:r>
      <w:r w:rsidR="00B17672">
        <w:rPr>
          <w:noProof/>
        </w:rPr>
        <w:t>'</w:t>
      </w:r>
      <w:r w:rsidRPr="00EC49A8">
        <w:rPr>
          <w:noProof/>
        </w:rPr>
        <w:t xml:space="preserve">articolo </w:t>
      </w:r>
      <w:r w:rsidRPr="00B17672">
        <w:rPr>
          <w:noProof/>
        </w:rPr>
        <w:t>192</w:t>
      </w:r>
      <w:r w:rsidRPr="00EC49A8">
        <w:rPr>
          <w:noProof/>
        </w:rPr>
        <w:t xml:space="preserve"> TFUE, l</w:t>
      </w:r>
      <w:r w:rsidR="00B17672">
        <w:rPr>
          <w:noProof/>
        </w:rPr>
        <w:t>'</w:t>
      </w:r>
      <w:r w:rsidRPr="00EC49A8">
        <w:rPr>
          <w:noProof/>
        </w:rPr>
        <w:t>Unione ha già adottato politiche per affrontare la questione delle emissioni di CO</w:t>
      </w:r>
      <w:r w:rsidRPr="00B17672">
        <w:rPr>
          <w:noProof/>
          <w:vertAlign w:val="subscript"/>
        </w:rPr>
        <w:t>2</w:t>
      </w:r>
      <w:r w:rsidRPr="00EC49A8">
        <w:rPr>
          <w:noProof/>
        </w:rPr>
        <w:t xml:space="preserve"> delle autovetture e dei veicoli commerciali leggeri, a cominciare dal regolamento (CE) n. </w:t>
      </w:r>
      <w:r w:rsidRPr="00B17672">
        <w:rPr>
          <w:noProof/>
        </w:rPr>
        <w:t>443</w:t>
      </w:r>
      <w:r w:rsidRPr="00EC49A8">
        <w:rPr>
          <w:noProof/>
        </w:rPr>
        <w:t>/</w:t>
      </w:r>
      <w:r w:rsidRPr="00B17672">
        <w:rPr>
          <w:noProof/>
        </w:rPr>
        <w:t>2009</w:t>
      </w:r>
      <w:r w:rsidRPr="00EC49A8">
        <w:rPr>
          <w:rStyle w:val="FootnoteReference"/>
          <w:rFonts w:eastAsia="Arial Unicode MS"/>
          <w:noProof/>
        </w:rPr>
        <w:footnoteReference w:id="4"/>
      </w:r>
      <w:r w:rsidRPr="00EC49A8">
        <w:rPr>
          <w:noProof/>
        </w:rPr>
        <w:t xml:space="preserve"> e dal regolamento (UE) n. </w:t>
      </w:r>
      <w:r w:rsidRPr="00B17672">
        <w:rPr>
          <w:noProof/>
        </w:rPr>
        <w:t>510</w:t>
      </w:r>
      <w:r w:rsidRPr="00EC49A8">
        <w:rPr>
          <w:noProof/>
        </w:rPr>
        <w:t>/</w:t>
      </w:r>
      <w:r w:rsidRPr="00B17672">
        <w:rPr>
          <w:noProof/>
        </w:rPr>
        <w:t>2011</w:t>
      </w:r>
      <w:r w:rsidRPr="00EC49A8">
        <w:rPr>
          <w:rStyle w:val="FootnoteReference"/>
          <w:rFonts w:eastAsia="Arial Unicode MS"/>
          <w:noProof/>
        </w:rPr>
        <w:footnoteReference w:id="5"/>
      </w:r>
      <w:r w:rsidRPr="00EC49A8">
        <w:rPr>
          <w:noProof/>
        </w:rPr>
        <w:t xml:space="preserve">. </w:t>
      </w:r>
    </w:p>
    <w:p w14:paraId="5AEEE96E"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 xml:space="preserve">Sussidiarietà (per la competenza non esclusiva) </w:t>
      </w:r>
    </w:p>
    <w:p w14:paraId="1A7DFD5A" w14:textId="37AB793C" w:rsidR="00A3368A" w:rsidRPr="00EC49A8" w:rsidRDefault="00A3368A" w:rsidP="000C5C29">
      <w:pPr>
        <w:pBdr>
          <w:top w:val="nil"/>
          <w:left w:val="nil"/>
          <w:bottom w:val="nil"/>
          <w:right w:val="nil"/>
          <w:between w:val="nil"/>
          <w:bar w:val="nil"/>
        </w:pBdr>
        <w:spacing w:before="0" w:after="240"/>
        <w:rPr>
          <w:rFonts w:eastAsia="Arial Unicode MS"/>
          <w:noProof/>
        </w:rPr>
      </w:pPr>
      <w:r w:rsidRPr="00EC49A8">
        <w:rPr>
          <w:noProof/>
        </w:rPr>
        <w:t xml:space="preserve">La presente iniziativa è coerente con il principio di sussidiarietà. La modifica del regolamento (UE) </w:t>
      </w:r>
      <w:r w:rsidRPr="00B17672">
        <w:rPr>
          <w:noProof/>
        </w:rPr>
        <w:t>2019</w:t>
      </w:r>
      <w:r w:rsidRPr="00EC49A8">
        <w:rPr>
          <w:noProof/>
        </w:rPr>
        <w:t>/</w:t>
      </w:r>
      <w:r w:rsidRPr="00B17672">
        <w:rPr>
          <w:noProof/>
        </w:rPr>
        <w:t>631</w:t>
      </w:r>
      <w:r w:rsidRPr="00EC49A8">
        <w:rPr>
          <w:noProof/>
        </w:rPr>
        <w:t xml:space="preserve"> tesa a garantire questa ulteriore flessibilità non può essere realizzata dagli Stati membri. </w:t>
      </w:r>
    </w:p>
    <w:p w14:paraId="6E6D17BF"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Proporzionalità</w:t>
      </w:r>
    </w:p>
    <w:p w14:paraId="6A34E11C" w14:textId="08BA9B32" w:rsidR="00A3368A" w:rsidRPr="00EC49A8" w:rsidRDefault="00854E4F" w:rsidP="00D879B5">
      <w:pPr>
        <w:rPr>
          <w:noProof/>
        </w:rPr>
      </w:pPr>
      <w:r w:rsidRPr="00EC49A8">
        <w:rPr>
          <w:noProof/>
        </w:rPr>
        <w:t>La proposta è coerente con il principio di proporzionalità, poiché si limita a quanto è necessario per conseguire gli obiettivi dell</w:t>
      </w:r>
      <w:r w:rsidR="00B17672">
        <w:rPr>
          <w:noProof/>
        </w:rPr>
        <w:t>'</w:t>
      </w:r>
      <w:r w:rsidRPr="00EC49A8">
        <w:rPr>
          <w:noProof/>
        </w:rPr>
        <w:t>Unione di ridurre le emissioni di gas a effetto serra in modo efficace sotto il profilo dei costi, offrendo nel contempo ai costruttori di veicoli un</w:t>
      </w:r>
      <w:r w:rsidR="00B17672">
        <w:rPr>
          <w:noProof/>
        </w:rPr>
        <w:t>'</w:t>
      </w:r>
      <w:r w:rsidRPr="00EC49A8">
        <w:rPr>
          <w:noProof/>
        </w:rPr>
        <w:t xml:space="preserve">ulteriore flessibilità una tantum in termini di conformità, pur mantenendo il livello di ambizione degli obiettivi.  </w:t>
      </w:r>
    </w:p>
    <w:p w14:paraId="09ACF094" w14:textId="354C3E66"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Scelta dell</w:t>
      </w:r>
      <w:r w:rsidR="00B17672">
        <w:rPr>
          <w:noProof/>
          <w:u w:color="000000"/>
          <w:bdr w:val="nil"/>
        </w:rPr>
        <w:t>'</w:t>
      </w:r>
      <w:r w:rsidRPr="00EC49A8">
        <w:rPr>
          <w:noProof/>
          <w:u w:color="000000"/>
          <w:bdr w:val="nil"/>
        </w:rPr>
        <w:t>atto giuridico</w:t>
      </w:r>
    </w:p>
    <w:p w14:paraId="4A96057A" w14:textId="020B596D" w:rsidR="008E7F51" w:rsidRPr="00EC49A8" w:rsidRDefault="008E7F51" w:rsidP="000C5C29">
      <w:pPr>
        <w:pBdr>
          <w:top w:val="nil"/>
          <w:left w:val="nil"/>
          <w:bottom w:val="nil"/>
          <w:right w:val="nil"/>
          <w:between w:val="nil"/>
          <w:bar w:val="nil"/>
        </w:pBdr>
        <w:spacing w:before="0" w:after="240"/>
        <w:rPr>
          <w:rFonts w:eastAsia="Arial Unicode MS"/>
          <w:noProof/>
        </w:rPr>
      </w:pPr>
      <w:r w:rsidRPr="00EC49A8">
        <w:rPr>
          <w:noProof/>
        </w:rPr>
        <w:t xml:space="preserve">La proposta modifica il regolamento (UE) </w:t>
      </w:r>
      <w:r w:rsidRPr="00B17672">
        <w:rPr>
          <w:noProof/>
        </w:rPr>
        <w:t>2019</w:t>
      </w:r>
      <w:r w:rsidRPr="00EC49A8">
        <w:rPr>
          <w:noProof/>
        </w:rPr>
        <w:t>/</w:t>
      </w:r>
      <w:r w:rsidRPr="00B17672">
        <w:rPr>
          <w:noProof/>
        </w:rPr>
        <w:t>631</w:t>
      </w:r>
      <w:r w:rsidRPr="00EC49A8">
        <w:rPr>
          <w:noProof/>
        </w:rPr>
        <w:t xml:space="preserve"> limitatamente all</w:t>
      </w:r>
      <w:r w:rsidR="00B17672">
        <w:rPr>
          <w:noProof/>
        </w:rPr>
        <w:t>'</w:t>
      </w:r>
      <w:r w:rsidRPr="00EC49A8">
        <w:rPr>
          <w:noProof/>
        </w:rPr>
        <w:t>offerta di ulteriore flessibilità per i periodi di adempimento. Dovrebbe pertanto assumere la stessa forma di atto, ossia un regolamento.</w:t>
      </w:r>
    </w:p>
    <w:p w14:paraId="785CFD7F" w14:textId="249BA715" w:rsidR="00412E11" w:rsidRPr="00EC49A8" w:rsidRDefault="00412E11" w:rsidP="000C5C29">
      <w:pPr>
        <w:pStyle w:val="ManualHeading1"/>
        <w:rPr>
          <w:noProof/>
        </w:rPr>
      </w:pPr>
      <w:r w:rsidRPr="00B17672">
        <w:rPr>
          <w:noProof/>
        </w:rPr>
        <w:t>3</w:t>
      </w:r>
      <w:r w:rsidRPr="00EC49A8">
        <w:rPr>
          <w:noProof/>
        </w:rPr>
        <w:t>.</w:t>
      </w:r>
      <w:r w:rsidRPr="00EC49A8">
        <w:rPr>
          <w:noProof/>
        </w:rPr>
        <w:tab/>
        <w:t>RISULTATI DELLE VALUTAZIONI EX POST, DELLE CONSULTAZIONI DEI PORTATORI DI INTERESSI E DELLE VALUTAZIONI D</w:t>
      </w:r>
      <w:r w:rsidR="00B17672">
        <w:rPr>
          <w:noProof/>
        </w:rPr>
        <w:t>'</w:t>
      </w:r>
      <w:r w:rsidRPr="00EC49A8">
        <w:rPr>
          <w:noProof/>
        </w:rPr>
        <w:t>IMPATTO</w:t>
      </w:r>
    </w:p>
    <w:p w14:paraId="2275EBB9"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Valutazioni ex post / Vaglio di adeguatezza della legislazione vigente</w:t>
      </w:r>
    </w:p>
    <w:p w14:paraId="20E0D1FB" w14:textId="1EF89FB0" w:rsidR="00771184" w:rsidRPr="00EC49A8" w:rsidRDefault="00F61456" w:rsidP="000C5C29">
      <w:pPr>
        <w:pBdr>
          <w:top w:val="nil"/>
          <w:left w:val="nil"/>
          <w:bottom w:val="nil"/>
          <w:right w:val="nil"/>
          <w:between w:val="nil"/>
          <w:bar w:val="nil"/>
        </w:pBdr>
        <w:spacing w:before="0" w:after="240"/>
        <w:rPr>
          <w:rFonts w:eastAsia="Arial Unicode MS"/>
          <w:noProof/>
        </w:rPr>
      </w:pPr>
      <w:r w:rsidRPr="00EC49A8">
        <w:rPr>
          <w:noProof/>
        </w:rPr>
        <w:t>La proposta non richiede alcuna valutazione, in quanto prevede unicamente una nuova disposizione di flessibilità provvisoria per il rispetto degli obiettivi da parte dei costruttori di veicoli.</w:t>
      </w:r>
    </w:p>
    <w:p w14:paraId="6BE43F61"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Consultazioni dei portatori di interessi</w:t>
      </w:r>
    </w:p>
    <w:p w14:paraId="2E606B18" w14:textId="0D248304" w:rsidR="00AB6D2D" w:rsidRPr="00EC49A8" w:rsidRDefault="00AB6D2D" w:rsidP="000C5C29">
      <w:pPr>
        <w:pBdr>
          <w:top w:val="nil"/>
          <w:left w:val="nil"/>
          <w:bottom w:val="nil"/>
          <w:right w:val="nil"/>
          <w:between w:val="nil"/>
          <w:bar w:val="nil"/>
        </w:pBdr>
        <w:spacing w:before="0" w:after="240"/>
        <w:rPr>
          <w:rFonts w:eastAsia="Arial Unicode MS"/>
          <w:noProof/>
        </w:rPr>
      </w:pPr>
      <w:r w:rsidRPr="00EC49A8">
        <w:rPr>
          <w:noProof/>
        </w:rPr>
        <w:t>Nel contesto del dialogo strategico sul futuro dell</w:t>
      </w:r>
      <w:r w:rsidR="00B17672">
        <w:rPr>
          <w:noProof/>
        </w:rPr>
        <w:t>'</w:t>
      </w:r>
      <w:r w:rsidRPr="00EC49A8">
        <w:rPr>
          <w:noProof/>
        </w:rPr>
        <w:t xml:space="preserve">industria automobilistica, svolto nel primo trimestre del </w:t>
      </w:r>
      <w:r w:rsidRPr="00B17672">
        <w:rPr>
          <w:noProof/>
        </w:rPr>
        <w:t>2025</w:t>
      </w:r>
      <w:r w:rsidRPr="00EC49A8">
        <w:rPr>
          <w:noProof/>
        </w:rPr>
        <w:t xml:space="preserve">, la Commissione ha tenuto intense e ampie discussioni con i costruttori e i portatori di interessi della catena del valore del settore. </w:t>
      </w:r>
    </w:p>
    <w:p w14:paraId="43F93F20"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Assunzione e uso di perizie</w:t>
      </w:r>
    </w:p>
    <w:p w14:paraId="4BF78C6F" w14:textId="2144535D" w:rsidR="00A653C2" w:rsidRPr="00EC49A8" w:rsidRDefault="00A653C2" w:rsidP="00A653C2">
      <w:pPr>
        <w:pBdr>
          <w:top w:val="nil"/>
          <w:left w:val="nil"/>
          <w:bottom w:val="nil"/>
          <w:right w:val="nil"/>
          <w:between w:val="nil"/>
          <w:bar w:val="nil"/>
        </w:pBdr>
        <w:spacing w:before="0" w:after="240"/>
        <w:rPr>
          <w:rFonts w:eastAsia="Arial Unicode MS"/>
          <w:noProof/>
        </w:rPr>
      </w:pPr>
      <w:r w:rsidRPr="00EC49A8">
        <w:rPr>
          <w:noProof/>
        </w:rPr>
        <w:t>La proposta è stata elaborata a seguito di un processo di esame interno degli obblighi vigenti e si basa sull</w:t>
      </w:r>
      <w:r w:rsidR="00B17672">
        <w:rPr>
          <w:noProof/>
        </w:rPr>
        <w:t>'</w:t>
      </w:r>
      <w:r w:rsidRPr="00EC49A8">
        <w:rPr>
          <w:noProof/>
        </w:rPr>
        <w:t>esperienza acquisita nell</w:t>
      </w:r>
      <w:r w:rsidR="00B17672">
        <w:rPr>
          <w:noProof/>
        </w:rPr>
        <w:t>'</w:t>
      </w:r>
      <w:r w:rsidRPr="00EC49A8">
        <w:rPr>
          <w:noProof/>
        </w:rPr>
        <w:t>attuazione della legislazione pertinente, compreso il processo annuale di monitoraggio della conformità dei costruttori rispetto alle emissioni di CO</w:t>
      </w:r>
      <w:r w:rsidRPr="00B17672">
        <w:rPr>
          <w:noProof/>
          <w:vertAlign w:val="subscript"/>
        </w:rPr>
        <w:t>2</w:t>
      </w:r>
      <w:r w:rsidRPr="00EC49A8">
        <w:rPr>
          <w:noProof/>
        </w:rPr>
        <w:t xml:space="preserve">. </w:t>
      </w:r>
    </w:p>
    <w:p w14:paraId="72D3680C" w14:textId="66C2486A"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Valutazione d</w:t>
      </w:r>
      <w:r w:rsidR="00B17672">
        <w:rPr>
          <w:noProof/>
          <w:u w:color="000000"/>
          <w:bdr w:val="nil"/>
        </w:rPr>
        <w:t>'</w:t>
      </w:r>
      <w:r w:rsidRPr="00EC49A8">
        <w:rPr>
          <w:noProof/>
          <w:u w:color="000000"/>
          <w:bdr w:val="nil"/>
        </w:rPr>
        <w:t>impatto</w:t>
      </w:r>
    </w:p>
    <w:p w14:paraId="334B7984" w14:textId="0E6CD8C6" w:rsidR="000F1B87" w:rsidRPr="00EC49A8" w:rsidRDefault="001E218D" w:rsidP="000F1B87">
      <w:pPr>
        <w:pStyle w:val="Text1"/>
        <w:ind w:left="0"/>
        <w:rPr>
          <w:noProof/>
        </w:rPr>
      </w:pPr>
      <w:r w:rsidRPr="00EC49A8">
        <w:rPr>
          <w:noProof/>
        </w:rPr>
        <w:t xml:space="preserve">La proposta riguarda modifiche mirate del </w:t>
      </w:r>
      <w:hyperlink r:id="rId16" w:history="1">
        <w:r w:rsidRPr="00EC49A8">
          <w:rPr>
            <w:noProof/>
          </w:rPr>
          <w:t xml:space="preserve">regolamento (UE) </w:t>
        </w:r>
        <w:r w:rsidRPr="00B17672">
          <w:rPr>
            <w:noProof/>
          </w:rPr>
          <w:t>2019</w:t>
        </w:r>
        <w:r w:rsidRPr="00EC49A8">
          <w:rPr>
            <w:noProof/>
          </w:rPr>
          <w:t>/</w:t>
        </w:r>
        <w:r w:rsidRPr="00B17672">
          <w:rPr>
            <w:noProof/>
          </w:rPr>
          <w:t>631</w:t>
        </w:r>
      </w:hyperlink>
      <w:r w:rsidRPr="00EC49A8">
        <w:rPr>
          <w:noProof/>
        </w:rPr>
        <w:t xml:space="preserve"> tese a offrire ai costruttori ulteriore flessibilità nell</w:t>
      </w:r>
      <w:r w:rsidR="00B17672">
        <w:rPr>
          <w:noProof/>
        </w:rPr>
        <w:t>'</w:t>
      </w:r>
      <w:r w:rsidRPr="00EC49A8">
        <w:rPr>
          <w:noProof/>
        </w:rPr>
        <w:t>adempimento dei propri obblighi di conformità, senza alterare il livello di ambizione degli obiettivi.</w:t>
      </w:r>
    </w:p>
    <w:p w14:paraId="718178D1"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Efficienza normativa e semplificazione</w:t>
      </w:r>
    </w:p>
    <w:p w14:paraId="0F04EF27" w14:textId="77777777" w:rsidR="008D1963" w:rsidRPr="00EC49A8" w:rsidRDefault="008D1963" w:rsidP="000C5C29">
      <w:pPr>
        <w:pBdr>
          <w:top w:val="nil"/>
          <w:left w:val="nil"/>
          <w:bottom w:val="nil"/>
          <w:right w:val="nil"/>
          <w:between w:val="nil"/>
          <w:bar w:val="nil"/>
        </w:pBdr>
        <w:spacing w:before="0" w:after="240"/>
        <w:rPr>
          <w:rFonts w:eastAsia="Arial Unicode MS"/>
          <w:noProof/>
        </w:rPr>
      </w:pPr>
      <w:r w:rsidRPr="00EC49A8">
        <w:rPr>
          <w:noProof/>
        </w:rPr>
        <w:t>Rispetto al regolamento attuale non ci si aspetta che la proposta aumenterà i costi amministrativi. Essa, inoltre, non comporta un aumento della complessità del quadro giuridico.</w:t>
      </w:r>
    </w:p>
    <w:p w14:paraId="4B575D25"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Diritti fondamentali</w:t>
      </w:r>
    </w:p>
    <w:p w14:paraId="719D3432" w14:textId="3223EF43" w:rsidR="00412E11" w:rsidRPr="00EC49A8" w:rsidRDefault="00573CEE" w:rsidP="000C5C29">
      <w:pPr>
        <w:pBdr>
          <w:top w:val="nil"/>
          <w:left w:val="nil"/>
          <w:bottom w:val="nil"/>
          <w:right w:val="nil"/>
          <w:between w:val="nil"/>
          <w:bar w:val="nil"/>
        </w:pBdr>
        <w:spacing w:before="0" w:after="240"/>
        <w:rPr>
          <w:rFonts w:eastAsia="Arial Unicode MS"/>
          <w:noProof/>
        </w:rPr>
      </w:pPr>
      <w:r w:rsidRPr="00EC49A8">
        <w:rPr>
          <w:noProof/>
        </w:rPr>
        <w:t>La proposta rispetta i diritti fondamentali e i principi riconosciuti, in particolare, nella Carta dei diritti fondamentali dell</w:t>
      </w:r>
      <w:r w:rsidR="00B17672">
        <w:rPr>
          <w:noProof/>
        </w:rPr>
        <w:t>'</w:t>
      </w:r>
      <w:r w:rsidRPr="00EC49A8">
        <w:rPr>
          <w:noProof/>
        </w:rPr>
        <w:t>Unione europea</w:t>
      </w:r>
      <w:r w:rsidRPr="00EC49A8">
        <w:rPr>
          <w:rStyle w:val="FootnoteReference"/>
          <w:rFonts w:eastAsia="Arial Unicode MS"/>
          <w:noProof/>
        </w:rPr>
        <w:footnoteReference w:id="6"/>
      </w:r>
      <w:r w:rsidRPr="00EC49A8">
        <w:rPr>
          <w:noProof/>
        </w:rPr>
        <w:t>. Nello specifico contribuisce a promuovere l</w:t>
      </w:r>
      <w:r w:rsidR="00B17672">
        <w:rPr>
          <w:noProof/>
        </w:rPr>
        <w:t>'</w:t>
      </w:r>
      <w:r w:rsidRPr="00EC49A8">
        <w:rPr>
          <w:noProof/>
        </w:rPr>
        <w:t>obiettivo di un livello elevato di tutela dell</w:t>
      </w:r>
      <w:r w:rsidR="00B17672">
        <w:rPr>
          <w:noProof/>
        </w:rPr>
        <w:t>'</w:t>
      </w:r>
      <w:r w:rsidRPr="00EC49A8">
        <w:rPr>
          <w:noProof/>
        </w:rPr>
        <w:t>ambiente conformemente al principio dello sviluppo sostenibile, come previsto dall</w:t>
      </w:r>
      <w:r w:rsidR="00B17672">
        <w:rPr>
          <w:noProof/>
        </w:rPr>
        <w:t>'</w:t>
      </w:r>
      <w:r w:rsidRPr="00EC49A8">
        <w:rPr>
          <w:noProof/>
        </w:rPr>
        <w:t xml:space="preserve">articolo </w:t>
      </w:r>
      <w:r w:rsidRPr="00B17672">
        <w:rPr>
          <w:noProof/>
        </w:rPr>
        <w:t>37</w:t>
      </w:r>
      <w:r w:rsidRPr="00EC49A8">
        <w:rPr>
          <w:noProof/>
        </w:rPr>
        <w:t xml:space="preserve"> della Carta.</w:t>
      </w:r>
    </w:p>
    <w:p w14:paraId="36E8679D" w14:textId="77777777" w:rsidR="007F460B" w:rsidRPr="00EC49A8" w:rsidRDefault="00412E11" w:rsidP="007F460B">
      <w:pPr>
        <w:pStyle w:val="ManualHeading1"/>
        <w:rPr>
          <w:noProof/>
        </w:rPr>
      </w:pPr>
      <w:r w:rsidRPr="00B17672">
        <w:rPr>
          <w:noProof/>
        </w:rPr>
        <w:t>4</w:t>
      </w:r>
      <w:r w:rsidRPr="00EC49A8">
        <w:rPr>
          <w:noProof/>
        </w:rPr>
        <w:t>.</w:t>
      </w:r>
      <w:r w:rsidRPr="00EC49A8">
        <w:rPr>
          <w:noProof/>
        </w:rPr>
        <w:tab/>
        <w:t>INCIDENZA SUL BILANCIO</w:t>
      </w:r>
    </w:p>
    <w:p w14:paraId="0CDBB8D9" w14:textId="5F731A30" w:rsidR="007F460B" w:rsidRPr="00EC49A8" w:rsidRDefault="007F460B" w:rsidP="000C5C29">
      <w:pPr>
        <w:pBdr>
          <w:top w:val="nil"/>
          <w:left w:val="nil"/>
          <w:bottom w:val="nil"/>
          <w:right w:val="nil"/>
          <w:between w:val="nil"/>
          <w:bar w:val="nil"/>
        </w:pBdr>
        <w:spacing w:before="0" w:after="240"/>
        <w:rPr>
          <w:rFonts w:eastAsia="Arial Unicode MS"/>
          <w:noProof/>
        </w:rPr>
      </w:pPr>
      <w:r w:rsidRPr="00EC49A8">
        <w:rPr>
          <w:noProof/>
        </w:rPr>
        <w:t>La scheda finanziaria legislativa che illustra l</w:t>
      </w:r>
      <w:r w:rsidR="00B17672">
        <w:rPr>
          <w:noProof/>
        </w:rPr>
        <w:t>'</w:t>
      </w:r>
      <w:r w:rsidRPr="00EC49A8">
        <w:rPr>
          <w:noProof/>
        </w:rPr>
        <w:t>incidenza sulle risorse di bilancio, umane e amministrative è stata allegata alla proposta che ha portato all</w:t>
      </w:r>
      <w:r w:rsidR="00B17672">
        <w:rPr>
          <w:noProof/>
        </w:rPr>
        <w:t>'</w:t>
      </w:r>
      <w:r w:rsidRPr="00EC49A8">
        <w:rPr>
          <w:noProof/>
        </w:rPr>
        <w:t xml:space="preserve">adozione del regolamento (UE) </w:t>
      </w:r>
      <w:r w:rsidRPr="00B17672">
        <w:rPr>
          <w:noProof/>
        </w:rPr>
        <w:t>2019</w:t>
      </w:r>
      <w:r w:rsidRPr="00EC49A8">
        <w:rPr>
          <w:noProof/>
        </w:rPr>
        <w:t>/</w:t>
      </w:r>
      <w:r w:rsidRPr="00B17672">
        <w:rPr>
          <w:noProof/>
        </w:rPr>
        <w:t>631</w:t>
      </w:r>
      <w:r w:rsidRPr="00EC49A8">
        <w:rPr>
          <w:noProof/>
        </w:rPr>
        <w:t xml:space="preserve"> e del suo riesame più recente per mezzo del regolamento (UE) </w:t>
      </w:r>
      <w:r w:rsidRPr="00B17672">
        <w:rPr>
          <w:noProof/>
        </w:rPr>
        <w:t>2023</w:t>
      </w:r>
      <w:r w:rsidRPr="00EC49A8">
        <w:rPr>
          <w:noProof/>
        </w:rPr>
        <w:t>/</w:t>
      </w:r>
      <w:r w:rsidRPr="00B17672">
        <w:rPr>
          <w:noProof/>
        </w:rPr>
        <w:t>851</w:t>
      </w:r>
      <w:r w:rsidRPr="00EC49A8">
        <w:rPr>
          <w:noProof/>
        </w:rPr>
        <w:t>.</w:t>
      </w:r>
    </w:p>
    <w:p w14:paraId="644F02E5" w14:textId="77777777" w:rsidR="00412E11" w:rsidRPr="00EC49A8" w:rsidRDefault="00412E11" w:rsidP="000C5C29">
      <w:pPr>
        <w:pStyle w:val="ManualHeading1"/>
        <w:rPr>
          <w:noProof/>
        </w:rPr>
      </w:pPr>
      <w:r w:rsidRPr="00B17672">
        <w:rPr>
          <w:noProof/>
        </w:rPr>
        <w:t>5</w:t>
      </w:r>
      <w:r w:rsidRPr="00EC49A8">
        <w:rPr>
          <w:noProof/>
        </w:rPr>
        <w:t>.</w:t>
      </w:r>
      <w:r w:rsidRPr="00EC49A8">
        <w:rPr>
          <w:noProof/>
        </w:rPr>
        <w:tab/>
        <w:t>ALTRI ELEMENTI</w:t>
      </w:r>
    </w:p>
    <w:p w14:paraId="462EEF85" w14:textId="77777777" w:rsidR="00412E11" w:rsidRPr="00EC49A8" w:rsidRDefault="00412E11" w:rsidP="000C5C29">
      <w:pPr>
        <w:pStyle w:val="ManualHeading2"/>
        <w:rPr>
          <w:rFonts w:eastAsia="Arial Unicode MS"/>
          <w:noProof/>
          <w:u w:color="000000"/>
          <w:bdr w:val="nil"/>
        </w:rPr>
      </w:pPr>
      <w:r w:rsidRPr="00EC49A8">
        <w:rPr>
          <w:noProof/>
          <w:u w:color="000000"/>
          <w:bdr w:val="nil"/>
        </w:rPr>
        <w:t>•</w:t>
      </w:r>
      <w:r w:rsidRPr="00EC49A8">
        <w:rPr>
          <w:noProof/>
        </w:rPr>
        <w:tab/>
      </w:r>
      <w:r w:rsidRPr="00EC49A8">
        <w:rPr>
          <w:noProof/>
          <w:u w:color="000000"/>
          <w:bdr w:val="nil"/>
        </w:rPr>
        <w:t>Piani attuativi e modalità di monitoraggio, valutazione e informazione</w:t>
      </w:r>
    </w:p>
    <w:p w14:paraId="11A7A37A" w14:textId="16381C55" w:rsidR="006216AC" w:rsidRPr="00EC49A8" w:rsidRDefault="006216AC" w:rsidP="006216AC">
      <w:pPr>
        <w:rPr>
          <w:noProof/>
        </w:rPr>
      </w:pPr>
      <w:r w:rsidRPr="00EC49A8">
        <w:rPr>
          <w:noProof/>
        </w:rPr>
        <w:t>Poiché con la presente proposta la sostanza delle norme resta invariata, la valutazione dell</w:t>
      </w:r>
      <w:r w:rsidR="00B17672">
        <w:rPr>
          <w:noProof/>
        </w:rPr>
        <w:t>'</w:t>
      </w:r>
      <w:r w:rsidRPr="00EC49A8">
        <w:rPr>
          <w:noProof/>
        </w:rPr>
        <w:t>attuazione rimane la stessa della proposta che ha portato all</w:t>
      </w:r>
      <w:r w:rsidR="00B17672">
        <w:rPr>
          <w:noProof/>
        </w:rPr>
        <w:t>'</w:t>
      </w:r>
      <w:r w:rsidRPr="00EC49A8">
        <w:rPr>
          <w:noProof/>
        </w:rPr>
        <w:t xml:space="preserve">adozione del regolamento (UE) </w:t>
      </w:r>
      <w:r w:rsidRPr="00B17672">
        <w:rPr>
          <w:noProof/>
        </w:rPr>
        <w:t>2019</w:t>
      </w:r>
      <w:r w:rsidRPr="00EC49A8">
        <w:rPr>
          <w:noProof/>
        </w:rPr>
        <w:t>/</w:t>
      </w:r>
      <w:r w:rsidRPr="00B17672">
        <w:rPr>
          <w:noProof/>
        </w:rPr>
        <w:t>631</w:t>
      </w:r>
      <w:r w:rsidRPr="00EC49A8">
        <w:rPr>
          <w:noProof/>
        </w:rPr>
        <w:t xml:space="preserve"> nella versione modificata dal regolamento (UE) </w:t>
      </w:r>
      <w:r w:rsidRPr="00B17672">
        <w:rPr>
          <w:noProof/>
        </w:rPr>
        <w:t>2023</w:t>
      </w:r>
      <w:r w:rsidRPr="00EC49A8">
        <w:rPr>
          <w:noProof/>
        </w:rPr>
        <w:t>/</w:t>
      </w:r>
      <w:r w:rsidRPr="00B17672">
        <w:rPr>
          <w:noProof/>
        </w:rPr>
        <w:t>851</w:t>
      </w:r>
      <w:r w:rsidRPr="00EC49A8">
        <w:rPr>
          <w:noProof/>
        </w:rPr>
        <w:t>.</w:t>
      </w:r>
    </w:p>
    <w:p w14:paraId="673730D9" w14:textId="77777777" w:rsidR="00412E11" w:rsidRPr="00EC49A8" w:rsidRDefault="00412E11" w:rsidP="000C5C29">
      <w:pPr>
        <w:pStyle w:val="ManualHeading2"/>
        <w:rPr>
          <w:rFonts w:eastAsia="Arial Unicode MS"/>
          <w:noProof/>
          <w:bdr w:val="nil"/>
        </w:rPr>
      </w:pPr>
      <w:r w:rsidRPr="00EC49A8">
        <w:rPr>
          <w:noProof/>
          <w:bdr w:val="nil"/>
        </w:rPr>
        <w:t>•</w:t>
      </w:r>
      <w:r w:rsidRPr="00EC49A8">
        <w:rPr>
          <w:noProof/>
        </w:rPr>
        <w:tab/>
      </w:r>
      <w:r w:rsidRPr="00EC49A8">
        <w:rPr>
          <w:noProof/>
          <w:bdr w:val="nil"/>
        </w:rPr>
        <w:t>Illustrazione dettagliata delle singole disposizioni della proposta</w:t>
      </w:r>
    </w:p>
    <w:p w14:paraId="4B59D125" w14:textId="084C703D" w:rsidR="000D652D" w:rsidRPr="00EC49A8" w:rsidRDefault="000D652D" w:rsidP="000D652D">
      <w:pPr>
        <w:rPr>
          <w:noProof/>
        </w:rPr>
      </w:pPr>
      <w:r w:rsidRPr="00EC49A8">
        <w:rPr>
          <w:noProof/>
        </w:rPr>
        <w:t>L</w:t>
      </w:r>
      <w:r w:rsidR="00B17672">
        <w:rPr>
          <w:noProof/>
        </w:rPr>
        <w:t>'</w:t>
      </w:r>
      <w:r w:rsidRPr="00EC49A8">
        <w:rPr>
          <w:noProof/>
        </w:rPr>
        <w:t xml:space="preserve">articolo </w:t>
      </w:r>
      <w:r w:rsidRPr="00B17672">
        <w:rPr>
          <w:noProof/>
        </w:rPr>
        <w:t>1</w:t>
      </w:r>
      <w:r w:rsidRPr="00EC49A8">
        <w:rPr>
          <w:noProof/>
        </w:rPr>
        <w:t xml:space="preserve">, punto </w:t>
      </w:r>
      <w:r w:rsidRPr="00B17672">
        <w:rPr>
          <w:noProof/>
        </w:rPr>
        <w:t>1</w:t>
      </w:r>
      <w:r w:rsidRPr="00EC49A8">
        <w:rPr>
          <w:noProof/>
        </w:rPr>
        <w:t>), modifica l</w:t>
      </w:r>
      <w:r w:rsidR="00B17672">
        <w:rPr>
          <w:noProof/>
        </w:rPr>
        <w:t>'</w:t>
      </w:r>
      <w:r w:rsidRPr="00EC49A8">
        <w:rPr>
          <w:noProof/>
        </w:rPr>
        <w:t xml:space="preserve">articolo </w:t>
      </w:r>
      <w:r w:rsidRPr="00B17672">
        <w:rPr>
          <w:noProof/>
        </w:rPr>
        <w:t>4</w:t>
      </w:r>
      <w:r w:rsidRPr="00EC49A8">
        <w:rPr>
          <w:noProof/>
        </w:rPr>
        <w:t xml:space="preserve"> al fine di </w:t>
      </w:r>
      <w:bookmarkStart w:id="1" w:name="_Hlk115453247"/>
      <w:r w:rsidRPr="00EC49A8">
        <w:rPr>
          <w:noProof/>
        </w:rPr>
        <w:t>specificare il periodo di adempimento triennale.</w:t>
      </w:r>
    </w:p>
    <w:p w14:paraId="4FB949E3" w14:textId="6E7C2AB4" w:rsidR="000D652D" w:rsidRPr="00EC49A8" w:rsidRDefault="000D652D" w:rsidP="000D652D">
      <w:pPr>
        <w:rPr>
          <w:noProof/>
        </w:rPr>
      </w:pPr>
      <w:r w:rsidRPr="00EC49A8">
        <w:rPr>
          <w:noProof/>
        </w:rPr>
        <w:t>L</w:t>
      </w:r>
      <w:r w:rsidR="00B17672">
        <w:rPr>
          <w:noProof/>
        </w:rPr>
        <w:t>'</w:t>
      </w:r>
      <w:r w:rsidRPr="00EC49A8">
        <w:rPr>
          <w:noProof/>
        </w:rPr>
        <w:t xml:space="preserve">articolo </w:t>
      </w:r>
      <w:r w:rsidRPr="00B17672">
        <w:rPr>
          <w:noProof/>
        </w:rPr>
        <w:t>1</w:t>
      </w:r>
      <w:r w:rsidRPr="00EC49A8">
        <w:rPr>
          <w:noProof/>
        </w:rPr>
        <w:t xml:space="preserve">, punto </w:t>
      </w:r>
      <w:r w:rsidRPr="00B17672">
        <w:rPr>
          <w:noProof/>
        </w:rPr>
        <w:t>2</w:t>
      </w:r>
      <w:r w:rsidRPr="00EC49A8">
        <w:rPr>
          <w:noProof/>
        </w:rPr>
        <w:t>), modifica l</w:t>
      </w:r>
      <w:r w:rsidR="00B17672">
        <w:rPr>
          <w:noProof/>
        </w:rPr>
        <w:t>'</w:t>
      </w:r>
      <w:r w:rsidRPr="00EC49A8">
        <w:rPr>
          <w:noProof/>
        </w:rPr>
        <w:t xml:space="preserve">articolo </w:t>
      </w:r>
      <w:r w:rsidRPr="00B17672">
        <w:rPr>
          <w:noProof/>
        </w:rPr>
        <w:t>6</w:t>
      </w:r>
      <w:r w:rsidRPr="00EC49A8">
        <w:rPr>
          <w:noProof/>
        </w:rPr>
        <w:t xml:space="preserve"> per specificare che gli accordi per la costituzione di raggruppamenti per il periodo </w:t>
      </w:r>
      <w:r w:rsidRPr="00B17672">
        <w:rPr>
          <w:noProof/>
        </w:rPr>
        <w:t>2025</w:t>
      </w:r>
      <w:r w:rsidRPr="00EC49A8">
        <w:rPr>
          <w:noProof/>
        </w:rPr>
        <w:t>-</w:t>
      </w:r>
      <w:r w:rsidRPr="00B17672">
        <w:rPr>
          <w:noProof/>
        </w:rPr>
        <w:t>2027</w:t>
      </w:r>
      <w:r w:rsidRPr="00EC49A8">
        <w:rPr>
          <w:noProof/>
        </w:rPr>
        <w:t xml:space="preserve"> dovrebbero essere comunicati alla Commissione entro la fine del </w:t>
      </w:r>
      <w:r w:rsidRPr="00B17672">
        <w:rPr>
          <w:noProof/>
        </w:rPr>
        <w:t>2027</w:t>
      </w:r>
      <w:r w:rsidRPr="00EC49A8">
        <w:rPr>
          <w:noProof/>
        </w:rPr>
        <w:t xml:space="preserve">. </w:t>
      </w:r>
    </w:p>
    <w:p w14:paraId="12547451" w14:textId="45600D0D" w:rsidR="000D652D" w:rsidRPr="00EC49A8" w:rsidRDefault="000D652D" w:rsidP="000D652D">
      <w:pPr>
        <w:rPr>
          <w:noProof/>
        </w:rPr>
      </w:pPr>
      <w:r w:rsidRPr="00EC49A8">
        <w:rPr>
          <w:noProof/>
        </w:rPr>
        <w:t>L</w:t>
      </w:r>
      <w:r w:rsidR="00B17672">
        <w:rPr>
          <w:noProof/>
        </w:rPr>
        <w:t>'</w:t>
      </w:r>
      <w:r w:rsidRPr="00EC49A8">
        <w:rPr>
          <w:noProof/>
        </w:rPr>
        <w:t xml:space="preserve">articolo </w:t>
      </w:r>
      <w:r w:rsidRPr="00B17672">
        <w:rPr>
          <w:noProof/>
        </w:rPr>
        <w:t>1</w:t>
      </w:r>
      <w:r w:rsidRPr="00EC49A8">
        <w:rPr>
          <w:noProof/>
        </w:rPr>
        <w:t xml:space="preserve">, punto </w:t>
      </w:r>
      <w:r w:rsidRPr="00B17672">
        <w:rPr>
          <w:noProof/>
        </w:rPr>
        <w:t>3</w:t>
      </w:r>
      <w:r w:rsidRPr="00EC49A8">
        <w:rPr>
          <w:noProof/>
        </w:rPr>
        <w:t>), modifica l</w:t>
      </w:r>
      <w:r w:rsidR="00B17672">
        <w:rPr>
          <w:noProof/>
        </w:rPr>
        <w:t>'</w:t>
      </w:r>
      <w:r w:rsidRPr="00EC49A8">
        <w:rPr>
          <w:noProof/>
        </w:rPr>
        <w:t xml:space="preserve">articolo </w:t>
      </w:r>
      <w:r w:rsidRPr="00B17672">
        <w:rPr>
          <w:noProof/>
        </w:rPr>
        <w:t>8</w:t>
      </w:r>
      <w:r w:rsidRPr="00EC49A8">
        <w:rPr>
          <w:noProof/>
        </w:rPr>
        <w:t xml:space="preserve"> per specificare le norme relative all</w:t>
      </w:r>
      <w:r w:rsidR="00B17672">
        <w:rPr>
          <w:noProof/>
        </w:rPr>
        <w:t>'</w:t>
      </w:r>
      <w:r w:rsidRPr="00EC49A8">
        <w:rPr>
          <w:noProof/>
        </w:rPr>
        <w:t xml:space="preserve">imposizione delle indennità per le emissioni in eccesso nel periodo di adempimento triennale </w:t>
      </w:r>
      <w:r w:rsidRPr="00B17672">
        <w:rPr>
          <w:noProof/>
        </w:rPr>
        <w:t>2025</w:t>
      </w:r>
      <w:r w:rsidRPr="00EC49A8">
        <w:rPr>
          <w:noProof/>
        </w:rPr>
        <w:t>-</w:t>
      </w:r>
      <w:r w:rsidRPr="00B17672">
        <w:rPr>
          <w:noProof/>
        </w:rPr>
        <w:t>2027</w:t>
      </w:r>
      <w:r w:rsidRPr="00EC49A8">
        <w:rPr>
          <w:noProof/>
        </w:rPr>
        <w:t xml:space="preserve">. </w:t>
      </w:r>
    </w:p>
    <w:bookmarkEnd w:id="1"/>
    <w:p w14:paraId="4CFEFBA6" w14:textId="77777777" w:rsidR="00412E11" w:rsidRPr="00EC49A8" w:rsidRDefault="00412E11" w:rsidP="000D652D">
      <w:pPr>
        <w:pBdr>
          <w:top w:val="nil"/>
          <w:left w:val="nil"/>
          <w:bottom w:val="nil"/>
          <w:right w:val="nil"/>
          <w:between w:val="nil"/>
          <w:bar w:val="nil"/>
        </w:pBdr>
        <w:spacing w:before="0" w:after="240"/>
        <w:rPr>
          <w:noProof/>
        </w:rPr>
      </w:pPr>
    </w:p>
    <w:p w14:paraId="6D09004B" w14:textId="77777777" w:rsidR="000D652D" w:rsidRPr="00EC49A8" w:rsidRDefault="000D652D" w:rsidP="000D652D">
      <w:pPr>
        <w:pBdr>
          <w:top w:val="nil"/>
          <w:left w:val="nil"/>
          <w:bottom w:val="nil"/>
          <w:right w:val="nil"/>
          <w:between w:val="nil"/>
          <w:bar w:val="nil"/>
        </w:pBdr>
        <w:spacing w:before="0" w:after="240"/>
        <w:rPr>
          <w:rFonts w:eastAsia="Arial Unicode MS"/>
          <w:noProof/>
        </w:rPr>
        <w:sectPr w:rsidR="000D652D" w:rsidRPr="00EC49A8" w:rsidSect="009F3D23">
          <w:headerReference w:type="even"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14:paraId="0D5D3A28" w14:textId="534AF14F" w:rsidR="000C1113" w:rsidRPr="00EC49A8" w:rsidRDefault="00B17672" w:rsidP="00B17672">
      <w:pPr>
        <w:pStyle w:val="Rfrenceinterinstitutionnelle"/>
        <w:rPr>
          <w:noProof/>
        </w:rPr>
      </w:pPr>
      <w:r>
        <w:rPr>
          <w:noProof/>
        </w:rPr>
        <w:t>2025/0070 (COD)</w:t>
      </w:r>
    </w:p>
    <w:p w14:paraId="4C8CBC37" w14:textId="26CC9F7F" w:rsidR="00412E11" w:rsidRPr="00EC49A8" w:rsidRDefault="00B17672" w:rsidP="00B17672">
      <w:pPr>
        <w:pStyle w:val="Statut"/>
        <w:rPr>
          <w:noProof/>
        </w:rPr>
      </w:pPr>
      <w:r w:rsidRPr="00B17672">
        <w:rPr>
          <w:noProof/>
        </w:rPr>
        <w:t>Proposta di</w:t>
      </w:r>
    </w:p>
    <w:p w14:paraId="4E1D5FD9" w14:textId="55F48DA3" w:rsidR="00BA6D3B" w:rsidRPr="00EC49A8" w:rsidRDefault="00B17672" w:rsidP="00B17672">
      <w:pPr>
        <w:pStyle w:val="Typedudocument"/>
        <w:rPr>
          <w:noProof/>
        </w:rPr>
      </w:pPr>
      <w:r w:rsidRPr="00B17672">
        <w:rPr>
          <w:noProof/>
        </w:rPr>
        <w:t>REGOLAMENTO DEL PARLAMENTO EUROPEO E DEL CONSIGLIO</w:t>
      </w:r>
    </w:p>
    <w:p w14:paraId="57F2E7D0" w14:textId="689CE4EB" w:rsidR="00200F07" w:rsidRPr="00EC49A8" w:rsidRDefault="00B17672" w:rsidP="00B17672">
      <w:pPr>
        <w:pStyle w:val="Titreobjet"/>
        <w:rPr>
          <w:noProof/>
        </w:rPr>
      </w:pPr>
      <w:bookmarkStart w:id="2" w:name="_Hlk194254744"/>
      <w:r w:rsidRPr="00B17672">
        <w:rPr>
          <w:noProof/>
        </w:rPr>
        <w:t xml:space="preserve">che modifica il regolamento (UE) 2019/631 al fine di introdurre ulteriore flessibilità </w:t>
      </w:r>
      <w:r w:rsidRPr="00B17672">
        <w:rPr>
          <w:noProof/>
        </w:rPr>
        <w:br/>
        <w:t xml:space="preserve">per quanto riguarda il calcolo della conformità dei costruttori ai livelli di prestazione </w:t>
      </w:r>
      <w:r w:rsidRPr="00B17672">
        <w:rPr>
          <w:noProof/>
        </w:rPr>
        <w:br/>
        <w:t>in materia di emissioni di CO</w:t>
      </w:r>
      <w:r w:rsidRPr="00B17672">
        <w:rPr>
          <w:noProof/>
          <w:vertAlign w:val="subscript"/>
        </w:rPr>
        <w:t>2</w:t>
      </w:r>
      <w:r w:rsidRPr="00B17672">
        <w:rPr>
          <w:noProof/>
        </w:rPr>
        <w:t xml:space="preserve"> delle autovetture nuove e </w:t>
      </w:r>
      <w:r w:rsidRPr="00B17672">
        <w:rPr>
          <w:noProof/>
        </w:rPr>
        <w:br/>
        <w:t>dei veicoli commerciali leggeri nuovi per gli anni civili dal 2025 al 2027</w:t>
      </w:r>
    </w:p>
    <w:bookmarkEnd w:id="2"/>
    <w:p w14:paraId="1CB40A8E" w14:textId="36C9F549" w:rsidR="00200F07" w:rsidRPr="00EC49A8" w:rsidRDefault="00B17672" w:rsidP="00B17672">
      <w:pPr>
        <w:pStyle w:val="IntrtEEE"/>
        <w:rPr>
          <w:noProof/>
        </w:rPr>
      </w:pPr>
      <w:r w:rsidRPr="00B17672">
        <w:rPr>
          <w:noProof/>
        </w:rPr>
        <w:t>(Testo rilevante ai fini del SEE)</w:t>
      </w:r>
    </w:p>
    <w:p w14:paraId="4205A3F5" w14:textId="35216A41" w:rsidR="00412E11" w:rsidRPr="00EC49A8" w:rsidRDefault="00412E11" w:rsidP="000C5C29">
      <w:pPr>
        <w:pStyle w:val="Institutionquiagit"/>
        <w:rPr>
          <w:noProof/>
        </w:rPr>
      </w:pPr>
      <w:r w:rsidRPr="00EC49A8">
        <w:rPr>
          <w:noProof/>
        </w:rPr>
        <w:t>IL PARLAMENTO EUROPEO E IL CONSIGLIO DELL</w:t>
      </w:r>
      <w:r w:rsidR="00B17672">
        <w:rPr>
          <w:noProof/>
        </w:rPr>
        <w:t>'</w:t>
      </w:r>
      <w:r w:rsidRPr="00EC49A8">
        <w:rPr>
          <w:noProof/>
        </w:rPr>
        <w:t>UNIONE EUROPEA,</w:t>
      </w:r>
    </w:p>
    <w:p w14:paraId="6D6FB495" w14:textId="50956A42" w:rsidR="00412E11" w:rsidRPr="00EC49A8" w:rsidRDefault="00412E11" w:rsidP="000C5C29">
      <w:pPr>
        <w:rPr>
          <w:noProof/>
        </w:rPr>
      </w:pPr>
      <w:r w:rsidRPr="00EC49A8">
        <w:rPr>
          <w:noProof/>
        </w:rPr>
        <w:t>visto il trattato sul funzionamento dell</w:t>
      </w:r>
      <w:r w:rsidR="00B17672">
        <w:rPr>
          <w:noProof/>
        </w:rPr>
        <w:t>'</w:t>
      </w:r>
      <w:r w:rsidRPr="00EC49A8">
        <w:rPr>
          <w:noProof/>
        </w:rPr>
        <w:t>Unione europea, in particolare l</w:t>
      </w:r>
      <w:r w:rsidR="00B17672">
        <w:rPr>
          <w:noProof/>
        </w:rPr>
        <w:t>'</w:t>
      </w:r>
      <w:r w:rsidRPr="00EC49A8">
        <w:rPr>
          <w:noProof/>
        </w:rPr>
        <w:t>articolo</w:t>
      </w:r>
      <w:r w:rsidR="00B17672">
        <w:rPr>
          <w:noProof/>
        </w:rPr>
        <w:t> </w:t>
      </w:r>
      <w:r w:rsidRPr="00B17672">
        <w:rPr>
          <w:noProof/>
        </w:rPr>
        <w:t>192</w:t>
      </w:r>
      <w:r w:rsidRPr="00EC49A8">
        <w:rPr>
          <w:noProof/>
        </w:rPr>
        <w:t>, paragrafo</w:t>
      </w:r>
      <w:r w:rsidR="00B17672">
        <w:rPr>
          <w:noProof/>
        </w:rPr>
        <w:t> </w:t>
      </w:r>
      <w:r w:rsidRPr="00B17672">
        <w:rPr>
          <w:noProof/>
        </w:rPr>
        <w:t>1</w:t>
      </w:r>
      <w:r w:rsidRPr="00EC49A8">
        <w:rPr>
          <w:noProof/>
        </w:rPr>
        <w:t>,</w:t>
      </w:r>
    </w:p>
    <w:p w14:paraId="716FBC60" w14:textId="77777777" w:rsidR="00412E11" w:rsidRPr="00EC49A8" w:rsidRDefault="00412E11" w:rsidP="000C5C29">
      <w:pPr>
        <w:rPr>
          <w:noProof/>
        </w:rPr>
      </w:pPr>
      <w:r w:rsidRPr="00EC49A8">
        <w:rPr>
          <w:noProof/>
        </w:rPr>
        <w:t>vista la proposta della Commissione europea,</w:t>
      </w:r>
    </w:p>
    <w:p w14:paraId="669A9FA4" w14:textId="77777777" w:rsidR="00412E11" w:rsidRPr="00EC49A8" w:rsidRDefault="00412E11" w:rsidP="000C5C29">
      <w:pPr>
        <w:rPr>
          <w:noProof/>
        </w:rPr>
      </w:pPr>
      <w:r w:rsidRPr="00EC49A8">
        <w:rPr>
          <w:noProof/>
        </w:rPr>
        <w:t>previa trasmissione del progetto di atto legislativo ai parlamenti nazionali,</w:t>
      </w:r>
    </w:p>
    <w:p w14:paraId="54EB3EA7" w14:textId="77777777" w:rsidR="00412E11" w:rsidRPr="00EC49A8" w:rsidRDefault="00412E11" w:rsidP="000C5C29">
      <w:pPr>
        <w:rPr>
          <w:noProof/>
        </w:rPr>
      </w:pPr>
      <w:r w:rsidRPr="00EC49A8">
        <w:rPr>
          <w:noProof/>
        </w:rPr>
        <w:t>visto il parere del Comitato economico e sociale europeo</w:t>
      </w:r>
      <w:r w:rsidRPr="00EC49A8">
        <w:rPr>
          <w:rStyle w:val="FootnoteReference"/>
          <w:noProof/>
        </w:rPr>
        <w:footnoteReference w:id="7"/>
      </w:r>
      <w:r w:rsidRPr="00EC49A8">
        <w:rPr>
          <w:noProof/>
        </w:rPr>
        <w:t xml:space="preserve">, </w:t>
      </w:r>
    </w:p>
    <w:p w14:paraId="5FCF71F8" w14:textId="77777777" w:rsidR="00412E11" w:rsidRPr="00EC49A8" w:rsidRDefault="00412E11" w:rsidP="000C5C29">
      <w:pPr>
        <w:rPr>
          <w:noProof/>
        </w:rPr>
      </w:pPr>
      <w:r w:rsidRPr="00EC49A8">
        <w:rPr>
          <w:noProof/>
        </w:rPr>
        <w:t>visto il parere del Comitato delle regioni</w:t>
      </w:r>
      <w:r w:rsidRPr="00EC49A8">
        <w:rPr>
          <w:rStyle w:val="FootnoteReference"/>
          <w:noProof/>
        </w:rPr>
        <w:footnoteReference w:id="8"/>
      </w:r>
      <w:r w:rsidRPr="00EC49A8">
        <w:rPr>
          <w:noProof/>
        </w:rPr>
        <w:t xml:space="preserve">, </w:t>
      </w:r>
    </w:p>
    <w:p w14:paraId="3454271D" w14:textId="77777777" w:rsidR="00412E11" w:rsidRPr="00EC49A8" w:rsidRDefault="00412E11" w:rsidP="000C5C29">
      <w:pPr>
        <w:rPr>
          <w:noProof/>
        </w:rPr>
      </w:pPr>
      <w:r w:rsidRPr="00EC49A8">
        <w:rPr>
          <w:noProof/>
        </w:rPr>
        <w:t>deliberando secondo la procedura legislativa ordinaria,</w:t>
      </w:r>
    </w:p>
    <w:p w14:paraId="1B6D4C38" w14:textId="77777777" w:rsidR="00412E11" w:rsidRPr="00EC49A8" w:rsidRDefault="00412E11" w:rsidP="000C5C29">
      <w:pPr>
        <w:rPr>
          <w:noProof/>
        </w:rPr>
      </w:pPr>
      <w:r w:rsidRPr="00EC49A8">
        <w:rPr>
          <w:noProof/>
        </w:rPr>
        <w:t>considerando quanto segue:</w:t>
      </w:r>
    </w:p>
    <w:p w14:paraId="4B11BB2A" w14:textId="6DCC094D" w:rsidR="0052058D" w:rsidRPr="00EC49A8" w:rsidRDefault="006C2E14" w:rsidP="00A12F32">
      <w:pPr>
        <w:pStyle w:val="ManualConsidrant"/>
        <w:rPr>
          <w:noProof/>
        </w:rPr>
      </w:pPr>
      <w:r w:rsidRPr="00EC49A8">
        <w:rPr>
          <w:noProof/>
        </w:rPr>
        <w:t>(</w:t>
      </w:r>
      <w:r w:rsidRPr="00B17672">
        <w:rPr>
          <w:noProof/>
        </w:rPr>
        <w:t>1</w:t>
      </w:r>
      <w:r w:rsidRPr="00EC49A8">
        <w:rPr>
          <w:noProof/>
        </w:rPr>
        <w:t>)</w:t>
      </w:r>
      <w:r w:rsidRPr="00EC49A8">
        <w:rPr>
          <w:noProof/>
        </w:rPr>
        <w:tab/>
        <w:t xml:space="preserve">Il regolamento (UE) </w:t>
      </w:r>
      <w:r w:rsidRPr="00B17672">
        <w:rPr>
          <w:noProof/>
        </w:rPr>
        <w:t>2019</w:t>
      </w:r>
      <w:r w:rsidRPr="00EC49A8">
        <w:rPr>
          <w:noProof/>
        </w:rPr>
        <w:t>/</w:t>
      </w:r>
      <w:r w:rsidRPr="00B17672">
        <w:rPr>
          <w:noProof/>
        </w:rPr>
        <w:t>631</w:t>
      </w:r>
      <w:r w:rsidRPr="00EC49A8">
        <w:rPr>
          <w:noProof/>
        </w:rPr>
        <w:t xml:space="preserve"> del Parlamento europeo e del Consiglio</w:t>
      </w:r>
      <w:r w:rsidRPr="00EC49A8">
        <w:rPr>
          <w:rStyle w:val="FootnoteReference"/>
          <w:noProof/>
        </w:rPr>
        <w:footnoteReference w:id="9"/>
      </w:r>
      <w:r w:rsidRPr="00EC49A8">
        <w:rPr>
          <w:noProof/>
        </w:rPr>
        <w:t xml:space="preserve"> definisce gli obiettivi in materia di CO</w:t>
      </w:r>
      <w:r w:rsidRPr="00B17672">
        <w:rPr>
          <w:noProof/>
          <w:vertAlign w:val="subscript"/>
        </w:rPr>
        <w:t>2</w:t>
      </w:r>
      <w:r w:rsidRPr="00EC49A8">
        <w:rPr>
          <w:noProof/>
        </w:rPr>
        <w:t xml:space="preserve"> per le autovetture nuove e i veicoli commerciali leggeri nuovi, che costituiscono un elemento fondamentale del quadro dell</w:t>
      </w:r>
      <w:r w:rsidR="00B17672">
        <w:rPr>
          <w:noProof/>
        </w:rPr>
        <w:t>'</w:t>
      </w:r>
      <w:r w:rsidRPr="00EC49A8">
        <w:rPr>
          <w:noProof/>
        </w:rPr>
        <w:t xml:space="preserve">Unione volto a ridurre entro il </w:t>
      </w:r>
      <w:r w:rsidRPr="00B17672">
        <w:rPr>
          <w:noProof/>
        </w:rPr>
        <w:t>2030</w:t>
      </w:r>
      <w:r w:rsidRPr="00EC49A8">
        <w:rPr>
          <w:noProof/>
        </w:rPr>
        <w:t xml:space="preserve"> le emissioni nette di gas a effetto serra di almeno il </w:t>
      </w:r>
      <w:r w:rsidRPr="00B17672">
        <w:rPr>
          <w:noProof/>
        </w:rPr>
        <w:t>55</w:t>
      </w:r>
      <w:r w:rsidRPr="00EC49A8">
        <w:rPr>
          <w:noProof/>
        </w:rPr>
        <w:t xml:space="preserve"> % rispetto ai livelli del </w:t>
      </w:r>
      <w:r w:rsidRPr="00B17672">
        <w:rPr>
          <w:noProof/>
        </w:rPr>
        <w:t>1990</w:t>
      </w:r>
      <w:r w:rsidRPr="00EC49A8">
        <w:rPr>
          <w:noProof/>
        </w:rPr>
        <w:t xml:space="preserve"> e a conseguire la neutralità climatica in tutti i settori dell</w:t>
      </w:r>
      <w:r w:rsidR="00B17672">
        <w:rPr>
          <w:noProof/>
        </w:rPr>
        <w:t>'</w:t>
      </w:r>
      <w:r w:rsidRPr="00EC49A8">
        <w:rPr>
          <w:noProof/>
        </w:rPr>
        <w:t xml:space="preserve">economia entro il </w:t>
      </w:r>
      <w:r w:rsidRPr="00B17672">
        <w:rPr>
          <w:noProof/>
        </w:rPr>
        <w:t>2050</w:t>
      </w:r>
      <w:r w:rsidRPr="00EC49A8">
        <w:rPr>
          <w:noProof/>
        </w:rPr>
        <w:t xml:space="preserve">. </w:t>
      </w:r>
    </w:p>
    <w:p w14:paraId="0246044B" w14:textId="5446B35F" w:rsidR="003663E6" w:rsidRPr="00EC49A8" w:rsidRDefault="006C2E14" w:rsidP="006C2E14">
      <w:pPr>
        <w:pStyle w:val="ManualConsidrant"/>
        <w:rPr>
          <w:noProof/>
        </w:rPr>
      </w:pPr>
      <w:r w:rsidRPr="00EC49A8">
        <w:rPr>
          <w:noProof/>
        </w:rPr>
        <w:t>(</w:t>
      </w:r>
      <w:r w:rsidRPr="00B17672">
        <w:rPr>
          <w:noProof/>
        </w:rPr>
        <w:t>2</w:t>
      </w:r>
      <w:r w:rsidRPr="00EC49A8">
        <w:rPr>
          <w:noProof/>
        </w:rPr>
        <w:t>)</w:t>
      </w:r>
      <w:r w:rsidRPr="00EC49A8">
        <w:rPr>
          <w:noProof/>
        </w:rPr>
        <w:tab/>
        <w:t>Per rispondere alla richiesta di ulteriore flessibilità avanzata dai portatori di interessi per conform</w:t>
      </w:r>
      <w:r w:rsidR="00EC49A8" w:rsidRPr="00EC49A8">
        <w:rPr>
          <w:noProof/>
        </w:rPr>
        <w:t>arsi</w:t>
      </w:r>
      <w:r w:rsidRPr="00EC49A8">
        <w:rPr>
          <w:noProof/>
        </w:rPr>
        <w:t xml:space="preserve"> agli obiettivi in materia di emissioni di CO</w:t>
      </w:r>
      <w:r w:rsidRPr="00B17672">
        <w:rPr>
          <w:noProof/>
          <w:vertAlign w:val="subscript"/>
        </w:rPr>
        <w:t>2</w:t>
      </w:r>
      <w:r w:rsidRPr="00EC49A8">
        <w:rPr>
          <w:noProof/>
        </w:rPr>
        <w:t xml:space="preserve"> per il periodo dal </w:t>
      </w:r>
      <w:r w:rsidRPr="00B17672">
        <w:rPr>
          <w:noProof/>
        </w:rPr>
        <w:t>2025</w:t>
      </w:r>
      <w:r w:rsidRPr="00EC49A8">
        <w:rPr>
          <w:noProof/>
        </w:rPr>
        <w:t xml:space="preserve"> al</w:t>
      </w:r>
      <w:r w:rsidR="00B17672">
        <w:rPr>
          <w:noProof/>
        </w:rPr>
        <w:t> </w:t>
      </w:r>
      <w:r w:rsidRPr="00B17672">
        <w:rPr>
          <w:noProof/>
        </w:rPr>
        <w:t>2027</w:t>
      </w:r>
      <w:r w:rsidRPr="00EC49A8">
        <w:rPr>
          <w:noProof/>
        </w:rPr>
        <w:t>, è opportuno adottare urgentemente una modifica che accordi per questi tre anni flessibilità una tantum nel calcolo della conformità ai livelli di prestazione in materia di emissioni di CO</w:t>
      </w:r>
      <w:r w:rsidRPr="00B17672">
        <w:rPr>
          <w:noProof/>
          <w:vertAlign w:val="subscript"/>
        </w:rPr>
        <w:t>2</w:t>
      </w:r>
      <w:r w:rsidRPr="00EC49A8">
        <w:rPr>
          <w:noProof/>
        </w:rPr>
        <w:t>, mantenendo nel contempo gli obiettivi di riduzione delle emissioni di CO</w:t>
      </w:r>
      <w:r w:rsidRPr="00B17672">
        <w:rPr>
          <w:noProof/>
          <w:vertAlign w:val="subscript"/>
        </w:rPr>
        <w:t>2</w:t>
      </w:r>
      <w:r w:rsidRPr="00EC49A8">
        <w:rPr>
          <w:noProof/>
        </w:rPr>
        <w:t>.</w:t>
      </w:r>
    </w:p>
    <w:p w14:paraId="531F500A" w14:textId="49A743F5" w:rsidR="003663E6" w:rsidRPr="00EC49A8" w:rsidRDefault="006C2E14" w:rsidP="006C2E14">
      <w:pPr>
        <w:pStyle w:val="ManualConsidrant"/>
        <w:rPr>
          <w:noProof/>
        </w:rPr>
      </w:pPr>
      <w:r w:rsidRPr="00EC49A8">
        <w:rPr>
          <w:noProof/>
        </w:rPr>
        <w:t>(</w:t>
      </w:r>
      <w:r w:rsidRPr="00B17672">
        <w:rPr>
          <w:noProof/>
        </w:rPr>
        <w:t>3</w:t>
      </w:r>
      <w:r w:rsidRPr="00EC49A8">
        <w:rPr>
          <w:noProof/>
        </w:rPr>
        <w:t>)</w:t>
      </w:r>
      <w:r w:rsidRPr="00EC49A8">
        <w:rPr>
          <w:noProof/>
        </w:rPr>
        <w:tab/>
        <w:t xml:space="preserve">Nel periodo dal </w:t>
      </w:r>
      <w:r w:rsidRPr="00B17672">
        <w:rPr>
          <w:noProof/>
        </w:rPr>
        <w:t>2025</w:t>
      </w:r>
      <w:r w:rsidRPr="00EC49A8">
        <w:rPr>
          <w:noProof/>
        </w:rPr>
        <w:t xml:space="preserve"> al </w:t>
      </w:r>
      <w:r w:rsidRPr="00B17672">
        <w:rPr>
          <w:noProof/>
        </w:rPr>
        <w:t>2027</w:t>
      </w:r>
      <w:r w:rsidRPr="00EC49A8">
        <w:rPr>
          <w:noProof/>
        </w:rPr>
        <w:t xml:space="preserve"> i costruttori dovrebbero garantire che le emissioni specifiche medie di CO</w:t>
      </w:r>
      <w:r w:rsidRPr="00B17672">
        <w:rPr>
          <w:noProof/>
          <w:vertAlign w:val="subscript"/>
        </w:rPr>
        <w:t>2</w:t>
      </w:r>
      <w:r w:rsidRPr="00EC49A8">
        <w:rPr>
          <w:noProof/>
        </w:rPr>
        <w:t xml:space="preserve"> dei loro veicoli non superino un obiettivo per le emissioni calcolato come la media dei loro obiettivi specifici annui per le emissioni nel periodo in questione. La conformità di ciascun costruttore agli obiettivi dovrebbe essere valutata al termine del triennio. Le indennità per le emissioni in eccesso dovrebbero essere calcolate di conseguenza. </w:t>
      </w:r>
    </w:p>
    <w:p w14:paraId="734E8293" w14:textId="225B10D3" w:rsidR="003663E6" w:rsidRPr="00EC49A8" w:rsidRDefault="006C2E14" w:rsidP="006C2E14">
      <w:pPr>
        <w:pStyle w:val="ManualConsidrant"/>
        <w:rPr>
          <w:noProof/>
        </w:rPr>
      </w:pPr>
      <w:r w:rsidRPr="00EC49A8">
        <w:rPr>
          <w:noProof/>
        </w:rPr>
        <w:t>(</w:t>
      </w:r>
      <w:r w:rsidRPr="00B17672">
        <w:rPr>
          <w:noProof/>
        </w:rPr>
        <w:t>4</w:t>
      </w:r>
      <w:r w:rsidRPr="00EC49A8">
        <w:rPr>
          <w:noProof/>
        </w:rPr>
        <w:t>)</w:t>
      </w:r>
      <w:r w:rsidRPr="00EC49A8">
        <w:rPr>
          <w:noProof/>
        </w:rPr>
        <w:tab/>
        <w:t>Onde allineare le disposizioni sul raggruppamento all</w:t>
      </w:r>
      <w:r w:rsidR="00B17672">
        <w:rPr>
          <w:noProof/>
        </w:rPr>
        <w:t>'</w:t>
      </w:r>
      <w:r w:rsidRPr="00EC49A8">
        <w:rPr>
          <w:noProof/>
        </w:rPr>
        <w:t xml:space="preserve">ulteriore flessibilità per la conformità negli anni dal </w:t>
      </w:r>
      <w:r w:rsidRPr="00B17672">
        <w:rPr>
          <w:noProof/>
        </w:rPr>
        <w:t>2025</w:t>
      </w:r>
      <w:r w:rsidRPr="00EC49A8">
        <w:rPr>
          <w:noProof/>
        </w:rPr>
        <w:t xml:space="preserve"> al </w:t>
      </w:r>
      <w:r w:rsidRPr="00B17672">
        <w:rPr>
          <w:noProof/>
        </w:rPr>
        <w:t>2027</w:t>
      </w:r>
      <w:r w:rsidRPr="00EC49A8">
        <w:rPr>
          <w:noProof/>
        </w:rPr>
        <w:t xml:space="preserve">, è opportuno prevedere la possibilità di concludere accordi per la costituzione di raggruppamenti per ciascuno dei tre anni fino alla fine del </w:t>
      </w:r>
      <w:r w:rsidRPr="00B17672">
        <w:rPr>
          <w:noProof/>
        </w:rPr>
        <w:t>2027</w:t>
      </w:r>
      <w:r w:rsidRPr="00EC49A8">
        <w:rPr>
          <w:noProof/>
        </w:rPr>
        <w:t>.</w:t>
      </w:r>
    </w:p>
    <w:p w14:paraId="25F4244F" w14:textId="5DB30D6C" w:rsidR="00B85F8F" w:rsidRPr="00EC49A8" w:rsidRDefault="006C2E14" w:rsidP="006C2E14">
      <w:pPr>
        <w:pStyle w:val="ManualConsidrant"/>
        <w:rPr>
          <w:noProof/>
        </w:rPr>
      </w:pPr>
      <w:r w:rsidRPr="00EC49A8">
        <w:rPr>
          <w:noProof/>
        </w:rPr>
        <w:t>(</w:t>
      </w:r>
      <w:r w:rsidRPr="00B17672">
        <w:rPr>
          <w:noProof/>
        </w:rPr>
        <w:t>5</w:t>
      </w:r>
      <w:r w:rsidRPr="00EC49A8">
        <w:rPr>
          <w:noProof/>
        </w:rPr>
        <w:t>)</w:t>
      </w:r>
      <w:r w:rsidRPr="00EC49A8">
        <w:rPr>
          <w:noProof/>
        </w:rPr>
        <w:tab/>
        <w:t>Poiché l</w:t>
      </w:r>
      <w:r w:rsidR="00B17672">
        <w:rPr>
          <w:noProof/>
        </w:rPr>
        <w:t>'</w:t>
      </w:r>
      <w:r w:rsidRPr="00EC49A8">
        <w:rPr>
          <w:noProof/>
        </w:rPr>
        <w:t>obiettivo del presente regolamento, vale a dire offrire ulteriore flessibilità per la conformità rispetto alle emissioni CO</w:t>
      </w:r>
      <w:r w:rsidRPr="00B17672">
        <w:rPr>
          <w:noProof/>
          <w:vertAlign w:val="subscript"/>
        </w:rPr>
        <w:t>2</w:t>
      </w:r>
      <w:r w:rsidRPr="00EC49A8">
        <w:rPr>
          <w:noProof/>
        </w:rPr>
        <w:t xml:space="preserve"> nel periodo dal </w:t>
      </w:r>
      <w:r w:rsidRPr="00B17672">
        <w:rPr>
          <w:noProof/>
        </w:rPr>
        <w:t>2025</w:t>
      </w:r>
      <w:r w:rsidRPr="00EC49A8">
        <w:rPr>
          <w:noProof/>
        </w:rPr>
        <w:t xml:space="preserve"> al </w:t>
      </w:r>
      <w:r w:rsidRPr="00B17672">
        <w:rPr>
          <w:noProof/>
        </w:rPr>
        <w:t>2027</w:t>
      </w:r>
      <w:r w:rsidRPr="00EC49A8">
        <w:rPr>
          <w:noProof/>
        </w:rPr>
        <w:t xml:space="preserve"> mantenendo nel contempo gli obblighi di riduzione delle emissioni di CO</w:t>
      </w:r>
      <w:r w:rsidRPr="00B17672">
        <w:rPr>
          <w:noProof/>
          <w:vertAlign w:val="subscript"/>
        </w:rPr>
        <w:t>2</w:t>
      </w:r>
      <w:r w:rsidRPr="00EC49A8">
        <w:rPr>
          <w:noProof/>
        </w:rPr>
        <w:t xml:space="preserve"> sia delle autovetture nuove che dei veicoli commerciali leggeri nuovi, non può essere conseguito in misura sufficiente dagli Stati membri ma, a motivo della sua portata e dei suoi effetti, può essere conseguito meglio a livello di Unione, quest</w:t>
      </w:r>
      <w:r w:rsidR="00B17672">
        <w:rPr>
          <w:noProof/>
        </w:rPr>
        <w:t>'</w:t>
      </w:r>
      <w:r w:rsidRPr="00EC49A8">
        <w:rPr>
          <w:noProof/>
        </w:rPr>
        <w:t>ultima può intervenire in base al principio di sussidiarietà sancito dall</w:t>
      </w:r>
      <w:r w:rsidR="00B17672">
        <w:rPr>
          <w:noProof/>
        </w:rPr>
        <w:t>'</w:t>
      </w:r>
      <w:r w:rsidRPr="00EC49A8">
        <w:rPr>
          <w:noProof/>
        </w:rPr>
        <w:t>articolo </w:t>
      </w:r>
      <w:r w:rsidRPr="00B17672">
        <w:rPr>
          <w:noProof/>
        </w:rPr>
        <w:t>5</w:t>
      </w:r>
      <w:r w:rsidRPr="00EC49A8">
        <w:rPr>
          <w:noProof/>
        </w:rPr>
        <w:t xml:space="preserve"> del trattato sull</w:t>
      </w:r>
      <w:r w:rsidR="00B17672">
        <w:rPr>
          <w:noProof/>
        </w:rPr>
        <w:t>'</w:t>
      </w:r>
      <w:r w:rsidRPr="00EC49A8">
        <w:rPr>
          <w:noProof/>
        </w:rPr>
        <w:t>Unione europea. Il presente regolamento si limita a quanto è necessario per conseguire tale obiettivo in ottemperanza al principio di proporzionalità enunciato nello stesso articolo.</w:t>
      </w:r>
    </w:p>
    <w:p w14:paraId="2221BB8D" w14:textId="77777777" w:rsidR="00B85F8F" w:rsidRPr="00EC49A8" w:rsidRDefault="006C2E14" w:rsidP="006C2E14">
      <w:pPr>
        <w:pStyle w:val="ManualConsidrant"/>
        <w:rPr>
          <w:noProof/>
        </w:rPr>
      </w:pPr>
      <w:r w:rsidRPr="00EC49A8">
        <w:rPr>
          <w:noProof/>
        </w:rPr>
        <w:t>(</w:t>
      </w:r>
      <w:r w:rsidRPr="00B17672">
        <w:rPr>
          <w:noProof/>
        </w:rPr>
        <w:t>6</w:t>
      </w:r>
      <w:r w:rsidRPr="00EC49A8">
        <w:rPr>
          <w:noProof/>
        </w:rPr>
        <w:t>)</w:t>
      </w:r>
      <w:r w:rsidRPr="00EC49A8">
        <w:rPr>
          <w:noProof/>
        </w:rPr>
        <w:tab/>
        <w:t>È pertanto opportuno modificare di conseguenza il regolamento (UE) </w:t>
      </w:r>
      <w:r w:rsidRPr="00B17672">
        <w:rPr>
          <w:noProof/>
        </w:rPr>
        <w:t>2019</w:t>
      </w:r>
      <w:r w:rsidRPr="00EC49A8">
        <w:rPr>
          <w:noProof/>
        </w:rPr>
        <w:t>/</w:t>
      </w:r>
      <w:r w:rsidRPr="00B17672">
        <w:rPr>
          <w:noProof/>
        </w:rPr>
        <w:t>631</w:t>
      </w:r>
      <w:r w:rsidRPr="00EC49A8">
        <w:rPr>
          <w:noProof/>
        </w:rPr>
        <w:t>,</w:t>
      </w:r>
    </w:p>
    <w:p w14:paraId="0324C354" w14:textId="77777777" w:rsidR="007B7892" w:rsidRPr="00EC49A8" w:rsidRDefault="007B7892" w:rsidP="007B7892">
      <w:pPr>
        <w:rPr>
          <w:noProof/>
        </w:rPr>
      </w:pPr>
    </w:p>
    <w:p w14:paraId="34661C59" w14:textId="77777777" w:rsidR="00412E11" w:rsidRPr="00EC49A8" w:rsidRDefault="00412E11" w:rsidP="000C5C29">
      <w:pPr>
        <w:pStyle w:val="Formuledadoption"/>
        <w:rPr>
          <w:noProof/>
        </w:rPr>
      </w:pPr>
      <w:r w:rsidRPr="00EC49A8">
        <w:rPr>
          <w:noProof/>
        </w:rPr>
        <w:t>HANNO ADOTTATO IL PRESENTE REGOLAMENTO:</w:t>
      </w:r>
    </w:p>
    <w:p w14:paraId="4C5A49F7" w14:textId="77777777" w:rsidR="00412E11" w:rsidRPr="00EC49A8" w:rsidRDefault="00412E11" w:rsidP="000C5C29">
      <w:pPr>
        <w:pStyle w:val="Titrearticle"/>
        <w:rPr>
          <w:noProof/>
        </w:rPr>
      </w:pPr>
      <w:r w:rsidRPr="00EC49A8">
        <w:rPr>
          <w:noProof/>
        </w:rPr>
        <w:t xml:space="preserve">Articolo </w:t>
      </w:r>
      <w:r w:rsidRPr="00B17672">
        <w:rPr>
          <w:noProof/>
        </w:rPr>
        <w:t>1</w:t>
      </w:r>
    </w:p>
    <w:p w14:paraId="3ED46C16" w14:textId="77777777" w:rsidR="00BA6D3B" w:rsidRPr="00EC49A8" w:rsidRDefault="00BA6D3B" w:rsidP="000C5C29">
      <w:pPr>
        <w:rPr>
          <w:noProof/>
        </w:rPr>
      </w:pPr>
      <w:r w:rsidRPr="00EC49A8">
        <w:rPr>
          <w:noProof/>
        </w:rPr>
        <w:t>Il regolamento (UE) </w:t>
      </w:r>
      <w:r w:rsidRPr="00B17672">
        <w:rPr>
          <w:noProof/>
        </w:rPr>
        <w:t>2019</w:t>
      </w:r>
      <w:r w:rsidRPr="00EC49A8">
        <w:rPr>
          <w:noProof/>
        </w:rPr>
        <w:t>/</w:t>
      </w:r>
      <w:r w:rsidRPr="00B17672">
        <w:rPr>
          <w:noProof/>
        </w:rPr>
        <w:t>631</w:t>
      </w:r>
      <w:r w:rsidRPr="00EC49A8">
        <w:rPr>
          <w:noProof/>
        </w:rPr>
        <w:t xml:space="preserve"> è così modificato: </w:t>
      </w:r>
    </w:p>
    <w:p w14:paraId="76435C49" w14:textId="3C929CDF" w:rsidR="00D867CC" w:rsidRPr="00EC49A8" w:rsidRDefault="006C2E14" w:rsidP="006C2E14">
      <w:pPr>
        <w:pStyle w:val="Point0"/>
        <w:rPr>
          <w:noProof/>
        </w:rPr>
      </w:pPr>
      <w:r w:rsidRPr="00EC49A8">
        <w:rPr>
          <w:noProof/>
        </w:rPr>
        <w:t>(</w:t>
      </w:r>
      <w:r w:rsidRPr="00B17672">
        <w:rPr>
          <w:noProof/>
        </w:rPr>
        <w:t>1</w:t>
      </w:r>
      <w:r w:rsidRPr="00EC49A8">
        <w:rPr>
          <w:noProof/>
        </w:rPr>
        <w:t>)</w:t>
      </w:r>
      <w:r w:rsidRPr="00EC49A8">
        <w:rPr>
          <w:noProof/>
        </w:rPr>
        <w:tab/>
        <w:t>all</w:t>
      </w:r>
      <w:r w:rsidR="00B17672">
        <w:rPr>
          <w:noProof/>
        </w:rPr>
        <w:t>'</w:t>
      </w:r>
      <w:r w:rsidRPr="00EC49A8">
        <w:rPr>
          <w:noProof/>
        </w:rPr>
        <w:t xml:space="preserve">articolo </w:t>
      </w:r>
      <w:r w:rsidRPr="00B17672">
        <w:rPr>
          <w:noProof/>
        </w:rPr>
        <w:t>4</w:t>
      </w:r>
      <w:r w:rsidRPr="00EC49A8">
        <w:rPr>
          <w:noProof/>
        </w:rPr>
        <w:t xml:space="preserve"> è aggiunto il paragrafo seguente:</w:t>
      </w:r>
    </w:p>
    <w:p w14:paraId="113843A0" w14:textId="50FA55AC" w:rsidR="007A126D" w:rsidRPr="00EC49A8" w:rsidRDefault="00B17672" w:rsidP="007A126D">
      <w:pPr>
        <w:rPr>
          <w:noProof/>
        </w:rPr>
      </w:pPr>
      <w:r>
        <w:rPr>
          <w:noProof/>
        </w:rPr>
        <w:t>"</w:t>
      </w:r>
      <w:r w:rsidR="00321670" w:rsidRPr="00B17672">
        <w:rPr>
          <w:noProof/>
        </w:rPr>
        <w:t>1</w:t>
      </w:r>
      <w:r w:rsidR="00321670" w:rsidRPr="00EC49A8">
        <w:rPr>
          <w:noProof/>
        </w:rPr>
        <w:t xml:space="preserve"> bis. In deroga al paragrafo </w:t>
      </w:r>
      <w:r w:rsidR="00321670" w:rsidRPr="00B17672">
        <w:rPr>
          <w:noProof/>
        </w:rPr>
        <w:t>1</w:t>
      </w:r>
      <w:r w:rsidR="00321670" w:rsidRPr="00EC49A8">
        <w:rPr>
          <w:noProof/>
        </w:rPr>
        <w:t xml:space="preserve">, per il triennio comprendente gli anni civili dal </w:t>
      </w:r>
      <w:r w:rsidR="00321670" w:rsidRPr="00B17672">
        <w:rPr>
          <w:noProof/>
        </w:rPr>
        <w:t>2025</w:t>
      </w:r>
      <w:r w:rsidR="00321670" w:rsidRPr="00EC49A8">
        <w:rPr>
          <w:noProof/>
        </w:rPr>
        <w:t xml:space="preserve"> al </w:t>
      </w:r>
      <w:r w:rsidR="00321670" w:rsidRPr="00B17672">
        <w:rPr>
          <w:noProof/>
        </w:rPr>
        <w:t>2027</w:t>
      </w:r>
      <w:r w:rsidR="00321670" w:rsidRPr="00EC49A8">
        <w:rPr>
          <w:noProof/>
        </w:rPr>
        <w:t>, il costruttore, anche laddove sia membro di un raggruppamento, provvede affinché le sue emissioni specifiche medie di CO</w:t>
      </w:r>
      <w:r w:rsidR="00321670" w:rsidRPr="00B17672">
        <w:rPr>
          <w:noProof/>
          <w:vertAlign w:val="subscript"/>
        </w:rPr>
        <w:t>2</w:t>
      </w:r>
      <w:r w:rsidR="00321670" w:rsidRPr="00EC49A8">
        <w:rPr>
          <w:noProof/>
        </w:rPr>
        <w:t xml:space="preserve"> in tale periodo non superino l</w:t>
      </w:r>
      <w:r>
        <w:rPr>
          <w:noProof/>
        </w:rPr>
        <w:t>'</w:t>
      </w:r>
      <w:r w:rsidR="00321670" w:rsidRPr="00EC49A8">
        <w:rPr>
          <w:noProof/>
        </w:rPr>
        <w:t xml:space="preserve">obiettivo specifico per le emissioni per il medesimo periodo. </w:t>
      </w:r>
    </w:p>
    <w:p w14:paraId="36870234" w14:textId="05994DDE" w:rsidR="00C72565" w:rsidRPr="00EC49A8" w:rsidRDefault="007A126D" w:rsidP="00C72565">
      <w:pPr>
        <w:rPr>
          <w:noProof/>
        </w:rPr>
      </w:pPr>
      <w:r w:rsidRPr="00EC49A8">
        <w:rPr>
          <w:noProof/>
        </w:rPr>
        <w:t>Tali emissioni specifiche medie di CO</w:t>
      </w:r>
      <w:r w:rsidRPr="00B17672">
        <w:rPr>
          <w:noProof/>
          <w:vertAlign w:val="subscript"/>
        </w:rPr>
        <w:t>2</w:t>
      </w:r>
      <w:r w:rsidRPr="00EC49A8">
        <w:rPr>
          <w:noProof/>
        </w:rPr>
        <w:t xml:space="preserve"> sono calcolate come media nel triennio delle emissioni specifiche medie annue di CO</w:t>
      </w:r>
      <w:r w:rsidRPr="00B17672">
        <w:rPr>
          <w:noProof/>
          <w:vertAlign w:val="subscript"/>
        </w:rPr>
        <w:t>2</w:t>
      </w:r>
      <w:r w:rsidRPr="00EC49A8">
        <w:rPr>
          <w:noProof/>
        </w:rPr>
        <w:t xml:space="preserve">, ponderata in base al numero di veicoli di nuova immatricolazione per il costruttore in ciascun anno civile. </w:t>
      </w:r>
    </w:p>
    <w:p w14:paraId="746C5DC1" w14:textId="321D95E8" w:rsidR="003737B7" w:rsidRPr="00EC49A8" w:rsidRDefault="003737B7" w:rsidP="00B1313F">
      <w:pPr>
        <w:rPr>
          <w:noProof/>
        </w:rPr>
      </w:pPr>
      <w:r w:rsidRPr="00EC49A8">
        <w:rPr>
          <w:noProof/>
        </w:rPr>
        <w:t>L</w:t>
      </w:r>
      <w:r w:rsidR="00B17672">
        <w:rPr>
          <w:noProof/>
        </w:rPr>
        <w:t>'</w:t>
      </w:r>
      <w:r w:rsidRPr="00EC49A8">
        <w:rPr>
          <w:noProof/>
        </w:rPr>
        <w:t>obiettivo specifico per le emissioni è calcolato come media nel triennio degli obiettivi specifici annui per le emissioni determinati in conformità dell</w:t>
      </w:r>
      <w:r w:rsidR="00B17672">
        <w:rPr>
          <w:noProof/>
        </w:rPr>
        <w:t>'</w:t>
      </w:r>
      <w:r w:rsidRPr="00EC49A8">
        <w:rPr>
          <w:noProof/>
        </w:rPr>
        <w:t xml:space="preserve">allegato I, parte A o B, punto </w:t>
      </w:r>
      <w:r w:rsidRPr="00B17672">
        <w:rPr>
          <w:noProof/>
        </w:rPr>
        <w:t>6</w:t>
      </w:r>
      <w:r w:rsidRPr="00EC49A8">
        <w:rPr>
          <w:noProof/>
        </w:rPr>
        <w:t>.</w:t>
      </w:r>
      <w:r w:rsidRPr="00B17672">
        <w:rPr>
          <w:noProof/>
        </w:rPr>
        <w:t>3</w:t>
      </w:r>
      <w:r w:rsidRPr="00EC49A8">
        <w:rPr>
          <w:noProof/>
        </w:rPr>
        <w:t>, o, quando un costruttore ottiene una deroga ai sensi dell</w:t>
      </w:r>
      <w:r w:rsidR="00B17672">
        <w:rPr>
          <w:noProof/>
        </w:rPr>
        <w:t>'</w:t>
      </w:r>
      <w:r w:rsidRPr="00EC49A8">
        <w:rPr>
          <w:noProof/>
        </w:rPr>
        <w:t xml:space="preserve">articolo </w:t>
      </w:r>
      <w:r w:rsidRPr="00B17672">
        <w:rPr>
          <w:noProof/>
        </w:rPr>
        <w:t>10</w:t>
      </w:r>
      <w:r w:rsidRPr="00EC49A8">
        <w:rPr>
          <w:noProof/>
        </w:rPr>
        <w:t>, a norma di detta deroga, ponderata in base al numero di veicoli di nuova immatricolazione per il costruttore in ciascun anno civile.</w:t>
      </w:r>
    </w:p>
    <w:p w14:paraId="7C559F49" w14:textId="04C4981A" w:rsidR="00D64AA7" w:rsidRPr="00EC49A8" w:rsidRDefault="00321670" w:rsidP="005941E4">
      <w:pPr>
        <w:rPr>
          <w:noProof/>
        </w:rPr>
      </w:pPr>
      <w:r w:rsidRPr="00EC49A8">
        <w:rPr>
          <w:noProof/>
        </w:rPr>
        <w:t>Per ogni anno civile in cui il costruttore ha fatto parte di un raggruppamento, le emissioni specifiche medie annue di CO</w:t>
      </w:r>
      <w:r w:rsidRPr="00B17672">
        <w:rPr>
          <w:noProof/>
          <w:vertAlign w:val="subscript"/>
        </w:rPr>
        <w:t>2</w:t>
      </w:r>
      <w:r w:rsidRPr="00EC49A8">
        <w:rPr>
          <w:noProof/>
        </w:rPr>
        <w:t xml:space="preserve"> e l</w:t>
      </w:r>
      <w:r w:rsidR="00B17672">
        <w:rPr>
          <w:noProof/>
        </w:rPr>
        <w:t>'</w:t>
      </w:r>
      <w:r w:rsidRPr="00EC49A8">
        <w:rPr>
          <w:noProof/>
        </w:rPr>
        <w:t>obiettivo specifico annuo per le emissioni da utilizzare per i calcoli sono i valori per tale raggruppamento.</w:t>
      </w:r>
      <w:r w:rsidR="00B17672">
        <w:rPr>
          <w:noProof/>
        </w:rPr>
        <w:t>"</w:t>
      </w:r>
      <w:r w:rsidRPr="00EC49A8">
        <w:rPr>
          <w:noProof/>
        </w:rPr>
        <w:t>;</w:t>
      </w:r>
    </w:p>
    <w:p w14:paraId="7BCC9C31" w14:textId="3F500772" w:rsidR="00D867CC" w:rsidRPr="00EC49A8" w:rsidRDefault="006C2E14" w:rsidP="006C2E14">
      <w:pPr>
        <w:pStyle w:val="Point0"/>
        <w:rPr>
          <w:noProof/>
        </w:rPr>
      </w:pPr>
      <w:r w:rsidRPr="00EC49A8">
        <w:rPr>
          <w:noProof/>
        </w:rPr>
        <w:t>(</w:t>
      </w:r>
      <w:r w:rsidRPr="00B17672">
        <w:rPr>
          <w:noProof/>
        </w:rPr>
        <w:t>2</w:t>
      </w:r>
      <w:r w:rsidRPr="00EC49A8">
        <w:rPr>
          <w:noProof/>
        </w:rPr>
        <w:t>)</w:t>
      </w:r>
      <w:r w:rsidRPr="00EC49A8">
        <w:rPr>
          <w:noProof/>
        </w:rPr>
        <w:tab/>
        <w:t>all</w:t>
      </w:r>
      <w:r w:rsidR="00B17672">
        <w:rPr>
          <w:noProof/>
        </w:rPr>
        <w:t>'</w:t>
      </w:r>
      <w:r w:rsidRPr="00EC49A8">
        <w:rPr>
          <w:noProof/>
        </w:rPr>
        <w:t xml:space="preserve">articolo </w:t>
      </w:r>
      <w:r w:rsidRPr="00B17672">
        <w:rPr>
          <w:noProof/>
        </w:rPr>
        <w:t>6</w:t>
      </w:r>
      <w:r w:rsidRPr="00EC49A8">
        <w:rPr>
          <w:noProof/>
        </w:rPr>
        <w:t xml:space="preserve">, paragrafo </w:t>
      </w:r>
      <w:r w:rsidRPr="00B17672">
        <w:rPr>
          <w:noProof/>
        </w:rPr>
        <w:t>2</w:t>
      </w:r>
      <w:r w:rsidRPr="00EC49A8">
        <w:rPr>
          <w:noProof/>
        </w:rPr>
        <w:t>, è aggiunto il comma seguente:</w:t>
      </w:r>
    </w:p>
    <w:p w14:paraId="7390FA8F" w14:textId="148D39FB" w:rsidR="00BE39C1" w:rsidRPr="00EC49A8" w:rsidRDefault="00B17672" w:rsidP="00BE39C1">
      <w:pPr>
        <w:rPr>
          <w:noProof/>
        </w:rPr>
      </w:pPr>
      <w:r>
        <w:rPr>
          <w:noProof/>
        </w:rPr>
        <w:t>"</w:t>
      </w:r>
      <w:r w:rsidR="00BA6D3B" w:rsidRPr="00EC49A8">
        <w:rPr>
          <w:noProof/>
        </w:rPr>
        <w:t>In deroga al primo comma, l</w:t>
      </w:r>
      <w:r>
        <w:rPr>
          <w:noProof/>
        </w:rPr>
        <w:t>'</w:t>
      </w:r>
      <w:r w:rsidR="00BA6D3B" w:rsidRPr="00EC49A8">
        <w:rPr>
          <w:noProof/>
        </w:rPr>
        <w:t>accordo per la costituzione di un raggruppamento per l</w:t>
      </w:r>
      <w:r>
        <w:rPr>
          <w:noProof/>
        </w:rPr>
        <w:t>'</w:t>
      </w:r>
      <w:r w:rsidR="00BA6D3B" w:rsidRPr="00EC49A8">
        <w:rPr>
          <w:noProof/>
        </w:rPr>
        <w:t xml:space="preserve">anno civile </w:t>
      </w:r>
      <w:r w:rsidR="00BA6D3B" w:rsidRPr="00B17672">
        <w:rPr>
          <w:noProof/>
        </w:rPr>
        <w:t>2025</w:t>
      </w:r>
      <w:r w:rsidR="00BA6D3B" w:rsidRPr="00EC49A8">
        <w:rPr>
          <w:noProof/>
        </w:rPr>
        <w:t xml:space="preserve"> o </w:t>
      </w:r>
      <w:r w:rsidR="00BA6D3B" w:rsidRPr="00B17672">
        <w:rPr>
          <w:noProof/>
        </w:rPr>
        <w:t>2026</w:t>
      </w:r>
      <w:r w:rsidR="00BA6D3B" w:rsidRPr="00EC49A8">
        <w:rPr>
          <w:noProof/>
        </w:rPr>
        <w:t xml:space="preserve"> può essere concluso fino al </w:t>
      </w:r>
      <w:r w:rsidR="00BA6D3B" w:rsidRPr="00B17672">
        <w:rPr>
          <w:noProof/>
        </w:rPr>
        <w:t>31</w:t>
      </w:r>
      <w:r w:rsidR="00BA6D3B" w:rsidRPr="00EC49A8">
        <w:rPr>
          <w:noProof/>
        </w:rPr>
        <w:t xml:space="preserve"> dicembre </w:t>
      </w:r>
      <w:r w:rsidR="00BA6D3B" w:rsidRPr="00B17672">
        <w:rPr>
          <w:noProof/>
        </w:rPr>
        <w:t>2027</w:t>
      </w:r>
      <w:r w:rsidR="00BA6D3B" w:rsidRPr="00EC49A8">
        <w:rPr>
          <w:noProof/>
        </w:rPr>
        <w:t>.</w:t>
      </w:r>
      <w:r>
        <w:rPr>
          <w:noProof/>
        </w:rPr>
        <w:t>"</w:t>
      </w:r>
      <w:r w:rsidR="00BA6D3B" w:rsidRPr="00EC49A8">
        <w:rPr>
          <w:noProof/>
        </w:rPr>
        <w:t>;</w:t>
      </w:r>
    </w:p>
    <w:p w14:paraId="1BE93C68" w14:textId="1C96B85B" w:rsidR="00735F58" w:rsidRPr="00EC49A8" w:rsidRDefault="006C2E14" w:rsidP="006C2E14">
      <w:pPr>
        <w:pStyle w:val="Point0"/>
        <w:rPr>
          <w:noProof/>
        </w:rPr>
      </w:pPr>
      <w:r w:rsidRPr="00EC49A8">
        <w:rPr>
          <w:noProof/>
        </w:rPr>
        <w:t>(</w:t>
      </w:r>
      <w:r w:rsidRPr="00B17672">
        <w:rPr>
          <w:noProof/>
        </w:rPr>
        <w:t>3</w:t>
      </w:r>
      <w:r w:rsidRPr="00EC49A8">
        <w:rPr>
          <w:noProof/>
        </w:rPr>
        <w:t>)</w:t>
      </w:r>
      <w:r w:rsidRPr="00EC49A8">
        <w:rPr>
          <w:noProof/>
        </w:rPr>
        <w:tab/>
        <w:t>all</w:t>
      </w:r>
      <w:r w:rsidR="00B17672">
        <w:rPr>
          <w:noProof/>
        </w:rPr>
        <w:t>'</w:t>
      </w:r>
      <w:r w:rsidRPr="00EC49A8">
        <w:rPr>
          <w:noProof/>
        </w:rPr>
        <w:t xml:space="preserve">articolo </w:t>
      </w:r>
      <w:r w:rsidRPr="00B17672">
        <w:rPr>
          <w:noProof/>
        </w:rPr>
        <w:t>8</w:t>
      </w:r>
      <w:r w:rsidRPr="00EC49A8">
        <w:rPr>
          <w:noProof/>
        </w:rPr>
        <w:t xml:space="preserve">, paragrafo </w:t>
      </w:r>
      <w:r w:rsidRPr="00B17672">
        <w:rPr>
          <w:noProof/>
        </w:rPr>
        <w:t>1</w:t>
      </w:r>
      <w:r w:rsidRPr="00EC49A8">
        <w:rPr>
          <w:noProof/>
        </w:rPr>
        <w:t>, è aggiunto il comma seguente:</w:t>
      </w:r>
    </w:p>
    <w:p w14:paraId="5DBF3061" w14:textId="11FE4AED" w:rsidR="000C6B67" w:rsidRPr="00EC49A8" w:rsidRDefault="00B17672" w:rsidP="00735F58">
      <w:pPr>
        <w:rPr>
          <w:noProof/>
        </w:rPr>
      </w:pPr>
      <w:r>
        <w:rPr>
          <w:noProof/>
        </w:rPr>
        <w:t>"</w:t>
      </w:r>
      <w:r w:rsidR="00DE0BEE" w:rsidRPr="00EC49A8">
        <w:rPr>
          <w:noProof/>
        </w:rPr>
        <w:t xml:space="preserve">In deroga al primo comma, per gli anni civili dal </w:t>
      </w:r>
      <w:r w:rsidR="00DE0BEE" w:rsidRPr="00B17672">
        <w:rPr>
          <w:noProof/>
        </w:rPr>
        <w:t>2025</w:t>
      </w:r>
      <w:r w:rsidR="00DE0BEE" w:rsidRPr="00EC49A8">
        <w:rPr>
          <w:noProof/>
        </w:rPr>
        <w:t xml:space="preserve"> al </w:t>
      </w:r>
      <w:r w:rsidR="00DE0BEE" w:rsidRPr="00B17672">
        <w:rPr>
          <w:noProof/>
        </w:rPr>
        <w:t>2027</w:t>
      </w:r>
      <w:r w:rsidR="00DE0BEE" w:rsidRPr="00EC49A8">
        <w:rPr>
          <w:noProof/>
        </w:rPr>
        <w:t>, la Commissione impone al costruttore le cui emissioni specifiche medie di CO</w:t>
      </w:r>
      <w:r w:rsidR="00DE0BEE" w:rsidRPr="00B17672">
        <w:rPr>
          <w:noProof/>
          <w:vertAlign w:val="subscript"/>
        </w:rPr>
        <w:t>2</w:t>
      </w:r>
      <w:r w:rsidR="00DE0BEE" w:rsidRPr="00EC49A8">
        <w:rPr>
          <w:noProof/>
        </w:rPr>
        <w:t xml:space="preserve"> </w:t>
      </w:r>
      <w:r w:rsidR="00EC49A8">
        <w:rPr>
          <w:noProof/>
        </w:rPr>
        <w:t>in tale</w:t>
      </w:r>
      <w:r w:rsidR="00DE0BEE" w:rsidRPr="00EC49A8">
        <w:rPr>
          <w:noProof/>
        </w:rPr>
        <w:t xml:space="preserve"> triennio superino il corrispondente obiettivo specifico per le emissioni di versare un</w:t>
      </w:r>
      <w:r>
        <w:rPr>
          <w:noProof/>
        </w:rPr>
        <w:t>'</w:t>
      </w:r>
      <w:r w:rsidR="00DE0BEE" w:rsidRPr="00EC49A8">
        <w:rPr>
          <w:noProof/>
        </w:rPr>
        <w:t>indennità per le emissioni in eccesso.</w:t>
      </w:r>
      <w:r>
        <w:rPr>
          <w:noProof/>
        </w:rPr>
        <w:t>"</w:t>
      </w:r>
      <w:r w:rsidR="00DE0BEE" w:rsidRPr="00EC49A8">
        <w:rPr>
          <w:noProof/>
        </w:rPr>
        <w:t>.</w:t>
      </w:r>
    </w:p>
    <w:p w14:paraId="0AAFE7D6" w14:textId="77777777" w:rsidR="00412E11" w:rsidRPr="00EC49A8" w:rsidRDefault="00412E11" w:rsidP="000C5C29">
      <w:pPr>
        <w:pStyle w:val="Titrearticle"/>
        <w:rPr>
          <w:noProof/>
        </w:rPr>
      </w:pPr>
      <w:r w:rsidRPr="00EC49A8">
        <w:rPr>
          <w:noProof/>
        </w:rPr>
        <w:t>Articolo </w:t>
      </w:r>
      <w:r w:rsidRPr="00B17672">
        <w:rPr>
          <w:noProof/>
        </w:rPr>
        <w:t>2</w:t>
      </w:r>
      <w:r w:rsidRPr="00EC49A8">
        <w:rPr>
          <w:noProof/>
        </w:rPr>
        <w:t xml:space="preserve"> </w:t>
      </w:r>
    </w:p>
    <w:p w14:paraId="195DB41E" w14:textId="7866D0C1" w:rsidR="00412E11" w:rsidRPr="00EC49A8" w:rsidRDefault="00412E11" w:rsidP="000C5C29">
      <w:pPr>
        <w:rPr>
          <w:noProof/>
        </w:rPr>
      </w:pPr>
      <w:r w:rsidRPr="00EC49A8">
        <w:rPr>
          <w:noProof/>
        </w:rPr>
        <w:t xml:space="preserve">Il presente regolamento entra in vigore il ventesimo giorno successivo alla pubblicazione nella </w:t>
      </w:r>
      <w:r w:rsidRPr="00EC49A8">
        <w:rPr>
          <w:i/>
          <w:noProof/>
        </w:rPr>
        <w:t>Gazzetta ufficiale dell</w:t>
      </w:r>
      <w:r w:rsidR="00B17672">
        <w:rPr>
          <w:i/>
          <w:noProof/>
        </w:rPr>
        <w:t>'</w:t>
      </w:r>
      <w:r w:rsidRPr="00EC49A8">
        <w:rPr>
          <w:i/>
          <w:noProof/>
        </w:rPr>
        <w:t>Unione europea</w:t>
      </w:r>
      <w:r w:rsidRPr="00EC49A8">
        <w:rPr>
          <w:noProof/>
        </w:rPr>
        <w:t>.</w:t>
      </w:r>
    </w:p>
    <w:p w14:paraId="3AD39F4B" w14:textId="77777777" w:rsidR="00412E11" w:rsidRPr="00EC49A8" w:rsidRDefault="00412E11" w:rsidP="000C5C29">
      <w:pPr>
        <w:pStyle w:val="Applicationdirecte"/>
        <w:rPr>
          <w:noProof/>
        </w:rPr>
      </w:pPr>
      <w:r w:rsidRPr="00EC49A8">
        <w:rPr>
          <w:noProof/>
        </w:rPr>
        <w:t>Il presente regolamento è obbligatorio in tutti i suoi elementi e direttamente applicabile in ciascuno degli Stati membri.</w:t>
      </w:r>
    </w:p>
    <w:p w14:paraId="6392C328" w14:textId="71732804" w:rsidR="00412E11" w:rsidRPr="00EC49A8" w:rsidRDefault="00B17672" w:rsidP="00AE4319">
      <w:pPr>
        <w:pStyle w:val="Fait"/>
        <w:rPr>
          <w:noProof/>
        </w:rPr>
      </w:pPr>
      <w:r>
        <w:rPr>
          <w:noProof/>
        </w:rPr>
        <w:t>Fatto a Strasburgo, il</w:t>
      </w:r>
    </w:p>
    <w:p w14:paraId="1055B73E" w14:textId="77777777" w:rsidR="00412E11" w:rsidRPr="00EC49A8" w:rsidRDefault="00412E11" w:rsidP="00AE4319">
      <w:pPr>
        <w:pStyle w:val="Institutionquisigne"/>
        <w:rPr>
          <w:noProof/>
        </w:rPr>
      </w:pPr>
      <w:r w:rsidRPr="00EC49A8">
        <w:rPr>
          <w:noProof/>
        </w:rPr>
        <w:t>Per il Parlamento europeo</w:t>
      </w:r>
      <w:r w:rsidRPr="00EC49A8">
        <w:rPr>
          <w:noProof/>
        </w:rPr>
        <w:tab/>
        <w:t>Per il Consiglio</w:t>
      </w:r>
    </w:p>
    <w:p w14:paraId="4363739B" w14:textId="77777777" w:rsidR="00412E11" w:rsidRPr="00EC49A8" w:rsidRDefault="00412E11" w:rsidP="00412E11">
      <w:pPr>
        <w:pStyle w:val="Personnequisigne"/>
        <w:rPr>
          <w:noProof/>
        </w:rPr>
      </w:pPr>
      <w:r w:rsidRPr="00EC49A8">
        <w:rPr>
          <w:noProof/>
        </w:rPr>
        <w:t>La presidente</w:t>
      </w:r>
      <w:r w:rsidRPr="00EC49A8">
        <w:rPr>
          <w:noProof/>
        </w:rPr>
        <w:tab/>
        <w:t>Il presidente</w:t>
      </w:r>
    </w:p>
    <w:p w14:paraId="5956CFFB" w14:textId="77777777" w:rsidR="00412E11" w:rsidRPr="00EC49A8" w:rsidRDefault="00412E11" w:rsidP="00412E11">
      <w:pPr>
        <w:rPr>
          <w:noProof/>
        </w:rPr>
        <w:sectPr w:rsidR="00412E11" w:rsidRPr="00EC49A8" w:rsidSect="009F3D23">
          <w:pgSz w:w="11907" w:h="16839"/>
          <w:pgMar w:top="1134" w:right="1417" w:bottom="1134" w:left="1417" w:header="709" w:footer="709" w:gutter="0"/>
          <w:cols w:space="708"/>
          <w:docGrid w:linePitch="360"/>
        </w:sectPr>
      </w:pPr>
    </w:p>
    <w:p w14:paraId="7275C5BE" w14:textId="77777777" w:rsidR="00412E11" w:rsidRPr="00EC49A8" w:rsidRDefault="00412E11" w:rsidP="000C5C29">
      <w:pPr>
        <w:pStyle w:val="Fichefinanciretitre"/>
        <w:keepNext/>
        <w:rPr>
          <w:noProof/>
        </w:rPr>
      </w:pPr>
      <w:r w:rsidRPr="00EC49A8">
        <w:rPr>
          <w:noProof/>
        </w:rPr>
        <w:t>SCHEDA FINANZIARIA E DIGITALE LEGISLATIVA</w:t>
      </w:r>
    </w:p>
    <w:p w14:paraId="2B300A01" w14:textId="77777777" w:rsidR="00412E11" w:rsidRPr="00EC49A8" w:rsidRDefault="00412E11" w:rsidP="000C5C29">
      <w:pPr>
        <w:pStyle w:val="TOC1"/>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EC49A8">
        <w:rPr>
          <w:noProof/>
        </w:rPr>
        <w:tab/>
        <w:t>CONTESTO DELLA PROPOSTA/INIZIATIVA</w:t>
      </w:r>
      <w:r w:rsidRPr="00EC49A8">
        <w:rPr>
          <w:noProof/>
        </w:rPr>
        <w:tab/>
      </w:r>
      <w:r w:rsidRPr="00B17672">
        <w:rPr>
          <w:noProof/>
          <w:webHidden/>
        </w:rPr>
        <w:t>3</w:t>
      </w:r>
    </w:p>
    <w:p w14:paraId="6CFC8521"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1</w:t>
      </w:r>
      <w:r w:rsidRPr="00EC49A8">
        <w:rPr>
          <w:noProof/>
        </w:rPr>
        <w:t>.</w:t>
      </w:r>
      <w:r w:rsidRPr="00EC49A8">
        <w:rPr>
          <w:noProof/>
        </w:rPr>
        <w:tab/>
        <w:t>Titolo della proposta/iniziativa</w:t>
      </w:r>
      <w:r w:rsidRPr="00EC49A8">
        <w:rPr>
          <w:noProof/>
        </w:rPr>
        <w:tab/>
      </w:r>
      <w:r w:rsidRPr="00B17672">
        <w:rPr>
          <w:noProof/>
          <w:webHidden/>
        </w:rPr>
        <w:t>3</w:t>
      </w:r>
    </w:p>
    <w:p w14:paraId="2E8C28BE"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2</w:t>
      </w:r>
      <w:r w:rsidRPr="00EC49A8">
        <w:rPr>
          <w:noProof/>
        </w:rPr>
        <w:t>.</w:t>
      </w:r>
      <w:r w:rsidRPr="00EC49A8">
        <w:rPr>
          <w:noProof/>
        </w:rPr>
        <w:tab/>
        <w:t>Settore/settori interessati</w:t>
      </w:r>
      <w:r w:rsidRPr="00EC49A8">
        <w:rPr>
          <w:noProof/>
        </w:rPr>
        <w:tab/>
      </w:r>
      <w:r w:rsidRPr="00B17672">
        <w:rPr>
          <w:noProof/>
          <w:webHidden/>
        </w:rPr>
        <w:t>3</w:t>
      </w:r>
    </w:p>
    <w:p w14:paraId="5203CE46"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3</w:t>
      </w:r>
      <w:r w:rsidRPr="00EC49A8">
        <w:rPr>
          <w:noProof/>
        </w:rPr>
        <w:t>.</w:t>
      </w:r>
      <w:r w:rsidRPr="00EC49A8">
        <w:rPr>
          <w:noProof/>
        </w:rPr>
        <w:tab/>
        <w:t>Obiettivi</w:t>
      </w:r>
      <w:r w:rsidRPr="00EC49A8">
        <w:rPr>
          <w:noProof/>
        </w:rPr>
        <w:tab/>
      </w:r>
      <w:r w:rsidRPr="00B17672">
        <w:rPr>
          <w:noProof/>
          <w:webHidden/>
        </w:rPr>
        <w:t>3</w:t>
      </w:r>
    </w:p>
    <w:p w14:paraId="770D37AE"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3</w:t>
      </w:r>
      <w:r w:rsidRPr="00EC49A8">
        <w:rPr>
          <w:noProof/>
        </w:rPr>
        <w:t>.</w:t>
      </w:r>
      <w:r w:rsidRPr="00B17672">
        <w:rPr>
          <w:noProof/>
        </w:rPr>
        <w:t>1</w:t>
      </w:r>
      <w:r w:rsidRPr="00EC49A8">
        <w:rPr>
          <w:noProof/>
        </w:rPr>
        <w:t>.</w:t>
      </w:r>
      <w:r w:rsidRPr="00EC49A8">
        <w:rPr>
          <w:noProof/>
        </w:rPr>
        <w:tab/>
        <w:t>Obiettivi generali</w:t>
      </w:r>
      <w:r w:rsidRPr="00EC49A8">
        <w:rPr>
          <w:noProof/>
        </w:rPr>
        <w:tab/>
      </w:r>
      <w:r w:rsidRPr="00B17672">
        <w:rPr>
          <w:noProof/>
          <w:webHidden/>
        </w:rPr>
        <w:t>3</w:t>
      </w:r>
    </w:p>
    <w:p w14:paraId="511E0FC3"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3</w:t>
      </w:r>
      <w:r w:rsidRPr="00EC49A8">
        <w:rPr>
          <w:noProof/>
        </w:rPr>
        <w:t>.</w:t>
      </w:r>
      <w:r w:rsidRPr="00B17672">
        <w:rPr>
          <w:noProof/>
        </w:rPr>
        <w:t>2</w:t>
      </w:r>
      <w:r w:rsidRPr="00EC49A8">
        <w:rPr>
          <w:noProof/>
        </w:rPr>
        <w:t>.</w:t>
      </w:r>
      <w:r w:rsidRPr="00EC49A8">
        <w:rPr>
          <w:noProof/>
        </w:rPr>
        <w:tab/>
        <w:t>Obiettivi specifici</w:t>
      </w:r>
      <w:r w:rsidRPr="00EC49A8">
        <w:rPr>
          <w:noProof/>
        </w:rPr>
        <w:tab/>
      </w:r>
      <w:r w:rsidRPr="00B17672">
        <w:rPr>
          <w:noProof/>
          <w:webHidden/>
        </w:rPr>
        <w:t>3</w:t>
      </w:r>
    </w:p>
    <w:p w14:paraId="094F87EE"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3</w:t>
      </w:r>
      <w:r w:rsidRPr="00EC49A8">
        <w:rPr>
          <w:noProof/>
        </w:rPr>
        <w:t>.</w:t>
      </w:r>
      <w:r w:rsidRPr="00B17672">
        <w:rPr>
          <w:noProof/>
        </w:rPr>
        <w:t>3</w:t>
      </w:r>
      <w:r w:rsidRPr="00EC49A8">
        <w:rPr>
          <w:noProof/>
        </w:rPr>
        <w:t>.</w:t>
      </w:r>
      <w:r w:rsidRPr="00EC49A8">
        <w:rPr>
          <w:noProof/>
        </w:rPr>
        <w:tab/>
        <w:t>Risultati e incidenza previsti</w:t>
      </w:r>
      <w:r w:rsidRPr="00EC49A8">
        <w:rPr>
          <w:noProof/>
        </w:rPr>
        <w:tab/>
      </w:r>
      <w:r w:rsidRPr="00B17672">
        <w:rPr>
          <w:noProof/>
          <w:webHidden/>
        </w:rPr>
        <w:t>3</w:t>
      </w:r>
    </w:p>
    <w:p w14:paraId="4B1E7201"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3</w:t>
      </w:r>
      <w:r w:rsidRPr="00EC49A8">
        <w:rPr>
          <w:noProof/>
        </w:rPr>
        <w:t>.</w:t>
      </w:r>
      <w:r w:rsidRPr="00B17672">
        <w:rPr>
          <w:noProof/>
        </w:rPr>
        <w:t>4</w:t>
      </w:r>
      <w:r w:rsidRPr="00EC49A8">
        <w:rPr>
          <w:noProof/>
        </w:rPr>
        <w:t>.</w:t>
      </w:r>
      <w:r w:rsidRPr="00EC49A8">
        <w:rPr>
          <w:noProof/>
        </w:rPr>
        <w:tab/>
        <w:t>Indicatori di prestazione</w:t>
      </w:r>
      <w:r w:rsidRPr="00EC49A8">
        <w:rPr>
          <w:noProof/>
        </w:rPr>
        <w:tab/>
      </w:r>
      <w:r w:rsidRPr="00B17672">
        <w:rPr>
          <w:noProof/>
          <w:webHidden/>
        </w:rPr>
        <w:t>3</w:t>
      </w:r>
    </w:p>
    <w:p w14:paraId="6A086135"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4</w:t>
      </w:r>
      <w:r w:rsidRPr="00EC49A8">
        <w:rPr>
          <w:noProof/>
        </w:rPr>
        <w:t>.</w:t>
      </w:r>
      <w:r w:rsidRPr="00EC49A8">
        <w:rPr>
          <w:noProof/>
        </w:rPr>
        <w:tab/>
        <w:t>La proposta/iniziativa riguarda:</w:t>
      </w:r>
      <w:r w:rsidRPr="00EC49A8">
        <w:rPr>
          <w:noProof/>
        </w:rPr>
        <w:tab/>
      </w:r>
      <w:r w:rsidRPr="00B17672">
        <w:rPr>
          <w:noProof/>
          <w:webHidden/>
        </w:rPr>
        <w:t>4</w:t>
      </w:r>
    </w:p>
    <w:p w14:paraId="5E862E14"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EC49A8">
        <w:rPr>
          <w:noProof/>
        </w:rPr>
        <w:tab/>
        <w:t>Motivazione della proposta/iniziativa</w:t>
      </w:r>
      <w:r w:rsidRPr="00EC49A8">
        <w:rPr>
          <w:noProof/>
        </w:rPr>
        <w:tab/>
      </w:r>
      <w:r w:rsidRPr="00B17672">
        <w:rPr>
          <w:noProof/>
          <w:webHidden/>
        </w:rPr>
        <w:t>4</w:t>
      </w:r>
    </w:p>
    <w:p w14:paraId="5CA2B0D2" w14:textId="4EF90B63"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B17672">
        <w:rPr>
          <w:noProof/>
        </w:rPr>
        <w:t>1</w:t>
      </w:r>
      <w:r w:rsidRPr="00EC49A8">
        <w:rPr>
          <w:noProof/>
        </w:rPr>
        <w:t>.</w:t>
      </w:r>
      <w:r w:rsidRPr="00EC49A8">
        <w:rPr>
          <w:noProof/>
        </w:rPr>
        <w:tab/>
        <w:t>Necessità nel breve e lungo termine, con calendario dettagliato delle fasi di attuazione dell</w:t>
      </w:r>
      <w:r w:rsidR="00B17672">
        <w:rPr>
          <w:noProof/>
        </w:rPr>
        <w:t>'</w:t>
      </w:r>
      <w:r w:rsidRPr="00EC49A8">
        <w:rPr>
          <w:noProof/>
        </w:rPr>
        <w:t>iniziativa</w:t>
      </w:r>
      <w:r w:rsidRPr="00EC49A8">
        <w:rPr>
          <w:noProof/>
        </w:rPr>
        <w:tab/>
      </w:r>
      <w:r w:rsidRPr="00B17672">
        <w:rPr>
          <w:noProof/>
          <w:webHidden/>
        </w:rPr>
        <w:t>4</w:t>
      </w:r>
    </w:p>
    <w:p w14:paraId="68665648" w14:textId="6405B8D1"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B17672">
        <w:rPr>
          <w:noProof/>
        </w:rPr>
        <w:t>2</w:t>
      </w:r>
      <w:r w:rsidRPr="00EC49A8">
        <w:rPr>
          <w:noProof/>
        </w:rPr>
        <w:t>.</w:t>
      </w:r>
      <w:r w:rsidRPr="00EC49A8">
        <w:rPr>
          <w:noProof/>
        </w:rPr>
        <w:tab/>
        <w:t>Valore aggiunto dell</w:t>
      </w:r>
      <w:r w:rsidR="00B17672">
        <w:rPr>
          <w:noProof/>
        </w:rPr>
        <w:t>'</w:t>
      </w:r>
      <w:r w:rsidRPr="00EC49A8">
        <w:rPr>
          <w:noProof/>
        </w:rPr>
        <w:t>intervento dell</w:t>
      </w:r>
      <w:r w:rsidR="00B17672">
        <w:rPr>
          <w:noProof/>
        </w:rPr>
        <w:t>'</w:t>
      </w:r>
      <w:r w:rsidRPr="00EC49A8">
        <w:rPr>
          <w:noProof/>
        </w:rPr>
        <w:t>UE (che può derivare da diversi fattori, ad es. un miglior coordinamento, la certezza del diritto o un</w:t>
      </w:r>
      <w:r w:rsidR="00B17672">
        <w:rPr>
          <w:noProof/>
        </w:rPr>
        <w:t>'</w:t>
      </w:r>
      <w:r w:rsidRPr="00EC49A8">
        <w:rPr>
          <w:noProof/>
        </w:rPr>
        <w:t xml:space="preserve">efficacia e una complementarità maggiori). Ai fini della presente sezione, per </w:t>
      </w:r>
      <w:r w:rsidR="00B17672">
        <w:rPr>
          <w:noProof/>
        </w:rPr>
        <w:t>"</w:t>
      </w:r>
      <w:r w:rsidRPr="00EC49A8">
        <w:rPr>
          <w:noProof/>
        </w:rPr>
        <w:t>valore aggiunto dell</w:t>
      </w:r>
      <w:r w:rsidR="00B17672">
        <w:rPr>
          <w:noProof/>
        </w:rPr>
        <w:t>'</w:t>
      </w:r>
      <w:r w:rsidRPr="00EC49A8">
        <w:rPr>
          <w:noProof/>
        </w:rPr>
        <w:t>intervento dell</w:t>
      </w:r>
      <w:r w:rsidR="00B17672">
        <w:rPr>
          <w:noProof/>
        </w:rPr>
        <w:t>'</w:t>
      </w:r>
      <w:r w:rsidRPr="00EC49A8">
        <w:rPr>
          <w:noProof/>
        </w:rPr>
        <w:t>UE</w:t>
      </w:r>
      <w:r w:rsidR="00B17672">
        <w:rPr>
          <w:noProof/>
        </w:rPr>
        <w:t>"</w:t>
      </w:r>
      <w:r w:rsidRPr="00EC49A8">
        <w:rPr>
          <w:noProof/>
        </w:rPr>
        <w:t xml:space="preserve"> si intende il valore derivante dall</w:t>
      </w:r>
      <w:r w:rsidR="00B17672">
        <w:rPr>
          <w:noProof/>
        </w:rPr>
        <w:t>'</w:t>
      </w:r>
      <w:r w:rsidRPr="00EC49A8">
        <w:rPr>
          <w:noProof/>
        </w:rPr>
        <w:t>azione dell</w:t>
      </w:r>
      <w:r w:rsidR="00B17672">
        <w:rPr>
          <w:noProof/>
        </w:rPr>
        <w:t>'</w:t>
      </w:r>
      <w:r w:rsidRPr="00EC49A8">
        <w:rPr>
          <w:noProof/>
        </w:rPr>
        <w:t>Unione europea che va ad aggiungersi al valore che avrebbero altrimenti generato gli Stati membri se avessero agito da soli.</w:t>
      </w:r>
      <w:r w:rsidRPr="00EC49A8">
        <w:rPr>
          <w:noProof/>
        </w:rPr>
        <w:tab/>
      </w:r>
      <w:r w:rsidRPr="00B17672">
        <w:rPr>
          <w:noProof/>
          <w:webHidden/>
        </w:rPr>
        <w:t>4</w:t>
      </w:r>
    </w:p>
    <w:p w14:paraId="3908FADF"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B17672">
        <w:rPr>
          <w:noProof/>
        </w:rPr>
        <w:t>3</w:t>
      </w:r>
      <w:r w:rsidRPr="00EC49A8">
        <w:rPr>
          <w:noProof/>
        </w:rPr>
        <w:t>.</w:t>
      </w:r>
      <w:r w:rsidRPr="00EC49A8">
        <w:rPr>
          <w:noProof/>
        </w:rPr>
        <w:tab/>
        <w:t>Insegnamenti tratti da esperienze analoghe</w:t>
      </w:r>
      <w:r w:rsidRPr="00EC49A8">
        <w:rPr>
          <w:noProof/>
        </w:rPr>
        <w:tab/>
      </w:r>
      <w:r w:rsidRPr="00B17672">
        <w:rPr>
          <w:noProof/>
          <w:webHidden/>
        </w:rPr>
        <w:t>4</w:t>
      </w:r>
    </w:p>
    <w:p w14:paraId="288D1A60"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B17672">
        <w:rPr>
          <w:noProof/>
        </w:rPr>
        <w:t>4</w:t>
      </w:r>
      <w:r w:rsidRPr="00EC49A8">
        <w:rPr>
          <w:noProof/>
        </w:rPr>
        <w:t>.</w:t>
      </w:r>
      <w:r w:rsidRPr="00EC49A8">
        <w:rPr>
          <w:noProof/>
        </w:rPr>
        <w:tab/>
        <w:t>Compatibilità con il quadro finanziario pluriennale ed eventuali sinergie con altri strumenti rilevanti</w:t>
      </w:r>
      <w:r w:rsidRPr="00EC49A8">
        <w:rPr>
          <w:noProof/>
        </w:rPr>
        <w:tab/>
      </w:r>
      <w:r w:rsidRPr="00B17672">
        <w:rPr>
          <w:noProof/>
          <w:webHidden/>
        </w:rPr>
        <w:t>5</w:t>
      </w:r>
    </w:p>
    <w:p w14:paraId="483994CA"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5</w:t>
      </w:r>
      <w:r w:rsidRPr="00EC49A8">
        <w:rPr>
          <w:noProof/>
        </w:rPr>
        <w:t>.</w:t>
      </w:r>
      <w:r w:rsidRPr="00B17672">
        <w:rPr>
          <w:noProof/>
        </w:rPr>
        <w:t>5</w:t>
      </w:r>
      <w:r w:rsidRPr="00EC49A8">
        <w:rPr>
          <w:noProof/>
        </w:rPr>
        <w:t>.</w:t>
      </w:r>
      <w:r w:rsidRPr="00EC49A8">
        <w:rPr>
          <w:noProof/>
        </w:rPr>
        <w:tab/>
        <w:t>Valutazione delle varie opzioni di finanziamento disponibili, comprese le possibilità di riassegnazione</w:t>
      </w:r>
      <w:r w:rsidRPr="00EC49A8">
        <w:rPr>
          <w:noProof/>
        </w:rPr>
        <w:tab/>
      </w:r>
      <w:r w:rsidRPr="00B17672">
        <w:rPr>
          <w:noProof/>
          <w:webHidden/>
        </w:rPr>
        <w:t>5</w:t>
      </w:r>
    </w:p>
    <w:p w14:paraId="640DE0E6"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6</w:t>
      </w:r>
      <w:r w:rsidRPr="00EC49A8">
        <w:rPr>
          <w:noProof/>
        </w:rPr>
        <w:t>.</w:t>
      </w:r>
      <w:r w:rsidRPr="00EC49A8">
        <w:rPr>
          <w:noProof/>
        </w:rPr>
        <w:tab/>
        <w:t>Durata della proposta/iniziativa e della relativa incidenza finanziaria</w:t>
      </w:r>
      <w:r w:rsidRPr="00EC49A8">
        <w:rPr>
          <w:noProof/>
        </w:rPr>
        <w:tab/>
      </w:r>
      <w:r w:rsidRPr="00B17672">
        <w:rPr>
          <w:noProof/>
          <w:webHidden/>
        </w:rPr>
        <w:t>6</w:t>
      </w:r>
    </w:p>
    <w:p w14:paraId="0379B764"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1</w:t>
      </w:r>
      <w:r w:rsidRPr="00EC49A8">
        <w:rPr>
          <w:noProof/>
        </w:rPr>
        <w:t>.</w:t>
      </w:r>
      <w:r w:rsidRPr="00B17672">
        <w:rPr>
          <w:noProof/>
        </w:rPr>
        <w:t>7</w:t>
      </w:r>
      <w:r w:rsidRPr="00EC49A8">
        <w:rPr>
          <w:noProof/>
        </w:rPr>
        <w:t>.</w:t>
      </w:r>
      <w:r w:rsidRPr="00EC49A8">
        <w:rPr>
          <w:noProof/>
        </w:rPr>
        <w:tab/>
        <w:t>Metodo o metodi di esecuzione del bilancio previsti</w:t>
      </w:r>
      <w:r w:rsidRPr="00EC49A8">
        <w:rPr>
          <w:noProof/>
        </w:rPr>
        <w:tab/>
      </w:r>
      <w:r w:rsidRPr="00B17672">
        <w:rPr>
          <w:noProof/>
          <w:webHidden/>
        </w:rPr>
        <w:t>6</w:t>
      </w:r>
    </w:p>
    <w:p w14:paraId="6F7D3704" w14:textId="77777777" w:rsidR="00412E11" w:rsidRPr="00EC49A8" w:rsidRDefault="00412E11" w:rsidP="000C5C29">
      <w:pPr>
        <w:pStyle w:val="TOC1"/>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EC49A8">
        <w:rPr>
          <w:noProof/>
        </w:rPr>
        <w:tab/>
        <w:t>MISURE DI GESTIONE</w:t>
      </w:r>
      <w:r w:rsidRPr="00EC49A8">
        <w:rPr>
          <w:noProof/>
        </w:rPr>
        <w:tab/>
      </w:r>
      <w:r w:rsidRPr="00B17672">
        <w:rPr>
          <w:noProof/>
          <w:webHidden/>
        </w:rPr>
        <w:t>8</w:t>
      </w:r>
    </w:p>
    <w:p w14:paraId="31B47D6E"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1</w:t>
      </w:r>
      <w:r w:rsidRPr="00EC49A8">
        <w:rPr>
          <w:noProof/>
        </w:rPr>
        <w:t>.</w:t>
      </w:r>
      <w:r w:rsidRPr="00EC49A8">
        <w:rPr>
          <w:noProof/>
        </w:rPr>
        <w:tab/>
        <w:t>Disposizioni in materia di monitoraggio e di relazioni</w:t>
      </w:r>
      <w:r w:rsidRPr="00EC49A8">
        <w:rPr>
          <w:noProof/>
        </w:rPr>
        <w:tab/>
      </w:r>
      <w:r w:rsidRPr="00B17672">
        <w:rPr>
          <w:noProof/>
          <w:webHidden/>
        </w:rPr>
        <w:t>8</w:t>
      </w:r>
    </w:p>
    <w:p w14:paraId="743CAADE"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2</w:t>
      </w:r>
      <w:r w:rsidRPr="00EC49A8">
        <w:rPr>
          <w:noProof/>
        </w:rPr>
        <w:t>.</w:t>
      </w:r>
      <w:r w:rsidRPr="00EC49A8">
        <w:rPr>
          <w:noProof/>
        </w:rPr>
        <w:tab/>
        <w:t>Sistema o sistemi di gestione e di controllo</w:t>
      </w:r>
      <w:r w:rsidRPr="00EC49A8">
        <w:rPr>
          <w:noProof/>
        </w:rPr>
        <w:tab/>
      </w:r>
      <w:r w:rsidRPr="00B17672">
        <w:rPr>
          <w:noProof/>
          <w:webHidden/>
        </w:rPr>
        <w:t>8</w:t>
      </w:r>
    </w:p>
    <w:p w14:paraId="5673F28B"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2</w:t>
      </w:r>
      <w:r w:rsidRPr="00EC49A8">
        <w:rPr>
          <w:noProof/>
        </w:rPr>
        <w:t>.</w:t>
      </w:r>
      <w:r w:rsidRPr="00B17672">
        <w:rPr>
          <w:noProof/>
        </w:rPr>
        <w:t>1</w:t>
      </w:r>
      <w:r w:rsidRPr="00EC49A8">
        <w:rPr>
          <w:noProof/>
        </w:rPr>
        <w:t>.</w:t>
      </w:r>
      <w:r w:rsidRPr="00EC49A8">
        <w:rPr>
          <w:noProof/>
        </w:rPr>
        <w:tab/>
        <w:t>Giustificazione del metodo o dei metodi di esecuzione del bilancio, del meccanismo o dei meccanismi di attuazione del finanziamento, delle modalità di pagamento e della strategia di controllo proposti</w:t>
      </w:r>
      <w:r w:rsidRPr="00EC49A8">
        <w:rPr>
          <w:noProof/>
        </w:rPr>
        <w:tab/>
      </w:r>
      <w:r w:rsidRPr="00B17672">
        <w:rPr>
          <w:noProof/>
          <w:webHidden/>
        </w:rPr>
        <w:t>8</w:t>
      </w:r>
    </w:p>
    <w:p w14:paraId="392CADEA"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2</w:t>
      </w:r>
      <w:r w:rsidRPr="00EC49A8">
        <w:rPr>
          <w:noProof/>
        </w:rPr>
        <w:t>.</w:t>
      </w:r>
      <w:r w:rsidRPr="00B17672">
        <w:rPr>
          <w:noProof/>
        </w:rPr>
        <w:t>2</w:t>
      </w:r>
      <w:r w:rsidRPr="00EC49A8">
        <w:rPr>
          <w:noProof/>
        </w:rPr>
        <w:t>.</w:t>
      </w:r>
      <w:r w:rsidRPr="00EC49A8">
        <w:rPr>
          <w:noProof/>
        </w:rPr>
        <w:tab/>
        <w:t>Informazioni concernenti i rischi individuati e il sistema o i sistemi di controllo interno per ridurli</w:t>
      </w:r>
      <w:r w:rsidRPr="00EC49A8">
        <w:rPr>
          <w:noProof/>
        </w:rPr>
        <w:tab/>
      </w:r>
      <w:r w:rsidRPr="00B17672">
        <w:rPr>
          <w:noProof/>
          <w:webHidden/>
        </w:rPr>
        <w:t>8</w:t>
      </w:r>
    </w:p>
    <w:p w14:paraId="0218C7AC"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2</w:t>
      </w:r>
      <w:r w:rsidRPr="00EC49A8">
        <w:rPr>
          <w:noProof/>
        </w:rPr>
        <w:t>.</w:t>
      </w:r>
      <w:r w:rsidRPr="00B17672">
        <w:rPr>
          <w:noProof/>
        </w:rPr>
        <w:t>3</w:t>
      </w:r>
      <w:r w:rsidRPr="00EC49A8">
        <w:rPr>
          <w:noProof/>
        </w:rPr>
        <w:t>.</w:t>
      </w:r>
      <w:r w:rsidRPr="00EC49A8">
        <w:rPr>
          <w:noProof/>
        </w:rPr>
        <w:tab/>
        <w:t>Stima e giustificazione del rapporto costo/efficacia dei controlli (rapporto tra costi del controllo e valore dei fondi gestiti) e valutazione dei livelli di rischio di errore previsti (al pagamento e alla chiusura)</w:t>
      </w:r>
      <w:r w:rsidRPr="00EC49A8">
        <w:rPr>
          <w:noProof/>
        </w:rPr>
        <w:tab/>
      </w:r>
      <w:r w:rsidRPr="00B17672">
        <w:rPr>
          <w:noProof/>
          <w:webHidden/>
        </w:rPr>
        <w:t>8</w:t>
      </w:r>
    </w:p>
    <w:p w14:paraId="0BB0C6E9"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2</w:t>
      </w:r>
      <w:r w:rsidRPr="00EC49A8">
        <w:rPr>
          <w:noProof/>
        </w:rPr>
        <w:t>.</w:t>
      </w:r>
      <w:r w:rsidRPr="00B17672">
        <w:rPr>
          <w:noProof/>
        </w:rPr>
        <w:t>3</w:t>
      </w:r>
      <w:r w:rsidRPr="00EC49A8">
        <w:rPr>
          <w:noProof/>
        </w:rPr>
        <w:t>.</w:t>
      </w:r>
      <w:r w:rsidRPr="00EC49A8">
        <w:rPr>
          <w:noProof/>
        </w:rPr>
        <w:tab/>
        <w:t>Misure di prevenzione delle frodi e delle irregolarità</w:t>
      </w:r>
      <w:r w:rsidRPr="00EC49A8">
        <w:rPr>
          <w:noProof/>
        </w:rPr>
        <w:tab/>
      </w:r>
      <w:r w:rsidRPr="00B17672">
        <w:rPr>
          <w:noProof/>
          <w:webHidden/>
        </w:rPr>
        <w:t>9</w:t>
      </w:r>
    </w:p>
    <w:p w14:paraId="17CB9FAF" w14:textId="77777777" w:rsidR="00412E11" w:rsidRPr="00EC49A8" w:rsidRDefault="00412E11" w:rsidP="000C5C29">
      <w:pPr>
        <w:pStyle w:val="TOC1"/>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EC49A8">
        <w:rPr>
          <w:noProof/>
        </w:rPr>
        <w:tab/>
        <w:t>INCIDENZA FINANZIARIA PREVISTA DELLA PROPOSTA/INIZIATIVA</w:t>
      </w:r>
      <w:r w:rsidRPr="00EC49A8">
        <w:rPr>
          <w:noProof/>
        </w:rPr>
        <w:tab/>
      </w:r>
      <w:r w:rsidRPr="00B17672">
        <w:rPr>
          <w:noProof/>
          <w:webHidden/>
        </w:rPr>
        <w:t>10</w:t>
      </w:r>
    </w:p>
    <w:p w14:paraId="79B9A82C"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1</w:t>
      </w:r>
      <w:r w:rsidRPr="00EC49A8">
        <w:rPr>
          <w:noProof/>
        </w:rPr>
        <w:t>.</w:t>
      </w:r>
      <w:r w:rsidRPr="00EC49A8">
        <w:rPr>
          <w:noProof/>
        </w:rPr>
        <w:tab/>
        <w:t>Rubrica/rubriche del quadro finanziario pluriennale e linea/linee di bilancio di spesa interessate</w:t>
      </w:r>
      <w:r w:rsidRPr="00EC49A8">
        <w:rPr>
          <w:noProof/>
        </w:rPr>
        <w:tab/>
      </w:r>
      <w:r w:rsidRPr="00B17672">
        <w:rPr>
          <w:noProof/>
          <w:webHidden/>
        </w:rPr>
        <w:t>10</w:t>
      </w:r>
    </w:p>
    <w:p w14:paraId="627585FF"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EC49A8">
        <w:rPr>
          <w:noProof/>
        </w:rPr>
        <w:tab/>
        <w:t>Incidenza finanziaria prevista della proposta sugli stanziamenti</w:t>
      </w:r>
      <w:r w:rsidRPr="00EC49A8">
        <w:rPr>
          <w:noProof/>
        </w:rPr>
        <w:tab/>
      </w:r>
      <w:r w:rsidRPr="00B17672">
        <w:rPr>
          <w:noProof/>
          <w:webHidden/>
        </w:rPr>
        <w:t>12</w:t>
      </w:r>
    </w:p>
    <w:p w14:paraId="51A28058" w14:textId="77806DD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1</w:t>
      </w:r>
      <w:r w:rsidRPr="00EC49A8">
        <w:rPr>
          <w:noProof/>
        </w:rPr>
        <w:t>.</w:t>
      </w:r>
      <w:r w:rsidRPr="00EC49A8">
        <w:rPr>
          <w:noProof/>
        </w:rPr>
        <w:tab/>
        <w:t>Sintesi dell</w:t>
      </w:r>
      <w:r w:rsidR="00B17672">
        <w:rPr>
          <w:noProof/>
        </w:rPr>
        <w:t>'</w:t>
      </w:r>
      <w:r w:rsidRPr="00EC49A8">
        <w:rPr>
          <w:noProof/>
        </w:rPr>
        <w:t>incidenza prevista sugli stanziamenti operativi</w:t>
      </w:r>
      <w:r w:rsidRPr="00EC49A8">
        <w:rPr>
          <w:noProof/>
        </w:rPr>
        <w:tab/>
      </w:r>
      <w:r w:rsidRPr="00B17672">
        <w:rPr>
          <w:noProof/>
          <w:webHidden/>
        </w:rPr>
        <w:t>12</w:t>
      </w:r>
    </w:p>
    <w:p w14:paraId="6222A1B5"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1</w:t>
      </w:r>
      <w:r w:rsidRPr="00EC49A8">
        <w:rPr>
          <w:noProof/>
        </w:rPr>
        <w:t>.</w:t>
      </w:r>
      <w:r w:rsidRPr="00B17672">
        <w:rPr>
          <w:noProof/>
        </w:rPr>
        <w:t>1</w:t>
      </w:r>
      <w:r w:rsidRPr="00EC49A8">
        <w:rPr>
          <w:noProof/>
        </w:rPr>
        <w:t>.</w:t>
      </w:r>
      <w:r w:rsidRPr="00EC49A8">
        <w:rPr>
          <w:noProof/>
        </w:rPr>
        <w:tab/>
        <w:t>Stanziamenti dal bilancio votato</w:t>
      </w:r>
      <w:r w:rsidRPr="00EC49A8">
        <w:rPr>
          <w:noProof/>
        </w:rPr>
        <w:tab/>
      </w:r>
      <w:r w:rsidRPr="00B17672">
        <w:rPr>
          <w:noProof/>
          <w:webHidden/>
        </w:rPr>
        <w:t>12</w:t>
      </w:r>
    </w:p>
    <w:p w14:paraId="65A2929D"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1</w:t>
      </w:r>
      <w:r w:rsidRPr="00EC49A8">
        <w:rPr>
          <w:noProof/>
        </w:rPr>
        <w:t>.</w:t>
      </w:r>
      <w:r w:rsidRPr="00B17672">
        <w:rPr>
          <w:noProof/>
        </w:rPr>
        <w:t>2</w:t>
      </w:r>
      <w:r w:rsidRPr="00EC49A8">
        <w:rPr>
          <w:noProof/>
        </w:rPr>
        <w:t>.</w:t>
      </w:r>
      <w:r w:rsidRPr="00EC49A8">
        <w:rPr>
          <w:noProof/>
        </w:rPr>
        <w:tab/>
        <w:t>Stanziamenti da entrate con destinazione specifica esterne</w:t>
      </w:r>
      <w:r w:rsidRPr="00EC49A8">
        <w:rPr>
          <w:noProof/>
        </w:rPr>
        <w:tab/>
      </w:r>
      <w:r w:rsidRPr="00B17672">
        <w:rPr>
          <w:noProof/>
          <w:webHidden/>
        </w:rPr>
        <w:t>17</w:t>
      </w:r>
    </w:p>
    <w:p w14:paraId="28DF8686"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2</w:t>
      </w:r>
      <w:r w:rsidRPr="00EC49A8">
        <w:rPr>
          <w:noProof/>
        </w:rPr>
        <w:t>.</w:t>
      </w:r>
      <w:r w:rsidRPr="00EC49A8">
        <w:rPr>
          <w:noProof/>
        </w:rPr>
        <w:tab/>
        <w:t>Risultati previsti finanziati con gli stanziamenti operativi</w:t>
      </w:r>
      <w:r w:rsidRPr="00EC49A8">
        <w:rPr>
          <w:noProof/>
        </w:rPr>
        <w:tab/>
      </w:r>
      <w:r w:rsidRPr="00B17672">
        <w:rPr>
          <w:noProof/>
          <w:webHidden/>
        </w:rPr>
        <w:t>22</w:t>
      </w:r>
    </w:p>
    <w:p w14:paraId="22389554" w14:textId="253EF6D0"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EC49A8">
        <w:rPr>
          <w:noProof/>
        </w:rPr>
        <w:tab/>
        <w:t>Sintesi dell</w:t>
      </w:r>
      <w:r w:rsidR="00B17672">
        <w:rPr>
          <w:noProof/>
        </w:rPr>
        <w:t>'</w:t>
      </w:r>
      <w:r w:rsidRPr="00EC49A8">
        <w:rPr>
          <w:noProof/>
        </w:rPr>
        <w:t>incidenza prevista sugli stanziamenti amministrativi</w:t>
      </w:r>
      <w:r w:rsidRPr="00EC49A8">
        <w:rPr>
          <w:noProof/>
        </w:rPr>
        <w:tab/>
      </w:r>
      <w:r w:rsidRPr="00B17672">
        <w:rPr>
          <w:noProof/>
          <w:webHidden/>
        </w:rPr>
        <w:t>24</w:t>
      </w:r>
    </w:p>
    <w:p w14:paraId="6FC57867"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B17672">
        <w:rPr>
          <w:noProof/>
        </w:rPr>
        <w:t>1</w:t>
      </w:r>
      <w:r w:rsidRPr="00EC49A8">
        <w:rPr>
          <w:noProof/>
        </w:rPr>
        <w:t>. Stanziamenti dal bilancio votato</w:t>
      </w:r>
      <w:r w:rsidRPr="00EC49A8">
        <w:rPr>
          <w:noProof/>
        </w:rPr>
        <w:tab/>
      </w:r>
      <w:r w:rsidRPr="00B17672">
        <w:rPr>
          <w:noProof/>
          <w:webHidden/>
        </w:rPr>
        <w:t>24</w:t>
      </w:r>
    </w:p>
    <w:p w14:paraId="05A8ECCD"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B17672">
        <w:rPr>
          <w:noProof/>
        </w:rPr>
        <w:t>2</w:t>
      </w:r>
      <w:r w:rsidRPr="00EC49A8">
        <w:rPr>
          <w:noProof/>
        </w:rPr>
        <w:t>.</w:t>
      </w:r>
      <w:r w:rsidRPr="00EC49A8">
        <w:rPr>
          <w:noProof/>
        </w:rPr>
        <w:tab/>
        <w:t>Stanziamenti da entrate con destinazione specifica esterne</w:t>
      </w:r>
      <w:r w:rsidRPr="00EC49A8">
        <w:rPr>
          <w:noProof/>
        </w:rPr>
        <w:tab/>
      </w:r>
      <w:r w:rsidRPr="00B17672">
        <w:rPr>
          <w:noProof/>
          <w:webHidden/>
        </w:rPr>
        <w:t>24</w:t>
      </w:r>
    </w:p>
    <w:p w14:paraId="3C911ECF"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B17672">
        <w:rPr>
          <w:noProof/>
        </w:rPr>
        <w:t>3</w:t>
      </w:r>
      <w:r w:rsidRPr="00EC49A8">
        <w:rPr>
          <w:noProof/>
        </w:rPr>
        <w:t>.</w:t>
      </w:r>
      <w:r w:rsidRPr="00EC49A8">
        <w:rPr>
          <w:noProof/>
        </w:rPr>
        <w:tab/>
        <w:t>Totale degli stanziamenti</w:t>
      </w:r>
      <w:r w:rsidRPr="00EC49A8">
        <w:rPr>
          <w:noProof/>
        </w:rPr>
        <w:tab/>
      </w:r>
      <w:r w:rsidRPr="00B17672">
        <w:rPr>
          <w:noProof/>
          <w:webHidden/>
        </w:rPr>
        <w:t>24</w:t>
      </w:r>
    </w:p>
    <w:p w14:paraId="2657B6BB"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EC49A8">
        <w:rPr>
          <w:noProof/>
        </w:rPr>
        <w:tab/>
        <w:t>Fabbisogno previsto di risorse umane</w:t>
      </w:r>
      <w:r w:rsidRPr="00EC49A8">
        <w:rPr>
          <w:noProof/>
        </w:rPr>
        <w:tab/>
      </w:r>
      <w:r w:rsidRPr="00B17672">
        <w:rPr>
          <w:noProof/>
          <w:webHidden/>
        </w:rPr>
        <w:t>25</w:t>
      </w:r>
    </w:p>
    <w:p w14:paraId="0E09DB02"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B17672">
        <w:rPr>
          <w:noProof/>
        </w:rPr>
        <w:t>1</w:t>
      </w:r>
      <w:r w:rsidRPr="00EC49A8">
        <w:rPr>
          <w:noProof/>
        </w:rPr>
        <w:t>.</w:t>
      </w:r>
      <w:r w:rsidRPr="00EC49A8">
        <w:rPr>
          <w:noProof/>
        </w:rPr>
        <w:tab/>
        <w:t>Finanziamento a titolo del bilancio votato</w:t>
      </w:r>
      <w:r w:rsidRPr="00EC49A8">
        <w:rPr>
          <w:noProof/>
        </w:rPr>
        <w:tab/>
      </w:r>
      <w:r w:rsidRPr="00B17672">
        <w:rPr>
          <w:noProof/>
          <w:webHidden/>
        </w:rPr>
        <w:t>25</w:t>
      </w:r>
    </w:p>
    <w:p w14:paraId="2B23A29C"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B17672">
        <w:rPr>
          <w:noProof/>
        </w:rPr>
        <w:t>2</w:t>
      </w:r>
      <w:r w:rsidRPr="00EC49A8">
        <w:rPr>
          <w:noProof/>
        </w:rPr>
        <w:t>.</w:t>
      </w:r>
      <w:r w:rsidRPr="00EC49A8">
        <w:rPr>
          <w:noProof/>
        </w:rPr>
        <w:tab/>
        <w:t>Finanziamento a titolo di entrate con destinazione specifica esterne</w:t>
      </w:r>
      <w:r w:rsidRPr="00EC49A8">
        <w:rPr>
          <w:noProof/>
        </w:rPr>
        <w:tab/>
      </w:r>
      <w:r w:rsidRPr="00B17672">
        <w:rPr>
          <w:noProof/>
          <w:webHidden/>
        </w:rPr>
        <w:t>26</w:t>
      </w:r>
    </w:p>
    <w:p w14:paraId="11220E12"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B17672">
        <w:rPr>
          <w:noProof/>
        </w:rPr>
        <w:t>3</w:t>
      </w:r>
      <w:r w:rsidRPr="00EC49A8">
        <w:rPr>
          <w:noProof/>
        </w:rPr>
        <w:t>.</w:t>
      </w:r>
      <w:r w:rsidRPr="00EC49A8">
        <w:rPr>
          <w:noProof/>
        </w:rPr>
        <w:tab/>
        <w:t>Fabbisogno totale di risorse umane</w:t>
      </w:r>
      <w:r w:rsidRPr="00EC49A8">
        <w:rPr>
          <w:noProof/>
        </w:rPr>
        <w:tab/>
      </w:r>
      <w:r w:rsidRPr="00B17672">
        <w:rPr>
          <w:noProof/>
          <w:webHidden/>
        </w:rPr>
        <w:t>26</w:t>
      </w:r>
    </w:p>
    <w:p w14:paraId="62828262" w14:textId="463B9FB8"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5</w:t>
      </w:r>
      <w:r w:rsidRPr="00EC49A8">
        <w:rPr>
          <w:noProof/>
        </w:rPr>
        <w:t>.</w:t>
      </w:r>
      <w:r w:rsidRPr="00EC49A8">
        <w:rPr>
          <w:noProof/>
        </w:rPr>
        <w:tab/>
        <w:t>Panoramica dell</w:t>
      </w:r>
      <w:r w:rsidR="00B17672">
        <w:rPr>
          <w:noProof/>
        </w:rPr>
        <w:t>'</w:t>
      </w:r>
      <w:r w:rsidRPr="00EC49A8">
        <w:rPr>
          <w:noProof/>
        </w:rPr>
        <w:t>incidenza prevista sugli investimenti connessi a tecnologie digitali</w:t>
      </w:r>
      <w:r w:rsidRPr="00EC49A8">
        <w:rPr>
          <w:noProof/>
        </w:rPr>
        <w:tab/>
      </w:r>
      <w:r w:rsidRPr="00B17672">
        <w:rPr>
          <w:noProof/>
          <w:webHidden/>
        </w:rPr>
        <w:t>28</w:t>
      </w:r>
    </w:p>
    <w:p w14:paraId="43D0CC22"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6</w:t>
      </w:r>
      <w:r w:rsidRPr="00EC49A8">
        <w:rPr>
          <w:noProof/>
        </w:rPr>
        <w:t>.</w:t>
      </w:r>
      <w:r w:rsidRPr="00EC49A8">
        <w:rPr>
          <w:noProof/>
        </w:rPr>
        <w:tab/>
        <w:t>Compatibilità con il quadro finanziario pluriennale attuale</w:t>
      </w:r>
      <w:r w:rsidRPr="00EC49A8">
        <w:rPr>
          <w:noProof/>
        </w:rPr>
        <w:tab/>
      </w:r>
      <w:r w:rsidRPr="00B17672">
        <w:rPr>
          <w:noProof/>
          <w:webHidden/>
        </w:rPr>
        <w:t>28</w:t>
      </w:r>
    </w:p>
    <w:p w14:paraId="3C3408B9" w14:textId="77777777" w:rsidR="00412E11" w:rsidRPr="00EC49A8" w:rsidRDefault="00412E11" w:rsidP="000C5C29">
      <w:pPr>
        <w:pStyle w:val="TOC3"/>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2</w:t>
      </w:r>
      <w:r w:rsidRPr="00EC49A8">
        <w:rPr>
          <w:noProof/>
        </w:rPr>
        <w:t>.</w:t>
      </w:r>
      <w:r w:rsidRPr="00B17672">
        <w:rPr>
          <w:noProof/>
        </w:rPr>
        <w:t>7</w:t>
      </w:r>
      <w:r w:rsidRPr="00EC49A8">
        <w:rPr>
          <w:noProof/>
        </w:rPr>
        <w:t>.</w:t>
      </w:r>
      <w:r w:rsidRPr="00EC49A8">
        <w:rPr>
          <w:noProof/>
        </w:rPr>
        <w:tab/>
        <w:t>Partecipazione di terzi al finanziamento</w:t>
      </w:r>
      <w:r w:rsidRPr="00EC49A8">
        <w:rPr>
          <w:noProof/>
        </w:rPr>
        <w:tab/>
      </w:r>
      <w:r w:rsidRPr="00B17672">
        <w:rPr>
          <w:noProof/>
          <w:webHidden/>
        </w:rPr>
        <w:t>28</w:t>
      </w:r>
    </w:p>
    <w:p w14:paraId="333F68EA"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3</w:t>
      </w:r>
      <w:r w:rsidRPr="00EC49A8">
        <w:rPr>
          <w:noProof/>
        </w:rPr>
        <w:t>.</w:t>
      </w:r>
      <w:r w:rsidRPr="00B17672">
        <w:rPr>
          <w:noProof/>
        </w:rPr>
        <w:t>3</w:t>
      </w:r>
      <w:r w:rsidRPr="00EC49A8">
        <w:rPr>
          <w:noProof/>
        </w:rPr>
        <w:t>.</w:t>
      </w:r>
      <w:r w:rsidRPr="00EC49A8">
        <w:rPr>
          <w:noProof/>
        </w:rPr>
        <w:tab/>
        <w:t>Incidenza prevista sulle entrate</w:t>
      </w:r>
      <w:r w:rsidRPr="00EC49A8">
        <w:rPr>
          <w:noProof/>
        </w:rPr>
        <w:tab/>
      </w:r>
      <w:r w:rsidRPr="00B17672">
        <w:rPr>
          <w:noProof/>
          <w:webHidden/>
        </w:rPr>
        <w:t>29</w:t>
      </w:r>
    </w:p>
    <w:p w14:paraId="22A8AC55" w14:textId="77777777" w:rsidR="00412E11" w:rsidRPr="00EC49A8" w:rsidRDefault="00412E11" w:rsidP="000C5C29">
      <w:pPr>
        <w:pStyle w:val="TOC1"/>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EC49A8">
        <w:rPr>
          <w:noProof/>
        </w:rPr>
        <w:tab/>
      </w:r>
      <w:r w:rsidRPr="00EC49A8">
        <w:rPr>
          <w:caps/>
          <w:noProof/>
        </w:rPr>
        <w:t>Dimensioni digitali</w:t>
      </w:r>
      <w:r w:rsidRPr="00EC49A8">
        <w:rPr>
          <w:noProof/>
        </w:rPr>
        <w:tab/>
      </w:r>
      <w:r w:rsidRPr="00B17672">
        <w:rPr>
          <w:noProof/>
          <w:webHidden/>
        </w:rPr>
        <w:t>29</w:t>
      </w:r>
    </w:p>
    <w:p w14:paraId="3BE7EBC1"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B17672">
        <w:rPr>
          <w:noProof/>
        </w:rPr>
        <w:t>1</w:t>
      </w:r>
      <w:r w:rsidRPr="00EC49A8">
        <w:rPr>
          <w:noProof/>
        </w:rPr>
        <w:t>.</w:t>
      </w:r>
      <w:r w:rsidRPr="00EC49A8">
        <w:rPr>
          <w:noProof/>
        </w:rPr>
        <w:tab/>
        <w:t>Prescrizioni di rilevanza digitale</w:t>
      </w:r>
      <w:r w:rsidRPr="00EC49A8">
        <w:rPr>
          <w:noProof/>
        </w:rPr>
        <w:tab/>
      </w:r>
      <w:r w:rsidRPr="00B17672">
        <w:rPr>
          <w:noProof/>
          <w:webHidden/>
        </w:rPr>
        <w:t>30</w:t>
      </w:r>
    </w:p>
    <w:p w14:paraId="4B4C31C4"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B17672">
        <w:rPr>
          <w:noProof/>
        </w:rPr>
        <w:t>2</w:t>
      </w:r>
      <w:r w:rsidRPr="00EC49A8">
        <w:rPr>
          <w:noProof/>
        </w:rPr>
        <w:t>.</w:t>
      </w:r>
      <w:r w:rsidRPr="00EC49A8">
        <w:rPr>
          <w:noProof/>
        </w:rPr>
        <w:tab/>
        <w:t>Dati</w:t>
      </w:r>
      <w:r w:rsidRPr="00EC49A8">
        <w:rPr>
          <w:noProof/>
        </w:rPr>
        <w:tab/>
      </w:r>
      <w:r w:rsidRPr="00B17672">
        <w:rPr>
          <w:noProof/>
          <w:webHidden/>
        </w:rPr>
        <w:t>30</w:t>
      </w:r>
    </w:p>
    <w:p w14:paraId="451E0033" w14:textId="77777777"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B17672">
        <w:rPr>
          <w:noProof/>
        </w:rPr>
        <w:t>3</w:t>
      </w:r>
      <w:r w:rsidRPr="00EC49A8">
        <w:rPr>
          <w:noProof/>
        </w:rPr>
        <w:t>.</w:t>
      </w:r>
      <w:r w:rsidRPr="00EC49A8">
        <w:rPr>
          <w:noProof/>
        </w:rPr>
        <w:tab/>
        <w:t>Soluzioni digitali</w:t>
      </w:r>
      <w:r w:rsidRPr="00EC49A8">
        <w:rPr>
          <w:noProof/>
        </w:rPr>
        <w:tab/>
      </w:r>
      <w:r w:rsidRPr="00B17672">
        <w:rPr>
          <w:noProof/>
          <w:webHidden/>
        </w:rPr>
        <w:t>31</w:t>
      </w:r>
    </w:p>
    <w:p w14:paraId="2AFA6FC2" w14:textId="44F40885"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B17672">
        <w:rPr>
          <w:noProof/>
        </w:rPr>
        <w:t>4</w:t>
      </w:r>
      <w:r w:rsidRPr="00EC49A8">
        <w:rPr>
          <w:noProof/>
        </w:rPr>
        <w:t>.</w:t>
      </w:r>
      <w:r w:rsidRPr="00EC49A8">
        <w:rPr>
          <w:noProof/>
        </w:rPr>
        <w:tab/>
        <w:t>Valutazione dell</w:t>
      </w:r>
      <w:r w:rsidR="00B17672">
        <w:rPr>
          <w:noProof/>
        </w:rPr>
        <w:t>'</w:t>
      </w:r>
      <w:r w:rsidRPr="00EC49A8">
        <w:rPr>
          <w:noProof/>
        </w:rPr>
        <w:t>interoperabilità</w:t>
      </w:r>
      <w:r w:rsidRPr="00EC49A8">
        <w:rPr>
          <w:noProof/>
        </w:rPr>
        <w:tab/>
      </w:r>
      <w:r w:rsidRPr="00B17672">
        <w:rPr>
          <w:noProof/>
          <w:webHidden/>
        </w:rPr>
        <w:t>31</w:t>
      </w:r>
    </w:p>
    <w:p w14:paraId="649E2709" w14:textId="18DD43D4" w:rsidR="00412E11" w:rsidRPr="00EC49A8" w:rsidRDefault="00412E11" w:rsidP="000C5C29">
      <w:pPr>
        <w:pStyle w:val="TOC2"/>
        <w:rPr>
          <w:rFonts w:asciiTheme="minorHAnsi" w:eastAsiaTheme="minorEastAsia" w:hAnsiTheme="minorHAnsi" w:cstheme="minorBidi"/>
          <w:noProof/>
          <w:kern w:val="2"/>
          <w:sz w:val="22"/>
          <w14:ligatures w14:val="standardContextual"/>
        </w:rPr>
      </w:pPr>
      <w:r w:rsidRPr="00B17672">
        <w:rPr>
          <w:noProof/>
        </w:rPr>
        <w:t>4</w:t>
      </w:r>
      <w:r w:rsidRPr="00EC49A8">
        <w:rPr>
          <w:noProof/>
        </w:rPr>
        <w:t>.</w:t>
      </w:r>
      <w:r w:rsidRPr="00B17672">
        <w:rPr>
          <w:noProof/>
        </w:rPr>
        <w:t>5</w:t>
      </w:r>
      <w:r w:rsidRPr="00EC49A8">
        <w:rPr>
          <w:noProof/>
        </w:rPr>
        <w:t>.</w:t>
      </w:r>
      <w:r w:rsidRPr="00EC49A8">
        <w:rPr>
          <w:noProof/>
        </w:rPr>
        <w:tab/>
        <w:t>Misure a sostegno dell</w:t>
      </w:r>
      <w:r w:rsidR="00B17672">
        <w:rPr>
          <w:noProof/>
        </w:rPr>
        <w:t>'</w:t>
      </w:r>
      <w:r w:rsidRPr="00EC49A8">
        <w:rPr>
          <w:noProof/>
        </w:rPr>
        <w:t>attuazione digitale</w:t>
      </w:r>
      <w:r w:rsidRPr="00EC49A8">
        <w:rPr>
          <w:noProof/>
        </w:rPr>
        <w:tab/>
      </w:r>
      <w:r w:rsidRPr="00B17672">
        <w:rPr>
          <w:noProof/>
          <w:webHidden/>
        </w:rPr>
        <w:t>32</w:t>
      </w:r>
    </w:p>
    <w:p w14:paraId="224C8200" w14:textId="77777777" w:rsidR="00412E11" w:rsidRPr="00EC49A8" w:rsidRDefault="00412E11" w:rsidP="000C5C29">
      <w:pPr>
        <w:pStyle w:val="TOC1"/>
        <w:ind w:left="0" w:firstLine="0"/>
        <w:rPr>
          <w:noProof/>
        </w:rPr>
        <w:sectPr w:rsidR="00412E11" w:rsidRPr="00EC49A8" w:rsidSect="009F3D23">
          <w:pgSz w:w="11907" w:h="16840" w:code="9"/>
          <w:pgMar w:top="1134" w:right="1418" w:bottom="1134" w:left="1418" w:header="709" w:footer="709" w:gutter="0"/>
          <w:pgNumType w:start="1"/>
          <w:cols w:space="720"/>
          <w:docGrid w:linePitch="360"/>
        </w:sectPr>
      </w:pPr>
    </w:p>
    <w:p w14:paraId="6C240BE5" w14:textId="77777777" w:rsidR="00412E11" w:rsidRPr="00EC49A8" w:rsidRDefault="00412E11" w:rsidP="000C5C29">
      <w:pPr>
        <w:pStyle w:val="ManualHeading1"/>
        <w:rPr>
          <w:noProof/>
        </w:rPr>
      </w:pPr>
      <w:bookmarkStart w:id="3" w:name="_Toc514938007"/>
      <w:bookmarkStart w:id="4" w:name="_Toc520485025"/>
      <w:bookmarkStart w:id="5" w:name="_Toc160804567"/>
      <w:bookmarkStart w:id="6" w:name="_Toc167220259"/>
      <w:bookmarkStart w:id="7" w:name="_Toc177548992"/>
      <w:r w:rsidRPr="00B17672">
        <w:rPr>
          <w:noProof/>
        </w:rPr>
        <w:t>1</w:t>
      </w:r>
      <w:r w:rsidRPr="00EC49A8">
        <w:rPr>
          <w:noProof/>
        </w:rPr>
        <w:t>.</w:t>
      </w:r>
      <w:r w:rsidRPr="00EC49A8">
        <w:rPr>
          <w:noProof/>
        </w:rPr>
        <w:tab/>
        <w:t>CONTESTO DELLA PROPOSTA/INIZIATIVA</w:t>
      </w:r>
      <w:bookmarkEnd w:id="3"/>
      <w:bookmarkEnd w:id="4"/>
      <w:bookmarkEnd w:id="5"/>
      <w:bookmarkEnd w:id="6"/>
      <w:bookmarkEnd w:id="7"/>
      <w:r w:rsidRPr="00EC49A8">
        <w:rPr>
          <w:noProof/>
        </w:rPr>
        <w:t xml:space="preserve"> </w:t>
      </w:r>
    </w:p>
    <w:p w14:paraId="3DE93E7C" w14:textId="77777777" w:rsidR="00A811A4" w:rsidRPr="00EC49A8" w:rsidRDefault="00412E11" w:rsidP="00A811A4">
      <w:pPr>
        <w:pStyle w:val="ManualHeading2"/>
        <w:rPr>
          <w:noProof/>
        </w:rPr>
      </w:pPr>
      <w:bookmarkStart w:id="8" w:name="_Toc514938008"/>
      <w:bookmarkStart w:id="9" w:name="_Toc520485026"/>
      <w:bookmarkStart w:id="10" w:name="_Toc160804568"/>
      <w:bookmarkStart w:id="11" w:name="_Toc167220260"/>
      <w:bookmarkStart w:id="12" w:name="_Toc177548993"/>
      <w:r w:rsidRPr="00B17672">
        <w:rPr>
          <w:noProof/>
        </w:rPr>
        <w:t>1</w:t>
      </w:r>
      <w:r w:rsidRPr="00EC49A8">
        <w:rPr>
          <w:noProof/>
        </w:rPr>
        <w:t>.</w:t>
      </w:r>
      <w:r w:rsidRPr="00B17672">
        <w:rPr>
          <w:noProof/>
        </w:rPr>
        <w:t>1</w:t>
      </w:r>
      <w:r w:rsidRPr="00EC49A8">
        <w:rPr>
          <w:noProof/>
        </w:rPr>
        <w:t>.</w:t>
      </w:r>
      <w:r w:rsidRPr="00EC49A8">
        <w:rPr>
          <w:noProof/>
        </w:rPr>
        <w:tab/>
        <w:t>Titolo della proposta/iniziativa</w:t>
      </w:r>
      <w:bookmarkEnd w:id="8"/>
      <w:bookmarkEnd w:id="9"/>
      <w:bookmarkEnd w:id="10"/>
      <w:bookmarkEnd w:id="11"/>
      <w:bookmarkEnd w:id="12"/>
    </w:p>
    <w:p w14:paraId="380F0346" w14:textId="77777777" w:rsidR="00A811A4" w:rsidRPr="00EC49A8" w:rsidRDefault="00E83A36" w:rsidP="00A811A4">
      <w:pPr>
        <w:pBdr>
          <w:top w:val="single" w:sz="8" w:space="1" w:color="000000"/>
          <w:left w:val="single" w:sz="8" w:space="4" w:color="000000"/>
          <w:bottom w:val="single" w:sz="8" w:space="0" w:color="000000"/>
          <w:right w:val="single" w:sz="8" w:space="4" w:color="000000"/>
        </w:pBdr>
        <w:ind w:left="850"/>
        <w:rPr>
          <w:rFonts w:eastAsia="Times New Roman"/>
          <w:noProof/>
          <w:szCs w:val="24"/>
        </w:rPr>
      </w:pPr>
      <w:r w:rsidRPr="00EC49A8">
        <w:rPr>
          <w:noProof/>
        </w:rPr>
        <w:t xml:space="preserve">Proposta di regolamento del Parlamento europeo e del Consiglio che modifica il regolamento (UE) </w:t>
      </w:r>
      <w:r w:rsidRPr="00B17672">
        <w:rPr>
          <w:noProof/>
        </w:rPr>
        <w:t>2019</w:t>
      </w:r>
      <w:r w:rsidRPr="00EC49A8">
        <w:rPr>
          <w:noProof/>
        </w:rPr>
        <w:t>/</w:t>
      </w:r>
      <w:r w:rsidRPr="00B17672">
        <w:rPr>
          <w:noProof/>
        </w:rPr>
        <w:t>631</w:t>
      </w:r>
      <w:r w:rsidRPr="00EC49A8">
        <w:rPr>
          <w:noProof/>
        </w:rPr>
        <w:t xml:space="preserve"> al fine di introdurre ulteriore flessibilità per quanto riguarda il calcolo della conformità dei costruttori ai livelli di prestazione in materia di emissioni di CO</w:t>
      </w:r>
      <w:r w:rsidRPr="00B17672">
        <w:rPr>
          <w:noProof/>
          <w:vertAlign w:val="subscript"/>
        </w:rPr>
        <w:t>2</w:t>
      </w:r>
      <w:r w:rsidRPr="00EC49A8">
        <w:rPr>
          <w:noProof/>
        </w:rPr>
        <w:t xml:space="preserve"> delle autovetture nuove e dei veicoli commerciali leggeri nuovi per gli anni civili dal </w:t>
      </w:r>
      <w:r w:rsidRPr="00B17672">
        <w:rPr>
          <w:noProof/>
        </w:rPr>
        <w:t>2025</w:t>
      </w:r>
      <w:r w:rsidRPr="00EC49A8">
        <w:rPr>
          <w:noProof/>
        </w:rPr>
        <w:t xml:space="preserve"> al </w:t>
      </w:r>
      <w:r w:rsidRPr="00B17672">
        <w:rPr>
          <w:noProof/>
        </w:rPr>
        <w:t>2027</w:t>
      </w:r>
      <w:r w:rsidRPr="00EC49A8">
        <w:rPr>
          <w:noProof/>
        </w:rPr>
        <w:t>.</w:t>
      </w:r>
    </w:p>
    <w:p w14:paraId="32FD614F" w14:textId="77777777" w:rsidR="00412E11" w:rsidRPr="00EC49A8" w:rsidRDefault="00412E11" w:rsidP="000C5C29">
      <w:pPr>
        <w:pStyle w:val="ManualHeading2"/>
        <w:rPr>
          <w:i/>
          <w:noProof/>
        </w:rPr>
      </w:pPr>
      <w:bookmarkStart w:id="13" w:name="_Toc514938011"/>
      <w:bookmarkStart w:id="14" w:name="_Toc520485027"/>
      <w:bookmarkStart w:id="15" w:name="_Toc160804569"/>
      <w:bookmarkStart w:id="16" w:name="_Toc167220261"/>
      <w:bookmarkStart w:id="17" w:name="_Toc177548994"/>
      <w:r w:rsidRPr="00B17672">
        <w:rPr>
          <w:noProof/>
        </w:rPr>
        <w:t>1</w:t>
      </w:r>
      <w:r w:rsidRPr="00EC49A8">
        <w:rPr>
          <w:noProof/>
        </w:rPr>
        <w:t>.</w:t>
      </w:r>
      <w:r w:rsidRPr="00B17672">
        <w:rPr>
          <w:noProof/>
        </w:rPr>
        <w:t>2</w:t>
      </w:r>
      <w:r w:rsidRPr="00EC49A8">
        <w:rPr>
          <w:noProof/>
        </w:rPr>
        <w:t>.</w:t>
      </w:r>
      <w:r w:rsidRPr="00EC49A8">
        <w:rPr>
          <w:noProof/>
        </w:rPr>
        <w:tab/>
        <w:t>Settore/settori interessati</w:t>
      </w:r>
      <w:bookmarkEnd w:id="13"/>
      <w:bookmarkEnd w:id="14"/>
      <w:bookmarkEnd w:id="15"/>
      <w:bookmarkEnd w:id="16"/>
      <w:bookmarkEnd w:id="17"/>
      <w:r w:rsidRPr="00EC49A8">
        <w:rPr>
          <w:i/>
          <w:noProof/>
        </w:rPr>
        <w:t xml:space="preserve"> </w:t>
      </w:r>
    </w:p>
    <w:p w14:paraId="3D8AD51D" w14:textId="77777777" w:rsidR="00EB2C9A" w:rsidRPr="00EC49A8" w:rsidRDefault="00EB2C9A" w:rsidP="00EB2C9A">
      <w:pPr>
        <w:pStyle w:val="Text1"/>
        <w:pBdr>
          <w:top w:val="single" w:sz="4" w:space="1" w:color="auto"/>
          <w:left w:val="single" w:sz="4" w:space="4" w:color="auto"/>
          <w:bottom w:val="single" w:sz="4" w:space="1" w:color="auto"/>
          <w:right w:val="single" w:sz="4" w:space="4" w:color="auto"/>
        </w:pBdr>
        <w:rPr>
          <w:noProof/>
        </w:rPr>
      </w:pPr>
      <w:r w:rsidRPr="00EC49A8">
        <w:rPr>
          <w:noProof/>
        </w:rPr>
        <w:t>Politica in materia di clima</w:t>
      </w:r>
    </w:p>
    <w:p w14:paraId="121E82F8" w14:textId="77777777" w:rsidR="00412E11" w:rsidRPr="00EC49A8" w:rsidRDefault="00412E11" w:rsidP="000C5C29">
      <w:pPr>
        <w:pStyle w:val="ManualHeading2"/>
        <w:rPr>
          <w:noProof/>
        </w:rPr>
      </w:pPr>
      <w:bookmarkStart w:id="18" w:name="_Toc514938015"/>
      <w:bookmarkStart w:id="19" w:name="_Toc520485029"/>
      <w:bookmarkStart w:id="20" w:name="_Toc160804571"/>
      <w:bookmarkStart w:id="21" w:name="_Toc167220263"/>
      <w:bookmarkStart w:id="22" w:name="_Toc177548995"/>
      <w:r w:rsidRPr="00B17672">
        <w:rPr>
          <w:noProof/>
        </w:rPr>
        <w:t>1</w:t>
      </w:r>
      <w:r w:rsidRPr="00EC49A8">
        <w:rPr>
          <w:noProof/>
        </w:rPr>
        <w:t>.</w:t>
      </w:r>
      <w:r w:rsidRPr="00B17672">
        <w:rPr>
          <w:noProof/>
        </w:rPr>
        <w:t>3</w:t>
      </w:r>
      <w:r w:rsidRPr="00EC49A8">
        <w:rPr>
          <w:noProof/>
        </w:rPr>
        <w:t>.</w:t>
      </w:r>
      <w:r w:rsidRPr="00EC49A8">
        <w:rPr>
          <w:noProof/>
        </w:rPr>
        <w:tab/>
        <w:t>Obiettivi</w:t>
      </w:r>
      <w:bookmarkEnd w:id="18"/>
      <w:bookmarkEnd w:id="19"/>
      <w:bookmarkEnd w:id="20"/>
      <w:bookmarkEnd w:id="21"/>
      <w:bookmarkEnd w:id="22"/>
    </w:p>
    <w:p w14:paraId="379317DF" w14:textId="77777777" w:rsidR="00412E11" w:rsidRPr="00EC49A8" w:rsidRDefault="00412E11" w:rsidP="000C5C29">
      <w:pPr>
        <w:pStyle w:val="ManualHeading3"/>
        <w:rPr>
          <w:noProof/>
        </w:rPr>
      </w:pPr>
      <w:bookmarkStart w:id="23" w:name="_Toc514938016"/>
      <w:bookmarkStart w:id="24" w:name="_Toc520485030"/>
      <w:bookmarkStart w:id="25" w:name="_Toc160804572"/>
      <w:bookmarkStart w:id="26" w:name="_Toc167220264"/>
      <w:bookmarkStart w:id="27" w:name="_Toc177548996"/>
      <w:r w:rsidRPr="00B17672">
        <w:rPr>
          <w:noProof/>
        </w:rPr>
        <w:t>1</w:t>
      </w:r>
      <w:r w:rsidRPr="00EC49A8">
        <w:rPr>
          <w:noProof/>
        </w:rPr>
        <w:t>.</w:t>
      </w:r>
      <w:r w:rsidRPr="00B17672">
        <w:rPr>
          <w:noProof/>
        </w:rPr>
        <w:t>3</w:t>
      </w:r>
      <w:r w:rsidRPr="00EC49A8">
        <w:rPr>
          <w:noProof/>
        </w:rPr>
        <w:t>.</w:t>
      </w:r>
      <w:r w:rsidRPr="00B17672">
        <w:rPr>
          <w:noProof/>
        </w:rPr>
        <w:t>1</w:t>
      </w:r>
      <w:r w:rsidRPr="00EC49A8">
        <w:rPr>
          <w:noProof/>
        </w:rPr>
        <w:t>.</w:t>
      </w:r>
      <w:r w:rsidRPr="00EC49A8">
        <w:rPr>
          <w:noProof/>
        </w:rPr>
        <w:tab/>
        <w:t>Obiettivi generali</w:t>
      </w:r>
      <w:bookmarkEnd w:id="23"/>
      <w:bookmarkEnd w:id="24"/>
      <w:bookmarkEnd w:id="25"/>
      <w:bookmarkEnd w:id="26"/>
      <w:bookmarkEnd w:id="27"/>
    </w:p>
    <w:p w14:paraId="21078D32" w14:textId="714226B4" w:rsidR="000F129D" w:rsidRPr="00EC49A8" w:rsidRDefault="000F129D" w:rsidP="000F129D">
      <w:pPr>
        <w:pStyle w:val="Text1"/>
        <w:pBdr>
          <w:top w:val="single" w:sz="8" w:space="1" w:color="000000"/>
          <w:left w:val="single" w:sz="8" w:space="4" w:color="000000"/>
          <w:bottom w:val="single" w:sz="8" w:space="1" w:color="000000"/>
          <w:right w:val="single" w:sz="8" w:space="4" w:color="000000"/>
        </w:pBdr>
        <w:rPr>
          <w:noProof/>
        </w:rPr>
      </w:pPr>
      <w:r w:rsidRPr="00EC49A8">
        <w:rPr>
          <w:noProof/>
        </w:rPr>
        <w:t>I livelli di emissioni di CO</w:t>
      </w:r>
      <w:r w:rsidRPr="00B17672">
        <w:rPr>
          <w:noProof/>
          <w:vertAlign w:val="subscript"/>
        </w:rPr>
        <w:t>2</w:t>
      </w:r>
      <w:r w:rsidRPr="00EC49A8">
        <w:rPr>
          <w:noProof/>
        </w:rPr>
        <w:t xml:space="preserve"> offrono certezza e prevedibilità a lungo termine agli investitori nella catena del valore del settore automobilistico, lasciando tempo sufficiente per una transizione equa. </w:t>
      </w:r>
      <w:bookmarkStart w:id="28" w:name="_Hlk192068732"/>
      <w:r w:rsidRPr="00EC49A8">
        <w:rPr>
          <w:noProof/>
        </w:rPr>
        <w:t>La proposta di modifica mira a offrire ai costruttori ulteriore flessibilità nel conformarsi all</w:t>
      </w:r>
      <w:r w:rsidR="00B17672">
        <w:rPr>
          <w:noProof/>
        </w:rPr>
        <w:t>'</w:t>
      </w:r>
      <w:r w:rsidRPr="00EC49A8">
        <w:rPr>
          <w:noProof/>
        </w:rPr>
        <w:t>obiettivo in materia di emissioni di CO</w:t>
      </w:r>
      <w:r w:rsidRPr="00B17672">
        <w:rPr>
          <w:noProof/>
          <w:vertAlign w:val="subscript"/>
        </w:rPr>
        <w:t>2</w:t>
      </w:r>
      <w:r w:rsidRPr="00EC49A8">
        <w:rPr>
          <w:noProof/>
        </w:rPr>
        <w:t xml:space="preserve"> per il </w:t>
      </w:r>
      <w:r w:rsidRPr="00B17672">
        <w:rPr>
          <w:noProof/>
        </w:rPr>
        <w:t>2025</w:t>
      </w:r>
      <w:r w:rsidRPr="00EC49A8">
        <w:rPr>
          <w:noProof/>
        </w:rPr>
        <w:t>, lasciando invariato il livello di ambizione.</w:t>
      </w:r>
    </w:p>
    <w:p w14:paraId="39C08012" w14:textId="77777777" w:rsidR="00412E11" w:rsidRPr="00EC49A8" w:rsidRDefault="00412E11" w:rsidP="000C5C29">
      <w:pPr>
        <w:pStyle w:val="ManualHeading3"/>
        <w:rPr>
          <w:noProof/>
        </w:rPr>
      </w:pPr>
      <w:bookmarkStart w:id="29" w:name="_Toc514938018"/>
      <w:bookmarkStart w:id="30" w:name="_Toc520485031"/>
      <w:bookmarkStart w:id="31" w:name="_Toc160804573"/>
      <w:bookmarkStart w:id="32" w:name="_Toc167220265"/>
      <w:bookmarkStart w:id="33" w:name="_Toc177548997"/>
      <w:bookmarkEnd w:id="28"/>
      <w:r w:rsidRPr="00B17672">
        <w:rPr>
          <w:noProof/>
        </w:rPr>
        <w:t>1</w:t>
      </w:r>
      <w:r w:rsidRPr="00EC49A8">
        <w:rPr>
          <w:noProof/>
        </w:rPr>
        <w:t>.</w:t>
      </w:r>
      <w:r w:rsidRPr="00B17672">
        <w:rPr>
          <w:noProof/>
        </w:rPr>
        <w:t>3</w:t>
      </w:r>
      <w:r w:rsidRPr="00EC49A8">
        <w:rPr>
          <w:noProof/>
        </w:rPr>
        <w:t>.</w:t>
      </w:r>
      <w:r w:rsidRPr="00B17672">
        <w:rPr>
          <w:noProof/>
        </w:rPr>
        <w:t>2</w:t>
      </w:r>
      <w:r w:rsidRPr="00EC49A8">
        <w:rPr>
          <w:noProof/>
        </w:rPr>
        <w:t>.</w:t>
      </w:r>
      <w:r w:rsidRPr="00EC49A8">
        <w:rPr>
          <w:noProof/>
        </w:rPr>
        <w:tab/>
        <w:t>Obiettivi specifici</w:t>
      </w:r>
      <w:bookmarkEnd w:id="29"/>
      <w:bookmarkEnd w:id="30"/>
      <w:bookmarkEnd w:id="31"/>
      <w:bookmarkEnd w:id="32"/>
      <w:bookmarkEnd w:id="33"/>
    </w:p>
    <w:p w14:paraId="28FE0244" w14:textId="77777777" w:rsidR="00692CB2" w:rsidRPr="00EC49A8" w:rsidRDefault="00692CB2" w:rsidP="00692CB2">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bookmarkStart w:id="34" w:name="_Toc514938019"/>
      <w:bookmarkStart w:id="35" w:name="_Toc520485032"/>
      <w:bookmarkStart w:id="36" w:name="_Toc160804574"/>
      <w:bookmarkStart w:id="37" w:name="_Toc167220266"/>
      <w:bookmarkStart w:id="38" w:name="_Toc177548998"/>
      <w:r w:rsidRPr="00EC49A8">
        <w:rPr>
          <w:noProof/>
        </w:rPr>
        <w:t>La proposta riguarda modifiche mirate del regolamento sulle emissioni di CO</w:t>
      </w:r>
      <w:r w:rsidRPr="00B17672">
        <w:rPr>
          <w:noProof/>
          <w:vertAlign w:val="subscript"/>
        </w:rPr>
        <w:t>2</w:t>
      </w:r>
      <w:r w:rsidRPr="00EC49A8">
        <w:rPr>
          <w:noProof/>
        </w:rPr>
        <w:t xml:space="preserve"> delle autovetture e dei furgoni per offrire ai costruttori ulteriore flessibilità: prevede un periodo di adempimento triennale, anziché annuale, per gli anni </w:t>
      </w:r>
      <w:r w:rsidRPr="00B17672">
        <w:rPr>
          <w:noProof/>
        </w:rPr>
        <w:t>2025</w:t>
      </w:r>
      <w:r w:rsidRPr="00EC49A8">
        <w:rPr>
          <w:noProof/>
        </w:rPr>
        <w:t xml:space="preserve">, </w:t>
      </w:r>
      <w:r w:rsidRPr="00B17672">
        <w:rPr>
          <w:noProof/>
        </w:rPr>
        <w:t>2026</w:t>
      </w:r>
      <w:r w:rsidRPr="00EC49A8">
        <w:rPr>
          <w:noProof/>
        </w:rPr>
        <w:t xml:space="preserve"> e </w:t>
      </w:r>
      <w:r w:rsidRPr="00B17672">
        <w:rPr>
          <w:noProof/>
        </w:rPr>
        <w:t>2027</w:t>
      </w:r>
      <w:r w:rsidRPr="00EC49A8">
        <w:rPr>
          <w:noProof/>
        </w:rPr>
        <w:t xml:space="preserve"> considerati complessivamente.</w:t>
      </w:r>
    </w:p>
    <w:p w14:paraId="33A9A85F" w14:textId="77777777" w:rsidR="00412E11" w:rsidRPr="00EC49A8" w:rsidRDefault="00412E11" w:rsidP="000C5C29">
      <w:pPr>
        <w:pStyle w:val="ManualHeading3"/>
        <w:rPr>
          <w:noProof/>
        </w:rPr>
      </w:pPr>
      <w:r w:rsidRPr="00B17672">
        <w:rPr>
          <w:noProof/>
        </w:rPr>
        <w:t>1</w:t>
      </w:r>
      <w:r w:rsidRPr="00EC49A8">
        <w:rPr>
          <w:noProof/>
        </w:rPr>
        <w:t>.</w:t>
      </w:r>
      <w:r w:rsidRPr="00B17672">
        <w:rPr>
          <w:noProof/>
        </w:rPr>
        <w:t>3</w:t>
      </w:r>
      <w:r w:rsidRPr="00EC49A8">
        <w:rPr>
          <w:noProof/>
        </w:rPr>
        <w:t>.</w:t>
      </w:r>
      <w:r w:rsidRPr="00B17672">
        <w:rPr>
          <w:noProof/>
        </w:rPr>
        <w:t>3</w:t>
      </w:r>
      <w:r w:rsidRPr="00EC49A8">
        <w:rPr>
          <w:noProof/>
        </w:rPr>
        <w:t>.</w:t>
      </w:r>
      <w:r w:rsidRPr="00EC49A8">
        <w:rPr>
          <w:noProof/>
        </w:rPr>
        <w:tab/>
        <w:t>Risultati e incidenza previsti</w:t>
      </w:r>
      <w:bookmarkEnd w:id="34"/>
      <w:bookmarkEnd w:id="35"/>
      <w:bookmarkEnd w:id="36"/>
      <w:bookmarkEnd w:id="37"/>
      <w:bookmarkEnd w:id="38"/>
    </w:p>
    <w:p w14:paraId="0EAD0ACC" w14:textId="77777777" w:rsidR="00412E11" w:rsidRPr="00EC49A8" w:rsidRDefault="00412E11" w:rsidP="000C5C29">
      <w:pPr>
        <w:pStyle w:val="Text1"/>
        <w:rPr>
          <w:i/>
          <w:noProof/>
          <w:sz w:val="20"/>
        </w:rPr>
      </w:pPr>
      <w:r w:rsidRPr="00EC49A8">
        <w:rPr>
          <w:i/>
          <w:noProof/>
          <w:sz w:val="20"/>
        </w:rPr>
        <w:t>Precisare gli effetti che la proposta/iniziativa dovrebbe avere sui beneficiari/gruppi interessati.</w:t>
      </w:r>
    </w:p>
    <w:p w14:paraId="1F83F620" w14:textId="722D78BB" w:rsidR="002862CD" w:rsidRPr="00EC49A8" w:rsidRDefault="002862CD" w:rsidP="002862CD">
      <w:pPr>
        <w:pStyle w:val="Text1"/>
        <w:pBdr>
          <w:top w:val="single" w:sz="8" w:space="1" w:color="000000"/>
          <w:left w:val="single" w:sz="8" w:space="4" w:color="000000"/>
          <w:bottom w:val="single" w:sz="8" w:space="1" w:color="000000"/>
          <w:right w:val="single" w:sz="8" w:space="4" w:color="000000"/>
        </w:pBdr>
        <w:rPr>
          <w:noProof/>
        </w:rPr>
      </w:pPr>
      <w:bookmarkStart w:id="39" w:name="_Toc514938023"/>
      <w:bookmarkStart w:id="40" w:name="_Toc520485033"/>
      <w:bookmarkStart w:id="41" w:name="_Toc160804575"/>
      <w:bookmarkStart w:id="42" w:name="_Toc167220267"/>
      <w:bookmarkStart w:id="43" w:name="_Toc177548999"/>
      <w:r w:rsidRPr="00EC49A8">
        <w:rPr>
          <w:noProof/>
        </w:rPr>
        <w:t xml:space="preserve">La modifica, laddove adottata, farebbe sì che la conformità sia valutata per gli anni </w:t>
      </w:r>
      <w:r w:rsidRPr="00B17672">
        <w:rPr>
          <w:noProof/>
        </w:rPr>
        <w:t>2025</w:t>
      </w:r>
      <w:r w:rsidRPr="00EC49A8">
        <w:rPr>
          <w:noProof/>
        </w:rPr>
        <w:t xml:space="preserve">, </w:t>
      </w:r>
      <w:r w:rsidRPr="00B17672">
        <w:rPr>
          <w:noProof/>
        </w:rPr>
        <w:t>2026</w:t>
      </w:r>
      <w:r w:rsidRPr="00EC49A8">
        <w:rPr>
          <w:noProof/>
        </w:rPr>
        <w:t xml:space="preserve"> e </w:t>
      </w:r>
      <w:r w:rsidRPr="00B17672">
        <w:rPr>
          <w:noProof/>
        </w:rPr>
        <w:t>2027</w:t>
      </w:r>
      <w:r w:rsidRPr="00EC49A8">
        <w:rPr>
          <w:noProof/>
        </w:rPr>
        <w:t xml:space="preserve"> considerati complessivamente, per consentire ai costruttori di autovetture di compensare un eventuale mancato conseguimento dell</w:t>
      </w:r>
      <w:r w:rsidR="00B17672">
        <w:rPr>
          <w:noProof/>
        </w:rPr>
        <w:t>'</w:t>
      </w:r>
      <w:r w:rsidRPr="00EC49A8">
        <w:rPr>
          <w:noProof/>
        </w:rPr>
        <w:t>obiettivo in uno o due di tali anni con risultati superiori alle aspettative nell</w:t>
      </w:r>
      <w:r w:rsidR="00B17672">
        <w:rPr>
          <w:noProof/>
        </w:rPr>
        <w:t>'</w:t>
      </w:r>
      <w:r w:rsidRPr="00EC49A8">
        <w:rPr>
          <w:noProof/>
        </w:rPr>
        <w:t xml:space="preserve">altro o negli altri anni. </w:t>
      </w:r>
    </w:p>
    <w:p w14:paraId="2485DE14" w14:textId="77777777" w:rsidR="00412E11" w:rsidRPr="00EC49A8" w:rsidRDefault="00412E11" w:rsidP="000C5C29">
      <w:pPr>
        <w:pStyle w:val="ManualHeading3"/>
        <w:rPr>
          <w:noProof/>
        </w:rPr>
      </w:pPr>
      <w:r w:rsidRPr="00B17672">
        <w:rPr>
          <w:noProof/>
        </w:rPr>
        <w:t>1</w:t>
      </w:r>
      <w:r w:rsidRPr="00EC49A8">
        <w:rPr>
          <w:noProof/>
        </w:rPr>
        <w:t>.</w:t>
      </w:r>
      <w:r w:rsidRPr="00B17672">
        <w:rPr>
          <w:noProof/>
        </w:rPr>
        <w:t>3</w:t>
      </w:r>
      <w:r w:rsidRPr="00EC49A8">
        <w:rPr>
          <w:noProof/>
        </w:rPr>
        <w:t>.</w:t>
      </w:r>
      <w:r w:rsidRPr="00B17672">
        <w:rPr>
          <w:noProof/>
        </w:rPr>
        <w:t>4</w:t>
      </w:r>
      <w:r w:rsidRPr="00EC49A8">
        <w:rPr>
          <w:noProof/>
        </w:rPr>
        <w:t>.</w:t>
      </w:r>
      <w:r w:rsidRPr="00EC49A8">
        <w:rPr>
          <w:noProof/>
        </w:rPr>
        <w:tab/>
        <w:t>Indicatori di prestazione</w:t>
      </w:r>
      <w:bookmarkEnd w:id="39"/>
      <w:bookmarkEnd w:id="40"/>
      <w:bookmarkEnd w:id="41"/>
      <w:bookmarkEnd w:id="42"/>
      <w:bookmarkEnd w:id="43"/>
    </w:p>
    <w:p w14:paraId="3EA55E70" w14:textId="77777777" w:rsidR="00412E11" w:rsidRPr="00EC49A8" w:rsidRDefault="00412E11" w:rsidP="000C5C29">
      <w:pPr>
        <w:pStyle w:val="Text1"/>
        <w:rPr>
          <w:i/>
          <w:noProof/>
          <w:sz w:val="20"/>
        </w:rPr>
      </w:pPr>
      <w:r w:rsidRPr="00EC49A8">
        <w:rPr>
          <w:i/>
          <w:noProof/>
          <w:sz w:val="20"/>
        </w:rPr>
        <w:t>Precisare gli indicatori con cui monitorare progressi e risultati</w:t>
      </w:r>
    </w:p>
    <w:p w14:paraId="6924B8DD" w14:textId="4C00BAE0" w:rsidR="00B97569" w:rsidRPr="00EC49A8" w:rsidRDefault="00BC326C" w:rsidP="00B97569">
      <w:pPr>
        <w:pStyle w:val="Text1"/>
        <w:pBdr>
          <w:top w:val="single" w:sz="4" w:space="1" w:color="auto"/>
          <w:left w:val="single" w:sz="4" w:space="4" w:color="auto"/>
          <w:bottom w:val="single" w:sz="4" w:space="1" w:color="auto"/>
          <w:right w:val="single" w:sz="4" w:space="4" w:color="auto"/>
        </w:pBdr>
        <w:rPr>
          <w:noProof/>
        </w:rPr>
      </w:pPr>
      <w:r w:rsidRPr="00EC49A8">
        <w:rPr>
          <w:noProof/>
        </w:rPr>
        <w:t>Monitoraggio della conformità dei costruttori rispetto alle emissioni di CO</w:t>
      </w:r>
      <w:r w:rsidRPr="00B17672">
        <w:rPr>
          <w:noProof/>
          <w:vertAlign w:val="subscript"/>
        </w:rPr>
        <w:t>2</w:t>
      </w:r>
      <w:r w:rsidRPr="00EC49A8">
        <w:rPr>
          <w:noProof/>
        </w:rPr>
        <w:t xml:space="preserve"> nell</w:t>
      </w:r>
      <w:r w:rsidR="00B17672">
        <w:rPr>
          <w:noProof/>
        </w:rPr>
        <w:t>'</w:t>
      </w:r>
      <w:r w:rsidRPr="00EC49A8">
        <w:rPr>
          <w:noProof/>
        </w:rPr>
        <w:t>arco del triennio.</w:t>
      </w:r>
    </w:p>
    <w:p w14:paraId="40D4EFBF" w14:textId="77777777" w:rsidR="00412E11" w:rsidRPr="00EC49A8" w:rsidRDefault="00412E11" w:rsidP="000C5C29">
      <w:pPr>
        <w:pStyle w:val="ManualHeading2"/>
        <w:rPr>
          <w:noProof/>
        </w:rPr>
      </w:pPr>
      <w:bookmarkStart w:id="44" w:name="_Toc177549000"/>
      <w:r w:rsidRPr="00B17672">
        <w:rPr>
          <w:noProof/>
        </w:rPr>
        <w:t>1</w:t>
      </w:r>
      <w:r w:rsidRPr="00EC49A8">
        <w:rPr>
          <w:noProof/>
        </w:rPr>
        <w:t>.</w:t>
      </w:r>
      <w:r w:rsidRPr="00B17672">
        <w:rPr>
          <w:noProof/>
        </w:rPr>
        <w:t>4</w:t>
      </w:r>
      <w:r w:rsidRPr="00EC49A8">
        <w:rPr>
          <w:noProof/>
        </w:rPr>
        <w:t>.</w:t>
      </w:r>
      <w:r w:rsidRPr="00EC49A8">
        <w:rPr>
          <w:noProof/>
        </w:rPr>
        <w:tab/>
        <w:t>La proposta/iniziativa riguarda:</w:t>
      </w:r>
      <w:bookmarkEnd w:id="44"/>
      <w:r w:rsidRPr="00EC49A8">
        <w:rPr>
          <w:noProof/>
        </w:rPr>
        <w:t xml:space="preserve"> </w:t>
      </w:r>
    </w:p>
    <w:p w14:paraId="43FE36B9" w14:textId="77777777" w:rsidR="00412E11" w:rsidRPr="00EC49A8" w:rsidRDefault="00412E11" w:rsidP="000C5C29">
      <w:pPr>
        <w:pStyle w:val="Text1"/>
        <w:rPr>
          <w:noProof/>
          <w:sz w:val="22"/>
        </w:rPr>
      </w:pPr>
      <w:r w:rsidRPr="00EC49A8">
        <w:rPr>
          <w:rFonts w:ascii="Wingdings" w:hAnsi="Wingdings"/>
          <w:noProof/>
          <w:sz w:val="22"/>
        </w:rPr>
        <w:t></w:t>
      </w:r>
      <w:r w:rsidRPr="00EC49A8">
        <w:rPr>
          <w:i/>
          <w:noProof/>
          <w:sz w:val="22"/>
        </w:rPr>
        <w:t xml:space="preserve"> </w:t>
      </w:r>
      <w:r w:rsidRPr="00EC49A8">
        <w:rPr>
          <w:noProof/>
        </w:rPr>
        <w:t>una nuova azione;</w:t>
      </w:r>
      <w:r w:rsidRPr="00EC49A8">
        <w:rPr>
          <w:noProof/>
          <w:sz w:val="22"/>
        </w:rPr>
        <w:t xml:space="preserve"> </w:t>
      </w:r>
    </w:p>
    <w:p w14:paraId="0A8623DD" w14:textId="5DCE7516" w:rsidR="00412E11" w:rsidRPr="00EC49A8" w:rsidRDefault="00412E11" w:rsidP="000C5C29">
      <w:pPr>
        <w:pStyle w:val="Text1"/>
        <w:rPr>
          <w:noProof/>
          <w:sz w:val="22"/>
        </w:rPr>
      </w:pPr>
      <w:r w:rsidRPr="00EC49A8">
        <w:rPr>
          <w:rFonts w:ascii="Wingdings" w:hAnsi="Wingdings"/>
          <w:noProof/>
          <w:sz w:val="22"/>
        </w:rPr>
        <w:t></w:t>
      </w:r>
      <w:r w:rsidRPr="00EC49A8">
        <w:rPr>
          <w:i/>
          <w:noProof/>
          <w:sz w:val="22"/>
        </w:rPr>
        <w:t xml:space="preserve"> </w:t>
      </w:r>
      <w:r w:rsidRPr="00EC49A8">
        <w:rPr>
          <w:noProof/>
        </w:rPr>
        <w:t>una nuova azione a seguito di un progetto pilota/un</w:t>
      </w:r>
      <w:r w:rsidR="00B17672">
        <w:rPr>
          <w:noProof/>
        </w:rPr>
        <w:t>'</w:t>
      </w:r>
      <w:r w:rsidRPr="00EC49A8">
        <w:rPr>
          <w:noProof/>
        </w:rPr>
        <w:t>azione preparatoria</w:t>
      </w:r>
      <w:r w:rsidRPr="00EC49A8">
        <w:rPr>
          <w:rStyle w:val="FootnoteReference"/>
          <w:noProof/>
        </w:rPr>
        <w:footnoteReference w:id="10"/>
      </w:r>
      <w:r w:rsidRPr="00EC49A8">
        <w:rPr>
          <w:noProof/>
        </w:rPr>
        <w:t>;</w:t>
      </w:r>
      <w:r w:rsidRPr="00EC49A8">
        <w:rPr>
          <w:noProof/>
          <w:sz w:val="22"/>
        </w:rPr>
        <w:t xml:space="preserve"> </w:t>
      </w:r>
    </w:p>
    <w:p w14:paraId="571A81CB" w14:textId="36954D70" w:rsidR="00412E11" w:rsidRPr="00EC49A8" w:rsidRDefault="002E2199" w:rsidP="000C5C29">
      <w:pPr>
        <w:pStyle w:val="Text1"/>
        <w:rPr>
          <w:noProof/>
          <w:sz w:val="22"/>
        </w:rPr>
      </w:pPr>
      <w:r w:rsidRPr="00EC49A8">
        <w:rPr>
          <w:rFonts w:ascii="Wingdings" w:hAnsi="Wingdings"/>
          <w:noProof/>
        </w:rPr>
        <w:t></w:t>
      </w:r>
      <w:r w:rsidRPr="00EC49A8">
        <w:rPr>
          <w:i/>
          <w:noProof/>
          <w:sz w:val="22"/>
        </w:rPr>
        <w:t xml:space="preserve"> </w:t>
      </w:r>
      <w:r w:rsidRPr="00EC49A8">
        <w:rPr>
          <w:noProof/>
        </w:rPr>
        <w:t>la proroga di un</w:t>
      </w:r>
      <w:r w:rsidR="00B17672">
        <w:rPr>
          <w:noProof/>
        </w:rPr>
        <w:t>'</w:t>
      </w:r>
      <w:r w:rsidRPr="00EC49A8">
        <w:rPr>
          <w:noProof/>
        </w:rPr>
        <w:t>azione esistente;</w:t>
      </w:r>
      <w:r w:rsidRPr="00EC49A8">
        <w:rPr>
          <w:noProof/>
          <w:sz w:val="22"/>
        </w:rPr>
        <w:t xml:space="preserve"> </w:t>
      </w:r>
    </w:p>
    <w:p w14:paraId="2EF21E8A" w14:textId="5F7FA431" w:rsidR="00412E11" w:rsidRPr="00EC49A8" w:rsidRDefault="00412E11" w:rsidP="000C5C29">
      <w:pPr>
        <w:pStyle w:val="Text1"/>
        <w:rPr>
          <w:noProof/>
        </w:rPr>
      </w:pPr>
      <w:r w:rsidRPr="00EC49A8">
        <w:rPr>
          <w:rFonts w:ascii="Wingdings" w:hAnsi="Wingdings"/>
          <w:noProof/>
          <w:sz w:val="22"/>
        </w:rPr>
        <w:t></w:t>
      </w:r>
      <w:r w:rsidRPr="00EC49A8">
        <w:rPr>
          <w:i/>
          <w:noProof/>
          <w:sz w:val="22"/>
        </w:rPr>
        <w:t xml:space="preserve"> </w:t>
      </w:r>
      <w:r w:rsidRPr="00EC49A8">
        <w:rPr>
          <w:noProof/>
        </w:rPr>
        <w:t>la fusione o il riorientamento di una o più azioni verso un</w:t>
      </w:r>
      <w:r w:rsidR="00B17672">
        <w:rPr>
          <w:noProof/>
        </w:rPr>
        <w:t>'</w:t>
      </w:r>
      <w:r w:rsidRPr="00EC49A8">
        <w:rPr>
          <w:noProof/>
        </w:rPr>
        <w:t>altra/una nuova azione.</w:t>
      </w:r>
    </w:p>
    <w:p w14:paraId="198A6D26" w14:textId="77777777" w:rsidR="00412E11" w:rsidRPr="00EC49A8" w:rsidRDefault="00412E11" w:rsidP="000C5C29">
      <w:pPr>
        <w:pStyle w:val="ManualHeading2"/>
        <w:rPr>
          <w:bCs/>
          <w:noProof/>
          <w:szCs w:val="24"/>
        </w:rPr>
      </w:pPr>
      <w:bookmarkStart w:id="45" w:name="_Toc514938025"/>
      <w:bookmarkStart w:id="46" w:name="_Toc520485034"/>
      <w:bookmarkStart w:id="47" w:name="_Toc160804576"/>
      <w:bookmarkStart w:id="48" w:name="_Toc167220268"/>
      <w:bookmarkStart w:id="49" w:name="_Toc177549001"/>
      <w:r w:rsidRPr="00B17672">
        <w:rPr>
          <w:noProof/>
        </w:rPr>
        <w:t>1</w:t>
      </w:r>
      <w:r w:rsidRPr="00EC49A8">
        <w:rPr>
          <w:noProof/>
        </w:rPr>
        <w:t>.</w:t>
      </w:r>
      <w:r w:rsidRPr="00B17672">
        <w:rPr>
          <w:noProof/>
        </w:rPr>
        <w:t>5</w:t>
      </w:r>
      <w:r w:rsidRPr="00EC49A8">
        <w:rPr>
          <w:noProof/>
        </w:rPr>
        <w:t>.</w:t>
      </w:r>
      <w:r w:rsidRPr="00EC49A8">
        <w:rPr>
          <w:noProof/>
        </w:rPr>
        <w:tab/>
        <w:t>Motivazione della proposta/iniziativa</w:t>
      </w:r>
      <w:bookmarkEnd w:id="45"/>
      <w:bookmarkEnd w:id="46"/>
      <w:bookmarkEnd w:id="47"/>
      <w:bookmarkEnd w:id="48"/>
      <w:bookmarkEnd w:id="49"/>
      <w:r w:rsidRPr="00EC49A8">
        <w:rPr>
          <w:noProof/>
        </w:rPr>
        <w:t xml:space="preserve"> </w:t>
      </w:r>
    </w:p>
    <w:p w14:paraId="6E8A1C8D" w14:textId="0790ADC6" w:rsidR="00412E11" w:rsidRPr="00EC49A8" w:rsidRDefault="00412E11" w:rsidP="000C5C29">
      <w:pPr>
        <w:pStyle w:val="ManualHeading3"/>
        <w:rPr>
          <w:noProof/>
        </w:rPr>
      </w:pPr>
      <w:bookmarkStart w:id="50" w:name="_Toc514938026"/>
      <w:bookmarkStart w:id="51" w:name="_Toc520485035"/>
      <w:bookmarkStart w:id="52" w:name="_Toc160804577"/>
      <w:bookmarkStart w:id="53" w:name="_Toc167220269"/>
      <w:bookmarkStart w:id="54" w:name="_Toc177549002"/>
      <w:r w:rsidRPr="00B17672">
        <w:rPr>
          <w:noProof/>
        </w:rPr>
        <w:t>1</w:t>
      </w:r>
      <w:r w:rsidRPr="00EC49A8">
        <w:rPr>
          <w:noProof/>
        </w:rPr>
        <w:t>.</w:t>
      </w:r>
      <w:r w:rsidRPr="00B17672">
        <w:rPr>
          <w:noProof/>
        </w:rPr>
        <w:t>5</w:t>
      </w:r>
      <w:r w:rsidRPr="00EC49A8">
        <w:rPr>
          <w:noProof/>
        </w:rPr>
        <w:t>.</w:t>
      </w:r>
      <w:r w:rsidRPr="00B17672">
        <w:rPr>
          <w:noProof/>
        </w:rPr>
        <w:t>1</w:t>
      </w:r>
      <w:r w:rsidRPr="00EC49A8">
        <w:rPr>
          <w:noProof/>
        </w:rPr>
        <w:t>.</w:t>
      </w:r>
      <w:r w:rsidRPr="00EC49A8">
        <w:rPr>
          <w:noProof/>
        </w:rPr>
        <w:tab/>
        <w:t>Necessità nel breve e lungo termine, con calendario dettagliato delle fasi di attuazione dell</w:t>
      </w:r>
      <w:r w:rsidR="00B17672">
        <w:rPr>
          <w:noProof/>
        </w:rPr>
        <w:t>'</w:t>
      </w:r>
      <w:r w:rsidRPr="00EC49A8">
        <w:rPr>
          <w:noProof/>
        </w:rPr>
        <w:t>iniziativa</w:t>
      </w:r>
      <w:bookmarkEnd w:id="50"/>
      <w:bookmarkEnd w:id="51"/>
      <w:bookmarkEnd w:id="52"/>
      <w:bookmarkEnd w:id="53"/>
      <w:bookmarkEnd w:id="54"/>
    </w:p>
    <w:p w14:paraId="43762D95" w14:textId="407E06BB" w:rsidR="00412E11" w:rsidRPr="00EC49A8" w:rsidRDefault="00EF78C9" w:rsidP="00F86DB7">
      <w:pPr>
        <w:pStyle w:val="Text1"/>
        <w:pBdr>
          <w:top w:val="single" w:sz="4" w:space="1" w:color="auto"/>
          <w:left w:val="single" w:sz="4" w:space="4" w:color="auto"/>
          <w:bottom w:val="single" w:sz="4" w:space="1" w:color="auto"/>
          <w:right w:val="single" w:sz="4" w:space="4" w:color="auto"/>
        </w:pBdr>
        <w:rPr>
          <w:noProof/>
        </w:rPr>
      </w:pPr>
      <w:r w:rsidRPr="00EC49A8">
        <w:rPr>
          <w:noProof/>
        </w:rPr>
        <w:t>La proposta di modifica mira a offrire ai costruttori ulteriore flessibilità nel conformarsi agli obiettivi in materia di emissioni di CO</w:t>
      </w:r>
      <w:r w:rsidRPr="00B17672">
        <w:rPr>
          <w:noProof/>
          <w:vertAlign w:val="subscript"/>
        </w:rPr>
        <w:t>2</w:t>
      </w:r>
      <w:r w:rsidRPr="00EC49A8">
        <w:rPr>
          <w:noProof/>
        </w:rPr>
        <w:t>, mantenendo nel contempo il livello di ambizione complessivo degli obiettivi di riduzione delle emissioni di CO</w:t>
      </w:r>
      <w:r w:rsidRPr="00B17672">
        <w:rPr>
          <w:noProof/>
          <w:vertAlign w:val="subscript"/>
        </w:rPr>
        <w:t>2</w:t>
      </w:r>
      <w:r w:rsidRPr="00EC49A8">
        <w:rPr>
          <w:noProof/>
        </w:rPr>
        <w:t xml:space="preserve"> per il periodo dal </w:t>
      </w:r>
      <w:r w:rsidRPr="00B17672">
        <w:rPr>
          <w:noProof/>
        </w:rPr>
        <w:t>2025</w:t>
      </w:r>
      <w:r w:rsidRPr="00EC49A8">
        <w:rPr>
          <w:noProof/>
        </w:rPr>
        <w:t xml:space="preserve"> al </w:t>
      </w:r>
      <w:r w:rsidRPr="00B17672">
        <w:rPr>
          <w:noProof/>
        </w:rPr>
        <w:t>2029</w:t>
      </w:r>
      <w:r w:rsidRPr="00EC49A8">
        <w:rPr>
          <w:noProof/>
        </w:rPr>
        <w:t xml:space="preserve">. </w:t>
      </w:r>
    </w:p>
    <w:p w14:paraId="27BF7762" w14:textId="31714793" w:rsidR="00412E11" w:rsidRPr="00EC49A8" w:rsidRDefault="00412E11" w:rsidP="000C5C29">
      <w:pPr>
        <w:pStyle w:val="ManualHeading3"/>
        <w:rPr>
          <w:bCs/>
          <w:noProof/>
          <w:szCs w:val="24"/>
        </w:rPr>
      </w:pPr>
      <w:bookmarkStart w:id="55" w:name="_Toc514938029"/>
      <w:bookmarkStart w:id="56" w:name="_Toc520485036"/>
      <w:bookmarkStart w:id="57" w:name="_Toc160804578"/>
      <w:bookmarkStart w:id="58" w:name="_Toc167220270"/>
      <w:bookmarkStart w:id="59" w:name="_Toc177549003"/>
      <w:r w:rsidRPr="00B17672">
        <w:rPr>
          <w:noProof/>
        </w:rPr>
        <w:t>1</w:t>
      </w:r>
      <w:r w:rsidRPr="00EC49A8">
        <w:rPr>
          <w:noProof/>
        </w:rPr>
        <w:t>.</w:t>
      </w:r>
      <w:r w:rsidRPr="00B17672">
        <w:rPr>
          <w:noProof/>
        </w:rPr>
        <w:t>5</w:t>
      </w:r>
      <w:r w:rsidRPr="00EC49A8">
        <w:rPr>
          <w:noProof/>
        </w:rPr>
        <w:t>.</w:t>
      </w:r>
      <w:r w:rsidRPr="00B17672">
        <w:rPr>
          <w:noProof/>
        </w:rPr>
        <w:t>2</w:t>
      </w:r>
      <w:r w:rsidRPr="00EC49A8">
        <w:rPr>
          <w:noProof/>
        </w:rPr>
        <w:t>.</w:t>
      </w:r>
      <w:r w:rsidRPr="00EC49A8">
        <w:rPr>
          <w:noProof/>
        </w:rPr>
        <w:tab/>
        <w:t>Valore aggiunto dell</w:t>
      </w:r>
      <w:r w:rsidR="00B17672">
        <w:rPr>
          <w:noProof/>
        </w:rPr>
        <w:t>'</w:t>
      </w:r>
      <w:r w:rsidRPr="00EC49A8">
        <w:rPr>
          <w:noProof/>
        </w:rPr>
        <w:t>intervento dell</w:t>
      </w:r>
      <w:r w:rsidR="00B17672">
        <w:rPr>
          <w:noProof/>
        </w:rPr>
        <w:t>'</w:t>
      </w:r>
      <w:r w:rsidRPr="00EC49A8">
        <w:rPr>
          <w:noProof/>
        </w:rPr>
        <w:t>UE (che può derivare da diversi fattori, ad es. un miglior coordinamento, la certezza del diritto o un</w:t>
      </w:r>
      <w:r w:rsidR="00B17672">
        <w:rPr>
          <w:noProof/>
        </w:rPr>
        <w:t>'</w:t>
      </w:r>
      <w:r w:rsidRPr="00EC49A8">
        <w:rPr>
          <w:noProof/>
        </w:rPr>
        <w:t xml:space="preserve">efficacia e una complementarità maggiori). Ai fini della presente sezione, per </w:t>
      </w:r>
      <w:r w:rsidR="00B17672">
        <w:rPr>
          <w:noProof/>
        </w:rPr>
        <w:t>"</w:t>
      </w:r>
      <w:r w:rsidRPr="00EC49A8">
        <w:rPr>
          <w:noProof/>
        </w:rPr>
        <w:t>valore aggiunto dell</w:t>
      </w:r>
      <w:r w:rsidR="00B17672">
        <w:rPr>
          <w:noProof/>
        </w:rPr>
        <w:t>'</w:t>
      </w:r>
      <w:r w:rsidRPr="00EC49A8">
        <w:rPr>
          <w:noProof/>
        </w:rPr>
        <w:t>intervento dell</w:t>
      </w:r>
      <w:r w:rsidR="00B17672">
        <w:rPr>
          <w:noProof/>
        </w:rPr>
        <w:t>'</w:t>
      </w:r>
      <w:r w:rsidRPr="00EC49A8">
        <w:rPr>
          <w:noProof/>
        </w:rPr>
        <w:t>UE</w:t>
      </w:r>
      <w:r w:rsidR="00B17672">
        <w:rPr>
          <w:noProof/>
        </w:rPr>
        <w:t>"</w:t>
      </w:r>
      <w:r w:rsidRPr="00EC49A8">
        <w:rPr>
          <w:noProof/>
        </w:rPr>
        <w:t xml:space="preserve"> si intende il valore derivante dall</w:t>
      </w:r>
      <w:r w:rsidR="00B17672">
        <w:rPr>
          <w:noProof/>
        </w:rPr>
        <w:t>'</w:t>
      </w:r>
      <w:r w:rsidRPr="00EC49A8">
        <w:rPr>
          <w:noProof/>
        </w:rPr>
        <w:t>azione dell</w:t>
      </w:r>
      <w:r w:rsidR="00B17672">
        <w:rPr>
          <w:noProof/>
        </w:rPr>
        <w:t>'</w:t>
      </w:r>
      <w:r w:rsidRPr="00EC49A8">
        <w:rPr>
          <w:noProof/>
        </w:rPr>
        <w:t>Unione europea che va ad aggiungersi al valore che avrebbero altrimenti generato gli Stati membri se avessero agito da soli.</w:t>
      </w:r>
      <w:bookmarkEnd w:id="55"/>
      <w:bookmarkEnd w:id="56"/>
      <w:bookmarkEnd w:id="57"/>
      <w:bookmarkEnd w:id="58"/>
      <w:bookmarkEnd w:id="59"/>
    </w:p>
    <w:p w14:paraId="7753C4AA" w14:textId="5AB28B07" w:rsidR="00412E11" w:rsidRPr="00EC49A8" w:rsidRDefault="00032861" w:rsidP="00557AE9">
      <w:pPr>
        <w:pStyle w:val="Text1"/>
        <w:pBdr>
          <w:top w:val="single" w:sz="4" w:space="1" w:color="auto"/>
          <w:left w:val="single" w:sz="4" w:space="4" w:color="auto"/>
          <w:bottom w:val="single" w:sz="4" w:space="1" w:color="auto"/>
          <w:right w:val="single" w:sz="4" w:space="4" w:color="auto"/>
        </w:pBdr>
        <w:rPr>
          <w:noProof/>
        </w:rPr>
      </w:pPr>
      <w:r w:rsidRPr="00EC49A8">
        <w:rPr>
          <w:noProof/>
        </w:rPr>
        <w:t>I cambiamenti climatici rappresentano un problema transfrontaliero, che non può essere risolto unicamente con un</w:t>
      </w:r>
      <w:r w:rsidR="00B17672">
        <w:rPr>
          <w:noProof/>
        </w:rPr>
        <w:t>'</w:t>
      </w:r>
      <w:r w:rsidRPr="00EC49A8">
        <w:rPr>
          <w:noProof/>
        </w:rPr>
        <w:t>azione nazionale o locale. Il coordinamento dell</w:t>
      </w:r>
      <w:r w:rsidR="00B17672">
        <w:rPr>
          <w:noProof/>
        </w:rPr>
        <w:t>'</w:t>
      </w:r>
      <w:r w:rsidRPr="00EC49A8">
        <w:rPr>
          <w:noProof/>
        </w:rPr>
        <w:t>azione per il clima deve essere svolto a livello europeo e l</w:t>
      </w:r>
      <w:r w:rsidR="00B17672">
        <w:rPr>
          <w:noProof/>
        </w:rPr>
        <w:t>'</w:t>
      </w:r>
      <w:r w:rsidRPr="00EC49A8">
        <w:rPr>
          <w:noProof/>
        </w:rPr>
        <w:t>intervento dell</w:t>
      </w:r>
      <w:r w:rsidR="00B17672">
        <w:rPr>
          <w:noProof/>
        </w:rPr>
        <w:t>'</w:t>
      </w:r>
      <w:r w:rsidRPr="00EC49A8">
        <w:rPr>
          <w:noProof/>
        </w:rPr>
        <w:t xml:space="preserve">UE è giustificato per motivi di sussidiarietà. Data la necessità di modificare il regolamento (UE) </w:t>
      </w:r>
      <w:r w:rsidRPr="00B17672">
        <w:rPr>
          <w:noProof/>
        </w:rPr>
        <w:t>2019</w:t>
      </w:r>
      <w:r w:rsidRPr="00EC49A8">
        <w:rPr>
          <w:noProof/>
        </w:rPr>
        <w:t>/</w:t>
      </w:r>
      <w:r w:rsidRPr="00B17672">
        <w:rPr>
          <w:noProof/>
        </w:rPr>
        <w:t>631</w:t>
      </w:r>
      <w:r w:rsidRPr="00EC49A8">
        <w:rPr>
          <w:noProof/>
        </w:rPr>
        <w:t xml:space="preserve"> per offrire ulteriore flessibilità in relazione ai periodi di adempimento, gli obiettivi della presente iniziativa non possono essere conseguiti dagli Stati membri.</w:t>
      </w:r>
    </w:p>
    <w:p w14:paraId="63AC9455" w14:textId="77777777" w:rsidR="00412E11" w:rsidRPr="00EC49A8" w:rsidRDefault="00412E11" w:rsidP="000C5C29">
      <w:pPr>
        <w:pStyle w:val="ManualHeading3"/>
        <w:rPr>
          <w:noProof/>
        </w:rPr>
      </w:pPr>
      <w:bookmarkStart w:id="60" w:name="_Toc514938030"/>
      <w:bookmarkStart w:id="61" w:name="_Toc520485037"/>
      <w:bookmarkStart w:id="62" w:name="_Toc160804579"/>
      <w:bookmarkStart w:id="63" w:name="_Toc167220271"/>
      <w:bookmarkStart w:id="64" w:name="_Toc177549004"/>
      <w:r w:rsidRPr="00B17672">
        <w:rPr>
          <w:noProof/>
        </w:rPr>
        <w:t>1</w:t>
      </w:r>
      <w:r w:rsidRPr="00EC49A8">
        <w:rPr>
          <w:noProof/>
        </w:rPr>
        <w:t>.</w:t>
      </w:r>
      <w:r w:rsidRPr="00B17672">
        <w:rPr>
          <w:noProof/>
        </w:rPr>
        <w:t>5</w:t>
      </w:r>
      <w:r w:rsidRPr="00EC49A8">
        <w:rPr>
          <w:noProof/>
        </w:rPr>
        <w:t>.</w:t>
      </w:r>
      <w:r w:rsidRPr="00B17672">
        <w:rPr>
          <w:noProof/>
        </w:rPr>
        <w:t>3</w:t>
      </w:r>
      <w:r w:rsidRPr="00EC49A8">
        <w:rPr>
          <w:noProof/>
        </w:rPr>
        <w:t>.</w:t>
      </w:r>
      <w:r w:rsidRPr="00EC49A8">
        <w:rPr>
          <w:noProof/>
        </w:rPr>
        <w:tab/>
        <w:t>Insegnamenti tratti da esperienze analoghe</w:t>
      </w:r>
      <w:bookmarkEnd w:id="60"/>
      <w:bookmarkEnd w:id="61"/>
      <w:bookmarkEnd w:id="62"/>
      <w:bookmarkEnd w:id="63"/>
      <w:bookmarkEnd w:id="64"/>
    </w:p>
    <w:p w14:paraId="6EC37457" w14:textId="2708083B" w:rsidR="00412E11" w:rsidRPr="00EC49A8" w:rsidRDefault="00AF38C7" w:rsidP="000C5C29">
      <w:pPr>
        <w:pStyle w:val="Text1"/>
        <w:pBdr>
          <w:top w:val="single" w:sz="4" w:space="1" w:color="auto"/>
          <w:left w:val="single" w:sz="4" w:space="4" w:color="auto"/>
          <w:bottom w:val="single" w:sz="4" w:space="1" w:color="auto"/>
          <w:right w:val="single" w:sz="4" w:space="4" w:color="auto"/>
        </w:pBdr>
        <w:rPr>
          <w:noProof/>
        </w:rPr>
      </w:pPr>
      <w:r w:rsidRPr="00EC49A8">
        <w:rPr>
          <w:noProof/>
        </w:rPr>
        <w:t>La proposta si basa sulla legislazione vigente che nell</w:t>
      </w:r>
      <w:r w:rsidR="00B17672">
        <w:rPr>
          <w:noProof/>
        </w:rPr>
        <w:t>'</w:t>
      </w:r>
      <w:r w:rsidRPr="00EC49A8">
        <w:rPr>
          <w:noProof/>
        </w:rPr>
        <w:t>ultimo decennio ha garantito una costante riduzione delle emissioni di CO</w:t>
      </w:r>
      <w:r w:rsidRPr="00B17672">
        <w:rPr>
          <w:noProof/>
          <w:vertAlign w:val="subscript"/>
        </w:rPr>
        <w:t>2</w:t>
      </w:r>
      <w:r w:rsidRPr="00EC49A8">
        <w:rPr>
          <w:noProof/>
        </w:rPr>
        <w:t xml:space="preserve"> del parco di autovetture nuove e veicoli commerciali leggeri nuovi dell</w:t>
      </w:r>
      <w:r w:rsidR="00B17672">
        <w:rPr>
          <w:noProof/>
        </w:rPr>
        <w:t>'</w:t>
      </w:r>
      <w:r w:rsidRPr="00EC49A8">
        <w:rPr>
          <w:noProof/>
        </w:rPr>
        <w:t>UE.</w:t>
      </w:r>
    </w:p>
    <w:p w14:paraId="5B532A49" w14:textId="77777777" w:rsidR="00412E11" w:rsidRPr="00EC49A8" w:rsidRDefault="00412E11" w:rsidP="000C5C29">
      <w:pPr>
        <w:pStyle w:val="ManualHeading3"/>
        <w:rPr>
          <w:noProof/>
        </w:rPr>
      </w:pPr>
      <w:bookmarkStart w:id="65" w:name="_Toc514938033"/>
      <w:bookmarkStart w:id="66" w:name="_Toc520485038"/>
      <w:bookmarkStart w:id="67" w:name="_Toc160804580"/>
      <w:bookmarkStart w:id="68" w:name="_Toc167220272"/>
      <w:bookmarkStart w:id="69" w:name="_Toc177549005"/>
      <w:r w:rsidRPr="00B17672">
        <w:rPr>
          <w:noProof/>
        </w:rPr>
        <w:t>1</w:t>
      </w:r>
      <w:r w:rsidRPr="00EC49A8">
        <w:rPr>
          <w:noProof/>
        </w:rPr>
        <w:t>.</w:t>
      </w:r>
      <w:r w:rsidRPr="00B17672">
        <w:rPr>
          <w:noProof/>
        </w:rPr>
        <w:t>5</w:t>
      </w:r>
      <w:r w:rsidRPr="00EC49A8">
        <w:rPr>
          <w:noProof/>
        </w:rPr>
        <w:t>.</w:t>
      </w:r>
      <w:r w:rsidRPr="00B17672">
        <w:rPr>
          <w:noProof/>
        </w:rPr>
        <w:t>4</w:t>
      </w:r>
      <w:r w:rsidRPr="00EC49A8">
        <w:rPr>
          <w:noProof/>
        </w:rPr>
        <w:t>.</w:t>
      </w:r>
      <w:r w:rsidRPr="00EC49A8">
        <w:rPr>
          <w:noProof/>
        </w:rPr>
        <w:tab/>
        <w:t>Compatibilità con il quadro finanziario pluriennale ed eventuali sinergie con altri strumenti rilevanti</w:t>
      </w:r>
      <w:bookmarkEnd w:id="65"/>
      <w:bookmarkEnd w:id="66"/>
      <w:bookmarkEnd w:id="67"/>
      <w:bookmarkEnd w:id="68"/>
      <w:bookmarkEnd w:id="69"/>
    </w:p>
    <w:p w14:paraId="208A15F4" w14:textId="77777777" w:rsidR="00412E11" w:rsidRPr="00EC49A8" w:rsidRDefault="00CF7ED8" w:rsidP="00052AFB">
      <w:pPr>
        <w:pStyle w:val="Text1"/>
        <w:pBdr>
          <w:top w:val="single" w:sz="4" w:space="1" w:color="auto"/>
          <w:left w:val="single" w:sz="4" w:space="4" w:color="auto"/>
          <w:bottom w:val="single" w:sz="4" w:space="1" w:color="auto"/>
          <w:right w:val="single" w:sz="4" w:space="4" w:color="auto"/>
        </w:pBdr>
        <w:rPr>
          <w:noProof/>
        </w:rPr>
      </w:pPr>
      <w:r w:rsidRPr="00EC49A8">
        <w:rPr>
          <w:noProof/>
        </w:rPr>
        <w:t xml:space="preserve">Non sono necessarie risorse supplementari. </w:t>
      </w:r>
    </w:p>
    <w:p w14:paraId="6C78E68A" w14:textId="77777777" w:rsidR="00412E11" w:rsidRPr="00EC49A8" w:rsidRDefault="00412E11" w:rsidP="000C5C29">
      <w:pPr>
        <w:pStyle w:val="ManualHeading3"/>
        <w:rPr>
          <w:noProof/>
        </w:rPr>
      </w:pPr>
      <w:bookmarkStart w:id="70" w:name="_Toc514938036"/>
      <w:bookmarkStart w:id="71" w:name="_Toc520485039"/>
      <w:bookmarkStart w:id="72" w:name="_Toc160804581"/>
      <w:bookmarkStart w:id="73" w:name="_Toc167220273"/>
      <w:bookmarkStart w:id="74" w:name="_Toc177549006"/>
      <w:r w:rsidRPr="00B17672">
        <w:rPr>
          <w:noProof/>
        </w:rPr>
        <w:t>1</w:t>
      </w:r>
      <w:r w:rsidRPr="00EC49A8">
        <w:rPr>
          <w:noProof/>
        </w:rPr>
        <w:t>.</w:t>
      </w:r>
      <w:r w:rsidRPr="00B17672">
        <w:rPr>
          <w:noProof/>
        </w:rPr>
        <w:t>5</w:t>
      </w:r>
      <w:r w:rsidRPr="00EC49A8">
        <w:rPr>
          <w:noProof/>
        </w:rPr>
        <w:t>.</w:t>
      </w:r>
      <w:r w:rsidRPr="00B17672">
        <w:rPr>
          <w:noProof/>
        </w:rPr>
        <w:t>5</w:t>
      </w:r>
      <w:r w:rsidRPr="00EC49A8">
        <w:rPr>
          <w:noProof/>
        </w:rPr>
        <w:t>.</w:t>
      </w:r>
      <w:r w:rsidRPr="00EC49A8">
        <w:rPr>
          <w:noProof/>
        </w:rPr>
        <w:tab/>
        <w:t>Valutazione delle varie opzioni di finanziamento disponibili, comprese le possibilità di riassegnazione</w:t>
      </w:r>
      <w:bookmarkEnd w:id="70"/>
      <w:bookmarkEnd w:id="71"/>
      <w:bookmarkEnd w:id="72"/>
      <w:bookmarkEnd w:id="73"/>
      <w:bookmarkEnd w:id="74"/>
    </w:p>
    <w:p w14:paraId="75311F1C" w14:textId="77777777" w:rsidR="00412E11" w:rsidRPr="00EC49A8" w:rsidRDefault="00BB7E9E" w:rsidP="00BB7E9E">
      <w:pPr>
        <w:pStyle w:val="Text1"/>
        <w:pBdr>
          <w:top w:val="single" w:sz="4" w:space="1" w:color="auto"/>
          <w:left w:val="single" w:sz="4" w:space="4" w:color="auto"/>
          <w:bottom w:val="single" w:sz="4" w:space="1" w:color="auto"/>
          <w:right w:val="single" w:sz="4" w:space="4" w:color="auto"/>
        </w:pBdr>
        <w:rPr>
          <w:noProof/>
        </w:rPr>
      </w:pPr>
      <w:r w:rsidRPr="00EC49A8">
        <w:rPr>
          <w:noProof/>
        </w:rPr>
        <w:t xml:space="preserve">Non sono necessarie risorse supplementari. </w:t>
      </w:r>
    </w:p>
    <w:p w14:paraId="7883736C" w14:textId="77777777" w:rsidR="00412E11" w:rsidRPr="00EC49A8" w:rsidRDefault="00412E11" w:rsidP="000C5C29">
      <w:pPr>
        <w:pStyle w:val="ManualHeading2"/>
        <w:rPr>
          <w:bCs/>
          <w:noProof/>
          <w:szCs w:val="24"/>
        </w:rPr>
      </w:pPr>
      <w:r w:rsidRPr="00EC49A8">
        <w:rPr>
          <w:noProof/>
        </w:rPr>
        <w:br w:type="page"/>
      </w:r>
      <w:bookmarkStart w:id="75" w:name="_Toc514938039"/>
      <w:bookmarkStart w:id="76" w:name="_Toc520485040"/>
      <w:bookmarkStart w:id="77" w:name="_Toc160804582"/>
      <w:bookmarkStart w:id="78" w:name="_Toc167220274"/>
      <w:bookmarkStart w:id="79" w:name="_Toc177549007"/>
      <w:r w:rsidRPr="00B17672">
        <w:rPr>
          <w:noProof/>
        </w:rPr>
        <w:t>1</w:t>
      </w:r>
      <w:r w:rsidRPr="00EC49A8">
        <w:rPr>
          <w:noProof/>
        </w:rPr>
        <w:t>.</w:t>
      </w:r>
      <w:r w:rsidRPr="00B17672">
        <w:rPr>
          <w:noProof/>
        </w:rPr>
        <w:t>6</w:t>
      </w:r>
      <w:r w:rsidRPr="00EC49A8">
        <w:rPr>
          <w:noProof/>
        </w:rPr>
        <w:t>.</w:t>
      </w:r>
      <w:r w:rsidRPr="00EC49A8">
        <w:rPr>
          <w:noProof/>
        </w:rPr>
        <w:tab/>
        <w:t>Durata della proposta/iniziativa</w:t>
      </w:r>
      <w:bookmarkEnd w:id="75"/>
      <w:bookmarkEnd w:id="76"/>
      <w:r w:rsidRPr="00EC49A8">
        <w:rPr>
          <w:noProof/>
        </w:rPr>
        <w:t xml:space="preserve"> e della relativa incidenza finanziaria</w:t>
      </w:r>
      <w:bookmarkEnd w:id="77"/>
      <w:bookmarkEnd w:id="78"/>
      <w:bookmarkEnd w:id="79"/>
    </w:p>
    <w:p w14:paraId="65EFF8FB" w14:textId="77777777" w:rsidR="00412E11" w:rsidRPr="00EC49A8" w:rsidRDefault="00080E68" w:rsidP="000C5C29">
      <w:pPr>
        <w:pStyle w:val="Text1"/>
        <w:rPr>
          <w:noProof/>
        </w:rPr>
      </w:pPr>
      <w:r w:rsidRPr="00EC49A8">
        <w:rPr>
          <w:rFonts w:ascii="Wingdings" w:hAnsi="Wingdings"/>
          <w:noProof/>
        </w:rPr>
        <w:t></w:t>
      </w:r>
      <w:r w:rsidRPr="00EC49A8">
        <w:rPr>
          <w:b/>
          <w:i/>
          <w:noProof/>
        </w:rPr>
        <w:t xml:space="preserve"> </w:t>
      </w:r>
      <w:r w:rsidRPr="00EC49A8">
        <w:rPr>
          <w:b/>
          <w:noProof/>
        </w:rPr>
        <w:t xml:space="preserve">Durata limitata </w:t>
      </w:r>
    </w:p>
    <w:p w14:paraId="422FB40A" w14:textId="77777777" w:rsidR="00412E11" w:rsidRPr="00EC49A8" w:rsidRDefault="00412E11" w:rsidP="000C5C29">
      <w:pPr>
        <w:pStyle w:val="ListDash2"/>
        <w:rPr>
          <w:noProof/>
        </w:rPr>
      </w:pPr>
      <w:r w:rsidRPr="00EC49A8">
        <w:rPr>
          <w:rFonts w:ascii="Wingdings" w:hAnsi="Wingdings"/>
          <w:noProof/>
        </w:rPr>
        <w:t></w:t>
      </w:r>
      <w:r w:rsidRPr="00EC49A8">
        <w:rPr>
          <w:noProof/>
        </w:rPr>
        <w:tab/>
        <w:t xml:space="preserve">in vigore a decorrere dal [GG/MM]AAAA fino al [GG/MM]AAAA; </w:t>
      </w:r>
    </w:p>
    <w:p w14:paraId="3B1AAAF7" w14:textId="77777777" w:rsidR="00412E11" w:rsidRPr="00EC49A8" w:rsidRDefault="00412E11" w:rsidP="000C5C29">
      <w:pPr>
        <w:pStyle w:val="ListDash2"/>
        <w:rPr>
          <w:noProof/>
        </w:rPr>
      </w:pPr>
      <w:r w:rsidRPr="00EC49A8">
        <w:rPr>
          <w:rFonts w:ascii="Wingdings" w:hAnsi="Wingdings"/>
          <w:noProof/>
        </w:rPr>
        <w:t></w:t>
      </w:r>
      <w:r w:rsidRPr="00EC49A8">
        <w:rPr>
          <w:noProof/>
        </w:rPr>
        <w:tab/>
        <w:t xml:space="preserve">incidenza finanziaria dal AAAA al AAAA per gli stanziamenti di impegno e dal AAAA al AAAA per gli stanziamenti di pagamento. </w:t>
      </w:r>
    </w:p>
    <w:p w14:paraId="091D9C93" w14:textId="77777777" w:rsidR="00412E11" w:rsidRPr="00EC49A8" w:rsidRDefault="00412E11" w:rsidP="000C5C29">
      <w:pPr>
        <w:pStyle w:val="Text1"/>
        <w:rPr>
          <w:noProof/>
        </w:rPr>
      </w:pPr>
      <w:r w:rsidRPr="00EC49A8">
        <w:rPr>
          <w:rFonts w:ascii="Wingdings" w:hAnsi="Wingdings"/>
          <w:noProof/>
        </w:rPr>
        <w:t></w:t>
      </w:r>
      <w:r w:rsidRPr="00EC49A8">
        <w:rPr>
          <w:b/>
          <w:i/>
          <w:noProof/>
        </w:rPr>
        <w:t xml:space="preserve"> </w:t>
      </w:r>
      <w:r w:rsidRPr="00EC49A8">
        <w:rPr>
          <w:b/>
          <w:noProof/>
        </w:rPr>
        <w:t>Durata illimitata</w:t>
      </w:r>
    </w:p>
    <w:p w14:paraId="500C7AE2" w14:textId="77777777" w:rsidR="00412E11" w:rsidRPr="00EC49A8" w:rsidRDefault="00412E11" w:rsidP="000C5C29">
      <w:pPr>
        <w:pStyle w:val="ListDash1"/>
        <w:rPr>
          <w:noProof/>
        </w:rPr>
      </w:pPr>
      <w:r w:rsidRPr="00EC49A8">
        <w:rPr>
          <w:noProof/>
        </w:rPr>
        <w:t>Attuazione con un periodo di avviamento dal AAAA al AAAA</w:t>
      </w:r>
    </w:p>
    <w:p w14:paraId="09D314E2" w14:textId="77777777" w:rsidR="00412E11" w:rsidRPr="00EC49A8" w:rsidRDefault="00412E11" w:rsidP="000C5C29">
      <w:pPr>
        <w:pStyle w:val="ListDash1"/>
        <w:rPr>
          <w:noProof/>
        </w:rPr>
      </w:pPr>
      <w:r w:rsidRPr="00EC49A8">
        <w:rPr>
          <w:noProof/>
        </w:rPr>
        <w:t>e successivo funzionamento a pieno ritmo.</w:t>
      </w:r>
    </w:p>
    <w:p w14:paraId="01D4E158" w14:textId="77777777" w:rsidR="00412E11" w:rsidRPr="00EC49A8" w:rsidRDefault="00412E11" w:rsidP="000C5C29">
      <w:pPr>
        <w:pStyle w:val="ManualHeading2"/>
        <w:rPr>
          <w:bCs/>
          <w:noProof/>
          <w:szCs w:val="24"/>
        </w:rPr>
      </w:pPr>
      <w:bookmarkStart w:id="80" w:name="_Toc514938040"/>
      <w:bookmarkStart w:id="81" w:name="_Toc520485041"/>
      <w:bookmarkStart w:id="82" w:name="_Toc160804583"/>
      <w:bookmarkStart w:id="83" w:name="_Toc167220275"/>
      <w:bookmarkStart w:id="84" w:name="_Toc177549008"/>
      <w:r w:rsidRPr="00B17672">
        <w:rPr>
          <w:noProof/>
        </w:rPr>
        <w:t>1</w:t>
      </w:r>
      <w:r w:rsidRPr="00EC49A8">
        <w:rPr>
          <w:noProof/>
        </w:rPr>
        <w:t>.</w:t>
      </w:r>
      <w:r w:rsidRPr="00B17672">
        <w:rPr>
          <w:noProof/>
        </w:rPr>
        <w:t>7</w:t>
      </w:r>
      <w:r w:rsidRPr="00EC49A8">
        <w:rPr>
          <w:noProof/>
        </w:rPr>
        <w:t>.</w:t>
      </w:r>
      <w:r w:rsidRPr="00EC49A8">
        <w:rPr>
          <w:noProof/>
        </w:rPr>
        <w:tab/>
        <w:t>Metodo o metodi di esecuzione del bilancio previsti</w:t>
      </w:r>
      <w:r w:rsidRPr="00EC49A8">
        <w:rPr>
          <w:rStyle w:val="FootnoteReference"/>
          <w:noProof/>
        </w:rPr>
        <w:footnoteReference w:id="11"/>
      </w:r>
      <w:r w:rsidRPr="00EC49A8">
        <w:rPr>
          <w:rStyle w:val="FootnoteReference"/>
          <w:noProof/>
        </w:rPr>
        <w:t xml:space="preserve"> </w:t>
      </w:r>
      <w:bookmarkEnd w:id="80"/>
      <w:bookmarkEnd w:id="81"/>
      <w:bookmarkEnd w:id="82"/>
      <w:bookmarkEnd w:id="83"/>
      <w:bookmarkEnd w:id="84"/>
      <w:r w:rsidRPr="00EC49A8">
        <w:rPr>
          <w:rStyle w:val="FootnoteReference"/>
          <w:noProof/>
        </w:rPr>
        <w:t xml:space="preserve"> </w:t>
      </w:r>
    </w:p>
    <w:p w14:paraId="5ED5AC22" w14:textId="77777777" w:rsidR="00412E11" w:rsidRPr="00EC49A8" w:rsidRDefault="00080E68" w:rsidP="000C5C29">
      <w:pPr>
        <w:pStyle w:val="Text1"/>
        <w:rPr>
          <w:noProof/>
        </w:rPr>
      </w:pPr>
      <w:r w:rsidRPr="00EC49A8">
        <w:rPr>
          <w:rFonts w:ascii="Wingdings" w:hAnsi="Wingdings"/>
          <w:noProof/>
        </w:rPr>
        <w:t></w:t>
      </w:r>
      <w:r w:rsidRPr="00EC49A8">
        <w:rPr>
          <w:i/>
          <w:noProof/>
        </w:rPr>
        <w:t xml:space="preserve"> </w:t>
      </w:r>
      <w:r w:rsidRPr="00EC49A8">
        <w:rPr>
          <w:b/>
          <w:noProof/>
        </w:rPr>
        <w:t>Gestione diretta</w:t>
      </w:r>
      <w:r w:rsidRPr="00EC49A8">
        <w:rPr>
          <w:noProof/>
        </w:rPr>
        <w:t xml:space="preserve"> a opera della Commissione:</w:t>
      </w:r>
    </w:p>
    <w:p w14:paraId="463972EA" w14:textId="33611C07" w:rsidR="00412E11" w:rsidRPr="00EC49A8" w:rsidRDefault="00080E68" w:rsidP="000C5C29">
      <w:pPr>
        <w:pStyle w:val="ListDash2"/>
        <w:rPr>
          <w:rFonts w:cs="EUAlbertina"/>
          <w:noProof/>
        </w:rPr>
      </w:pPr>
      <w:r w:rsidRPr="00EC49A8">
        <w:rPr>
          <w:rFonts w:ascii="Wingdings" w:hAnsi="Wingdings"/>
          <w:noProof/>
        </w:rPr>
        <w:t></w:t>
      </w:r>
      <w:r w:rsidRPr="00EC49A8">
        <w:rPr>
          <w:noProof/>
        </w:rPr>
        <w:t xml:space="preserve"> a opera dei suoi servizi, compreso il suo personale presso le delegazioni dell</w:t>
      </w:r>
      <w:r w:rsidR="00B17672">
        <w:rPr>
          <w:noProof/>
        </w:rPr>
        <w:t>'</w:t>
      </w:r>
      <w:r w:rsidRPr="00EC49A8">
        <w:rPr>
          <w:noProof/>
        </w:rPr>
        <w:t xml:space="preserve">Unione; </w:t>
      </w:r>
    </w:p>
    <w:p w14:paraId="24FA4E54" w14:textId="77777777" w:rsidR="00412E11" w:rsidRPr="00EC49A8" w:rsidRDefault="00412E11" w:rsidP="000C5C29">
      <w:pPr>
        <w:pStyle w:val="ListDash2"/>
        <w:rPr>
          <w:noProof/>
        </w:rPr>
      </w:pPr>
      <w:r w:rsidRPr="00EC49A8">
        <w:rPr>
          <w:rFonts w:ascii="Wingdings" w:hAnsi="Wingdings"/>
          <w:noProof/>
        </w:rPr>
        <w:t></w:t>
      </w:r>
      <w:r w:rsidRPr="00EC49A8">
        <w:rPr>
          <w:noProof/>
        </w:rPr>
        <w:tab/>
        <w:t xml:space="preserve">a opera delle agenzie esecutive. </w:t>
      </w:r>
    </w:p>
    <w:p w14:paraId="319BC5C2" w14:textId="77777777" w:rsidR="00412E11" w:rsidRPr="00EC49A8" w:rsidRDefault="00412E11" w:rsidP="000C5C29">
      <w:pPr>
        <w:pStyle w:val="Text1"/>
        <w:rPr>
          <w:noProof/>
        </w:rPr>
      </w:pPr>
      <w:r w:rsidRPr="00EC49A8">
        <w:rPr>
          <w:rFonts w:ascii="Wingdings" w:hAnsi="Wingdings"/>
          <w:noProof/>
        </w:rPr>
        <w:t></w:t>
      </w:r>
      <w:r w:rsidRPr="00EC49A8">
        <w:rPr>
          <w:b/>
          <w:i/>
          <w:noProof/>
        </w:rPr>
        <w:t xml:space="preserve"> </w:t>
      </w:r>
      <w:r w:rsidRPr="00EC49A8">
        <w:rPr>
          <w:b/>
          <w:noProof/>
        </w:rPr>
        <w:t>Gestione concorrente</w:t>
      </w:r>
      <w:r w:rsidRPr="00EC49A8">
        <w:rPr>
          <w:noProof/>
        </w:rPr>
        <w:t xml:space="preserve"> con gli Stati membri. </w:t>
      </w:r>
    </w:p>
    <w:p w14:paraId="3FFE63C4" w14:textId="77777777" w:rsidR="00412E11" w:rsidRPr="00EC49A8" w:rsidRDefault="00412E11" w:rsidP="000C5C29">
      <w:pPr>
        <w:pStyle w:val="Text1"/>
        <w:rPr>
          <w:noProof/>
        </w:rPr>
      </w:pPr>
      <w:r w:rsidRPr="00EC49A8">
        <w:rPr>
          <w:rFonts w:ascii="Wingdings" w:hAnsi="Wingdings"/>
          <w:noProof/>
        </w:rPr>
        <w:t></w:t>
      </w:r>
      <w:r w:rsidRPr="00EC49A8">
        <w:rPr>
          <w:i/>
          <w:noProof/>
        </w:rPr>
        <w:t xml:space="preserve"> </w:t>
      </w:r>
      <w:r w:rsidRPr="00EC49A8">
        <w:rPr>
          <w:b/>
          <w:noProof/>
        </w:rPr>
        <w:t>Gestione indiretta</w:t>
      </w:r>
      <w:r w:rsidRPr="00EC49A8">
        <w:rPr>
          <w:noProof/>
        </w:rPr>
        <w:t xml:space="preserve"> affidando compiti di esecuzione del bilancio:</w:t>
      </w:r>
    </w:p>
    <w:p w14:paraId="1D462A33"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 paesi terzi o organismi da questi designati;</w:t>
      </w:r>
    </w:p>
    <w:p w14:paraId="27CDB1C2"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 organizzazioni internazionali e loro agenzie (specificare);</w:t>
      </w:r>
    </w:p>
    <w:p w14:paraId="1929210B"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alla Banca europea per gli investimenti e al Fondo europeo per gli investimenti;</w:t>
      </w:r>
    </w:p>
    <w:p w14:paraId="59E553FF"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agli organismi di cui agli articoli </w:t>
      </w:r>
      <w:r w:rsidRPr="00B17672">
        <w:rPr>
          <w:noProof/>
        </w:rPr>
        <w:t>70</w:t>
      </w:r>
      <w:r w:rsidRPr="00EC49A8">
        <w:rPr>
          <w:noProof/>
        </w:rPr>
        <w:t xml:space="preserve"> e </w:t>
      </w:r>
      <w:r w:rsidRPr="00B17672">
        <w:rPr>
          <w:noProof/>
        </w:rPr>
        <w:t>71</w:t>
      </w:r>
      <w:r w:rsidRPr="00EC49A8">
        <w:rPr>
          <w:noProof/>
        </w:rPr>
        <w:t xml:space="preserve"> del regolamento finanziario;</w:t>
      </w:r>
    </w:p>
    <w:p w14:paraId="4DD455E5"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 organismi di diritto pubblico;</w:t>
      </w:r>
    </w:p>
    <w:p w14:paraId="65F0207C" w14:textId="77777777" w:rsidR="00412E11" w:rsidRPr="00EC49A8" w:rsidRDefault="00412E11" w:rsidP="000C5C29">
      <w:pPr>
        <w:pStyle w:val="ListDash2"/>
        <w:rPr>
          <w:noProof/>
        </w:rPr>
      </w:pPr>
      <w:r w:rsidRPr="00EC49A8">
        <w:rPr>
          <w:rFonts w:ascii="Wingdings" w:hAnsi="Wingdings"/>
          <w:noProof/>
        </w:rPr>
        <w:t></w:t>
      </w:r>
      <w:r w:rsidRPr="00EC49A8">
        <w:rPr>
          <w:noProof/>
        </w:rPr>
        <w:t xml:space="preserve"> a organismi di diritto privato investiti di attribuzioni di servizio pubblico, nella misura in cui sono dotati di sufficienti garanzie finanziarie;</w:t>
      </w:r>
    </w:p>
    <w:p w14:paraId="481B1D46" w14:textId="6B6DD453" w:rsidR="00412E11" w:rsidRPr="00EC49A8" w:rsidRDefault="00412E11" w:rsidP="000C5C29">
      <w:pPr>
        <w:pStyle w:val="ListDash2"/>
        <w:rPr>
          <w:noProof/>
        </w:rPr>
      </w:pPr>
      <w:r w:rsidRPr="00EC49A8">
        <w:rPr>
          <w:rFonts w:ascii="Wingdings" w:hAnsi="Wingdings"/>
          <w:noProof/>
        </w:rPr>
        <w:t></w:t>
      </w:r>
      <w:r w:rsidRPr="00EC49A8">
        <w:rPr>
          <w:noProof/>
        </w:rPr>
        <w:t xml:space="preserve"> a organismi di diritto privato di uno Stato membro preposti all</w:t>
      </w:r>
      <w:r w:rsidR="00B17672">
        <w:rPr>
          <w:noProof/>
        </w:rPr>
        <w:t>'</w:t>
      </w:r>
      <w:r w:rsidRPr="00EC49A8">
        <w:rPr>
          <w:noProof/>
        </w:rPr>
        <w:t>attuazione di un partenariato pubblico-privato e che sono dotati di sufficienti garanzie finanziarie;</w:t>
      </w:r>
    </w:p>
    <w:p w14:paraId="533ED34E" w14:textId="51E33965" w:rsidR="00412E11" w:rsidRPr="00EC49A8" w:rsidRDefault="00412E11" w:rsidP="000C5C29">
      <w:pPr>
        <w:pStyle w:val="ListDash2"/>
        <w:rPr>
          <w:noProof/>
        </w:rPr>
      </w:pPr>
      <w:r w:rsidRPr="00EC49A8">
        <w:rPr>
          <w:rFonts w:ascii="Wingdings" w:hAnsi="Wingdings"/>
          <w:noProof/>
        </w:rPr>
        <w:t></w:t>
      </w:r>
      <w:r w:rsidRPr="00EC49A8">
        <w:rPr>
          <w:noProof/>
        </w:rPr>
        <w:t xml:space="preserve"> a organismi o persone incaricati di attuare azioni specifiche della politica estera e di sicurezza comune a norma del titolo V del trattato sull</w:t>
      </w:r>
      <w:r w:rsidR="00B17672">
        <w:rPr>
          <w:noProof/>
        </w:rPr>
        <w:t>'</w:t>
      </w:r>
      <w:r w:rsidRPr="00EC49A8">
        <w:rPr>
          <w:noProof/>
        </w:rPr>
        <w:t>Unione europea e indicati nel pertinente atto di base;</w:t>
      </w:r>
    </w:p>
    <w:p w14:paraId="2C3D3F1D" w14:textId="7A9C38EC" w:rsidR="00412E11" w:rsidRPr="00EC49A8" w:rsidRDefault="00412E11" w:rsidP="000C5C29">
      <w:pPr>
        <w:pStyle w:val="ListDash2"/>
        <w:rPr>
          <w:noProof/>
        </w:rPr>
      </w:pPr>
      <w:r w:rsidRPr="00EC49A8">
        <w:rPr>
          <w:rFonts w:ascii="Wingdings" w:hAnsi="Wingdings"/>
          <w:noProof/>
        </w:rPr>
        <w:t></w:t>
      </w:r>
      <w:r w:rsidRPr="00EC49A8">
        <w:rPr>
          <w:rFonts w:ascii="Wingdings" w:hAnsi="Wingdings"/>
          <w:noProof/>
        </w:rPr>
        <w:t></w:t>
      </w:r>
      <w:r w:rsidRPr="00EC49A8">
        <w:rPr>
          <w:noProof/>
        </w:rPr>
        <w:t>a organismi di diritto privato di uno Stato membro o di diritto dell</w:t>
      </w:r>
      <w:r w:rsidR="00B17672">
        <w:rPr>
          <w:noProof/>
        </w:rPr>
        <w:t>'</w:t>
      </w:r>
      <w:r w:rsidRPr="00EC49A8">
        <w:rPr>
          <w:noProof/>
        </w:rPr>
        <w:t>Unione stabiliti in uno Stato membro e idonei ad essere incaricati, conformemente alla normativa settoriale, dell</w:t>
      </w:r>
      <w:r w:rsidR="00B17672">
        <w:rPr>
          <w:noProof/>
        </w:rPr>
        <w:t>'</w:t>
      </w:r>
      <w:r w:rsidRPr="00EC49A8">
        <w:rPr>
          <w:noProof/>
        </w:rPr>
        <w:t>esecuzione di fondi dell</w:t>
      </w:r>
      <w:r w:rsidR="00B17672">
        <w:rPr>
          <w:noProof/>
        </w:rPr>
        <w:t>'</w:t>
      </w:r>
      <w:r w:rsidRPr="00EC49A8">
        <w:rPr>
          <w:noProof/>
        </w:rPr>
        <w:t>Unione o delle garanzie di bilancio, nella misura in cui tali organismi sono controllati da organismi di diritto pubblico o da organismi di diritto privato investiti di attribuzioni di servizio pubblico e sono dotati di sufficienti garanzie finanziarie, sotto forma di responsabilità in solido da parte degli organismi di controllo o di garanzie finanziarie equivalenti, che possono essere limitate, per ciascuna azione, all</w:t>
      </w:r>
      <w:r w:rsidR="00B17672">
        <w:rPr>
          <w:noProof/>
        </w:rPr>
        <w:t>'</w:t>
      </w:r>
      <w:r w:rsidRPr="00EC49A8">
        <w:rPr>
          <w:noProof/>
        </w:rPr>
        <w:t>importo massimo del sostegno dell</w:t>
      </w:r>
      <w:r w:rsidR="00B17672">
        <w:rPr>
          <w:noProof/>
        </w:rPr>
        <w:t>'</w:t>
      </w:r>
      <w:r w:rsidRPr="00EC49A8">
        <w:rPr>
          <w:noProof/>
        </w:rPr>
        <w:t>Unione.</w:t>
      </w:r>
    </w:p>
    <w:p w14:paraId="44AB04F7" w14:textId="77777777" w:rsidR="00412E11" w:rsidRPr="00EC49A8" w:rsidRDefault="00412E11" w:rsidP="000C5C29">
      <w:pPr>
        <w:rPr>
          <w:noProof/>
        </w:rPr>
      </w:pPr>
      <w:r w:rsidRPr="00EC49A8">
        <w:rPr>
          <w:noProof/>
        </w:rPr>
        <w:t xml:space="preserve">Osservazioni </w:t>
      </w:r>
    </w:p>
    <w:p w14:paraId="6FEA51DE" w14:textId="77777777" w:rsidR="00412E11" w:rsidRPr="00EC49A8" w:rsidRDefault="00661700" w:rsidP="000C5C29">
      <w:pPr>
        <w:pBdr>
          <w:top w:val="single" w:sz="4" w:space="1" w:color="auto"/>
          <w:left w:val="single" w:sz="4" w:space="4" w:color="auto"/>
          <w:bottom w:val="single" w:sz="4" w:space="1" w:color="auto"/>
          <w:right w:val="single" w:sz="4" w:space="4" w:color="auto"/>
        </w:pBdr>
        <w:rPr>
          <w:noProof/>
        </w:rPr>
      </w:pPr>
      <w:r w:rsidRPr="00EC49A8">
        <w:rPr>
          <w:noProof/>
        </w:rPr>
        <w:t xml:space="preserve">Non sono necessarie risorse supplementari. </w:t>
      </w:r>
    </w:p>
    <w:p w14:paraId="0B539F32" w14:textId="77777777" w:rsidR="00412E11" w:rsidRPr="00EC49A8" w:rsidRDefault="00412E11" w:rsidP="000C5C29">
      <w:pPr>
        <w:rPr>
          <w:noProof/>
        </w:rPr>
        <w:sectPr w:rsidR="00412E11" w:rsidRPr="00EC49A8" w:rsidSect="009F3D23">
          <w:pgSz w:w="11907" w:h="16840" w:code="9"/>
          <w:pgMar w:top="1134" w:right="1418" w:bottom="1134" w:left="1418" w:header="709" w:footer="709" w:gutter="0"/>
          <w:cols w:space="708"/>
          <w:docGrid w:linePitch="360"/>
        </w:sectPr>
      </w:pPr>
    </w:p>
    <w:p w14:paraId="220F0A39" w14:textId="77777777" w:rsidR="00412E11" w:rsidRPr="00EC49A8" w:rsidRDefault="00412E11" w:rsidP="000C5C29">
      <w:pPr>
        <w:pStyle w:val="ManualHeading1"/>
        <w:rPr>
          <w:bCs/>
          <w:noProof/>
          <w:szCs w:val="24"/>
        </w:rPr>
      </w:pPr>
      <w:bookmarkStart w:id="85" w:name="_Toc514938041"/>
      <w:bookmarkStart w:id="86" w:name="_Toc520485042"/>
      <w:bookmarkStart w:id="87" w:name="_Toc160804584"/>
      <w:bookmarkStart w:id="88" w:name="_Toc167220276"/>
      <w:bookmarkStart w:id="89" w:name="_Toc177549009"/>
      <w:r w:rsidRPr="00B17672">
        <w:rPr>
          <w:noProof/>
        </w:rPr>
        <w:t>2</w:t>
      </w:r>
      <w:r w:rsidRPr="00EC49A8">
        <w:rPr>
          <w:noProof/>
        </w:rPr>
        <w:t>.</w:t>
      </w:r>
      <w:r w:rsidRPr="00EC49A8">
        <w:rPr>
          <w:noProof/>
        </w:rPr>
        <w:tab/>
        <w:t>MISURE DI GESTIONE</w:t>
      </w:r>
      <w:bookmarkEnd w:id="85"/>
      <w:bookmarkEnd w:id="86"/>
      <w:bookmarkEnd w:id="87"/>
      <w:bookmarkEnd w:id="88"/>
      <w:bookmarkEnd w:id="89"/>
      <w:r w:rsidRPr="00EC49A8">
        <w:rPr>
          <w:noProof/>
        </w:rPr>
        <w:t xml:space="preserve"> </w:t>
      </w:r>
    </w:p>
    <w:p w14:paraId="3607E401" w14:textId="77777777" w:rsidR="00412E11" w:rsidRPr="00EC49A8" w:rsidRDefault="00412E11" w:rsidP="000C5C29">
      <w:pPr>
        <w:pStyle w:val="ManualHeading2"/>
        <w:rPr>
          <w:noProof/>
        </w:rPr>
      </w:pPr>
      <w:bookmarkStart w:id="90" w:name="_Toc514938042"/>
      <w:bookmarkStart w:id="91" w:name="_Toc520485043"/>
      <w:bookmarkStart w:id="92" w:name="_Toc160804585"/>
      <w:bookmarkStart w:id="93" w:name="_Toc167220277"/>
      <w:bookmarkStart w:id="94" w:name="_Toc177549010"/>
      <w:r w:rsidRPr="00B17672">
        <w:rPr>
          <w:noProof/>
        </w:rPr>
        <w:t>2</w:t>
      </w:r>
      <w:r w:rsidRPr="00EC49A8">
        <w:rPr>
          <w:noProof/>
        </w:rPr>
        <w:t>.</w:t>
      </w:r>
      <w:r w:rsidRPr="00B17672">
        <w:rPr>
          <w:noProof/>
        </w:rPr>
        <w:t>1</w:t>
      </w:r>
      <w:r w:rsidRPr="00EC49A8">
        <w:rPr>
          <w:noProof/>
        </w:rPr>
        <w:t>.</w:t>
      </w:r>
      <w:r w:rsidRPr="00EC49A8">
        <w:rPr>
          <w:noProof/>
        </w:rPr>
        <w:tab/>
        <w:t>Disposizioni in materia di monitoraggio e di relazioni</w:t>
      </w:r>
      <w:bookmarkEnd w:id="90"/>
      <w:bookmarkEnd w:id="91"/>
      <w:bookmarkEnd w:id="92"/>
      <w:bookmarkEnd w:id="93"/>
      <w:bookmarkEnd w:id="94"/>
      <w:r w:rsidRPr="00EC49A8">
        <w:rPr>
          <w:noProof/>
        </w:rPr>
        <w:t xml:space="preserve"> </w:t>
      </w:r>
    </w:p>
    <w:p w14:paraId="67C2D626" w14:textId="78FBD347" w:rsidR="00023BB1" w:rsidRPr="00EC49A8" w:rsidRDefault="00023BB1" w:rsidP="00B308FC">
      <w:pPr>
        <w:pStyle w:val="Text1"/>
        <w:pBdr>
          <w:top w:val="single" w:sz="4" w:space="1" w:color="auto"/>
          <w:left w:val="single" w:sz="4" w:space="4" w:color="auto"/>
          <w:bottom w:val="single" w:sz="4" w:space="1" w:color="auto"/>
          <w:right w:val="single" w:sz="4" w:space="4" w:color="auto"/>
        </w:pBdr>
        <w:rPr>
          <w:noProof/>
        </w:rPr>
      </w:pPr>
      <w:r w:rsidRPr="00EC49A8">
        <w:rPr>
          <w:noProof/>
        </w:rPr>
        <w:t>Non viene introdotta alcuna modifica delle disposizioni in materia di monitoraggio e di relazioni, in quanto il sistema attuale consente di monitorare anche l</w:t>
      </w:r>
      <w:r w:rsidR="00B17672">
        <w:rPr>
          <w:noProof/>
        </w:rPr>
        <w:t>'</w:t>
      </w:r>
      <w:r w:rsidRPr="00EC49A8">
        <w:rPr>
          <w:noProof/>
        </w:rPr>
        <w:t>applicazione dell</w:t>
      </w:r>
      <w:r w:rsidR="00B17672">
        <w:rPr>
          <w:noProof/>
        </w:rPr>
        <w:t>'</w:t>
      </w:r>
      <w:r w:rsidRPr="00EC49A8">
        <w:rPr>
          <w:noProof/>
        </w:rPr>
        <w:t>ulteriore flessibilità proposta.</w:t>
      </w:r>
    </w:p>
    <w:p w14:paraId="389E5D33" w14:textId="77777777" w:rsidR="00412E11" w:rsidRPr="00EC49A8" w:rsidRDefault="00412E11" w:rsidP="000C5C29">
      <w:pPr>
        <w:pStyle w:val="ManualHeading2"/>
        <w:rPr>
          <w:bCs/>
          <w:noProof/>
          <w:szCs w:val="24"/>
        </w:rPr>
      </w:pPr>
      <w:bookmarkStart w:id="95" w:name="_Toc514938045"/>
      <w:bookmarkStart w:id="96" w:name="_Toc520485044"/>
      <w:bookmarkStart w:id="97" w:name="_Toc160804586"/>
      <w:bookmarkStart w:id="98" w:name="_Toc167220278"/>
      <w:bookmarkStart w:id="99" w:name="_Toc177549011"/>
      <w:r w:rsidRPr="00B17672">
        <w:rPr>
          <w:noProof/>
        </w:rPr>
        <w:t>2</w:t>
      </w:r>
      <w:r w:rsidRPr="00EC49A8">
        <w:rPr>
          <w:noProof/>
        </w:rPr>
        <w:t>.</w:t>
      </w:r>
      <w:r w:rsidRPr="00B17672">
        <w:rPr>
          <w:noProof/>
        </w:rPr>
        <w:t>2</w:t>
      </w:r>
      <w:r w:rsidRPr="00EC49A8">
        <w:rPr>
          <w:noProof/>
        </w:rPr>
        <w:t>.</w:t>
      </w:r>
      <w:r w:rsidRPr="00EC49A8">
        <w:rPr>
          <w:noProof/>
        </w:rPr>
        <w:tab/>
        <w:t>Sistema o sistemi di gestione e di controllo</w:t>
      </w:r>
      <w:bookmarkEnd w:id="95"/>
      <w:bookmarkEnd w:id="96"/>
      <w:bookmarkEnd w:id="97"/>
      <w:bookmarkEnd w:id="98"/>
      <w:bookmarkEnd w:id="99"/>
      <w:r w:rsidRPr="00EC49A8">
        <w:rPr>
          <w:noProof/>
        </w:rPr>
        <w:t xml:space="preserve"> </w:t>
      </w:r>
    </w:p>
    <w:p w14:paraId="2E6A4EDC" w14:textId="77777777" w:rsidR="00412E11" w:rsidRPr="00EC49A8" w:rsidRDefault="00412E11" w:rsidP="000C5C29">
      <w:pPr>
        <w:pStyle w:val="ManualHeading3"/>
        <w:rPr>
          <w:noProof/>
        </w:rPr>
      </w:pPr>
      <w:bookmarkStart w:id="100" w:name="_Toc514938046"/>
      <w:bookmarkStart w:id="101" w:name="_Toc520485045"/>
      <w:bookmarkStart w:id="102" w:name="_Toc160804587"/>
      <w:bookmarkStart w:id="103" w:name="_Toc167220279"/>
      <w:bookmarkStart w:id="104" w:name="_Toc177549012"/>
      <w:r w:rsidRPr="00B17672">
        <w:rPr>
          <w:noProof/>
        </w:rPr>
        <w:t>2</w:t>
      </w:r>
      <w:r w:rsidRPr="00EC49A8">
        <w:rPr>
          <w:noProof/>
        </w:rPr>
        <w:t>.</w:t>
      </w:r>
      <w:r w:rsidRPr="00B17672">
        <w:rPr>
          <w:noProof/>
        </w:rPr>
        <w:t>2</w:t>
      </w:r>
      <w:r w:rsidRPr="00EC49A8">
        <w:rPr>
          <w:noProof/>
        </w:rPr>
        <w:t>.</w:t>
      </w:r>
      <w:r w:rsidRPr="00B17672">
        <w:rPr>
          <w:noProof/>
        </w:rPr>
        <w:t>1</w:t>
      </w:r>
      <w:r w:rsidRPr="00EC49A8">
        <w:rPr>
          <w:noProof/>
        </w:rPr>
        <w:t>.</w:t>
      </w:r>
      <w:r w:rsidRPr="00EC49A8">
        <w:rPr>
          <w:noProof/>
        </w:rPr>
        <w:tab/>
        <w:t>Giustificazione del metodo o dei metodi di esecuzione del bilancio, del meccanismo o dei meccanismi di attuazione del finanziamento, delle modalità di pagamento e della strategia di controllo proposti</w:t>
      </w:r>
      <w:bookmarkEnd w:id="100"/>
      <w:bookmarkEnd w:id="101"/>
      <w:bookmarkEnd w:id="102"/>
      <w:bookmarkEnd w:id="103"/>
      <w:bookmarkEnd w:id="104"/>
    </w:p>
    <w:p w14:paraId="3F6025E3" w14:textId="77777777" w:rsidR="00F11F24" w:rsidRPr="00EC49A8" w:rsidRDefault="00F11F24" w:rsidP="000C5C29">
      <w:pPr>
        <w:pStyle w:val="Text1"/>
        <w:pBdr>
          <w:top w:val="single" w:sz="4" w:space="1" w:color="auto"/>
          <w:left w:val="single" w:sz="4" w:space="4" w:color="auto"/>
          <w:bottom w:val="single" w:sz="4" w:space="1" w:color="auto"/>
          <w:right w:val="single" w:sz="4" w:space="4" w:color="auto"/>
        </w:pBdr>
        <w:rPr>
          <w:noProof/>
        </w:rPr>
      </w:pPr>
      <w:r w:rsidRPr="00EC49A8">
        <w:rPr>
          <w:noProof/>
        </w:rPr>
        <w:t xml:space="preserve">La proposta non attua un programma finanziario, ma introduce ulteriore flessibilità per il periodo </w:t>
      </w:r>
      <w:r w:rsidRPr="00B17672">
        <w:rPr>
          <w:noProof/>
        </w:rPr>
        <w:t>2025</w:t>
      </w:r>
      <w:r w:rsidRPr="00EC49A8">
        <w:rPr>
          <w:noProof/>
        </w:rPr>
        <w:t>-</w:t>
      </w:r>
      <w:r w:rsidRPr="00B17672">
        <w:rPr>
          <w:noProof/>
        </w:rPr>
        <w:t>2027</w:t>
      </w:r>
      <w:r w:rsidRPr="00EC49A8">
        <w:rPr>
          <w:noProof/>
        </w:rPr>
        <w:t xml:space="preserve"> sul piano della conformità dei costruttori di veicoli leggeri agli obiettivi in materia di emissioni di CO</w:t>
      </w:r>
      <w:r w:rsidRPr="00B17672">
        <w:rPr>
          <w:noProof/>
          <w:vertAlign w:val="subscript"/>
        </w:rPr>
        <w:t>2</w:t>
      </w:r>
      <w:r w:rsidRPr="00EC49A8">
        <w:rPr>
          <w:noProof/>
        </w:rPr>
        <w:t>. Modalità di gestione, meccanismi di attuazione del finanziamento, modalità di pagamento e strategia di controllo in relazione ai tassi di errore non sono applicabili.</w:t>
      </w:r>
    </w:p>
    <w:p w14:paraId="669A58BE" w14:textId="77777777" w:rsidR="00412E11" w:rsidRPr="00EC49A8" w:rsidRDefault="00412E11" w:rsidP="000C5C29">
      <w:pPr>
        <w:pStyle w:val="ManualHeading3"/>
        <w:rPr>
          <w:bCs/>
          <w:noProof/>
          <w:szCs w:val="24"/>
        </w:rPr>
      </w:pPr>
      <w:bookmarkStart w:id="105" w:name="_Toc514938047"/>
      <w:bookmarkStart w:id="106" w:name="_Toc520485046"/>
      <w:bookmarkStart w:id="107" w:name="_Toc160804588"/>
      <w:bookmarkStart w:id="108" w:name="_Toc167220280"/>
      <w:bookmarkStart w:id="109" w:name="_Toc177549013"/>
      <w:r w:rsidRPr="00B17672">
        <w:rPr>
          <w:noProof/>
        </w:rPr>
        <w:t>2</w:t>
      </w:r>
      <w:r w:rsidRPr="00EC49A8">
        <w:rPr>
          <w:noProof/>
        </w:rPr>
        <w:t>.</w:t>
      </w:r>
      <w:r w:rsidRPr="00B17672">
        <w:rPr>
          <w:noProof/>
        </w:rPr>
        <w:t>2</w:t>
      </w:r>
      <w:r w:rsidRPr="00EC49A8">
        <w:rPr>
          <w:noProof/>
        </w:rPr>
        <w:t>.</w:t>
      </w:r>
      <w:r w:rsidRPr="00B17672">
        <w:rPr>
          <w:noProof/>
        </w:rPr>
        <w:t>2</w:t>
      </w:r>
      <w:r w:rsidRPr="00EC49A8">
        <w:rPr>
          <w:noProof/>
        </w:rPr>
        <w:t>.</w:t>
      </w:r>
      <w:r w:rsidRPr="00EC49A8">
        <w:rPr>
          <w:noProof/>
        </w:rPr>
        <w:tab/>
        <w:t>Informazioni concernenti i rischi individuati e il sistema o i sistemi di controllo interno per ridurli</w:t>
      </w:r>
      <w:bookmarkEnd w:id="105"/>
      <w:bookmarkEnd w:id="106"/>
      <w:bookmarkEnd w:id="107"/>
      <w:bookmarkEnd w:id="108"/>
      <w:bookmarkEnd w:id="109"/>
    </w:p>
    <w:p w14:paraId="4A4B64B6" w14:textId="496CB68A" w:rsidR="001135CE" w:rsidRPr="00EC49A8" w:rsidRDefault="001135CE" w:rsidP="001135CE">
      <w:pPr>
        <w:pStyle w:val="Text1"/>
        <w:pBdr>
          <w:top w:val="single" w:sz="4" w:space="1" w:color="auto"/>
          <w:left w:val="single" w:sz="4" w:space="4" w:color="auto"/>
          <w:bottom w:val="single" w:sz="4" w:space="1" w:color="auto"/>
          <w:right w:val="single" w:sz="4" w:space="4" w:color="auto"/>
        </w:pBdr>
        <w:rPr>
          <w:noProof/>
        </w:rPr>
      </w:pPr>
      <w:r w:rsidRPr="00EC49A8">
        <w:rPr>
          <w:noProof/>
        </w:rPr>
        <w:t>La presente proposta non riguarda un programma di spesa. Un controllo efficiente dei dati di immatricolazione dei veicoli è essenziale per garantire la certezza del diritto nell</w:t>
      </w:r>
      <w:r w:rsidR="00B17672">
        <w:rPr>
          <w:noProof/>
        </w:rPr>
        <w:t>'</w:t>
      </w:r>
      <w:r w:rsidRPr="00EC49A8">
        <w:rPr>
          <w:noProof/>
        </w:rPr>
        <w:t>applicazione della legislazione e per assicurare parità di condizioni tra i diversi costruttori.</w:t>
      </w:r>
    </w:p>
    <w:p w14:paraId="49638557" w14:textId="77777777" w:rsidR="00412E11" w:rsidRPr="00EC49A8" w:rsidRDefault="00412E11" w:rsidP="000C5C29">
      <w:pPr>
        <w:pStyle w:val="ManualHeading3"/>
        <w:rPr>
          <w:noProof/>
        </w:rPr>
      </w:pPr>
      <w:bookmarkStart w:id="110" w:name="_Toc514938048"/>
      <w:bookmarkStart w:id="111" w:name="_Toc520485047"/>
      <w:bookmarkStart w:id="112" w:name="_Toc160804589"/>
      <w:bookmarkStart w:id="113" w:name="_Toc167220281"/>
      <w:bookmarkStart w:id="114" w:name="_Toc177549014"/>
      <w:r w:rsidRPr="00B17672">
        <w:rPr>
          <w:noProof/>
        </w:rPr>
        <w:t>2</w:t>
      </w:r>
      <w:r w:rsidRPr="00EC49A8">
        <w:rPr>
          <w:noProof/>
        </w:rPr>
        <w:t>.</w:t>
      </w:r>
      <w:r w:rsidRPr="00B17672">
        <w:rPr>
          <w:noProof/>
        </w:rPr>
        <w:t>2</w:t>
      </w:r>
      <w:r w:rsidRPr="00EC49A8">
        <w:rPr>
          <w:noProof/>
        </w:rPr>
        <w:t>.</w:t>
      </w:r>
      <w:r w:rsidRPr="00B17672">
        <w:rPr>
          <w:noProof/>
        </w:rPr>
        <w:t>3</w:t>
      </w:r>
      <w:r w:rsidRPr="00EC49A8">
        <w:rPr>
          <w:noProof/>
        </w:rPr>
        <w:t>.</w:t>
      </w:r>
      <w:r w:rsidRPr="00EC49A8">
        <w:rPr>
          <w:noProof/>
        </w:rPr>
        <w:tab/>
        <w:t>Stima e giustificazione del rapporto costo/efficacia dei controlli (rapporto tra costi del controllo e valore dei fondi gestiti) e valutazione dei livelli di rischio di errore previsti (al pagamento e alla chiusura)</w:t>
      </w:r>
      <w:bookmarkEnd w:id="110"/>
      <w:bookmarkEnd w:id="111"/>
      <w:bookmarkEnd w:id="112"/>
      <w:bookmarkEnd w:id="113"/>
      <w:bookmarkEnd w:id="114"/>
      <w:r w:rsidRPr="00EC49A8">
        <w:rPr>
          <w:noProof/>
        </w:rPr>
        <w:t xml:space="preserve"> </w:t>
      </w:r>
    </w:p>
    <w:p w14:paraId="09FF31AD" w14:textId="04683D73" w:rsidR="005E6675" w:rsidRPr="00EC49A8" w:rsidRDefault="005E6675" w:rsidP="005E6675">
      <w:pPr>
        <w:pStyle w:val="Text1"/>
        <w:pBdr>
          <w:top w:val="single" w:sz="4" w:space="1" w:color="auto"/>
          <w:left w:val="single" w:sz="4" w:space="4" w:color="auto"/>
          <w:bottom w:val="single" w:sz="4" w:space="1" w:color="auto"/>
          <w:right w:val="single" w:sz="4" w:space="4" w:color="auto"/>
        </w:pBdr>
        <w:rPr>
          <w:noProof/>
        </w:rPr>
      </w:pPr>
      <w:r w:rsidRPr="00EC49A8">
        <w:rPr>
          <w:noProof/>
        </w:rPr>
        <w:t>L</w:t>
      </w:r>
      <w:r w:rsidR="00B17672">
        <w:rPr>
          <w:noProof/>
        </w:rPr>
        <w:t>'</w:t>
      </w:r>
      <w:r w:rsidRPr="00EC49A8">
        <w:rPr>
          <w:noProof/>
        </w:rPr>
        <w:t>iniziativa non comporta nuovi controlli/rischi significativi che non siano coperti da un quadro di controllo interno già esistente. Non è prevista alcuna misura specifica oltre all</w:t>
      </w:r>
      <w:r w:rsidR="00B17672">
        <w:rPr>
          <w:noProof/>
        </w:rPr>
        <w:t>'</w:t>
      </w:r>
      <w:r w:rsidRPr="00EC49A8">
        <w:rPr>
          <w:noProof/>
        </w:rPr>
        <w:t>applicazione del regolamento finanziario.</w:t>
      </w:r>
    </w:p>
    <w:p w14:paraId="1E216FE0" w14:textId="77777777" w:rsidR="00412E11" w:rsidRPr="00EC49A8" w:rsidRDefault="00412E11" w:rsidP="000C5C29">
      <w:pPr>
        <w:pStyle w:val="ManualHeading2"/>
        <w:rPr>
          <w:bCs/>
          <w:noProof/>
          <w:szCs w:val="24"/>
        </w:rPr>
      </w:pPr>
      <w:bookmarkStart w:id="115" w:name="_Toc514938049"/>
      <w:bookmarkStart w:id="116" w:name="_Toc520485048"/>
      <w:bookmarkStart w:id="117" w:name="_Toc160804590"/>
      <w:bookmarkStart w:id="118" w:name="_Toc167220282"/>
      <w:bookmarkStart w:id="119" w:name="_Toc177549015"/>
      <w:r w:rsidRPr="00B17672">
        <w:rPr>
          <w:noProof/>
        </w:rPr>
        <w:t>2</w:t>
      </w:r>
      <w:r w:rsidRPr="00EC49A8">
        <w:rPr>
          <w:noProof/>
        </w:rPr>
        <w:t>.</w:t>
      </w:r>
      <w:r w:rsidRPr="00B17672">
        <w:rPr>
          <w:noProof/>
        </w:rPr>
        <w:t>3</w:t>
      </w:r>
      <w:r w:rsidRPr="00EC49A8">
        <w:rPr>
          <w:noProof/>
        </w:rPr>
        <w:t>.</w:t>
      </w:r>
      <w:r w:rsidRPr="00EC49A8">
        <w:rPr>
          <w:noProof/>
        </w:rPr>
        <w:tab/>
        <w:t>Misure di prevenzione delle frodi e delle irregolarità</w:t>
      </w:r>
      <w:bookmarkEnd w:id="115"/>
      <w:bookmarkEnd w:id="116"/>
      <w:bookmarkEnd w:id="117"/>
      <w:bookmarkEnd w:id="118"/>
      <w:bookmarkEnd w:id="119"/>
      <w:r w:rsidRPr="00EC49A8">
        <w:rPr>
          <w:noProof/>
        </w:rPr>
        <w:t xml:space="preserve"> </w:t>
      </w:r>
    </w:p>
    <w:p w14:paraId="03CD966E" w14:textId="6D87D938" w:rsidR="00412E11" w:rsidRPr="00EC49A8" w:rsidRDefault="00C4205D" w:rsidP="00846DEF">
      <w:pPr>
        <w:pStyle w:val="Text1"/>
        <w:pBdr>
          <w:top w:val="single" w:sz="4" w:space="1" w:color="auto"/>
          <w:left w:val="single" w:sz="4" w:space="4" w:color="auto"/>
          <w:bottom w:val="single" w:sz="4" w:space="1" w:color="auto"/>
          <w:right w:val="single" w:sz="4" w:space="4" w:color="auto"/>
        </w:pBdr>
        <w:rPr>
          <w:noProof/>
        </w:rPr>
      </w:pPr>
      <w:r w:rsidRPr="00EC49A8">
        <w:rPr>
          <w:noProof/>
        </w:rPr>
        <w:t>Oltre all</w:t>
      </w:r>
      <w:r w:rsidR="00B17672">
        <w:rPr>
          <w:noProof/>
        </w:rPr>
        <w:t>'</w:t>
      </w:r>
      <w:r w:rsidRPr="00EC49A8">
        <w:rPr>
          <w:noProof/>
        </w:rPr>
        <w:t>applicazione del regolamento finanziario per prevenire frodi e irregolarità, l</w:t>
      </w:r>
      <w:r w:rsidR="00B17672">
        <w:rPr>
          <w:noProof/>
        </w:rPr>
        <w:t>'</w:t>
      </w:r>
      <w:r w:rsidRPr="00EC49A8">
        <w:rPr>
          <w:noProof/>
        </w:rPr>
        <w:t>ulteriore flessibilità per adempiere gli obblighi di riduzione delle emissioni di CO</w:t>
      </w:r>
      <w:r w:rsidRPr="00B17672">
        <w:rPr>
          <w:noProof/>
          <w:vertAlign w:val="subscript"/>
        </w:rPr>
        <w:t>2</w:t>
      </w:r>
      <w:r w:rsidRPr="00EC49A8">
        <w:rPr>
          <w:noProof/>
        </w:rPr>
        <w:t xml:space="preserve"> introdotta dalla presente proposta sarà abbinata al monitoraggio e alla comunicazione di diverse serie di dati, come previsto dal regolamento (UE) </w:t>
      </w:r>
      <w:r w:rsidRPr="00B17672">
        <w:rPr>
          <w:noProof/>
        </w:rPr>
        <w:t>2019</w:t>
      </w:r>
      <w:r w:rsidRPr="00EC49A8">
        <w:rPr>
          <w:noProof/>
        </w:rPr>
        <w:t>/</w:t>
      </w:r>
      <w:r w:rsidRPr="00B17672">
        <w:rPr>
          <w:noProof/>
        </w:rPr>
        <w:t>631</w:t>
      </w:r>
      <w:r w:rsidRPr="00EC49A8">
        <w:rPr>
          <w:noProof/>
        </w:rPr>
        <w:t xml:space="preserve">. </w:t>
      </w:r>
    </w:p>
    <w:p w14:paraId="0110BA54" w14:textId="77777777" w:rsidR="00412E11" w:rsidRPr="00EC49A8" w:rsidRDefault="00412E11" w:rsidP="000C5C29">
      <w:pPr>
        <w:rPr>
          <w:noProof/>
        </w:rPr>
        <w:sectPr w:rsidR="00412E11" w:rsidRPr="00EC49A8" w:rsidSect="009F3D23">
          <w:pgSz w:w="11907" w:h="16840" w:code="9"/>
          <w:pgMar w:top="1134" w:right="1418" w:bottom="1134" w:left="1418" w:header="709" w:footer="709" w:gutter="0"/>
          <w:cols w:space="708"/>
          <w:docGrid w:linePitch="360"/>
        </w:sectPr>
      </w:pPr>
    </w:p>
    <w:p w14:paraId="79C8DD1D" w14:textId="77777777" w:rsidR="00412E11" w:rsidRPr="00EC49A8" w:rsidRDefault="00412E11" w:rsidP="000C5C29">
      <w:pPr>
        <w:pStyle w:val="ManualHeading1"/>
        <w:rPr>
          <w:bCs/>
          <w:noProof/>
          <w:szCs w:val="24"/>
        </w:rPr>
      </w:pPr>
      <w:bookmarkStart w:id="120" w:name="_Toc514938050"/>
      <w:bookmarkStart w:id="121" w:name="_Toc520485049"/>
      <w:bookmarkStart w:id="122" w:name="_Toc160804591"/>
      <w:bookmarkStart w:id="123" w:name="_Toc167220283"/>
      <w:bookmarkStart w:id="124" w:name="_Toc177549016"/>
      <w:r w:rsidRPr="00B17672">
        <w:rPr>
          <w:noProof/>
        </w:rPr>
        <w:t>3</w:t>
      </w:r>
      <w:r w:rsidRPr="00EC49A8">
        <w:rPr>
          <w:noProof/>
        </w:rPr>
        <w:t>.</w:t>
      </w:r>
      <w:r w:rsidRPr="00EC49A8">
        <w:rPr>
          <w:noProof/>
        </w:rPr>
        <w:tab/>
        <w:t>INCIDENZA FINANZIARIA PREVISTA DELLA PROPOSTA/INIZIATIVA</w:t>
      </w:r>
      <w:bookmarkEnd w:id="120"/>
      <w:bookmarkEnd w:id="121"/>
      <w:bookmarkEnd w:id="122"/>
      <w:bookmarkEnd w:id="123"/>
      <w:bookmarkEnd w:id="124"/>
      <w:r w:rsidRPr="00EC49A8">
        <w:rPr>
          <w:noProof/>
        </w:rPr>
        <w:t xml:space="preserve"> </w:t>
      </w:r>
    </w:p>
    <w:p w14:paraId="29D78F02" w14:textId="77777777" w:rsidR="00412E11" w:rsidRPr="00EC49A8" w:rsidRDefault="00412E11" w:rsidP="000C5C29">
      <w:pPr>
        <w:pStyle w:val="ManualHeading2"/>
        <w:rPr>
          <w:noProof/>
        </w:rPr>
      </w:pPr>
      <w:bookmarkStart w:id="125" w:name="_Toc514938051"/>
      <w:bookmarkStart w:id="126" w:name="_Toc520485050"/>
      <w:bookmarkStart w:id="127" w:name="_Toc160804592"/>
      <w:bookmarkStart w:id="128" w:name="_Toc167220284"/>
      <w:bookmarkStart w:id="129" w:name="_Toc177549017"/>
      <w:r w:rsidRPr="00B17672">
        <w:rPr>
          <w:noProof/>
        </w:rPr>
        <w:t>3</w:t>
      </w:r>
      <w:r w:rsidRPr="00EC49A8">
        <w:rPr>
          <w:noProof/>
        </w:rPr>
        <w:t>.</w:t>
      </w:r>
      <w:r w:rsidRPr="00B17672">
        <w:rPr>
          <w:noProof/>
        </w:rPr>
        <w:t>1</w:t>
      </w:r>
      <w:r w:rsidRPr="00EC49A8">
        <w:rPr>
          <w:noProof/>
        </w:rPr>
        <w:t>.</w:t>
      </w:r>
      <w:r w:rsidRPr="00EC49A8">
        <w:rPr>
          <w:noProof/>
        </w:rPr>
        <w:tab/>
        <w:t>Rubrica/rubriche del quadro finanziario pluriennale e linea/linee di bilancio di spesa interessate</w:t>
      </w:r>
      <w:bookmarkEnd w:id="125"/>
      <w:bookmarkEnd w:id="126"/>
      <w:bookmarkEnd w:id="127"/>
      <w:bookmarkEnd w:id="128"/>
      <w:bookmarkEnd w:id="129"/>
      <w:r w:rsidRPr="00EC49A8">
        <w:rPr>
          <w:noProof/>
        </w:rPr>
        <w:t xml:space="preserve"> </w:t>
      </w:r>
    </w:p>
    <w:p w14:paraId="4D960D47" w14:textId="6EEC7B03" w:rsidR="003955E9" w:rsidRPr="00EC49A8" w:rsidRDefault="00C053D3" w:rsidP="00C053D3">
      <w:pPr>
        <w:spacing w:after="60"/>
        <w:jc w:val="left"/>
        <w:rPr>
          <w:b/>
          <w:bCs/>
          <w:noProof/>
        </w:rPr>
      </w:pPr>
      <w:bookmarkStart w:id="130" w:name="_Hlk192070483"/>
      <w:r w:rsidRPr="00EC49A8">
        <w:rPr>
          <w:noProof/>
        </w:rPr>
        <w:t>Non sono necessarie risorse supplementari. L</w:t>
      </w:r>
      <w:r w:rsidR="00B17672">
        <w:rPr>
          <w:noProof/>
        </w:rPr>
        <w:t>'</w:t>
      </w:r>
      <w:r w:rsidRPr="00EC49A8">
        <w:rPr>
          <w:noProof/>
        </w:rPr>
        <w:t>iniziativa continuerà ad essere gestita dall</w:t>
      </w:r>
      <w:r w:rsidR="00B17672">
        <w:rPr>
          <w:noProof/>
        </w:rPr>
        <w:t>'</w:t>
      </w:r>
      <w:r w:rsidRPr="00EC49A8">
        <w:rPr>
          <w:noProof/>
        </w:rPr>
        <w:t>équipe attuale.</w:t>
      </w:r>
    </w:p>
    <w:bookmarkEnd w:id="130"/>
    <w:p w14:paraId="1088368F" w14:textId="77777777" w:rsidR="00412E11" w:rsidRPr="00EC49A8" w:rsidRDefault="00412E11" w:rsidP="000C5C29">
      <w:pPr>
        <w:pStyle w:val="ListBullet1"/>
        <w:rPr>
          <w:noProof/>
        </w:rPr>
      </w:pPr>
      <w:r w:rsidRPr="00EC49A8">
        <w:rPr>
          <w:noProof/>
        </w:rPr>
        <w:t xml:space="preserve">Linee di bilancio esistenti </w:t>
      </w:r>
    </w:p>
    <w:p w14:paraId="54A1D6A7" w14:textId="5D2A3B60" w:rsidR="00412E11" w:rsidRPr="00EC49A8" w:rsidRDefault="00412E11" w:rsidP="000C5C29">
      <w:pPr>
        <w:pStyle w:val="Text1"/>
        <w:rPr>
          <w:i/>
          <w:noProof/>
        </w:rPr>
      </w:pPr>
      <w:r w:rsidRPr="00EC49A8">
        <w:rPr>
          <w:i/>
          <w:noProof/>
          <w:u w:val="single"/>
        </w:rPr>
        <w:t>Secondo l</w:t>
      </w:r>
      <w:r w:rsidR="00B17672">
        <w:rPr>
          <w:i/>
          <w:noProof/>
          <w:u w:val="single"/>
        </w:rPr>
        <w:t>'</w:t>
      </w:r>
      <w:r w:rsidRPr="00EC49A8">
        <w:rPr>
          <w:i/>
          <w:noProof/>
          <w:u w:val="single"/>
        </w:rPr>
        <w:t>ordine</w:t>
      </w:r>
      <w:r w:rsidRPr="00EC49A8">
        <w:rPr>
          <w:i/>
          <w:noProof/>
        </w:rPr>
        <w:t xml:space="preserve"> delle rubriche del quadro finanziario pluriennale e delle linee di bilancio.</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E254F3" w:rsidRPr="00EC49A8" w14:paraId="74993DE9" w14:textId="77777777" w:rsidTr="000C5C29">
        <w:trPr>
          <w:jc w:val="center"/>
        </w:trPr>
        <w:tc>
          <w:tcPr>
            <w:tcW w:w="1092" w:type="dxa"/>
            <w:vMerge w:val="restart"/>
            <w:vAlign w:val="center"/>
          </w:tcPr>
          <w:p w14:paraId="5FB4A22D" w14:textId="77777777" w:rsidR="00412E11" w:rsidRPr="00EC49A8" w:rsidRDefault="00412E11" w:rsidP="000C5C29">
            <w:pPr>
              <w:spacing w:before="60" w:after="60"/>
              <w:jc w:val="center"/>
              <w:rPr>
                <w:noProof/>
              </w:rPr>
            </w:pPr>
            <w:r w:rsidRPr="00EC49A8">
              <w:rPr>
                <w:noProof/>
                <w:sz w:val="18"/>
              </w:rPr>
              <w:t>Rubrica del quadro finanziario pluriennale</w:t>
            </w:r>
          </w:p>
        </w:tc>
        <w:tc>
          <w:tcPr>
            <w:tcW w:w="4002" w:type="dxa"/>
            <w:vAlign w:val="center"/>
          </w:tcPr>
          <w:p w14:paraId="2FBE8C90" w14:textId="77777777" w:rsidR="00412E11" w:rsidRPr="00EC49A8" w:rsidRDefault="00412E11" w:rsidP="000C5C29">
            <w:pPr>
              <w:spacing w:before="60" w:after="60"/>
              <w:jc w:val="center"/>
              <w:rPr>
                <w:noProof/>
              </w:rPr>
            </w:pPr>
            <w:r w:rsidRPr="00EC49A8">
              <w:rPr>
                <w:noProof/>
                <w:sz w:val="20"/>
              </w:rPr>
              <w:t>Linea di bilancio</w:t>
            </w:r>
          </w:p>
        </w:tc>
        <w:tc>
          <w:tcPr>
            <w:tcW w:w="1092" w:type="dxa"/>
            <w:vAlign w:val="center"/>
          </w:tcPr>
          <w:p w14:paraId="3C233F96" w14:textId="77777777" w:rsidR="00412E11" w:rsidRPr="00EC49A8" w:rsidRDefault="00412E11" w:rsidP="000C5C29">
            <w:pPr>
              <w:spacing w:before="60" w:after="60"/>
              <w:jc w:val="center"/>
              <w:rPr>
                <w:noProof/>
              </w:rPr>
            </w:pPr>
            <w:r w:rsidRPr="00EC49A8">
              <w:rPr>
                <w:noProof/>
                <w:sz w:val="18"/>
              </w:rPr>
              <w:t>Natura della spesa</w:t>
            </w:r>
          </w:p>
        </w:tc>
        <w:tc>
          <w:tcPr>
            <w:tcW w:w="4487" w:type="dxa"/>
            <w:gridSpan w:val="4"/>
            <w:vAlign w:val="center"/>
          </w:tcPr>
          <w:p w14:paraId="2F4B3E13" w14:textId="77777777" w:rsidR="00412E11" w:rsidRPr="00EC49A8" w:rsidRDefault="00412E11" w:rsidP="000C5C29">
            <w:pPr>
              <w:spacing w:before="60" w:after="60"/>
              <w:jc w:val="center"/>
              <w:rPr>
                <w:noProof/>
              </w:rPr>
            </w:pPr>
            <w:r w:rsidRPr="00EC49A8">
              <w:rPr>
                <w:noProof/>
                <w:sz w:val="20"/>
              </w:rPr>
              <w:t xml:space="preserve">Partecipazione </w:t>
            </w:r>
          </w:p>
        </w:tc>
      </w:tr>
      <w:tr w:rsidR="00E254F3" w:rsidRPr="00EC49A8" w14:paraId="5274741F" w14:textId="77777777" w:rsidTr="000C5C29">
        <w:trPr>
          <w:cantSplit/>
          <w:jc w:val="center"/>
        </w:trPr>
        <w:tc>
          <w:tcPr>
            <w:tcW w:w="1092" w:type="dxa"/>
            <w:vMerge/>
            <w:vAlign w:val="center"/>
          </w:tcPr>
          <w:p w14:paraId="35E8F9C6" w14:textId="77777777" w:rsidR="00412E11" w:rsidRPr="00EC49A8" w:rsidRDefault="00412E11" w:rsidP="000C5C29">
            <w:pPr>
              <w:jc w:val="center"/>
              <w:rPr>
                <w:noProof/>
              </w:rPr>
            </w:pPr>
          </w:p>
        </w:tc>
        <w:tc>
          <w:tcPr>
            <w:tcW w:w="4002" w:type="dxa"/>
            <w:vAlign w:val="center"/>
          </w:tcPr>
          <w:p w14:paraId="45C2EA96" w14:textId="77777777" w:rsidR="00412E11" w:rsidRPr="00EC49A8" w:rsidRDefault="00412E11" w:rsidP="000C5C29">
            <w:pPr>
              <w:rPr>
                <w:noProof/>
              </w:rPr>
            </w:pPr>
            <w:r w:rsidRPr="00EC49A8">
              <w:rPr>
                <w:noProof/>
                <w:sz w:val="20"/>
              </w:rPr>
              <w:t xml:space="preserve">Numero </w:t>
            </w:r>
            <w:r w:rsidRPr="00EC49A8">
              <w:rPr>
                <w:noProof/>
              </w:rPr>
              <w:t xml:space="preserve"> </w:t>
            </w:r>
            <w:r w:rsidRPr="00EC49A8">
              <w:rPr>
                <w:noProof/>
              </w:rPr>
              <w:br/>
            </w:r>
          </w:p>
        </w:tc>
        <w:tc>
          <w:tcPr>
            <w:tcW w:w="1092" w:type="dxa"/>
            <w:vAlign w:val="center"/>
          </w:tcPr>
          <w:p w14:paraId="61AE452C" w14:textId="77777777" w:rsidR="00412E11" w:rsidRPr="00EC49A8" w:rsidRDefault="00412E11" w:rsidP="000C5C29">
            <w:pPr>
              <w:jc w:val="center"/>
              <w:rPr>
                <w:noProof/>
              </w:rPr>
            </w:pPr>
            <w:r w:rsidRPr="00EC49A8">
              <w:rPr>
                <w:noProof/>
                <w:sz w:val="18"/>
              </w:rPr>
              <w:t>Diss./Non diss</w:t>
            </w:r>
            <w:r w:rsidRPr="00EC49A8">
              <w:rPr>
                <w:rStyle w:val="FootnoteReference"/>
                <w:noProof/>
                <w:sz w:val="18"/>
              </w:rPr>
              <w:footnoteReference w:id="12"/>
            </w:r>
            <w:r w:rsidRPr="00EC49A8">
              <w:rPr>
                <w:noProof/>
              </w:rPr>
              <w:t>.</w:t>
            </w:r>
          </w:p>
        </w:tc>
        <w:tc>
          <w:tcPr>
            <w:tcW w:w="966" w:type="dxa"/>
            <w:vAlign w:val="center"/>
          </w:tcPr>
          <w:p w14:paraId="75A08A2A" w14:textId="77777777" w:rsidR="00412E11" w:rsidRPr="00EC49A8" w:rsidRDefault="00412E11" w:rsidP="000C5C29">
            <w:pPr>
              <w:jc w:val="center"/>
              <w:rPr>
                <w:b/>
                <w:noProof/>
                <w:sz w:val="18"/>
              </w:rPr>
            </w:pPr>
            <w:r w:rsidRPr="00EC49A8">
              <w:rPr>
                <w:noProof/>
                <w:sz w:val="18"/>
              </w:rPr>
              <w:t>di paesi EFTA</w:t>
            </w:r>
            <w:r w:rsidRPr="00EC49A8">
              <w:rPr>
                <w:rStyle w:val="FootnoteReference"/>
                <w:noProof/>
                <w:sz w:val="18"/>
              </w:rPr>
              <w:footnoteReference w:id="13"/>
            </w:r>
          </w:p>
        </w:tc>
        <w:tc>
          <w:tcPr>
            <w:tcW w:w="1092" w:type="dxa"/>
            <w:vAlign w:val="center"/>
          </w:tcPr>
          <w:p w14:paraId="2AE15DA7" w14:textId="77777777" w:rsidR="00412E11" w:rsidRPr="00EC49A8" w:rsidRDefault="00412E11" w:rsidP="000C5C29">
            <w:pPr>
              <w:jc w:val="center"/>
              <w:rPr>
                <w:noProof/>
                <w:sz w:val="18"/>
              </w:rPr>
            </w:pPr>
            <w:r w:rsidRPr="00EC49A8">
              <w:rPr>
                <w:noProof/>
                <w:sz w:val="18"/>
              </w:rPr>
              <w:t>di paesi candidati e potenziali candidati</w:t>
            </w:r>
            <w:r w:rsidRPr="00EC49A8">
              <w:rPr>
                <w:rStyle w:val="FootnoteReference"/>
                <w:noProof/>
                <w:sz w:val="18"/>
              </w:rPr>
              <w:footnoteReference w:id="14"/>
            </w:r>
          </w:p>
        </w:tc>
        <w:tc>
          <w:tcPr>
            <w:tcW w:w="966" w:type="dxa"/>
            <w:vAlign w:val="center"/>
          </w:tcPr>
          <w:p w14:paraId="22D294D4" w14:textId="77777777" w:rsidR="00412E11" w:rsidRPr="00EC49A8" w:rsidRDefault="00412E11" w:rsidP="000C5C29">
            <w:pPr>
              <w:jc w:val="center"/>
              <w:rPr>
                <w:noProof/>
                <w:sz w:val="18"/>
              </w:rPr>
            </w:pPr>
            <w:r w:rsidRPr="00EC49A8">
              <w:rPr>
                <w:noProof/>
                <w:sz w:val="18"/>
              </w:rPr>
              <w:t>di altri paesi terzi</w:t>
            </w:r>
          </w:p>
        </w:tc>
        <w:tc>
          <w:tcPr>
            <w:tcW w:w="1463" w:type="dxa"/>
            <w:vAlign w:val="center"/>
          </w:tcPr>
          <w:p w14:paraId="03A45599" w14:textId="77777777" w:rsidR="00412E11" w:rsidRPr="00EC49A8" w:rsidRDefault="00412E11" w:rsidP="000C5C29">
            <w:pPr>
              <w:jc w:val="center"/>
              <w:rPr>
                <w:noProof/>
              </w:rPr>
            </w:pPr>
            <w:r w:rsidRPr="00EC49A8">
              <w:rPr>
                <w:noProof/>
                <w:sz w:val="18"/>
              </w:rPr>
              <w:t>altre entrate con destinazione specifica</w:t>
            </w:r>
          </w:p>
        </w:tc>
      </w:tr>
      <w:tr w:rsidR="00E254F3" w:rsidRPr="00EC49A8" w14:paraId="1010E4D1" w14:textId="77777777" w:rsidTr="000C5C29">
        <w:trPr>
          <w:jc w:val="center"/>
        </w:trPr>
        <w:tc>
          <w:tcPr>
            <w:tcW w:w="1092" w:type="dxa"/>
            <w:vAlign w:val="center"/>
          </w:tcPr>
          <w:p w14:paraId="5897A32D" w14:textId="77777777" w:rsidR="00412E11" w:rsidRPr="00EC49A8" w:rsidRDefault="00412E11" w:rsidP="000C5C29">
            <w:pPr>
              <w:jc w:val="center"/>
              <w:rPr>
                <w:noProof/>
              </w:rPr>
            </w:pPr>
          </w:p>
        </w:tc>
        <w:tc>
          <w:tcPr>
            <w:tcW w:w="4002" w:type="dxa"/>
            <w:vAlign w:val="center"/>
          </w:tcPr>
          <w:p w14:paraId="4C5BCDFD" w14:textId="77777777" w:rsidR="00412E11" w:rsidRPr="00EC49A8" w:rsidRDefault="00412E11" w:rsidP="000C5C29">
            <w:pPr>
              <w:spacing w:before="60"/>
              <w:rPr>
                <w:noProof/>
              </w:rPr>
            </w:pPr>
            <w:r w:rsidRPr="00EC49A8">
              <w:rPr>
                <w:noProof/>
                <w:sz w:val="22"/>
              </w:rPr>
              <w:t>[XX.YY.YY.YY]</w:t>
            </w:r>
          </w:p>
          <w:p w14:paraId="78FA382D" w14:textId="77777777" w:rsidR="00412E11" w:rsidRPr="00EC49A8" w:rsidRDefault="00412E11" w:rsidP="000C5C29">
            <w:pPr>
              <w:spacing w:after="60"/>
              <w:rPr>
                <w:noProof/>
              </w:rPr>
            </w:pPr>
          </w:p>
        </w:tc>
        <w:tc>
          <w:tcPr>
            <w:tcW w:w="1092" w:type="dxa"/>
            <w:vAlign w:val="center"/>
          </w:tcPr>
          <w:p w14:paraId="324A0B50" w14:textId="77777777" w:rsidR="00412E11" w:rsidRPr="00EC49A8" w:rsidRDefault="00412E11" w:rsidP="000C5C29">
            <w:pPr>
              <w:jc w:val="center"/>
              <w:rPr>
                <w:noProof/>
              </w:rPr>
            </w:pPr>
            <w:r w:rsidRPr="00EC49A8">
              <w:rPr>
                <w:noProof/>
                <w:sz w:val="22"/>
              </w:rPr>
              <w:t>Diss./Non diss.</w:t>
            </w:r>
          </w:p>
        </w:tc>
        <w:tc>
          <w:tcPr>
            <w:tcW w:w="966" w:type="dxa"/>
            <w:vAlign w:val="center"/>
          </w:tcPr>
          <w:p w14:paraId="5DA0C45E" w14:textId="77777777" w:rsidR="00412E11" w:rsidRPr="00EC49A8" w:rsidRDefault="00412E11" w:rsidP="000C5C29">
            <w:pPr>
              <w:jc w:val="center"/>
              <w:rPr>
                <w:noProof/>
                <w:sz w:val="20"/>
                <w:szCs w:val="20"/>
              </w:rPr>
            </w:pPr>
            <w:r w:rsidRPr="00EC49A8">
              <w:rPr>
                <w:noProof/>
                <w:sz w:val="20"/>
              </w:rPr>
              <w:t>SÌ/NO</w:t>
            </w:r>
          </w:p>
        </w:tc>
        <w:tc>
          <w:tcPr>
            <w:tcW w:w="1092" w:type="dxa"/>
            <w:vAlign w:val="center"/>
          </w:tcPr>
          <w:p w14:paraId="7B9A2ED9" w14:textId="77777777" w:rsidR="00412E11" w:rsidRPr="00EC49A8" w:rsidRDefault="00412E11" w:rsidP="000C5C29">
            <w:pPr>
              <w:jc w:val="center"/>
              <w:rPr>
                <w:noProof/>
                <w:sz w:val="20"/>
                <w:szCs w:val="20"/>
              </w:rPr>
            </w:pPr>
            <w:r w:rsidRPr="00EC49A8">
              <w:rPr>
                <w:noProof/>
                <w:sz w:val="20"/>
              </w:rPr>
              <w:t>SÌ/NO</w:t>
            </w:r>
          </w:p>
        </w:tc>
        <w:tc>
          <w:tcPr>
            <w:tcW w:w="966" w:type="dxa"/>
            <w:vAlign w:val="center"/>
          </w:tcPr>
          <w:p w14:paraId="65043FD4" w14:textId="77777777" w:rsidR="00412E11" w:rsidRPr="00EC49A8" w:rsidRDefault="00412E11" w:rsidP="000C5C29">
            <w:pPr>
              <w:jc w:val="center"/>
              <w:rPr>
                <w:noProof/>
                <w:sz w:val="20"/>
                <w:szCs w:val="20"/>
              </w:rPr>
            </w:pPr>
            <w:r w:rsidRPr="00EC49A8">
              <w:rPr>
                <w:noProof/>
                <w:sz w:val="20"/>
              </w:rPr>
              <w:t>SÌ/NO</w:t>
            </w:r>
          </w:p>
        </w:tc>
        <w:tc>
          <w:tcPr>
            <w:tcW w:w="1463" w:type="dxa"/>
            <w:vAlign w:val="center"/>
          </w:tcPr>
          <w:p w14:paraId="6F1191BD" w14:textId="77777777" w:rsidR="00412E11" w:rsidRPr="00EC49A8" w:rsidRDefault="00412E11" w:rsidP="000C5C29">
            <w:pPr>
              <w:jc w:val="center"/>
              <w:rPr>
                <w:noProof/>
                <w:sz w:val="20"/>
                <w:szCs w:val="20"/>
              </w:rPr>
            </w:pPr>
            <w:r w:rsidRPr="00EC49A8">
              <w:rPr>
                <w:noProof/>
                <w:sz w:val="20"/>
              </w:rPr>
              <w:t>SÌ/NO</w:t>
            </w:r>
          </w:p>
        </w:tc>
      </w:tr>
      <w:tr w:rsidR="00E254F3" w:rsidRPr="00EC49A8" w14:paraId="4D856FDE" w14:textId="77777777" w:rsidTr="000C5C29">
        <w:trPr>
          <w:jc w:val="center"/>
        </w:trPr>
        <w:tc>
          <w:tcPr>
            <w:tcW w:w="1092" w:type="dxa"/>
            <w:vAlign w:val="center"/>
          </w:tcPr>
          <w:p w14:paraId="7326E1CA" w14:textId="77777777" w:rsidR="00412E11" w:rsidRPr="00EC49A8" w:rsidRDefault="00412E11" w:rsidP="000C5C29">
            <w:pPr>
              <w:jc w:val="center"/>
              <w:rPr>
                <w:noProof/>
              </w:rPr>
            </w:pPr>
          </w:p>
        </w:tc>
        <w:tc>
          <w:tcPr>
            <w:tcW w:w="4002" w:type="dxa"/>
            <w:vAlign w:val="center"/>
          </w:tcPr>
          <w:p w14:paraId="35B1079B" w14:textId="77777777" w:rsidR="00412E11" w:rsidRPr="00EC49A8" w:rsidRDefault="00412E11" w:rsidP="000C5C29">
            <w:pPr>
              <w:spacing w:before="60"/>
              <w:rPr>
                <w:noProof/>
              </w:rPr>
            </w:pPr>
            <w:r w:rsidRPr="00EC49A8">
              <w:rPr>
                <w:noProof/>
                <w:sz w:val="22"/>
              </w:rPr>
              <w:t>[XX.YY.YY.YY]</w:t>
            </w:r>
          </w:p>
          <w:p w14:paraId="637D9DA6" w14:textId="77777777" w:rsidR="00412E11" w:rsidRPr="00EC49A8" w:rsidRDefault="00412E11" w:rsidP="000C5C29">
            <w:pPr>
              <w:spacing w:after="60"/>
              <w:rPr>
                <w:noProof/>
              </w:rPr>
            </w:pPr>
          </w:p>
        </w:tc>
        <w:tc>
          <w:tcPr>
            <w:tcW w:w="1092" w:type="dxa"/>
            <w:vAlign w:val="center"/>
          </w:tcPr>
          <w:p w14:paraId="6515C910" w14:textId="77777777" w:rsidR="00412E11" w:rsidRPr="00EC49A8" w:rsidRDefault="00412E11" w:rsidP="000C5C29">
            <w:pPr>
              <w:jc w:val="center"/>
              <w:rPr>
                <w:noProof/>
              </w:rPr>
            </w:pPr>
            <w:r w:rsidRPr="00EC49A8">
              <w:rPr>
                <w:noProof/>
                <w:sz w:val="22"/>
              </w:rPr>
              <w:t>Diss./Non diss.</w:t>
            </w:r>
          </w:p>
        </w:tc>
        <w:tc>
          <w:tcPr>
            <w:tcW w:w="966" w:type="dxa"/>
            <w:vAlign w:val="center"/>
          </w:tcPr>
          <w:p w14:paraId="0FCF49E6" w14:textId="77777777" w:rsidR="00412E11" w:rsidRPr="00EC49A8" w:rsidRDefault="00412E11" w:rsidP="000C5C29">
            <w:pPr>
              <w:jc w:val="center"/>
              <w:rPr>
                <w:noProof/>
                <w:sz w:val="20"/>
                <w:szCs w:val="20"/>
              </w:rPr>
            </w:pPr>
            <w:r w:rsidRPr="00EC49A8">
              <w:rPr>
                <w:noProof/>
                <w:sz w:val="20"/>
              </w:rPr>
              <w:t>SÌ/NO</w:t>
            </w:r>
          </w:p>
        </w:tc>
        <w:tc>
          <w:tcPr>
            <w:tcW w:w="1092" w:type="dxa"/>
            <w:vAlign w:val="center"/>
          </w:tcPr>
          <w:p w14:paraId="1E52C34A" w14:textId="77777777" w:rsidR="00412E11" w:rsidRPr="00EC49A8" w:rsidRDefault="00412E11" w:rsidP="000C5C29">
            <w:pPr>
              <w:jc w:val="center"/>
              <w:rPr>
                <w:noProof/>
                <w:sz w:val="20"/>
                <w:szCs w:val="20"/>
              </w:rPr>
            </w:pPr>
            <w:r w:rsidRPr="00EC49A8">
              <w:rPr>
                <w:noProof/>
                <w:sz w:val="20"/>
              </w:rPr>
              <w:t>SÌ/NO</w:t>
            </w:r>
          </w:p>
        </w:tc>
        <w:tc>
          <w:tcPr>
            <w:tcW w:w="966" w:type="dxa"/>
            <w:vAlign w:val="center"/>
          </w:tcPr>
          <w:p w14:paraId="681AB357" w14:textId="77777777" w:rsidR="00412E11" w:rsidRPr="00EC49A8" w:rsidRDefault="00412E11" w:rsidP="000C5C29">
            <w:pPr>
              <w:jc w:val="center"/>
              <w:rPr>
                <w:noProof/>
                <w:sz w:val="20"/>
                <w:szCs w:val="20"/>
              </w:rPr>
            </w:pPr>
            <w:r w:rsidRPr="00EC49A8">
              <w:rPr>
                <w:noProof/>
                <w:sz w:val="20"/>
              </w:rPr>
              <w:t>SÌ/NO</w:t>
            </w:r>
          </w:p>
        </w:tc>
        <w:tc>
          <w:tcPr>
            <w:tcW w:w="1463" w:type="dxa"/>
            <w:vAlign w:val="center"/>
          </w:tcPr>
          <w:p w14:paraId="635EF90E" w14:textId="77777777" w:rsidR="00412E11" w:rsidRPr="00EC49A8" w:rsidRDefault="00412E11" w:rsidP="000C5C29">
            <w:pPr>
              <w:jc w:val="center"/>
              <w:rPr>
                <w:noProof/>
                <w:sz w:val="20"/>
                <w:szCs w:val="20"/>
              </w:rPr>
            </w:pPr>
            <w:r w:rsidRPr="00EC49A8">
              <w:rPr>
                <w:noProof/>
                <w:sz w:val="20"/>
              </w:rPr>
              <w:t>SÌ/NO</w:t>
            </w:r>
          </w:p>
        </w:tc>
      </w:tr>
      <w:tr w:rsidR="00E254F3" w:rsidRPr="00EC49A8" w14:paraId="035C521A" w14:textId="77777777" w:rsidTr="000C5C29">
        <w:trPr>
          <w:jc w:val="center"/>
        </w:trPr>
        <w:tc>
          <w:tcPr>
            <w:tcW w:w="1092" w:type="dxa"/>
            <w:vAlign w:val="center"/>
          </w:tcPr>
          <w:p w14:paraId="13217310" w14:textId="77777777" w:rsidR="00412E11" w:rsidRPr="00EC49A8" w:rsidRDefault="00412E11" w:rsidP="000C5C29">
            <w:pPr>
              <w:jc w:val="center"/>
              <w:rPr>
                <w:noProof/>
              </w:rPr>
            </w:pPr>
          </w:p>
        </w:tc>
        <w:tc>
          <w:tcPr>
            <w:tcW w:w="4002" w:type="dxa"/>
            <w:vAlign w:val="center"/>
          </w:tcPr>
          <w:p w14:paraId="0547F75F" w14:textId="77777777" w:rsidR="00412E11" w:rsidRPr="00EC49A8" w:rsidRDefault="00412E11" w:rsidP="000C5C29">
            <w:pPr>
              <w:spacing w:before="60"/>
              <w:rPr>
                <w:noProof/>
              </w:rPr>
            </w:pPr>
            <w:r w:rsidRPr="00EC49A8">
              <w:rPr>
                <w:noProof/>
                <w:sz w:val="22"/>
              </w:rPr>
              <w:t>[XX.YY.YY.YY]</w:t>
            </w:r>
          </w:p>
          <w:p w14:paraId="34E9A0B9" w14:textId="77777777" w:rsidR="00412E11" w:rsidRPr="00EC49A8" w:rsidRDefault="00412E11" w:rsidP="000C5C29">
            <w:pPr>
              <w:spacing w:after="60"/>
              <w:rPr>
                <w:noProof/>
              </w:rPr>
            </w:pPr>
          </w:p>
        </w:tc>
        <w:tc>
          <w:tcPr>
            <w:tcW w:w="1092" w:type="dxa"/>
            <w:vAlign w:val="center"/>
          </w:tcPr>
          <w:p w14:paraId="01C7AF4E" w14:textId="77777777" w:rsidR="00412E11" w:rsidRPr="00EC49A8" w:rsidRDefault="00412E11" w:rsidP="000C5C29">
            <w:pPr>
              <w:jc w:val="center"/>
              <w:rPr>
                <w:noProof/>
              </w:rPr>
            </w:pPr>
            <w:r w:rsidRPr="00EC49A8">
              <w:rPr>
                <w:noProof/>
                <w:sz w:val="22"/>
              </w:rPr>
              <w:t>Diss./Non diss.</w:t>
            </w:r>
          </w:p>
        </w:tc>
        <w:tc>
          <w:tcPr>
            <w:tcW w:w="966" w:type="dxa"/>
            <w:vAlign w:val="center"/>
          </w:tcPr>
          <w:p w14:paraId="649CEB7F" w14:textId="77777777" w:rsidR="00412E11" w:rsidRPr="00EC49A8" w:rsidRDefault="00412E11" w:rsidP="000C5C29">
            <w:pPr>
              <w:jc w:val="center"/>
              <w:rPr>
                <w:noProof/>
                <w:sz w:val="20"/>
                <w:szCs w:val="20"/>
              </w:rPr>
            </w:pPr>
            <w:r w:rsidRPr="00EC49A8">
              <w:rPr>
                <w:noProof/>
                <w:sz w:val="20"/>
              </w:rPr>
              <w:t>SÌ/NO</w:t>
            </w:r>
          </w:p>
        </w:tc>
        <w:tc>
          <w:tcPr>
            <w:tcW w:w="1092" w:type="dxa"/>
            <w:vAlign w:val="center"/>
          </w:tcPr>
          <w:p w14:paraId="73034EC3" w14:textId="77777777" w:rsidR="00412E11" w:rsidRPr="00EC49A8" w:rsidRDefault="00412E11" w:rsidP="000C5C29">
            <w:pPr>
              <w:jc w:val="center"/>
              <w:rPr>
                <w:noProof/>
                <w:sz w:val="20"/>
                <w:szCs w:val="20"/>
              </w:rPr>
            </w:pPr>
            <w:r w:rsidRPr="00EC49A8">
              <w:rPr>
                <w:noProof/>
                <w:sz w:val="20"/>
              </w:rPr>
              <w:t>SÌ/NO</w:t>
            </w:r>
          </w:p>
        </w:tc>
        <w:tc>
          <w:tcPr>
            <w:tcW w:w="966" w:type="dxa"/>
            <w:vAlign w:val="center"/>
          </w:tcPr>
          <w:p w14:paraId="60F187B3" w14:textId="77777777" w:rsidR="00412E11" w:rsidRPr="00EC49A8" w:rsidRDefault="00412E11" w:rsidP="000C5C29">
            <w:pPr>
              <w:jc w:val="center"/>
              <w:rPr>
                <w:noProof/>
                <w:sz w:val="20"/>
                <w:szCs w:val="20"/>
              </w:rPr>
            </w:pPr>
            <w:r w:rsidRPr="00EC49A8">
              <w:rPr>
                <w:noProof/>
                <w:sz w:val="20"/>
              </w:rPr>
              <w:t>SÌ/NO</w:t>
            </w:r>
          </w:p>
        </w:tc>
        <w:tc>
          <w:tcPr>
            <w:tcW w:w="1463" w:type="dxa"/>
            <w:vAlign w:val="center"/>
          </w:tcPr>
          <w:p w14:paraId="2CEFB76B" w14:textId="77777777" w:rsidR="00412E11" w:rsidRPr="00EC49A8" w:rsidRDefault="00412E11" w:rsidP="000C5C29">
            <w:pPr>
              <w:jc w:val="center"/>
              <w:rPr>
                <w:noProof/>
                <w:sz w:val="20"/>
                <w:szCs w:val="20"/>
              </w:rPr>
            </w:pPr>
            <w:r w:rsidRPr="00EC49A8">
              <w:rPr>
                <w:noProof/>
                <w:sz w:val="20"/>
              </w:rPr>
              <w:t>SÌ/NO</w:t>
            </w:r>
          </w:p>
        </w:tc>
      </w:tr>
    </w:tbl>
    <w:p w14:paraId="07C654D7" w14:textId="77777777" w:rsidR="00412E11" w:rsidRPr="00EC49A8" w:rsidRDefault="00412E11" w:rsidP="000C5C29">
      <w:pPr>
        <w:pStyle w:val="ListBullet1"/>
        <w:rPr>
          <w:noProof/>
        </w:rPr>
      </w:pPr>
      <w:r w:rsidRPr="00EC49A8">
        <w:rPr>
          <w:noProof/>
        </w:rPr>
        <w:t xml:space="preserve">Nuove linee di bilancio di cui è chiesta la creazione </w:t>
      </w:r>
    </w:p>
    <w:p w14:paraId="5EB161B8" w14:textId="58787F6F" w:rsidR="00412E11" w:rsidRPr="00EC49A8" w:rsidRDefault="00412E11" w:rsidP="000C5C29">
      <w:pPr>
        <w:pStyle w:val="Text1"/>
        <w:rPr>
          <w:i/>
          <w:noProof/>
          <w:sz w:val="20"/>
        </w:rPr>
      </w:pPr>
      <w:r w:rsidRPr="00EC49A8">
        <w:rPr>
          <w:i/>
          <w:noProof/>
          <w:u w:val="single"/>
        </w:rPr>
        <w:t>Secondo l</w:t>
      </w:r>
      <w:r w:rsidR="00B17672">
        <w:rPr>
          <w:i/>
          <w:noProof/>
          <w:u w:val="single"/>
        </w:rPr>
        <w:t>'</w:t>
      </w:r>
      <w:r w:rsidRPr="00EC49A8">
        <w:rPr>
          <w:i/>
          <w:noProof/>
          <w:u w:val="single"/>
        </w:rPr>
        <w:t>ordine</w:t>
      </w:r>
      <w:r w:rsidRPr="00EC49A8">
        <w:rPr>
          <w:i/>
          <w:noProof/>
        </w:rPr>
        <w:t xml:space="preserve"> delle rubriche del quadro finanziario pluriennale e delle linee di bilancio.</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E254F3" w:rsidRPr="00EC49A8" w14:paraId="2FF15441" w14:textId="77777777" w:rsidTr="000C5C29">
        <w:trPr>
          <w:jc w:val="center"/>
        </w:trPr>
        <w:tc>
          <w:tcPr>
            <w:tcW w:w="1080" w:type="dxa"/>
            <w:vMerge w:val="restart"/>
            <w:vAlign w:val="center"/>
          </w:tcPr>
          <w:p w14:paraId="55FEB0BA" w14:textId="77777777" w:rsidR="00412E11" w:rsidRPr="00EC49A8" w:rsidRDefault="00412E11" w:rsidP="000C5C29">
            <w:pPr>
              <w:spacing w:before="60" w:after="60"/>
              <w:jc w:val="center"/>
              <w:rPr>
                <w:noProof/>
                <w:sz w:val="18"/>
                <w:szCs w:val="18"/>
              </w:rPr>
            </w:pPr>
            <w:r w:rsidRPr="00EC49A8">
              <w:rPr>
                <w:noProof/>
                <w:sz w:val="18"/>
              </w:rPr>
              <w:t>Rubrica del quadro finanziario pluriennale</w:t>
            </w:r>
          </w:p>
        </w:tc>
        <w:tc>
          <w:tcPr>
            <w:tcW w:w="3960" w:type="dxa"/>
            <w:vAlign w:val="center"/>
          </w:tcPr>
          <w:p w14:paraId="26CEA417" w14:textId="77777777" w:rsidR="00412E11" w:rsidRPr="00EC49A8" w:rsidRDefault="00412E11" w:rsidP="000C5C29">
            <w:pPr>
              <w:spacing w:before="60" w:after="60"/>
              <w:jc w:val="center"/>
              <w:rPr>
                <w:noProof/>
              </w:rPr>
            </w:pPr>
            <w:r w:rsidRPr="00EC49A8">
              <w:rPr>
                <w:noProof/>
                <w:sz w:val="20"/>
              </w:rPr>
              <w:t>Linea di bilancio</w:t>
            </w:r>
          </w:p>
        </w:tc>
        <w:tc>
          <w:tcPr>
            <w:tcW w:w="1080" w:type="dxa"/>
            <w:vAlign w:val="center"/>
          </w:tcPr>
          <w:p w14:paraId="6079DBFF" w14:textId="77777777" w:rsidR="00412E11" w:rsidRPr="00EC49A8" w:rsidRDefault="00412E11" w:rsidP="000C5C29">
            <w:pPr>
              <w:spacing w:before="60" w:after="60"/>
              <w:jc w:val="center"/>
              <w:rPr>
                <w:noProof/>
              </w:rPr>
            </w:pPr>
            <w:r w:rsidRPr="00EC49A8">
              <w:rPr>
                <w:noProof/>
                <w:sz w:val="18"/>
              </w:rPr>
              <w:t>Natura della spesa</w:t>
            </w:r>
          </w:p>
        </w:tc>
        <w:tc>
          <w:tcPr>
            <w:tcW w:w="4440" w:type="dxa"/>
            <w:gridSpan w:val="4"/>
            <w:vAlign w:val="center"/>
          </w:tcPr>
          <w:p w14:paraId="3DF9B714" w14:textId="77777777" w:rsidR="00412E11" w:rsidRPr="00EC49A8" w:rsidRDefault="00412E11" w:rsidP="000C5C29">
            <w:pPr>
              <w:spacing w:before="60" w:after="60"/>
              <w:jc w:val="center"/>
              <w:rPr>
                <w:noProof/>
              </w:rPr>
            </w:pPr>
            <w:r w:rsidRPr="00EC49A8">
              <w:rPr>
                <w:noProof/>
                <w:sz w:val="20"/>
              </w:rPr>
              <w:t xml:space="preserve">Partecipazione </w:t>
            </w:r>
          </w:p>
        </w:tc>
      </w:tr>
      <w:tr w:rsidR="00E254F3" w:rsidRPr="00EC49A8" w14:paraId="6DA3057F" w14:textId="77777777" w:rsidTr="000C5C29">
        <w:trPr>
          <w:cantSplit/>
          <w:jc w:val="center"/>
        </w:trPr>
        <w:tc>
          <w:tcPr>
            <w:tcW w:w="1080" w:type="dxa"/>
            <w:vMerge/>
            <w:vAlign w:val="center"/>
          </w:tcPr>
          <w:p w14:paraId="583A2138" w14:textId="77777777" w:rsidR="00412E11" w:rsidRPr="00EC49A8" w:rsidRDefault="00412E11" w:rsidP="000C5C29">
            <w:pPr>
              <w:jc w:val="center"/>
              <w:rPr>
                <w:noProof/>
              </w:rPr>
            </w:pPr>
          </w:p>
        </w:tc>
        <w:tc>
          <w:tcPr>
            <w:tcW w:w="3960" w:type="dxa"/>
            <w:vAlign w:val="center"/>
          </w:tcPr>
          <w:p w14:paraId="491958DB" w14:textId="77777777" w:rsidR="00412E11" w:rsidRPr="00EC49A8" w:rsidRDefault="00412E11" w:rsidP="000C5C29">
            <w:pPr>
              <w:rPr>
                <w:noProof/>
              </w:rPr>
            </w:pPr>
            <w:r w:rsidRPr="00EC49A8">
              <w:rPr>
                <w:noProof/>
                <w:sz w:val="20"/>
              </w:rPr>
              <w:t xml:space="preserve">Numero </w:t>
            </w:r>
            <w:r w:rsidRPr="00EC49A8">
              <w:rPr>
                <w:noProof/>
              </w:rPr>
              <w:t xml:space="preserve"> </w:t>
            </w:r>
            <w:r w:rsidRPr="00EC49A8">
              <w:rPr>
                <w:noProof/>
              </w:rPr>
              <w:br/>
            </w:r>
          </w:p>
        </w:tc>
        <w:tc>
          <w:tcPr>
            <w:tcW w:w="1080" w:type="dxa"/>
            <w:vAlign w:val="center"/>
          </w:tcPr>
          <w:p w14:paraId="6C729888" w14:textId="77777777" w:rsidR="00412E11" w:rsidRPr="00EC49A8" w:rsidRDefault="00412E11" w:rsidP="000C5C29">
            <w:pPr>
              <w:jc w:val="center"/>
              <w:rPr>
                <w:noProof/>
              </w:rPr>
            </w:pPr>
            <w:r w:rsidRPr="00EC49A8">
              <w:rPr>
                <w:noProof/>
                <w:sz w:val="18"/>
              </w:rPr>
              <w:t>Diss./Non diss.</w:t>
            </w:r>
          </w:p>
        </w:tc>
        <w:tc>
          <w:tcPr>
            <w:tcW w:w="956" w:type="dxa"/>
            <w:vAlign w:val="center"/>
          </w:tcPr>
          <w:p w14:paraId="0352847C" w14:textId="77777777" w:rsidR="00412E11" w:rsidRPr="00EC49A8" w:rsidRDefault="00412E11" w:rsidP="000C5C29">
            <w:pPr>
              <w:jc w:val="center"/>
              <w:rPr>
                <w:noProof/>
                <w:sz w:val="18"/>
              </w:rPr>
            </w:pPr>
            <w:r w:rsidRPr="00EC49A8">
              <w:rPr>
                <w:noProof/>
                <w:sz w:val="18"/>
              </w:rPr>
              <w:t>di paesi EFTA</w:t>
            </w:r>
          </w:p>
        </w:tc>
        <w:tc>
          <w:tcPr>
            <w:tcW w:w="1080" w:type="dxa"/>
            <w:vAlign w:val="center"/>
          </w:tcPr>
          <w:p w14:paraId="0FB12BE4" w14:textId="77777777" w:rsidR="00412E11" w:rsidRPr="00EC49A8" w:rsidRDefault="00412E11" w:rsidP="000C5C29">
            <w:pPr>
              <w:jc w:val="center"/>
              <w:rPr>
                <w:noProof/>
                <w:sz w:val="18"/>
              </w:rPr>
            </w:pPr>
            <w:r w:rsidRPr="00EC49A8">
              <w:rPr>
                <w:noProof/>
                <w:sz w:val="18"/>
              </w:rPr>
              <w:t>di paesi candidati e potenziali candidati</w:t>
            </w:r>
          </w:p>
        </w:tc>
        <w:tc>
          <w:tcPr>
            <w:tcW w:w="956" w:type="dxa"/>
            <w:vAlign w:val="center"/>
          </w:tcPr>
          <w:p w14:paraId="1AED8F11" w14:textId="77777777" w:rsidR="00412E11" w:rsidRPr="00EC49A8" w:rsidRDefault="00412E11" w:rsidP="000C5C29">
            <w:pPr>
              <w:jc w:val="center"/>
              <w:rPr>
                <w:noProof/>
                <w:sz w:val="18"/>
              </w:rPr>
            </w:pPr>
            <w:r w:rsidRPr="00EC49A8">
              <w:rPr>
                <w:noProof/>
                <w:sz w:val="18"/>
              </w:rPr>
              <w:t>di altri paesi terzi</w:t>
            </w:r>
          </w:p>
        </w:tc>
        <w:tc>
          <w:tcPr>
            <w:tcW w:w="1448" w:type="dxa"/>
            <w:vAlign w:val="center"/>
          </w:tcPr>
          <w:p w14:paraId="2696435D" w14:textId="77777777" w:rsidR="00412E11" w:rsidRPr="00EC49A8" w:rsidRDefault="00412E11" w:rsidP="000C5C29">
            <w:pPr>
              <w:jc w:val="center"/>
              <w:rPr>
                <w:noProof/>
              </w:rPr>
            </w:pPr>
            <w:r w:rsidRPr="00EC49A8">
              <w:rPr>
                <w:noProof/>
                <w:sz w:val="18"/>
              </w:rPr>
              <w:t xml:space="preserve">altre entrate con destinazione specifica </w:t>
            </w:r>
          </w:p>
        </w:tc>
      </w:tr>
      <w:tr w:rsidR="00E254F3" w:rsidRPr="00EC49A8" w14:paraId="5C351EC7" w14:textId="77777777" w:rsidTr="000C5C29">
        <w:trPr>
          <w:cantSplit/>
          <w:jc w:val="center"/>
        </w:trPr>
        <w:tc>
          <w:tcPr>
            <w:tcW w:w="1080" w:type="dxa"/>
            <w:vAlign w:val="center"/>
          </w:tcPr>
          <w:p w14:paraId="2216DA9D" w14:textId="77777777" w:rsidR="00412E11" w:rsidRPr="00EC49A8" w:rsidRDefault="00412E11" w:rsidP="000C5C29">
            <w:pPr>
              <w:jc w:val="center"/>
              <w:rPr>
                <w:noProof/>
              </w:rPr>
            </w:pPr>
          </w:p>
        </w:tc>
        <w:tc>
          <w:tcPr>
            <w:tcW w:w="3960" w:type="dxa"/>
            <w:vAlign w:val="center"/>
          </w:tcPr>
          <w:p w14:paraId="61CD8E14" w14:textId="77777777" w:rsidR="00412E11" w:rsidRPr="00EC49A8" w:rsidRDefault="00412E11" w:rsidP="000C5C29">
            <w:pPr>
              <w:spacing w:before="60"/>
              <w:rPr>
                <w:noProof/>
              </w:rPr>
            </w:pPr>
            <w:r w:rsidRPr="00EC49A8">
              <w:rPr>
                <w:noProof/>
                <w:sz w:val="22"/>
              </w:rPr>
              <w:t>[XX.YY.YY.YY]</w:t>
            </w:r>
          </w:p>
          <w:p w14:paraId="25D07553" w14:textId="77777777" w:rsidR="00412E11" w:rsidRPr="00EC49A8" w:rsidRDefault="00412E11" w:rsidP="000C5C29">
            <w:pPr>
              <w:spacing w:after="60"/>
              <w:rPr>
                <w:noProof/>
              </w:rPr>
            </w:pPr>
          </w:p>
        </w:tc>
        <w:tc>
          <w:tcPr>
            <w:tcW w:w="1080" w:type="dxa"/>
            <w:vAlign w:val="center"/>
          </w:tcPr>
          <w:p w14:paraId="4931C5BF" w14:textId="77777777" w:rsidR="00412E11" w:rsidRPr="00EC49A8" w:rsidRDefault="00412E11" w:rsidP="000C5C29">
            <w:pPr>
              <w:jc w:val="center"/>
              <w:rPr>
                <w:noProof/>
              </w:rPr>
            </w:pPr>
            <w:r w:rsidRPr="00EC49A8">
              <w:rPr>
                <w:noProof/>
                <w:sz w:val="22"/>
              </w:rPr>
              <w:t>Diss./Non diss.</w:t>
            </w:r>
          </w:p>
        </w:tc>
        <w:tc>
          <w:tcPr>
            <w:tcW w:w="956" w:type="dxa"/>
            <w:vAlign w:val="center"/>
          </w:tcPr>
          <w:p w14:paraId="157C0D00" w14:textId="77777777" w:rsidR="00412E11" w:rsidRPr="00EC49A8" w:rsidRDefault="00412E11" w:rsidP="000C5C29">
            <w:pPr>
              <w:jc w:val="center"/>
              <w:rPr>
                <w:noProof/>
                <w:sz w:val="20"/>
                <w:szCs w:val="20"/>
              </w:rPr>
            </w:pPr>
            <w:r w:rsidRPr="00EC49A8">
              <w:rPr>
                <w:noProof/>
                <w:sz w:val="20"/>
              </w:rPr>
              <w:t>SÌ/NO</w:t>
            </w:r>
          </w:p>
        </w:tc>
        <w:tc>
          <w:tcPr>
            <w:tcW w:w="1080" w:type="dxa"/>
            <w:vAlign w:val="center"/>
          </w:tcPr>
          <w:p w14:paraId="530B7FF5" w14:textId="77777777" w:rsidR="00412E11" w:rsidRPr="00EC49A8" w:rsidRDefault="00412E11" w:rsidP="000C5C29">
            <w:pPr>
              <w:jc w:val="center"/>
              <w:rPr>
                <w:noProof/>
                <w:sz w:val="20"/>
                <w:szCs w:val="20"/>
              </w:rPr>
            </w:pPr>
            <w:r w:rsidRPr="00EC49A8">
              <w:rPr>
                <w:noProof/>
                <w:sz w:val="20"/>
              </w:rPr>
              <w:t>SÌ/NO</w:t>
            </w:r>
          </w:p>
        </w:tc>
        <w:tc>
          <w:tcPr>
            <w:tcW w:w="956" w:type="dxa"/>
            <w:vAlign w:val="center"/>
          </w:tcPr>
          <w:p w14:paraId="7B38B45D" w14:textId="77777777" w:rsidR="00412E11" w:rsidRPr="00EC49A8" w:rsidRDefault="00412E11" w:rsidP="000C5C29">
            <w:pPr>
              <w:jc w:val="center"/>
              <w:rPr>
                <w:noProof/>
                <w:sz w:val="20"/>
                <w:szCs w:val="20"/>
              </w:rPr>
            </w:pPr>
            <w:r w:rsidRPr="00EC49A8">
              <w:rPr>
                <w:noProof/>
                <w:sz w:val="20"/>
              </w:rPr>
              <w:t>SÌ/NO</w:t>
            </w:r>
          </w:p>
        </w:tc>
        <w:tc>
          <w:tcPr>
            <w:tcW w:w="1448" w:type="dxa"/>
            <w:vAlign w:val="center"/>
          </w:tcPr>
          <w:p w14:paraId="496C563C" w14:textId="77777777" w:rsidR="00412E11" w:rsidRPr="00EC49A8" w:rsidRDefault="00412E11" w:rsidP="000C5C29">
            <w:pPr>
              <w:jc w:val="center"/>
              <w:rPr>
                <w:noProof/>
                <w:sz w:val="20"/>
                <w:szCs w:val="20"/>
              </w:rPr>
            </w:pPr>
            <w:r w:rsidRPr="00EC49A8">
              <w:rPr>
                <w:noProof/>
                <w:sz w:val="20"/>
              </w:rPr>
              <w:t>SÌ/NO</w:t>
            </w:r>
          </w:p>
        </w:tc>
      </w:tr>
      <w:tr w:rsidR="00E254F3" w:rsidRPr="00EC49A8" w14:paraId="3DF7DF6C" w14:textId="77777777" w:rsidTr="000C5C29">
        <w:trPr>
          <w:cantSplit/>
          <w:jc w:val="center"/>
        </w:trPr>
        <w:tc>
          <w:tcPr>
            <w:tcW w:w="1080" w:type="dxa"/>
            <w:vAlign w:val="center"/>
          </w:tcPr>
          <w:p w14:paraId="7CEA901B" w14:textId="77777777" w:rsidR="00412E11" w:rsidRPr="00EC49A8" w:rsidRDefault="00412E11" w:rsidP="000C5C29">
            <w:pPr>
              <w:jc w:val="center"/>
              <w:rPr>
                <w:noProof/>
              </w:rPr>
            </w:pPr>
          </w:p>
        </w:tc>
        <w:tc>
          <w:tcPr>
            <w:tcW w:w="3960" w:type="dxa"/>
            <w:vAlign w:val="center"/>
          </w:tcPr>
          <w:p w14:paraId="4DA75784" w14:textId="77777777" w:rsidR="00412E11" w:rsidRPr="00EC49A8" w:rsidRDefault="00412E11" w:rsidP="000C5C29">
            <w:pPr>
              <w:spacing w:before="60"/>
              <w:rPr>
                <w:noProof/>
              </w:rPr>
            </w:pPr>
            <w:r w:rsidRPr="00EC49A8">
              <w:rPr>
                <w:noProof/>
                <w:sz w:val="22"/>
              </w:rPr>
              <w:t>[XX.YY.YY.YY]</w:t>
            </w:r>
          </w:p>
          <w:p w14:paraId="27D53899" w14:textId="77777777" w:rsidR="00412E11" w:rsidRPr="00EC49A8" w:rsidRDefault="00412E11" w:rsidP="000C5C29">
            <w:pPr>
              <w:spacing w:after="60"/>
              <w:rPr>
                <w:noProof/>
              </w:rPr>
            </w:pPr>
          </w:p>
        </w:tc>
        <w:tc>
          <w:tcPr>
            <w:tcW w:w="1080" w:type="dxa"/>
            <w:vAlign w:val="center"/>
          </w:tcPr>
          <w:p w14:paraId="39E910A9" w14:textId="77777777" w:rsidR="00412E11" w:rsidRPr="00EC49A8" w:rsidRDefault="00412E11" w:rsidP="000C5C29">
            <w:pPr>
              <w:jc w:val="center"/>
              <w:rPr>
                <w:noProof/>
              </w:rPr>
            </w:pPr>
            <w:r w:rsidRPr="00EC49A8">
              <w:rPr>
                <w:noProof/>
                <w:sz w:val="22"/>
              </w:rPr>
              <w:t>Diss./Non diss.</w:t>
            </w:r>
          </w:p>
        </w:tc>
        <w:tc>
          <w:tcPr>
            <w:tcW w:w="956" w:type="dxa"/>
            <w:vAlign w:val="center"/>
          </w:tcPr>
          <w:p w14:paraId="3D30FD62" w14:textId="77777777" w:rsidR="00412E11" w:rsidRPr="00EC49A8" w:rsidRDefault="00412E11" w:rsidP="000C5C29">
            <w:pPr>
              <w:jc w:val="center"/>
              <w:rPr>
                <w:noProof/>
                <w:sz w:val="20"/>
                <w:szCs w:val="20"/>
              </w:rPr>
            </w:pPr>
            <w:r w:rsidRPr="00EC49A8">
              <w:rPr>
                <w:noProof/>
                <w:sz w:val="20"/>
              </w:rPr>
              <w:t>SÌ/NO</w:t>
            </w:r>
          </w:p>
        </w:tc>
        <w:tc>
          <w:tcPr>
            <w:tcW w:w="1080" w:type="dxa"/>
            <w:vAlign w:val="center"/>
          </w:tcPr>
          <w:p w14:paraId="1B757836" w14:textId="77777777" w:rsidR="00412E11" w:rsidRPr="00EC49A8" w:rsidRDefault="00412E11" w:rsidP="000C5C29">
            <w:pPr>
              <w:jc w:val="center"/>
              <w:rPr>
                <w:noProof/>
                <w:sz w:val="20"/>
                <w:szCs w:val="20"/>
              </w:rPr>
            </w:pPr>
            <w:r w:rsidRPr="00EC49A8">
              <w:rPr>
                <w:noProof/>
                <w:sz w:val="20"/>
              </w:rPr>
              <w:t>SÌ/NO</w:t>
            </w:r>
          </w:p>
        </w:tc>
        <w:tc>
          <w:tcPr>
            <w:tcW w:w="956" w:type="dxa"/>
            <w:vAlign w:val="center"/>
          </w:tcPr>
          <w:p w14:paraId="049180C5" w14:textId="77777777" w:rsidR="00412E11" w:rsidRPr="00EC49A8" w:rsidRDefault="00412E11" w:rsidP="000C5C29">
            <w:pPr>
              <w:jc w:val="center"/>
              <w:rPr>
                <w:noProof/>
                <w:sz w:val="20"/>
                <w:szCs w:val="20"/>
              </w:rPr>
            </w:pPr>
            <w:r w:rsidRPr="00EC49A8">
              <w:rPr>
                <w:noProof/>
                <w:sz w:val="20"/>
              </w:rPr>
              <w:t>SÌ/NO</w:t>
            </w:r>
          </w:p>
        </w:tc>
        <w:tc>
          <w:tcPr>
            <w:tcW w:w="1448" w:type="dxa"/>
            <w:vAlign w:val="center"/>
          </w:tcPr>
          <w:p w14:paraId="5D05AE2D" w14:textId="77777777" w:rsidR="00412E11" w:rsidRPr="00EC49A8" w:rsidRDefault="00412E11" w:rsidP="000C5C29">
            <w:pPr>
              <w:jc w:val="center"/>
              <w:rPr>
                <w:noProof/>
                <w:sz w:val="20"/>
                <w:szCs w:val="20"/>
              </w:rPr>
            </w:pPr>
            <w:r w:rsidRPr="00EC49A8">
              <w:rPr>
                <w:noProof/>
                <w:sz w:val="20"/>
              </w:rPr>
              <w:t>SÌ/NO</w:t>
            </w:r>
          </w:p>
        </w:tc>
      </w:tr>
      <w:tr w:rsidR="00412E11" w:rsidRPr="00EC49A8" w14:paraId="7A143774" w14:textId="77777777" w:rsidTr="000C5C29">
        <w:trPr>
          <w:jc w:val="center"/>
        </w:trPr>
        <w:tc>
          <w:tcPr>
            <w:tcW w:w="1080" w:type="dxa"/>
            <w:vAlign w:val="center"/>
          </w:tcPr>
          <w:p w14:paraId="6942FB5D" w14:textId="77777777" w:rsidR="00412E11" w:rsidRPr="00EC49A8" w:rsidRDefault="00412E11" w:rsidP="000C5C29">
            <w:pPr>
              <w:jc w:val="center"/>
              <w:rPr>
                <w:noProof/>
              </w:rPr>
            </w:pPr>
          </w:p>
        </w:tc>
        <w:tc>
          <w:tcPr>
            <w:tcW w:w="3960" w:type="dxa"/>
            <w:vAlign w:val="center"/>
          </w:tcPr>
          <w:p w14:paraId="49B2036A" w14:textId="77777777" w:rsidR="00412E11" w:rsidRPr="00EC49A8" w:rsidRDefault="00412E11" w:rsidP="000C5C29">
            <w:pPr>
              <w:spacing w:before="60"/>
              <w:rPr>
                <w:noProof/>
              </w:rPr>
            </w:pPr>
            <w:r w:rsidRPr="00EC49A8">
              <w:rPr>
                <w:noProof/>
                <w:sz w:val="22"/>
              </w:rPr>
              <w:t>[XX.YY.YY.YY]</w:t>
            </w:r>
          </w:p>
          <w:p w14:paraId="4D39D12C" w14:textId="77777777" w:rsidR="00412E11" w:rsidRPr="00EC49A8" w:rsidRDefault="00412E11" w:rsidP="000C5C29">
            <w:pPr>
              <w:spacing w:after="60"/>
              <w:rPr>
                <w:noProof/>
              </w:rPr>
            </w:pPr>
          </w:p>
        </w:tc>
        <w:tc>
          <w:tcPr>
            <w:tcW w:w="1080" w:type="dxa"/>
            <w:vAlign w:val="center"/>
          </w:tcPr>
          <w:p w14:paraId="3E1A72C1" w14:textId="77777777" w:rsidR="00412E11" w:rsidRPr="00EC49A8" w:rsidRDefault="00412E11" w:rsidP="000C5C29">
            <w:pPr>
              <w:jc w:val="center"/>
              <w:rPr>
                <w:noProof/>
              </w:rPr>
            </w:pPr>
            <w:r w:rsidRPr="00EC49A8">
              <w:rPr>
                <w:noProof/>
                <w:sz w:val="22"/>
              </w:rPr>
              <w:t>Diss./Non diss.</w:t>
            </w:r>
          </w:p>
        </w:tc>
        <w:tc>
          <w:tcPr>
            <w:tcW w:w="956" w:type="dxa"/>
            <w:vAlign w:val="center"/>
          </w:tcPr>
          <w:p w14:paraId="17B133ED" w14:textId="77777777" w:rsidR="00412E11" w:rsidRPr="00EC49A8" w:rsidRDefault="00412E11" w:rsidP="000C5C29">
            <w:pPr>
              <w:jc w:val="center"/>
              <w:rPr>
                <w:noProof/>
                <w:sz w:val="20"/>
                <w:szCs w:val="20"/>
              </w:rPr>
            </w:pPr>
            <w:r w:rsidRPr="00EC49A8">
              <w:rPr>
                <w:noProof/>
                <w:sz w:val="20"/>
              </w:rPr>
              <w:t>SÌ/NO</w:t>
            </w:r>
          </w:p>
        </w:tc>
        <w:tc>
          <w:tcPr>
            <w:tcW w:w="1080" w:type="dxa"/>
            <w:vAlign w:val="center"/>
          </w:tcPr>
          <w:p w14:paraId="0421CE76" w14:textId="77777777" w:rsidR="00412E11" w:rsidRPr="00EC49A8" w:rsidRDefault="00412E11" w:rsidP="000C5C29">
            <w:pPr>
              <w:jc w:val="center"/>
              <w:rPr>
                <w:noProof/>
                <w:sz w:val="20"/>
                <w:szCs w:val="20"/>
              </w:rPr>
            </w:pPr>
            <w:r w:rsidRPr="00EC49A8">
              <w:rPr>
                <w:noProof/>
                <w:sz w:val="20"/>
              </w:rPr>
              <w:t>SÌ/NO</w:t>
            </w:r>
          </w:p>
        </w:tc>
        <w:tc>
          <w:tcPr>
            <w:tcW w:w="956" w:type="dxa"/>
            <w:vAlign w:val="center"/>
          </w:tcPr>
          <w:p w14:paraId="1FFA43A9" w14:textId="77777777" w:rsidR="00412E11" w:rsidRPr="00EC49A8" w:rsidRDefault="00412E11" w:rsidP="000C5C29">
            <w:pPr>
              <w:jc w:val="center"/>
              <w:rPr>
                <w:noProof/>
                <w:sz w:val="20"/>
                <w:szCs w:val="20"/>
              </w:rPr>
            </w:pPr>
            <w:r w:rsidRPr="00EC49A8">
              <w:rPr>
                <w:noProof/>
                <w:sz w:val="20"/>
              </w:rPr>
              <w:t>SÌ/NO</w:t>
            </w:r>
          </w:p>
        </w:tc>
        <w:tc>
          <w:tcPr>
            <w:tcW w:w="1448" w:type="dxa"/>
            <w:vAlign w:val="center"/>
          </w:tcPr>
          <w:p w14:paraId="5F02661C" w14:textId="77777777" w:rsidR="00412E11" w:rsidRPr="00EC49A8" w:rsidRDefault="00412E11" w:rsidP="000C5C29">
            <w:pPr>
              <w:jc w:val="center"/>
              <w:rPr>
                <w:noProof/>
                <w:sz w:val="20"/>
                <w:szCs w:val="20"/>
              </w:rPr>
            </w:pPr>
            <w:r w:rsidRPr="00EC49A8">
              <w:rPr>
                <w:noProof/>
                <w:sz w:val="20"/>
              </w:rPr>
              <w:t>SÌ/NO</w:t>
            </w:r>
          </w:p>
        </w:tc>
      </w:tr>
    </w:tbl>
    <w:p w14:paraId="74A063EF" w14:textId="77777777" w:rsidR="00412E11" w:rsidRPr="00EC49A8" w:rsidRDefault="00412E11" w:rsidP="000C5C29">
      <w:pPr>
        <w:rPr>
          <w:noProof/>
        </w:rPr>
        <w:sectPr w:rsidR="00412E11" w:rsidRPr="00EC49A8" w:rsidSect="009F3D23">
          <w:pgSz w:w="11907" w:h="16840" w:code="1"/>
          <w:pgMar w:top="1134" w:right="1418" w:bottom="1134" w:left="1418" w:header="709" w:footer="709" w:gutter="0"/>
          <w:cols w:space="708"/>
          <w:docGrid w:linePitch="360"/>
        </w:sectPr>
      </w:pPr>
    </w:p>
    <w:p w14:paraId="4826BF56" w14:textId="77777777" w:rsidR="00412E11" w:rsidRPr="00EC49A8" w:rsidRDefault="00412E11" w:rsidP="000C5C29">
      <w:pPr>
        <w:pStyle w:val="ManualHeading2"/>
        <w:rPr>
          <w:bCs/>
          <w:noProof/>
          <w:szCs w:val="24"/>
        </w:rPr>
      </w:pPr>
      <w:bookmarkStart w:id="131" w:name="_Toc514938052"/>
      <w:bookmarkStart w:id="132" w:name="_Toc520485051"/>
      <w:bookmarkStart w:id="133" w:name="_Toc160804593"/>
      <w:bookmarkStart w:id="134" w:name="_Toc167220285"/>
      <w:bookmarkStart w:id="135" w:name="_Toc177549018"/>
      <w:r w:rsidRPr="00B17672">
        <w:rPr>
          <w:noProof/>
        </w:rPr>
        <w:t>3</w:t>
      </w:r>
      <w:r w:rsidRPr="00EC49A8">
        <w:rPr>
          <w:noProof/>
        </w:rPr>
        <w:t>.</w:t>
      </w:r>
      <w:r w:rsidRPr="00B17672">
        <w:rPr>
          <w:noProof/>
        </w:rPr>
        <w:t>2</w:t>
      </w:r>
      <w:r w:rsidRPr="00EC49A8">
        <w:rPr>
          <w:noProof/>
        </w:rPr>
        <w:t>.</w:t>
      </w:r>
      <w:r w:rsidRPr="00EC49A8">
        <w:rPr>
          <w:noProof/>
        </w:rPr>
        <w:tab/>
        <w:t>Incidenza finanziaria prevista della proposta sugli stanziamenti</w:t>
      </w:r>
      <w:bookmarkEnd w:id="131"/>
      <w:bookmarkEnd w:id="132"/>
      <w:bookmarkEnd w:id="133"/>
      <w:bookmarkEnd w:id="134"/>
      <w:bookmarkEnd w:id="135"/>
      <w:r w:rsidRPr="00EC49A8">
        <w:rPr>
          <w:noProof/>
        </w:rPr>
        <w:t xml:space="preserve"> </w:t>
      </w:r>
    </w:p>
    <w:p w14:paraId="1187154B" w14:textId="037015D9" w:rsidR="00412E11" w:rsidRPr="00EC49A8" w:rsidRDefault="00412E11" w:rsidP="000C5C29">
      <w:pPr>
        <w:pStyle w:val="ManualHeading3"/>
        <w:rPr>
          <w:noProof/>
        </w:rPr>
      </w:pPr>
      <w:bookmarkStart w:id="136" w:name="_Toc514938053"/>
      <w:bookmarkStart w:id="137" w:name="_Toc520485052"/>
      <w:bookmarkStart w:id="138" w:name="_Toc160804594"/>
      <w:bookmarkStart w:id="139" w:name="_Toc167220286"/>
      <w:bookmarkStart w:id="140" w:name="_Toc177549019"/>
      <w:r w:rsidRPr="00B17672">
        <w:rPr>
          <w:noProof/>
        </w:rPr>
        <w:t>3</w:t>
      </w:r>
      <w:r w:rsidRPr="00EC49A8">
        <w:rPr>
          <w:noProof/>
        </w:rPr>
        <w:t>.</w:t>
      </w:r>
      <w:r w:rsidRPr="00B17672">
        <w:rPr>
          <w:noProof/>
        </w:rPr>
        <w:t>2</w:t>
      </w:r>
      <w:r w:rsidRPr="00EC49A8">
        <w:rPr>
          <w:noProof/>
        </w:rPr>
        <w:t>.</w:t>
      </w:r>
      <w:r w:rsidRPr="00B17672">
        <w:rPr>
          <w:noProof/>
        </w:rPr>
        <w:t>1</w:t>
      </w:r>
      <w:r w:rsidRPr="00EC49A8">
        <w:rPr>
          <w:noProof/>
        </w:rPr>
        <w:t>.</w:t>
      </w:r>
      <w:r w:rsidRPr="00EC49A8">
        <w:rPr>
          <w:noProof/>
        </w:rPr>
        <w:tab/>
        <w:t>Sintesi dell</w:t>
      </w:r>
      <w:r w:rsidR="00B17672">
        <w:rPr>
          <w:noProof/>
        </w:rPr>
        <w:t>'</w:t>
      </w:r>
      <w:r w:rsidRPr="00EC49A8">
        <w:rPr>
          <w:noProof/>
        </w:rPr>
        <w:t>incidenza prevista sugli stanziamenti operativi</w:t>
      </w:r>
      <w:bookmarkEnd w:id="136"/>
      <w:bookmarkEnd w:id="137"/>
      <w:bookmarkEnd w:id="138"/>
      <w:bookmarkEnd w:id="139"/>
      <w:bookmarkEnd w:id="140"/>
      <w:r w:rsidRPr="00EC49A8">
        <w:rPr>
          <w:noProof/>
        </w:rPr>
        <w:t xml:space="preserve"> </w:t>
      </w:r>
    </w:p>
    <w:p w14:paraId="0648A9ED" w14:textId="4C18973C" w:rsidR="00412E11" w:rsidRPr="00EC49A8" w:rsidRDefault="00C053D3" w:rsidP="000C5C29">
      <w:pPr>
        <w:pStyle w:val="ListDash1"/>
        <w:rPr>
          <w:noProof/>
        </w:rPr>
      </w:pPr>
      <w:r w:rsidRPr="00EC49A8">
        <w:rPr>
          <w:rFonts w:ascii="Wingdings" w:hAnsi="Wingdings"/>
          <w:noProof/>
        </w:rPr>
        <w:t></w:t>
      </w:r>
      <w:r w:rsidRPr="00EC49A8">
        <w:rPr>
          <w:noProof/>
        </w:rPr>
        <w:tab/>
        <w:t>La proposta/iniziativa non comporta l</w:t>
      </w:r>
      <w:r w:rsidR="00B17672">
        <w:rPr>
          <w:noProof/>
        </w:rPr>
        <w:t>'</w:t>
      </w:r>
      <w:r w:rsidRPr="00EC49A8">
        <w:rPr>
          <w:noProof/>
        </w:rPr>
        <w:t xml:space="preserve">utilizzo di stanziamenti operativi. </w:t>
      </w:r>
    </w:p>
    <w:p w14:paraId="2CABAE1C" w14:textId="42854955" w:rsidR="00412E11" w:rsidRPr="00EC49A8" w:rsidRDefault="00412E11" w:rsidP="000C5C29">
      <w:pPr>
        <w:pStyle w:val="ListDash1"/>
        <w:rPr>
          <w:noProof/>
        </w:rPr>
      </w:pPr>
      <w:r w:rsidRPr="00EC49A8">
        <w:rPr>
          <w:rFonts w:ascii="Wingdings" w:hAnsi="Wingdings"/>
          <w:noProof/>
        </w:rPr>
        <w:t></w:t>
      </w:r>
      <w:r w:rsidRPr="00EC49A8">
        <w:rPr>
          <w:noProof/>
        </w:rPr>
        <w:tab/>
        <w:t>La proposta/iniziativa comporta l</w:t>
      </w:r>
      <w:r w:rsidR="00B17672">
        <w:rPr>
          <w:noProof/>
        </w:rPr>
        <w:t>'</w:t>
      </w:r>
      <w:r w:rsidRPr="00EC49A8">
        <w:rPr>
          <w:noProof/>
        </w:rPr>
        <w:t>utilizzo di stanziamenti operativi, come spiegato di seguito.</w:t>
      </w:r>
    </w:p>
    <w:p w14:paraId="514326D0" w14:textId="77777777" w:rsidR="00412E11" w:rsidRPr="00EC49A8" w:rsidRDefault="00412E11" w:rsidP="000C5C29">
      <w:pPr>
        <w:pStyle w:val="ManualHeading3"/>
        <w:rPr>
          <w:noProof/>
        </w:rPr>
      </w:pPr>
      <w:bookmarkStart w:id="141" w:name="_Toc160804595"/>
      <w:bookmarkStart w:id="142" w:name="_Toc167220287"/>
      <w:bookmarkStart w:id="143" w:name="_Toc177549020"/>
      <w:r w:rsidRPr="00B17672">
        <w:rPr>
          <w:noProof/>
        </w:rPr>
        <w:t>3</w:t>
      </w:r>
      <w:r w:rsidRPr="00EC49A8">
        <w:rPr>
          <w:noProof/>
        </w:rPr>
        <w:t>.</w:t>
      </w:r>
      <w:r w:rsidRPr="00B17672">
        <w:rPr>
          <w:noProof/>
        </w:rPr>
        <w:t>2</w:t>
      </w:r>
      <w:r w:rsidRPr="00EC49A8">
        <w:rPr>
          <w:noProof/>
        </w:rPr>
        <w:t>.</w:t>
      </w:r>
      <w:r w:rsidRPr="00B17672">
        <w:rPr>
          <w:noProof/>
        </w:rPr>
        <w:t>1</w:t>
      </w:r>
      <w:r w:rsidRPr="00EC49A8">
        <w:rPr>
          <w:noProof/>
        </w:rPr>
        <w:t>.</w:t>
      </w:r>
      <w:r w:rsidRPr="00B17672">
        <w:rPr>
          <w:noProof/>
        </w:rPr>
        <w:t>1</w:t>
      </w:r>
      <w:r w:rsidRPr="00EC49A8">
        <w:rPr>
          <w:noProof/>
        </w:rPr>
        <w:t>.</w:t>
      </w:r>
      <w:r w:rsidRPr="00EC49A8">
        <w:rPr>
          <w:noProof/>
        </w:rPr>
        <w:tab/>
        <w:t>Stanziamenti dal bilancio votato</w:t>
      </w:r>
      <w:bookmarkEnd w:id="141"/>
      <w:bookmarkEnd w:id="142"/>
      <w:bookmarkEnd w:id="143"/>
    </w:p>
    <w:p w14:paraId="1834CDB6" w14:textId="77777777" w:rsidR="00412E11" w:rsidRPr="00EC49A8" w:rsidRDefault="00412E11" w:rsidP="000C5C29">
      <w:pPr>
        <w:jc w:val="right"/>
        <w:rPr>
          <w:noProof/>
          <w:sz w:val="18"/>
          <w:szCs w:val="18"/>
        </w:rPr>
      </w:pPr>
      <w:r w:rsidRPr="00EC49A8">
        <w:rPr>
          <w:noProof/>
          <w:sz w:val="18"/>
        </w:rPr>
        <w:t>Mio EUR (al terzo decimale)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EC49A8" w14:paraId="752366BE" w14:textId="77777777" w:rsidTr="000C5C29">
        <w:tc>
          <w:tcPr>
            <w:tcW w:w="1739" w:type="pct"/>
            <w:shd w:val="thinDiagStripe" w:color="C0C0C0" w:fill="auto"/>
            <w:vAlign w:val="center"/>
          </w:tcPr>
          <w:p w14:paraId="3CC471EB" w14:textId="77777777" w:rsidR="00412E11" w:rsidRPr="00EC49A8" w:rsidRDefault="00412E11" w:rsidP="000C5C29">
            <w:pPr>
              <w:spacing w:before="60" w:after="60"/>
              <w:jc w:val="center"/>
              <w:rPr>
                <w:b/>
                <w:noProof/>
              </w:rPr>
            </w:pPr>
            <w:r w:rsidRPr="00EC49A8">
              <w:rPr>
                <w:b/>
                <w:noProof/>
                <w:sz w:val="22"/>
              </w:rPr>
              <w:t xml:space="preserve">Rubrica del quadro finanziario pluriennale </w:t>
            </w:r>
          </w:p>
        </w:tc>
        <w:tc>
          <w:tcPr>
            <w:tcW w:w="396" w:type="pct"/>
            <w:vAlign w:val="center"/>
          </w:tcPr>
          <w:p w14:paraId="5753240E" w14:textId="77777777" w:rsidR="00412E11" w:rsidRPr="00EC49A8" w:rsidRDefault="00412E11" w:rsidP="000C5C29">
            <w:pPr>
              <w:spacing w:before="60" w:after="60"/>
              <w:jc w:val="center"/>
              <w:rPr>
                <w:noProof/>
              </w:rPr>
            </w:pPr>
            <w:r w:rsidRPr="00EC49A8">
              <w:rPr>
                <w:noProof/>
                <w:sz w:val="22"/>
              </w:rPr>
              <w:t>Numero</w:t>
            </w:r>
          </w:p>
        </w:tc>
        <w:tc>
          <w:tcPr>
            <w:tcW w:w="2865" w:type="pct"/>
            <w:vAlign w:val="center"/>
          </w:tcPr>
          <w:p w14:paraId="2B9B0534" w14:textId="77777777" w:rsidR="00412E11" w:rsidRPr="00EC49A8" w:rsidRDefault="00412E11" w:rsidP="000C5C29">
            <w:pPr>
              <w:spacing w:before="60" w:after="60"/>
              <w:rPr>
                <w:noProof/>
              </w:rPr>
            </w:pPr>
          </w:p>
        </w:tc>
      </w:tr>
    </w:tbl>
    <w:p w14:paraId="6A297278" w14:textId="77777777" w:rsidR="00412E11" w:rsidRPr="00EC49A8" w:rsidRDefault="00412E11" w:rsidP="000C5C29">
      <w:pPr>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E254F3" w:rsidRPr="00EC49A8" w14:paraId="05468FED" w14:textId="77777777" w:rsidTr="000C5C29">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31951B7" w14:textId="77777777" w:rsidR="00412E11" w:rsidRPr="00EC49A8" w:rsidRDefault="00412E11" w:rsidP="000C5C29">
            <w:pPr>
              <w:spacing w:before="0" w:after="0"/>
              <w:jc w:val="center"/>
              <w:rPr>
                <w:noProof/>
                <w:sz w:val="22"/>
              </w:rPr>
            </w:pPr>
            <w:r w:rsidRPr="00EC49A8">
              <w:rPr>
                <w:noProof/>
                <w:sz w:val="22"/>
              </w:rPr>
              <w:t>DG: &lt;…….&gt;</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0D60B772" w14:textId="77777777" w:rsidR="00412E11" w:rsidRPr="00EC49A8" w:rsidRDefault="00412E11" w:rsidP="000C5C29">
            <w:pPr>
              <w:spacing w:before="0" w:after="0"/>
              <w:jc w:val="center"/>
              <w:rPr>
                <w:noProof/>
                <w:sz w:val="20"/>
                <w:szCs w:val="20"/>
              </w:rPr>
            </w:pPr>
            <w:r w:rsidRPr="00EC49A8">
              <w:rPr>
                <w:noProof/>
                <w:sz w:val="20"/>
              </w:rPr>
              <w:t>Anno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26A3B59" w14:textId="77777777" w:rsidR="00412E11" w:rsidRPr="00EC49A8" w:rsidRDefault="00412E11" w:rsidP="000C5C29">
            <w:pPr>
              <w:spacing w:before="0" w:after="0"/>
              <w:jc w:val="center"/>
              <w:rPr>
                <w:noProof/>
                <w:sz w:val="20"/>
                <w:szCs w:val="20"/>
              </w:rPr>
            </w:pPr>
            <w:r w:rsidRPr="00EC49A8">
              <w:rPr>
                <w:noProof/>
                <w:sz w:val="20"/>
              </w:rPr>
              <w:t>Anno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073A23E" w14:textId="77777777" w:rsidR="00412E11" w:rsidRPr="00EC49A8" w:rsidRDefault="00412E11" w:rsidP="000C5C29">
            <w:pPr>
              <w:spacing w:before="0" w:after="0"/>
              <w:jc w:val="center"/>
              <w:rPr>
                <w:noProof/>
                <w:sz w:val="20"/>
                <w:szCs w:val="20"/>
              </w:rPr>
            </w:pPr>
            <w:r w:rsidRPr="00EC49A8">
              <w:rPr>
                <w:noProof/>
                <w:sz w:val="20"/>
              </w:rPr>
              <w:t>Anno</w:t>
            </w:r>
          </w:p>
        </w:tc>
        <w:tc>
          <w:tcPr>
            <w:tcW w:w="478" w:type="pct"/>
            <w:tcBorders>
              <w:top w:val="single" w:sz="8" w:space="0" w:color="auto"/>
              <w:left w:val="nil"/>
              <w:bottom w:val="single" w:sz="8" w:space="0" w:color="auto"/>
              <w:right w:val="single" w:sz="8" w:space="0" w:color="auto"/>
            </w:tcBorders>
            <w:shd w:val="clear" w:color="auto" w:fill="auto"/>
            <w:vAlign w:val="center"/>
            <w:hideMark/>
          </w:tcPr>
          <w:p w14:paraId="7F24075A" w14:textId="77777777" w:rsidR="00412E11" w:rsidRPr="00EC49A8" w:rsidRDefault="00412E11" w:rsidP="000C5C29">
            <w:pPr>
              <w:spacing w:before="0" w:after="0"/>
              <w:jc w:val="center"/>
              <w:rPr>
                <w:noProof/>
                <w:sz w:val="20"/>
                <w:szCs w:val="20"/>
              </w:rPr>
            </w:pPr>
            <w:r w:rsidRPr="00EC49A8">
              <w:rPr>
                <w:noProof/>
                <w:sz w:val="20"/>
              </w:rPr>
              <w:t>Anno</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43AF7F1"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763FCA59" w14:textId="77777777" w:rsidTr="000C5C29">
        <w:trPr>
          <w:trHeight w:val="288"/>
        </w:trPr>
        <w:tc>
          <w:tcPr>
            <w:tcW w:w="2444" w:type="pct"/>
            <w:gridSpan w:val="3"/>
            <w:vMerge/>
            <w:tcBorders>
              <w:top w:val="single" w:sz="8" w:space="0" w:color="auto"/>
              <w:left w:val="single" w:sz="8" w:space="0" w:color="auto"/>
              <w:bottom w:val="single" w:sz="8" w:space="0" w:color="auto"/>
              <w:right w:val="single" w:sz="8" w:space="0" w:color="auto"/>
            </w:tcBorders>
            <w:vAlign w:val="center"/>
            <w:hideMark/>
          </w:tcPr>
          <w:p w14:paraId="7F0C337D" w14:textId="77777777" w:rsidR="00412E11" w:rsidRPr="00EC49A8" w:rsidRDefault="00412E11" w:rsidP="000C5C29">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14:paraId="12202BB0"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14:paraId="7738BA5A"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14:paraId="56521078"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14:paraId="254EBC83"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58A2BD2A" w14:textId="77777777" w:rsidR="00412E11" w:rsidRPr="00EC49A8" w:rsidRDefault="00412E11" w:rsidP="000C5C29">
            <w:pPr>
              <w:spacing w:before="0" w:after="0"/>
              <w:jc w:val="left"/>
              <w:rPr>
                <w:b/>
                <w:bCs/>
                <w:noProof/>
                <w:sz w:val="20"/>
                <w:szCs w:val="20"/>
                <w:lang w:eastAsia="en-IE"/>
              </w:rPr>
            </w:pPr>
          </w:p>
        </w:tc>
      </w:tr>
      <w:tr w:rsidR="00E254F3" w:rsidRPr="00EC49A8" w14:paraId="00FC24F9" w14:textId="77777777" w:rsidTr="000C5C29">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0842AD39" w14:textId="77777777" w:rsidR="00412E11" w:rsidRPr="00EC49A8" w:rsidRDefault="00412E11" w:rsidP="000C5C29">
            <w:pPr>
              <w:spacing w:before="0" w:after="0"/>
              <w:jc w:val="left"/>
              <w:rPr>
                <w:noProof/>
                <w:sz w:val="21"/>
                <w:szCs w:val="21"/>
              </w:rPr>
            </w:pPr>
            <w:r w:rsidRPr="00EC49A8">
              <w:rPr>
                <w:noProof/>
                <w:sz w:val="21"/>
              </w:rPr>
              <w:t xml:space="preserve">Stanziamenti operativi </w:t>
            </w:r>
          </w:p>
        </w:tc>
      </w:tr>
      <w:tr w:rsidR="00E254F3" w:rsidRPr="00EC49A8" w14:paraId="05A05DBD" w14:textId="77777777" w:rsidTr="000C5C29">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64231FF3" w14:textId="77777777" w:rsidR="00412E11" w:rsidRPr="00EC49A8" w:rsidRDefault="00412E11" w:rsidP="000C5C29">
            <w:pPr>
              <w:spacing w:before="0" w:after="0"/>
              <w:jc w:val="left"/>
              <w:rPr>
                <w:noProof/>
                <w:sz w:val="22"/>
              </w:rPr>
            </w:pPr>
            <w:r w:rsidRPr="00EC49A8">
              <w:rPr>
                <w:noProof/>
                <w:sz w:val="22"/>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328D8FA9"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BCD184A"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p>
        </w:tc>
        <w:tc>
          <w:tcPr>
            <w:tcW w:w="496" w:type="pct"/>
            <w:tcBorders>
              <w:top w:val="nil"/>
              <w:left w:val="nil"/>
              <w:bottom w:val="single" w:sz="8" w:space="0" w:color="auto"/>
              <w:right w:val="single" w:sz="8" w:space="0" w:color="auto"/>
            </w:tcBorders>
            <w:shd w:val="clear" w:color="auto" w:fill="auto"/>
            <w:vAlign w:val="center"/>
            <w:hideMark/>
          </w:tcPr>
          <w:p w14:paraId="0629BD2E"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0A4B4F94"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06388748"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41AA9692"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000000" w:fill="D9D9D9"/>
            <w:vAlign w:val="center"/>
            <w:hideMark/>
          </w:tcPr>
          <w:p w14:paraId="485F287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D71ADE0" w14:textId="77777777" w:rsidTr="000C5C29">
        <w:trPr>
          <w:trHeight w:val="315"/>
        </w:trPr>
        <w:tc>
          <w:tcPr>
            <w:tcW w:w="1419" w:type="pct"/>
            <w:vMerge/>
            <w:tcBorders>
              <w:top w:val="nil"/>
              <w:left w:val="single" w:sz="8" w:space="0" w:color="auto"/>
              <w:bottom w:val="single" w:sz="8" w:space="0" w:color="auto"/>
              <w:right w:val="single" w:sz="8" w:space="0" w:color="auto"/>
            </w:tcBorders>
            <w:vAlign w:val="center"/>
            <w:hideMark/>
          </w:tcPr>
          <w:p w14:paraId="7438BC7A" w14:textId="77777777" w:rsidR="00412E11" w:rsidRPr="00EC49A8" w:rsidRDefault="00412E11" w:rsidP="000C5C29">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3FA38397"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EFC07A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p>
        </w:tc>
        <w:tc>
          <w:tcPr>
            <w:tcW w:w="496" w:type="pct"/>
            <w:tcBorders>
              <w:top w:val="nil"/>
              <w:left w:val="nil"/>
              <w:bottom w:val="single" w:sz="8" w:space="0" w:color="auto"/>
              <w:right w:val="single" w:sz="8" w:space="0" w:color="auto"/>
            </w:tcBorders>
            <w:shd w:val="clear" w:color="auto" w:fill="auto"/>
            <w:vAlign w:val="center"/>
            <w:hideMark/>
          </w:tcPr>
          <w:p w14:paraId="25BE7CA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17C16E49"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72B0A8E7"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7E4CA392"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000000" w:fill="D9D9D9"/>
            <w:vAlign w:val="center"/>
            <w:hideMark/>
          </w:tcPr>
          <w:p w14:paraId="5D2C096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7B10B86" w14:textId="77777777" w:rsidTr="000C5C29">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14:paraId="0D285514" w14:textId="77777777" w:rsidR="00412E11" w:rsidRPr="00EC49A8" w:rsidRDefault="00412E11" w:rsidP="000C5C29">
            <w:pPr>
              <w:spacing w:before="0" w:after="0"/>
              <w:rPr>
                <w:noProof/>
                <w:sz w:val="20"/>
                <w:szCs w:val="20"/>
              </w:rPr>
            </w:pPr>
            <w:r w:rsidRPr="00EC49A8">
              <w:rPr>
                <w:noProof/>
                <w:sz w:val="20"/>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5F54868D"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48BAC875"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b)</w:t>
            </w:r>
          </w:p>
        </w:tc>
        <w:tc>
          <w:tcPr>
            <w:tcW w:w="496" w:type="pct"/>
            <w:tcBorders>
              <w:top w:val="nil"/>
              <w:left w:val="nil"/>
              <w:bottom w:val="single" w:sz="8" w:space="0" w:color="auto"/>
              <w:right w:val="single" w:sz="8" w:space="0" w:color="auto"/>
            </w:tcBorders>
            <w:shd w:val="clear" w:color="auto" w:fill="auto"/>
            <w:vAlign w:val="center"/>
            <w:hideMark/>
          </w:tcPr>
          <w:p w14:paraId="40A9064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F636AA0"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13FE4DE0"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1DFE445F"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000000" w:fill="D9D9D9"/>
            <w:vAlign w:val="center"/>
            <w:hideMark/>
          </w:tcPr>
          <w:p w14:paraId="3E91BA9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7E36163" w14:textId="77777777" w:rsidTr="000C5C29">
        <w:trPr>
          <w:trHeight w:val="315"/>
        </w:trPr>
        <w:tc>
          <w:tcPr>
            <w:tcW w:w="1419" w:type="pct"/>
            <w:vMerge/>
            <w:tcBorders>
              <w:top w:val="nil"/>
              <w:left w:val="single" w:sz="8" w:space="0" w:color="auto"/>
              <w:bottom w:val="single" w:sz="8" w:space="0" w:color="auto"/>
              <w:right w:val="single" w:sz="8" w:space="0" w:color="auto"/>
            </w:tcBorders>
            <w:vAlign w:val="center"/>
            <w:hideMark/>
          </w:tcPr>
          <w:p w14:paraId="5E14027F" w14:textId="77777777" w:rsidR="00412E11" w:rsidRPr="00EC49A8" w:rsidRDefault="00412E11" w:rsidP="000C5C29">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40B0B4DA"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616EC8E"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b)</w:t>
            </w:r>
          </w:p>
        </w:tc>
        <w:tc>
          <w:tcPr>
            <w:tcW w:w="496" w:type="pct"/>
            <w:tcBorders>
              <w:top w:val="nil"/>
              <w:left w:val="nil"/>
              <w:bottom w:val="single" w:sz="8" w:space="0" w:color="auto"/>
              <w:right w:val="single" w:sz="8" w:space="0" w:color="auto"/>
            </w:tcBorders>
            <w:shd w:val="clear" w:color="auto" w:fill="auto"/>
            <w:vAlign w:val="center"/>
            <w:hideMark/>
          </w:tcPr>
          <w:p w14:paraId="487DE9DD"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1819ACE"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041C8A4F"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55F2B863"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000000" w:fill="D9D9D9"/>
            <w:vAlign w:val="center"/>
            <w:hideMark/>
          </w:tcPr>
          <w:p w14:paraId="5B9896F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B421B94" w14:textId="77777777" w:rsidTr="000C5C29">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BD188" w14:textId="77777777" w:rsidR="00412E11" w:rsidRPr="00EC49A8" w:rsidRDefault="00412E11" w:rsidP="000C5C29">
            <w:pPr>
              <w:spacing w:before="0" w:after="0"/>
              <w:jc w:val="left"/>
              <w:rPr>
                <w:noProof/>
                <w:sz w:val="22"/>
              </w:rPr>
            </w:pPr>
            <w:r w:rsidRPr="00EC49A8">
              <w:rPr>
                <w:noProof/>
                <w:sz w:val="22"/>
              </w:rPr>
              <w:t>Stanziamenti amministrativi finanziati dalla dotazione di programmi specifici</w:t>
            </w:r>
            <w:r w:rsidRPr="00EC49A8">
              <w:rPr>
                <w:rStyle w:val="FootnoteReference"/>
                <w:noProof/>
                <w:sz w:val="22"/>
                <w:lang w:eastAsia="en-IE"/>
              </w:rPr>
              <w:footnoteReference w:id="15"/>
            </w:r>
          </w:p>
        </w:tc>
      </w:tr>
      <w:tr w:rsidR="00E254F3" w:rsidRPr="00EC49A8" w14:paraId="3BD4B46C" w14:textId="77777777" w:rsidTr="000C5C29">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14:paraId="3229006A" w14:textId="77777777" w:rsidR="00412E11" w:rsidRPr="00EC49A8" w:rsidRDefault="00412E11" w:rsidP="000C5C29">
            <w:pPr>
              <w:spacing w:before="0" w:after="0"/>
              <w:rPr>
                <w:noProof/>
                <w:sz w:val="20"/>
                <w:szCs w:val="20"/>
              </w:rPr>
            </w:pPr>
            <w:r w:rsidRPr="00EC49A8">
              <w:rPr>
                <w:noProof/>
                <w:sz w:val="20"/>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6A01C1E4" w14:textId="77777777" w:rsidR="00412E11" w:rsidRPr="00EC49A8" w:rsidRDefault="00412E11" w:rsidP="000C5C29">
            <w:pPr>
              <w:spacing w:before="0" w:after="0"/>
              <w:jc w:val="right"/>
              <w:rPr>
                <w:noProof/>
                <w:sz w:val="18"/>
                <w:szCs w:val="18"/>
              </w:rPr>
            </w:pPr>
            <w:r w:rsidRPr="00EC49A8">
              <w:rPr>
                <w:noProof/>
                <w:sz w:val="18"/>
              </w:rPr>
              <w:t xml:space="preserve">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0782A6F"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3</w:t>
            </w:r>
            <w:r w:rsidRPr="00EC49A8">
              <w:rPr>
                <w:noProof/>
                <w:sz w:val="14"/>
              </w:rPr>
              <w:t>)</w:t>
            </w:r>
          </w:p>
        </w:tc>
        <w:tc>
          <w:tcPr>
            <w:tcW w:w="496" w:type="pct"/>
            <w:tcBorders>
              <w:top w:val="nil"/>
              <w:left w:val="nil"/>
              <w:bottom w:val="single" w:sz="8" w:space="0" w:color="auto"/>
              <w:right w:val="single" w:sz="8" w:space="0" w:color="auto"/>
            </w:tcBorders>
            <w:shd w:val="clear" w:color="auto" w:fill="auto"/>
            <w:vAlign w:val="center"/>
            <w:hideMark/>
          </w:tcPr>
          <w:p w14:paraId="7D00BFA9"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0C5A058"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58A523D0"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525BC637"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590" w:type="pct"/>
            <w:tcBorders>
              <w:top w:val="nil"/>
              <w:left w:val="nil"/>
              <w:bottom w:val="single" w:sz="8" w:space="0" w:color="auto"/>
              <w:right w:val="single" w:sz="8" w:space="0" w:color="auto"/>
            </w:tcBorders>
            <w:shd w:val="clear" w:color="000000" w:fill="D9D9D9"/>
            <w:vAlign w:val="center"/>
            <w:hideMark/>
          </w:tcPr>
          <w:p w14:paraId="25D01C2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88C4940" w14:textId="77777777" w:rsidTr="000C5C29">
        <w:trPr>
          <w:trHeight w:val="288"/>
        </w:trPr>
        <w:tc>
          <w:tcPr>
            <w:tcW w:w="1419" w:type="pct"/>
            <w:vMerge w:val="restart"/>
            <w:tcBorders>
              <w:top w:val="nil"/>
              <w:left w:val="single" w:sz="8" w:space="0" w:color="auto"/>
              <w:right w:val="single" w:sz="8" w:space="0" w:color="auto"/>
            </w:tcBorders>
            <w:shd w:val="clear" w:color="auto" w:fill="auto"/>
            <w:vAlign w:val="center"/>
            <w:hideMark/>
          </w:tcPr>
          <w:p w14:paraId="6A1A6C2C" w14:textId="77777777" w:rsidR="00412E11" w:rsidRPr="00EC49A8" w:rsidRDefault="00412E11" w:rsidP="000C5C29">
            <w:pPr>
              <w:spacing w:before="0" w:after="0"/>
              <w:jc w:val="center"/>
              <w:rPr>
                <w:b/>
                <w:bCs/>
                <w:noProof/>
                <w:sz w:val="22"/>
              </w:rPr>
            </w:pPr>
            <w:r w:rsidRPr="00EC49A8">
              <w:rPr>
                <w:b/>
                <w:noProof/>
                <w:sz w:val="22"/>
              </w:rPr>
              <w:t>TOTALE stanziamenti</w:t>
            </w:r>
          </w:p>
          <w:p w14:paraId="12B4C521" w14:textId="77777777" w:rsidR="00412E11" w:rsidRPr="00EC49A8" w:rsidRDefault="00412E11" w:rsidP="000C5C29">
            <w:pPr>
              <w:spacing w:before="0" w:after="0"/>
              <w:jc w:val="center"/>
              <w:rPr>
                <w:b/>
                <w:bCs/>
                <w:noProof/>
                <w:sz w:val="22"/>
              </w:rPr>
            </w:pPr>
            <w:r w:rsidRPr="00EC49A8">
              <w:rPr>
                <w:b/>
                <w:noProof/>
                <w:sz w:val="22"/>
              </w:rPr>
              <w:t>per la DG</w:t>
            </w:r>
            <w:r w:rsidRPr="00EC49A8">
              <w:rPr>
                <w:noProof/>
                <w:sz w:val="22"/>
              </w:rPr>
              <w:t xml:space="preserve"> &lt;…….&gt;</w:t>
            </w:r>
          </w:p>
        </w:tc>
        <w:tc>
          <w:tcPr>
            <w:tcW w:w="529" w:type="pct"/>
            <w:tcBorders>
              <w:top w:val="nil"/>
              <w:left w:val="nil"/>
              <w:bottom w:val="single" w:sz="8" w:space="0" w:color="auto"/>
              <w:right w:val="single" w:sz="8" w:space="0" w:color="auto"/>
            </w:tcBorders>
            <w:shd w:val="clear" w:color="auto" w:fill="auto"/>
            <w:vAlign w:val="center"/>
            <w:hideMark/>
          </w:tcPr>
          <w:p w14:paraId="3BFB411B"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30FD728A"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r w:rsidRPr="00B17672">
              <w:rPr>
                <w:noProof/>
                <w:sz w:val="14"/>
              </w:rPr>
              <w:t>1</w:t>
            </w:r>
            <w:r w:rsidRPr="00EC49A8">
              <w:rPr>
                <w:noProof/>
                <w:sz w:val="14"/>
              </w:rPr>
              <w:t>b+</w:t>
            </w:r>
            <w:r w:rsidRPr="00B17672">
              <w:rPr>
                <w:noProof/>
                <w:sz w:val="14"/>
              </w:rPr>
              <w:t>3</w:t>
            </w:r>
          </w:p>
        </w:tc>
        <w:tc>
          <w:tcPr>
            <w:tcW w:w="496" w:type="pct"/>
            <w:tcBorders>
              <w:top w:val="nil"/>
              <w:left w:val="nil"/>
              <w:bottom w:val="single" w:sz="8" w:space="0" w:color="auto"/>
              <w:right w:val="single" w:sz="8" w:space="0" w:color="auto"/>
            </w:tcBorders>
            <w:shd w:val="clear" w:color="000000" w:fill="D9D9D9"/>
            <w:vAlign w:val="center"/>
            <w:hideMark/>
          </w:tcPr>
          <w:p w14:paraId="061FE7C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110BC0B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0AED1D4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tcBorders>
              <w:top w:val="nil"/>
              <w:left w:val="nil"/>
              <w:bottom w:val="single" w:sz="8" w:space="0" w:color="auto"/>
              <w:right w:val="single" w:sz="8" w:space="0" w:color="auto"/>
            </w:tcBorders>
            <w:shd w:val="clear" w:color="000000" w:fill="D9D9D9"/>
            <w:vAlign w:val="center"/>
            <w:hideMark/>
          </w:tcPr>
          <w:p w14:paraId="4587E1E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tcBorders>
              <w:top w:val="nil"/>
              <w:left w:val="nil"/>
              <w:bottom w:val="single" w:sz="8" w:space="0" w:color="auto"/>
              <w:right w:val="single" w:sz="8" w:space="0" w:color="auto"/>
            </w:tcBorders>
            <w:shd w:val="clear" w:color="000000" w:fill="D9D9D9"/>
            <w:vAlign w:val="center"/>
            <w:hideMark/>
          </w:tcPr>
          <w:p w14:paraId="08F19FC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67FE433" w14:textId="77777777" w:rsidTr="000C5C29">
        <w:trPr>
          <w:trHeight w:val="288"/>
        </w:trPr>
        <w:tc>
          <w:tcPr>
            <w:tcW w:w="1419" w:type="pct"/>
            <w:vMerge/>
            <w:tcBorders>
              <w:left w:val="single" w:sz="8" w:space="0" w:color="auto"/>
              <w:bottom w:val="single" w:sz="4" w:space="0" w:color="auto"/>
              <w:right w:val="single" w:sz="8" w:space="0" w:color="auto"/>
            </w:tcBorders>
            <w:shd w:val="clear" w:color="auto" w:fill="auto"/>
            <w:vAlign w:val="center"/>
            <w:hideMark/>
          </w:tcPr>
          <w:p w14:paraId="78E2E48D" w14:textId="77777777" w:rsidR="00412E11" w:rsidRPr="00EC49A8" w:rsidRDefault="00412E11" w:rsidP="000C5C29">
            <w:pPr>
              <w:spacing w:before="0" w:after="0"/>
              <w:jc w:val="center"/>
              <w:rPr>
                <w:b/>
                <w:bCs/>
                <w:noProof/>
                <w:sz w:val="22"/>
                <w:lang w:eastAsia="en-IE"/>
              </w:rPr>
            </w:pPr>
          </w:p>
        </w:tc>
        <w:tc>
          <w:tcPr>
            <w:tcW w:w="529" w:type="pct"/>
            <w:tcBorders>
              <w:top w:val="nil"/>
              <w:left w:val="single" w:sz="8" w:space="0" w:color="auto"/>
              <w:bottom w:val="single" w:sz="8" w:space="0" w:color="auto"/>
              <w:right w:val="single" w:sz="8" w:space="0" w:color="auto"/>
            </w:tcBorders>
            <w:shd w:val="clear" w:color="auto" w:fill="auto"/>
            <w:vAlign w:val="center"/>
            <w:hideMark/>
          </w:tcPr>
          <w:p w14:paraId="3367004A"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1182F585"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96" w:type="pct"/>
            <w:tcBorders>
              <w:top w:val="nil"/>
              <w:left w:val="nil"/>
              <w:bottom w:val="single" w:sz="8" w:space="0" w:color="auto"/>
              <w:right w:val="single" w:sz="8" w:space="0" w:color="auto"/>
            </w:tcBorders>
            <w:shd w:val="clear" w:color="000000" w:fill="D9D9D9"/>
            <w:vAlign w:val="center"/>
            <w:hideMark/>
          </w:tcPr>
          <w:p w14:paraId="6811B29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09FD9C2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615B843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tcBorders>
              <w:top w:val="nil"/>
              <w:left w:val="nil"/>
              <w:bottom w:val="single" w:sz="8" w:space="0" w:color="auto"/>
              <w:right w:val="single" w:sz="8" w:space="0" w:color="auto"/>
            </w:tcBorders>
            <w:shd w:val="clear" w:color="000000" w:fill="D9D9D9"/>
            <w:vAlign w:val="center"/>
            <w:hideMark/>
          </w:tcPr>
          <w:p w14:paraId="0EEB1C5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tcBorders>
              <w:top w:val="nil"/>
              <w:left w:val="nil"/>
              <w:bottom w:val="single" w:sz="8" w:space="0" w:color="auto"/>
              <w:right w:val="single" w:sz="8" w:space="0" w:color="auto"/>
            </w:tcBorders>
            <w:shd w:val="clear" w:color="000000" w:fill="D9D9D9"/>
            <w:vAlign w:val="center"/>
            <w:hideMark/>
          </w:tcPr>
          <w:p w14:paraId="6CAB664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73623EBB" w14:textId="77777777" w:rsidR="006F2639" w:rsidRPr="00EC49A8" w:rsidRDefault="006F2639" w:rsidP="000C5C29">
      <w:pPr>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EC49A8" w14:paraId="19F997AC"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0D93B5" w14:textId="77777777" w:rsidR="00412E11" w:rsidRPr="00EC49A8" w:rsidRDefault="00412E11" w:rsidP="000C5C29">
            <w:pPr>
              <w:spacing w:before="0" w:after="0"/>
              <w:jc w:val="center"/>
              <w:rPr>
                <w:b/>
                <w:bCs/>
                <w:noProof/>
                <w:sz w:val="22"/>
              </w:rPr>
            </w:pPr>
            <w:r w:rsidRPr="00EC49A8">
              <w:rPr>
                <w:b/>
                <w:noProof/>
                <w:sz w:val="22"/>
              </w:rPr>
              <w:t xml:space="preserve">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72E83F52"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52D2324F"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64E0F4E9"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25208449" w14:textId="77777777" w:rsidR="00412E11" w:rsidRPr="00EC49A8" w:rsidRDefault="00412E11" w:rsidP="000C5C29">
            <w:pPr>
              <w:spacing w:before="0" w:after="0"/>
              <w:jc w:val="center"/>
              <w:rPr>
                <w:noProof/>
                <w:sz w:val="20"/>
                <w:szCs w:val="20"/>
              </w:rPr>
            </w:pPr>
            <w:r w:rsidRPr="00EC49A8">
              <w:rPr>
                <w:noProof/>
                <w:sz w:val="20"/>
              </w:rPr>
              <w:t>Anno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B7F9EBD"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278FB3ED"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173C6140" w14:textId="77777777" w:rsidR="00412E11" w:rsidRPr="00EC49A8"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026B9DD5"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7592B617"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186075AA"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478EB520"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48C77992" w14:textId="77777777" w:rsidR="00412E11" w:rsidRPr="00EC49A8" w:rsidRDefault="00412E11" w:rsidP="000C5C29">
            <w:pPr>
              <w:spacing w:before="0" w:after="0"/>
              <w:jc w:val="left"/>
              <w:rPr>
                <w:b/>
                <w:bCs/>
                <w:noProof/>
                <w:sz w:val="20"/>
                <w:szCs w:val="20"/>
                <w:lang w:eastAsia="en-IE"/>
              </w:rPr>
            </w:pPr>
          </w:p>
        </w:tc>
      </w:tr>
      <w:tr w:rsidR="00E254F3" w:rsidRPr="00EC49A8" w14:paraId="5EC3591A"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4EF6556D" w14:textId="77777777" w:rsidR="00412E11" w:rsidRPr="00EC49A8" w:rsidRDefault="00412E11" w:rsidP="000C5C29">
            <w:pPr>
              <w:spacing w:before="0" w:after="0"/>
              <w:rPr>
                <w:noProof/>
                <w:sz w:val="21"/>
                <w:szCs w:val="21"/>
              </w:rPr>
            </w:pPr>
            <w:r w:rsidRPr="00EC49A8">
              <w:rPr>
                <w:noProof/>
                <w:sz w:val="21"/>
              </w:rPr>
              <w:t xml:space="preserve">TOTALE stanziamenti operativi </w:t>
            </w:r>
            <w:r w:rsidRPr="00EC49A8">
              <w:rPr>
                <w:noProof/>
              </w:rPr>
              <w:t xml:space="preserve"> </w:t>
            </w:r>
            <w:r w:rsidRPr="00EC49A8">
              <w:rPr>
                <w:noProof/>
              </w:rPr>
              <w:br/>
            </w:r>
          </w:p>
        </w:tc>
        <w:tc>
          <w:tcPr>
            <w:tcW w:w="529" w:type="pct"/>
            <w:tcBorders>
              <w:top w:val="nil"/>
              <w:left w:val="nil"/>
              <w:bottom w:val="single" w:sz="8" w:space="0" w:color="auto"/>
              <w:right w:val="single" w:sz="8" w:space="0" w:color="auto"/>
            </w:tcBorders>
            <w:shd w:val="clear" w:color="auto" w:fill="auto"/>
            <w:vAlign w:val="center"/>
            <w:hideMark/>
          </w:tcPr>
          <w:p w14:paraId="5B3817A1"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1EF5DF2"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26F3DA51"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740B214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A078D8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ECE83C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13A291E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1AB5090D"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073E17A9" w14:textId="77777777" w:rsidR="00412E11" w:rsidRPr="00EC49A8"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741E605E"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4C63FC45"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32D1C24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417D8A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11DEEF2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089BAB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2ECD72A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A392FA3" w14:textId="77777777" w:rsidTr="006F2639">
        <w:trPr>
          <w:trHeight w:val="924"/>
        </w:trPr>
        <w:tc>
          <w:tcPr>
            <w:tcW w:w="194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290606" w14:textId="77777777" w:rsidR="00412E11" w:rsidRPr="00EC49A8" w:rsidRDefault="00412E11" w:rsidP="000C5C29">
            <w:pPr>
              <w:spacing w:before="0" w:after="0"/>
              <w:rPr>
                <w:noProof/>
                <w:sz w:val="21"/>
                <w:szCs w:val="21"/>
              </w:rPr>
            </w:pPr>
            <w:r w:rsidRPr="00EC49A8">
              <w:rPr>
                <w:noProof/>
                <w:sz w:val="21"/>
              </w:rPr>
              <w:t xml:space="preserve">TOTALE stanziamenti amministrativi finanziati dalla dotazione di programmi specifici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76D8E6E6"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7A1EF3C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107AD444"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32DE661"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22EC017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5301E19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5680B81"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4EE52D65" w14:textId="77777777" w:rsidR="00412E11" w:rsidRPr="00EC49A8" w:rsidRDefault="00412E11" w:rsidP="000C5C29">
            <w:pPr>
              <w:spacing w:before="0" w:after="0"/>
              <w:jc w:val="center"/>
              <w:rPr>
                <w:b/>
                <w:bCs/>
                <w:noProof/>
                <w:sz w:val="22"/>
              </w:rPr>
            </w:pPr>
            <w:r w:rsidRPr="00EC49A8">
              <w:rPr>
                <w:b/>
                <w:noProof/>
                <w:sz w:val="22"/>
              </w:rPr>
              <w:t>TOTALE stanziamenti per la RUBRICA &lt;….&gt;</w:t>
            </w:r>
          </w:p>
        </w:tc>
        <w:tc>
          <w:tcPr>
            <w:tcW w:w="529" w:type="pct"/>
            <w:tcBorders>
              <w:top w:val="nil"/>
              <w:left w:val="nil"/>
              <w:bottom w:val="single" w:sz="8" w:space="0" w:color="auto"/>
              <w:right w:val="single" w:sz="8" w:space="0" w:color="auto"/>
            </w:tcBorders>
            <w:shd w:val="clear" w:color="auto" w:fill="auto"/>
            <w:vAlign w:val="center"/>
            <w:hideMark/>
          </w:tcPr>
          <w:p w14:paraId="490B69D6"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55E81108"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42E2350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7B190E3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B42D7B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1E5AD7B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1E120C2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6B475B96"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738E3292" w14:textId="77777777" w:rsidR="00412E11" w:rsidRPr="00EC49A8" w:rsidRDefault="00412E11" w:rsidP="000C5C29">
            <w:pPr>
              <w:spacing w:before="0" w:after="0"/>
              <w:jc w:val="center"/>
              <w:rPr>
                <w:noProof/>
                <w:sz w:val="22"/>
              </w:rPr>
            </w:pPr>
            <w:r w:rsidRPr="00EC49A8">
              <w:rPr>
                <w:noProof/>
                <w:sz w:val="22"/>
              </w:rPr>
              <w:t>del quadro finanziario pluriennale</w:t>
            </w:r>
          </w:p>
        </w:tc>
        <w:tc>
          <w:tcPr>
            <w:tcW w:w="529" w:type="pct"/>
            <w:tcBorders>
              <w:top w:val="nil"/>
              <w:left w:val="nil"/>
              <w:bottom w:val="single" w:sz="8" w:space="0" w:color="auto"/>
              <w:right w:val="single" w:sz="8" w:space="0" w:color="auto"/>
            </w:tcBorders>
            <w:shd w:val="clear" w:color="auto" w:fill="auto"/>
            <w:vAlign w:val="center"/>
            <w:hideMark/>
          </w:tcPr>
          <w:p w14:paraId="3136FBA8"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2561362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1D67FD2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968238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B27C1C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F41603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3A15A42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2B916727" w14:textId="77777777" w:rsidR="00412E11" w:rsidRPr="00EC49A8"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EC49A8" w14:paraId="16C12252" w14:textId="77777777" w:rsidTr="000C5C29">
        <w:trPr>
          <w:jc w:val="center"/>
        </w:trPr>
        <w:tc>
          <w:tcPr>
            <w:tcW w:w="1739" w:type="pct"/>
            <w:shd w:val="thinDiagStripe" w:color="C0C0C0" w:fill="auto"/>
            <w:vAlign w:val="center"/>
          </w:tcPr>
          <w:p w14:paraId="042F1F1C" w14:textId="77777777" w:rsidR="00412E11" w:rsidRPr="00EC49A8" w:rsidRDefault="00412E11" w:rsidP="000C5C29">
            <w:pPr>
              <w:spacing w:before="60" w:after="60"/>
              <w:jc w:val="center"/>
              <w:rPr>
                <w:b/>
                <w:noProof/>
              </w:rPr>
            </w:pPr>
            <w:r w:rsidRPr="00EC49A8">
              <w:rPr>
                <w:b/>
                <w:noProof/>
                <w:sz w:val="22"/>
              </w:rPr>
              <w:t xml:space="preserve">Rubrica del quadro finanziario </w:t>
            </w:r>
            <w:r w:rsidRPr="00EC49A8">
              <w:rPr>
                <w:noProof/>
              </w:rPr>
              <w:br/>
            </w:r>
            <w:r w:rsidRPr="00EC49A8">
              <w:rPr>
                <w:b/>
                <w:noProof/>
                <w:sz w:val="22"/>
              </w:rPr>
              <w:t xml:space="preserve">pluriennale </w:t>
            </w:r>
          </w:p>
        </w:tc>
        <w:tc>
          <w:tcPr>
            <w:tcW w:w="396" w:type="pct"/>
            <w:vAlign w:val="center"/>
          </w:tcPr>
          <w:p w14:paraId="1EC923C8" w14:textId="77777777" w:rsidR="00412E11" w:rsidRPr="00EC49A8" w:rsidRDefault="00412E11" w:rsidP="000C5C29">
            <w:pPr>
              <w:spacing w:before="60" w:after="60"/>
              <w:jc w:val="center"/>
              <w:rPr>
                <w:noProof/>
              </w:rPr>
            </w:pPr>
            <w:r w:rsidRPr="00EC49A8">
              <w:rPr>
                <w:noProof/>
                <w:sz w:val="22"/>
              </w:rPr>
              <w:t>Numero</w:t>
            </w:r>
          </w:p>
        </w:tc>
        <w:tc>
          <w:tcPr>
            <w:tcW w:w="2865" w:type="pct"/>
            <w:vAlign w:val="center"/>
          </w:tcPr>
          <w:p w14:paraId="256E6262" w14:textId="77777777" w:rsidR="00412E11" w:rsidRPr="00EC49A8" w:rsidRDefault="00412E11" w:rsidP="000C5C29">
            <w:pPr>
              <w:spacing w:before="60" w:after="60"/>
              <w:rPr>
                <w:noProof/>
              </w:rPr>
            </w:pPr>
          </w:p>
        </w:tc>
      </w:tr>
    </w:tbl>
    <w:p w14:paraId="0A4E59AB" w14:textId="77777777" w:rsidR="00412E11" w:rsidRPr="00EC49A8" w:rsidRDefault="00412E11" w:rsidP="000C5C29">
      <w:pPr>
        <w:rPr>
          <w:noProof/>
        </w:rPr>
      </w:pPr>
    </w:p>
    <w:tbl>
      <w:tblPr>
        <w:tblW w:w="5000" w:type="pct"/>
        <w:tblLook w:val="04A0" w:firstRow="1" w:lastRow="0" w:firstColumn="1" w:lastColumn="0" w:noHBand="0" w:noVBand="1"/>
      </w:tblPr>
      <w:tblGrid>
        <w:gridCol w:w="4329"/>
        <w:gridCol w:w="1399"/>
        <w:gridCol w:w="1960"/>
        <w:gridCol w:w="1254"/>
        <w:gridCol w:w="1254"/>
        <w:gridCol w:w="1254"/>
        <w:gridCol w:w="1254"/>
        <w:gridCol w:w="1516"/>
      </w:tblGrid>
      <w:tr w:rsidR="00E254F3" w:rsidRPr="00EC49A8" w14:paraId="512E172B" w14:textId="77777777" w:rsidTr="000C5C29">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D2993C" w14:textId="77777777" w:rsidR="00412E11" w:rsidRPr="00EC49A8" w:rsidRDefault="00412E11" w:rsidP="000C5C29">
            <w:pPr>
              <w:spacing w:before="0" w:after="0"/>
              <w:jc w:val="center"/>
              <w:rPr>
                <w:noProof/>
                <w:sz w:val="22"/>
              </w:rPr>
            </w:pPr>
            <w:r w:rsidRPr="00EC49A8">
              <w:rPr>
                <w:noProof/>
                <w:sz w:val="22"/>
              </w:rPr>
              <w:t>DG: &lt;…….&gt;</w:t>
            </w:r>
          </w:p>
        </w:tc>
        <w:tc>
          <w:tcPr>
            <w:tcW w:w="441" w:type="pct"/>
            <w:tcBorders>
              <w:top w:val="single" w:sz="8" w:space="0" w:color="auto"/>
              <w:left w:val="nil"/>
              <w:bottom w:val="nil"/>
              <w:right w:val="single" w:sz="8" w:space="0" w:color="auto"/>
            </w:tcBorders>
            <w:shd w:val="clear" w:color="auto" w:fill="auto"/>
            <w:vAlign w:val="center"/>
            <w:hideMark/>
          </w:tcPr>
          <w:p w14:paraId="7C4D81C3"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4478167E"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4E03B4F7"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7F4255B9" w14:textId="77777777" w:rsidR="00412E11" w:rsidRPr="00EC49A8" w:rsidRDefault="00412E11" w:rsidP="000C5C29">
            <w:pPr>
              <w:spacing w:before="0" w:after="0"/>
              <w:jc w:val="center"/>
              <w:rPr>
                <w:noProof/>
                <w:sz w:val="20"/>
                <w:szCs w:val="20"/>
              </w:rPr>
            </w:pPr>
            <w:r w:rsidRPr="00EC49A8">
              <w:rPr>
                <w:noProof/>
                <w:sz w:val="20"/>
              </w:rPr>
              <w:t>Anno</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DF8CEC"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28D3694B" w14:textId="77777777" w:rsidTr="000C5C29">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703BB9DD" w14:textId="77777777" w:rsidR="00412E11" w:rsidRPr="00EC49A8" w:rsidRDefault="00412E11" w:rsidP="000C5C29">
            <w:pPr>
              <w:spacing w:before="0" w:after="0"/>
              <w:jc w:val="left"/>
              <w:rPr>
                <w:noProof/>
                <w:sz w:val="22"/>
                <w:lang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E564D0B"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14:paraId="0FD67F48"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14:paraId="32DDB04B"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14:paraId="7DC0FD7E"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6FC9B937" w14:textId="77777777" w:rsidR="00412E11" w:rsidRPr="00EC49A8" w:rsidRDefault="00412E11" w:rsidP="000C5C29">
            <w:pPr>
              <w:spacing w:before="0" w:after="0"/>
              <w:jc w:val="left"/>
              <w:rPr>
                <w:b/>
                <w:bCs/>
                <w:noProof/>
                <w:sz w:val="20"/>
                <w:szCs w:val="20"/>
                <w:lang w:eastAsia="en-IE"/>
              </w:rPr>
            </w:pPr>
          </w:p>
        </w:tc>
      </w:tr>
      <w:tr w:rsidR="00E254F3" w:rsidRPr="00EC49A8" w14:paraId="5CA007C4" w14:textId="77777777" w:rsidTr="000C5C29">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7B34E4" w14:textId="77777777" w:rsidR="00412E11" w:rsidRPr="00EC49A8" w:rsidRDefault="00412E11" w:rsidP="000C5C29">
            <w:pPr>
              <w:spacing w:before="0" w:after="0"/>
              <w:rPr>
                <w:noProof/>
                <w:sz w:val="21"/>
                <w:szCs w:val="21"/>
              </w:rPr>
            </w:pPr>
            <w:r w:rsidRPr="00EC49A8">
              <w:rPr>
                <w:noProof/>
                <w:sz w:val="21"/>
              </w:rPr>
              <w:t xml:space="preserve">Stanziamenti operativi </w:t>
            </w:r>
          </w:p>
        </w:tc>
        <w:tc>
          <w:tcPr>
            <w:tcW w:w="441" w:type="pct"/>
            <w:tcBorders>
              <w:top w:val="nil"/>
              <w:left w:val="nil"/>
              <w:bottom w:val="single" w:sz="8" w:space="0" w:color="auto"/>
              <w:right w:val="single" w:sz="8" w:space="0" w:color="auto"/>
            </w:tcBorders>
            <w:shd w:val="clear" w:color="auto" w:fill="auto"/>
            <w:vAlign w:val="center"/>
            <w:hideMark/>
          </w:tcPr>
          <w:p w14:paraId="7EA8F613"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32F542A5"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60A84A5"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5C8F531B" w14:textId="77777777" w:rsidR="00412E11" w:rsidRPr="00EC49A8" w:rsidRDefault="00412E11" w:rsidP="000C5C29">
            <w:pPr>
              <w:spacing w:before="0" w:after="0"/>
              <w:rPr>
                <w:b/>
                <w:bCs/>
                <w:noProof/>
                <w:sz w:val="20"/>
                <w:szCs w:val="20"/>
              </w:rPr>
            </w:pPr>
            <w:r w:rsidRPr="00EC49A8">
              <w:rPr>
                <w:b/>
                <w:noProof/>
                <w:sz w:val="20"/>
              </w:rPr>
              <w:t xml:space="preserve"> </w:t>
            </w:r>
          </w:p>
        </w:tc>
        <w:tc>
          <w:tcPr>
            <w:tcW w:w="534" w:type="pct"/>
            <w:tcBorders>
              <w:top w:val="nil"/>
              <w:left w:val="nil"/>
              <w:bottom w:val="single" w:sz="8" w:space="0" w:color="auto"/>
              <w:right w:val="single" w:sz="8" w:space="0" w:color="auto"/>
            </w:tcBorders>
            <w:shd w:val="clear" w:color="auto" w:fill="auto"/>
            <w:vAlign w:val="center"/>
            <w:hideMark/>
          </w:tcPr>
          <w:p w14:paraId="01741040" w14:textId="77777777" w:rsidR="00412E11" w:rsidRPr="00EC49A8" w:rsidRDefault="00412E11" w:rsidP="000C5C29">
            <w:pPr>
              <w:spacing w:before="0" w:after="0"/>
              <w:rPr>
                <w:b/>
                <w:bCs/>
                <w:noProof/>
                <w:sz w:val="20"/>
                <w:szCs w:val="20"/>
              </w:rPr>
            </w:pPr>
            <w:r w:rsidRPr="00EC49A8">
              <w:rPr>
                <w:b/>
                <w:noProof/>
                <w:sz w:val="20"/>
              </w:rPr>
              <w:t xml:space="preserve"> </w:t>
            </w:r>
          </w:p>
        </w:tc>
      </w:tr>
      <w:tr w:rsidR="00E254F3" w:rsidRPr="00EC49A8" w14:paraId="52723299"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256E3F8" w14:textId="77777777" w:rsidR="00412E11" w:rsidRPr="00EC49A8" w:rsidRDefault="00412E11" w:rsidP="000C5C29">
            <w:pPr>
              <w:spacing w:before="0" w:after="0"/>
              <w:jc w:val="left"/>
              <w:rPr>
                <w:noProof/>
                <w:sz w:val="22"/>
              </w:rPr>
            </w:pPr>
            <w:r w:rsidRPr="00EC49A8">
              <w:rPr>
                <w:noProof/>
                <w:sz w:val="22"/>
              </w:rPr>
              <w:t>Linea di bilancio</w:t>
            </w:r>
          </w:p>
        </w:tc>
        <w:tc>
          <w:tcPr>
            <w:tcW w:w="492" w:type="pct"/>
            <w:tcBorders>
              <w:top w:val="nil"/>
              <w:left w:val="nil"/>
              <w:bottom w:val="single" w:sz="8" w:space="0" w:color="auto"/>
              <w:right w:val="single" w:sz="8" w:space="0" w:color="auto"/>
            </w:tcBorders>
            <w:shd w:val="clear" w:color="auto" w:fill="auto"/>
            <w:vAlign w:val="center"/>
            <w:hideMark/>
          </w:tcPr>
          <w:p w14:paraId="5A74400A" w14:textId="77777777" w:rsidR="00412E11" w:rsidRPr="00EC49A8" w:rsidRDefault="00412E11" w:rsidP="000C5C29">
            <w:pPr>
              <w:spacing w:before="0" w:after="0"/>
              <w:rPr>
                <w:noProof/>
                <w:sz w:val="18"/>
                <w:szCs w:val="18"/>
              </w:rPr>
            </w:pPr>
            <w:r w:rsidRPr="00EC49A8">
              <w:rPr>
                <w:noProof/>
                <w:sz w:val="18"/>
              </w:rPr>
              <w:t>Impegni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38C99A26"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p>
        </w:tc>
        <w:tc>
          <w:tcPr>
            <w:tcW w:w="441" w:type="pct"/>
            <w:tcBorders>
              <w:top w:val="nil"/>
              <w:left w:val="nil"/>
              <w:bottom w:val="single" w:sz="8" w:space="0" w:color="auto"/>
              <w:right w:val="single" w:sz="8" w:space="0" w:color="auto"/>
            </w:tcBorders>
            <w:shd w:val="clear" w:color="auto" w:fill="auto"/>
            <w:vAlign w:val="center"/>
            <w:hideMark/>
          </w:tcPr>
          <w:p w14:paraId="292B7E78"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49F9332"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8DE9138"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D760A0F"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046C868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260D238"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020C08F4" w14:textId="77777777" w:rsidR="00412E11" w:rsidRPr="00EC49A8" w:rsidRDefault="00412E11" w:rsidP="000C5C29">
            <w:pPr>
              <w:spacing w:before="0" w:after="0"/>
              <w:jc w:val="left"/>
              <w:rPr>
                <w:noProof/>
                <w:sz w:val="22"/>
                <w:lang w:eastAsia="en-IE"/>
              </w:rPr>
            </w:pPr>
          </w:p>
        </w:tc>
        <w:tc>
          <w:tcPr>
            <w:tcW w:w="492" w:type="pct"/>
            <w:tcBorders>
              <w:top w:val="nil"/>
              <w:left w:val="nil"/>
              <w:bottom w:val="single" w:sz="8" w:space="0" w:color="auto"/>
              <w:right w:val="single" w:sz="8" w:space="0" w:color="auto"/>
            </w:tcBorders>
            <w:shd w:val="clear" w:color="auto" w:fill="auto"/>
            <w:vAlign w:val="center"/>
            <w:hideMark/>
          </w:tcPr>
          <w:p w14:paraId="22C0254D" w14:textId="77777777" w:rsidR="00412E11" w:rsidRPr="00EC49A8" w:rsidRDefault="00412E11" w:rsidP="000C5C29">
            <w:pPr>
              <w:spacing w:before="0" w:after="0"/>
              <w:rPr>
                <w:noProof/>
                <w:sz w:val="18"/>
                <w:szCs w:val="18"/>
              </w:rPr>
            </w:pPr>
            <w:r w:rsidRPr="00EC49A8">
              <w:rPr>
                <w:noProof/>
                <w:sz w:val="18"/>
              </w:rPr>
              <w:t>Pagamenti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4063B85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p>
        </w:tc>
        <w:tc>
          <w:tcPr>
            <w:tcW w:w="441" w:type="pct"/>
            <w:tcBorders>
              <w:top w:val="nil"/>
              <w:left w:val="nil"/>
              <w:bottom w:val="single" w:sz="8" w:space="0" w:color="auto"/>
              <w:right w:val="single" w:sz="8" w:space="0" w:color="auto"/>
            </w:tcBorders>
            <w:shd w:val="clear" w:color="auto" w:fill="auto"/>
            <w:vAlign w:val="center"/>
            <w:hideMark/>
          </w:tcPr>
          <w:p w14:paraId="4CA3C961"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42717E08"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16FCD30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C393A8A"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3A87AF6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101B411E"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576D72FA" w14:textId="77777777" w:rsidR="00412E11" w:rsidRPr="00EC49A8" w:rsidRDefault="00412E11" w:rsidP="000C5C29">
            <w:pPr>
              <w:spacing w:before="0" w:after="0"/>
              <w:rPr>
                <w:noProof/>
                <w:sz w:val="20"/>
                <w:szCs w:val="20"/>
              </w:rPr>
            </w:pPr>
            <w:r w:rsidRPr="00EC49A8">
              <w:rPr>
                <w:noProof/>
                <w:sz w:val="20"/>
              </w:rPr>
              <w:t>Linea di bilancio</w:t>
            </w:r>
          </w:p>
        </w:tc>
        <w:tc>
          <w:tcPr>
            <w:tcW w:w="492" w:type="pct"/>
            <w:tcBorders>
              <w:top w:val="nil"/>
              <w:left w:val="nil"/>
              <w:bottom w:val="single" w:sz="8" w:space="0" w:color="auto"/>
              <w:right w:val="single" w:sz="8" w:space="0" w:color="auto"/>
            </w:tcBorders>
            <w:shd w:val="clear" w:color="auto" w:fill="auto"/>
            <w:vAlign w:val="center"/>
            <w:hideMark/>
          </w:tcPr>
          <w:p w14:paraId="1CE0C95A" w14:textId="77777777" w:rsidR="00412E11" w:rsidRPr="00EC49A8" w:rsidRDefault="00412E11" w:rsidP="000C5C29">
            <w:pPr>
              <w:spacing w:before="0" w:after="0"/>
              <w:rPr>
                <w:noProof/>
                <w:sz w:val="18"/>
                <w:szCs w:val="18"/>
              </w:rPr>
            </w:pPr>
            <w:r w:rsidRPr="00EC49A8">
              <w:rPr>
                <w:noProof/>
                <w:sz w:val="18"/>
              </w:rPr>
              <w:t>Impegni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769934B8"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b)</w:t>
            </w:r>
          </w:p>
        </w:tc>
        <w:tc>
          <w:tcPr>
            <w:tcW w:w="441" w:type="pct"/>
            <w:tcBorders>
              <w:top w:val="nil"/>
              <w:left w:val="nil"/>
              <w:bottom w:val="single" w:sz="8" w:space="0" w:color="auto"/>
              <w:right w:val="single" w:sz="8" w:space="0" w:color="auto"/>
            </w:tcBorders>
            <w:shd w:val="clear" w:color="auto" w:fill="auto"/>
            <w:vAlign w:val="center"/>
            <w:hideMark/>
          </w:tcPr>
          <w:p w14:paraId="6E886B6E"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28E4D15"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282FC452"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4B8B3F47"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38076E3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F8F51BB"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009DE449" w14:textId="77777777" w:rsidR="00412E11" w:rsidRPr="00EC49A8" w:rsidRDefault="00412E11" w:rsidP="000C5C29">
            <w:pPr>
              <w:spacing w:before="0" w:after="0"/>
              <w:jc w:val="left"/>
              <w:rPr>
                <w:noProof/>
                <w:sz w:val="20"/>
                <w:szCs w:val="20"/>
                <w:lang w:eastAsia="en-IE"/>
              </w:rPr>
            </w:pPr>
          </w:p>
        </w:tc>
        <w:tc>
          <w:tcPr>
            <w:tcW w:w="492" w:type="pct"/>
            <w:tcBorders>
              <w:top w:val="nil"/>
              <w:left w:val="nil"/>
              <w:bottom w:val="single" w:sz="8" w:space="0" w:color="auto"/>
              <w:right w:val="single" w:sz="8" w:space="0" w:color="auto"/>
            </w:tcBorders>
            <w:shd w:val="clear" w:color="auto" w:fill="auto"/>
            <w:vAlign w:val="center"/>
            <w:hideMark/>
          </w:tcPr>
          <w:p w14:paraId="444B6377" w14:textId="77777777" w:rsidR="00412E11" w:rsidRPr="00EC49A8" w:rsidRDefault="00412E11" w:rsidP="000C5C29">
            <w:pPr>
              <w:spacing w:before="0" w:after="0"/>
              <w:rPr>
                <w:noProof/>
                <w:sz w:val="18"/>
                <w:szCs w:val="18"/>
              </w:rPr>
            </w:pPr>
            <w:r w:rsidRPr="00EC49A8">
              <w:rPr>
                <w:noProof/>
                <w:sz w:val="18"/>
              </w:rPr>
              <w:t>Pagamenti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1B33A6BF"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b)</w:t>
            </w:r>
          </w:p>
        </w:tc>
        <w:tc>
          <w:tcPr>
            <w:tcW w:w="441" w:type="pct"/>
            <w:tcBorders>
              <w:top w:val="nil"/>
              <w:left w:val="nil"/>
              <w:bottom w:val="single" w:sz="8" w:space="0" w:color="auto"/>
              <w:right w:val="single" w:sz="8" w:space="0" w:color="auto"/>
            </w:tcBorders>
            <w:shd w:val="clear" w:color="auto" w:fill="auto"/>
            <w:vAlign w:val="center"/>
            <w:hideMark/>
          </w:tcPr>
          <w:p w14:paraId="2790BC83"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69CC03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687A50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4CD3A2E3"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6E1CBD1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01D91D7" w14:textId="77777777" w:rsidTr="000C5C2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183F5145" w14:textId="77777777" w:rsidR="00412E11" w:rsidRPr="00EC49A8" w:rsidRDefault="00412E11" w:rsidP="000C5C29">
            <w:pPr>
              <w:spacing w:before="0" w:after="0"/>
              <w:jc w:val="left"/>
              <w:rPr>
                <w:noProof/>
                <w:sz w:val="22"/>
              </w:rPr>
            </w:pPr>
            <w:r w:rsidRPr="00EC49A8">
              <w:rPr>
                <w:noProof/>
                <w:sz w:val="22"/>
              </w:rPr>
              <w:t>Stanziamenti amministrativi finanziati dalla dotazione di programmi specifici</w:t>
            </w:r>
            <w:r w:rsidRPr="00EC49A8">
              <w:rPr>
                <w:rStyle w:val="FootnoteReference"/>
                <w:noProof/>
                <w:sz w:val="22"/>
                <w:lang w:eastAsia="en-IE"/>
              </w:rPr>
              <w:footnoteReference w:id="16"/>
            </w:r>
            <w:r w:rsidRPr="00EC49A8">
              <w:rPr>
                <w:noProof/>
                <w:sz w:val="22"/>
              </w:rPr>
              <w:t xml:space="preserve"> </w:t>
            </w:r>
          </w:p>
        </w:tc>
      </w:tr>
      <w:tr w:rsidR="00E254F3" w:rsidRPr="00EC49A8" w14:paraId="1DE118F0"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1970D3C7" w14:textId="77777777" w:rsidR="00412E11" w:rsidRPr="00EC49A8" w:rsidRDefault="00412E11" w:rsidP="000C5C29">
            <w:pPr>
              <w:spacing w:before="0" w:after="0"/>
              <w:rPr>
                <w:noProof/>
                <w:sz w:val="20"/>
                <w:szCs w:val="20"/>
              </w:rPr>
            </w:pPr>
            <w:r w:rsidRPr="00EC49A8">
              <w:rPr>
                <w:noProof/>
                <w:sz w:val="20"/>
              </w:rPr>
              <w:t>Linea di bilancio</w:t>
            </w:r>
          </w:p>
        </w:tc>
        <w:tc>
          <w:tcPr>
            <w:tcW w:w="492" w:type="pct"/>
            <w:tcBorders>
              <w:top w:val="nil"/>
              <w:left w:val="nil"/>
              <w:bottom w:val="single" w:sz="8" w:space="0" w:color="auto"/>
              <w:right w:val="single" w:sz="8" w:space="0" w:color="auto"/>
            </w:tcBorders>
            <w:shd w:val="clear" w:color="auto" w:fill="auto"/>
            <w:vAlign w:val="center"/>
            <w:hideMark/>
          </w:tcPr>
          <w:p w14:paraId="187937A3" w14:textId="77777777" w:rsidR="00412E11" w:rsidRPr="00EC49A8" w:rsidRDefault="00412E11" w:rsidP="000C5C29">
            <w:pPr>
              <w:spacing w:before="0" w:after="0"/>
              <w:jc w:val="right"/>
              <w:rPr>
                <w:noProof/>
                <w:sz w:val="18"/>
                <w:szCs w:val="18"/>
              </w:rPr>
            </w:pPr>
            <w:r w:rsidRPr="00EC49A8">
              <w:rPr>
                <w:noProof/>
                <w:sz w:val="18"/>
              </w:rPr>
              <w:t xml:space="preserve"> </w:t>
            </w:r>
          </w:p>
        </w:tc>
        <w:tc>
          <w:tcPr>
            <w:tcW w:w="688" w:type="pct"/>
            <w:tcBorders>
              <w:top w:val="nil"/>
              <w:left w:val="nil"/>
              <w:bottom w:val="single" w:sz="8" w:space="0" w:color="auto"/>
              <w:right w:val="single" w:sz="8" w:space="0" w:color="000000"/>
            </w:tcBorders>
            <w:shd w:val="clear" w:color="auto" w:fill="auto"/>
            <w:vAlign w:val="center"/>
            <w:hideMark/>
          </w:tcPr>
          <w:p w14:paraId="7D58207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3</w:t>
            </w:r>
            <w:r w:rsidRPr="00EC49A8">
              <w:rPr>
                <w:noProof/>
                <w:sz w:val="14"/>
              </w:rPr>
              <w:t>)</w:t>
            </w:r>
          </w:p>
        </w:tc>
        <w:tc>
          <w:tcPr>
            <w:tcW w:w="441" w:type="pct"/>
            <w:tcBorders>
              <w:top w:val="nil"/>
              <w:left w:val="nil"/>
              <w:bottom w:val="single" w:sz="8" w:space="0" w:color="auto"/>
              <w:right w:val="single" w:sz="8" w:space="0" w:color="auto"/>
            </w:tcBorders>
            <w:shd w:val="clear" w:color="auto" w:fill="auto"/>
            <w:vAlign w:val="center"/>
            <w:hideMark/>
          </w:tcPr>
          <w:p w14:paraId="38E31EB2"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C1D70FF"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1084DAC7"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53C9CCBF"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7FC0AE0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687A6853" w14:textId="77777777" w:rsidTr="000C5C29">
        <w:trPr>
          <w:trHeight w:val="300"/>
        </w:trPr>
        <w:tc>
          <w:tcPr>
            <w:tcW w:w="1522" w:type="pct"/>
            <w:tcBorders>
              <w:top w:val="nil"/>
              <w:left w:val="single" w:sz="8" w:space="0" w:color="auto"/>
              <w:bottom w:val="nil"/>
              <w:right w:val="single" w:sz="8" w:space="0" w:color="auto"/>
            </w:tcBorders>
            <w:shd w:val="clear" w:color="auto" w:fill="auto"/>
            <w:vAlign w:val="center"/>
            <w:hideMark/>
          </w:tcPr>
          <w:p w14:paraId="5F86734C" w14:textId="77777777" w:rsidR="00412E11" w:rsidRPr="00EC49A8" w:rsidRDefault="00412E11" w:rsidP="000C5C29">
            <w:pPr>
              <w:spacing w:before="0" w:after="0"/>
              <w:jc w:val="center"/>
              <w:rPr>
                <w:b/>
                <w:bCs/>
                <w:noProof/>
                <w:sz w:val="22"/>
              </w:rPr>
            </w:pPr>
            <w:r w:rsidRPr="00EC49A8">
              <w:rPr>
                <w:b/>
                <w:noProof/>
                <w:sz w:val="22"/>
              </w:rPr>
              <w:t>TOTALE stanziamenti</w:t>
            </w:r>
          </w:p>
        </w:tc>
        <w:tc>
          <w:tcPr>
            <w:tcW w:w="492" w:type="pct"/>
            <w:tcBorders>
              <w:top w:val="nil"/>
              <w:left w:val="nil"/>
              <w:bottom w:val="single" w:sz="8" w:space="0" w:color="auto"/>
              <w:right w:val="single" w:sz="8" w:space="0" w:color="auto"/>
            </w:tcBorders>
            <w:shd w:val="clear" w:color="auto" w:fill="auto"/>
            <w:vAlign w:val="center"/>
            <w:hideMark/>
          </w:tcPr>
          <w:p w14:paraId="440208B8" w14:textId="77777777" w:rsidR="00412E11" w:rsidRPr="00EC49A8" w:rsidRDefault="00412E11" w:rsidP="000C5C29">
            <w:pPr>
              <w:spacing w:before="0" w:after="0"/>
              <w:rPr>
                <w:noProof/>
                <w:sz w:val="18"/>
                <w:szCs w:val="18"/>
              </w:rPr>
            </w:pPr>
            <w:r w:rsidRPr="00EC49A8">
              <w:rPr>
                <w:noProof/>
                <w:sz w:val="18"/>
              </w:rPr>
              <w:t>Impegni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1D155A14"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r w:rsidRPr="00B17672">
              <w:rPr>
                <w:noProof/>
                <w:sz w:val="14"/>
              </w:rPr>
              <w:t>1</w:t>
            </w:r>
            <w:r w:rsidRPr="00EC49A8">
              <w:rPr>
                <w:noProof/>
                <w:sz w:val="14"/>
              </w:rPr>
              <w:t>b +</w:t>
            </w:r>
            <w:r w:rsidRPr="00B17672">
              <w:rPr>
                <w:noProof/>
                <w:sz w:val="14"/>
              </w:rPr>
              <w:t>3</w:t>
            </w:r>
          </w:p>
        </w:tc>
        <w:tc>
          <w:tcPr>
            <w:tcW w:w="441" w:type="pct"/>
            <w:tcBorders>
              <w:top w:val="nil"/>
              <w:left w:val="nil"/>
              <w:bottom w:val="single" w:sz="8" w:space="0" w:color="auto"/>
              <w:right w:val="single" w:sz="8" w:space="0" w:color="auto"/>
            </w:tcBorders>
            <w:shd w:val="clear" w:color="000000" w:fill="D9D9D9"/>
            <w:vAlign w:val="center"/>
            <w:hideMark/>
          </w:tcPr>
          <w:p w14:paraId="572D85E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0878056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7F74299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266D6D2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34" w:type="pct"/>
            <w:tcBorders>
              <w:top w:val="nil"/>
              <w:left w:val="nil"/>
              <w:bottom w:val="single" w:sz="8" w:space="0" w:color="auto"/>
              <w:right w:val="single" w:sz="8" w:space="0" w:color="auto"/>
            </w:tcBorders>
            <w:shd w:val="clear" w:color="000000" w:fill="D9D9D9"/>
            <w:vAlign w:val="center"/>
            <w:hideMark/>
          </w:tcPr>
          <w:p w14:paraId="4F00B05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679057FA"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3B012D1E" w14:textId="77777777" w:rsidR="00412E11" w:rsidRPr="00EC49A8" w:rsidRDefault="00412E11" w:rsidP="000C5C29">
            <w:pPr>
              <w:spacing w:before="0" w:after="0"/>
              <w:jc w:val="center"/>
              <w:rPr>
                <w:b/>
                <w:bCs/>
                <w:noProof/>
                <w:sz w:val="22"/>
              </w:rPr>
            </w:pPr>
            <w:r w:rsidRPr="00EC49A8">
              <w:rPr>
                <w:b/>
                <w:noProof/>
                <w:sz w:val="22"/>
              </w:rPr>
              <w:t>per la DG</w:t>
            </w:r>
            <w:r w:rsidRPr="00EC49A8">
              <w:rPr>
                <w:noProof/>
                <w:sz w:val="22"/>
              </w:rPr>
              <w:t xml:space="preserve"> &lt;…….&gt;</w:t>
            </w:r>
          </w:p>
        </w:tc>
        <w:tc>
          <w:tcPr>
            <w:tcW w:w="492" w:type="pct"/>
            <w:tcBorders>
              <w:top w:val="nil"/>
              <w:left w:val="nil"/>
              <w:bottom w:val="single" w:sz="8" w:space="0" w:color="auto"/>
              <w:right w:val="single" w:sz="8" w:space="0" w:color="auto"/>
            </w:tcBorders>
            <w:shd w:val="clear" w:color="auto" w:fill="auto"/>
            <w:vAlign w:val="center"/>
            <w:hideMark/>
          </w:tcPr>
          <w:p w14:paraId="372CA021" w14:textId="77777777" w:rsidR="00412E11" w:rsidRPr="00EC49A8" w:rsidRDefault="00412E11" w:rsidP="000C5C29">
            <w:pPr>
              <w:spacing w:before="0" w:after="0"/>
              <w:rPr>
                <w:noProof/>
                <w:sz w:val="18"/>
                <w:szCs w:val="18"/>
              </w:rPr>
            </w:pPr>
            <w:r w:rsidRPr="00EC49A8">
              <w:rPr>
                <w:noProof/>
                <w:sz w:val="18"/>
              </w:rPr>
              <w:t>Pagamenti</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4607EFB9"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41" w:type="pct"/>
            <w:tcBorders>
              <w:top w:val="nil"/>
              <w:left w:val="nil"/>
              <w:bottom w:val="single" w:sz="8" w:space="0" w:color="auto"/>
              <w:right w:val="single" w:sz="8" w:space="0" w:color="auto"/>
            </w:tcBorders>
            <w:shd w:val="clear" w:color="000000" w:fill="D9D9D9"/>
            <w:vAlign w:val="center"/>
            <w:hideMark/>
          </w:tcPr>
          <w:p w14:paraId="39846EF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28A1BCA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5FCEC14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19D9E1F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34" w:type="pct"/>
            <w:tcBorders>
              <w:top w:val="nil"/>
              <w:left w:val="nil"/>
              <w:bottom w:val="single" w:sz="8" w:space="0" w:color="auto"/>
              <w:right w:val="single" w:sz="8" w:space="0" w:color="auto"/>
            </w:tcBorders>
            <w:shd w:val="clear" w:color="000000" w:fill="D9D9D9"/>
            <w:vAlign w:val="center"/>
            <w:hideMark/>
          </w:tcPr>
          <w:p w14:paraId="56BE8F6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278C11CD" w14:textId="77777777" w:rsidR="00412E11" w:rsidRPr="00EC49A8" w:rsidRDefault="00412E11" w:rsidP="000C5C29">
      <w:pPr>
        <w:rPr>
          <w:noProof/>
        </w:rPr>
      </w:pPr>
    </w:p>
    <w:tbl>
      <w:tblPr>
        <w:tblW w:w="5000" w:type="pct"/>
        <w:tblLook w:val="04A0" w:firstRow="1" w:lastRow="0" w:firstColumn="1" w:lastColumn="0" w:noHBand="0" w:noVBand="1"/>
      </w:tblPr>
      <w:tblGrid>
        <w:gridCol w:w="4329"/>
        <w:gridCol w:w="1340"/>
        <w:gridCol w:w="2019"/>
        <w:gridCol w:w="1254"/>
        <w:gridCol w:w="1254"/>
        <w:gridCol w:w="1254"/>
        <w:gridCol w:w="1254"/>
        <w:gridCol w:w="1516"/>
      </w:tblGrid>
      <w:tr w:rsidR="00E254F3" w:rsidRPr="00EC49A8" w14:paraId="69CE7B20" w14:textId="77777777" w:rsidTr="000C5C29">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393A23D" w14:textId="77777777" w:rsidR="00412E11" w:rsidRPr="00EC49A8" w:rsidRDefault="00412E11" w:rsidP="000C5C29">
            <w:pPr>
              <w:spacing w:before="0" w:after="0"/>
              <w:jc w:val="center"/>
              <w:rPr>
                <w:noProof/>
                <w:sz w:val="22"/>
              </w:rPr>
            </w:pPr>
            <w:r w:rsidRPr="00EC49A8">
              <w:rPr>
                <w:noProof/>
                <w:sz w:val="22"/>
              </w:rPr>
              <w:t>DG: &lt;…….&gt;</w:t>
            </w:r>
          </w:p>
        </w:tc>
        <w:tc>
          <w:tcPr>
            <w:tcW w:w="441" w:type="pct"/>
            <w:tcBorders>
              <w:top w:val="single" w:sz="8" w:space="0" w:color="auto"/>
              <w:left w:val="nil"/>
              <w:bottom w:val="nil"/>
              <w:right w:val="single" w:sz="8" w:space="0" w:color="auto"/>
            </w:tcBorders>
            <w:shd w:val="clear" w:color="auto" w:fill="auto"/>
            <w:vAlign w:val="center"/>
            <w:hideMark/>
          </w:tcPr>
          <w:p w14:paraId="11C3E3EA"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230B551C"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04CCE97E"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tcBorders>
              <w:top w:val="single" w:sz="8" w:space="0" w:color="auto"/>
              <w:left w:val="nil"/>
              <w:bottom w:val="nil"/>
              <w:right w:val="single" w:sz="8" w:space="0" w:color="auto"/>
            </w:tcBorders>
            <w:shd w:val="clear" w:color="auto" w:fill="auto"/>
            <w:vAlign w:val="center"/>
            <w:hideMark/>
          </w:tcPr>
          <w:p w14:paraId="442643D7" w14:textId="77777777" w:rsidR="00412E11" w:rsidRPr="00EC49A8" w:rsidRDefault="00412E11" w:rsidP="000C5C29">
            <w:pPr>
              <w:spacing w:before="0" w:after="0"/>
              <w:jc w:val="center"/>
              <w:rPr>
                <w:noProof/>
                <w:sz w:val="20"/>
                <w:szCs w:val="20"/>
              </w:rPr>
            </w:pPr>
            <w:r w:rsidRPr="00EC49A8">
              <w:rPr>
                <w:noProof/>
                <w:sz w:val="20"/>
              </w:rPr>
              <w:t>Anno</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056A5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060502C8" w14:textId="77777777" w:rsidTr="000C5C29">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315678CE" w14:textId="77777777" w:rsidR="00412E11" w:rsidRPr="00EC49A8" w:rsidRDefault="00412E11" w:rsidP="000C5C29">
            <w:pPr>
              <w:spacing w:before="0" w:after="0"/>
              <w:jc w:val="left"/>
              <w:rPr>
                <w:noProof/>
                <w:sz w:val="22"/>
                <w:lang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D654C2E"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14:paraId="12285648"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14:paraId="3082CC44"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14:paraId="24E32AD1"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39EE4CCC" w14:textId="77777777" w:rsidR="00412E11" w:rsidRPr="00EC49A8" w:rsidRDefault="00412E11" w:rsidP="000C5C29">
            <w:pPr>
              <w:spacing w:before="0" w:after="0"/>
              <w:jc w:val="left"/>
              <w:rPr>
                <w:b/>
                <w:bCs/>
                <w:noProof/>
                <w:sz w:val="20"/>
                <w:szCs w:val="20"/>
                <w:lang w:eastAsia="en-IE"/>
              </w:rPr>
            </w:pPr>
          </w:p>
        </w:tc>
      </w:tr>
      <w:tr w:rsidR="00E254F3" w:rsidRPr="00EC49A8" w14:paraId="6BA1096D" w14:textId="77777777" w:rsidTr="000C5C29">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9486FE0" w14:textId="77777777" w:rsidR="00412E11" w:rsidRPr="00EC49A8" w:rsidRDefault="00412E11" w:rsidP="000C5C29">
            <w:pPr>
              <w:spacing w:before="0" w:after="0"/>
              <w:rPr>
                <w:noProof/>
                <w:sz w:val="21"/>
                <w:szCs w:val="21"/>
              </w:rPr>
            </w:pPr>
            <w:r w:rsidRPr="00EC49A8">
              <w:rPr>
                <w:noProof/>
                <w:sz w:val="21"/>
              </w:rPr>
              <w:t xml:space="preserve">Stanziamenti operativi </w:t>
            </w:r>
          </w:p>
        </w:tc>
        <w:tc>
          <w:tcPr>
            <w:tcW w:w="441" w:type="pct"/>
            <w:tcBorders>
              <w:top w:val="nil"/>
              <w:left w:val="nil"/>
              <w:bottom w:val="single" w:sz="8" w:space="0" w:color="auto"/>
              <w:right w:val="single" w:sz="8" w:space="0" w:color="auto"/>
            </w:tcBorders>
            <w:shd w:val="clear" w:color="auto" w:fill="auto"/>
            <w:vAlign w:val="center"/>
            <w:hideMark/>
          </w:tcPr>
          <w:p w14:paraId="3AF8A736"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0339D5A"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72884A1" w14:textId="77777777" w:rsidR="00412E11" w:rsidRPr="00EC49A8" w:rsidRDefault="00412E11" w:rsidP="000C5C29">
            <w:pPr>
              <w:spacing w:before="0" w:after="0"/>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3874BC93" w14:textId="77777777" w:rsidR="00412E11" w:rsidRPr="00EC49A8" w:rsidRDefault="00412E11" w:rsidP="000C5C29">
            <w:pPr>
              <w:spacing w:before="0" w:after="0"/>
              <w:rPr>
                <w:b/>
                <w:bCs/>
                <w:noProof/>
                <w:sz w:val="20"/>
                <w:szCs w:val="20"/>
              </w:rPr>
            </w:pPr>
            <w:r w:rsidRPr="00EC49A8">
              <w:rPr>
                <w:b/>
                <w:noProof/>
                <w:sz w:val="20"/>
              </w:rPr>
              <w:t xml:space="preserve"> </w:t>
            </w:r>
          </w:p>
        </w:tc>
        <w:tc>
          <w:tcPr>
            <w:tcW w:w="534" w:type="pct"/>
            <w:tcBorders>
              <w:top w:val="nil"/>
              <w:left w:val="nil"/>
              <w:bottom w:val="single" w:sz="8" w:space="0" w:color="auto"/>
              <w:right w:val="single" w:sz="8" w:space="0" w:color="auto"/>
            </w:tcBorders>
            <w:shd w:val="clear" w:color="auto" w:fill="auto"/>
            <w:vAlign w:val="center"/>
            <w:hideMark/>
          </w:tcPr>
          <w:p w14:paraId="7173340F" w14:textId="77777777" w:rsidR="00412E11" w:rsidRPr="00EC49A8" w:rsidRDefault="00412E11" w:rsidP="000C5C29">
            <w:pPr>
              <w:spacing w:before="0" w:after="0"/>
              <w:rPr>
                <w:b/>
                <w:bCs/>
                <w:noProof/>
                <w:sz w:val="20"/>
                <w:szCs w:val="20"/>
              </w:rPr>
            </w:pPr>
            <w:r w:rsidRPr="00EC49A8">
              <w:rPr>
                <w:b/>
                <w:noProof/>
                <w:sz w:val="20"/>
              </w:rPr>
              <w:t xml:space="preserve"> </w:t>
            </w:r>
          </w:p>
        </w:tc>
      </w:tr>
      <w:tr w:rsidR="00E254F3" w:rsidRPr="00EC49A8" w14:paraId="40F0C0EA"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BF37CAE" w14:textId="77777777" w:rsidR="00412E11" w:rsidRPr="00EC49A8" w:rsidRDefault="00412E11" w:rsidP="000C5C29">
            <w:pPr>
              <w:spacing w:before="0" w:after="0"/>
              <w:jc w:val="left"/>
              <w:rPr>
                <w:noProof/>
                <w:sz w:val="22"/>
              </w:rPr>
            </w:pPr>
            <w:r w:rsidRPr="00EC49A8">
              <w:rPr>
                <w:noProof/>
                <w:sz w:val="22"/>
              </w:rPr>
              <w:t>Linea di bilancio</w:t>
            </w:r>
          </w:p>
        </w:tc>
        <w:tc>
          <w:tcPr>
            <w:tcW w:w="471" w:type="pct"/>
            <w:tcBorders>
              <w:top w:val="nil"/>
              <w:left w:val="nil"/>
              <w:bottom w:val="single" w:sz="8" w:space="0" w:color="auto"/>
              <w:right w:val="single" w:sz="8" w:space="0" w:color="auto"/>
            </w:tcBorders>
            <w:shd w:val="clear" w:color="auto" w:fill="auto"/>
            <w:vAlign w:val="center"/>
            <w:hideMark/>
          </w:tcPr>
          <w:p w14:paraId="6702F035" w14:textId="77777777" w:rsidR="00412E11" w:rsidRPr="00EC49A8" w:rsidRDefault="00412E11" w:rsidP="000C5C29">
            <w:pPr>
              <w:spacing w:before="0" w:after="0"/>
              <w:rPr>
                <w:noProof/>
                <w:sz w:val="18"/>
                <w:szCs w:val="18"/>
              </w:rPr>
            </w:pPr>
            <w:r w:rsidRPr="00EC49A8">
              <w:rPr>
                <w:noProof/>
                <w:sz w:val="18"/>
              </w:rPr>
              <w:t>Impegni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76C608A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p>
        </w:tc>
        <w:tc>
          <w:tcPr>
            <w:tcW w:w="441" w:type="pct"/>
            <w:tcBorders>
              <w:top w:val="nil"/>
              <w:left w:val="nil"/>
              <w:bottom w:val="single" w:sz="8" w:space="0" w:color="auto"/>
              <w:right w:val="single" w:sz="8" w:space="0" w:color="auto"/>
            </w:tcBorders>
            <w:shd w:val="clear" w:color="auto" w:fill="auto"/>
            <w:vAlign w:val="center"/>
            <w:hideMark/>
          </w:tcPr>
          <w:p w14:paraId="2646E1F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8584902"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3DF577A4"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CFBA4F9"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2CF4A87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A7E0F60"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6F25B45C" w14:textId="77777777" w:rsidR="00412E11" w:rsidRPr="00EC49A8" w:rsidRDefault="00412E11" w:rsidP="000C5C29">
            <w:pPr>
              <w:spacing w:before="0" w:after="0"/>
              <w:jc w:val="left"/>
              <w:rPr>
                <w:noProof/>
                <w:sz w:val="22"/>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14852815" w14:textId="77777777" w:rsidR="00412E11" w:rsidRPr="00EC49A8" w:rsidRDefault="00412E11" w:rsidP="000C5C29">
            <w:pPr>
              <w:spacing w:before="0" w:after="0"/>
              <w:rPr>
                <w:noProof/>
                <w:sz w:val="18"/>
                <w:szCs w:val="18"/>
              </w:rPr>
            </w:pPr>
            <w:r w:rsidRPr="00EC49A8">
              <w:rPr>
                <w:noProof/>
                <w:sz w:val="18"/>
              </w:rPr>
              <w:t>Pagamenti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535F6E71"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p>
        </w:tc>
        <w:tc>
          <w:tcPr>
            <w:tcW w:w="441" w:type="pct"/>
            <w:tcBorders>
              <w:top w:val="nil"/>
              <w:left w:val="nil"/>
              <w:bottom w:val="single" w:sz="8" w:space="0" w:color="auto"/>
              <w:right w:val="single" w:sz="8" w:space="0" w:color="auto"/>
            </w:tcBorders>
            <w:shd w:val="clear" w:color="auto" w:fill="auto"/>
            <w:vAlign w:val="center"/>
            <w:hideMark/>
          </w:tcPr>
          <w:p w14:paraId="0F1CC377"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5D835A9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1337FD39"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65FA326C"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4A6D345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17AC7F7A"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3120B5EF" w14:textId="77777777" w:rsidR="00412E11" w:rsidRPr="00EC49A8" w:rsidRDefault="00412E11" w:rsidP="000C5C29">
            <w:pPr>
              <w:spacing w:before="0" w:after="0"/>
              <w:rPr>
                <w:noProof/>
                <w:sz w:val="20"/>
                <w:szCs w:val="20"/>
              </w:rPr>
            </w:pPr>
            <w:r w:rsidRPr="00EC49A8">
              <w:rPr>
                <w:noProof/>
                <w:sz w:val="20"/>
              </w:rPr>
              <w:t>Linea di bilancio</w:t>
            </w:r>
          </w:p>
        </w:tc>
        <w:tc>
          <w:tcPr>
            <w:tcW w:w="471" w:type="pct"/>
            <w:tcBorders>
              <w:top w:val="nil"/>
              <w:left w:val="nil"/>
              <w:bottom w:val="single" w:sz="8" w:space="0" w:color="auto"/>
              <w:right w:val="single" w:sz="8" w:space="0" w:color="auto"/>
            </w:tcBorders>
            <w:shd w:val="clear" w:color="auto" w:fill="auto"/>
            <w:vAlign w:val="center"/>
            <w:hideMark/>
          </w:tcPr>
          <w:p w14:paraId="4EF0666B" w14:textId="77777777" w:rsidR="00412E11" w:rsidRPr="00EC49A8" w:rsidRDefault="00412E11" w:rsidP="000C5C29">
            <w:pPr>
              <w:spacing w:before="0" w:after="0"/>
              <w:rPr>
                <w:noProof/>
                <w:sz w:val="18"/>
                <w:szCs w:val="18"/>
              </w:rPr>
            </w:pPr>
            <w:r w:rsidRPr="00EC49A8">
              <w:rPr>
                <w:noProof/>
                <w:sz w:val="18"/>
              </w:rPr>
              <w:t>Impegni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7795F37B"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b)</w:t>
            </w:r>
          </w:p>
        </w:tc>
        <w:tc>
          <w:tcPr>
            <w:tcW w:w="441" w:type="pct"/>
            <w:tcBorders>
              <w:top w:val="nil"/>
              <w:left w:val="nil"/>
              <w:bottom w:val="single" w:sz="8" w:space="0" w:color="auto"/>
              <w:right w:val="single" w:sz="8" w:space="0" w:color="auto"/>
            </w:tcBorders>
            <w:shd w:val="clear" w:color="auto" w:fill="auto"/>
            <w:vAlign w:val="center"/>
            <w:hideMark/>
          </w:tcPr>
          <w:p w14:paraId="4EAAA301"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033C37CE"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38359687"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7ADC97D4"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7BB9883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4249A1D"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4FA333C6" w14:textId="77777777" w:rsidR="00412E11" w:rsidRPr="00EC49A8" w:rsidRDefault="00412E11" w:rsidP="000C5C29">
            <w:pPr>
              <w:spacing w:before="0" w:after="0"/>
              <w:jc w:val="left"/>
              <w:rPr>
                <w:noProof/>
                <w:sz w:val="20"/>
                <w:szCs w:val="20"/>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43062592" w14:textId="77777777" w:rsidR="00412E11" w:rsidRPr="00EC49A8" w:rsidRDefault="00412E11" w:rsidP="000C5C29">
            <w:pPr>
              <w:spacing w:before="0" w:after="0"/>
              <w:rPr>
                <w:noProof/>
                <w:sz w:val="18"/>
                <w:szCs w:val="18"/>
              </w:rPr>
            </w:pPr>
            <w:r w:rsidRPr="00EC49A8">
              <w:rPr>
                <w:noProof/>
                <w:sz w:val="18"/>
              </w:rPr>
              <w:t>Pagamenti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5DDC286E"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b)</w:t>
            </w:r>
          </w:p>
        </w:tc>
        <w:tc>
          <w:tcPr>
            <w:tcW w:w="441" w:type="pct"/>
            <w:tcBorders>
              <w:top w:val="nil"/>
              <w:left w:val="nil"/>
              <w:bottom w:val="single" w:sz="8" w:space="0" w:color="auto"/>
              <w:right w:val="single" w:sz="8" w:space="0" w:color="auto"/>
            </w:tcBorders>
            <w:shd w:val="clear" w:color="auto" w:fill="auto"/>
            <w:vAlign w:val="center"/>
            <w:hideMark/>
          </w:tcPr>
          <w:p w14:paraId="6207EE5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65501690"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4C7E75A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2A74F56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63F7CA9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A0FEA3A" w14:textId="77777777" w:rsidTr="000C5C2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7B392366" w14:textId="77777777" w:rsidR="00412E11" w:rsidRPr="00EC49A8" w:rsidRDefault="00412E11" w:rsidP="000C5C29">
            <w:pPr>
              <w:spacing w:before="0" w:after="0"/>
              <w:jc w:val="left"/>
              <w:rPr>
                <w:noProof/>
                <w:sz w:val="22"/>
              </w:rPr>
            </w:pPr>
            <w:r w:rsidRPr="00EC49A8">
              <w:rPr>
                <w:noProof/>
                <w:sz w:val="22"/>
              </w:rPr>
              <w:t>Stanziamenti amministrativi finanziati dalla dotazione di programmi specifici</w:t>
            </w:r>
            <w:r w:rsidRPr="00EC49A8">
              <w:rPr>
                <w:rStyle w:val="FootnoteReference"/>
                <w:noProof/>
                <w:sz w:val="22"/>
                <w:lang w:eastAsia="en-IE"/>
              </w:rPr>
              <w:footnoteReference w:id="17"/>
            </w:r>
            <w:r w:rsidRPr="00EC49A8">
              <w:rPr>
                <w:noProof/>
                <w:sz w:val="22"/>
              </w:rPr>
              <w:t xml:space="preserve"> </w:t>
            </w:r>
          </w:p>
        </w:tc>
      </w:tr>
      <w:tr w:rsidR="00E254F3" w:rsidRPr="00EC49A8" w14:paraId="785BB6ED"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2F999BBF" w14:textId="77777777" w:rsidR="00412E11" w:rsidRPr="00EC49A8" w:rsidRDefault="00412E11" w:rsidP="000C5C29">
            <w:pPr>
              <w:spacing w:before="0" w:after="0"/>
              <w:rPr>
                <w:noProof/>
                <w:sz w:val="20"/>
                <w:szCs w:val="20"/>
              </w:rPr>
            </w:pPr>
            <w:r w:rsidRPr="00EC49A8">
              <w:rPr>
                <w:noProof/>
                <w:sz w:val="20"/>
              </w:rPr>
              <w:t>Linea di bilancio</w:t>
            </w:r>
          </w:p>
        </w:tc>
        <w:tc>
          <w:tcPr>
            <w:tcW w:w="471" w:type="pct"/>
            <w:tcBorders>
              <w:top w:val="nil"/>
              <w:left w:val="nil"/>
              <w:bottom w:val="single" w:sz="8" w:space="0" w:color="auto"/>
              <w:right w:val="single" w:sz="8" w:space="0" w:color="auto"/>
            </w:tcBorders>
            <w:shd w:val="clear" w:color="auto" w:fill="auto"/>
            <w:vAlign w:val="center"/>
            <w:hideMark/>
          </w:tcPr>
          <w:p w14:paraId="32F8BEB6" w14:textId="77777777" w:rsidR="00412E11" w:rsidRPr="00EC49A8" w:rsidRDefault="00412E11" w:rsidP="000C5C29">
            <w:pPr>
              <w:spacing w:before="0" w:after="0"/>
              <w:jc w:val="right"/>
              <w:rPr>
                <w:noProof/>
                <w:sz w:val="18"/>
                <w:szCs w:val="18"/>
              </w:rPr>
            </w:pPr>
            <w:r w:rsidRPr="00EC49A8">
              <w:rPr>
                <w:noProof/>
                <w:sz w:val="18"/>
              </w:rPr>
              <w:t xml:space="preserve"> </w:t>
            </w:r>
          </w:p>
        </w:tc>
        <w:tc>
          <w:tcPr>
            <w:tcW w:w="709" w:type="pct"/>
            <w:tcBorders>
              <w:top w:val="nil"/>
              <w:left w:val="nil"/>
              <w:bottom w:val="single" w:sz="8" w:space="0" w:color="auto"/>
              <w:right w:val="single" w:sz="8" w:space="0" w:color="000000"/>
            </w:tcBorders>
            <w:shd w:val="clear" w:color="auto" w:fill="auto"/>
            <w:vAlign w:val="center"/>
            <w:hideMark/>
          </w:tcPr>
          <w:p w14:paraId="0BB91B2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3</w:t>
            </w:r>
            <w:r w:rsidRPr="00EC49A8">
              <w:rPr>
                <w:noProof/>
                <w:sz w:val="14"/>
              </w:rPr>
              <w:t>)</w:t>
            </w:r>
          </w:p>
        </w:tc>
        <w:tc>
          <w:tcPr>
            <w:tcW w:w="441" w:type="pct"/>
            <w:tcBorders>
              <w:top w:val="nil"/>
              <w:left w:val="nil"/>
              <w:bottom w:val="single" w:sz="8" w:space="0" w:color="auto"/>
              <w:right w:val="single" w:sz="8" w:space="0" w:color="auto"/>
            </w:tcBorders>
            <w:shd w:val="clear" w:color="auto" w:fill="auto"/>
            <w:vAlign w:val="center"/>
            <w:hideMark/>
          </w:tcPr>
          <w:p w14:paraId="57540C4C"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4E68AAFB"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20744430"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41" w:type="pct"/>
            <w:tcBorders>
              <w:top w:val="nil"/>
              <w:left w:val="nil"/>
              <w:bottom w:val="single" w:sz="8" w:space="0" w:color="auto"/>
              <w:right w:val="single" w:sz="8" w:space="0" w:color="auto"/>
            </w:tcBorders>
            <w:shd w:val="clear" w:color="auto" w:fill="auto"/>
            <w:vAlign w:val="center"/>
            <w:hideMark/>
          </w:tcPr>
          <w:p w14:paraId="2768B995"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534" w:type="pct"/>
            <w:tcBorders>
              <w:top w:val="nil"/>
              <w:left w:val="nil"/>
              <w:bottom w:val="single" w:sz="8" w:space="0" w:color="auto"/>
              <w:right w:val="single" w:sz="8" w:space="0" w:color="auto"/>
            </w:tcBorders>
            <w:shd w:val="clear" w:color="000000" w:fill="D9D9D9"/>
            <w:vAlign w:val="center"/>
            <w:hideMark/>
          </w:tcPr>
          <w:p w14:paraId="77A4624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540CC95" w14:textId="77777777" w:rsidTr="000C5C29">
        <w:trPr>
          <w:trHeight w:val="300"/>
        </w:trPr>
        <w:tc>
          <w:tcPr>
            <w:tcW w:w="1522" w:type="pct"/>
            <w:tcBorders>
              <w:top w:val="nil"/>
              <w:left w:val="single" w:sz="8" w:space="0" w:color="auto"/>
              <w:bottom w:val="nil"/>
              <w:right w:val="single" w:sz="8" w:space="0" w:color="auto"/>
            </w:tcBorders>
            <w:shd w:val="clear" w:color="auto" w:fill="auto"/>
            <w:vAlign w:val="center"/>
            <w:hideMark/>
          </w:tcPr>
          <w:p w14:paraId="7185A0A6" w14:textId="77777777" w:rsidR="00412E11" w:rsidRPr="00EC49A8" w:rsidRDefault="00412E11" w:rsidP="000C5C29">
            <w:pPr>
              <w:spacing w:before="0" w:after="0"/>
              <w:jc w:val="center"/>
              <w:rPr>
                <w:b/>
                <w:bCs/>
                <w:noProof/>
                <w:sz w:val="22"/>
              </w:rPr>
            </w:pPr>
            <w:r w:rsidRPr="00EC49A8">
              <w:rPr>
                <w:b/>
                <w:noProof/>
                <w:sz w:val="22"/>
              </w:rPr>
              <w:t>TOTALE stanziamenti</w:t>
            </w:r>
          </w:p>
        </w:tc>
        <w:tc>
          <w:tcPr>
            <w:tcW w:w="471" w:type="pct"/>
            <w:tcBorders>
              <w:top w:val="nil"/>
              <w:left w:val="nil"/>
              <w:bottom w:val="single" w:sz="8" w:space="0" w:color="auto"/>
              <w:right w:val="single" w:sz="8" w:space="0" w:color="auto"/>
            </w:tcBorders>
            <w:shd w:val="clear" w:color="auto" w:fill="auto"/>
            <w:vAlign w:val="center"/>
            <w:hideMark/>
          </w:tcPr>
          <w:p w14:paraId="2E70F891" w14:textId="77777777" w:rsidR="00412E11" w:rsidRPr="00EC49A8" w:rsidRDefault="00412E11" w:rsidP="000C5C29">
            <w:pPr>
              <w:spacing w:before="0" w:after="0"/>
              <w:rPr>
                <w:noProof/>
                <w:sz w:val="18"/>
                <w:szCs w:val="18"/>
              </w:rPr>
            </w:pPr>
            <w:r w:rsidRPr="00EC49A8">
              <w:rPr>
                <w:noProof/>
                <w:sz w:val="18"/>
              </w:rPr>
              <w:t>Impegni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3EFC9AAF"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r w:rsidRPr="00B17672">
              <w:rPr>
                <w:noProof/>
                <w:sz w:val="14"/>
              </w:rPr>
              <w:t>1</w:t>
            </w:r>
            <w:r w:rsidRPr="00EC49A8">
              <w:rPr>
                <w:noProof/>
                <w:sz w:val="14"/>
              </w:rPr>
              <w:t>b +</w:t>
            </w:r>
            <w:r w:rsidRPr="00B17672">
              <w:rPr>
                <w:noProof/>
                <w:sz w:val="14"/>
              </w:rPr>
              <w:t>3</w:t>
            </w:r>
          </w:p>
        </w:tc>
        <w:tc>
          <w:tcPr>
            <w:tcW w:w="441" w:type="pct"/>
            <w:tcBorders>
              <w:top w:val="nil"/>
              <w:left w:val="nil"/>
              <w:bottom w:val="single" w:sz="8" w:space="0" w:color="auto"/>
              <w:right w:val="single" w:sz="8" w:space="0" w:color="auto"/>
            </w:tcBorders>
            <w:shd w:val="clear" w:color="000000" w:fill="D9D9D9"/>
            <w:vAlign w:val="center"/>
            <w:hideMark/>
          </w:tcPr>
          <w:p w14:paraId="7BC6F46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1A9B028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47BD29F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3F00E88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34" w:type="pct"/>
            <w:tcBorders>
              <w:top w:val="nil"/>
              <w:left w:val="nil"/>
              <w:bottom w:val="single" w:sz="8" w:space="0" w:color="auto"/>
              <w:right w:val="single" w:sz="8" w:space="0" w:color="auto"/>
            </w:tcBorders>
            <w:shd w:val="clear" w:color="000000" w:fill="D9D9D9"/>
            <w:vAlign w:val="center"/>
            <w:hideMark/>
          </w:tcPr>
          <w:p w14:paraId="20E4D15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6978819"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21F523E8" w14:textId="77777777" w:rsidR="00412E11" w:rsidRPr="00EC49A8" w:rsidRDefault="00412E11" w:rsidP="000C5C29">
            <w:pPr>
              <w:spacing w:before="0" w:after="0"/>
              <w:jc w:val="center"/>
              <w:rPr>
                <w:b/>
                <w:bCs/>
                <w:noProof/>
                <w:sz w:val="22"/>
              </w:rPr>
            </w:pPr>
            <w:r w:rsidRPr="00EC49A8">
              <w:rPr>
                <w:b/>
                <w:noProof/>
                <w:sz w:val="22"/>
              </w:rPr>
              <w:t>per la DG</w:t>
            </w:r>
            <w:r w:rsidRPr="00EC49A8">
              <w:rPr>
                <w:noProof/>
                <w:sz w:val="22"/>
              </w:rPr>
              <w:t xml:space="preserve"> &lt;…….&gt;</w:t>
            </w:r>
          </w:p>
        </w:tc>
        <w:tc>
          <w:tcPr>
            <w:tcW w:w="471" w:type="pct"/>
            <w:tcBorders>
              <w:top w:val="nil"/>
              <w:left w:val="nil"/>
              <w:bottom w:val="single" w:sz="8" w:space="0" w:color="auto"/>
              <w:right w:val="single" w:sz="8" w:space="0" w:color="auto"/>
            </w:tcBorders>
            <w:shd w:val="clear" w:color="auto" w:fill="auto"/>
            <w:vAlign w:val="center"/>
            <w:hideMark/>
          </w:tcPr>
          <w:p w14:paraId="546F4276" w14:textId="77777777" w:rsidR="00412E11" w:rsidRPr="00EC49A8" w:rsidRDefault="00412E11" w:rsidP="000C5C29">
            <w:pPr>
              <w:spacing w:before="0" w:after="0"/>
              <w:rPr>
                <w:noProof/>
                <w:sz w:val="18"/>
                <w:szCs w:val="18"/>
              </w:rPr>
            </w:pPr>
            <w:r w:rsidRPr="00EC49A8">
              <w:rPr>
                <w:noProof/>
                <w:sz w:val="18"/>
              </w:rPr>
              <w:t>Pagamenti</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4B559823"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41" w:type="pct"/>
            <w:tcBorders>
              <w:top w:val="nil"/>
              <w:left w:val="nil"/>
              <w:bottom w:val="single" w:sz="8" w:space="0" w:color="auto"/>
              <w:right w:val="single" w:sz="8" w:space="0" w:color="auto"/>
            </w:tcBorders>
            <w:shd w:val="clear" w:color="000000" w:fill="D9D9D9"/>
            <w:vAlign w:val="center"/>
            <w:hideMark/>
          </w:tcPr>
          <w:p w14:paraId="2DBA467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5E2D1AB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0366CB2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41" w:type="pct"/>
            <w:tcBorders>
              <w:top w:val="nil"/>
              <w:left w:val="nil"/>
              <w:bottom w:val="single" w:sz="8" w:space="0" w:color="auto"/>
              <w:right w:val="single" w:sz="8" w:space="0" w:color="auto"/>
            </w:tcBorders>
            <w:shd w:val="clear" w:color="000000" w:fill="D9D9D9"/>
            <w:vAlign w:val="center"/>
            <w:hideMark/>
          </w:tcPr>
          <w:p w14:paraId="198B730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34" w:type="pct"/>
            <w:tcBorders>
              <w:top w:val="nil"/>
              <w:left w:val="nil"/>
              <w:bottom w:val="single" w:sz="8" w:space="0" w:color="auto"/>
              <w:right w:val="single" w:sz="8" w:space="0" w:color="auto"/>
            </w:tcBorders>
            <w:shd w:val="clear" w:color="000000" w:fill="D9D9D9"/>
            <w:vAlign w:val="center"/>
            <w:hideMark/>
          </w:tcPr>
          <w:p w14:paraId="15C7A1D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1E4CF143" w14:textId="77777777" w:rsidR="00412E11" w:rsidRPr="00EC49A8" w:rsidRDefault="00412E11" w:rsidP="000C5C29">
      <w:pPr>
        <w:rPr>
          <w:noProof/>
        </w:rPr>
      </w:pPr>
    </w:p>
    <w:tbl>
      <w:tblPr>
        <w:tblW w:w="5000" w:type="pct"/>
        <w:tblLook w:val="04A0" w:firstRow="1" w:lastRow="0" w:firstColumn="1" w:lastColumn="0" w:noHBand="0" w:noVBand="1"/>
      </w:tblPr>
      <w:tblGrid>
        <w:gridCol w:w="4013"/>
        <w:gridCol w:w="316"/>
        <w:gridCol w:w="1189"/>
        <w:gridCol w:w="151"/>
        <w:gridCol w:w="1038"/>
        <w:gridCol w:w="210"/>
        <w:gridCol w:w="830"/>
        <w:gridCol w:w="572"/>
        <w:gridCol w:w="671"/>
        <w:gridCol w:w="731"/>
        <w:gridCol w:w="512"/>
        <w:gridCol w:w="890"/>
        <w:gridCol w:w="353"/>
        <w:gridCol w:w="1049"/>
        <w:gridCol w:w="193"/>
        <w:gridCol w:w="1502"/>
      </w:tblGrid>
      <w:tr w:rsidR="00E254F3" w:rsidRPr="00EC49A8" w14:paraId="13BDE7D7" w14:textId="77777777" w:rsidTr="000C5C29">
        <w:trPr>
          <w:trHeight w:val="300"/>
        </w:trPr>
        <w:tc>
          <w:tcPr>
            <w:tcW w:w="2432"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D06A70" w14:textId="77777777" w:rsidR="00412E11" w:rsidRPr="00EC49A8" w:rsidRDefault="00412E11" w:rsidP="000C5C29">
            <w:pPr>
              <w:spacing w:before="0" w:after="0"/>
              <w:jc w:val="center"/>
              <w:rPr>
                <w:b/>
                <w:bCs/>
                <w:noProof/>
                <w:sz w:val="22"/>
              </w:rPr>
            </w:pPr>
            <w:r w:rsidRPr="00EC49A8">
              <w:rPr>
                <w:b/>
                <w:noProof/>
                <w:sz w:val="22"/>
              </w:rPr>
              <w:t xml:space="preserve">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3E900F06"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379D25D5"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22C12F40"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683E800A" w14:textId="77777777" w:rsidR="00412E11" w:rsidRPr="00EC49A8" w:rsidRDefault="00412E11" w:rsidP="000C5C29">
            <w:pPr>
              <w:spacing w:before="0" w:after="0"/>
              <w:jc w:val="center"/>
              <w:rPr>
                <w:noProof/>
                <w:sz w:val="20"/>
                <w:szCs w:val="20"/>
              </w:rPr>
            </w:pPr>
            <w:r w:rsidRPr="00EC49A8">
              <w:rPr>
                <w:noProof/>
                <w:sz w:val="20"/>
              </w:rPr>
              <w:t>Anno</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0C2FF03"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0693319B" w14:textId="77777777" w:rsidTr="000C5C29">
        <w:trPr>
          <w:trHeight w:val="300"/>
        </w:trPr>
        <w:tc>
          <w:tcPr>
            <w:tcW w:w="2432" w:type="pct"/>
            <w:gridSpan w:val="6"/>
            <w:vMerge/>
            <w:tcBorders>
              <w:top w:val="single" w:sz="8" w:space="0" w:color="auto"/>
              <w:left w:val="single" w:sz="8" w:space="0" w:color="auto"/>
              <w:bottom w:val="single" w:sz="8" w:space="0" w:color="000000"/>
              <w:right w:val="single" w:sz="8" w:space="0" w:color="000000"/>
            </w:tcBorders>
            <w:vAlign w:val="center"/>
            <w:hideMark/>
          </w:tcPr>
          <w:p w14:paraId="7773DD19" w14:textId="77777777" w:rsidR="00412E11" w:rsidRPr="00EC49A8" w:rsidRDefault="00412E11" w:rsidP="000C5C29">
            <w:pPr>
              <w:spacing w:before="0" w:after="0"/>
              <w:jc w:val="left"/>
              <w:rPr>
                <w:b/>
                <w:bCs/>
                <w:noProof/>
                <w:sz w:val="22"/>
                <w:lang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14:paraId="32F5F88D"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14:paraId="214D056D"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14:paraId="22D5F606"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14:paraId="054C0C57"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14:paraId="51821602" w14:textId="77777777" w:rsidR="00412E11" w:rsidRPr="00EC49A8" w:rsidRDefault="00412E11" w:rsidP="000C5C29">
            <w:pPr>
              <w:spacing w:before="0" w:after="0"/>
              <w:jc w:val="left"/>
              <w:rPr>
                <w:b/>
                <w:bCs/>
                <w:noProof/>
                <w:sz w:val="20"/>
                <w:szCs w:val="20"/>
                <w:lang w:eastAsia="en-IE"/>
              </w:rPr>
            </w:pPr>
          </w:p>
        </w:tc>
      </w:tr>
      <w:tr w:rsidR="00E254F3" w:rsidRPr="00EC49A8" w14:paraId="690D4232"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57E2C9D8" w14:textId="77777777" w:rsidR="00412E11" w:rsidRPr="00EC49A8" w:rsidRDefault="00412E11" w:rsidP="000C5C29">
            <w:pPr>
              <w:spacing w:before="0" w:after="0"/>
              <w:rPr>
                <w:noProof/>
                <w:sz w:val="21"/>
                <w:szCs w:val="21"/>
              </w:rPr>
            </w:pPr>
            <w:r w:rsidRPr="00EC49A8">
              <w:rPr>
                <w:noProof/>
                <w:sz w:val="21"/>
              </w:rPr>
              <w:t xml:space="preserve">TOTALE stanziamenti operativi </w:t>
            </w:r>
            <w:r w:rsidRPr="00EC49A8">
              <w:rPr>
                <w:noProof/>
              </w:rPr>
              <w:t xml:space="preserve"> </w:t>
            </w:r>
            <w:r w:rsidRPr="00EC49A8">
              <w:rPr>
                <w:noProof/>
              </w:rPr>
              <w:br/>
            </w:r>
          </w:p>
        </w:tc>
        <w:tc>
          <w:tcPr>
            <w:tcW w:w="529" w:type="pct"/>
            <w:gridSpan w:val="2"/>
            <w:tcBorders>
              <w:top w:val="nil"/>
              <w:left w:val="nil"/>
              <w:bottom w:val="single" w:sz="8" w:space="0" w:color="auto"/>
              <w:right w:val="single" w:sz="8" w:space="0" w:color="auto"/>
            </w:tcBorders>
            <w:shd w:val="clear" w:color="auto" w:fill="auto"/>
            <w:vAlign w:val="center"/>
            <w:hideMark/>
          </w:tcPr>
          <w:p w14:paraId="326648B3" w14:textId="77777777" w:rsidR="00412E11" w:rsidRPr="00EC49A8" w:rsidRDefault="00412E11" w:rsidP="000C5C29">
            <w:pPr>
              <w:spacing w:before="0" w:after="0"/>
              <w:rPr>
                <w:noProof/>
                <w:sz w:val="18"/>
                <w:szCs w:val="18"/>
              </w:rPr>
            </w:pPr>
            <w:r w:rsidRPr="00EC49A8">
              <w:rPr>
                <w:noProof/>
                <w:sz w:val="18"/>
              </w:rPr>
              <w:t>Impegni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18FFBDB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61DE24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37EC4F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157054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27274E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BFC4C7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E81D4B0"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3CB16C61" w14:textId="77777777" w:rsidR="00412E11" w:rsidRPr="00EC49A8" w:rsidRDefault="00412E11" w:rsidP="000C5C29">
            <w:pPr>
              <w:spacing w:before="0" w:after="0"/>
              <w:jc w:val="left"/>
              <w:rPr>
                <w:noProof/>
                <w:sz w:val="21"/>
                <w:szCs w:val="21"/>
                <w:lang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14:paraId="7D979482" w14:textId="77777777" w:rsidR="00412E11" w:rsidRPr="00EC49A8" w:rsidRDefault="00412E11" w:rsidP="000C5C29">
            <w:pPr>
              <w:spacing w:before="0" w:after="0"/>
              <w:rPr>
                <w:noProof/>
                <w:sz w:val="18"/>
                <w:szCs w:val="18"/>
              </w:rPr>
            </w:pPr>
            <w:r w:rsidRPr="00EC49A8">
              <w:rPr>
                <w:noProof/>
                <w:sz w:val="18"/>
              </w:rPr>
              <w:t>Pagamenti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3B29462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975E512"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AE1AA4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E4E04E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21E60F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727BB2A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02952D9" w14:textId="77777777" w:rsidTr="00FC1640">
        <w:trPr>
          <w:trHeight w:val="924"/>
        </w:trPr>
        <w:tc>
          <w:tcPr>
            <w:tcW w:w="194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5C92EF1" w14:textId="77777777" w:rsidR="00412E11" w:rsidRPr="00EC49A8" w:rsidRDefault="00412E11" w:rsidP="000C5C29">
            <w:pPr>
              <w:spacing w:before="0" w:after="0"/>
              <w:rPr>
                <w:noProof/>
                <w:sz w:val="21"/>
                <w:szCs w:val="21"/>
              </w:rPr>
            </w:pPr>
            <w:r w:rsidRPr="00EC49A8">
              <w:rPr>
                <w:noProof/>
                <w:sz w:val="21"/>
              </w:rPr>
              <w:t xml:space="preserve">TOTALE stanziamenti amministrativi finanziati dalla dotazione di programmi specifici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321AA693"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37512C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D5DE05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5743C1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7328AD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590501F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2FB6800"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3C5C1ACF" w14:textId="77777777" w:rsidR="00412E11" w:rsidRPr="00EC49A8" w:rsidRDefault="00412E11" w:rsidP="000C5C29">
            <w:pPr>
              <w:spacing w:before="0" w:after="0"/>
              <w:jc w:val="center"/>
              <w:rPr>
                <w:b/>
                <w:bCs/>
                <w:noProof/>
                <w:sz w:val="22"/>
              </w:rPr>
            </w:pPr>
            <w:r w:rsidRPr="00EC49A8">
              <w:rPr>
                <w:b/>
                <w:noProof/>
                <w:sz w:val="22"/>
              </w:rPr>
              <w:t>TOTALE stanziamenti per la RUBRICA &lt;….&gt;</w:t>
            </w:r>
          </w:p>
        </w:tc>
        <w:tc>
          <w:tcPr>
            <w:tcW w:w="529" w:type="pct"/>
            <w:gridSpan w:val="2"/>
            <w:tcBorders>
              <w:top w:val="nil"/>
              <w:left w:val="nil"/>
              <w:bottom w:val="single" w:sz="8" w:space="0" w:color="auto"/>
              <w:right w:val="single" w:sz="8" w:space="0" w:color="auto"/>
            </w:tcBorders>
            <w:shd w:val="clear" w:color="auto" w:fill="auto"/>
            <w:vAlign w:val="center"/>
            <w:hideMark/>
          </w:tcPr>
          <w:p w14:paraId="347D5815" w14:textId="77777777" w:rsidR="00412E11" w:rsidRPr="00EC49A8" w:rsidRDefault="00412E11" w:rsidP="000C5C29">
            <w:pPr>
              <w:spacing w:before="0" w:after="0"/>
              <w:rPr>
                <w:noProof/>
                <w:sz w:val="18"/>
                <w:szCs w:val="18"/>
              </w:rPr>
            </w:pPr>
            <w:r w:rsidRPr="00EC49A8">
              <w:rPr>
                <w:noProof/>
                <w:sz w:val="18"/>
              </w:rPr>
              <w:t>Impegni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47A8F226"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75E717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D3313D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B8D928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13BE47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61B8A0B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A5F07BD"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01D18CB7" w14:textId="77777777" w:rsidR="00412E11" w:rsidRPr="00EC49A8" w:rsidRDefault="00412E11" w:rsidP="000C5C29">
            <w:pPr>
              <w:spacing w:before="0" w:after="0"/>
              <w:jc w:val="center"/>
              <w:rPr>
                <w:noProof/>
                <w:sz w:val="22"/>
              </w:rPr>
            </w:pPr>
            <w:r w:rsidRPr="00EC49A8">
              <w:rPr>
                <w:noProof/>
                <w:sz w:val="22"/>
              </w:rPr>
              <w:t>del quadro finanziario pluriennale</w:t>
            </w:r>
          </w:p>
        </w:tc>
        <w:tc>
          <w:tcPr>
            <w:tcW w:w="529" w:type="pct"/>
            <w:gridSpan w:val="2"/>
            <w:tcBorders>
              <w:top w:val="nil"/>
              <w:left w:val="nil"/>
              <w:bottom w:val="single" w:sz="8" w:space="0" w:color="auto"/>
              <w:right w:val="single" w:sz="8" w:space="0" w:color="auto"/>
            </w:tcBorders>
            <w:shd w:val="clear" w:color="auto" w:fill="auto"/>
            <w:vAlign w:val="center"/>
            <w:hideMark/>
          </w:tcPr>
          <w:p w14:paraId="5F0FEB3F" w14:textId="77777777" w:rsidR="00412E11" w:rsidRPr="00EC49A8" w:rsidRDefault="00412E11" w:rsidP="000C5C29">
            <w:pPr>
              <w:spacing w:before="0" w:after="0"/>
              <w:rPr>
                <w:noProof/>
                <w:sz w:val="18"/>
                <w:szCs w:val="18"/>
              </w:rPr>
            </w:pPr>
            <w:r w:rsidRPr="00EC49A8">
              <w:rPr>
                <w:noProof/>
                <w:sz w:val="18"/>
              </w:rPr>
              <w:t>Pagamenti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00C0CB85"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F4C4DE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D55BE0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D673A5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C36708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1F88B39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F1C32FC" w14:textId="77777777" w:rsidTr="00FC1640">
        <w:trPr>
          <w:trHeight w:val="288"/>
        </w:trPr>
        <w:tc>
          <w:tcPr>
            <w:tcW w:w="1522" w:type="pct"/>
            <w:gridSpan w:val="2"/>
            <w:tcBorders>
              <w:top w:val="nil"/>
              <w:left w:val="nil"/>
              <w:bottom w:val="nil"/>
              <w:right w:val="nil"/>
            </w:tcBorders>
            <w:shd w:val="clear" w:color="auto" w:fill="auto"/>
            <w:noWrap/>
            <w:vAlign w:val="bottom"/>
            <w:hideMark/>
          </w:tcPr>
          <w:p w14:paraId="0AB8D3FA" w14:textId="77777777" w:rsidR="00412E11" w:rsidRPr="00EC49A8" w:rsidRDefault="00412E11" w:rsidP="000C5C29">
            <w:pPr>
              <w:spacing w:before="0" w:after="0"/>
              <w:jc w:val="left"/>
              <w:rPr>
                <w:noProof/>
                <w:sz w:val="20"/>
                <w:szCs w:val="24"/>
                <w:lang w:eastAsia="en-IE"/>
              </w:rPr>
            </w:pPr>
          </w:p>
        </w:tc>
        <w:tc>
          <w:tcPr>
            <w:tcW w:w="471" w:type="pct"/>
            <w:gridSpan w:val="2"/>
            <w:tcBorders>
              <w:top w:val="nil"/>
              <w:left w:val="nil"/>
              <w:bottom w:val="nil"/>
              <w:right w:val="nil"/>
            </w:tcBorders>
            <w:shd w:val="clear" w:color="auto" w:fill="auto"/>
            <w:noWrap/>
            <w:vAlign w:val="bottom"/>
            <w:hideMark/>
          </w:tcPr>
          <w:p w14:paraId="6FA8CA07" w14:textId="77777777" w:rsidR="00412E11" w:rsidRPr="00EC49A8"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395B4ED4" w14:textId="77777777" w:rsidR="00412E11" w:rsidRPr="00EC49A8" w:rsidRDefault="00412E11" w:rsidP="000C5C29">
            <w:pPr>
              <w:spacing w:before="0" w:after="0"/>
              <w:jc w:val="left"/>
              <w:rPr>
                <w:noProof/>
                <w:sz w:val="20"/>
                <w:szCs w:val="20"/>
                <w:lang w:eastAsia="en-IE"/>
              </w:rPr>
            </w:pPr>
          </w:p>
        </w:tc>
        <w:tc>
          <w:tcPr>
            <w:tcW w:w="366" w:type="pct"/>
            <w:gridSpan w:val="2"/>
            <w:tcBorders>
              <w:top w:val="nil"/>
              <w:left w:val="nil"/>
              <w:bottom w:val="nil"/>
              <w:right w:val="single" w:sz="4" w:space="0" w:color="auto"/>
            </w:tcBorders>
            <w:shd w:val="clear" w:color="auto" w:fill="auto"/>
            <w:noWrap/>
            <w:vAlign w:val="bottom"/>
            <w:hideMark/>
          </w:tcPr>
          <w:p w14:paraId="7EEBDE39" w14:textId="77777777" w:rsidR="00412E11" w:rsidRPr="00EC49A8" w:rsidRDefault="00412E11" w:rsidP="000C5C29">
            <w:pPr>
              <w:spacing w:before="0" w:after="0"/>
              <w:jc w:val="left"/>
              <w:rPr>
                <w:noProof/>
                <w:sz w:val="20"/>
                <w:szCs w:val="20"/>
                <w:lang w:eastAsia="en-IE"/>
              </w:rPr>
            </w:pPr>
          </w:p>
        </w:tc>
        <w:tc>
          <w:tcPr>
            <w:tcW w:w="437" w:type="pct"/>
            <w:gridSpan w:val="2"/>
            <w:tcBorders>
              <w:top w:val="single" w:sz="8" w:space="0" w:color="auto"/>
              <w:left w:val="single" w:sz="4" w:space="0" w:color="auto"/>
              <w:bottom w:val="nil"/>
              <w:right w:val="single" w:sz="8" w:space="0" w:color="auto"/>
            </w:tcBorders>
            <w:shd w:val="clear" w:color="auto" w:fill="auto"/>
            <w:vAlign w:val="center"/>
            <w:hideMark/>
          </w:tcPr>
          <w:p w14:paraId="39B92E4A"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gridSpan w:val="2"/>
            <w:tcBorders>
              <w:top w:val="single" w:sz="8" w:space="0" w:color="auto"/>
              <w:left w:val="nil"/>
              <w:bottom w:val="nil"/>
              <w:right w:val="single" w:sz="8" w:space="0" w:color="auto"/>
            </w:tcBorders>
            <w:shd w:val="clear" w:color="auto" w:fill="auto"/>
            <w:vAlign w:val="center"/>
            <w:hideMark/>
          </w:tcPr>
          <w:p w14:paraId="103190D9"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gridSpan w:val="2"/>
            <w:tcBorders>
              <w:top w:val="single" w:sz="8" w:space="0" w:color="auto"/>
              <w:left w:val="nil"/>
              <w:bottom w:val="nil"/>
              <w:right w:val="single" w:sz="8" w:space="0" w:color="auto"/>
            </w:tcBorders>
            <w:shd w:val="clear" w:color="auto" w:fill="auto"/>
            <w:vAlign w:val="center"/>
            <w:hideMark/>
          </w:tcPr>
          <w:p w14:paraId="588E7EA4"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gridSpan w:val="2"/>
            <w:tcBorders>
              <w:top w:val="single" w:sz="8" w:space="0" w:color="auto"/>
              <w:left w:val="nil"/>
              <w:bottom w:val="nil"/>
              <w:right w:val="single" w:sz="8" w:space="0" w:color="auto"/>
            </w:tcBorders>
            <w:shd w:val="clear" w:color="auto" w:fill="auto"/>
            <w:vAlign w:val="center"/>
            <w:hideMark/>
          </w:tcPr>
          <w:p w14:paraId="6D9D410D" w14:textId="77777777" w:rsidR="00412E11" w:rsidRPr="00EC49A8" w:rsidRDefault="00412E11" w:rsidP="000C5C29">
            <w:pPr>
              <w:spacing w:before="0" w:after="0"/>
              <w:jc w:val="center"/>
              <w:rPr>
                <w:noProof/>
                <w:sz w:val="20"/>
                <w:szCs w:val="20"/>
              </w:rPr>
            </w:pPr>
            <w:r w:rsidRPr="00EC49A8">
              <w:rPr>
                <w:noProof/>
                <w:sz w:val="20"/>
              </w:rPr>
              <w:t>Anno</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D58A01"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4B728FB1" w14:textId="77777777" w:rsidTr="00FC1640">
        <w:trPr>
          <w:trHeight w:val="300"/>
        </w:trPr>
        <w:tc>
          <w:tcPr>
            <w:tcW w:w="1522" w:type="pct"/>
            <w:gridSpan w:val="2"/>
            <w:tcBorders>
              <w:top w:val="nil"/>
              <w:left w:val="nil"/>
              <w:bottom w:val="nil"/>
              <w:right w:val="nil"/>
            </w:tcBorders>
            <w:shd w:val="clear" w:color="auto" w:fill="auto"/>
            <w:noWrap/>
            <w:vAlign w:val="bottom"/>
            <w:hideMark/>
          </w:tcPr>
          <w:p w14:paraId="07DCD999" w14:textId="77777777" w:rsidR="00412E11" w:rsidRPr="00EC49A8" w:rsidRDefault="00412E11" w:rsidP="000C5C29">
            <w:pPr>
              <w:spacing w:before="0" w:after="0"/>
              <w:jc w:val="center"/>
              <w:rPr>
                <w:b/>
                <w:bCs/>
                <w:noProof/>
                <w:sz w:val="20"/>
                <w:szCs w:val="20"/>
                <w:lang w:eastAsia="en-IE"/>
              </w:rPr>
            </w:pPr>
          </w:p>
        </w:tc>
        <w:tc>
          <w:tcPr>
            <w:tcW w:w="471" w:type="pct"/>
            <w:gridSpan w:val="2"/>
            <w:tcBorders>
              <w:top w:val="nil"/>
              <w:left w:val="nil"/>
              <w:bottom w:val="nil"/>
              <w:right w:val="nil"/>
            </w:tcBorders>
            <w:shd w:val="clear" w:color="auto" w:fill="auto"/>
            <w:noWrap/>
            <w:vAlign w:val="bottom"/>
            <w:hideMark/>
          </w:tcPr>
          <w:p w14:paraId="3E947336" w14:textId="77777777" w:rsidR="00412E11" w:rsidRPr="00EC49A8"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6014B409" w14:textId="77777777" w:rsidR="00412E11" w:rsidRPr="00EC49A8" w:rsidRDefault="00412E11" w:rsidP="000C5C29">
            <w:pPr>
              <w:spacing w:before="0" w:after="0"/>
              <w:jc w:val="left"/>
              <w:rPr>
                <w:noProof/>
                <w:sz w:val="20"/>
                <w:szCs w:val="20"/>
                <w:lang w:eastAsia="en-IE"/>
              </w:rPr>
            </w:pPr>
          </w:p>
        </w:tc>
        <w:tc>
          <w:tcPr>
            <w:tcW w:w="366" w:type="pct"/>
            <w:gridSpan w:val="2"/>
            <w:tcBorders>
              <w:top w:val="nil"/>
              <w:left w:val="nil"/>
              <w:bottom w:val="nil"/>
              <w:right w:val="single" w:sz="4" w:space="0" w:color="auto"/>
            </w:tcBorders>
            <w:shd w:val="clear" w:color="auto" w:fill="auto"/>
            <w:noWrap/>
            <w:vAlign w:val="bottom"/>
            <w:hideMark/>
          </w:tcPr>
          <w:p w14:paraId="154B99CF" w14:textId="77777777" w:rsidR="00412E11" w:rsidRPr="00EC49A8" w:rsidRDefault="00412E11" w:rsidP="000C5C29">
            <w:pPr>
              <w:spacing w:before="0" w:after="0"/>
              <w:jc w:val="left"/>
              <w:rPr>
                <w:noProof/>
                <w:sz w:val="20"/>
                <w:szCs w:val="20"/>
                <w:lang w:eastAsia="en-IE"/>
              </w:rPr>
            </w:pPr>
          </w:p>
        </w:tc>
        <w:tc>
          <w:tcPr>
            <w:tcW w:w="437" w:type="pct"/>
            <w:gridSpan w:val="2"/>
            <w:tcBorders>
              <w:top w:val="nil"/>
              <w:left w:val="single" w:sz="4" w:space="0" w:color="auto"/>
              <w:bottom w:val="single" w:sz="8" w:space="0" w:color="auto"/>
              <w:right w:val="single" w:sz="8" w:space="0" w:color="auto"/>
            </w:tcBorders>
            <w:shd w:val="clear" w:color="auto" w:fill="auto"/>
            <w:vAlign w:val="center"/>
            <w:hideMark/>
          </w:tcPr>
          <w:p w14:paraId="10585A31"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37" w:type="pct"/>
            <w:gridSpan w:val="2"/>
            <w:tcBorders>
              <w:top w:val="nil"/>
              <w:left w:val="nil"/>
              <w:bottom w:val="single" w:sz="8" w:space="0" w:color="auto"/>
              <w:right w:val="single" w:sz="8" w:space="0" w:color="auto"/>
            </w:tcBorders>
            <w:shd w:val="clear" w:color="auto" w:fill="auto"/>
            <w:vAlign w:val="center"/>
            <w:hideMark/>
          </w:tcPr>
          <w:p w14:paraId="2888C1ED"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37" w:type="pct"/>
            <w:gridSpan w:val="2"/>
            <w:tcBorders>
              <w:top w:val="nil"/>
              <w:left w:val="nil"/>
              <w:bottom w:val="single" w:sz="8" w:space="0" w:color="auto"/>
              <w:right w:val="single" w:sz="8" w:space="0" w:color="auto"/>
            </w:tcBorders>
            <w:shd w:val="clear" w:color="auto" w:fill="auto"/>
            <w:vAlign w:val="center"/>
            <w:hideMark/>
          </w:tcPr>
          <w:p w14:paraId="21845673"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37" w:type="pct"/>
            <w:gridSpan w:val="2"/>
            <w:tcBorders>
              <w:top w:val="nil"/>
              <w:left w:val="nil"/>
              <w:bottom w:val="single" w:sz="8" w:space="0" w:color="auto"/>
              <w:right w:val="single" w:sz="8" w:space="0" w:color="auto"/>
            </w:tcBorders>
            <w:shd w:val="clear" w:color="auto" w:fill="auto"/>
            <w:vAlign w:val="center"/>
            <w:hideMark/>
          </w:tcPr>
          <w:p w14:paraId="6CF539D7"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14:paraId="16B8D290" w14:textId="77777777" w:rsidR="00412E11" w:rsidRPr="00EC49A8" w:rsidRDefault="00412E11" w:rsidP="000C5C29">
            <w:pPr>
              <w:spacing w:before="0" w:after="0"/>
              <w:jc w:val="left"/>
              <w:rPr>
                <w:b/>
                <w:bCs/>
                <w:noProof/>
                <w:sz w:val="20"/>
                <w:szCs w:val="20"/>
                <w:lang w:eastAsia="en-IE"/>
              </w:rPr>
            </w:pPr>
          </w:p>
        </w:tc>
      </w:tr>
      <w:tr w:rsidR="00E254F3" w:rsidRPr="00EC49A8" w14:paraId="34C31713" w14:textId="77777777" w:rsidTr="00FC1640">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FF47AE" w14:textId="77777777" w:rsidR="00412E11" w:rsidRPr="00EC49A8" w:rsidRDefault="00412E11" w:rsidP="000C5C29">
            <w:pPr>
              <w:spacing w:before="0" w:after="0"/>
              <w:rPr>
                <w:noProof/>
                <w:sz w:val="21"/>
                <w:szCs w:val="21"/>
              </w:rPr>
            </w:pPr>
            <w:r w:rsidRPr="00EC49A8">
              <w:rPr>
                <w:rFonts w:ascii="Calibri" w:hAnsi="Calibri"/>
                <w:noProof/>
                <w:sz w:val="21"/>
              </w:rPr>
              <w:t xml:space="preserve">• </w:t>
            </w:r>
            <w:r w:rsidRPr="00EC49A8">
              <w:rPr>
                <w:noProof/>
                <w:sz w:val="21"/>
              </w:rPr>
              <w:t>TOTALE stanziamenti operativi (tutte le rubriche operative)</w:t>
            </w:r>
          </w:p>
        </w:tc>
        <w:tc>
          <w:tcPr>
            <w:tcW w:w="471" w:type="pct"/>
            <w:gridSpan w:val="2"/>
            <w:tcBorders>
              <w:top w:val="single" w:sz="8" w:space="0" w:color="auto"/>
              <w:left w:val="nil"/>
              <w:bottom w:val="single" w:sz="8" w:space="0" w:color="auto"/>
              <w:right w:val="single" w:sz="8" w:space="0" w:color="auto"/>
            </w:tcBorders>
            <w:shd w:val="clear" w:color="auto" w:fill="auto"/>
            <w:vAlign w:val="center"/>
            <w:hideMark/>
          </w:tcPr>
          <w:p w14:paraId="506D9189" w14:textId="77777777" w:rsidR="00412E11" w:rsidRPr="00EC49A8" w:rsidRDefault="00412E11" w:rsidP="000C5C29">
            <w:pPr>
              <w:spacing w:before="0" w:after="0"/>
              <w:rPr>
                <w:noProof/>
                <w:sz w:val="18"/>
                <w:szCs w:val="18"/>
              </w:rPr>
            </w:pPr>
            <w:r w:rsidRPr="00EC49A8">
              <w:rPr>
                <w:noProof/>
                <w:sz w:val="18"/>
              </w:rPr>
              <w:t>Impegni</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16751EDF"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62E0C48"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F99F3A2"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02460A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E9C8F2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072BC22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C8D4E6C" w14:textId="77777777" w:rsidTr="00FC1640">
        <w:trPr>
          <w:trHeight w:val="300"/>
        </w:trPr>
        <w:tc>
          <w:tcPr>
            <w:tcW w:w="1522" w:type="pct"/>
            <w:gridSpan w:val="2"/>
            <w:vMerge/>
            <w:tcBorders>
              <w:top w:val="single" w:sz="8" w:space="0" w:color="auto"/>
              <w:left w:val="single" w:sz="8" w:space="0" w:color="auto"/>
              <w:bottom w:val="single" w:sz="8" w:space="0" w:color="auto"/>
              <w:right w:val="single" w:sz="8" w:space="0" w:color="auto"/>
            </w:tcBorders>
            <w:vAlign w:val="center"/>
            <w:hideMark/>
          </w:tcPr>
          <w:p w14:paraId="3B58F863" w14:textId="77777777" w:rsidR="00412E11" w:rsidRPr="00EC49A8" w:rsidRDefault="00412E11" w:rsidP="000C5C29">
            <w:pPr>
              <w:spacing w:before="0" w:after="0"/>
              <w:jc w:val="left"/>
              <w:rPr>
                <w:noProof/>
                <w:sz w:val="21"/>
                <w:szCs w:val="21"/>
                <w:lang w:eastAsia="en-IE"/>
              </w:rPr>
            </w:pPr>
          </w:p>
        </w:tc>
        <w:tc>
          <w:tcPr>
            <w:tcW w:w="471" w:type="pct"/>
            <w:gridSpan w:val="2"/>
            <w:tcBorders>
              <w:top w:val="nil"/>
              <w:left w:val="nil"/>
              <w:bottom w:val="single" w:sz="8" w:space="0" w:color="auto"/>
              <w:right w:val="single" w:sz="8" w:space="0" w:color="auto"/>
            </w:tcBorders>
            <w:shd w:val="clear" w:color="auto" w:fill="auto"/>
            <w:vAlign w:val="center"/>
            <w:hideMark/>
          </w:tcPr>
          <w:p w14:paraId="5F3DC88D" w14:textId="77777777" w:rsidR="00412E11" w:rsidRPr="00EC49A8" w:rsidRDefault="00412E11" w:rsidP="000C5C29">
            <w:pPr>
              <w:spacing w:before="0" w:after="0"/>
              <w:rPr>
                <w:noProof/>
                <w:sz w:val="18"/>
                <w:szCs w:val="18"/>
              </w:rPr>
            </w:pPr>
            <w:r w:rsidRPr="00EC49A8">
              <w:rPr>
                <w:noProof/>
                <w:sz w:val="18"/>
              </w:rPr>
              <w:t>Pagamenti</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6043BA36"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14BA68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E4034A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030B992"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84BD3D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700B4CC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6E33A5E6" w14:textId="77777777" w:rsidTr="00FC1640">
        <w:trPr>
          <w:trHeight w:val="990"/>
        </w:trPr>
        <w:tc>
          <w:tcPr>
            <w:tcW w:w="19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406873C" w14:textId="77777777" w:rsidR="00412E11" w:rsidRPr="00EC49A8" w:rsidRDefault="00412E11" w:rsidP="000C5C29">
            <w:pPr>
              <w:spacing w:before="0" w:after="0"/>
              <w:rPr>
                <w:noProof/>
                <w:sz w:val="21"/>
                <w:szCs w:val="21"/>
              </w:rPr>
            </w:pPr>
            <w:r w:rsidRPr="00EC49A8">
              <w:rPr>
                <w:rFonts w:ascii="Calibri" w:hAnsi="Calibri"/>
                <w:noProof/>
                <w:sz w:val="21"/>
              </w:rPr>
              <w:t>•</w:t>
            </w:r>
            <w:r w:rsidRPr="00EC49A8">
              <w:rPr>
                <w:noProof/>
                <w:sz w:val="21"/>
              </w:rPr>
              <w:t xml:space="preserve"> TOTALE stanziamenti amministrativi finanziati dalla dotazione di programmi specifici (tutte le rubriche operative)</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197EE855"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4A3CF0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0B4B458C"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1B7D031"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3BADAD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126956C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89476A7" w14:textId="77777777" w:rsidTr="00FC1640">
        <w:trPr>
          <w:trHeight w:val="564"/>
        </w:trPr>
        <w:tc>
          <w:tcPr>
            <w:tcW w:w="1522" w:type="pct"/>
            <w:gridSpan w:val="2"/>
            <w:tcBorders>
              <w:top w:val="nil"/>
              <w:left w:val="single" w:sz="8" w:space="0" w:color="auto"/>
              <w:bottom w:val="nil"/>
              <w:right w:val="single" w:sz="8" w:space="0" w:color="auto"/>
            </w:tcBorders>
            <w:shd w:val="thinDiagStripe" w:color="C0C0C0" w:fill="F1F1F1"/>
            <w:vAlign w:val="center"/>
            <w:hideMark/>
          </w:tcPr>
          <w:p w14:paraId="4E7067EF" w14:textId="77777777" w:rsidR="00412E11" w:rsidRPr="00EC49A8" w:rsidRDefault="00412E11" w:rsidP="000C5C29">
            <w:pPr>
              <w:spacing w:before="0" w:after="0"/>
              <w:jc w:val="center"/>
              <w:rPr>
                <w:b/>
                <w:bCs/>
                <w:noProof/>
                <w:sz w:val="22"/>
              </w:rPr>
            </w:pPr>
            <w:r w:rsidRPr="00EC49A8">
              <w:rPr>
                <w:b/>
                <w:noProof/>
                <w:sz w:val="22"/>
              </w:rPr>
              <w:t xml:space="preserve">TOTALE stanziamenti per le rubriche da </w:t>
            </w:r>
            <w:r w:rsidRPr="00B17672">
              <w:rPr>
                <w:b/>
                <w:noProof/>
                <w:sz w:val="22"/>
              </w:rPr>
              <w:t>1</w:t>
            </w:r>
            <w:r w:rsidRPr="00EC49A8">
              <w:rPr>
                <w:b/>
                <w:noProof/>
                <w:sz w:val="22"/>
              </w:rPr>
              <w:t xml:space="preserve"> a </w:t>
            </w:r>
            <w:r w:rsidRPr="00B17672">
              <w:rPr>
                <w:b/>
                <w:noProof/>
                <w:sz w:val="22"/>
              </w:rPr>
              <w:t>6</w:t>
            </w:r>
          </w:p>
        </w:tc>
        <w:tc>
          <w:tcPr>
            <w:tcW w:w="471" w:type="pct"/>
            <w:gridSpan w:val="2"/>
            <w:tcBorders>
              <w:top w:val="nil"/>
              <w:left w:val="nil"/>
              <w:bottom w:val="nil"/>
              <w:right w:val="single" w:sz="8" w:space="0" w:color="auto"/>
            </w:tcBorders>
            <w:shd w:val="clear" w:color="auto" w:fill="auto"/>
            <w:vAlign w:val="center"/>
            <w:hideMark/>
          </w:tcPr>
          <w:p w14:paraId="49500D92" w14:textId="77777777" w:rsidR="00412E11" w:rsidRPr="00EC49A8" w:rsidRDefault="00412E11" w:rsidP="000C5C29">
            <w:pPr>
              <w:spacing w:before="0" w:after="0"/>
              <w:rPr>
                <w:noProof/>
                <w:sz w:val="18"/>
                <w:szCs w:val="18"/>
              </w:rPr>
            </w:pPr>
            <w:r w:rsidRPr="00EC49A8">
              <w:rPr>
                <w:noProof/>
                <w:sz w:val="18"/>
              </w:rPr>
              <w:t>Impegni</w:t>
            </w:r>
          </w:p>
        </w:tc>
        <w:tc>
          <w:tcPr>
            <w:tcW w:w="731" w:type="pct"/>
            <w:gridSpan w:val="3"/>
            <w:tcBorders>
              <w:top w:val="single" w:sz="8" w:space="0" w:color="auto"/>
              <w:left w:val="nil"/>
              <w:bottom w:val="nil"/>
              <w:right w:val="single" w:sz="8" w:space="0" w:color="000000"/>
            </w:tcBorders>
            <w:shd w:val="clear" w:color="auto" w:fill="auto"/>
            <w:vAlign w:val="center"/>
            <w:hideMark/>
          </w:tcPr>
          <w:p w14:paraId="1F257A66"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7BD5652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496A20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1D288A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4D0A17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32D0352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5503BEF" w14:textId="77777777" w:rsidTr="00FC1640">
        <w:trPr>
          <w:trHeight w:val="588"/>
        </w:trPr>
        <w:tc>
          <w:tcPr>
            <w:tcW w:w="1522" w:type="pct"/>
            <w:gridSpan w:val="2"/>
            <w:tcBorders>
              <w:top w:val="nil"/>
              <w:left w:val="single" w:sz="8" w:space="0" w:color="auto"/>
              <w:bottom w:val="single" w:sz="8" w:space="0" w:color="auto"/>
              <w:right w:val="single" w:sz="8" w:space="0" w:color="auto"/>
            </w:tcBorders>
            <w:shd w:val="thinDiagStripe" w:color="C0C0C0" w:fill="F1F1F1"/>
            <w:vAlign w:val="center"/>
            <w:hideMark/>
          </w:tcPr>
          <w:p w14:paraId="7298E22C" w14:textId="77777777" w:rsidR="00412E11" w:rsidRPr="00EC49A8" w:rsidRDefault="00412E11" w:rsidP="000C5C29">
            <w:pPr>
              <w:spacing w:before="0" w:after="0"/>
              <w:jc w:val="center"/>
              <w:rPr>
                <w:noProof/>
                <w:sz w:val="20"/>
                <w:szCs w:val="20"/>
              </w:rPr>
            </w:pPr>
            <w:r w:rsidRPr="00EC49A8">
              <w:rPr>
                <w:noProof/>
                <w:sz w:val="20"/>
              </w:rPr>
              <w:t>del quadro finanziario pluriennale</w:t>
            </w:r>
            <w:r w:rsidRPr="00EC49A8">
              <w:rPr>
                <w:noProof/>
              </w:rPr>
              <w:t xml:space="preserve"> </w:t>
            </w:r>
            <w:r w:rsidRPr="00EC49A8">
              <w:rPr>
                <w:noProof/>
              </w:rPr>
              <w:br/>
            </w:r>
            <w:r w:rsidRPr="00EC49A8">
              <w:rPr>
                <w:noProof/>
                <w:sz w:val="20"/>
              </w:rPr>
              <w:t>(importo di riferimento)</w:t>
            </w:r>
          </w:p>
        </w:tc>
        <w:tc>
          <w:tcPr>
            <w:tcW w:w="471" w:type="pct"/>
            <w:gridSpan w:val="2"/>
            <w:tcBorders>
              <w:top w:val="nil"/>
              <w:left w:val="nil"/>
              <w:bottom w:val="single" w:sz="8" w:space="0" w:color="auto"/>
              <w:right w:val="single" w:sz="8" w:space="0" w:color="auto"/>
            </w:tcBorders>
            <w:shd w:val="clear" w:color="auto" w:fill="auto"/>
            <w:vAlign w:val="center"/>
            <w:hideMark/>
          </w:tcPr>
          <w:p w14:paraId="6E299569" w14:textId="77777777" w:rsidR="00412E11" w:rsidRPr="00EC49A8" w:rsidRDefault="00412E11" w:rsidP="000C5C29">
            <w:pPr>
              <w:spacing w:before="0" w:after="0"/>
              <w:rPr>
                <w:noProof/>
                <w:sz w:val="18"/>
                <w:szCs w:val="18"/>
              </w:rPr>
            </w:pPr>
            <w:r w:rsidRPr="00EC49A8">
              <w:rPr>
                <w:noProof/>
                <w:sz w:val="18"/>
              </w:rPr>
              <w:t>Pagamenti</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4C55DED8"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552EE7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994327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55FC44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5F9F6F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51834DE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62180F52" w14:textId="77777777" w:rsidR="00412E11" w:rsidRPr="00EC49A8"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45"/>
        <w:gridCol w:w="1126"/>
        <w:gridCol w:w="1274"/>
        <w:gridCol w:w="637"/>
        <w:gridCol w:w="640"/>
        <w:gridCol w:w="1069"/>
        <w:gridCol w:w="1069"/>
        <w:gridCol w:w="1069"/>
        <w:gridCol w:w="1069"/>
        <w:gridCol w:w="1320"/>
      </w:tblGrid>
      <w:tr w:rsidR="00E254F3" w:rsidRPr="00EC49A8" w14:paraId="4FE08F91" w14:textId="77777777" w:rsidTr="000C5C29">
        <w:trPr>
          <w:jc w:val="center"/>
        </w:trPr>
        <w:tc>
          <w:tcPr>
            <w:tcW w:w="1739" w:type="pct"/>
            <w:gridSpan w:val="2"/>
            <w:shd w:val="thinDiagStripe" w:color="C0C0C0" w:fill="auto"/>
            <w:vAlign w:val="center"/>
          </w:tcPr>
          <w:p w14:paraId="5010B247" w14:textId="77777777" w:rsidR="00412E11" w:rsidRPr="00EC49A8" w:rsidRDefault="00412E11" w:rsidP="000C5C29">
            <w:pPr>
              <w:spacing w:before="60" w:after="60"/>
              <w:jc w:val="center"/>
              <w:rPr>
                <w:b/>
                <w:noProof/>
              </w:rPr>
            </w:pPr>
            <w:r w:rsidRPr="00EC49A8">
              <w:rPr>
                <w:noProof/>
              </w:rPr>
              <w:br w:type="page"/>
            </w:r>
            <w:r w:rsidRPr="00EC49A8">
              <w:rPr>
                <w:b/>
                <w:noProof/>
                <w:sz w:val="22"/>
              </w:rPr>
              <w:t xml:space="preserve">Rubrica del quadro finanziario pluriennale </w:t>
            </w:r>
          </w:p>
        </w:tc>
        <w:tc>
          <w:tcPr>
            <w:tcW w:w="396" w:type="pct"/>
            <w:shd w:val="thinDiagStripe" w:color="C0C0C0" w:fill="auto"/>
            <w:vAlign w:val="center"/>
          </w:tcPr>
          <w:p w14:paraId="2B942071" w14:textId="77777777" w:rsidR="00412E11" w:rsidRPr="00EC49A8" w:rsidRDefault="00412E11" w:rsidP="000C5C29">
            <w:pPr>
              <w:spacing w:before="60" w:after="60"/>
              <w:jc w:val="center"/>
              <w:rPr>
                <w:noProof/>
              </w:rPr>
            </w:pPr>
            <w:r w:rsidRPr="00B17672">
              <w:rPr>
                <w:b/>
                <w:noProof/>
                <w:sz w:val="22"/>
              </w:rPr>
              <w:t>7</w:t>
            </w:r>
          </w:p>
        </w:tc>
        <w:tc>
          <w:tcPr>
            <w:tcW w:w="2865" w:type="pct"/>
            <w:gridSpan w:val="8"/>
            <w:vAlign w:val="center"/>
          </w:tcPr>
          <w:p w14:paraId="6CAD4FF0" w14:textId="2F397129" w:rsidR="00412E11" w:rsidRPr="00EC49A8" w:rsidRDefault="00B17672" w:rsidP="000C5C29">
            <w:pPr>
              <w:spacing w:before="60" w:after="60"/>
              <w:rPr>
                <w:noProof/>
              </w:rPr>
            </w:pPr>
            <w:r>
              <w:rPr>
                <w:noProof/>
                <w:sz w:val="22"/>
              </w:rPr>
              <w:t>"</w:t>
            </w:r>
            <w:r w:rsidR="00412E11" w:rsidRPr="00EC49A8">
              <w:rPr>
                <w:noProof/>
                <w:sz w:val="22"/>
              </w:rPr>
              <w:t>Spese amministrative</w:t>
            </w:r>
            <w:r>
              <w:rPr>
                <w:noProof/>
                <w:sz w:val="22"/>
              </w:rPr>
              <w:t>"</w:t>
            </w:r>
            <w:r w:rsidR="00412E11" w:rsidRPr="00EC49A8">
              <w:rPr>
                <w:rStyle w:val="FootnoteReference"/>
                <w:noProof/>
                <w:sz w:val="22"/>
              </w:rPr>
              <w:footnoteReference w:id="18"/>
            </w:r>
          </w:p>
        </w:tc>
      </w:tr>
      <w:tr w:rsidR="00E254F3" w:rsidRPr="00EC49A8" w14:paraId="751BF14A"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4F07E5F" w14:textId="77777777" w:rsidR="00412E11" w:rsidRPr="00EC49A8" w:rsidRDefault="00412E11" w:rsidP="000C5C29">
            <w:pPr>
              <w:spacing w:before="0" w:after="0"/>
              <w:jc w:val="center"/>
              <w:rPr>
                <w:noProof/>
                <w:szCs w:val="24"/>
              </w:rPr>
            </w:pPr>
            <w:r w:rsidRPr="00EC49A8">
              <w:rPr>
                <w:noProof/>
              </w:rPr>
              <w:t>DG: &lt;…….&gt;</w:t>
            </w:r>
          </w:p>
        </w:tc>
        <w:tc>
          <w:tcPr>
            <w:tcW w:w="376" w:type="pct"/>
            <w:tcBorders>
              <w:top w:val="single" w:sz="8" w:space="0" w:color="auto"/>
              <w:left w:val="nil"/>
              <w:bottom w:val="nil"/>
              <w:right w:val="single" w:sz="8" w:space="0" w:color="auto"/>
            </w:tcBorders>
            <w:shd w:val="clear" w:color="auto" w:fill="auto"/>
            <w:vAlign w:val="center"/>
            <w:hideMark/>
          </w:tcPr>
          <w:p w14:paraId="492CF467"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5CA8F0DA"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582CC871"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49126A72" w14:textId="77777777" w:rsidR="00412E11" w:rsidRPr="00EC49A8" w:rsidRDefault="00412E11" w:rsidP="000C5C29">
            <w:pPr>
              <w:spacing w:before="0" w:after="0"/>
              <w:jc w:val="center"/>
              <w:rPr>
                <w:noProof/>
                <w:sz w:val="20"/>
                <w:szCs w:val="20"/>
              </w:rPr>
            </w:pPr>
            <w:r w:rsidRPr="00EC49A8">
              <w:rPr>
                <w:noProof/>
                <w:sz w:val="20"/>
              </w:rPr>
              <w:t>Anno</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8A779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1CE8A8EF"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4C049E9D" w14:textId="77777777" w:rsidR="00412E11" w:rsidRPr="00EC49A8" w:rsidRDefault="00412E11" w:rsidP="000C5C29">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6845DB41" w14:textId="77777777" w:rsidR="00412E11" w:rsidRPr="00EC49A8" w:rsidRDefault="00412E11" w:rsidP="000C5C29">
            <w:pPr>
              <w:spacing w:before="0" w:after="0"/>
              <w:jc w:val="center"/>
              <w:rPr>
                <w:b/>
                <w:bCs/>
                <w:noProof/>
                <w:sz w:val="20"/>
                <w:szCs w:val="20"/>
              </w:rPr>
            </w:pPr>
            <w:r w:rsidRPr="00B17672">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5AF92DDE" w14:textId="77777777" w:rsidR="00412E11" w:rsidRPr="00EC49A8" w:rsidRDefault="00412E11" w:rsidP="000C5C29">
            <w:pPr>
              <w:spacing w:before="0" w:after="0"/>
              <w:jc w:val="center"/>
              <w:rPr>
                <w:b/>
                <w:bCs/>
                <w:noProof/>
                <w:sz w:val="20"/>
                <w:szCs w:val="20"/>
              </w:rPr>
            </w:pPr>
            <w:r w:rsidRPr="00B17672">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24619503" w14:textId="77777777" w:rsidR="00412E11" w:rsidRPr="00EC49A8" w:rsidRDefault="00412E11" w:rsidP="000C5C29">
            <w:pPr>
              <w:spacing w:before="0" w:after="0"/>
              <w:jc w:val="center"/>
              <w:rPr>
                <w:b/>
                <w:bCs/>
                <w:noProof/>
                <w:sz w:val="20"/>
                <w:szCs w:val="20"/>
              </w:rPr>
            </w:pPr>
            <w:r w:rsidRPr="00B17672">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4E9E5521" w14:textId="77777777" w:rsidR="00412E11" w:rsidRPr="00EC49A8" w:rsidRDefault="00412E11" w:rsidP="000C5C29">
            <w:pPr>
              <w:spacing w:before="0" w:after="0"/>
              <w:jc w:val="center"/>
              <w:rPr>
                <w:b/>
                <w:bCs/>
                <w:noProof/>
                <w:sz w:val="20"/>
                <w:szCs w:val="20"/>
              </w:rPr>
            </w:pPr>
            <w:r w:rsidRPr="00B17672">
              <w:rPr>
                <w:b/>
                <w:noProof/>
                <w:sz w:val="20"/>
              </w:rPr>
              <w:t>2027</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14:paraId="2B349FF1" w14:textId="77777777" w:rsidR="00412E11" w:rsidRPr="00EC49A8" w:rsidRDefault="00412E11" w:rsidP="000C5C29">
            <w:pPr>
              <w:spacing w:before="0" w:after="0"/>
              <w:jc w:val="left"/>
              <w:rPr>
                <w:b/>
                <w:bCs/>
                <w:noProof/>
                <w:sz w:val="20"/>
                <w:szCs w:val="20"/>
                <w:lang w:eastAsia="en-IE"/>
              </w:rPr>
            </w:pPr>
          </w:p>
        </w:tc>
      </w:tr>
      <w:tr w:rsidR="00E254F3" w:rsidRPr="00EC49A8" w14:paraId="0E806EB5"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4A59E23"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Risorse umane </w:t>
            </w:r>
          </w:p>
        </w:tc>
        <w:tc>
          <w:tcPr>
            <w:tcW w:w="376" w:type="pct"/>
            <w:tcBorders>
              <w:top w:val="nil"/>
              <w:left w:val="nil"/>
              <w:bottom w:val="single" w:sz="8" w:space="0" w:color="auto"/>
              <w:right w:val="single" w:sz="8" w:space="0" w:color="auto"/>
            </w:tcBorders>
            <w:shd w:val="clear" w:color="000000" w:fill="D9D9D9"/>
            <w:vAlign w:val="center"/>
            <w:hideMark/>
          </w:tcPr>
          <w:p w14:paraId="00B058D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84E005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36EB15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89719E2"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17C8D42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15C677C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023DD9C"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Altre spese amministrative </w:t>
            </w:r>
          </w:p>
        </w:tc>
        <w:tc>
          <w:tcPr>
            <w:tcW w:w="376" w:type="pct"/>
            <w:tcBorders>
              <w:top w:val="nil"/>
              <w:left w:val="nil"/>
              <w:bottom w:val="single" w:sz="8" w:space="0" w:color="auto"/>
              <w:right w:val="single" w:sz="8" w:space="0" w:color="auto"/>
            </w:tcBorders>
            <w:shd w:val="clear" w:color="000000" w:fill="D9D9D9"/>
            <w:vAlign w:val="center"/>
            <w:hideMark/>
          </w:tcPr>
          <w:p w14:paraId="2AF98AE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42539D9C"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1CD238A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47D3FD04"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2A9E4B9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2ABD1ED"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79ED2524" w14:textId="77777777" w:rsidR="00412E11" w:rsidRPr="00EC49A8" w:rsidRDefault="00412E11" w:rsidP="000C5C29">
            <w:pPr>
              <w:spacing w:before="0" w:after="0"/>
              <w:jc w:val="center"/>
              <w:rPr>
                <w:b/>
                <w:bCs/>
                <w:noProof/>
                <w:sz w:val="22"/>
              </w:rPr>
            </w:pPr>
            <w:r w:rsidRPr="00EC49A8">
              <w:rPr>
                <w:b/>
                <w:noProof/>
                <w:sz w:val="22"/>
              </w:rPr>
              <w:t>TOTALE DG</w:t>
            </w:r>
            <w:r w:rsidRPr="00EC49A8">
              <w:rPr>
                <w:noProof/>
                <w:sz w:val="22"/>
              </w:rPr>
              <w:t xml:space="preserve"> &lt;…….&gt;</w:t>
            </w:r>
          </w:p>
        </w:tc>
        <w:tc>
          <w:tcPr>
            <w:tcW w:w="1379" w:type="pct"/>
            <w:gridSpan w:val="5"/>
            <w:tcBorders>
              <w:top w:val="single" w:sz="8" w:space="0" w:color="auto"/>
              <w:left w:val="nil"/>
              <w:bottom w:val="single" w:sz="8" w:space="0" w:color="auto"/>
              <w:right w:val="single" w:sz="8" w:space="0" w:color="auto"/>
            </w:tcBorders>
            <w:shd w:val="clear" w:color="auto" w:fill="auto"/>
            <w:vAlign w:val="center"/>
            <w:hideMark/>
          </w:tcPr>
          <w:p w14:paraId="19B6C3DA" w14:textId="77777777" w:rsidR="00412E11" w:rsidRPr="00EC49A8" w:rsidRDefault="00412E11" w:rsidP="000C5C29">
            <w:pPr>
              <w:spacing w:before="0" w:after="0"/>
              <w:jc w:val="left"/>
              <w:rPr>
                <w:noProof/>
                <w:sz w:val="18"/>
                <w:szCs w:val="18"/>
              </w:rPr>
            </w:pPr>
            <w:r w:rsidRPr="00EC49A8">
              <w:rPr>
                <w:noProof/>
                <w:sz w:val="18"/>
              </w:rPr>
              <w:t xml:space="preserve">Stanziamenti </w:t>
            </w:r>
          </w:p>
        </w:tc>
        <w:tc>
          <w:tcPr>
            <w:tcW w:w="376" w:type="pct"/>
            <w:tcBorders>
              <w:top w:val="nil"/>
              <w:left w:val="nil"/>
              <w:bottom w:val="single" w:sz="8" w:space="0" w:color="auto"/>
              <w:right w:val="single" w:sz="8" w:space="0" w:color="auto"/>
            </w:tcBorders>
            <w:shd w:val="clear" w:color="000000" w:fill="D9D9D9"/>
            <w:vAlign w:val="center"/>
            <w:hideMark/>
          </w:tcPr>
          <w:p w14:paraId="138439B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52A7122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6E71030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08D92E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5249C23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3188808"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44A16DA1" w14:textId="77777777" w:rsidR="00412E11" w:rsidRPr="00EC49A8" w:rsidRDefault="00412E11" w:rsidP="000C5C29">
            <w:pPr>
              <w:spacing w:before="0" w:after="0"/>
              <w:jc w:val="right"/>
              <w:rPr>
                <w:b/>
                <w:bCs/>
                <w:noProof/>
                <w:sz w:val="20"/>
                <w:szCs w:val="20"/>
                <w:lang w:eastAsia="en-IE"/>
              </w:rPr>
            </w:pPr>
          </w:p>
        </w:tc>
        <w:tc>
          <w:tcPr>
            <w:tcW w:w="930" w:type="pct"/>
            <w:gridSpan w:val="3"/>
            <w:tcBorders>
              <w:top w:val="nil"/>
              <w:left w:val="nil"/>
              <w:bottom w:val="nil"/>
              <w:right w:val="nil"/>
            </w:tcBorders>
            <w:shd w:val="clear" w:color="auto" w:fill="auto"/>
            <w:noWrap/>
            <w:vAlign w:val="bottom"/>
            <w:hideMark/>
          </w:tcPr>
          <w:p w14:paraId="7FF78F21" w14:textId="77777777" w:rsidR="00412E11" w:rsidRPr="00EC49A8" w:rsidRDefault="00412E11" w:rsidP="000C5C29">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573AD66E" w14:textId="77777777" w:rsidR="00412E11" w:rsidRPr="00EC49A8" w:rsidRDefault="00412E11" w:rsidP="000C5C29">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0741141A"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6ACF0A0"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13981966"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4D13076A"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E105189" w14:textId="77777777" w:rsidR="00412E11" w:rsidRPr="00EC49A8" w:rsidRDefault="00412E11" w:rsidP="000C5C29">
            <w:pPr>
              <w:spacing w:before="0" w:after="0"/>
              <w:jc w:val="left"/>
              <w:rPr>
                <w:noProof/>
                <w:sz w:val="20"/>
                <w:szCs w:val="20"/>
                <w:lang w:eastAsia="en-IE"/>
              </w:rPr>
            </w:pPr>
          </w:p>
        </w:tc>
        <w:tc>
          <w:tcPr>
            <w:tcW w:w="464" w:type="pct"/>
            <w:tcBorders>
              <w:top w:val="nil"/>
              <w:left w:val="nil"/>
              <w:bottom w:val="nil"/>
              <w:right w:val="nil"/>
            </w:tcBorders>
            <w:shd w:val="clear" w:color="auto" w:fill="auto"/>
            <w:noWrap/>
            <w:vAlign w:val="bottom"/>
            <w:hideMark/>
          </w:tcPr>
          <w:p w14:paraId="0314E16B" w14:textId="77777777" w:rsidR="00412E11" w:rsidRPr="00EC49A8" w:rsidRDefault="00412E11" w:rsidP="000C5C29">
            <w:pPr>
              <w:spacing w:before="0" w:after="0"/>
              <w:jc w:val="left"/>
              <w:rPr>
                <w:noProof/>
                <w:sz w:val="20"/>
                <w:szCs w:val="20"/>
                <w:lang w:eastAsia="en-IE"/>
              </w:rPr>
            </w:pPr>
          </w:p>
        </w:tc>
      </w:tr>
      <w:tr w:rsidR="00E254F3" w:rsidRPr="00EC49A8" w14:paraId="708739E9"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F2783A8" w14:textId="77777777" w:rsidR="00412E11" w:rsidRPr="00EC49A8" w:rsidRDefault="00412E11" w:rsidP="000C5C29">
            <w:pPr>
              <w:spacing w:before="0" w:after="0"/>
              <w:jc w:val="center"/>
              <w:rPr>
                <w:noProof/>
                <w:szCs w:val="24"/>
              </w:rPr>
            </w:pPr>
            <w:r w:rsidRPr="00EC49A8">
              <w:rPr>
                <w:noProof/>
              </w:rPr>
              <w:t>DG: &lt;…….&gt;</w:t>
            </w:r>
          </w:p>
        </w:tc>
        <w:tc>
          <w:tcPr>
            <w:tcW w:w="376" w:type="pct"/>
            <w:tcBorders>
              <w:top w:val="single" w:sz="8" w:space="0" w:color="auto"/>
              <w:left w:val="nil"/>
              <w:bottom w:val="nil"/>
              <w:right w:val="single" w:sz="8" w:space="0" w:color="auto"/>
            </w:tcBorders>
            <w:shd w:val="clear" w:color="auto" w:fill="auto"/>
            <w:vAlign w:val="center"/>
            <w:hideMark/>
          </w:tcPr>
          <w:p w14:paraId="59F2B253"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4EB00261"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5158101D" w14:textId="77777777" w:rsidR="00412E11" w:rsidRPr="00EC49A8" w:rsidRDefault="00412E11" w:rsidP="000C5C29">
            <w:pPr>
              <w:spacing w:before="0" w:after="0"/>
              <w:jc w:val="center"/>
              <w:rPr>
                <w:noProof/>
                <w:sz w:val="20"/>
                <w:szCs w:val="20"/>
              </w:rPr>
            </w:pPr>
            <w:r w:rsidRPr="00EC49A8">
              <w:rPr>
                <w:noProof/>
                <w:sz w:val="20"/>
              </w:rPr>
              <w:t>Anno</w:t>
            </w:r>
          </w:p>
        </w:tc>
        <w:tc>
          <w:tcPr>
            <w:tcW w:w="376" w:type="pct"/>
            <w:tcBorders>
              <w:top w:val="single" w:sz="8" w:space="0" w:color="auto"/>
              <w:left w:val="nil"/>
              <w:bottom w:val="nil"/>
              <w:right w:val="single" w:sz="8" w:space="0" w:color="auto"/>
            </w:tcBorders>
            <w:shd w:val="clear" w:color="auto" w:fill="auto"/>
            <w:vAlign w:val="center"/>
            <w:hideMark/>
          </w:tcPr>
          <w:p w14:paraId="3A6F1050" w14:textId="77777777" w:rsidR="00412E11" w:rsidRPr="00EC49A8" w:rsidRDefault="00412E11" w:rsidP="000C5C29">
            <w:pPr>
              <w:spacing w:before="0" w:after="0"/>
              <w:jc w:val="center"/>
              <w:rPr>
                <w:noProof/>
                <w:sz w:val="20"/>
                <w:szCs w:val="20"/>
              </w:rPr>
            </w:pPr>
            <w:r w:rsidRPr="00EC49A8">
              <w:rPr>
                <w:noProof/>
                <w:sz w:val="20"/>
              </w:rPr>
              <w:t>Anno</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D1967E"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005A93CB"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0EC58D31" w14:textId="77777777" w:rsidR="00412E11" w:rsidRPr="00EC49A8" w:rsidRDefault="00412E11" w:rsidP="000C5C29">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4BC659DB" w14:textId="77777777" w:rsidR="00412E11" w:rsidRPr="00EC49A8" w:rsidRDefault="00412E11" w:rsidP="000C5C29">
            <w:pPr>
              <w:spacing w:before="0" w:after="0"/>
              <w:jc w:val="center"/>
              <w:rPr>
                <w:b/>
                <w:bCs/>
                <w:noProof/>
                <w:sz w:val="20"/>
                <w:szCs w:val="20"/>
              </w:rPr>
            </w:pPr>
            <w:r w:rsidRPr="00B17672">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13720439" w14:textId="77777777" w:rsidR="00412E11" w:rsidRPr="00EC49A8" w:rsidRDefault="00412E11" w:rsidP="000C5C29">
            <w:pPr>
              <w:spacing w:before="0" w:after="0"/>
              <w:jc w:val="center"/>
              <w:rPr>
                <w:b/>
                <w:bCs/>
                <w:noProof/>
                <w:sz w:val="20"/>
                <w:szCs w:val="20"/>
              </w:rPr>
            </w:pPr>
            <w:r w:rsidRPr="00B17672">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1818B422" w14:textId="77777777" w:rsidR="00412E11" w:rsidRPr="00EC49A8" w:rsidRDefault="00412E11" w:rsidP="000C5C29">
            <w:pPr>
              <w:spacing w:before="0" w:after="0"/>
              <w:jc w:val="center"/>
              <w:rPr>
                <w:b/>
                <w:bCs/>
                <w:noProof/>
                <w:sz w:val="20"/>
                <w:szCs w:val="20"/>
              </w:rPr>
            </w:pPr>
            <w:r w:rsidRPr="00B17672">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06C34363" w14:textId="77777777" w:rsidR="00412E11" w:rsidRPr="00EC49A8" w:rsidRDefault="00412E11" w:rsidP="000C5C29">
            <w:pPr>
              <w:spacing w:before="0" w:after="0"/>
              <w:jc w:val="center"/>
              <w:rPr>
                <w:b/>
                <w:bCs/>
                <w:noProof/>
                <w:sz w:val="20"/>
                <w:szCs w:val="20"/>
              </w:rPr>
            </w:pPr>
            <w:r w:rsidRPr="00B17672">
              <w:rPr>
                <w:b/>
                <w:noProof/>
                <w:sz w:val="20"/>
              </w:rPr>
              <w:t>2027</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14:paraId="0BFCE7F0" w14:textId="77777777" w:rsidR="00412E11" w:rsidRPr="00EC49A8" w:rsidRDefault="00412E11" w:rsidP="000C5C29">
            <w:pPr>
              <w:spacing w:before="0" w:after="0"/>
              <w:jc w:val="left"/>
              <w:rPr>
                <w:b/>
                <w:bCs/>
                <w:noProof/>
                <w:sz w:val="20"/>
                <w:szCs w:val="20"/>
                <w:lang w:eastAsia="en-IE"/>
              </w:rPr>
            </w:pPr>
          </w:p>
        </w:tc>
      </w:tr>
      <w:tr w:rsidR="00E254F3" w:rsidRPr="00EC49A8" w14:paraId="08A78E20"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DE48FAA"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Risorse umane </w:t>
            </w:r>
          </w:p>
        </w:tc>
        <w:tc>
          <w:tcPr>
            <w:tcW w:w="376" w:type="pct"/>
            <w:tcBorders>
              <w:top w:val="nil"/>
              <w:left w:val="nil"/>
              <w:bottom w:val="single" w:sz="8" w:space="0" w:color="auto"/>
              <w:right w:val="single" w:sz="8" w:space="0" w:color="auto"/>
            </w:tcBorders>
            <w:shd w:val="clear" w:color="000000" w:fill="D9D9D9"/>
            <w:vAlign w:val="center"/>
            <w:hideMark/>
          </w:tcPr>
          <w:p w14:paraId="34683A1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1D89313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332C36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3D803DBC"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7BCD28E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24880A7"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F041182"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Altre spese amministrative </w:t>
            </w:r>
          </w:p>
        </w:tc>
        <w:tc>
          <w:tcPr>
            <w:tcW w:w="376" w:type="pct"/>
            <w:tcBorders>
              <w:top w:val="nil"/>
              <w:left w:val="nil"/>
              <w:bottom w:val="single" w:sz="8" w:space="0" w:color="auto"/>
              <w:right w:val="single" w:sz="8" w:space="0" w:color="auto"/>
            </w:tcBorders>
            <w:shd w:val="clear" w:color="000000" w:fill="D9D9D9"/>
            <w:vAlign w:val="center"/>
            <w:hideMark/>
          </w:tcPr>
          <w:p w14:paraId="7A205E52"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46CF758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1FDCEB74"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79417D1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6068747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41FED5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527C3978" w14:textId="77777777" w:rsidR="00412E11" w:rsidRPr="00EC49A8" w:rsidRDefault="00412E11" w:rsidP="000C5C29">
            <w:pPr>
              <w:spacing w:before="0" w:after="0"/>
              <w:jc w:val="center"/>
              <w:rPr>
                <w:b/>
                <w:bCs/>
                <w:noProof/>
                <w:sz w:val="22"/>
              </w:rPr>
            </w:pPr>
            <w:r w:rsidRPr="00EC49A8">
              <w:rPr>
                <w:b/>
                <w:noProof/>
                <w:sz w:val="22"/>
              </w:rPr>
              <w:t>TOTALE DG</w:t>
            </w:r>
            <w:r w:rsidRPr="00EC49A8">
              <w:rPr>
                <w:noProof/>
                <w:sz w:val="22"/>
              </w:rPr>
              <w:t xml:space="preserve"> &lt;…….&gt;</w:t>
            </w:r>
          </w:p>
        </w:tc>
        <w:tc>
          <w:tcPr>
            <w:tcW w:w="1379" w:type="pct"/>
            <w:gridSpan w:val="5"/>
            <w:tcBorders>
              <w:top w:val="single" w:sz="8" w:space="0" w:color="auto"/>
              <w:left w:val="nil"/>
              <w:bottom w:val="single" w:sz="8" w:space="0" w:color="auto"/>
              <w:right w:val="single" w:sz="8" w:space="0" w:color="auto"/>
            </w:tcBorders>
            <w:shd w:val="clear" w:color="auto" w:fill="auto"/>
            <w:vAlign w:val="center"/>
            <w:hideMark/>
          </w:tcPr>
          <w:p w14:paraId="02B59048" w14:textId="77777777" w:rsidR="00412E11" w:rsidRPr="00EC49A8" w:rsidRDefault="00412E11" w:rsidP="000C5C29">
            <w:pPr>
              <w:spacing w:before="0" w:after="0"/>
              <w:jc w:val="left"/>
              <w:rPr>
                <w:noProof/>
                <w:sz w:val="18"/>
                <w:szCs w:val="18"/>
              </w:rPr>
            </w:pPr>
            <w:r w:rsidRPr="00EC49A8">
              <w:rPr>
                <w:noProof/>
                <w:sz w:val="18"/>
              </w:rPr>
              <w:t xml:space="preserve">Stanziamenti </w:t>
            </w:r>
          </w:p>
        </w:tc>
        <w:tc>
          <w:tcPr>
            <w:tcW w:w="376" w:type="pct"/>
            <w:tcBorders>
              <w:top w:val="nil"/>
              <w:left w:val="nil"/>
              <w:bottom w:val="single" w:sz="8" w:space="0" w:color="auto"/>
              <w:right w:val="single" w:sz="8" w:space="0" w:color="auto"/>
            </w:tcBorders>
            <w:shd w:val="clear" w:color="000000" w:fill="D9D9D9"/>
            <w:vAlign w:val="center"/>
            <w:hideMark/>
          </w:tcPr>
          <w:p w14:paraId="0A6CCBE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AD7748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069D2E9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nil"/>
              <w:left w:val="nil"/>
              <w:bottom w:val="single" w:sz="8" w:space="0" w:color="auto"/>
              <w:right w:val="single" w:sz="8" w:space="0" w:color="auto"/>
            </w:tcBorders>
            <w:shd w:val="clear" w:color="000000" w:fill="D9D9D9"/>
            <w:vAlign w:val="center"/>
            <w:hideMark/>
          </w:tcPr>
          <w:p w14:paraId="5710B76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64" w:type="pct"/>
            <w:tcBorders>
              <w:top w:val="nil"/>
              <w:left w:val="nil"/>
              <w:bottom w:val="single" w:sz="8" w:space="0" w:color="auto"/>
              <w:right w:val="single" w:sz="8" w:space="0" w:color="auto"/>
            </w:tcBorders>
            <w:shd w:val="clear" w:color="000000" w:fill="D9D9D9"/>
            <w:vAlign w:val="center"/>
            <w:hideMark/>
          </w:tcPr>
          <w:p w14:paraId="375933A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C301A21"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07E090ED" w14:textId="77777777" w:rsidR="00412E11" w:rsidRPr="00EC49A8" w:rsidRDefault="00412E11" w:rsidP="000C5C29">
            <w:pPr>
              <w:spacing w:before="0" w:after="0"/>
              <w:jc w:val="right"/>
              <w:rPr>
                <w:b/>
                <w:bCs/>
                <w:noProof/>
                <w:sz w:val="20"/>
                <w:szCs w:val="20"/>
                <w:lang w:eastAsia="en-IE"/>
              </w:rPr>
            </w:pPr>
          </w:p>
        </w:tc>
        <w:tc>
          <w:tcPr>
            <w:tcW w:w="930" w:type="pct"/>
            <w:gridSpan w:val="3"/>
            <w:tcBorders>
              <w:top w:val="nil"/>
              <w:left w:val="nil"/>
              <w:bottom w:val="nil"/>
              <w:right w:val="nil"/>
            </w:tcBorders>
            <w:shd w:val="clear" w:color="auto" w:fill="auto"/>
            <w:noWrap/>
            <w:vAlign w:val="bottom"/>
            <w:hideMark/>
          </w:tcPr>
          <w:p w14:paraId="4D248CAB" w14:textId="77777777" w:rsidR="00412E11" w:rsidRPr="00EC49A8" w:rsidRDefault="00412E11" w:rsidP="000C5C29">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0E355B49" w14:textId="77777777" w:rsidR="00412E11" w:rsidRPr="00EC49A8" w:rsidRDefault="00412E11" w:rsidP="000C5C29">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2FFBA6DC"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43D0742"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144C57CE"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4FD131BB" w14:textId="77777777" w:rsidR="00412E11" w:rsidRPr="00EC49A8"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276DC01B" w14:textId="77777777" w:rsidR="00412E11" w:rsidRPr="00EC49A8" w:rsidRDefault="00412E11" w:rsidP="000C5C29">
            <w:pPr>
              <w:spacing w:before="0" w:after="0"/>
              <w:jc w:val="left"/>
              <w:rPr>
                <w:noProof/>
                <w:sz w:val="20"/>
                <w:szCs w:val="20"/>
                <w:lang w:eastAsia="en-IE"/>
              </w:rPr>
            </w:pPr>
          </w:p>
        </w:tc>
        <w:tc>
          <w:tcPr>
            <w:tcW w:w="464" w:type="pct"/>
            <w:tcBorders>
              <w:top w:val="nil"/>
              <w:left w:val="nil"/>
              <w:bottom w:val="nil"/>
              <w:right w:val="nil"/>
            </w:tcBorders>
            <w:shd w:val="clear" w:color="auto" w:fill="auto"/>
            <w:noWrap/>
            <w:vAlign w:val="bottom"/>
            <w:hideMark/>
          </w:tcPr>
          <w:p w14:paraId="386F983C" w14:textId="77777777" w:rsidR="00412E11" w:rsidRPr="00EC49A8" w:rsidRDefault="00412E11" w:rsidP="000C5C29">
            <w:pPr>
              <w:spacing w:before="0" w:after="0"/>
              <w:jc w:val="left"/>
              <w:rPr>
                <w:noProof/>
                <w:sz w:val="20"/>
                <w:szCs w:val="20"/>
                <w:lang w:eastAsia="en-IE"/>
              </w:rPr>
            </w:pPr>
          </w:p>
        </w:tc>
      </w:tr>
      <w:tr w:rsidR="00E254F3" w:rsidRPr="00EC49A8" w14:paraId="44EECDA2"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2583" w:type="pct"/>
            <w:gridSpan w:val="4"/>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4C671FC8" w14:textId="77777777" w:rsidR="00412E11" w:rsidRPr="00EC49A8" w:rsidRDefault="00412E11" w:rsidP="000C5C29">
            <w:pPr>
              <w:spacing w:before="0" w:after="0"/>
              <w:jc w:val="center"/>
              <w:rPr>
                <w:b/>
                <w:bCs/>
                <w:noProof/>
                <w:sz w:val="22"/>
              </w:rPr>
            </w:pPr>
            <w:r w:rsidRPr="00EC49A8">
              <w:rPr>
                <w:b/>
                <w:noProof/>
                <w:sz w:val="22"/>
              </w:rPr>
              <w:t xml:space="preserve">TOTALE stanziamenti per la RUBRICA </w:t>
            </w:r>
            <w:r w:rsidRPr="00B17672">
              <w:rPr>
                <w:b/>
                <w:noProof/>
                <w:sz w:val="22"/>
              </w:rPr>
              <w:t>7</w:t>
            </w:r>
            <w:r w:rsidRPr="00EC49A8">
              <w:rPr>
                <w:b/>
                <w:noProof/>
                <w:sz w:val="22"/>
              </w:rPr>
              <w:t xml:space="preserve"> del quadro finanziario pluriennale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14:paraId="2B3B138C" w14:textId="77777777" w:rsidR="00412E11" w:rsidRPr="00EC49A8" w:rsidRDefault="00412E11" w:rsidP="000C5C29">
            <w:pPr>
              <w:spacing w:before="0" w:after="0"/>
              <w:jc w:val="center"/>
              <w:rPr>
                <w:noProof/>
                <w:sz w:val="18"/>
                <w:szCs w:val="18"/>
              </w:rPr>
            </w:pPr>
            <w:r w:rsidRPr="00EC49A8">
              <w:rPr>
                <w:noProof/>
                <w:sz w:val="18"/>
              </w:rPr>
              <w:t>(Totale impegni = Totale pagamenti)</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1469BE2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37B16F6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2D0CB9C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5C4114C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64" w:type="pct"/>
            <w:tcBorders>
              <w:top w:val="single" w:sz="8" w:space="0" w:color="auto"/>
              <w:left w:val="nil"/>
              <w:bottom w:val="single" w:sz="8" w:space="0" w:color="auto"/>
              <w:right w:val="single" w:sz="8" w:space="0" w:color="auto"/>
            </w:tcBorders>
            <w:shd w:val="clear" w:color="000000" w:fill="D9D9D9"/>
            <w:vAlign w:val="center"/>
            <w:hideMark/>
          </w:tcPr>
          <w:p w14:paraId="47C7540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185391D3" w14:textId="77777777" w:rsidR="00412E11" w:rsidRPr="00EC49A8" w:rsidRDefault="00412E11" w:rsidP="000C5C29">
      <w:pPr>
        <w:jc w:val="right"/>
        <w:rPr>
          <w:noProof/>
          <w:sz w:val="20"/>
        </w:rPr>
      </w:pPr>
      <w:r w:rsidRPr="00EC49A8">
        <w:rPr>
          <w:noProof/>
          <w:sz w:val="20"/>
        </w:rPr>
        <w:t>Mio EUR (al terzo decimale)</w:t>
      </w:r>
    </w:p>
    <w:tbl>
      <w:tblPr>
        <w:tblW w:w="5000" w:type="pct"/>
        <w:tblLook w:val="04A0" w:firstRow="1" w:lastRow="0" w:firstColumn="1" w:lastColumn="0" w:noHBand="0" w:noVBand="1"/>
      </w:tblPr>
      <w:tblGrid>
        <w:gridCol w:w="4037"/>
        <w:gridCol w:w="1504"/>
        <w:gridCol w:w="68"/>
        <w:gridCol w:w="1342"/>
        <w:gridCol w:w="737"/>
        <w:gridCol w:w="674"/>
        <w:gridCol w:w="580"/>
        <w:gridCol w:w="830"/>
        <w:gridCol w:w="424"/>
        <w:gridCol w:w="987"/>
        <w:gridCol w:w="267"/>
        <w:gridCol w:w="1092"/>
        <w:gridCol w:w="162"/>
        <w:gridCol w:w="1516"/>
      </w:tblGrid>
      <w:tr w:rsidR="00E254F3" w:rsidRPr="00EC49A8" w14:paraId="0D4B7B01" w14:textId="77777777" w:rsidTr="00A97FEE">
        <w:trPr>
          <w:trHeight w:val="288"/>
        </w:trPr>
        <w:tc>
          <w:tcPr>
            <w:tcW w:w="2703" w:type="pct"/>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0E1A8D" w14:textId="77777777" w:rsidR="00412E11" w:rsidRPr="00EC49A8" w:rsidRDefault="00412E11" w:rsidP="000C5C29">
            <w:pPr>
              <w:spacing w:before="0" w:after="0"/>
              <w:jc w:val="center"/>
              <w:rPr>
                <w:noProof/>
                <w:szCs w:val="24"/>
              </w:rPr>
            </w:pPr>
            <w:r w:rsidRPr="00EC49A8">
              <w:rPr>
                <w:noProof/>
              </w:rPr>
              <w:t xml:space="preserve"> </w:t>
            </w:r>
          </w:p>
        </w:tc>
        <w:tc>
          <w:tcPr>
            <w:tcW w:w="441" w:type="pct"/>
            <w:gridSpan w:val="2"/>
            <w:tcBorders>
              <w:top w:val="single" w:sz="8" w:space="0" w:color="auto"/>
              <w:left w:val="nil"/>
              <w:bottom w:val="nil"/>
              <w:right w:val="single" w:sz="8" w:space="0" w:color="auto"/>
            </w:tcBorders>
            <w:shd w:val="clear" w:color="auto" w:fill="auto"/>
            <w:vAlign w:val="center"/>
            <w:hideMark/>
          </w:tcPr>
          <w:p w14:paraId="0D1D7755"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gridSpan w:val="2"/>
            <w:tcBorders>
              <w:top w:val="single" w:sz="8" w:space="0" w:color="auto"/>
              <w:left w:val="nil"/>
              <w:bottom w:val="nil"/>
              <w:right w:val="single" w:sz="8" w:space="0" w:color="auto"/>
            </w:tcBorders>
            <w:shd w:val="clear" w:color="auto" w:fill="auto"/>
            <w:vAlign w:val="center"/>
            <w:hideMark/>
          </w:tcPr>
          <w:p w14:paraId="3E779EC4"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gridSpan w:val="2"/>
            <w:tcBorders>
              <w:top w:val="single" w:sz="8" w:space="0" w:color="auto"/>
              <w:left w:val="nil"/>
              <w:bottom w:val="nil"/>
              <w:right w:val="single" w:sz="8" w:space="0" w:color="auto"/>
            </w:tcBorders>
            <w:shd w:val="clear" w:color="auto" w:fill="auto"/>
            <w:vAlign w:val="center"/>
            <w:hideMark/>
          </w:tcPr>
          <w:p w14:paraId="0E12A976" w14:textId="77777777" w:rsidR="00412E11" w:rsidRPr="00EC49A8" w:rsidRDefault="00412E11" w:rsidP="000C5C29">
            <w:pPr>
              <w:spacing w:before="0" w:after="0"/>
              <w:jc w:val="center"/>
              <w:rPr>
                <w:noProof/>
                <w:sz w:val="20"/>
                <w:szCs w:val="20"/>
              </w:rPr>
            </w:pPr>
            <w:r w:rsidRPr="00EC49A8">
              <w:rPr>
                <w:noProof/>
                <w:sz w:val="20"/>
              </w:rPr>
              <w:t>Anno</w:t>
            </w:r>
          </w:p>
        </w:tc>
        <w:tc>
          <w:tcPr>
            <w:tcW w:w="441" w:type="pct"/>
            <w:gridSpan w:val="2"/>
            <w:tcBorders>
              <w:top w:val="single" w:sz="8" w:space="0" w:color="auto"/>
              <w:left w:val="nil"/>
              <w:bottom w:val="nil"/>
              <w:right w:val="single" w:sz="8" w:space="0" w:color="auto"/>
            </w:tcBorders>
            <w:shd w:val="clear" w:color="auto" w:fill="auto"/>
            <w:vAlign w:val="center"/>
            <w:hideMark/>
          </w:tcPr>
          <w:p w14:paraId="7CFBC8B0" w14:textId="77777777" w:rsidR="00412E11" w:rsidRPr="00EC49A8" w:rsidRDefault="00412E11" w:rsidP="000C5C29">
            <w:pPr>
              <w:spacing w:before="0" w:after="0"/>
              <w:jc w:val="center"/>
              <w:rPr>
                <w:noProof/>
                <w:sz w:val="20"/>
                <w:szCs w:val="20"/>
              </w:rPr>
            </w:pPr>
            <w:r w:rsidRPr="00EC49A8">
              <w:rPr>
                <w:noProof/>
                <w:sz w:val="20"/>
              </w:rPr>
              <w:t>Anno</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F0A50"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63A74B33" w14:textId="77777777" w:rsidTr="00A97FEE">
        <w:trPr>
          <w:trHeight w:val="300"/>
        </w:trPr>
        <w:tc>
          <w:tcPr>
            <w:tcW w:w="2703" w:type="pct"/>
            <w:gridSpan w:val="5"/>
            <w:vMerge/>
            <w:tcBorders>
              <w:top w:val="single" w:sz="8" w:space="0" w:color="auto"/>
              <w:left w:val="single" w:sz="8" w:space="0" w:color="auto"/>
              <w:bottom w:val="single" w:sz="8" w:space="0" w:color="auto"/>
              <w:right w:val="single" w:sz="8" w:space="0" w:color="auto"/>
            </w:tcBorders>
            <w:vAlign w:val="center"/>
            <w:hideMark/>
          </w:tcPr>
          <w:p w14:paraId="23BA83F9" w14:textId="77777777" w:rsidR="00412E11" w:rsidRPr="00EC49A8" w:rsidRDefault="00412E11" w:rsidP="000C5C29">
            <w:pPr>
              <w:spacing w:before="0" w:after="0"/>
              <w:jc w:val="left"/>
              <w:rPr>
                <w:noProof/>
                <w:szCs w:val="24"/>
                <w:lang w:eastAsia="en-IE"/>
              </w:rPr>
            </w:pPr>
          </w:p>
        </w:tc>
        <w:tc>
          <w:tcPr>
            <w:tcW w:w="441" w:type="pct"/>
            <w:gridSpan w:val="2"/>
            <w:tcBorders>
              <w:top w:val="nil"/>
              <w:left w:val="nil"/>
              <w:bottom w:val="single" w:sz="8" w:space="0" w:color="auto"/>
              <w:right w:val="single" w:sz="8" w:space="0" w:color="auto"/>
            </w:tcBorders>
            <w:shd w:val="clear" w:color="auto" w:fill="auto"/>
            <w:vAlign w:val="center"/>
            <w:hideMark/>
          </w:tcPr>
          <w:p w14:paraId="45659A2F"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41" w:type="pct"/>
            <w:gridSpan w:val="2"/>
            <w:tcBorders>
              <w:top w:val="nil"/>
              <w:left w:val="nil"/>
              <w:bottom w:val="single" w:sz="8" w:space="0" w:color="auto"/>
              <w:right w:val="single" w:sz="8" w:space="0" w:color="auto"/>
            </w:tcBorders>
            <w:shd w:val="clear" w:color="auto" w:fill="auto"/>
            <w:vAlign w:val="center"/>
            <w:hideMark/>
          </w:tcPr>
          <w:p w14:paraId="65D8D5CA"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41" w:type="pct"/>
            <w:gridSpan w:val="2"/>
            <w:tcBorders>
              <w:top w:val="nil"/>
              <w:left w:val="nil"/>
              <w:bottom w:val="single" w:sz="8" w:space="0" w:color="auto"/>
              <w:right w:val="single" w:sz="8" w:space="0" w:color="auto"/>
            </w:tcBorders>
            <w:shd w:val="clear" w:color="auto" w:fill="auto"/>
            <w:vAlign w:val="center"/>
            <w:hideMark/>
          </w:tcPr>
          <w:p w14:paraId="4A8E829F"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41" w:type="pct"/>
            <w:gridSpan w:val="2"/>
            <w:tcBorders>
              <w:top w:val="nil"/>
              <w:left w:val="nil"/>
              <w:bottom w:val="single" w:sz="8" w:space="0" w:color="auto"/>
              <w:right w:val="single" w:sz="8" w:space="0" w:color="auto"/>
            </w:tcBorders>
            <w:shd w:val="clear" w:color="auto" w:fill="auto"/>
            <w:vAlign w:val="center"/>
            <w:hideMark/>
          </w:tcPr>
          <w:p w14:paraId="5835D83D"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14:paraId="24B58B22" w14:textId="77777777" w:rsidR="00412E11" w:rsidRPr="00EC49A8" w:rsidRDefault="00412E11" w:rsidP="000C5C29">
            <w:pPr>
              <w:spacing w:before="0" w:after="0"/>
              <w:jc w:val="left"/>
              <w:rPr>
                <w:b/>
                <w:bCs/>
                <w:noProof/>
                <w:sz w:val="20"/>
                <w:szCs w:val="20"/>
                <w:lang w:eastAsia="en-IE"/>
              </w:rPr>
            </w:pPr>
          </w:p>
        </w:tc>
      </w:tr>
      <w:tr w:rsidR="00E254F3" w:rsidRPr="00EC49A8" w14:paraId="6AE830BD" w14:textId="77777777" w:rsidTr="00A97FEE">
        <w:trPr>
          <w:trHeight w:val="564"/>
        </w:trPr>
        <w:tc>
          <w:tcPr>
            <w:tcW w:w="1972" w:type="pct"/>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23FCD80B" w14:textId="77777777" w:rsidR="00412E11" w:rsidRPr="00EC49A8" w:rsidRDefault="00412E11" w:rsidP="000C5C29">
            <w:pPr>
              <w:spacing w:before="0" w:after="0"/>
              <w:jc w:val="center"/>
              <w:rPr>
                <w:b/>
                <w:bCs/>
                <w:noProof/>
                <w:sz w:val="22"/>
              </w:rPr>
            </w:pPr>
            <w:r w:rsidRPr="00EC49A8">
              <w:rPr>
                <w:b/>
                <w:noProof/>
                <w:sz w:val="22"/>
              </w:rPr>
              <w:t xml:space="preserve">TOTALE stanziamenti per le RUBRICHE da </w:t>
            </w:r>
            <w:r w:rsidRPr="00B17672">
              <w:rPr>
                <w:b/>
                <w:noProof/>
                <w:sz w:val="22"/>
              </w:rPr>
              <w:t>1</w:t>
            </w:r>
            <w:r w:rsidRPr="00EC49A8">
              <w:rPr>
                <w:b/>
                <w:noProof/>
                <w:sz w:val="22"/>
              </w:rPr>
              <w:t xml:space="preserve"> a </w:t>
            </w:r>
            <w:r w:rsidRPr="00B17672">
              <w:rPr>
                <w:b/>
                <w:noProof/>
                <w:sz w:val="22"/>
              </w:rPr>
              <w:t>7</w:t>
            </w:r>
          </w:p>
        </w:tc>
        <w:tc>
          <w:tcPr>
            <w:tcW w:w="731" w:type="pct"/>
            <w:gridSpan w:val="2"/>
            <w:tcBorders>
              <w:top w:val="single" w:sz="8" w:space="0" w:color="auto"/>
              <w:left w:val="nil"/>
              <w:bottom w:val="single" w:sz="8" w:space="0" w:color="auto"/>
              <w:right w:val="single" w:sz="8" w:space="0" w:color="auto"/>
            </w:tcBorders>
            <w:shd w:val="clear" w:color="auto" w:fill="auto"/>
            <w:vAlign w:val="center"/>
            <w:hideMark/>
          </w:tcPr>
          <w:p w14:paraId="35F8E2C8" w14:textId="77777777" w:rsidR="00412E11" w:rsidRPr="00EC49A8" w:rsidRDefault="00412E11" w:rsidP="000C5C29">
            <w:pPr>
              <w:spacing w:before="0" w:after="0"/>
              <w:rPr>
                <w:noProof/>
                <w:sz w:val="18"/>
                <w:szCs w:val="18"/>
              </w:rPr>
            </w:pPr>
            <w:r w:rsidRPr="00EC49A8">
              <w:rPr>
                <w:noProof/>
                <w:sz w:val="18"/>
              </w:rPr>
              <w:t>Impegni</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2820E2C2"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10A7E6A0"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144739CE"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0B8157B9"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533" w:type="pct"/>
            <w:tcBorders>
              <w:top w:val="nil"/>
              <w:left w:val="nil"/>
              <w:bottom w:val="single" w:sz="8" w:space="0" w:color="auto"/>
              <w:right w:val="single" w:sz="8" w:space="0" w:color="auto"/>
            </w:tcBorders>
            <w:shd w:val="clear" w:color="000000" w:fill="D9D9D9"/>
            <w:vAlign w:val="center"/>
            <w:hideMark/>
          </w:tcPr>
          <w:p w14:paraId="7C0F1D69"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r>
      <w:tr w:rsidR="00E254F3" w:rsidRPr="00EC49A8" w14:paraId="56DC5F26" w14:textId="77777777" w:rsidTr="00A97FEE">
        <w:trPr>
          <w:trHeight w:val="540"/>
        </w:trPr>
        <w:tc>
          <w:tcPr>
            <w:tcW w:w="1972" w:type="pct"/>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68A2BC91" w14:textId="77777777" w:rsidR="00412E11" w:rsidRPr="00EC49A8" w:rsidRDefault="00412E11" w:rsidP="000C5C29">
            <w:pPr>
              <w:spacing w:before="0" w:after="0"/>
              <w:jc w:val="center"/>
              <w:rPr>
                <w:noProof/>
                <w:sz w:val="22"/>
              </w:rPr>
            </w:pPr>
            <w:r w:rsidRPr="00EC49A8">
              <w:rPr>
                <w:noProof/>
                <w:sz w:val="22"/>
              </w:rPr>
              <w:t>del quadro finanziario pluriennale</w:t>
            </w:r>
            <w:r w:rsidRPr="00EC49A8">
              <w:rPr>
                <w:b/>
                <w:noProof/>
                <w:sz w:val="22"/>
              </w:rPr>
              <w:t xml:space="preserve"> </w:t>
            </w:r>
          </w:p>
        </w:tc>
        <w:tc>
          <w:tcPr>
            <w:tcW w:w="731" w:type="pct"/>
            <w:gridSpan w:val="2"/>
            <w:tcBorders>
              <w:top w:val="single" w:sz="8" w:space="0" w:color="auto"/>
              <w:left w:val="nil"/>
              <w:bottom w:val="single" w:sz="8" w:space="0" w:color="auto"/>
              <w:right w:val="single" w:sz="8" w:space="0" w:color="auto"/>
            </w:tcBorders>
            <w:shd w:val="clear" w:color="auto" w:fill="auto"/>
            <w:vAlign w:val="center"/>
            <w:hideMark/>
          </w:tcPr>
          <w:p w14:paraId="4628F4E5" w14:textId="77777777" w:rsidR="00412E11" w:rsidRPr="00EC49A8" w:rsidRDefault="00412E11" w:rsidP="000C5C29">
            <w:pPr>
              <w:spacing w:before="0" w:after="0"/>
              <w:rPr>
                <w:noProof/>
                <w:sz w:val="18"/>
                <w:szCs w:val="18"/>
              </w:rPr>
            </w:pPr>
            <w:r w:rsidRPr="00EC49A8">
              <w:rPr>
                <w:noProof/>
                <w:sz w:val="18"/>
              </w:rPr>
              <w:t>Pagamenti</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2C47D673"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5AFACAC6"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6241F554"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176D8AD5"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533" w:type="pct"/>
            <w:tcBorders>
              <w:top w:val="nil"/>
              <w:left w:val="nil"/>
              <w:bottom w:val="single" w:sz="8" w:space="0" w:color="auto"/>
              <w:right w:val="single" w:sz="8" w:space="0" w:color="auto"/>
            </w:tcBorders>
            <w:shd w:val="clear" w:color="000000" w:fill="D9D9D9"/>
            <w:vAlign w:val="center"/>
            <w:hideMark/>
          </w:tcPr>
          <w:p w14:paraId="6073D5C2"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r>
      <w:tr w:rsidR="00E254F3" w:rsidRPr="00EC49A8" w14:paraId="133E3615" w14:textId="77777777" w:rsidTr="000C5C29">
        <w:trPr>
          <w:trHeight w:val="288"/>
        </w:trPr>
        <w:tc>
          <w:tcPr>
            <w:tcW w:w="1419" w:type="pct"/>
            <w:tcBorders>
              <w:left w:val="single" w:sz="8" w:space="0" w:color="auto"/>
              <w:bottom w:val="single" w:sz="8" w:space="0" w:color="auto"/>
              <w:right w:val="single" w:sz="8" w:space="0" w:color="auto"/>
            </w:tcBorders>
            <w:shd w:val="clear" w:color="auto" w:fill="auto"/>
            <w:vAlign w:val="center"/>
            <w:hideMark/>
          </w:tcPr>
          <w:p w14:paraId="5F3B0F51" w14:textId="77777777" w:rsidR="00412E11" w:rsidRPr="00EC49A8" w:rsidRDefault="00412E11" w:rsidP="00A97FEE">
            <w:pPr>
              <w:spacing w:before="0" w:after="200" w:line="276" w:lineRule="auto"/>
              <w:jc w:val="left"/>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77C78072" w14:textId="77777777" w:rsidR="00412E11" w:rsidRPr="00EC49A8" w:rsidRDefault="00412E11" w:rsidP="000C5C29">
            <w:pPr>
              <w:spacing w:before="0" w:after="0"/>
              <w:rPr>
                <w:noProof/>
                <w:sz w:val="18"/>
                <w:szCs w:val="18"/>
              </w:rPr>
            </w:pPr>
            <w:r w:rsidRPr="00EC49A8">
              <w:rPr>
                <w:noProof/>
                <w:sz w:val="18"/>
              </w:rPr>
              <w:t>Pagamenti</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3B979671"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41733EC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7D3CF87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714DDB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6689E83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gridSpan w:val="2"/>
            <w:tcBorders>
              <w:top w:val="nil"/>
              <w:left w:val="nil"/>
              <w:bottom w:val="single" w:sz="8" w:space="0" w:color="auto"/>
              <w:right w:val="single" w:sz="8" w:space="0" w:color="auto"/>
            </w:tcBorders>
            <w:shd w:val="clear" w:color="000000" w:fill="D9D9D9"/>
            <w:vAlign w:val="center"/>
            <w:hideMark/>
          </w:tcPr>
          <w:p w14:paraId="539EEED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54AD7408" w14:textId="77777777" w:rsidR="00412E11" w:rsidRPr="00EC49A8" w:rsidRDefault="00412E11" w:rsidP="000C5C29">
      <w:pPr>
        <w:spacing w:after="40"/>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EC49A8" w14:paraId="2EEC75A5"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493DC9" w14:textId="77777777" w:rsidR="00412E11" w:rsidRPr="00EC49A8" w:rsidRDefault="00412E11" w:rsidP="000C5C29">
            <w:pPr>
              <w:spacing w:before="0" w:after="0"/>
              <w:jc w:val="center"/>
              <w:rPr>
                <w:b/>
                <w:bCs/>
                <w:noProof/>
                <w:sz w:val="22"/>
              </w:rPr>
            </w:pPr>
            <w:r w:rsidRPr="00EC49A8">
              <w:rPr>
                <w:b/>
                <w:noProof/>
                <w:sz w:val="22"/>
              </w:rPr>
              <w:t xml:space="preserve">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1DD40A8F"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6AA5CED0"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75FBEA9C"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5C6455D6" w14:textId="77777777" w:rsidR="00412E11" w:rsidRPr="00EC49A8" w:rsidRDefault="00412E11" w:rsidP="000C5C29">
            <w:pPr>
              <w:spacing w:before="0" w:after="0"/>
              <w:jc w:val="center"/>
              <w:rPr>
                <w:noProof/>
                <w:sz w:val="20"/>
                <w:szCs w:val="20"/>
              </w:rPr>
            </w:pPr>
            <w:r w:rsidRPr="00EC49A8">
              <w:rPr>
                <w:noProof/>
                <w:sz w:val="20"/>
              </w:rPr>
              <w:t>Anno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03DD3A1"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666F8720"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406A1096" w14:textId="77777777" w:rsidR="00412E11" w:rsidRPr="00EC49A8"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400B1592"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04475C08"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40A25827"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2F1CA151"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78656F66" w14:textId="77777777" w:rsidR="00412E11" w:rsidRPr="00EC49A8" w:rsidRDefault="00412E11" w:rsidP="000C5C29">
            <w:pPr>
              <w:spacing w:before="0" w:after="0"/>
              <w:jc w:val="left"/>
              <w:rPr>
                <w:b/>
                <w:bCs/>
                <w:noProof/>
                <w:sz w:val="20"/>
                <w:szCs w:val="20"/>
                <w:lang w:eastAsia="en-IE"/>
              </w:rPr>
            </w:pPr>
          </w:p>
        </w:tc>
      </w:tr>
      <w:tr w:rsidR="00E254F3" w:rsidRPr="00EC49A8" w14:paraId="29F878A3"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5F9FC631" w14:textId="77777777" w:rsidR="00412E11" w:rsidRPr="00EC49A8" w:rsidRDefault="00412E11" w:rsidP="000C5C29">
            <w:pPr>
              <w:spacing w:before="0" w:after="0"/>
              <w:rPr>
                <w:noProof/>
                <w:sz w:val="21"/>
                <w:szCs w:val="21"/>
              </w:rPr>
            </w:pPr>
            <w:r w:rsidRPr="00EC49A8">
              <w:rPr>
                <w:noProof/>
                <w:sz w:val="21"/>
              </w:rPr>
              <w:t xml:space="preserve">TOTALE stanziamenti operativi </w:t>
            </w:r>
            <w:r w:rsidRPr="00EC49A8">
              <w:rPr>
                <w:noProof/>
              </w:rPr>
              <w:t xml:space="preserve"> </w:t>
            </w:r>
            <w:r w:rsidRPr="00EC49A8">
              <w:rPr>
                <w:noProof/>
              </w:rPr>
              <w:br/>
            </w:r>
          </w:p>
        </w:tc>
        <w:tc>
          <w:tcPr>
            <w:tcW w:w="529" w:type="pct"/>
            <w:tcBorders>
              <w:top w:val="nil"/>
              <w:left w:val="nil"/>
              <w:bottom w:val="single" w:sz="8" w:space="0" w:color="auto"/>
              <w:right w:val="single" w:sz="8" w:space="0" w:color="auto"/>
            </w:tcBorders>
            <w:shd w:val="clear" w:color="auto" w:fill="auto"/>
            <w:vAlign w:val="center"/>
            <w:hideMark/>
          </w:tcPr>
          <w:p w14:paraId="0F833167"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370AE99A"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38B080BA"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64739D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583820A"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120A0A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4BC043D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75E03E8"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3C38C8A7" w14:textId="77777777" w:rsidR="00412E11" w:rsidRPr="00EC49A8"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6976746D"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005D5790"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17F4DA4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27657FCD"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7BE4A64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DCCF1A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0A5F5C2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741863A" w14:textId="77777777" w:rsidTr="000C5C29">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C88B50" w14:textId="77777777" w:rsidR="00412E11" w:rsidRPr="00EC49A8" w:rsidRDefault="00412E11" w:rsidP="000C5C29">
            <w:pPr>
              <w:spacing w:before="0" w:after="0"/>
              <w:rPr>
                <w:noProof/>
                <w:sz w:val="21"/>
                <w:szCs w:val="21"/>
              </w:rPr>
            </w:pPr>
            <w:r w:rsidRPr="00EC49A8">
              <w:rPr>
                <w:noProof/>
                <w:sz w:val="21"/>
              </w:rPr>
              <w:t xml:space="preserve">TOTALE stanziamenti amministrativi finanziati dalla dotazione di programmi specifici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74954018"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1CC8D63A"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FCF2C2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29DD15F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21A0FAC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37C2624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BF5463F"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67C734A3" w14:textId="77777777" w:rsidR="00412E11" w:rsidRPr="00EC49A8" w:rsidRDefault="00412E11" w:rsidP="000C5C29">
            <w:pPr>
              <w:spacing w:before="0" w:after="0"/>
              <w:jc w:val="center"/>
              <w:rPr>
                <w:b/>
                <w:bCs/>
                <w:noProof/>
                <w:sz w:val="22"/>
              </w:rPr>
            </w:pPr>
            <w:r w:rsidRPr="00EC49A8">
              <w:rPr>
                <w:b/>
                <w:noProof/>
                <w:sz w:val="22"/>
              </w:rPr>
              <w:t>TOTALE stanziamenti per la RUBRICA &lt;….&gt;</w:t>
            </w:r>
          </w:p>
        </w:tc>
        <w:tc>
          <w:tcPr>
            <w:tcW w:w="529" w:type="pct"/>
            <w:tcBorders>
              <w:top w:val="nil"/>
              <w:left w:val="nil"/>
              <w:bottom w:val="single" w:sz="8" w:space="0" w:color="auto"/>
              <w:right w:val="single" w:sz="8" w:space="0" w:color="auto"/>
            </w:tcBorders>
            <w:shd w:val="clear" w:color="auto" w:fill="auto"/>
            <w:vAlign w:val="center"/>
            <w:hideMark/>
          </w:tcPr>
          <w:p w14:paraId="603B3BB0"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5B6DAD0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1994849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71AF8FE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772FDB0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1F31E4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66DD1ED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E7A5694"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1B94C072" w14:textId="77777777" w:rsidR="00412E11" w:rsidRPr="00EC49A8" w:rsidRDefault="00412E11" w:rsidP="000C5C29">
            <w:pPr>
              <w:spacing w:before="0" w:after="0"/>
              <w:jc w:val="center"/>
              <w:rPr>
                <w:noProof/>
                <w:sz w:val="22"/>
              </w:rPr>
            </w:pPr>
            <w:r w:rsidRPr="00EC49A8">
              <w:rPr>
                <w:noProof/>
                <w:sz w:val="22"/>
              </w:rPr>
              <w:t>del quadro finanziario pluriennale</w:t>
            </w:r>
          </w:p>
        </w:tc>
        <w:tc>
          <w:tcPr>
            <w:tcW w:w="529" w:type="pct"/>
            <w:tcBorders>
              <w:top w:val="nil"/>
              <w:left w:val="nil"/>
              <w:bottom w:val="single" w:sz="8" w:space="0" w:color="auto"/>
              <w:right w:val="single" w:sz="8" w:space="0" w:color="auto"/>
            </w:tcBorders>
            <w:shd w:val="clear" w:color="auto" w:fill="auto"/>
            <w:vAlign w:val="center"/>
            <w:hideMark/>
          </w:tcPr>
          <w:p w14:paraId="34A79BEC"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D1583A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5D686C1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A089B8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7447C9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96B825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5C734DB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46583C77" w14:textId="77777777" w:rsidR="00412E11" w:rsidRPr="00EC49A8" w:rsidRDefault="00412E11" w:rsidP="000C5C29">
      <w:pPr>
        <w:spacing w:after="40"/>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EC49A8" w14:paraId="729FDC38" w14:textId="77777777" w:rsidTr="000C5C29">
        <w:trPr>
          <w:jc w:val="center"/>
        </w:trPr>
        <w:tc>
          <w:tcPr>
            <w:tcW w:w="1739" w:type="pct"/>
            <w:shd w:val="thinDiagStripe" w:color="C0C0C0" w:fill="auto"/>
            <w:vAlign w:val="center"/>
          </w:tcPr>
          <w:p w14:paraId="42146CC2" w14:textId="77777777" w:rsidR="00412E11" w:rsidRPr="00EC49A8" w:rsidRDefault="00412E11" w:rsidP="000C5C29">
            <w:pPr>
              <w:spacing w:before="60" w:after="60"/>
              <w:jc w:val="center"/>
              <w:rPr>
                <w:b/>
                <w:noProof/>
              </w:rPr>
            </w:pPr>
            <w:r w:rsidRPr="00EC49A8">
              <w:rPr>
                <w:b/>
                <w:noProof/>
                <w:sz w:val="22"/>
              </w:rPr>
              <w:t xml:space="preserve">Rubrica del quadro finanziario pluriennale </w:t>
            </w:r>
          </w:p>
        </w:tc>
        <w:tc>
          <w:tcPr>
            <w:tcW w:w="396" w:type="pct"/>
            <w:vAlign w:val="center"/>
          </w:tcPr>
          <w:p w14:paraId="249D2BEA" w14:textId="77777777" w:rsidR="00412E11" w:rsidRPr="00EC49A8" w:rsidRDefault="00412E11" w:rsidP="000C5C29">
            <w:pPr>
              <w:spacing w:before="60" w:after="60"/>
              <w:jc w:val="center"/>
              <w:rPr>
                <w:noProof/>
              </w:rPr>
            </w:pPr>
            <w:r w:rsidRPr="00EC49A8">
              <w:rPr>
                <w:noProof/>
                <w:sz w:val="22"/>
              </w:rPr>
              <w:t>Numero</w:t>
            </w:r>
          </w:p>
        </w:tc>
        <w:tc>
          <w:tcPr>
            <w:tcW w:w="2865" w:type="pct"/>
            <w:vAlign w:val="center"/>
          </w:tcPr>
          <w:p w14:paraId="3CAA76E4" w14:textId="77777777" w:rsidR="00412E11" w:rsidRPr="00EC49A8" w:rsidRDefault="00412E11" w:rsidP="000C5C29">
            <w:pPr>
              <w:spacing w:before="60" w:after="60"/>
              <w:rPr>
                <w:noProof/>
              </w:rPr>
            </w:pPr>
          </w:p>
        </w:tc>
      </w:tr>
    </w:tbl>
    <w:p w14:paraId="79D056E9" w14:textId="77777777" w:rsidR="00412E11" w:rsidRPr="00EC49A8" w:rsidRDefault="00412E11" w:rsidP="000C5C29">
      <w:pPr>
        <w:spacing w:before="0" w:after="200" w:line="276" w:lineRule="auto"/>
        <w:jc w:val="left"/>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E254F3" w:rsidRPr="00EC49A8" w14:paraId="0AF20282" w14:textId="77777777" w:rsidTr="000C5C29">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8A3318A" w14:textId="77777777" w:rsidR="00412E11" w:rsidRPr="00EC49A8" w:rsidRDefault="00412E11" w:rsidP="000C5C29">
            <w:pPr>
              <w:spacing w:before="0" w:after="0"/>
              <w:jc w:val="center"/>
              <w:rPr>
                <w:noProof/>
                <w:sz w:val="22"/>
              </w:rPr>
            </w:pPr>
            <w:r w:rsidRPr="00EC49A8">
              <w:rPr>
                <w:noProof/>
                <w:sz w:val="22"/>
              </w:rPr>
              <w:t>DG: &lt;…….&gt;</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37B04F94" w14:textId="77777777" w:rsidR="00412E11" w:rsidRPr="00EC49A8" w:rsidRDefault="00412E11" w:rsidP="000C5C29">
            <w:pPr>
              <w:spacing w:before="0" w:after="0"/>
              <w:jc w:val="center"/>
              <w:rPr>
                <w:noProof/>
                <w:sz w:val="20"/>
                <w:szCs w:val="20"/>
              </w:rPr>
            </w:pPr>
            <w:r w:rsidRPr="00EC49A8">
              <w:rPr>
                <w:noProof/>
                <w:sz w:val="20"/>
              </w:rPr>
              <w:t>Anno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01E9AF72" w14:textId="77777777" w:rsidR="00412E11" w:rsidRPr="00EC49A8" w:rsidRDefault="00412E11" w:rsidP="000C5C29">
            <w:pPr>
              <w:spacing w:before="0" w:after="0"/>
              <w:jc w:val="center"/>
              <w:rPr>
                <w:noProof/>
                <w:sz w:val="20"/>
                <w:szCs w:val="20"/>
              </w:rPr>
            </w:pPr>
            <w:r w:rsidRPr="00EC49A8">
              <w:rPr>
                <w:noProof/>
                <w:sz w:val="20"/>
              </w:rPr>
              <w:t>Anno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CFC513F" w14:textId="77777777" w:rsidR="00412E11" w:rsidRPr="00EC49A8" w:rsidRDefault="00412E11" w:rsidP="000C5C29">
            <w:pPr>
              <w:spacing w:before="0" w:after="0"/>
              <w:jc w:val="center"/>
              <w:rPr>
                <w:noProof/>
                <w:sz w:val="20"/>
                <w:szCs w:val="20"/>
              </w:rPr>
            </w:pPr>
            <w:r w:rsidRPr="00EC49A8">
              <w:rPr>
                <w:noProof/>
                <w:sz w:val="20"/>
              </w:rPr>
              <w:t>Anno</w:t>
            </w:r>
          </w:p>
        </w:tc>
        <w:tc>
          <w:tcPr>
            <w:tcW w:w="478" w:type="pct"/>
            <w:tcBorders>
              <w:top w:val="single" w:sz="8" w:space="0" w:color="auto"/>
              <w:left w:val="nil"/>
              <w:bottom w:val="single" w:sz="8" w:space="0" w:color="auto"/>
              <w:right w:val="single" w:sz="8" w:space="0" w:color="auto"/>
            </w:tcBorders>
            <w:shd w:val="clear" w:color="auto" w:fill="auto"/>
            <w:vAlign w:val="center"/>
            <w:hideMark/>
          </w:tcPr>
          <w:p w14:paraId="76C5DDDD" w14:textId="77777777" w:rsidR="00412E11" w:rsidRPr="00EC49A8" w:rsidRDefault="00412E11" w:rsidP="000C5C29">
            <w:pPr>
              <w:spacing w:before="0" w:after="0"/>
              <w:jc w:val="center"/>
              <w:rPr>
                <w:noProof/>
                <w:sz w:val="20"/>
                <w:szCs w:val="20"/>
              </w:rPr>
            </w:pPr>
            <w:r w:rsidRPr="00EC49A8">
              <w:rPr>
                <w:noProof/>
                <w:sz w:val="20"/>
              </w:rPr>
              <w:t>Anno</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FDD617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0EFF6E5D" w14:textId="77777777" w:rsidTr="000C5C29">
        <w:trPr>
          <w:trHeight w:val="288"/>
        </w:trPr>
        <w:tc>
          <w:tcPr>
            <w:tcW w:w="2444" w:type="pct"/>
            <w:gridSpan w:val="3"/>
            <w:vMerge/>
            <w:vAlign w:val="center"/>
            <w:hideMark/>
          </w:tcPr>
          <w:p w14:paraId="0156DFA4" w14:textId="77777777" w:rsidR="00412E11" w:rsidRPr="00EC49A8" w:rsidRDefault="00412E11" w:rsidP="000C5C29">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14:paraId="7CCE42B5"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14:paraId="0FE21970"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14:paraId="6FF68A1E"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14:paraId="601D9616"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0" w:type="pct"/>
            <w:vMerge/>
            <w:vAlign w:val="center"/>
            <w:hideMark/>
          </w:tcPr>
          <w:p w14:paraId="6A13A720" w14:textId="77777777" w:rsidR="00412E11" w:rsidRPr="00EC49A8" w:rsidRDefault="00412E11" w:rsidP="000C5C29">
            <w:pPr>
              <w:spacing w:before="0" w:after="0"/>
              <w:jc w:val="left"/>
              <w:rPr>
                <w:b/>
                <w:bCs/>
                <w:noProof/>
                <w:sz w:val="20"/>
                <w:szCs w:val="20"/>
                <w:lang w:eastAsia="en-IE"/>
              </w:rPr>
            </w:pPr>
          </w:p>
        </w:tc>
      </w:tr>
      <w:tr w:rsidR="00E254F3" w:rsidRPr="00EC49A8" w14:paraId="563A9FAE" w14:textId="77777777" w:rsidTr="000C5C29">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7839A34C" w14:textId="77777777" w:rsidR="00412E11" w:rsidRPr="00EC49A8" w:rsidRDefault="00412E11" w:rsidP="000C5C29">
            <w:pPr>
              <w:spacing w:before="0" w:after="0"/>
              <w:jc w:val="left"/>
              <w:rPr>
                <w:noProof/>
                <w:sz w:val="21"/>
                <w:szCs w:val="21"/>
              </w:rPr>
            </w:pPr>
            <w:r w:rsidRPr="00EC49A8">
              <w:rPr>
                <w:noProof/>
                <w:sz w:val="21"/>
              </w:rPr>
              <w:t xml:space="preserve">Stanziamenti operativi </w:t>
            </w:r>
          </w:p>
        </w:tc>
      </w:tr>
      <w:tr w:rsidR="00E254F3" w:rsidRPr="00EC49A8" w14:paraId="42665724" w14:textId="77777777" w:rsidTr="000C5C29">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220CC6D5" w14:textId="77777777" w:rsidR="00412E11" w:rsidRPr="00EC49A8" w:rsidRDefault="00412E11" w:rsidP="000C5C29">
            <w:pPr>
              <w:spacing w:before="0" w:after="0"/>
              <w:jc w:val="left"/>
              <w:rPr>
                <w:noProof/>
                <w:sz w:val="22"/>
              </w:rPr>
            </w:pPr>
            <w:r w:rsidRPr="00EC49A8">
              <w:rPr>
                <w:noProof/>
                <w:sz w:val="22"/>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5F348D14"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E151ED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p>
        </w:tc>
        <w:tc>
          <w:tcPr>
            <w:tcW w:w="496" w:type="pct"/>
            <w:tcBorders>
              <w:top w:val="nil"/>
              <w:left w:val="nil"/>
              <w:bottom w:val="single" w:sz="8" w:space="0" w:color="auto"/>
              <w:right w:val="single" w:sz="8" w:space="0" w:color="auto"/>
            </w:tcBorders>
            <w:shd w:val="clear" w:color="auto" w:fill="auto"/>
            <w:vAlign w:val="center"/>
            <w:hideMark/>
          </w:tcPr>
          <w:p w14:paraId="0B4D1180"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6A5047D"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3A9F09A"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497FF878"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4D6BFA1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F2A8C8F" w14:textId="77777777" w:rsidTr="000C5C29">
        <w:trPr>
          <w:trHeight w:val="315"/>
        </w:trPr>
        <w:tc>
          <w:tcPr>
            <w:tcW w:w="1419" w:type="pct"/>
            <w:vMerge/>
            <w:vAlign w:val="center"/>
            <w:hideMark/>
          </w:tcPr>
          <w:p w14:paraId="6B29D38C" w14:textId="77777777" w:rsidR="00412E11" w:rsidRPr="00EC49A8" w:rsidRDefault="00412E11" w:rsidP="000C5C29">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3EA58909"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F86FCC0"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p>
        </w:tc>
        <w:tc>
          <w:tcPr>
            <w:tcW w:w="496" w:type="pct"/>
            <w:tcBorders>
              <w:top w:val="nil"/>
              <w:left w:val="nil"/>
              <w:bottom w:val="single" w:sz="8" w:space="0" w:color="auto"/>
              <w:right w:val="single" w:sz="8" w:space="0" w:color="auto"/>
            </w:tcBorders>
            <w:shd w:val="clear" w:color="auto" w:fill="auto"/>
            <w:vAlign w:val="center"/>
            <w:hideMark/>
          </w:tcPr>
          <w:p w14:paraId="289B53D4"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69EBAC14"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113560B9"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47CC4A6F"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03506B2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17267CB" w14:textId="77777777" w:rsidTr="000C5C29">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14:paraId="5E5F0CF0" w14:textId="77777777" w:rsidR="00412E11" w:rsidRPr="00EC49A8" w:rsidRDefault="00412E11" w:rsidP="000C5C29">
            <w:pPr>
              <w:spacing w:before="0" w:after="0"/>
              <w:rPr>
                <w:noProof/>
                <w:sz w:val="20"/>
                <w:szCs w:val="20"/>
              </w:rPr>
            </w:pPr>
            <w:r w:rsidRPr="00EC49A8">
              <w:rPr>
                <w:noProof/>
                <w:sz w:val="20"/>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7F802C80"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338181E"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b)</w:t>
            </w:r>
          </w:p>
        </w:tc>
        <w:tc>
          <w:tcPr>
            <w:tcW w:w="496" w:type="pct"/>
            <w:tcBorders>
              <w:top w:val="nil"/>
              <w:left w:val="nil"/>
              <w:bottom w:val="single" w:sz="8" w:space="0" w:color="auto"/>
              <w:right w:val="single" w:sz="8" w:space="0" w:color="auto"/>
            </w:tcBorders>
            <w:shd w:val="clear" w:color="auto" w:fill="auto"/>
            <w:vAlign w:val="center"/>
            <w:hideMark/>
          </w:tcPr>
          <w:p w14:paraId="4A022D36"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508D4343"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565A4897"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609FAE3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68EC046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E82D7F0" w14:textId="77777777" w:rsidTr="000C5C29">
        <w:trPr>
          <w:trHeight w:val="315"/>
        </w:trPr>
        <w:tc>
          <w:tcPr>
            <w:tcW w:w="1419" w:type="pct"/>
            <w:vMerge/>
            <w:vAlign w:val="center"/>
            <w:hideMark/>
          </w:tcPr>
          <w:p w14:paraId="5D04B84D" w14:textId="77777777" w:rsidR="00412E11" w:rsidRPr="00EC49A8" w:rsidRDefault="00412E11" w:rsidP="000C5C29">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191F4ED9"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1208B62"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b)</w:t>
            </w:r>
          </w:p>
        </w:tc>
        <w:tc>
          <w:tcPr>
            <w:tcW w:w="496" w:type="pct"/>
            <w:tcBorders>
              <w:top w:val="nil"/>
              <w:left w:val="nil"/>
              <w:bottom w:val="single" w:sz="8" w:space="0" w:color="auto"/>
              <w:right w:val="single" w:sz="8" w:space="0" w:color="auto"/>
            </w:tcBorders>
            <w:shd w:val="clear" w:color="auto" w:fill="auto"/>
            <w:vAlign w:val="center"/>
            <w:hideMark/>
          </w:tcPr>
          <w:p w14:paraId="3890236A"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0CAB7A2B"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297A833D"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5C0976CD" w14:textId="77777777" w:rsidR="00412E11" w:rsidRPr="00EC49A8" w:rsidRDefault="00412E11" w:rsidP="000C5C29">
            <w:pPr>
              <w:spacing w:before="0" w:after="0"/>
              <w:jc w:val="right"/>
              <w:rPr>
                <w:noProof/>
                <w:sz w:val="20"/>
                <w:szCs w:val="20"/>
              </w:rPr>
            </w:pPr>
            <w:r w:rsidRPr="00EC49A8">
              <w:rPr>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721F86C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FECA9BC" w14:textId="77777777" w:rsidTr="000C5C29">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A2E309" w14:textId="77777777" w:rsidR="00412E11" w:rsidRPr="00EC49A8" w:rsidRDefault="00412E11" w:rsidP="000C5C29">
            <w:pPr>
              <w:spacing w:before="0" w:after="0"/>
              <w:jc w:val="left"/>
              <w:rPr>
                <w:noProof/>
                <w:sz w:val="22"/>
              </w:rPr>
            </w:pPr>
            <w:r w:rsidRPr="00EC49A8">
              <w:rPr>
                <w:noProof/>
                <w:sz w:val="22"/>
              </w:rPr>
              <w:t>Stanziamenti amministrativi finanziati dalla dotazione di programmi specifici</w:t>
            </w:r>
            <w:r w:rsidRPr="00EC49A8">
              <w:rPr>
                <w:rStyle w:val="FootnoteReference"/>
                <w:noProof/>
                <w:sz w:val="22"/>
                <w:lang w:eastAsia="en-IE"/>
              </w:rPr>
              <w:footnoteReference w:id="19"/>
            </w:r>
          </w:p>
        </w:tc>
      </w:tr>
      <w:tr w:rsidR="00E254F3" w:rsidRPr="00EC49A8" w14:paraId="269705F9" w14:textId="77777777" w:rsidTr="000C5C29">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14:paraId="4538667E" w14:textId="77777777" w:rsidR="00412E11" w:rsidRPr="00EC49A8" w:rsidRDefault="00412E11" w:rsidP="000C5C29">
            <w:pPr>
              <w:spacing w:before="0" w:after="0"/>
              <w:rPr>
                <w:noProof/>
                <w:sz w:val="20"/>
                <w:szCs w:val="20"/>
              </w:rPr>
            </w:pPr>
            <w:r w:rsidRPr="00EC49A8">
              <w:rPr>
                <w:noProof/>
                <w:sz w:val="20"/>
              </w:rPr>
              <w:t>Linea di bilancio</w:t>
            </w:r>
          </w:p>
        </w:tc>
        <w:tc>
          <w:tcPr>
            <w:tcW w:w="529" w:type="pct"/>
            <w:tcBorders>
              <w:top w:val="nil"/>
              <w:left w:val="nil"/>
              <w:bottom w:val="single" w:sz="8" w:space="0" w:color="auto"/>
              <w:right w:val="single" w:sz="8" w:space="0" w:color="auto"/>
            </w:tcBorders>
            <w:shd w:val="clear" w:color="auto" w:fill="auto"/>
            <w:vAlign w:val="center"/>
            <w:hideMark/>
          </w:tcPr>
          <w:p w14:paraId="1FC0B768" w14:textId="77777777" w:rsidR="00412E11" w:rsidRPr="00EC49A8" w:rsidRDefault="00412E11" w:rsidP="000C5C29">
            <w:pPr>
              <w:spacing w:before="0" w:after="0"/>
              <w:jc w:val="right"/>
              <w:rPr>
                <w:noProof/>
                <w:sz w:val="18"/>
                <w:szCs w:val="18"/>
              </w:rPr>
            </w:pPr>
            <w:r w:rsidRPr="00EC49A8">
              <w:rPr>
                <w:noProof/>
                <w:sz w:val="18"/>
              </w:rPr>
              <w:t xml:space="preserve">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3F48DD22"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3</w:t>
            </w:r>
            <w:r w:rsidRPr="00EC49A8">
              <w:rPr>
                <w:noProof/>
                <w:sz w:val="14"/>
              </w:rPr>
              <w:t>)</w:t>
            </w:r>
          </w:p>
        </w:tc>
        <w:tc>
          <w:tcPr>
            <w:tcW w:w="496" w:type="pct"/>
            <w:tcBorders>
              <w:top w:val="nil"/>
              <w:left w:val="nil"/>
              <w:bottom w:val="single" w:sz="8" w:space="0" w:color="auto"/>
              <w:right w:val="single" w:sz="8" w:space="0" w:color="auto"/>
            </w:tcBorders>
            <w:shd w:val="clear" w:color="auto" w:fill="auto"/>
            <w:vAlign w:val="center"/>
            <w:hideMark/>
          </w:tcPr>
          <w:p w14:paraId="69583EB6"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796AB264"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96" w:type="pct"/>
            <w:tcBorders>
              <w:top w:val="nil"/>
              <w:left w:val="nil"/>
              <w:bottom w:val="single" w:sz="8" w:space="0" w:color="auto"/>
              <w:right w:val="single" w:sz="8" w:space="0" w:color="auto"/>
            </w:tcBorders>
            <w:shd w:val="clear" w:color="auto" w:fill="auto"/>
            <w:vAlign w:val="center"/>
            <w:hideMark/>
          </w:tcPr>
          <w:p w14:paraId="0D4AA436"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478" w:type="pct"/>
            <w:tcBorders>
              <w:top w:val="nil"/>
              <w:left w:val="nil"/>
              <w:bottom w:val="single" w:sz="8" w:space="0" w:color="auto"/>
              <w:right w:val="single" w:sz="8" w:space="0" w:color="auto"/>
            </w:tcBorders>
            <w:shd w:val="clear" w:color="auto" w:fill="auto"/>
            <w:vAlign w:val="center"/>
            <w:hideMark/>
          </w:tcPr>
          <w:p w14:paraId="038A6517" w14:textId="77777777" w:rsidR="00412E11" w:rsidRPr="00EC49A8" w:rsidRDefault="00412E11" w:rsidP="000C5C29">
            <w:pPr>
              <w:spacing w:before="0" w:after="0"/>
              <w:jc w:val="right"/>
              <w:rPr>
                <w:b/>
                <w:bCs/>
                <w:noProof/>
                <w:sz w:val="20"/>
                <w:szCs w:val="20"/>
              </w:rPr>
            </w:pPr>
            <w:r w:rsidRPr="00EC49A8">
              <w:rPr>
                <w:b/>
                <w:noProof/>
                <w:sz w:val="20"/>
              </w:rPr>
              <w:t xml:space="preserve">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6F54E30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0A22138" w14:textId="77777777" w:rsidTr="000C5C29">
        <w:trPr>
          <w:trHeight w:val="288"/>
        </w:trPr>
        <w:tc>
          <w:tcPr>
            <w:tcW w:w="1419" w:type="pct"/>
            <w:vMerge w:val="restart"/>
            <w:tcBorders>
              <w:top w:val="nil"/>
              <w:left w:val="single" w:sz="8" w:space="0" w:color="auto"/>
              <w:right w:val="single" w:sz="8" w:space="0" w:color="auto"/>
            </w:tcBorders>
            <w:shd w:val="clear" w:color="auto" w:fill="auto"/>
            <w:vAlign w:val="center"/>
            <w:hideMark/>
          </w:tcPr>
          <w:p w14:paraId="0ACCE75E" w14:textId="77777777" w:rsidR="00412E11" w:rsidRPr="00EC49A8" w:rsidRDefault="00412E11" w:rsidP="000C5C29">
            <w:pPr>
              <w:spacing w:before="0" w:after="0"/>
              <w:jc w:val="center"/>
              <w:rPr>
                <w:b/>
                <w:bCs/>
                <w:noProof/>
                <w:sz w:val="22"/>
              </w:rPr>
            </w:pPr>
            <w:r w:rsidRPr="00EC49A8">
              <w:rPr>
                <w:b/>
                <w:noProof/>
                <w:sz w:val="22"/>
              </w:rPr>
              <w:t>TOTALE stanziamenti</w:t>
            </w:r>
          </w:p>
          <w:p w14:paraId="71D4C6AE" w14:textId="77777777" w:rsidR="00412E11" w:rsidRPr="00EC49A8" w:rsidRDefault="00412E11" w:rsidP="000C5C29">
            <w:pPr>
              <w:spacing w:before="0" w:after="0"/>
              <w:jc w:val="center"/>
              <w:rPr>
                <w:b/>
                <w:bCs/>
                <w:noProof/>
                <w:sz w:val="22"/>
              </w:rPr>
            </w:pPr>
            <w:r w:rsidRPr="00EC49A8">
              <w:rPr>
                <w:b/>
                <w:noProof/>
                <w:sz w:val="22"/>
              </w:rPr>
              <w:t>per la DG</w:t>
            </w:r>
            <w:r w:rsidRPr="00EC49A8">
              <w:rPr>
                <w:noProof/>
                <w:sz w:val="22"/>
              </w:rPr>
              <w:t xml:space="preserve"> &lt;…….&gt;</w:t>
            </w:r>
          </w:p>
        </w:tc>
        <w:tc>
          <w:tcPr>
            <w:tcW w:w="529" w:type="pct"/>
            <w:tcBorders>
              <w:top w:val="nil"/>
              <w:left w:val="nil"/>
              <w:bottom w:val="single" w:sz="8" w:space="0" w:color="auto"/>
              <w:right w:val="single" w:sz="8" w:space="0" w:color="auto"/>
            </w:tcBorders>
            <w:shd w:val="clear" w:color="auto" w:fill="auto"/>
            <w:vAlign w:val="center"/>
            <w:hideMark/>
          </w:tcPr>
          <w:p w14:paraId="0AD6F0A2" w14:textId="77777777" w:rsidR="00412E11" w:rsidRPr="00EC49A8" w:rsidRDefault="00412E11" w:rsidP="000C5C29">
            <w:pPr>
              <w:spacing w:before="0" w:after="0"/>
              <w:rPr>
                <w:noProof/>
                <w:sz w:val="18"/>
                <w:szCs w:val="18"/>
              </w:rPr>
            </w:pPr>
            <w:r w:rsidRPr="00EC49A8">
              <w:rPr>
                <w:noProof/>
                <w:sz w:val="18"/>
              </w:rPr>
              <w:t>Impegni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2DA2E39"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1</w:t>
            </w:r>
            <w:r w:rsidRPr="00EC49A8">
              <w:rPr>
                <w:noProof/>
                <w:sz w:val="14"/>
              </w:rPr>
              <w:t>a+</w:t>
            </w:r>
            <w:r w:rsidRPr="00B17672">
              <w:rPr>
                <w:noProof/>
                <w:sz w:val="14"/>
              </w:rPr>
              <w:t>1</w:t>
            </w:r>
            <w:r w:rsidRPr="00EC49A8">
              <w:rPr>
                <w:noProof/>
                <w:sz w:val="14"/>
              </w:rPr>
              <w:t>b+</w:t>
            </w:r>
            <w:r w:rsidRPr="00B17672">
              <w:rPr>
                <w:noProof/>
                <w:sz w:val="14"/>
              </w:rPr>
              <w:t>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372C237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33594F4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0443B98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14:paraId="35313C3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3CE10C5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FB7AEA4" w14:textId="77777777" w:rsidTr="000C5C29">
        <w:trPr>
          <w:trHeight w:val="288"/>
        </w:trPr>
        <w:tc>
          <w:tcPr>
            <w:tcW w:w="1419" w:type="pct"/>
            <w:vMerge/>
            <w:vAlign w:val="center"/>
            <w:hideMark/>
          </w:tcPr>
          <w:p w14:paraId="06E1381D" w14:textId="77777777" w:rsidR="00412E11" w:rsidRPr="00EC49A8" w:rsidRDefault="00412E11" w:rsidP="000C5C29">
            <w:pPr>
              <w:spacing w:before="0" w:after="0"/>
              <w:jc w:val="center"/>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0932710D"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F27C242"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6354433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32A30B0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33EA6C3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14:paraId="4346A36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07F7279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4725E139" w14:textId="77777777" w:rsidTr="000C5C29">
        <w:trPr>
          <w:trHeight w:val="288"/>
        </w:trPr>
        <w:tc>
          <w:tcPr>
            <w:tcW w:w="1419" w:type="pct"/>
            <w:vMerge/>
            <w:tcBorders>
              <w:left w:val="single" w:sz="8" w:space="0" w:color="auto"/>
              <w:bottom w:val="single" w:sz="8" w:space="0" w:color="auto"/>
              <w:right w:val="single" w:sz="8" w:space="0" w:color="auto"/>
            </w:tcBorders>
            <w:shd w:val="clear" w:color="auto" w:fill="auto"/>
            <w:vAlign w:val="center"/>
            <w:hideMark/>
          </w:tcPr>
          <w:p w14:paraId="34B3A60A" w14:textId="77777777" w:rsidR="00412E11" w:rsidRPr="00EC49A8" w:rsidRDefault="00412E11" w:rsidP="00DD1D5D">
            <w:pPr>
              <w:spacing w:before="0" w:after="200" w:line="276" w:lineRule="auto"/>
              <w:jc w:val="left"/>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6AF5AD04" w14:textId="77777777" w:rsidR="00412E11" w:rsidRPr="00EC49A8" w:rsidRDefault="00412E11" w:rsidP="000C5C29">
            <w:pPr>
              <w:spacing w:before="0" w:after="0"/>
              <w:rPr>
                <w:noProof/>
                <w:sz w:val="18"/>
                <w:szCs w:val="18"/>
              </w:rPr>
            </w:pPr>
            <w:r w:rsidRPr="00EC49A8">
              <w:rPr>
                <w:noProof/>
                <w:sz w:val="18"/>
              </w:rPr>
              <w:t>Pagamenti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DFB550E"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2</w:t>
            </w:r>
            <w:r w:rsidRPr="00EC49A8">
              <w:rPr>
                <w:noProof/>
                <w:sz w:val="14"/>
              </w:rPr>
              <w:t>a+</w:t>
            </w:r>
            <w:r w:rsidRPr="00B17672">
              <w:rPr>
                <w:noProof/>
                <w:sz w:val="14"/>
              </w:rPr>
              <w:t>2</w:t>
            </w:r>
            <w:r w:rsidRPr="00EC49A8">
              <w:rPr>
                <w:noProof/>
                <w:sz w:val="14"/>
              </w:rPr>
              <w:t>b+</w:t>
            </w:r>
            <w:r w:rsidRPr="00B17672">
              <w:rPr>
                <w:noProof/>
                <w:sz w:val="14"/>
              </w:rPr>
              <w:t>3</w:t>
            </w:r>
          </w:p>
        </w:tc>
        <w:tc>
          <w:tcPr>
            <w:tcW w:w="496" w:type="pct"/>
            <w:tcBorders>
              <w:top w:val="nil"/>
              <w:left w:val="nil"/>
              <w:bottom w:val="single" w:sz="8" w:space="0" w:color="auto"/>
              <w:right w:val="single" w:sz="8" w:space="0" w:color="auto"/>
            </w:tcBorders>
            <w:shd w:val="clear" w:color="000000" w:fill="D9D9D9"/>
            <w:vAlign w:val="center"/>
            <w:hideMark/>
          </w:tcPr>
          <w:p w14:paraId="5DFAFBC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009A380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6" w:type="pct"/>
            <w:tcBorders>
              <w:top w:val="nil"/>
              <w:left w:val="nil"/>
              <w:bottom w:val="single" w:sz="8" w:space="0" w:color="auto"/>
              <w:right w:val="single" w:sz="8" w:space="0" w:color="auto"/>
            </w:tcBorders>
            <w:shd w:val="clear" w:color="000000" w:fill="D9D9D9"/>
            <w:vAlign w:val="center"/>
            <w:hideMark/>
          </w:tcPr>
          <w:p w14:paraId="3764D8A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78" w:type="pct"/>
            <w:tcBorders>
              <w:top w:val="nil"/>
              <w:left w:val="nil"/>
              <w:bottom w:val="single" w:sz="8" w:space="0" w:color="auto"/>
              <w:right w:val="single" w:sz="8" w:space="0" w:color="auto"/>
            </w:tcBorders>
            <w:shd w:val="clear" w:color="000000" w:fill="D9D9D9"/>
            <w:vAlign w:val="center"/>
            <w:hideMark/>
          </w:tcPr>
          <w:p w14:paraId="32D89CFE"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0" w:type="pct"/>
            <w:tcBorders>
              <w:top w:val="nil"/>
              <w:left w:val="nil"/>
              <w:bottom w:val="single" w:sz="8" w:space="0" w:color="auto"/>
              <w:right w:val="single" w:sz="8" w:space="0" w:color="auto"/>
            </w:tcBorders>
            <w:shd w:val="clear" w:color="000000" w:fill="D9D9D9"/>
            <w:vAlign w:val="center"/>
            <w:hideMark/>
          </w:tcPr>
          <w:p w14:paraId="3B0B9A2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133E28BE" w14:textId="77777777" w:rsidR="00412E11" w:rsidRPr="00EC49A8" w:rsidRDefault="00412E11" w:rsidP="000C5C29">
      <w:pPr>
        <w:spacing w:after="40"/>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EC49A8" w14:paraId="7243FA81"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2ADBD1D" w14:textId="77777777" w:rsidR="00412E11" w:rsidRPr="00EC49A8" w:rsidRDefault="00412E11" w:rsidP="000C5C29">
            <w:pPr>
              <w:spacing w:before="0" w:after="0"/>
              <w:jc w:val="center"/>
              <w:rPr>
                <w:b/>
                <w:bCs/>
                <w:noProof/>
                <w:sz w:val="22"/>
              </w:rPr>
            </w:pPr>
            <w:r w:rsidRPr="00EC49A8">
              <w:rPr>
                <w:b/>
                <w:noProof/>
                <w:sz w:val="22"/>
              </w:rPr>
              <w:t xml:space="preserve">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6E3CF54C"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339B56CD"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695DC96B" w14:textId="77777777" w:rsidR="00412E11" w:rsidRPr="00EC49A8" w:rsidRDefault="00412E11" w:rsidP="000C5C29">
            <w:pPr>
              <w:spacing w:before="0" w:after="0"/>
              <w:jc w:val="center"/>
              <w:rPr>
                <w:noProof/>
                <w:sz w:val="20"/>
                <w:szCs w:val="20"/>
              </w:rPr>
            </w:pPr>
            <w:r w:rsidRPr="00EC49A8">
              <w:rPr>
                <w:noProof/>
                <w:sz w:val="20"/>
              </w:rPr>
              <w:t>Anno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4E04EAA2" w14:textId="77777777" w:rsidR="00412E11" w:rsidRPr="00EC49A8" w:rsidRDefault="00412E11" w:rsidP="000C5C29">
            <w:pPr>
              <w:spacing w:before="0" w:after="0"/>
              <w:jc w:val="center"/>
              <w:rPr>
                <w:noProof/>
                <w:sz w:val="20"/>
                <w:szCs w:val="20"/>
              </w:rPr>
            </w:pPr>
            <w:r w:rsidRPr="00EC49A8">
              <w:rPr>
                <w:noProof/>
                <w:sz w:val="20"/>
              </w:rPr>
              <w:t>Anno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DAA1DB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20925BE2"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34EE2A10" w14:textId="77777777" w:rsidR="00412E11" w:rsidRPr="00EC49A8"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2FD083C0"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6D5B31B7"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5E8F38EF"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3788019D"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77B2C73D" w14:textId="77777777" w:rsidR="00412E11" w:rsidRPr="00EC49A8" w:rsidRDefault="00412E11" w:rsidP="000C5C29">
            <w:pPr>
              <w:spacing w:before="0" w:after="0"/>
              <w:jc w:val="left"/>
              <w:rPr>
                <w:b/>
                <w:bCs/>
                <w:noProof/>
                <w:sz w:val="20"/>
                <w:szCs w:val="20"/>
                <w:lang w:eastAsia="en-IE"/>
              </w:rPr>
            </w:pPr>
          </w:p>
        </w:tc>
      </w:tr>
      <w:tr w:rsidR="00E254F3" w:rsidRPr="00EC49A8" w14:paraId="010475B0"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29DBB629" w14:textId="77777777" w:rsidR="00412E11" w:rsidRPr="00EC49A8" w:rsidRDefault="00412E11" w:rsidP="000C5C29">
            <w:pPr>
              <w:spacing w:before="0" w:after="0"/>
              <w:rPr>
                <w:noProof/>
                <w:sz w:val="21"/>
                <w:szCs w:val="21"/>
              </w:rPr>
            </w:pPr>
            <w:r w:rsidRPr="00EC49A8">
              <w:rPr>
                <w:noProof/>
                <w:sz w:val="21"/>
              </w:rPr>
              <w:t xml:space="preserve">TOTALE stanziamenti operativi </w:t>
            </w:r>
            <w:r w:rsidRPr="00EC49A8">
              <w:rPr>
                <w:noProof/>
              </w:rPr>
              <w:t xml:space="preserve"> </w:t>
            </w:r>
            <w:r w:rsidRPr="00EC49A8">
              <w:rPr>
                <w:noProof/>
              </w:rPr>
              <w:br/>
            </w:r>
          </w:p>
        </w:tc>
        <w:tc>
          <w:tcPr>
            <w:tcW w:w="529" w:type="pct"/>
            <w:tcBorders>
              <w:top w:val="nil"/>
              <w:left w:val="nil"/>
              <w:bottom w:val="single" w:sz="8" w:space="0" w:color="auto"/>
              <w:right w:val="single" w:sz="8" w:space="0" w:color="auto"/>
            </w:tcBorders>
            <w:shd w:val="clear" w:color="auto" w:fill="auto"/>
            <w:vAlign w:val="center"/>
            <w:hideMark/>
          </w:tcPr>
          <w:p w14:paraId="6CE7FA30"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A760597"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3CC138F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BB31DAA"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185FCF8"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0C46736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05C566C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F0C3A71"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2323A22A" w14:textId="77777777" w:rsidR="00412E11" w:rsidRPr="00EC49A8"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2910F074"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09E5488B"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3C1CAB0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2D9FDAA"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FE53F9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48C5861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5CB5A1C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E0AAE1B" w14:textId="77777777" w:rsidTr="000C5C29">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2AD126" w14:textId="77777777" w:rsidR="00412E11" w:rsidRPr="00EC49A8" w:rsidRDefault="00412E11" w:rsidP="000C5C29">
            <w:pPr>
              <w:spacing w:before="0" w:after="0"/>
              <w:rPr>
                <w:noProof/>
                <w:sz w:val="21"/>
                <w:szCs w:val="21"/>
              </w:rPr>
            </w:pPr>
            <w:r w:rsidRPr="00EC49A8">
              <w:rPr>
                <w:noProof/>
                <w:sz w:val="21"/>
              </w:rPr>
              <w:t xml:space="preserve">TOTALE stanziamenti amministrativi finanziati dalla dotazione di programmi specifici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2CA67F50"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93" w:type="pct"/>
            <w:tcBorders>
              <w:top w:val="nil"/>
              <w:left w:val="nil"/>
              <w:bottom w:val="single" w:sz="8" w:space="0" w:color="auto"/>
              <w:right w:val="single" w:sz="8" w:space="0" w:color="auto"/>
            </w:tcBorders>
            <w:shd w:val="clear" w:color="000000" w:fill="D9D9D9"/>
            <w:vAlign w:val="center"/>
            <w:hideMark/>
          </w:tcPr>
          <w:p w14:paraId="0A6EF81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E30E7B1"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153560D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3BD2103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04C6147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4D99A9C"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3AC61C19" w14:textId="77777777" w:rsidR="00412E11" w:rsidRPr="00EC49A8" w:rsidRDefault="00412E11" w:rsidP="000C5C29">
            <w:pPr>
              <w:spacing w:before="0" w:after="0"/>
              <w:jc w:val="center"/>
              <w:rPr>
                <w:b/>
                <w:bCs/>
                <w:noProof/>
                <w:sz w:val="22"/>
              </w:rPr>
            </w:pPr>
            <w:r w:rsidRPr="00EC49A8">
              <w:rPr>
                <w:b/>
                <w:noProof/>
                <w:sz w:val="22"/>
              </w:rPr>
              <w:t>TOTALE stanziamenti per la RUBRICA &lt;….&gt;</w:t>
            </w:r>
          </w:p>
        </w:tc>
        <w:tc>
          <w:tcPr>
            <w:tcW w:w="529" w:type="pct"/>
            <w:tcBorders>
              <w:top w:val="nil"/>
              <w:left w:val="nil"/>
              <w:bottom w:val="single" w:sz="8" w:space="0" w:color="auto"/>
              <w:right w:val="single" w:sz="8" w:space="0" w:color="auto"/>
            </w:tcBorders>
            <w:shd w:val="clear" w:color="auto" w:fill="auto"/>
            <w:vAlign w:val="center"/>
            <w:hideMark/>
          </w:tcPr>
          <w:p w14:paraId="5D30C033" w14:textId="77777777" w:rsidR="00412E11" w:rsidRPr="00EC49A8" w:rsidRDefault="00412E11" w:rsidP="000C5C29">
            <w:pPr>
              <w:spacing w:before="0" w:after="0"/>
              <w:rPr>
                <w:noProof/>
                <w:sz w:val="18"/>
                <w:szCs w:val="18"/>
              </w:rPr>
            </w:pPr>
            <w:r w:rsidRPr="00EC49A8">
              <w:rPr>
                <w:noProof/>
                <w:sz w:val="18"/>
              </w:rPr>
              <w:t>Impegni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324A4B8E"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6741570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0B5B76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64B071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675D1C62"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7A16B98F"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04AAFE53"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3B0D2FA9" w14:textId="77777777" w:rsidR="00412E11" w:rsidRPr="00EC49A8" w:rsidRDefault="00412E11" w:rsidP="000C5C29">
            <w:pPr>
              <w:spacing w:before="0" w:after="0"/>
              <w:jc w:val="center"/>
              <w:rPr>
                <w:noProof/>
                <w:sz w:val="22"/>
              </w:rPr>
            </w:pPr>
            <w:r w:rsidRPr="00EC49A8">
              <w:rPr>
                <w:noProof/>
                <w:sz w:val="22"/>
              </w:rPr>
              <w:t>del quadro finanziario pluriennale</w:t>
            </w:r>
          </w:p>
        </w:tc>
        <w:tc>
          <w:tcPr>
            <w:tcW w:w="529" w:type="pct"/>
            <w:tcBorders>
              <w:top w:val="nil"/>
              <w:left w:val="nil"/>
              <w:bottom w:val="single" w:sz="8" w:space="0" w:color="auto"/>
              <w:right w:val="single" w:sz="8" w:space="0" w:color="auto"/>
            </w:tcBorders>
            <w:shd w:val="clear" w:color="auto" w:fill="auto"/>
            <w:vAlign w:val="center"/>
            <w:hideMark/>
          </w:tcPr>
          <w:p w14:paraId="03EA29D6" w14:textId="77777777" w:rsidR="00412E11" w:rsidRPr="00EC49A8" w:rsidRDefault="00412E11" w:rsidP="000C5C29">
            <w:pPr>
              <w:spacing w:before="0" w:after="0"/>
              <w:rPr>
                <w:noProof/>
                <w:sz w:val="18"/>
                <w:szCs w:val="18"/>
              </w:rPr>
            </w:pPr>
            <w:r w:rsidRPr="00EC49A8">
              <w:rPr>
                <w:noProof/>
                <w:sz w:val="18"/>
              </w:rPr>
              <w:t>Pagamenti</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49539623"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26B39AA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341B02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1A0F585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93" w:type="pct"/>
            <w:tcBorders>
              <w:top w:val="nil"/>
              <w:left w:val="nil"/>
              <w:bottom w:val="single" w:sz="8" w:space="0" w:color="auto"/>
              <w:right w:val="single" w:sz="8" w:space="0" w:color="auto"/>
            </w:tcBorders>
            <w:shd w:val="clear" w:color="000000" w:fill="D9D9D9"/>
            <w:vAlign w:val="center"/>
            <w:hideMark/>
          </w:tcPr>
          <w:p w14:paraId="59BD578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96" w:type="pct"/>
            <w:tcBorders>
              <w:top w:val="nil"/>
              <w:left w:val="nil"/>
              <w:bottom w:val="single" w:sz="8" w:space="0" w:color="auto"/>
              <w:right w:val="single" w:sz="8" w:space="0" w:color="auto"/>
            </w:tcBorders>
            <w:shd w:val="clear" w:color="000000" w:fill="D9D9D9"/>
            <w:vAlign w:val="center"/>
            <w:hideMark/>
          </w:tcPr>
          <w:p w14:paraId="4FD39FE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2EEB649C" w14:textId="77777777" w:rsidR="00412E11" w:rsidRPr="00EC49A8" w:rsidRDefault="00412E11" w:rsidP="000C5C29">
      <w:pPr>
        <w:spacing w:after="40"/>
        <w:rPr>
          <w:noProof/>
        </w:rPr>
      </w:pPr>
    </w:p>
    <w:tbl>
      <w:tblPr>
        <w:tblW w:w="5000" w:type="pct"/>
        <w:tblLook w:val="04A0" w:firstRow="1" w:lastRow="0" w:firstColumn="1" w:lastColumn="0" w:noHBand="0" w:noVBand="1"/>
      </w:tblPr>
      <w:tblGrid>
        <w:gridCol w:w="4328"/>
        <w:gridCol w:w="1339"/>
        <w:gridCol w:w="1038"/>
        <w:gridCol w:w="1041"/>
        <w:gridCol w:w="1243"/>
        <w:gridCol w:w="1243"/>
        <w:gridCol w:w="1243"/>
        <w:gridCol w:w="1243"/>
        <w:gridCol w:w="1502"/>
      </w:tblGrid>
      <w:tr w:rsidR="00E254F3" w:rsidRPr="00EC49A8" w14:paraId="0AE38F5B" w14:textId="77777777" w:rsidTr="000C5C29">
        <w:trPr>
          <w:trHeight w:val="288"/>
        </w:trPr>
        <w:tc>
          <w:tcPr>
            <w:tcW w:w="1522" w:type="pct"/>
            <w:tcBorders>
              <w:top w:val="nil"/>
              <w:left w:val="nil"/>
              <w:bottom w:val="nil"/>
              <w:right w:val="nil"/>
            </w:tcBorders>
            <w:shd w:val="clear" w:color="auto" w:fill="auto"/>
            <w:noWrap/>
            <w:vAlign w:val="bottom"/>
            <w:hideMark/>
          </w:tcPr>
          <w:p w14:paraId="177F7FD4" w14:textId="77777777" w:rsidR="00412E11" w:rsidRPr="00EC49A8" w:rsidRDefault="00412E11" w:rsidP="000C5C29">
            <w:pPr>
              <w:spacing w:before="0" w:after="0"/>
              <w:jc w:val="left"/>
              <w:rPr>
                <w:noProof/>
                <w:sz w:val="20"/>
                <w:szCs w:val="24"/>
                <w:lang w:eastAsia="en-IE"/>
              </w:rPr>
            </w:pPr>
          </w:p>
        </w:tc>
        <w:tc>
          <w:tcPr>
            <w:tcW w:w="471" w:type="pct"/>
            <w:tcBorders>
              <w:top w:val="nil"/>
              <w:left w:val="nil"/>
              <w:bottom w:val="nil"/>
              <w:right w:val="nil"/>
            </w:tcBorders>
            <w:shd w:val="clear" w:color="auto" w:fill="auto"/>
            <w:noWrap/>
            <w:vAlign w:val="bottom"/>
            <w:hideMark/>
          </w:tcPr>
          <w:p w14:paraId="1157A29D" w14:textId="77777777" w:rsidR="00412E11" w:rsidRPr="00EC49A8"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6A061628" w14:textId="77777777" w:rsidR="00412E11" w:rsidRPr="00EC49A8" w:rsidRDefault="00412E11" w:rsidP="000C5C29">
            <w:pPr>
              <w:spacing w:before="0" w:after="0"/>
              <w:jc w:val="left"/>
              <w:rPr>
                <w:noProof/>
                <w:sz w:val="20"/>
                <w:szCs w:val="20"/>
                <w:lang w:eastAsia="en-IE"/>
              </w:rPr>
            </w:pPr>
          </w:p>
        </w:tc>
        <w:tc>
          <w:tcPr>
            <w:tcW w:w="366" w:type="pct"/>
            <w:tcBorders>
              <w:top w:val="nil"/>
              <w:left w:val="nil"/>
              <w:bottom w:val="nil"/>
              <w:right w:val="single" w:sz="4" w:space="0" w:color="auto"/>
            </w:tcBorders>
            <w:shd w:val="clear" w:color="auto" w:fill="auto"/>
            <w:noWrap/>
            <w:vAlign w:val="bottom"/>
            <w:hideMark/>
          </w:tcPr>
          <w:p w14:paraId="068CF46C" w14:textId="77777777" w:rsidR="00412E11" w:rsidRPr="00EC49A8" w:rsidRDefault="00412E11" w:rsidP="000C5C29">
            <w:pPr>
              <w:spacing w:before="0" w:after="0"/>
              <w:jc w:val="left"/>
              <w:rPr>
                <w:noProof/>
                <w:sz w:val="20"/>
                <w:szCs w:val="20"/>
                <w:lang w:eastAsia="en-IE"/>
              </w:rPr>
            </w:pPr>
          </w:p>
        </w:tc>
        <w:tc>
          <w:tcPr>
            <w:tcW w:w="437" w:type="pct"/>
            <w:tcBorders>
              <w:top w:val="single" w:sz="8" w:space="0" w:color="auto"/>
              <w:left w:val="single" w:sz="4" w:space="0" w:color="auto"/>
              <w:bottom w:val="nil"/>
              <w:right w:val="single" w:sz="8" w:space="0" w:color="auto"/>
            </w:tcBorders>
            <w:shd w:val="clear" w:color="auto" w:fill="auto"/>
            <w:vAlign w:val="center"/>
            <w:hideMark/>
          </w:tcPr>
          <w:p w14:paraId="68897852"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tcBorders>
              <w:top w:val="single" w:sz="8" w:space="0" w:color="auto"/>
              <w:left w:val="nil"/>
              <w:bottom w:val="nil"/>
              <w:right w:val="single" w:sz="8" w:space="0" w:color="auto"/>
            </w:tcBorders>
            <w:shd w:val="clear" w:color="auto" w:fill="auto"/>
            <w:vAlign w:val="center"/>
            <w:hideMark/>
          </w:tcPr>
          <w:p w14:paraId="7CD9DE9E"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tcBorders>
              <w:top w:val="single" w:sz="8" w:space="0" w:color="auto"/>
              <w:left w:val="nil"/>
              <w:bottom w:val="nil"/>
              <w:right w:val="single" w:sz="8" w:space="0" w:color="auto"/>
            </w:tcBorders>
            <w:shd w:val="clear" w:color="auto" w:fill="auto"/>
            <w:vAlign w:val="center"/>
            <w:hideMark/>
          </w:tcPr>
          <w:p w14:paraId="4D3E44C4" w14:textId="77777777" w:rsidR="00412E11" w:rsidRPr="00EC49A8" w:rsidRDefault="00412E11" w:rsidP="000C5C29">
            <w:pPr>
              <w:spacing w:before="0" w:after="0"/>
              <w:jc w:val="center"/>
              <w:rPr>
                <w:noProof/>
                <w:sz w:val="20"/>
                <w:szCs w:val="20"/>
              </w:rPr>
            </w:pPr>
            <w:r w:rsidRPr="00EC49A8">
              <w:rPr>
                <w:noProof/>
                <w:sz w:val="20"/>
              </w:rPr>
              <w:t>Anno</w:t>
            </w:r>
          </w:p>
        </w:tc>
        <w:tc>
          <w:tcPr>
            <w:tcW w:w="437" w:type="pct"/>
            <w:tcBorders>
              <w:top w:val="single" w:sz="8" w:space="0" w:color="auto"/>
              <w:left w:val="nil"/>
              <w:bottom w:val="nil"/>
              <w:right w:val="single" w:sz="8" w:space="0" w:color="auto"/>
            </w:tcBorders>
            <w:shd w:val="clear" w:color="auto" w:fill="auto"/>
            <w:vAlign w:val="center"/>
            <w:hideMark/>
          </w:tcPr>
          <w:p w14:paraId="68E0E64C" w14:textId="77777777" w:rsidR="00412E11" w:rsidRPr="00EC49A8" w:rsidRDefault="00412E11" w:rsidP="000C5C29">
            <w:pPr>
              <w:spacing w:before="0" w:after="0"/>
              <w:jc w:val="center"/>
              <w:rPr>
                <w:noProof/>
                <w:sz w:val="20"/>
                <w:szCs w:val="20"/>
              </w:rPr>
            </w:pPr>
            <w:r w:rsidRPr="00EC49A8">
              <w:rPr>
                <w:noProof/>
                <w:sz w:val="20"/>
              </w:rPr>
              <w:t>Anno</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EFDC4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06384C5C" w14:textId="77777777" w:rsidTr="000C5C29">
        <w:trPr>
          <w:trHeight w:val="300"/>
        </w:trPr>
        <w:tc>
          <w:tcPr>
            <w:tcW w:w="1522" w:type="pct"/>
            <w:tcBorders>
              <w:top w:val="nil"/>
              <w:left w:val="nil"/>
              <w:bottom w:val="nil"/>
              <w:right w:val="nil"/>
            </w:tcBorders>
            <w:shd w:val="clear" w:color="auto" w:fill="auto"/>
            <w:noWrap/>
            <w:vAlign w:val="bottom"/>
            <w:hideMark/>
          </w:tcPr>
          <w:p w14:paraId="56FF4291" w14:textId="77777777" w:rsidR="00412E11" w:rsidRPr="00EC49A8" w:rsidRDefault="00412E11" w:rsidP="000C5C29">
            <w:pPr>
              <w:spacing w:before="0" w:after="0"/>
              <w:jc w:val="center"/>
              <w:rPr>
                <w:b/>
                <w:bCs/>
                <w:noProof/>
                <w:sz w:val="20"/>
                <w:szCs w:val="20"/>
                <w:lang w:eastAsia="en-IE"/>
              </w:rPr>
            </w:pPr>
          </w:p>
        </w:tc>
        <w:tc>
          <w:tcPr>
            <w:tcW w:w="471" w:type="pct"/>
            <w:tcBorders>
              <w:top w:val="nil"/>
              <w:left w:val="nil"/>
              <w:bottom w:val="nil"/>
              <w:right w:val="nil"/>
            </w:tcBorders>
            <w:shd w:val="clear" w:color="auto" w:fill="auto"/>
            <w:noWrap/>
            <w:vAlign w:val="bottom"/>
            <w:hideMark/>
          </w:tcPr>
          <w:p w14:paraId="19A98A79" w14:textId="77777777" w:rsidR="00412E11" w:rsidRPr="00EC49A8"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1831F69C" w14:textId="77777777" w:rsidR="00412E11" w:rsidRPr="00EC49A8" w:rsidRDefault="00412E11" w:rsidP="000C5C29">
            <w:pPr>
              <w:spacing w:before="0" w:after="0"/>
              <w:jc w:val="left"/>
              <w:rPr>
                <w:noProof/>
                <w:sz w:val="20"/>
                <w:szCs w:val="20"/>
                <w:lang w:eastAsia="en-IE"/>
              </w:rPr>
            </w:pPr>
          </w:p>
        </w:tc>
        <w:tc>
          <w:tcPr>
            <w:tcW w:w="366" w:type="pct"/>
            <w:tcBorders>
              <w:top w:val="nil"/>
              <w:left w:val="nil"/>
              <w:bottom w:val="nil"/>
              <w:right w:val="single" w:sz="4" w:space="0" w:color="auto"/>
            </w:tcBorders>
            <w:shd w:val="clear" w:color="auto" w:fill="auto"/>
            <w:noWrap/>
            <w:vAlign w:val="bottom"/>
            <w:hideMark/>
          </w:tcPr>
          <w:p w14:paraId="4FCE906B" w14:textId="77777777" w:rsidR="00412E11" w:rsidRPr="00EC49A8" w:rsidRDefault="00412E11" w:rsidP="000C5C29">
            <w:pPr>
              <w:spacing w:before="0" w:after="0"/>
              <w:jc w:val="left"/>
              <w:rPr>
                <w:noProof/>
                <w:sz w:val="20"/>
                <w:szCs w:val="20"/>
                <w:lang w:eastAsia="en-IE"/>
              </w:rPr>
            </w:pPr>
          </w:p>
        </w:tc>
        <w:tc>
          <w:tcPr>
            <w:tcW w:w="437" w:type="pct"/>
            <w:tcBorders>
              <w:top w:val="nil"/>
              <w:left w:val="single" w:sz="4" w:space="0" w:color="auto"/>
              <w:bottom w:val="single" w:sz="8" w:space="0" w:color="auto"/>
              <w:right w:val="single" w:sz="8" w:space="0" w:color="auto"/>
            </w:tcBorders>
            <w:shd w:val="clear" w:color="auto" w:fill="auto"/>
            <w:vAlign w:val="center"/>
            <w:hideMark/>
          </w:tcPr>
          <w:p w14:paraId="4287393B" w14:textId="77777777" w:rsidR="00412E11" w:rsidRPr="00EC49A8" w:rsidRDefault="00412E11" w:rsidP="000C5C29">
            <w:pPr>
              <w:spacing w:before="0" w:after="0"/>
              <w:jc w:val="center"/>
              <w:rPr>
                <w:b/>
                <w:bCs/>
                <w:noProof/>
                <w:sz w:val="20"/>
                <w:szCs w:val="20"/>
              </w:rPr>
            </w:pPr>
            <w:r w:rsidRPr="00B17672">
              <w:rPr>
                <w:b/>
                <w:noProof/>
                <w:sz w:val="20"/>
              </w:rPr>
              <w:t>2024</w:t>
            </w:r>
          </w:p>
        </w:tc>
        <w:tc>
          <w:tcPr>
            <w:tcW w:w="437" w:type="pct"/>
            <w:tcBorders>
              <w:top w:val="nil"/>
              <w:left w:val="nil"/>
              <w:bottom w:val="single" w:sz="8" w:space="0" w:color="auto"/>
              <w:right w:val="single" w:sz="8" w:space="0" w:color="auto"/>
            </w:tcBorders>
            <w:shd w:val="clear" w:color="auto" w:fill="auto"/>
            <w:vAlign w:val="center"/>
            <w:hideMark/>
          </w:tcPr>
          <w:p w14:paraId="58AB5689" w14:textId="77777777" w:rsidR="00412E11" w:rsidRPr="00EC49A8" w:rsidRDefault="00412E11" w:rsidP="000C5C29">
            <w:pPr>
              <w:spacing w:before="0" w:after="0"/>
              <w:jc w:val="center"/>
              <w:rPr>
                <w:b/>
                <w:bCs/>
                <w:noProof/>
                <w:sz w:val="20"/>
                <w:szCs w:val="20"/>
              </w:rPr>
            </w:pPr>
            <w:r w:rsidRPr="00B17672">
              <w:rPr>
                <w:b/>
                <w:noProof/>
                <w:sz w:val="20"/>
              </w:rPr>
              <w:t>2025</w:t>
            </w:r>
          </w:p>
        </w:tc>
        <w:tc>
          <w:tcPr>
            <w:tcW w:w="437" w:type="pct"/>
            <w:tcBorders>
              <w:top w:val="nil"/>
              <w:left w:val="nil"/>
              <w:bottom w:val="single" w:sz="8" w:space="0" w:color="auto"/>
              <w:right w:val="single" w:sz="8" w:space="0" w:color="auto"/>
            </w:tcBorders>
            <w:shd w:val="clear" w:color="auto" w:fill="auto"/>
            <w:vAlign w:val="center"/>
            <w:hideMark/>
          </w:tcPr>
          <w:p w14:paraId="4023B843" w14:textId="77777777" w:rsidR="00412E11" w:rsidRPr="00EC49A8" w:rsidRDefault="00412E11" w:rsidP="000C5C29">
            <w:pPr>
              <w:spacing w:before="0" w:after="0"/>
              <w:jc w:val="center"/>
              <w:rPr>
                <w:b/>
                <w:bCs/>
                <w:noProof/>
                <w:sz w:val="20"/>
                <w:szCs w:val="20"/>
              </w:rPr>
            </w:pPr>
            <w:r w:rsidRPr="00B17672">
              <w:rPr>
                <w:b/>
                <w:noProof/>
                <w:sz w:val="20"/>
              </w:rPr>
              <w:t>2026</w:t>
            </w:r>
          </w:p>
        </w:tc>
        <w:tc>
          <w:tcPr>
            <w:tcW w:w="437" w:type="pct"/>
            <w:tcBorders>
              <w:top w:val="nil"/>
              <w:left w:val="nil"/>
              <w:bottom w:val="single" w:sz="8" w:space="0" w:color="auto"/>
              <w:right w:val="single" w:sz="8" w:space="0" w:color="auto"/>
            </w:tcBorders>
            <w:shd w:val="clear" w:color="auto" w:fill="auto"/>
            <w:vAlign w:val="center"/>
            <w:hideMark/>
          </w:tcPr>
          <w:p w14:paraId="3560AACC" w14:textId="77777777" w:rsidR="00412E11" w:rsidRPr="00EC49A8" w:rsidRDefault="00412E11" w:rsidP="000C5C29">
            <w:pPr>
              <w:spacing w:before="0" w:after="0"/>
              <w:jc w:val="center"/>
              <w:rPr>
                <w:b/>
                <w:bCs/>
                <w:noProof/>
                <w:sz w:val="20"/>
                <w:szCs w:val="20"/>
              </w:rPr>
            </w:pPr>
            <w:r w:rsidRPr="00B17672">
              <w:rPr>
                <w:b/>
                <w:noProof/>
                <w:sz w:val="20"/>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14:paraId="58852063" w14:textId="77777777" w:rsidR="00412E11" w:rsidRPr="00EC49A8" w:rsidRDefault="00412E11" w:rsidP="000C5C29">
            <w:pPr>
              <w:spacing w:before="0" w:after="0"/>
              <w:jc w:val="left"/>
              <w:rPr>
                <w:b/>
                <w:bCs/>
                <w:noProof/>
                <w:sz w:val="20"/>
                <w:szCs w:val="20"/>
                <w:lang w:eastAsia="en-IE"/>
              </w:rPr>
            </w:pPr>
          </w:p>
        </w:tc>
      </w:tr>
      <w:tr w:rsidR="00E254F3" w:rsidRPr="00EC49A8" w14:paraId="5BDADE64" w14:textId="77777777" w:rsidTr="000C5C29">
        <w:trPr>
          <w:trHeight w:val="300"/>
        </w:trPr>
        <w:tc>
          <w:tcPr>
            <w:tcW w:w="15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8D62975" w14:textId="77777777" w:rsidR="00412E11" w:rsidRPr="00EC49A8" w:rsidRDefault="00412E11" w:rsidP="000C5C29">
            <w:pPr>
              <w:spacing w:before="0" w:after="0"/>
              <w:rPr>
                <w:noProof/>
                <w:sz w:val="21"/>
                <w:szCs w:val="21"/>
              </w:rPr>
            </w:pPr>
            <w:r w:rsidRPr="00EC49A8">
              <w:rPr>
                <w:rFonts w:ascii="Calibri" w:hAnsi="Calibri"/>
                <w:noProof/>
                <w:sz w:val="21"/>
              </w:rPr>
              <w:t xml:space="preserve">• </w:t>
            </w:r>
            <w:r w:rsidRPr="00EC49A8">
              <w:rPr>
                <w:noProof/>
                <w:sz w:val="21"/>
              </w:rPr>
              <w:t>TOTALE stanziamenti operativi (tutte le rubriche operative)</w:t>
            </w:r>
          </w:p>
        </w:tc>
        <w:tc>
          <w:tcPr>
            <w:tcW w:w="471" w:type="pct"/>
            <w:tcBorders>
              <w:top w:val="single" w:sz="8" w:space="0" w:color="auto"/>
              <w:left w:val="nil"/>
              <w:bottom w:val="single" w:sz="8" w:space="0" w:color="auto"/>
              <w:right w:val="single" w:sz="8" w:space="0" w:color="auto"/>
            </w:tcBorders>
            <w:shd w:val="clear" w:color="auto" w:fill="auto"/>
            <w:vAlign w:val="center"/>
            <w:hideMark/>
          </w:tcPr>
          <w:p w14:paraId="0B0144A6" w14:textId="77777777" w:rsidR="00412E11" w:rsidRPr="00EC49A8" w:rsidRDefault="00412E11" w:rsidP="000C5C29">
            <w:pPr>
              <w:spacing w:before="0" w:after="0"/>
              <w:rPr>
                <w:noProof/>
                <w:sz w:val="18"/>
                <w:szCs w:val="18"/>
              </w:rPr>
            </w:pPr>
            <w:r w:rsidRPr="00EC49A8">
              <w:rPr>
                <w:noProof/>
                <w:sz w:val="18"/>
              </w:rPr>
              <w:t>Impegni</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4AB3514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p>
        </w:tc>
        <w:tc>
          <w:tcPr>
            <w:tcW w:w="437" w:type="pct"/>
            <w:tcBorders>
              <w:top w:val="nil"/>
              <w:left w:val="nil"/>
              <w:bottom w:val="single" w:sz="8" w:space="0" w:color="auto"/>
              <w:right w:val="single" w:sz="8" w:space="0" w:color="auto"/>
            </w:tcBorders>
            <w:shd w:val="clear" w:color="000000" w:fill="D9D9D9"/>
            <w:vAlign w:val="center"/>
            <w:hideMark/>
          </w:tcPr>
          <w:p w14:paraId="5C42A4E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03BD190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0875AC4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255E38D8"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2AB77A4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6FAE6D89" w14:textId="77777777" w:rsidTr="000C5C29">
        <w:trPr>
          <w:trHeight w:val="300"/>
        </w:trPr>
        <w:tc>
          <w:tcPr>
            <w:tcW w:w="1522" w:type="pct"/>
            <w:vMerge/>
            <w:tcBorders>
              <w:top w:val="single" w:sz="8" w:space="0" w:color="auto"/>
              <w:left w:val="single" w:sz="8" w:space="0" w:color="auto"/>
              <w:bottom w:val="single" w:sz="8" w:space="0" w:color="auto"/>
              <w:right w:val="single" w:sz="8" w:space="0" w:color="auto"/>
            </w:tcBorders>
            <w:vAlign w:val="center"/>
            <w:hideMark/>
          </w:tcPr>
          <w:p w14:paraId="7692920B" w14:textId="77777777" w:rsidR="00412E11" w:rsidRPr="00EC49A8" w:rsidRDefault="00412E11" w:rsidP="000C5C29">
            <w:pPr>
              <w:spacing w:before="0" w:after="0"/>
              <w:jc w:val="left"/>
              <w:rPr>
                <w:noProof/>
                <w:sz w:val="21"/>
                <w:szCs w:val="21"/>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6FF9A987" w14:textId="77777777" w:rsidR="00412E11" w:rsidRPr="00EC49A8" w:rsidRDefault="00412E11" w:rsidP="000C5C29">
            <w:pPr>
              <w:spacing w:before="0" w:after="0"/>
              <w:rPr>
                <w:noProof/>
                <w:sz w:val="18"/>
                <w:szCs w:val="18"/>
              </w:rPr>
            </w:pPr>
            <w:r w:rsidRPr="00EC49A8">
              <w:rPr>
                <w:noProof/>
                <w:sz w:val="18"/>
              </w:rPr>
              <w:t>Pagamenti</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57E991DC"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p>
        </w:tc>
        <w:tc>
          <w:tcPr>
            <w:tcW w:w="437" w:type="pct"/>
            <w:tcBorders>
              <w:top w:val="nil"/>
              <w:left w:val="nil"/>
              <w:bottom w:val="single" w:sz="8" w:space="0" w:color="auto"/>
              <w:right w:val="single" w:sz="8" w:space="0" w:color="auto"/>
            </w:tcBorders>
            <w:shd w:val="clear" w:color="000000" w:fill="D9D9D9"/>
            <w:vAlign w:val="center"/>
            <w:hideMark/>
          </w:tcPr>
          <w:p w14:paraId="368D7B7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6CC6563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0FE5D7C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7F94448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76171C8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1C5DAF25" w14:textId="77777777" w:rsidTr="000C5C29">
        <w:trPr>
          <w:trHeight w:val="990"/>
        </w:trPr>
        <w:tc>
          <w:tcPr>
            <w:tcW w:w="199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AD22C6" w14:textId="77777777" w:rsidR="00412E11" w:rsidRPr="00EC49A8" w:rsidRDefault="00412E11" w:rsidP="000C5C29">
            <w:pPr>
              <w:spacing w:before="0" w:after="0"/>
              <w:rPr>
                <w:noProof/>
                <w:sz w:val="21"/>
                <w:szCs w:val="21"/>
              </w:rPr>
            </w:pPr>
            <w:r w:rsidRPr="00EC49A8">
              <w:rPr>
                <w:rFonts w:ascii="Calibri" w:hAnsi="Calibri"/>
                <w:noProof/>
                <w:sz w:val="21"/>
              </w:rPr>
              <w:t>•</w:t>
            </w:r>
            <w:r w:rsidRPr="00EC49A8">
              <w:rPr>
                <w:noProof/>
                <w:sz w:val="21"/>
              </w:rPr>
              <w:t xml:space="preserve"> TOTALE stanziamenti amministrativi finanziati dalla dotazione di programmi specifici (tutte le rubriche operative)</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3A1BBF1A"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6</w:t>
            </w:r>
            <w:r w:rsidRPr="00EC49A8">
              <w:rPr>
                <w:noProof/>
                <w:sz w:val="14"/>
              </w:rPr>
              <w:t>)</w:t>
            </w:r>
          </w:p>
        </w:tc>
        <w:tc>
          <w:tcPr>
            <w:tcW w:w="437" w:type="pct"/>
            <w:tcBorders>
              <w:top w:val="nil"/>
              <w:left w:val="nil"/>
              <w:bottom w:val="single" w:sz="8" w:space="0" w:color="auto"/>
              <w:right w:val="single" w:sz="8" w:space="0" w:color="auto"/>
            </w:tcBorders>
            <w:shd w:val="clear" w:color="000000" w:fill="D9D9D9"/>
            <w:vAlign w:val="center"/>
            <w:hideMark/>
          </w:tcPr>
          <w:p w14:paraId="557F12A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06FA5739"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4CF0EA0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514F74A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703AD72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953173C" w14:textId="77777777" w:rsidTr="000C5C29">
        <w:trPr>
          <w:trHeight w:val="564"/>
        </w:trPr>
        <w:tc>
          <w:tcPr>
            <w:tcW w:w="1522" w:type="pct"/>
            <w:tcBorders>
              <w:top w:val="nil"/>
              <w:left w:val="single" w:sz="8" w:space="0" w:color="auto"/>
              <w:bottom w:val="nil"/>
              <w:right w:val="single" w:sz="8" w:space="0" w:color="auto"/>
            </w:tcBorders>
            <w:shd w:val="thinDiagStripe" w:color="C0C0C0" w:fill="F1F1F1"/>
            <w:vAlign w:val="center"/>
            <w:hideMark/>
          </w:tcPr>
          <w:p w14:paraId="5114D12B" w14:textId="77777777" w:rsidR="00412E11" w:rsidRPr="00EC49A8" w:rsidRDefault="00412E11" w:rsidP="000C5C29">
            <w:pPr>
              <w:spacing w:before="0" w:after="0"/>
              <w:jc w:val="center"/>
              <w:rPr>
                <w:b/>
                <w:bCs/>
                <w:noProof/>
                <w:sz w:val="22"/>
              </w:rPr>
            </w:pPr>
            <w:r w:rsidRPr="00EC49A8">
              <w:rPr>
                <w:b/>
                <w:noProof/>
                <w:sz w:val="22"/>
              </w:rPr>
              <w:t xml:space="preserve">TOTALE stanziamenti per le rubriche da </w:t>
            </w:r>
            <w:r w:rsidRPr="00B17672">
              <w:rPr>
                <w:b/>
                <w:noProof/>
                <w:sz w:val="22"/>
              </w:rPr>
              <w:t>1</w:t>
            </w:r>
            <w:r w:rsidRPr="00EC49A8">
              <w:rPr>
                <w:b/>
                <w:noProof/>
                <w:sz w:val="22"/>
              </w:rPr>
              <w:t xml:space="preserve"> a </w:t>
            </w:r>
            <w:r w:rsidRPr="00B17672">
              <w:rPr>
                <w:b/>
                <w:noProof/>
                <w:sz w:val="22"/>
              </w:rPr>
              <w:t>6</w:t>
            </w:r>
          </w:p>
        </w:tc>
        <w:tc>
          <w:tcPr>
            <w:tcW w:w="471" w:type="pct"/>
            <w:tcBorders>
              <w:top w:val="nil"/>
              <w:left w:val="nil"/>
              <w:bottom w:val="nil"/>
              <w:right w:val="single" w:sz="8" w:space="0" w:color="auto"/>
            </w:tcBorders>
            <w:shd w:val="clear" w:color="auto" w:fill="auto"/>
            <w:vAlign w:val="center"/>
            <w:hideMark/>
          </w:tcPr>
          <w:p w14:paraId="26A93757" w14:textId="77777777" w:rsidR="00412E11" w:rsidRPr="00EC49A8" w:rsidRDefault="00412E11" w:rsidP="000C5C29">
            <w:pPr>
              <w:spacing w:before="0" w:after="0"/>
              <w:rPr>
                <w:noProof/>
                <w:sz w:val="18"/>
                <w:szCs w:val="18"/>
              </w:rPr>
            </w:pPr>
            <w:r w:rsidRPr="00EC49A8">
              <w:rPr>
                <w:noProof/>
                <w:sz w:val="18"/>
              </w:rPr>
              <w:t>Impegni</w:t>
            </w:r>
          </w:p>
        </w:tc>
        <w:tc>
          <w:tcPr>
            <w:tcW w:w="731" w:type="pct"/>
            <w:gridSpan w:val="2"/>
            <w:tcBorders>
              <w:top w:val="single" w:sz="8" w:space="0" w:color="auto"/>
              <w:left w:val="nil"/>
              <w:bottom w:val="nil"/>
              <w:right w:val="single" w:sz="8" w:space="0" w:color="000000"/>
            </w:tcBorders>
            <w:shd w:val="clear" w:color="auto" w:fill="auto"/>
            <w:vAlign w:val="center"/>
            <w:hideMark/>
          </w:tcPr>
          <w:p w14:paraId="44BCBA7B"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4</w:t>
            </w:r>
            <w:r w:rsidRPr="00EC49A8">
              <w:rPr>
                <w:noProof/>
                <w:sz w:val="14"/>
              </w:rPr>
              <w:t>+</w:t>
            </w:r>
            <w:r w:rsidRPr="00B17672">
              <w:rPr>
                <w:noProof/>
                <w:sz w:val="14"/>
              </w:rPr>
              <w:t>6</w:t>
            </w:r>
          </w:p>
        </w:tc>
        <w:tc>
          <w:tcPr>
            <w:tcW w:w="437" w:type="pct"/>
            <w:tcBorders>
              <w:top w:val="nil"/>
              <w:left w:val="nil"/>
              <w:bottom w:val="single" w:sz="8" w:space="0" w:color="auto"/>
              <w:right w:val="single" w:sz="8" w:space="0" w:color="auto"/>
            </w:tcBorders>
            <w:shd w:val="clear" w:color="000000" w:fill="D9D9D9"/>
            <w:vAlign w:val="center"/>
            <w:hideMark/>
          </w:tcPr>
          <w:p w14:paraId="174ACB2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2B60D2D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3C86428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05B1F6A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1750297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322FE9D" w14:textId="77777777" w:rsidTr="000C5C29">
        <w:trPr>
          <w:trHeight w:val="588"/>
        </w:trPr>
        <w:tc>
          <w:tcPr>
            <w:tcW w:w="1522" w:type="pct"/>
            <w:tcBorders>
              <w:top w:val="nil"/>
              <w:left w:val="single" w:sz="8" w:space="0" w:color="auto"/>
              <w:bottom w:val="single" w:sz="8" w:space="0" w:color="auto"/>
              <w:right w:val="single" w:sz="8" w:space="0" w:color="auto"/>
            </w:tcBorders>
            <w:shd w:val="thinDiagStripe" w:color="C0C0C0" w:fill="F1F1F1"/>
            <w:vAlign w:val="center"/>
            <w:hideMark/>
          </w:tcPr>
          <w:p w14:paraId="03AF5FAC" w14:textId="77777777" w:rsidR="00412E11" w:rsidRPr="00EC49A8" w:rsidRDefault="00412E11" w:rsidP="000C5C29">
            <w:pPr>
              <w:spacing w:before="0" w:after="0"/>
              <w:jc w:val="center"/>
              <w:rPr>
                <w:noProof/>
                <w:sz w:val="20"/>
                <w:szCs w:val="20"/>
              </w:rPr>
            </w:pPr>
            <w:r w:rsidRPr="00EC49A8">
              <w:rPr>
                <w:noProof/>
                <w:sz w:val="20"/>
              </w:rPr>
              <w:t>del quadro finanziario pluriennale (importo di riferimento)</w:t>
            </w:r>
          </w:p>
        </w:tc>
        <w:tc>
          <w:tcPr>
            <w:tcW w:w="471" w:type="pct"/>
            <w:tcBorders>
              <w:top w:val="nil"/>
              <w:left w:val="nil"/>
              <w:bottom w:val="single" w:sz="8" w:space="0" w:color="auto"/>
              <w:right w:val="single" w:sz="8" w:space="0" w:color="auto"/>
            </w:tcBorders>
            <w:shd w:val="clear" w:color="auto" w:fill="auto"/>
            <w:vAlign w:val="center"/>
            <w:hideMark/>
          </w:tcPr>
          <w:p w14:paraId="79F5FB29" w14:textId="77777777" w:rsidR="00412E11" w:rsidRPr="00EC49A8" w:rsidRDefault="00412E11" w:rsidP="000C5C29">
            <w:pPr>
              <w:spacing w:before="0" w:after="0"/>
              <w:rPr>
                <w:noProof/>
                <w:sz w:val="18"/>
                <w:szCs w:val="18"/>
              </w:rPr>
            </w:pPr>
            <w:r w:rsidRPr="00EC49A8">
              <w:rPr>
                <w:noProof/>
                <w:sz w:val="18"/>
              </w:rPr>
              <w:t>Pagamenti</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6CB13E24" w14:textId="77777777" w:rsidR="00412E11" w:rsidRPr="00EC49A8" w:rsidRDefault="00412E11" w:rsidP="000C5C29">
            <w:pPr>
              <w:spacing w:before="0" w:after="0"/>
              <w:jc w:val="center"/>
              <w:rPr>
                <w:noProof/>
                <w:sz w:val="14"/>
                <w:szCs w:val="14"/>
              </w:rPr>
            </w:pPr>
            <w:r w:rsidRPr="00EC49A8">
              <w:rPr>
                <w:noProof/>
                <w:sz w:val="14"/>
              </w:rPr>
              <w:t>=</w:t>
            </w:r>
            <w:r w:rsidRPr="00B17672">
              <w:rPr>
                <w:noProof/>
                <w:sz w:val="14"/>
              </w:rPr>
              <w:t>5</w:t>
            </w:r>
            <w:r w:rsidRPr="00EC49A8">
              <w:rPr>
                <w:noProof/>
                <w:sz w:val="14"/>
              </w:rPr>
              <w:t>+</w:t>
            </w:r>
            <w:r w:rsidRPr="00B17672">
              <w:rPr>
                <w:noProof/>
                <w:sz w:val="14"/>
              </w:rPr>
              <w:t>6</w:t>
            </w:r>
          </w:p>
        </w:tc>
        <w:tc>
          <w:tcPr>
            <w:tcW w:w="437" w:type="pct"/>
            <w:tcBorders>
              <w:top w:val="nil"/>
              <w:left w:val="nil"/>
              <w:bottom w:val="single" w:sz="8" w:space="0" w:color="auto"/>
              <w:right w:val="single" w:sz="8" w:space="0" w:color="auto"/>
            </w:tcBorders>
            <w:shd w:val="clear" w:color="000000" w:fill="D9D9D9"/>
            <w:vAlign w:val="center"/>
            <w:hideMark/>
          </w:tcPr>
          <w:p w14:paraId="66A9DAC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1D3B975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122A505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437" w:type="pct"/>
            <w:tcBorders>
              <w:top w:val="nil"/>
              <w:left w:val="nil"/>
              <w:bottom w:val="single" w:sz="8" w:space="0" w:color="auto"/>
              <w:right w:val="single" w:sz="8" w:space="0" w:color="auto"/>
            </w:tcBorders>
            <w:shd w:val="clear" w:color="000000" w:fill="D9D9D9"/>
            <w:vAlign w:val="center"/>
            <w:hideMark/>
          </w:tcPr>
          <w:p w14:paraId="7C589149"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528" w:type="pct"/>
            <w:tcBorders>
              <w:top w:val="nil"/>
              <w:left w:val="nil"/>
              <w:bottom w:val="single" w:sz="8" w:space="0" w:color="auto"/>
              <w:right w:val="single" w:sz="8" w:space="0" w:color="auto"/>
            </w:tcBorders>
            <w:shd w:val="clear" w:color="000000" w:fill="D9D9D9"/>
            <w:vAlign w:val="center"/>
            <w:hideMark/>
          </w:tcPr>
          <w:p w14:paraId="6CCA978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608EA347" w14:textId="77777777" w:rsidR="00412E11" w:rsidRPr="00EC49A8"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EC49A8" w14:paraId="67C649DC" w14:textId="77777777" w:rsidTr="000C5C29">
        <w:trPr>
          <w:jc w:val="center"/>
        </w:trPr>
        <w:tc>
          <w:tcPr>
            <w:tcW w:w="1668" w:type="pct"/>
            <w:shd w:val="thinDiagStripe" w:color="C0C0C0" w:fill="auto"/>
            <w:vAlign w:val="center"/>
          </w:tcPr>
          <w:p w14:paraId="5B1AB741" w14:textId="77777777" w:rsidR="00412E11" w:rsidRPr="00EC49A8" w:rsidRDefault="00412E11" w:rsidP="000C5C29">
            <w:pPr>
              <w:spacing w:before="60" w:after="60"/>
              <w:jc w:val="center"/>
              <w:rPr>
                <w:b/>
                <w:noProof/>
              </w:rPr>
            </w:pPr>
            <w:r w:rsidRPr="00EC49A8">
              <w:rPr>
                <w:noProof/>
              </w:rPr>
              <w:br w:type="page"/>
            </w:r>
            <w:r w:rsidRPr="00EC49A8">
              <w:rPr>
                <w:b/>
                <w:noProof/>
                <w:sz w:val="22"/>
              </w:rPr>
              <w:t xml:space="preserve">Rubrica del quadro finanziario pluriennale </w:t>
            </w:r>
          </w:p>
        </w:tc>
        <w:tc>
          <w:tcPr>
            <w:tcW w:w="380" w:type="pct"/>
            <w:shd w:val="thinDiagStripe" w:color="C0C0C0" w:fill="auto"/>
            <w:vAlign w:val="center"/>
          </w:tcPr>
          <w:p w14:paraId="2AF51800" w14:textId="77777777" w:rsidR="00412E11" w:rsidRPr="00EC49A8" w:rsidRDefault="00412E11" w:rsidP="000C5C29">
            <w:pPr>
              <w:spacing w:before="60" w:after="60"/>
              <w:jc w:val="center"/>
              <w:rPr>
                <w:noProof/>
              </w:rPr>
            </w:pPr>
            <w:r w:rsidRPr="00B17672">
              <w:rPr>
                <w:b/>
                <w:noProof/>
                <w:sz w:val="22"/>
              </w:rPr>
              <w:t>7</w:t>
            </w:r>
          </w:p>
        </w:tc>
        <w:tc>
          <w:tcPr>
            <w:tcW w:w="2749" w:type="pct"/>
            <w:vAlign w:val="center"/>
          </w:tcPr>
          <w:p w14:paraId="17A6743F" w14:textId="0B590395" w:rsidR="00412E11" w:rsidRPr="00EC49A8" w:rsidRDefault="00B17672" w:rsidP="000C5C29">
            <w:pPr>
              <w:spacing w:before="60" w:after="60"/>
              <w:rPr>
                <w:noProof/>
              </w:rPr>
            </w:pPr>
            <w:r>
              <w:rPr>
                <w:noProof/>
                <w:sz w:val="22"/>
              </w:rPr>
              <w:t>"</w:t>
            </w:r>
            <w:r w:rsidR="00412E11" w:rsidRPr="00EC49A8">
              <w:rPr>
                <w:noProof/>
                <w:sz w:val="22"/>
              </w:rPr>
              <w:t>Spese amministrative</w:t>
            </w:r>
            <w:r>
              <w:rPr>
                <w:noProof/>
                <w:sz w:val="22"/>
              </w:rPr>
              <w:t>"</w:t>
            </w:r>
            <w:r w:rsidR="00412E11" w:rsidRPr="00EC49A8">
              <w:rPr>
                <w:rStyle w:val="FootnoteReference"/>
                <w:noProof/>
                <w:sz w:val="22"/>
              </w:rPr>
              <w:footnoteReference w:id="20"/>
            </w:r>
          </w:p>
        </w:tc>
      </w:tr>
    </w:tbl>
    <w:p w14:paraId="3D0C66DF" w14:textId="77777777" w:rsidR="00412E11" w:rsidRPr="00EC49A8" w:rsidRDefault="00412E11" w:rsidP="000C5C29">
      <w:pPr>
        <w:jc w:val="right"/>
        <w:rPr>
          <w:noProof/>
          <w:sz w:val="20"/>
        </w:rPr>
      </w:pPr>
      <w:r w:rsidRPr="00EC49A8">
        <w:rPr>
          <w:noProof/>
          <w:sz w:val="20"/>
        </w:rPr>
        <w:t>Mio EUR (al terzo decimale)</w:t>
      </w:r>
    </w:p>
    <w:tbl>
      <w:tblPr>
        <w:tblW w:w="13140" w:type="dxa"/>
        <w:tblInd w:w="118" w:type="dxa"/>
        <w:tblLook w:val="04A0" w:firstRow="1" w:lastRow="0" w:firstColumn="1" w:lastColumn="0" w:noHBand="0" w:noVBand="1"/>
      </w:tblPr>
      <w:tblGrid>
        <w:gridCol w:w="4405"/>
        <w:gridCol w:w="2477"/>
        <w:gridCol w:w="513"/>
        <w:gridCol w:w="513"/>
        <w:gridCol w:w="1001"/>
        <w:gridCol w:w="1001"/>
        <w:gridCol w:w="1001"/>
        <w:gridCol w:w="1001"/>
        <w:gridCol w:w="1244"/>
      </w:tblGrid>
      <w:tr w:rsidR="00E254F3" w:rsidRPr="00EC49A8" w14:paraId="5163BE55" w14:textId="77777777" w:rsidTr="000C5C29">
        <w:trPr>
          <w:trHeight w:val="288"/>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FD34CB5" w14:textId="77777777" w:rsidR="00412E11" w:rsidRPr="00EC49A8" w:rsidRDefault="00412E11" w:rsidP="000C5C29">
            <w:pPr>
              <w:spacing w:before="0" w:after="0"/>
              <w:jc w:val="center"/>
              <w:rPr>
                <w:noProof/>
                <w:szCs w:val="24"/>
              </w:rPr>
            </w:pPr>
            <w:r w:rsidRPr="00EC49A8">
              <w:rPr>
                <w:noProof/>
              </w:rPr>
              <w:t>DG: &lt;…….&gt;</w:t>
            </w:r>
          </w:p>
        </w:tc>
        <w:tc>
          <w:tcPr>
            <w:tcW w:w="1001" w:type="dxa"/>
            <w:tcBorders>
              <w:top w:val="single" w:sz="8" w:space="0" w:color="auto"/>
              <w:left w:val="nil"/>
              <w:bottom w:val="nil"/>
              <w:right w:val="single" w:sz="8" w:space="0" w:color="auto"/>
            </w:tcBorders>
            <w:shd w:val="clear" w:color="auto" w:fill="auto"/>
            <w:vAlign w:val="center"/>
            <w:hideMark/>
          </w:tcPr>
          <w:p w14:paraId="0832917A"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1703A102"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0144793C"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3AEBAC6B" w14:textId="77777777" w:rsidR="00412E11" w:rsidRPr="00EC49A8" w:rsidRDefault="00412E11" w:rsidP="000C5C29">
            <w:pPr>
              <w:spacing w:before="0" w:after="0"/>
              <w:jc w:val="center"/>
              <w:rPr>
                <w:noProof/>
                <w:sz w:val="20"/>
                <w:szCs w:val="20"/>
              </w:rPr>
            </w:pPr>
            <w:r w:rsidRPr="00EC49A8">
              <w:rPr>
                <w:noProof/>
                <w:sz w:val="20"/>
              </w:rPr>
              <w:t>Anno</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42527F"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33747BC2" w14:textId="77777777" w:rsidTr="000C5C29">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7A89A7CE" w14:textId="77777777" w:rsidR="00412E11" w:rsidRPr="00EC49A8" w:rsidRDefault="00412E11" w:rsidP="000C5C29">
            <w:pPr>
              <w:spacing w:before="0" w:after="0"/>
              <w:jc w:val="left"/>
              <w:rPr>
                <w:noProof/>
                <w:szCs w:val="24"/>
                <w:lang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0DF77D61" w14:textId="77777777" w:rsidR="00412E11" w:rsidRPr="00EC49A8" w:rsidRDefault="00412E11" w:rsidP="000C5C29">
            <w:pPr>
              <w:spacing w:before="0" w:after="0"/>
              <w:jc w:val="center"/>
              <w:rPr>
                <w:b/>
                <w:bCs/>
                <w:noProof/>
                <w:sz w:val="20"/>
                <w:szCs w:val="20"/>
              </w:rPr>
            </w:pPr>
            <w:r w:rsidRPr="00B17672">
              <w:rPr>
                <w:b/>
                <w:noProof/>
                <w:sz w:val="20"/>
              </w:rPr>
              <w:t>2024</w:t>
            </w:r>
          </w:p>
        </w:tc>
        <w:tc>
          <w:tcPr>
            <w:tcW w:w="1001" w:type="dxa"/>
            <w:tcBorders>
              <w:top w:val="nil"/>
              <w:left w:val="nil"/>
              <w:bottom w:val="single" w:sz="8" w:space="0" w:color="auto"/>
              <w:right w:val="single" w:sz="8" w:space="0" w:color="auto"/>
            </w:tcBorders>
            <w:shd w:val="clear" w:color="auto" w:fill="auto"/>
            <w:vAlign w:val="center"/>
            <w:hideMark/>
          </w:tcPr>
          <w:p w14:paraId="6A91A94F" w14:textId="77777777" w:rsidR="00412E11" w:rsidRPr="00EC49A8" w:rsidRDefault="00412E11" w:rsidP="000C5C29">
            <w:pPr>
              <w:spacing w:before="0" w:after="0"/>
              <w:jc w:val="center"/>
              <w:rPr>
                <w:b/>
                <w:bCs/>
                <w:noProof/>
                <w:sz w:val="20"/>
                <w:szCs w:val="20"/>
              </w:rPr>
            </w:pPr>
            <w:r w:rsidRPr="00B17672">
              <w:rPr>
                <w:b/>
                <w:noProof/>
                <w:sz w:val="20"/>
              </w:rPr>
              <w:t>2025</w:t>
            </w:r>
          </w:p>
        </w:tc>
        <w:tc>
          <w:tcPr>
            <w:tcW w:w="1001" w:type="dxa"/>
            <w:tcBorders>
              <w:top w:val="nil"/>
              <w:left w:val="nil"/>
              <w:bottom w:val="single" w:sz="8" w:space="0" w:color="auto"/>
              <w:right w:val="single" w:sz="8" w:space="0" w:color="auto"/>
            </w:tcBorders>
            <w:shd w:val="clear" w:color="auto" w:fill="auto"/>
            <w:vAlign w:val="center"/>
            <w:hideMark/>
          </w:tcPr>
          <w:p w14:paraId="711928F1" w14:textId="77777777" w:rsidR="00412E11" w:rsidRPr="00EC49A8" w:rsidRDefault="00412E11" w:rsidP="000C5C29">
            <w:pPr>
              <w:spacing w:before="0" w:after="0"/>
              <w:jc w:val="center"/>
              <w:rPr>
                <w:b/>
                <w:bCs/>
                <w:noProof/>
                <w:sz w:val="20"/>
                <w:szCs w:val="20"/>
              </w:rPr>
            </w:pPr>
            <w:r w:rsidRPr="00B17672">
              <w:rPr>
                <w:b/>
                <w:noProof/>
                <w:sz w:val="20"/>
              </w:rPr>
              <w:t>2026</w:t>
            </w:r>
          </w:p>
        </w:tc>
        <w:tc>
          <w:tcPr>
            <w:tcW w:w="1001" w:type="dxa"/>
            <w:tcBorders>
              <w:top w:val="nil"/>
              <w:left w:val="nil"/>
              <w:bottom w:val="single" w:sz="8" w:space="0" w:color="auto"/>
              <w:right w:val="single" w:sz="8" w:space="0" w:color="auto"/>
            </w:tcBorders>
            <w:shd w:val="clear" w:color="auto" w:fill="auto"/>
            <w:vAlign w:val="center"/>
            <w:hideMark/>
          </w:tcPr>
          <w:p w14:paraId="6D449F4F" w14:textId="77777777" w:rsidR="00412E11" w:rsidRPr="00EC49A8" w:rsidRDefault="00412E11" w:rsidP="000C5C29">
            <w:pPr>
              <w:spacing w:before="0" w:after="0"/>
              <w:jc w:val="center"/>
              <w:rPr>
                <w:b/>
                <w:bCs/>
                <w:noProof/>
                <w:sz w:val="20"/>
                <w:szCs w:val="20"/>
              </w:rPr>
            </w:pPr>
            <w:r w:rsidRPr="00B17672">
              <w:rPr>
                <w:b/>
                <w:noProof/>
                <w:sz w:val="20"/>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7CA079FB" w14:textId="77777777" w:rsidR="00412E11" w:rsidRPr="00EC49A8" w:rsidRDefault="00412E11" w:rsidP="000C5C29">
            <w:pPr>
              <w:spacing w:before="0" w:after="0"/>
              <w:jc w:val="left"/>
              <w:rPr>
                <w:b/>
                <w:bCs/>
                <w:noProof/>
                <w:sz w:val="20"/>
                <w:szCs w:val="20"/>
                <w:lang w:eastAsia="en-IE"/>
              </w:rPr>
            </w:pPr>
          </w:p>
        </w:tc>
      </w:tr>
      <w:tr w:rsidR="00E254F3" w:rsidRPr="00EC49A8" w14:paraId="06C3895F"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6BC98C5"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Risorse umane </w:t>
            </w:r>
          </w:p>
        </w:tc>
        <w:tc>
          <w:tcPr>
            <w:tcW w:w="1001" w:type="dxa"/>
            <w:tcBorders>
              <w:top w:val="nil"/>
              <w:left w:val="nil"/>
              <w:bottom w:val="single" w:sz="8" w:space="0" w:color="auto"/>
              <w:right w:val="single" w:sz="8" w:space="0" w:color="auto"/>
            </w:tcBorders>
            <w:shd w:val="clear" w:color="000000" w:fill="D9D9D9"/>
            <w:vAlign w:val="center"/>
            <w:hideMark/>
          </w:tcPr>
          <w:p w14:paraId="5C3D887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3FAA3C3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00D3E54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5C101848"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7080582C"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AE75957"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679BEE1"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Altre spese amministrative </w:t>
            </w:r>
          </w:p>
        </w:tc>
        <w:tc>
          <w:tcPr>
            <w:tcW w:w="1001" w:type="dxa"/>
            <w:tcBorders>
              <w:top w:val="nil"/>
              <w:left w:val="nil"/>
              <w:bottom w:val="single" w:sz="8" w:space="0" w:color="auto"/>
              <w:right w:val="single" w:sz="8" w:space="0" w:color="auto"/>
            </w:tcBorders>
            <w:shd w:val="clear" w:color="000000" w:fill="D9D9D9"/>
            <w:vAlign w:val="center"/>
            <w:hideMark/>
          </w:tcPr>
          <w:p w14:paraId="579C8E8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2C140A16"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17D3C74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3291E8F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22A2CEE1"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ADF7DE5" w14:textId="77777777" w:rsidTr="000C5C29">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785B4302" w14:textId="77777777" w:rsidR="00412E11" w:rsidRPr="00EC49A8" w:rsidRDefault="00412E11" w:rsidP="000C5C29">
            <w:pPr>
              <w:spacing w:before="0" w:after="0"/>
              <w:jc w:val="center"/>
              <w:rPr>
                <w:b/>
                <w:bCs/>
                <w:noProof/>
                <w:sz w:val="22"/>
              </w:rPr>
            </w:pPr>
            <w:r w:rsidRPr="00EC49A8">
              <w:rPr>
                <w:b/>
                <w:noProof/>
                <w:sz w:val="22"/>
              </w:rPr>
              <w:t>TOTALE DG</w:t>
            </w:r>
            <w:r w:rsidRPr="00EC49A8">
              <w:rPr>
                <w:noProof/>
                <w:sz w:val="22"/>
              </w:rPr>
              <w:t xml:space="preserve"> &lt;…….&gt;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60268CD9" w14:textId="77777777" w:rsidR="00412E11" w:rsidRPr="00EC49A8" w:rsidRDefault="00412E11" w:rsidP="000C5C29">
            <w:pPr>
              <w:spacing w:before="0" w:after="0"/>
              <w:jc w:val="left"/>
              <w:rPr>
                <w:noProof/>
                <w:sz w:val="18"/>
                <w:szCs w:val="18"/>
              </w:rPr>
            </w:pPr>
            <w:r w:rsidRPr="00EC49A8">
              <w:rPr>
                <w:noProof/>
                <w:sz w:val="18"/>
              </w:rPr>
              <w:t xml:space="preserve">Stanziamenti </w:t>
            </w:r>
          </w:p>
        </w:tc>
        <w:tc>
          <w:tcPr>
            <w:tcW w:w="1001" w:type="dxa"/>
            <w:tcBorders>
              <w:top w:val="nil"/>
              <w:left w:val="nil"/>
              <w:bottom w:val="single" w:sz="8" w:space="0" w:color="auto"/>
              <w:right w:val="single" w:sz="8" w:space="0" w:color="auto"/>
            </w:tcBorders>
            <w:shd w:val="clear" w:color="000000" w:fill="D9D9D9"/>
            <w:vAlign w:val="center"/>
            <w:hideMark/>
          </w:tcPr>
          <w:p w14:paraId="41F65B0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230F724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22A04AB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7A5E188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06E0D88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7330FE2D" w14:textId="77777777" w:rsidTr="000C5C29">
        <w:trPr>
          <w:trHeight w:val="300"/>
        </w:trPr>
        <w:tc>
          <w:tcPr>
            <w:tcW w:w="4405" w:type="dxa"/>
            <w:tcBorders>
              <w:top w:val="nil"/>
              <w:left w:val="nil"/>
              <w:bottom w:val="nil"/>
              <w:right w:val="nil"/>
            </w:tcBorders>
            <w:shd w:val="clear" w:color="auto" w:fill="auto"/>
            <w:noWrap/>
            <w:vAlign w:val="bottom"/>
            <w:hideMark/>
          </w:tcPr>
          <w:p w14:paraId="6AEDA5A3" w14:textId="77777777" w:rsidR="00412E11" w:rsidRPr="00EC49A8" w:rsidRDefault="00412E11" w:rsidP="000C5C29">
            <w:pPr>
              <w:spacing w:before="0" w:after="0"/>
              <w:jc w:val="right"/>
              <w:rPr>
                <w:b/>
                <w:bCs/>
                <w:noProof/>
                <w:sz w:val="20"/>
                <w:szCs w:val="20"/>
                <w:lang w:eastAsia="en-IE"/>
              </w:rPr>
            </w:pPr>
          </w:p>
        </w:tc>
        <w:tc>
          <w:tcPr>
            <w:tcW w:w="2477" w:type="dxa"/>
            <w:tcBorders>
              <w:top w:val="nil"/>
              <w:left w:val="nil"/>
              <w:bottom w:val="nil"/>
              <w:right w:val="nil"/>
            </w:tcBorders>
            <w:shd w:val="clear" w:color="auto" w:fill="auto"/>
            <w:noWrap/>
            <w:vAlign w:val="bottom"/>
            <w:hideMark/>
          </w:tcPr>
          <w:p w14:paraId="39F84A56" w14:textId="77777777" w:rsidR="00412E11" w:rsidRPr="00EC49A8"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0548A348" w14:textId="77777777" w:rsidR="00412E11" w:rsidRPr="00EC49A8"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4EACB30F"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525E1F3D"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7FE14A5D"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00EEBE83"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620F4A48" w14:textId="77777777" w:rsidR="00412E11" w:rsidRPr="00EC49A8" w:rsidRDefault="00412E11" w:rsidP="000C5C2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7FA189D0" w14:textId="77777777" w:rsidR="00412E11" w:rsidRPr="00EC49A8" w:rsidRDefault="00412E11" w:rsidP="000C5C29">
            <w:pPr>
              <w:spacing w:before="0" w:after="0"/>
              <w:jc w:val="left"/>
              <w:rPr>
                <w:noProof/>
                <w:sz w:val="20"/>
                <w:szCs w:val="20"/>
                <w:lang w:eastAsia="en-IE"/>
              </w:rPr>
            </w:pPr>
          </w:p>
        </w:tc>
      </w:tr>
      <w:tr w:rsidR="00E254F3" w:rsidRPr="00EC49A8" w14:paraId="6E5EB656" w14:textId="77777777" w:rsidTr="000C5C29">
        <w:trPr>
          <w:trHeight w:val="315"/>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93E9E0" w14:textId="77777777" w:rsidR="00412E11" w:rsidRPr="00EC49A8" w:rsidRDefault="00412E11" w:rsidP="000C5C29">
            <w:pPr>
              <w:spacing w:before="0" w:after="0"/>
              <w:jc w:val="center"/>
              <w:rPr>
                <w:noProof/>
                <w:szCs w:val="24"/>
              </w:rPr>
            </w:pPr>
            <w:r w:rsidRPr="00EC49A8">
              <w:rPr>
                <w:noProof/>
              </w:rPr>
              <w:t>DG: &lt;…….&gt;</w:t>
            </w:r>
          </w:p>
        </w:tc>
        <w:tc>
          <w:tcPr>
            <w:tcW w:w="1001" w:type="dxa"/>
            <w:tcBorders>
              <w:top w:val="single" w:sz="8" w:space="0" w:color="auto"/>
              <w:left w:val="nil"/>
              <w:bottom w:val="nil"/>
              <w:right w:val="single" w:sz="8" w:space="0" w:color="auto"/>
            </w:tcBorders>
            <w:shd w:val="clear" w:color="auto" w:fill="auto"/>
            <w:vAlign w:val="center"/>
            <w:hideMark/>
          </w:tcPr>
          <w:p w14:paraId="7A801502"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1EB2D761"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4DFD5C36" w14:textId="77777777" w:rsidR="00412E11" w:rsidRPr="00EC49A8" w:rsidRDefault="00412E11" w:rsidP="000C5C29">
            <w:pPr>
              <w:spacing w:before="0" w:after="0"/>
              <w:jc w:val="center"/>
              <w:rPr>
                <w:noProof/>
                <w:sz w:val="20"/>
                <w:szCs w:val="20"/>
              </w:rPr>
            </w:pPr>
            <w:r w:rsidRPr="00EC49A8">
              <w:rPr>
                <w:noProof/>
                <w:sz w:val="20"/>
              </w:rPr>
              <w:t>Anno</w:t>
            </w:r>
          </w:p>
        </w:tc>
        <w:tc>
          <w:tcPr>
            <w:tcW w:w="1001" w:type="dxa"/>
            <w:tcBorders>
              <w:top w:val="single" w:sz="8" w:space="0" w:color="auto"/>
              <w:left w:val="nil"/>
              <w:bottom w:val="nil"/>
              <w:right w:val="single" w:sz="8" w:space="0" w:color="auto"/>
            </w:tcBorders>
            <w:shd w:val="clear" w:color="auto" w:fill="auto"/>
            <w:vAlign w:val="center"/>
            <w:hideMark/>
          </w:tcPr>
          <w:p w14:paraId="0BC75165" w14:textId="77777777" w:rsidR="00412E11" w:rsidRPr="00EC49A8" w:rsidRDefault="00412E11" w:rsidP="000C5C29">
            <w:pPr>
              <w:spacing w:before="0" w:after="0"/>
              <w:jc w:val="center"/>
              <w:rPr>
                <w:noProof/>
                <w:sz w:val="20"/>
                <w:szCs w:val="20"/>
              </w:rPr>
            </w:pPr>
            <w:r w:rsidRPr="00EC49A8">
              <w:rPr>
                <w:noProof/>
                <w:sz w:val="20"/>
              </w:rPr>
              <w:t>Anno</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8A57FE"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31E6192C" w14:textId="77777777" w:rsidTr="000C5C29">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4286063D" w14:textId="77777777" w:rsidR="00412E11" w:rsidRPr="00EC49A8" w:rsidRDefault="00412E11" w:rsidP="000C5C29">
            <w:pPr>
              <w:spacing w:before="0" w:after="0"/>
              <w:jc w:val="left"/>
              <w:rPr>
                <w:noProof/>
                <w:szCs w:val="24"/>
                <w:lang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2AAA3BE3" w14:textId="77777777" w:rsidR="00412E11" w:rsidRPr="00EC49A8" w:rsidRDefault="00412E11" w:rsidP="000C5C29">
            <w:pPr>
              <w:spacing w:before="0" w:after="0"/>
              <w:jc w:val="center"/>
              <w:rPr>
                <w:b/>
                <w:bCs/>
                <w:noProof/>
                <w:sz w:val="20"/>
                <w:szCs w:val="20"/>
              </w:rPr>
            </w:pPr>
            <w:r w:rsidRPr="00B17672">
              <w:rPr>
                <w:b/>
                <w:noProof/>
                <w:sz w:val="20"/>
              </w:rPr>
              <w:t>2024</w:t>
            </w:r>
          </w:p>
        </w:tc>
        <w:tc>
          <w:tcPr>
            <w:tcW w:w="1001" w:type="dxa"/>
            <w:tcBorders>
              <w:top w:val="nil"/>
              <w:left w:val="nil"/>
              <w:bottom w:val="single" w:sz="8" w:space="0" w:color="auto"/>
              <w:right w:val="single" w:sz="8" w:space="0" w:color="auto"/>
            </w:tcBorders>
            <w:shd w:val="clear" w:color="auto" w:fill="auto"/>
            <w:vAlign w:val="center"/>
            <w:hideMark/>
          </w:tcPr>
          <w:p w14:paraId="5FC83241" w14:textId="77777777" w:rsidR="00412E11" w:rsidRPr="00EC49A8" w:rsidRDefault="00412E11" w:rsidP="000C5C29">
            <w:pPr>
              <w:spacing w:before="0" w:after="0"/>
              <w:jc w:val="center"/>
              <w:rPr>
                <w:b/>
                <w:bCs/>
                <w:noProof/>
                <w:sz w:val="20"/>
                <w:szCs w:val="20"/>
              </w:rPr>
            </w:pPr>
            <w:r w:rsidRPr="00B17672">
              <w:rPr>
                <w:b/>
                <w:noProof/>
                <w:sz w:val="20"/>
              </w:rPr>
              <w:t>2025</w:t>
            </w:r>
          </w:p>
        </w:tc>
        <w:tc>
          <w:tcPr>
            <w:tcW w:w="1001" w:type="dxa"/>
            <w:tcBorders>
              <w:top w:val="nil"/>
              <w:left w:val="nil"/>
              <w:bottom w:val="single" w:sz="8" w:space="0" w:color="auto"/>
              <w:right w:val="single" w:sz="8" w:space="0" w:color="auto"/>
            </w:tcBorders>
            <w:shd w:val="clear" w:color="auto" w:fill="auto"/>
            <w:vAlign w:val="center"/>
            <w:hideMark/>
          </w:tcPr>
          <w:p w14:paraId="1E3CC9B2" w14:textId="77777777" w:rsidR="00412E11" w:rsidRPr="00EC49A8" w:rsidRDefault="00412E11" w:rsidP="000C5C29">
            <w:pPr>
              <w:spacing w:before="0" w:after="0"/>
              <w:jc w:val="center"/>
              <w:rPr>
                <w:b/>
                <w:bCs/>
                <w:noProof/>
                <w:sz w:val="20"/>
                <w:szCs w:val="20"/>
              </w:rPr>
            </w:pPr>
            <w:r w:rsidRPr="00B17672">
              <w:rPr>
                <w:b/>
                <w:noProof/>
                <w:sz w:val="20"/>
              </w:rPr>
              <w:t>2026</w:t>
            </w:r>
          </w:p>
        </w:tc>
        <w:tc>
          <w:tcPr>
            <w:tcW w:w="1001" w:type="dxa"/>
            <w:tcBorders>
              <w:top w:val="nil"/>
              <w:left w:val="nil"/>
              <w:bottom w:val="single" w:sz="8" w:space="0" w:color="auto"/>
              <w:right w:val="single" w:sz="8" w:space="0" w:color="auto"/>
            </w:tcBorders>
            <w:shd w:val="clear" w:color="auto" w:fill="auto"/>
            <w:vAlign w:val="center"/>
            <w:hideMark/>
          </w:tcPr>
          <w:p w14:paraId="1D128297" w14:textId="77777777" w:rsidR="00412E11" w:rsidRPr="00EC49A8" w:rsidRDefault="00412E11" w:rsidP="000C5C29">
            <w:pPr>
              <w:spacing w:before="0" w:after="0"/>
              <w:jc w:val="center"/>
              <w:rPr>
                <w:b/>
                <w:bCs/>
                <w:noProof/>
                <w:sz w:val="20"/>
                <w:szCs w:val="20"/>
              </w:rPr>
            </w:pPr>
            <w:r w:rsidRPr="00B17672">
              <w:rPr>
                <w:b/>
                <w:noProof/>
                <w:sz w:val="20"/>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6A2894EC" w14:textId="77777777" w:rsidR="00412E11" w:rsidRPr="00EC49A8" w:rsidRDefault="00412E11" w:rsidP="000C5C29">
            <w:pPr>
              <w:spacing w:before="0" w:after="0"/>
              <w:jc w:val="left"/>
              <w:rPr>
                <w:b/>
                <w:bCs/>
                <w:noProof/>
                <w:sz w:val="20"/>
                <w:szCs w:val="20"/>
                <w:lang w:eastAsia="en-IE"/>
              </w:rPr>
            </w:pPr>
          </w:p>
        </w:tc>
      </w:tr>
      <w:tr w:rsidR="00E254F3" w:rsidRPr="00EC49A8" w14:paraId="101FFE18"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36074FD"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Risorse umane </w:t>
            </w:r>
          </w:p>
        </w:tc>
        <w:tc>
          <w:tcPr>
            <w:tcW w:w="1001" w:type="dxa"/>
            <w:tcBorders>
              <w:top w:val="nil"/>
              <w:left w:val="nil"/>
              <w:bottom w:val="single" w:sz="8" w:space="0" w:color="auto"/>
              <w:right w:val="single" w:sz="8" w:space="0" w:color="auto"/>
            </w:tcBorders>
            <w:shd w:val="clear" w:color="000000" w:fill="D9D9D9"/>
            <w:vAlign w:val="center"/>
            <w:hideMark/>
          </w:tcPr>
          <w:p w14:paraId="0674FD1C"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511EBD90"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235B2577"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7AB90C23"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2813869D"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33713715"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6639604" w14:textId="77777777" w:rsidR="00412E11" w:rsidRPr="00EC49A8" w:rsidRDefault="00412E11" w:rsidP="000C5C29">
            <w:pPr>
              <w:spacing w:before="0" w:after="0"/>
              <w:jc w:val="left"/>
              <w:rPr>
                <w:rFonts w:ascii="Wingdings" w:hAnsi="Wingdings" w:cs="Calibri"/>
                <w:noProof/>
                <w:sz w:val="22"/>
              </w:rPr>
            </w:pPr>
            <w:r w:rsidRPr="00EC49A8">
              <w:rPr>
                <w:rFonts w:ascii="Wingdings" w:hAnsi="Wingdings"/>
                <w:noProof/>
                <w:sz w:val="22"/>
              </w:rPr>
              <w:t></w:t>
            </w:r>
            <w:r w:rsidRPr="00EC49A8">
              <w:rPr>
                <w:noProof/>
                <w:sz w:val="22"/>
              </w:rPr>
              <w:t xml:space="preserve"> Altre spese amministrative </w:t>
            </w:r>
          </w:p>
        </w:tc>
        <w:tc>
          <w:tcPr>
            <w:tcW w:w="1001" w:type="dxa"/>
            <w:tcBorders>
              <w:top w:val="nil"/>
              <w:left w:val="nil"/>
              <w:bottom w:val="single" w:sz="8" w:space="0" w:color="auto"/>
              <w:right w:val="single" w:sz="8" w:space="0" w:color="auto"/>
            </w:tcBorders>
            <w:shd w:val="clear" w:color="000000" w:fill="D9D9D9"/>
            <w:vAlign w:val="center"/>
            <w:hideMark/>
          </w:tcPr>
          <w:p w14:paraId="257EF33E"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1246588F"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2FC020EB"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78BBAF55" w14:textId="77777777" w:rsidR="00412E11" w:rsidRPr="00EC49A8" w:rsidRDefault="00412E11" w:rsidP="000C5C29">
            <w:pPr>
              <w:spacing w:before="0" w:after="0"/>
              <w:jc w:val="right"/>
              <w:rPr>
                <w:noProof/>
                <w:sz w:val="20"/>
                <w:szCs w:val="20"/>
              </w:rPr>
            </w:pPr>
            <w:r w:rsidRPr="00B17672">
              <w:rPr>
                <w:noProof/>
                <w:sz w:val="20"/>
              </w:rPr>
              <w:t>0</w:t>
            </w:r>
            <w:r w:rsidRPr="00EC49A8">
              <w:rPr>
                <w:noProof/>
                <w:sz w:val="20"/>
              </w:rPr>
              <w:t>,</w:t>
            </w:r>
            <w:r w:rsidRPr="00B17672">
              <w:rPr>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53425985"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213E70C8" w14:textId="77777777" w:rsidTr="000C5C29">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195AEC76" w14:textId="77777777" w:rsidR="00412E11" w:rsidRPr="00EC49A8" w:rsidRDefault="00412E11" w:rsidP="000C5C29">
            <w:pPr>
              <w:spacing w:before="0" w:after="0"/>
              <w:jc w:val="center"/>
              <w:rPr>
                <w:b/>
                <w:bCs/>
                <w:noProof/>
                <w:sz w:val="22"/>
              </w:rPr>
            </w:pPr>
            <w:r w:rsidRPr="00EC49A8">
              <w:rPr>
                <w:b/>
                <w:noProof/>
                <w:sz w:val="22"/>
              </w:rPr>
              <w:t>TOTALE DG</w:t>
            </w:r>
            <w:r w:rsidRPr="00EC49A8">
              <w:rPr>
                <w:noProof/>
                <w:sz w:val="22"/>
              </w:rPr>
              <w:t xml:space="preserve"> &lt;…….&gt;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502E1773" w14:textId="77777777" w:rsidR="00412E11" w:rsidRPr="00EC49A8" w:rsidRDefault="00412E11" w:rsidP="000C5C29">
            <w:pPr>
              <w:spacing w:before="0" w:after="0"/>
              <w:jc w:val="left"/>
              <w:rPr>
                <w:noProof/>
                <w:sz w:val="18"/>
                <w:szCs w:val="18"/>
              </w:rPr>
            </w:pPr>
            <w:r w:rsidRPr="00EC49A8">
              <w:rPr>
                <w:noProof/>
                <w:sz w:val="18"/>
              </w:rPr>
              <w:t xml:space="preserve">Stanziamenti </w:t>
            </w:r>
          </w:p>
        </w:tc>
        <w:tc>
          <w:tcPr>
            <w:tcW w:w="1001" w:type="dxa"/>
            <w:tcBorders>
              <w:top w:val="nil"/>
              <w:left w:val="nil"/>
              <w:bottom w:val="single" w:sz="8" w:space="0" w:color="auto"/>
              <w:right w:val="single" w:sz="8" w:space="0" w:color="auto"/>
            </w:tcBorders>
            <w:shd w:val="clear" w:color="000000" w:fill="D9D9D9"/>
            <w:vAlign w:val="center"/>
            <w:hideMark/>
          </w:tcPr>
          <w:p w14:paraId="1346738B"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10CB4A08"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61E3C0AA"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nil"/>
              <w:left w:val="nil"/>
              <w:bottom w:val="single" w:sz="8" w:space="0" w:color="auto"/>
              <w:right w:val="single" w:sz="8" w:space="0" w:color="auto"/>
            </w:tcBorders>
            <w:shd w:val="clear" w:color="000000" w:fill="D9D9D9"/>
            <w:vAlign w:val="center"/>
            <w:hideMark/>
          </w:tcPr>
          <w:p w14:paraId="7963169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244" w:type="dxa"/>
            <w:tcBorders>
              <w:top w:val="nil"/>
              <w:left w:val="nil"/>
              <w:bottom w:val="single" w:sz="8" w:space="0" w:color="auto"/>
              <w:right w:val="single" w:sz="8" w:space="0" w:color="auto"/>
            </w:tcBorders>
            <w:shd w:val="clear" w:color="000000" w:fill="D9D9D9"/>
            <w:vAlign w:val="center"/>
            <w:hideMark/>
          </w:tcPr>
          <w:p w14:paraId="6966A114"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r w:rsidR="00E254F3" w:rsidRPr="00EC49A8" w14:paraId="5951F64D" w14:textId="77777777" w:rsidTr="000C5C29">
        <w:trPr>
          <w:trHeight w:val="300"/>
        </w:trPr>
        <w:tc>
          <w:tcPr>
            <w:tcW w:w="4405" w:type="dxa"/>
            <w:tcBorders>
              <w:top w:val="nil"/>
              <w:left w:val="nil"/>
              <w:bottom w:val="nil"/>
              <w:right w:val="nil"/>
            </w:tcBorders>
            <w:shd w:val="clear" w:color="auto" w:fill="auto"/>
            <w:noWrap/>
            <w:vAlign w:val="bottom"/>
            <w:hideMark/>
          </w:tcPr>
          <w:p w14:paraId="73796D70" w14:textId="77777777" w:rsidR="00412E11" w:rsidRPr="00EC49A8" w:rsidRDefault="00412E11" w:rsidP="000C5C29">
            <w:pPr>
              <w:spacing w:before="0" w:after="0"/>
              <w:jc w:val="right"/>
              <w:rPr>
                <w:b/>
                <w:bCs/>
                <w:noProof/>
                <w:sz w:val="20"/>
                <w:szCs w:val="20"/>
                <w:lang w:eastAsia="en-IE"/>
              </w:rPr>
            </w:pPr>
          </w:p>
        </w:tc>
        <w:tc>
          <w:tcPr>
            <w:tcW w:w="2477" w:type="dxa"/>
            <w:tcBorders>
              <w:top w:val="nil"/>
              <w:left w:val="nil"/>
              <w:bottom w:val="nil"/>
              <w:right w:val="nil"/>
            </w:tcBorders>
            <w:shd w:val="clear" w:color="auto" w:fill="auto"/>
            <w:noWrap/>
            <w:vAlign w:val="bottom"/>
            <w:hideMark/>
          </w:tcPr>
          <w:p w14:paraId="14685827" w14:textId="77777777" w:rsidR="00412E11" w:rsidRPr="00EC49A8"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020A8A64" w14:textId="77777777" w:rsidR="00412E11" w:rsidRPr="00EC49A8"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696BD6F9"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6922F496"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7D0DFF12"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1CFF5AEA" w14:textId="77777777" w:rsidR="00412E11" w:rsidRPr="00EC49A8"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0B4F82C6" w14:textId="77777777" w:rsidR="00412E11" w:rsidRPr="00EC49A8" w:rsidRDefault="00412E11" w:rsidP="000C5C2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0458AF83" w14:textId="77777777" w:rsidR="00412E11" w:rsidRPr="00EC49A8" w:rsidRDefault="00412E11" w:rsidP="000C5C29">
            <w:pPr>
              <w:spacing w:before="0" w:after="0"/>
              <w:jc w:val="left"/>
              <w:rPr>
                <w:noProof/>
                <w:sz w:val="20"/>
                <w:szCs w:val="20"/>
                <w:lang w:eastAsia="en-IE"/>
              </w:rPr>
            </w:pPr>
          </w:p>
        </w:tc>
      </w:tr>
      <w:tr w:rsidR="00E254F3" w:rsidRPr="00EC49A8" w14:paraId="083A7C94" w14:textId="77777777" w:rsidTr="000C5C29">
        <w:trPr>
          <w:trHeight w:val="900"/>
        </w:trPr>
        <w:tc>
          <w:tcPr>
            <w:tcW w:w="6882" w:type="dxa"/>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3862CD47" w14:textId="77777777" w:rsidR="00412E11" w:rsidRPr="00EC49A8" w:rsidRDefault="00412E11" w:rsidP="000C5C29">
            <w:pPr>
              <w:spacing w:before="0" w:after="0"/>
              <w:jc w:val="center"/>
              <w:rPr>
                <w:b/>
                <w:bCs/>
                <w:noProof/>
                <w:sz w:val="22"/>
              </w:rPr>
            </w:pPr>
            <w:r w:rsidRPr="00EC49A8">
              <w:rPr>
                <w:b/>
                <w:noProof/>
                <w:sz w:val="22"/>
              </w:rPr>
              <w:t xml:space="preserve">TOTALE stanziamenti per la RUBRICA </w:t>
            </w:r>
            <w:r w:rsidRPr="00B17672">
              <w:rPr>
                <w:b/>
                <w:noProof/>
                <w:sz w:val="22"/>
              </w:rPr>
              <w:t>7</w:t>
            </w:r>
            <w:r w:rsidRPr="00EC49A8">
              <w:rPr>
                <w:b/>
                <w:noProof/>
                <w:sz w:val="22"/>
              </w:rPr>
              <w:t xml:space="preserve"> del quadro finanziario pluriennale </w:t>
            </w:r>
          </w:p>
        </w:tc>
        <w:tc>
          <w:tcPr>
            <w:tcW w:w="1010" w:type="dxa"/>
            <w:gridSpan w:val="2"/>
            <w:tcBorders>
              <w:top w:val="single" w:sz="8" w:space="0" w:color="auto"/>
              <w:left w:val="nil"/>
              <w:bottom w:val="single" w:sz="8" w:space="0" w:color="auto"/>
              <w:right w:val="single" w:sz="8" w:space="0" w:color="auto"/>
            </w:tcBorders>
            <w:shd w:val="clear" w:color="auto" w:fill="auto"/>
            <w:vAlign w:val="center"/>
            <w:hideMark/>
          </w:tcPr>
          <w:p w14:paraId="4169E673" w14:textId="77777777" w:rsidR="00412E11" w:rsidRPr="00EC49A8" w:rsidRDefault="00412E11" w:rsidP="000C5C29">
            <w:pPr>
              <w:spacing w:before="0" w:after="0"/>
              <w:jc w:val="center"/>
              <w:rPr>
                <w:noProof/>
                <w:sz w:val="18"/>
                <w:szCs w:val="18"/>
              </w:rPr>
            </w:pPr>
            <w:r w:rsidRPr="00EC49A8">
              <w:rPr>
                <w:noProof/>
                <w:sz w:val="18"/>
              </w:rPr>
              <w:t>(Totale impegni = Totale pagamenti)</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16BA9276"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0E9173B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7D0FF0F7"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679C1F40"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c>
          <w:tcPr>
            <w:tcW w:w="1244" w:type="dxa"/>
            <w:tcBorders>
              <w:top w:val="single" w:sz="8" w:space="0" w:color="auto"/>
              <w:left w:val="nil"/>
              <w:bottom w:val="single" w:sz="8" w:space="0" w:color="auto"/>
              <w:right w:val="single" w:sz="8" w:space="0" w:color="auto"/>
            </w:tcBorders>
            <w:shd w:val="clear" w:color="000000" w:fill="D9D9D9"/>
            <w:vAlign w:val="center"/>
            <w:hideMark/>
          </w:tcPr>
          <w:p w14:paraId="6B67CD43" w14:textId="77777777" w:rsidR="00412E11" w:rsidRPr="00EC49A8" w:rsidRDefault="00412E11" w:rsidP="000C5C29">
            <w:pPr>
              <w:spacing w:before="0" w:after="0"/>
              <w:jc w:val="right"/>
              <w:rPr>
                <w:b/>
                <w:bCs/>
                <w:noProof/>
                <w:sz w:val="20"/>
                <w:szCs w:val="20"/>
              </w:rPr>
            </w:pPr>
            <w:r w:rsidRPr="00B17672">
              <w:rPr>
                <w:b/>
                <w:noProof/>
                <w:sz w:val="20"/>
              </w:rPr>
              <w:t>0</w:t>
            </w:r>
            <w:r w:rsidRPr="00EC49A8">
              <w:rPr>
                <w:b/>
                <w:noProof/>
                <w:sz w:val="20"/>
              </w:rPr>
              <w:t>,</w:t>
            </w:r>
            <w:r w:rsidRPr="00B17672">
              <w:rPr>
                <w:b/>
                <w:noProof/>
                <w:sz w:val="20"/>
              </w:rPr>
              <w:t>000</w:t>
            </w:r>
          </w:p>
        </w:tc>
      </w:tr>
    </w:tbl>
    <w:p w14:paraId="46C9E958" w14:textId="77777777" w:rsidR="00412E11" w:rsidRPr="00EC49A8" w:rsidRDefault="00412E11" w:rsidP="000C5C29">
      <w:pPr>
        <w:jc w:val="right"/>
        <w:rPr>
          <w:noProof/>
          <w:sz w:val="20"/>
        </w:rPr>
      </w:pPr>
      <w:r w:rsidRPr="00EC49A8">
        <w:rPr>
          <w:noProof/>
          <w:sz w:val="20"/>
        </w:rPr>
        <w:t>Mio EUR (al terzo decimale)</w:t>
      </w:r>
    </w:p>
    <w:tbl>
      <w:tblPr>
        <w:tblW w:w="13140" w:type="dxa"/>
        <w:tblInd w:w="118" w:type="dxa"/>
        <w:tblLook w:val="04A0" w:firstRow="1" w:lastRow="0" w:firstColumn="1" w:lastColumn="0" w:noHBand="0" w:noVBand="1"/>
      </w:tblPr>
      <w:tblGrid>
        <w:gridCol w:w="5180"/>
        <w:gridCol w:w="1920"/>
        <w:gridCol w:w="1160"/>
        <w:gridCol w:w="1160"/>
        <w:gridCol w:w="1160"/>
        <w:gridCol w:w="1160"/>
        <w:gridCol w:w="1400"/>
      </w:tblGrid>
      <w:tr w:rsidR="00E254F3" w:rsidRPr="00EC49A8" w14:paraId="4687A591" w14:textId="77777777" w:rsidTr="000C5C29">
        <w:trPr>
          <w:trHeight w:val="288"/>
        </w:trPr>
        <w:tc>
          <w:tcPr>
            <w:tcW w:w="71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B09BBEB" w14:textId="77777777" w:rsidR="00412E11" w:rsidRPr="00EC49A8" w:rsidRDefault="00412E11" w:rsidP="000C5C29">
            <w:pPr>
              <w:spacing w:before="0" w:after="0"/>
              <w:jc w:val="center"/>
              <w:rPr>
                <w:noProof/>
                <w:szCs w:val="24"/>
              </w:rPr>
            </w:pPr>
            <w:r w:rsidRPr="00EC49A8">
              <w:rPr>
                <w:noProof/>
              </w:rPr>
              <w:t xml:space="preserve"> </w:t>
            </w:r>
          </w:p>
        </w:tc>
        <w:tc>
          <w:tcPr>
            <w:tcW w:w="1160" w:type="dxa"/>
            <w:tcBorders>
              <w:top w:val="single" w:sz="8" w:space="0" w:color="auto"/>
              <w:left w:val="nil"/>
              <w:bottom w:val="nil"/>
              <w:right w:val="single" w:sz="8" w:space="0" w:color="auto"/>
            </w:tcBorders>
            <w:shd w:val="clear" w:color="auto" w:fill="auto"/>
            <w:vAlign w:val="center"/>
            <w:hideMark/>
          </w:tcPr>
          <w:p w14:paraId="4F7B163D" w14:textId="77777777" w:rsidR="00412E11" w:rsidRPr="00EC49A8" w:rsidRDefault="00412E11" w:rsidP="000C5C29">
            <w:pPr>
              <w:spacing w:before="0" w:after="0"/>
              <w:jc w:val="center"/>
              <w:rPr>
                <w:noProof/>
                <w:sz w:val="20"/>
                <w:szCs w:val="20"/>
              </w:rPr>
            </w:pPr>
            <w:r w:rsidRPr="00EC49A8">
              <w:rPr>
                <w:noProof/>
                <w:sz w:val="20"/>
              </w:rPr>
              <w:t>Anno</w:t>
            </w:r>
          </w:p>
        </w:tc>
        <w:tc>
          <w:tcPr>
            <w:tcW w:w="1160" w:type="dxa"/>
            <w:tcBorders>
              <w:top w:val="single" w:sz="8" w:space="0" w:color="auto"/>
              <w:left w:val="nil"/>
              <w:bottom w:val="nil"/>
              <w:right w:val="single" w:sz="8" w:space="0" w:color="auto"/>
            </w:tcBorders>
            <w:shd w:val="clear" w:color="auto" w:fill="auto"/>
            <w:vAlign w:val="center"/>
            <w:hideMark/>
          </w:tcPr>
          <w:p w14:paraId="40110344" w14:textId="77777777" w:rsidR="00412E11" w:rsidRPr="00EC49A8" w:rsidRDefault="00412E11" w:rsidP="000C5C29">
            <w:pPr>
              <w:spacing w:before="0" w:after="0"/>
              <w:jc w:val="center"/>
              <w:rPr>
                <w:noProof/>
                <w:sz w:val="20"/>
                <w:szCs w:val="20"/>
              </w:rPr>
            </w:pPr>
            <w:r w:rsidRPr="00EC49A8">
              <w:rPr>
                <w:noProof/>
                <w:sz w:val="20"/>
              </w:rPr>
              <w:t>Anno</w:t>
            </w:r>
          </w:p>
        </w:tc>
        <w:tc>
          <w:tcPr>
            <w:tcW w:w="1160" w:type="dxa"/>
            <w:tcBorders>
              <w:top w:val="single" w:sz="8" w:space="0" w:color="auto"/>
              <w:left w:val="nil"/>
              <w:bottom w:val="nil"/>
              <w:right w:val="single" w:sz="8" w:space="0" w:color="auto"/>
            </w:tcBorders>
            <w:shd w:val="clear" w:color="auto" w:fill="auto"/>
            <w:vAlign w:val="center"/>
            <w:hideMark/>
          </w:tcPr>
          <w:p w14:paraId="67B73120" w14:textId="77777777" w:rsidR="00412E11" w:rsidRPr="00EC49A8" w:rsidRDefault="00412E11" w:rsidP="000C5C29">
            <w:pPr>
              <w:spacing w:before="0" w:after="0"/>
              <w:jc w:val="center"/>
              <w:rPr>
                <w:noProof/>
                <w:sz w:val="20"/>
                <w:szCs w:val="20"/>
              </w:rPr>
            </w:pPr>
            <w:r w:rsidRPr="00EC49A8">
              <w:rPr>
                <w:noProof/>
                <w:sz w:val="20"/>
              </w:rPr>
              <w:t>Anno</w:t>
            </w:r>
          </w:p>
        </w:tc>
        <w:tc>
          <w:tcPr>
            <w:tcW w:w="1160" w:type="dxa"/>
            <w:tcBorders>
              <w:top w:val="single" w:sz="8" w:space="0" w:color="auto"/>
              <w:left w:val="nil"/>
              <w:bottom w:val="nil"/>
              <w:right w:val="single" w:sz="8" w:space="0" w:color="auto"/>
            </w:tcBorders>
            <w:shd w:val="clear" w:color="auto" w:fill="auto"/>
            <w:vAlign w:val="center"/>
            <w:hideMark/>
          </w:tcPr>
          <w:p w14:paraId="79E48844" w14:textId="77777777" w:rsidR="00412E11" w:rsidRPr="00EC49A8" w:rsidRDefault="00412E11" w:rsidP="000C5C29">
            <w:pPr>
              <w:spacing w:before="0" w:after="0"/>
              <w:jc w:val="center"/>
              <w:rPr>
                <w:noProof/>
                <w:sz w:val="20"/>
                <w:szCs w:val="20"/>
              </w:rPr>
            </w:pPr>
            <w:r w:rsidRPr="00EC49A8">
              <w:rPr>
                <w:noProof/>
                <w:sz w:val="20"/>
              </w:rPr>
              <w:t>Anno</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4C8B45" w14:textId="77777777" w:rsidR="00412E11" w:rsidRPr="00EC49A8" w:rsidRDefault="00412E11" w:rsidP="000C5C29">
            <w:pPr>
              <w:spacing w:before="0" w:after="0"/>
              <w:jc w:val="center"/>
              <w:rPr>
                <w:b/>
                <w:bCs/>
                <w:noProof/>
                <w:sz w:val="20"/>
                <w:szCs w:val="20"/>
              </w:rPr>
            </w:pPr>
            <w:r w:rsidRPr="00EC49A8">
              <w:rPr>
                <w:b/>
                <w:noProof/>
                <w:sz w:val="20"/>
              </w:rPr>
              <w:t xml:space="preserve">TOTALE QFP </w:t>
            </w:r>
            <w:r w:rsidRPr="00B17672">
              <w:rPr>
                <w:b/>
                <w:noProof/>
                <w:sz w:val="20"/>
              </w:rPr>
              <w:t>2021</w:t>
            </w:r>
            <w:r w:rsidRPr="00EC49A8">
              <w:rPr>
                <w:b/>
                <w:noProof/>
                <w:sz w:val="20"/>
              </w:rPr>
              <w:t>-</w:t>
            </w:r>
            <w:r w:rsidRPr="00B17672">
              <w:rPr>
                <w:b/>
                <w:noProof/>
                <w:sz w:val="20"/>
              </w:rPr>
              <w:t>2027</w:t>
            </w:r>
          </w:p>
        </w:tc>
      </w:tr>
      <w:tr w:rsidR="00E254F3" w:rsidRPr="00EC49A8" w14:paraId="27E6FC0D" w14:textId="77777777" w:rsidTr="000C5C29">
        <w:trPr>
          <w:trHeight w:val="300"/>
        </w:trPr>
        <w:tc>
          <w:tcPr>
            <w:tcW w:w="7100" w:type="dxa"/>
            <w:gridSpan w:val="2"/>
            <w:vMerge/>
            <w:tcBorders>
              <w:top w:val="single" w:sz="8" w:space="0" w:color="auto"/>
              <w:left w:val="single" w:sz="8" w:space="0" w:color="auto"/>
              <w:bottom w:val="single" w:sz="8" w:space="0" w:color="auto"/>
              <w:right w:val="single" w:sz="8" w:space="0" w:color="auto"/>
            </w:tcBorders>
            <w:vAlign w:val="center"/>
            <w:hideMark/>
          </w:tcPr>
          <w:p w14:paraId="5CE77ACC" w14:textId="77777777" w:rsidR="00412E11" w:rsidRPr="00EC49A8" w:rsidRDefault="00412E11" w:rsidP="000C5C29">
            <w:pPr>
              <w:spacing w:before="0" w:after="0"/>
              <w:jc w:val="left"/>
              <w:rPr>
                <w:noProof/>
                <w:szCs w:val="24"/>
                <w:lang w:eastAsia="en-IE"/>
              </w:rPr>
            </w:pPr>
          </w:p>
        </w:tc>
        <w:tc>
          <w:tcPr>
            <w:tcW w:w="1160" w:type="dxa"/>
            <w:tcBorders>
              <w:top w:val="nil"/>
              <w:left w:val="nil"/>
              <w:bottom w:val="single" w:sz="8" w:space="0" w:color="auto"/>
              <w:right w:val="single" w:sz="8" w:space="0" w:color="auto"/>
            </w:tcBorders>
            <w:shd w:val="clear" w:color="auto" w:fill="auto"/>
            <w:vAlign w:val="center"/>
            <w:hideMark/>
          </w:tcPr>
          <w:p w14:paraId="375EDD1F" w14:textId="77777777" w:rsidR="00412E11" w:rsidRPr="00EC49A8" w:rsidRDefault="00412E11" w:rsidP="000C5C29">
            <w:pPr>
              <w:spacing w:before="0" w:after="0"/>
              <w:jc w:val="center"/>
              <w:rPr>
                <w:b/>
                <w:bCs/>
                <w:noProof/>
                <w:sz w:val="20"/>
                <w:szCs w:val="20"/>
              </w:rPr>
            </w:pPr>
            <w:r w:rsidRPr="00B17672">
              <w:rPr>
                <w:b/>
                <w:noProof/>
                <w:sz w:val="20"/>
              </w:rPr>
              <w:t>2024</w:t>
            </w:r>
          </w:p>
        </w:tc>
        <w:tc>
          <w:tcPr>
            <w:tcW w:w="1160" w:type="dxa"/>
            <w:tcBorders>
              <w:top w:val="nil"/>
              <w:left w:val="nil"/>
              <w:bottom w:val="single" w:sz="8" w:space="0" w:color="auto"/>
              <w:right w:val="single" w:sz="8" w:space="0" w:color="auto"/>
            </w:tcBorders>
            <w:shd w:val="clear" w:color="auto" w:fill="auto"/>
            <w:vAlign w:val="center"/>
            <w:hideMark/>
          </w:tcPr>
          <w:p w14:paraId="4D55AF26" w14:textId="77777777" w:rsidR="00412E11" w:rsidRPr="00EC49A8" w:rsidRDefault="00412E11" w:rsidP="000C5C29">
            <w:pPr>
              <w:spacing w:before="0" w:after="0"/>
              <w:jc w:val="center"/>
              <w:rPr>
                <w:b/>
                <w:bCs/>
                <w:noProof/>
                <w:sz w:val="20"/>
                <w:szCs w:val="20"/>
              </w:rPr>
            </w:pPr>
            <w:r w:rsidRPr="00B17672">
              <w:rPr>
                <w:b/>
                <w:noProof/>
                <w:sz w:val="20"/>
              </w:rPr>
              <w:t>2025</w:t>
            </w:r>
          </w:p>
        </w:tc>
        <w:tc>
          <w:tcPr>
            <w:tcW w:w="1160" w:type="dxa"/>
            <w:tcBorders>
              <w:top w:val="nil"/>
              <w:left w:val="nil"/>
              <w:bottom w:val="single" w:sz="8" w:space="0" w:color="auto"/>
              <w:right w:val="single" w:sz="8" w:space="0" w:color="auto"/>
            </w:tcBorders>
            <w:shd w:val="clear" w:color="auto" w:fill="auto"/>
            <w:vAlign w:val="center"/>
            <w:hideMark/>
          </w:tcPr>
          <w:p w14:paraId="6B2D2A2E" w14:textId="77777777" w:rsidR="00412E11" w:rsidRPr="00EC49A8" w:rsidRDefault="00412E11" w:rsidP="000C5C29">
            <w:pPr>
              <w:spacing w:before="0" w:after="0"/>
              <w:jc w:val="center"/>
              <w:rPr>
                <w:b/>
                <w:bCs/>
                <w:noProof/>
                <w:sz w:val="20"/>
                <w:szCs w:val="20"/>
              </w:rPr>
            </w:pPr>
            <w:r w:rsidRPr="00B17672">
              <w:rPr>
                <w:b/>
                <w:noProof/>
                <w:sz w:val="20"/>
              </w:rPr>
              <w:t>2026</w:t>
            </w:r>
          </w:p>
        </w:tc>
        <w:tc>
          <w:tcPr>
            <w:tcW w:w="1160" w:type="dxa"/>
            <w:tcBorders>
              <w:top w:val="nil"/>
              <w:left w:val="nil"/>
              <w:bottom w:val="single" w:sz="8" w:space="0" w:color="auto"/>
              <w:right w:val="single" w:sz="8" w:space="0" w:color="auto"/>
            </w:tcBorders>
            <w:shd w:val="clear" w:color="auto" w:fill="auto"/>
            <w:vAlign w:val="center"/>
            <w:hideMark/>
          </w:tcPr>
          <w:p w14:paraId="3EB81DB3" w14:textId="77777777" w:rsidR="00412E11" w:rsidRPr="00EC49A8" w:rsidRDefault="00412E11" w:rsidP="000C5C29">
            <w:pPr>
              <w:spacing w:before="0" w:after="0"/>
              <w:jc w:val="center"/>
              <w:rPr>
                <w:b/>
                <w:bCs/>
                <w:noProof/>
                <w:sz w:val="20"/>
                <w:szCs w:val="20"/>
              </w:rPr>
            </w:pPr>
            <w:r w:rsidRPr="00B17672">
              <w:rPr>
                <w:b/>
                <w:noProof/>
                <w:sz w:val="20"/>
              </w:rPr>
              <w:t>2027</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8582096" w14:textId="77777777" w:rsidR="00412E11" w:rsidRPr="00EC49A8" w:rsidRDefault="00412E11" w:rsidP="000C5C29">
            <w:pPr>
              <w:spacing w:before="0" w:after="0"/>
              <w:jc w:val="left"/>
              <w:rPr>
                <w:b/>
                <w:bCs/>
                <w:noProof/>
                <w:sz w:val="20"/>
                <w:szCs w:val="20"/>
                <w:lang w:eastAsia="en-IE"/>
              </w:rPr>
            </w:pPr>
          </w:p>
        </w:tc>
      </w:tr>
      <w:tr w:rsidR="00E254F3" w:rsidRPr="00EC49A8" w14:paraId="518D4635" w14:textId="77777777" w:rsidTr="000C5C29">
        <w:trPr>
          <w:trHeight w:val="564"/>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360453A" w14:textId="77777777" w:rsidR="00412E11" w:rsidRPr="00EC49A8" w:rsidRDefault="00412E11" w:rsidP="000C5C29">
            <w:pPr>
              <w:spacing w:before="0" w:after="0"/>
              <w:jc w:val="center"/>
              <w:rPr>
                <w:b/>
                <w:bCs/>
                <w:noProof/>
                <w:sz w:val="22"/>
              </w:rPr>
            </w:pPr>
            <w:r w:rsidRPr="00EC49A8">
              <w:rPr>
                <w:b/>
                <w:noProof/>
                <w:sz w:val="22"/>
              </w:rPr>
              <w:t xml:space="preserve">TOTALE stanziamenti per le RUBRICHE da </w:t>
            </w:r>
            <w:r w:rsidRPr="00B17672">
              <w:rPr>
                <w:b/>
                <w:noProof/>
                <w:sz w:val="22"/>
              </w:rPr>
              <w:t>1</w:t>
            </w:r>
            <w:r w:rsidRPr="00EC49A8">
              <w:rPr>
                <w:b/>
                <w:noProof/>
                <w:sz w:val="22"/>
              </w:rPr>
              <w:t xml:space="preserve"> a </w:t>
            </w:r>
            <w:r w:rsidRPr="00B17672">
              <w:rPr>
                <w:b/>
                <w:noProof/>
                <w:sz w:val="22"/>
              </w:rPr>
              <w:t>7</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F4CBF59" w14:textId="77777777" w:rsidR="00412E11" w:rsidRPr="00EC49A8" w:rsidRDefault="00412E11" w:rsidP="000C5C29">
            <w:pPr>
              <w:spacing w:before="0" w:after="0"/>
              <w:rPr>
                <w:noProof/>
                <w:sz w:val="18"/>
                <w:szCs w:val="18"/>
              </w:rPr>
            </w:pPr>
            <w:r w:rsidRPr="00EC49A8">
              <w:rPr>
                <w:noProof/>
                <w:sz w:val="18"/>
              </w:rPr>
              <w:t>Impegni</w:t>
            </w:r>
          </w:p>
        </w:tc>
        <w:tc>
          <w:tcPr>
            <w:tcW w:w="1160" w:type="dxa"/>
            <w:tcBorders>
              <w:top w:val="nil"/>
              <w:left w:val="nil"/>
              <w:bottom w:val="single" w:sz="8" w:space="0" w:color="auto"/>
              <w:right w:val="single" w:sz="8" w:space="0" w:color="auto"/>
            </w:tcBorders>
            <w:shd w:val="clear" w:color="000000" w:fill="D9D9D9"/>
            <w:vAlign w:val="center"/>
            <w:hideMark/>
          </w:tcPr>
          <w:p w14:paraId="3E55AE25"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7806A22C"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31885EEE"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57AEAE7F"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400" w:type="dxa"/>
            <w:tcBorders>
              <w:top w:val="nil"/>
              <w:left w:val="nil"/>
              <w:bottom w:val="single" w:sz="8" w:space="0" w:color="auto"/>
              <w:right w:val="single" w:sz="8" w:space="0" w:color="auto"/>
            </w:tcBorders>
            <w:shd w:val="clear" w:color="000000" w:fill="D9D9D9"/>
            <w:vAlign w:val="center"/>
            <w:hideMark/>
          </w:tcPr>
          <w:p w14:paraId="63691667"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r>
      <w:tr w:rsidR="00E254F3" w:rsidRPr="00EC49A8" w14:paraId="5E2E03F7" w14:textId="77777777" w:rsidTr="000C5C29">
        <w:trPr>
          <w:trHeight w:val="540"/>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3CB4276" w14:textId="77777777" w:rsidR="00412E11" w:rsidRPr="00EC49A8" w:rsidRDefault="00412E11" w:rsidP="000C5C29">
            <w:pPr>
              <w:spacing w:before="0" w:after="0"/>
              <w:jc w:val="center"/>
              <w:rPr>
                <w:noProof/>
                <w:sz w:val="22"/>
              </w:rPr>
            </w:pPr>
            <w:r w:rsidRPr="00EC49A8">
              <w:rPr>
                <w:noProof/>
                <w:sz w:val="22"/>
              </w:rPr>
              <w:t>del quadro finanziario pluriennale</w:t>
            </w:r>
            <w:r w:rsidRPr="00EC49A8">
              <w:rPr>
                <w:b/>
                <w:noProof/>
                <w:sz w:val="22"/>
              </w:rPr>
              <w:t xml:space="preserv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17C16F3A" w14:textId="77777777" w:rsidR="00412E11" w:rsidRPr="00EC49A8" w:rsidRDefault="00412E11" w:rsidP="000C5C29">
            <w:pPr>
              <w:spacing w:before="0" w:after="0"/>
              <w:rPr>
                <w:noProof/>
                <w:sz w:val="18"/>
                <w:szCs w:val="18"/>
              </w:rPr>
            </w:pPr>
            <w:r w:rsidRPr="00EC49A8">
              <w:rPr>
                <w:noProof/>
                <w:sz w:val="18"/>
              </w:rPr>
              <w:t>Pagamenti</w:t>
            </w:r>
          </w:p>
        </w:tc>
        <w:tc>
          <w:tcPr>
            <w:tcW w:w="1160" w:type="dxa"/>
            <w:tcBorders>
              <w:top w:val="nil"/>
              <w:left w:val="nil"/>
              <w:bottom w:val="single" w:sz="8" w:space="0" w:color="auto"/>
              <w:right w:val="single" w:sz="8" w:space="0" w:color="auto"/>
            </w:tcBorders>
            <w:shd w:val="clear" w:color="000000" w:fill="D9D9D9"/>
            <w:vAlign w:val="center"/>
            <w:hideMark/>
          </w:tcPr>
          <w:p w14:paraId="72D4CD0C"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68CB426A"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58BFBC7D"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160" w:type="dxa"/>
            <w:tcBorders>
              <w:top w:val="nil"/>
              <w:left w:val="nil"/>
              <w:bottom w:val="single" w:sz="8" w:space="0" w:color="auto"/>
              <w:right w:val="single" w:sz="8" w:space="0" w:color="auto"/>
            </w:tcBorders>
            <w:shd w:val="clear" w:color="000000" w:fill="D9D9D9"/>
            <w:vAlign w:val="center"/>
            <w:hideMark/>
          </w:tcPr>
          <w:p w14:paraId="4EAEFB66"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c>
          <w:tcPr>
            <w:tcW w:w="1400" w:type="dxa"/>
            <w:tcBorders>
              <w:top w:val="nil"/>
              <w:left w:val="nil"/>
              <w:bottom w:val="single" w:sz="8" w:space="0" w:color="auto"/>
              <w:right w:val="single" w:sz="8" w:space="0" w:color="auto"/>
            </w:tcBorders>
            <w:shd w:val="clear" w:color="000000" w:fill="D9D9D9"/>
            <w:vAlign w:val="center"/>
            <w:hideMark/>
          </w:tcPr>
          <w:p w14:paraId="29EF58CA" w14:textId="77777777" w:rsidR="00412E11" w:rsidRPr="00EC49A8" w:rsidRDefault="00412E11" w:rsidP="000C5C29">
            <w:pPr>
              <w:spacing w:before="0" w:after="0"/>
              <w:jc w:val="right"/>
              <w:rPr>
                <w:b/>
                <w:bCs/>
                <w:noProof/>
                <w:szCs w:val="24"/>
              </w:rPr>
            </w:pPr>
            <w:r w:rsidRPr="00B17672">
              <w:rPr>
                <w:b/>
                <w:noProof/>
              </w:rPr>
              <w:t>0</w:t>
            </w:r>
            <w:r w:rsidRPr="00EC49A8">
              <w:rPr>
                <w:b/>
                <w:noProof/>
              </w:rPr>
              <w:t>,</w:t>
            </w:r>
            <w:r w:rsidRPr="00B17672">
              <w:rPr>
                <w:b/>
                <w:noProof/>
              </w:rPr>
              <w:t>000</w:t>
            </w:r>
          </w:p>
        </w:tc>
      </w:tr>
    </w:tbl>
    <w:p w14:paraId="265AF89E" w14:textId="77777777" w:rsidR="00412E11" w:rsidRPr="00EC49A8" w:rsidRDefault="00412E11" w:rsidP="000C5C29">
      <w:pPr>
        <w:pStyle w:val="ManualHeading3"/>
        <w:rPr>
          <w:bCs/>
          <w:noProof/>
          <w:szCs w:val="24"/>
        </w:rPr>
      </w:pPr>
      <w:bookmarkStart w:id="144" w:name="_Toc514938054"/>
      <w:bookmarkStart w:id="145" w:name="_Toc520485053"/>
      <w:bookmarkStart w:id="146" w:name="_Toc160804597"/>
      <w:bookmarkStart w:id="147" w:name="_Toc167220289"/>
      <w:bookmarkStart w:id="148" w:name="_Toc177549022"/>
      <w:r w:rsidRPr="00B17672">
        <w:rPr>
          <w:noProof/>
        </w:rPr>
        <w:t>3</w:t>
      </w:r>
      <w:r w:rsidRPr="00EC49A8">
        <w:rPr>
          <w:noProof/>
        </w:rPr>
        <w:t>.</w:t>
      </w:r>
      <w:r w:rsidRPr="00B17672">
        <w:rPr>
          <w:noProof/>
        </w:rPr>
        <w:t>2</w:t>
      </w:r>
      <w:r w:rsidRPr="00EC49A8">
        <w:rPr>
          <w:noProof/>
        </w:rPr>
        <w:t>.</w:t>
      </w:r>
      <w:r w:rsidRPr="00B17672">
        <w:rPr>
          <w:noProof/>
        </w:rPr>
        <w:t>2</w:t>
      </w:r>
      <w:r w:rsidRPr="00EC49A8">
        <w:rPr>
          <w:noProof/>
        </w:rPr>
        <w:t>.</w:t>
      </w:r>
      <w:r w:rsidRPr="00EC49A8">
        <w:rPr>
          <w:noProof/>
        </w:rPr>
        <w:tab/>
        <w:t>Risultati previsti finanziati con gli stanziamenti operativi</w:t>
      </w:r>
      <w:bookmarkEnd w:id="144"/>
      <w:bookmarkEnd w:id="145"/>
      <w:r w:rsidRPr="00EC49A8">
        <w:rPr>
          <w:noProof/>
        </w:rPr>
        <w:t xml:space="preserve"> (da non compilarsi per le agenzie decentrate)</w:t>
      </w:r>
      <w:bookmarkEnd w:id="146"/>
      <w:bookmarkEnd w:id="147"/>
      <w:bookmarkEnd w:id="148"/>
    </w:p>
    <w:p w14:paraId="0B008FBB" w14:textId="77777777" w:rsidR="00412E11" w:rsidRPr="00EC49A8" w:rsidRDefault="00412E11" w:rsidP="000C5C29">
      <w:pPr>
        <w:jc w:val="right"/>
        <w:rPr>
          <w:noProof/>
          <w:sz w:val="20"/>
        </w:rPr>
      </w:pPr>
      <w:r w:rsidRPr="00EC49A8">
        <w:rPr>
          <w:noProof/>
          <w:sz w:val="20"/>
        </w:rPr>
        <w:t>Stanziamenti di impegno in Mio EUR (al terzo decimale)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254F3" w:rsidRPr="00EC49A8" w14:paraId="1CA5E207" w14:textId="77777777" w:rsidTr="000C5C29">
        <w:trPr>
          <w:jc w:val="center"/>
        </w:trPr>
        <w:tc>
          <w:tcPr>
            <w:tcW w:w="1423" w:type="dxa"/>
            <w:vMerge w:val="restart"/>
            <w:vAlign w:val="center"/>
          </w:tcPr>
          <w:p w14:paraId="2F96B39B" w14:textId="77777777" w:rsidR="00412E11" w:rsidRPr="00EC49A8" w:rsidRDefault="00412E11" w:rsidP="000C5C29">
            <w:pPr>
              <w:ind w:right="-29"/>
              <w:jc w:val="center"/>
              <w:rPr>
                <w:b/>
                <w:noProof/>
                <w:sz w:val="18"/>
                <w:szCs w:val="18"/>
              </w:rPr>
            </w:pPr>
            <w:r w:rsidRPr="00EC49A8">
              <w:rPr>
                <w:b/>
                <w:noProof/>
                <w:sz w:val="18"/>
              </w:rPr>
              <w:t xml:space="preserve">Specificare gli obiettivi e i risultati </w:t>
            </w:r>
          </w:p>
          <w:p w14:paraId="4374FD67" w14:textId="77777777" w:rsidR="00412E11" w:rsidRPr="00EC49A8" w:rsidRDefault="00412E11" w:rsidP="000C5C29">
            <w:pPr>
              <w:ind w:right="-29"/>
              <w:jc w:val="center"/>
              <w:rPr>
                <w:b/>
                <w:noProof/>
                <w:sz w:val="18"/>
                <w:szCs w:val="18"/>
              </w:rPr>
            </w:pPr>
          </w:p>
          <w:p w14:paraId="7A2A25D1" w14:textId="77777777" w:rsidR="00412E11" w:rsidRPr="00EC49A8" w:rsidRDefault="00412E11" w:rsidP="000C5C29">
            <w:pPr>
              <w:ind w:right="-29"/>
              <w:jc w:val="center"/>
              <w:rPr>
                <w:noProof/>
                <w:sz w:val="18"/>
                <w:szCs w:val="18"/>
              </w:rPr>
            </w:pPr>
            <w:r w:rsidRPr="00EC49A8">
              <w:rPr>
                <w:rFonts w:ascii="Wingdings" w:hAnsi="Wingdings"/>
                <w:noProof/>
                <w:sz w:val="18"/>
              </w:rPr>
              <w:t></w:t>
            </w:r>
          </w:p>
        </w:tc>
        <w:tc>
          <w:tcPr>
            <w:tcW w:w="720" w:type="dxa"/>
            <w:vAlign w:val="center"/>
          </w:tcPr>
          <w:p w14:paraId="3DF9B51E" w14:textId="77777777" w:rsidR="00412E11" w:rsidRPr="00EC49A8" w:rsidRDefault="00412E11" w:rsidP="000C5C29">
            <w:pPr>
              <w:ind w:right="-29"/>
              <w:jc w:val="center"/>
              <w:rPr>
                <w:noProof/>
                <w:sz w:val="18"/>
                <w:szCs w:val="18"/>
              </w:rPr>
            </w:pPr>
          </w:p>
        </w:tc>
        <w:tc>
          <w:tcPr>
            <w:tcW w:w="701" w:type="dxa"/>
            <w:vAlign w:val="center"/>
          </w:tcPr>
          <w:p w14:paraId="2FA612D8" w14:textId="77777777" w:rsidR="00412E11" w:rsidRPr="00EC49A8" w:rsidRDefault="00412E11" w:rsidP="000C5C29">
            <w:pPr>
              <w:ind w:right="-29"/>
              <w:jc w:val="center"/>
              <w:rPr>
                <w:noProof/>
                <w:sz w:val="18"/>
                <w:szCs w:val="18"/>
              </w:rPr>
            </w:pPr>
          </w:p>
        </w:tc>
        <w:tc>
          <w:tcPr>
            <w:tcW w:w="1224" w:type="dxa"/>
            <w:gridSpan w:val="2"/>
            <w:tcBorders>
              <w:left w:val="nil"/>
            </w:tcBorders>
            <w:vAlign w:val="center"/>
          </w:tcPr>
          <w:p w14:paraId="112DC53C" w14:textId="77777777" w:rsidR="00412E11" w:rsidRPr="00EC49A8" w:rsidRDefault="00412E11" w:rsidP="000C5C29">
            <w:pPr>
              <w:ind w:right="-29"/>
              <w:jc w:val="center"/>
              <w:rPr>
                <w:noProof/>
                <w:sz w:val="18"/>
                <w:szCs w:val="18"/>
              </w:rPr>
            </w:pPr>
            <w:r w:rsidRPr="00EC49A8">
              <w:rPr>
                <w:noProof/>
                <w:sz w:val="18"/>
              </w:rPr>
              <w:t>Anno</w:t>
            </w:r>
            <w:r w:rsidRPr="00EC49A8">
              <w:rPr>
                <w:noProof/>
              </w:rPr>
              <w:t xml:space="preserve"> </w:t>
            </w:r>
            <w:r w:rsidRPr="00EC49A8">
              <w:rPr>
                <w:noProof/>
              </w:rPr>
              <w:br/>
            </w:r>
            <w:r w:rsidRPr="00B17672">
              <w:rPr>
                <w:b/>
                <w:noProof/>
                <w:sz w:val="18"/>
              </w:rPr>
              <w:t>2024</w:t>
            </w:r>
          </w:p>
        </w:tc>
        <w:tc>
          <w:tcPr>
            <w:tcW w:w="1260" w:type="dxa"/>
            <w:gridSpan w:val="2"/>
            <w:vAlign w:val="center"/>
          </w:tcPr>
          <w:p w14:paraId="23F43D54" w14:textId="77777777" w:rsidR="00412E11" w:rsidRPr="00EC49A8" w:rsidRDefault="00412E11" w:rsidP="000C5C29">
            <w:pPr>
              <w:ind w:right="-29"/>
              <w:jc w:val="center"/>
              <w:rPr>
                <w:noProof/>
                <w:sz w:val="18"/>
                <w:szCs w:val="18"/>
              </w:rPr>
            </w:pPr>
            <w:r w:rsidRPr="00EC49A8">
              <w:rPr>
                <w:noProof/>
                <w:sz w:val="18"/>
              </w:rPr>
              <w:t>Anno</w:t>
            </w:r>
            <w:r w:rsidRPr="00EC49A8">
              <w:rPr>
                <w:noProof/>
              </w:rPr>
              <w:t xml:space="preserve"> </w:t>
            </w:r>
            <w:r w:rsidRPr="00EC49A8">
              <w:rPr>
                <w:noProof/>
              </w:rPr>
              <w:br/>
            </w:r>
            <w:r w:rsidRPr="00B17672">
              <w:rPr>
                <w:b/>
                <w:noProof/>
                <w:sz w:val="18"/>
              </w:rPr>
              <w:t>2025</w:t>
            </w:r>
          </w:p>
        </w:tc>
        <w:tc>
          <w:tcPr>
            <w:tcW w:w="1440" w:type="dxa"/>
            <w:gridSpan w:val="2"/>
            <w:vAlign w:val="center"/>
          </w:tcPr>
          <w:p w14:paraId="6BE191A2" w14:textId="77777777" w:rsidR="00412E11" w:rsidRPr="00EC49A8" w:rsidRDefault="00412E11" w:rsidP="000C5C29">
            <w:pPr>
              <w:ind w:right="-29"/>
              <w:jc w:val="center"/>
              <w:rPr>
                <w:noProof/>
                <w:sz w:val="18"/>
                <w:szCs w:val="18"/>
              </w:rPr>
            </w:pPr>
            <w:r w:rsidRPr="00EC49A8">
              <w:rPr>
                <w:noProof/>
                <w:sz w:val="18"/>
              </w:rPr>
              <w:t>Anno</w:t>
            </w:r>
            <w:r w:rsidRPr="00EC49A8">
              <w:rPr>
                <w:noProof/>
              </w:rPr>
              <w:t xml:space="preserve"> </w:t>
            </w:r>
            <w:r w:rsidRPr="00EC49A8">
              <w:rPr>
                <w:noProof/>
              </w:rPr>
              <w:br/>
            </w:r>
            <w:r w:rsidRPr="00B17672">
              <w:rPr>
                <w:b/>
                <w:noProof/>
                <w:sz w:val="18"/>
              </w:rPr>
              <w:t>2026</w:t>
            </w:r>
          </w:p>
        </w:tc>
        <w:tc>
          <w:tcPr>
            <w:tcW w:w="1620" w:type="dxa"/>
            <w:gridSpan w:val="3"/>
            <w:vAlign w:val="center"/>
          </w:tcPr>
          <w:p w14:paraId="479CF70D" w14:textId="77777777" w:rsidR="00412E11" w:rsidRPr="00EC49A8" w:rsidRDefault="00412E11" w:rsidP="000C5C29">
            <w:pPr>
              <w:ind w:right="-29"/>
              <w:jc w:val="center"/>
              <w:rPr>
                <w:noProof/>
                <w:sz w:val="18"/>
                <w:szCs w:val="18"/>
              </w:rPr>
            </w:pPr>
            <w:r w:rsidRPr="00EC49A8">
              <w:rPr>
                <w:noProof/>
                <w:sz w:val="18"/>
              </w:rPr>
              <w:t>Anno</w:t>
            </w:r>
            <w:r w:rsidRPr="00EC49A8">
              <w:rPr>
                <w:noProof/>
              </w:rPr>
              <w:t xml:space="preserve"> </w:t>
            </w:r>
            <w:r w:rsidRPr="00EC49A8">
              <w:rPr>
                <w:noProof/>
              </w:rPr>
              <w:br/>
            </w:r>
            <w:r w:rsidRPr="00B17672">
              <w:rPr>
                <w:b/>
                <w:noProof/>
                <w:sz w:val="18"/>
              </w:rPr>
              <w:t>2027</w:t>
            </w:r>
          </w:p>
        </w:tc>
        <w:tc>
          <w:tcPr>
            <w:tcW w:w="3600" w:type="dxa"/>
            <w:gridSpan w:val="6"/>
            <w:vAlign w:val="center"/>
          </w:tcPr>
          <w:p w14:paraId="6BBE89A8" w14:textId="56FB8242" w:rsidR="00412E11" w:rsidRPr="00EC49A8" w:rsidRDefault="00412E11" w:rsidP="000C5C29">
            <w:pPr>
              <w:jc w:val="center"/>
              <w:rPr>
                <w:noProof/>
                <w:sz w:val="18"/>
                <w:szCs w:val="18"/>
              </w:rPr>
            </w:pPr>
            <w:r w:rsidRPr="00EC49A8">
              <w:rPr>
                <w:noProof/>
                <w:sz w:val="18"/>
              </w:rPr>
              <w:t>Inserire gli anni necessari per evidenziare la durata dell</w:t>
            </w:r>
            <w:r w:rsidR="00B17672">
              <w:rPr>
                <w:noProof/>
                <w:sz w:val="18"/>
              </w:rPr>
              <w:t>'</w:t>
            </w:r>
            <w:r w:rsidRPr="00EC49A8">
              <w:rPr>
                <w:noProof/>
                <w:sz w:val="18"/>
              </w:rPr>
              <w:t>incidenza (cfr. sezione </w:t>
            </w:r>
            <w:r w:rsidRPr="00B17672">
              <w:rPr>
                <w:noProof/>
                <w:sz w:val="18"/>
              </w:rPr>
              <w:t>1</w:t>
            </w:r>
            <w:r w:rsidRPr="00EC49A8">
              <w:rPr>
                <w:noProof/>
                <w:sz w:val="18"/>
              </w:rPr>
              <w:t>.</w:t>
            </w:r>
            <w:r w:rsidRPr="00B17672">
              <w:rPr>
                <w:noProof/>
                <w:sz w:val="18"/>
              </w:rPr>
              <w:t>6</w:t>
            </w:r>
            <w:r w:rsidRPr="00EC49A8">
              <w:rPr>
                <w:noProof/>
                <w:sz w:val="18"/>
              </w:rPr>
              <w:t>)</w:t>
            </w:r>
          </w:p>
        </w:tc>
        <w:tc>
          <w:tcPr>
            <w:tcW w:w="1620" w:type="dxa"/>
            <w:gridSpan w:val="2"/>
            <w:tcBorders>
              <w:left w:val="nil"/>
              <w:bottom w:val="nil"/>
            </w:tcBorders>
            <w:vAlign w:val="center"/>
          </w:tcPr>
          <w:p w14:paraId="07B3ED5E" w14:textId="77777777" w:rsidR="00412E11" w:rsidRPr="00EC49A8" w:rsidRDefault="00412E11" w:rsidP="000C5C29">
            <w:pPr>
              <w:ind w:right="-29"/>
              <w:jc w:val="center"/>
              <w:rPr>
                <w:noProof/>
                <w:sz w:val="18"/>
                <w:szCs w:val="18"/>
              </w:rPr>
            </w:pPr>
            <w:r w:rsidRPr="00EC49A8">
              <w:rPr>
                <w:b/>
                <w:noProof/>
                <w:sz w:val="18"/>
              </w:rPr>
              <w:t>TOTALE</w:t>
            </w:r>
          </w:p>
        </w:tc>
      </w:tr>
      <w:tr w:rsidR="00E254F3" w:rsidRPr="00EC49A8" w14:paraId="2DF5271B" w14:textId="77777777" w:rsidTr="000C5C29">
        <w:trPr>
          <w:jc w:val="center"/>
        </w:trPr>
        <w:tc>
          <w:tcPr>
            <w:tcW w:w="1423" w:type="dxa"/>
            <w:vMerge/>
            <w:vAlign w:val="center"/>
          </w:tcPr>
          <w:p w14:paraId="22DCE6D5" w14:textId="77777777" w:rsidR="00412E11" w:rsidRPr="00EC49A8" w:rsidRDefault="00412E11" w:rsidP="000C5C29">
            <w:pPr>
              <w:ind w:right="-29"/>
              <w:jc w:val="center"/>
              <w:rPr>
                <w:noProof/>
                <w:sz w:val="18"/>
                <w:szCs w:val="18"/>
              </w:rPr>
            </w:pPr>
          </w:p>
        </w:tc>
        <w:tc>
          <w:tcPr>
            <w:tcW w:w="12185" w:type="dxa"/>
            <w:gridSpan w:val="19"/>
            <w:vAlign w:val="center"/>
          </w:tcPr>
          <w:p w14:paraId="0F904D60" w14:textId="77777777" w:rsidR="00412E11" w:rsidRPr="00EC49A8" w:rsidRDefault="00412E11" w:rsidP="000C5C29">
            <w:pPr>
              <w:spacing w:before="60" w:after="60"/>
              <w:ind w:right="-29"/>
              <w:jc w:val="center"/>
              <w:rPr>
                <w:noProof/>
                <w:sz w:val="18"/>
                <w:szCs w:val="18"/>
              </w:rPr>
            </w:pPr>
            <w:r w:rsidRPr="00EC49A8">
              <w:rPr>
                <w:b/>
                <w:noProof/>
                <w:sz w:val="18"/>
              </w:rPr>
              <w:t>RISULTATI</w:t>
            </w:r>
          </w:p>
        </w:tc>
      </w:tr>
      <w:tr w:rsidR="00E254F3" w:rsidRPr="00EC49A8" w14:paraId="4A55808B" w14:textId="77777777" w:rsidTr="000C5C29">
        <w:trPr>
          <w:cantSplit/>
          <w:trHeight w:val="1134"/>
          <w:jc w:val="center"/>
        </w:trPr>
        <w:tc>
          <w:tcPr>
            <w:tcW w:w="1423" w:type="dxa"/>
            <w:vMerge/>
            <w:vAlign w:val="center"/>
          </w:tcPr>
          <w:p w14:paraId="30E9F85F" w14:textId="77777777" w:rsidR="00412E11" w:rsidRPr="00EC49A8" w:rsidRDefault="00412E11" w:rsidP="000C5C29">
            <w:pPr>
              <w:rPr>
                <w:noProof/>
                <w:sz w:val="18"/>
                <w:szCs w:val="18"/>
              </w:rPr>
            </w:pPr>
          </w:p>
        </w:tc>
        <w:tc>
          <w:tcPr>
            <w:tcW w:w="720" w:type="dxa"/>
            <w:vAlign w:val="center"/>
          </w:tcPr>
          <w:p w14:paraId="1AEA2BE1" w14:textId="77777777" w:rsidR="00412E11" w:rsidRPr="00EC49A8" w:rsidRDefault="00412E11" w:rsidP="000C5C29">
            <w:pPr>
              <w:jc w:val="center"/>
              <w:rPr>
                <w:noProof/>
                <w:sz w:val="18"/>
                <w:szCs w:val="18"/>
              </w:rPr>
            </w:pPr>
            <w:r w:rsidRPr="00EC49A8">
              <w:rPr>
                <w:noProof/>
                <w:sz w:val="18"/>
              </w:rPr>
              <w:t>Tipo</w:t>
            </w:r>
            <w:r w:rsidRPr="00EC49A8">
              <w:rPr>
                <w:rStyle w:val="FootnoteReference"/>
                <w:noProof/>
                <w:sz w:val="18"/>
              </w:rPr>
              <w:footnoteReference w:id="21"/>
            </w:r>
          </w:p>
          <w:p w14:paraId="24A228A3" w14:textId="77777777" w:rsidR="00412E11" w:rsidRPr="00EC49A8" w:rsidRDefault="00412E11" w:rsidP="000C5C29">
            <w:pPr>
              <w:spacing w:before="0" w:after="0"/>
              <w:jc w:val="center"/>
              <w:rPr>
                <w:noProof/>
                <w:sz w:val="18"/>
                <w:szCs w:val="18"/>
              </w:rPr>
            </w:pPr>
          </w:p>
        </w:tc>
        <w:tc>
          <w:tcPr>
            <w:tcW w:w="701" w:type="dxa"/>
            <w:vAlign w:val="center"/>
          </w:tcPr>
          <w:p w14:paraId="7BFDBD25" w14:textId="77777777" w:rsidR="00412E11" w:rsidRPr="00EC49A8" w:rsidRDefault="00412E11" w:rsidP="000C5C29">
            <w:pPr>
              <w:jc w:val="center"/>
              <w:rPr>
                <w:noProof/>
                <w:sz w:val="18"/>
                <w:szCs w:val="18"/>
              </w:rPr>
            </w:pPr>
            <w:r w:rsidRPr="00EC49A8">
              <w:rPr>
                <w:noProof/>
                <w:sz w:val="18"/>
              </w:rPr>
              <w:t>Costo medio</w:t>
            </w:r>
          </w:p>
        </w:tc>
        <w:tc>
          <w:tcPr>
            <w:tcW w:w="504" w:type="dxa"/>
            <w:tcBorders>
              <w:left w:val="nil"/>
              <w:right w:val="dashSmallGap" w:sz="4" w:space="0" w:color="auto"/>
            </w:tcBorders>
            <w:shd w:val="pct10" w:color="auto" w:fill="auto"/>
            <w:textDirection w:val="btLr"/>
            <w:vAlign w:val="center"/>
          </w:tcPr>
          <w:p w14:paraId="504E1CAA" w14:textId="77777777" w:rsidR="00412E11" w:rsidRPr="00EC49A8" w:rsidRDefault="00412E11" w:rsidP="000C5C29">
            <w:pPr>
              <w:ind w:left="113" w:right="113"/>
              <w:jc w:val="center"/>
              <w:rPr>
                <w:noProof/>
                <w:sz w:val="18"/>
                <w:szCs w:val="18"/>
              </w:rPr>
            </w:pPr>
            <w:r w:rsidRPr="00EC49A8">
              <w:rPr>
                <w:noProof/>
                <w:sz w:val="18"/>
              </w:rPr>
              <w:t>N.</w:t>
            </w:r>
          </w:p>
        </w:tc>
        <w:tc>
          <w:tcPr>
            <w:tcW w:w="720" w:type="dxa"/>
            <w:tcBorders>
              <w:left w:val="dashSmallGap" w:sz="4" w:space="0" w:color="auto"/>
            </w:tcBorders>
            <w:shd w:val="pct10" w:color="auto" w:fill="auto"/>
            <w:vAlign w:val="center"/>
          </w:tcPr>
          <w:p w14:paraId="5FAE9912" w14:textId="77777777" w:rsidR="00412E11" w:rsidRPr="00EC49A8" w:rsidRDefault="00412E11" w:rsidP="000C5C29">
            <w:pPr>
              <w:jc w:val="center"/>
              <w:rPr>
                <w:noProof/>
                <w:sz w:val="18"/>
                <w:szCs w:val="18"/>
              </w:rPr>
            </w:pPr>
            <w:r w:rsidRPr="00EC49A8">
              <w:rPr>
                <w:noProof/>
                <w:sz w:val="18"/>
              </w:rPr>
              <w:t>Costo</w:t>
            </w:r>
          </w:p>
        </w:tc>
        <w:tc>
          <w:tcPr>
            <w:tcW w:w="540" w:type="dxa"/>
            <w:tcBorders>
              <w:right w:val="dashSmallGap" w:sz="4" w:space="0" w:color="auto"/>
            </w:tcBorders>
            <w:shd w:val="pct10" w:color="auto" w:fill="auto"/>
            <w:textDirection w:val="btLr"/>
            <w:vAlign w:val="center"/>
          </w:tcPr>
          <w:p w14:paraId="48333648" w14:textId="77777777" w:rsidR="00412E11" w:rsidRPr="00EC49A8" w:rsidRDefault="00412E11" w:rsidP="000C5C29">
            <w:pPr>
              <w:ind w:left="113" w:right="113"/>
              <w:jc w:val="center"/>
              <w:rPr>
                <w:noProof/>
                <w:sz w:val="18"/>
                <w:szCs w:val="18"/>
              </w:rPr>
            </w:pPr>
            <w:r w:rsidRPr="00EC49A8">
              <w:rPr>
                <w:noProof/>
                <w:sz w:val="18"/>
              </w:rPr>
              <w:t>N.</w:t>
            </w:r>
          </w:p>
        </w:tc>
        <w:tc>
          <w:tcPr>
            <w:tcW w:w="720" w:type="dxa"/>
            <w:tcBorders>
              <w:left w:val="dashSmallGap" w:sz="4" w:space="0" w:color="auto"/>
            </w:tcBorders>
            <w:shd w:val="pct10" w:color="auto" w:fill="auto"/>
            <w:vAlign w:val="center"/>
          </w:tcPr>
          <w:p w14:paraId="6FB653D3" w14:textId="77777777" w:rsidR="00412E11" w:rsidRPr="00EC49A8" w:rsidRDefault="00412E11" w:rsidP="000C5C29">
            <w:pPr>
              <w:jc w:val="center"/>
              <w:rPr>
                <w:noProof/>
                <w:sz w:val="18"/>
                <w:szCs w:val="18"/>
              </w:rPr>
            </w:pPr>
            <w:r w:rsidRPr="00EC49A8">
              <w:rPr>
                <w:noProof/>
                <w:sz w:val="18"/>
              </w:rPr>
              <w:t>Costo</w:t>
            </w:r>
          </w:p>
        </w:tc>
        <w:tc>
          <w:tcPr>
            <w:tcW w:w="720" w:type="dxa"/>
            <w:tcBorders>
              <w:right w:val="dashSmallGap" w:sz="4" w:space="0" w:color="auto"/>
            </w:tcBorders>
            <w:shd w:val="pct10" w:color="auto" w:fill="auto"/>
            <w:textDirection w:val="btLr"/>
            <w:vAlign w:val="center"/>
          </w:tcPr>
          <w:p w14:paraId="40BAC687" w14:textId="77777777" w:rsidR="00412E11" w:rsidRPr="00EC49A8" w:rsidRDefault="00412E11" w:rsidP="000C5C29">
            <w:pPr>
              <w:ind w:left="113" w:right="113"/>
              <w:jc w:val="center"/>
              <w:rPr>
                <w:noProof/>
                <w:sz w:val="18"/>
                <w:szCs w:val="18"/>
              </w:rPr>
            </w:pPr>
            <w:r w:rsidRPr="00EC49A8">
              <w:rPr>
                <w:noProof/>
                <w:sz w:val="18"/>
              </w:rPr>
              <w:t>N.</w:t>
            </w:r>
          </w:p>
        </w:tc>
        <w:tc>
          <w:tcPr>
            <w:tcW w:w="720" w:type="dxa"/>
            <w:tcBorders>
              <w:left w:val="dashSmallGap" w:sz="4" w:space="0" w:color="auto"/>
            </w:tcBorders>
            <w:shd w:val="pct10" w:color="auto" w:fill="auto"/>
            <w:vAlign w:val="center"/>
          </w:tcPr>
          <w:p w14:paraId="585F1311" w14:textId="77777777" w:rsidR="00412E11" w:rsidRPr="00EC49A8" w:rsidRDefault="00412E11" w:rsidP="000C5C29">
            <w:pPr>
              <w:jc w:val="center"/>
              <w:rPr>
                <w:noProof/>
                <w:sz w:val="18"/>
                <w:szCs w:val="18"/>
              </w:rPr>
            </w:pPr>
            <w:r w:rsidRPr="00EC49A8">
              <w:rPr>
                <w:noProof/>
                <w:sz w:val="18"/>
              </w:rPr>
              <w:t>Costo</w:t>
            </w:r>
          </w:p>
        </w:tc>
        <w:tc>
          <w:tcPr>
            <w:tcW w:w="900" w:type="dxa"/>
            <w:tcBorders>
              <w:right w:val="dashSmallGap" w:sz="4" w:space="0" w:color="auto"/>
            </w:tcBorders>
            <w:shd w:val="pct10" w:color="auto" w:fill="auto"/>
            <w:textDirection w:val="btLr"/>
            <w:vAlign w:val="center"/>
          </w:tcPr>
          <w:p w14:paraId="526B4DD7" w14:textId="77777777" w:rsidR="00412E11" w:rsidRPr="00EC49A8" w:rsidRDefault="00412E11" w:rsidP="000C5C29">
            <w:pPr>
              <w:ind w:left="113" w:right="113"/>
              <w:jc w:val="center"/>
              <w:rPr>
                <w:noProof/>
                <w:sz w:val="18"/>
                <w:szCs w:val="18"/>
              </w:rPr>
            </w:pPr>
            <w:r w:rsidRPr="00EC49A8">
              <w:rPr>
                <w:noProof/>
                <w:sz w:val="18"/>
              </w:rPr>
              <w:t>N.</w:t>
            </w:r>
          </w:p>
        </w:tc>
        <w:tc>
          <w:tcPr>
            <w:tcW w:w="720" w:type="dxa"/>
            <w:gridSpan w:val="2"/>
            <w:tcBorders>
              <w:left w:val="dashSmallGap" w:sz="4" w:space="0" w:color="auto"/>
            </w:tcBorders>
            <w:shd w:val="pct10" w:color="auto" w:fill="auto"/>
            <w:vAlign w:val="center"/>
          </w:tcPr>
          <w:p w14:paraId="799602B3" w14:textId="77777777" w:rsidR="00412E11" w:rsidRPr="00EC49A8" w:rsidRDefault="00412E11" w:rsidP="000C5C29">
            <w:pPr>
              <w:jc w:val="center"/>
              <w:rPr>
                <w:noProof/>
                <w:sz w:val="18"/>
                <w:szCs w:val="18"/>
              </w:rPr>
            </w:pPr>
            <w:r w:rsidRPr="00EC49A8">
              <w:rPr>
                <w:noProof/>
                <w:sz w:val="18"/>
              </w:rPr>
              <w:t>Costo</w:t>
            </w:r>
          </w:p>
        </w:tc>
        <w:tc>
          <w:tcPr>
            <w:tcW w:w="540" w:type="dxa"/>
            <w:tcBorders>
              <w:right w:val="dashSmallGap" w:sz="4" w:space="0" w:color="auto"/>
            </w:tcBorders>
            <w:shd w:val="pct10" w:color="auto" w:fill="auto"/>
            <w:textDirection w:val="btLr"/>
            <w:vAlign w:val="center"/>
          </w:tcPr>
          <w:p w14:paraId="0AF285D1" w14:textId="77777777" w:rsidR="00412E11" w:rsidRPr="00EC49A8" w:rsidRDefault="00412E11" w:rsidP="000C5C29">
            <w:pPr>
              <w:ind w:left="113" w:right="113"/>
              <w:jc w:val="center"/>
              <w:rPr>
                <w:noProof/>
                <w:sz w:val="18"/>
                <w:szCs w:val="18"/>
              </w:rPr>
            </w:pPr>
            <w:r w:rsidRPr="00EC49A8">
              <w:rPr>
                <w:noProof/>
                <w:sz w:val="18"/>
              </w:rPr>
              <w:t>N.</w:t>
            </w:r>
          </w:p>
        </w:tc>
        <w:tc>
          <w:tcPr>
            <w:tcW w:w="648" w:type="dxa"/>
            <w:tcBorders>
              <w:left w:val="dashSmallGap" w:sz="4" w:space="0" w:color="auto"/>
            </w:tcBorders>
            <w:shd w:val="pct10" w:color="auto" w:fill="auto"/>
            <w:vAlign w:val="center"/>
          </w:tcPr>
          <w:p w14:paraId="15044EE9" w14:textId="77777777" w:rsidR="00412E11" w:rsidRPr="00EC49A8" w:rsidRDefault="00412E11" w:rsidP="000C5C29">
            <w:pPr>
              <w:jc w:val="center"/>
              <w:rPr>
                <w:noProof/>
                <w:sz w:val="18"/>
                <w:szCs w:val="18"/>
              </w:rPr>
            </w:pPr>
            <w:r w:rsidRPr="00EC49A8">
              <w:rPr>
                <w:noProof/>
                <w:sz w:val="18"/>
              </w:rPr>
              <w:t>Costo</w:t>
            </w:r>
          </w:p>
        </w:tc>
        <w:tc>
          <w:tcPr>
            <w:tcW w:w="432" w:type="dxa"/>
            <w:tcBorders>
              <w:right w:val="dashSmallGap" w:sz="4" w:space="0" w:color="auto"/>
            </w:tcBorders>
            <w:shd w:val="pct10" w:color="auto" w:fill="auto"/>
            <w:textDirection w:val="btLr"/>
            <w:vAlign w:val="center"/>
          </w:tcPr>
          <w:p w14:paraId="61540C05" w14:textId="77777777" w:rsidR="00412E11" w:rsidRPr="00EC49A8" w:rsidRDefault="00412E11" w:rsidP="000C5C29">
            <w:pPr>
              <w:ind w:left="113" w:right="113"/>
              <w:jc w:val="center"/>
              <w:rPr>
                <w:noProof/>
                <w:sz w:val="18"/>
                <w:szCs w:val="18"/>
              </w:rPr>
            </w:pPr>
            <w:r w:rsidRPr="00EC49A8">
              <w:rPr>
                <w:noProof/>
                <w:sz w:val="18"/>
              </w:rPr>
              <w:t>N.</w:t>
            </w:r>
          </w:p>
        </w:tc>
        <w:tc>
          <w:tcPr>
            <w:tcW w:w="720" w:type="dxa"/>
            <w:tcBorders>
              <w:left w:val="dashSmallGap" w:sz="4" w:space="0" w:color="auto"/>
            </w:tcBorders>
            <w:shd w:val="pct10" w:color="auto" w:fill="auto"/>
            <w:vAlign w:val="center"/>
          </w:tcPr>
          <w:p w14:paraId="705E11AD" w14:textId="77777777" w:rsidR="00412E11" w:rsidRPr="00EC49A8" w:rsidRDefault="00412E11" w:rsidP="000C5C29">
            <w:pPr>
              <w:jc w:val="center"/>
              <w:rPr>
                <w:noProof/>
                <w:sz w:val="18"/>
                <w:szCs w:val="18"/>
              </w:rPr>
            </w:pPr>
            <w:r w:rsidRPr="00EC49A8">
              <w:rPr>
                <w:noProof/>
                <w:sz w:val="18"/>
              </w:rPr>
              <w:t>Costo</w:t>
            </w:r>
          </w:p>
        </w:tc>
        <w:tc>
          <w:tcPr>
            <w:tcW w:w="540" w:type="dxa"/>
            <w:tcBorders>
              <w:right w:val="dashSmallGap" w:sz="4" w:space="0" w:color="auto"/>
            </w:tcBorders>
            <w:shd w:val="pct10" w:color="auto" w:fill="auto"/>
            <w:textDirection w:val="btLr"/>
            <w:vAlign w:val="center"/>
          </w:tcPr>
          <w:p w14:paraId="63D90F55" w14:textId="77777777" w:rsidR="00412E11" w:rsidRPr="00EC49A8" w:rsidRDefault="00412E11" w:rsidP="000C5C29">
            <w:pPr>
              <w:ind w:left="113" w:right="113"/>
              <w:jc w:val="center"/>
              <w:rPr>
                <w:noProof/>
                <w:sz w:val="18"/>
                <w:szCs w:val="18"/>
              </w:rPr>
            </w:pPr>
            <w:r w:rsidRPr="00EC49A8">
              <w:rPr>
                <w:noProof/>
                <w:sz w:val="18"/>
              </w:rPr>
              <w:t>N.</w:t>
            </w:r>
          </w:p>
        </w:tc>
        <w:tc>
          <w:tcPr>
            <w:tcW w:w="720" w:type="dxa"/>
            <w:tcBorders>
              <w:left w:val="dashSmallGap" w:sz="4" w:space="0" w:color="auto"/>
            </w:tcBorders>
            <w:shd w:val="pct10" w:color="auto" w:fill="auto"/>
            <w:vAlign w:val="center"/>
          </w:tcPr>
          <w:p w14:paraId="192E28E4" w14:textId="77777777" w:rsidR="00412E11" w:rsidRPr="00EC49A8" w:rsidRDefault="00412E11" w:rsidP="000C5C29">
            <w:pPr>
              <w:jc w:val="center"/>
              <w:rPr>
                <w:noProof/>
                <w:sz w:val="18"/>
                <w:szCs w:val="18"/>
              </w:rPr>
            </w:pPr>
            <w:r w:rsidRPr="00EC49A8">
              <w:rPr>
                <w:noProof/>
                <w:sz w:val="18"/>
              </w:rPr>
              <w:t>Costo</w:t>
            </w:r>
          </w:p>
        </w:tc>
        <w:tc>
          <w:tcPr>
            <w:tcW w:w="720" w:type="dxa"/>
            <w:tcBorders>
              <w:right w:val="dashSmallGap" w:sz="4" w:space="0" w:color="auto"/>
            </w:tcBorders>
            <w:shd w:val="pct10" w:color="auto" w:fill="auto"/>
            <w:vAlign w:val="center"/>
          </w:tcPr>
          <w:p w14:paraId="1AE373B8" w14:textId="77777777" w:rsidR="00412E11" w:rsidRPr="00EC49A8" w:rsidRDefault="00412E11" w:rsidP="000C5C29">
            <w:pPr>
              <w:jc w:val="center"/>
              <w:rPr>
                <w:noProof/>
                <w:sz w:val="18"/>
                <w:szCs w:val="18"/>
              </w:rPr>
            </w:pPr>
            <w:r w:rsidRPr="00EC49A8">
              <w:rPr>
                <w:noProof/>
                <w:sz w:val="18"/>
              </w:rPr>
              <w:t>N. totale</w:t>
            </w:r>
          </w:p>
        </w:tc>
        <w:tc>
          <w:tcPr>
            <w:tcW w:w="900" w:type="dxa"/>
            <w:tcBorders>
              <w:left w:val="dashSmallGap" w:sz="4" w:space="0" w:color="auto"/>
            </w:tcBorders>
            <w:shd w:val="pct10" w:color="auto" w:fill="auto"/>
            <w:vAlign w:val="center"/>
          </w:tcPr>
          <w:p w14:paraId="22DB18DC" w14:textId="77777777" w:rsidR="00412E11" w:rsidRPr="00EC49A8" w:rsidRDefault="00412E11" w:rsidP="000C5C29">
            <w:pPr>
              <w:jc w:val="center"/>
              <w:rPr>
                <w:noProof/>
                <w:sz w:val="18"/>
                <w:szCs w:val="18"/>
              </w:rPr>
            </w:pPr>
            <w:r w:rsidRPr="00EC49A8">
              <w:rPr>
                <w:noProof/>
                <w:sz w:val="18"/>
              </w:rPr>
              <w:t>Costo totale</w:t>
            </w:r>
          </w:p>
        </w:tc>
      </w:tr>
      <w:tr w:rsidR="00E254F3" w:rsidRPr="00EC49A8" w14:paraId="3AC4D0A3" w14:textId="77777777" w:rsidTr="000C5C29">
        <w:trPr>
          <w:jc w:val="center"/>
        </w:trPr>
        <w:tc>
          <w:tcPr>
            <w:tcW w:w="2844" w:type="dxa"/>
            <w:gridSpan w:val="3"/>
            <w:vAlign w:val="center"/>
          </w:tcPr>
          <w:p w14:paraId="4D313F6B" w14:textId="77777777" w:rsidR="00412E11" w:rsidRPr="00EC49A8" w:rsidRDefault="00412E11" w:rsidP="000C5C29">
            <w:pPr>
              <w:spacing w:before="60" w:after="60"/>
              <w:ind w:right="-29"/>
              <w:jc w:val="center"/>
              <w:rPr>
                <w:noProof/>
                <w:sz w:val="18"/>
                <w:szCs w:val="18"/>
              </w:rPr>
            </w:pPr>
            <w:r w:rsidRPr="00EC49A8">
              <w:rPr>
                <w:noProof/>
                <w:sz w:val="18"/>
              </w:rPr>
              <w:t xml:space="preserve">OBIETTIVO SPECIFICO </w:t>
            </w:r>
            <w:r w:rsidRPr="00B17672">
              <w:rPr>
                <w:noProof/>
                <w:sz w:val="18"/>
              </w:rPr>
              <w:t>1</w:t>
            </w:r>
            <w:r w:rsidRPr="00EC49A8">
              <w:rPr>
                <w:rStyle w:val="FootnoteReference"/>
                <w:noProof/>
                <w:sz w:val="18"/>
              </w:rPr>
              <w:footnoteReference w:id="22"/>
            </w:r>
            <w:r w:rsidRPr="00EC49A8">
              <w:rPr>
                <w:noProof/>
                <w:sz w:val="18"/>
              </w:rPr>
              <w:t>…</w:t>
            </w:r>
          </w:p>
        </w:tc>
        <w:tc>
          <w:tcPr>
            <w:tcW w:w="504" w:type="dxa"/>
            <w:tcBorders>
              <w:top w:val="nil"/>
              <w:left w:val="nil"/>
              <w:bottom w:val="nil"/>
              <w:right w:val="nil"/>
            </w:tcBorders>
          </w:tcPr>
          <w:p w14:paraId="755ACD6D"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787BB78"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6D2FC195"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5C226CE9"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2FB9032F"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7BBE210" w14:textId="77777777" w:rsidR="00412E11" w:rsidRPr="00EC49A8"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2DDC5E4C" w14:textId="77777777" w:rsidR="00412E11" w:rsidRPr="00EC49A8" w:rsidRDefault="00412E11" w:rsidP="000C5C29">
            <w:pPr>
              <w:spacing w:before="60" w:after="60"/>
              <w:ind w:right="-29"/>
              <w:jc w:val="center"/>
              <w:rPr>
                <w:noProof/>
                <w:sz w:val="18"/>
                <w:szCs w:val="18"/>
              </w:rPr>
            </w:pPr>
          </w:p>
        </w:tc>
        <w:tc>
          <w:tcPr>
            <w:tcW w:w="720" w:type="dxa"/>
            <w:gridSpan w:val="2"/>
            <w:tcBorders>
              <w:top w:val="nil"/>
              <w:left w:val="nil"/>
              <w:bottom w:val="nil"/>
              <w:right w:val="nil"/>
            </w:tcBorders>
          </w:tcPr>
          <w:p w14:paraId="7A1A6552"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61ADE137" w14:textId="77777777" w:rsidR="00412E11" w:rsidRPr="00EC49A8" w:rsidRDefault="00412E11" w:rsidP="000C5C29">
            <w:pPr>
              <w:spacing w:before="60" w:after="60"/>
              <w:ind w:right="-29"/>
              <w:jc w:val="center"/>
              <w:rPr>
                <w:noProof/>
                <w:sz w:val="18"/>
                <w:szCs w:val="18"/>
              </w:rPr>
            </w:pPr>
          </w:p>
        </w:tc>
        <w:tc>
          <w:tcPr>
            <w:tcW w:w="648" w:type="dxa"/>
            <w:tcBorders>
              <w:top w:val="nil"/>
              <w:left w:val="nil"/>
              <w:bottom w:val="nil"/>
              <w:right w:val="nil"/>
            </w:tcBorders>
          </w:tcPr>
          <w:p w14:paraId="66A5E082" w14:textId="77777777" w:rsidR="00412E11" w:rsidRPr="00EC49A8" w:rsidRDefault="00412E11" w:rsidP="000C5C29">
            <w:pPr>
              <w:spacing w:before="60" w:after="60"/>
              <w:ind w:right="-29"/>
              <w:jc w:val="center"/>
              <w:rPr>
                <w:noProof/>
                <w:sz w:val="18"/>
                <w:szCs w:val="18"/>
              </w:rPr>
            </w:pPr>
          </w:p>
        </w:tc>
        <w:tc>
          <w:tcPr>
            <w:tcW w:w="432" w:type="dxa"/>
            <w:tcBorders>
              <w:top w:val="nil"/>
              <w:left w:val="nil"/>
              <w:bottom w:val="nil"/>
              <w:right w:val="nil"/>
            </w:tcBorders>
          </w:tcPr>
          <w:p w14:paraId="04A2B9CA"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71BE36B3"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29455356"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39AC9B4"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4438F8D3" w14:textId="77777777" w:rsidR="00412E11" w:rsidRPr="00EC49A8"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58AE88D9" w14:textId="77777777" w:rsidR="00412E11" w:rsidRPr="00EC49A8" w:rsidRDefault="00412E11" w:rsidP="000C5C29">
            <w:pPr>
              <w:spacing w:before="60" w:after="60"/>
              <w:ind w:right="-29"/>
              <w:jc w:val="center"/>
              <w:rPr>
                <w:noProof/>
                <w:sz w:val="18"/>
                <w:szCs w:val="18"/>
              </w:rPr>
            </w:pPr>
          </w:p>
        </w:tc>
      </w:tr>
      <w:tr w:rsidR="00E254F3" w:rsidRPr="00EC49A8" w14:paraId="54DCACCE" w14:textId="77777777" w:rsidTr="000C5C29">
        <w:trPr>
          <w:trHeight w:hRule="exact" w:val="369"/>
          <w:jc w:val="center"/>
        </w:trPr>
        <w:tc>
          <w:tcPr>
            <w:tcW w:w="1423" w:type="dxa"/>
          </w:tcPr>
          <w:p w14:paraId="2B84D4F5" w14:textId="77777777" w:rsidR="00412E11" w:rsidRPr="00EC49A8" w:rsidRDefault="00412E11" w:rsidP="000C5C29">
            <w:pPr>
              <w:ind w:right="-29"/>
              <w:jc w:val="center"/>
              <w:rPr>
                <w:noProof/>
                <w:sz w:val="18"/>
                <w:szCs w:val="18"/>
              </w:rPr>
            </w:pPr>
            <w:r w:rsidRPr="00EC49A8">
              <w:rPr>
                <w:noProof/>
                <w:sz w:val="18"/>
              </w:rPr>
              <w:t>- Risultato</w:t>
            </w:r>
          </w:p>
        </w:tc>
        <w:tc>
          <w:tcPr>
            <w:tcW w:w="720" w:type="dxa"/>
          </w:tcPr>
          <w:p w14:paraId="21EA8962" w14:textId="77777777" w:rsidR="00412E11" w:rsidRPr="00EC49A8" w:rsidRDefault="00412E11" w:rsidP="000C5C29">
            <w:pPr>
              <w:ind w:right="-29"/>
              <w:jc w:val="center"/>
              <w:rPr>
                <w:noProof/>
                <w:sz w:val="18"/>
                <w:szCs w:val="18"/>
              </w:rPr>
            </w:pPr>
          </w:p>
        </w:tc>
        <w:tc>
          <w:tcPr>
            <w:tcW w:w="701" w:type="dxa"/>
          </w:tcPr>
          <w:p w14:paraId="3DA527EE" w14:textId="77777777" w:rsidR="00412E11" w:rsidRPr="00EC49A8" w:rsidRDefault="00412E11" w:rsidP="000C5C29">
            <w:pPr>
              <w:ind w:right="-29"/>
              <w:jc w:val="center"/>
              <w:rPr>
                <w:noProof/>
                <w:sz w:val="18"/>
                <w:szCs w:val="18"/>
              </w:rPr>
            </w:pPr>
          </w:p>
        </w:tc>
        <w:tc>
          <w:tcPr>
            <w:tcW w:w="504" w:type="dxa"/>
            <w:tcBorders>
              <w:right w:val="dashSmallGap" w:sz="4" w:space="0" w:color="auto"/>
            </w:tcBorders>
          </w:tcPr>
          <w:p w14:paraId="03F99933"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1976F4CC"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039A0397"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4688644A" w14:textId="77777777" w:rsidR="00412E11" w:rsidRPr="00EC49A8" w:rsidRDefault="00412E11" w:rsidP="000C5C29">
            <w:pPr>
              <w:ind w:right="-29"/>
              <w:jc w:val="center"/>
              <w:rPr>
                <w:noProof/>
                <w:sz w:val="18"/>
                <w:szCs w:val="18"/>
              </w:rPr>
            </w:pPr>
          </w:p>
        </w:tc>
        <w:tc>
          <w:tcPr>
            <w:tcW w:w="720" w:type="dxa"/>
            <w:tcBorders>
              <w:right w:val="dashSmallGap" w:sz="4" w:space="0" w:color="auto"/>
            </w:tcBorders>
          </w:tcPr>
          <w:p w14:paraId="797C39B4"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2DBEB1E4" w14:textId="77777777" w:rsidR="00412E11" w:rsidRPr="00EC49A8" w:rsidRDefault="00412E11" w:rsidP="000C5C29">
            <w:pPr>
              <w:ind w:right="-29"/>
              <w:jc w:val="center"/>
              <w:rPr>
                <w:noProof/>
                <w:sz w:val="18"/>
                <w:szCs w:val="18"/>
              </w:rPr>
            </w:pPr>
          </w:p>
        </w:tc>
        <w:tc>
          <w:tcPr>
            <w:tcW w:w="900" w:type="dxa"/>
            <w:tcBorders>
              <w:right w:val="dashSmallGap" w:sz="4" w:space="0" w:color="auto"/>
            </w:tcBorders>
          </w:tcPr>
          <w:p w14:paraId="07BB4947" w14:textId="77777777" w:rsidR="00412E11" w:rsidRPr="00EC49A8" w:rsidRDefault="00412E11" w:rsidP="000C5C29">
            <w:pPr>
              <w:ind w:right="-29"/>
              <w:jc w:val="center"/>
              <w:rPr>
                <w:noProof/>
                <w:sz w:val="18"/>
                <w:szCs w:val="18"/>
              </w:rPr>
            </w:pPr>
          </w:p>
        </w:tc>
        <w:tc>
          <w:tcPr>
            <w:tcW w:w="720" w:type="dxa"/>
            <w:gridSpan w:val="2"/>
            <w:tcBorders>
              <w:left w:val="dashSmallGap" w:sz="4" w:space="0" w:color="auto"/>
            </w:tcBorders>
          </w:tcPr>
          <w:p w14:paraId="36F6ED47"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39F99762" w14:textId="77777777" w:rsidR="00412E11" w:rsidRPr="00EC49A8" w:rsidRDefault="00412E11" w:rsidP="000C5C29">
            <w:pPr>
              <w:ind w:right="-29"/>
              <w:jc w:val="center"/>
              <w:rPr>
                <w:noProof/>
                <w:sz w:val="18"/>
                <w:szCs w:val="18"/>
              </w:rPr>
            </w:pPr>
          </w:p>
        </w:tc>
        <w:tc>
          <w:tcPr>
            <w:tcW w:w="648" w:type="dxa"/>
            <w:tcBorders>
              <w:left w:val="dashSmallGap" w:sz="4" w:space="0" w:color="auto"/>
            </w:tcBorders>
          </w:tcPr>
          <w:p w14:paraId="3731553B" w14:textId="77777777" w:rsidR="00412E11" w:rsidRPr="00EC49A8" w:rsidRDefault="00412E11" w:rsidP="000C5C29">
            <w:pPr>
              <w:ind w:right="-29"/>
              <w:jc w:val="center"/>
              <w:rPr>
                <w:noProof/>
                <w:sz w:val="18"/>
                <w:szCs w:val="18"/>
              </w:rPr>
            </w:pPr>
          </w:p>
        </w:tc>
        <w:tc>
          <w:tcPr>
            <w:tcW w:w="432" w:type="dxa"/>
            <w:tcBorders>
              <w:right w:val="dashSmallGap" w:sz="4" w:space="0" w:color="auto"/>
            </w:tcBorders>
          </w:tcPr>
          <w:p w14:paraId="7A9F8EF9"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563CDECA"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783BE0CB"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2C2BBDCA" w14:textId="77777777" w:rsidR="00412E11" w:rsidRPr="00EC49A8" w:rsidRDefault="00412E11" w:rsidP="000C5C29">
            <w:pPr>
              <w:ind w:right="-29"/>
              <w:jc w:val="center"/>
              <w:rPr>
                <w:noProof/>
                <w:sz w:val="18"/>
                <w:szCs w:val="18"/>
              </w:rPr>
            </w:pPr>
          </w:p>
        </w:tc>
        <w:tc>
          <w:tcPr>
            <w:tcW w:w="720" w:type="dxa"/>
          </w:tcPr>
          <w:p w14:paraId="251CB38B" w14:textId="77777777" w:rsidR="00412E11" w:rsidRPr="00EC49A8" w:rsidRDefault="00412E11" w:rsidP="000C5C29">
            <w:pPr>
              <w:ind w:right="-29"/>
              <w:jc w:val="center"/>
              <w:rPr>
                <w:noProof/>
                <w:sz w:val="18"/>
                <w:szCs w:val="18"/>
              </w:rPr>
            </w:pPr>
          </w:p>
        </w:tc>
        <w:tc>
          <w:tcPr>
            <w:tcW w:w="900" w:type="dxa"/>
          </w:tcPr>
          <w:p w14:paraId="5920A812" w14:textId="77777777" w:rsidR="00412E11" w:rsidRPr="00EC49A8" w:rsidRDefault="00412E11" w:rsidP="000C5C29">
            <w:pPr>
              <w:ind w:right="-29"/>
              <w:jc w:val="center"/>
              <w:rPr>
                <w:noProof/>
                <w:sz w:val="18"/>
                <w:szCs w:val="18"/>
              </w:rPr>
            </w:pPr>
          </w:p>
        </w:tc>
      </w:tr>
      <w:tr w:rsidR="00E254F3" w:rsidRPr="00EC49A8" w14:paraId="59308661" w14:textId="77777777" w:rsidTr="000C5C29">
        <w:trPr>
          <w:trHeight w:hRule="exact" w:val="369"/>
          <w:jc w:val="center"/>
        </w:trPr>
        <w:tc>
          <w:tcPr>
            <w:tcW w:w="1423" w:type="dxa"/>
          </w:tcPr>
          <w:p w14:paraId="30DE34C0" w14:textId="77777777" w:rsidR="00412E11" w:rsidRPr="00EC49A8" w:rsidRDefault="00412E11" w:rsidP="000C5C29">
            <w:pPr>
              <w:ind w:right="-29"/>
              <w:jc w:val="center"/>
              <w:rPr>
                <w:noProof/>
                <w:sz w:val="18"/>
                <w:szCs w:val="18"/>
              </w:rPr>
            </w:pPr>
            <w:r w:rsidRPr="00EC49A8">
              <w:rPr>
                <w:noProof/>
                <w:sz w:val="18"/>
              </w:rPr>
              <w:t>- Risultato</w:t>
            </w:r>
          </w:p>
        </w:tc>
        <w:tc>
          <w:tcPr>
            <w:tcW w:w="720" w:type="dxa"/>
          </w:tcPr>
          <w:p w14:paraId="579A8264" w14:textId="77777777" w:rsidR="00412E11" w:rsidRPr="00EC49A8" w:rsidRDefault="00412E11" w:rsidP="000C5C29">
            <w:pPr>
              <w:ind w:right="-29"/>
              <w:jc w:val="center"/>
              <w:rPr>
                <w:noProof/>
                <w:sz w:val="18"/>
                <w:szCs w:val="18"/>
              </w:rPr>
            </w:pPr>
          </w:p>
        </w:tc>
        <w:tc>
          <w:tcPr>
            <w:tcW w:w="701" w:type="dxa"/>
          </w:tcPr>
          <w:p w14:paraId="5D890B98" w14:textId="77777777" w:rsidR="00412E11" w:rsidRPr="00EC49A8" w:rsidRDefault="00412E11" w:rsidP="000C5C29">
            <w:pPr>
              <w:ind w:right="-29"/>
              <w:jc w:val="center"/>
              <w:rPr>
                <w:noProof/>
                <w:sz w:val="18"/>
                <w:szCs w:val="18"/>
              </w:rPr>
            </w:pPr>
          </w:p>
        </w:tc>
        <w:tc>
          <w:tcPr>
            <w:tcW w:w="504" w:type="dxa"/>
            <w:tcBorders>
              <w:right w:val="dashSmallGap" w:sz="4" w:space="0" w:color="auto"/>
            </w:tcBorders>
          </w:tcPr>
          <w:p w14:paraId="6D8EBB2E"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17AFC24F"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4CBE0812"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31487D4C" w14:textId="77777777" w:rsidR="00412E11" w:rsidRPr="00EC49A8" w:rsidRDefault="00412E11" w:rsidP="000C5C29">
            <w:pPr>
              <w:ind w:right="-29"/>
              <w:jc w:val="center"/>
              <w:rPr>
                <w:noProof/>
                <w:sz w:val="18"/>
                <w:szCs w:val="18"/>
              </w:rPr>
            </w:pPr>
          </w:p>
        </w:tc>
        <w:tc>
          <w:tcPr>
            <w:tcW w:w="720" w:type="dxa"/>
            <w:tcBorders>
              <w:right w:val="dashSmallGap" w:sz="4" w:space="0" w:color="auto"/>
            </w:tcBorders>
          </w:tcPr>
          <w:p w14:paraId="44FB8F85"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01BDC307" w14:textId="77777777" w:rsidR="00412E11" w:rsidRPr="00EC49A8" w:rsidRDefault="00412E11" w:rsidP="000C5C29">
            <w:pPr>
              <w:ind w:right="-29"/>
              <w:jc w:val="center"/>
              <w:rPr>
                <w:noProof/>
                <w:sz w:val="18"/>
                <w:szCs w:val="18"/>
              </w:rPr>
            </w:pPr>
          </w:p>
        </w:tc>
        <w:tc>
          <w:tcPr>
            <w:tcW w:w="900" w:type="dxa"/>
            <w:tcBorders>
              <w:right w:val="dashSmallGap" w:sz="4" w:space="0" w:color="auto"/>
            </w:tcBorders>
          </w:tcPr>
          <w:p w14:paraId="67EF919F" w14:textId="77777777" w:rsidR="00412E11" w:rsidRPr="00EC49A8" w:rsidRDefault="00412E11" w:rsidP="000C5C29">
            <w:pPr>
              <w:ind w:right="-29"/>
              <w:jc w:val="center"/>
              <w:rPr>
                <w:noProof/>
                <w:sz w:val="18"/>
                <w:szCs w:val="18"/>
              </w:rPr>
            </w:pPr>
          </w:p>
        </w:tc>
        <w:tc>
          <w:tcPr>
            <w:tcW w:w="720" w:type="dxa"/>
            <w:gridSpan w:val="2"/>
            <w:tcBorders>
              <w:left w:val="dashSmallGap" w:sz="4" w:space="0" w:color="auto"/>
            </w:tcBorders>
          </w:tcPr>
          <w:p w14:paraId="6CB275CD"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155E1FAE" w14:textId="77777777" w:rsidR="00412E11" w:rsidRPr="00EC49A8" w:rsidRDefault="00412E11" w:rsidP="000C5C29">
            <w:pPr>
              <w:ind w:right="-29"/>
              <w:jc w:val="center"/>
              <w:rPr>
                <w:noProof/>
                <w:sz w:val="18"/>
                <w:szCs w:val="18"/>
              </w:rPr>
            </w:pPr>
          </w:p>
        </w:tc>
        <w:tc>
          <w:tcPr>
            <w:tcW w:w="648" w:type="dxa"/>
            <w:tcBorders>
              <w:left w:val="dashSmallGap" w:sz="4" w:space="0" w:color="auto"/>
            </w:tcBorders>
          </w:tcPr>
          <w:p w14:paraId="56F20065" w14:textId="77777777" w:rsidR="00412E11" w:rsidRPr="00EC49A8" w:rsidRDefault="00412E11" w:rsidP="000C5C29">
            <w:pPr>
              <w:ind w:right="-29"/>
              <w:jc w:val="center"/>
              <w:rPr>
                <w:noProof/>
                <w:sz w:val="18"/>
                <w:szCs w:val="18"/>
              </w:rPr>
            </w:pPr>
          </w:p>
        </w:tc>
        <w:tc>
          <w:tcPr>
            <w:tcW w:w="432" w:type="dxa"/>
            <w:tcBorders>
              <w:right w:val="dashSmallGap" w:sz="4" w:space="0" w:color="auto"/>
            </w:tcBorders>
          </w:tcPr>
          <w:p w14:paraId="1D0606A6"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0B39CD9F" w14:textId="77777777" w:rsidR="00412E11" w:rsidRPr="00EC49A8" w:rsidRDefault="00412E11" w:rsidP="000C5C29">
            <w:pPr>
              <w:ind w:right="-29"/>
              <w:jc w:val="center"/>
              <w:rPr>
                <w:noProof/>
                <w:sz w:val="18"/>
                <w:szCs w:val="18"/>
              </w:rPr>
            </w:pPr>
          </w:p>
        </w:tc>
        <w:tc>
          <w:tcPr>
            <w:tcW w:w="540" w:type="dxa"/>
            <w:tcBorders>
              <w:right w:val="dashSmallGap" w:sz="4" w:space="0" w:color="auto"/>
            </w:tcBorders>
          </w:tcPr>
          <w:p w14:paraId="439212E5" w14:textId="77777777" w:rsidR="00412E11" w:rsidRPr="00EC49A8" w:rsidRDefault="00412E11" w:rsidP="000C5C29">
            <w:pPr>
              <w:ind w:right="-29"/>
              <w:jc w:val="center"/>
              <w:rPr>
                <w:noProof/>
                <w:sz w:val="18"/>
                <w:szCs w:val="18"/>
              </w:rPr>
            </w:pPr>
          </w:p>
        </w:tc>
        <w:tc>
          <w:tcPr>
            <w:tcW w:w="720" w:type="dxa"/>
            <w:tcBorders>
              <w:left w:val="dashSmallGap" w:sz="4" w:space="0" w:color="auto"/>
            </w:tcBorders>
          </w:tcPr>
          <w:p w14:paraId="55EBB5A1" w14:textId="77777777" w:rsidR="00412E11" w:rsidRPr="00EC49A8" w:rsidRDefault="00412E11" w:rsidP="000C5C29">
            <w:pPr>
              <w:ind w:right="-29"/>
              <w:jc w:val="center"/>
              <w:rPr>
                <w:noProof/>
                <w:sz w:val="18"/>
                <w:szCs w:val="18"/>
              </w:rPr>
            </w:pPr>
          </w:p>
        </w:tc>
        <w:tc>
          <w:tcPr>
            <w:tcW w:w="720" w:type="dxa"/>
          </w:tcPr>
          <w:p w14:paraId="4EA3C48B" w14:textId="77777777" w:rsidR="00412E11" w:rsidRPr="00EC49A8" w:rsidRDefault="00412E11" w:rsidP="000C5C29">
            <w:pPr>
              <w:ind w:right="-29"/>
              <w:jc w:val="center"/>
              <w:rPr>
                <w:noProof/>
                <w:sz w:val="18"/>
                <w:szCs w:val="18"/>
              </w:rPr>
            </w:pPr>
          </w:p>
        </w:tc>
        <w:tc>
          <w:tcPr>
            <w:tcW w:w="900" w:type="dxa"/>
          </w:tcPr>
          <w:p w14:paraId="7BB7E747" w14:textId="77777777" w:rsidR="00412E11" w:rsidRPr="00EC49A8" w:rsidRDefault="00412E11" w:rsidP="000C5C29">
            <w:pPr>
              <w:ind w:right="-29"/>
              <w:jc w:val="center"/>
              <w:rPr>
                <w:noProof/>
                <w:sz w:val="18"/>
                <w:szCs w:val="18"/>
              </w:rPr>
            </w:pPr>
          </w:p>
        </w:tc>
      </w:tr>
      <w:tr w:rsidR="00E254F3" w:rsidRPr="00EC49A8" w14:paraId="6636E06F" w14:textId="77777777" w:rsidTr="000C5C29">
        <w:trPr>
          <w:trHeight w:hRule="exact" w:val="369"/>
          <w:jc w:val="center"/>
        </w:trPr>
        <w:tc>
          <w:tcPr>
            <w:tcW w:w="1423" w:type="dxa"/>
          </w:tcPr>
          <w:p w14:paraId="35A00D2F" w14:textId="77777777" w:rsidR="00412E11" w:rsidRPr="00EC49A8" w:rsidRDefault="00412E11" w:rsidP="000C5C29">
            <w:pPr>
              <w:ind w:right="-29"/>
              <w:jc w:val="center"/>
              <w:rPr>
                <w:noProof/>
                <w:sz w:val="18"/>
                <w:szCs w:val="18"/>
              </w:rPr>
            </w:pPr>
            <w:r w:rsidRPr="00EC49A8">
              <w:rPr>
                <w:noProof/>
                <w:sz w:val="18"/>
              </w:rPr>
              <w:t>- Risultato</w:t>
            </w:r>
          </w:p>
        </w:tc>
        <w:tc>
          <w:tcPr>
            <w:tcW w:w="720" w:type="dxa"/>
          </w:tcPr>
          <w:p w14:paraId="582684A9" w14:textId="77777777" w:rsidR="00412E11" w:rsidRPr="00EC49A8" w:rsidRDefault="00412E11" w:rsidP="000C5C29">
            <w:pPr>
              <w:ind w:right="-29"/>
              <w:jc w:val="center"/>
              <w:rPr>
                <w:noProof/>
                <w:sz w:val="18"/>
                <w:szCs w:val="18"/>
              </w:rPr>
            </w:pPr>
          </w:p>
        </w:tc>
        <w:tc>
          <w:tcPr>
            <w:tcW w:w="701" w:type="dxa"/>
          </w:tcPr>
          <w:p w14:paraId="58BC3743" w14:textId="77777777" w:rsidR="00412E11" w:rsidRPr="00EC49A8" w:rsidRDefault="00412E11" w:rsidP="000C5C29">
            <w:pPr>
              <w:ind w:right="-29"/>
              <w:jc w:val="center"/>
              <w:rPr>
                <w:noProof/>
                <w:sz w:val="18"/>
                <w:szCs w:val="18"/>
              </w:rPr>
            </w:pPr>
          </w:p>
        </w:tc>
        <w:tc>
          <w:tcPr>
            <w:tcW w:w="504" w:type="dxa"/>
          </w:tcPr>
          <w:p w14:paraId="47A0E672" w14:textId="77777777" w:rsidR="00412E11" w:rsidRPr="00EC49A8" w:rsidRDefault="00412E11" w:rsidP="000C5C29">
            <w:pPr>
              <w:ind w:right="-29"/>
              <w:jc w:val="center"/>
              <w:rPr>
                <w:noProof/>
                <w:sz w:val="18"/>
                <w:szCs w:val="18"/>
              </w:rPr>
            </w:pPr>
          </w:p>
        </w:tc>
        <w:tc>
          <w:tcPr>
            <w:tcW w:w="720" w:type="dxa"/>
          </w:tcPr>
          <w:p w14:paraId="02B58CD8" w14:textId="77777777" w:rsidR="00412E11" w:rsidRPr="00EC49A8" w:rsidRDefault="00412E11" w:rsidP="000C5C29">
            <w:pPr>
              <w:ind w:right="-29"/>
              <w:jc w:val="center"/>
              <w:rPr>
                <w:noProof/>
                <w:sz w:val="18"/>
                <w:szCs w:val="18"/>
              </w:rPr>
            </w:pPr>
          </w:p>
        </w:tc>
        <w:tc>
          <w:tcPr>
            <w:tcW w:w="540" w:type="dxa"/>
          </w:tcPr>
          <w:p w14:paraId="09E8DD64" w14:textId="77777777" w:rsidR="00412E11" w:rsidRPr="00EC49A8" w:rsidRDefault="00412E11" w:rsidP="000C5C29">
            <w:pPr>
              <w:ind w:right="-29"/>
              <w:jc w:val="center"/>
              <w:rPr>
                <w:noProof/>
                <w:sz w:val="18"/>
                <w:szCs w:val="18"/>
              </w:rPr>
            </w:pPr>
          </w:p>
        </w:tc>
        <w:tc>
          <w:tcPr>
            <w:tcW w:w="720" w:type="dxa"/>
          </w:tcPr>
          <w:p w14:paraId="4581EB2B" w14:textId="77777777" w:rsidR="00412E11" w:rsidRPr="00EC49A8" w:rsidRDefault="00412E11" w:rsidP="000C5C29">
            <w:pPr>
              <w:ind w:right="-29"/>
              <w:jc w:val="center"/>
              <w:rPr>
                <w:noProof/>
                <w:sz w:val="18"/>
                <w:szCs w:val="18"/>
              </w:rPr>
            </w:pPr>
          </w:p>
        </w:tc>
        <w:tc>
          <w:tcPr>
            <w:tcW w:w="720" w:type="dxa"/>
          </w:tcPr>
          <w:p w14:paraId="2427B70A" w14:textId="77777777" w:rsidR="00412E11" w:rsidRPr="00EC49A8" w:rsidRDefault="00412E11" w:rsidP="000C5C29">
            <w:pPr>
              <w:ind w:right="-29"/>
              <w:jc w:val="center"/>
              <w:rPr>
                <w:noProof/>
                <w:sz w:val="18"/>
                <w:szCs w:val="18"/>
              </w:rPr>
            </w:pPr>
          </w:p>
        </w:tc>
        <w:tc>
          <w:tcPr>
            <w:tcW w:w="720" w:type="dxa"/>
          </w:tcPr>
          <w:p w14:paraId="22A5D0CD" w14:textId="77777777" w:rsidR="00412E11" w:rsidRPr="00EC49A8" w:rsidRDefault="00412E11" w:rsidP="000C5C29">
            <w:pPr>
              <w:ind w:right="-29"/>
              <w:jc w:val="center"/>
              <w:rPr>
                <w:noProof/>
                <w:sz w:val="18"/>
                <w:szCs w:val="18"/>
              </w:rPr>
            </w:pPr>
          </w:p>
        </w:tc>
        <w:tc>
          <w:tcPr>
            <w:tcW w:w="900" w:type="dxa"/>
          </w:tcPr>
          <w:p w14:paraId="4E481DF7" w14:textId="77777777" w:rsidR="00412E11" w:rsidRPr="00EC49A8" w:rsidRDefault="00412E11" w:rsidP="000C5C29">
            <w:pPr>
              <w:ind w:right="-29"/>
              <w:jc w:val="center"/>
              <w:rPr>
                <w:noProof/>
                <w:sz w:val="18"/>
                <w:szCs w:val="18"/>
              </w:rPr>
            </w:pPr>
          </w:p>
        </w:tc>
        <w:tc>
          <w:tcPr>
            <w:tcW w:w="720" w:type="dxa"/>
            <w:gridSpan w:val="2"/>
          </w:tcPr>
          <w:p w14:paraId="3FB2703C" w14:textId="77777777" w:rsidR="00412E11" w:rsidRPr="00EC49A8" w:rsidRDefault="00412E11" w:rsidP="000C5C29">
            <w:pPr>
              <w:ind w:right="-29"/>
              <w:jc w:val="center"/>
              <w:rPr>
                <w:noProof/>
                <w:sz w:val="18"/>
                <w:szCs w:val="18"/>
              </w:rPr>
            </w:pPr>
          </w:p>
        </w:tc>
        <w:tc>
          <w:tcPr>
            <w:tcW w:w="540" w:type="dxa"/>
          </w:tcPr>
          <w:p w14:paraId="3B889007" w14:textId="77777777" w:rsidR="00412E11" w:rsidRPr="00EC49A8" w:rsidRDefault="00412E11" w:rsidP="000C5C29">
            <w:pPr>
              <w:ind w:right="-29"/>
              <w:jc w:val="center"/>
              <w:rPr>
                <w:noProof/>
                <w:sz w:val="18"/>
                <w:szCs w:val="18"/>
              </w:rPr>
            </w:pPr>
          </w:p>
        </w:tc>
        <w:tc>
          <w:tcPr>
            <w:tcW w:w="648" w:type="dxa"/>
          </w:tcPr>
          <w:p w14:paraId="010A3B68" w14:textId="77777777" w:rsidR="00412E11" w:rsidRPr="00EC49A8" w:rsidRDefault="00412E11" w:rsidP="000C5C29">
            <w:pPr>
              <w:ind w:right="-29"/>
              <w:jc w:val="center"/>
              <w:rPr>
                <w:noProof/>
                <w:sz w:val="18"/>
                <w:szCs w:val="18"/>
              </w:rPr>
            </w:pPr>
          </w:p>
        </w:tc>
        <w:tc>
          <w:tcPr>
            <w:tcW w:w="432" w:type="dxa"/>
          </w:tcPr>
          <w:p w14:paraId="0095B69D" w14:textId="77777777" w:rsidR="00412E11" w:rsidRPr="00EC49A8" w:rsidRDefault="00412E11" w:rsidP="000C5C29">
            <w:pPr>
              <w:ind w:right="-29"/>
              <w:jc w:val="center"/>
              <w:rPr>
                <w:noProof/>
                <w:sz w:val="18"/>
                <w:szCs w:val="18"/>
              </w:rPr>
            </w:pPr>
          </w:p>
        </w:tc>
        <w:tc>
          <w:tcPr>
            <w:tcW w:w="720" w:type="dxa"/>
          </w:tcPr>
          <w:p w14:paraId="0A8B5080" w14:textId="77777777" w:rsidR="00412E11" w:rsidRPr="00EC49A8" w:rsidRDefault="00412E11" w:rsidP="000C5C29">
            <w:pPr>
              <w:ind w:right="-29"/>
              <w:jc w:val="center"/>
              <w:rPr>
                <w:noProof/>
                <w:sz w:val="18"/>
                <w:szCs w:val="18"/>
              </w:rPr>
            </w:pPr>
          </w:p>
        </w:tc>
        <w:tc>
          <w:tcPr>
            <w:tcW w:w="540" w:type="dxa"/>
          </w:tcPr>
          <w:p w14:paraId="1D9BE49A" w14:textId="77777777" w:rsidR="00412E11" w:rsidRPr="00EC49A8" w:rsidRDefault="00412E11" w:rsidP="000C5C29">
            <w:pPr>
              <w:ind w:right="-29"/>
              <w:jc w:val="center"/>
              <w:rPr>
                <w:noProof/>
                <w:sz w:val="18"/>
                <w:szCs w:val="18"/>
              </w:rPr>
            </w:pPr>
          </w:p>
        </w:tc>
        <w:tc>
          <w:tcPr>
            <w:tcW w:w="720" w:type="dxa"/>
          </w:tcPr>
          <w:p w14:paraId="009DA596" w14:textId="77777777" w:rsidR="00412E11" w:rsidRPr="00EC49A8" w:rsidRDefault="00412E11" w:rsidP="000C5C29">
            <w:pPr>
              <w:ind w:right="-29"/>
              <w:jc w:val="center"/>
              <w:rPr>
                <w:noProof/>
                <w:sz w:val="18"/>
                <w:szCs w:val="18"/>
              </w:rPr>
            </w:pPr>
          </w:p>
        </w:tc>
        <w:tc>
          <w:tcPr>
            <w:tcW w:w="720" w:type="dxa"/>
          </w:tcPr>
          <w:p w14:paraId="3AE62A5C" w14:textId="77777777" w:rsidR="00412E11" w:rsidRPr="00EC49A8" w:rsidRDefault="00412E11" w:rsidP="000C5C29">
            <w:pPr>
              <w:ind w:right="-29"/>
              <w:jc w:val="center"/>
              <w:rPr>
                <w:noProof/>
                <w:sz w:val="18"/>
                <w:szCs w:val="18"/>
              </w:rPr>
            </w:pPr>
          </w:p>
        </w:tc>
        <w:tc>
          <w:tcPr>
            <w:tcW w:w="900" w:type="dxa"/>
          </w:tcPr>
          <w:p w14:paraId="2AF3CE1C" w14:textId="77777777" w:rsidR="00412E11" w:rsidRPr="00EC49A8" w:rsidRDefault="00412E11" w:rsidP="000C5C29">
            <w:pPr>
              <w:ind w:right="-29"/>
              <w:jc w:val="center"/>
              <w:rPr>
                <w:noProof/>
                <w:sz w:val="18"/>
                <w:szCs w:val="18"/>
              </w:rPr>
            </w:pPr>
          </w:p>
        </w:tc>
      </w:tr>
      <w:tr w:rsidR="00E254F3" w:rsidRPr="00EC49A8" w14:paraId="032A45F2" w14:textId="77777777" w:rsidTr="000C5C29">
        <w:trPr>
          <w:trHeight w:val="77"/>
          <w:jc w:val="center"/>
        </w:trPr>
        <w:tc>
          <w:tcPr>
            <w:tcW w:w="2844" w:type="dxa"/>
            <w:gridSpan w:val="3"/>
            <w:tcBorders>
              <w:bottom w:val="single" w:sz="12" w:space="0" w:color="auto"/>
            </w:tcBorders>
            <w:vAlign w:val="center"/>
          </w:tcPr>
          <w:p w14:paraId="624D017A" w14:textId="77777777" w:rsidR="00412E11" w:rsidRPr="00EC49A8" w:rsidRDefault="00412E11" w:rsidP="000C5C29">
            <w:pPr>
              <w:ind w:right="-29"/>
              <w:jc w:val="center"/>
              <w:rPr>
                <w:noProof/>
                <w:sz w:val="18"/>
                <w:szCs w:val="18"/>
              </w:rPr>
            </w:pPr>
            <w:r w:rsidRPr="00EC49A8">
              <w:rPr>
                <w:noProof/>
                <w:sz w:val="18"/>
              </w:rPr>
              <w:t xml:space="preserve">Totale parziale obiettivo specifico </w:t>
            </w:r>
            <w:r w:rsidRPr="00B17672">
              <w:rPr>
                <w:noProof/>
                <w:sz w:val="18"/>
              </w:rPr>
              <w:t>1</w:t>
            </w:r>
          </w:p>
        </w:tc>
        <w:tc>
          <w:tcPr>
            <w:tcW w:w="504" w:type="dxa"/>
            <w:tcBorders>
              <w:bottom w:val="single" w:sz="12" w:space="0" w:color="auto"/>
            </w:tcBorders>
          </w:tcPr>
          <w:p w14:paraId="3F3E8887"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5D086966"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26C05D66"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3CCBE8BF"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75ACC74B"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00667545" w14:textId="77777777" w:rsidR="00412E11" w:rsidRPr="00EC49A8" w:rsidRDefault="00412E11" w:rsidP="000C5C29">
            <w:pPr>
              <w:ind w:right="-29"/>
              <w:jc w:val="center"/>
              <w:rPr>
                <w:noProof/>
                <w:sz w:val="18"/>
                <w:szCs w:val="18"/>
              </w:rPr>
            </w:pPr>
          </w:p>
        </w:tc>
        <w:tc>
          <w:tcPr>
            <w:tcW w:w="900" w:type="dxa"/>
            <w:tcBorders>
              <w:bottom w:val="single" w:sz="12" w:space="0" w:color="auto"/>
            </w:tcBorders>
          </w:tcPr>
          <w:p w14:paraId="75AD96A1" w14:textId="77777777" w:rsidR="00412E11" w:rsidRPr="00EC49A8" w:rsidRDefault="00412E11" w:rsidP="000C5C29">
            <w:pPr>
              <w:ind w:right="-29"/>
              <w:jc w:val="center"/>
              <w:rPr>
                <w:noProof/>
                <w:sz w:val="18"/>
                <w:szCs w:val="18"/>
              </w:rPr>
            </w:pPr>
          </w:p>
        </w:tc>
        <w:tc>
          <w:tcPr>
            <w:tcW w:w="720" w:type="dxa"/>
            <w:gridSpan w:val="2"/>
            <w:tcBorders>
              <w:bottom w:val="single" w:sz="12" w:space="0" w:color="auto"/>
            </w:tcBorders>
          </w:tcPr>
          <w:p w14:paraId="1F789208"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6F870236" w14:textId="77777777" w:rsidR="00412E11" w:rsidRPr="00EC49A8" w:rsidRDefault="00412E11" w:rsidP="000C5C29">
            <w:pPr>
              <w:ind w:right="-29"/>
              <w:jc w:val="center"/>
              <w:rPr>
                <w:noProof/>
                <w:sz w:val="18"/>
                <w:szCs w:val="18"/>
              </w:rPr>
            </w:pPr>
          </w:p>
        </w:tc>
        <w:tc>
          <w:tcPr>
            <w:tcW w:w="648" w:type="dxa"/>
            <w:tcBorders>
              <w:bottom w:val="single" w:sz="12" w:space="0" w:color="auto"/>
            </w:tcBorders>
          </w:tcPr>
          <w:p w14:paraId="296CD27F" w14:textId="77777777" w:rsidR="00412E11" w:rsidRPr="00EC49A8" w:rsidRDefault="00412E11" w:rsidP="000C5C29">
            <w:pPr>
              <w:ind w:right="-29"/>
              <w:jc w:val="center"/>
              <w:rPr>
                <w:noProof/>
                <w:sz w:val="18"/>
                <w:szCs w:val="18"/>
              </w:rPr>
            </w:pPr>
          </w:p>
        </w:tc>
        <w:tc>
          <w:tcPr>
            <w:tcW w:w="432" w:type="dxa"/>
            <w:tcBorders>
              <w:bottom w:val="single" w:sz="12" w:space="0" w:color="auto"/>
            </w:tcBorders>
          </w:tcPr>
          <w:p w14:paraId="4ED415CC"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39550DC6"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0EFE3688"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497EAB77"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1B84C694" w14:textId="77777777" w:rsidR="00412E11" w:rsidRPr="00EC49A8" w:rsidRDefault="00412E11" w:rsidP="000C5C29">
            <w:pPr>
              <w:ind w:right="-29"/>
              <w:jc w:val="center"/>
              <w:rPr>
                <w:noProof/>
                <w:sz w:val="18"/>
                <w:szCs w:val="18"/>
              </w:rPr>
            </w:pPr>
          </w:p>
        </w:tc>
        <w:tc>
          <w:tcPr>
            <w:tcW w:w="900" w:type="dxa"/>
            <w:tcBorders>
              <w:bottom w:val="single" w:sz="12" w:space="0" w:color="auto"/>
            </w:tcBorders>
          </w:tcPr>
          <w:p w14:paraId="4FC2E725" w14:textId="77777777" w:rsidR="00412E11" w:rsidRPr="00EC49A8" w:rsidRDefault="00412E11" w:rsidP="000C5C29">
            <w:pPr>
              <w:ind w:right="-29"/>
              <w:jc w:val="center"/>
              <w:rPr>
                <w:noProof/>
                <w:sz w:val="18"/>
                <w:szCs w:val="18"/>
              </w:rPr>
            </w:pPr>
          </w:p>
        </w:tc>
      </w:tr>
      <w:tr w:rsidR="00E254F3" w:rsidRPr="00EC49A8" w14:paraId="25BE3FBC" w14:textId="77777777" w:rsidTr="000C5C29">
        <w:trPr>
          <w:jc w:val="center"/>
        </w:trPr>
        <w:tc>
          <w:tcPr>
            <w:tcW w:w="2844" w:type="dxa"/>
            <w:gridSpan w:val="3"/>
            <w:vAlign w:val="center"/>
          </w:tcPr>
          <w:p w14:paraId="07C9FDAE" w14:textId="77777777" w:rsidR="00412E11" w:rsidRPr="00EC49A8" w:rsidRDefault="00412E11" w:rsidP="000C5C29">
            <w:pPr>
              <w:spacing w:before="60" w:after="60"/>
              <w:ind w:right="-29"/>
              <w:jc w:val="center"/>
              <w:rPr>
                <w:noProof/>
                <w:sz w:val="18"/>
                <w:szCs w:val="18"/>
              </w:rPr>
            </w:pPr>
            <w:r w:rsidRPr="00EC49A8">
              <w:rPr>
                <w:noProof/>
                <w:sz w:val="18"/>
              </w:rPr>
              <w:t xml:space="preserve">OBIETTIVO SPECIFICO </w:t>
            </w:r>
            <w:r w:rsidRPr="00B17672">
              <w:rPr>
                <w:noProof/>
                <w:sz w:val="18"/>
              </w:rPr>
              <w:t>2</w:t>
            </w:r>
            <w:r w:rsidRPr="00EC49A8">
              <w:rPr>
                <w:noProof/>
                <w:sz w:val="18"/>
              </w:rPr>
              <w:t xml:space="preserve"> ...</w:t>
            </w:r>
          </w:p>
        </w:tc>
        <w:tc>
          <w:tcPr>
            <w:tcW w:w="504" w:type="dxa"/>
            <w:tcBorders>
              <w:top w:val="nil"/>
              <w:left w:val="nil"/>
              <w:bottom w:val="nil"/>
              <w:right w:val="nil"/>
            </w:tcBorders>
          </w:tcPr>
          <w:p w14:paraId="6B15A87E"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8EDE805"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19EAD4EC"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0F711B0"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16E705F"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4D9A16A" w14:textId="77777777" w:rsidR="00412E11" w:rsidRPr="00EC49A8"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2C121C21" w14:textId="77777777" w:rsidR="00412E11" w:rsidRPr="00EC49A8" w:rsidRDefault="00412E11" w:rsidP="000C5C29">
            <w:pPr>
              <w:spacing w:before="60" w:after="60"/>
              <w:ind w:right="-29"/>
              <w:jc w:val="center"/>
              <w:rPr>
                <w:noProof/>
                <w:sz w:val="18"/>
                <w:szCs w:val="18"/>
              </w:rPr>
            </w:pPr>
          </w:p>
        </w:tc>
        <w:tc>
          <w:tcPr>
            <w:tcW w:w="720" w:type="dxa"/>
            <w:gridSpan w:val="2"/>
            <w:tcBorders>
              <w:top w:val="nil"/>
              <w:left w:val="nil"/>
              <w:bottom w:val="nil"/>
              <w:right w:val="nil"/>
            </w:tcBorders>
          </w:tcPr>
          <w:p w14:paraId="4DCDDAF0"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6D550589" w14:textId="77777777" w:rsidR="00412E11" w:rsidRPr="00EC49A8" w:rsidRDefault="00412E11" w:rsidP="000C5C29">
            <w:pPr>
              <w:spacing w:before="60" w:after="60"/>
              <w:ind w:right="-29"/>
              <w:jc w:val="center"/>
              <w:rPr>
                <w:noProof/>
                <w:sz w:val="18"/>
                <w:szCs w:val="18"/>
              </w:rPr>
            </w:pPr>
          </w:p>
        </w:tc>
        <w:tc>
          <w:tcPr>
            <w:tcW w:w="648" w:type="dxa"/>
            <w:tcBorders>
              <w:top w:val="nil"/>
              <w:left w:val="nil"/>
              <w:bottom w:val="nil"/>
              <w:right w:val="nil"/>
            </w:tcBorders>
          </w:tcPr>
          <w:p w14:paraId="71C240EB" w14:textId="77777777" w:rsidR="00412E11" w:rsidRPr="00EC49A8" w:rsidRDefault="00412E11" w:rsidP="000C5C29">
            <w:pPr>
              <w:spacing w:before="60" w:after="60"/>
              <w:ind w:right="-29"/>
              <w:jc w:val="center"/>
              <w:rPr>
                <w:noProof/>
                <w:sz w:val="18"/>
                <w:szCs w:val="18"/>
              </w:rPr>
            </w:pPr>
          </w:p>
        </w:tc>
        <w:tc>
          <w:tcPr>
            <w:tcW w:w="432" w:type="dxa"/>
            <w:tcBorders>
              <w:top w:val="nil"/>
              <w:left w:val="nil"/>
              <w:bottom w:val="nil"/>
              <w:right w:val="nil"/>
            </w:tcBorders>
          </w:tcPr>
          <w:p w14:paraId="444163CB"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1B9E364B" w14:textId="77777777" w:rsidR="00412E11" w:rsidRPr="00EC49A8"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1F95A308"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4A9C1DD5" w14:textId="77777777" w:rsidR="00412E11" w:rsidRPr="00EC49A8"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231497F" w14:textId="77777777" w:rsidR="00412E11" w:rsidRPr="00EC49A8"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17DD742A" w14:textId="77777777" w:rsidR="00412E11" w:rsidRPr="00EC49A8" w:rsidRDefault="00412E11" w:rsidP="000C5C29">
            <w:pPr>
              <w:spacing w:before="60" w:after="60"/>
              <w:ind w:right="-29"/>
              <w:jc w:val="center"/>
              <w:rPr>
                <w:noProof/>
                <w:sz w:val="18"/>
                <w:szCs w:val="18"/>
              </w:rPr>
            </w:pPr>
          </w:p>
        </w:tc>
      </w:tr>
      <w:tr w:rsidR="00E254F3" w:rsidRPr="00EC49A8" w14:paraId="04E0BB86" w14:textId="77777777" w:rsidTr="000C5C29">
        <w:trPr>
          <w:trHeight w:hRule="exact" w:val="369"/>
          <w:jc w:val="center"/>
        </w:trPr>
        <w:tc>
          <w:tcPr>
            <w:tcW w:w="1423" w:type="dxa"/>
          </w:tcPr>
          <w:p w14:paraId="0E9FC5EC" w14:textId="77777777" w:rsidR="00412E11" w:rsidRPr="00EC49A8" w:rsidRDefault="00412E11" w:rsidP="000C5C29">
            <w:pPr>
              <w:ind w:right="-29"/>
              <w:jc w:val="center"/>
              <w:rPr>
                <w:noProof/>
                <w:sz w:val="18"/>
                <w:szCs w:val="18"/>
              </w:rPr>
            </w:pPr>
            <w:r w:rsidRPr="00EC49A8">
              <w:rPr>
                <w:noProof/>
                <w:sz w:val="18"/>
              </w:rPr>
              <w:t>- Risultato</w:t>
            </w:r>
          </w:p>
        </w:tc>
        <w:tc>
          <w:tcPr>
            <w:tcW w:w="720" w:type="dxa"/>
          </w:tcPr>
          <w:p w14:paraId="2278B22C" w14:textId="77777777" w:rsidR="00412E11" w:rsidRPr="00EC49A8" w:rsidRDefault="00412E11" w:rsidP="000C5C29">
            <w:pPr>
              <w:ind w:right="-29"/>
              <w:jc w:val="center"/>
              <w:rPr>
                <w:noProof/>
                <w:sz w:val="18"/>
                <w:szCs w:val="18"/>
              </w:rPr>
            </w:pPr>
          </w:p>
        </w:tc>
        <w:tc>
          <w:tcPr>
            <w:tcW w:w="701" w:type="dxa"/>
          </w:tcPr>
          <w:p w14:paraId="0B5807BF" w14:textId="77777777" w:rsidR="00412E11" w:rsidRPr="00EC49A8" w:rsidRDefault="00412E11" w:rsidP="000C5C29">
            <w:pPr>
              <w:ind w:right="-29"/>
              <w:jc w:val="center"/>
              <w:rPr>
                <w:noProof/>
                <w:sz w:val="18"/>
                <w:szCs w:val="18"/>
              </w:rPr>
            </w:pPr>
          </w:p>
        </w:tc>
        <w:tc>
          <w:tcPr>
            <w:tcW w:w="504" w:type="dxa"/>
          </w:tcPr>
          <w:p w14:paraId="4B2DE1FC" w14:textId="77777777" w:rsidR="00412E11" w:rsidRPr="00EC49A8" w:rsidRDefault="00412E11" w:rsidP="000C5C29">
            <w:pPr>
              <w:ind w:right="-29"/>
              <w:jc w:val="center"/>
              <w:rPr>
                <w:noProof/>
                <w:sz w:val="18"/>
                <w:szCs w:val="18"/>
              </w:rPr>
            </w:pPr>
          </w:p>
        </w:tc>
        <w:tc>
          <w:tcPr>
            <w:tcW w:w="720" w:type="dxa"/>
          </w:tcPr>
          <w:p w14:paraId="3A4351D8" w14:textId="77777777" w:rsidR="00412E11" w:rsidRPr="00EC49A8" w:rsidRDefault="00412E11" w:rsidP="000C5C29">
            <w:pPr>
              <w:ind w:right="-29"/>
              <w:jc w:val="center"/>
              <w:rPr>
                <w:noProof/>
                <w:sz w:val="18"/>
                <w:szCs w:val="18"/>
              </w:rPr>
            </w:pPr>
          </w:p>
        </w:tc>
        <w:tc>
          <w:tcPr>
            <w:tcW w:w="540" w:type="dxa"/>
          </w:tcPr>
          <w:p w14:paraId="43A7A861" w14:textId="77777777" w:rsidR="00412E11" w:rsidRPr="00EC49A8" w:rsidRDefault="00412E11" w:rsidP="000C5C29">
            <w:pPr>
              <w:ind w:right="-29"/>
              <w:jc w:val="center"/>
              <w:rPr>
                <w:noProof/>
                <w:sz w:val="18"/>
                <w:szCs w:val="18"/>
              </w:rPr>
            </w:pPr>
          </w:p>
        </w:tc>
        <w:tc>
          <w:tcPr>
            <w:tcW w:w="720" w:type="dxa"/>
          </w:tcPr>
          <w:p w14:paraId="11F37412" w14:textId="77777777" w:rsidR="00412E11" w:rsidRPr="00EC49A8" w:rsidRDefault="00412E11" w:rsidP="000C5C29">
            <w:pPr>
              <w:ind w:right="-29"/>
              <w:jc w:val="center"/>
              <w:rPr>
                <w:noProof/>
                <w:sz w:val="18"/>
                <w:szCs w:val="18"/>
              </w:rPr>
            </w:pPr>
          </w:p>
        </w:tc>
        <w:tc>
          <w:tcPr>
            <w:tcW w:w="720" w:type="dxa"/>
          </w:tcPr>
          <w:p w14:paraId="43B8A06B" w14:textId="77777777" w:rsidR="00412E11" w:rsidRPr="00EC49A8" w:rsidRDefault="00412E11" w:rsidP="000C5C29">
            <w:pPr>
              <w:ind w:right="-29"/>
              <w:jc w:val="center"/>
              <w:rPr>
                <w:noProof/>
                <w:sz w:val="18"/>
                <w:szCs w:val="18"/>
              </w:rPr>
            </w:pPr>
          </w:p>
        </w:tc>
        <w:tc>
          <w:tcPr>
            <w:tcW w:w="720" w:type="dxa"/>
          </w:tcPr>
          <w:p w14:paraId="1CEF0676" w14:textId="77777777" w:rsidR="00412E11" w:rsidRPr="00EC49A8" w:rsidRDefault="00412E11" w:rsidP="000C5C29">
            <w:pPr>
              <w:ind w:right="-29"/>
              <w:jc w:val="center"/>
              <w:rPr>
                <w:noProof/>
                <w:sz w:val="18"/>
                <w:szCs w:val="18"/>
              </w:rPr>
            </w:pPr>
          </w:p>
        </w:tc>
        <w:tc>
          <w:tcPr>
            <w:tcW w:w="900" w:type="dxa"/>
          </w:tcPr>
          <w:p w14:paraId="18D78B53" w14:textId="77777777" w:rsidR="00412E11" w:rsidRPr="00EC49A8" w:rsidRDefault="00412E11" w:rsidP="000C5C29">
            <w:pPr>
              <w:ind w:right="-29"/>
              <w:jc w:val="center"/>
              <w:rPr>
                <w:noProof/>
                <w:sz w:val="18"/>
                <w:szCs w:val="18"/>
              </w:rPr>
            </w:pPr>
          </w:p>
        </w:tc>
        <w:tc>
          <w:tcPr>
            <w:tcW w:w="720" w:type="dxa"/>
            <w:gridSpan w:val="2"/>
          </w:tcPr>
          <w:p w14:paraId="2008BA4F" w14:textId="77777777" w:rsidR="00412E11" w:rsidRPr="00EC49A8" w:rsidRDefault="00412E11" w:rsidP="000C5C29">
            <w:pPr>
              <w:ind w:right="-29"/>
              <w:jc w:val="center"/>
              <w:rPr>
                <w:noProof/>
                <w:sz w:val="18"/>
                <w:szCs w:val="18"/>
              </w:rPr>
            </w:pPr>
          </w:p>
        </w:tc>
        <w:tc>
          <w:tcPr>
            <w:tcW w:w="540" w:type="dxa"/>
          </w:tcPr>
          <w:p w14:paraId="09E0234C" w14:textId="77777777" w:rsidR="00412E11" w:rsidRPr="00EC49A8" w:rsidRDefault="00412E11" w:rsidP="000C5C29">
            <w:pPr>
              <w:ind w:right="-29"/>
              <w:jc w:val="center"/>
              <w:rPr>
                <w:noProof/>
                <w:sz w:val="18"/>
                <w:szCs w:val="18"/>
              </w:rPr>
            </w:pPr>
          </w:p>
        </w:tc>
        <w:tc>
          <w:tcPr>
            <w:tcW w:w="648" w:type="dxa"/>
          </w:tcPr>
          <w:p w14:paraId="76B6CFBB" w14:textId="77777777" w:rsidR="00412E11" w:rsidRPr="00EC49A8" w:rsidRDefault="00412E11" w:rsidP="000C5C29">
            <w:pPr>
              <w:ind w:right="-29"/>
              <w:jc w:val="center"/>
              <w:rPr>
                <w:noProof/>
                <w:sz w:val="18"/>
                <w:szCs w:val="18"/>
              </w:rPr>
            </w:pPr>
          </w:p>
        </w:tc>
        <w:tc>
          <w:tcPr>
            <w:tcW w:w="432" w:type="dxa"/>
          </w:tcPr>
          <w:p w14:paraId="5E4C30D1" w14:textId="77777777" w:rsidR="00412E11" w:rsidRPr="00EC49A8" w:rsidRDefault="00412E11" w:rsidP="000C5C29">
            <w:pPr>
              <w:ind w:right="-29"/>
              <w:jc w:val="center"/>
              <w:rPr>
                <w:noProof/>
                <w:sz w:val="18"/>
                <w:szCs w:val="18"/>
              </w:rPr>
            </w:pPr>
          </w:p>
        </w:tc>
        <w:tc>
          <w:tcPr>
            <w:tcW w:w="720" w:type="dxa"/>
          </w:tcPr>
          <w:p w14:paraId="2BF9B3BE" w14:textId="77777777" w:rsidR="00412E11" w:rsidRPr="00EC49A8" w:rsidRDefault="00412E11" w:rsidP="000C5C29">
            <w:pPr>
              <w:ind w:right="-29"/>
              <w:jc w:val="center"/>
              <w:rPr>
                <w:noProof/>
                <w:sz w:val="18"/>
                <w:szCs w:val="18"/>
              </w:rPr>
            </w:pPr>
          </w:p>
        </w:tc>
        <w:tc>
          <w:tcPr>
            <w:tcW w:w="540" w:type="dxa"/>
          </w:tcPr>
          <w:p w14:paraId="2571567E" w14:textId="77777777" w:rsidR="00412E11" w:rsidRPr="00EC49A8" w:rsidRDefault="00412E11" w:rsidP="000C5C29">
            <w:pPr>
              <w:ind w:right="-29"/>
              <w:jc w:val="center"/>
              <w:rPr>
                <w:noProof/>
                <w:sz w:val="18"/>
                <w:szCs w:val="18"/>
              </w:rPr>
            </w:pPr>
          </w:p>
        </w:tc>
        <w:tc>
          <w:tcPr>
            <w:tcW w:w="720" w:type="dxa"/>
          </w:tcPr>
          <w:p w14:paraId="080FEAC8" w14:textId="77777777" w:rsidR="00412E11" w:rsidRPr="00EC49A8" w:rsidRDefault="00412E11" w:rsidP="000C5C29">
            <w:pPr>
              <w:ind w:right="-29"/>
              <w:jc w:val="center"/>
              <w:rPr>
                <w:noProof/>
                <w:sz w:val="18"/>
                <w:szCs w:val="18"/>
              </w:rPr>
            </w:pPr>
          </w:p>
        </w:tc>
        <w:tc>
          <w:tcPr>
            <w:tcW w:w="720" w:type="dxa"/>
          </w:tcPr>
          <w:p w14:paraId="65AEA750" w14:textId="77777777" w:rsidR="00412E11" w:rsidRPr="00EC49A8" w:rsidRDefault="00412E11" w:rsidP="000C5C29">
            <w:pPr>
              <w:ind w:right="-29"/>
              <w:jc w:val="center"/>
              <w:rPr>
                <w:noProof/>
                <w:sz w:val="18"/>
                <w:szCs w:val="18"/>
              </w:rPr>
            </w:pPr>
          </w:p>
        </w:tc>
        <w:tc>
          <w:tcPr>
            <w:tcW w:w="900" w:type="dxa"/>
          </w:tcPr>
          <w:p w14:paraId="78558BCA" w14:textId="77777777" w:rsidR="00412E11" w:rsidRPr="00EC49A8" w:rsidRDefault="00412E11" w:rsidP="000C5C29">
            <w:pPr>
              <w:ind w:right="-29"/>
              <w:jc w:val="center"/>
              <w:rPr>
                <w:noProof/>
                <w:sz w:val="18"/>
                <w:szCs w:val="18"/>
              </w:rPr>
            </w:pPr>
          </w:p>
        </w:tc>
      </w:tr>
      <w:tr w:rsidR="00E254F3" w:rsidRPr="00EC49A8" w14:paraId="5C873D6F" w14:textId="77777777" w:rsidTr="000C5C29">
        <w:trPr>
          <w:jc w:val="center"/>
        </w:trPr>
        <w:tc>
          <w:tcPr>
            <w:tcW w:w="2844" w:type="dxa"/>
            <w:gridSpan w:val="3"/>
            <w:tcBorders>
              <w:bottom w:val="single" w:sz="12" w:space="0" w:color="auto"/>
            </w:tcBorders>
            <w:vAlign w:val="center"/>
          </w:tcPr>
          <w:p w14:paraId="3C86AFF6" w14:textId="77777777" w:rsidR="00412E11" w:rsidRPr="00EC49A8" w:rsidRDefault="00412E11" w:rsidP="000C5C29">
            <w:pPr>
              <w:jc w:val="center"/>
              <w:rPr>
                <w:noProof/>
                <w:sz w:val="18"/>
                <w:szCs w:val="18"/>
              </w:rPr>
            </w:pPr>
            <w:r w:rsidRPr="00EC49A8">
              <w:rPr>
                <w:noProof/>
                <w:sz w:val="18"/>
              </w:rPr>
              <w:t xml:space="preserve">Totale parziale obiettivo specifico </w:t>
            </w:r>
            <w:r w:rsidRPr="00B17672">
              <w:rPr>
                <w:noProof/>
                <w:sz w:val="18"/>
              </w:rPr>
              <w:t>2</w:t>
            </w:r>
          </w:p>
        </w:tc>
        <w:tc>
          <w:tcPr>
            <w:tcW w:w="504" w:type="dxa"/>
            <w:tcBorders>
              <w:bottom w:val="single" w:sz="12" w:space="0" w:color="auto"/>
            </w:tcBorders>
          </w:tcPr>
          <w:p w14:paraId="1619579F"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65432DC6"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5D3FFBEA"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7AB02AED"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536BCE04"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69CB5C79" w14:textId="77777777" w:rsidR="00412E11" w:rsidRPr="00EC49A8" w:rsidRDefault="00412E11" w:rsidP="000C5C29">
            <w:pPr>
              <w:ind w:right="-29"/>
              <w:jc w:val="center"/>
              <w:rPr>
                <w:noProof/>
                <w:sz w:val="18"/>
                <w:szCs w:val="18"/>
              </w:rPr>
            </w:pPr>
          </w:p>
        </w:tc>
        <w:tc>
          <w:tcPr>
            <w:tcW w:w="951" w:type="dxa"/>
            <w:gridSpan w:val="2"/>
            <w:tcBorders>
              <w:bottom w:val="single" w:sz="12" w:space="0" w:color="auto"/>
            </w:tcBorders>
          </w:tcPr>
          <w:p w14:paraId="39A772D0" w14:textId="77777777" w:rsidR="00412E11" w:rsidRPr="00EC49A8" w:rsidRDefault="00412E11" w:rsidP="000C5C29">
            <w:pPr>
              <w:ind w:right="-29"/>
              <w:jc w:val="center"/>
              <w:rPr>
                <w:noProof/>
                <w:sz w:val="18"/>
                <w:szCs w:val="18"/>
              </w:rPr>
            </w:pPr>
          </w:p>
        </w:tc>
        <w:tc>
          <w:tcPr>
            <w:tcW w:w="669" w:type="dxa"/>
            <w:tcBorders>
              <w:bottom w:val="single" w:sz="12" w:space="0" w:color="auto"/>
            </w:tcBorders>
          </w:tcPr>
          <w:p w14:paraId="67EC5BC5"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718975F8" w14:textId="77777777" w:rsidR="00412E11" w:rsidRPr="00EC49A8" w:rsidRDefault="00412E11" w:rsidP="000C5C29">
            <w:pPr>
              <w:ind w:right="-29"/>
              <w:jc w:val="center"/>
              <w:rPr>
                <w:noProof/>
                <w:sz w:val="18"/>
                <w:szCs w:val="18"/>
              </w:rPr>
            </w:pPr>
          </w:p>
        </w:tc>
        <w:tc>
          <w:tcPr>
            <w:tcW w:w="648" w:type="dxa"/>
            <w:tcBorders>
              <w:bottom w:val="single" w:sz="12" w:space="0" w:color="auto"/>
            </w:tcBorders>
          </w:tcPr>
          <w:p w14:paraId="417FB064" w14:textId="77777777" w:rsidR="00412E11" w:rsidRPr="00EC49A8" w:rsidRDefault="00412E11" w:rsidP="000C5C29">
            <w:pPr>
              <w:ind w:right="-29"/>
              <w:jc w:val="center"/>
              <w:rPr>
                <w:noProof/>
                <w:sz w:val="18"/>
                <w:szCs w:val="18"/>
              </w:rPr>
            </w:pPr>
          </w:p>
        </w:tc>
        <w:tc>
          <w:tcPr>
            <w:tcW w:w="432" w:type="dxa"/>
            <w:tcBorders>
              <w:bottom w:val="single" w:sz="12" w:space="0" w:color="auto"/>
            </w:tcBorders>
          </w:tcPr>
          <w:p w14:paraId="5A9ECB90"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18F427FC" w14:textId="77777777" w:rsidR="00412E11" w:rsidRPr="00EC49A8" w:rsidRDefault="00412E11" w:rsidP="000C5C29">
            <w:pPr>
              <w:ind w:right="-29"/>
              <w:jc w:val="center"/>
              <w:rPr>
                <w:noProof/>
                <w:sz w:val="18"/>
                <w:szCs w:val="18"/>
              </w:rPr>
            </w:pPr>
          </w:p>
        </w:tc>
        <w:tc>
          <w:tcPr>
            <w:tcW w:w="540" w:type="dxa"/>
            <w:tcBorders>
              <w:bottom w:val="single" w:sz="12" w:space="0" w:color="auto"/>
            </w:tcBorders>
          </w:tcPr>
          <w:p w14:paraId="69AEABC3"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6D004109" w14:textId="77777777" w:rsidR="00412E11" w:rsidRPr="00EC49A8" w:rsidRDefault="00412E11" w:rsidP="000C5C29">
            <w:pPr>
              <w:ind w:right="-29"/>
              <w:jc w:val="center"/>
              <w:rPr>
                <w:noProof/>
                <w:sz w:val="18"/>
                <w:szCs w:val="18"/>
              </w:rPr>
            </w:pPr>
          </w:p>
        </w:tc>
        <w:tc>
          <w:tcPr>
            <w:tcW w:w="720" w:type="dxa"/>
            <w:tcBorders>
              <w:bottom w:val="single" w:sz="12" w:space="0" w:color="auto"/>
            </w:tcBorders>
          </w:tcPr>
          <w:p w14:paraId="3DCBF75F" w14:textId="77777777" w:rsidR="00412E11" w:rsidRPr="00EC49A8" w:rsidRDefault="00412E11" w:rsidP="000C5C29">
            <w:pPr>
              <w:ind w:right="-29"/>
              <w:jc w:val="center"/>
              <w:rPr>
                <w:noProof/>
                <w:sz w:val="18"/>
                <w:szCs w:val="18"/>
              </w:rPr>
            </w:pPr>
          </w:p>
        </w:tc>
        <w:tc>
          <w:tcPr>
            <w:tcW w:w="900" w:type="dxa"/>
            <w:tcBorders>
              <w:bottom w:val="single" w:sz="12" w:space="0" w:color="auto"/>
            </w:tcBorders>
          </w:tcPr>
          <w:p w14:paraId="54DDD027" w14:textId="77777777" w:rsidR="00412E11" w:rsidRPr="00EC49A8" w:rsidRDefault="00412E11" w:rsidP="000C5C29">
            <w:pPr>
              <w:ind w:right="-29"/>
              <w:jc w:val="center"/>
              <w:rPr>
                <w:noProof/>
                <w:sz w:val="18"/>
                <w:szCs w:val="18"/>
              </w:rPr>
            </w:pPr>
          </w:p>
        </w:tc>
      </w:tr>
      <w:tr w:rsidR="00E254F3" w:rsidRPr="00EC49A8" w14:paraId="6554245E" w14:textId="77777777" w:rsidTr="000C5C29">
        <w:trPr>
          <w:jc w:val="center"/>
        </w:trPr>
        <w:tc>
          <w:tcPr>
            <w:tcW w:w="2844" w:type="dxa"/>
            <w:gridSpan w:val="3"/>
            <w:tcBorders>
              <w:top w:val="single" w:sz="12" w:space="0" w:color="auto"/>
              <w:left w:val="single" w:sz="12" w:space="0" w:color="auto"/>
              <w:bottom w:val="single" w:sz="12" w:space="0" w:color="auto"/>
            </w:tcBorders>
            <w:vAlign w:val="center"/>
          </w:tcPr>
          <w:p w14:paraId="4B4CC049" w14:textId="77777777" w:rsidR="00412E11" w:rsidRPr="00EC49A8" w:rsidRDefault="00412E11" w:rsidP="000C5C29">
            <w:pPr>
              <w:ind w:right="-29"/>
              <w:jc w:val="center"/>
              <w:rPr>
                <w:noProof/>
                <w:sz w:val="18"/>
                <w:szCs w:val="18"/>
              </w:rPr>
            </w:pPr>
            <w:r w:rsidRPr="00EC49A8">
              <w:rPr>
                <w:b/>
                <w:noProof/>
                <w:sz w:val="18"/>
              </w:rPr>
              <w:t>TOTALE</w:t>
            </w:r>
          </w:p>
        </w:tc>
        <w:tc>
          <w:tcPr>
            <w:tcW w:w="504" w:type="dxa"/>
            <w:tcBorders>
              <w:top w:val="single" w:sz="12" w:space="0" w:color="auto"/>
              <w:bottom w:val="single" w:sz="12" w:space="0" w:color="auto"/>
            </w:tcBorders>
          </w:tcPr>
          <w:p w14:paraId="5A799F1D"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06D9F946" w14:textId="77777777" w:rsidR="00412E11" w:rsidRPr="00EC49A8"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733CAED2"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7A0B978F"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29C25118"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1EADE135" w14:textId="77777777" w:rsidR="00412E11" w:rsidRPr="00EC49A8" w:rsidRDefault="00412E11" w:rsidP="000C5C29">
            <w:pPr>
              <w:spacing w:before="180" w:after="180"/>
              <w:ind w:right="-29"/>
              <w:jc w:val="center"/>
              <w:rPr>
                <w:noProof/>
                <w:sz w:val="18"/>
                <w:szCs w:val="18"/>
              </w:rPr>
            </w:pPr>
          </w:p>
        </w:tc>
        <w:tc>
          <w:tcPr>
            <w:tcW w:w="900" w:type="dxa"/>
            <w:tcBorders>
              <w:top w:val="single" w:sz="12" w:space="0" w:color="auto"/>
              <w:bottom w:val="single" w:sz="12" w:space="0" w:color="auto"/>
            </w:tcBorders>
          </w:tcPr>
          <w:p w14:paraId="0FA57FC7" w14:textId="77777777" w:rsidR="00412E11" w:rsidRPr="00EC49A8" w:rsidRDefault="00412E11" w:rsidP="000C5C2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5B23C0BF" w14:textId="77777777" w:rsidR="00412E11" w:rsidRPr="00EC49A8"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05A635DC" w14:textId="77777777" w:rsidR="00412E11" w:rsidRPr="00EC49A8" w:rsidRDefault="00412E11" w:rsidP="000C5C29">
            <w:pPr>
              <w:spacing w:before="180" w:after="180"/>
              <w:ind w:right="-29"/>
              <w:jc w:val="center"/>
              <w:rPr>
                <w:noProof/>
                <w:sz w:val="18"/>
                <w:szCs w:val="18"/>
              </w:rPr>
            </w:pPr>
          </w:p>
        </w:tc>
        <w:tc>
          <w:tcPr>
            <w:tcW w:w="648" w:type="dxa"/>
            <w:tcBorders>
              <w:top w:val="single" w:sz="12" w:space="0" w:color="auto"/>
              <w:bottom w:val="single" w:sz="12" w:space="0" w:color="auto"/>
            </w:tcBorders>
          </w:tcPr>
          <w:p w14:paraId="546CDD90" w14:textId="77777777" w:rsidR="00412E11" w:rsidRPr="00EC49A8" w:rsidRDefault="00412E11" w:rsidP="000C5C29">
            <w:pPr>
              <w:spacing w:before="180" w:after="180"/>
              <w:ind w:right="-29"/>
              <w:jc w:val="center"/>
              <w:rPr>
                <w:noProof/>
                <w:sz w:val="18"/>
                <w:szCs w:val="18"/>
              </w:rPr>
            </w:pPr>
          </w:p>
        </w:tc>
        <w:tc>
          <w:tcPr>
            <w:tcW w:w="432" w:type="dxa"/>
            <w:tcBorders>
              <w:top w:val="single" w:sz="12" w:space="0" w:color="auto"/>
              <w:bottom w:val="single" w:sz="12" w:space="0" w:color="auto"/>
            </w:tcBorders>
          </w:tcPr>
          <w:p w14:paraId="6F7CB055"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1D85909C" w14:textId="77777777" w:rsidR="00412E11" w:rsidRPr="00EC49A8"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28098185"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0FBAA4C9" w14:textId="77777777" w:rsidR="00412E11" w:rsidRPr="00EC49A8"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065061DB" w14:textId="77777777" w:rsidR="00412E11" w:rsidRPr="00EC49A8" w:rsidRDefault="00412E11" w:rsidP="000C5C2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4C6AFD3" w14:textId="77777777" w:rsidR="00412E11" w:rsidRPr="00EC49A8" w:rsidRDefault="00412E11" w:rsidP="000C5C29">
            <w:pPr>
              <w:spacing w:before="180" w:after="180"/>
              <w:ind w:right="-29"/>
              <w:jc w:val="center"/>
              <w:rPr>
                <w:noProof/>
                <w:sz w:val="18"/>
                <w:szCs w:val="18"/>
              </w:rPr>
            </w:pPr>
          </w:p>
        </w:tc>
      </w:tr>
    </w:tbl>
    <w:p w14:paraId="68040782" w14:textId="77777777" w:rsidR="00412E11" w:rsidRPr="00EC49A8" w:rsidRDefault="00412E11" w:rsidP="000C5C29">
      <w:pPr>
        <w:rPr>
          <w:noProof/>
        </w:rPr>
        <w:sectPr w:rsidR="00412E11" w:rsidRPr="00EC49A8" w:rsidSect="009F3D23">
          <w:headerReference w:type="default" r:id="rId22"/>
          <w:footerReference w:type="default" r:id="rId23"/>
          <w:pgSz w:w="16840" w:h="11907" w:orient="landscape" w:code="9"/>
          <w:pgMar w:top="1134" w:right="1418" w:bottom="567" w:left="1418" w:header="709" w:footer="709" w:gutter="0"/>
          <w:cols w:space="708"/>
          <w:docGrid w:linePitch="360"/>
        </w:sectPr>
      </w:pPr>
    </w:p>
    <w:p w14:paraId="7DA0EC80" w14:textId="4C48CF14" w:rsidR="00412E11" w:rsidRPr="00EC49A8" w:rsidRDefault="00412E11" w:rsidP="000C5C29">
      <w:pPr>
        <w:pStyle w:val="ManualHeading3"/>
        <w:rPr>
          <w:bCs/>
          <w:noProof/>
          <w:szCs w:val="24"/>
        </w:rPr>
      </w:pPr>
      <w:bookmarkStart w:id="149" w:name="_Toc514938055"/>
      <w:bookmarkStart w:id="150" w:name="_Toc520485054"/>
      <w:bookmarkStart w:id="151" w:name="_Toc160804598"/>
      <w:bookmarkStart w:id="152" w:name="_Toc167220290"/>
      <w:bookmarkStart w:id="153" w:name="_Toc177549023"/>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EC49A8">
        <w:rPr>
          <w:noProof/>
        </w:rPr>
        <w:tab/>
        <w:t>Sintesi dell</w:t>
      </w:r>
      <w:r w:rsidR="00B17672">
        <w:rPr>
          <w:noProof/>
        </w:rPr>
        <w:t>'</w:t>
      </w:r>
      <w:r w:rsidRPr="00EC49A8">
        <w:rPr>
          <w:noProof/>
        </w:rPr>
        <w:t>incidenza prevista sugli stanziamenti amministrativi</w:t>
      </w:r>
      <w:bookmarkEnd w:id="149"/>
      <w:bookmarkEnd w:id="150"/>
      <w:bookmarkEnd w:id="151"/>
      <w:bookmarkEnd w:id="152"/>
      <w:bookmarkEnd w:id="153"/>
      <w:r w:rsidRPr="00EC49A8">
        <w:rPr>
          <w:noProof/>
        </w:rPr>
        <w:t xml:space="preserve"> </w:t>
      </w:r>
    </w:p>
    <w:p w14:paraId="219DE862" w14:textId="6195F303" w:rsidR="00412E11" w:rsidRPr="00EC49A8" w:rsidRDefault="00DD1D5D" w:rsidP="000C5C29">
      <w:pPr>
        <w:pStyle w:val="ListDash1"/>
        <w:rPr>
          <w:noProof/>
        </w:rPr>
      </w:pPr>
      <w:r w:rsidRPr="00EC49A8">
        <w:rPr>
          <w:rFonts w:ascii="Wingdings" w:hAnsi="Wingdings"/>
          <w:noProof/>
        </w:rPr>
        <w:t></w:t>
      </w:r>
      <w:r w:rsidRPr="00EC49A8">
        <w:rPr>
          <w:noProof/>
        </w:rPr>
        <w:tab/>
        <w:t>La proposta/iniziativa non comporta l</w:t>
      </w:r>
      <w:r w:rsidR="00B17672">
        <w:rPr>
          <w:noProof/>
        </w:rPr>
        <w:t>'</w:t>
      </w:r>
      <w:r w:rsidRPr="00EC49A8">
        <w:rPr>
          <w:noProof/>
        </w:rPr>
        <w:t xml:space="preserve">utilizzo di stanziamenti amministrativi. </w:t>
      </w:r>
    </w:p>
    <w:p w14:paraId="41E8B112" w14:textId="0BFC3A45" w:rsidR="00412E11" w:rsidRPr="00EC49A8" w:rsidRDefault="00412E11" w:rsidP="000C5C29">
      <w:pPr>
        <w:pStyle w:val="ListDash1"/>
        <w:rPr>
          <w:noProof/>
        </w:rPr>
      </w:pPr>
      <w:r w:rsidRPr="00EC49A8">
        <w:rPr>
          <w:rFonts w:ascii="Wingdings" w:hAnsi="Wingdings"/>
          <w:noProof/>
        </w:rPr>
        <w:t></w:t>
      </w:r>
      <w:r w:rsidRPr="00EC49A8">
        <w:rPr>
          <w:noProof/>
        </w:rPr>
        <w:tab/>
        <w:t>La proposta/iniziativa comporta l</w:t>
      </w:r>
      <w:r w:rsidR="00B17672">
        <w:rPr>
          <w:noProof/>
        </w:rPr>
        <w:t>'</w:t>
      </w:r>
      <w:r w:rsidRPr="00EC49A8">
        <w:rPr>
          <w:noProof/>
        </w:rPr>
        <w:t>utilizzo di stanziamenti amministrativi, come spiegato di seguito.</w:t>
      </w:r>
    </w:p>
    <w:p w14:paraId="16DDE598" w14:textId="77777777" w:rsidR="00412E11" w:rsidRPr="00EC49A8" w:rsidRDefault="00412E11" w:rsidP="000C5C29">
      <w:pPr>
        <w:pStyle w:val="ManualHeading3"/>
        <w:rPr>
          <w:noProof/>
        </w:rPr>
      </w:pPr>
      <w:bookmarkStart w:id="154" w:name="_Toc167220291"/>
      <w:bookmarkStart w:id="155" w:name="_Toc177549024"/>
      <w:r w:rsidRPr="00B17672">
        <w:rPr>
          <w:noProof/>
        </w:rPr>
        <w:t>3</w:t>
      </w:r>
      <w:r w:rsidRPr="00EC49A8">
        <w:rPr>
          <w:noProof/>
        </w:rPr>
        <w:t>.</w:t>
      </w:r>
      <w:r w:rsidRPr="00B17672">
        <w:rPr>
          <w:noProof/>
        </w:rPr>
        <w:t>2</w:t>
      </w:r>
      <w:r w:rsidRPr="00EC49A8">
        <w:rPr>
          <w:noProof/>
        </w:rPr>
        <w:t>.</w:t>
      </w:r>
      <w:r w:rsidRPr="00B17672">
        <w:rPr>
          <w:noProof/>
        </w:rPr>
        <w:t>3</w:t>
      </w:r>
      <w:r w:rsidRPr="00EC49A8">
        <w:rPr>
          <w:noProof/>
        </w:rPr>
        <w:t>.</w:t>
      </w:r>
      <w:r w:rsidRPr="00B17672">
        <w:rPr>
          <w:noProof/>
        </w:rPr>
        <w:t>1</w:t>
      </w:r>
      <w:r w:rsidRPr="00EC49A8">
        <w:rPr>
          <w:noProof/>
        </w:rPr>
        <w:t>. Stanziamenti dal bilancio votato</w:t>
      </w:r>
      <w:bookmarkEnd w:id="154"/>
      <w:bookmarkEnd w:id="155"/>
    </w:p>
    <w:tbl>
      <w:tblPr>
        <w:tblW w:w="5000" w:type="pct"/>
        <w:tblLook w:val="04A0" w:firstRow="1" w:lastRow="0" w:firstColumn="1" w:lastColumn="0" w:noHBand="0" w:noVBand="1"/>
      </w:tblPr>
      <w:tblGrid>
        <w:gridCol w:w="4027"/>
        <w:gridCol w:w="1027"/>
        <w:gridCol w:w="1027"/>
        <w:gridCol w:w="1027"/>
        <w:gridCol w:w="1027"/>
        <w:gridCol w:w="1154"/>
      </w:tblGrid>
      <w:tr w:rsidR="00E254F3" w:rsidRPr="00EC49A8" w14:paraId="113FDFC3" w14:textId="77777777" w:rsidTr="000C5C29">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BDBAD4" w14:textId="77777777" w:rsidR="00412E11" w:rsidRPr="00EC49A8" w:rsidRDefault="00412E11" w:rsidP="000C5C29">
            <w:pPr>
              <w:spacing w:before="0" w:after="0"/>
              <w:jc w:val="center"/>
              <w:rPr>
                <w:b/>
                <w:bCs/>
                <w:noProof/>
                <w:sz w:val="18"/>
                <w:szCs w:val="18"/>
              </w:rPr>
            </w:pPr>
            <w:r w:rsidRPr="00EC49A8">
              <w:rPr>
                <w:b/>
                <w:noProof/>
                <w:sz w:val="18"/>
              </w:rPr>
              <w:t>STANZIAMENTI VOTATI</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5EB54336" w14:textId="77777777" w:rsidR="00412E11" w:rsidRPr="00EC49A8" w:rsidRDefault="00412E11" w:rsidP="000C5C29">
            <w:pPr>
              <w:spacing w:before="0" w:after="0"/>
              <w:jc w:val="center"/>
              <w:rPr>
                <w:noProof/>
                <w:sz w:val="18"/>
                <w:szCs w:val="18"/>
              </w:rPr>
            </w:pPr>
            <w:r w:rsidRPr="00EC49A8">
              <w:rPr>
                <w:noProof/>
                <w:sz w:val="18"/>
              </w:rPr>
              <w:t>Anno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6AE0538B" w14:textId="77777777" w:rsidR="00412E11" w:rsidRPr="00EC49A8" w:rsidRDefault="00412E11" w:rsidP="000C5C29">
            <w:pPr>
              <w:spacing w:before="0" w:after="0"/>
              <w:jc w:val="center"/>
              <w:rPr>
                <w:noProof/>
                <w:sz w:val="18"/>
                <w:szCs w:val="18"/>
              </w:rPr>
            </w:pPr>
            <w:r w:rsidRPr="00EC49A8">
              <w:rPr>
                <w:noProof/>
                <w:sz w:val="18"/>
              </w:rPr>
              <w:t>Anno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3AF1EF09" w14:textId="77777777" w:rsidR="00412E11" w:rsidRPr="00EC49A8" w:rsidRDefault="00412E11" w:rsidP="000C5C29">
            <w:pPr>
              <w:spacing w:before="0" w:after="0"/>
              <w:jc w:val="center"/>
              <w:rPr>
                <w:noProof/>
                <w:sz w:val="18"/>
                <w:szCs w:val="18"/>
              </w:rPr>
            </w:pPr>
            <w:r w:rsidRPr="00EC49A8">
              <w:rPr>
                <w:noProof/>
                <w:sz w:val="18"/>
              </w:rPr>
              <w:t>Anno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6E6C09B4" w14:textId="77777777" w:rsidR="00412E11" w:rsidRPr="00EC49A8" w:rsidRDefault="00412E11" w:rsidP="000C5C29">
            <w:pPr>
              <w:spacing w:before="0" w:after="0"/>
              <w:jc w:val="center"/>
              <w:rPr>
                <w:noProof/>
                <w:sz w:val="18"/>
                <w:szCs w:val="18"/>
              </w:rPr>
            </w:pPr>
            <w:r w:rsidRPr="00EC49A8">
              <w:rPr>
                <w:noProof/>
                <w:sz w:val="18"/>
              </w:rPr>
              <w:t>Anno</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BD2BA3" w14:textId="77777777" w:rsidR="00412E11" w:rsidRPr="00EC49A8" w:rsidRDefault="00412E11" w:rsidP="000C5C29">
            <w:pPr>
              <w:spacing w:before="0" w:after="0"/>
              <w:jc w:val="center"/>
              <w:rPr>
                <w:b/>
                <w:bCs/>
                <w:noProof/>
                <w:sz w:val="18"/>
                <w:szCs w:val="18"/>
              </w:rPr>
            </w:pPr>
            <w:r w:rsidRPr="00EC49A8">
              <w:rPr>
                <w:b/>
                <w:noProof/>
                <w:sz w:val="18"/>
              </w:rPr>
              <w:t xml:space="preserve">TOTALE </w:t>
            </w:r>
            <w:r w:rsidRPr="00B17672">
              <w:rPr>
                <w:b/>
                <w:noProof/>
                <w:sz w:val="18"/>
              </w:rPr>
              <w:t>2021</w:t>
            </w:r>
            <w:r w:rsidRPr="00EC49A8">
              <w:rPr>
                <w:b/>
                <w:noProof/>
                <w:sz w:val="18"/>
              </w:rPr>
              <w:t>-</w:t>
            </w:r>
            <w:r w:rsidRPr="00B17672">
              <w:rPr>
                <w:b/>
                <w:noProof/>
                <w:sz w:val="18"/>
              </w:rPr>
              <w:t>2027</w:t>
            </w:r>
          </w:p>
        </w:tc>
      </w:tr>
      <w:tr w:rsidR="00E254F3" w:rsidRPr="00EC49A8" w14:paraId="2007A117" w14:textId="77777777" w:rsidTr="000C5C29">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14:paraId="5A78039F" w14:textId="77777777" w:rsidR="00412E11" w:rsidRPr="00EC49A8" w:rsidRDefault="00412E11" w:rsidP="000C5C29">
            <w:pPr>
              <w:spacing w:before="0" w:after="0"/>
              <w:jc w:val="left"/>
              <w:rPr>
                <w:b/>
                <w:bCs/>
                <w:noProof/>
                <w:sz w:val="18"/>
                <w:szCs w:val="18"/>
                <w:lang w:eastAsia="en-IE"/>
              </w:rPr>
            </w:pPr>
          </w:p>
        </w:tc>
        <w:tc>
          <w:tcPr>
            <w:tcW w:w="553" w:type="pct"/>
            <w:tcBorders>
              <w:top w:val="nil"/>
              <w:left w:val="nil"/>
              <w:bottom w:val="single" w:sz="8" w:space="0" w:color="auto"/>
              <w:right w:val="single" w:sz="8" w:space="0" w:color="auto"/>
            </w:tcBorders>
            <w:shd w:val="clear" w:color="auto" w:fill="auto"/>
            <w:vAlign w:val="center"/>
            <w:hideMark/>
          </w:tcPr>
          <w:p w14:paraId="492FC50D" w14:textId="77777777" w:rsidR="00412E11" w:rsidRPr="00EC49A8" w:rsidRDefault="00412E11" w:rsidP="000C5C29">
            <w:pPr>
              <w:spacing w:before="0" w:after="0"/>
              <w:jc w:val="center"/>
              <w:rPr>
                <w:b/>
                <w:bCs/>
                <w:noProof/>
                <w:sz w:val="18"/>
                <w:szCs w:val="18"/>
              </w:rPr>
            </w:pPr>
            <w:r w:rsidRPr="00B17672">
              <w:rPr>
                <w:b/>
                <w:noProof/>
                <w:sz w:val="18"/>
              </w:rPr>
              <w:t>2024</w:t>
            </w:r>
          </w:p>
        </w:tc>
        <w:tc>
          <w:tcPr>
            <w:tcW w:w="553" w:type="pct"/>
            <w:tcBorders>
              <w:top w:val="nil"/>
              <w:left w:val="nil"/>
              <w:bottom w:val="single" w:sz="8" w:space="0" w:color="auto"/>
              <w:right w:val="single" w:sz="8" w:space="0" w:color="auto"/>
            </w:tcBorders>
            <w:shd w:val="clear" w:color="auto" w:fill="auto"/>
            <w:vAlign w:val="center"/>
            <w:hideMark/>
          </w:tcPr>
          <w:p w14:paraId="48A758D7" w14:textId="77777777" w:rsidR="00412E11" w:rsidRPr="00EC49A8" w:rsidRDefault="00412E11" w:rsidP="000C5C29">
            <w:pPr>
              <w:spacing w:before="0" w:after="0"/>
              <w:jc w:val="center"/>
              <w:rPr>
                <w:b/>
                <w:bCs/>
                <w:noProof/>
                <w:sz w:val="18"/>
                <w:szCs w:val="18"/>
              </w:rPr>
            </w:pPr>
            <w:r w:rsidRPr="00B17672">
              <w:rPr>
                <w:b/>
                <w:noProof/>
                <w:sz w:val="18"/>
              </w:rPr>
              <w:t>2025</w:t>
            </w:r>
          </w:p>
        </w:tc>
        <w:tc>
          <w:tcPr>
            <w:tcW w:w="553" w:type="pct"/>
            <w:tcBorders>
              <w:top w:val="nil"/>
              <w:left w:val="nil"/>
              <w:bottom w:val="single" w:sz="8" w:space="0" w:color="auto"/>
              <w:right w:val="single" w:sz="8" w:space="0" w:color="auto"/>
            </w:tcBorders>
            <w:shd w:val="clear" w:color="auto" w:fill="auto"/>
            <w:vAlign w:val="center"/>
            <w:hideMark/>
          </w:tcPr>
          <w:p w14:paraId="57081721" w14:textId="77777777" w:rsidR="00412E11" w:rsidRPr="00EC49A8" w:rsidRDefault="00412E11" w:rsidP="000C5C29">
            <w:pPr>
              <w:spacing w:before="0" w:after="0"/>
              <w:jc w:val="center"/>
              <w:rPr>
                <w:b/>
                <w:bCs/>
                <w:noProof/>
                <w:sz w:val="18"/>
                <w:szCs w:val="18"/>
              </w:rPr>
            </w:pPr>
            <w:r w:rsidRPr="00B17672">
              <w:rPr>
                <w:b/>
                <w:noProof/>
                <w:sz w:val="18"/>
              </w:rPr>
              <w:t>2026</w:t>
            </w:r>
          </w:p>
        </w:tc>
        <w:tc>
          <w:tcPr>
            <w:tcW w:w="553" w:type="pct"/>
            <w:tcBorders>
              <w:top w:val="nil"/>
              <w:left w:val="nil"/>
              <w:bottom w:val="single" w:sz="8" w:space="0" w:color="auto"/>
              <w:right w:val="single" w:sz="8" w:space="0" w:color="auto"/>
            </w:tcBorders>
            <w:shd w:val="clear" w:color="auto" w:fill="auto"/>
            <w:vAlign w:val="center"/>
            <w:hideMark/>
          </w:tcPr>
          <w:p w14:paraId="6C6C43D2" w14:textId="77777777" w:rsidR="00412E11" w:rsidRPr="00EC49A8" w:rsidRDefault="00412E11" w:rsidP="000C5C29">
            <w:pPr>
              <w:spacing w:before="0" w:after="0"/>
              <w:jc w:val="center"/>
              <w:rPr>
                <w:b/>
                <w:bCs/>
                <w:noProof/>
                <w:sz w:val="18"/>
                <w:szCs w:val="18"/>
              </w:rPr>
            </w:pPr>
            <w:r w:rsidRPr="00B17672">
              <w:rPr>
                <w:b/>
                <w:noProof/>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1072D2A4" w14:textId="77777777" w:rsidR="00412E11" w:rsidRPr="00EC49A8" w:rsidRDefault="00412E11" w:rsidP="000C5C29">
            <w:pPr>
              <w:spacing w:before="0" w:after="0"/>
              <w:jc w:val="left"/>
              <w:rPr>
                <w:b/>
                <w:bCs/>
                <w:noProof/>
                <w:sz w:val="18"/>
                <w:szCs w:val="18"/>
                <w:lang w:eastAsia="en-IE"/>
              </w:rPr>
            </w:pPr>
          </w:p>
        </w:tc>
      </w:tr>
      <w:tr w:rsidR="00E254F3" w:rsidRPr="00EC49A8" w14:paraId="402B4B78"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FBBBC15" w14:textId="77777777" w:rsidR="00412E11" w:rsidRPr="00EC49A8" w:rsidRDefault="00412E11" w:rsidP="000C5C29">
            <w:pPr>
              <w:spacing w:before="0" w:after="0"/>
              <w:jc w:val="left"/>
              <w:rPr>
                <w:b/>
                <w:bCs/>
                <w:noProof/>
                <w:sz w:val="16"/>
                <w:szCs w:val="16"/>
              </w:rPr>
            </w:pPr>
            <w:r w:rsidRPr="00EC49A8">
              <w:rPr>
                <w:b/>
                <w:noProof/>
                <w:sz w:val="16"/>
              </w:rPr>
              <w:t xml:space="preserve">RUBRICA </w:t>
            </w:r>
            <w:r w:rsidRPr="00B17672">
              <w:rPr>
                <w:b/>
                <w:noProof/>
                <w:sz w:val="16"/>
              </w:rPr>
              <w:t>7</w:t>
            </w:r>
          </w:p>
        </w:tc>
      </w:tr>
      <w:tr w:rsidR="00E254F3" w:rsidRPr="00EC49A8" w14:paraId="6DC7663F"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57FB0C44" w14:textId="77777777" w:rsidR="00412E11" w:rsidRPr="00EC49A8" w:rsidRDefault="00412E11" w:rsidP="000C5C29">
            <w:pPr>
              <w:spacing w:before="0" w:after="0"/>
              <w:jc w:val="left"/>
              <w:rPr>
                <w:noProof/>
                <w:sz w:val="16"/>
                <w:szCs w:val="16"/>
              </w:rPr>
            </w:pPr>
            <w:r w:rsidRPr="00EC49A8">
              <w:rPr>
                <w:noProof/>
                <w:sz w:val="16"/>
              </w:rPr>
              <w:t xml:space="preserve">Risorse umane </w:t>
            </w:r>
          </w:p>
        </w:tc>
        <w:tc>
          <w:tcPr>
            <w:tcW w:w="553" w:type="pct"/>
            <w:tcBorders>
              <w:top w:val="nil"/>
              <w:left w:val="nil"/>
              <w:bottom w:val="single" w:sz="8" w:space="0" w:color="auto"/>
              <w:right w:val="single" w:sz="8" w:space="0" w:color="auto"/>
            </w:tcBorders>
            <w:shd w:val="clear" w:color="000000" w:fill="D9D9D9"/>
            <w:vAlign w:val="center"/>
            <w:hideMark/>
          </w:tcPr>
          <w:p w14:paraId="55126617"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3DE374F2"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A0A33AA"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46CF319"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72B6E6F6"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078B5BC1"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15AA7AE5" w14:textId="77777777" w:rsidR="00412E11" w:rsidRPr="00EC49A8" w:rsidRDefault="00412E11" w:rsidP="000C5C29">
            <w:pPr>
              <w:spacing w:before="0" w:after="0"/>
              <w:jc w:val="left"/>
              <w:rPr>
                <w:noProof/>
                <w:sz w:val="16"/>
                <w:szCs w:val="16"/>
              </w:rPr>
            </w:pPr>
            <w:r w:rsidRPr="00EC49A8">
              <w:rPr>
                <w:noProof/>
                <w:sz w:val="16"/>
              </w:rPr>
              <w:t xml:space="preserve">Altre spese amministrative </w:t>
            </w:r>
          </w:p>
        </w:tc>
        <w:tc>
          <w:tcPr>
            <w:tcW w:w="553" w:type="pct"/>
            <w:tcBorders>
              <w:top w:val="nil"/>
              <w:left w:val="nil"/>
              <w:bottom w:val="single" w:sz="8" w:space="0" w:color="auto"/>
              <w:right w:val="single" w:sz="8" w:space="0" w:color="auto"/>
            </w:tcBorders>
            <w:shd w:val="clear" w:color="000000" w:fill="D9D9D9"/>
            <w:vAlign w:val="center"/>
            <w:hideMark/>
          </w:tcPr>
          <w:p w14:paraId="48396E58"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E4B06ED"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7F558D95"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0258504"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0A6CB5E9"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4F782669" w14:textId="77777777" w:rsidTr="000C5C2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084B9FC2" w14:textId="77777777" w:rsidR="00412E11" w:rsidRPr="00EC49A8" w:rsidRDefault="00412E11" w:rsidP="000C5C29">
            <w:pPr>
              <w:spacing w:before="0" w:after="0"/>
              <w:jc w:val="center"/>
              <w:rPr>
                <w:b/>
                <w:bCs/>
                <w:noProof/>
                <w:sz w:val="16"/>
                <w:szCs w:val="16"/>
              </w:rPr>
            </w:pPr>
            <w:r w:rsidRPr="00EC49A8">
              <w:rPr>
                <w:b/>
                <w:noProof/>
                <w:sz w:val="16"/>
              </w:rPr>
              <w:t xml:space="preserve">Totale parziale RUBRICA </w:t>
            </w:r>
            <w:r w:rsidRPr="00B17672">
              <w:rPr>
                <w:b/>
                <w:noProof/>
                <w:sz w:val="16"/>
              </w:rPr>
              <w:t>7</w:t>
            </w:r>
          </w:p>
        </w:tc>
        <w:tc>
          <w:tcPr>
            <w:tcW w:w="553" w:type="pct"/>
            <w:tcBorders>
              <w:top w:val="nil"/>
              <w:left w:val="nil"/>
              <w:bottom w:val="single" w:sz="8" w:space="0" w:color="auto"/>
              <w:right w:val="single" w:sz="8" w:space="0" w:color="auto"/>
            </w:tcBorders>
            <w:shd w:val="clear" w:color="000000" w:fill="D9D9D9"/>
            <w:vAlign w:val="center"/>
            <w:hideMark/>
          </w:tcPr>
          <w:p w14:paraId="583C8222"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4593615"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0D7C9468"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7F5605E9"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222DBB53"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24983D6C"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F665A04" w14:textId="77777777" w:rsidR="00412E11" w:rsidRPr="00EC49A8" w:rsidRDefault="00412E11" w:rsidP="000C5C29">
            <w:pPr>
              <w:spacing w:before="0" w:after="0"/>
              <w:jc w:val="left"/>
              <w:rPr>
                <w:b/>
                <w:bCs/>
                <w:noProof/>
                <w:sz w:val="16"/>
                <w:szCs w:val="16"/>
              </w:rPr>
            </w:pPr>
            <w:r w:rsidRPr="00EC49A8">
              <w:rPr>
                <w:b/>
                <w:noProof/>
                <w:sz w:val="16"/>
              </w:rPr>
              <w:t xml:space="preserve">Esclusa la RUBRICA </w:t>
            </w:r>
            <w:r w:rsidRPr="00B17672">
              <w:rPr>
                <w:b/>
                <w:noProof/>
                <w:sz w:val="16"/>
              </w:rPr>
              <w:t>7</w:t>
            </w:r>
          </w:p>
        </w:tc>
      </w:tr>
      <w:tr w:rsidR="00E254F3" w:rsidRPr="00EC49A8" w14:paraId="66C5BA2A"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F791645" w14:textId="77777777" w:rsidR="00412E11" w:rsidRPr="00EC49A8" w:rsidRDefault="00412E11" w:rsidP="000C5C29">
            <w:pPr>
              <w:spacing w:before="0" w:after="0"/>
              <w:jc w:val="left"/>
              <w:rPr>
                <w:noProof/>
                <w:sz w:val="16"/>
                <w:szCs w:val="16"/>
              </w:rPr>
            </w:pPr>
            <w:r w:rsidRPr="00EC49A8">
              <w:rPr>
                <w:noProof/>
                <w:sz w:val="16"/>
              </w:rPr>
              <w:t xml:space="preserve">Risorse umane </w:t>
            </w:r>
          </w:p>
        </w:tc>
        <w:tc>
          <w:tcPr>
            <w:tcW w:w="553" w:type="pct"/>
            <w:tcBorders>
              <w:top w:val="nil"/>
              <w:left w:val="nil"/>
              <w:bottom w:val="single" w:sz="8" w:space="0" w:color="auto"/>
              <w:right w:val="single" w:sz="8" w:space="0" w:color="auto"/>
            </w:tcBorders>
            <w:shd w:val="clear" w:color="000000" w:fill="D9D9D9"/>
            <w:vAlign w:val="center"/>
            <w:hideMark/>
          </w:tcPr>
          <w:p w14:paraId="6358648D"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1166F6E"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64BDB29D"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5C7A2134"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54589E82"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09A6A9BA"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4A83CE66" w14:textId="77777777" w:rsidR="00412E11" w:rsidRPr="00EC49A8" w:rsidRDefault="00412E11" w:rsidP="000C5C29">
            <w:pPr>
              <w:spacing w:before="0" w:after="0"/>
              <w:jc w:val="left"/>
              <w:rPr>
                <w:noProof/>
                <w:sz w:val="16"/>
                <w:szCs w:val="16"/>
              </w:rPr>
            </w:pPr>
            <w:r w:rsidRPr="00EC49A8">
              <w:rPr>
                <w:noProof/>
                <w:sz w:val="16"/>
              </w:rPr>
              <w:t>Altre spese amministrative</w:t>
            </w:r>
          </w:p>
        </w:tc>
        <w:tc>
          <w:tcPr>
            <w:tcW w:w="553" w:type="pct"/>
            <w:tcBorders>
              <w:top w:val="nil"/>
              <w:left w:val="nil"/>
              <w:bottom w:val="single" w:sz="8" w:space="0" w:color="auto"/>
              <w:right w:val="single" w:sz="8" w:space="0" w:color="auto"/>
            </w:tcBorders>
            <w:shd w:val="clear" w:color="000000" w:fill="D9D9D9"/>
            <w:vAlign w:val="center"/>
            <w:hideMark/>
          </w:tcPr>
          <w:p w14:paraId="3D920389"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59E6880"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491BC626"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498D7CDE"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53FC1B0D"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512F0AAF" w14:textId="77777777" w:rsidTr="000C5C2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59C9FC8A" w14:textId="77777777" w:rsidR="00412E11" w:rsidRPr="00EC49A8" w:rsidRDefault="00412E11" w:rsidP="000C5C29">
            <w:pPr>
              <w:spacing w:before="0" w:after="0"/>
              <w:jc w:val="center"/>
              <w:rPr>
                <w:b/>
                <w:bCs/>
                <w:noProof/>
                <w:sz w:val="16"/>
                <w:szCs w:val="16"/>
              </w:rPr>
            </w:pPr>
            <w:r w:rsidRPr="00EC49A8">
              <w:rPr>
                <w:b/>
                <w:noProof/>
                <w:sz w:val="16"/>
              </w:rPr>
              <w:t xml:space="preserve">Totale parziale esclusa la RUBRICA </w:t>
            </w:r>
            <w:r w:rsidRPr="00B17672">
              <w:rPr>
                <w:b/>
                <w:noProof/>
                <w:sz w:val="16"/>
              </w:rPr>
              <w:t>7</w:t>
            </w:r>
          </w:p>
        </w:tc>
        <w:tc>
          <w:tcPr>
            <w:tcW w:w="553" w:type="pct"/>
            <w:tcBorders>
              <w:top w:val="nil"/>
              <w:left w:val="nil"/>
              <w:bottom w:val="single" w:sz="8" w:space="0" w:color="auto"/>
              <w:right w:val="single" w:sz="8" w:space="0" w:color="auto"/>
            </w:tcBorders>
            <w:shd w:val="clear" w:color="000000" w:fill="D9D9D9"/>
            <w:vAlign w:val="center"/>
            <w:hideMark/>
          </w:tcPr>
          <w:p w14:paraId="34EA2E46"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6FDFBBD"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28AF4001"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66371EA2"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6B9F1680"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354E9FB6"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B9C1DB" w14:textId="77777777" w:rsidR="00412E11" w:rsidRPr="00EC49A8" w:rsidRDefault="00412E11" w:rsidP="000C5C29">
            <w:pPr>
              <w:spacing w:before="0" w:after="0"/>
              <w:jc w:val="center"/>
              <w:rPr>
                <w:noProof/>
                <w:sz w:val="16"/>
                <w:szCs w:val="16"/>
              </w:rPr>
            </w:pPr>
            <w:r w:rsidRPr="00EC49A8">
              <w:rPr>
                <w:noProof/>
                <w:sz w:val="16"/>
              </w:rPr>
              <w:t xml:space="preserve"> </w:t>
            </w:r>
          </w:p>
        </w:tc>
      </w:tr>
      <w:tr w:rsidR="00E254F3" w:rsidRPr="00EC49A8" w14:paraId="5F4A9EBB"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2451E8F4" w14:textId="77777777" w:rsidR="00412E11" w:rsidRPr="00EC49A8" w:rsidRDefault="00412E11" w:rsidP="000C5C29">
            <w:pPr>
              <w:spacing w:before="0" w:after="0"/>
              <w:jc w:val="center"/>
              <w:rPr>
                <w:b/>
                <w:bCs/>
                <w:noProof/>
                <w:sz w:val="16"/>
                <w:szCs w:val="16"/>
              </w:rPr>
            </w:pPr>
            <w:r w:rsidRPr="00EC49A8">
              <w:rPr>
                <w:b/>
                <w:noProof/>
                <w:sz w:val="16"/>
              </w:rPr>
              <w:t>TOTALE</w:t>
            </w:r>
          </w:p>
        </w:tc>
        <w:tc>
          <w:tcPr>
            <w:tcW w:w="553" w:type="pct"/>
            <w:tcBorders>
              <w:top w:val="nil"/>
              <w:left w:val="nil"/>
              <w:bottom w:val="single" w:sz="8" w:space="0" w:color="auto"/>
              <w:right w:val="single" w:sz="8" w:space="0" w:color="auto"/>
            </w:tcBorders>
            <w:shd w:val="clear" w:color="000000" w:fill="D9D9D9"/>
            <w:vAlign w:val="center"/>
            <w:hideMark/>
          </w:tcPr>
          <w:p w14:paraId="75629854"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627AB77D"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8DE22AF"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553" w:type="pct"/>
            <w:tcBorders>
              <w:top w:val="nil"/>
              <w:left w:val="nil"/>
              <w:bottom w:val="single" w:sz="8" w:space="0" w:color="auto"/>
              <w:right w:val="single" w:sz="8" w:space="0" w:color="auto"/>
            </w:tcBorders>
            <w:shd w:val="clear" w:color="000000" w:fill="D9D9D9"/>
            <w:vAlign w:val="center"/>
            <w:hideMark/>
          </w:tcPr>
          <w:p w14:paraId="1CE5591C"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622" w:type="pct"/>
            <w:tcBorders>
              <w:top w:val="nil"/>
              <w:left w:val="nil"/>
              <w:bottom w:val="single" w:sz="8" w:space="0" w:color="auto"/>
              <w:right w:val="single" w:sz="8" w:space="0" w:color="auto"/>
            </w:tcBorders>
            <w:shd w:val="clear" w:color="000000" w:fill="D9D9D9"/>
            <w:vAlign w:val="center"/>
            <w:hideMark/>
          </w:tcPr>
          <w:p w14:paraId="2598503B"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bl>
    <w:p w14:paraId="4CB847B8" w14:textId="2F7E461E" w:rsidR="00412E11" w:rsidRPr="00EC49A8" w:rsidRDefault="00412E11" w:rsidP="000C5C29">
      <w:pPr>
        <w:rPr>
          <w:noProof/>
          <w:sz w:val="22"/>
          <w:szCs w:val="28"/>
        </w:rPr>
      </w:pPr>
      <w:r w:rsidRPr="00EC49A8">
        <w:rPr>
          <w:noProof/>
          <w:sz w:val="22"/>
        </w:rPr>
        <w:t>Il fabbisogno di stanziamenti relativi alle risorse umane e alle altre spese amministrative è coperto dagli stanziamenti della DG già assegnati alla gestione dell</w:t>
      </w:r>
      <w:r w:rsidR="00B17672">
        <w:rPr>
          <w:noProof/>
          <w:sz w:val="22"/>
        </w:rPr>
        <w:t>'</w:t>
      </w:r>
      <w:r w:rsidRPr="00EC49A8">
        <w:rPr>
          <w:noProof/>
          <w:sz w:val="22"/>
        </w:rPr>
        <w:t>azione e/o riassegnati all</w:t>
      </w:r>
      <w:r w:rsidR="00B17672">
        <w:rPr>
          <w:noProof/>
          <w:sz w:val="22"/>
        </w:rPr>
        <w:t>'</w:t>
      </w:r>
      <w:r w:rsidRPr="00EC49A8">
        <w:rPr>
          <w:noProof/>
          <w:sz w:val="22"/>
        </w:rPr>
        <w:t>interno della stessa DG, integrati dall</w:t>
      </w:r>
      <w:r w:rsidR="00B17672">
        <w:rPr>
          <w:noProof/>
          <w:sz w:val="22"/>
        </w:rPr>
        <w:t>'</w:t>
      </w:r>
      <w:r w:rsidRPr="00EC49A8">
        <w:rPr>
          <w:noProof/>
          <w:sz w:val="22"/>
        </w:rPr>
        <w:t>eventuale dotazione supplementare concessa alla DG responsabile nell</w:t>
      </w:r>
      <w:r w:rsidR="00B17672">
        <w:rPr>
          <w:noProof/>
          <w:sz w:val="22"/>
        </w:rPr>
        <w:t>'</w:t>
      </w:r>
      <w:r w:rsidRPr="00EC49A8">
        <w:rPr>
          <w:noProof/>
          <w:sz w:val="22"/>
        </w:rPr>
        <w:t>ambito della procedura annuale di assegnazione, tenendo conto dei vincoli di bilancio.</w:t>
      </w:r>
    </w:p>
    <w:p w14:paraId="54A44B3D" w14:textId="77777777" w:rsidR="00412E11" w:rsidRPr="00EC49A8" w:rsidRDefault="00412E11" w:rsidP="000C5C29">
      <w:pPr>
        <w:pStyle w:val="ManualHeading3"/>
        <w:rPr>
          <w:bCs/>
          <w:noProof/>
          <w:szCs w:val="24"/>
        </w:rPr>
      </w:pPr>
      <w:bookmarkStart w:id="156" w:name="_Toc167220294"/>
      <w:bookmarkStart w:id="157" w:name="_Toc177549027"/>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EC49A8">
        <w:rPr>
          <w:noProof/>
        </w:rPr>
        <w:tab/>
        <w:t>Fabbisogno previsto di risorse umane</w:t>
      </w:r>
      <w:bookmarkEnd w:id="156"/>
      <w:bookmarkEnd w:id="157"/>
      <w:r w:rsidRPr="00EC49A8">
        <w:rPr>
          <w:noProof/>
        </w:rPr>
        <w:t xml:space="preserve"> </w:t>
      </w:r>
    </w:p>
    <w:p w14:paraId="3DE7447E" w14:textId="403F5F02" w:rsidR="00412E11" w:rsidRPr="00EC49A8" w:rsidRDefault="0066774C" w:rsidP="000C5C29">
      <w:pPr>
        <w:pStyle w:val="ListDash1"/>
        <w:rPr>
          <w:noProof/>
        </w:rPr>
      </w:pPr>
      <w:r w:rsidRPr="00EC49A8">
        <w:rPr>
          <w:rFonts w:ascii="Wingdings" w:hAnsi="Wingdings"/>
          <w:noProof/>
        </w:rPr>
        <w:t></w:t>
      </w:r>
      <w:r w:rsidRPr="00EC49A8">
        <w:rPr>
          <w:noProof/>
        </w:rPr>
        <w:tab/>
        <w:t>La proposta/iniziativa non comporta l</w:t>
      </w:r>
      <w:r w:rsidR="00B17672">
        <w:rPr>
          <w:noProof/>
        </w:rPr>
        <w:t>'</w:t>
      </w:r>
      <w:r w:rsidRPr="00EC49A8">
        <w:rPr>
          <w:noProof/>
        </w:rPr>
        <w:t xml:space="preserve">utilizzo di risorse umane. </w:t>
      </w:r>
    </w:p>
    <w:p w14:paraId="6C3B6DBD" w14:textId="7BA9116B" w:rsidR="00412E11" w:rsidRPr="00EC49A8" w:rsidRDefault="00412E11" w:rsidP="000C5C29">
      <w:pPr>
        <w:pStyle w:val="ListDash1"/>
        <w:rPr>
          <w:noProof/>
        </w:rPr>
      </w:pPr>
      <w:r w:rsidRPr="00EC49A8">
        <w:rPr>
          <w:rFonts w:ascii="Wingdings" w:hAnsi="Wingdings"/>
          <w:noProof/>
        </w:rPr>
        <w:t></w:t>
      </w:r>
      <w:r w:rsidRPr="00EC49A8">
        <w:rPr>
          <w:noProof/>
        </w:rPr>
        <w:tab/>
        <w:t>La proposta/iniziativa comporta l</w:t>
      </w:r>
      <w:r w:rsidR="00B17672">
        <w:rPr>
          <w:noProof/>
        </w:rPr>
        <w:t>'</w:t>
      </w:r>
      <w:r w:rsidRPr="00EC49A8">
        <w:rPr>
          <w:noProof/>
        </w:rPr>
        <w:t>utilizzo di risorse umane, come spiegato di seguito.</w:t>
      </w:r>
    </w:p>
    <w:p w14:paraId="3EEDCEF1" w14:textId="77777777" w:rsidR="00412E11" w:rsidRPr="00EC49A8" w:rsidRDefault="00412E11" w:rsidP="000C5C29">
      <w:pPr>
        <w:pStyle w:val="ManualHeading3"/>
        <w:rPr>
          <w:noProof/>
        </w:rPr>
      </w:pPr>
      <w:bookmarkStart w:id="158" w:name="_Toc167220295"/>
      <w:bookmarkStart w:id="159" w:name="_Toc177549028"/>
      <w:r w:rsidRPr="00B17672">
        <w:rPr>
          <w:noProof/>
        </w:rPr>
        <w:t>3</w:t>
      </w:r>
      <w:r w:rsidRPr="00EC49A8">
        <w:rPr>
          <w:noProof/>
        </w:rPr>
        <w:t>.</w:t>
      </w:r>
      <w:r w:rsidRPr="00B17672">
        <w:rPr>
          <w:noProof/>
        </w:rPr>
        <w:t>2</w:t>
      </w:r>
      <w:r w:rsidRPr="00EC49A8">
        <w:rPr>
          <w:noProof/>
        </w:rPr>
        <w:t>.</w:t>
      </w:r>
      <w:r w:rsidRPr="00B17672">
        <w:rPr>
          <w:noProof/>
        </w:rPr>
        <w:t>4</w:t>
      </w:r>
      <w:r w:rsidRPr="00EC49A8">
        <w:rPr>
          <w:noProof/>
        </w:rPr>
        <w:t>.</w:t>
      </w:r>
      <w:r w:rsidRPr="00B17672">
        <w:rPr>
          <w:noProof/>
        </w:rPr>
        <w:t>1</w:t>
      </w:r>
      <w:r w:rsidRPr="00EC49A8">
        <w:rPr>
          <w:noProof/>
        </w:rPr>
        <w:t>.</w:t>
      </w:r>
      <w:r w:rsidRPr="00EC49A8">
        <w:rPr>
          <w:noProof/>
        </w:rPr>
        <w:tab/>
        <w:t>Finanziamento a titolo del bilancio votato</w:t>
      </w:r>
      <w:bookmarkEnd w:id="158"/>
      <w:bookmarkEnd w:id="159"/>
    </w:p>
    <w:p w14:paraId="4428C0F4" w14:textId="77777777" w:rsidR="00412E11" w:rsidRPr="00EC49A8" w:rsidRDefault="00412E11" w:rsidP="000C5C29">
      <w:pPr>
        <w:spacing w:after="60"/>
        <w:jc w:val="right"/>
        <w:rPr>
          <w:i/>
          <w:noProof/>
          <w:sz w:val="20"/>
        </w:rPr>
      </w:pPr>
      <w:r w:rsidRPr="00EC49A8">
        <w:rPr>
          <w:i/>
          <w:noProof/>
          <w:sz w:val="20"/>
        </w:rPr>
        <w:t>Stima da esprimere in equivalenti a tempo pieno (ETP)</w:t>
      </w:r>
      <w:r w:rsidRPr="00EC49A8">
        <w:rPr>
          <w:rStyle w:val="FootnoteReference"/>
          <w:i/>
          <w:noProof/>
          <w:sz w:val="20"/>
        </w:rPr>
        <w:footnoteReference w:id="23"/>
      </w:r>
    </w:p>
    <w:p w14:paraId="6A7F1C77" w14:textId="77777777" w:rsidR="00412E11" w:rsidRPr="00EC49A8" w:rsidRDefault="00412E11" w:rsidP="000C5C29">
      <w:pPr>
        <w:pStyle w:val="Text1"/>
        <w:spacing w:before="60" w:after="60"/>
        <w:ind w:left="-426" w:right="-427"/>
        <w:rPr>
          <w:b/>
          <w:noProof/>
          <w:sz w:val="18"/>
          <w:szCs w:val="18"/>
        </w:rPr>
      </w:pPr>
      <w:bookmarkStart w:id="160" w:name="_Hlk156979231"/>
    </w:p>
    <w:tbl>
      <w:tblPr>
        <w:tblW w:w="5000" w:type="pct"/>
        <w:tblLook w:val="04A0" w:firstRow="1" w:lastRow="0" w:firstColumn="1" w:lastColumn="0" w:noHBand="0" w:noVBand="1"/>
      </w:tblPr>
      <w:tblGrid>
        <w:gridCol w:w="1513"/>
        <w:gridCol w:w="3898"/>
        <w:gridCol w:w="970"/>
        <w:gridCol w:w="970"/>
        <w:gridCol w:w="970"/>
        <w:gridCol w:w="968"/>
      </w:tblGrid>
      <w:tr w:rsidR="00E254F3" w:rsidRPr="00EC49A8" w14:paraId="1280C174" w14:textId="77777777" w:rsidTr="000C5C29">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73FA8B" w14:textId="77777777" w:rsidR="00412E11" w:rsidRPr="00EC49A8" w:rsidRDefault="00412E11" w:rsidP="000C5C29">
            <w:pPr>
              <w:spacing w:before="0" w:after="0"/>
              <w:jc w:val="center"/>
              <w:rPr>
                <w:b/>
                <w:bCs/>
                <w:noProof/>
                <w:sz w:val="18"/>
                <w:szCs w:val="18"/>
              </w:rPr>
            </w:pPr>
            <w:r w:rsidRPr="00EC49A8">
              <w:rPr>
                <w:b/>
                <w:noProof/>
                <w:sz w:val="18"/>
              </w:rPr>
              <w:t>STANZIAMENTI VOTATI</w:t>
            </w:r>
          </w:p>
        </w:tc>
        <w:tc>
          <w:tcPr>
            <w:tcW w:w="522" w:type="pct"/>
            <w:tcBorders>
              <w:top w:val="single" w:sz="8" w:space="0" w:color="auto"/>
              <w:left w:val="nil"/>
              <w:bottom w:val="nil"/>
              <w:right w:val="single" w:sz="8" w:space="0" w:color="auto"/>
            </w:tcBorders>
            <w:shd w:val="clear" w:color="auto" w:fill="auto"/>
            <w:vAlign w:val="center"/>
            <w:hideMark/>
          </w:tcPr>
          <w:p w14:paraId="615F5CE4" w14:textId="77777777" w:rsidR="00412E11" w:rsidRPr="00EC49A8" w:rsidRDefault="00412E11" w:rsidP="000C5C29">
            <w:pPr>
              <w:spacing w:before="0" w:after="0"/>
              <w:jc w:val="center"/>
              <w:rPr>
                <w:noProof/>
                <w:sz w:val="20"/>
                <w:szCs w:val="20"/>
              </w:rPr>
            </w:pPr>
            <w:r w:rsidRPr="00EC49A8">
              <w:rPr>
                <w:noProof/>
                <w:sz w:val="20"/>
              </w:rPr>
              <w:t>Anno</w:t>
            </w:r>
          </w:p>
        </w:tc>
        <w:tc>
          <w:tcPr>
            <w:tcW w:w="522" w:type="pct"/>
            <w:tcBorders>
              <w:top w:val="single" w:sz="8" w:space="0" w:color="auto"/>
              <w:left w:val="nil"/>
              <w:bottom w:val="nil"/>
              <w:right w:val="single" w:sz="8" w:space="0" w:color="auto"/>
            </w:tcBorders>
            <w:shd w:val="clear" w:color="auto" w:fill="auto"/>
            <w:vAlign w:val="center"/>
            <w:hideMark/>
          </w:tcPr>
          <w:p w14:paraId="227B9216" w14:textId="77777777" w:rsidR="00412E11" w:rsidRPr="00EC49A8" w:rsidRDefault="00412E11" w:rsidP="000C5C29">
            <w:pPr>
              <w:spacing w:before="0" w:after="0"/>
              <w:jc w:val="center"/>
              <w:rPr>
                <w:noProof/>
                <w:sz w:val="20"/>
                <w:szCs w:val="20"/>
              </w:rPr>
            </w:pPr>
            <w:r w:rsidRPr="00EC49A8">
              <w:rPr>
                <w:noProof/>
                <w:sz w:val="20"/>
              </w:rPr>
              <w:t>Anno</w:t>
            </w:r>
          </w:p>
        </w:tc>
        <w:tc>
          <w:tcPr>
            <w:tcW w:w="522" w:type="pct"/>
            <w:tcBorders>
              <w:top w:val="single" w:sz="8" w:space="0" w:color="auto"/>
              <w:left w:val="nil"/>
              <w:bottom w:val="nil"/>
              <w:right w:val="single" w:sz="8" w:space="0" w:color="auto"/>
            </w:tcBorders>
            <w:shd w:val="clear" w:color="auto" w:fill="auto"/>
            <w:vAlign w:val="center"/>
            <w:hideMark/>
          </w:tcPr>
          <w:p w14:paraId="79A0281C" w14:textId="77777777" w:rsidR="00412E11" w:rsidRPr="00EC49A8" w:rsidRDefault="00412E11" w:rsidP="000C5C29">
            <w:pPr>
              <w:spacing w:before="0" w:after="0"/>
              <w:jc w:val="center"/>
              <w:rPr>
                <w:noProof/>
                <w:sz w:val="20"/>
                <w:szCs w:val="20"/>
              </w:rPr>
            </w:pPr>
            <w:r w:rsidRPr="00EC49A8">
              <w:rPr>
                <w:noProof/>
                <w:sz w:val="20"/>
              </w:rPr>
              <w:t>Anno</w:t>
            </w:r>
          </w:p>
        </w:tc>
        <w:tc>
          <w:tcPr>
            <w:tcW w:w="522" w:type="pct"/>
            <w:tcBorders>
              <w:top w:val="single" w:sz="8" w:space="0" w:color="auto"/>
              <w:left w:val="nil"/>
              <w:bottom w:val="nil"/>
              <w:right w:val="single" w:sz="8" w:space="0" w:color="auto"/>
            </w:tcBorders>
            <w:shd w:val="clear" w:color="auto" w:fill="auto"/>
            <w:vAlign w:val="center"/>
            <w:hideMark/>
          </w:tcPr>
          <w:p w14:paraId="102FBD60" w14:textId="77777777" w:rsidR="00412E11" w:rsidRPr="00EC49A8" w:rsidRDefault="00412E11" w:rsidP="000C5C29">
            <w:pPr>
              <w:spacing w:before="0" w:after="0"/>
              <w:jc w:val="center"/>
              <w:rPr>
                <w:noProof/>
                <w:sz w:val="20"/>
                <w:szCs w:val="20"/>
              </w:rPr>
            </w:pPr>
            <w:r w:rsidRPr="00EC49A8">
              <w:rPr>
                <w:noProof/>
                <w:sz w:val="20"/>
              </w:rPr>
              <w:t>Anno</w:t>
            </w:r>
          </w:p>
        </w:tc>
      </w:tr>
      <w:tr w:rsidR="00E254F3" w:rsidRPr="00EC49A8" w14:paraId="333E0CFA" w14:textId="77777777" w:rsidTr="000C5C29">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708A2DBE" w14:textId="77777777" w:rsidR="00412E11" w:rsidRPr="00EC49A8" w:rsidRDefault="00412E11" w:rsidP="000C5C29">
            <w:pPr>
              <w:spacing w:before="0" w:after="0"/>
              <w:jc w:val="left"/>
              <w:rPr>
                <w:b/>
                <w:bCs/>
                <w:noProof/>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14:paraId="0009D17B" w14:textId="77777777" w:rsidR="00412E11" w:rsidRPr="00EC49A8" w:rsidRDefault="00412E11" w:rsidP="000C5C29">
            <w:pPr>
              <w:spacing w:before="0" w:after="0"/>
              <w:jc w:val="center"/>
              <w:rPr>
                <w:b/>
                <w:bCs/>
                <w:noProof/>
                <w:sz w:val="20"/>
                <w:szCs w:val="20"/>
              </w:rPr>
            </w:pPr>
            <w:r w:rsidRPr="00B17672">
              <w:rPr>
                <w:b/>
                <w:noProof/>
                <w:sz w:val="20"/>
              </w:rPr>
              <w:t>2024</w:t>
            </w:r>
          </w:p>
        </w:tc>
        <w:tc>
          <w:tcPr>
            <w:tcW w:w="522" w:type="pct"/>
            <w:tcBorders>
              <w:top w:val="nil"/>
              <w:left w:val="nil"/>
              <w:bottom w:val="single" w:sz="8" w:space="0" w:color="auto"/>
              <w:right w:val="single" w:sz="8" w:space="0" w:color="auto"/>
            </w:tcBorders>
            <w:shd w:val="clear" w:color="auto" w:fill="auto"/>
            <w:vAlign w:val="center"/>
            <w:hideMark/>
          </w:tcPr>
          <w:p w14:paraId="13B60E1D" w14:textId="77777777" w:rsidR="00412E11" w:rsidRPr="00EC49A8" w:rsidRDefault="00412E11" w:rsidP="000C5C29">
            <w:pPr>
              <w:spacing w:before="0" w:after="0"/>
              <w:jc w:val="center"/>
              <w:rPr>
                <w:b/>
                <w:bCs/>
                <w:noProof/>
                <w:sz w:val="20"/>
                <w:szCs w:val="20"/>
              </w:rPr>
            </w:pPr>
            <w:r w:rsidRPr="00B17672">
              <w:rPr>
                <w:b/>
                <w:noProof/>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4A482B61" w14:textId="77777777" w:rsidR="00412E11" w:rsidRPr="00EC49A8" w:rsidRDefault="00412E11" w:rsidP="000C5C29">
            <w:pPr>
              <w:spacing w:before="0" w:after="0"/>
              <w:jc w:val="center"/>
              <w:rPr>
                <w:b/>
                <w:bCs/>
                <w:noProof/>
                <w:sz w:val="20"/>
                <w:szCs w:val="20"/>
              </w:rPr>
            </w:pPr>
            <w:r w:rsidRPr="00B17672">
              <w:rPr>
                <w:b/>
                <w:noProof/>
                <w:sz w:val="20"/>
              </w:rPr>
              <w:t>2026</w:t>
            </w:r>
          </w:p>
        </w:tc>
        <w:tc>
          <w:tcPr>
            <w:tcW w:w="522" w:type="pct"/>
            <w:tcBorders>
              <w:top w:val="nil"/>
              <w:left w:val="nil"/>
              <w:bottom w:val="single" w:sz="8" w:space="0" w:color="auto"/>
              <w:right w:val="single" w:sz="8" w:space="0" w:color="auto"/>
            </w:tcBorders>
            <w:shd w:val="clear" w:color="auto" w:fill="auto"/>
            <w:vAlign w:val="center"/>
            <w:hideMark/>
          </w:tcPr>
          <w:p w14:paraId="4DB4FC40" w14:textId="77777777" w:rsidR="00412E11" w:rsidRPr="00EC49A8" w:rsidRDefault="00412E11" w:rsidP="000C5C29">
            <w:pPr>
              <w:spacing w:before="0" w:after="0"/>
              <w:jc w:val="center"/>
              <w:rPr>
                <w:b/>
                <w:bCs/>
                <w:noProof/>
                <w:sz w:val="20"/>
                <w:szCs w:val="20"/>
              </w:rPr>
            </w:pPr>
            <w:r w:rsidRPr="00B17672">
              <w:rPr>
                <w:b/>
                <w:noProof/>
                <w:sz w:val="20"/>
              </w:rPr>
              <w:t>2027</w:t>
            </w:r>
          </w:p>
        </w:tc>
      </w:tr>
      <w:tr w:rsidR="00E254F3" w:rsidRPr="00EC49A8" w14:paraId="6ED2EFC0"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E84919C" w14:textId="5A1B2138" w:rsidR="00412E11" w:rsidRPr="00EC49A8" w:rsidRDefault="00412E11" w:rsidP="000C5C29">
            <w:pPr>
              <w:spacing w:before="0" w:after="0"/>
              <w:jc w:val="left"/>
              <w:rPr>
                <w:rFonts w:ascii="Wingdings" w:hAnsi="Wingdings" w:cs="Calibri"/>
                <w:b/>
                <w:bCs/>
                <w:noProof/>
                <w:sz w:val="16"/>
                <w:szCs w:val="16"/>
              </w:rPr>
            </w:pPr>
            <w:r w:rsidRPr="00EC49A8">
              <w:rPr>
                <w:rFonts w:ascii="Wingdings" w:hAnsi="Wingdings"/>
                <w:b/>
                <w:noProof/>
                <w:sz w:val="16"/>
              </w:rPr>
              <w:t></w:t>
            </w:r>
            <w:r w:rsidRPr="00EC49A8">
              <w:rPr>
                <w:b/>
                <w:noProof/>
                <w:sz w:val="16"/>
              </w:rPr>
              <w:t>Posti della tabella dell</w:t>
            </w:r>
            <w:r w:rsidR="00B17672">
              <w:rPr>
                <w:b/>
                <w:noProof/>
                <w:sz w:val="16"/>
              </w:rPr>
              <w:t>'</w:t>
            </w:r>
            <w:r w:rsidRPr="00EC49A8">
              <w:rPr>
                <w:b/>
                <w:noProof/>
                <w:sz w:val="16"/>
              </w:rPr>
              <w:t>organico (funzionari e agenti temporanei)</w:t>
            </w:r>
          </w:p>
        </w:tc>
      </w:tr>
      <w:tr w:rsidR="00E254F3" w:rsidRPr="00EC49A8" w14:paraId="3786BF4E"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44901D" w14:textId="77777777" w:rsidR="00412E11" w:rsidRPr="00EC49A8" w:rsidRDefault="00412E11" w:rsidP="000C5C29">
            <w:pPr>
              <w:spacing w:before="0" w:after="0"/>
              <w:ind w:firstLineChars="100" w:firstLine="160"/>
              <w:jc w:val="left"/>
              <w:rPr>
                <w:noProof/>
                <w:sz w:val="16"/>
                <w:szCs w:val="16"/>
              </w:rPr>
            </w:pPr>
            <w:r w:rsidRPr="00B17672">
              <w:rPr>
                <w:noProof/>
                <w:sz w:val="16"/>
              </w:rPr>
              <w:t>20</w:t>
            </w:r>
            <w:r w:rsidRPr="00EC49A8">
              <w:rPr>
                <w:noProof/>
                <w:sz w:val="16"/>
              </w:rPr>
              <w:t xml:space="preserve"> </w:t>
            </w:r>
            <w:r w:rsidRPr="00B17672">
              <w:rPr>
                <w:noProof/>
                <w:sz w:val="16"/>
              </w:rPr>
              <w:t>01</w:t>
            </w:r>
            <w:r w:rsidRPr="00EC49A8">
              <w:rPr>
                <w:noProof/>
                <w:sz w:val="16"/>
              </w:rPr>
              <w:t xml:space="preserve"> </w:t>
            </w:r>
            <w:r w:rsidRPr="00B17672">
              <w:rPr>
                <w:noProof/>
                <w:sz w:val="16"/>
              </w:rPr>
              <w:t>02</w:t>
            </w:r>
            <w:r w:rsidRPr="00EC49A8">
              <w:rPr>
                <w:noProof/>
                <w:sz w:val="16"/>
              </w:rPr>
              <w:t xml:space="preserve"> </w:t>
            </w:r>
            <w:r w:rsidRPr="00B17672">
              <w:rPr>
                <w:noProof/>
                <w:sz w:val="16"/>
              </w:rPr>
              <w:t>01</w:t>
            </w:r>
            <w:r w:rsidRPr="00EC49A8">
              <w:rPr>
                <w:rFonts w:ascii="Arial Narrow" w:hAnsi="Arial Narrow"/>
                <w:noProof/>
                <w:sz w:val="20"/>
              </w:rPr>
              <w:t xml:space="preserve"> </w:t>
            </w:r>
            <w:r w:rsidRPr="00EC49A8">
              <w:rPr>
                <w:noProof/>
                <w:sz w:val="16"/>
              </w:rPr>
              <w:t>(sede e uffici di rappresentanza della Commissione)</w:t>
            </w:r>
          </w:p>
        </w:tc>
        <w:tc>
          <w:tcPr>
            <w:tcW w:w="522" w:type="pct"/>
            <w:tcBorders>
              <w:top w:val="nil"/>
              <w:left w:val="nil"/>
              <w:bottom w:val="single" w:sz="8" w:space="0" w:color="auto"/>
              <w:right w:val="single" w:sz="8" w:space="0" w:color="auto"/>
            </w:tcBorders>
            <w:shd w:val="clear" w:color="000000" w:fill="D9D9D9"/>
            <w:vAlign w:val="center"/>
            <w:hideMark/>
          </w:tcPr>
          <w:p w14:paraId="3A5969A6"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336D93A"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A384A55"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C886491"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42EA282F"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765E8C1" w14:textId="77777777" w:rsidR="00412E11" w:rsidRPr="00EC49A8" w:rsidRDefault="00412E11" w:rsidP="000C5C29">
            <w:pPr>
              <w:spacing w:before="0" w:after="0"/>
              <w:ind w:firstLineChars="100" w:firstLine="160"/>
              <w:jc w:val="left"/>
              <w:rPr>
                <w:noProof/>
                <w:sz w:val="16"/>
                <w:szCs w:val="16"/>
              </w:rPr>
            </w:pPr>
            <w:r w:rsidRPr="00B17672">
              <w:rPr>
                <w:noProof/>
                <w:sz w:val="16"/>
              </w:rPr>
              <w:t>20</w:t>
            </w:r>
            <w:r w:rsidRPr="00EC49A8">
              <w:rPr>
                <w:noProof/>
                <w:sz w:val="16"/>
              </w:rPr>
              <w:t xml:space="preserve"> </w:t>
            </w:r>
            <w:r w:rsidRPr="00B17672">
              <w:rPr>
                <w:noProof/>
                <w:sz w:val="16"/>
              </w:rPr>
              <w:t>01</w:t>
            </w:r>
            <w:r w:rsidRPr="00EC49A8">
              <w:rPr>
                <w:noProof/>
                <w:sz w:val="16"/>
              </w:rPr>
              <w:t xml:space="preserve"> </w:t>
            </w:r>
            <w:r w:rsidRPr="00B17672">
              <w:rPr>
                <w:noProof/>
                <w:sz w:val="16"/>
              </w:rPr>
              <w:t>02</w:t>
            </w:r>
            <w:r w:rsidRPr="00EC49A8">
              <w:rPr>
                <w:noProof/>
                <w:sz w:val="16"/>
              </w:rPr>
              <w:t xml:space="preserve"> </w:t>
            </w:r>
            <w:r w:rsidRPr="00B17672">
              <w:rPr>
                <w:noProof/>
                <w:sz w:val="16"/>
              </w:rPr>
              <w:t>03</w:t>
            </w:r>
            <w:r w:rsidRPr="00EC49A8">
              <w:rPr>
                <w:noProof/>
                <w:sz w:val="16"/>
              </w:rPr>
              <w:t xml:space="preserve"> (delegazioni UE)</w:t>
            </w:r>
          </w:p>
        </w:tc>
        <w:tc>
          <w:tcPr>
            <w:tcW w:w="522" w:type="pct"/>
            <w:tcBorders>
              <w:top w:val="nil"/>
              <w:left w:val="nil"/>
              <w:bottom w:val="single" w:sz="8" w:space="0" w:color="auto"/>
              <w:right w:val="single" w:sz="8" w:space="0" w:color="auto"/>
            </w:tcBorders>
            <w:shd w:val="clear" w:color="000000" w:fill="D9D9D9"/>
            <w:vAlign w:val="center"/>
            <w:hideMark/>
          </w:tcPr>
          <w:p w14:paraId="2B9F10A7"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04E96A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1F6898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A0668AA"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73372422"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147887" w14:textId="77777777" w:rsidR="00412E11" w:rsidRPr="00EC49A8" w:rsidRDefault="00412E11" w:rsidP="000C5C29">
            <w:pPr>
              <w:spacing w:before="0" w:after="0"/>
              <w:ind w:firstLineChars="100" w:firstLine="160"/>
              <w:jc w:val="left"/>
              <w:rPr>
                <w:noProof/>
                <w:sz w:val="16"/>
                <w:szCs w:val="16"/>
              </w:rPr>
            </w:pP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rFonts w:ascii="Arial Narrow" w:hAnsi="Arial Narrow"/>
                <w:noProof/>
                <w:sz w:val="20"/>
              </w:rPr>
              <w:t xml:space="preserve"> </w:t>
            </w:r>
            <w:r w:rsidRPr="00EC49A8">
              <w:rPr>
                <w:noProof/>
                <w:sz w:val="16"/>
              </w:rPr>
              <w:t>(ricerca indiretta)</w:t>
            </w:r>
          </w:p>
        </w:tc>
        <w:tc>
          <w:tcPr>
            <w:tcW w:w="522" w:type="pct"/>
            <w:tcBorders>
              <w:top w:val="nil"/>
              <w:left w:val="nil"/>
              <w:bottom w:val="single" w:sz="8" w:space="0" w:color="auto"/>
              <w:right w:val="single" w:sz="8" w:space="0" w:color="auto"/>
            </w:tcBorders>
            <w:shd w:val="clear" w:color="000000" w:fill="D9D9D9"/>
            <w:vAlign w:val="center"/>
            <w:hideMark/>
          </w:tcPr>
          <w:p w14:paraId="2860AAA3"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F7EEFA8"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3BCBB9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A75C5EE"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4C904B59"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572230A" w14:textId="77777777" w:rsidR="00412E11" w:rsidRPr="00EC49A8" w:rsidRDefault="00412E11" w:rsidP="000C5C29">
            <w:pPr>
              <w:spacing w:before="0" w:after="0"/>
              <w:ind w:firstLineChars="100" w:firstLine="160"/>
              <w:jc w:val="left"/>
              <w:rPr>
                <w:noProof/>
                <w:sz w:val="16"/>
                <w:szCs w:val="16"/>
              </w:rPr>
            </w:pP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11</w:t>
            </w:r>
            <w:r w:rsidRPr="00EC49A8">
              <w:rPr>
                <w:noProof/>
                <w:sz w:val="16"/>
              </w:rPr>
              <w:t xml:space="preserve"> (ricerca diretta)</w:t>
            </w:r>
          </w:p>
        </w:tc>
        <w:tc>
          <w:tcPr>
            <w:tcW w:w="522" w:type="pct"/>
            <w:tcBorders>
              <w:top w:val="nil"/>
              <w:left w:val="nil"/>
              <w:bottom w:val="single" w:sz="8" w:space="0" w:color="auto"/>
              <w:right w:val="single" w:sz="8" w:space="0" w:color="auto"/>
            </w:tcBorders>
            <w:shd w:val="clear" w:color="000000" w:fill="D9D9D9"/>
            <w:vAlign w:val="center"/>
            <w:hideMark/>
          </w:tcPr>
          <w:p w14:paraId="26B705AF"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661D640"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26540A0"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16CF8C5"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330ECEFD"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6A7857E" w14:textId="77777777" w:rsidR="00412E11" w:rsidRPr="00EC49A8" w:rsidRDefault="00412E11" w:rsidP="000C5C29">
            <w:pPr>
              <w:spacing w:before="0" w:after="0"/>
              <w:ind w:firstLineChars="100" w:firstLine="160"/>
              <w:jc w:val="left"/>
              <w:rPr>
                <w:noProof/>
                <w:sz w:val="16"/>
                <w:szCs w:val="16"/>
              </w:rPr>
            </w:pPr>
            <w:r w:rsidRPr="00EC49A8">
              <w:rPr>
                <w:noProof/>
                <w:sz w:val="16"/>
              </w:rPr>
              <w:t>Altre linee di bilancio (specificare)</w:t>
            </w:r>
          </w:p>
        </w:tc>
        <w:tc>
          <w:tcPr>
            <w:tcW w:w="522" w:type="pct"/>
            <w:tcBorders>
              <w:top w:val="nil"/>
              <w:left w:val="nil"/>
              <w:bottom w:val="single" w:sz="8" w:space="0" w:color="auto"/>
              <w:right w:val="single" w:sz="8" w:space="0" w:color="auto"/>
            </w:tcBorders>
            <w:shd w:val="clear" w:color="000000" w:fill="D9D9D9"/>
            <w:vAlign w:val="center"/>
            <w:hideMark/>
          </w:tcPr>
          <w:p w14:paraId="73B91CA5"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F8CD90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96EE1BE"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DD72E0F"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3C9B486A"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A279C12" w14:textId="77777777" w:rsidR="00412E11" w:rsidRPr="00EC49A8" w:rsidRDefault="00412E11" w:rsidP="000C5C29">
            <w:pPr>
              <w:spacing w:before="0" w:after="0"/>
              <w:jc w:val="left"/>
              <w:rPr>
                <w:rFonts w:ascii="Wingdings" w:hAnsi="Wingdings" w:cs="Calibri"/>
                <w:b/>
                <w:bCs/>
                <w:noProof/>
                <w:sz w:val="16"/>
                <w:szCs w:val="16"/>
              </w:rPr>
            </w:pPr>
            <w:r w:rsidRPr="00EC49A8">
              <w:rPr>
                <w:rFonts w:ascii="Calibri" w:hAnsi="Calibri"/>
                <w:b/>
                <w:noProof/>
                <w:sz w:val="16"/>
              </w:rPr>
              <w:t>•</w:t>
            </w:r>
            <w:r w:rsidRPr="00EC49A8">
              <w:rPr>
                <w:b/>
                <w:noProof/>
                <w:sz w:val="16"/>
              </w:rPr>
              <w:t xml:space="preserve"> Personale esterno (in ETP)</w:t>
            </w:r>
          </w:p>
        </w:tc>
      </w:tr>
      <w:tr w:rsidR="00E254F3" w:rsidRPr="00EC49A8" w14:paraId="2E87FAC6"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35D73C" w14:textId="77777777" w:rsidR="00412E11" w:rsidRPr="00EC49A8" w:rsidRDefault="00412E11" w:rsidP="000C5C29">
            <w:pPr>
              <w:spacing w:before="0" w:after="0"/>
              <w:ind w:firstLineChars="100" w:firstLine="160"/>
              <w:jc w:val="left"/>
              <w:rPr>
                <w:noProof/>
                <w:sz w:val="16"/>
                <w:szCs w:val="16"/>
              </w:rPr>
            </w:pPr>
            <w:r w:rsidRPr="00B17672">
              <w:rPr>
                <w:noProof/>
                <w:sz w:val="16"/>
              </w:rPr>
              <w:t>20</w:t>
            </w:r>
            <w:r w:rsidRPr="00EC49A8">
              <w:rPr>
                <w:noProof/>
                <w:sz w:val="16"/>
              </w:rPr>
              <w:t xml:space="preserve"> </w:t>
            </w:r>
            <w:r w:rsidRPr="00B17672">
              <w:rPr>
                <w:noProof/>
                <w:sz w:val="16"/>
              </w:rPr>
              <w:t>02</w:t>
            </w:r>
            <w:r w:rsidRPr="00EC49A8">
              <w:rPr>
                <w:noProof/>
                <w:sz w:val="16"/>
              </w:rPr>
              <w:t xml:space="preserve"> </w:t>
            </w:r>
            <w:r w:rsidRPr="00B17672">
              <w:rPr>
                <w:noProof/>
                <w:sz w:val="16"/>
              </w:rPr>
              <w:t>01</w:t>
            </w:r>
            <w:r w:rsidRPr="00EC49A8">
              <w:rPr>
                <w:rFonts w:ascii="Arial Narrow" w:hAnsi="Arial Narrow"/>
                <w:noProof/>
                <w:sz w:val="20"/>
              </w:rPr>
              <w:t xml:space="preserve"> </w:t>
            </w:r>
            <w:r w:rsidRPr="00EC49A8">
              <w:rPr>
                <w:noProof/>
                <w:sz w:val="16"/>
              </w:rPr>
              <w:t>(AC, END della dotazione globale)</w:t>
            </w:r>
          </w:p>
        </w:tc>
        <w:tc>
          <w:tcPr>
            <w:tcW w:w="522" w:type="pct"/>
            <w:tcBorders>
              <w:top w:val="nil"/>
              <w:left w:val="nil"/>
              <w:bottom w:val="single" w:sz="8" w:space="0" w:color="auto"/>
              <w:right w:val="single" w:sz="8" w:space="0" w:color="auto"/>
            </w:tcBorders>
            <w:shd w:val="clear" w:color="000000" w:fill="D9D9D9"/>
            <w:vAlign w:val="center"/>
            <w:hideMark/>
          </w:tcPr>
          <w:p w14:paraId="288EF2A3"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EFF28E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DD065DA"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EE050C8"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0DC3CB9A"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AC49FC" w14:textId="77777777" w:rsidR="00412E11" w:rsidRPr="00EC49A8" w:rsidRDefault="00412E11" w:rsidP="000C5C29">
            <w:pPr>
              <w:spacing w:before="0" w:after="0"/>
              <w:ind w:firstLineChars="100" w:firstLine="160"/>
              <w:jc w:val="left"/>
              <w:rPr>
                <w:noProof/>
                <w:sz w:val="16"/>
                <w:szCs w:val="16"/>
              </w:rPr>
            </w:pPr>
            <w:r w:rsidRPr="00B17672">
              <w:rPr>
                <w:noProof/>
                <w:sz w:val="16"/>
              </w:rPr>
              <w:t>20</w:t>
            </w:r>
            <w:r w:rsidRPr="00EC49A8">
              <w:rPr>
                <w:noProof/>
                <w:sz w:val="16"/>
              </w:rPr>
              <w:t xml:space="preserve"> </w:t>
            </w:r>
            <w:r w:rsidRPr="00B17672">
              <w:rPr>
                <w:noProof/>
                <w:sz w:val="16"/>
              </w:rPr>
              <w:t>02</w:t>
            </w:r>
            <w:r w:rsidRPr="00EC49A8">
              <w:rPr>
                <w:noProof/>
                <w:sz w:val="16"/>
              </w:rPr>
              <w:t xml:space="preserve"> </w:t>
            </w:r>
            <w:r w:rsidRPr="00B17672">
              <w:rPr>
                <w:noProof/>
                <w:sz w:val="16"/>
              </w:rPr>
              <w:t>03</w:t>
            </w:r>
            <w:r w:rsidRPr="00EC49A8">
              <w:rPr>
                <w:noProof/>
                <w:sz w:val="16"/>
              </w:rPr>
              <w:t xml:space="preserve"> (AC, AL, END e JPD nelle delegazioni UE)</w:t>
            </w:r>
          </w:p>
        </w:tc>
        <w:tc>
          <w:tcPr>
            <w:tcW w:w="522" w:type="pct"/>
            <w:tcBorders>
              <w:top w:val="nil"/>
              <w:left w:val="nil"/>
              <w:bottom w:val="single" w:sz="8" w:space="0" w:color="auto"/>
              <w:right w:val="single" w:sz="8" w:space="0" w:color="auto"/>
            </w:tcBorders>
            <w:shd w:val="clear" w:color="000000" w:fill="D9D9D9"/>
            <w:vAlign w:val="center"/>
            <w:hideMark/>
          </w:tcPr>
          <w:p w14:paraId="399F0A0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550CBAB"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7A2352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4DD6DA3"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02FE2C34" w14:textId="77777777" w:rsidTr="000C5C29">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2B668E11" w14:textId="77777777" w:rsidR="00412E11" w:rsidRPr="00EC49A8" w:rsidRDefault="00412E11" w:rsidP="000C5C29">
            <w:pPr>
              <w:spacing w:before="0" w:after="0"/>
              <w:jc w:val="center"/>
              <w:rPr>
                <w:noProof/>
                <w:sz w:val="16"/>
                <w:szCs w:val="16"/>
              </w:rPr>
            </w:pPr>
            <w:r w:rsidRPr="00EC49A8">
              <w:rPr>
                <w:noProof/>
                <w:sz w:val="16"/>
              </w:rPr>
              <w:t>Linea di sostegno amministrativo</w:t>
            </w:r>
            <w:r w:rsidRPr="00EC49A8">
              <w:rPr>
                <w:noProof/>
              </w:rPr>
              <w:t xml:space="preserve"> </w:t>
            </w:r>
            <w:r w:rsidRPr="00EC49A8">
              <w:rPr>
                <w:noProof/>
              </w:rPr>
              <w:br/>
            </w:r>
            <w:r w:rsidRPr="00EC49A8">
              <w:rPr>
                <w:noProof/>
                <w:sz w:val="16"/>
              </w:rPr>
              <w:t>[XX.</w:t>
            </w:r>
            <w:r w:rsidRPr="00B17672">
              <w:rPr>
                <w:noProof/>
                <w:sz w:val="16"/>
              </w:rPr>
              <w:t>01</w:t>
            </w:r>
            <w:r w:rsidRPr="00EC49A8">
              <w:rPr>
                <w:noProof/>
                <w:sz w:val="16"/>
              </w:rPr>
              <w:t>.YY.YY]</w:t>
            </w:r>
          </w:p>
        </w:tc>
        <w:tc>
          <w:tcPr>
            <w:tcW w:w="2098" w:type="pct"/>
            <w:tcBorders>
              <w:top w:val="nil"/>
              <w:left w:val="nil"/>
              <w:bottom w:val="single" w:sz="8" w:space="0" w:color="auto"/>
              <w:right w:val="single" w:sz="8" w:space="0" w:color="auto"/>
            </w:tcBorders>
            <w:shd w:val="clear" w:color="auto" w:fill="auto"/>
            <w:vAlign w:val="center"/>
            <w:hideMark/>
          </w:tcPr>
          <w:p w14:paraId="1864E1B8" w14:textId="77777777" w:rsidR="00412E11" w:rsidRPr="00EC49A8" w:rsidRDefault="00412E11" w:rsidP="000C5C29">
            <w:pPr>
              <w:spacing w:before="0" w:after="0"/>
              <w:ind w:firstLineChars="100" w:firstLine="160"/>
              <w:jc w:val="left"/>
              <w:rPr>
                <w:noProof/>
                <w:sz w:val="16"/>
                <w:szCs w:val="16"/>
              </w:rPr>
            </w:pPr>
            <w:r w:rsidRPr="00EC49A8">
              <w:rPr>
                <w:noProof/>
                <w:sz w:val="16"/>
              </w:rPr>
              <w:t>- in sede</w:t>
            </w:r>
          </w:p>
        </w:tc>
        <w:tc>
          <w:tcPr>
            <w:tcW w:w="522" w:type="pct"/>
            <w:tcBorders>
              <w:top w:val="nil"/>
              <w:left w:val="nil"/>
              <w:bottom w:val="single" w:sz="8" w:space="0" w:color="auto"/>
              <w:right w:val="single" w:sz="8" w:space="0" w:color="auto"/>
            </w:tcBorders>
            <w:shd w:val="clear" w:color="000000" w:fill="D9D9D9"/>
            <w:vAlign w:val="center"/>
            <w:hideMark/>
          </w:tcPr>
          <w:p w14:paraId="7134048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39E306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6B350A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82A1F42"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10A775FD" w14:textId="77777777" w:rsidTr="000C5C29">
        <w:trPr>
          <w:trHeight w:val="300"/>
        </w:trPr>
        <w:tc>
          <w:tcPr>
            <w:tcW w:w="815" w:type="pct"/>
            <w:vMerge/>
            <w:tcBorders>
              <w:top w:val="nil"/>
              <w:left w:val="single" w:sz="8" w:space="0" w:color="auto"/>
              <w:bottom w:val="single" w:sz="8" w:space="0" w:color="auto"/>
              <w:right w:val="single" w:sz="8" w:space="0" w:color="auto"/>
            </w:tcBorders>
            <w:vAlign w:val="center"/>
            <w:hideMark/>
          </w:tcPr>
          <w:p w14:paraId="6BF278DE" w14:textId="77777777" w:rsidR="00412E11" w:rsidRPr="00EC49A8" w:rsidRDefault="00412E11" w:rsidP="000C5C29">
            <w:pPr>
              <w:spacing w:before="0" w:after="0"/>
              <w:jc w:val="left"/>
              <w:rPr>
                <w:noProof/>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5013BC69" w14:textId="77777777" w:rsidR="00412E11" w:rsidRPr="00EC49A8" w:rsidRDefault="00412E11" w:rsidP="000C5C29">
            <w:pPr>
              <w:spacing w:before="0" w:after="0"/>
              <w:ind w:firstLineChars="100" w:firstLine="160"/>
              <w:jc w:val="left"/>
              <w:rPr>
                <w:noProof/>
                <w:sz w:val="16"/>
                <w:szCs w:val="16"/>
              </w:rPr>
            </w:pPr>
            <w:r w:rsidRPr="00EC49A8">
              <w:rPr>
                <w:noProof/>
                <w:sz w:val="16"/>
              </w:rPr>
              <w:t xml:space="preserve">- nelle delegazioni UE </w:t>
            </w:r>
          </w:p>
        </w:tc>
        <w:tc>
          <w:tcPr>
            <w:tcW w:w="522" w:type="pct"/>
            <w:tcBorders>
              <w:top w:val="nil"/>
              <w:left w:val="nil"/>
              <w:bottom w:val="single" w:sz="8" w:space="0" w:color="auto"/>
              <w:right w:val="single" w:sz="8" w:space="0" w:color="auto"/>
            </w:tcBorders>
            <w:shd w:val="clear" w:color="000000" w:fill="D9D9D9"/>
            <w:vAlign w:val="center"/>
            <w:hideMark/>
          </w:tcPr>
          <w:p w14:paraId="202FD7F2"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67C238C"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6C9A62"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86B8A5A"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53FB10AB"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36635D8" w14:textId="77777777" w:rsidR="00412E11" w:rsidRPr="00EC49A8" w:rsidRDefault="00412E11" w:rsidP="000C5C29">
            <w:pPr>
              <w:spacing w:before="0" w:after="0"/>
              <w:ind w:firstLineChars="100" w:firstLine="160"/>
              <w:jc w:val="left"/>
              <w:rPr>
                <w:noProof/>
                <w:sz w:val="16"/>
                <w:szCs w:val="16"/>
              </w:rPr>
            </w:pP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02</w:t>
            </w:r>
            <w:r w:rsidRPr="00EC49A8">
              <w:rPr>
                <w:rFonts w:ascii="Arial Narrow" w:hAnsi="Arial Narrow"/>
                <w:noProof/>
                <w:sz w:val="20"/>
              </w:rPr>
              <w:t xml:space="preserve"> </w:t>
            </w:r>
            <w:r w:rsidRPr="00EC49A8">
              <w:rPr>
                <w:noProof/>
                <w:sz w:val="16"/>
              </w:rPr>
              <w:t>(AC, END - ricerca indiretta)</w:t>
            </w:r>
          </w:p>
        </w:tc>
        <w:tc>
          <w:tcPr>
            <w:tcW w:w="522" w:type="pct"/>
            <w:tcBorders>
              <w:top w:val="nil"/>
              <w:left w:val="nil"/>
              <w:bottom w:val="single" w:sz="8" w:space="0" w:color="auto"/>
              <w:right w:val="single" w:sz="8" w:space="0" w:color="auto"/>
            </w:tcBorders>
            <w:shd w:val="clear" w:color="000000" w:fill="D9D9D9"/>
            <w:vAlign w:val="center"/>
            <w:hideMark/>
          </w:tcPr>
          <w:p w14:paraId="032C4529"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465F762"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6D03B00"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D745C05"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3F67D63F"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BB5CB1" w14:textId="77777777" w:rsidR="00412E11" w:rsidRPr="00EC49A8" w:rsidRDefault="00412E11" w:rsidP="000C5C29">
            <w:pPr>
              <w:spacing w:before="0" w:after="0"/>
              <w:ind w:firstLineChars="100" w:firstLine="160"/>
              <w:jc w:val="left"/>
              <w:rPr>
                <w:noProof/>
                <w:sz w:val="16"/>
                <w:szCs w:val="16"/>
              </w:rPr>
            </w:pP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01</w:t>
            </w:r>
            <w:r w:rsidRPr="00EC49A8">
              <w:rPr>
                <w:noProof/>
                <w:sz w:val="16"/>
              </w:rPr>
              <w:t xml:space="preserve"> </w:t>
            </w:r>
            <w:r w:rsidRPr="00B17672">
              <w:rPr>
                <w:noProof/>
                <w:sz w:val="16"/>
              </w:rPr>
              <w:t>12</w:t>
            </w:r>
            <w:r w:rsidRPr="00EC49A8">
              <w:rPr>
                <w:noProof/>
                <w:sz w:val="16"/>
              </w:rPr>
              <w:t xml:space="preserve"> (AC, END - ricerca diretta)</w:t>
            </w:r>
          </w:p>
        </w:tc>
        <w:tc>
          <w:tcPr>
            <w:tcW w:w="522" w:type="pct"/>
            <w:tcBorders>
              <w:top w:val="nil"/>
              <w:left w:val="nil"/>
              <w:bottom w:val="single" w:sz="8" w:space="0" w:color="auto"/>
              <w:right w:val="single" w:sz="8" w:space="0" w:color="auto"/>
            </w:tcBorders>
            <w:shd w:val="clear" w:color="000000" w:fill="D9D9D9"/>
            <w:vAlign w:val="center"/>
            <w:hideMark/>
          </w:tcPr>
          <w:p w14:paraId="6BDFD3B5"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4C9A5B1"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6E6302C"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7D2DCA8"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0B3614E5"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931817" w14:textId="77777777" w:rsidR="00412E11" w:rsidRPr="00EC49A8" w:rsidRDefault="00412E11" w:rsidP="000C5C29">
            <w:pPr>
              <w:spacing w:before="0" w:after="0"/>
              <w:ind w:firstLineChars="100" w:firstLine="160"/>
              <w:jc w:val="left"/>
              <w:rPr>
                <w:noProof/>
                <w:sz w:val="16"/>
                <w:szCs w:val="16"/>
              </w:rPr>
            </w:pPr>
            <w:r w:rsidRPr="00EC49A8">
              <w:rPr>
                <w:noProof/>
                <w:sz w:val="16"/>
              </w:rPr>
              <w:t xml:space="preserve">Altre linee di bilancio (specificare) - rubrica </w:t>
            </w:r>
            <w:r w:rsidRPr="00B17672">
              <w:rPr>
                <w:noProof/>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5F0FDEBB"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EE0847F"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647F0CE"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0EDBB46"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04A64F47"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4CC4BF7" w14:textId="77777777" w:rsidR="00412E11" w:rsidRPr="00EC49A8" w:rsidRDefault="00412E11" w:rsidP="000C5C29">
            <w:pPr>
              <w:spacing w:before="0" w:after="0"/>
              <w:ind w:firstLineChars="100" w:firstLine="160"/>
              <w:jc w:val="left"/>
              <w:rPr>
                <w:noProof/>
                <w:sz w:val="16"/>
                <w:szCs w:val="16"/>
              </w:rPr>
            </w:pPr>
            <w:r w:rsidRPr="00EC49A8">
              <w:rPr>
                <w:noProof/>
                <w:sz w:val="16"/>
              </w:rPr>
              <w:t xml:space="preserve">Altre linee di bilancio (specificare) - esclusa la rubrica </w:t>
            </w:r>
            <w:r w:rsidRPr="00B17672">
              <w:rPr>
                <w:noProof/>
                <w:sz w:val="16"/>
              </w:rPr>
              <w:t>7</w:t>
            </w:r>
          </w:p>
        </w:tc>
        <w:tc>
          <w:tcPr>
            <w:tcW w:w="522" w:type="pct"/>
            <w:tcBorders>
              <w:top w:val="nil"/>
              <w:left w:val="nil"/>
              <w:bottom w:val="single" w:sz="8" w:space="0" w:color="auto"/>
              <w:right w:val="single" w:sz="8" w:space="0" w:color="auto"/>
            </w:tcBorders>
            <w:shd w:val="clear" w:color="000000" w:fill="D9D9D9"/>
            <w:vAlign w:val="center"/>
            <w:hideMark/>
          </w:tcPr>
          <w:p w14:paraId="1C8B141B"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E8F0D54"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0FF07DC" w14:textId="77777777" w:rsidR="00412E11" w:rsidRPr="00EC49A8" w:rsidRDefault="00412E11" w:rsidP="000C5C29">
            <w:pPr>
              <w:spacing w:before="0" w:after="0"/>
              <w:jc w:val="center"/>
              <w:rPr>
                <w:noProof/>
                <w:sz w:val="16"/>
                <w:szCs w:val="16"/>
              </w:rPr>
            </w:pPr>
            <w:r w:rsidRPr="00B17672">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2DD738B" w14:textId="77777777" w:rsidR="00412E11" w:rsidRPr="00EC49A8" w:rsidRDefault="00412E11" w:rsidP="000C5C29">
            <w:pPr>
              <w:spacing w:before="0" w:after="0"/>
              <w:jc w:val="center"/>
              <w:rPr>
                <w:noProof/>
                <w:sz w:val="16"/>
                <w:szCs w:val="16"/>
              </w:rPr>
            </w:pPr>
            <w:r w:rsidRPr="00B17672">
              <w:rPr>
                <w:noProof/>
                <w:sz w:val="16"/>
              </w:rPr>
              <w:t>0</w:t>
            </w:r>
          </w:p>
        </w:tc>
      </w:tr>
      <w:tr w:rsidR="00E254F3" w:rsidRPr="00EC49A8" w14:paraId="47553CDF"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3BF79C" w14:textId="77777777" w:rsidR="00412E11" w:rsidRPr="00EC49A8" w:rsidRDefault="00412E11" w:rsidP="000C5C29">
            <w:pPr>
              <w:spacing w:before="0" w:after="0"/>
              <w:ind w:firstLineChars="100" w:firstLine="160"/>
              <w:jc w:val="left"/>
              <w:rPr>
                <w:b/>
                <w:bCs/>
                <w:noProof/>
                <w:sz w:val="16"/>
                <w:szCs w:val="16"/>
              </w:rPr>
            </w:pPr>
            <w:r w:rsidRPr="00EC49A8">
              <w:rPr>
                <w:b/>
                <w:noProof/>
                <w:sz w:val="16"/>
              </w:rPr>
              <w:t>TOTALE</w:t>
            </w:r>
          </w:p>
        </w:tc>
        <w:tc>
          <w:tcPr>
            <w:tcW w:w="522" w:type="pct"/>
            <w:tcBorders>
              <w:top w:val="nil"/>
              <w:left w:val="nil"/>
              <w:bottom w:val="single" w:sz="8" w:space="0" w:color="auto"/>
              <w:right w:val="single" w:sz="8" w:space="0" w:color="auto"/>
            </w:tcBorders>
            <w:shd w:val="clear" w:color="000000" w:fill="D9D9D9"/>
            <w:vAlign w:val="center"/>
            <w:hideMark/>
          </w:tcPr>
          <w:p w14:paraId="469721EF" w14:textId="77777777" w:rsidR="00412E11" w:rsidRPr="00EC49A8" w:rsidRDefault="00412E11" w:rsidP="000C5C29">
            <w:pPr>
              <w:spacing w:before="0" w:after="0"/>
              <w:jc w:val="center"/>
              <w:rPr>
                <w:b/>
                <w:bCs/>
                <w:noProof/>
                <w:sz w:val="16"/>
                <w:szCs w:val="16"/>
              </w:rPr>
            </w:pPr>
            <w:r w:rsidRPr="00B17672">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EFDABB6" w14:textId="77777777" w:rsidR="00412E11" w:rsidRPr="00EC49A8" w:rsidRDefault="00412E11" w:rsidP="000C5C29">
            <w:pPr>
              <w:spacing w:before="0" w:after="0"/>
              <w:jc w:val="center"/>
              <w:rPr>
                <w:b/>
                <w:bCs/>
                <w:noProof/>
                <w:sz w:val="16"/>
                <w:szCs w:val="16"/>
              </w:rPr>
            </w:pPr>
            <w:r w:rsidRPr="00B17672">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4B12F72" w14:textId="77777777" w:rsidR="00412E11" w:rsidRPr="00EC49A8" w:rsidRDefault="00412E11" w:rsidP="000C5C29">
            <w:pPr>
              <w:spacing w:before="0" w:after="0"/>
              <w:jc w:val="center"/>
              <w:rPr>
                <w:b/>
                <w:bCs/>
                <w:noProof/>
                <w:sz w:val="16"/>
                <w:szCs w:val="16"/>
              </w:rPr>
            </w:pPr>
            <w:r w:rsidRPr="00B17672">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C760973" w14:textId="77777777" w:rsidR="00412E11" w:rsidRPr="00EC49A8" w:rsidRDefault="00412E11" w:rsidP="000C5C29">
            <w:pPr>
              <w:spacing w:before="0" w:after="0"/>
              <w:jc w:val="center"/>
              <w:rPr>
                <w:b/>
                <w:bCs/>
                <w:noProof/>
                <w:sz w:val="16"/>
                <w:szCs w:val="16"/>
              </w:rPr>
            </w:pPr>
            <w:r w:rsidRPr="00B17672">
              <w:rPr>
                <w:b/>
                <w:noProof/>
                <w:sz w:val="16"/>
              </w:rPr>
              <w:t>0</w:t>
            </w:r>
          </w:p>
        </w:tc>
      </w:tr>
    </w:tbl>
    <w:p w14:paraId="2C0D046A" w14:textId="01FF0557" w:rsidR="00412E11" w:rsidRPr="00EC49A8" w:rsidRDefault="00412E11" w:rsidP="000C5C29">
      <w:pPr>
        <w:pStyle w:val="Text1"/>
        <w:ind w:left="-426"/>
        <w:rPr>
          <w:noProof/>
        </w:rPr>
      </w:pPr>
      <w:bookmarkStart w:id="161" w:name="_Hlk167692843"/>
      <w:bookmarkEnd w:id="160"/>
      <w:r w:rsidRPr="00EC49A8">
        <w:rPr>
          <w:noProof/>
        </w:rPr>
        <w:t>Personale necessario per l</w:t>
      </w:r>
      <w:r w:rsidR="00B17672">
        <w:rPr>
          <w:noProof/>
        </w:rPr>
        <w:t>'</w:t>
      </w:r>
      <w:r w:rsidRPr="00EC49A8">
        <w:rPr>
          <w:noProof/>
        </w:rPr>
        <w:t xml:space="preserve">attuazione della proposta (in ETP): </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E254F3" w:rsidRPr="00EC49A8" w14:paraId="04BB1F6D" w14:textId="77777777" w:rsidTr="000C5C29">
        <w:trPr>
          <w:trHeight w:val="300"/>
        </w:trPr>
        <w:tc>
          <w:tcPr>
            <w:tcW w:w="1845" w:type="dxa"/>
          </w:tcPr>
          <w:p w14:paraId="0A6F2257" w14:textId="77777777" w:rsidR="00412E11" w:rsidRPr="00EC49A8" w:rsidRDefault="00412E11" w:rsidP="000C5C29">
            <w:pPr>
              <w:pStyle w:val="Text1"/>
              <w:ind w:left="0"/>
              <w:jc w:val="center"/>
              <w:rPr>
                <w:b/>
                <w:bCs/>
                <w:noProof/>
                <w:sz w:val="22"/>
                <w:szCs w:val="28"/>
              </w:rPr>
            </w:pPr>
          </w:p>
        </w:tc>
        <w:tc>
          <w:tcPr>
            <w:tcW w:w="2031" w:type="dxa"/>
          </w:tcPr>
          <w:p w14:paraId="64851030" w14:textId="77777777" w:rsidR="00412E11" w:rsidRPr="00EC49A8" w:rsidRDefault="00412E11" w:rsidP="000C5C29">
            <w:pPr>
              <w:pStyle w:val="Text1"/>
              <w:ind w:left="0"/>
              <w:jc w:val="center"/>
              <w:rPr>
                <w:b/>
                <w:bCs/>
                <w:noProof/>
                <w:sz w:val="22"/>
              </w:rPr>
            </w:pPr>
            <w:r w:rsidRPr="00EC49A8">
              <w:rPr>
                <w:b/>
                <w:noProof/>
                <w:sz w:val="22"/>
              </w:rPr>
              <w:t xml:space="preserve">Da coprire con il personale attualmente disponibile presso i servizi della Commissione </w:t>
            </w:r>
          </w:p>
        </w:tc>
        <w:tc>
          <w:tcPr>
            <w:tcW w:w="5611" w:type="dxa"/>
            <w:gridSpan w:val="3"/>
          </w:tcPr>
          <w:p w14:paraId="5FCADE32" w14:textId="77777777" w:rsidR="00412E11" w:rsidRPr="00EC49A8" w:rsidRDefault="00412E11" w:rsidP="000C5C29">
            <w:pPr>
              <w:pStyle w:val="Text1"/>
              <w:ind w:left="0"/>
              <w:jc w:val="center"/>
              <w:rPr>
                <w:b/>
                <w:bCs/>
                <w:noProof/>
                <w:sz w:val="22"/>
              </w:rPr>
            </w:pPr>
            <w:r w:rsidRPr="00EC49A8">
              <w:rPr>
                <w:b/>
                <w:noProof/>
                <w:sz w:val="22"/>
              </w:rPr>
              <w:t>Personale supplementare eccezionale*</w:t>
            </w:r>
          </w:p>
        </w:tc>
      </w:tr>
      <w:tr w:rsidR="00E254F3" w:rsidRPr="00EC49A8" w14:paraId="41226B3B" w14:textId="77777777" w:rsidTr="000C5C29">
        <w:trPr>
          <w:trHeight w:val="300"/>
        </w:trPr>
        <w:tc>
          <w:tcPr>
            <w:tcW w:w="1845" w:type="dxa"/>
          </w:tcPr>
          <w:p w14:paraId="19B1445C" w14:textId="77777777" w:rsidR="00412E11" w:rsidRPr="00EC49A8" w:rsidRDefault="00412E11" w:rsidP="000C5C29">
            <w:pPr>
              <w:pStyle w:val="Text1"/>
              <w:ind w:left="0"/>
              <w:jc w:val="center"/>
              <w:rPr>
                <w:b/>
                <w:bCs/>
                <w:noProof/>
                <w:sz w:val="22"/>
                <w:szCs w:val="28"/>
              </w:rPr>
            </w:pPr>
          </w:p>
        </w:tc>
        <w:tc>
          <w:tcPr>
            <w:tcW w:w="2031" w:type="dxa"/>
          </w:tcPr>
          <w:p w14:paraId="409833E5" w14:textId="77777777" w:rsidR="00412E11" w:rsidRPr="00EC49A8" w:rsidRDefault="00412E11" w:rsidP="000C5C29">
            <w:pPr>
              <w:pStyle w:val="Text1"/>
              <w:ind w:left="0"/>
              <w:jc w:val="center"/>
              <w:rPr>
                <w:b/>
                <w:bCs/>
                <w:noProof/>
                <w:sz w:val="22"/>
                <w:szCs w:val="28"/>
              </w:rPr>
            </w:pPr>
          </w:p>
        </w:tc>
        <w:tc>
          <w:tcPr>
            <w:tcW w:w="1925" w:type="dxa"/>
          </w:tcPr>
          <w:p w14:paraId="2A0BB40E" w14:textId="77777777" w:rsidR="00412E11" w:rsidRPr="00EC49A8" w:rsidRDefault="00412E11" w:rsidP="000C5C29">
            <w:pPr>
              <w:pStyle w:val="Text1"/>
              <w:ind w:left="0"/>
              <w:jc w:val="center"/>
              <w:rPr>
                <w:b/>
                <w:bCs/>
                <w:noProof/>
                <w:sz w:val="22"/>
              </w:rPr>
            </w:pPr>
            <w:r w:rsidRPr="00EC49A8">
              <w:rPr>
                <w:b/>
                <w:noProof/>
                <w:sz w:val="22"/>
              </w:rPr>
              <w:t xml:space="preserve">Da finanziare a titolo della rubrica </w:t>
            </w:r>
            <w:r w:rsidRPr="00B17672">
              <w:rPr>
                <w:b/>
                <w:noProof/>
                <w:sz w:val="22"/>
              </w:rPr>
              <w:t>7</w:t>
            </w:r>
            <w:r w:rsidRPr="00EC49A8">
              <w:rPr>
                <w:b/>
                <w:noProof/>
                <w:sz w:val="22"/>
              </w:rPr>
              <w:t xml:space="preserve"> o della ricerca</w:t>
            </w:r>
          </w:p>
        </w:tc>
        <w:tc>
          <w:tcPr>
            <w:tcW w:w="1938" w:type="dxa"/>
          </w:tcPr>
          <w:p w14:paraId="1E074B17" w14:textId="77777777" w:rsidR="00412E11" w:rsidRPr="00EC49A8" w:rsidRDefault="00412E11" w:rsidP="000C5C29">
            <w:pPr>
              <w:pStyle w:val="Text1"/>
              <w:ind w:left="0"/>
              <w:jc w:val="center"/>
              <w:rPr>
                <w:b/>
                <w:bCs/>
                <w:noProof/>
                <w:sz w:val="22"/>
                <w:szCs w:val="28"/>
              </w:rPr>
            </w:pPr>
            <w:r w:rsidRPr="00EC49A8">
              <w:rPr>
                <w:b/>
                <w:noProof/>
                <w:sz w:val="22"/>
              </w:rPr>
              <w:t>Da finanziare a titolo della linea BA</w:t>
            </w:r>
          </w:p>
        </w:tc>
        <w:tc>
          <w:tcPr>
            <w:tcW w:w="1748" w:type="dxa"/>
          </w:tcPr>
          <w:p w14:paraId="18D86835" w14:textId="77777777" w:rsidR="00412E11" w:rsidRPr="00EC49A8" w:rsidRDefault="00412E11" w:rsidP="000C5C29">
            <w:pPr>
              <w:pStyle w:val="Text1"/>
              <w:ind w:left="0"/>
              <w:jc w:val="center"/>
              <w:rPr>
                <w:b/>
                <w:bCs/>
                <w:noProof/>
                <w:sz w:val="22"/>
                <w:szCs w:val="28"/>
              </w:rPr>
            </w:pPr>
            <w:r w:rsidRPr="00EC49A8">
              <w:rPr>
                <w:b/>
                <w:noProof/>
                <w:sz w:val="22"/>
              </w:rPr>
              <w:t>Da finanziare mediante diritti</w:t>
            </w:r>
          </w:p>
        </w:tc>
      </w:tr>
      <w:tr w:rsidR="00E254F3" w:rsidRPr="00EC49A8" w14:paraId="640F936B" w14:textId="77777777" w:rsidTr="000C5C29">
        <w:trPr>
          <w:trHeight w:val="300"/>
        </w:trPr>
        <w:tc>
          <w:tcPr>
            <w:tcW w:w="1845" w:type="dxa"/>
          </w:tcPr>
          <w:p w14:paraId="60789631" w14:textId="58DF27BE" w:rsidR="00412E11" w:rsidRPr="00EC49A8" w:rsidRDefault="00412E11" w:rsidP="000C5C29">
            <w:pPr>
              <w:pStyle w:val="Text1"/>
              <w:ind w:left="0"/>
              <w:rPr>
                <w:noProof/>
                <w:sz w:val="22"/>
                <w:szCs w:val="28"/>
              </w:rPr>
            </w:pPr>
            <w:r w:rsidRPr="00EC49A8">
              <w:rPr>
                <w:noProof/>
                <w:sz w:val="22"/>
              </w:rPr>
              <w:t>Posti della tabella dell</w:t>
            </w:r>
            <w:r w:rsidR="00B17672">
              <w:rPr>
                <w:noProof/>
                <w:sz w:val="22"/>
              </w:rPr>
              <w:t>'</w:t>
            </w:r>
            <w:r w:rsidRPr="00EC49A8">
              <w:rPr>
                <w:noProof/>
                <w:sz w:val="22"/>
              </w:rPr>
              <w:t>organico</w:t>
            </w:r>
          </w:p>
        </w:tc>
        <w:tc>
          <w:tcPr>
            <w:tcW w:w="2031" w:type="dxa"/>
          </w:tcPr>
          <w:p w14:paraId="0D26B4E3" w14:textId="77777777" w:rsidR="00412E11" w:rsidRPr="00EC49A8" w:rsidRDefault="00412E11" w:rsidP="000C5C29">
            <w:pPr>
              <w:pStyle w:val="Text1"/>
              <w:ind w:left="0"/>
              <w:rPr>
                <w:noProof/>
                <w:sz w:val="22"/>
                <w:szCs w:val="28"/>
              </w:rPr>
            </w:pPr>
          </w:p>
        </w:tc>
        <w:tc>
          <w:tcPr>
            <w:tcW w:w="1925" w:type="dxa"/>
          </w:tcPr>
          <w:p w14:paraId="20F62F33" w14:textId="77777777" w:rsidR="00412E11" w:rsidRPr="00EC49A8" w:rsidRDefault="00412E11" w:rsidP="000C5C29">
            <w:pPr>
              <w:pStyle w:val="Text1"/>
              <w:ind w:left="0"/>
              <w:rPr>
                <w:noProof/>
                <w:sz w:val="22"/>
                <w:szCs w:val="28"/>
              </w:rPr>
            </w:pPr>
          </w:p>
        </w:tc>
        <w:tc>
          <w:tcPr>
            <w:tcW w:w="1938" w:type="dxa"/>
          </w:tcPr>
          <w:p w14:paraId="1F7D7CFD" w14:textId="77777777" w:rsidR="00412E11" w:rsidRPr="00EC49A8" w:rsidRDefault="00412E11" w:rsidP="000C5C29">
            <w:pPr>
              <w:pStyle w:val="Text1"/>
              <w:ind w:left="0"/>
              <w:rPr>
                <w:noProof/>
                <w:sz w:val="22"/>
                <w:szCs w:val="28"/>
              </w:rPr>
            </w:pPr>
            <w:r w:rsidRPr="00EC49A8">
              <w:rPr>
                <w:noProof/>
                <w:sz w:val="22"/>
              </w:rPr>
              <w:t>N/D</w:t>
            </w:r>
          </w:p>
        </w:tc>
        <w:tc>
          <w:tcPr>
            <w:tcW w:w="1748" w:type="dxa"/>
          </w:tcPr>
          <w:p w14:paraId="2C30B800" w14:textId="77777777" w:rsidR="00412E11" w:rsidRPr="00EC49A8" w:rsidRDefault="00412E11" w:rsidP="000C5C29">
            <w:pPr>
              <w:pStyle w:val="Text1"/>
              <w:ind w:left="0"/>
              <w:rPr>
                <w:noProof/>
                <w:sz w:val="22"/>
                <w:szCs w:val="28"/>
              </w:rPr>
            </w:pPr>
          </w:p>
        </w:tc>
      </w:tr>
      <w:tr w:rsidR="00E254F3" w:rsidRPr="00EC49A8" w14:paraId="14340B43" w14:textId="77777777" w:rsidTr="000C5C29">
        <w:trPr>
          <w:trHeight w:val="300"/>
        </w:trPr>
        <w:tc>
          <w:tcPr>
            <w:tcW w:w="1845" w:type="dxa"/>
          </w:tcPr>
          <w:p w14:paraId="44974B49" w14:textId="77777777" w:rsidR="00412E11" w:rsidRPr="00EC49A8" w:rsidRDefault="00412E11" w:rsidP="000C5C29">
            <w:pPr>
              <w:pStyle w:val="Text1"/>
              <w:ind w:left="0"/>
              <w:rPr>
                <w:noProof/>
                <w:sz w:val="22"/>
                <w:szCs w:val="28"/>
              </w:rPr>
            </w:pPr>
            <w:r w:rsidRPr="00EC49A8">
              <w:rPr>
                <w:noProof/>
                <w:sz w:val="22"/>
              </w:rPr>
              <w:t>Personale esterno (AC, END, INT)</w:t>
            </w:r>
          </w:p>
        </w:tc>
        <w:tc>
          <w:tcPr>
            <w:tcW w:w="2031" w:type="dxa"/>
          </w:tcPr>
          <w:p w14:paraId="7B2FFA12" w14:textId="77777777" w:rsidR="00412E11" w:rsidRPr="00EC49A8" w:rsidRDefault="00412E11" w:rsidP="000C5C29">
            <w:pPr>
              <w:pStyle w:val="Text1"/>
              <w:ind w:left="0"/>
              <w:rPr>
                <w:noProof/>
                <w:sz w:val="22"/>
                <w:szCs w:val="28"/>
              </w:rPr>
            </w:pPr>
          </w:p>
        </w:tc>
        <w:tc>
          <w:tcPr>
            <w:tcW w:w="1925" w:type="dxa"/>
          </w:tcPr>
          <w:p w14:paraId="7A997A79" w14:textId="77777777" w:rsidR="00412E11" w:rsidRPr="00EC49A8" w:rsidRDefault="00412E11" w:rsidP="000C5C29">
            <w:pPr>
              <w:pStyle w:val="Text1"/>
              <w:ind w:left="0"/>
              <w:rPr>
                <w:noProof/>
                <w:sz w:val="22"/>
                <w:szCs w:val="28"/>
              </w:rPr>
            </w:pPr>
          </w:p>
        </w:tc>
        <w:tc>
          <w:tcPr>
            <w:tcW w:w="1938" w:type="dxa"/>
          </w:tcPr>
          <w:p w14:paraId="6CFC708F" w14:textId="77777777" w:rsidR="00412E11" w:rsidRPr="00EC49A8" w:rsidRDefault="00412E11" w:rsidP="000C5C29">
            <w:pPr>
              <w:pStyle w:val="Text1"/>
              <w:ind w:left="0"/>
              <w:rPr>
                <w:noProof/>
                <w:sz w:val="22"/>
                <w:szCs w:val="28"/>
              </w:rPr>
            </w:pPr>
          </w:p>
        </w:tc>
        <w:tc>
          <w:tcPr>
            <w:tcW w:w="1748" w:type="dxa"/>
          </w:tcPr>
          <w:p w14:paraId="2B7720DA" w14:textId="77777777" w:rsidR="00412E11" w:rsidRPr="00EC49A8" w:rsidRDefault="00412E11" w:rsidP="000C5C29">
            <w:pPr>
              <w:pStyle w:val="Text1"/>
              <w:ind w:left="0"/>
              <w:rPr>
                <w:noProof/>
                <w:sz w:val="22"/>
                <w:szCs w:val="28"/>
              </w:rPr>
            </w:pPr>
          </w:p>
        </w:tc>
      </w:tr>
    </w:tbl>
    <w:p w14:paraId="2BA0C86E" w14:textId="77777777" w:rsidR="00412E11" w:rsidRPr="00EC49A8" w:rsidRDefault="00412E11" w:rsidP="000C5C29">
      <w:pPr>
        <w:pStyle w:val="Text1"/>
        <w:ind w:left="-426" w:right="-427"/>
        <w:rPr>
          <w:noProof/>
        </w:rPr>
      </w:pPr>
      <w:r w:rsidRPr="00EC49A8">
        <w:rPr>
          <w:noProof/>
        </w:rPr>
        <w:t>Descrizione dei compiti da svolgere da parte di:</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254F3" w:rsidRPr="00EC49A8" w14:paraId="2F4BC31D" w14:textId="77777777" w:rsidTr="000C5C29">
        <w:tc>
          <w:tcPr>
            <w:tcW w:w="3240" w:type="dxa"/>
          </w:tcPr>
          <w:p w14:paraId="5235FB8D" w14:textId="77777777" w:rsidR="00412E11" w:rsidRPr="00EC49A8" w:rsidRDefault="00412E11" w:rsidP="000C5C29">
            <w:pPr>
              <w:rPr>
                <w:noProof/>
                <w:sz w:val="20"/>
              </w:rPr>
            </w:pPr>
            <w:r w:rsidRPr="00EC49A8">
              <w:rPr>
                <w:noProof/>
                <w:sz w:val="20"/>
              </w:rPr>
              <w:t>Funzionari e agenti temporanei</w:t>
            </w:r>
          </w:p>
        </w:tc>
        <w:tc>
          <w:tcPr>
            <w:tcW w:w="7200" w:type="dxa"/>
          </w:tcPr>
          <w:p w14:paraId="7C003705" w14:textId="77777777" w:rsidR="00412E11" w:rsidRPr="00EC49A8" w:rsidRDefault="00412E11" w:rsidP="000C5C29">
            <w:pPr>
              <w:rPr>
                <w:noProof/>
                <w:sz w:val="20"/>
              </w:rPr>
            </w:pPr>
          </w:p>
        </w:tc>
      </w:tr>
      <w:tr w:rsidR="00E254F3" w:rsidRPr="00EC49A8" w14:paraId="205B0A7D" w14:textId="77777777" w:rsidTr="000C5C29">
        <w:tc>
          <w:tcPr>
            <w:tcW w:w="3240" w:type="dxa"/>
          </w:tcPr>
          <w:p w14:paraId="0888F29A" w14:textId="77777777" w:rsidR="00412E11" w:rsidRPr="00EC49A8" w:rsidRDefault="00412E11" w:rsidP="000C5C29">
            <w:pPr>
              <w:spacing w:before="60" w:after="60"/>
              <w:rPr>
                <w:noProof/>
                <w:sz w:val="20"/>
              </w:rPr>
            </w:pPr>
            <w:r w:rsidRPr="00EC49A8">
              <w:rPr>
                <w:noProof/>
                <w:sz w:val="20"/>
              </w:rPr>
              <w:t>Personale esterno</w:t>
            </w:r>
          </w:p>
        </w:tc>
        <w:tc>
          <w:tcPr>
            <w:tcW w:w="7200" w:type="dxa"/>
          </w:tcPr>
          <w:p w14:paraId="08CFA0DE" w14:textId="77777777" w:rsidR="00412E11" w:rsidRPr="00EC49A8" w:rsidRDefault="00412E11" w:rsidP="000C5C29">
            <w:pPr>
              <w:rPr>
                <w:noProof/>
                <w:sz w:val="20"/>
              </w:rPr>
            </w:pPr>
          </w:p>
        </w:tc>
      </w:tr>
    </w:tbl>
    <w:p w14:paraId="5FAE2CD5" w14:textId="3B2F5B07" w:rsidR="00412E11" w:rsidRPr="00EC49A8" w:rsidRDefault="00412E11" w:rsidP="000C5C29">
      <w:pPr>
        <w:pStyle w:val="ManualHeading3"/>
        <w:rPr>
          <w:noProof/>
        </w:rPr>
      </w:pPr>
      <w:bookmarkStart w:id="162" w:name="_Toc177549031"/>
      <w:r w:rsidRPr="00B17672">
        <w:rPr>
          <w:noProof/>
        </w:rPr>
        <w:t>3</w:t>
      </w:r>
      <w:r w:rsidRPr="00EC49A8">
        <w:rPr>
          <w:noProof/>
        </w:rPr>
        <w:t>.</w:t>
      </w:r>
      <w:r w:rsidRPr="00B17672">
        <w:rPr>
          <w:noProof/>
        </w:rPr>
        <w:t>2</w:t>
      </w:r>
      <w:r w:rsidRPr="00EC49A8">
        <w:rPr>
          <w:noProof/>
        </w:rPr>
        <w:t>.</w:t>
      </w:r>
      <w:r w:rsidRPr="00B17672">
        <w:rPr>
          <w:noProof/>
        </w:rPr>
        <w:t>5</w:t>
      </w:r>
      <w:r w:rsidRPr="00EC49A8">
        <w:rPr>
          <w:noProof/>
        </w:rPr>
        <w:t>.</w:t>
      </w:r>
      <w:r w:rsidRPr="00EC49A8">
        <w:rPr>
          <w:noProof/>
        </w:rPr>
        <w:tab/>
        <w:t>Panoramica dell</w:t>
      </w:r>
      <w:r w:rsidR="00B17672">
        <w:rPr>
          <w:noProof/>
        </w:rPr>
        <w:t>'</w:t>
      </w:r>
      <w:r w:rsidRPr="00EC49A8">
        <w:rPr>
          <w:noProof/>
        </w:rPr>
        <w:t>incidenza prevista sugli investimenti connessi a tecnologie digitali</w:t>
      </w:r>
      <w:bookmarkEnd w:id="162"/>
    </w:p>
    <w:p w14:paraId="37FAD5E6" w14:textId="77777777" w:rsidR="00412E11" w:rsidRPr="00EC49A8" w:rsidRDefault="00412E11" w:rsidP="000C5C29">
      <w:pPr>
        <w:pStyle w:val="Text1"/>
        <w:spacing w:line="259" w:lineRule="auto"/>
        <w:rPr>
          <w:noProof/>
        </w:rPr>
      </w:pPr>
      <w:r w:rsidRPr="00EC49A8">
        <w:rPr>
          <w:noProof/>
        </w:rPr>
        <w:t xml:space="preserve">Compulsory: the best estimate of the digital technology-related investments entailed by the proposal/initiative should be included in the table below. </w:t>
      </w:r>
    </w:p>
    <w:p w14:paraId="2CECAF53" w14:textId="77777777" w:rsidR="00412E11" w:rsidRPr="00EC49A8" w:rsidRDefault="00412E11" w:rsidP="000C5C29">
      <w:pPr>
        <w:pStyle w:val="Text1"/>
        <w:spacing w:line="259" w:lineRule="auto"/>
        <w:rPr>
          <w:noProof/>
        </w:rPr>
      </w:pPr>
      <w:r w:rsidRPr="00EC49A8">
        <w:rPr>
          <w:noProof/>
        </w:rPr>
        <w:t xml:space="preserve">Exceptionally, when required for the implementation of the proposal/initiative, the appropriations under Heading </w:t>
      </w:r>
      <w:r w:rsidRPr="00B17672">
        <w:rPr>
          <w:noProof/>
        </w:rPr>
        <w:t>7</w:t>
      </w:r>
      <w:r w:rsidRPr="00EC49A8">
        <w:rPr>
          <w:noProof/>
        </w:rPr>
        <w:t xml:space="preserve"> should be presented in the designated line. </w:t>
      </w:r>
    </w:p>
    <w:p w14:paraId="0F0EC3AB" w14:textId="2C6AD035" w:rsidR="00412E11" w:rsidRPr="00EC49A8" w:rsidRDefault="00412E11" w:rsidP="000C5C29">
      <w:pPr>
        <w:pStyle w:val="Text1"/>
        <w:spacing w:line="259" w:lineRule="auto"/>
        <w:rPr>
          <w:noProof/>
        </w:rPr>
      </w:pPr>
      <w:r w:rsidRPr="00EC49A8">
        <w:rPr>
          <w:noProof/>
        </w:rPr>
        <w:t xml:space="preserve">The appropriations under Headings </w:t>
      </w:r>
      <w:r w:rsidRPr="00B17672">
        <w:rPr>
          <w:noProof/>
        </w:rPr>
        <w:t>1</w:t>
      </w:r>
      <w:r w:rsidRPr="00EC49A8">
        <w:rPr>
          <w:noProof/>
        </w:rPr>
        <w:t>-</w:t>
      </w:r>
      <w:r w:rsidRPr="00B17672">
        <w:rPr>
          <w:noProof/>
        </w:rPr>
        <w:t>6</w:t>
      </w:r>
      <w:r w:rsidRPr="00EC49A8">
        <w:rPr>
          <w:noProof/>
        </w:rPr>
        <w:t xml:space="preserve"> should be reflected as </w:t>
      </w:r>
      <w:r w:rsidR="00B17672">
        <w:rPr>
          <w:noProof/>
        </w:rPr>
        <w:t>"</w:t>
      </w:r>
      <w:r w:rsidRPr="00EC49A8">
        <w:rPr>
          <w:noProof/>
        </w:rPr>
        <w:t>Policy IT expenditure on operational programmes</w:t>
      </w:r>
      <w:r w:rsidR="00B17672">
        <w:rPr>
          <w:noProof/>
        </w:rPr>
        <w:t>"</w:t>
      </w:r>
      <w:r w:rsidRPr="00EC49A8">
        <w:rPr>
          <w:noProof/>
        </w:rPr>
        <w:t xml:space="preserve">. This expenditure refers to the operational budget to be used to re-use/ buy/ develop IT platforms/ tools directly linked to the implementation of the initiative and their associated investments (e.g. licences, studies, data storage etc). The information provided in this table should be consistent with details presented under Section </w:t>
      </w:r>
      <w:r w:rsidRPr="00B17672">
        <w:rPr>
          <w:noProof/>
        </w:rPr>
        <w:t>4</w:t>
      </w:r>
      <w:r w:rsidRPr="00EC49A8">
        <w:rPr>
          <w:noProof/>
        </w:rPr>
        <w:t xml:space="preserve"> </w:t>
      </w:r>
      <w:r w:rsidR="00B17672">
        <w:rPr>
          <w:noProof/>
        </w:rPr>
        <w:t>"</w:t>
      </w:r>
      <w:r w:rsidRPr="00EC49A8">
        <w:rPr>
          <w:noProof/>
        </w:rPr>
        <w:t>Digital dimensions</w:t>
      </w:r>
      <w:r w:rsidR="00B17672">
        <w:rPr>
          <w:noProof/>
        </w:rPr>
        <w:t>"</w:t>
      </w:r>
      <w:r w:rsidRPr="00EC49A8">
        <w:rPr>
          <w:noProof/>
        </w:rPr>
        <w:t>.</w:t>
      </w:r>
    </w:p>
    <w:tbl>
      <w:tblPr>
        <w:tblW w:w="0" w:type="auto"/>
        <w:tblLayout w:type="fixed"/>
        <w:tblLook w:val="04A0" w:firstRow="1" w:lastRow="0" w:firstColumn="1" w:lastColumn="0" w:noHBand="0" w:noVBand="1"/>
      </w:tblPr>
      <w:tblGrid>
        <w:gridCol w:w="3214"/>
        <w:gridCol w:w="835"/>
        <w:gridCol w:w="835"/>
        <w:gridCol w:w="835"/>
        <w:gridCol w:w="835"/>
        <w:gridCol w:w="981"/>
      </w:tblGrid>
      <w:tr w:rsidR="00E254F3" w:rsidRPr="00EC49A8" w14:paraId="2CEECA20" w14:textId="77777777" w:rsidTr="000C5C29">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447539A8" w14:textId="77777777" w:rsidR="00412E11" w:rsidRPr="00EC49A8" w:rsidRDefault="00412E11" w:rsidP="000C5C29">
            <w:pPr>
              <w:spacing w:before="0" w:after="0"/>
              <w:jc w:val="center"/>
              <w:rPr>
                <w:b/>
                <w:bCs/>
                <w:noProof/>
                <w:sz w:val="18"/>
                <w:szCs w:val="18"/>
              </w:rPr>
            </w:pPr>
            <w:r w:rsidRPr="00EC49A8">
              <w:rPr>
                <w:b/>
                <w:noProof/>
                <w:sz w:val="18"/>
              </w:rPr>
              <w:t>TOTALE stanziamenti per fini digitali e informatici</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6031C742" w14:textId="77777777" w:rsidR="00412E11" w:rsidRPr="00EC49A8" w:rsidRDefault="00412E11" w:rsidP="000C5C29">
            <w:pPr>
              <w:spacing w:before="0" w:after="0"/>
              <w:jc w:val="center"/>
              <w:rPr>
                <w:noProof/>
                <w:sz w:val="18"/>
                <w:szCs w:val="18"/>
              </w:rPr>
            </w:pPr>
            <w:r w:rsidRPr="00EC49A8">
              <w:rPr>
                <w:noProof/>
                <w:sz w:val="18"/>
              </w:rPr>
              <w:t>Anno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70B61806" w14:textId="77777777" w:rsidR="00412E11" w:rsidRPr="00EC49A8" w:rsidRDefault="00412E11" w:rsidP="000C5C29">
            <w:pPr>
              <w:spacing w:before="0" w:after="0"/>
              <w:jc w:val="center"/>
              <w:rPr>
                <w:noProof/>
                <w:sz w:val="18"/>
                <w:szCs w:val="18"/>
              </w:rPr>
            </w:pPr>
            <w:r w:rsidRPr="00EC49A8">
              <w:rPr>
                <w:noProof/>
                <w:sz w:val="18"/>
              </w:rPr>
              <w:t>Anno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14C49159" w14:textId="77777777" w:rsidR="00412E11" w:rsidRPr="00EC49A8" w:rsidRDefault="00412E11" w:rsidP="000C5C29">
            <w:pPr>
              <w:spacing w:before="0" w:after="0"/>
              <w:jc w:val="center"/>
              <w:rPr>
                <w:noProof/>
                <w:sz w:val="18"/>
                <w:szCs w:val="18"/>
              </w:rPr>
            </w:pPr>
            <w:r w:rsidRPr="00EC49A8">
              <w:rPr>
                <w:noProof/>
                <w:sz w:val="18"/>
              </w:rPr>
              <w:t>Anno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5408BDDA" w14:textId="77777777" w:rsidR="00412E11" w:rsidRPr="00EC49A8" w:rsidRDefault="00412E11" w:rsidP="000C5C29">
            <w:pPr>
              <w:spacing w:before="0" w:after="0"/>
              <w:jc w:val="center"/>
              <w:rPr>
                <w:noProof/>
                <w:sz w:val="18"/>
                <w:szCs w:val="18"/>
              </w:rPr>
            </w:pPr>
            <w:r w:rsidRPr="00EC49A8">
              <w:rPr>
                <w:noProof/>
                <w:sz w:val="18"/>
              </w:rPr>
              <w:t>Anno</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6E6828B6" w14:textId="77777777" w:rsidR="00412E11" w:rsidRPr="00EC49A8" w:rsidRDefault="00412E11" w:rsidP="000C5C29">
            <w:pPr>
              <w:spacing w:before="0" w:after="0"/>
              <w:jc w:val="center"/>
              <w:rPr>
                <w:b/>
                <w:bCs/>
                <w:noProof/>
                <w:sz w:val="18"/>
                <w:szCs w:val="18"/>
              </w:rPr>
            </w:pPr>
            <w:r w:rsidRPr="00EC49A8">
              <w:rPr>
                <w:b/>
                <w:noProof/>
                <w:sz w:val="18"/>
              </w:rPr>
              <w:t xml:space="preserve">TOTALE QFP </w:t>
            </w:r>
            <w:r w:rsidRPr="00B17672">
              <w:rPr>
                <w:b/>
                <w:noProof/>
                <w:sz w:val="18"/>
              </w:rPr>
              <w:t>2021</w:t>
            </w:r>
            <w:r w:rsidRPr="00EC49A8">
              <w:rPr>
                <w:b/>
                <w:noProof/>
                <w:sz w:val="18"/>
              </w:rPr>
              <w:t>-</w:t>
            </w:r>
            <w:r w:rsidRPr="00B17672">
              <w:rPr>
                <w:b/>
                <w:noProof/>
                <w:sz w:val="18"/>
              </w:rPr>
              <w:t>2027</w:t>
            </w:r>
          </w:p>
        </w:tc>
      </w:tr>
      <w:tr w:rsidR="00E254F3" w:rsidRPr="00EC49A8" w14:paraId="15D95499" w14:textId="77777777" w:rsidTr="000C5C29">
        <w:trPr>
          <w:trHeight w:val="525"/>
        </w:trPr>
        <w:tc>
          <w:tcPr>
            <w:tcW w:w="3214" w:type="dxa"/>
            <w:vMerge/>
            <w:tcBorders>
              <w:top w:val="single" w:sz="8" w:space="0" w:color="auto"/>
              <w:left w:val="single" w:sz="4" w:space="0" w:color="auto"/>
              <w:right w:val="single" w:sz="4" w:space="0" w:color="auto"/>
            </w:tcBorders>
            <w:vAlign w:val="center"/>
          </w:tcPr>
          <w:p w14:paraId="5FCCF8C7" w14:textId="77777777" w:rsidR="00412E11" w:rsidRPr="00EC49A8" w:rsidRDefault="00412E11" w:rsidP="000C5C29">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5570CB40" w14:textId="77777777" w:rsidR="00412E11" w:rsidRPr="00EC49A8" w:rsidRDefault="00412E11" w:rsidP="000C5C29">
            <w:pPr>
              <w:spacing w:before="0" w:after="0"/>
              <w:jc w:val="center"/>
              <w:rPr>
                <w:b/>
                <w:bCs/>
                <w:noProof/>
                <w:sz w:val="18"/>
                <w:szCs w:val="18"/>
              </w:rPr>
            </w:pPr>
            <w:r w:rsidRPr="00B17672">
              <w:rPr>
                <w:b/>
                <w:noProof/>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633231BC" w14:textId="77777777" w:rsidR="00412E11" w:rsidRPr="00EC49A8" w:rsidRDefault="00412E11" w:rsidP="000C5C29">
            <w:pPr>
              <w:spacing w:before="0" w:after="0"/>
              <w:jc w:val="center"/>
              <w:rPr>
                <w:b/>
                <w:bCs/>
                <w:noProof/>
                <w:sz w:val="18"/>
                <w:szCs w:val="18"/>
              </w:rPr>
            </w:pPr>
            <w:r w:rsidRPr="00B17672">
              <w:rPr>
                <w:b/>
                <w:noProof/>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17AAF12F" w14:textId="77777777" w:rsidR="00412E11" w:rsidRPr="00EC49A8" w:rsidRDefault="00412E11" w:rsidP="000C5C29">
            <w:pPr>
              <w:spacing w:before="0" w:after="0"/>
              <w:jc w:val="center"/>
              <w:rPr>
                <w:b/>
                <w:bCs/>
                <w:noProof/>
                <w:sz w:val="18"/>
                <w:szCs w:val="18"/>
              </w:rPr>
            </w:pPr>
            <w:r w:rsidRPr="00B17672">
              <w:rPr>
                <w:b/>
                <w:noProof/>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13F36388" w14:textId="77777777" w:rsidR="00412E11" w:rsidRPr="00EC49A8" w:rsidRDefault="00412E11" w:rsidP="000C5C29">
            <w:pPr>
              <w:spacing w:before="0" w:after="0"/>
              <w:jc w:val="center"/>
              <w:rPr>
                <w:b/>
                <w:bCs/>
                <w:noProof/>
                <w:sz w:val="18"/>
                <w:szCs w:val="18"/>
              </w:rPr>
            </w:pPr>
            <w:r w:rsidRPr="00B17672">
              <w:rPr>
                <w:b/>
                <w:noProof/>
                <w:sz w:val="18"/>
              </w:rPr>
              <w:t>2027</w:t>
            </w:r>
          </w:p>
        </w:tc>
        <w:tc>
          <w:tcPr>
            <w:tcW w:w="981" w:type="dxa"/>
            <w:vMerge/>
            <w:tcBorders>
              <w:bottom w:val="single" w:sz="4" w:space="0" w:color="auto"/>
              <w:right w:val="single" w:sz="4" w:space="0" w:color="auto"/>
            </w:tcBorders>
            <w:vAlign w:val="center"/>
          </w:tcPr>
          <w:p w14:paraId="7B3E0882" w14:textId="77777777" w:rsidR="00412E11" w:rsidRPr="00EC49A8" w:rsidRDefault="00412E11" w:rsidP="000C5C29">
            <w:pPr>
              <w:rPr>
                <w:noProof/>
              </w:rPr>
            </w:pPr>
          </w:p>
        </w:tc>
      </w:tr>
      <w:tr w:rsidR="00E254F3" w:rsidRPr="00EC49A8" w14:paraId="068ACDC4" w14:textId="77777777" w:rsidTr="000C5C29">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4D8F1E50" w14:textId="77777777" w:rsidR="00412E11" w:rsidRPr="00EC49A8" w:rsidRDefault="00412E11" w:rsidP="000C5C29">
            <w:pPr>
              <w:spacing w:before="0" w:after="0"/>
              <w:jc w:val="left"/>
              <w:rPr>
                <w:b/>
                <w:bCs/>
                <w:noProof/>
                <w:sz w:val="16"/>
                <w:szCs w:val="16"/>
              </w:rPr>
            </w:pPr>
            <w:r w:rsidRPr="00EC49A8">
              <w:rPr>
                <w:b/>
                <w:noProof/>
                <w:sz w:val="16"/>
              </w:rPr>
              <w:t xml:space="preserve">RUBRICA </w:t>
            </w:r>
            <w:r w:rsidRPr="00B17672">
              <w:rPr>
                <w:b/>
                <w:noProof/>
                <w:sz w:val="16"/>
              </w:rPr>
              <w:t>7</w:t>
            </w:r>
          </w:p>
        </w:tc>
      </w:tr>
      <w:tr w:rsidR="00E254F3" w:rsidRPr="00EC49A8" w14:paraId="1EE3F135"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47E7F" w14:textId="77777777" w:rsidR="00412E11" w:rsidRPr="00EC49A8" w:rsidRDefault="00412E11" w:rsidP="000C5C29">
            <w:pPr>
              <w:spacing w:before="0" w:after="0"/>
              <w:jc w:val="left"/>
              <w:rPr>
                <w:noProof/>
                <w:sz w:val="16"/>
                <w:szCs w:val="16"/>
              </w:rPr>
            </w:pPr>
            <w:r w:rsidRPr="00EC49A8">
              <w:rPr>
                <w:rFonts w:ascii="Arial Narrow" w:hAnsi="Arial Narrow"/>
                <w:noProof/>
                <w:sz w:val="20"/>
              </w:rPr>
              <w:t>Spese informatiche (istituzionali)</w:t>
            </w:r>
            <w:r w:rsidRPr="00EC49A8">
              <w:rPr>
                <w:noProof/>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757AA5"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EEE1BC"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556C250"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6948CE"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1B0D8E"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7C3AD446"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29A93208" w14:textId="77777777" w:rsidR="00412E11" w:rsidRPr="00EC49A8" w:rsidRDefault="00412E11" w:rsidP="000C5C29">
            <w:pPr>
              <w:spacing w:before="0" w:after="0"/>
              <w:jc w:val="center"/>
              <w:rPr>
                <w:b/>
                <w:bCs/>
                <w:noProof/>
                <w:sz w:val="16"/>
                <w:szCs w:val="16"/>
              </w:rPr>
            </w:pPr>
            <w:r w:rsidRPr="00EC49A8">
              <w:rPr>
                <w:b/>
                <w:noProof/>
                <w:sz w:val="16"/>
              </w:rPr>
              <w:t xml:space="preserve">Totale parziale RUBRICA </w:t>
            </w:r>
            <w:r w:rsidRPr="00B17672">
              <w:rPr>
                <w:b/>
                <w:noProof/>
                <w:sz w:val="16"/>
              </w:rPr>
              <w:t>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F12416"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024F42"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A78D11"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DB82D7"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375EC1"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106C3E28" w14:textId="77777777" w:rsidTr="000C5C2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E6A2D" w14:textId="77777777" w:rsidR="00412E11" w:rsidRPr="00EC49A8" w:rsidRDefault="00412E11" w:rsidP="000C5C29">
            <w:pPr>
              <w:spacing w:before="0" w:after="0"/>
              <w:jc w:val="left"/>
              <w:rPr>
                <w:b/>
                <w:bCs/>
                <w:noProof/>
                <w:sz w:val="16"/>
                <w:szCs w:val="16"/>
              </w:rPr>
            </w:pPr>
            <w:r w:rsidRPr="00EC49A8">
              <w:rPr>
                <w:b/>
                <w:noProof/>
                <w:sz w:val="16"/>
              </w:rPr>
              <w:t xml:space="preserve">Esclusa la RUBRICA </w:t>
            </w:r>
            <w:r w:rsidRPr="00B17672">
              <w:rPr>
                <w:b/>
                <w:noProof/>
                <w:sz w:val="16"/>
              </w:rPr>
              <w:t>7</w:t>
            </w:r>
          </w:p>
        </w:tc>
      </w:tr>
      <w:tr w:rsidR="00E254F3" w:rsidRPr="00EC49A8" w14:paraId="0F5C1E97"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99371C" w14:textId="77777777" w:rsidR="00412E11" w:rsidRPr="00EC49A8" w:rsidRDefault="00412E11" w:rsidP="000C5C29">
            <w:pPr>
              <w:spacing w:before="0" w:after="0"/>
              <w:jc w:val="left"/>
              <w:rPr>
                <w:rFonts w:ascii="Arial Narrow" w:eastAsia="Arial Narrow" w:hAnsi="Arial Narrow" w:cs="Arial Narrow"/>
                <w:noProof/>
                <w:sz w:val="20"/>
                <w:szCs w:val="20"/>
              </w:rPr>
            </w:pPr>
            <w:r w:rsidRPr="00EC49A8">
              <w:rPr>
                <w:rFonts w:ascii="Arial Narrow" w:hAnsi="Arial Narrow"/>
                <w:noProof/>
                <w:sz w:val="20"/>
              </w:rPr>
              <w:t>Spese informatiche per la politica per i programmi operativi</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7E3F7F3"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FAC09C2"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5FF2134"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7A9BDE7" w14:textId="77777777" w:rsidR="00412E11" w:rsidRPr="00EC49A8" w:rsidRDefault="00412E11" w:rsidP="000C5C29">
            <w:pPr>
              <w:spacing w:before="0" w:after="0"/>
              <w:jc w:val="right"/>
              <w:rPr>
                <w:noProof/>
                <w:sz w:val="16"/>
                <w:szCs w:val="16"/>
              </w:rPr>
            </w:pPr>
            <w:r w:rsidRPr="00B17672">
              <w:rPr>
                <w:noProof/>
                <w:sz w:val="16"/>
              </w:rPr>
              <w:t>0</w:t>
            </w:r>
            <w:r w:rsidRPr="00EC49A8">
              <w:rPr>
                <w:noProof/>
                <w:sz w:val="16"/>
              </w:rPr>
              <w:t>,</w:t>
            </w:r>
            <w:r w:rsidRPr="00B17672">
              <w:rPr>
                <w:noProof/>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5E723FC"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2116A7BE"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5C0E487E" w14:textId="77777777" w:rsidR="00412E11" w:rsidRPr="00EC49A8" w:rsidRDefault="00412E11" w:rsidP="000C5C29">
            <w:pPr>
              <w:spacing w:before="0" w:after="0"/>
              <w:jc w:val="center"/>
              <w:rPr>
                <w:b/>
                <w:bCs/>
                <w:noProof/>
                <w:sz w:val="16"/>
                <w:szCs w:val="16"/>
              </w:rPr>
            </w:pPr>
            <w:r w:rsidRPr="00EC49A8">
              <w:rPr>
                <w:b/>
                <w:noProof/>
                <w:sz w:val="16"/>
              </w:rPr>
              <w:t xml:space="preserve">Totale parziale esclusa la RUBRICA </w:t>
            </w:r>
            <w:r w:rsidRPr="00B17672">
              <w:rPr>
                <w:b/>
                <w:noProof/>
                <w:sz w:val="16"/>
              </w:rPr>
              <w:t>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FFE81C"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7847F3"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6CFD95"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4921D5"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7A3C704"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r w:rsidR="00E254F3" w:rsidRPr="00EC49A8" w14:paraId="6357D3AB" w14:textId="77777777" w:rsidTr="000C5C2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2DDBD7" w14:textId="77777777" w:rsidR="00412E11" w:rsidRPr="00EC49A8" w:rsidRDefault="00412E11" w:rsidP="000C5C29">
            <w:pPr>
              <w:spacing w:before="0" w:after="0"/>
              <w:jc w:val="center"/>
              <w:rPr>
                <w:noProof/>
                <w:sz w:val="16"/>
                <w:szCs w:val="16"/>
              </w:rPr>
            </w:pPr>
            <w:r w:rsidRPr="00EC49A8">
              <w:rPr>
                <w:noProof/>
                <w:sz w:val="16"/>
              </w:rPr>
              <w:t xml:space="preserve"> </w:t>
            </w:r>
          </w:p>
        </w:tc>
      </w:tr>
      <w:tr w:rsidR="00E254F3" w:rsidRPr="00EC49A8" w14:paraId="37D2164B" w14:textId="77777777" w:rsidTr="000C5C29">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3B603E08" w14:textId="77777777" w:rsidR="00412E11" w:rsidRPr="00EC49A8" w:rsidRDefault="00412E11" w:rsidP="000C5C29">
            <w:pPr>
              <w:spacing w:before="0" w:after="0"/>
              <w:jc w:val="center"/>
              <w:rPr>
                <w:b/>
                <w:bCs/>
                <w:noProof/>
                <w:sz w:val="16"/>
                <w:szCs w:val="16"/>
              </w:rPr>
            </w:pPr>
            <w:r w:rsidRPr="00EC49A8">
              <w:rPr>
                <w:b/>
                <w:noProof/>
                <w:sz w:val="16"/>
              </w:rPr>
              <w:t>TOTALE</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6389CDC"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4E68999"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B399F27"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C9B7CA5"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409D234" w14:textId="77777777" w:rsidR="00412E11" w:rsidRPr="00EC49A8" w:rsidRDefault="00412E11" w:rsidP="000C5C29">
            <w:pPr>
              <w:spacing w:before="0" w:after="0"/>
              <w:jc w:val="right"/>
              <w:rPr>
                <w:b/>
                <w:bCs/>
                <w:noProof/>
                <w:sz w:val="16"/>
                <w:szCs w:val="16"/>
              </w:rPr>
            </w:pPr>
            <w:r w:rsidRPr="00B17672">
              <w:rPr>
                <w:b/>
                <w:noProof/>
                <w:sz w:val="16"/>
              </w:rPr>
              <w:t>0</w:t>
            </w:r>
            <w:r w:rsidRPr="00EC49A8">
              <w:rPr>
                <w:b/>
                <w:noProof/>
                <w:sz w:val="16"/>
              </w:rPr>
              <w:t>,</w:t>
            </w:r>
            <w:r w:rsidRPr="00B17672">
              <w:rPr>
                <w:b/>
                <w:noProof/>
                <w:sz w:val="16"/>
              </w:rPr>
              <w:t>000</w:t>
            </w:r>
          </w:p>
        </w:tc>
      </w:tr>
    </w:tbl>
    <w:p w14:paraId="11AE0966" w14:textId="77777777" w:rsidR="00412E11" w:rsidRPr="00EC49A8" w:rsidRDefault="00412E11" w:rsidP="000C5C29">
      <w:pPr>
        <w:pStyle w:val="ManualHeading3"/>
        <w:rPr>
          <w:noProof/>
        </w:rPr>
      </w:pPr>
      <w:bookmarkStart w:id="163" w:name="_Toc514938056"/>
      <w:bookmarkStart w:id="164" w:name="_Toc520485055"/>
      <w:bookmarkStart w:id="165" w:name="_Toc160804599"/>
      <w:bookmarkStart w:id="166" w:name="_Toc167220298"/>
      <w:bookmarkStart w:id="167" w:name="_Toc177549032"/>
      <w:bookmarkEnd w:id="161"/>
      <w:r w:rsidRPr="00B17672">
        <w:rPr>
          <w:noProof/>
        </w:rPr>
        <w:t>3</w:t>
      </w:r>
      <w:r w:rsidRPr="00EC49A8">
        <w:rPr>
          <w:noProof/>
        </w:rPr>
        <w:t>.</w:t>
      </w:r>
      <w:r w:rsidRPr="00B17672">
        <w:rPr>
          <w:noProof/>
        </w:rPr>
        <w:t>2</w:t>
      </w:r>
      <w:r w:rsidRPr="00EC49A8">
        <w:rPr>
          <w:noProof/>
        </w:rPr>
        <w:t>.</w:t>
      </w:r>
      <w:r w:rsidRPr="00B17672">
        <w:rPr>
          <w:noProof/>
        </w:rPr>
        <w:t>6</w:t>
      </w:r>
      <w:r w:rsidRPr="00EC49A8">
        <w:rPr>
          <w:noProof/>
        </w:rPr>
        <w:t>.</w:t>
      </w:r>
      <w:r w:rsidRPr="00EC49A8">
        <w:rPr>
          <w:noProof/>
        </w:rPr>
        <w:tab/>
        <w:t>Compatibilità con il quadro finanziario pluriennale attuale</w:t>
      </w:r>
      <w:bookmarkEnd w:id="163"/>
      <w:bookmarkEnd w:id="164"/>
      <w:bookmarkEnd w:id="165"/>
      <w:bookmarkEnd w:id="166"/>
      <w:bookmarkEnd w:id="167"/>
      <w:r w:rsidRPr="00EC49A8">
        <w:rPr>
          <w:noProof/>
        </w:rPr>
        <w:t xml:space="preserve"> </w:t>
      </w:r>
    </w:p>
    <w:p w14:paraId="5CAB52D6" w14:textId="77777777" w:rsidR="00412E11" w:rsidRPr="00EC49A8" w:rsidRDefault="00412E11" w:rsidP="000C5C29">
      <w:pPr>
        <w:pStyle w:val="Text1"/>
        <w:rPr>
          <w:noProof/>
        </w:rPr>
      </w:pPr>
      <w:r w:rsidRPr="00EC49A8">
        <w:rPr>
          <w:noProof/>
        </w:rPr>
        <w:t>La proposta/iniziativa:</w:t>
      </w:r>
    </w:p>
    <w:p w14:paraId="3395D234" w14:textId="65AEFA73" w:rsidR="00412E11" w:rsidRPr="00EC49A8" w:rsidRDefault="00571066" w:rsidP="000C5C29">
      <w:pPr>
        <w:pStyle w:val="ListDash1"/>
        <w:rPr>
          <w:noProof/>
        </w:rPr>
      </w:pPr>
      <w:r w:rsidRPr="00EC49A8">
        <w:rPr>
          <w:rFonts w:ascii="Wingdings" w:hAnsi="Wingdings"/>
          <w:noProof/>
        </w:rPr>
        <w:t></w:t>
      </w:r>
      <w:r w:rsidRPr="00EC49A8">
        <w:rPr>
          <w:noProof/>
        </w:rPr>
        <w:tab/>
        <w:t>può essere interamente finanziata mediante riassegnazione all</w:t>
      </w:r>
      <w:r w:rsidR="00B17672">
        <w:rPr>
          <w:noProof/>
        </w:rPr>
        <w:t>'</w:t>
      </w:r>
      <w:r w:rsidRPr="00EC49A8">
        <w:rPr>
          <w:noProof/>
        </w:rPr>
        <w:t>interno della pertinente rubrica del quadro finanziario pluriennale (QFP).</w:t>
      </w:r>
    </w:p>
    <w:p w14:paraId="15ADF567" w14:textId="68EE4B08" w:rsidR="00412E11" w:rsidRPr="00EC49A8" w:rsidRDefault="006F2639" w:rsidP="006F2639">
      <w:pPr>
        <w:pStyle w:val="Text1"/>
        <w:pBdr>
          <w:top w:val="single" w:sz="4" w:space="1" w:color="auto"/>
          <w:left w:val="single" w:sz="4" w:space="4" w:color="auto"/>
          <w:bottom w:val="single" w:sz="4" w:space="1" w:color="auto"/>
          <w:right w:val="single" w:sz="4" w:space="4" w:color="auto"/>
        </w:pBdr>
        <w:rPr>
          <w:noProof/>
        </w:rPr>
      </w:pPr>
      <w:r w:rsidRPr="00EC49A8">
        <w:rPr>
          <w:noProof/>
        </w:rPr>
        <w:t>Non sono necessarie risorse supplementari. L</w:t>
      </w:r>
      <w:r w:rsidR="00B17672">
        <w:rPr>
          <w:noProof/>
        </w:rPr>
        <w:t>'</w:t>
      </w:r>
      <w:r w:rsidRPr="00EC49A8">
        <w:rPr>
          <w:noProof/>
        </w:rPr>
        <w:t>iniziativa continuerà ad essere gestita dall</w:t>
      </w:r>
      <w:r w:rsidR="00B17672">
        <w:rPr>
          <w:noProof/>
        </w:rPr>
        <w:t>'</w:t>
      </w:r>
      <w:r w:rsidRPr="00EC49A8">
        <w:rPr>
          <w:noProof/>
        </w:rPr>
        <w:t>équipe attuale.</w:t>
      </w:r>
    </w:p>
    <w:p w14:paraId="4DAC2218" w14:textId="5F6B7758" w:rsidR="00412E11" w:rsidRPr="00EC49A8" w:rsidRDefault="00412E11" w:rsidP="000C5C29">
      <w:pPr>
        <w:pStyle w:val="ListDash1"/>
        <w:rPr>
          <w:noProof/>
        </w:rPr>
      </w:pPr>
      <w:r w:rsidRPr="00EC49A8">
        <w:rPr>
          <w:rFonts w:ascii="Wingdings" w:hAnsi="Wingdings"/>
          <w:noProof/>
        </w:rPr>
        <w:t></w:t>
      </w:r>
      <w:r w:rsidRPr="00EC49A8">
        <w:rPr>
          <w:noProof/>
        </w:rPr>
        <w:tab/>
        <w:t>comporta l</w:t>
      </w:r>
      <w:r w:rsidR="00B17672">
        <w:rPr>
          <w:noProof/>
        </w:rPr>
        <w:t>'</w:t>
      </w:r>
      <w:r w:rsidRPr="00EC49A8">
        <w:rPr>
          <w:noProof/>
        </w:rPr>
        <w:t>uso del margine non assegnato della pertinente rubrica del QFP e/o l</w:t>
      </w:r>
      <w:r w:rsidR="00B17672">
        <w:rPr>
          <w:noProof/>
        </w:rPr>
        <w:t>'</w:t>
      </w:r>
      <w:r w:rsidRPr="00EC49A8">
        <w:rPr>
          <w:noProof/>
        </w:rPr>
        <w:t>uso degli strumenti speciali definiti nel regolamento QFP.</w:t>
      </w:r>
    </w:p>
    <w:p w14:paraId="5FA4DCF7" w14:textId="77777777" w:rsidR="00412E11" w:rsidRPr="00EC49A8" w:rsidRDefault="00565B9A" w:rsidP="000C5C29">
      <w:pPr>
        <w:pStyle w:val="Text1"/>
        <w:pBdr>
          <w:top w:val="single" w:sz="4" w:space="0" w:color="auto"/>
          <w:left w:val="single" w:sz="4" w:space="4" w:color="auto"/>
          <w:bottom w:val="single" w:sz="4" w:space="1" w:color="auto"/>
          <w:right w:val="single" w:sz="4" w:space="4" w:color="auto"/>
        </w:pBdr>
        <w:rPr>
          <w:noProof/>
        </w:rPr>
      </w:pPr>
      <w:r w:rsidRPr="00EC49A8">
        <w:rPr>
          <w:noProof/>
        </w:rPr>
        <w:t>N/D</w:t>
      </w:r>
    </w:p>
    <w:p w14:paraId="52BDDF4C" w14:textId="77777777" w:rsidR="00412E11" w:rsidRPr="00EC49A8" w:rsidRDefault="00412E11" w:rsidP="000C5C29">
      <w:pPr>
        <w:pStyle w:val="ListDash1"/>
        <w:rPr>
          <w:noProof/>
        </w:rPr>
      </w:pPr>
      <w:r w:rsidRPr="00EC49A8">
        <w:rPr>
          <w:rFonts w:ascii="Wingdings" w:hAnsi="Wingdings"/>
          <w:noProof/>
        </w:rPr>
        <w:t></w:t>
      </w:r>
      <w:r w:rsidRPr="00EC49A8">
        <w:rPr>
          <w:noProof/>
        </w:rPr>
        <w:tab/>
        <w:t>comporta una revisione del QFP.</w:t>
      </w:r>
    </w:p>
    <w:p w14:paraId="592C5235" w14:textId="77777777" w:rsidR="00412E11" w:rsidRPr="00EC49A8" w:rsidRDefault="00565B9A" w:rsidP="000C5C29">
      <w:pPr>
        <w:pStyle w:val="Text1"/>
        <w:pBdr>
          <w:top w:val="single" w:sz="4" w:space="1" w:color="auto"/>
          <w:left w:val="single" w:sz="4" w:space="4" w:color="auto"/>
          <w:bottom w:val="single" w:sz="4" w:space="1" w:color="auto"/>
          <w:right w:val="single" w:sz="4" w:space="4" w:color="auto"/>
        </w:pBdr>
        <w:rPr>
          <w:noProof/>
        </w:rPr>
      </w:pPr>
      <w:r w:rsidRPr="00EC49A8">
        <w:rPr>
          <w:noProof/>
        </w:rPr>
        <w:t>N/D</w:t>
      </w:r>
    </w:p>
    <w:p w14:paraId="145A8ECD" w14:textId="77777777" w:rsidR="00412E11" w:rsidRPr="00EC49A8" w:rsidRDefault="00412E11" w:rsidP="000C5C29">
      <w:pPr>
        <w:pStyle w:val="ManualHeading3"/>
        <w:rPr>
          <w:noProof/>
        </w:rPr>
      </w:pPr>
      <w:bookmarkStart w:id="168" w:name="_Toc514938058"/>
      <w:bookmarkStart w:id="169" w:name="_Toc520485056"/>
      <w:bookmarkStart w:id="170" w:name="_Toc160804600"/>
      <w:bookmarkStart w:id="171" w:name="_Toc167220299"/>
      <w:bookmarkStart w:id="172" w:name="_Toc177549033"/>
      <w:r w:rsidRPr="00B17672">
        <w:rPr>
          <w:noProof/>
        </w:rPr>
        <w:t>3</w:t>
      </w:r>
      <w:r w:rsidRPr="00EC49A8">
        <w:rPr>
          <w:noProof/>
        </w:rPr>
        <w:t>.</w:t>
      </w:r>
      <w:r w:rsidRPr="00B17672">
        <w:rPr>
          <w:noProof/>
        </w:rPr>
        <w:t>2</w:t>
      </w:r>
      <w:r w:rsidRPr="00EC49A8">
        <w:rPr>
          <w:noProof/>
        </w:rPr>
        <w:t>.</w:t>
      </w:r>
      <w:r w:rsidRPr="00B17672">
        <w:rPr>
          <w:noProof/>
        </w:rPr>
        <w:t>7</w:t>
      </w:r>
      <w:r w:rsidRPr="00EC49A8">
        <w:rPr>
          <w:noProof/>
        </w:rPr>
        <w:t>.</w:t>
      </w:r>
      <w:r w:rsidRPr="00EC49A8">
        <w:rPr>
          <w:noProof/>
        </w:rPr>
        <w:tab/>
        <w:t>Partecipazione di terzi al finanziamento</w:t>
      </w:r>
      <w:bookmarkEnd w:id="168"/>
      <w:bookmarkEnd w:id="169"/>
      <w:bookmarkEnd w:id="170"/>
      <w:bookmarkEnd w:id="171"/>
      <w:bookmarkEnd w:id="172"/>
      <w:r w:rsidRPr="00EC49A8">
        <w:rPr>
          <w:noProof/>
        </w:rPr>
        <w:t xml:space="preserve"> </w:t>
      </w:r>
    </w:p>
    <w:p w14:paraId="71251640" w14:textId="77777777" w:rsidR="00412E11" w:rsidRPr="00EC49A8" w:rsidRDefault="00412E11" w:rsidP="000C5C29">
      <w:pPr>
        <w:pStyle w:val="Text1"/>
        <w:rPr>
          <w:noProof/>
        </w:rPr>
      </w:pPr>
      <w:r w:rsidRPr="00EC49A8">
        <w:rPr>
          <w:noProof/>
        </w:rPr>
        <w:t>La proposta/iniziativa:</w:t>
      </w:r>
    </w:p>
    <w:p w14:paraId="36D395E7" w14:textId="77777777" w:rsidR="00412E11" w:rsidRPr="00EC49A8" w:rsidRDefault="00681712" w:rsidP="000C5C29">
      <w:pPr>
        <w:pStyle w:val="ListDash1"/>
        <w:rPr>
          <w:noProof/>
        </w:rPr>
      </w:pPr>
      <w:r w:rsidRPr="00EC49A8">
        <w:rPr>
          <w:rFonts w:ascii="Wingdings" w:hAnsi="Wingdings"/>
          <w:noProof/>
        </w:rPr>
        <w:t></w:t>
      </w:r>
      <w:r w:rsidRPr="00EC49A8">
        <w:rPr>
          <w:noProof/>
        </w:rPr>
        <w:tab/>
        <w:t>non prevede cofinanziamenti da parte di terzi.</w:t>
      </w:r>
    </w:p>
    <w:p w14:paraId="6E2A941C" w14:textId="77777777" w:rsidR="00412E11" w:rsidRPr="00EC49A8" w:rsidRDefault="00412E11" w:rsidP="000C5C29">
      <w:pPr>
        <w:pStyle w:val="ListDash1"/>
        <w:rPr>
          <w:noProof/>
        </w:rPr>
      </w:pPr>
      <w:r w:rsidRPr="00EC49A8">
        <w:rPr>
          <w:rFonts w:ascii="Wingdings" w:hAnsi="Wingdings"/>
          <w:noProof/>
        </w:rPr>
        <w:t></w:t>
      </w:r>
      <w:r w:rsidRPr="00EC49A8">
        <w:rPr>
          <w:noProof/>
        </w:rPr>
        <w:tab/>
        <w:t>prevede il cofinanziamento da parte di terzi indicato di seguito:</w:t>
      </w:r>
    </w:p>
    <w:p w14:paraId="7280E42A" w14:textId="77777777" w:rsidR="00412E11" w:rsidRPr="00EC49A8" w:rsidRDefault="00412E11" w:rsidP="000C5C29">
      <w:pPr>
        <w:jc w:val="right"/>
        <w:rPr>
          <w:noProof/>
          <w:sz w:val="20"/>
        </w:rPr>
      </w:pPr>
      <w:r w:rsidRPr="00EC49A8">
        <w:rPr>
          <w:noProof/>
          <w:sz w:val="20"/>
        </w:rPr>
        <w:t>Stanziamenti in Mio EUR (al terzo decimale)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E254F3" w:rsidRPr="00EC49A8" w14:paraId="29A9C248" w14:textId="77777777" w:rsidTr="000C5C29">
        <w:trPr>
          <w:cantSplit/>
        </w:trPr>
        <w:tc>
          <w:tcPr>
            <w:tcW w:w="1591" w:type="pct"/>
          </w:tcPr>
          <w:p w14:paraId="55BE11F9" w14:textId="77777777" w:rsidR="00412E11" w:rsidRPr="00EC49A8" w:rsidRDefault="00412E11" w:rsidP="000C5C29">
            <w:pPr>
              <w:spacing w:before="60" w:after="60"/>
              <w:rPr>
                <w:noProof/>
                <w:sz w:val="20"/>
              </w:rPr>
            </w:pPr>
          </w:p>
        </w:tc>
        <w:tc>
          <w:tcPr>
            <w:tcW w:w="655" w:type="pct"/>
            <w:vAlign w:val="center"/>
          </w:tcPr>
          <w:p w14:paraId="77C45AE4" w14:textId="77777777" w:rsidR="00412E11" w:rsidRPr="00EC49A8" w:rsidRDefault="00412E11" w:rsidP="000C5C29">
            <w:pPr>
              <w:jc w:val="center"/>
              <w:rPr>
                <w:noProof/>
                <w:sz w:val="20"/>
              </w:rPr>
            </w:pPr>
            <w:r w:rsidRPr="00EC49A8">
              <w:rPr>
                <w:noProof/>
                <w:sz w:val="20"/>
              </w:rPr>
              <w:t>Anno</w:t>
            </w:r>
            <w:r w:rsidRPr="00EC49A8">
              <w:rPr>
                <w:noProof/>
              </w:rPr>
              <w:t xml:space="preserve"> </w:t>
            </w:r>
            <w:r w:rsidRPr="00EC49A8">
              <w:rPr>
                <w:noProof/>
              </w:rPr>
              <w:br/>
            </w:r>
            <w:r w:rsidRPr="00B17672">
              <w:rPr>
                <w:b/>
                <w:noProof/>
                <w:sz w:val="20"/>
              </w:rPr>
              <w:t>2024</w:t>
            </w:r>
          </w:p>
        </w:tc>
        <w:tc>
          <w:tcPr>
            <w:tcW w:w="655" w:type="pct"/>
            <w:vAlign w:val="center"/>
          </w:tcPr>
          <w:p w14:paraId="42DFCA13" w14:textId="77777777" w:rsidR="00412E11" w:rsidRPr="00EC49A8" w:rsidRDefault="00412E11" w:rsidP="000C5C29">
            <w:pPr>
              <w:jc w:val="center"/>
              <w:rPr>
                <w:noProof/>
                <w:sz w:val="20"/>
              </w:rPr>
            </w:pPr>
            <w:r w:rsidRPr="00EC49A8">
              <w:rPr>
                <w:noProof/>
                <w:sz w:val="20"/>
              </w:rPr>
              <w:t>Anno</w:t>
            </w:r>
            <w:r w:rsidRPr="00EC49A8">
              <w:rPr>
                <w:noProof/>
              </w:rPr>
              <w:t xml:space="preserve"> </w:t>
            </w:r>
            <w:r w:rsidRPr="00EC49A8">
              <w:rPr>
                <w:noProof/>
              </w:rPr>
              <w:br/>
            </w:r>
            <w:r w:rsidRPr="00B17672">
              <w:rPr>
                <w:b/>
                <w:noProof/>
                <w:sz w:val="20"/>
              </w:rPr>
              <w:t>2025</w:t>
            </w:r>
          </w:p>
        </w:tc>
        <w:tc>
          <w:tcPr>
            <w:tcW w:w="655" w:type="pct"/>
            <w:vAlign w:val="center"/>
          </w:tcPr>
          <w:p w14:paraId="1E580E73" w14:textId="77777777" w:rsidR="00412E11" w:rsidRPr="00EC49A8" w:rsidRDefault="00412E11" w:rsidP="000C5C29">
            <w:pPr>
              <w:jc w:val="center"/>
              <w:rPr>
                <w:noProof/>
                <w:sz w:val="20"/>
              </w:rPr>
            </w:pPr>
            <w:r w:rsidRPr="00EC49A8">
              <w:rPr>
                <w:noProof/>
                <w:sz w:val="20"/>
              </w:rPr>
              <w:t>Anno</w:t>
            </w:r>
            <w:r w:rsidRPr="00EC49A8">
              <w:rPr>
                <w:noProof/>
              </w:rPr>
              <w:t xml:space="preserve"> </w:t>
            </w:r>
            <w:r w:rsidRPr="00EC49A8">
              <w:rPr>
                <w:noProof/>
              </w:rPr>
              <w:br/>
            </w:r>
            <w:r w:rsidRPr="00B17672">
              <w:rPr>
                <w:b/>
                <w:noProof/>
                <w:sz w:val="20"/>
              </w:rPr>
              <w:t>2026</w:t>
            </w:r>
          </w:p>
        </w:tc>
        <w:tc>
          <w:tcPr>
            <w:tcW w:w="655" w:type="pct"/>
            <w:vAlign w:val="center"/>
          </w:tcPr>
          <w:p w14:paraId="332F198F" w14:textId="77777777" w:rsidR="00412E11" w:rsidRPr="00EC49A8" w:rsidRDefault="00412E11" w:rsidP="000C5C29">
            <w:pPr>
              <w:jc w:val="center"/>
              <w:rPr>
                <w:noProof/>
                <w:sz w:val="20"/>
              </w:rPr>
            </w:pPr>
            <w:r w:rsidRPr="00EC49A8">
              <w:rPr>
                <w:noProof/>
                <w:sz w:val="20"/>
              </w:rPr>
              <w:t>Anno</w:t>
            </w:r>
            <w:r w:rsidRPr="00EC49A8">
              <w:rPr>
                <w:noProof/>
              </w:rPr>
              <w:t xml:space="preserve"> </w:t>
            </w:r>
            <w:r w:rsidRPr="00EC49A8">
              <w:rPr>
                <w:noProof/>
              </w:rPr>
              <w:br/>
            </w:r>
            <w:r w:rsidRPr="00B17672">
              <w:rPr>
                <w:b/>
                <w:noProof/>
                <w:sz w:val="20"/>
              </w:rPr>
              <w:t>2027</w:t>
            </w:r>
          </w:p>
        </w:tc>
        <w:tc>
          <w:tcPr>
            <w:tcW w:w="787" w:type="pct"/>
            <w:vAlign w:val="center"/>
          </w:tcPr>
          <w:p w14:paraId="30F45D3D" w14:textId="77777777" w:rsidR="00412E11" w:rsidRPr="00EC49A8" w:rsidRDefault="00412E11" w:rsidP="000C5C29">
            <w:pPr>
              <w:spacing w:before="60" w:after="60"/>
              <w:jc w:val="center"/>
              <w:rPr>
                <w:noProof/>
                <w:sz w:val="20"/>
              </w:rPr>
            </w:pPr>
            <w:r w:rsidRPr="00EC49A8">
              <w:rPr>
                <w:noProof/>
                <w:sz w:val="20"/>
              </w:rPr>
              <w:t>Totale</w:t>
            </w:r>
          </w:p>
        </w:tc>
      </w:tr>
      <w:tr w:rsidR="00E254F3" w:rsidRPr="00EC49A8" w14:paraId="1A3974EC" w14:textId="77777777" w:rsidTr="000C5C29">
        <w:trPr>
          <w:cantSplit/>
        </w:trPr>
        <w:tc>
          <w:tcPr>
            <w:tcW w:w="1591" w:type="pct"/>
          </w:tcPr>
          <w:p w14:paraId="708F04D1" w14:textId="5E1E14C1" w:rsidR="00412E11" w:rsidRPr="00EC49A8" w:rsidRDefault="00412E11" w:rsidP="000C5C29">
            <w:pPr>
              <w:rPr>
                <w:noProof/>
              </w:rPr>
            </w:pPr>
            <w:r w:rsidRPr="00EC49A8">
              <w:rPr>
                <w:noProof/>
                <w:sz w:val="20"/>
              </w:rPr>
              <w:t>Specificare l</w:t>
            </w:r>
            <w:r w:rsidR="00B17672">
              <w:rPr>
                <w:noProof/>
                <w:sz w:val="20"/>
              </w:rPr>
              <w:t>'</w:t>
            </w:r>
            <w:r w:rsidRPr="00EC49A8">
              <w:rPr>
                <w:noProof/>
                <w:sz w:val="20"/>
              </w:rPr>
              <w:t>organismo di cofinanziamento</w:t>
            </w:r>
            <w:r w:rsidRPr="00EC49A8">
              <w:rPr>
                <w:i/>
                <w:noProof/>
                <w:sz w:val="20"/>
              </w:rPr>
              <w:t xml:space="preserve"> </w:t>
            </w:r>
          </w:p>
        </w:tc>
        <w:tc>
          <w:tcPr>
            <w:tcW w:w="655" w:type="pct"/>
            <w:vAlign w:val="center"/>
          </w:tcPr>
          <w:p w14:paraId="39B8BCC3" w14:textId="77777777" w:rsidR="00412E11" w:rsidRPr="00EC49A8" w:rsidRDefault="00412E11" w:rsidP="000C5C29">
            <w:pPr>
              <w:spacing w:before="60" w:after="60"/>
              <w:jc w:val="center"/>
              <w:rPr>
                <w:noProof/>
                <w:sz w:val="20"/>
              </w:rPr>
            </w:pPr>
          </w:p>
        </w:tc>
        <w:tc>
          <w:tcPr>
            <w:tcW w:w="655" w:type="pct"/>
            <w:vAlign w:val="center"/>
          </w:tcPr>
          <w:p w14:paraId="7F2E61F9" w14:textId="77777777" w:rsidR="00412E11" w:rsidRPr="00EC49A8" w:rsidRDefault="00412E11" w:rsidP="000C5C29">
            <w:pPr>
              <w:spacing w:before="60" w:after="60"/>
              <w:jc w:val="center"/>
              <w:rPr>
                <w:noProof/>
                <w:sz w:val="20"/>
              </w:rPr>
            </w:pPr>
          </w:p>
        </w:tc>
        <w:tc>
          <w:tcPr>
            <w:tcW w:w="655" w:type="pct"/>
            <w:vAlign w:val="center"/>
          </w:tcPr>
          <w:p w14:paraId="31718532" w14:textId="77777777" w:rsidR="00412E11" w:rsidRPr="00EC49A8" w:rsidRDefault="00412E11" w:rsidP="000C5C29">
            <w:pPr>
              <w:spacing w:before="60" w:after="60"/>
              <w:jc w:val="center"/>
              <w:rPr>
                <w:noProof/>
                <w:sz w:val="20"/>
              </w:rPr>
            </w:pPr>
          </w:p>
        </w:tc>
        <w:tc>
          <w:tcPr>
            <w:tcW w:w="655" w:type="pct"/>
            <w:vAlign w:val="center"/>
          </w:tcPr>
          <w:p w14:paraId="6B0F8CD4" w14:textId="77777777" w:rsidR="00412E11" w:rsidRPr="00EC49A8" w:rsidRDefault="00412E11" w:rsidP="000C5C29">
            <w:pPr>
              <w:spacing w:before="60" w:after="60"/>
              <w:jc w:val="center"/>
              <w:rPr>
                <w:noProof/>
                <w:sz w:val="20"/>
              </w:rPr>
            </w:pPr>
          </w:p>
        </w:tc>
        <w:tc>
          <w:tcPr>
            <w:tcW w:w="787" w:type="pct"/>
            <w:vAlign w:val="center"/>
          </w:tcPr>
          <w:p w14:paraId="4E9A8DA9" w14:textId="77777777" w:rsidR="00412E11" w:rsidRPr="00EC49A8" w:rsidRDefault="00412E11" w:rsidP="000C5C29">
            <w:pPr>
              <w:spacing w:before="60" w:after="60"/>
              <w:jc w:val="center"/>
              <w:rPr>
                <w:noProof/>
                <w:sz w:val="20"/>
              </w:rPr>
            </w:pPr>
          </w:p>
        </w:tc>
      </w:tr>
      <w:tr w:rsidR="00E254F3" w:rsidRPr="00EC49A8" w14:paraId="69327954" w14:textId="77777777" w:rsidTr="000C5C29">
        <w:trPr>
          <w:cantSplit/>
        </w:trPr>
        <w:tc>
          <w:tcPr>
            <w:tcW w:w="1591" w:type="pct"/>
          </w:tcPr>
          <w:p w14:paraId="2947441F" w14:textId="77777777" w:rsidR="00412E11" w:rsidRPr="00EC49A8" w:rsidRDefault="00412E11" w:rsidP="000C5C29">
            <w:pPr>
              <w:spacing w:before="60" w:after="60"/>
              <w:jc w:val="left"/>
              <w:rPr>
                <w:noProof/>
                <w:sz w:val="20"/>
              </w:rPr>
            </w:pPr>
            <w:r w:rsidRPr="00EC49A8">
              <w:rPr>
                <w:noProof/>
                <w:sz w:val="20"/>
              </w:rPr>
              <w:t xml:space="preserve">TOTALE stanziamenti cofinanziati </w:t>
            </w:r>
          </w:p>
        </w:tc>
        <w:tc>
          <w:tcPr>
            <w:tcW w:w="655" w:type="pct"/>
            <w:vAlign w:val="center"/>
          </w:tcPr>
          <w:p w14:paraId="2E0D308E" w14:textId="77777777" w:rsidR="00412E11" w:rsidRPr="00EC49A8" w:rsidRDefault="00412E11" w:rsidP="000C5C29">
            <w:pPr>
              <w:spacing w:before="60" w:after="60"/>
              <w:jc w:val="center"/>
              <w:rPr>
                <w:noProof/>
                <w:sz w:val="20"/>
              </w:rPr>
            </w:pPr>
          </w:p>
        </w:tc>
        <w:tc>
          <w:tcPr>
            <w:tcW w:w="655" w:type="pct"/>
            <w:vAlign w:val="center"/>
          </w:tcPr>
          <w:p w14:paraId="4B0C8284" w14:textId="77777777" w:rsidR="00412E11" w:rsidRPr="00EC49A8" w:rsidRDefault="00412E11" w:rsidP="000C5C29">
            <w:pPr>
              <w:spacing w:before="60" w:after="60"/>
              <w:jc w:val="center"/>
              <w:rPr>
                <w:noProof/>
                <w:sz w:val="20"/>
              </w:rPr>
            </w:pPr>
          </w:p>
        </w:tc>
        <w:tc>
          <w:tcPr>
            <w:tcW w:w="655" w:type="pct"/>
            <w:vAlign w:val="center"/>
          </w:tcPr>
          <w:p w14:paraId="39F7CE02" w14:textId="77777777" w:rsidR="00412E11" w:rsidRPr="00EC49A8" w:rsidRDefault="00412E11" w:rsidP="000C5C29">
            <w:pPr>
              <w:spacing w:before="60" w:after="60"/>
              <w:jc w:val="center"/>
              <w:rPr>
                <w:noProof/>
                <w:sz w:val="20"/>
              </w:rPr>
            </w:pPr>
          </w:p>
        </w:tc>
        <w:tc>
          <w:tcPr>
            <w:tcW w:w="655" w:type="pct"/>
            <w:vAlign w:val="center"/>
          </w:tcPr>
          <w:p w14:paraId="72A6E436" w14:textId="77777777" w:rsidR="00412E11" w:rsidRPr="00EC49A8" w:rsidRDefault="00412E11" w:rsidP="000C5C29">
            <w:pPr>
              <w:spacing w:before="60" w:after="60"/>
              <w:jc w:val="center"/>
              <w:rPr>
                <w:noProof/>
                <w:sz w:val="20"/>
              </w:rPr>
            </w:pPr>
          </w:p>
        </w:tc>
        <w:tc>
          <w:tcPr>
            <w:tcW w:w="787" w:type="pct"/>
            <w:vAlign w:val="center"/>
          </w:tcPr>
          <w:p w14:paraId="078DE262" w14:textId="77777777" w:rsidR="00412E11" w:rsidRPr="00EC49A8" w:rsidRDefault="00412E11" w:rsidP="000C5C29">
            <w:pPr>
              <w:spacing w:before="60" w:after="60"/>
              <w:jc w:val="center"/>
              <w:rPr>
                <w:noProof/>
                <w:sz w:val="20"/>
              </w:rPr>
            </w:pPr>
          </w:p>
        </w:tc>
      </w:tr>
    </w:tbl>
    <w:p w14:paraId="50658067" w14:textId="77777777" w:rsidR="00412E11" w:rsidRPr="00EC49A8" w:rsidRDefault="00412E11" w:rsidP="000C5C29">
      <w:pPr>
        <w:outlineLvl w:val="1"/>
        <w:rPr>
          <w:noProof/>
          <w:szCs w:val="24"/>
        </w:rPr>
      </w:pPr>
      <w:r w:rsidRPr="00EC49A8">
        <w:rPr>
          <w:noProof/>
        </w:rPr>
        <w:t xml:space="preserve"> </w:t>
      </w:r>
      <w:r w:rsidRPr="00EC49A8">
        <w:rPr>
          <w:noProof/>
        </w:rPr>
        <w:br/>
      </w:r>
      <w:bookmarkStart w:id="173" w:name="_Toc514938059"/>
      <w:bookmarkStart w:id="174" w:name="_Toc520485057"/>
      <w:bookmarkStart w:id="175" w:name="_Toc160804602"/>
      <w:bookmarkStart w:id="176" w:name="_Toc167220300"/>
      <w:bookmarkStart w:id="177" w:name="_Toc177549034"/>
      <w:bookmarkStart w:id="178" w:name="_Hlk166860179"/>
      <w:r w:rsidRPr="00B17672">
        <w:rPr>
          <w:noProof/>
        </w:rPr>
        <w:t>3</w:t>
      </w:r>
      <w:r w:rsidRPr="00EC49A8">
        <w:rPr>
          <w:noProof/>
        </w:rPr>
        <w:t>.</w:t>
      </w:r>
      <w:r w:rsidRPr="00B17672">
        <w:rPr>
          <w:noProof/>
        </w:rPr>
        <w:t>3</w:t>
      </w:r>
      <w:r w:rsidRPr="00EC49A8">
        <w:rPr>
          <w:noProof/>
        </w:rPr>
        <w:t>.</w:t>
      </w:r>
      <w:r w:rsidRPr="00EC49A8">
        <w:rPr>
          <w:noProof/>
        </w:rPr>
        <w:tab/>
        <w:t>Incidenza prevista sulle entrate</w:t>
      </w:r>
      <w:bookmarkEnd w:id="173"/>
      <w:bookmarkEnd w:id="174"/>
      <w:bookmarkEnd w:id="175"/>
      <w:bookmarkEnd w:id="176"/>
      <w:bookmarkEnd w:id="177"/>
      <w:r w:rsidRPr="00EC49A8">
        <w:rPr>
          <w:noProof/>
        </w:rPr>
        <w:t xml:space="preserve"> </w:t>
      </w:r>
    </w:p>
    <w:bookmarkEnd w:id="178"/>
    <w:p w14:paraId="60FBD70B" w14:textId="77777777" w:rsidR="00412E11" w:rsidRPr="00EC49A8" w:rsidRDefault="00681712" w:rsidP="000C5C29">
      <w:pPr>
        <w:pStyle w:val="ListDash1"/>
        <w:rPr>
          <w:noProof/>
        </w:rPr>
      </w:pPr>
      <w:r w:rsidRPr="00EC49A8">
        <w:rPr>
          <w:rFonts w:ascii="Wingdings" w:hAnsi="Wingdings"/>
          <w:noProof/>
        </w:rPr>
        <w:t></w:t>
      </w:r>
      <w:r w:rsidRPr="00EC49A8">
        <w:rPr>
          <w:noProof/>
        </w:rPr>
        <w:tab/>
        <w:t>La proposta/iniziativa non ha incidenza finanziaria sulle entrate.</w:t>
      </w:r>
    </w:p>
    <w:p w14:paraId="3875A2DA" w14:textId="77777777" w:rsidR="00412E11" w:rsidRPr="00EC49A8" w:rsidRDefault="00412E11" w:rsidP="000C5C29">
      <w:pPr>
        <w:pStyle w:val="ListDash1"/>
        <w:rPr>
          <w:noProof/>
        </w:rPr>
      </w:pPr>
      <w:r w:rsidRPr="00EC49A8">
        <w:rPr>
          <w:rFonts w:ascii="Wingdings" w:hAnsi="Wingdings"/>
          <w:noProof/>
        </w:rPr>
        <w:t></w:t>
      </w:r>
      <w:r w:rsidRPr="00EC49A8">
        <w:rPr>
          <w:noProof/>
        </w:rPr>
        <w:tab/>
        <w:t>La proposta/iniziativa ha la seguente incidenza finanziaria:</w:t>
      </w:r>
    </w:p>
    <w:p w14:paraId="13F56794" w14:textId="77777777" w:rsidR="00412E11" w:rsidRPr="00EC49A8" w:rsidRDefault="00412E11" w:rsidP="00412E11">
      <w:pPr>
        <w:pStyle w:val="ListNumberLevel3"/>
        <w:rPr>
          <w:noProof/>
        </w:rPr>
      </w:pPr>
      <w:r w:rsidRPr="00EC49A8">
        <w:rPr>
          <w:rFonts w:ascii="Wingdings" w:hAnsi="Wingdings"/>
          <w:noProof/>
        </w:rPr>
        <w:t></w:t>
      </w:r>
      <w:r w:rsidRPr="00EC49A8">
        <w:rPr>
          <w:noProof/>
        </w:rPr>
        <w:tab/>
        <w:t xml:space="preserve">sulle risorse proprie. </w:t>
      </w:r>
    </w:p>
    <w:p w14:paraId="48935F33" w14:textId="77777777" w:rsidR="00412E11" w:rsidRPr="00EC49A8" w:rsidRDefault="00412E11" w:rsidP="00412E11">
      <w:pPr>
        <w:pStyle w:val="ListNumberLevel3"/>
        <w:rPr>
          <w:noProof/>
        </w:rPr>
      </w:pPr>
      <w:r w:rsidRPr="00EC49A8">
        <w:rPr>
          <w:rFonts w:ascii="Wingdings" w:hAnsi="Wingdings"/>
          <w:noProof/>
        </w:rPr>
        <w:t></w:t>
      </w:r>
      <w:r w:rsidRPr="00EC49A8">
        <w:rPr>
          <w:noProof/>
        </w:rPr>
        <w:tab/>
        <w:t>su altre entrate.</w:t>
      </w:r>
    </w:p>
    <w:p w14:paraId="58B7F77A" w14:textId="77777777" w:rsidR="00412E11" w:rsidRPr="00EC49A8" w:rsidRDefault="00412E11" w:rsidP="00412E11">
      <w:pPr>
        <w:pStyle w:val="ListNumberLevel3"/>
        <w:rPr>
          <w:noProof/>
        </w:rPr>
      </w:pPr>
      <w:r w:rsidRPr="00EC49A8">
        <w:rPr>
          <w:rFonts w:ascii="Wingdings" w:hAnsi="Wingdings"/>
          <w:noProof/>
        </w:rPr>
        <w:t></w:t>
      </w:r>
      <w:r w:rsidRPr="00EC49A8">
        <w:rPr>
          <w:noProof/>
        </w:rPr>
        <w:tab/>
        <w:t>indicare se le entrate sono destinate a linee di spesa specifiche.</w:t>
      </w:r>
    </w:p>
    <w:p w14:paraId="249DD5E5" w14:textId="77777777" w:rsidR="00412E11" w:rsidRPr="00EC49A8" w:rsidRDefault="00412E11" w:rsidP="000C5C29">
      <w:pPr>
        <w:jc w:val="right"/>
        <w:rPr>
          <w:noProof/>
          <w:sz w:val="20"/>
        </w:rPr>
      </w:pPr>
      <w:r w:rsidRPr="00EC49A8">
        <w:rPr>
          <w:noProof/>
          <w:sz w:val="20"/>
        </w:rPr>
        <w:t xml:space="preserve">     Mio EUR (al terzo decimale)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614"/>
        <w:gridCol w:w="1692"/>
        <w:gridCol w:w="1044"/>
        <w:gridCol w:w="1035"/>
        <w:gridCol w:w="1260"/>
      </w:tblGrid>
      <w:tr w:rsidR="00E254F3" w:rsidRPr="00EC49A8" w14:paraId="17DFC161" w14:textId="77777777" w:rsidTr="000C5C29">
        <w:trPr>
          <w:trHeight w:val="388"/>
        </w:trPr>
        <w:tc>
          <w:tcPr>
            <w:tcW w:w="1423" w:type="pct"/>
            <w:vMerge w:val="restart"/>
            <w:vAlign w:val="center"/>
          </w:tcPr>
          <w:p w14:paraId="56236C1C" w14:textId="77777777" w:rsidR="00412E11" w:rsidRPr="00EC49A8" w:rsidRDefault="00412E11" w:rsidP="000C5C29">
            <w:pPr>
              <w:spacing w:before="40" w:after="40"/>
              <w:rPr>
                <w:noProof/>
                <w:sz w:val="18"/>
              </w:rPr>
            </w:pPr>
            <w:r w:rsidRPr="00EC49A8">
              <w:rPr>
                <w:noProof/>
                <w:sz w:val="18"/>
              </w:rPr>
              <w:t>Linea di bilancio delle entrate:</w:t>
            </w:r>
          </w:p>
        </w:tc>
        <w:tc>
          <w:tcPr>
            <w:tcW w:w="869" w:type="pct"/>
            <w:vMerge w:val="restart"/>
            <w:vAlign w:val="center"/>
          </w:tcPr>
          <w:p w14:paraId="27F757AC" w14:textId="368CDE51" w:rsidR="00412E11" w:rsidRPr="00EC49A8" w:rsidRDefault="00412E11" w:rsidP="000C5C29">
            <w:pPr>
              <w:jc w:val="center"/>
              <w:rPr>
                <w:noProof/>
                <w:sz w:val="18"/>
              </w:rPr>
            </w:pPr>
            <w:r w:rsidRPr="00EC49A8">
              <w:rPr>
                <w:noProof/>
                <w:sz w:val="18"/>
              </w:rPr>
              <w:t>Stanziamenti disponibili per l</w:t>
            </w:r>
            <w:r w:rsidR="00B17672">
              <w:rPr>
                <w:noProof/>
                <w:sz w:val="18"/>
              </w:rPr>
              <w:t>'</w:t>
            </w:r>
            <w:r w:rsidRPr="00EC49A8">
              <w:rPr>
                <w:noProof/>
                <w:sz w:val="18"/>
              </w:rPr>
              <w:t>esercizio in corso</w:t>
            </w:r>
          </w:p>
        </w:tc>
        <w:tc>
          <w:tcPr>
            <w:tcW w:w="2709" w:type="pct"/>
            <w:gridSpan w:val="4"/>
            <w:vAlign w:val="center"/>
          </w:tcPr>
          <w:p w14:paraId="56EB31BB" w14:textId="77777777" w:rsidR="00412E11" w:rsidRPr="00EC49A8" w:rsidRDefault="00412E11" w:rsidP="000C5C29">
            <w:pPr>
              <w:jc w:val="center"/>
              <w:rPr>
                <w:noProof/>
                <w:sz w:val="18"/>
              </w:rPr>
            </w:pPr>
            <w:r w:rsidRPr="00EC49A8">
              <w:rPr>
                <w:noProof/>
                <w:sz w:val="18"/>
              </w:rPr>
              <w:t>Incidenza della proposta/iniziativa</w:t>
            </w:r>
            <w:r w:rsidRPr="00EC49A8">
              <w:rPr>
                <w:rStyle w:val="FootnoteReference"/>
                <w:noProof/>
                <w:sz w:val="18"/>
                <w:szCs w:val="18"/>
              </w:rPr>
              <w:footnoteReference w:id="24"/>
            </w:r>
          </w:p>
        </w:tc>
      </w:tr>
      <w:tr w:rsidR="00E254F3" w:rsidRPr="00EC49A8" w14:paraId="13BD85B5" w14:textId="77777777" w:rsidTr="000C5C29">
        <w:trPr>
          <w:trHeight w:val="388"/>
        </w:trPr>
        <w:tc>
          <w:tcPr>
            <w:tcW w:w="1423" w:type="pct"/>
            <w:vMerge/>
          </w:tcPr>
          <w:p w14:paraId="7E0A7609" w14:textId="77777777" w:rsidR="00412E11" w:rsidRPr="00EC49A8" w:rsidRDefault="00412E11" w:rsidP="000C5C29">
            <w:pPr>
              <w:spacing w:before="40" w:after="40"/>
              <w:rPr>
                <w:noProof/>
                <w:sz w:val="18"/>
              </w:rPr>
            </w:pPr>
          </w:p>
        </w:tc>
        <w:tc>
          <w:tcPr>
            <w:tcW w:w="869" w:type="pct"/>
            <w:vMerge/>
          </w:tcPr>
          <w:p w14:paraId="725F2244" w14:textId="77777777" w:rsidR="00412E11" w:rsidRPr="00EC49A8" w:rsidRDefault="00412E11" w:rsidP="000C5C29">
            <w:pPr>
              <w:spacing w:beforeLines="40" w:before="96" w:afterLines="40" w:after="96"/>
              <w:rPr>
                <w:i/>
                <w:noProof/>
                <w:sz w:val="18"/>
              </w:rPr>
            </w:pPr>
          </w:p>
        </w:tc>
        <w:tc>
          <w:tcPr>
            <w:tcW w:w="911" w:type="pct"/>
            <w:vAlign w:val="center"/>
          </w:tcPr>
          <w:p w14:paraId="46B2733A" w14:textId="77777777" w:rsidR="00412E11" w:rsidRPr="00EC49A8" w:rsidRDefault="00412E11" w:rsidP="000C5C29">
            <w:pPr>
              <w:jc w:val="center"/>
              <w:rPr>
                <w:noProof/>
                <w:sz w:val="18"/>
              </w:rPr>
            </w:pPr>
            <w:r w:rsidRPr="00EC49A8">
              <w:rPr>
                <w:noProof/>
                <w:sz w:val="18"/>
              </w:rPr>
              <w:t xml:space="preserve">Anno </w:t>
            </w:r>
            <w:r w:rsidRPr="00B17672">
              <w:rPr>
                <w:b/>
                <w:noProof/>
                <w:sz w:val="18"/>
              </w:rPr>
              <w:t>2024</w:t>
            </w:r>
          </w:p>
        </w:tc>
        <w:tc>
          <w:tcPr>
            <w:tcW w:w="562" w:type="pct"/>
            <w:vAlign w:val="center"/>
          </w:tcPr>
          <w:p w14:paraId="46FB60E5" w14:textId="77777777" w:rsidR="00412E11" w:rsidRPr="00EC49A8" w:rsidRDefault="00412E11" w:rsidP="000C5C29">
            <w:pPr>
              <w:jc w:val="center"/>
              <w:rPr>
                <w:noProof/>
                <w:sz w:val="18"/>
              </w:rPr>
            </w:pPr>
            <w:r w:rsidRPr="00EC49A8">
              <w:rPr>
                <w:noProof/>
                <w:sz w:val="18"/>
              </w:rPr>
              <w:t xml:space="preserve">Anno </w:t>
            </w:r>
            <w:r w:rsidRPr="00B17672">
              <w:rPr>
                <w:b/>
                <w:noProof/>
                <w:sz w:val="18"/>
              </w:rPr>
              <w:t>2025</w:t>
            </w:r>
          </w:p>
        </w:tc>
        <w:tc>
          <w:tcPr>
            <w:tcW w:w="557" w:type="pct"/>
            <w:vAlign w:val="center"/>
          </w:tcPr>
          <w:p w14:paraId="34C10F74" w14:textId="77777777" w:rsidR="00412E11" w:rsidRPr="00EC49A8" w:rsidRDefault="00412E11" w:rsidP="000C5C29">
            <w:pPr>
              <w:jc w:val="center"/>
              <w:rPr>
                <w:noProof/>
                <w:sz w:val="18"/>
              </w:rPr>
            </w:pPr>
            <w:r w:rsidRPr="00EC49A8">
              <w:rPr>
                <w:noProof/>
                <w:sz w:val="18"/>
              </w:rPr>
              <w:t xml:space="preserve">Anno </w:t>
            </w:r>
            <w:r w:rsidRPr="00B17672">
              <w:rPr>
                <w:b/>
                <w:noProof/>
                <w:sz w:val="18"/>
              </w:rPr>
              <w:t>2026</w:t>
            </w:r>
          </w:p>
        </w:tc>
        <w:tc>
          <w:tcPr>
            <w:tcW w:w="679" w:type="pct"/>
            <w:vAlign w:val="center"/>
          </w:tcPr>
          <w:p w14:paraId="6D7A9BF2" w14:textId="77777777" w:rsidR="00412E11" w:rsidRPr="00EC49A8" w:rsidRDefault="00412E11" w:rsidP="000C5C29">
            <w:pPr>
              <w:jc w:val="center"/>
              <w:rPr>
                <w:noProof/>
                <w:sz w:val="18"/>
              </w:rPr>
            </w:pPr>
            <w:r w:rsidRPr="00EC49A8">
              <w:rPr>
                <w:noProof/>
                <w:sz w:val="18"/>
              </w:rPr>
              <w:t xml:space="preserve">Anno </w:t>
            </w:r>
            <w:r w:rsidRPr="00B17672">
              <w:rPr>
                <w:b/>
                <w:noProof/>
                <w:sz w:val="18"/>
              </w:rPr>
              <w:t>2027</w:t>
            </w:r>
          </w:p>
        </w:tc>
      </w:tr>
      <w:tr w:rsidR="00E254F3" w:rsidRPr="00EC49A8" w14:paraId="59ED97A1" w14:textId="77777777" w:rsidTr="000C5C29">
        <w:trPr>
          <w:trHeight w:val="388"/>
        </w:trPr>
        <w:tc>
          <w:tcPr>
            <w:tcW w:w="1423" w:type="pct"/>
            <w:vAlign w:val="center"/>
          </w:tcPr>
          <w:p w14:paraId="68BF2EB8" w14:textId="77777777" w:rsidR="00412E11" w:rsidRPr="00EC49A8" w:rsidRDefault="00412E11" w:rsidP="000C5C29">
            <w:pPr>
              <w:spacing w:before="40" w:after="40"/>
              <w:rPr>
                <w:noProof/>
                <w:sz w:val="18"/>
              </w:rPr>
            </w:pPr>
            <w:r w:rsidRPr="00EC49A8">
              <w:rPr>
                <w:noProof/>
                <w:sz w:val="18"/>
              </w:rPr>
              <w:t>Articolo ………….</w:t>
            </w:r>
          </w:p>
        </w:tc>
        <w:tc>
          <w:tcPr>
            <w:tcW w:w="869" w:type="pct"/>
          </w:tcPr>
          <w:p w14:paraId="09702B01" w14:textId="77777777" w:rsidR="00412E11" w:rsidRPr="00EC49A8" w:rsidRDefault="00412E11" w:rsidP="000C5C29">
            <w:pPr>
              <w:spacing w:beforeLines="40" w:before="96" w:afterLines="40" w:after="96"/>
              <w:jc w:val="center"/>
              <w:rPr>
                <w:i/>
                <w:noProof/>
                <w:sz w:val="18"/>
              </w:rPr>
            </w:pPr>
          </w:p>
        </w:tc>
        <w:tc>
          <w:tcPr>
            <w:tcW w:w="911" w:type="pct"/>
          </w:tcPr>
          <w:p w14:paraId="2F2E76E4" w14:textId="77777777" w:rsidR="00412E11" w:rsidRPr="00EC49A8" w:rsidRDefault="00412E11" w:rsidP="000C5C29">
            <w:pPr>
              <w:spacing w:beforeLines="40" w:before="96" w:afterLines="40" w:after="96"/>
              <w:jc w:val="center"/>
              <w:rPr>
                <w:noProof/>
                <w:sz w:val="18"/>
              </w:rPr>
            </w:pPr>
          </w:p>
        </w:tc>
        <w:tc>
          <w:tcPr>
            <w:tcW w:w="562" w:type="pct"/>
          </w:tcPr>
          <w:p w14:paraId="2493E524" w14:textId="77777777" w:rsidR="00412E11" w:rsidRPr="00EC49A8" w:rsidRDefault="00412E11" w:rsidP="000C5C29">
            <w:pPr>
              <w:spacing w:beforeLines="40" w:before="96" w:afterLines="40" w:after="96"/>
              <w:jc w:val="center"/>
              <w:rPr>
                <w:noProof/>
                <w:sz w:val="18"/>
              </w:rPr>
            </w:pPr>
          </w:p>
        </w:tc>
        <w:tc>
          <w:tcPr>
            <w:tcW w:w="557" w:type="pct"/>
          </w:tcPr>
          <w:p w14:paraId="58CA6786" w14:textId="77777777" w:rsidR="00412E11" w:rsidRPr="00EC49A8" w:rsidRDefault="00412E11" w:rsidP="000C5C29">
            <w:pPr>
              <w:spacing w:beforeLines="40" w:before="96" w:afterLines="40" w:after="96"/>
              <w:jc w:val="center"/>
              <w:rPr>
                <w:noProof/>
                <w:sz w:val="18"/>
              </w:rPr>
            </w:pPr>
          </w:p>
        </w:tc>
        <w:tc>
          <w:tcPr>
            <w:tcW w:w="679" w:type="pct"/>
          </w:tcPr>
          <w:p w14:paraId="67F26A86" w14:textId="77777777" w:rsidR="00412E11" w:rsidRPr="00EC49A8" w:rsidRDefault="00412E11" w:rsidP="000C5C29">
            <w:pPr>
              <w:spacing w:beforeLines="40" w:before="96" w:afterLines="40" w:after="96"/>
              <w:jc w:val="center"/>
              <w:rPr>
                <w:noProof/>
                <w:sz w:val="18"/>
              </w:rPr>
            </w:pPr>
          </w:p>
        </w:tc>
      </w:tr>
    </w:tbl>
    <w:p w14:paraId="0ADEEC7C" w14:textId="77777777" w:rsidR="00412E11" w:rsidRPr="00EC49A8" w:rsidRDefault="00412E11" w:rsidP="000C5C29">
      <w:pPr>
        <w:pStyle w:val="Text1"/>
        <w:rPr>
          <w:noProof/>
          <w:szCs w:val="24"/>
        </w:rPr>
      </w:pPr>
      <w:r w:rsidRPr="00EC49A8">
        <w:rPr>
          <w:noProof/>
        </w:rPr>
        <w:t>Per quanto riguarda le entrate con destinazione specifica, precisare la linea o le linee di spesa interessate.</w:t>
      </w:r>
    </w:p>
    <w:p w14:paraId="2523013A" w14:textId="77777777" w:rsidR="004A172B" w:rsidRPr="00EC49A8" w:rsidRDefault="004A172B" w:rsidP="004A172B">
      <w:pPr>
        <w:pStyle w:val="Text1"/>
        <w:pBdr>
          <w:top w:val="single" w:sz="4" w:space="1" w:color="auto"/>
          <w:left w:val="single" w:sz="4" w:space="4" w:color="auto"/>
          <w:bottom w:val="single" w:sz="4" w:space="1" w:color="auto"/>
          <w:right w:val="single" w:sz="4" w:space="4" w:color="auto"/>
        </w:pBdr>
        <w:rPr>
          <w:noProof/>
        </w:rPr>
      </w:pPr>
      <w:r w:rsidRPr="00EC49A8">
        <w:rPr>
          <w:noProof/>
        </w:rPr>
        <w:t>N/D</w:t>
      </w:r>
    </w:p>
    <w:p w14:paraId="4AF2E00B" w14:textId="1EDA5DA5" w:rsidR="00412E11" w:rsidRPr="00EC49A8" w:rsidRDefault="00412E11" w:rsidP="000C5C29">
      <w:pPr>
        <w:pStyle w:val="Text1"/>
        <w:rPr>
          <w:noProof/>
          <w:szCs w:val="24"/>
        </w:rPr>
      </w:pPr>
      <w:r w:rsidRPr="00EC49A8">
        <w:rPr>
          <w:noProof/>
        </w:rPr>
        <w:t>Altre osservazioni (ad es. formula/metodo per calcolare l</w:t>
      </w:r>
      <w:r w:rsidR="00B17672">
        <w:rPr>
          <w:noProof/>
        </w:rPr>
        <w:t>'</w:t>
      </w:r>
      <w:r w:rsidRPr="00EC49A8">
        <w:rPr>
          <w:noProof/>
        </w:rPr>
        <w:t>incidenza sulle entrate o altre informazioni)</w:t>
      </w:r>
    </w:p>
    <w:p w14:paraId="6289D4E5" w14:textId="77777777" w:rsidR="004A172B" w:rsidRPr="00EC49A8" w:rsidRDefault="004A172B" w:rsidP="000C5C29">
      <w:pPr>
        <w:pStyle w:val="Text1"/>
        <w:pBdr>
          <w:top w:val="single" w:sz="4" w:space="1" w:color="auto"/>
          <w:left w:val="single" w:sz="4" w:space="4" w:color="auto"/>
          <w:bottom w:val="single" w:sz="4" w:space="1" w:color="auto"/>
          <w:right w:val="single" w:sz="4" w:space="4" w:color="auto"/>
        </w:pBdr>
        <w:rPr>
          <w:noProof/>
        </w:rPr>
      </w:pPr>
      <w:r w:rsidRPr="00EC49A8">
        <w:rPr>
          <w:noProof/>
        </w:rPr>
        <w:t>N/D</w:t>
      </w:r>
    </w:p>
    <w:p w14:paraId="5CB9394B" w14:textId="77777777" w:rsidR="00412E11" w:rsidRPr="00EC49A8" w:rsidRDefault="00412E11" w:rsidP="000C5C29">
      <w:pPr>
        <w:pStyle w:val="ManualHeading1"/>
        <w:rPr>
          <w:caps/>
          <w:noProof/>
        </w:rPr>
      </w:pPr>
      <w:bookmarkStart w:id="179" w:name="_Toc167220301"/>
      <w:bookmarkStart w:id="180" w:name="_Toc177549035"/>
      <w:r w:rsidRPr="00B17672">
        <w:rPr>
          <w:noProof/>
        </w:rPr>
        <w:t>4</w:t>
      </w:r>
      <w:r w:rsidRPr="00EC49A8">
        <w:rPr>
          <w:noProof/>
        </w:rPr>
        <w:t>.</w:t>
      </w:r>
      <w:r w:rsidRPr="00EC49A8">
        <w:rPr>
          <w:noProof/>
        </w:rPr>
        <w:tab/>
      </w:r>
      <w:bookmarkStart w:id="181" w:name="_Hlk167692977"/>
      <w:r w:rsidRPr="00EC49A8">
        <w:rPr>
          <w:caps/>
          <w:noProof/>
        </w:rPr>
        <w:t>Dimensioni digitali</w:t>
      </w:r>
      <w:bookmarkEnd w:id="179"/>
      <w:bookmarkEnd w:id="180"/>
    </w:p>
    <w:p w14:paraId="48D7E5DC" w14:textId="77777777" w:rsidR="00412E11" w:rsidRPr="00EC49A8" w:rsidRDefault="00F96585" w:rsidP="000C5C29">
      <w:pPr>
        <w:pStyle w:val="Text1"/>
        <w:pBdr>
          <w:top w:val="single" w:sz="4" w:space="1" w:color="000000"/>
          <w:left w:val="single" w:sz="4" w:space="4" w:color="000000"/>
          <w:bottom w:val="single" w:sz="4" w:space="1" w:color="000000"/>
          <w:right w:val="single" w:sz="4" w:space="4" w:color="000000"/>
        </w:pBdr>
        <w:spacing w:line="259" w:lineRule="auto"/>
        <w:rPr>
          <w:noProof/>
        </w:rPr>
      </w:pPr>
      <w:hyperlink r:id="rId24" w:history="1">
        <w:r w:rsidR="00604009" w:rsidRPr="00EC49A8">
          <w:rPr>
            <w:rStyle w:val="Hyperlink"/>
            <w:noProof/>
            <w:color w:val="auto"/>
            <w:u w:val="none"/>
          </w:rPr>
          <w:t>La</w:t>
        </w:r>
      </w:hyperlink>
      <w:r w:rsidR="00604009" w:rsidRPr="00EC49A8">
        <w:rPr>
          <w:noProof/>
        </w:rPr>
        <w:t xml:space="preserve"> proposta non include alcuna dimensione digitale. </w:t>
      </w:r>
    </w:p>
    <w:p w14:paraId="1D9A0D2E" w14:textId="77777777" w:rsidR="00412E11" w:rsidRPr="00EC49A8" w:rsidRDefault="00412E11" w:rsidP="000C5C29">
      <w:pPr>
        <w:pStyle w:val="ManualHeading2"/>
        <w:tabs>
          <w:tab w:val="clear" w:pos="850"/>
          <w:tab w:val="left" w:pos="0"/>
        </w:tabs>
        <w:ind w:left="0" w:firstLine="0"/>
        <w:rPr>
          <w:noProof/>
        </w:rPr>
      </w:pPr>
      <w:bookmarkStart w:id="182" w:name="_Toc177549036"/>
      <w:r w:rsidRPr="00EC49A8">
        <w:rPr>
          <w:noProof/>
        </w:rPr>
        <w:t>.</w:t>
      </w:r>
      <w:bookmarkEnd w:id="182"/>
    </w:p>
    <w:p w14:paraId="39F85289" w14:textId="77777777" w:rsidR="00412E11" w:rsidRPr="00EC49A8" w:rsidRDefault="00412E11" w:rsidP="000C5C29">
      <w:pPr>
        <w:pStyle w:val="ManualHeading2"/>
        <w:rPr>
          <w:noProof/>
        </w:rPr>
      </w:pPr>
      <w:bookmarkStart w:id="183" w:name="_Toc167220302"/>
      <w:bookmarkStart w:id="184" w:name="_Toc177549037"/>
      <w:r w:rsidRPr="00B17672">
        <w:rPr>
          <w:noProof/>
        </w:rPr>
        <w:t>4</w:t>
      </w:r>
      <w:r w:rsidRPr="00EC49A8">
        <w:rPr>
          <w:noProof/>
        </w:rPr>
        <w:t>.</w:t>
      </w:r>
      <w:r w:rsidRPr="00B17672">
        <w:rPr>
          <w:noProof/>
        </w:rPr>
        <w:t>1</w:t>
      </w:r>
      <w:r w:rsidRPr="00EC49A8">
        <w:rPr>
          <w:noProof/>
        </w:rPr>
        <w:t>.</w:t>
      </w:r>
      <w:r w:rsidRPr="00EC49A8">
        <w:rPr>
          <w:noProof/>
        </w:rPr>
        <w:tab/>
        <w:t>Prescrizioni di rilevanza digitale</w:t>
      </w:r>
      <w:bookmarkEnd w:id="183"/>
      <w:bookmarkEnd w:id="184"/>
    </w:p>
    <w:tbl>
      <w:tblPr>
        <w:tblStyle w:val="TableGrid"/>
        <w:tblW w:w="9072" w:type="dxa"/>
        <w:tblInd w:w="-5" w:type="dxa"/>
        <w:tblLayout w:type="fixed"/>
        <w:tblLook w:val="06A0" w:firstRow="1" w:lastRow="0" w:firstColumn="1" w:lastColumn="0" w:noHBand="1" w:noVBand="1"/>
      </w:tblPr>
      <w:tblGrid>
        <w:gridCol w:w="9072"/>
      </w:tblGrid>
      <w:tr w:rsidR="00E254F3" w:rsidRPr="00EC49A8" w14:paraId="71802D97" w14:textId="77777777" w:rsidTr="000C5C29">
        <w:trPr>
          <w:trHeight w:val="300"/>
        </w:trPr>
        <w:tc>
          <w:tcPr>
            <w:tcW w:w="9072" w:type="dxa"/>
          </w:tcPr>
          <w:p w14:paraId="06832DC9" w14:textId="5C10353C" w:rsidR="00412E11" w:rsidRPr="00EC49A8" w:rsidRDefault="00F27425" w:rsidP="008A3FC9">
            <w:pPr>
              <w:rPr>
                <w:noProof/>
              </w:rPr>
            </w:pPr>
            <w:r w:rsidRPr="00EC49A8">
              <w:rPr>
                <w:noProof/>
              </w:rPr>
              <w:t>La proposta introduce una disposizione di flessibilità per consentire ai costruttori di conformarsi agli obiettivi in materia di emissioni di CO</w:t>
            </w:r>
            <w:r w:rsidRPr="00B17672">
              <w:rPr>
                <w:noProof/>
                <w:vertAlign w:val="subscript"/>
              </w:rPr>
              <w:t>2</w:t>
            </w:r>
            <w:r w:rsidRPr="00EC49A8">
              <w:rPr>
                <w:noProof/>
              </w:rPr>
              <w:t xml:space="preserve"> per gli anni </w:t>
            </w:r>
            <w:r w:rsidRPr="00B17672">
              <w:rPr>
                <w:noProof/>
              </w:rPr>
              <w:t>2025</w:t>
            </w:r>
            <w:r w:rsidRPr="00EC49A8">
              <w:rPr>
                <w:noProof/>
              </w:rPr>
              <w:t xml:space="preserve">, </w:t>
            </w:r>
            <w:r w:rsidRPr="00B17672">
              <w:rPr>
                <w:noProof/>
              </w:rPr>
              <w:t>2026</w:t>
            </w:r>
            <w:r w:rsidRPr="00EC49A8">
              <w:rPr>
                <w:noProof/>
              </w:rPr>
              <w:t xml:space="preserve"> e </w:t>
            </w:r>
            <w:r w:rsidRPr="00B17672">
              <w:rPr>
                <w:noProof/>
              </w:rPr>
              <w:t>2027</w:t>
            </w:r>
            <w:r w:rsidRPr="00EC49A8">
              <w:rPr>
                <w:noProof/>
              </w:rPr>
              <w:t xml:space="preserve"> considerati complessivamente. Di conseguenza non presenta implicazioni digitali né implica miglioramenti dell</w:t>
            </w:r>
            <w:r w:rsidR="00B17672">
              <w:rPr>
                <w:noProof/>
              </w:rPr>
              <w:t>'</w:t>
            </w:r>
            <w:r w:rsidRPr="00EC49A8">
              <w:rPr>
                <w:noProof/>
              </w:rPr>
              <w:t>attuazione attraverso strumenti digitali.</w:t>
            </w:r>
          </w:p>
        </w:tc>
      </w:tr>
    </w:tbl>
    <w:p w14:paraId="5D61F530" w14:textId="77777777" w:rsidR="00412E11" w:rsidRPr="00EC49A8" w:rsidRDefault="00412E11" w:rsidP="000C5C29">
      <w:pPr>
        <w:pStyle w:val="ManualHeading2"/>
        <w:rPr>
          <w:noProof/>
        </w:rPr>
      </w:pPr>
      <w:bookmarkStart w:id="185" w:name="_Toc167220303"/>
      <w:bookmarkStart w:id="186" w:name="_Toc177549038"/>
      <w:r w:rsidRPr="00B17672">
        <w:rPr>
          <w:noProof/>
        </w:rPr>
        <w:t>4</w:t>
      </w:r>
      <w:r w:rsidRPr="00EC49A8">
        <w:rPr>
          <w:noProof/>
        </w:rPr>
        <w:t>.</w:t>
      </w:r>
      <w:r w:rsidRPr="00B17672">
        <w:rPr>
          <w:noProof/>
        </w:rPr>
        <w:t>2</w:t>
      </w:r>
      <w:r w:rsidRPr="00EC49A8">
        <w:rPr>
          <w:noProof/>
        </w:rPr>
        <w:t>.</w:t>
      </w:r>
      <w:r w:rsidRPr="00EC49A8">
        <w:rPr>
          <w:noProof/>
        </w:rPr>
        <w:tab/>
        <w:t>Dati</w:t>
      </w:r>
      <w:bookmarkEnd w:id="185"/>
      <w:bookmarkEnd w:id="186"/>
    </w:p>
    <w:tbl>
      <w:tblPr>
        <w:tblStyle w:val="TableGrid"/>
        <w:tblW w:w="0" w:type="auto"/>
        <w:tblLook w:val="04A0" w:firstRow="1" w:lastRow="0" w:firstColumn="1" w:lastColumn="0" w:noHBand="0" w:noVBand="1"/>
      </w:tblPr>
      <w:tblGrid>
        <w:gridCol w:w="9063"/>
      </w:tblGrid>
      <w:tr w:rsidR="00E254F3" w:rsidRPr="00EC49A8" w14:paraId="59B4D280" w14:textId="77777777" w:rsidTr="000C5C29">
        <w:tc>
          <w:tcPr>
            <w:tcW w:w="9063" w:type="dxa"/>
          </w:tcPr>
          <w:p w14:paraId="12080BAE" w14:textId="77777777" w:rsidR="00412E11" w:rsidRPr="00EC49A8" w:rsidRDefault="001971B7" w:rsidP="004A172B">
            <w:pPr>
              <w:rPr>
                <w:noProof/>
              </w:rPr>
            </w:pPr>
            <w:r w:rsidRPr="00EC49A8">
              <w:rPr>
                <w:noProof/>
              </w:rPr>
              <w:t>N/D</w:t>
            </w:r>
          </w:p>
        </w:tc>
      </w:tr>
    </w:tbl>
    <w:p w14:paraId="08FC4C80" w14:textId="77777777" w:rsidR="00412E11" w:rsidRPr="00EC49A8" w:rsidRDefault="00412E11" w:rsidP="000C5C29">
      <w:pPr>
        <w:pStyle w:val="ManualHeading2"/>
        <w:rPr>
          <w:noProof/>
        </w:rPr>
      </w:pPr>
      <w:bookmarkStart w:id="187" w:name="_Toc167220305"/>
      <w:bookmarkStart w:id="188" w:name="_Toc177549039"/>
      <w:r w:rsidRPr="00B17672">
        <w:rPr>
          <w:noProof/>
        </w:rPr>
        <w:t>4</w:t>
      </w:r>
      <w:r w:rsidRPr="00EC49A8">
        <w:rPr>
          <w:noProof/>
        </w:rPr>
        <w:t>.</w:t>
      </w:r>
      <w:r w:rsidRPr="00B17672">
        <w:rPr>
          <w:noProof/>
        </w:rPr>
        <w:t>3</w:t>
      </w:r>
      <w:r w:rsidRPr="00EC49A8">
        <w:rPr>
          <w:noProof/>
        </w:rPr>
        <w:t>.</w:t>
      </w:r>
      <w:r w:rsidRPr="00EC49A8">
        <w:rPr>
          <w:noProof/>
        </w:rPr>
        <w:tab/>
        <w:t>Soluzioni digitali</w:t>
      </w:r>
      <w:bookmarkEnd w:id="187"/>
      <w:bookmarkEnd w:id="188"/>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E254F3" w:rsidRPr="00EC49A8" w14:paraId="35302AB6" w14:textId="77777777" w:rsidTr="000C5C29">
        <w:tc>
          <w:tcPr>
            <w:tcW w:w="9067" w:type="dxa"/>
          </w:tcPr>
          <w:p w14:paraId="520F6F5D" w14:textId="77777777" w:rsidR="00412E11" w:rsidRPr="00EC49A8" w:rsidRDefault="001971B7" w:rsidP="000C5C29">
            <w:pPr>
              <w:rPr>
                <w:noProof/>
              </w:rPr>
            </w:pPr>
            <w:r w:rsidRPr="00EC49A8">
              <w:rPr>
                <w:noProof/>
              </w:rPr>
              <w:t>N/D</w:t>
            </w:r>
          </w:p>
        </w:tc>
      </w:tr>
    </w:tbl>
    <w:p w14:paraId="13E35F7D" w14:textId="7EA76B0B" w:rsidR="00412E11" w:rsidRPr="00EC49A8" w:rsidRDefault="00412E11" w:rsidP="000C5C29">
      <w:pPr>
        <w:pStyle w:val="ManualHeading2"/>
        <w:rPr>
          <w:rStyle w:val="Emphasis"/>
          <w:b w:val="0"/>
          <w:bCs/>
          <w:i w:val="0"/>
          <w:iCs w:val="0"/>
          <w:noProof/>
        </w:rPr>
      </w:pPr>
      <w:bookmarkStart w:id="189" w:name="_Toc167220304"/>
      <w:bookmarkStart w:id="190" w:name="_Toc177549040"/>
      <w:r w:rsidRPr="00B17672">
        <w:rPr>
          <w:rStyle w:val="Emphasis"/>
          <w:noProof/>
        </w:rPr>
        <w:t>4</w:t>
      </w:r>
      <w:r w:rsidRPr="00EC49A8">
        <w:rPr>
          <w:rStyle w:val="Emphasis"/>
          <w:noProof/>
        </w:rPr>
        <w:t>.</w:t>
      </w:r>
      <w:r w:rsidRPr="00B17672">
        <w:rPr>
          <w:rStyle w:val="Emphasis"/>
          <w:noProof/>
        </w:rPr>
        <w:t>4</w:t>
      </w:r>
      <w:r w:rsidRPr="00EC49A8">
        <w:rPr>
          <w:rStyle w:val="Emphasis"/>
          <w:noProof/>
        </w:rPr>
        <w:t>.</w:t>
      </w:r>
      <w:r w:rsidRPr="00EC49A8">
        <w:rPr>
          <w:noProof/>
        </w:rPr>
        <w:tab/>
      </w:r>
      <w:r w:rsidRPr="00EC49A8">
        <w:rPr>
          <w:rStyle w:val="Emphasis"/>
          <w:noProof/>
        </w:rPr>
        <w:t>Valutazione dell</w:t>
      </w:r>
      <w:r w:rsidR="00B17672">
        <w:rPr>
          <w:rStyle w:val="Emphasis"/>
          <w:noProof/>
        </w:rPr>
        <w:t>'</w:t>
      </w:r>
      <w:r w:rsidRPr="00EC49A8">
        <w:rPr>
          <w:rStyle w:val="Emphasis"/>
          <w:noProof/>
        </w:rPr>
        <w:t>interoperabilità</w:t>
      </w:r>
      <w:bookmarkEnd w:id="189"/>
      <w:bookmarkEnd w:id="190"/>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E254F3" w:rsidRPr="00EC49A8" w14:paraId="7A65B0D8" w14:textId="77777777" w:rsidTr="000C5C29">
        <w:trPr>
          <w:trHeight w:val="300"/>
        </w:trPr>
        <w:tc>
          <w:tcPr>
            <w:tcW w:w="9067" w:type="dxa"/>
          </w:tcPr>
          <w:p w14:paraId="14D2E9F2" w14:textId="77777777" w:rsidR="00412E11" w:rsidRPr="00EC49A8" w:rsidRDefault="001971B7" w:rsidP="004A172B">
            <w:pPr>
              <w:spacing w:line="259" w:lineRule="auto"/>
              <w:rPr>
                <w:noProof/>
              </w:rPr>
            </w:pPr>
            <w:r w:rsidRPr="00EC49A8">
              <w:rPr>
                <w:noProof/>
              </w:rPr>
              <w:t>N/D</w:t>
            </w:r>
          </w:p>
        </w:tc>
      </w:tr>
    </w:tbl>
    <w:p w14:paraId="2A3E36B2" w14:textId="7A0A2377" w:rsidR="00412E11" w:rsidRPr="00EC49A8" w:rsidRDefault="00412E11" w:rsidP="000C5C29">
      <w:pPr>
        <w:pStyle w:val="ManualHeading2"/>
        <w:rPr>
          <w:noProof/>
        </w:rPr>
      </w:pPr>
      <w:bookmarkStart w:id="191" w:name="_Toc167220306"/>
      <w:bookmarkStart w:id="192" w:name="_Toc177549041"/>
      <w:r w:rsidRPr="00B17672">
        <w:rPr>
          <w:noProof/>
        </w:rPr>
        <w:t>4</w:t>
      </w:r>
      <w:r w:rsidRPr="00EC49A8">
        <w:rPr>
          <w:noProof/>
        </w:rPr>
        <w:t>.</w:t>
      </w:r>
      <w:r w:rsidRPr="00B17672">
        <w:rPr>
          <w:noProof/>
        </w:rPr>
        <w:t>5</w:t>
      </w:r>
      <w:r w:rsidRPr="00EC49A8">
        <w:rPr>
          <w:noProof/>
        </w:rPr>
        <w:t>.</w:t>
      </w:r>
      <w:r w:rsidRPr="00EC49A8">
        <w:rPr>
          <w:noProof/>
        </w:rPr>
        <w:tab/>
        <w:t>Misure a sostegno dell</w:t>
      </w:r>
      <w:r w:rsidR="00B17672">
        <w:rPr>
          <w:noProof/>
        </w:rPr>
        <w:t>'</w:t>
      </w:r>
      <w:r w:rsidRPr="00EC49A8">
        <w:rPr>
          <w:noProof/>
        </w:rPr>
        <w:t>attuazione digitale</w:t>
      </w:r>
      <w:bookmarkEnd w:id="191"/>
      <w:bookmarkEnd w:id="192"/>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E254F3" w:rsidRPr="00EC49A8" w14:paraId="3727D0C8" w14:textId="77777777" w:rsidTr="000C5C29">
        <w:tc>
          <w:tcPr>
            <w:tcW w:w="9067" w:type="dxa"/>
          </w:tcPr>
          <w:p w14:paraId="2FC5179E" w14:textId="77777777" w:rsidR="00412E11" w:rsidRPr="00EC49A8" w:rsidRDefault="001971B7" w:rsidP="004A172B">
            <w:pPr>
              <w:rPr>
                <w:noProof/>
              </w:rPr>
            </w:pPr>
            <w:r w:rsidRPr="00EC49A8">
              <w:rPr>
                <w:noProof/>
              </w:rPr>
              <w:t>N/D</w:t>
            </w:r>
          </w:p>
        </w:tc>
      </w:tr>
      <w:bookmarkEnd w:id="181"/>
    </w:tbl>
    <w:p w14:paraId="0D814DF8" w14:textId="77777777" w:rsidR="00412E11" w:rsidRPr="00EC49A8" w:rsidRDefault="00412E11" w:rsidP="001971B7">
      <w:pPr>
        <w:rPr>
          <w:noProof/>
        </w:rPr>
      </w:pPr>
    </w:p>
    <w:sectPr w:rsidR="00412E11" w:rsidRPr="00EC49A8" w:rsidSect="009F3D23">
      <w:headerReference w:type="default" r:id="rId25"/>
      <w:footerReference w:type="defaul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5683" w14:textId="77777777" w:rsidR="007949CB" w:rsidRDefault="007949CB" w:rsidP="00412E11">
      <w:pPr>
        <w:spacing w:before="0" w:after="0"/>
      </w:pPr>
      <w:r>
        <w:separator/>
      </w:r>
    </w:p>
  </w:endnote>
  <w:endnote w:type="continuationSeparator" w:id="0">
    <w:p w14:paraId="7286456B" w14:textId="77777777" w:rsidR="007949CB" w:rsidRDefault="007949CB" w:rsidP="00412E11">
      <w:pPr>
        <w:spacing w:before="0" w:after="0"/>
      </w:pPr>
      <w:r>
        <w:continuationSeparator/>
      </w:r>
    </w:p>
  </w:endnote>
  <w:endnote w:type="continuationNotice" w:id="1">
    <w:p w14:paraId="4AA58434" w14:textId="77777777" w:rsidR="007949CB" w:rsidRDefault="007949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B623" w14:textId="28618DE5" w:rsidR="009F3D23" w:rsidRPr="009F3D23" w:rsidRDefault="009F3D23" w:rsidP="009F3D23">
    <w:pPr>
      <w:pStyle w:val="Footer"/>
      <w:rPr>
        <w:rFonts w:ascii="Arial" w:hAnsi="Arial" w:cs="Arial"/>
        <w:b/>
        <w:sz w:val="48"/>
      </w:rPr>
    </w:pPr>
    <w:r w:rsidRPr="009F3D23">
      <w:rPr>
        <w:rFonts w:ascii="Arial" w:hAnsi="Arial" w:cs="Arial"/>
        <w:b/>
        <w:sz w:val="48"/>
      </w:rPr>
      <w:t>IT</w:t>
    </w:r>
    <w:r w:rsidRPr="009F3D23">
      <w:rPr>
        <w:rFonts w:ascii="Arial" w:hAnsi="Arial" w:cs="Arial"/>
        <w:b/>
        <w:sz w:val="48"/>
      </w:rPr>
      <w:tab/>
    </w:r>
    <w:r w:rsidRPr="009F3D23">
      <w:rPr>
        <w:rFonts w:ascii="Arial" w:hAnsi="Arial" w:cs="Arial"/>
        <w:b/>
        <w:sz w:val="48"/>
      </w:rPr>
      <w:tab/>
    </w:r>
    <w:r w:rsidRPr="009F3D23">
      <w:tab/>
    </w:r>
    <w:r w:rsidRPr="009F3D23">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7902" w14:textId="304FA553" w:rsidR="009F3D23" w:rsidRPr="009F3D23" w:rsidRDefault="009F3D23" w:rsidP="009F3D23">
    <w:pPr>
      <w:pStyle w:val="Footer"/>
      <w:rPr>
        <w:rFonts w:ascii="Arial" w:hAnsi="Arial" w:cs="Arial"/>
        <w:b/>
        <w:sz w:val="48"/>
      </w:rPr>
    </w:pPr>
    <w:r w:rsidRPr="009F3D23">
      <w:rPr>
        <w:rFonts w:ascii="Arial" w:hAnsi="Arial" w:cs="Arial"/>
        <w:b/>
        <w:sz w:val="48"/>
      </w:rPr>
      <w:t>IT</w:t>
    </w:r>
    <w:r w:rsidRPr="009F3D23">
      <w:rPr>
        <w:rFonts w:ascii="Arial" w:hAnsi="Arial" w:cs="Arial"/>
        <w:b/>
        <w:sz w:val="48"/>
      </w:rPr>
      <w:tab/>
    </w:r>
    <w:r w:rsidRPr="009F3D23">
      <w:rPr>
        <w:rFonts w:ascii="Arial" w:hAnsi="Arial" w:cs="Arial"/>
        <w:b/>
        <w:sz w:val="48"/>
      </w:rPr>
      <w:tab/>
    </w:r>
    <w:r w:rsidRPr="009F3D23">
      <w:tab/>
    </w:r>
    <w:r w:rsidRPr="009F3D2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AB88" w14:textId="77777777" w:rsidR="009F3D23" w:rsidRDefault="009F3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AEDD" w14:textId="75A10DF9" w:rsidR="009F3D23" w:rsidRPr="009F3D23" w:rsidRDefault="009F3D23" w:rsidP="009F3D23">
    <w:pPr>
      <w:pStyle w:val="Footer"/>
      <w:rPr>
        <w:rFonts w:ascii="Arial" w:hAnsi="Arial" w:cs="Arial"/>
        <w:b/>
        <w:sz w:val="48"/>
      </w:rPr>
    </w:pPr>
    <w:r w:rsidRPr="009F3D23">
      <w:rPr>
        <w:rFonts w:ascii="Arial" w:hAnsi="Arial" w:cs="Arial"/>
        <w:b/>
        <w:sz w:val="48"/>
      </w:rPr>
      <w:t>IT</w:t>
    </w:r>
    <w:r w:rsidRPr="009F3D23">
      <w:rPr>
        <w:rFonts w:ascii="Arial" w:hAnsi="Arial" w:cs="Arial"/>
        <w:b/>
        <w:sz w:val="48"/>
      </w:rPr>
      <w:tab/>
    </w:r>
    <w:r>
      <w:fldChar w:fldCharType="begin"/>
    </w:r>
    <w:r>
      <w:instrText xml:space="preserve"> PAGE  \* MERGEFORMAT </w:instrText>
    </w:r>
    <w:r>
      <w:fldChar w:fldCharType="separate"/>
    </w:r>
    <w:r w:rsidR="00AE4319">
      <w:rPr>
        <w:noProof/>
      </w:rPr>
      <w:t>7</w:t>
    </w:r>
    <w:r>
      <w:fldChar w:fldCharType="end"/>
    </w:r>
    <w:r>
      <w:tab/>
    </w:r>
    <w:r w:rsidRPr="009F3D23">
      <w:tab/>
    </w:r>
    <w:r w:rsidRPr="009F3D23">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7B8A" w14:textId="77777777" w:rsidR="009F3D23" w:rsidRDefault="009F3D23" w:rsidP="009F3D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58A8" w14:textId="0357CBE2" w:rsidR="009F3D23" w:rsidRPr="009F3D23" w:rsidRDefault="009F3D23" w:rsidP="009F3D23">
    <w:pPr>
      <w:pStyle w:val="FooterLandscape"/>
      <w:rPr>
        <w:rFonts w:ascii="Arial" w:hAnsi="Arial" w:cs="Arial"/>
        <w:b/>
        <w:sz w:val="48"/>
      </w:rPr>
    </w:pPr>
    <w:r w:rsidRPr="009F3D23">
      <w:rPr>
        <w:rFonts w:ascii="Arial" w:hAnsi="Arial" w:cs="Arial"/>
        <w:b/>
        <w:sz w:val="48"/>
      </w:rPr>
      <w:t>IT</w:t>
    </w:r>
    <w:r w:rsidRPr="009F3D2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F3D23">
      <w:tab/>
    </w:r>
    <w:r w:rsidRPr="009F3D23">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78EC" w14:textId="27C35104" w:rsidR="009F3D23" w:rsidRPr="009F3D23" w:rsidRDefault="009F3D23" w:rsidP="009F3D23">
    <w:pPr>
      <w:pStyle w:val="Footer"/>
      <w:rPr>
        <w:rFonts w:ascii="Arial" w:hAnsi="Arial" w:cs="Arial"/>
        <w:b/>
        <w:sz w:val="48"/>
      </w:rPr>
    </w:pPr>
    <w:r w:rsidRPr="009F3D23">
      <w:rPr>
        <w:rFonts w:ascii="Arial" w:hAnsi="Arial" w:cs="Arial"/>
        <w:b/>
        <w:sz w:val="48"/>
      </w:rPr>
      <w:t>IT</w:t>
    </w:r>
    <w:r w:rsidRPr="009F3D2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F3D23">
      <w:tab/>
    </w:r>
    <w:r w:rsidRPr="009F3D23">
      <w:rPr>
        <w:rFonts w:ascii="Arial" w:hAnsi="Arial" w:cs="Arial"/>
        <w:b/>
        <w:sz w:val="48"/>
      </w:rPr>
      <w:t>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E5C0" w14:textId="77777777" w:rsidR="007949CB" w:rsidRDefault="007949CB" w:rsidP="00412E11">
      <w:pPr>
        <w:spacing w:before="0" w:after="0"/>
      </w:pPr>
      <w:r>
        <w:separator/>
      </w:r>
    </w:p>
  </w:footnote>
  <w:footnote w:type="continuationSeparator" w:id="0">
    <w:p w14:paraId="47F9C37E" w14:textId="77777777" w:rsidR="007949CB" w:rsidRDefault="007949CB" w:rsidP="00412E11">
      <w:pPr>
        <w:spacing w:before="0" w:after="0"/>
      </w:pPr>
      <w:r>
        <w:continuationSeparator/>
      </w:r>
    </w:p>
  </w:footnote>
  <w:footnote w:type="continuationNotice" w:id="1">
    <w:p w14:paraId="0F0B9365" w14:textId="77777777" w:rsidR="007949CB" w:rsidRDefault="007949CB">
      <w:pPr>
        <w:spacing w:before="0" w:after="0"/>
      </w:pPr>
    </w:p>
  </w:footnote>
  <w:footnote w:id="2">
    <w:p w14:paraId="0F528824" w14:textId="7F084AD0" w:rsidR="00163453" w:rsidRPr="00EC49A8" w:rsidRDefault="00163453" w:rsidP="00C4218F">
      <w:pPr>
        <w:pStyle w:val="FootnoteText"/>
      </w:pPr>
      <w:r>
        <w:rPr>
          <w:rStyle w:val="FootnoteReference"/>
        </w:rPr>
        <w:footnoteRef/>
      </w:r>
      <w:r w:rsidRPr="00EC49A8">
        <w:tab/>
        <w:t xml:space="preserve">Regolamento (UE) </w:t>
      </w:r>
      <w:r w:rsidRPr="00B17672">
        <w:t>2019</w:t>
      </w:r>
      <w:r w:rsidRPr="00EC49A8">
        <w:t>/</w:t>
      </w:r>
      <w:r w:rsidRPr="00B17672">
        <w:t>631</w:t>
      </w:r>
      <w:r w:rsidRPr="00EC49A8">
        <w:t xml:space="preserve"> del Parlamento europeo e del Consiglio, del </w:t>
      </w:r>
      <w:r w:rsidRPr="00B17672">
        <w:t>17</w:t>
      </w:r>
      <w:r w:rsidRPr="00EC49A8">
        <w:t xml:space="preserve"> aprile </w:t>
      </w:r>
      <w:r w:rsidRPr="00B17672">
        <w:t>2019</w:t>
      </w:r>
      <w:r w:rsidRPr="00EC49A8">
        <w:t>, che definisce i livelli di prestazione in materia di emissioni di CO</w:t>
      </w:r>
      <w:r w:rsidRPr="00B17672">
        <w:rPr>
          <w:vertAlign w:val="subscript"/>
        </w:rPr>
        <w:t>2</w:t>
      </w:r>
      <w:r w:rsidRPr="00EC49A8">
        <w:t xml:space="preserve"> delle autovetture nuove e dei veicoli commerciali leggeri nuovi e che abroga i regolamenti (CE) n. </w:t>
      </w:r>
      <w:r w:rsidRPr="00B17672">
        <w:t>443</w:t>
      </w:r>
      <w:r w:rsidRPr="00EC49A8">
        <w:t>/</w:t>
      </w:r>
      <w:r w:rsidRPr="00B17672">
        <w:t>2009</w:t>
      </w:r>
      <w:r w:rsidRPr="00EC49A8">
        <w:t xml:space="preserve"> e (UE) n. </w:t>
      </w:r>
      <w:r w:rsidRPr="00B17672">
        <w:t>510</w:t>
      </w:r>
      <w:r w:rsidRPr="00EC49A8">
        <w:t>/</w:t>
      </w:r>
      <w:r w:rsidRPr="00B17672">
        <w:t>2011</w:t>
      </w:r>
      <w:r w:rsidRPr="00EC49A8">
        <w:t xml:space="preserve"> (GU</w:t>
      </w:r>
      <w:r w:rsidR="00B17672">
        <w:t> </w:t>
      </w:r>
      <w:r w:rsidRPr="00EC49A8">
        <w:t>L </w:t>
      </w:r>
      <w:r w:rsidRPr="00B17672">
        <w:t>111</w:t>
      </w:r>
      <w:r w:rsidRPr="00EC49A8">
        <w:t xml:space="preserve"> del </w:t>
      </w:r>
      <w:r w:rsidRPr="00B17672">
        <w:t>25</w:t>
      </w:r>
      <w:r w:rsidRPr="00EC49A8">
        <w:t>.</w:t>
      </w:r>
      <w:r w:rsidRPr="00B17672">
        <w:t>4</w:t>
      </w:r>
      <w:r w:rsidRPr="00EC49A8">
        <w:t>.</w:t>
      </w:r>
      <w:r w:rsidRPr="00B17672">
        <w:t>2019</w:t>
      </w:r>
      <w:r w:rsidRPr="00EC49A8">
        <w:t>, pag. </w:t>
      </w:r>
      <w:r w:rsidRPr="00B17672">
        <w:t>13</w:t>
      </w:r>
      <w:r w:rsidRPr="00EC49A8">
        <w:t>).</w:t>
      </w:r>
    </w:p>
  </w:footnote>
  <w:footnote w:id="3">
    <w:p w14:paraId="6C3D7CF4" w14:textId="326B789A" w:rsidR="001B3AC9" w:rsidRPr="00EC49A8" w:rsidRDefault="001B3AC9" w:rsidP="005F26DB">
      <w:pPr>
        <w:pStyle w:val="FootnoteText"/>
      </w:pPr>
      <w:r>
        <w:rPr>
          <w:rStyle w:val="FootnoteReference"/>
        </w:rPr>
        <w:footnoteRef/>
      </w:r>
      <w:r w:rsidRPr="00EC49A8">
        <w:tab/>
        <w:t xml:space="preserve">Regolamento (UE) </w:t>
      </w:r>
      <w:r w:rsidRPr="00B17672">
        <w:t>2021</w:t>
      </w:r>
      <w:r w:rsidRPr="00EC49A8">
        <w:t>/</w:t>
      </w:r>
      <w:r w:rsidRPr="00B17672">
        <w:t>1119</w:t>
      </w:r>
      <w:r w:rsidRPr="00EC49A8">
        <w:t xml:space="preserve"> del Parlamento europeo e del Consiglio, del </w:t>
      </w:r>
      <w:r w:rsidRPr="00B17672">
        <w:t>30</w:t>
      </w:r>
      <w:r w:rsidRPr="00EC49A8">
        <w:t> giugno </w:t>
      </w:r>
      <w:r w:rsidRPr="00B17672">
        <w:t>2021</w:t>
      </w:r>
      <w:r w:rsidRPr="00EC49A8">
        <w:t>, che istituisce il quadro per il conseguimento della neutralità climatica e che modifica il regolamento (CE) n. </w:t>
      </w:r>
      <w:r w:rsidRPr="00B17672">
        <w:t>401</w:t>
      </w:r>
      <w:r w:rsidRPr="00EC49A8">
        <w:t>/</w:t>
      </w:r>
      <w:r w:rsidRPr="00B17672">
        <w:t>2009</w:t>
      </w:r>
      <w:r w:rsidRPr="00EC49A8">
        <w:t xml:space="preserve"> e il regolamento (UE) </w:t>
      </w:r>
      <w:r w:rsidRPr="00B17672">
        <w:t>2018</w:t>
      </w:r>
      <w:r w:rsidRPr="00EC49A8">
        <w:t>/</w:t>
      </w:r>
      <w:r w:rsidRPr="00B17672">
        <w:t>1999</w:t>
      </w:r>
      <w:r w:rsidRPr="00EC49A8">
        <w:t xml:space="preserve"> (</w:t>
      </w:r>
      <w:r w:rsidR="00B17672">
        <w:t>"</w:t>
      </w:r>
      <w:r w:rsidRPr="00EC49A8">
        <w:t>Normativa europea sul clima</w:t>
      </w:r>
      <w:r w:rsidR="00B17672">
        <w:t>"</w:t>
      </w:r>
      <w:r w:rsidRPr="00EC49A8">
        <w:t>) (GU L </w:t>
      </w:r>
      <w:r w:rsidRPr="00B17672">
        <w:t>243</w:t>
      </w:r>
      <w:r w:rsidRPr="00EC49A8">
        <w:t xml:space="preserve"> del </w:t>
      </w:r>
      <w:r w:rsidRPr="00B17672">
        <w:t>9</w:t>
      </w:r>
      <w:r w:rsidRPr="00EC49A8">
        <w:t>.</w:t>
      </w:r>
      <w:r w:rsidRPr="00B17672">
        <w:t>7</w:t>
      </w:r>
      <w:r w:rsidRPr="00EC49A8">
        <w:t>.</w:t>
      </w:r>
      <w:r w:rsidRPr="00B17672">
        <w:t>2021</w:t>
      </w:r>
      <w:r w:rsidRPr="00EC49A8">
        <w:t>, pag. </w:t>
      </w:r>
      <w:r w:rsidRPr="00B17672">
        <w:t>1</w:t>
      </w:r>
      <w:r w:rsidRPr="00EC49A8">
        <w:t>).</w:t>
      </w:r>
    </w:p>
  </w:footnote>
  <w:footnote w:id="4">
    <w:p w14:paraId="0DEF9F78" w14:textId="77777777" w:rsidR="005D61F4" w:rsidRPr="00EC49A8" w:rsidRDefault="005D61F4">
      <w:pPr>
        <w:pStyle w:val="FootnoteText"/>
      </w:pPr>
      <w:r>
        <w:rPr>
          <w:rStyle w:val="FootnoteReference"/>
        </w:rPr>
        <w:footnoteRef/>
      </w:r>
      <w:r w:rsidRPr="00EC49A8">
        <w:tab/>
        <w:t>Regolamento (UE) </w:t>
      </w:r>
      <w:r w:rsidRPr="00B17672">
        <w:t>2023</w:t>
      </w:r>
      <w:r w:rsidRPr="00EC49A8">
        <w:t>/</w:t>
      </w:r>
      <w:r w:rsidRPr="00B17672">
        <w:t>851</w:t>
      </w:r>
      <w:r w:rsidRPr="00EC49A8">
        <w:t xml:space="preserve"> del Parlamento europeo e del Consiglio, del </w:t>
      </w:r>
      <w:r w:rsidRPr="00B17672">
        <w:t>19</w:t>
      </w:r>
      <w:r w:rsidRPr="00EC49A8">
        <w:t xml:space="preserve"> aprile </w:t>
      </w:r>
      <w:r w:rsidRPr="00B17672">
        <w:t>2023</w:t>
      </w:r>
      <w:r w:rsidRPr="00EC49A8">
        <w:t>, che modifica il regolamento (UE) </w:t>
      </w:r>
      <w:r w:rsidRPr="00B17672">
        <w:t>2019</w:t>
      </w:r>
      <w:r w:rsidRPr="00EC49A8">
        <w:t>/</w:t>
      </w:r>
      <w:r w:rsidRPr="00B17672">
        <w:t>631</w:t>
      </w:r>
      <w:r w:rsidRPr="00EC49A8">
        <w:t xml:space="preserve"> per quanto riguarda il rafforzamento dei livelli di prestazione in materia di emissioni di CO</w:t>
      </w:r>
      <w:r w:rsidRPr="00B17672">
        <w:rPr>
          <w:vertAlign w:val="subscript"/>
        </w:rPr>
        <w:t>2</w:t>
      </w:r>
      <w:r w:rsidRPr="00EC49A8">
        <w:t xml:space="preserve"> delle autovetture nuove e dei veicoli commerciali leggeri nuovi, in linea con la maggiore ambizione dell'Unione in materia di clima (GU L </w:t>
      </w:r>
      <w:r w:rsidRPr="00B17672">
        <w:t>110</w:t>
      </w:r>
      <w:r w:rsidRPr="00EC49A8">
        <w:t xml:space="preserve"> del </w:t>
      </w:r>
      <w:r w:rsidRPr="00B17672">
        <w:t>25</w:t>
      </w:r>
      <w:r w:rsidRPr="00EC49A8">
        <w:t>.</w:t>
      </w:r>
      <w:r w:rsidRPr="00B17672">
        <w:t>4</w:t>
      </w:r>
      <w:r w:rsidRPr="00EC49A8">
        <w:t>.</w:t>
      </w:r>
      <w:r w:rsidRPr="00B17672">
        <w:t>2023</w:t>
      </w:r>
      <w:r w:rsidRPr="00EC49A8">
        <w:t>, pag. </w:t>
      </w:r>
      <w:r w:rsidRPr="00B17672">
        <w:t>5</w:t>
      </w:r>
      <w:r w:rsidRPr="00EC49A8">
        <w:t>).</w:t>
      </w:r>
    </w:p>
  </w:footnote>
  <w:footnote w:id="5">
    <w:p w14:paraId="3CC577C4" w14:textId="65EFD194" w:rsidR="009A22B1" w:rsidRPr="00EC49A8" w:rsidRDefault="009A22B1" w:rsidP="0009320D">
      <w:pPr>
        <w:pStyle w:val="FootnoteText"/>
      </w:pPr>
      <w:r>
        <w:rPr>
          <w:rStyle w:val="FootnoteReference"/>
        </w:rPr>
        <w:footnoteRef/>
      </w:r>
      <w:r w:rsidRPr="00EC49A8">
        <w:tab/>
        <w:t>Regolamento (UE) n. </w:t>
      </w:r>
      <w:r w:rsidRPr="00B17672">
        <w:t>510</w:t>
      </w:r>
      <w:r w:rsidRPr="00EC49A8">
        <w:t>/</w:t>
      </w:r>
      <w:r w:rsidRPr="00B17672">
        <w:t>2011</w:t>
      </w:r>
      <w:r w:rsidRPr="00EC49A8">
        <w:t xml:space="preserve"> del Parlamento europeo e del Consiglio, dell'</w:t>
      </w:r>
      <w:r w:rsidRPr="00B17672">
        <w:t>11</w:t>
      </w:r>
      <w:r w:rsidR="00B17672">
        <w:t> </w:t>
      </w:r>
      <w:r w:rsidRPr="00EC49A8">
        <w:t xml:space="preserve">maggio </w:t>
      </w:r>
      <w:r w:rsidRPr="00B17672">
        <w:t>2011</w:t>
      </w:r>
      <w:r w:rsidRPr="00EC49A8">
        <w:t>, che definisce i livelli di prestazione in materia di emissioni dei veicoli commerciali leggeri nuovi nell'ambito dell'approccio integrato dell'Unione finalizzato a ridurre le emissioni di CO</w:t>
      </w:r>
      <w:r w:rsidRPr="00B17672">
        <w:rPr>
          <w:vertAlign w:val="subscript"/>
        </w:rPr>
        <w:t>2</w:t>
      </w:r>
      <w:r w:rsidRPr="00EC49A8">
        <w:t xml:space="preserve"> dei veicoli leggeri (GU L </w:t>
      </w:r>
      <w:r w:rsidRPr="00B17672">
        <w:t>145</w:t>
      </w:r>
      <w:r w:rsidRPr="00EC49A8">
        <w:t xml:space="preserve"> del </w:t>
      </w:r>
      <w:r w:rsidRPr="00B17672">
        <w:t>31</w:t>
      </w:r>
      <w:r w:rsidRPr="00EC49A8">
        <w:t>.</w:t>
      </w:r>
      <w:r w:rsidRPr="00B17672">
        <w:t>5</w:t>
      </w:r>
      <w:r w:rsidRPr="00EC49A8">
        <w:t>.</w:t>
      </w:r>
      <w:r w:rsidRPr="00B17672">
        <w:t>2011</w:t>
      </w:r>
      <w:r w:rsidRPr="00EC49A8">
        <w:t>, pag. </w:t>
      </w:r>
      <w:r w:rsidRPr="00B17672">
        <w:t>1</w:t>
      </w:r>
      <w:r w:rsidRPr="00EC49A8">
        <w:t>).</w:t>
      </w:r>
    </w:p>
  </w:footnote>
  <w:footnote w:id="6">
    <w:p w14:paraId="7E906461" w14:textId="77777777" w:rsidR="006416BD" w:rsidRPr="00EC49A8" w:rsidRDefault="006416BD" w:rsidP="006416BD">
      <w:pPr>
        <w:pStyle w:val="FootnoteText"/>
      </w:pPr>
      <w:r>
        <w:rPr>
          <w:rStyle w:val="FootnoteReference"/>
        </w:rPr>
        <w:footnoteRef/>
      </w:r>
      <w:r w:rsidRPr="00EC49A8">
        <w:tab/>
        <w:t>Carta dei diritti fondamentali dell'Unione europea (GU C </w:t>
      </w:r>
      <w:r w:rsidRPr="00B17672">
        <w:t>326</w:t>
      </w:r>
      <w:r w:rsidRPr="00EC49A8">
        <w:t xml:space="preserve"> del </w:t>
      </w:r>
      <w:r w:rsidRPr="00B17672">
        <w:t>26</w:t>
      </w:r>
      <w:r w:rsidRPr="00EC49A8">
        <w:t>.</w:t>
      </w:r>
      <w:r w:rsidRPr="00B17672">
        <w:t>10</w:t>
      </w:r>
      <w:r w:rsidRPr="00EC49A8">
        <w:t>.</w:t>
      </w:r>
      <w:r w:rsidRPr="00B17672">
        <w:t>2012</w:t>
      </w:r>
      <w:r w:rsidRPr="00EC49A8">
        <w:t>, pag. </w:t>
      </w:r>
      <w:r w:rsidRPr="00B17672">
        <w:t>391</w:t>
      </w:r>
      <w:r w:rsidRPr="00EC49A8">
        <w:t>).</w:t>
      </w:r>
    </w:p>
  </w:footnote>
  <w:footnote w:id="7">
    <w:p w14:paraId="0467D6B3" w14:textId="77777777" w:rsidR="00412E11" w:rsidRPr="00EC49A8" w:rsidRDefault="00412E11" w:rsidP="000C5C29">
      <w:pPr>
        <w:pStyle w:val="FootnoteText"/>
      </w:pPr>
      <w:r>
        <w:rPr>
          <w:rStyle w:val="FootnoteReference"/>
        </w:rPr>
        <w:footnoteRef/>
      </w:r>
      <w:r w:rsidRPr="00EC49A8">
        <w:tab/>
        <w:t>GU C, [...], [...], ELI: [...].</w:t>
      </w:r>
    </w:p>
  </w:footnote>
  <w:footnote w:id="8">
    <w:p w14:paraId="1EA45570" w14:textId="77777777" w:rsidR="00412E11" w:rsidRPr="00EC49A8" w:rsidRDefault="00412E11" w:rsidP="000C5C29">
      <w:pPr>
        <w:pStyle w:val="FootnoteText"/>
      </w:pPr>
      <w:r>
        <w:rPr>
          <w:rStyle w:val="FootnoteReference"/>
        </w:rPr>
        <w:footnoteRef/>
      </w:r>
      <w:r w:rsidRPr="00EC49A8">
        <w:tab/>
        <w:t>GU C, [...], [...], ELI: [...].</w:t>
      </w:r>
    </w:p>
  </w:footnote>
  <w:footnote w:id="9">
    <w:p w14:paraId="216E7D4F" w14:textId="77777777" w:rsidR="00FC2660" w:rsidRPr="00EC49A8" w:rsidRDefault="00FC2660" w:rsidP="00FC2660">
      <w:pPr>
        <w:pStyle w:val="FootnoteText"/>
      </w:pPr>
      <w:r>
        <w:rPr>
          <w:rStyle w:val="FootnoteReference"/>
        </w:rPr>
        <w:footnoteRef/>
      </w:r>
      <w:r w:rsidRPr="00EC49A8">
        <w:tab/>
        <w:t>Regolamento (UE) </w:t>
      </w:r>
      <w:r w:rsidRPr="00B17672">
        <w:t>2019</w:t>
      </w:r>
      <w:r w:rsidRPr="00EC49A8">
        <w:t>/</w:t>
      </w:r>
      <w:r w:rsidRPr="00B17672">
        <w:t>631</w:t>
      </w:r>
      <w:r w:rsidRPr="00EC49A8">
        <w:t xml:space="preserve"> del Parlamento europeo e del Consiglio, del </w:t>
      </w:r>
      <w:r w:rsidRPr="00B17672">
        <w:t>17</w:t>
      </w:r>
      <w:r w:rsidRPr="00EC49A8">
        <w:t xml:space="preserve"> aprile </w:t>
      </w:r>
      <w:r w:rsidRPr="00B17672">
        <w:t>2019</w:t>
      </w:r>
      <w:r w:rsidRPr="00EC49A8">
        <w:t>, che definisce i livelli di prestazione in materia di emissioni di CO</w:t>
      </w:r>
      <w:r w:rsidRPr="00B17672">
        <w:rPr>
          <w:vertAlign w:val="subscript"/>
        </w:rPr>
        <w:t>2</w:t>
      </w:r>
      <w:r w:rsidRPr="00EC49A8">
        <w:t xml:space="preserve"> delle autovetture nuove e dei veicoli commerciali leggeri nuovi e che abroga i regolamenti (CE) n. </w:t>
      </w:r>
      <w:r w:rsidRPr="00B17672">
        <w:t>443</w:t>
      </w:r>
      <w:r w:rsidRPr="00EC49A8">
        <w:t>/</w:t>
      </w:r>
      <w:r w:rsidRPr="00B17672">
        <w:t>2009</w:t>
      </w:r>
      <w:r w:rsidRPr="00EC49A8">
        <w:t xml:space="preserve"> e (UE) n. </w:t>
      </w:r>
      <w:r w:rsidRPr="00B17672">
        <w:t>510</w:t>
      </w:r>
      <w:r w:rsidRPr="00EC49A8">
        <w:t>/</w:t>
      </w:r>
      <w:r w:rsidRPr="00B17672">
        <w:t>2011</w:t>
      </w:r>
      <w:r w:rsidRPr="00EC49A8">
        <w:t xml:space="preserve"> (</w:t>
      </w:r>
      <w:hyperlink r:id="rId1" w:history="1">
        <w:r w:rsidRPr="00EC49A8">
          <w:rPr>
            <w:rStyle w:val="Hyperlink"/>
          </w:rPr>
          <w:t>GU L </w:t>
        </w:r>
        <w:r w:rsidRPr="00B17672">
          <w:rPr>
            <w:rStyle w:val="Hyperlink"/>
          </w:rPr>
          <w:t>111</w:t>
        </w:r>
        <w:r w:rsidRPr="00EC49A8">
          <w:rPr>
            <w:rStyle w:val="Hyperlink"/>
          </w:rPr>
          <w:t xml:space="preserve"> del </w:t>
        </w:r>
        <w:r w:rsidRPr="00B17672">
          <w:rPr>
            <w:rStyle w:val="Hyperlink"/>
          </w:rPr>
          <w:t>25</w:t>
        </w:r>
        <w:r w:rsidRPr="00EC49A8">
          <w:rPr>
            <w:rStyle w:val="Hyperlink"/>
          </w:rPr>
          <w:t>.</w:t>
        </w:r>
        <w:r w:rsidRPr="00B17672">
          <w:rPr>
            <w:rStyle w:val="Hyperlink"/>
          </w:rPr>
          <w:t>4</w:t>
        </w:r>
        <w:r w:rsidRPr="00EC49A8">
          <w:rPr>
            <w:rStyle w:val="Hyperlink"/>
          </w:rPr>
          <w:t>.</w:t>
        </w:r>
        <w:r w:rsidRPr="00B17672">
          <w:rPr>
            <w:rStyle w:val="Hyperlink"/>
          </w:rPr>
          <w:t>2019</w:t>
        </w:r>
        <w:r w:rsidRPr="00EC49A8">
          <w:rPr>
            <w:rStyle w:val="Hyperlink"/>
          </w:rPr>
          <w:t>, pag. </w:t>
        </w:r>
        <w:r w:rsidRPr="00B17672">
          <w:rPr>
            <w:rStyle w:val="Hyperlink"/>
          </w:rPr>
          <w:t>13</w:t>
        </w:r>
      </w:hyperlink>
      <w:r w:rsidRPr="00EC49A8">
        <w:t xml:space="preserve">, ELI: </w:t>
      </w:r>
      <w:hyperlink r:id="rId2" w:tooltip="Il link dà accesso al documento tramite il relativo URI ELI." w:history="1">
        <w:r w:rsidRPr="00EC49A8">
          <w:rPr>
            <w:rStyle w:val="Hyperlink"/>
          </w:rPr>
          <w:t>http://data.europa.eu/eli/reg/</w:t>
        </w:r>
        <w:r w:rsidRPr="00B17672">
          <w:rPr>
            <w:rStyle w:val="Hyperlink"/>
          </w:rPr>
          <w:t>2019</w:t>
        </w:r>
        <w:r w:rsidRPr="00EC49A8">
          <w:rPr>
            <w:rStyle w:val="Hyperlink"/>
          </w:rPr>
          <w:t>/</w:t>
        </w:r>
        <w:r w:rsidRPr="00B17672">
          <w:rPr>
            <w:rStyle w:val="Hyperlink"/>
          </w:rPr>
          <w:t>631</w:t>
        </w:r>
        <w:r w:rsidRPr="00EC49A8">
          <w:rPr>
            <w:rStyle w:val="Hyperlink"/>
          </w:rPr>
          <w:t>/oj</w:t>
        </w:r>
      </w:hyperlink>
      <w:r w:rsidRPr="00EC49A8">
        <w:t>).</w:t>
      </w:r>
    </w:p>
  </w:footnote>
  <w:footnote w:id="10">
    <w:p w14:paraId="26CA0E73" w14:textId="77777777" w:rsidR="00412E11" w:rsidRPr="00EC49A8" w:rsidRDefault="00412E11" w:rsidP="000C5C29">
      <w:pPr>
        <w:pStyle w:val="FootnoteText"/>
      </w:pPr>
      <w:r>
        <w:rPr>
          <w:rStyle w:val="FootnoteReference"/>
        </w:rPr>
        <w:footnoteRef/>
      </w:r>
      <w:r w:rsidRPr="00EC49A8">
        <w:tab/>
        <w:t xml:space="preserve">A norma dell'articolo </w:t>
      </w:r>
      <w:r w:rsidRPr="00B17672">
        <w:t>58</w:t>
      </w:r>
      <w:r w:rsidRPr="00EC49A8">
        <w:t xml:space="preserve">, paragrafo </w:t>
      </w:r>
      <w:r w:rsidRPr="00B17672">
        <w:t>2</w:t>
      </w:r>
      <w:r w:rsidRPr="00EC49A8">
        <w:t>, lettera a) o b), del regolamento finanziario.</w:t>
      </w:r>
    </w:p>
  </w:footnote>
  <w:footnote w:id="11">
    <w:p w14:paraId="309927F2" w14:textId="77777777" w:rsidR="00412E11" w:rsidRPr="00EC49A8" w:rsidRDefault="00412E11" w:rsidP="000C5C29">
      <w:pPr>
        <w:pStyle w:val="FootnoteText"/>
        <w:jc w:val="left"/>
        <w:rPr>
          <w:szCs w:val="24"/>
        </w:rPr>
      </w:pPr>
      <w:r>
        <w:rPr>
          <w:rStyle w:val="FootnoteReference"/>
        </w:rPr>
        <w:footnoteRef/>
      </w:r>
      <w:r w:rsidRPr="00EC49A8">
        <w:tab/>
        <w:t xml:space="preserve">Le spiegazioni dei metodi di esecuzione del bilancio e i riferimenti al regolamento finanziario sono disponibili sul sito BUDGpedia: </w:t>
      </w:r>
      <w:hyperlink r:id="rId3" w:history="1">
        <w:r w:rsidRPr="00EC49A8">
          <w:rPr>
            <w:rStyle w:val="Hyperlink"/>
          </w:rPr>
          <w:t>https://myintracomm.ec.europa.eu/corp/budget/financial-rules/budget-implementation/Pages/implementation-methods.aspx</w:t>
        </w:r>
      </w:hyperlink>
      <w:r w:rsidRPr="00EC49A8">
        <w:rPr>
          <w:rStyle w:val="Hyperlink"/>
        </w:rPr>
        <w:t>.</w:t>
      </w:r>
    </w:p>
  </w:footnote>
  <w:footnote w:id="12">
    <w:p w14:paraId="7E9E4467" w14:textId="77777777" w:rsidR="00412E11" w:rsidRPr="00EC49A8" w:rsidRDefault="00412E11" w:rsidP="000C5C29">
      <w:pPr>
        <w:pStyle w:val="FootnoteText"/>
        <w:rPr>
          <w:szCs w:val="24"/>
        </w:rPr>
      </w:pPr>
      <w:r>
        <w:rPr>
          <w:rStyle w:val="FootnoteReference"/>
        </w:rPr>
        <w:footnoteRef/>
      </w:r>
      <w:r w:rsidRPr="00EC49A8">
        <w:tab/>
        <w:t>Diss. = stanziamenti dissociati / Non diss. = stanziamenti non dissociati.</w:t>
      </w:r>
    </w:p>
  </w:footnote>
  <w:footnote w:id="13">
    <w:p w14:paraId="18B32D4A" w14:textId="77777777" w:rsidR="00412E11" w:rsidRPr="00EC49A8" w:rsidRDefault="00412E11" w:rsidP="000C5C29">
      <w:pPr>
        <w:pStyle w:val="FootnoteText"/>
        <w:rPr>
          <w:szCs w:val="24"/>
        </w:rPr>
      </w:pPr>
      <w:r>
        <w:rPr>
          <w:rStyle w:val="FootnoteReference"/>
        </w:rPr>
        <w:footnoteRef/>
      </w:r>
      <w:r w:rsidRPr="00EC49A8">
        <w:tab/>
        <w:t xml:space="preserve">EFTA: Associazione europea di libero scambio. </w:t>
      </w:r>
    </w:p>
  </w:footnote>
  <w:footnote w:id="14">
    <w:p w14:paraId="2CDD2BC1" w14:textId="77777777" w:rsidR="00412E11" w:rsidRPr="00EC49A8" w:rsidRDefault="00412E11" w:rsidP="000C5C29">
      <w:pPr>
        <w:pStyle w:val="FootnoteText"/>
        <w:rPr>
          <w:szCs w:val="24"/>
        </w:rPr>
      </w:pPr>
      <w:r>
        <w:rPr>
          <w:rStyle w:val="FootnoteReference"/>
        </w:rPr>
        <w:footnoteRef/>
      </w:r>
      <w:r w:rsidRPr="00EC49A8">
        <w:tab/>
        <w:t>Paesi candidati e, se del caso, potenziali candidati dei Balcani occidentali.</w:t>
      </w:r>
    </w:p>
  </w:footnote>
  <w:footnote w:id="15">
    <w:p w14:paraId="3BE4439C" w14:textId="076FC5BF" w:rsidR="00412E11" w:rsidRPr="00EC49A8" w:rsidRDefault="00412E11" w:rsidP="000C5C29">
      <w:pPr>
        <w:pStyle w:val="FootnoteText"/>
      </w:pPr>
      <w:r>
        <w:rPr>
          <w:rStyle w:val="FootnoteReference"/>
        </w:rPr>
        <w:footnoteRef/>
      </w:r>
      <w:r w:rsidRPr="00EC49A8">
        <w:tab/>
      </w:r>
      <w:r w:rsidRPr="00EC49A8">
        <w:rPr>
          <w:sz w:val="18"/>
        </w:rPr>
        <w:t xml:space="preserve">Assistenza tecnica e/o amministrativa e spese di sostegno all'attuazione di programmi e/o azioni dell'UE (ex linee </w:t>
      </w:r>
      <w:r w:rsidR="00B17672">
        <w:rPr>
          <w:sz w:val="18"/>
        </w:rPr>
        <w:t>"</w:t>
      </w:r>
      <w:r w:rsidRPr="00EC49A8">
        <w:rPr>
          <w:sz w:val="18"/>
        </w:rPr>
        <w:t>BA</w:t>
      </w:r>
      <w:r w:rsidR="00B17672">
        <w:rPr>
          <w:sz w:val="18"/>
        </w:rPr>
        <w:t>"</w:t>
      </w:r>
      <w:r w:rsidRPr="00EC49A8">
        <w:rPr>
          <w:sz w:val="18"/>
        </w:rPr>
        <w:t>), ricerca indiretta, ricerca diretta.</w:t>
      </w:r>
    </w:p>
  </w:footnote>
  <w:footnote w:id="16">
    <w:p w14:paraId="3F028FDD" w14:textId="7FFAF765" w:rsidR="00412E11" w:rsidRPr="00EC49A8" w:rsidRDefault="00412E11" w:rsidP="000C5C29">
      <w:pPr>
        <w:pStyle w:val="FootnoteText"/>
      </w:pPr>
      <w:r>
        <w:rPr>
          <w:rStyle w:val="FootnoteReference"/>
        </w:rPr>
        <w:footnoteRef/>
      </w:r>
      <w:r w:rsidRPr="00EC49A8">
        <w:tab/>
      </w:r>
      <w:r w:rsidRPr="00EC49A8">
        <w:rPr>
          <w:sz w:val="18"/>
        </w:rPr>
        <w:t xml:space="preserve">Assistenza tecnica e/o amministrativa e spese di sostegno all'attuazione di programmi e/o azioni dell'UE (ex linee </w:t>
      </w:r>
      <w:r w:rsidR="00B17672">
        <w:rPr>
          <w:sz w:val="18"/>
        </w:rPr>
        <w:t>"</w:t>
      </w:r>
      <w:r w:rsidRPr="00EC49A8">
        <w:rPr>
          <w:sz w:val="18"/>
        </w:rPr>
        <w:t>BA</w:t>
      </w:r>
      <w:r w:rsidR="00B17672">
        <w:rPr>
          <w:sz w:val="18"/>
        </w:rPr>
        <w:t>"</w:t>
      </w:r>
      <w:r w:rsidRPr="00EC49A8">
        <w:rPr>
          <w:sz w:val="18"/>
        </w:rPr>
        <w:t>), ricerca indiretta, ricerca diretta.</w:t>
      </w:r>
    </w:p>
  </w:footnote>
  <w:footnote w:id="17">
    <w:p w14:paraId="6055E31B" w14:textId="6A60A912" w:rsidR="00412E11" w:rsidRPr="00EC49A8" w:rsidRDefault="00412E11" w:rsidP="000C5C29">
      <w:pPr>
        <w:pStyle w:val="FootnoteText"/>
      </w:pPr>
      <w:r>
        <w:rPr>
          <w:rStyle w:val="FootnoteReference"/>
        </w:rPr>
        <w:footnoteRef/>
      </w:r>
      <w:r w:rsidRPr="00EC49A8">
        <w:tab/>
      </w:r>
      <w:r w:rsidRPr="00EC49A8">
        <w:rPr>
          <w:sz w:val="18"/>
        </w:rPr>
        <w:t xml:space="preserve">Assistenza tecnica e/o amministrativa e spese di sostegno all'attuazione di programmi e/o azioni dell'UE (ex linee </w:t>
      </w:r>
      <w:r w:rsidR="00B17672">
        <w:rPr>
          <w:sz w:val="18"/>
        </w:rPr>
        <w:t>"</w:t>
      </w:r>
      <w:r w:rsidRPr="00EC49A8">
        <w:rPr>
          <w:sz w:val="18"/>
        </w:rPr>
        <w:t>BA</w:t>
      </w:r>
      <w:r w:rsidR="00B17672">
        <w:rPr>
          <w:sz w:val="18"/>
        </w:rPr>
        <w:t>"</w:t>
      </w:r>
      <w:r w:rsidRPr="00EC49A8">
        <w:rPr>
          <w:sz w:val="18"/>
        </w:rPr>
        <w:t>), ricerca indiretta, ricerca diretta.</w:t>
      </w:r>
    </w:p>
  </w:footnote>
  <w:footnote w:id="18">
    <w:p w14:paraId="59F66A22" w14:textId="77777777" w:rsidR="00412E11" w:rsidRPr="001004A6" w:rsidRDefault="00412E11" w:rsidP="000C5C29">
      <w:pPr>
        <w:pStyle w:val="FootnoteText"/>
      </w:pPr>
      <w:r>
        <w:rPr>
          <w:rStyle w:val="FootnoteReference"/>
        </w:rPr>
        <w:footnoteRef/>
      </w:r>
      <w:r>
        <w:tab/>
      </w:r>
      <w:r>
        <w:rPr>
          <w:color w:val="374151"/>
          <w:sz w:val="18"/>
        </w:rPr>
        <w:t>The necessary appropriations should be determined using the annual average cost figures available on the appropriate BUDGpedia webpage</w:t>
      </w:r>
      <w:r>
        <w:rPr>
          <w:rFonts w:ascii="Segoe UI" w:hAnsi="Segoe UI"/>
          <w:color w:val="374151"/>
        </w:rPr>
        <w:t>.</w:t>
      </w:r>
    </w:p>
  </w:footnote>
  <w:footnote w:id="19">
    <w:p w14:paraId="5D5286B2" w14:textId="2825914D" w:rsidR="00412E11" w:rsidRPr="00EC49A8" w:rsidRDefault="00412E11" w:rsidP="000C5C29">
      <w:pPr>
        <w:pStyle w:val="FootnoteText"/>
      </w:pPr>
      <w:r>
        <w:rPr>
          <w:rStyle w:val="FootnoteReference"/>
        </w:rPr>
        <w:footnoteRef/>
      </w:r>
      <w:r w:rsidRPr="00EC49A8">
        <w:tab/>
      </w:r>
      <w:r w:rsidRPr="00EC49A8">
        <w:rPr>
          <w:sz w:val="18"/>
        </w:rPr>
        <w:t xml:space="preserve">Assistenza tecnica e/o amministrativa e spese di sostegno all'attuazione di programmi e/o azioni dell'UE (ex linee </w:t>
      </w:r>
      <w:r w:rsidR="00B17672">
        <w:rPr>
          <w:sz w:val="18"/>
        </w:rPr>
        <w:t>"</w:t>
      </w:r>
      <w:r w:rsidRPr="00EC49A8">
        <w:rPr>
          <w:sz w:val="18"/>
        </w:rPr>
        <w:t>BA</w:t>
      </w:r>
      <w:r w:rsidR="00B17672">
        <w:rPr>
          <w:sz w:val="18"/>
        </w:rPr>
        <w:t>"</w:t>
      </w:r>
      <w:r w:rsidRPr="00EC49A8">
        <w:rPr>
          <w:sz w:val="18"/>
        </w:rPr>
        <w:t>), ricerca indiretta, ricerca diretta.</w:t>
      </w:r>
    </w:p>
  </w:footnote>
  <w:footnote w:id="20">
    <w:p w14:paraId="42064D88" w14:textId="77777777" w:rsidR="00412E11" w:rsidRPr="001004A6" w:rsidRDefault="00412E11" w:rsidP="000C5C29">
      <w:pPr>
        <w:pStyle w:val="FootnoteText"/>
      </w:pPr>
      <w:r>
        <w:rPr>
          <w:rStyle w:val="FootnoteReference"/>
        </w:rPr>
        <w:footnoteRef/>
      </w:r>
      <w:r>
        <w:tab/>
      </w:r>
      <w:r>
        <w:rPr>
          <w:color w:val="374151"/>
          <w:sz w:val="18"/>
        </w:rPr>
        <w:t>The necessary appropriations should be determined using the annual average cost figures available on the appropriate BUDGpedia webpage.</w:t>
      </w:r>
    </w:p>
  </w:footnote>
  <w:footnote w:id="21">
    <w:p w14:paraId="06D91F58" w14:textId="77777777" w:rsidR="00412E11" w:rsidRPr="00EC49A8" w:rsidRDefault="00412E11" w:rsidP="000C5C29">
      <w:pPr>
        <w:pStyle w:val="FootnoteText"/>
        <w:rPr>
          <w:szCs w:val="24"/>
        </w:rPr>
      </w:pPr>
      <w:r>
        <w:rPr>
          <w:rStyle w:val="FootnoteReference"/>
        </w:rPr>
        <w:footnoteRef/>
      </w:r>
      <w:r w:rsidRPr="00EC49A8">
        <w:tab/>
        <w:t>I risultati sono i prodotti e i servizi da fornire (ad es. numero di scambi di studenti finanziati, numero di km di strada costruiti ecc.).</w:t>
      </w:r>
    </w:p>
  </w:footnote>
  <w:footnote w:id="22">
    <w:p w14:paraId="52942AA4" w14:textId="79C2B1A7" w:rsidR="00412E11" w:rsidRPr="00EC49A8" w:rsidRDefault="00412E11" w:rsidP="000C5C29">
      <w:pPr>
        <w:pStyle w:val="FootnoteText"/>
        <w:rPr>
          <w:szCs w:val="24"/>
        </w:rPr>
      </w:pPr>
      <w:r>
        <w:rPr>
          <w:rStyle w:val="FootnoteReference"/>
        </w:rPr>
        <w:footnoteRef/>
      </w:r>
      <w:r w:rsidRPr="00EC49A8">
        <w:tab/>
        <w:t>Come descritto nella sezione </w:t>
      </w:r>
      <w:r w:rsidRPr="00B17672">
        <w:t>1</w:t>
      </w:r>
      <w:r w:rsidRPr="00EC49A8">
        <w:t>.</w:t>
      </w:r>
      <w:r w:rsidRPr="00B17672">
        <w:t>3</w:t>
      </w:r>
      <w:r w:rsidRPr="00EC49A8">
        <w:t>.</w:t>
      </w:r>
      <w:r w:rsidRPr="00B17672">
        <w:t>2</w:t>
      </w:r>
      <w:r w:rsidRPr="00EC49A8">
        <w:t xml:space="preserve">. </w:t>
      </w:r>
      <w:r w:rsidR="00B17672">
        <w:t>"</w:t>
      </w:r>
      <w:r w:rsidRPr="00EC49A8">
        <w:t>Obiettivi specifici</w:t>
      </w:r>
      <w:r w:rsidR="00B17672">
        <w:t>"</w:t>
      </w:r>
      <w:r w:rsidRPr="00EC49A8">
        <w:t xml:space="preserve">. </w:t>
      </w:r>
    </w:p>
  </w:footnote>
  <w:footnote w:id="23">
    <w:p w14:paraId="1934ADD9" w14:textId="77777777" w:rsidR="00412E11" w:rsidRPr="00F94A0A" w:rsidRDefault="00412E11" w:rsidP="000C5C29">
      <w:pPr>
        <w:pStyle w:val="FootnoteText"/>
      </w:pPr>
      <w:r>
        <w:rPr>
          <w:rStyle w:val="FootnoteReference"/>
        </w:rPr>
        <w:footnoteRef/>
      </w:r>
      <w:r>
        <w:tab/>
        <w:t>Please specify below the table how many FTEs within the number indicated are already assigned to the management of the action and/or can be redeployed within your DG and what are your net needs.</w:t>
      </w:r>
    </w:p>
  </w:footnote>
  <w:footnote w:id="24">
    <w:p w14:paraId="14FE1043" w14:textId="77777777" w:rsidR="00412E11" w:rsidRPr="00EC49A8" w:rsidRDefault="00412E11" w:rsidP="000C5C29">
      <w:pPr>
        <w:pStyle w:val="FootnoteText"/>
        <w:rPr>
          <w:szCs w:val="24"/>
        </w:rPr>
      </w:pPr>
      <w:r>
        <w:rPr>
          <w:rStyle w:val="FootnoteReference"/>
        </w:rPr>
        <w:footnoteRef/>
      </w:r>
      <w:r w:rsidRPr="00EC49A8">
        <w:tab/>
        <w:t xml:space="preserve">Per le risorse proprie tradizionali (dazi doganali, contributi zucchero), indicare gli importi netti, cioè gli importi lordi al netto del </w:t>
      </w:r>
      <w:r w:rsidRPr="00B17672">
        <w:t>20</w:t>
      </w:r>
      <w:r w:rsidRPr="00EC49A8">
        <w:t>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D627" w14:textId="77777777" w:rsidR="009F3D23" w:rsidRDefault="009F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4D7F" w14:textId="77777777" w:rsidR="009F3D23" w:rsidRDefault="009F3D23" w:rsidP="009F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D630D" w14:textId="77777777" w:rsidR="009F3D23" w:rsidRPr="009F3D23" w:rsidRDefault="009F3D23" w:rsidP="009F3D2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27C1" w14:textId="77777777" w:rsidR="009F3D23" w:rsidRPr="009F3D23" w:rsidRDefault="009F3D23" w:rsidP="009F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23"/>
  </w:num>
  <w:num w:numId="18">
    <w:abstractNumId w:val="12"/>
  </w:num>
  <w:num w:numId="19">
    <w:abstractNumId w:val="26"/>
  </w:num>
  <w:num w:numId="20">
    <w:abstractNumId w:val="6"/>
  </w:num>
  <w:num w:numId="21">
    <w:abstractNumId w:val="13"/>
  </w:num>
  <w:num w:numId="22">
    <w:abstractNumId w:val="14"/>
  </w:num>
  <w:num w:numId="23">
    <w:abstractNumId w:val="4"/>
  </w:num>
  <w:num w:numId="24">
    <w:abstractNumId w:val="25"/>
  </w:num>
  <w:num w:numId="25">
    <w:abstractNumId w:val="3"/>
  </w:num>
  <w:num w:numId="26">
    <w:abstractNumId w:val="15"/>
  </w:num>
  <w:num w:numId="27">
    <w:abstractNumId w:val="21"/>
  </w:num>
  <w:num w:numId="28">
    <w:abstractNumId w:val="22"/>
  </w:num>
  <w:num w:numId="29">
    <w:abstractNumId w:val="5"/>
  </w:num>
  <w:num w:numId="30">
    <w:abstractNumId w:val="19"/>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4-03 12:16: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28F218D-2592-427F-9220-402040C6F78A"/>
    <w:docVar w:name="LW_COVERPAGE_TYPE" w:val="1"/>
    <w:docVar w:name="LW_CreatedUtc" w:val="2025-02-21T10:21:09.3394599Z"/>
    <w:docVar w:name="LW_CROSSREFERENCE" w:val="&lt;UNUSED&gt;"/>
    <w:docVar w:name="LW_DocType" w:val="COM"/>
    <w:docVar w:name="LW_EMISSION" w:val="1.4.2025"/>
    <w:docVar w:name="LW_EMISSION_ISODATE" w:val="2025-04-01"/>
    <w:docVar w:name="LW_EMISSION_LOCATION" w:val="STR"/>
    <w:docVar w:name="LW_EMISSION_PREFIX" w:val="Strasburgo,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70"/>
    <w:docVar w:name="LW_REF.II.NEW.CP_YEAR" w:val="2025"/>
    <w:docVar w:name="LW_REF.INST.NEW" w:val="COM"/>
    <w:docVar w:name="LW_REF.INST.NEW_ADOPTED" w:val="final"/>
    <w:docVar w:name="LW_REF.INST.NEW_TEXT" w:val="(2025)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modifica il regolamento (UE) 2019/631 al fine di introdurre ulteriore flessibilità _x000b_per quanto riguarda il calcolo della conformità dei costruttori ai livelli di prestazione _x000b_in materia di emissioni di CO&lt;FMT:Subscript&gt;2&lt;/FMT&gt; delle autovetture nuove e _x000b_dei veicoli commerciali leggeri nuovi per gli anni civili dal 2025 al 2027"/>
    <w:docVar w:name="LW_TYPE.DOC.CP" w:val="REGOLAMENTO DEL PARLAMENTO EUROPEO E DEL CONSIGLIO"/>
    <w:docVar w:name="LwApiVersions" w:val="LW4CoDe 1.24.5.0; LW 9.0, Build 20240221"/>
  </w:docVars>
  <w:rsids>
    <w:rsidRoot w:val="00412E11"/>
    <w:rsid w:val="00001D19"/>
    <w:rsid w:val="000024D8"/>
    <w:rsid w:val="0000286C"/>
    <w:rsid w:val="00002FA7"/>
    <w:rsid w:val="00006D48"/>
    <w:rsid w:val="00010D37"/>
    <w:rsid w:val="00011BBA"/>
    <w:rsid w:val="0001287E"/>
    <w:rsid w:val="000135E5"/>
    <w:rsid w:val="00015DD4"/>
    <w:rsid w:val="00023A5F"/>
    <w:rsid w:val="00023BB1"/>
    <w:rsid w:val="00023BBE"/>
    <w:rsid w:val="000310AB"/>
    <w:rsid w:val="000310DE"/>
    <w:rsid w:val="00032861"/>
    <w:rsid w:val="00033300"/>
    <w:rsid w:val="0003435C"/>
    <w:rsid w:val="00035C14"/>
    <w:rsid w:val="000361DD"/>
    <w:rsid w:val="00036D1F"/>
    <w:rsid w:val="000403AC"/>
    <w:rsid w:val="00041148"/>
    <w:rsid w:val="00041F9F"/>
    <w:rsid w:val="000420FB"/>
    <w:rsid w:val="00042F28"/>
    <w:rsid w:val="00043098"/>
    <w:rsid w:val="00047729"/>
    <w:rsid w:val="00052AFB"/>
    <w:rsid w:val="00052D36"/>
    <w:rsid w:val="00053CA2"/>
    <w:rsid w:val="00053DF1"/>
    <w:rsid w:val="0005401F"/>
    <w:rsid w:val="000546CC"/>
    <w:rsid w:val="00054B01"/>
    <w:rsid w:val="000554FB"/>
    <w:rsid w:val="00055CA4"/>
    <w:rsid w:val="00057F6C"/>
    <w:rsid w:val="0006005E"/>
    <w:rsid w:val="00061798"/>
    <w:rsid w:val="00063759"/>
    <w:rsid w:val="000640A9"/>
    <w:rsid w:val="0006584A"/>
    <w:rsid w:val="0006586C"/>
    <w:rsid w:val="00066B4E"/>
    <w:rsid w:val="000717EC"/>
    <w:rsid w:val="00072132"/>
    <w:rsid w:val="00072399"/>
    <w:rsid w:val="00072EA9"/>
    <w:rsid w:val="00074EEC"/>
    <w:rsid w:val="00077852"/>
    <w:rsid w:val="00077CBC"/>
    <w:rsid w:val="00080E68"/>
    <w:rsid w:val="000831AC"/>
    <w:rsid w:val="00083339"/>
    <w:rsid w:val="00091AA7"/>
    <w:rsid w:val="0009320D"/>
    <w:rsid w:val="00093A59"/>
    <w:rsid w:val="00093ADC"/>
    <w:rsid w:val="000949E5"/>
    <w:rsid w:val="00095876"/>
    <w:rsid w:val="000A171C"/>
    <w:rsid w:val="000A2B6A"/>
    <w:rsid w:val="000A7441"/>
    <w:rsid w:val="000B215F"/>
    <w:rsid w:val="000B3E3E"/>
    <w:rsid w:val="000B5D82"/>
    <w:rsid w:val="000B5E81"/>
    <w:rsid w:val="000C1113"/>
    <w:rsid w:val="000C390F"/>
    <w:rsid w:val="000C5C29"/>
    <w:rsid w:val="000C6B67"/>
    <w:rsid w:val="000C6F9D"/>
    <w:rsid w:val="000D38B5"/>
    <w:rsid w:val="000D652D"/>
    <w:rsid w:val="000D6996"/>
    <w:rsid w:val="000E0726"/>
    <w:rsid w:val="000E1BBD"/>
    <w:rsid w:val="000E23E8"/>
    <w:rsid w:val="000E2703"/>
    <w:rsid w:val="000E3C17"/>
    <w:rsid w:val="000E5EE5"/>
    <w:rsid w:val="000F076B"/>
    <w:rsid w:val="000F129D"/>
    <w:rsid w:val="000F192D"/>
    <w:rsid w:val="000F1934"/>
    <w:rsid w:val="000F1B87"/>
    <w:rsid w:val="000F1C0A"/>
    <w:rsid w:val="000F4233"/>
    <w:rsid w:val="000F51FF"/>
    <w:rsid w:val="000F752B"/>
    <w:rsid w:val="000F7C44"/>
    <w:rsid w:val="00101076"/>
    <w:rsid w:val="00101C0B"/>
    <w:rsid w:val="001065F5"/>
    <w:rsid w:val="00106BDE"/>
    <w:rsid w:val="0011151F"/>
    <w:rsid w:val="00111D58"/>
    <w:rsid w:val="00112095"/>
    <w:rsid w:val="001135CE"/>
    <w:rsid w:val="0011593C"/>
    <w:rsid w:val="001176F9"/>
    <w:rsid w:val="00117841"/>
    <w:rsid w:val="00117CFD"/>
    <w:rsid w:val="00117D88"/>
    <w:rsid w:val="00121CBB"/>
    <w:rsid w:val="001223A5"/>
    <w:rsid w:val="001227CA"/>
    <w:rsid w:val="0012345B"/>
    <w:rsid w:val="001238EF"/>
    <w:rsid w:val="0012406A"/>
    <w:rsid w:val="0012441E"/>
    <w:rsid w:val="001304CC"/>
    <w:rsid w:val="00130683"/>
    <w:rsid w:val="00130C6D"/>
    <w:rsid w:val="00131406"/>
    <w:rsid w:val="00131BEE"/>
    <w:rsid w:val="00132AFB"/>
    <w:rsid w:val="00132C9D"/>
    <w:rsid w:val="00134563"/>
    <w:rsid w:val="00136519"/>
    <w:rsid w:val="00136F33"/>
    <w:rsid w:val="001406E4"/>
    <w:rsid w:val="00143172"/>
    <w:rsid w:val="00145424"/>
    <w:rsid w:val="001455FF"/>
    <w:rsid w:val="001470DE"/>
    <w:rsid w:val="00153D05"/>
    <w:rsid w:val="00157647"/>
    <w:rsid w:val="00160222"/>
    <w:rsid w:val="00162002"/>
    <w:rsid w:val="00163453"/>
    <w:rsid w:val="0016492F"/>
    <w:rsid w:val="00165650"/>
    <w:rsid w:val="00165CA2"/>
    <w:rsid w:val="001676BF"/>
    <w:rsid w:val="00167FE7"/>
    <w:rsid w:val="00172A5A"/>
    <w:rsid w:val="00172FE3"/>
    <w:rsid w:val="00173BA2"/>
    <w:rsid w:val="001812D8"/>
    <w:rsid w:val="00182600"/>
    <w:rsid w:val="001829FC"/>
    <w:rsid w:val="00183B24"/>
    <w:rsid w:val="00184E77"/>
    <w:rsid w:val="00184EE2"/>
    <w:rsid w:val="0018585A"/>
    <w:rsid w:val="00187E2A"/>
    <w:rsid w:val="00190A66"/>
    <w:rsid w:val="00192935"/>
    <w:rsid w:val="0019481A"/>
    <w:rsid w:val="001964BD"/>
    <w:rsid w:val="00196E40"/>
    <w:rsid w:val="00196E4D"/>
    <w:rsid w:val="00196E57"/>
    <w:rsid w:val="001971B7"/>
    <w:rsid w:val="00197613"/>
    <w:rsid w:val="001A34B7"/>
    <w:rsid w:val="001A3972"/>
    <w:rsid w:val="001A39E9"/>
    <w:rsid w:val="001A4F34"/>
    <w:rsid w:val="001A7680"/>
    <w:rsid w:val="001B3AC9"/>
    <w:rsid w:val="001B5514"/>
    <w:rsid w:val="001B5884"/>
    <w:rsid w:val="001B7075"/>
    <w:rsid w:val="001C31C6"/>
    <w:rsid w:val="001C6B6E"/>
    <w:rsid w:val="001C71C9"/>
    <w:rsid w:val="001C7529"/>
    <w:rsid w:val="001D62BC"/>
    <w:rsid w:val="001D6B1C"/>
    <w:rsid w:val="001E218D"/>
    <w:rsid w:val="001E5444"/>
    <w:rsid w:val="001E587E"/>
    <w:rsid w:val="001E691A"/>
    <w:rsid w:val="001E6AD8"/>
    <w:rsid w:val="001F150E"/>
    <w:rsid w:val="001F1EE4"/>
    <w:rsid w:val="001F2485"/>
    <w:rsid w:val="001F2E99"/>
    <w:rsid w:val="001F53C0"/>
    <w:rsid w:val="001F6502"/>
    <w:rsid w:val="001F7CD6"/>
    <w:rsid w:val="001F7FF8"/>
    <w:rsid w:val="00200F07"/>
    <w:rsid w:val="00201C96"/>
    <w:rsid w:val="00202E92"/>
    <w:rsid w:val="0020324E"/>
    <w:rsid w:val="0020683B"/>
    <w:rsid w:val="00206BCC"/>
    <w:rsid w:val="00211972"/>
    <w:rsid w:val="00211C33"/>
    <w:rsid w:val="00211ED5"/>
    <w:rsid w:val="00214964"/>
    <w:rsid w:val="00215079"/>
    <w:rsid w:val="00216F5F"/>
    <w:rsid w:val="002201BC"/>
    <w:rsid w:val="00221B2A"/>
    <w:rsid w:val="0022437C"/>
    <w:rsid w:val="00226600"/>
    <w:rsid w:val="00226CE9"/>
    <w:rsid w:val="00226DD0"/>
    <w:rsid w:val="00226E03"/>
    <w:rsid w:val="00227562"/>
    <w:rsid w:val="00227DEE"/>
    <w:rsid w:val="00232D98"/>
    <w:rsid w:val="00233DC7"/>
    <w:rsid w:val="00235D8A"/>
    <w:rsid w:val="00242BA5"/>
    <w:rsid w:val="002438FC"/>
    <w:rsid w:val="002462D6"/>
    <w:rsid w:val="002471CA"/>
    <w:rsid w:val="00247564"/>
    <w:rsid w:val="00247779"/>
    <w:rsid w:val="00247F4D"/>
    <w:rsid w:val="00250CAD"/>
    <w:rsid w:val="00254363"/>
    <w:rsid w:val="002551C0"/>
    <w:rsid w:val="002559A2"/>
    <w:rsid w:val="00255E9F"/>
    <w:rsid w:val="0025789A"/>
    <w:rsid w:val="00260F75"/>
    <w:rsid w:val="002620C3"/>
    <w:rsid w:val="002632A0"/>
    <w:rsid w:val="00263738"/>
    <w:rsid w:val="00265160"/>
    <w:rsid w:val="002672B7"/>
    <w:rsid w:val="0027197E"/>
    <w:rsid w:val="00273A36"/>
    <w:rsid w:val="00274D7D"/>
    <w:rsid w:val="00275284"/>
    <w:rsid w:val="00280AFD"/>
    <w:rsid w:val="00285BEE"/>
    <w:rsid w:val="00286067"/>
    <w:rsid w:val="002862CD"/>
    <w:rsid w:val="00286733"/>
    <w:rsid w:val="00294255"/>
    <w:rsid w:val="0029533F"/>
    <w:rsid w:val="00295EA5"/>
    <w:rsid w:val="002966C8"/>
    <w:rsid w:val="00297E3F"/>
    <w:rsid w:val="002A3606"/>
    <w:rsid w:val="002A4812"/>
    <w:rsid w:val="002A7460"/>
    <w:rsid w:val="002B03FB"/>
    <w:rsid w:val="002B050C"/>
    <w:rsid w:val="002B2C89"/>
    <w:rsid w:val="002B30AF"/>
    <w:rsid w:val="002B382D"/>
    <w:rsid w:val="002B43C8"/>
    <w:rsid w:val="002B4685"/>
    <w:rsid w:val="002B6215"/>
    <w:rsid w:val="002B66C2"/>
    <w:rsid w:val="002B7348"/>
    <w:rsid w:val="002C1CF4"/>
    <w:rsid w:val="002C23A9"/>
    <w:rsid w:val="002C286F"/>
    <w:rsid w:val="002C34A2"/>
    <w:rsid w:val="002D0A66"/>
    <w:rsid w:val="002D12BF"/>
    <w:rsid w:val="002D24E0"/>
    <w:rsid w:val="002D432D"/>
    <w:rsid w:val="002D4517"/>
    <w:rsid w:val="002D504B"/>
    <w:rsid w:val="002D7B60"/>
    <w:rsid w:val="002E0CD9"/>
    <w:rsid w:val="002E0F9F"/>
    <w:rsid w:val="002E1BEA"/>
    <w:rsid w:val="002E2199"/>
    <w:rsid w:val="002E4B94"/>
    <w:rsid w:val="002E7497"/>
    <w:rsid w:val="002F04A0"/>
    <w:rsid w:val="002F0AB0"/>
    <w:rsid w:val="002F11E5"/>
    <w:rsid w:val="002F1E02"/>
    <w:rsid w:val="002F4C4F"/>
    <w:rsid w:val="003015D6"/>
    <w:rsid w:val="00304AB1"/>
    <w:rsid w:val="00305776"/>
    <w:rsid w:val="003076E6"/>
    <w:rsid w:val="00307DE7"/>
    <w:rsid w:val="00311379"/>
    <w:rsid w:val="00311FDE"/>
    <w:rsid w:val="00313858"/>
    <w:rsid w:val="00314F20"/>
    <w:rsid w:val="0031506D"/>
    <w:rsid w:val="003150A9"/>
    <w:rsid w:val="00315B47"/>
    <w:rsid w:val="00321670"/>
    <w:rsid w:val="003216C8"/>
    <w:rsid w:val="0032374B"/>
    <w:rsid w:val="00324162"/>
    <w:rsid w:val="00324920"/>
    <w:rsid w:val="00325646"/>
    <w:rsid w:val="003278D7"/>
    <w:rsid w:val="00331321"/>
    <w:rsid w:val="00331696"/>
    <w:rsid w:val="0033188C"/>
    <w:rsid w:val="0033344A"/>
    <w:rsid w:val="003345DF"/>
    <w:rsid w:val="0033556F"/>
    <w:rsid w:val="00335B85"/>
    <w:rsid w:val="0034060D"/>
    <w:rsid w:val="00341042"/>
    <w:rsid w:val="00341A58"/>
    <w:rsid w:val="00341AEB"/>
    <w:rsid w:val="00344D70"/>
    <w:rsid w:val="003455DB"/>
    <w:rsid w:val="00350A28"/>
    <w:rsid w:val="00353108"/>
    <w:rsid w:val="003545F7"/>
    <w:rsid w:val="0035610F"/>
    <w:rsid w:val="00357390"/>
    <w:rsid w:val="00357B26"/>
    <w:rsid w:val="00357CA1"/>
    <w:rsid w:val="003614B2"/>
    <w:rsid w:val="00361F0F"/>
    <w:rsid w:val="00362E96"/>
    <w:rsid w:val="00363305"/>
    <w:rsid w:val="003642C5"/>
    <w:rsid w:val="00364674"/>
    <w:rsid w:val="00364BF1"/>
    <w:rsid w:val="003663E6"/>
    <w:rsid w:val="003713EC"/>
    <w:rsid w:val="003737B7"/>
    <w:rsid w:val="0037433C"/>
    <w:rsid w:val="00374964"/>
    <w:rsid w:val="00376809"/>
    <w:rsid w:val="00377060"/>
    <w:rsid w:val="003818C8"/>
    <w:rsid w:val="00382029"/>
    <w:rsid w:val="003829F1"/>
    <w:rsid w:val="0039034C"/>
    <w:rsid w:val="00391915"/>
    <w:rsid w:val="0039231C"/>
    <w:rsid w:val="003955E9"/>
    <w:rsid w:val="0039603D"/>
    <w:rsid w:val="003977A6"/>
    <w:rsid w:val="003A0394"/>
    <w:rsid w:val="003A05B1"/>
    <w:rsid w:val="003A51A7"/>
    <w:rsid w:val="003A7682"/>
    <w:rsid w:val="003B489F"/>
    <w:rsid w:val="003C066D"/>
    <w:rsid w:val="003C0B93"/>
    <w:rsid w:val="003C0D8D"/>
    <w:rsid w:val="003C1250"/>
    <w:rsid w:val="003C3040"/>
    <w:rsid w:val="003C3FF7"/>
    <w:rsid w:val="003C40F0"/>
    <w:rsid w:val="003C71FB"/>
    <w:rsid w:val="003D0218"/>
    <w:rsid w:val="003D4831"/>
    <w:rsid w:val="003D63B7"/>
    <w:rsid w:val="003D7C37"/>
    <w:rsid w:val="003E030D"/>
    <w:rsid w:val="003E1D7D"/>
    <w:rsid w:val="003E25D0"/>
    <w:rsid w:val="003E3DBA"/>
    <w:rsid w:val="003E5B87"/>
    <w:rsid w:val="003E7B42"/>
    <w:rsid w:val="003E7D19"/>
    <w:rsid w:val="003F00FF"/>
    <w:rsid w:val="003F16CA"/>
    <w:rsid w:val="003F3779"/>
    <w:rsid w:val="003F41D3"/>
    <w:rsid w:val="003F43F0"/>
    <w:rsid w:val="003F4CA9"/>
    <w:rsid w:val="003F7E2D"/>
    <w:rsid w:val="00400C26"/>
    <w:rsid w:val="00402213"/>
    <w:rsid w:val="004024CF"/>
    <w:rsid w:val="004029D9"/>
    <w:rsid w:val="00405AEB"/>
    <w:rsid w:val="00410CCD"/>
    <w:rsid w:val="00412E11"/>
    <w:rsid w:val="0041357C"/>
    <w:rsid w:val="004202DC"/>
    <w:rsid w:val="0042160D"/>
    <w:rsid w:val="004217C2"/>
    <w:rsid w:val="00422504"/>
    <w:rsid w:val="004239D7"/>
    <w:rsid w:val="00423ABB"/>
    <w:rsid w:val="004242EC"/>
    <w:rsid w:val="00424A6B"/>
    <w:rsid w:val="00425310"/>
    <w:rsid w:val="004262FC"/>
    <w:rsid w:val="0042648E"/>
    <w:rsid w:val="00427A6C"/>
    <w:rsid w:val="00431C36"/>
    <w:rsid w:val="00435451"/>
    <w:rsid w:val="004370B1"/>
    <w:rsid w:val="00437744"/>
    <w:rsid w:val="00437EF9"/>
    <w:rsid w:val="004400BE"/>
    <w:rsid w:val="00442965"/>
    <w:rsid w:val="00447A49"/>
    <w:rsid w:val="0045157D"/>
    <w:rsid w:val="00451BA5"/>
    <w:rsid w:val="004523E7"/>
    <w:rsid w:val="00462E34"/>
    <w:rsid w:val="00463635"/>
    <w:rsid w:val="004664CC"/>
    <w:rsid w:val="00467969"/>
    <w:rsid w:val="004717B8"/>
    <w:rsid w:val="00472295"/>
    <w:rsid w:val="0047597E"/>
    <w:rsid w:val="00477A7D"/>
    <w:rsid w:val="004870F3"/>
    <w:rsid w:val="004936D2"/>
    <w:rsid w:val="0049575D"/>
    <w:rsid w:val="00495777"/>
    <w:rsid w:val="0049633F"/>
    <w:rsid w:val="004969FB"/>
    <w:rsid w:val="004A172B"/>
    <w:rsid w:val="004A2A78"/>
    <w:rsid w:val="004A2AA6"/>
    <w:rsid w:val="004A58D3"/>
    <w:rsid w:val="004B0797"/>
    <w:rsid w:val="004B1D0E"/>
    <w:rsid w:val="004B3339"/>
    <w:rsid w:val="004B6F05"/>
    <w:rsid w:val="004B6FF1"/>
    <w:rsid w:val="004B7AE6"/>
    <w:rsid w:val="004C07FC"/>
    <w:rsid w:val="004C1F83"/>
    <w:rsid w:val="004C1FDD"/>
    <w:rsid w:val="004C2336"/>
    <w:rsid w:val="004C3880"/>
    <w:rsid w:val="004C6A23"/>
    <w:rsid w:val="004C6F70"/>
    <w:rsid w:val="004C7ACC"/>
    <w:rsid w:val="004D1CEA"/>
    <w:rsid w:val="004D21A2"/>
    <w:rsid w:val="004D2B51"/>
    <w:rsid w:val="004D3422"/>
    <w:rsid w:val="004D618F"/>
    <w:rsid w:val="004D7135"/>
    <w:rsid w:val="004D71AD"/>
    <w:rsid w:val="004E01E1"/>
    <w:rsid w:val="004E30C1"/>
    <w:rsid w:val="004E3461"/>
    <w:rsid w:val="004E4543"/>
    <w:rsid w:val="004E5C93"/>
    <w:rsid w:val="004F0C93"/>
    <w:rsid w:val="004F0D72"/>
    <w:rsid w:val="004F24E9"/>
    <w:rsid w:val="004F2D71"/>
    <w:rsid w:val="004F4E50"/>
    <w:rsid w:val="00500CB9"/>
    <w:rsid w:val="0050311F"/>
    <w:rsid w:val="00503B74"/>
    <w:rsid w:val="00503DC9"/>
    <w:rsid w:val="00504DDA"/>
    <w:rsid w:val="00506AA1"/>
    <w:rsid w:val="00511120"/>
    <w:rsid w:val="00511E45"/>
    <w:rsid w:val="00513B8E"/>
    <w:rsid w:val="00514369"/>
    <w:rsid w:val="0051613F"/>
    <w:rsid w:val="00517716"/>
    <w:rsid w:val="00517AA3"/>
    <w:rsid w:val="0052058D"/>
    <w:rsid w:val="0052074A"/>
    <w:rsid w:val="00523351"/>
    <w:rsid w:val="005233FA"/>
    <w:rsid w:val="00523D5B"/>
    <w:rsid w:val="00524AB3"/>
    <w:rsid w:val="00525452"/>
    <w:rsid w:val="00534316"/>
    <w:rsid w:val="005350E9"/>
    <w:rsid w:val="00535278"/>
    <w:rsid w:val="005400F3"/>
    <w:rsid w:val="00541AB3"/>
    <w:rsid w:val="00545182"/>
    <w:rsid w:val="005456AC"/>
    <w:rsid w:val="0054646F"/>
    <w:rsid w:val="00550F0E"/>
    <w:rsid w:val="005516E7"/>
    <w:rsid w:val="00551F8B"/>
    <w:rsid w:val="00552563"/>
    <w:rsid w:val="005530C8"/>
    <w:rsid w:val="005531C1"/>
    <w:rsid w:val="0055497C"/>
    <w:rsid w:val="00557792"/>
    <w:rsid w:val="00557AE9"/>
    <w:rsid w:val="005604DD"/>
    <w:rsid w:val="00562E27"/>
    <w:rsid w:val="00563925"/>
    <w:rsid w:val="00565B9A"/>
    <w:rsid w:val="00567783"/>
    <w:rsid w:val="00570B8B"/>
    <w:rsid w:val="00571066"/>
    <w:rsid w:val="00573CEE"/>
    <w:rsid w:val="00574A46"/>
    <w:rsid w:val="0057648D"/>
    <w:rsid w:val="00581A8C"/>
    <w:rsid w:val="00582594"/>
    <w:rsid w:val="00582C4E"/>
    <w:rsid w:val="00583DCB"/>
    <w:rsid w:val="00584D91"/>
    <w:rsid w:val="00585827"/>
    <w:rsid w:val="0059145D"/>
    <w:rsid w:val="00591905"/>
    <w:rsid w:val="00594004"/>
    <w:rsid w:val="00594167"/>
    <w:rsid w:val="005941E4"/>
    <w:rsid w:val="00594FBB"/>
    <w:rsid w:val="005957E3"/>
    <w:rsid w:val="00595A2B"/>
    <w:rsid w:val="005A314F"/>
    <w:rsid w:val="005A4A61"/>
    <w:rsid w:val="005A4CFA"/>
    <w:rsid w:val="005A5B81"/>
    <w:rsid w:val="005A7FD3"/>
    <w:rsid w:val="005B1092"/>
    <w:rsid w:val="005B1267"/>
    <w:rsid w:val="005B1EB6"/>
    <w:rsid w:val="005B24E9"/>
    <w:rsid w:val="005B2B44"/>
    <w:rsid w:val="005B3B1E"/>
    <w:rsid w:val="005B4EA8"/>
    <w:rsid w:val="005B57AB"/>
    <w:rsid w:val="005B652D"/>
    <w:rsid w:val="005B71BA"/>
    <w:rsid w:val="005C3F37"/>
    <w:rsid w:val="005C47D0"/>
    <w:rsid w:val="005C6C09"/>
    <w:rsid w:val="005D0802"/>
    <w:rsid w:val="005D0EC4"/>
    <w:rsid w:val="005D2185"/>
    <w:rsid w:val="005D510B"/>
    <w:rsid w:val="005D5ACD"/>
    <w:rsid w:val="005D61F4"/>
    <w:rsid w:val="005E0B3C"/>
    <w:rsid w:val="005E42EE"/>
    <w:rsid w:val="005E6675"/>
    <w:rsid w:val="005E703C"/>
    <w:rsid w:val="005F2321"/>
    <w:rsid w:val="005F26DB"/>
    <w:rsid w:val="005F302A"/>
    <w:rsid w:val="005F3D03"/>
    <w:rsid w:val="005F49D6"/>
    <w:rsid w:val="005F5AB9"/>
    <w:rsid w:val="005F5F4E"/>
    <w:rsid w:val="005F77BF"/>
    <w:rsid w:val="0060008F"/>
    <w:rsid w:val="00601B50"/>
    <w:rsid w:val="00602185"/>
    <w:rsid w:val="00602880"/>
    <w:rsid w:val="00604009"/>
    <w:rsid w:val="00604A3B"/>
    <w:rsid w:val="006058E0"/>
    <w:rsid w:val="00605916"/>
    <w:rsid w:val="00606064"/>
    <w:rsid w:val="006152CA"/>
    <w:rsid w:val="006161E1"/>
    <w:rsid w:val="00616355"/>
    <w:rsid w:val="006172F1"/>
    <w:rsid w:val="006208D8"/>
    <w:rsid w:val="00621427"/>
    <w:rsid w:val="006216AC"/>
    <w:rsid w:val="00622B1E"/>
    <w:rsid w:val="006232B6"/>
    <w:rsid w:val="00623AD7"/>
    <w:rsid w:val="00623F54"/>
    <w:rsid w:val="006250AB"/>
    <w:rsid w:val="006310A1"/>
    <w:rsid w:val="00631BAB"/>
    <w:rsid w:val="0063233B"/>
    <w:rsid w:val="0063390D"/>
    <w:rsid w:val="006366A0"/>
    <w:rsid w:val="00636EF8"/>
    <w:rsid w:val="006416BD"/>
    <w:rsid w:val="00644AD4"/>
    <w:rsid w:val="006468D7"/>
    <w:rsid w:val="00646FBD"/>
    <w:rsid w:val="006471AA"/>
    <w:rsid w:val="006515A5"/>
    <w:rsid w:val="00652D90"/>
    <w:rsid w:val="0065406B"/>
    <w:rsid w:val="00655252"/>
    <w:rsid w:val="00655638"/>
    <w:rsid w:val="0065643C"/>
    <w:rsid w:val="0066074C"/>
    <w:rsid w:val="00661700"/>
    <w:rsid w:val="0066603D"/>
    <w:rsid w:val="006664B9"/>
    <w:rsid w:val="00667650"/>
    <w:rsid w:val="0066774C"/>
    <w:rsid w:val="006713EA"/>
    <w:rsid w:val="00673600"/>
    <w:rsid w:val="00681712"/>
    <w:rsid w:val="00685DE0"/>
    <w:rsid w:val="00690B0F"/>
    <w:rsid w:val="00692C19"/>
    <w:rsid w:val="00692CB2"/>
    <w:rsid w:val="00694F74"/>
    <w:rsid w:val="00696FC3"/>
    <w:rsid w:val="006A34C3"/>
    <w:rsid w:val="006A4A27"/>
    <w:rsid w:val="006A51D7"/>
    <w:rsid w:val="006A53D3"/>
    <w:rsid w:val="006A6215"/>
    <w:rsid w:val="006B3097"/>
    <w:rsid w:val="006B724B"/>
    <w:rsid w:val="006C004B"/>
    <w:rsid w:val="006C02A4"/>
    <w:rsid w:val="006C0BB9"/>
    <w:rsid w:val="006C2838"/>
    <w:rsid w:val="006C2886"/>
    <w:rsid w:val="006C2E14"/>
    <w:rsid w:val="006C53C8"/>
    <w:rsid w:val="006C605D"/>
    <w:rsid w:val="006C60E8"/>
    <w:rsid w:val="006D05D7"/>
    <w:rsid w:val="006D18C5"/>
    <w:rsid w:val="006D18D7"/>
    <w:rsid w:val="006D5D4F"/>
    <w:rsid w:val="006E08FA"/>
    <w:rsid w:val="006E0DD5"/>
    <w:rsid w:val="006E0DF2"/>
    <w:rsid w:val="006E22C3"/>
    <w:rsid w:val="006E67CD"/>
    <w:rsid w:val="006E7C9D"/>
    <w:rsid w:val="006F0202"/>
    <w:rsid w:val="006F157E"/>
    <w:rsid w:val="006F1586"/>
    <w:rsid w:val="006F1CF3"/>
    <w:rsid w:val="006F2639"/>
    <w:rsid w:val="006F3B90"/>
    <w:rsid w:val="006F45F2"/>
    <w:rsid w:val="006F6D39"/>
    <w:rsid w:val="006F7AD3"/>
    <w:rsid w:val="00701D18"/>
    <w:rsid w:val="0070289D"/>
    <w:rsid w:val="00703CBC"/>
    <w:rsid w:val="00704E34"/>
    <w:rsid w:val="0070741B"/>
    <w:rsid w:val="00707C34"/>
    <w:rsid w:val="00707C42"/>
    <w:rsid w:val="00707E3D"/>
    <w:rsid w:val="007112DE"/>
    <w:rsid w:val="00711DCA"/>
    <w:rsid w:val="007137E2"/>
    <w:rsid w:val="0071622A"/>
    <w:rsid w:val="00716CD8"/>
    <w:rsid w:val="0072086F"/>
    <w:rsid w:val="00721A33"/>
    <w:rsid w:val="00724F75"/>
    <w:rsid w:val="0072549F"/>
    <w:rsid w:val="007260D1"/>
    <w:rsid w:val="007271BD"/>
    <w:rsid w:val="00730BCD"/>
    <w:rsid w:val="00730FF1"/>
    <w:rsid w:val="00731485"/>
    <w:rsid w:val="00735F58"/>
    <w:rsid w:val="00736BCB"/>
    <w:rsid w:val="007401C9"/>
    <w:rsid w:val="007404D4"/>
    <w:rsid w:val="00740607"/>
    <w:rsid w:val="0074123D"/>
    <w:rsid w:val="007418FF"/>
    <w:rsid w:val="00747ED3"/>
    <w:rsid w:val="00752492"/>
    <w:rsid w:val="0075291E"/>
    <w:rsid w:val="007529D1"/>
    <w:rsid w:val="0075352A"/>
    <w:rsid w:val="00760F4B"/>
    <w:rsid w:val="00761053"/>
    <w:rsid w:val="007610E9"/>
    <w:rsid w:val="00761EA7"/>
    <w:rsid w:val="0076272F"/>
    <w:rsid w:val="00762845"/>
    <w:rsid w:val="0076447E"/>
    <w:rsid w:val="007646B9"/>
    <w:rsid w:val="00764E14"/>
    <w:rsid w:val="00765317"/>
    <w:rsid w:val="00766A3A"/>
    <w:rsid w:val="00771184"/>
    <w:rsid w:val="0077145D"/>
    <w:rsid w:val="00771B2C"/>
    <w:rsid w:val="00771B4A"/>
    <w:rsid w:val="00773331"/>
    <w:rsid w:val="00773AEE"/>
    <w:rsid w:val="007753B0"/>
    <w:rsid w:val="00775B7E"/>
    <w:rsid w:val="00777059"/>
    <w:rsid w:val="00783518"/>
    <w:rsid w:val="00785418"/>
    <w:rsid w:val="00790AAB"/>
    <w:rsid w:val="00791A45"/>
    <w:rsid w:val="00791C68"/>
    <w:rsid w:val="007928B7"/>
    <w:rsid w:val="007932EF"/>
    <w:rsid w:val="007949CB"/>
    <w:rsid w:val="007A0283"/>
    <w:rsid w:val="007A0792"/>
    <w:rsid w:val="007A1232"/>
    <w:rsid w:val="007A126D"/>
    <w:rsid w:val="007A22B0"/>
    <w:rsid w:val="007A287E"/>
    <w:rsid w:val="007A52D4"/>
    <w:rsid w:val="007A6E31"/>
    <w:rsid w:val="007A757A"/>
    <w:rsid w:val="007B040F"/>
    <w:rsid w:val="007B0C90"/>
    <w:rsid w:val="007B1092"/>
    <w:rsid w:val="007B4322"/>
    <w:rsid w:val="007B52BC"/>
    <w:rsid w:val="007B5F49"/>
    <w:rsid w:val="007B65D5"/>
    <w:rsid w:val="007B7892"/>
    <w:rsid w:val="007C39BC"/>
    <w:rsid w:val="007C3F7A"/>
    <w:rsid w:val="007C461C"/>
    <w:rsid w:val="007C73B7"/>
    <w:rsid w:val="007C7C52"/>
    <w:rsid w:val="007D235B"/>
    <w:rsid w:val="007D37CB"/>
    <w:rsid w:val="007D5AC6"/>
    <w:rsid w:val="007D6F85"/>
    <w:rsid w:val="007E00AC"/>
    <w:rsid w:val="007E05B0"/>
    <w:rsid w:val="007E06C2"/>
    <w:rsid w:val="007E3262"/>
    <w:rsid w:val="007F0577"/>
    <w:rsid w:val="007F460B"/>
    <w:rsid w:val="007F4B4D"/>
    <w:rsid w:val="007F5DB8"/>
    <w:rsid w:val="007F6F83"/>
    <w:rsid w:val="007F7483"/>
    <w:rsid w:val="00800295"/>
    <w:rsid w:val="00803A57"/>
    <w:rsid w:val="0080579B"/>
    <w:rsid w:val="00806F83"/>
    <w:rsid w:val="00812D51"/>
    <w:rsid w:val="0081307C"/>
    <w:rsid w:val="0081412B"/>
    <w:rsid w:val="0081630B"/>
    <w:rsid w:val="00816D16"/>
    <w:rsid w:val="008172AF"/>
    <w:rsid w:val="00817AAD"/>
    <w:rsid w:val="0082093F"/>
    <w:rsid w:val="0082739B"/>
    <w:rsid w:val="0082782E"/>
    <w:rsid w:val="00827C5E"/>
    <w:rsid w:val="0083001E"/>
    <w:rsid w:val="00830B36"/>
    <w:rsid w:val="00831820"/>
    <w:rsid w:val="00831B65"/>
    <w:rsid w:val="0083277D"/>
    <w:rsid w:val="0083359A"/>
    <w:rsid w:val="008337BE"/>
    <w:rsid w:val="00833F59"/>
    <w:rsid w:val="00834AAE"/>
    <w:rsid w:val="00835EC4"/>
    <w:rsid w:val="00836C40"/>
    <w:rsid w:val="00837C9F"/>
    <w:rsid w:val="008407D4"/>
    <w:rsid w:val="00843AC8"/>
    <w:rsid w:val="00846DEF"/>
    <w:rsid w:val="00852339"/>
    <w:rsid w:val="008527AB"/>
    <w:rsid w:val="008530F1"/>
    <w:rsid w:val="00853A45"/>
    <w:rsid w:val="00854E4F"/>
    <w:rsid w:val="00855857"/>
    <w:rsid w:val="0085605B"/>
    <w:rsid w:val="00860122"/>
    <w:rsid w:val="0086130A"/>
    <w:rsid w:val="0086230D"/>
    <w:rsid w:val="008624FE"/>
    <w:rsid w:val="008638CB"/>
    <w:rsid w:val="00864628"/>
    <w:rsid w:val="00866A9A"/>
    <w:rsid w:val="00870A68"/>
    <w:rsid w:val="0087219A"/>
    <w:rsid w:val="00874D22"/>
    <w:rsid w:val="00875F94"/>
    <w:rsid w:val="00877EA0"/>
    <w:rsid w:val="0088078B"/>
    <w:rsid w:val="00883AE7"/>
    <w:rsid w:val="008865D0"/>
    <w:rsid w:val="00887A54"/>
    <w:rsid w:val="008904C9"/>
    <w:rsid w:val="00890A4E"/>
    <w:rsid w:val="008942B3"/>
    <w:rsid w:val="00894634"/>
    <w:rsid w:val="00895118"/>
    <w:rsid w:val="008A0BB1"/>
    <w:rsid w:val="008A11A7"/>
    <w:rsid w:val="008A2914"/>
    <w:rsid w:val="008A3FC9"/>
    <w:rsid w:val="008A5B8F"/>
    <w:rsid w:val="008B08B9"/>
    <w:rsid w:val="008B22DC"/>
    <w:rsid w:val="008B26A4"/>
    <w:rsid w:val="008B2FDC"/>
    <w:rsid w:val="008B36C6"/>
    <w:rsid w:val="008B457D"/>
    <w:rsid w:val="008B4C81"/>
    <w:rsid w:val="008B53B5"/>
    <w:rsid w:val="008B6296"/>
    <w:rsid w:val="008B775F"/>
    <w:rsid w:val="008B7B4D"/>
    <w:rsid w:val="008C3293"/>
    <w:rsid w:val="008C4ACF"/>
    <w:rsid w:val="008C4B7F"/>
    <w:rsid w:val="008C6135"/>
    <w:rsid w:val="008C6324"/>
    <w:rsid w:val="008C78A5"/>
    <w:rsid w:val="008D043F"/>
    <w:rsid w:val="008D1583"/>
    <w:rsid w:val="008D1963"/>
    <w:rsid w:val="008D25C6"/>
    <w:rsid w:val="008D5692"/>
    <w:rsid w:val="008D7345"/>
    <w:rsid w:val="008D7E6E"/>
    <w:rsid w:val="008E292E"/>
    <w:rsid w:val="008E2AA1"/>
    <w:rsid w:val="008E3035"/>
    <w:rsid w:val="008E3BD5"/>
    <w:rsid w:val="008E4D8E"/>
    <w:rsid w:val="008E56FC"/>
    <w:rsid w:val="008E69C3"/>
    <w:rsid w:val="008E7F51"/>
    <w:rsid w:val="008F0D10"/>
    <w:rsid w:val="008F149F"/>
    <w:rsid w:val="008F2CDF"/>
    <w:rsid w:val="008F698C"/>
    <w:rsid w:val="008F73F6"/>
    <w:rsid w:val="009001B2"/>
    <w:rsid w:val="00901FFE"/>
    <w:rsid w:val="00904D8A"/>
    <w:rsid w:val="00906B04"/>
    <w:rsid w:val="0091125C"/>
    <w:rsid w:val="0091218C"/>
    <w:rsid w:val="00924763"/>
    <w:rsid w:val="00925495"/>
    <w:rsid w:val="00925A64"/>
    <w:rsid w:val="00926C28"/>
    <w:rsid w:val="00927229"/>
    <w:rsid w:val="00935FC2"/>
    <w:rsid w:val="00936212"/>
    <w:rsid w:val="00942AAE"/>
    <w:rsid w:val="0094301D"/>
    <w:rsid w:val="0094593C"/>
    <w:rsid w:val="00951E15"/>
    <w:rsid w:val="0095232B"/>
    <w:rsid w:val="009542DD"/>
    <w:rsid w:val="00954BE2"/>
    <w:rsid w:val="009563CD"/>
    <w:rsid w:val="009634D1"/>
    <w:rsid w:val="00964BE1"/>
    <w:rsid w:val="00964D27"/>
    <w:rsid w:val="0096778A"/>
    <w:rsid w:val="00967F1D"/>
    <w:rsid w:val="00970817"/>
    <w:rsid w:val="00970C7D"/>
    <w:rsid w:val="00970FDD"/>
    <w:rsid w:val="0097350C"/>
    <w:rsid w:val="00977686"/>
    <w:rsid w:val="009851FD"/>
    <w:rsid w:val="009858D4"/>
    <w:rsid w:val="009861EE"/>
    <w:rsid w:val="00986D85"/>
    <w:rsid w:val="00987277"/>
    <w:rsid w:val="00990634"/>
    <w:rsid w:val="00991330"/>
    <w:rsid w:val="00991595"/>
    <w:rsid w:val="00995AFC"/>
    <w:rsid w:val="00996DBA"/>
    <w:rsid w:val="009978FF"/>
    <w:rsid w:val="009A0BEC"/>
    <w:rsid w:val="009A1631"/>
    <w:rsid w:val="009A22B1"/>
    <w:rsid w:val="009A3ADD"/>
    <w:rsid w:val="009A5D6B"/>
    <w:rsid w:val="009B2309"/>
    <w:rsid w:val="009B2548"/>
    <w:rsid w:val="009B31B7"/>
    <w:rsid w:val="009B34DE"/>
    <w:rsid w:val="009B39C7"/>
    <w:rsid w:val="009B3EA8"/>
    <w:rsid w:val="009B3F2A"/>
    <w:rsid w:val="009B3FA2"/>
    <w:rsid w:val="009B4210"/>
    <w:rsid w:val="009B42BF"/>
    <w:rsid w:val="009B5382"/>
    <w:rsid w:val="009B7829"/>
    <w:rsid w:val="009C5DA0"/>
    <w:rsid w:val="009C6276"/>
    <w:rsid w:val="009C6CB8"/>
    <w:rsid w:val="009D1256"/>
    <w:rsid w:val="009D4F22"/>
    <w:rsid w:val="009D55FF"/>
    <w:rsid w:val="009D64AA"/>
    <w:rsid w:val="009D69E3"/>
    <w:rsid w:val="009D7B89"/>
    <w:rsid w:val="009D7DBA"/>
    <w:rsid w:val="009D7FB9"/>
    <w:rsid w:val="009E0753"/>
    <w:rsid w:val="009E1444"/>
    <w:rsid w:val="009E26C6"/>
    <w:rsid w:val="009E38C5"/>
    <w:rsid w:val="009E4AD6"/>
    <w:rsid w:val="009E4CF1"/>
    <w:rsid w:val="009E5395"/>
    <w:rsid w:val="009F138B"/>
    <w:rsid w:val="009F17B9"/>
    <w:rsid w:val="009F3D23"/>
    <w:rsid w:val="009F3F6A"/>
    <w:rsid w:val="009F43E9"/>
    <w:rsid w:val="009F49D5"/>
    <w:rsid w:val="009F57A8"/>
    <w:rsid w:val="009F6BDC"/>
    <w:rsid w:val="00A01AB5"/>
    <w:rsid w:val="00A04A47"/>
    <w:rsid w:val="00A04E13"/>
    <w:rsid w:val="00A04FEE"/>
    <w:rsid w:val="00A07EEB"/>
    <w:rsid w:val="00A123B1"/>
    <w:rsid w:val="00A12F32"/>
    <w:rsid w:val="00A1697B"/>
    <w:rsid w:val="00A205BF"/>
    <w:rsid w:val="00A21061"/>
    <w:rsid w:val="00A22A6C"/>
    <w:rsid w:val="00A24C06"/>
    <w:rsid w:val="00A25684"/>
    <w:rsid w:val="00A300E5"/>
    <w:rsid w:val="00A31D0E"/>
    <w:rsid w:val="00A322F6"/>
    <w:rsid w:val="00A32B12"/>
    <w:rsid w:val="00A32DC1"/>
    <w:rsid w:val="00A3368A"/>
    <w:rsid w:val="00A40D00"/>
    <w:rsid w:val="00A41AC4"/>
    <w:rsid w:val="00A43FC8"/>
    <w:rsid w:val="00A44A59"/>
    <w:rsid w:val="00A44AE9"/>
    <w:rsid w:val="00A44F9A"/>
    <w:rsid w:val="00A474E6"/>
    <w:rsid w:val="00A53BB2"/>
    <w:rsid w:val="00A5440D"/>
    <w:rsid w:val="00A55B11"/>
    <w:rsid w:val="00A60889"/>
    <w:rsid w:val="00A6209D"/>
    <w:rsid w:val="00A653C2"/>
    <w:rsid w:val="00A65B14"/>
    <w:rsid w:val="00A65EFC"/>
    <w:rsid w:val="00A669F0"/>
    <w:rsid w:val="00A66CFF"/>
    <w:rsid w:val="00A70930"/>
    <w:rsid w:val="00A70C63"/>
    <w:rsid w:val="00A7248B"/>
    <w:rsid w:val="00A75990"/>
    <w:rsid w:val="00A80161"/>
    <w:rsid w:val="00A811A4"/>
    <w:rsid w:val="00A817A6"/>
    <w:rsid w:val="00A81D1F"/>
    <w:rsid w:val="00A81E24"/>
    <w:rsid w:val="00A83334"/>
    <w:rsid w:val="00A84ECF"/>
    <w:rsid w:val="00A93FF8"/>
    <w:rsid w:val="00A96A0B"/>
    <w:rsid w:val="00A97FEE"/>
    <w:rsid w:val="00AA0633"/>
    <w:rsid w:val="00AA06F3"/>
    <w:rsid w:val="00AA070B"/>
    <w:rsid w:val="00AA267E"/>
    <w:rsid w:val="00AA2B6B"/>
    <w:rsid w:val="00AA36C5"/>
    <w:rsid w:val="00AA3D82"/>
    <w:rsid w:val="00AA5E85"/>
    <w:rsid w:val="00AB00EA"/>
    <w:rsid w:val="00AB03DC"/>
    <w:rsid w:val="00AB1284"/>
    <w:rsid w:val="00AB4B3D"/>
    <w:rsid w:val="00AB50E2"/>
    <w:rsid w:val="00AB6D2D"/>
    <w:rsid w:val="00AC05AC"/>
    <w:rsid w:val="00AC146D"/>
    <w:rsid w:val="00AC2587"/>
    <w:rsid w:val="00AC2F3D"/>
    <w:rsid w:val="00AC41AB"/>
    <w:rsid w:val="00AC4F15"/>
    <w:rsid w:val="00AC4F3B"/>
    <w:rsid w:val="00AC59C3"/>
    <w:rsid w:val="00AC60BD"/>
    <w:rsid w:val="00AC7035"/>
    <w:rsid w:val="00AD178C"/>
    <w:rsid w:val="00AD285C"/>
    <w:rsid w:val="00AD3399"/>
    <w:rsid w:val="00AD6763"/>
    <w:rsid w:val="00AD6D4B"/>
    <w:rsid w:val="00AD7A36"/>
    <w:rsid w:val="00AE0F0A"/>
    <w:rsid w:val="00AE1075"/>
    <w:rsid w:val="00AE2244"/>
    <w:rsid w:val="00AE257B"/>
    <w:rsid w:val="00AE299A"/>
    <w:rsid w:val="00AE4319"/>
    <w:rsid w:val="00AE7708"/>
    <w:rsid w:val="00AF084A"/>
    <w:rsid w:val="00AF38C7"/>
    <w:rsid w:val="00AF56E6"/>
    <w:rsid w:val="00AF5E89"/>
    <w:rsid w:val="00AF6463"/>
    <w:rsid w:val="00B0004D"/>
    <w:rsid w:val="00B02A98"/>
    <w:rsid w:val="00B0336F"/>
    <w:rsid w:val="00B0431A"/>
    <w:rsid w:val="00B05343"/>
    <w:rsid w:val="00B0763B"/>
    <w:rsid w:val="00B101F2"/>
    <w:rsid w:val="00B11ECD"/>
    <w:rsid w:val="00B12A6D"/>
    <w:rsid w:val="00B1313F"/>
    <w:rsid w:val="00B14229"/>
    <w:rsid w:val="00B1428E"/>
    <w:rsid w:val="00B1502E"/>
    <w:rsid w:val="00B15165"/>
    <w:rsid w:val="00B17672"/>
    <w:rsid w:val="00B20218"/>
    <w:rsid w:val="00B20BE2"/>
    <w:rsid w:val="00B308FC"/>
    <w:rsid w:val="00B30C53"/>
    <w:rsid w:val="00B3282F"/>
    <w:rsid w:val="00B32DA1"/>
    <w:rsid w:val="00B33A6E"/>
    <w:rsid w:val="00B34018"/>
    <w:rsid w:val="00B34F5C"/>
    <w:rsid w:val="00B420FF"/>
    <w:rsid w:val="00B42A17"/>
    <w:rsid w:val="00B43AB7"/>
    <w:rsid w:val="00B45477"/>
    <w:rsid w:val="00B46AAF"/>
    <w:rsid w:val="00B50E71"/>
    <w:rsid w:val="00B53297"/>
    <w:rsid w:val="00B54671"/>
    <w:rsid w:val="00B626F5"/>
    <w:rsid w:val="00B628B7"/>
    <w:rsid w:val="00B631C0"/>
    <w:rsid w:val="00B638A8"/>
    <w:rsid w:val="00B64177"/>
    <w:rsid w:val="00B6777E"/>
    <w:rsid w:val="00B67943"/>
    <w:rsid w:val="00B73476"/>
    <w:rsid w:val="00B741A6"/>
    <w:rsid w:val="00B7491B"/>
    <w:rsid w:val="00B76CB9"/>
    <w:rsid w:val="00B76D5D"/>
    <w:rsid w:val="00B814F4"/>
    <w:rsid w:val="00B85F8F"/>
    <w:rsid w:val="00B87031"/>
    <w:rsid w:val="00B9021B"/>
    <w:rsid w:val="00B91B16"/>
    <w:rsid w:val="00B9238C"/>
    <w:rsid w:val="00B92700"/>
    <w:rsid w:val="00B94AFA"/>
    <w:rsid w:val="00B94E4B"/>
    <w:rsid w:val="00B966BB"/>
    <w:rsid w:val="00B96BE2"/>
    <w:rsid w:val="00B97569"/>
    <w:rsid w:val="00BA0D94"/>
    <w:rsid w:val="00BA14B3"/>
    <w:rsid w:val="00BA4BAE"/>
    <w:rsid w:val="00BA6290"/>
    <w:rsid w:val="00BA6D3B"/>
    <w:rsid w:val="00BA6DDD"/>
    <w:rsid w:val="00BB1BF5"/>
    <w:rsid w:val="00BB5DBE"/>
    <w:rsid w:val="00BB7E9E"/>
    <w:rsid w:val="00BC0A8C"/>
    <w:rsid w:val="00BC326C"/>
    <w:rsid w:val="00BC48C2"/>
    <w:rsid w:val="00BC495D"/>
    <w:rsid w:val="00BD051B"/>
    <w:rsid w:val="00BD1509"/>
    <w:rsid w:val="00BE0825"/>
    <w:rsid w:val="00BE10DA"/>
    <w:rsid w:val="00BE39C1"/>
    <w:rsid w:val="00BE7671"/>
    <w:rsid w:val="00BE7D99"/>
    <w:rsid w:val="00BF0BC5"/>
    <w:rsid w:val="00BF40D2"/>
    <w:rsid w:val="00BF5CF3"/>
    <w:rsid w:val="00C00411"/>
    <w:rsid w:val="00C00ADC"/>
    <w:rsid w:val="00C01FAD"/>
    <w:rsid w:val="00C026EB"/>
    <w:rsid w:val="00C02F5F"/>
    <w:rsid w:val="00C0350A"/>
    <w:rsid w:val="00C038F7"/>
    <w:rsid w:val="00C053D3"/>
    <w:rsid w:val="00C05C91"/>
    <w:rsid w:val="00C07CE4"/>
    <w:rsid w:val="00C12301"/>
    <w:rsid w:val="00C12B06"/>
    <w:rsid w:val="00C141A5"/>
    <w:rsid w:val="00C14509"/>
    <w:rsid w:val="00C16599"/>
    <w:rsid w:val="00C203FB"/>
    <w:rsid w:val="00C204F0"/>
    <w:rsid w:val="00C24A70"/>
    <w:rsid w:val="00C27647"/>
    <w:rsid w:val="00C31FFA"/>
    <w:rsid w:val="00C321CC"/>
    <w:rsid w:val="00C33312"/>
    <w:rsid w:val="00C34B10"/>
    <w:rsid w:val="00C3543F"/>
    <w:rsid w:val="00C4205D"/>
    <w:rsid w:val="00C4218F"/>
    <w:rsid w:val="00C43CF0"/>
    <w:rsid w:val="00C44C40"/>
    <w:rsid w:val="00C44E32"/>
    <w:rsid w:val="00C469F2"/>
    <w:rsid w:val="00C53244"/>
    <w:rsid w:val="00C54F2D"/>
    <w:rsid w:val="00C54FD2"/>
    <w:rsid w:val="00C563A3"/>
    <w:rsid w:val="00C56B70"/>
    <w:rsid w:val="00C60199"/>
    <w:rsid w:val="00C64C3A"/>
    <w:rsid w:val="00C67FF7"/>
    <w:rsid w:val="00C70D94"/>
    <w:rsid w:val="00C717FB"/>
    <w:rsid w:val="00C7212E"/>
    <w:rsid w:val="00C72194"/>
    <w:rsid w:val="00C72565"/>
    <w:rsid w:val="00C730E9"/>
    <w:rsid w:val="00C73C30"/>
    <w:rsid w:val="00C73C7E"/>
    <w:rsid w:val="00C80F48"/>
    <w:rsid w:val="00C85CD2"/>
    <w:rsid w:val="00C95370"/>
    <w:rsid w:val="00C953BD"/>
    <w:rsid w:val="00C95853"/>
    <w:rsid w:val="00C95E72"/>
    <w:rsid w:val="00CA0BCD"/>
    <w:rsid w:val="00CA28C0"/>
    <w:rsid w:val="00CA473A"/>
    <w:rsid w:val="00CA566D"/>
    <w:rsid w:val="00CA5E54"/>
    <w:rsid w:val="00CB1303"/>
    <w:rsid w:val="00CB37C6"/>
    <w:rsid w:val="00CB58A8"/>
    <w:rsid w:val="00CB7984"/>
    <w:rsid w:val="00CC2A10"/>
    <w:rsid w:val="00CC453D"/>
    <w:rsid w:val="00CC55F1"/>
    <w:rsid w:val="00CC5D0F"/>
    <w:rsid w:val="00CD17EF"/>
    <w:rsid w:val="00CD1912"/>
    <w:rsid w:val="00CD1A9B"/>
    <w:rsid w:val="00CD6825"/>
    <w:rsid w:val="00CE2642"/>
    <w:rsid w:val="00CE2A43"/>
    <w:rsid w:val="00CE3052"/>
    <w:rsid w:val="00CE3A0D"/>
    <w:rsid w:val="00CE3D2C"/>
    <w:rsid w:val="00CE65F9"/>
    <w:rsid w:val="00CE6ED8"/>
    <w:rsid w:val="00CE76D2"/>
    <w:rsid w:val="00CF270E"/>
    <w:rsid w:val="00CF2CB8"/>
    <w:rsid w:val="00CF42A1"/>
    <w:rsid w:val="00CF6601"/>
    <w:rsid w:val="00CF7ED8"/>
    <w:rsid w:val="00D036FB"/>
    <w:rsid w:val="00D057E7"/>
    <w:rsid w:val="00D06D40"/>
    <w:rsid w:val="00D06F25"/>
    <w:rsid w:val="00D072D7"/>
    <w:rsid w:val="00D101B9"/>
    <w:rsid w:val="00D10DB7"/>
    <w:rsid w:val="00D1209E"/>
    <w:rsid w:val="00D142E2"/>
    <w:rsid w:val="00D15DFB"/>
    <w:rsid w:val="00D17770"/>
    <w:rsid w:val="00D20381"/>
    <w:rsid w:val="00D21C9C"/>
    <w:rsid w:val="00D23A11"/>
    <w:rsid w:val="00D30FF4"/>
    <w:rsid w:val="00D310F0"/>
    <w:rsid w:val="00D336BD"/>
    <w:rsid w:val="00D46DEA"/>
    <w:rsid w:val="00D510F3"/>
    <w:rsid w:val="00D51175"/>
    <w:rsid w:val="00D5248C"/>
    <w:rsid w:val="00D534C1"/>
    <w:rsid w:val="00D53A8B"/>
    <w:rsid w:val="00D54C98"/>
    <w:rsid w:val="00D60259"/>
    <w:rsid w:val="00D604D3"/>
    <w:rsid w:val="00D61178"/>
    <w:rsid w:val="00D62586"/>
    <w:rsid w:val="00D62A8D"/>
    <w:rsid w:val="00D630CF"/>
    <w:rsid w:val="00D64AA7"/>
    <w:rsid w:val="00D663B0"/>
    <w:rsid w:val="00D71A95"/>
    <w:rsid w:val="00D73D43"/>
    <w:rsid w:val="00D7409A"/>
    <w:rsid w:val="00D76CD6"/>
    <w:rsid w:val="00D77328"/>
    <w:rsid w:val="00D77EC7"/>
    <w:rsid w:val="00D81259"/>
    <w:rsid w:val="00D834FA"/>
    <w:rsid w:val="00D8475F"/>
    <w:rsid w:val="00D86158"/>
    <w:rsid w:val="00D867CC"/>
    <w:rsid w:val="00D8714F"/>
    <w:rsid w:val="00D879B5"/>
    <w:rsid w:val="00D90496"/>
    <w:rsid w:val="00D90AD2"/>
    <w:rsid w:val="00D91685"/>
    <w:rsid w:val="00D930EA"/>
    <w:rsid w:val="00D9402B"/>
    <w:rsid w:val="00D97269"/>
    <w:rsid w:val="00D97A47"/>
    <w:rsid w:val="00DA543F"/>
    <w:rsid w:val="00DA637D"/>
    <w:rsid w:val="00DB54CB"/>
    <w:rsid w:val="00DB64AF"/>
    <w:rsid w:val="00DB6995"/>
    <w:rsid w:val="00DC0FCE"/>
    <w:rsid w:val="00DC13C2"/>
    <w:rsid w:val="00DC2D6C"/>
    <w:rsid w:val="00DC41AF"/>
    <w:rsid w:val="00DC46FC"/>
    <w:rsid w:val="00DC46FD"/>
    <w:rsid w:val="00DC77FB"/>
    <w:rsid w:val="00DD150D"/>
    <w:rsid w:val="00DD1534"/>
    <w:rsid w:val="00DD1D5D"/>
    <w:rsid w:val="00DD2BE3"/>
    <w:rsid w:val="00DD433C"/>
    <w:rsid w:val="00DD6223"/>
    <w:rsid w:val="00DD7669"/>
    <w:rsid w:val="00DD76B9"/>
    <w:rsid w:val="00DE046F"/>
    <w:rsid w:val="00DE0BEE"/>
    <w:rsid w:val="00DE3999"/>
    <w:rsid w:val="00DE4CBA"/>
    <w:rsid w:val="00DE4D8A"/>
    <w:rsid w:val="00DE7D24"/>
    <w:rsid w:val="00DF089D"/>
    <w:rsid w:val="00DF09DD"/>
    <w:rsid w:val="00DF26C9"/>
    <w:rsid w:val="00DF4345"/>
    <w:rsid w:val="00DF6CFC"/>
    <w:rsid w:val="00DF746F"/>
    <w:rsid w:val="00DF7547"/>
    <w:rsid w:val="00E00F06"/>
    <w:rsid w:val="00E04869"/>
    <w:rsid w:val="00E058F4"/>
    <w:rsid w:val="00E12DA1"/>
    <w:rsid w:val="00E14211"/>
    <w:rsid w:val="00E1719F"/>
    <w:rsid w:val="00E17C7A"/>
    <w:rsid w:val="00E2295D"/>
    <w:rsid w:val="00E232FA"/>
    <w:rsid w:val="00E24731"/>
    <w:rsid w:val="00E254F3"/>
    <w:rsid w:val="00E316A7"/>
    <w:rsid w:val="00E31BEA"/>
    <w:rsid w:val="00E31D1B"/>
    <w:rsid w:val="00E37963"/>
    <w:rsid w:val="00E42808"/>
    <w:rsid w:val="00E42BC3"/>
    <w:rsid w:val="00E43F7E"/>
    <w:rsid w:val="00E45980"/>
    <w:rsid w:val="00E469DB"/>
    <w:rsid w:val="00E46DE9"/>
    <w:rsid w:val="00E505E3"/>
    <w:rsid w:val="00E5148F"/>
    <w:rsid w:val="00E51D16"/>
    <w:rsid w:val="00E526A1"/>
    <w:rsid w:val="00E537C0"/>
    <w:rsid w:val="00E5394A"/>
    <w:rsid w:val="00E55EFF"/>
    <w:rsid w:val="00E562C1"/>
    <w:rsid w:val="00E60D48"/>
    <w:rsid w:val="00E60D9E"/>
    <w:rsid w:val="00E61201"/>
    <w:rsid w:val="00E6471C"/>
    <w:rsid w:val="00E65042"/>
    <w:rsid w:val="00E65356"/>
    <w:rsid w:val="00E65461"/>
    <w:rsid w:val="00E65BF6"/>
    <w:rsid w:val="00E66FBE"/>
    <w:rsid w:val="00E74332"/>
    <w:rsid w:val="00E76570"/>
    <w:rsid w:val="00E772C6"/>
    <w:rsid w:val="00E825DB"/>
    <w:rsid w:val="00E83A36"/>
    <w:rsid w:val="00E84396"/>
    <w:rsid w:val="00E90610"/>
    <w:rsid w:val="00E90B3E"/>
    <w:rsid w:val="00E90F45"/>
    <w:rsid w:val="00E9159B"/>
    <w:rsid w:val="00E91782"/>
    <w:rsid w:val="00E91B68"/>
    <w:rsid w:val="00E9460F"/>
    <w:rsid w:val="00E94B22"/>
    <w:rsid w:val="00E959DF"/>
    <w:rsid w:val="00E97AB0"/>
    <w:rsid w:val="00EA02CF"/>
    <w:rsid w:val="00EA497B"/>
    <w:rsid w:val="00EA6BFD"/>
    <w:rsid w:val="00EB2C9A"/>
    <w:rsid w:val="00EB50E6"/>
    <w:rsid w:val="00EB6306"/>
    <w:rsid w:val="00EB7236"/>
    <w:rsid w:val="00EB7D0B"/>
    <w:rsid w:val="00EC2DAD"/>
    <w:rsid w:val="00EC49A8"/>
    <w:rsid w:val="00EC4CA3"/>
    <w:rsid w:val="00EC5752"/>
    <w:rsid w:val="00EC5879"/>
    <w:rsid w:val="00EC6872"/>
    <w:rsid w:val="00EC71DC"/>
    <w:rsid w:val="00ED1285"/>
    <w:rsid w:val="00ED1D61"/>
    <w:rsid w:val="00ED3C75"/>
    <w:rsid w:val="00ED3E93"/>
    <w:rsid w:val="00ED5998"/>
    <w:rsid w:val="00EE008D"/>
    <w:rsid w:val="00EE1370"/>
    <w:rsid w:val="00EE7513"/>
    <w:rsid w:val="00EF0195"/>
    <w:rsid w:val="00EF04F7"/>
    <w:rsid w:val="00EF0DCE"/>
    <w:rsid w:val="00EF14B3"/>
    <w:rsid w:val="00EF1AA7"/>
    <w:rsid w:val="00EF22B9"/>
    <w:rsid w:val="00EF270C"/>
    <w:rsid w:val="00EF74E3"/>
    <w:rsid w:val="00EF78C9"/>
    <w:rsid w:val="00F010DF"/>
    <w:rsid w:val="00F03E21"/>
    <w:rsid w:val="00F064C5"/>
    <w:rsid w:val="00F06FC5"/>
    <w:rsid w:val="00F0757C"/>
    <w:rsid w:val="00F0757D"/>
    <w:rsid w:val="00F1176E"/>
    <w:rsid w:val="00F11CC6"/>
    <w:rsid w:val="00F11F24"/>
    <w:rsid w:val="00F123DF"/>
    <w:rsid w:val="00F1415C"/>
    <w:rsid w:val="00F14D23"/>
    <w:rsid w:val="00F17D23"/>
    <w:rsid w:val="00F20F4C"/>
    <w:rsid w:val="00F21F0F"/>
    <w:rsid w:val="00F21FB3"/>
    <w:rsid w:val="00F270BE"/>
    <w:rsid w:val="00F27425"/>
    <w:rsid w:val="00F3021D"/>
    <w:rsid w:val="00F33815"/>
    <w:rsid w:val="00F33A24"/>
    <w:rsid w:val="00F4111D"/>
    <w:rsid w:val="00F454BB"/>
    <w:rsid w:val="00F460E3"/>
    <w:rsid w:val="00F47F87"/>
    <w:rsid w:val="00F52066"/>
    <w:rsid w:val="00F55670"/>
    <w:rsid w:val="00F60489"/>
    <w:rsid w:val="00F60551"/>
    <w:rsid w:val="00F61456"/>
    <w:rsid w:val="00F63FBF"/>
    <w:rsid w:val="00F6469E"/>
    <w:rsid w:val="00F66BD5"/>
    <w:rsid w:val="00F66D5A"/>
    <w:rsid w:val="00F70047"/>
    <w:rsid w:val="00F70411"/>
    <w:rsid w:val="00F704CF"/>
    <w:rsid w:val="00F70D89"/>
    <w:rsid w:val="00F71C29"/>
    <w:rsid w:val="00F76B2B"/>
    <w:rsid w:val="00F76FD5"/>
    <w:rsid w:val="00F81D0E"/>
    <w:rsid w:val="00F85402"/>
    <w:rsid w:val="00F85A14"/>
    <w:rsid w:val="00F86DB7"/>
    <w:rsid w:val="00F91BA7"/>
    <w:rsid w:val="00F94D1C"/>
    <w:rsid w:val="00F962E4"/>
    <w:rsid w:val="00F96CD4"/>
    <w:rsid w:val="00FA081B"/>
    <w:rsid w:val="00FA0CFE"/>
    <w:rsid w:val="00FA112A"/>
    <w:rsid w:val="00FA3A6F"/>
    <w:rsid w:val="00FB1249"/>
    <w:rsid w:val="00FB3594"/>
    <w:rsid w:val="00FB41C5"/>
    <w:rsid w:val="00FC04E9"/>
    <w:rsid w:val="00FC072E"/>
    <w:rsid w:val="00FC1640"/>
    <w:rsid w:val="00FC1E78"/>
    <w:rsid w:val="00FC2660"/>
    <w:rsid w:val="00FC38F8"/>
    <w:rsid w:val="00FC3E22"/>
    <w:rsid w:val="00FC67D0"/>
    <w:rsid w:val="00FD067D"/>
    <w:rsid w:val="00FD529E"/>
    <w:rsid w:val="00FD60E4"/>
    <w:rsid w:val="00FD6AA6"/>
    <w:rsid w:val="00FD6DB2"/>
    <w:rsid w:val="00FD70DF"/>
    <w:rsid w:val="00FE1EB5"/>
    <w:rsid w:val="00FE5807"/>
    <w:rsid w:val="00FE5A19"/>
    <w:rsid w:val="00FE5B77"/>
    <w:rsid w:val="00FE782F"/>
    <w:rsid w:val="00FF2ADD"/>
    <w:rsid w:val="00FF2ECA"/>
    <w:rsid w:val="00FF3A58"/>
    <w:rsid w:val="00FF3ECE"/>
    <w:rsid w:val="00FF4DBB"/>
    <w:rsid w:val="00FF6088"/>
    <w:rsid w:val="00FF74FB"/>
    <w:rsid w:val="01A669E4"/>
    <w:rsid w:val="03869018"/>
    <w:rsid w:val="0413F239"/>
    <w:rsid w:val="119954EC"/>
    <w:rsid w:val="16DA4A3F"/>
    <w:rsid w:val="2082E1CB"/>
    <w:rsid w:val="2A1F2EDE"/>
    <w:rsid w:val="2DD2D3EA"/>
    <w:rsid w:val="34A43E4B"/>
    <w:rsid w:val="3E49DBEE"/>
    <w:rsid w:val="477A6A39"/>
    <w:rsid w:val="48A11321"/>
    <w:rsid w:val="4CD307BA"/>
    <w:rsid w:val="4EEBBF66"/>
    <w:rsid w:val="4F16F45F"/>
    <w:rsid w:val="519BA481"/>
    <w:rsid w:val="578688D5"/>
    <w:rsid w:val="5CB8C0B1"/>
    <w:rsid w:val="5EFE5692"/>
    <w:rsid w:val="611F3BF7"/>
    <w:rsid w:val="63DDE974"/>
    <w:rsid w:val="69F51724"/>
    <w:rsid w:val="6CF30F3A"/>
    <w:rsid w:val="6F522964"/>
    <w:rsid w:val="7A1A66E6"/>
    <w:rsid w:val="7C9F80FF"/>
    <w:rsid w:val="7EF0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4E51E6"/>
  <w15:docId w15:val="{D87F61DC-BA5A-410F-9181-5A2E1A2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412E11"/>
    <w:pPr>
      <w:numPr>
        <w:numId w:val="2"/>
      </w:numPr>
      <w:tabs>
        <w:tab w:val="num" w:pos="360"/>
      </w:tabs>
      <w:ind w:left="0" w:firstLine="0"/>
    </w:pPr>
    <w:rPr>
      <w:rFonts w:eastAsia="Times New Roman"/>
      <w:lang w:eastAsia="de-DE"/>
    </w:rPr>
  </w:style>
  <w:style w:type="paragraph" w:styleId="ListNumber">
    <w:name w:val="List Number"/>
    <w:basedOn w:val="Normal"/>
    <w:rsid w:val="00412E11"/>
    <w:pPr>
      <w:numPr>
        <w:numId w:val="6"/>
      </w:numPr>
    </w:pPr>
    <w:rPr>
      <w:rFonts w:eastAsia="Times New Roman"/>
      <w:lang w:eastAsia="de-DE"/>
    </w:rPr>
  </w:style>
  <w:style w:type="paragraph" w:customStyle="1" w:styleId="ListBullet1">
    <w:name w:val="List Bullet 1"/>
    <w:basedOn w:val="Normal"/>
    <w:rsid w:val="00412E11"/>
    <w:pPr>
      <w:numPr>
        <w:numId w:val="1"/>
      </w:numPr>
    </w:pPr>
    <w:rPr>
      <w:rFonts w:eastAsia="Times New Roman"/>
      <w:lang w:eastAsia="de-DE"/>
    </w:rPr>
  </w:style>
  <w:style w:type="paragraph" w:customStyle="1" w:styleId="ListDash">
    <w:name w:val="List Dash"/>
    <w:basedOn w:val="Normal"/>
    <w:rsid w:val="00412E11"/>
    <w:pPr>
      <w:numPr>
        <w:numId w:val="3"/>
      </w:numPr>
    </w:pPr>
    <w:rPr>
      <w:rFonts w:eastAsia="Times New Roman"/>
      <w:lang w:eastAsia="de-DE"/>
    </w:rPr>
  </w:style>
  <w:style w:type="paragraph" w:customStyle="1" w:styleId="ListDash1">
    <w:name w:val="List Dash 1"/>
    <w:basedOn w:val="Normal"/>
    <w:rsid w:val="00412E11"/>
    <w:pPr>
      <w:numPr>
        <w:numId w:val="4"/>
      </w:numPr>
    </w:pPr>
    <w:rPr>
      <w:rFonts w:eastAsia="Times New Roman"/>
      <w:lang w:eastAsia="de-DE"/>
    </w:rPr>
  </w:style>
  <w:style w:type="paragraph" w:customStyle="1" w:styleId="ListDash2">
    <w:name w:val="List Dash 2"/>
    <w:basedOn w:val="Normal"/>
    <w:rsid w:val="00412E11"/>
    <w:pPr>
      <w:numPr>
        <w:numId w:val="5"/>
      </w:numPr>
    </w:pPr>
    <w:rPr>
      <w:rFonts w:eastAsia="Times New Roman"/>
      <w:lang w:eastAsia="de-DE"/>
    </w:rPr>
  </w:style>
  <w:style w:type="paragraph" w:customStyle="1" w:styleId="ListNumberLevel2">
    <w:name w:val="List Number (Level 2)"/>
    <w:basedOn w:val="Normal"/>
    <w:rsid w:val="00412E11"/>
    <w:pPr>
      <w:numPr>
        <w:ilvl w:val="1"/>
        <w:numId w:val="6"/>
      </w:numPr>
    </w:pPr>
    <w:rPr>
      <w:rFonts w:eastAsia="Times New Roman"/>
      <w:lang w:eastAsia="de-DE"/>
    </w:rPr>
  </w:style>
  <w:style w:type="paragraph" w:customStyle="1" w:styleId="ListNumberLevel3">
    <w:name w:val="List Number (Level 3)"/>
    <w:basedOn w:val="Normal"/>
    <w:rsid w:val="00412E11"/>
    <w:pPr>
      <w:numPr>
        <w:ilvl w:val="2"/>
        <w:numId w:val="6"/>
      </w:numPr>
    </w:pPr>
    <w:rPr>
      <w:rFonts w:eastAsia="Times New Roman"/>
      <w:lang w:eastAsia="de-DE"/>
    </w:rPr>
  </w:style>
  <w:style w:type="paragraph" w:customStyle="1" w:styleId="ListNumberLevel4">
    <w:name w:val="List Number (Level 4)"/>
    <w:basedOn w:val="Normal"/>
    <w:rsid w:val="00412E11"/>
    <w:pPr>
      <w:numPr>
        <w:ilvl w:val="3"/>
        <w:numId w:val="6"/>
      </w:numPr>
    </w:pPr>
    <w:rPr>
      <w:rFonts w:eastAsia="Times New Roman"/>
      <w:lang w:eastAsia="de-DE"/>
    </w:rPr>
  </w:style>
  <w:style w:type="table" w:styleId="TableGrid">
    <w:name w:val="Table Grid"/>
    <w:basedOn w:val="TableNormal"/>
    <w:rsid w:val="00412E11"/>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2E11"/>
    <w:rPr>
      <w:color w:val="0000FF"/>
      <w:u w:val="single"/>
    </w:rPr>
  </w:style>
  <w:style w:type="paragraph" w:styleId="ListBullet">
    <w:name w:val="List Bullet"/>
    <w:basedOn w:val="Normal"/>
    <w:rsid w:val="00412E11"/>
    <w:pPr>
      <w:numPr>
        <w:numId w:val="7"/>
      </w:numPr>
    </w:pPr>
    <w:rPr>
      <w:rFonts w:eastAsia="Times New Roman"/>
      <w:lang w:eastAsia="en-GB"/>
    </w:rPr>
  </w:style>
  <w:style w:type="paragraph" w:styleId="ListBullet2">
    <w:name w:val="List Bullet 2"/>
    <w:basedOn w:val="Normal"/>
    <w:rsid w:val="00412E11"/>
    <w:pPr>
      <w:numPr>
        <w:numId w:val="8"/>
      </w:numPr>
    </w:pPr>
    <w:rPr>
      <w:rFonts w:eastAsia="Times New Roman"/>
      <w:lang w:eastAsia="en-GB"/>
    </w:rPr>
  </w:style>
  <w:style w:type="paragraph" w:styleId="ListBullet3">
    <w:name w:val="List Bullet 3"/>
    <w:basedOn w:val="Normal"/>
    <w:rsid w:val="00412E11"/>
    <w:pPr>
      <w:numPr>
        <w:numId w:val="9"/>
      </w:numPr>
    </w:pPr>
    <w:rPr>
      <w:rFonts w:eastAsia="Times New Roman"/>
      <w:lang w:eastAsia="en-GB"/>
    </w:rPr>
  </w:style>
  <w:style w:type="paragraph" w:styleId="ListNumber2">
    <w:name w:val="List Number 2"/>
    <w:basedOn w:val="Normal"/>
    <w:rsid w:val="00412E11"/>
    <w:pPr>
      <w:numPr>
        <w:numId w:val="13"/>
      </w:numPr>
    </w:pPr>
    <w:rPr>
      <w:rFonts w:eastAsia="Times New Roman"/>
      <w:lang w:eastAsia="en-GB"/>
    </w:rPr>
  </w:style>
  <w:style w:type="paragraph" w:styleId="ListNumber3">
    <w:name w:val="List Number 3"/>
    <w:basedOn w:val="Normal"/>
    <w:rsid w:val="00412E11"/>
    <w:pPr>
      <w:numPr>
        <w:numId w:val="14"/>
      </w:numPr>
    </w:pPr>
    <w:rPr>
      <w:rFonts w:eastAsia="Times New Roman"/>
      <w:lang w:eastAsia="en-GB"/>
    </w:rPr>
  </w:style>
  <w:style w:type="paragraph" w:styleId="ListNumber4">
    <w:name w:val="List Number 4"/>
    <w:basedOn w:val="Normal"/>
    <w:rsid w:val="00412E11"/>
    <w:pPr>
      <w:numPr>
        <w:numId w:val="15"/>
      </w:numPr>
    </w:pPr>
    <w:rPr>
      <w:rFonts w:eastAsia="Times New Roman"/>
      <w:lang w:eastAsia="en-GB"/>
    </w:rPr>
  </w:style>
  <w:style w:type="paragraph" w:customStyle="1" w:styleId="ListDash3">
    <w:name w:val="List Dash 3"/>
    <w:basedOn w:val="Normal"/>
    <w:rsid w:val="00412E11"/>
    <w:pPr>
      <w:numPr>
        <w:numId w:val="10"/>
      </w:numPr>
    </w:pPr>
    <w:rPr>
      <w:rFonts w:eastAsia="Times New Roman"/>
      <w:lang w:eastAsia="en-GB"/>
    </w:rPr>
  </w:style>
  <w:style w:type="paragraph" w:customStyle="1" w:styleId="ListDash4">
    <w:name w:val="List Dash 4"/>
    <w:basedOn w:val="Normal"/>
    <w:rsid w:val="00412E11"/>
    <w:pPr>
      <w:numPr>
        <w:numId w:val="11"/>
      </w:numPr>
    </w:pPr>
    <w:rPr>
      <w:rFonts w:eastAsia="Times New Roman"/>
      <w:lang w:eastAsia="en-GB"/>
    </w:rPr>
  </w:style>
  <w:style w:type="paragraph" w:customStyle="1" w:styleId="ListNumber1">
    <w:name w:val="List Number 1"/>
    <w:basedOn w:val="Text1"/>
    <w:rsid w:val="00412E11"/>
    <w:pPr>
      <w:numPr>
        <w:numId w:val="12"/>
      </w:numPr>
    </w:pPr>
    <w:rPr>
      <w:rFonts w:eastAsia="Times New Roman"/>
      <w:lang w:eastAsia="en-GB"/>
    </w:rPr>
  </w:style>
  <w:style w:type="paragraph" w:customStyle="1" w:styleId="ListNumber1Level2">
    <w:name w:val="List Number 1 (Level 2)"/>
    <w:basedOn w:val="Text1"/>
    <w:rsid w:val="00412E11"/>
    <w:pPr>
      <w:numPr>
        <w:ilvl w:val="1"/>
        <w:numId w:val="12"/>
      </w:numPr>
    </w:pPr>
    <w:rPr>
      <w:rFonts w:eastAsia="Times New Roman"/>
      <w:lang w:eastAsia="en-GB"/>
    </w:rPr>
  </w:style>
  <w:style w:type="paragraph" w:customStyle="1" w:styleId="ListNumber2Level2">
    <w:name w:val="List Number 2 (Level 2)"/>
    <w:basedOn w:val="Text2"/>
    <w:rsid w:val="00412E11"/>
    <w:pPr>
      <w:numPr>
        <w:ilvl w:val="1"/>
        <w:numId w:val="13"/>
      </w:numPr>
    </w:pPr>
    <w:rPr>
      <w:rFonts w:eastAsia="Times New Roman"/>
      <w:lang w:eastAsia="en-GB"/>
    </w:rPr>
  </w:style>
  <w:style w:type="paragraph" w:customStyle="1" w:styleId="ListNumber3Level2">
    <w:name w:val="List Number 3 (Level 2)"/>
    <w:basedOn w:val="Text3"/>
    <w:rsid w:val="00412E11"/>
    <w:pPr>
      <w:numPr>
        <w:ilvl w:val="1"/>
        <w:numId w:val="14"/>
      </w:numPr>
    </w:pPr>
    <w:rPr>
      <w:rFonts w:eastAsia="Times New Roman"/>
      <w:lang w:eastAsia="en-GB"/>
    </w:rPr>
  </w:style>
  <w:style w:type="paragraph" w:customStyle="1" w:styleId="ListNumber4Level2">
    <w:name w:val="List Number 4 (Level 2)"/>
    <w:basedOn w:val="Text4"/>
    <w:rsid w:val="00412E11"/>
    <w:pPr>
      <w:numPr>
        <w:ilvl w:val="1"/>
        <w:numId w:val="15"/>
      </w:numPr>
    </w:pPr>
    <w:rPr>
      <w:rFonts w:eastAsia="Times New Roman"/>
      <w:lang w:eastAsia="en-GB"/>
    </w:rPr>
  </w:style>
  <w:style w:type="paragraph" w:customStyle="1" w:styleId="ListNumber1Level3">
    <w:name w:val="List Number 1 (Level 3)"/>
    <w:basedOn w:val="Text1"/>
    <w:rsid w:val="00412E11"/>
    <w:pPr>
      <w:numPr>
        <w:ilvl w:val="2"/>
        <w:numId w:val="12"/>
      </w:numPr>
    </w:pPr>
    <w:rPr>
      <w:rFonts w:eastAsia="Times New Roman"/>
      <w:lang w:eastAsia="en-GB"/>
    </w:rPr>
  </w:style>
  <w:style w:type="paragraph" w:customStyle="1" w:styleId="ListNumber2Level3">
    <w:name w:val="List Number 2 (Level 3)"/>
    <w:basedOn w:val="Text2"/>
    <w:rsid w:val="00412E11"/>
    <w:pPr>
      <w:numPr>
        <w:ilvl w:val="2"/>
        <w:numId w:val="13"/>
      </w:numPr>
    </w:pPr>
    <w:rPr>
      <w:rFonts w:eastAsia="Times New Roman"/>
      <w:lang w:eastAsia="en-GB"/>
    </w:rPr>
  </w:style>
  <w:style w:type="paragraph" w:customStyle="1" w:styleId="ListNumber3Level3">
    <w:name w:val="List Number 3 (Level 3)"/>
    <w:basedOn w:val="Text3"/>
    <w:rsid w:val="00412E11"/>
    <w:pPr>
      <w:numPr>
        <w:ilvl w:val="2"/>
        <w:numId w:val="14"/>
      </w:numPr>
    </w:pPr>
    <w:rPr>
      <w:rFonts w:eastAsia="Times New Roman"/>
      <w:lang w:eastAsia="en-GB"/>
    </w:rPr>
  </w:style>
  <w:style w:type="paragraph" w:customStyle="1" w:styleId="ListNumber4Level3">
    <w:name w:val="List Number 4 (Level 3)"/>
    <w:basedOn w:val="Text4"/>
    <w:rsid w:val="00412E11"/>
    <w:pPr>
      <w:numPr>
        <w:ilvl w:val="2"/>
        <w:numId w:val="15"/>
      </w:numPr>
    </w:pPr>
    <w:rPr>
      <w:rFonts w:eastAsia="Times New Roman"/>
      <w:lang w:eastAsia="en-GB"/>
    </w:rPr>
  </w:style>
  <w:style w:type="paragraph" w:customStyle="1" w:styleId="ListNumber1Level4">
    <w:name w:val="List Number 1 (Level 4)"/>
    <w:basedOn w:val="Text1"/>
    <w:rsid w:val="00412E11"/>
    <w:pPr>
      <w:numPr>
        <w:ilvl w:val="3"/>
        <w:numId w:val="12"/>
      </w:numPr>
    </w:pPr>
    <w:rPr>
      <w:rFonts w:eastAsia="Times New Roman"/>
      <w:lang w:eastAsia="en-GB"/>
    </w:rPr>
  </w:style>
  <w:style w:type="paragraph" w:customStyle="1" w:styleId="ListNumber2Level4">
    <w:name w:val="List Number 2 (Level 4)"/>
    <w:basedOn w:val="Text2"/>
    <w:rsid w:val="00412E11"/>
    <w:pPr>
      <w:numPr>
        <w:ilvl w:val="3"/>
        <w:numId w:val="13"/>
      </w:numPr>
    </w:pPr>
    <w:rPr>
      <w:rFonts w:eastAsia="Times New Roman"/>
      <w:lang w:eastAsia="en-GB"/>
    </w:rPr>
  </w:style>
  <w:style w:type="paragraph" w:customStyle="1" w:styleId="ListNumber3Level4">
    <w:name w:val="List Number 3 (Level 4)"/>
    <w:basedOn w:val="Text3"/>
    <w:rsid w:val="00412E11"/>
    <w:pPr>
      <w:numPr>
        <w:ilvl w:val="3"/>
        <w:numId w:val="14"/>
      </w:numPr>
    </w:pPr>
    <w:rPr>
      <w:rFonts w:eastAsia="Times New Roman"/>
      <w:lang w:eastAsia="en-GB"/>
    </w:rPr>
  </w:style>
  <w:style w:type="paragraph" w:customStyle="1" w:styleId="ListNumber4Level4">
    <w:name w:val="List Number 4 (Level 4)"/>
    <w:basedOn w:val="Text4"/>
    <w:rsid w:val="00412E11"/>
    <w:pPr>
      <w:numPr>
        <w:ilvl w:val="3"/>
        <w:numId w:val="15"/>
      </w:numPr>
    </w:pPr>
    <w:rPr>
      <w:rFonts w:eastAsia="Times New Roman"/>
      <w:lang w:eastAsia="en-GB"/>
    </w:rPr>
  </w:style>
  <w:style w:type="paragraph" w:customStyle="1" w:styleId="Annexetitreacte">
    <w:name w:val="Annexe titre (acte)"/>
    <w:basedOn w:val="Normal"/>
    <w:next w:val="Normal"/>
    <w:rsid w:val="00412E11"/>
    <w:pPr>
      <w:jc w:val="center"/>
    </w:pPr>
    <w:rPr>
      <w:rFonts w:eastAsia="Times New Roman"/>
      <w:b/>
      <w:u w:val="single"/>
      <w:lang w:eastAsia="en-GB"/>
    </w:rPr>
  </w:style>
  <w:style w:type="paragraph" w:customStyle="1" w:styleId="Annexetitreexposglobal">
    <w:name w:val="Annexe titre (exposé global)"/>
    <w:basedOn w:val="Normal"/>
    <w:next w:val="Normal"/>
    <w:rsid w:val="00412E11"/>
    <w:pPr>
      <w:jc w:val="center"/>
    </w:pPr>
    <w:rPr>
      <w:rFonts w:eastAsia="Times New Roman"/>
      <w:b/>
      <w:u w:val="single"/>
      <w:lang w:eastAsia="en-GB"/>
    </w:rPr>
  </w:style>
  <w:style w:type="paragraph" w:customStyle="1" w:styleId="Annexetitrefichefinacte">
    <w:name w:val="Annexe titre (fiche fin. acte)"/>
    <w:basedOn w:val="Normal"/>
    <w:next w:val="Normal"/>
    <w:rsid w:val="00412E11"/>
    <w:pPr>
      <w:jc w:val="center"/>
    </w:pPr>
    <w:rPr>
      <w:rFonts w:eastAsia="Times New Roman"/>
      <w:b/>
      <w:u w:val="single"/>
      <w:lang w:eastAsia="en-GB"/>
    </w:rPr>
  </w:style>
  <w:style w:type="paragraph" w:customStyle="1" w:styleId="Annexetitrefichefinglobale">
    <w:name w:val="Annexe titre (fiche fin. globale)"/>
    <w:basedOn w:val="Normal"/>
    <w:next w:val="Normal"/>
    <w:rsid w:val="00412E11"/>
    <w:pPr>
      <w:jc w:val="center"/>
    </w:pPr>
    <w:rPr>
      <w:rFonts w:eastAsia="Times New Roman"/>
      <w:b/>
      <w:u w:val="single"/>
      <w:lang w:eastAsia="en-GB"/>
    </w:rPr>
  </w:style>
  <w:style w:type="paragraph" w:customStyle="1" w:styleId="Annexetitreglobale">
    <w:name w:val="Annexe titre (globale)"/>
    <w:basedOn w:val="Normal"/>
    <w:next w:val="Normal"/>
    <w:rsid w:val="00412E11"/>
    <w:pPr>
      <w:jc w:val="center"/>
    </w:pPr>
    <w:rPr>
      <w:rFonts w:eastAsia="Times New Roman"/>
      <w:b/>
      <w:u w:val="single"/>
      <w:lang w:eastAsia="en-GB"/>
    </w:rPr>
  </w:style>
  <w:style w:type="paragraph" w:customStyle="1" w:styleId="Exposdesmotifstitreglobal">
    <w:name w:val="Exposé des motifs titre (global)"/>
    <w:basedOn w:val="Normal"/>
    <w:next w:val="Normal"/>
    <w:rsid w:val="00412E11"/>
    <w:pPr>
      <w:jc w:val="center"/>
    </w:pPr>
    <w:rPr>
      <w:rFonts w:eastAsia="Times New Roman"/>
      <w:b/>
      <w:u w:val="single"/>
      <w:lang w:eastAsia="en-GB"/>
    </w:rPr>
  </w:style>
  <w:style w:type="paragraph" w:customStyle="1" w:styleId="Langueoriginale">
    <w:name w:val="Langue originale"/>
    <w:basedOn w:val="Normal"/>
    <w:rsid w:val="00412E11"/>
    <w:pPr>
      <w:spacing w:before="360"/>
      <w:jc w:val="center"/>
    </w:pPr>
    <w:rPr>
      <w:rFonts w:eastAsia="Times New Roman"/>
      <w:caps/>
      <w:lang w:eastAsia="en-GB"/>
    </w:rPr>
  </w:style>
  <w:style w:type="paragraph" w:customStyle="1" w:styleId="Phrasefinale">
    <w:name w:val="Phrase finale"/>
    <w:basedOn w:val="Normal"/>
    <w:next w:val="Normal"/>
    <w:rsid w:val="00412E11"/>
    <w:pPr>
      <w:spacing w:before="360" w:after="0"/>
      <w:jc w:val="center"/>
    </w:pPr>
    <w:rPr>
      <w:rFonts w:eastAsia="Times New Roman"/>
      <w:lang w:eastAsia="en-GB"/>
    </w:rPr>
  </w:style>
  <w:style w:type="paragraph" w:customStyle="1" w:styleId="Prliminairetitre">
    <w:name w:val="Préliminaire titre"/>
    <w:basedOn w:val="Normal"/>
    <w:next w:val="Normal"/>
    <w:rsid w:val="00412E11"/>
    <w:pPr>
      <w:spacing w:before="360" w:after="360"/>
      <w:jc w:val="center"/>
    </w:pPr>
    <w:rPr>
      <w:rFonts w:eastAsia="Times New Roman"/>
      <w:b/>
      <w:lang w:eastAsia="en-GB"/>
    </w:rPr>
  </w:style>
  <w:style w:type="paragraph" w:customStyle="1" w:styleId="Prliminairetype">
    <w:name w:val="Préliminaire type"/>
    <w:basedOn w:val="Normal"/>
    <w:next w:val="Normal"/>
    <w:rsid w:val="00412E11"/>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12E1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12E1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12E11"/>
    <w:pPr>
      <w:spacing w:before="0" w:after="0"/>
      <w:ind w:left="5103"/>
      <w:jc w:val="left"/>
    </w:pPr>
    <w:rPr>
      <w:rFonts w:eastAsia="Times New Roman"/>
      <w:lang w:eastAsia="en-GB"/>
    </w:rPr>
  </w:style>
  <w:style w:type="paragraph" w:customStyle="1" w:styleId="Sous-titreobjetprliminaire">
    <w:name w:val="Sous-titre objet (préliminaire)"/>
    <w:basedOn w:val="Normal"/>
    <w:rsid w:val="00412E11"/>
    <w:pPr>
      <w:spacing w:before="0" w:after="0"/>
      <w:jc w:val="center"/>
    </w:pPr>
    <w:rPr>
      <w:rFonts w:eastAsia="Times New Roman"/>
      <w:b/>
      <w:lang w:eastAsia="en-GB"/>
    </w:rPr>
  </w:style>
  <w:style w:type="paragraph" w:customStyle="1" w:styleId="Statutprliminaire">
    <w:name w:val="Statut (préliminaire)"/>
    <w:basedOn w:val="Normal"/>
    <w:next w:val="Normal"/>
    <w:rsid w:val="00412E11"/>
    <w:pPr>
      <w:spacing w:before="360" w:after="0"/>
      <w:jc w:val="center"/>
    </w:pPr>
    <w:rPr>
      <w:rFonts w:eastAsia="Times New Roman"/>
      <w:lang w:eastAsia="en-GB"/>
    </w:rPr>
  </w:style>
  <w:style w:type="paragraph" w:customStyle="1" w:styleId="Titreobjetprliminaire">
    <w:name w:val="Titre objet (préliminaire)"/>
    <w:basedOn w:val="Normal"/>
    <w:next w:val="Normal"/>
    <w:rsid w:val="00412E1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12E1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12E1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12E11"/>
    <w:pPr>
      <w:jc w:val="center"/>
    </w:pPr>
    <w:rPr>
      <w:rFonts w:eastAsia="Times New Roman"/>
      <w:b/>
      <w:u w:val="single"/>
      <w:lang w:eastAsia="en-GB"/>
    </w:rPr>
  </w:style>
  <w:style w:type="paragraph" w:customStyle="1" w:styleId="Fichefinanciretravailtitre">
    <w:name w:val="Fiche financière (travail) titre"/>
    <w:basedOn w:val="Normal"/>
    <w:next w:val="Normal"/>
    <w:rsid w:val="00412E1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12E1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12E1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12E11"/>
    <w:pPr>
      <w:jc w:val="center"/>
    </w:pPr>
    <w:rPr>
      <w:rFonts w:eastAsia="Times New Roman"/>
      <w:b/>
      <w:u w:val="single"/>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412E11"/>
    <w:rPr>
      <w:rFonts w:ascii="Times New Roman" w:eastAsia="Times New Roman" w:hAnsi="Times New Roman" w:cs="Times New Roman"/>
      <w:sz w:val="20"/>
      <w:szCs w:val="20"/>
      <w:lang w:val="it-IT" w:eastAsia="en-GB"/>
    </w:rPr>
  </w:style>
  <w:style w:type="paragraph" w:styleId="CommentSubject">
    <w:name w:val="annotation subject"/>
    <w:basedOn w:val="CommentText"/>
    <w:next w:val="CommentText"/>
    <w:link w:val="CommentSubjectChar"/>
    <w:rsid w:val="00412E11"/>
    <w:rPr>
      <w:b/>
      <w:bCs/>
    </w:rPr>
  </w:style>
  <w:style w:type="character" w:customStyle="1" w:styleId="CommentSubjectChar">
    <w:name w:val="Comment Subject Char"/>
    <w:basedOn w:val="CommentTextChar"/>
    <w:link w:val="CommentSubject"/>
    <w:rsid w:val="00412E11"/>
    <w:rPr>
      <w:rFonts w:ascii="Times New Roman" w:eastAsia="Times New Roman" w:hAnsi="Times New Roman" w:cs="Times New Roman"/>
      <w:b/>
      <w:bCs/>
      <w:sz w:val="20"/>
      <w:szCs w:val="20"/>
      <w:lang w:val="it-IT" w:eastAsia="en-GB"/>
    </w:rPr>
  </w:style>
  <w:style w:type="paragraph" w:styleId="BalloonText">
    <w:name w:val="Balloon Text"/>
    <w:basedOn w:val="Normal"/>
    <w:link w:val="BalloonTextChar"/>
    <w:rsid w:val="00412E11"/>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12E11"/>
    <w:rPr>
      <w:rFonts w:ascii="Tahoma" w:eastAsia="Times New Roman" w:hAnsi="Tahoma" w:cs="Tahoma"/>
      <w:sz w:val="16"/>
      <w:szCs w:val="16"/>
      <w:lang w:val="it-IT" w:eastAsia="en-GB"/>
    </w:rPr>
  </w:style>
  <w:style w:type="paragraph" w:styleId="Caption">
    <w:name w:val="caption"/>
    <w:basedOn w:val="Normal"/>
    <w:next w:val="Normal"/>
    <w:qFormat/>
    <w:rsid w:val="00412E11"/>
    <w:rPr>
      <w:rFonts w:eastAsia="Times New Roman"/>
      <w:b/>
      <w:bCs/>
      <w:sz w:val="20"/>
      <w:szCs w:val="20"/>
      <w:lang w:eastAsia="en-GB"/>
    </w:rPr>
  </w:style>
  <w:style w:type="paragraph" w:styleId="TableofFigures">
    <w:name w:val="table of figures"/>
    <w:basedOn w:val="Normal"/>
    <w:next w:val="Normal"/>
    <w:rsid w:val="00412E11"/>
    <w:rPr>
      <w:rFonts w:eastAsia="Times New Roman"/>
      <w:lang w:eastAsia="en-GB"/>
    </w:rPr>
  </w:style>
  <w:style w:type="character" w:styleId="PageNumber">
    <w:name w:val="page number"/>
    <w:rsid w:val="00412E11"/>
  </w:style>
  <w:style w:type="character" w:customStyle="1" w:styleId="tw4winMark">
    <w:name w:val="tw4winMark"/>
    <w:rsid w:val="00412E11"/>
    <w:rPr>
      <w:vanish/>
      <w:color w:val="800080"/>
      <w:vertAlign w:val="subscript"/>
    </w:rPr>
  </w:style>
  <w:style w:type="character" w:styleId="FollowedHyperlink">
    <w:name w:val="FollowedHyperlink"/>
    <w:rsid w:val="00412E11"/>
    <w:rPr>
      <w:color w:val="800080"/>
      <w:u w:val="single"/>
    </w:rPr>
  </w:style>
  <w:style w:type="paragraph" w:customStyle="1" w:styleId="Sous-titreobjet">
    <w:name w:val="Sous-titre objet"/>
    <w:basedOn w:val="Normal"/>
    <w:rsid w:val="00412E1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12E11"/>
  </w:style>
  <w:style w:type="paragraph" w:styleId="Revision">
    <w:name w:val="Revision"/>
    <w:hidden/>
    <w:uiPriority w:val="99"/>
    <w:semiHidden/>
    <w:rsid w:val="00412E11"/>
    <w:rPr>
      <w:rFonts w:ascii="Calibri" w:eastAsia="Calibri" w:hAnsi="Calibri" w:cs="Times New Roman"/>
      <w:sz w:val="24"/>
      <w:lang w:eastAsia="en-GB"/>
    </w:rPr>
  </w:style>
  <w:style w:type="paragraph" w:customStyle="1" w:styleId="FooterCoverPage">
    <w:name w:val="Footer Cover Page"/>
    <w:basedOn w:val="Normal"/>
    <w:link w:val="FooterCoverPageChar"/>
    <w:rsid w:val="00412E1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12E11"/>
    <w:rPr>
      <w:rFonts w:ascii="Times New Roman" w:hAnsi="Times New Roman" w:cs="Times New Roman"/>
      <w:b/>
      <w:sz w:val="28"/>
      <w:lang w:val="it-IT"/>
    </w:rPr>
  </w:style>
  <w:style w:type="character" w:customStyle="1" w:styleId="FooterCoverPageChar">
    <w:name w:val="Footer Cover Page Char"/>
    <w:link w:val="FooterCoverPage"/>
    <w:rsid w:val="00412E11"/>
    <w:rPr>
      <w:rFonts w:ascii="Times New Roman" w:eastAsia="Calibri" w:hAnsi="Times New Roman" w:cs="Times New Roman"/>
      <w:sz w:val="24"/>
      <w:lang w:val="it-IT" w:eastAsia="en-GB"/>
    </w:rPr>
  </w:style>
  <w:style w:type="paragraph" w:customStyle="1" w:styleId="HeaderCoverPage">
    <w:name w:val="Header Cover Page"/>
    <w:basedOn w:val="Normal"/>
    <w:link w:val="HeaderCoverPageChar"/>
    <w:rsid w:val="00412E1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12E11"/>
    <w:rPr>
      <w:rFonts w:ascii="Times New Roman" w:eastAsia="Calibri" w:hAnsi="Times New Roman" w:cs="Times New Roman"/>
      <w:sz w:val="24"/>
      <w:lang w:val="it-IT" w:eastAsia="en-GB"/>
    </w:rPr>
  </w:style>
  <w:style w:type="character" w:customStyle="1" w:styleId="FooterSensitivityChar">
    <w:name w:val="Footer Sensitivity Char"/>
    <w:rsid w:val="00412E11"/>
    <w:rPr>
      <w:rFonts w:ascii="Times New Roman" w:hAnsi="Times New Roman" w:cs="Times New Roman"/>
      <w:b/>
      <w:sz w:val="32"/>
      <w:lang w:val="it-IT"/>
    </w:rPr>
  </w:style>
  <w:style w:type="character" w:customStyle="1" w:styleId="HeaderSensitivityChar">
    <w:name w:val="Header Sensitivity Char"/>
    <w:rsid w:val="00412E11"/>
    <w:rPr>
      <w:rFonts w:ascii="Times New Roman" w:hAnsi="Times New Roman" w:cs="Times New Roman"/>
      <w:b/>
      <w:sz w:val="32"/>
      <w:lang w:val="it-IT"/>
    </w:rPr>
  </w:style>
  <w:style w:type="character" w:customStyle="1" w:styleId="HeaderSensitivityRightChar">
    <w:name w:val="Header Sensitivity Right Char"/>
    <w:rsid w:val="00412E11"/>
    <w:rPr>
      <w:rFonts w:ascii="Times New Roman" w:hAnsi="Times New Roman" w:cs="Times New Roman"/>
      <w:sz w:val="28"/>
      <w:lang w:val="it-IT"/>
    </w:rPr>
  </w:style>
  <w:style w:type="paragraph" w:customStyle="1" w:styleId="LegalNumPar">
    <w:name w:val="LegalNumPar"/>
    <w:basedOn w:val="Normal"/>
    <w:rsid w:val="00412E11"/>
    <w:pPr>
      <w:numPr>
        <w:numId w:val="16"/>
      </w:numPr>
      <w:spacing w:line="360" w:lineRule="auto"/>
    </w:pPr>
    <w:rPr>
      <w:rFonts w:eastAsia="Times New Roman"/>
      <w:lang w:eastAsia="en-GB"/>
    </w:rPr>
  </w:style>
  <w:style w:type="paragraph" w:customStyle="1" w:styleId="LegalNumPar2">
    <w:name w:val="LegalNumPar2"/>
    <w:basedOn w:val="Normal"/>
    <w:rsid w:val="00412E11"/>
    <w:pPr>
      <w:numPr>
        <w:ilvl w:val="1"/>
        <w:numId w:val="16"/>
      </w:numPr>
      <w:spacing w:line="360" w:lineRule="auto"/>
    </w:pPr>
    <w:rPr>
      <w:rFonts w:eastAsia="Times New Roman"/>
      <w:lang w:eastAsia="en-GB"/>
    </w:rPr>
  </w:style>
  <w:style w:type="paragraph" w:customStyle="1" w:styleId="LegalNumPar3">
    <w:name w:val="LegalNumPar3"/>
    <w:basedOn w:val="Normal"/>
    <w:rsid w:val="00412E11"/>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412E11"/>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412E11"/>
    <w:rPr>
      <w:color w:val="605E5C"/>
      <w:shd w:val="clear" w:color="auto" w:fill="E1DFDD"/>
    </w:rPr>
  </w:style>
  <w:style w:type="character" w:styleId="Strong">
    <w:name w:val="Strong"/>
    <w:basedOn w:val="DefaultParagraphFont"/>
    <w:qFormat/>
    <w:rsid w:val="00412E11"/>
    <w:rPr>
      <w:b/>
      <w:bCs/>
    </w:rPr>
  </w:style>
  <w:style w:type="character" w:styleId="Emphasis">
    <w:name w:val="Emphasis"/>
    <w:basedOn w:val="DefaultParagraphFont"/>
    <w:qFormat/>
    <w:rsid w:val="00412E11"/>
    <w:rPr>
      <w:i/>
      <w:iCs/>
    </w:rPr>
  </w:style>
  <w:style w:type="character" w:customStyle="1" w:styleId="Mention1">
    <w:name w:val="Mention1"/>
    <w:basedOn w:val="DefaultParagraphFont"/>
    <w:uiPriority w:val="99"/>
    <w:unhideWhenUsed/>
    <w:rsid w:val="00412E11"/>
    <w:rPr>
      <w:color w:val="2B579A"/>
      <w:shd w:val="clear" w:color="auto" w:fill="E1DFDD"/>
    </w:rPr>
  </w:style>
  <w:style w:type="character" w:customStyle="1" w:styleId="normaltextrun">
    <w:name w:val="normaltextrun"/>
    <w:basedOn w:val="DefaultParagraphFont"/>
    <w:rsid w:val="00412E11"/>
  </w:style>
  <w:style w:type="character" w:customStyle="1" w:styleId="eop">
    <w:name w:val="eop"/>
    <w:basedOn w:val="DefaultParagraphFont"/>
    <w:rsid w:val="00412E11"/>
  </w:style>
  <w:style w:type="character" w:customStyle="1" w:styleId="subscript">
    <w:name w:val="subscript"/>
    <w:basedOn w:val="DefaultParagraphFont"/>
    <w:rsid w:val="00AD3399"/>
  </w:style>
  <w:style w:type="character" w:customStyle="1" w:styleId="HeaderChar">
    <w:name w:val="Header Char"/>
    <w:basedOn w:val="DefaultParagraphFont"/>
    <w:link w:val="Header"/>
    <w:uiPriority w:val="99"/>
    <w:rsid w:val="009F3D23"/>
    <w:rPr>
      <w:rFonts w:ascii="Times New Roman" w:hAnsi="Times New Roman" w:cs="Times New Roman"/>
      <w:sz w:val="24"/>
      <w:lang w:val="it-IT"/>
    </w:rPr>
  </w:style>
  <w:style w:type="character" w:customStyle="1" w:styleId="FooterChar">
    <w:name w:val="Footer Char"/>
    <w:basedOn w:val="DefaultParagraphFont"/>
    <w:link w:val="Footer"/>
    <w:uiPriority w:val="99"/>
    <w:rsid w:val="009F3D23"/>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F3D2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F3D23"/>
    <w:pPr>
      <w:spacing w:before="0"/>
      <w:jc w:val="right"/>
    </w:pPr>
    <w:rPr>
      <w:sz w:val="28"/>
    </w:rPr>
  </w:style>
  <w:style w:type="paragraph" w:customStyle="1" w:styleId="FooterSensitivity">
    <w:name w:val="Footer Sensitivity"/>
    <w:basedOn w:val="Normal"/>
    <w:rsid w:val="009F3D2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Tiret5">
    <w:name w:val="Tiret 5"/>
    <w:basedOn w:val="Point5"/>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NumPar5">
    <w:name w:val="NumPar 5"/>
    <w:basedOn w:val="Normal"/>
    <w:next w:val="Text2"/>
    <w:pPr>
      <w:numPr>
        <w:ilvl w:val="4"/>
        <w:numId w:val="23"/>
      </w:numPr>
    </w:pPr>
  </w:style>
  <w:style w:type="paragraph" w:customStyle="1" w:styleId="NumPar6">
    <w:name w:val="NumPar 6"/>
    <w:basedOn w:val="Normal"/>
    <w:next w:val="Text2"/>
    <w:pPr>
      <w:numPr>
        <w:ilvl w:val="5"/>
        <w:numId w:val="23"/>
      </w:numPr>
    </w:pPr>
  </w:style>
  <w:style w:type="paragraph" w:customStyle="1" w:styleId="NumPar7">
    <w:name w:val="NumPar 7"/>
    <w:basedOn w:val="Normal"/>
    <w:next w:val="Text2"/>
    <w:pPr>
      <w:numPr>
        <w:ilvl w:val="6"/>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F3D23"/>
    <w:pPr>
      <w:tabs>
        <w:tab w:val="center" w:pos="4535"/>
        <w:tab w:val="right" w:pos="9071"/>
      </w:tabs>
      <w:spacing w:before="0"/>
    </w:pPr>
  </w:style>
  <w:style w:type="paragraph" w:customStyle="1" w:styleId="HeaderLandscape">
    <w:name w:val="HeaderLandscape"/>
    <w:basedOn w:val="Normal"/>
    <w:rsid w:val="009F3D23"/>
    <w:pPr>
      <w:tabs>
        <w:tab w:val="center" w:pos="7285"/>
        <w:tab w:val="right" w:pos="14003"/>
      </w:tabs>
      <w:spacing w:before="0"/>
    </w:pPr>
  </w:style>
  <w:style w:type="paragraph" w:styleId="Footer">
    <w:name w:val="footer"/>
    <w:basedOn w:val="Normal"/>
    <w:link w:val="FooterChar"/>
    <w:uiPriority w:val="99"/>
    <w:unhideWhenUsed/>
    <w:rsid w:val="009F3D2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F3D2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3447">
      <w:bodyDiv w:val="1"/>
      <w:marLeft w:val="0"/>
      <w:marRight w:val="0"/>
      <w:marTop w:val="0"/>
      <w:marBottom w:val="0"/>
      <w:divBdr>
        <w:top w:val="none" w:sz="0" w:space="0" w:color="auto"/>
        <w:left w:val="none" w:sz="0" w:space="0" w:color="auto"/>
        <w:bottom w:val="none" w:sz="0" w:space="0" w:color="auto"/>
        <w:right w:val="none" w:sz="0" w:space="0" w:color="auto"/>
      </w:divBdr>
    </w:div>
    <w:div w:id="206531076">
      <w:bodyDiv w:val="1"/>
      <w:marLeft w:val="0"/>
      <w:marRight w:val="0"/>
      <w:marTop w:val="0"/>
      <w:marBottom w:val="0"/>
      <w:divBdr>
        <w:top w:val="none" w:sz="0" w:space="0" w:color="auto"/>
        <w:left w:val="none" w:sz="0" w:space="0" w:color="auto"/>
        <w:bottom w:val="none" w:sz="0" w:space="0" w:color="auto"/>
        <w:right w:val="none" w:sz="0" w:space="0" w:color="auto"/>
      </w:divBdr>
    </w:div>
    <w:div w:id="243225446">
      <w:bodyDiv w:val="1"/>
      <w:marLeft w:val="0"/>
      <w:marRight w:val="0"/>
      <w:marTop w:val="0"/>
      <w:marBottom w:val="0"/>
      <w:divBdr>
        <w:top w:val="none" w:sz="0" w:space="0" w:color="auto"/>
        <w:left w:val="none" w:sz="0" w:space="0" w:color="auto"/>
        <w:bottom w:val="none" w:sz="0" w:space="0" w:color="auto"/>
        <w:right w:val="none" w:sz="0" w:space="0" w:color="auto"/>
      </w:divBdr>
      <w:divsChild>
        <w:div w:id="1371028893">
          <w:marLeft w:val="0"/>
          <w:marRight w:val="0"/>
          <w:marTop w:val="0"/>
          <w:marBottom w:val="0"/>
          <w:divBdr>
            <w:top w:val="none" w:sz="0" w:space="0" w:color="auto"/>
            <w:left w:val="none" w:sz="0" w:space="0" w:color="auto"/>
            <w:bottom w:val="none" w:sz="0" w:space="0" w:color="auto"/>
            <w:right w:val="none" w:sz="0" w:space="0" w:color="auto"/>
          </w:divBdr>
        </w:div>
      </w:divsChild>
    </w:div>
    <w:div w:id="402721998">
      <w:bodyDiv w:val="1"/>
      <w:marLeft w:val="0"/>
      <w:marRight w:val="0"/>
      <w:marTop w:val="0"/>
      <w:marBottom w:val="0"/>
      <w:divBdr>
        <w:top w:val="none" w:sz="0" w:space="0" w:color="auto"/>
        <w:left w:val="none" w:sz="0" w:space="0" w:color="auto"/>
        <w:bottom w:val="none" w:sz="0" w:space="0" w:color="auto"/>
        <w:right w:val="none" w:sz="0" w:space="0" w:color="auto"/>
      </w:divBdr>
    </w:div>
    <w:div w:id="555169766">
      <w:bodyDiv w:val="1"/>
      <w:marLeft w:val="0"/>
      <w:marRight w:val="0"/>
      <w:marTop w:val="0"/>
      <w:marBottom w:val="0"/>
      <w:divBdr>
        <w:top w:val="none" w:sz="0" w:space="0" w:color="auto"/>
        <w:left w:val="none" w:sz="0" w:space="0" w:color="auto"/>
        <w:bottom w:val="none" w:sz="0" w:space="0" w:color="auto"/>
        <w:right w:val="none" w:sz="0" w:space="0" w:color="auto"/>
      </w:divBdr>
    </w:div>
    <w:div w:id="690296820">
      <w:bodyDiv w:val="1"/>
      <w:marLeft w:val="0"/>
      <w:marRight w:val="0"/>
      <w:marTop w:val="0"/>
      <w:marBottom w:val="0"/>
      <w:divBdr>
        <w:top w:val="none" w:sz="0" w:space="0" w:color="auto"/>
        <w:left w:val="none" w:sz="0" w:space="0" w:color="auto"/>
        <w:bottom w:val="none" w:sz="0" w:space="0" w:color="auto"/>
        <w:right w:val="none" w:sz="0" w:space="0" w:color="auto"/>
      </w:divBdr>
    </w:div>
    <w:div w:id="768743354">
      <w:bodyDiv w:val="1"/>
      <w:marLeft w:val="0"/>
      <w:marRight w:val="0"/>
      <w:marTop w:val="0"/>
      <w:marBottom w:val="0"/>
      <w:divBdr>
        <w:top w:val="none" w:sz="0" w:space="0" w:color="auto"/>
        <w:left w:val="none" w:sz="0" w:space="0" w:color="auto"/>
        <w:bottom w:val="none" w:sz="0" w:space="0" w:color="auto"/>
        <w:right w:val="none" w:sz="0" w:space="0" w:color="auto"/>
      </w:divBdr>
    </w:div>
    <w:div w:id="818695272">
      <w:bodyDiv w:val="1"/>
      <w:marLeft w:val="0"/>
      <w:marRight w:val="0"/>
      <w:marTop w:val="0"/>
      <w:marBottom w:val="0"/>
      <w:divBdr>
        <w:top w:val="none" w:sz="0" w:space="0" w:color="auto"/>
        <w:left w:val="none" w:sz="0" w:space="0" w:color="auto"/>
        <w:bottom w:val="none" w:sz="0" w:space="0" w:color="auto"/>
        <w:right w:val="none" w:sz="0" w:space="0" w:color="auto"/>
      </w:divBdr>
    </w:div>
    <w:div w:id="846678858">
      <w:bodyDiv w:val="1"/>
      <w:marLeft w:val="0"/>
      <w:marRight w:val="0"/>
      <w:marTop w:val="0"/>
      <w:marBottom w:val="0"/>
      <w:divBdr>
        <w:top w:val="none" w:sz="0" w:space="0" w:color="auto"/>
        <w:left w:val="none" w:sz="0" w:space="0" w:color="auto"/>
        <w:bottom w:val="none" w:sz="0" w:space="0" w:color="auto"/>
        <w:right w:val="none" w:sz="0" w:space="0" w:color="auto"/>
      </w:divBdr>
    </w:div>
    <w:div w:id="850872620">
      <w:bodyDiv w:val="1"/>
      <w:marLeft w:val="0"/>
      <w:marRight w:val="0"/>
      <w:marTop w:val="0"/>
      <w:marBottom w:val="0"/>
      <w:divBdr>
        <w:top w:val="none" w:sz="0" w:space="0" w:color="auto"/>
        <w:left w:val="none" w:sz="0" w:space="0" w:color="auto"/>
        <w:bottom w:val="none" w:sz="0" w:space="0" w:color="auto"/>
        <w:right w:val="none" w:sz="0" w:space="0" w:color="auto"/>
      </w:divBdr>
    </w:div>
    <w:div w:id="880287560">
      <w:bodyDiv w:val="1"/>
      <w:marLeft w:val="0"/>
      <w:marRight w:val="0"/>
      <w:marTop w:val="0"/>
      <w:marBottom w:val="0"/>
      <w:divBdr>
        <w:top w:val="none" w:sz="0" w:space="0" w:color="auto"/>
        <w:left w:val="none" w:sz="0" w:space="0" w:color="auto"/>
        <w:bottom w:val="none" w:sz="0" w:space="0" w:color="auto"/>
        <w:right w:val="none" w:sz="0" w:space="0" w:color="auto"/>
      </w:divBdr>
    </w:div>
    <w:div w:id="909656243">
      <w:bodyDiv w:val="1"/>
      <w:marLeft w:val="0"/>
      <w:marRight w:val="0"/>
      <w:marTop w:val="0"/>
      <w:marBottom w:val="0"/>
      <w:divBdr>
        <w:top w:val="none" w:sz="0" w:space="0" w:color="auto"/>
        <w:left w:val="none" w:sz="0" w:space="0" w:color="auto"/>
        <w:bottom w:val="none" w:sz="0" w:space="0" w:color="auto"/>
        <w:right w:val="none" w:sz="0" w:space="0" w:color="auto"/>
      </w:divBdr>
      <w:divsChild>
        <w:div w:id="2062553274">
          <w:marLeft w:val="0"/>
          <w:marRight w:val="0"/>
          <w:marTop w:val="0"/>
          <w:marBottom w:val="0"/>
          <w:divBdr>
            <w:top w:val="none" w:sz="0" w:space="0" w:color="auto"/>
            <w:left w:val="none" w:sz="0" w:space="0" w:color="auto"/>
            <w:bottom w:val="none" w:sz="0" w:space="0" w:color="auto"/>
            <w:right w:val="none" w:sz="0" w:space="0" w:color="auto"/>
          </w:divBdr>
        </w:div>
      </w:divsChild>
    </w:div>
    <w:div w:id="1110203513">
      <w:bodyDiv w:val="1"/>
      <w:marLeft w:val="0"/>
      <w:marRight w:val="0"/>
      <w:marTop w:val="0"/>
      <w:marBottom w:val="0"/>
      <w:divBdr>
        <w:top w:val="none" w:sz="0" w:space="0" w:color="auto"/>
        <w:left w:val="none" w:sz="0" w:space="0" w:color="auto"/>
        <w:bottom w:val="none" w:sz="0" w:space="0" w:color="auto"/>
        <w:right w:val="none" w:sz="0" w:space="0" w:color="auto"/>
      </w:divBdr>
    </w:div>
    <w:div w:id="1253513965">
      <w:bodyDiv w:val="1"/>
      <w:marLeft w:val="0"/>
      <w:marRight w:val="0"/>
      <w:marTop w:val="0"/>
      <w:marBottom w:val="0"/>
      <w:divBdr>
        <w:top w:val="none" w:sz="0" w:space="0" w:color="auto"/>
        <w:left w:val="none" w:sz="0" w:space="0" w:color="auto"/>
        <w:bottom w:val="none" w:sz="0" w:space="0" w:color="auto"/>
        <w:right w:val="none" w:sz="0" w:space="0" w:color="auto"/>
      </w:divBdr>
    </w:div>
    <w:div w:id="1347052601">
      <w:bodyDiv w:val="1"/>
      <w:marLeft w:val="0"/>
      <w:marRight w:val="0"/>
      <w:marTop w:val="0"/>
      <w:marBottom w:val="0"/>
      <w:divBdr>
        <w:top w:val="none" w:sz="0" w:space="0" w:color="auto"/>
        <w:left w:val="none" w:sz="0" w:space="0" w:color="auto"/>
        <w:bottom w:val="none" w:sz="0" w:space="0" w:color="auto"/>
        <w:right w:val="none" w:sz="0" w:space="0" w:color="auto"/>
      </w:divBdr>
    </w:div>
    <w:div w:id="1387681891">
      <w:bodyDiv w:val="1"/>
      <w:marLeft w:val="0"/>
      <w:marRight w:val="0"/>
      <w:marTop w:val="0"/>
      <w:marBottom w:val="0"/>
      <w:divBdr>
        <w:top w:val="none" w:sz="0" w:space="0" w:color="auto"/>
        <w:left w:val="none" w:sz="0" w:space="0" w:color="auto"/>
        <w:bottom w:val="none" w:sz="0" w:space="0" w:color="auto"/>
        <w:right w:val="none" w:sz="0" w:space="0" w:color="auto"/>
      </w:divBdr>
    </w:div>
    <w:div w:id="1429349263">
      <w:bodyDiv w:val="1"/>
      <w:marLeft w:val="0"/>
      <w:marRight w:val="0"/>
      <w:marTop w:val="0"/>
      <w:marBottom w:val="0"/>
      <w:divBdr>
        <w:top w:val="none" w:sz="0" w:space="0" w:color="auto"/>
        <w:left w:val="none" w:sz="0" w:space="0" w:color="auto"/>
        <w:bottom w:val="none" w:sz="0" w:space="0" w:color="auto"/>
        <w:right w:val="none" w:sz="0" w:space="0" w:color="auto"/>
      </w:divBdr>
    </w:div>
    <w:div w:id="1602906931">
      <w:bodyDiv w:val="1"/>
      <w:marLeft w:val="0"/>
      <w:marRight w:val="0"/>
      <w:marTop w:val="0"/>
      <w:marBottom w:val="0"/>
      <w:divBdr>
        <w:top w:val="none" w:sz="0" w:space="0" w:color="auto"/>
        <w:left w:val="none" w:sz="0" w:space="0" w:color="auto"/>
        <w:bottom w:val="none" w:sz="0" w:space="0" w:color="auto"/>
        <w:right w:val="none" w:sz="0" w:space="0" w:color="auto"/>
      </w:divBdr>
    </w:div>
    <w:div w:id="1706756032">
      <w:bodyDiv w:val="1"/>
      <w:marLeft w:val="0"/>
      <w:marRight w:val="0"/>
      <w:marTop w:val="0"/>
      <w:marBottom w:val="0"/>
      <w:divBdr>
        <w:top w:val="none" w:sz="0" w:space="0" w:color="auto"/>
        <w:left w:val="none" w:sz="0" w:space="0" w:color="auto"/>
        <w:bottom w:val="none" w:sz="0" w:space="0" w:color="auto"/>
        <w:right w:val="none" w:sz="0" w:space="0" w:color="auto"/>
      </w:divBdr>
      <w:divsChild>
        <w:div w:id="490803310">
          <w:marLeft w:val="0"/>
          <w:marRight w:val="0"/>
          <w:marTop w:val="0"/>
          <w:marBottom w:val="0"/>
          <w:divBdr>
            <w:top w:val="none" w:sz="0" w:space="0" w:color="auto"/>
            <w:left w:val="none" w:sz="0" w:space="0" w:color="auto"/>
            <w:bottom w:val="none" w:sz="0" w:space="0" w:color="auto"/>
            <w:right w:val="none" w:sz="0" w:space="0" w:color="auto"/>
          </w:divBdr>
        </w:div>
      </w:divsChild>
    </w:div>
    <w:div w:id="1740245453">
      <w:bodyDiv w:val="1"/>
      <w:marLeft w:val="0"/>
      <w:marRight w:val="0"/>
      <w:marTop w:val="0"/>
      <w:marBottom w:val="0"/>
      <w:divBdr>
        <w:top w:val="none" w:sz="0" w:space="0" w:color="auto"/>
        <w:left w:val="none" w:sz="0" w:space="0" w:color="auto"/>
        <w:bottom w:val="none" w:sz="0" w:space="0" w:color="auto"/>
        <w:right w:val="none" w:sz="0" w:space="0" w:color="auto"/>
      </w:divBdr>
    </w:div>
    <w:div w:id="1782450171">
      <w:bodyDiv w:val="1"/>
      <w:marLeft w:val="0"/>
      <w:marRight w:val="0"/>
      <w:marTop w:val="0"/>
      <w:marBottom w:val="0"/>
      <w:divBdr>
        <w:top w:val="none" w:sz="0" w:space="0" w:color="auto"/>
        <w:left w:val="none" w:sz="0" w:space="0" w:color="auto"/>
        <w:bottom w:val="none" w:sz="0" w:space="0" w:color="auto"/>
        <w:right w:val="none" w:sz="0" w:space="0" w:color="auto"/>
      </w:divBdr>
    </w:div>
    <w:div w:id="1921134379">
      <w:bodyDiv w:val="1"/>
      <w:marLeft w:val="0"/>
      <w:marRight w:val="0"/>
      <w:marTop w:val="0"/>
      <w:marBottom w:val="0"/>
      <w:divBdr>
        <w:top w:val="none" w:sz="0" w:space="0" w:color="auto"/>
        <w:left w:val="none" w:sz="0" w:space="0" w:color="auto"/>
        <w:bottom w:val="none" w:sz="0" w:space="0" w:color="auto"/>
        <w:right w:val="none" w:sz="0" w:space="0" w:color="auto"/>
      </w:divBdr>
    </w:div>
    <w:div w:id="19981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ur-lex.europa.eu/legal-content/IT/TXT/?uri=CELEX%3A02019R0631-2023120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sharepoint.com/teams/GRP-PRO-CLIMA-Unit-B3/Road%20transport/00%20-%20LDV%20review%202026/3.5.3%20Review%202026/options/2025%20flex/March%202025%20proposal/ISC%20documents/The" TargetMode="External"/><Relationship Id="rId5" Type="http://schemas.openxmlformats.org/officeDocument/2006/relationships/numbering" Target="numbering.xml"/><Relationship Id="rId15" Type="http://schemas.openxmlformats.org/officeDocument/2006/relationships/hyperlink" Target="https://eur-lex.europa.eu/legal-content/IT/TXT/?uri=CELEX%3A02019R0631-20231203"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IT/TXT/?uri=CELEX%3A02019R0631-20231203"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data.europa.eu/eli/reg/2019/631/oj" TargetMode="External"/><Relationship Id="rId1" Type="http://schemas.openxmlformats.org/officeDocument/2006/relationships/hyperlink" Target="https://eur-lex.europa.eu/legal-content/IT/AUTO/?uri=OJ:L:2019:11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20143-60f3-4f58-952a-46711e27ae0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1d341fc-52bd-473d-a685-b1cfbb9b40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F594D150BA142AB873E4468044A68" ma:contentTypeVersion="13" ma:contentTypeDescription="Create a new document." ma:contentTypeScope="" ma:versionID="77c686bf1319979b7c1104a171aab649">
  <xsd:schema xmlns:xsd="http://www.w3.org/2001/XMLSchema" xmlns:xs="http://www.w3.org/2001/XMLSchema" xmlns:p="http://schemas.microsoft.com/office/2006/metadata/properties" xmlns:ns2="4a320143-60f3-4f58-952a-46711e27ae01" xmlns:ns3="51d341fc-52bd-473d-a685-b1cfbb9b4012" targetNamespace="http://schemas.microsoft.com/office/2006/metadata/properties" ma:root="true" ma:fieldsID="c637b9b4534641f67e09066b2e58a104" ns2:_="" ns3:_="">
    <xsd:import namespace="4a320143-60f3-4f58-952a-46711e27ae01"/>
    <xsd:import namespace="51d341fc-52bd-473d-a685-b1cfbb9b4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0143-60f3-4f58-952a-46711e27a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341fc-52bd-473d-a685-b1cfbb9b40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d96d77-1767-4396-8198-6085355c6731}" ma:internalName="TaxCatchAll" ma:showField="CatchAllData" ma:web="51d341fc-52bd-473d-a685-b1cfbb9b4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5929-E60F-4B48-871C-92D93D086ABC}">
  <ds:schemaRefs>
    <ds:schemaRef ds:uri="http://schemas.microsoft.com/sharepoint/v3/contenttype/forms"/>
  </ds:schemaRefs>
</ds:datastoreItem>
</file>

<file path=customXml/itemProps2.xml><?xml version="1.0" encoding="utf-8"?>
<ds:datastoreItem xmlns:ds="http://schemas.openxmlformats.org/officeDocument/2006/customXml" ds:itemID="{9DC84DBD-2D55-4658-93FB-F461FFD9827D}">
  <ds:schemaRefs>
    <ds:schemaRef ds:uri="http://schemas.microsoft.com/office/2006/metadata/properties"/>
    <ds:schemaRef ds:uri="http://schemas.microsoft.com/office/infopath/2007/PartnerControls"/>
    <ds:schemaRef ds:uri="4a320143-60f3-4f58-952a-46711e27ae01"/>
    <ds:schemaRef ds:uri="51d341fc-52bd-473d-a685-b1cfbb9b4012"/>
  </ds:schemaRefs>
</ds:datastoreItem>
</file>

<file path=customXml/itemProps3.xml><?xml version="1.0" encoding="utf-8"?>
<ds:datastoreItem xmlns:ds="http://schemas.openxmlformats.org/officeDocument/2006/customXml" ds:itemID="{329E5A6E-B5FF-4C5B-8D3E-7A17BAC3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0143-60f3-4f58-952a-46711e27ae01"/>
    <ds:schemaRef ds:uri="51d341fc-52bd-473d-a685-b1cfbb9b4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6A0A6-B872-4453-A49E-01A20477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38</TotalTime>
  <Pages>15</Pages>
  <Words>6544</Words>
  <Characters>37302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43759</CharactersWithSpaces>
  <SharedDoc>false</SharedDoc>
  <HLinks>
    <vt:vector size="42" baseType="variant">
      <vt:variant>
        <vt:i4>7143479</vt:i4>
      </vt:variant>
      <vt:variant>
        <vt:i4>9</vt:i4>
      </vt:variant>
      <vt:variant>
        <vt:i4>0</vt:i4>
      </vt:variant>
      <vt:variant>
        <vt:i4>5</vt:i4>
      </vt:variant>
      <vt:variant>
        <vt:lpwstr>https://eceuropaeu.sharepoint.com/teams/GRP-PRO-CLIMA-Unit-B3/Road transport/00 - LDV review 2026/3.5.3 Review 2026/options/2025 flex/March 2025 proposal/ISC documents/The</vt:lpwstr>
      </vt:variant>
      <vt:variant>
        <vt:lpwstr/>
      </vt:variant>
      <vt:variant>
        <vt:i4>7143527</vt:i4>
      </vt:variant>
      <vt:variant>
        <vt:i4>6</vt:i4>
      </vt:variant>
      <vt:variant>
        <vt:i4>0</vt:i4>
      </vt:variant>
      <vt:variant>
        <vt:i4>5</vt:i4>
      </vt:variant>
      <vt:variant>
        <vt:lpwstr>https://eur-lex.europa.eu/legal-content/EN/TXT/?uri=CELEX%3A02019R0631-20231203</vt:lpwstr>
      </vt:variant>
      <vt:variant>
        <vt:lpwstr/>
      </vt:variant>
      <vt:variant>
        <vt:i4>7143527</vt:i4>
      </vt:variant>
      <vt:variant>
        <vt:i4>3</vt:i4>
      </vt:variant>
      <vt:variant>
        <vt:i4>0</vt:i4>
      </vt:variant>
      <vt:variant>
        <vt:i4>5</vt:i4>
      </vt:variant>
      <vt:variant>
        <vt:lpwstr>https://eur-lex.europa.eu/legal-content/EN/TXT/?uri=CELEX%3A02019R0631-20231203</vt:lpwstr>
      </vt:variant>
      <vt:variant>
        <vt:lpwstr/>
      </vt:variant>
      <vt:variant>
        <vt:i4>7143527</vt:i4>
      </vt:variant>
      <vt:variant>
        <vt:i4>0</vt:i4>
      </vt:variant>
      <vt:variant>
        <vt:i4>0</vt:i4>
      </vt:variant>
      <vt:variant>
        <vt:i4>5</vt:i4>
      </vt:variant>
      <vt:variant>
        <vt:lpwstr>https://eur-lex.europa.eu/legal-content/EN/TXT/?uri=CELEX%3A02019R0631-20231203</vt:lpwstr>
      </vt:variant>
      <vt:variant>
        <vt:lpwstr/>
      </vt:variant>
      <vt:variant>
        <vt:i4>262150</vt:i4>
      </vt:variant>
      <vt:variant>
        <vt:i4>6</vt:i4>
      </vt:variant>
      <vt:variant>
        <vt:i4>0</vt:i4>
      </vt:variant>
      <vt:variant>
        <vt:i4>5</vt:i4>
      </vt:variant>
      <vt:variant>
        <vt:lpwstr>https://myintracomm.ec.europa.eu/corp/budget/financial-rules/budget-implementation/Pages/implementation-methods.aspx</vt:lpwstr>
      </vt:variant>
      <vt:variant>
        <vt:lpwstr/>
      </vt:variant>
      <vt:variant>
        <vt:i4>4980764</vt:i4>
      </vt:variant>
      <vt:variant>
        <vt:i4>3</vt:i4>
      </vt:variant>
      <vt:variant>
        <vt:i4>0</vt:i4>
      </vt:variant>
      <vt:variant>
        <vt:i4>5</vt:i4>
      </vt:variant>
      <vt:variant>
        <vt:lpwstr>http://data.europa.eu/eli/reg/2019/631/oj</vt:lpwstr>
      </vt:variant>
      <vt:variant>
        <vt:lpwstr/>
      </vt:variant>
      <vt:variant>
        <vt:i4>7929983</vt:i4>
      </vt:variant>
      <vt:variant>
        <vt:i4>0</vt:i4>
      </vt:variant>
      <vt:variant>
        <vt:i4>0</vt:i4>
      </vt:variant>
      <vt:variant>
        <vt:i4>5</vt:i4>
      </vt:variant>
      <vt:variant>
        <vt:lpwstr>https://eur-lex.europa.eu/legal-content/EN/AUTO/?uri=OJ:L:2019:111:TOC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dcterms:created xsi:type="dcterms:W3CDTF">2025-04-01T13:21:00Z</dcterms:created>
  <dcterms:modified xsi:type="dcterms:W3CDTF">2025-04-03T10:16:00Z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2025-02-21T10:24:08Z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3298193c-65fa-45ef-8f28-f3d36df4c0f3</vt:lpwstr>
  </property>
  <property fmtid="{D5CDD505-2E9C-101B-9397-08002B2CF9AE}" pid="16" name="MSIP_Label_6bd9ddd1-4d20-43f6-abfa-fc3c07406f94_ContentBits">
    <vt:lpwstr>0</vt:lpwstr>
  </property>
  <property fmtid="{D5CDD505-2E9C-101B-9397-08002B2CF9AE}" pid="17" name="ContentTypeId">
    <vt:lpwstr>0x0101007FFF594D150BA142AB873E4468044A68</vt:lpwstr>
  </property>
  <property fmtid="{D5CDD505-2E9C-101B-9397-08002B2CF9AE}" pid="18" name="MediaServiceImageTags">
    <vt:lpwstr/>
  </property>
  <property fmtid="{D5CDD505-2E9C-101B-9397-08002B2CF9AE}" pid="19" name="DQCStatus">
    <vt:lpwstr>Green (DQC version 03)</vt:lpwstr>
  </property>
</Properties>
</file>