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486E1" w14:textId="2373BA26" w:rsidR="00F22ADD" w:rsidRPr="0092737C" w:rsidRDefault="008D45F3" w:rsidP="008D45F3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2F1CED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5B2BB760-898F-402C-A8EA-576719AF5EB8" style="width:455.25pt;height:336.75pt">
            <v:imagedata r:id="rId11" o:title=""/>
          </v:shape>
        </w:pict>
      </w:r>
    </w:p>
    <w:bookmarkEnd w:id="0"/>
    <w:p w14:paraId="50FFA56C" w14:textId="77777777" w:rsidR="00F22ADD" w:rsidRPr="0092737C" w:rsidRDefault="00F22ADD" w:rsidP="00647393">
      <w:pPr>
        <w:rPr>
          <w:rFonts w:eastAsia="Calibri"/>
          <w:noProof/>
        </w:rPr>
        <w:sectPr w:rsidR="00F22ADD" w:rsidRPr="0092737C" w:rsidSect="008D45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1134" w:right="1417" w:bottom="1134" w:left="1417" w:header="709" w:footer="709" w:gutter="0"/>
          <w:pgNumType w:start="0"/>
          <w:cols w:space="720"/>
          <w:docGrid w:linePitch="299"/>
        </w:sectPr>
      </w:pPr>
    </w:p>
    <w:p w14:paraId="5BF4E298" w14:textId="35D4B00A" w:rsidR="00F22ADD" w:rsidRPr="0092737C" w:rsidRDefault="00F22ADD" w:rsidP="004978B2">
      <w:pPr>
        <w:pStyle w:val="Heading1"/>
        <w:ind w:left="851" w:hanging="567"/>
        <w:rPr>
          <w:noProof/>
        </w:rPr>
      </w:pPr>
      <w:bookmarkStart w:id="1" w:name="_GoBack"/>
      <w:bookmarkEnd w:id="1"/>
      <w:r>
        <w:rPr>
          <w:noProof/>
        </w:rPr>
        <w:lastRenderedPageBreak/>
        <w:t>INTRODUZZJONI</w:t>
      </w:r>
    </w:p>
    <w:p w14:paraId="5CA5C519" w14:textId="29F349CD" w:rsidR="00F22ADD" w:rsidRPr="0092737C" w:rsidRDefault="00F22ADD" w:rsidP="004978B2">
      <w:pPr>
        <w:pStyle w:val="ListParagraph"/>
        <w:ind w:left="851" w:hanging="567"/>
        <w:rPr>
          <w:noProof/>
        </w:rPr>
      </w:pPr>
      <w:r>
        <w:rPr>
          <w:noProof/>
          <w:sz w:val="24"/>
        </w:rPr>
        <w:t>Dan ir-rapport huwa indirizzat lill-Parlament Ewropew u lill-Kunsill tal-Unjoni Ewropea. Huwa jistabbilixxi l-attivitajiet imwettqa mill-Kummissjoni Ewropea (hawn taħt “il-Kummissjoni”) b’rabta mar-Regolament (UE) 2022/1925</w:t>
      </w:r>
      <w:r w:rsidRPr="001B3962">
        <w:rPr>
          <w:rStyle w:val="FootnoteReference"/>
          <w:noProof/>
        </w:rPr>
        <w:footnoteReference w:id="2"/>
      </w:r>
      <w:r>
        <w:rPr>
          <w:noProof/>
          <w:sz w:val="24"/>
        </w:rPr>
        <w:t xml:space="preserve"> (l-Att dwar is-Swieq Diġitali, hawn taħt “DMA”(Digital Markets Act)) fl-2024, kif stabbilit fl-Artikolu 35 tad-DMA</w:t>
      </w:r>
      <w:r w:rsidR="00B91E9A" w:rsidRPr="0092737C">
        <w:rPr>
          <w:rStyle w:val="FootnoteReference"/>
          <w:noProof/>
          <w:sz w:val="24"/>
          <w:szCs w:val="24"/>
        </w:rPr>
        <w:footnoteReference w:id="3"/>
      </w:r>
      <w:r>
        <w:rPr>
          <w:noProof/>
        </w:rPr>
        <w:t>.</w:t>
      </w:r>
    </w:p>
    <w:p w14:paraId="3ADC9610" w14:textId="40150FC2" w:rsidR="00F22ADD" w:rsidRPr="0092737C" w:rsidRDefault="00F22ADD" w:rsidP="00B91E9A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L-ewwel rapport annwali dwar l-attivitajiet tal-Kummissjoni b’rabta mad-DMA ġie adottat fis-6 ta’ Marzu 2024</w:t>
      </w:r>
      <w:r w:rsidRPr="001B3962">
        <w:rPr>
          <w:rStyle w:val="FootnoteReference"/>
          <w:noProof/>
        </w:rPr>
        <w:footnoteReference w:id="4"/>
      </w:r>
      <w:r>
        <w:rPr>
          <w:noProof/>
          <w:sz w:val="24"/>
        </w:rPr>
        <w:t>. Fl-ewwel rapport annwali tagħha, il-Kummissjoni rrapportat primarjament dwar id-deċiżjonijiet li jiddeżinjaw lil Alphabet, Amazon, Apple, ByteDance, Meta, u Microsoft bħala gwardjani f’Settembru 2023.</w:t>
      </w:r>
    </w:p>
    <w:p w14:paraId="3B75CA64" w14:textId="4C69A46F" w:rsidR="00F22ADD" w:rsidRPr="0092737C" w:rsidRDefault="00B91E9A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Fl-2024, il-Kummissjoni ddeżinjat lil Booking għas-servizz tal-intermedjazzjoni online Booking.com tagħha f’Mejju, u kkomplementat id-deżinjazzjoni ta’ Apple b’servizz ewlieni ieħor tal-pjattaforma, is-sistema operattiva tagħha iPadOS, f’April.</w:t>
      </w:r>
    </w:p>
    <w:p w14:paraId="30E2425C" w14:textId="4DA2D160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bookmarkStart w:id="2" w:name="_Hlk189047171"/>
      <w:r>
        <w:rPr>
          <w:noProof/>
          <w:sz w:val="24"/>
        </w:rPr>
        <w:t xml:space="preserve">Il-Kummissjoni kkonkludiet ukoll erba’ investigazzjonijiet tas-suq, li wħud minnhom kienet bdiethom fl-2023. L-investigazzjonijiet mibdija fl-2023 huma relatati ma’ konfutazzjonijiet sottomessi mill-impriżi flimkien man-notifiki tagħhom li jiddikjaraw li, minkejja li jissodisfaw il-limiti tad-deżinjazzjoni, huma ma jissodisfawx ir-rekwiżiti biex jiġu ddeżinjati bħala gwardjani. </w:t>
      </w:r>
      <w:bookmarkEnd w:id="2"/>
      <w:r>
        <w:rPr>
          <w:noProof/>
          <w:sz w:val="24"/>
        </w:rPr>
        <w:t>Dawn l-investigazzjonijiet, kif ukoll id-deżinjazzjoni kwalitattiva ta’ iPadOS, kienu jinvolvu li jintalab il-parir espert tal-Kumitat Konsultattiv għas-Swieq Diġitali (“DMAC”)</w:t>
      </w:r>
      <w:r w:rsidRPr="001B3962">
        <w:rPr>
          <w:rStyle w:val="FootnoteReference"/>
          <w:noProof/>
        </w:rPr>
        <w:footnoteReference w:id="5"/>
      </w:r>
      <w:r>
        <w:rPr>
          <w:noProof/>
          <w:sz w:val="24"/>
        </w:rPr>
        <w:t>.</w:t>
      </w:r>
    </w:p>
    <w:p w14:paraId="466583AE" w14:textId="5F3163A1" w:rsidR="003127A6" w:rsidRPr="0092737C" w:rsidRDefault="00A04F41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Fl-2024, id-DMA daħal fil-fażi ta’ implimentazzjoni u infurzar tiegħu, u s-7 ta’ Marzu 2024 kienet l-iskadenza għall-konformità għad-deżinjazzjonijiet li jmorru lura għall-5 ta’ Settembru 2023. Il-Kummissjoni wettqet djalogu regolatorju mal-gwardjani ddeżinjati kollha u bdiet sitt investigazzjonijiet ta’ nuqqas ta’ konformità rigward tliet gwardjani: Alphabet, Apple, u Meta. Fi tnejn mill-proċedimenti, il-Kummissjoni ħarġet sejbiet preliminari</w:t>
      </w:r>
      <w:r w:rsidR="003127A6" w:rsidRPr="001B3962">
        <w:rPr>
          <w:rStyle w:val="FootnoteReference"/>
          <w:noProof/>
        </w:rPr>
        <w:footnoteReference w:id="6"/>
      </w:r>
      <w:r>
        <w:rPr>
          <w:noProof/>
          <w:sz w:val="24"/>
        </w:rPr>
        <w:t>. Barra minn hekk, il-Kummissjoni ħabbret passi investigattivi preliminari fir-rigward ta’ Amazon</w:t>
      </w:r>
      <w:r w:rsidR="00F22ADD" w:rsidRPr="001B3962">
        <w:rPr>
          <w:rStyle w:val="FootnoteReference"/>
          <w:noProof/>
        </w:rPr>
        <w:footnoteReference w:id="7"/>
      </w:r>
      <w:r>
        <w:rPr>
          <w:noProof/>
          <w:sz w:val="24"/>
        </w:rPr>
        <w:t>.</w:t>
      </w:r>
    </w:p>
    <w:p w14:paraId="731889B4" w14:textId="7C63A163" w:rsidR="00F22ADD" w:rsidRPr="0092737C" w:rsidRDefault="007843B3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Il-Kummissjoni bdiet ukoll żewġ proċedimenti biex tispeċifika l-obbligi tal-interoperabbiltà ta’ Apple skont id-DMA u ħarġet sejbiet preliminari, u talbet feedback minn partijiet terzi dwar il-miżuri li jenħtieġ li tieħu Apple biex tiżgura interoperabbiltà effettiva</w:t>
      </w:r>
      <w:r w:rsidR="00F22ADD" w:rsidRPr="001B3962">
        <w:rPr>
          <w:rStyle w:val="FootnoteReference"/>
          <w:noProof/>
        </w:rPr>
        <w:footnoteReference w:id="8"/>
      </w:r>
      <w:r>
        <w:rPr>
          <w:noProof/>
          <w:sz w:val="24"/>
        </w:rPr>
        <w:t>.</w:t>
      </w:r>
    </w:p>
    <w:p w14:paraId="0F67A6C5" w14:textId="7AA1BE33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B’mod parallel mal-attività ta’ monitoraġġ u infurzar tagħha, il-Kummissjoni ospitat bosta laqgħat ma’ gwardjani u firxa wiesgħa ta’ partijiet terzi interessati, inklużi utenti kummerċjali, żviluppaturi, dawk li jisfidaw lill-gwardjani, assoċjazzjonijiet kummerċjali, organizzazzjonijiet tas-soċjetà ċivili, u rappreżentanti tal-klijenti. Il-Kummissjoni organizzat ukoll diversi sessjonijiet ta’ ħidma dwar il-konformità, li jipprovdu lill-partijiet ikkonċernati bl-opportunità li jiksbu għarfien dwar is-soluzzjonijiet ta’ konformità tal-gwardjani. Barra minn hekk, il-Grupp ta’ Livell Għoli għall-Att dwar is-Swieq Diġitali (High Level Group, HLG) iddeċieda li joħloq tliet sottogruppi tematiċi dwar id-data, l-interoperabbiltà u l-intelliġenza artifiċjali, u kellu diversi laqgħat matul l-2024. Dan iffaċilita l-kooperazzjoni u rawwem djalogu kollaborattiv mal-komunità tar-regolaturi Ewropej</w:t>
      </w:r>
      <w:r w:rsidRPr="001B3962">
        <w:rPr>
          <w:rStyle w:val="FootnoteReference"/>
          <w:noProof/>
        </w:rPr>
        <w:footnoteReference w:id="9"/>
      </w:r>
      <w:r>
        <w:rPr>
          <w:noProof/>
          <w:sz w:val="24"/>
        </w:rPr>
        <w:t>.</w:t>
      </w:r>
    </w:p>
    <w:p w14:paraId="16758818" w14:textId="3B2AAC79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It-taqsimiet li ġejjin jipprovdu ħarsa ġenerali komprensiva lejn l-implimentazzjoni mill-Kummissjoni tad-DMA u l-progress li sar lejn il-kisba tal-objettivi tiegħu fl-2024. It-Taqsima II tirrapporta dwar deżinjazzjonijiet u attivitajiet oħra li mhumiex ta’ monitoraġġ. It-Taqsima III tiddeskrivi l-monitoraġġ tal-konformità tal-gwardjani. It-Taqsima IV tindirizza r-rekwiżiti ta’ rapportar għall-gwardjani rigward il-prattiki tat-tfassil tal-profili tal-konsumaturi. It-Taqsima V tagħti dettalji dwar il-kooperazzjoni u l-koordinazzjoni bejn il-Kummissjoni u l-awtoritajiet nazzjonali. Fl-aħħar nett, it-Taqsima VI tiddeskrivi l-ħidma mwettqa mill-HLG.</w:t>
      </w:r>
    </w:p>
    <w:p w14:paraId="11A58DD3" w14:textId="77777777" w:rsidR="00005EBC" w:rsidRPr="0092737C" w:rsidRDefault="00005EBC" w:rsidP="00005EBC">
      <w:pPr>
        <w:pStyle w:val="Heading1"/>
        <w:ind w:left="851" w:hanging="567"/>
        <w:rPr>
          <w:b w:val="0"/>
          <w:bCs w:val="0"/>
          <w:noProof/>
        </w:rPr>
      </w:pPr>
      <w:r>
        <w:rPr>
          <w:noProof/>
        </w:rPr>
        <w:t xml:space="preserve">DEŻINJAZZJONIJIET U ATTIVITAJIET OĦRA LI MHUMIEX TA’ MONITORAĠĠ </w:t>
      </w:r>
    </w:p>
    <w:p w14:paraId="3CDD7DFB" w14:textId="653858B5" w:rsidR="00F22ADD" w:rsidRPr="0092737C" w:rsidRDefault="00F22ADD" w:rsidP="00C86C23">
      <w:pPr>
        <w:pStyle w:val="Heading2"/>
        <w:ind w:left="851" w:hanging="851"/>
        <w:rPr>
          <w:noProof/>
        </w:rPr>
      </w:pPr>
      <w:r>
        <w:rPr>
          <w:noProof/>
        </w:rPr>
        <w:t>Notifiki, deżinjazzjonijiet, u investigazzjonijiet tas-suq</w:t>
      </w:r>
    </w:p>
    <w:p w14:paraId="1836D9A8" w14:textId="0CFEEDBC" w:rsidR="00F22ADD" w:rsidRPr="00451E2E" w:rsidRDefault="00691A38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Skont l-Artikolu 3(3) tad-DMA, l-impriżi jridu jinnotifikaw lill-Kummissjoni meta s-servizzi ewlenin tal-pjattaforma li jipprovdu jilħqu l-limiti stabbiliti fl-Artikolu 3(2) tad-DMA. Madankollu, skont l-Artikolu 3(5) tad-DMA, l-impriżi li jilħqu dawn il-limiti jistgħu jippreżentaw argumenti sostanzjati biżżejjed dwar għaliex jenħtieġ li ma jiġux iddeżinjati bħala gwardjani.</w:t>
      </w:r>
    </w:p>
    <w:p w14:paraId="0B48C2D9" w14:textId="478646DC" w:rsidR="00F22ADD" w:rsidRPr="00451E2E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Fl-2024, il-Kummissjoni rċeviet notifiki mingħand Booking, ByteDance, u X skont l-Artikolu 3(3) tad-DMA</w:t>
      </w:r>
      <w:r w:rsidRPr="0025310B">
        <w:rPr>
          <w:rStyle w:val="FootnoteReference"/>
          <w:noProof/>
          <w:sz w:val="24"/>
          <w:szCs w:val="24"/>
        </w:rPr>
        <w:footnoteReference w:id="10"/>
      </w:r>
      <w:r>
        <w:rPr>
          <w:noProof/>
          <w:sz w:val="24"/>
        </w:rPr>
        <w:t>.</w:t>
      </w:r>
    </w:p>
    <w:p w14:paraId="0167B6E2" w14:textId="055935E0" w:rsidR="00F22ADD" w:rsidRPr="00451E2E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Fl-1 ta’ Marzu 2024, Booking innotifikat lill-Kummissjoni li hija kienet tilħaq il-limiti stabbiliti fl-Artikolu 3(2) tad-DMA fir-rigward tas-servizz ta’ intermedjazzjoni online tagħha, Booking.com. B’riżultat ta’ dan, fit-13 ta’ Mejju 2024, il-Kummissjoni ddeżinjat lil Booking bħala gwardjan fir-rigward ta’ dan is-servizz ta’ pjattaforma ewlenija</w:t>
      </w:r>
      <w:r w:rsidRPr="0025310B">
        <w:rPr>
          <w:rStyle w:val="FootnoteReference"/>
          <w:noProof/>
          <w:sz w:val="24"/>
          <w:szCs w:val="24"/>
        </w:rPr>
        <w:footnoteReference w:id="11"/>
      </w:r>
      <w:r>
        <w:rPr>
          <w:noProof/>
          <w:sz w:val="24"/>
        </w:rPr>
        <w:t>. L-obbligu ta’ Booking li tikkonforma mad-DMA beda fl-14 ta’ Novembru 2024, sitt xhur wara d-deżinjazzjoni tagħha</w:t>
      </w:r>
      <w:r w:rsidRPr="0025310B">
        <w:rPr>
          <w:rStyle w:val="FootnoteReference"/>
          <w:noProof/>
          <w:sz w:val="24"/>
          <w:szCs w:val="24"/>
        </w:rPr>
        <w:footnoteReference w:id="12"/>
      </w:r>
      <w:r>
        <w:rPr>
          <w:noProof/>
          <w:sz w:val="24"/>
        </w:rPr>
        <w:t>.</w:t>
      </w:r>
    </w:p>
    <w:p w14:paraId="53C82B08" w14:textId="60961062" w:rsidR="00376408" w:rsidRPr="00A53D03" w:rsidRDefault="00F348BA" w:rsidP="00376408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Fl-1 ta’ Marzu 2024, ByteDance nnotifikat lill-Kummissjoni li hija ssodisfat il-limiti stabbiliti fl-Artikolu 3(2) tad-DMA fir-rigward tas-servizz ta’ reklamar online tagħha, TikTok Ads. ByteDance ressqet ukoll talba għal konfutazzjoni, skont l-Artikolu 3(5) tad-DMA, fejn sostniet li TikTok Ads ma kinitx tikkwalifika bħala gateway importanti bejn l-utenti kummerċjali u l-utenti finali. Fit-13 ta’ Mejju 2024, il-Kummissjoni aċċettat il-konfutazzjoni mressqa minn TikTok fir-rigward tas-servizz ta’ reklamar online tagħha, TikTok Ads. Il-konfutazzjoni ġiet aċċettata direttament fi żmien 45 jum tax-xogħol, peress li l-impriża wriet li s-servizz tagħha ma jissodisfax ir-rekwiżiti tal-Artikolu 3(1) tad-DMA</w:t>
      </w:r>
      <w:r w:rsidR="00376408" w:rsidRPr="001B3962">
        <w:rPr>
          <w:rStyle w:val="FootnoteReference"/>
          <w:noProof/>
        </w:rPr>
        <w:footnoteReference w:id="13"/>
      </w:r>
      <w:r>
        <w:rPr>
          <w:noProof/>
          <w:sz w:val="24"/>
        </w:rPr>
        <w:t>.</w:t>
      </w:r>
    </w:p>
    <w:p w14:paraId="54CD9703" w14:textId="2FFC2B76" w:rsidR="00F22ADD" w:rsidRPr="00376408" w:rsidRDefault="00376408" w:rsidP="00376408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Fl-1 ta’ Marzu 2024, X issottomettiet notifika fir-rigward tas-servizz ta’ networking soċjali online tagħha, X, u s-servizz ta’ reklamar online tagħha, X Ads, it-tnejn akkumpanjati minn konfutazzjonijiet fejn argumentat li anki jekk il-limiti rilevanti ntlaħqu, X ma kinitx tikkwalifika bħala gateway importanti bejn l-utenti kummerċjali u l-utenti finali</w:t>
      </w:r>
      <w:r w:rsidR="00F22ADD" w:rsidRPr="001B3962">
        <w:rPr>
          <w:rStyle w:val="FootnoteReference"/>
          <w:noProof/>
        </w:rPr>
        <w:footnoteReference w:id="14"/>
      </w:r>
      <w:r>
        <w:rPr>
          <w:noProof/>
          <w:sz w:val="24"/>
        </w:rPr>
        <w:t>. Fit-13 ta’ Mejju 2024, il-Kummissjoni adottat deċiżjoni li taċċetta direttament il-konfutazzjoni fir-rigward ta’ X Ads</w:t>
      </w:r>
      <w:r w:rsidR="00005EBC" w:rsidRPr="001B3962">
        <w:rPr>
          <w:rStyle w:val="FootnoteReference"/>
          <w:noProof/>
        </w:rPr>
        <w:footnoteReference w:id="15"/>
      </w:r>
      <w:r>
        <w:rPr>
          <w:noProof/>
          <w:sz w:val="24"/>
        </w:rPr>
        <w:t>, u f’deċiżjoni separata fetħet investigazzjoni tas-suq skont l-Artikolu 17(3) tad-DMA biex tivvaluta jekk is-servizz ta’ networking soċjali online X għandux jiġi ddeżinjat</w:t>
      </w:r>
      <w:r w:rsidR="00F22ADD" w:rsidRPr="001B3962">
        <w:rPr>
          <w:rStyle w:val="FootnoteReference"/>
          <w:noProof/>
        </w:rPr>
        <w:footnoteReference w:id="16"/>
      </w:r>
      <w:r>
        <w:rPr>
          <w:noProof/>
          <w:sz w:val="24"/>
        </w:rPr>
        <w:t>. Wara investigazzjoni fil-fond tas-suq</w:t>
      </w:r>
      <w:r w:rsidRPr="001B3962">
        <w:rPr>
          <w:rStyle w:val="FootnoteReference"/>
          <w:noProof/>
        </w:rPr>
        <w:footnoteReference w:id="17"/>
      </w:r>
      <w:r>
        <w:rPr>
          <w:noProof/>
          <w:sz w:val="24"/>
        </w:rPr>
        <w:t>, fis-16 ta’ Ottubru 2024 il-Kummissjoni kkonkludiet li s-servizz ta’ networking soċjali online X ma kienx gateway importanti għall-utenti kummerċjali biex jilħqu lill-utenti finali. Il-Kummissjoni għalhekk iddeċidiet li taċċetta l-konfutazzjoni u ma tiddeżinjax lil X</w:t>
      </w:r>
      <w:r w:rsidR="00F22ADD" w:rsidRPr="001B3962">
        <w:rPr>
          <w:rStyle w:val="FootnoteReference"/>
          <w:noProof/>
        </w:rPr>
        <w:footnoteReference w:id="18"/>
      </w:r>
      <w:r>
        <w:rPr>
          <w:noProof/>
          <w:sz w:val="24"/>
        </w:rPr>
        <w:t>. Id-deċiżjoni ġiet adottata wara laqgħa tad-DMAC, li tat opinjoni pożittiva, fl-4 ta’ Ottubru 2024.</w:t>
      </w:r>
    </w:p>
    <w:p w14:paraId="6E2720E2" w14:textId="0202913C" w:rsidR="00F22ADD" w:rsidRPr="0092737C" w:rsidRDefault="004867A7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Fl-2024, il-Kummissjoni lestiet ukoll l-investigazzjonijiet tas-suq ta’ konfutazzjoni li kienet bdiet fil-5 ta’ Settembru 2023 biex tiddetermina jekk Apple għandhiex tiġi ddeżinjata bħala gwardjan għal iMessage, u jekk Microsoft għandhiex tiġi ddeżinjata fir-rigward ta’ Bing, Edge, u Microsoft Advertising. Wara li wettqet investigazzjonijiet fil-fond tas-suq, il-Kummissjoni ddeċidiet li ma tiddeżinjax lil Apple</w:t>
      </w:r>
      <w:r w:rsidR="00F22ADD" w:rsidRPr="001B3962">
        <w:rPr>
          <w:rStyle w:val="FootnoteReference"/>
          <w:noProof/>
        </w:rPr>
        <w:footnoteReference w:id="19"/>
      </w:r>
      <w:r>
        <w:rPr>
          <w:noProof/>
          <w:sz w:val="24"/>
        </w:rPr>
        <w:t xml:space="preserve"> u lil Microsoft</w:t>
      </w:r>
      <w:r w:rsidR="00F22ADD" w:rsidRPr="001B3962">
        <w:rPr>
          <w:rStyle w:val="FootnoteReference"/>
          <w:noProof/>
        </w:rPr>
        <w:footnoteReference w:id="20"/>
      </w:r>
      <w:r>
        <w:rPr>
          <w:noProof/>
          <w:sz w:val="24"/>
        </w:rPr>
        <w:t xml:space="preserve"> bħala gwardjani għal dawn is-servizzi. Id-deċiżjonijiet ġew adottati wara laqgħa tad-DMAC, li tat opinjoni pożittiva dwar id-deċiżjonijiet, fl-1 ta’ Frar 2024.</w:t>
      </w:r>
    </w:p>
    <w:p w14:paraId="6E257349" w14:textId="05A8143C" w:rsidR="00F22ADD" w:rsidRPr="0092737C" w:rsidRDefault="00F22ADD" w:rsidP="004978B2">
      <w:pPr>
        <w:pStyle w:val="ListParagraph"/>
        <w:ind w:left="851" w:hanging="567"/>
        <w:rPr>
          <w:noProof/>
        </w:rPr>
      </w:pPr>
      <w:r>
        <w:rPr>
          <w:noProof/>
          <w:sz w:val="24"/>
        </w:rPr>
        <w:t>Barra minn hekk, abbażi ta’ investigazzjoni tas-suq fil-fond mibdija f’Settembru 2023,</w:t>
      </w:r>
      <w:r>
        <w:rPr>
          <w:noProof/>
          <w:vertAlign w:val="superscript"/>
        </w:rPr>
        <w:t xml:space="preserve"> </w:t>
      </w:r>
      <w:r>
        <w:rPr>
          <w:noProof/>
          <w:sz w:val="24"/>
        </w:rPr>
        <w:t>il-Kummissjoni ddeżinjat lil Apple bħala gwardjan fir-rigward tas-servizz ewlieni tal-pjattaforma tagħha iPadOS, fid-29 ta’ April 2024</w:t>
      </w:r>
      <w:r w:rsidRPr="001B3962">
        <w:rPr>
          <w:rStyle w:val="FootnoteReference"/>
          <w:noProof/>
        </w:rPr>
        <w:footnoteReference w:id="21"/>
      </w:r>
      <w:r>
        <w:rPr>
          <w:noProof/>
          <w:sz w:val="24"/>
        </w:rPr>
        <w:t>. Id-Deċiżjoni ġiet adottata wara laqgħa tad-DMAC, li tat opinjoni pożittiva dwar id-deċiżjoni, fl-20 ta’ Marzu 2024. L-obbligu ta’ Apple li tikkonforma mad-DMA beda sitt xhur wara d-deżinjazzjoni, fl-4 ta’ Novembru 2024.</w:t>
      </w:r>
    </w:p>
    <w:p w14:paraId="2DC4BB05" w14:textId="50C2E564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Bid-deżinjazzjoni ta’ Booking bħala gwardjan għas-servizz ta’ intermedjazzjoni online tagħha (Booking.com) u ta’ Apple għas-sistema operatorja tagħha (iPadOS), l-għadd totali ta’ gwardjani ddeżinjati żdied, fl-2024, minn 6 għal 7 impriżi, filwaqt li l-għadd ta’ servizzi ta’ pjattaformi ewlenin iddeżinjati laħaq l-24, mit-22 preċedenti</w:t>
      </w:r>
      <w:r w:rsidRPr="001B3962">
        <w:rPr>
          <w:rStyle w:val="FootnoteReference"/>
          <w:noProof/>
        </w:rPr>
        <w:footnoteReference w:id="22"/>
      </w:r>
      <w:r>
        <w:rPr>
          <w:noProof/>
          <w:sz w:val="24"/>
        </w:rPr>
        <w:t>.</w:t>
      </w:r>
    </w:p>
    <w:p w14:paraId="6F478043" w14:textId="5FE71840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Fl-2024, il-Kummissjoni kienet parti fi tliet azzjonijiet pendenti għal annullament ippreżentati minn ByteDance, Meta, u Apple f’Novembru 2023 kontra d-deċiżjonijiet ta’ deżinjazzjoni rispettivi tagħhom. Fir-rigward tal-appell ta’ ByteDance, fi Frar 2024, il-President tal-Qorti Ġenerali ċaħad it-talba għal miżuri provviżorji ta’ ByteDance u, f’Lulju 2024, il-Qorti Ġenerali kkonfermat id-deċiżjoni tal-Kummissjoni li tiddeżinja lil ByteDance wara proċedura mħaffa</w:t>
      </w:r>
      <w:r w:rsidRPr="001B3962">
        <w:rPr>
          <w:rStyle w:val="FootnoteReference"/>
          <w:noProof/>
        </w:rPr>
        <w:footnoteReference w:id="23"/>
      </w:r>
      <w:r>
        <w:rPr>
          <w:noProof/>
          <w:sz w:val="24"/>
        </w:rPr>
        <w:t>. F’Settembru 2024, ByteDance appellat mid-deċiżjoni tal-Qorti Ġenerali li tikkonferma d-deżinjazzjoni tagħha</w:t>
      </w:r>
      <w:r w:rsidRPr="001B3962">
        <w:rPr>
          <w:rStyle w:val="FootnoteReference"/>
          <w:noProof/>
        </w:rPr>
        <w:footnoteReference w:id="24"/>
      </w:r>
      <w:r>
        <w:rPr>
          <w:noProof/>
          <w:sz w:val="24"/>
        </w:rPr>
        <w:t>.</w:t>
      </w:r>
    </w:p>
    <w:p w14:paraId="25107531" w14:textId="6F85E9F0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Barra minn hekk, il-Kummissjoni hija attiva bħala konvenuta f’żewġ proċedimenti ġudizzjarji oħra li għaddejjin: (i) rikors ippreżentat mill-avukat ta’ ByteDance f’ismu stess f’Awwissu 2024, li jikkontesta d-deċiżjoni tal-Kummissjoni li tiċħad it-talba għal aċċess għal dokumenti relatati mad-deżinjazzjoni ta’ ByteDance</w:t>
      </w:r>
      <w:r w:rsidRPr="001B3962">
        <w:rPr>
          <w:rStyle w:val="FootnoteReference"/>
          <w:noProof/>
        </w:rPr>
        <w:footnoteReference w:id="25"/>
      </w:r>
      <w:r>
        <w:rPr>
          <w:noProof/>
          <w:sz w:val="24"/>
        </w:rPr>
        <w:t xml:space="preserve"> u (ii) rikors ippreżentat quddiem il-Qorti Ġenerali f’Lulju 2024 minn Opera kontra n-nuqqas ta’ deżinjazzjoni ta’ Microsoft bħala gwardjan fir-rigward tal-browser tal-web tagħha, Edge</w:t>
      </w:r>
      <w:r w:rsidRPr="001B3962">
        <w:rPr>
          <w:rStyle w:val="FootnoteReference"/>
          <w:noProof/>
        </w:rPr>
        <w:footnoteReference w:id="26"/>
      </w:r>
      <w:r>
        <w:rPr>
          <w:noProof/>
          <w:sz w:val="24"/>
        </w:rPr>
        <w:t>.</w:t>
      </w:r>
    </w:p>
    <w:p w14:paraId="036C8D2E" w14:textId="7174228C" w:rsidR="00F22ADD" w:rsidRPr="0092737C" w:rsidRDefault="00F22ADD" w:rsidP="008506FB">
      <w:pPr>
        <w:pStyle w:val="Heading2"/>
        <w:ind w:left="851" w:hanging="851"/>
        <w:rPr>
          <w:b w:val="0"/>
          <w:bCs w:val="0"/>
          <w:noProof/>
        </w:rPr>
      </w:pPr>
      <w:r>
        <w:rPr>
          <w:noProof/>
        </w:rPr>
        <w:t>Attivitajiet oħra ta’ nuqqas ta’ monitoraġġ</w:t>
      </w:r>
    </w:p>
    <w:p w14:paraId="7670CFE9" w14:textId="076AC0C2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Il-Kummissjoni għamlet enfasi sinifikanti fuq it-tisħiħ tal-għodod investigattivi tagħha taħt id-DMA mill-adozzjoni tiegħu. Fit-30 ta’ April 2024, il-Kummissjoni nediet għodda għall-informaturi tad-DMA</w:t>
      </w:r>
      <w:r w:rsidRPr="001B3962">
        <w:rPr>
          <w:rStyle w:val="FootnoteReference"/>
          <w:noProof/>
        </w:rPr>
        <w:footnoteReference w:id="27"/>
      </w:r>
      <w:r>
        <w:rPr>
          <w:noProof/>
          <w:sz w:val="24"/>
        </w:rPr>
        <w:t>, li hija simili għal dik disponibbli għall-infurzar tal-antitrust u għar-Regolament (UE) 2022/2065 (“l-Att dwar is-Servizzi Diġitali”). Din l-għodda tagħmilha possibbli għall-individwi li jipprovdu, privatament u b’mod kunfidenzjali, informazzjoni relatata ma’ kwalunkwe nuqqas ta’ konformità possibbli mill-gwardjani mal-obbligi tagħhom skont id-DMA</w:t>
      </w:r>
      <w:r w:rsidRPr="001B3962">
        <w:rPr>
          <w:rStyle w:val="FootnoteReference"/>
          <w:noProof/>
        </w:rPr>
        <w:footnoteReference w:id="28"/>
      </w:r>
      <w:r>
        <w:rPr>
          <w:noProof/>
          <w:sz w:val="24"/>
        </w:rPr>
        <w:t>. Fl-2024, il-Kummissjoni rċeviet 20 sottomissjoni permezz ta’ din l-għodda.</w:t>
      </w:r>
    </w:p>
    <w:p w14:paraId="60E5124E" w14:textId="58F1B149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F’termini ta’ involviment pubbliku, il-Kummissjoni żżomm u taġġorna regolarment is-sit web tad-DMA</w:t>
      </w:r>
      <w:r w:rsidRPr="001B3962">
        <w:rPr>
          <w:rStyle w:val="FootnoteReference"/>
          <w:noProof/>
        </w:rPr>
        <w:footnoteReference w:id="29"/>
      </w:r>
      <w:r>
        <w:rPr>
          <w:noProof/>
          <w:sz w:val="24"/>
        </w:rPr>
        <w:t>. Dan is-sit web jipprovdi sfond dwar id-DMA, joffri funzjoni ta’ tiftix għal atti uffiċjali relatati mad-DMA tal-Kummissjoni, jinkludi taqsima Q&amp;A li tiġi aġġornata ta’ spiss</w:t>
      </w:r>
      <w:r w:rsidR="008C48C8" w:rsidRPr="0092737C">
        <w:rPr>
          <w:rStyle w:val="FootnoteReference"/>
          <w:noProof/>
          <w:sz w:val="24"/>
          <w:szCs w:val="24"/>
        </w:rPr>
        <w:footnoteReference w:id="30"/>
      </w:r>
      <w:r>
        <w:rPr>
          <w:noProof/>
          <w:sz w:val="24"/>
        </w:rPr>
        <w:t>, u fih l-istqarrijiet għall-istampa rilevanti kollha. Il-Kummissjoni tikkomunika wkoll dwar l-iżviluppi rilevanti għad-DMA permezz tal-kontijiet tal-media soċjali tagħha</w:t>
      </w:r>
      <w:r w:rsidRPr="001B3962">
        <w:rPr>
          <w:rStyle w:val="FootnoteReference"/>
          <w:noProof/>
        </w:rPr>
        <w:footnoteReference w:id="31"/>
      </w:r>
      <w:r>
        <w:rPr>
          <w:noProof/>
          <w:sz w:val="24"/>
        </w:rPr>
        <w:t>.</w:t>
      </w:r>
    </w:p>
    <w:p w14:paraId="4EFC337F" w14:textId="6001FD5E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bookmarkStart w:id="3" w:name="_Hlk187222914"/>
      <w:r>
        <w:rPr>
          <w:noProof/>
          <w:sz w:val="24"/>
        </w:rPr>
        <w:t>Fl-2024, il-Kummissjoni kkuntrattat disa’ studji relatati mad-DMA, servizzi ta’ konsulenza esperta, jew proġetti pilota.</w:t>
      </w:r>
    </w:p>
    <w:bookmarkEnd w:id="3"/>
    <w:p w14:paraId="72318380" w14:textId="2751BEAC" w:rsidR="00F22ADD" w:rsidRPr="0092737C" w:rsidRDefault="00F22ADD" w:rsidP="004978B2">
      <w:pPr>
        <w:pStyle w:val="Heading1"/>
        <w:ind w:left="851" w:hanging="567"/>
        <w:rPr>
          <w:b w:val="0"/>
          <w:bCs w:val="0"/>
          <w:noProof/>
        </w:rPr>
      </w:pPr>
      <w:r>
        <w:rPr>
          <w:noProof/>
        </w:rPr>
        <w:t>MONITORAĠĠ TAL-KONFORMITÀ TAL-GWARDJANI</w:t>
      </w:r>
    </w:p>
    <w:p w14:paraId="708EBD3C" w14:textId="77777777" w:rsidR="00F22ADD" w:rsidRPr="0092737C" w:rsidRDefault="00F22ADD" w:rsidP="00C86C23">
      <w:pPr>
        <w:pStyle w:val="Heading2"/>
        <w:numPr>
          <w:ilvl w:val="0"/>
          <w:numId w:val="28"/>
        </w:numPr>
        <w:ind w:left="851" w:hanging="851"/>
        <w:rPr>
          <w:b w:val="0"/>
          <w:bCs w:val="0"/>
          <w:noProof/>
        </w:rPr>
      </w:pPr>
      <w:r>
        <w:rPr>
          <w:noProof/>
        </w:rPr>
        <w:t>Attivitajiet ta’ monitoraġġ</w:t>
      </w:r>
    </w:p>
    <w:p w14:paraId="2EFE8AD4" w14:textId="4FDA8A58" w:rsidR="00F22ADD" w:rsidRPr="0092737C" w:rsidRDefault="002F6E6B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Il-gwardjani jridu jikkonformaw mal-obbligi stabbiliti fl-Artikoli 5, 6, 7, 14, u 15 tad-DMA. Ir-rekwiżit ta’ konformità jibda immedjatament wara d-deżinjazzjoni għall-obbligu li l-Kummissjoni tiġi infurmata dwar il-konċentrazzjonijiet (l-Artikolu 14 tad-DMA), u mhux aktar tard minn sitt xhur wara d-deżinjazzjoni għall-obbligi u l-projbizzjonijiet previsti fl-Artikoli 5, 6, 7 (skont l-Artikolu 3(10) tad-DMA), u fl-Artikolu 15 tad-DMA. Għall-impriżi ddeżinjati fil-5 ta’ Settembru 2023, dan il-perjodu ta’ sitt xhur intemm fis-7 ta’ Marzu 2024. Meta titqies id-deżinjazzjoni sussegwenti ta’ iPadOS fid-29 ta’ April 2024, Apple kellha tikkonforma wkoll mad-DMA għal dan is-servizz ewlieni tal-pjattaforma sal-4 ta’ Novembru 2024, filwaqt li Booking, iddeżinjata fit-13 ta’ Mejju 2024, kellha tikkonforma sal-14 ta’ Novembru 2024 għal Booking.com.</w:t>
      </w:r>
    </w:p>
    <w:p w14:paraId="7620AD5F" w14:textId="7CAD5890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Sitt xhur wara d-deżinjazzjoni, il-gwardjani kollha ppreżentaw rapporti ta’ konformità, kif meħtieġ mill-Artikolu 11 tad-DMA, kif ukoll deskrizzjonijiet awditjati b’mod indipendenti ta’ kwalunkwe teknika għat-tfassil tal-profili għall-konsumaturi applikati għas-servizzi ewlenin tal-pjattaforma tagħhom jew bejniethom, f’konformità mal-Artikolu 15 tad-DMA. Il-links għall-verżjonijiet mhux kunfidenzjali ta’ dawn id-dokumenti ġew ippubblikati fuq is-sit web tad-DMA tal-Kummissjoni</w:t>
      </w:r>
      <w:r w:rsidRPr="001B3962">
        <w:rPr>
          <w:rStyle w:val="FootnoteReference"/>
          <w:noProof/>
        </w:rPr>
        <w:footnoteReference w:id="32"/>
      </w:r>
      <w:r>
        <w:rPr>
          <w:noProof/>
          <w:sz w:val="24"/>
        </w:rPr>
        <w:t>. L-iterazzjoni li jmiss tar-rapporti ta’ konformità tal-gwardjan kienet mistennija sas-7 ta’ Marzu 2025</w:t>
      </w:r>
      <w:r w:rsidR="00A32B91" w:rsidRPr="0092737C">
        <w:rPr>
          <w:rStyle w:val="FootnoteReference"/>
          <w:noProof/>
          <w:sz w:val="24"/>
          <w:szCs w:val="24"/>
        </w:rPr>
        <w:footnoteReference w:id="33"/>
      </w:r>
      <w:r>
        <w:rPr>
          <w:noProof/>
          <w:sz w:val="24"/>
        </w:rPr>
        <w:t>. Dawn ir-rapporti għandhom jinkludu l-aġġornamenti tal-gwardjani għall-miżuri ta’ konformità tagħhom.</w:t>
      </w:r>
    </w:p>
    <w:p w14:paraId="5EA804DB" w14:textId="223FAB00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Il-Kummissjoni vvalutat ir-rapporti ta’ konformità kollha li rċeviet fl-2024 u għamlet ħidma ta’ segwitu mal-gwardjani dwar il-kontenut tagħhom. F’Marzu 2024, il-Kummissjoni organizzat sitt sessjonijiet ta’ ħidma dwar il-konformità mal-partijiet ikkonċernati interessati, wieħed għal kull gwardjan iddeżinjat fil-5 ta’ Settembru 2023. F’Novembru 2024 ġie organizzat workshop ieħor għal Booking, wara d-deżinjazzjoni tagħha f’Mejju 2024. Il-workshops kellhom l-għan li joffru lill-partijiet terzi l-opportunità li jfittxu kjarifiki mingħand il-gwardjani u jipprovdulhom feedback dwar is-soluzzjonijiet ta’ konformità tagħhom. L-attendenza fil-workshops kollha kienet miftuħa għall-pubbliku, u l-utenti kummerċjali, is-soċjetà ċivili, u l-assoċjazzjonijiet tan-negozju kellhom prijorità għall-attendenza fiżika. Il-workshops saru wkoll aċċessibbli online. Ir-reġistrazzjonijiet tal-workshops kollha li saru fl-2024 huma disponibbli fuq is-sit web tad-DMA tal-Kummissjoni</w:t>
      </w:r>
      <w:r w:rsidRPr="001B3962">
        <w:rPr>
          <w:rStyle w:val="FootnoteReference"/>
          <w:noProof/>
        </w:rPr>
        <w:footnoteReference w:id="34"/>
      </w:r>
      <w:r>
        <w:rPr>
          <w:noProof/>
          <w:sz w:val="24"/>
        </w:rPr>
        <w:t>.</w:t>
      </w:r>
    </w:p>
    <w:p w14:paraId="6ECF1C66" w14:textId="6E3BB54F" w:rsidR="00F22ADD" w:rsidRPr="0092737C" w:rsidRDefault="00585FFE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Minbarra s-sessjonijiet ta’ ħidma dwar il-konformità u l-ħidma fuq ir-rapporti ta’ konformità</w:t>
      </w:r>
      <w:r w:rsidR="00F22ADD" w:rsidRPr="001B3962">
        <w:rPr>
          <w:rStyle w:val="FootnoteReference"/>
          <w:noProof/>
        </w:rPr>
        <w:footnoteReference w:id="35"/>
      </w:r>
      <w:r>
        <w:rPr>
          <w:noProof/>
          <w:sz w:val="24"/>
        </w:rPr>
        <w:t>, il-Kummissjoni ħadmet b’mod kostanti mal-gwardjani u ma’ partijiet terzi interessati permezz ta’ diversi mezzi biex timmonitorja u tivvaluta l-konformità. Dan kien jinkludi laqgħat bilaterali u workshops tekniċi li jlaqqgħu flimkien rappreżentanti tal-gwardjani u ta’ partijiet terzi interessati. Barra minn hekk, il-Kummissjoni bagħtet talbiet għal informazzjoni lill-gwardjani u lil partijiet terzi. Hija ħeġġet ukoll b’mod konsistenti lill-gwardjani biex jaħdmu direttament mal-atturi tas-suq billi enfasizzat li din il-ħidma hija parti importanti mit-turija ta’ konformità effettiva għall-gwardjani.</w:t>
      </w:r>
    </w:p>
    <w:p w14:paraId="70BBF67B" w14:textId="16D4FACB" w:rsidR="00F22ADD" w:rsidRPr="00002B6D" w:rsidRDefault="00F22ADD" w:rsidP="00381964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Il-Kummissjoni mmonitorjat kif il-gwardjani implimentaw ir-rekwiżiti tal-Artikolu 28 tad-DMA biex jintroduċu funzjoni ta’ konformità li trid tkun indipendenti mill-funzjonijiet operazzjonali tal-gwardjan u tkun tikkonsisti minn uffiċjal tal-konformità wieħed jew aktar b’awtorità, statura u riżorsi suffiċjenti biex ikunu jistgħu jimmonitorjaw il-konformità tal-gwardjan mad-DMA u jagħtuh pariri dwar dan. Il-gwardjani ddeżinjati kollha ħatru uffiċjali tal-konformità f’konformità mal-prinċipji stabbiliti fl-Artikolu 28 tad-DMA u kkomunikaw id-dettalji lill-Kummissjoni. Il-Kummissjoni kellha żewġ laqgħat bi preżenza fiżika mal-uffiċjali tal-konformità ta’ kull gwardjan fl-2024. L-għan ta’ dawn il-laqgħat kien li l-Kummissjoni tifhem kif ġiet stabbilita u organizzata l-funzjoni ta’ konformità u tieħu kont tad-djalogu regolatorju li għaddej. Fl-aħħar nett, b’appoġġ għal azzjonijiet ta’ infurzar potenzjali, fl-2024, il-Kummissjoni adottat ordnijiet ta’ żamma li jitolbu lil sitt gwardjani – Alphabet, Amazon, Apple, Meta, Microsoft, u Booking – iżommu dokumenti li jistgħu jintużaw biex tiġi vvalutata l-konformità tagħhom ma’ obbligi speċifiċi tad-DMA</w:t>
      </w:r>
      <w:r w:rsidRPr="0025310B">
        <w:rPr>
          <w:rStyle w:val="FootnoteReference"/>
          <w:noProof/>
          <w:sz w:val="24"/>
          <w:szCs w:val="24"/>
        </w:rPr>
        <w:footnoteReference w:id="36"/>
      </w:r>
      <w:r>
        <w:rPr>
          <w:noProof/>
          <w:sz w:val="24"/>
        </w:rPr>
        <w:t>.</w:t>
      </w:r>
    </w:p>
    <w:p w14:paraId="75EBC038" w14:textId="08695D08" w:rsidR="00F22ADD" w:rsidRPr="0092737C" w:rsidRDefault="00F22ADD" w:rsidP="00C86C23">
      <w:pPr>
        <w:pStyle w:val="Heading2"/>
        <w:numPr>
          <w:ilvl w:val="0"/>
          <w:numId w:val="28"/>
        </w:numPr>
        <w:ind w:left="851" w:hanging="851"/>
        <w:rPr>
          <w:b w:val="0"/>
          <w:bCs w:val="0"/>
          <w:noProof/>
        </w:rPr>
      </w:pPr>
      <w:r>
        <w:rPr>
          <w:noProof/>
        </w:rPr>
        <w:t>Sejbiet dwar il-konformità mal-Artikoli 5, 6 u 7 tad-DMA</w:t>
      </w:r>
      <w:r w:rsidRPr="001B3962">
        <w:rPr>
          <w:rStyle w:val="FootnoteReference"/>
          <w:noProof/>
        </w:rPr>
        <w:footnoteReference w:id="37"/>
      </w:r>
    </w:p>
    <w:p w14:paraId="703A2824" w14:textId="22E45893" w:rsidR="00F22ADD" w:rsidRPr="0092737C" w:rsidRDefault="00F22ADD" w:rsidP="004978B2">
      <w:pPr>
        <w:pStyle w:val="ListParagraph"/>
        <w:ind w:left="851" w:hanging="567"/>
        <w:rPr>
          <w:noProof/>
        </w:rPr>
      </w:pPr>
      <w:r>
        <w:rPr>
          <w:noProof/>
          <w:sz w:val="24"/>
        </w:rPr>
        <w:t>Din it-taqsima tirrapporta dwar is-sejbiet tal-Kummissjoni dwar it-temi koperti fl-Artikoli 5, 6 u 7 tad-DMA u l-azzjonijiet li ħadet. L-eżempji ta’ hawn taħt mhumiex eżawrjenti iżda jiddeskrivu l-każijiet ewlenin tal-azzjonijiet tal-Kummissjoni f’termini ta’ konformità mad-DMA.</w:t>
      </w:r>
    </w:p>
    <w:p w14:paraId="0222DA67" w14:textId="2AC6496A" w:rsidR="00F22ADD" w:rsidRPr="0092737C" w:rsidRDefault="00F22ADD" w:rsidP="004978B2">
      <w:pPr>
        <w:numPr>
          <w:ilvl w:val="0"/>
          <w:numId w:val="25"/>
        </w:numPr>
        <w:spacing w:before="120" w:after="120"/>
        <w:ind w:left="851"/>
        <w:jc w:val="both"/>
        <w:rPr>
          <w:noProof/>
          <w:sz w:val="24"/>
          <w:szCs w:val="24"/>
        </w:rPr>
      </w:pPr>
      <w:r>
        <w:rPr>
          <w:b/>
          <w:noProof/>
          <w:sz w:val="24"/>
        </w:rPr>
        <w:t>L-għoti ta’ kontroll lill-utenti fuq id-data tagħhom</w:t>
      </w:r>
    </w:p>
    <w:p w14:paraId="0E21557F" w14:textId="70D97780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Id-DMA jirrikonoxxi l-importanza tad-data fis-swieq diġitali, filwaqt li jenfasizza li l-akkumulazzjoni tad-data mal-gwardjani, u l-aċċess ristrett għad-data mill-kompetituri tagħhom, jistgħu jwasslu għal inqas kontestabbiltà, inqas għażla għall-utenti finali fuq id-data tagħhom stess, u inqas innovazzjoni. Fir-rigward tal-kontestabbiltà b’mod partikolari, id-DMA jispjega li l-akkumulazzjoni tad-data mill-gwardjani permezz tas-servizzi tal-pjattaforma tagħhom tista’ twassal għal ostakli għad-dħul fis-swieq fejn ikunu preżenti dawn il-gwardjani. Fi kliem ieħor, l-akkumulazzjoni tad-data tista’ tagħmilha aktar diffiċli għal atturi ġodda biex joffru s-servizzi tagħhom f’dawk is-swieq.</w:t>
      </w:r>
    </w:p>
    <w:p w14:paraId="2FD9A5D5" w14:textId="4A21E946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B’mod simili, il-kontestabbiltà tista’ tiġi mminata wkoll minn gwardjan li jirrestrinġi l-qlib jew il-multi-homing, pereżempju billi l-utenti finali ma jitħallewx jittrasferixxu d-data tagħhom. Tali restrizzjonijiet jistgħu, pereżempju, jagħmluha diffiċli għall-utenti finali biex jaqilbu minn network tal-media soċjali stabbilit għal wieħed emerġenti, minħabba l-biża’ li l-kuntatti jew il-kontenut proprju jintilfu fil-proċess. Id-DMA ifittex li jindirizza dawn il-kwistjonijiet billi jipprovdi lill-utenti finali b’aktar għażla dwar kif tintuża d-data tagħhom u kif jixtiequ jużawha, filwaqt li jiżgura wkoll li l-utenti kummerċjali jkollhom aċċess aħjar għad-data li jiġġeneraw permezz tal-użu tagħhom tas-servizzi ewlenin tal-pjattaforma.</w:t>
      </w:r>
    </w:p>
    <w:p w14:paraId="3E443A02" w14:textId="45BA2239" w:rsidR="00F13D11" w:rsidRPr="0092737C" w:rsidRDefault="004B079D" w:rsidP="00842294">
      <w:pPr>
        <w:pStyle w:val="ListParagraph"/>
        <w:ind w:left="851" w:hanging="567"/>
        <w:rPr>
          <w:noProof/>
        </w:rPr>
      </w:pPr>
      <w:r>
        <w:rPr>
          <w:noProof/>
          <w:sz w:val="24"/>
        </w:rPr>
        <w:t>Skont l-Artikolu 5(2) tad-DMA, il-gwardjani jridu jimplimentaw miżuri li jippermettu lill-utenti finali jagħżlu jekk jagħtux il-kunsens tagħhom biex id-data tagħhom tiġi kkombinata u/jew użata b’mod inkroċjat fis-servizzi tal-gwardjani. Fil-25 ta’ Marzu 2024, il-Kummissjoni ddeċidiet li tiftaħ investigazzjoni ta’ nuqqas ta’ konformità kontra Meta b’rabta ma’ dan l-obbligu.</w:t>
      </w:r>
      <w:r w:rsidR="00050664" w:rsidRPr="00C71256">
        <w:rPr>
          <w:rStyle w:val="FootnoteReference"/>
          <w:noProof/>
          <w:sz w:val="24"/>
          <w:szCs w:val="24"/>
        </w:rPr>
        <w:footnoteReference w:id="38"/>
      </w:r>
      <w:r>
        <w:rPr>
          <w:noProof/>
          <w:sz w:val="24"/>
        </w:rPr>
        <w:t xml:space="preserve"> L-investigazzjoni tivvaluta jekk il-mudell kummerċjali bbażat fuq ir-reklamar ta’ Meta “ħallas jew ikkonsenti” huwiex konformi mal-obbligu tagħha li tikseb il-kunsens mill-utenti kull meta Meta jkollha l-ħsieb li tikkombina jew tuża b’mod inkroċjat data personali tal-utent finali fis-servizzi differenti tagħha. Fis-sejbiet preliminari tagħha maħruġa fl-1 ta’ Lulju 2024, il-Kummissjoni ddeskriviet it-tħassib tagħha li l-għażla binarja imposta mill-mudell ta’ “ħallas jew ikkonsenti” ta’ Meta tista’ ma tipprovdix alternattiva reali għall-utenti li ma jkunux iridu jagħtu l-kunsens tagħhom għall-ipproċessar tad-data personali tagħhom. F’Awwissu 2024, il-Bord Ewropew għall-Protezzjoni tad-Data (“EDPB”) adotta Opinjoni skont l-Artikolu 64(2) tar-Regolament Ġenerali dwar il-Protezzjoni tad-Data (“GDPR”) dwar l-użu ta’ mudelli ta’ “ħallas jew ikkonsenti” minn pjattaformi online kbar. Fit-13 ta’ Novembru 2024, Meta aġġornat il-mudell tagħha ta’ “ħallas jew ikkonsenti” billi pprovdiet dak li hija rreferiet għalih bħala “alternattiva inqas personalizzata”. Minbarra l-investigazzjoni tagħha dwar il-konformità ta’ Meta fil-perjodu qabel it-13 ta’ Novembru 2024, il-Kummissjoni bħalissa qed tivvaluta wkoll is-soluzzjoni ta’ konformità riveduta ta’ Meta. Fir-rigward tal-portabbiltà tad-data u l-aċċess għaliha, fl-2024, il-gwardjani bdew itejbu s-soluzzjonijiet tagħhom għall-portabbiltà tad-data biex iqarrbu lejn l-iffaċilitar tal-portabbiltà u l-aċċess kontinwi tad-data f’ħin reali sabiex l-utenti finali jkunu jistgħu jġorru faċilment id-data tagħhom filwaqt li l-utenti kummerċjali jkunu jistgħu jaċċessaw faċilment id-data tagħhom. Il-gwardjani ddeżinjati kollha implimentaw soluzzjonijiet matul l-2024. Dan jinkludi soluzzjonijiet ta’ trasferiment ta’ data li jippermettu lill-utenti finali, bħal dawk ta’ Google Search jew Facebook jew TikTok, jagħtu lil partijiet terzi awtorizzati aċċess għad-data storika u futura tagħhom, li dawk il-partijiet terzi jistgħu jużaw biex joffru servizzi kompetituri jew innovattivi. Barra minn hekk, is-soluzzjonijiet għat-trasferiment tad-data diġà implimentati u mtejba b’mod sinifikanti jippermettu lill-utenti kummerċjali tad-diversi servizzi deżinjati (eż. Amazon Marketplace, Booking.com, jew YouTube) jaċċessaw id-data li jiġġeneraw fuq dawn is-servizzi.</w:t>
      </w:r>
    </w:p>
    <w:p w14:paraId="0D4A780B" w14:textId="31D3EEE9" w:rsidR="00F22ADD" w:rsidRPr="00C71256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Il-Kummissjoni ilha timmonitorja mill-qrib il-funzjonament ta’ dawn l-għodod il-ġodda, f’konsultazzjoni mal-gwardjani u ma’ firxa wiesgħa ta’ partijiet terzi interessati. Il-Kummissjoni daħlet fi djalogu regolatorju intensiv mal-gwardjani kollha biex tħeġġiġhom itejbu, fejn rilevanti, is-soluzzjonijiet ta’ konformità tagħhom abbażi ta’ feedback minn partijiet terzi. Ir-rapporti ta’ konformità li jmiss tal-gwardjani, li kienu mistennija f’Marzu 2025, għandhom jirriflettu parti minn dan it-titjib kif ukoll il-ħidma li għaddejja. Il-Kummissjoni se tkompli tiġbor feedback tas-suq dwar jekk is-soluzzjonijiet implimentati humiex effettivi biex jintlaħqu l-objettivi tad-DMA.</w:t>
      </w:r>
    </w:p>
    <w:p w14:paraId="7CEBFEA8" w14:textId="2B6C6310" w:rsidR="00F22ADD" w:rsidRPr="0092737C" w:rsidRDefault="00F22ADD" w:rsidP="004978B2">
      <w:pPr>
        <w:numPr>
          <w:ilvl w:val="0"/>
          <w:numId w:val="25"/>
        </w:numPr>
        <w:spacing w:before="120" w:after="120"/>
        <w:ind w:left="851"/>
        <w:jc w:val="both"/>
        <w:rPr>
          <w:noProof/>
          <w:sz w:val="24"/>
          <w:szCs w:val="24"/>
        </w:rPr>
      </w:pPr>
      <w:r>
        <w:rPr>
          <w:b/>
          <w:noProof/>
          <w:sz w:val="24"/>
        </w:rPr>
        <w:t>Ftuħ ta’ ekosistemi mobbli</w:t>
      </w:r>
    </w:p>
    <w:p w14:paraId="049569DF" w14:textId="7C148FC4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L-objettivi tal-kontestabbiltà u l-ġustizzja fl-ekosistemi tal-gwardjani jinvolvu l-abilitazzjoni tal-għażla tal-konsumatur billi l-utenti finali jitħallew jaċċessaw prodotti u servizzi diversi u innovattivi li jissodisfaw il-ħtiġijiet tagħhom, filwaqt li jippermettulhom ukoll jaqilbu faċilment bejn prodotti u servizzi alternattivi. Fost id-dispożizzjonijiet tad-DMA li għandhom rwol ewlieni fil-ftuħ tal-ekosistemi mobbli hemm dawk li jindirizzaw il-possibbiltà għall-iżviluppaturi li jiddistribwixxu applikazzjonijiet permezz ta’ sorsi alternattivi</w:t>
      </w:r>
      <w:r w:rsidR="000C0B01" w:rsidRPr="0092737C">
        <w:rPr>
          <w:rStyle w:val="FootnoteReference"/>
          <w:noProof/>
          <w:sz w:val="24"/>
          <w:szCs w:val="24"/>
        </w:rPr>
        <w:footnoteReference w:id="39"/>
      </w:r>
      <w:r>
        <w:rPr>
          <w:noProof/>
          <w:sz w:val="24"/>
        </w:rPr>
        <w:t xml:space="preserve"> u dawk li jirrikjedu interoperabbiltà effettiva, bdil faċli ta’ settings prestabbiliti, tneħħija tal-installazzjoni, jew il-wiri ta’ skrin tal-għażla (b’mod partikolari l-Artikoli 6(3), (4), u (7) tad-DMA).</w:t>
      </w:r>
    </w:p>
    <w:p w14:paraId="730B46C8" w14:textId="19B57435" w:rsidR="00F22ADD" w:rsidRPr="0092737C" w:rsidRDefault="00F22ADD" w:rsidP="00F22ADD">
      <w:pPr>
        <w:spacing w:before="120" w:after="120"/>
        <w:ind w:left="851"/>
        <w:jc w:val="both"/>
        <w:rPr>
          <w:i/>
          <w:iCs/>
          <w:noProof/>
          <w:sz w:val="24"/>
          <w:szCs w:val="24"/>
        </w:rPr>
      </w:pPr>
      <w:r>
        <w:rPr>
          <w:i/>
          <w:noProof/>
          <w:sz w:val="24"/>
        </w:rPr>
        <w:t>Settings prestabbiliti, skrins tal-għażla u tneħħija tal-installazzjoni</w:t>
      </w:r>
    </w:p>
    <w:p w14:paraId="12A75E65" w14:textId="6F530FC0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Waħda mill-prijoritajiet ta’ infurzar tal-Kummissjoni kienet li tipprevjeni lill-gwardjani milli jisfruttaw il-preġudizzji tal-imġiba tal-konsumaturi permezz ta’ settings prestabbiliti, u li tagħti s-setgħa lill-utenti finali biex jaqilbu faċilment bejn diversi soluzzjonijiet diġitali fuq is-sistema operattiva jew il-browser tal-web tal-gwardjani, kif previst fl-Artikolu 6(3) tad-DMA. Il-limitazzjoni tal-kapaċità tal-gwardjani li jidderieġu lin-nies lejn il-prodotti jew is-servizzi tagħhom tagħti lill-utenti kummerċjali, bħal fornituri ta’ browsers tal-web u tal-magni tat-tiftix alternattivi, opportunità li jżidu l-viżibbiltà tagħhom u li jtejbu l-prodotti u s-servizzi li joffru. Din il-kontestabbiltà akbar tas-servizzi tal-gwardjani tissarraf f’firxa akbar ta’ għażliet għall-utenti finali.</w:t>
      </w:r>
    </w:p>
    <w:p w14:paraId="39DD065C" w14:textId="444192E0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Il-Kummissjoni ħadet azzjoni deċiżiva biex tiżgura li l-gwardjani jagħtu għażla usa’ lill-utenti malajr. Il-Kummissjoni fetħet proċedimenti kontra Apple fil-25 ta’ Marzu 2024, bi tweġiba għal evidenza li l-gwardjan ma kienx qed jikkonforma b’mod effettiv mal-obbligi tiegħu biex jippermetti lill-utenti finali biex faċilment jibdlu l-konfigurazzjonijiet prestabbiliti fuq l-iOS (inkluż permezz tal-iskrin tal-għażla tal-browser tal-web) jew ineħħu l-applikazzjonijiet tas-software ta’ Apple stess fuq l-iOS. Il-Kummissjoni wettqet ukoll skambji regolatorji intensivi ma’ Alphabet u Microsoft li jridu jipprovdu wkoll lill-utenti finali bil-possibbiltà li jaqilbu faċilment is-settings prestabbiliti u jneħħu l-installazzjoni ta’ applikazzjonijiet tas-software.</w:t>
      </w:r>
    </w:p>
    <w:p w14:paraId="6F49BDB4" w14:textId="22AC622F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L-isforzi tal-Kummissjoni wasslu għal eżiti ċari u tanġibbli. Apple ħabbret serje ta’ bidliet f’Awwissu 2024: hija neħħiet diversi punti ta’ frizzjoni fil-vjaġġ tal-utent għall-għażla ta’ browser tal-web fuq l-iskrin tal-għażla u żiedet l-għadd ta’ applikazzjonijiet tas-software li l-utenti finali jistgħu jaqilbu s-settings prestabbiliti tagħhom jew ineħħu l-installazzjoni tagħhom. Hemm ukoll taqsima ġdida tas-settings prestabbiliti tal-apps, li tagħmilha aktar faċli li jinbidlu s-settings prestabbiliti. Dawn il-bidliet issa ġew implimentati kemm fuq iOS kif ukoll fuq iPadOS. Apple qed tippjana li tintroduċi aktar aġġornamenti fir-rebbiegħa tal-2025. Il-Kummissjoni se tkompli timmonitorja mill-qrib il-miżuri implimentati minn Apple u jekk il-gwardjan huwiex effettivament konformi mad-DMA.</w:t>
      </w:r>
    </w:p>
    <w:p w14:paraId="7AFF8AC3" w14:textId="4A3F7180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Alphabet issa qed turi skrin tal-għażla mtejjeb għall-magni tat-tiftix u l-web browsers fuq Chrome u Pixel, li qed jiġi introdott gradwalment fuq l-apparati kollha tal-Android. L-iskrin imtejjeb jippreżenta lill-utenti lista kompletament aleatorja ta’ servizzi alternattivi disponibbli. Il-Kummissjoni qed tkompli twettaq djalogu regolatorju ma’ Alphabet dwar l-introduzzjoni tal-iskrins tal-għażla u l-miżuri implimentati fir-rigward tal-bdil faċli tas-settings prestabbiliti u t-tneħħija tal-apps.</w:t>
      </w:r>
    </w:p>
    <w:p w14:paraId="54D8FAEB" w14:textId="7EF21FD3" w:rsidR="00636442" w:rsidRPr="0092737C" w:rsidDel="00D6031F" w:rsidRDefault="00061645" w:rsidP="0063644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Microsoft għamlitha possibbli li l-applikazzjonijiet tagħha tal-browser tal-web u tal-magni tat-tiftix online jitneħħew mill-installazzjoni fuq is-sistema operattiva Windows tagħha. Temmet ukoll ir-rakkomandazzjonijiet f’diversi esperjenzi tal-Windows biex l-Edge jiġi ssettjat bħala l-web browser prestabbilit għall-utenti fiż-Żona Ekonomika Ewropea (ŻEE). Il-Kummissjoni qed iżżomm il-pjan ta’ konformità tal-Microsoft taħt rieżami, biex tiżgura li dan jikkonforma b’mod effettiv mal-aspetti kollha tal-obbligi tagħha.</w:t>
      </w:r>
    </w:p>
    <w:p w14:paraId="165E1521" w14:textId="63262A64" w:rsidR="005447BB" w:rsidRPr="0092737C" w:rsidRDefault="00F22ADD" w:rsidP="0063644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Bħala riżultat ġenerali, qed jinħolqu aktar opportunitajiet tas-suq peress li l-utenti finali fiż-ŻEE jistgħu jiskopru u jinstallaw għażliet alternattivi b’mod aktar effettiv u jissettjawhom bħala l-għażla prestabbilita tagħhom jekk jixtiequ.</w:t>
      </w:r>
      <w:r>
        <w:rPr>
          <w:noProof/>
        </w:rPr>
        <w:t xml:space="preserve"> </w:t>
      </w:r>
      <w:r>
        <w:rPr>
          <w:noProof/>
          <w:sz w:val="24"/>
        </w:rPr>
        <w:t>Barra minn hekk, il-Kummissjoni tkompli tivvaluta jekk huwiex meħtieġ aktar titjib biex tkun tista’ ssir għażla ġenwina.</w:t>
      </w:r>
    </w:p>
    <w:p w14:paraId="6F88C4EE" w14:textId="77777777" w:rsidR="00F22ADD" w:rsidRPr="0092737C" w:rsidRDefault="00F22ADD" w:rsidP="00F22ADD">
      <w:pPr>
        <w:tabs>
          <w:tab w:val="left" w:pos="1544"/>
          <w:tab w:val="left" w:pos="1546"/>
        </w:tabs>
        <w:spacing w:before="120" w:after="120"/>
        <w:ind w:left="851" w:hanging="851"/>
        <w:jc w:val="both"/>
        <w:rPr>
          <w:i/>
          <w:iCs/>
          <w:noProof/>
          <w:sz w:val="24"/>
          <w:szCs w:val="24"/>
        </w:rPr>
      </w:pPr>
      <w:r>
        <w:rPr>
          <w:i/>
          <w:noProof/>
          <w:sz w:val="24"/>
        </w:rPr>
        <w:tab/>
        <w:t>Steering</w:t>
      </w:r>
    </w:p>
    <w:p w14:paraId="6CF7D1D9" w14:textId="066607C0" w:rsidR="00F22ADD" w:rsidRPr="0092737C" w:rsidRDefault="001F5240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Fil-25 ta’ Marzu 2024, il-Kummissjoni nediet żewġ investigazzjonijiet dwar Apple u Alphabet, li jipprovdu l-kanali ta’ distribuzzjoni ewlenin għall-applikazzjonijiet tas-software (apps) fuq apparati mobbli fiż-ŻEE. L-investigazzjonijiet tnedew biex jiġi eżaminat jekk iż-żewġ gwardjani kinux jikkonformaw mal-obbligu, skont l-Artikolu 5(4) tad-DMA, li jobbligahom jippermettu lill-iżviluppaturi tal-apps – li ħafna minnhom huma intrapriżi żgħar u ta’ daqs medju u negozji ġodda Ewropej – biex “jidderieġu” lill-konsumaturi mingħajr ħlas għal offerti barra mill-ħwienet tal-applikazzjonijiet (app stores) tal-gwardjani.</w:t>
      </w:r>
    </w:p>
    <w:p w14:paraId="47FD0F44" w14:textId="0AB51249" w:rsidR="002B29CE" w:rsidRPr="0092737C" w:rsidRDefault="00F22ADD" w:rsidP="002B29CE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Fl-24 ta’ Ġunju 2024, il-Kummissjoni infurmat lil Apple dwar il-fehma preliminari tagħha li l-politiki tagħha dwar l-App Store kisru d-DMA minħabba restrizzjonijiet fuq l-iżviluppaturi tal-apps milli jippromwovu offerti u kontenut esterni lill-konsumaturi, u b’hekk ċaħħdu lill-utenti finali minn possibbiltajiet ta’ xiri alternattivi u possibbilment orħos.</w:t>
      </w:r>
    </w:p>
    <w:p w14:paraId="2DA32720" w14:textId="77777777" w:rsidR="00F22ADD" w:rsidRPr="0092737C" w:rsidRDefault="00F22ADD" w:rsidP="00F22ADD">
      <w:pPr>
        <w:tabs>
          <w:tab w:val="left" w:pos="1544"/>
          <w:tab w:val="left" w:pos="1546"/>
        </w:tabs>
        <w:spacing w:before="120" w:after="120"/>
        <w:ind w:left="851" w:hanging="851"/>
        <w:jc w:val="both"/>
        <w:rPr>
          <w:i/>
          <w:iCs/>
          <w:noProof/>
          <w:sz w:val="24"/>
          <w:szCs w:val="24"/>
        </w:rPr>
      </w:pPr>
      <w:r>
        <w:rPr>
          <w:i/>
          <w:noProof/>
          <w:sz w:val="24"/>
        </w:rPr>
        <w:tab/>
        <w:t>Interoperabbiltà</w:t>
      </w:r>
    </w:p>
    <w:p w14:paraId="6720B231" w14:textId="099B921B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Swieq ġusti u kontestabbli jiddependu wkoll fuq l-interoperabbiltà biex jirnexxu, sabiex il-gwardjani ma jkunux jistgħu jisfruttaw ir-rwoli doppji tagħhom</w:t>
      </w:r>
      <w:r w:rsidRPr="001B3962">
        <w:rPr>
          <w:rStyle w:val="FootnoteReference"/>
          <w:noProof/>
        </w:rPr>
        <w:footnoteReference w:id="40"/>
      </w:r>
      <w:r>
        <w:rPr>
          <w:noProof/>
          <w:sz w:val="24"/>
        </w:rPr>
        <w:t>, xprunati mill-integrazzjoni tal-prodotti, biex joħonqu l-kompetizzjoni. Billi tiffaċilita l-aċċess għall-funzjonalitajiet kritiċi tal-gwardjani għal fornituri alternattivi, il-Kummissjoni tfittex li tissalvagwardja l-kapaċità ta’ dawk il-fornituri alternattivi li jikkompetu billi jkomplu jinnovaw.</w:t>
      </w:r>
    </w:p>
    <w:p w14:paraId="6C60EB26" w14:textId="04B001D8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Fid-19 ta’ Settembru 2024, il-Kummissjoni bdiet żewġ proċedimenti ta’ speċifikazzjoni biex tassisti lil Apple tikkonforma mal-obbligi tagħha ta’ interoperabbiltà skont id-DMA skont l-Artikolu 6(7) tad-DMA. L-ewwel proċediment jiffoka fuq diversi karatteristiċi u funzjonalitajiet tal-konnettività tal-iOS, użati b’mod predominanti għal u minn apparati konnessi (eż. smartwatches jew headphones). It-tieni proċediment jiffoka fuq il-proċess li waqqfet Apple biex tipproċessa talbiet għall-interoperabbiltà sottomessi mill-iżviluppaturi u partijiet terzi għal iOS u iPadOS. Fid-19 ta’ Diċembru 2024, il-Kummissjoni bagħtet sejbiet preliminari lil Apple b’rabta maż-żewġ proċedimenti ta’ speċifikazzjoni, u b’mod parallel nediet żewġ konsultazzjonijiet pubbliċi korrispondenti.</w:t>
      </w:r>
    </w:p>
    <w:p w14:paraId="0893A519" w14:textId="35A618FA" w:rsidR="0003441C" w:rsidRPr="0092737C" w:rsidRDefault="008603D3" w:rsidP="00250A35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Nuqqas ta’ interoperabbiltà jippermetti wkoll lill-gwardjani li jipprovdu servizzi ta’ messaġġi jibbenefikaw minn effetti qawwija tan-network, li jaġixxu bħala ostaklu għall-qlib u jillimitaw l-għażla u l-kontestabbiltà tal-konsumatur. F’dan il-kuntest, il-Kummissjoni qed timmonitorja l-progress ta’ Meta biex tagħmel lil WhatsApp u Messenger interoperabbli skont l-obbligu tagħha skont id-DMA. Wara feedback mill-Kummissjoni u minn partijiet terzi, Meta għamlet xi bidliet fis-soluzzjoni tagħha. Il-Kummissjoni qed timmonitorja dawn l-iżviluppi biex tiżgura li l-partijiet terzi interessati jkunu jistgħu jinteroperaw b’mod effettiv ma’ WhatsApp u Messenger.</w:t>
      </w:r>
    </w:p>
    <w:p w14:paraId="5D29F97A" w14:textId="44E27C17" w:rsidR="00F22ADD" w:rsidRPr="0092737C" w:rsidRDefault="002B29CE" w:rsidP="00C62472">
      <w:pPr>
        <w:tabs>
          <w:tab w:val="left" w:pos="1544"/>
          <w:tab w:val="left" w:pos="1546"/>
        </w:tabs>
        <w:spacing w:before="120" w:after="120"/>
        <w:ind w:left="851"/>
        <w:jc w:val="both"/>
        <w:rPr>
          <w:bCs/>
          <w:i/>
          <w:iCs/>
          <w:noProof/>
          <w:sz w:val="24"/>
          <w:szCs w:val="24"/>
        </w:rPr>
      </w:pPr>
      <w:r>
        <w:rPr>
          <w:i/>
          <w:noProof/>
          <w:sz w:val="24"/>
        </w:rPr>
        <w:t>Kanali ta’ distribuzzjoni alternattivi</w:t>
      </w:r>
    </w:p>
    <w:p w14:paraId="2E54B415" w14:textId="2D93A215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L-iżgurar tal-kontestabbiltà fir-rigward tad-distribuzzjoni tal-apps u tal-app stores jagħti lill-utenti kummerċjali l-libertà li jiddeċiedu liema mezzi jixtiequ jużaw biex jiddistribwixxu l-apps tagħhom, u jagħti lill-utenti finali l-libertà li jaċċessaw dawn l-apps jew l-app stores barra mis-servizzi ewlenin tal-pjattaforma ta’ gwardjan. Biex tiġi żgurata l-kontestabbiltà, li tipprovdi kemm lin-negozji kif ukoll lill-utenti finali b’aktar għażla u tħeġġeġ l-innovazzjoni, il-gwardjani jeħtiġilhom ma jitħallewx jimponu restrizzjonijiet fuq l-utenti finali dwar liema apps jew app stores jistgħu jaċċessaw.</w:t>
      </w:r>
    </w:p>
    <w:p w14:paraId="028D5FA7" w14:textId="7187096F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Fil-prattika, dan ifisser li Apple trid tippermetti lill-utenti finali tal-apparati tal-iPhone jinstallaw apps għajr permezz tal-App Store ta’ Apple stess, pereżempju billi tippermetti l-installazzjoni u l-użu ta’ app stores ta’ partijiet terzi u t-tniżżil dirett ta’ apps mill-web. L-obbligi tad-DMA, applikabbli għal Apple minn Marzu 2024, wasslu għat-tnedija ta’ għadd ta’ app stores ta’ partijiet terzi fl-Unjoni Ewropea, bħal AltStore, Aptoide, u Epic.</w:t>
      </w:r>
    </w:p>
    <w:p w14:paraId="049B2ADD" w14:textId="6E7E234D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Filwaqt li dawn huma żviluppi pożittivi, fit-tfittxija tagħha ta’ kontestabbiltà effettiva, fl-24 ta’ Ġunju 2024 il-Kummissjoni fetħet investigazzjoni fir-rigward tal-konformità ta’ Apple mad-DMA rigward it-termini kuntrattwali li Apple imponiet fuq l-iżviluppaturi li jixtiequ jipprovdu app stores ta’ partijiet terzi jew joffru l-apps tagħhom permezz ta’ tali app stores. B’mod partikolari, l-investigazzjoni qed teżamina: it-Tariffa Teknoloġika Ewlenija proposta minn Apple, li taħtha l-iżviluppaturi ta’ app stores ta’ partijiet terzi u apps ta’ partijiet terzi jridu jħallsu tariffa ta’ EUR 0,50 għal kull app installata; il-vjaġġ tal-utenti f’diversi stadji impost minn Apple għat-tniżżil u l-installazzjoni ta’ app stores jew apps alternattivi fuq l-iOS; u r-rekwiżiti ta’ eliġibbiltà għall-iżviluppaturi biex ikunu jistgħu joffru app stores alternattivi jew jiddistribwixxu direttament apps mill-web fuq l-iOS.</w:t>
      </w:r>
    </w:p>
    <w:p w14:paraId="4FC825AC" w14:textId="781D3D47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Bħal Apple, Alphabet trid tiżgura li sorsi alternattivi ta’ distribuzzjoni tal-apps ikunu attivati b’mod effettiv fuq is-sistema operattiva tagħha tal-Android. Il-Kummissjoni qed tkompli taħdem ma’ Alphabet u ma’ partijiet terzi interessati biex tindirizza t-tħassib potenzjali dwar il-konformità effettiva tat-termini ta’ Android ta’ Alphabet mad-DMA.</w:t>
      </w:r>
    </w:p>
    <w:p w14:paraId="4C5A0999" w14:textId="14C4B3D3" w:rsidR="00F22ADD" w:rsidRPr="0092737C" w:rsidRDefault="00F96D32" w:rsidP="004978B2">
      <w:pPr>
        <w:numPr>
          <w:ilvl w:val="0"/>
          <w:numId w:val="25"/>
        </w:numPr>
        <w:spacing w:before="120" w:after="120"/>
        <w:ind w:left="851"/>
        <w:jc w:val="both"/>
        <w:rPr>
          <w:noProof/>
          <w:sz w:val="24"/>
          <w:szCs w:val="24"/>
        </w:rPr>
      </w:pPr>
      <w:bookmarkStart w:id="4" w:name="_Hlk193732499"/>
      <w:r>
        <w:rPr>
          <w:b/>
          <w:noProof/>
          <w:sz w:val="24"/>
        </w:rPr>
        <w:t xml:space="preserve">Tiftix </w:t>
      </w:r>
      <w:bookmarkEnd w:id="4"/>
      <w:r>
        <w:rPr>
          <w:b/>
          <w:noProof/>
          <w:sz w:val="24"/>
        </w:rPr>
        <w:t>online ġust</w:t>
      </w:r>
    </w:p>
    <w:p w14:paraId="352F0022" w14:textId="59334FD6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L-iżgurar tat-trattament ugwali u s-salvagwardja kontra prattiki diskriminatorji huma fost il-prerekwiżiti għal tiftix ġust u swieq ta’ tiftix online kontestabbli. F’dan l-isfond, id-DMA għandu l-għan li jipproteġi lill-utenti kummerċjali minn kompetizzjoni inġusta mis-servizzi tal-gwardjani, u li joffri lil fornituri oħra tal-magni tat-tiftix online aktar opportunitajiet biex jiżviluppaw alternattivi ġodda ta’ tiftix.</w:t>
      </w:r>
    </w:p>
    <w:p w14:paraId="6724F21D" w14:textId="109B9F5F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Il-projbizzjoni fuq l-awtopreferenzjar mill-gwardjani, stabbilita fl-Artikolu 6(5) tad-DMA, hija wiesgħa u tindirizza l-forom kollha ta’ awtopreferenzjar. Fir-rigward ta’ Alphabet, hija tkopri s-servizzi ta’ tiftix vertikali tagħha stess ikklassifikati jew inkorporati fir-riżultati ta’ Google Search. Dan ikopri wkoll każijiet fejn Alphabet tittratta s-servizzi tal-kontenut tagħha stess b’mod aktar favorevoli minn fornituri oħra tal-kontenut ikklassifikati wkoll fuq Google Search. Il-Kummissjoni fetħet proċedimenti kontra Alphabet fil-25 ta’ Marzu 2024 minħabba tħassib li l-gwardjan qed jippreferi s-servizzi ta’ tiftix jew kontenut vertikali tiegħu stess fuq rivali simili attivi f’oqsma bħall-ospitalità, l-ivvjaġġar, il-kummerċ elettroniku, jew il-ħolqien tal-kontenut, bi ksur tal-Artikolu 6(5) tad-DMA.</w:t>
      </w:r>
    </w:p>
    <w:p w14:paraId="0F69339B" w14:textId="31A9A5E3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Barra minn hekk, l-Artikolu 6(11) tad-DMA jagħti mandat għall-kondiviżjoni tad-data dwar il-klikks u t-tiftix minn magni tat-tiftix deżinjati ma’ fornituri alternattivi ta’ magni tat-tiftix. Dan l-obbligu huwa maħsub biex irawwem il-kontestabbiltà minn magni tat-tiftix ta’ partijiet terzi.</w:t>
      </w:r>
    </w:p>
    <w:p w14:paraId="51ED7874" w14:textId="3E5DDB3C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F’Marzu 2024, Alphabet ipproponiet soluzzjoni ta’ liċenzjar tad-data biex tikkonforma mal-obbligu tad-DMA li taqsam id-data dwar il-klassifikazzjoni, il-mistoqsijiet, il-klikks u l-viżwalizzazzjoni. Il-Kummissjoni tinsab fil-proċess li tivvaluta l-konformità ta’ din is-soluzzjoni ta’ liċenzjar mal-Artikolu 6(11) tad-DMA. Il-Kummissjoni kienet f’kuntatt ma’ Alphabet u benefiċjarji potenzjali dwar il-kwistjoni. Hija qiegħda tiddiskuti wkoll il-kundizzjonijiet għall-kondiviżjoni effettiva tad-data skont l-Artikolu 6(11) tad-DMA mal-awtoritajiet tal-protezzjoni tad-data, b’mod partikolari fil-kuntest tal-HLG.</w:t>
      </w:r>
    </w:p>
    <w:p w14:paraId="22EEE856" w14:textId="0B3303E1" w:rsidR="00F22ADD" w:rsidRPr="0092737C" w:rsidRDefault="00F96D32" w:rsidP="00C62472">
      <w:pPr>
        <w:numPr>
          <w:ilvl w:val="0"/>
          <w:numId w:val="25"/>
        </w:numPr>
        <w:spacing w:before="120" w:after="120"/>
        <w:ind w:left="851"/>
        <w:jc w:val="both"/>
        <w:rPr>
          <w:noProof/>
          <w:sz w:val="24"/>
          <w:szCs w:val="24"/>
        </w:rPr>
      </w:pPr>
      <w:r>
        <w:rPr>
          <w:b/>
          <w:noProof/>
          <w:sz w:val="24"/>
        </w:rPr>
        <w:t>Swieq online</w:t>
      </w:r>
    </w:p>
    <w:p w14:paraId="4253E576" w14:textId="4B45D2AB" w:rsidR="00F22ADD" w:rsidRPr="0092737C" w:rsidRDefault="008068E7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L-objettiv ta’ ambjent tan-negozju ġust u kontestabbli għas-swieq online u l-intermedjazzjoni online huwa segwit minn għadd ta’ dispożizzjonijiet tad-DMA, bħal dawk li jipprojbixxu l-klawżoli ta’ parità, jipprojbixxu l-awtopreferenzjar fil-klassifikazzjoni, itaffu l-vantaġġi inġusti tad-data, u jrawmu l-aċċess għad-data u l-portabbiltà għall-utenti.</w:t>
      </w:r>
    </w:p>
    <w:p w14:paraId="2796BEE1" w14:textId="49B6532C" w:rsidR="00F22ADD" w:rsidRPr="0092737C" w:rsidRDefault="004861CE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Id-DMA tipprojbixxi kwalunkwe forma ta’ parità (ristretta jew wiesgħa), li tkopri prattiki kummerċjali lil hinn mill-prezz u tinkludi kwalunkwe miżura li twassal għall-istess effett bħal klawżola ta’ parità. B’hekk tistabbilixxi l-possibbiltà għall-utenti kummerċjali li jiddifferenzjaw it-termini kummerċjali bejn diversi kanali ta’ distribuzzjoni. B’riżultat ta’ dan, id-DMA għandha l-għan li tneħħi l-ostakli ta’ parità li jikkonċernaw l-għażliet tal-utenti kummerċjali li joffru prodotti jew servizzi permezz ta’ pjattaformi alternattivi u kanali ta’ bejgħ dirett. Tali restrizzjoni tapplika għal kwalunkwe miżura b’effett ekwivalenti għal klawżoli ta’ parità, bħal rati ta’ kummissjoni miżjuda jew it-tneħħija tal-offerti tal-utenti kummerċjali mil-lista.</w:t>
      </w:r>
    </w:p>
    <w:p w14:paraId="16D8C93F" w14:textId="7EF7A7F4" w:rsidR="00402DD6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F’dan ir-rigward, Booking indikat</w:t>
      </w:r>
      <w:r w:rsidRPr="001B3962">
        <w:rPr>
          <w:rStyle w:val="FootnoteReference"/>
          <w:noProof/>
        </w:rPr>
        <w:footnoteReference w:id="41"/>
      </w:r>
      <w:r>
        <w:rPr>
          <w:noProof/>
          <w:sz w:val="24"/>
        </w:rPr>
        <w:t xml:space="preserve"> li, sabiex tikkonforma ruħha mad-DMA, hija kienet, minn naħa, neħħiet iż-ŻEE mil-lista ta’ territorji suġġetti għal rekwiżiti ta’ parità fil-kundizzjonijiet ġenerali tagħha u, min-naħa l-oħra, introduċiet verżjoni aġġornata ta’ dawn it-termini li ma għadhiex tirreferi għall-parità</w:t>
      </w:r>
      <w:r w:rsidRPr="001B3962">
        <w:rPr>
          <w:rStyle w:val="FootnoteReference"/>
          <w:noProof/>
        </w:rPr>
        <w:footnoteReference w:id="42"/>
      </w:r>
      <w:r>
        <w:rPr>
          <w:noProof/>
          <w:sz w:val="24"/>
        </w:rPr>
        <w:t>. Booking indikat ukoll li kienet waqfet tuża l-prezzijiet esterni bħala input għall-Programmi Premium tagħha.</w:t>
      </w:r>
    </w:p>
    <w:p w14:paraId="5D257D80" w14:textId="75EE5D8F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Amazon irrapportat li, skont l-awtovalutazzjoni tagħha stess, hija ma kenitx tuża klawżoli ta’ parità li jkunu inkompatibbli mad-DMA. Gwardjani oħra rrapportaw mekkaniżmi ta’ konformità li jħarsu ’l quddiem li għandhom jipprevjenu l-introduzzjoni ta’ obbligi ta’ parità għall-utenti kummerċjali fil-futur</w:t>
      </w:r>
      <w:r w:rsidRPr="001B3962">
        <w:rPr>
          <w:rStyle w:val="FootnoteReference"/>
          <w:noProof/>
        </w:rPr>
        <w:footnoteReference w:id="43"/>
      </w:r>
      <w:r>
        <w:rPr>
          <w:noProof/>
          <w:sz w:val="24"/>
        </w:rPr>
        <w:t>. Il-Kummissjoni se tkompli timmonitorja u tivvaluta jekk l-obbligi rilevanti tad-DMA humiex qed jiġu ssodisfati b’mod effettiv, jekk hemmx xi riskju ta’ ċirkomvenzjoni, u jekk il-gwardjani jistgħux ikunu qed jużaw miżuri alternattivi b’effett simili.</w:t>
      </w:r>
    </w:p>
    <w:p w14:paraId="024C8772" w14:textId="12871085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B’mod simili għall-projbizzjoni applikabbli għat-tiftix online, is-servizzi tal-intermedjazzjoni online huma soġġetti wkoll għall-projbizzjoni tad-DMA fuq l-awtopreferenzjar. Dan biex jiġu żgurati swieq online ġusti u kontestabbli għall-eluf ta’ utenti kummerċjali li jikkompetu direttament mal-prodotti u s-servizzi tal-gwardjani fuq il-pjattaformi proprji ta’ dawn il-gwardjani. Min-naħa tiegħu, dan huwa ta’ benefiċċju wkoll għall-utenti finali li għalhekk jistgħu jsibu għażla usa’ ta’ prodotti u servizzi fuq il-pjattaformi tal-gwardjani. Kif imħabbar fil-25 ta’ Marzu 2024, il-Kummissjoni kienet qed twettaq passi investigattivi preliminari biex tivvaluta l-konformità ta’ Amazon mad-DMA fir-rigward ta’ prattiki potenzjali ta’ awtopreferenzjar.</w:t>
      </w:r>
    </w:p>
    <w:p w14:paraId="4CF4E220" w14:textId="54A70E07" w:rsidR="00F22ADD" w:rsidRPr="0092737C" w:rsidRDefault="00F22ADD" w:rsidP="00C86C23">
      <w:pPr>
        <w:pStyle w:val="Heading2"/>
        <w:numPr>
          <w:ilvl w:val="0"/>
          <w:numId w:val="28"/>
        </w:numPr>
        <w:ind w:left="851" w:hanging="851"/>
        <w:rPr>
          <w:b w:val="0"/>
          <w:bCs w:val="0"/>
          <w:noProof/>
        </w:rPr>
      </w:pPr>
      <w:r>
        <w:rPr>
          <w:noProof/>
        </w:rPr>
        <w:t xml:space="preserve"> Informazzjoni dwar il-konċentrazzjonijiet</w:t>
      </w:r>
    </w:p>
    <w:p w14:paraId="6993CAEE" w14:textId="31B06969" w:rsidR="00F22ADD" w:rsidRPr="0092737C" w:rsidRDefault="00BF5286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Skont l-Artikolu 14 tad-DMA, il-gwardjani huma meħtieġa jinfurmaw lill-Kummissjoni dwar kwalunkwe konċentrazzjoni li beħsiebhom iwettqu meta l-entitajiet li jkunu qed jingħaqdu jew il-mira tal-konċentrazzjoni jipprovdu servizzi ewlenin ta’ pjattaformi jew servizzi oħra fis-settur diġitali jew jippermettu l-ġbir tad-data.</w:t>
      </w:r>
    </w:p>
    <w:p w14:paraId="65DCED1E" w14:textId="3CC1AB37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Fl-2024, il-Kummissjoni rċeviet 15-il sottomissjoni ta’ konċentrazzjonijiet maħsuba mill-gwardjani. Sommarji mhux kunfidenzjali tal-informazzjoni sottomessa mill-gwardjani f’konformità mal-Artikolu 14 tad-DMA ġew ippubblikati fuq is-sit web tal-Kummissjoni għal disgħa minn dawk is-sottomissjonijiet</w:t>
      </w:r>
      <w:r w:rsidRPr="001B3962">
        <w:rPr>
          <w:rStyle w:val="FootnoteReference"/>
          <w:noProof/>
        </w:rPr>
        <w:footnoteReference w:id="44"/>
      </w:r>
      <w:r>
        <w:rPr>
          <w:noProof/>
          <w:sz w:val="24"/>
        </w:rPr>
        <w:t>, flimkien mad-data tan-notifika u l-identità tal-impriżi.</w:t>
      </w:r>
    </w:p>
    <w:p w14:paraId="67817DE0" w14:textId="6CD2419B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B’mod partikolari, diversi sottomissjonijiet, riċevuti f’konformità mal-Artikolu 14 tad-DMA, kienu jikkonċernaw ftehimiet relatati mal-akkwist ta’ talent, prattika li hija magħrufa wkoll bħala “acqui-hiring”</w:t>
      </w:r>
      <w:r w:rsidRPr="001B3962">
        <w:rPr>
          <w:rStyle w:val="FootnoteReference"/>
          <w:noProof/>
        </w:rPr>
        <w:footnoteReference w:id="45"/>
      </w:r>
      <w:r>
        <w:rPr>
          <w:noProof/>
          <w:sz w:val="24"/>
        </w:rPr>
        <w:t>. Tranżazzjonijiet bħal dawn jistgħu jieħdu forom differenti. Tipikament jinvolvu ftehimiet ta’ reklutaġġ għal persunal ewlieni fil-kumpanija fil-mira iżda mhux dejjem jinvolvu l-akkwist ta’ ishma jew assi tal-kumpanija fil-mira. Jekk tranżazzjoni ta’ “acqui-hiring” tikkostitwixxix konċentrazzjoni skont it-tifsira tal-Artikolu 3 tar-Regolament (KE) Nru 139/2004 mhuwiex dejjem ċar u jista’ jeħtieġ analiżi bir-reqqa każ b’każ</w:t>
      </w:r>
      <w:r w:rsidRPr="001B3962">
        <w:rPr>
          <w:rStyle w:val="FootnoteReference"/>
          <w:noProof/>
        </w:rPr>
        <w:footnoteReference w:id="46"/>
      </w:r>
      <w:r>
        <w:rPr>
          <w:noProof/>
          <w:sz w:val="24"/>
        </w:rPr>
        <w:t>.</w:t>
      </w:r>
    </w:p>
    <w:p w14:paraId="6DC6DC61" w14:textId="173E6036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L-Artikolu 14 tad-DMA jsaħħaħ it-trasparenza dwar l-akkwiżizzjonijiet mill-gwardjani u jippermetti lill-Kummissjoni tidentifika xejriet usa’ tal-akkwiżizzjoni fis-settur diġitali. Barra minn hekk, il-Kummissjoni tikkondividi informazzjoni dwar l-akkwiżizzjonijiet mal-Istati Membri. Dawn, min-naħa tagħhom, jistgħu jużaw din l-informazzjoni għal skopijiet nazzjonali ta’ kontroll tal-amalgamazzjonijiet. Meta l-Istati Membri jkollhom ġuriżdizzjoni nazzjonali, jibqa’ possibbli għall-awtoritajiet nazzjonali kompetenti (“NCAs”) li jirreferu l-konċentrazzjonijiet lill-Kummissjoni.</w:t>
      </w:r>
    </w:p>
    <w:p w14:paraId="0101658F" w14:textId="3561CBC0" w:rsidR="00F22ADD" w:rsidRPr="0092737C" w:rsidRDefault="00F22ADD" w:rsidP="004978B2">
      <w:pPr>
        <w:pStyle w:val="Heading1"/>
        <w:ind w:left="851" w:hanging="567"/>
        <w:rPr>
          <w:noProof/>
        </w:rPr>
      </w:pPr>
      <w:r>
        <w:rPr>
          <w:smallCaps/>
          <w:noProof/>
        </w:rPr>
        <w:t>VALUTAZZJONI</w:t>
      </w:r>
      <w:r>
        <w:rPr>
          <w:noProof/>
        </w:rPr>
        <w:t xml:space="preserve"> TAD-DESKRIZZJONI AWDITJATA TAT-TEKNIKI TAT-TFASSIL TAL-PROFILI TAL-KONSUMATUR</w:t>
      </w:r>
    </w:p>
    <w:p w14:paraId="5D9A6651" w14:textId="70350E49" w:rsidR="00E90B8F" w:rsidRDefault="00E90B8F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Skont l-Artikolu 15 tad-DMA, il-gwardjani huma meħtieġa jippreżentaw lill-Kummissjoni deskrizzjoni awditjata b’mod indipendenti ta’ kwalunkwe teknika tat-tfassil tal-profili tal-konsumaturi li japplikaw għal kwalunkwe wieħed mis-servizzi ewlenin tal-pjattaforma elenkati fid-deċiżjonijiet tad-deżinjazzjoni tagħhom f’konformità mal-Artikolu 3(9) tad-DMA jew bejniethom. Jenħtieġ li jippubblikaw ukoll ħarsa ġenerali lejn id-deskrizzjoni. L-iskadenza għas-sottomissjoni tad-deskrizzjonijiet awditjati u l-pubblikazzjoni tal-ħarsa ġenerali hija sitt xhur wara d-deċiżjoni tad-deżinjazzjoni. Il-gwardjani huma meħtieġa wkoll jaġġornaw dawn id-dokumenti fuq bażi annwali fil-futur.</w:t>
      </w:r>
    </w:p>
    <w:p w14:paraId="74B257CC" w14:textId="032C8296" w:rsidR="00BF1ABB" w:rsidRPr="0025310B" w:rsidRDefault="00BF1ABB" w:rsidP="0025310B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Il-Kummissjoni kienet lesta li toffri gwida u pprovdiet pariri lill-gwardjani bi tħejjija għall-obbligi ta’ rapportar tagħhom, bħala parti mid-diskussjonijiet ta’ qabel il-konformità.</w:t>
      </w:r>
    </w:p>
    <w:p w14:paraId="4A2BD936" w14:textId="61C2B751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Is-sitt gwardjani ddeżinjati fil-5 ta’ Settembru 2023 kienu meħtieġa jissottomettu d-deskrizzjoni awditjata tar-rapporti tagħhom lill-Kummissjoni u jippubblikaw il-ħarsa ġenerali pubblika korrispondenti sas-7 ta’ Marzu 2024. Sa dik id-data, il-Kummissjoni kienet irċeviet deskrizzjonijiet awditjati ta’ tali rapporti mingħand Alphabet, Amazon, Apple, Meta, u Microsoft. Id-deskrizzjoni awditjata ta’ ByteDance segwiet b’xi dewmien, li l-Kummissjoni ġiet infurmata dwaru minn qabel, fid-9 ta’ April 2024. Booking Holdings, magħżula fit-13 ta’ Mejju 2024, issottomettiet id-deskrizzjoni awditjata tagħha u ppubblikat il-ħarsa ġenerali pubblika korrispondenti fit-13 ta’ Novembru 2024. Kif meħtieġ mill-Artikolu 15(1) tad-DMA, il-Kummissjoni bagħtet kif xieraq id-deskrizzjonijiet awditjati kollha lill-Bord Ewropew għall-Protezzjoni tad-Data (“EDPB”).</w:t>
      </w:r>
    </w:p>
    <w:p w14:paraId="0F38D91E" w14:textId="087687ED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Il-Kummissjoni pprovdiet feedback lill-gwardjani dwar ir-rapporti awditjati tagħhom u se tkompli tanalizza l-materjal kollu ppreżentat mill-gwardjani lill-Kummissjoni f’konformità mal-Artikolu 15 tad-DMA. Il-Kummissjoni se tikkunsidra miżuri ta’ segwitu fejn xieraq, bħall-aġġornament tal-mudell</w:t>
      </w:r>
      <w:r w:rsidR="00F429DF">
        <w:rPr>
          <w:rStyle w:val="FootnoteReference"/>
          <w:noProof/>
          <w:sz w:val="24"/>
          <w:szCs w:val="24"/>
        </w:rPr>
        <w:footnoteReference w:id="47"/>
      </w:r>
      <w:r>
        <w:rPr>
          <w:noProof/>
          <w:sz w:val="24"/>
        </w:rPr>
        <w:t>. Se tkompli wkoll taħdem mal-EDPB u mal-HLG rigward l-Artikolu 15 tad-DMA bħala qasam potenzjali ta’ interess għal, fost l-oħrajn, l-awtoritajiet Ewropej u nazzjonali tal-protezzjoni tad-data u tal-infurzar tal-konsumatur.</w:t>
      </w:r>
    </w:p>
    <w:p w14:paraId="12EE07FA" w14:textId="419FB2CD" w:rsidR="00F22ADD" w:rsidRPr="0092737C" w:rsidRDefault="00F22ADD" w:rsidP="004978B2">
      <w:pPr>
        <w:pStyle w:val="Heading1"/>
        <w:ind w:left="851" w:hanging="567"/>
        <w:rPr>
          <w:b w:val="0"/>
          <w:bCs w:val="0"/>
          <w:noProof/>
        </w:rPr>
      </w:pPr>
      <w:r>
        <w:rPr>
          <w:noProof/>
        </w:rPr>
        <w:t>KOOPERAZZJONI BEJN IL-KUMMISSJONI U L-AWTORITAJIET NAZZJONALI</w:t>
      </w:r>
    </w:p>
    <w:p w14:paraId="50B4BE83" w14:textId="0CFB2460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bookmarkStart w:id="5" w:name="_Hlk187252880"/>
      <w:r>
        <w:rPr>
          <w:noProof/>
          <w:sz w:val="24"/>
        </w:rPr>
        <w:t>Id-DMA jistabbilixxi l-prinċipji ġenerali li jirregolaw l-interazzjoni tiegħu ma’ strumenti legali rilevanti oħra tal-Unjoni, bħall-kompetizzjoni, il-protezzjoni tad-data, u l-liġi dwar il-protezzjoni tal-konsumatur. Dawn il-prinċipji huma deskritti fl-Artikoli 1(5) u 1(6) tad-DMA. Barra minn hekk, l-Artikolu 37 tad-DMA jipprevedi li l-Kummissjoni u l-Istati Membri għandhom jaħdmu f’kooperazzjoni mill-qrib u jikkoordinaw l-azzjonijiet ta’ infurzar tagħhom biex jiżguraw infurzar koerenti, effettiv u komplementari. L-Artikolu 38 tad-DMA jirrikjedi li l-Kummissjoni u l-NCAs li jinfurzaw ir-regoli tal-kompetizzjoni jikkooperaw ma’ xulxin permezz tan-Network Ewropew għall-Kompetizzjoni (“NEK”).</w:t>
      </w:r>
    </w:p>
    <w:p w14:paraId="5918E219" w14:textId="4718D3E2" w:rsidR="00F22ADD" w:rsidRPr="0025310B" w:rsidRDefault="00F22ADD" w:rsidP="00AB2213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 xml:space="preserve">F’konformità mal-Artikolu 38 tad-DMA, il-Kummissjoni kkooperat u kkoordinat mill-qrib mal-NCAs permezz tan-NEK, u kompliet storja twila ta’ kooperazzjoni mill-qrib permezz ta’ dan il-qafas li tmur lura għal aktar minn 20 sena. B’mod partikolari, il-Kummissjoni u l-NCAs żammew lil xulxin sistematikament infurmati dwar l-azzjonijiet ta’ infurzar rispettivi tagħhom, f’konformità mal-Artikolu 38(1) tad-DMA. </w:t>
      </w:r>
      <w:bookmarkStart w:id="6" w:name="_Hlk193733798"/>
      <w:r>
        <w:rPr>
          <w:noProof/>
          <w:sz w:val="24"/>
        </w:rPr>
        <w:t>Bis-saħħa ta’ dan l-iskambju ta’ informazzjoni u l-ħidma tan-NEK, il-Kummissjoni u l-NCAs ikkooperaw u kkoordinaw tajjeb u b’mod effettiv fl-2024.</w:t>
      </w:r>
      <w:bookmarkEnd w:id="6"/>
    </w:p>
    <w:p w14:paraId="2AA6AF07" w14:textId="3A547BB3" w:rsidR="00F22ADD" w:rsidRPr="0092737C" w:rsidRDefault="00B36057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Fl-2024, il-Kummissjoni rċeviet notifika waħda mingħand l-NCAs, skont l-Artikolu 38(2) tad-DMA, dwar intenzjoni li titnieda investigazzjoni dwar gwardjan abbażi tal-liġijiet nazzjonali msemmija fl-Artikolu 1(6) tad-DMA, u żewġ notifiki, skont l-Artikolu 38(3) tad-DMA, dwar intenzjoni li jiġu imposti obbligi fuq il-gwardjani abbażi tal-istess liġijiet. Dawn in-notifiki ġew sottomessi flimkien man-notifiki mill-NCAs skont ir-Regolament 1/2003.</w:t>
      </w:r>
      <w:bookmarkEnd w:id="5"/>
    </w:p>
    <w:p w14:paraId="57956021" w14:textId="448DAF91" w:rsidR="00F22ADD" w:rsidRPr="0092737C" w:rsidRDefault="00F22ADD" w:rsidP="004978B2">
      <w:pPr>
        <w:pStyle w:val="Heading1"/>
        <w:ind w:left="851" w:hanging="567"/>
        <w:rPr>
          <w:b w:val="0"/>
          <w:bCs w:val="0"/>
          <w:noProof/>
        </w:rPr>
      </w:pPr>
      <w:r>
        <w:rPr>
          <w:noProof/>
        </w:rPr>
        <w:t>IL-GRUPP TA’ LIVELL GĦOLI GĦALL-ATT DWAR IS-SWIEQ DIĠITALI</w:t>
      </w:r>
      <w:r w:rsidR="00E86F41">
        <w:rPr>
          <w:rStyle w:val="FootnoteReference"/>
          <w:noProof/>
          <w:spacing w:val="-5"/>
        </w:rPr>
        <w:footnoteReference w:id="48"/>
      </w:r>
    </w:p>
    <w:p w14:paraId="1895C1DC" w14:textId="52C69B42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Il-Grupp ta’ Livell Għoli għall-Att dwar is-Swieq Diġitali (“HLG”) ġie stabbilit bid-Deċiżjoni tal-Kummissjoni tat-23 ta’ Marzu 2023 abbażi tal-Artikolu 40 tad-DMA</w:t>
      </w:r>
      <w:r w:rsidRPr="001B3962">
        <w:rPr>
          <w:rStyle w:val="FootnoteReference"/>
          <w:noProof/>
        </w:rPr>
        <w:footnoteReference w:id="49"/>
      </w:r>
      <w:r>
        <w:rPr>
          <w:noProof/>
          <w:sz w:val="24"/>
        </w:rPr>
        <w:t>. L-HLG huwa magħmul mill-korpi u n-networks Ewropej identifikati fid-DMA u twaqqaf bħala grupp ta’ esperti, f’konformità mad-Deċiżjoni tal-Kummissjoni li tistabbilixxi regoli orizzontali dwar il-ħolqien u l-operat ta’ gruppi ta’ esperti tal-Kummissjoni</w:t>
      </w:r>
      <w:r w:rsidRPr="001B3962">
        <w:rPr>
          <w:rStyle w:val="FootnoteReference"/>
          <w:noProof/>
        </w:rPr>
        <w:footnoteReference w:id="50"/>
      </w:r>
      <w:r>
        <w:rPr>
          <w:noProof/>
          <w:sz w:val="24"/>
        </w:rPr>
        <w:t>. L-HLG huwa ppresedut mill-Kummissjoni, li toffri wkoll appoġġ ta’ segretarjat. L-HLG għandu l-għan li jappoġġa l-implimentazzjoni koerenti u effettiva tad-DMA u regolamenti oħra speċifiċi għas-settur applikabbli għall-gwardjani.</w:t>
      </w:r>
    </w:p>
    <w:p w14:paraId="443ACFAA" w14:textId="35DB6813" w:rsidR="00F22ADD" w:rsidRPr="00FE26D8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L-HLG għandu wkoll rwol rilevanti fl-identifikazzjoni u l-evalwazzjoni tal-interazzjonijiet bejn id-DMA u r-regoli speċifiċi għas-settur. Barra minn hekk, il-Kummissjoni tista’ tuża l-għarfien espert ta’ korpi u networks settorjali rilevanti matul investigazzjonijiet potenzjali tas-suq dwar servizzi u prattiki ġodda</w:t>
      </w:r>
      <w:r w:rsidRPr="001B3962">
        <w:rPr>
          <w:rStyle w:val="FootnoteReference"/>
          <w:noProof/>
        </w:rPr>
        <w:footnoteReference w:id="51"/>
      </w:r>
      <w:r>
        <w:rPr>
          <w:noProof/>
          <w:sz w:val="24"/>
        </w:rPr>
        <w:t>.</w:t>
      </w:r>
    </w:p>
    <w:p w14:paraId="1F3D962F" w14:textId="6D730E91" w:rsidR="00F22ADD" w:rsidRPr="0092737C" w:rsidRDefault="00260EB5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Fl-2024, ġew stabbiliti tliet sottogruppi tematiċi ffukati fuq obbligi relatati mad-data, l-Artikolu 7 tad-DMA (interoperabbiltà), u l-intelliġenza artifiċjali (“IA”)</w:t>
      </w:r>
      <w:r w:rsidR="00F22ADD" w:rsidRPr="001B3962">
        <w:rPr>
          <w:rStyle w:val="FootnoteReference"/>
          <w:noProof/>
        </w:rPr>
        <w:footnoteReference w:id="52"/>
      </w:r>
      <w:r>
        <w:rPr>
          <w:noProof/>
          <w:sz w:val="24"/>
        </w:rPr>
        <w:t>. B’kollox, it-tliet sottogruppi organizzaw seba’ laqgħat, minbarra s-sessjoni plenarja li saret f’Marzu</w:t>
      </w:r>
      <w:r w:rsidR="00F22ADD" w:rsidRPr="001B3962">
        <w:rPr>
          <w:rStyle w:val="FootnoteReference"/>
          <w:noProof/>
        </w:rPr>
        <w:footnoteReference w:id="53"/>
      </w:r>
      <w:r>
        <w:rPr>
          <w:noProof/>
          <w:sz w:val="24"/>
        </w:rPr>
        <w:t>.</w:t>
      </w:r>
    </w:p>
    <w:p w14:paraId="18B7525B" w14:textId="6304210F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Fir-rigward tal-ħidma tal-plenarja, il-membri tal-HLG approvaw l-ewwel dikjarazzjoni konġunta tagħhom, li tenfasizza l-pożizzjoni tal-HLG dwar l-IA. Id-dikjarazzjoni tiċċara li, sa fejn is-sistemi tal-IA jiġu integrati fis-servizzi ewlenin tal-pjattaforma deżinjati, l-obbligi tad-DMA se japplikaw għalihom</w:t>
      </w:r>
      <w:r w:rsidRPr="001B3962">
        <w:rPr>
          <w:rStyle w:val="FootnoteReference"/>
          <w:noProof/>
        </w:rPr>
        <w:footnoteReference w:id="54"/>
      </w:r>
      <w:r>
        <w:rPr>
          <w:noProof/>
          <w:sz w:val="24"/>
        </w:rPr>
        <w:t>.</w:t>
      </w:r>
    </w:p>
    <w:p w14:paraId="4BDF3943" w14:textId="019A1222" w:rsidR="00F22ADD" w:rsidRPr="0092737C" w:rsidRDefault="00FE26D8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Żviluppi kbar fil-qasam tal-IA wasslu għat-twaqqif tas-sottogrupp relatat mal-IA, li kellu l-ewwel laqgħa tiegħu f’Ottubru 2024. Dan ipprovda opportunità biex il-gwardjani jiġu mistiedna juru l-inizjattivi tal-IA tagħhom u jwieġbu għall-mistoqsijiet mill-membri tal-HLG</w:t>
      </w:r>
      <w:r w:rsidR="00F22ADD" w:rsidRPr="001B3962">
        <w:rPr>
          <w:rStyle w:val="FootnoteReference"/>
          <w:noProof/>
        </w:rPr>
        <w:footnoteReference w:id="55"/>
      </w:r>
      <w:r>
        <w:rPr>
          <w:noProof/>
          <w:sz w:val="24"/>
        </w:rPr>
        <w:t>. Din kienet ukoll opportunità għall-Uffiċċju tal-Unjoni għall-IA biex jippreżenta l-Att dwar l-IA u l-Bord tal-IA, filwaqt li l-membri tal-HLG iddiskutew il-ħidma li għaddejja dwar l-IA li qed issir fin-networks jew fil-korpi tagħhom.</w:t>
      </w:r>
    </w:p>
    <w:p w14:paraId="4DA48EC3" w14:textId="2600DDEA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Is-sottogrupp tal-obbligi relatati mad-data kellu erba’ laqgħat fl-2024</w:t>
      </w:r>
      <w:r w:rsidRPr="001B3962">
        <w:rPr>
          <w:rStyle w:val="FootnoteReference"/>
          <w:noProof/>
        </w:rPr>
        <w:footnoteReference w:id="56"/>
      </w:r>
      <w:r>
        <w:rPr>
          <w:noProof/>
          <w:sz w:val="24"/>
        </w:rPr>
        <w:t>. L-oqsma ewlenin ta’ enfasi kienu jinkludu l-obbligu li jinkiseb kunsens għall-kombinazzjoni ta’ data bejn servizzi deżinjati u servizzi distinti kif previst fl-Artikolu 5(2) tad-DMA, inkluża l-implimentazzjoni ta’ Meta u l-interazzjoni ta’ din id-dispożizzjoni mal-GDPR</w:t>
      </w:r>
      <w:r w:rsidRPr="001B3962">
        <w:rPr>
          <w:rStyle w:val="FootnoteReference"/>
          <w:noProof/>
        </w:rPr>
        <w:footnoteReference w:id="57"/>
      </w:r>
      <w:r>
        <w:rPr>
          <w:noProof/>
          <w:sz w:val="24"/>
        </w:rPr>
        <w:t>. Wara estensjoni tal-mandat mill-membri tal-HLG, dan is-sottogrupp partikolari wessa’ l-mandat tiegħu mit-tieni laqgħa tiegħu</w:t>
      </w:r>
      <w:r w:rsidRPr="001B3962">
        <w:rPr>
          <w:rStyle w:val="FootnoteReference"/>
          <w:noProof/>
        </w:rPr>
        <w:footnoteReference w:id="58"/>
      </w:r>
      <w:r>
        <w:rPr>
          <w:noProof/>
          <w:sz w:val="24"/>
        </w:rPr>
        <w:t>. Il-mandat issa jkopri wkoll il-ħidma tal-Kummissjoni rigward l-aċċess għad-data u l-portabbiltà tad-data, kif ukoll il-kondiviżjoni tad-data dwar il-klassifikazzjoni, il-mistoqsijiet, il-klikks u l-viżwalizzazzjoni minn magni tat-tiftix online. Id-diskussjonijiet semmew aktar ir-rapporti tat-tfassil ta’ profili tal-konsumatur ippreżentati mill-gwardjani skont id-DMA u l-Gwida Konġunta tal-EDPB u l-Kummissjoni dwar l-interazzjoni bejn il-GDPR u d-DMA, b’din tal-aħħar tiġi ppreżentata wkoll fis-sottogrupp tal-Artikolu 7.</w:t>
      </w:r>
    </w:p>
    <w:p w14:paraId="3D05BD5C" w14:textId="3F0EBF7B" w:rsidR="00F22ADD" w:rsidRPr="0092737C" w:rsidRDefault="00F22ADD" w:rsidP="004978B2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Barra minn hekk, is-sottogrupp tal-Artikolu 7 iltaqa’ f’April u Settembru 2024, fejn id-diskussjonijiet iffukaw fuq l-aħħar żviluppi rigward il-konformità minn servizzi ta’ komunikazzjoni interpersonali ddeżinjati indipendenti min-numri</w:t>
      </w:r>
      <w:r w:rsidR="00625882">
        <w:rPr>
          <w:rStyle w:val="FootnoteReference"/>
          <w:noProof/>
          <w:sz w:val="24"/>
          <w:szCs w:val="24"/>
        </w:rPr>
        <w:footnoteReference w:id="59"/>
      </w:r>
      <w:r>
        <w:rPr>
          <w:noProof/>
          <w:sz w:val="24"/>
        </w:rPr>
        <w:t>, inklużi l-offerta ta’ referenza u l-mekkaniżmi effettivi ta’ skoperta tal-utent.</w:t>
      </w:r>
    </w:p>
    <w:p w14:paraId="1F4CFF24" w14:textId="05144455" w:rsidR="00840D4C" w:rsidRPr="0025310B" w:rsidRDefault="00F22ADD" w:rsidP="00011EE1">
      <w:pPr>
        <w:pStyle w:val="ListParagraph"/>
        <w:ind w:left="851" w:hanging="567"/>
        <w:rPr>
          <w:noProof/>
          <w:sz w:val="24"/>
          <w:szCs w:val="24"/>
        </w:rPr>
      </w:pPr>
      <w:r>
        <w:rPr>
          <w:noProof/>
          <w:sz w:val="24"/>
        </w:rPr>
        <w:t>Konklużjoni ewlenija enfasizzata kemm fil-livell tal-plenarja kif ukoll f’dak tas-sottogrupp hija l-ħtieġa li tiġi żgurata kooperazzjoni bla xkiel fl-istrumenti ta’ politika differenti u li l-gwardjani ma jitħallewx jisfruttaw politika waħda biex jevadu oħra. B’ħarsa ’l quddiem, il-formati tal-HLG se jiffaċilitaw il-kooperazzjoni u l-koordinazzjoni meħtieġa biex jiġi żgurat li l-infurzar tad-DMA jibqa’ robust u prevedibbli.</w:t>
      </w:r>
    </w:p>
    <w:sectPr w:rsidR="00840D4C" w:rsidRPr="0025310B" w:rsidSect="009752F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10" w:h="16840"/>
      <w:pgMar w:top="1134" w:right="1418" w:bottom="1134" w:left="1418" w:header="0" w:footer="7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6768D" w14:textId="77777777" w:rsidR="00F22ADD" w:rsidRPr="0092737C" w:rsidRDefault="00F22ADD" w:rsidP="00F22ADD">
      <w:r w:rsidRPr="0092737C">
        <w:separator/>
      </w:r>
    </w:p>
  </w:endnote>
  <w:endnote w:type="continuationSeparator" w:id="0">
    <w:p w14:paraId="00881913" w14:textId="77777777" w:rsidR="00F22ADD" w:rsidRPr="0092737C" w:rsidRDefault="00F22ADD" w:rsidP="00F22ADD">
      <w:r w:rsidRPr="0092737C">
        <w:continuationSeparator/>
      </w:r>
    </w:p>
  </w:endnote>
  <w:endnote w:type="continuationNotice" w:id="1">
    <w:p w14:paraId="49220BB3" w14:textId="77777777" w:rsidR="00772140" w:rsidRPr="0092737C" w:rsidRDefault="00772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35051" w14:textId="231806D0" w:rsidR="008D45F3" w:rsidRPr="008D45F3" w:rsidRDefault="008D45F3" w:rsidP="008D45F3">
    <w:pPr>
      <w:pStyle w:val="FooterCoverPage"/>
      <w:rPr>
        <w:rFonts w:ascii="Arial" w:hAnsi="Arial" w:cs="Arial"/>
        <w:b/>
        <w:sz w:val="48"/>
      </w:rPr>
    </w:pPr>
    <w:r w:rsidRPr="008D45F3">
      <w:rPr>
        <w:rFonts w:ascii="Arial" w:hAnsi="Arial" w:cs="Arial"/>
        <w:b/>
        <w:sz w:val="48"/>
      </w:rPr>
      <w:t>MT</w:t>
    </w:r>
    <w:r w:rsidRPr="008D45F3">
      <w:rPr>
        <w:rFonts w:ascii="Arial" w:hAnsi="Arial" w:cs="Arial"/>
        <w:b/>
        <w:sz w:val="48"/>
      </w:rPr>
      <w:tab/>
    </w:r>
    <w:r w:rsidRPr="008D45F3">
      <w:rPr>
        <w:rFonts w:ascii="Arial" w:hAnsi="Arial" w:cs="Arial"/>
        <w:b/>
        <w:sz w:val="48"/>
      </w:rPr>
      <w:tab/>
    </w:r>
    <w:r w:rsidRPr="008D45F3">
      <w:tab/>
    </w:r>
    <w:r w:rsidRPr="008D45F3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EF78D" w14:textId="33F38D0F" w:rsidR="008D45F3" w:rsidRPr="008D45F3" w:rsidRDefault="008D45F3" w:rsidP="008D45F3">
    <w:pPr>
      <w:pStyle w:val="FooterCoverPage"/>
      <w:rPr>
        <w:rFonts w:ascii="Arial" w:hAnsi="Arial" w:cs="Arial"/>
        <w:b/>
        <w:sz w:val="48"/>
      </w:rPr>
    </w:pPr>
    <w:r w:rsidRPr="008D45F3">
      <w:rPr>
        <w:rFonts w:ascii="Arial" w:hAnsi="Arial" w:cs="Arial"/>
        <w:b/>
        <w:sz w:val="48"/>
      </w:rPr>
      <w:t>MT</w:t>
    </w:r>
    <w:r w:rsidRPr="008D45F3">
      <w:rPr>
        <w:rFonts w:ascii="Arial" w:hAnsi="Arial" w:cs="Arial"/>
        <w:b/>
        <w:sz w:val="48"/>
      </w:rPr>
      <w:tab/>
    </w:r>
    <w:r w:rsidRPr="008D45F3">
      <w:rPr>
        <w:rFonts w:ascii="Arial" w:hAnsi="Arial" w:cs="Arial"/>
        <w:b/>
        <w:sz w:val="48"/>
      </w:rPr>
      <w:tab/>
    </w:r>
    <w:r w:rsidRPr="008D45F3">
      <w:tab/>
    </w:r>
    <w:r w:rsidRPr="008D45F3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9E251" w14:textId="77777777" w:rsidR="008D45F3" w:rsidRPr="008D45F3" w:rsidRDefault="008D45F3" w:rsidP="008D45F3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D0076" w14:textId="5FC2D06B" w:rsidR="001D2A30" w:rsidRPr="0092737C" w:rsidRDefault="001D2A3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C10D5" w14:textId="51146E93" w:rsidR="001D2A30" w:rsidRPr="0092737C" w:rsidRDefault="001D2A3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7C8FC2C" wp14:editId="047EFCDA">
              <wp:simplePos x="0" y="0"/>
              <wp:positionH relativeFrom="page">
                <wp:posOffset>3797172</wp:posOffset>
              </wp:positionH>
              <wp:positionV relativeFrom="page">
                <wp:posOffset>10088371</wp:posOffset>
              </wp:positionV>
              <wp:extent cx="160020" cy="165735"/>
              <wp:effectExtent l="0" t="0" r="0" b="0"/>
              <wp:wrapNone/>
              <wp:docPr id="33277539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43AB3" w14:textId="3D4D087B" w:rsidR="001D2A30" w:rsidRPr="00884ABC" w:rsidRDefault="001D2A30">
                          <w:pPr>
                            <w:spacing w:line="245" w:lineRule="exact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 w:rsidRPr="00884ABC">
                            <w:rPr>
                              <w:sz w:val="20"/>
                            </w:rPr>
                            <w:fldChar w:fldCharType="begin"/>
                          </w:r>
                          <w:r w:rsidRPr="00884ABC">
                            <w:rPr>
                              <w:sz w:val="20"/>
                            </w:rPr>
                            <w:instrText xml:space="preserve"> PAGE </w:instrText>
                          </w:r>
                          <w:r w:rsidRPr="00884ABC">
                            <w:rPr>
                              <w:sz w:val="20"/>
                            </w:rPr>
                            <w:fldChar w:fldCharType="separate"/>
                          </w:r>
                          <w:r w:rsidR="008D45F3">
                            <w:rPr>
                              <w:noProof/>
                              <w:sz w:val="20"/>
                            </w:rPr>
                            <w:t>1</w:t>
                          </w:r>
                          <w:r w:rsidRPr="00884ABC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8FC2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9pt;margin-top:794.35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" filled="f" stroked="f">
              <v:path arrowok="t"/>
              <v:textbox inset="0,0,0,0">
                <w:txbxContent>
                  <w:p w14:paraId="19943AB3" w14:textId="3D4D087B" w:rsidR="001D2A30" w:rsidRPr="00884ABC" w:rsidRDefault="001D2A30">
                    <w:pPr>
                      <w:spacing w:line="245" w:lineRule="exact"/>
                      <w:ind w:left="60"/>
                      <w:rPr>
                        <w:sz w:val="20"/>
                        <w:szCs w:val="20"/>
                      </w:rPr>
                    </w:pPr>
                    <w:r w:rsidRPr="00884ABC">
                      <w:rPr>
                        <w:sz w:val="20"/>
                      </w:rPr>
                      <w:fldChar w:fldCharType="begin"/>
                    </w:r>
                    <w:r w:rsidRPr="00884ABC">
                      <w:rPr>
                        <w:sz w:val="20"/>
                      </w:rPr>
                      <w:instrText xml:space="preserve"> PAGE </w:instrText>
                    </w:r>
                    <w:r w:rsidRPr="00884ABC">
                      <w:rPr>
                        <w:sz w:val="20"/>
                      </w:rPr>
                      <w:fldChar w:fldCharType="separate"/>
                    </w:r>
                    <w:r w:rsidR="008D45F3">
                      <w:rPr>
                        <w:noProof/>
                        <w:sz w:val="20"/>
                      </w:rPr>
                      <w:t>1</w:t>
                    </w:r>
                    <w:r w:rsidRPr="00884ABC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32282" w14:textId="59186D7F" w:rsidR="001D2A30" w:rsidRPr="0092737C" w:rsidRDefault="001D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DEE80" w14:textId="77777777" w:rsidR="00F22ADD" w:rsidRPr="0092737C" w:rsidRDefault="00F22ADD" w:rsidP="00F22ADD">
      <w:r w:rsidRPr="0092737C">
        <w:separator/>
      </w:r>
    </w:p>
  </w:footnote>
  <w:footnote w:type="continuationSeparator" w:id="0">
    <w:p w14:paraId="36D7FB58" w14:textId="77777777" w:rsidR="00F22ADD" w:rsidRPr="0092737C" w:rsidRDefault="00F22ADD" w:rsidP="00F22ADD">
      <w:r w:rsidRPr="0092737C">
        <w:continuationSeparator/>
      </w:r>
    </w:p>
  </w:footnote>
  <w:footnote w:type="continuationNotice" w:id="1">
    <w:p w14:paraId="1B1F0043" w14:textId="77777777" w:rsidR="00772140" w:rsidRPr="0092737C" w:rsidRDefault="00772140"/>
  </w:footnote>
  <w:footnote w:id="2">
    <w:p w14:paraId="0B5EAAFA" w14:textId="591A3D12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ĠU L 265, 12.10.2022, p. 1-66.</w:t>
      </w:r>
    </w:p>
  </w:footnote>
  <w:footnote w:id="3">
    <w:p w14:paraId="4BBFC38A" w14:textId="158E0307" w:rsidR="00B91E9A" w:rsidRPr="0092737C" w:rsidRDefault="00B91E9A" w:rsidP="005E61C8">
      <w:pPr>
        <w:pStyle w:val="FootnoteText"/>
      </w:pPr>
      <w:r>
        <w:rPr>
          <w:rStyle w:val="FootnoteReference"/>
        </w:rPr>
        <w:footnoteRef/>
      </w:r>
      <w:r>
        <w:t xml:space="preserve"> L-Artikolu 35 tad-DMA jirrikjedi li l-Kummissjoni tissottometti rapport annwali dwar l-implimentazzjoni tad-DMA u l-progress li sar lejn l-ilħuq tal-objettivi tiegħu. Dan huwa t-tieni rapport ta’ dan it-tip, li jkopri t-tieni sena ta’ applikazzjoni tad-DMA.</w:t>
      </w:r>
    </w:p>
  </w:footnote>
  <w:footnote w:id="4">
    <w:p w14:paraId="49D1E554" w14:textId="0416D30D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Rapport lill-Kunsill u lill-Parlament Ewropew: Rapport Annwali dwar l-Att dwar is-Swieq Diġitali (2022/1925), COM(2024) 106 final.</w:t>
      </w:r>
    </w:p>
  </w:footnote>
  <w:footnote w:id="5">
    <w:p w14:paraId="14579D50" w14:textId="59A2D697" w:rsidR="00F22ADD" w:rsidRPr="0092737C" w:rsidRDefault="00F22ADD" w:rsidP="005E61C8">
      <w:pPr>
        <w:pStyle w:val="FootnoteText"/>
      </w:pPr>
      <w:r>
        <w:footnoteRef/>
      </w:r>
      <w:r>
        <w:t xml:space="preserve"> Id-DMAC jappoġġa lill-Kummissjoni fl-adozzjoni ta’ atti ta’ implimentazzjoni skont id-DMA. Huwa kklassifikat bħala kumitat skont ir-Regolament (UE) Nru 182/2011 u jiffunzjona f’konformità mar-Regoli ta’ Proċedura tiegħu. Id-DMAC kien involut fl-erba’ investigazzjonijiet tas-suq kollha u tlaqqa’ fl-1 ta’ Frar, fl-20 ta’ Marzu u fl-4 ta’ Ottubru 2024.</w:t>
      </w:r>
    </w:p>
  </w:footnote>
  <w:footnote w:id="6">
    <w:p w14:paraId="231638ED" w14:textId="570F4F8C" w:rsidR="003127A6" w:rsidRPr="0092737C" w:rsidRDefault="003127A6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https://digital-markets-act.ec.europa.eu/commission-sends-preliminary-findings-meta-over-its-pay-or-consent-model-breach-digital-markets-act-2024-07-01_en</w:t>
        </w:r>
      </w:hyperlink>
      <w:r>
        <w:rPr>
          <w:rStyle w:val="Hyperlink"/>
        </w:rPr>
        <w:t xml:space="preserve"> </w:t>
      </w:r>
      <w:r>
        <w:t xml:space="preserve">u </w:t>
      </w:r>
      <w:hyperlink r:id="rId2" w:history="1">
        <w:r>
          <w:rPr>
            <w:rStyle w:val="Hyperlink"/>
          </w:rPr>
          <w:t>https://digital-markets-act.ec.europa.eu/commission-sends-preliminary-findings-apple-and-opens-additional-non-compliance-investigation-2024-06-24_en</w:t>
        </w:r>
      </w:hyperlink>
      <w:r>
        <w:rPr>
          <w:rStyle w:val="Hyperlink"/>
          <w:u w:val="none"/>
        </w:rPr>
        <w:t>.</w:t>
      </w:r>
    </w:p>
  </w:footnote>
  <w:footnote w:id="7">
    <w:p w14:paraId="67CD163A" w14:textId="1655A349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>
          <w:rPr>
            <w:rStyle w:val="Hyperlink"/>
          </w:rPr>
          <w:t>https://digital-markets-act.ec.europa.eu/commission-opens-non-compliance-investigations-against-alphabet-apple-and-meta-under-digital-markets-2024-03-25_en</w:t>
        </w:r>
      </w:hyperlink>
    </w:p>
  </w:footnote>
  <w:footnote w:id="8">
    <w:p w14:paraId="78BD4773" w14:textId="6E65F4EB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>
          <w:rPr>
            <w:rStyle w:val="Hyperlink"/>
          </w:rPr>
          <w:t>https://digital-markets-act.ec.europa.eu/commission-starts-first-proceedings-specify-apples-interoperability-obligations-under-digital-2024-09-19_en</w:t>
        </w:r>
      </w:hyperlink>
      <w:r>
        <w:t xml:space="preserve"> u </w:t>
      </w:r>
      <w:hyperlink r:id="rId5" w:history="1">
        <w:r>
          <w:rPr>
            <w:rStyle w:val="Hyperlink"/>
          </w:rPr>
          <w:t>https://digital-markets-act.ec.europa.eu/commission-seeks-feedback-measures-apple-should-take-ensure-interoperability-under-digital-markets-2024-12-19_en</w:t>
        </w:r>
      </w:hyperlink>
      <w:r>
        <w:rPr>
          <w:rStyle w:val="Hyperlink"/>
          <w:u w:val="none"/>
        </w:rPr>
        <w:t>.</w:t>
      </w:r>
    </w:p>
  </w:footnote>
  <w:footnote w:id="9">
    <w:p w14:paraId="106AF47A" w14:textId="5871D910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Hyperlink"/>
          <w:color w:val="auto"/>
          <w:u w:val="none"/>
        </w:rPr>
        <w:t>Il-</w:t>
      </w:r>
      <w:r>
        <w:t>grupp ta’ Livell Għoli għall-Att dwar is-Swieq Diġitali huwa magħmul mill-korpi u n-networks ta’ regolaturi li ġejjin: Il-Korp ta’ Regolaturi Ewropej tal-Komunikazzjonijiet Elettroniċi (Body of European Regulators for Electronic Communications, BEREC), il-Kontrollur Ewropew għall-Protezzjoni tad-Data u l-Bord Ewropew għall-Protezzjoni tad-Data (European Data Protection Supervisor/European Data Protection Board, EDPS/EDPB), in-Network Ewropew għall-Kompetizzjoni (European Competition Network, ECN), in-Network ta’ Kooperazzjoni għall-Protezzjoni tal-Konsumatur (Consumer Protection Cooperation, CPC), u l-Grupp Regolatorju Ewropew tar-Regolaturi tal-Media Awdjoviżiva (European Regulatory Group of Audiovisual Media Regulators, ERGA).</w:t>
      </w:r>
    </w:p>
  </w:footnote>
  <w:footnote w:id="10">
    <w:p w14:paraId="72319CCC" w14:textId="19CD0EE4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>
          <w:rPr>
            <w:rStyle w:val="Hyperlink"/>
          </w:rPr>
          <w:t>https://digital-markets-act.ec.europa.eu/latest-news_en</w:t>
        </w:r>
      </w:hyperlink>
    </w:p>
  </w:footnote>
  <w:footnote w:id="11">
    <w:p w14:paraId="74592BF4" w14:textId="0C1AAFF4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Id-Deċiżjoni tal-Kummissjoni, Każ DMA.100019 – Booking – Servizzi ta’ Intermedjazzjoni Online — Verticals:</w:t>
      </w:r>
      <w:r>
        <w:rPr>
          <w:rStyle w:val="Hyperlink"/>
        </w:rPr>
        <w:t xml:space="preserve"> https://eur-lex.europa.eu/eli/C/2024/4360/OJ</w:t>
      </w:r>
      <w:r>
        <w:rPr>
          <w:rStyle w:val="Hyperlink"/>
          <w:u w:val="none"/>
        </w:rPr>
        <w:t>.</w:t>
      </w:r>
    </w:p>
  </w:footnote>
  <w:footnote w:id="12">
    <w:p w14:paraId="1BF81492" w14:textId="11B3E5E2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>
          <w:rPr>
            <w:rStyle w:val="Hyperlink"/>
          </w:rPr>
          <w:t>https://digital-markets-act.ec.europa.eu/booking-must-comply-all-relevant-obligations-under-digital-markets-act-2024-11-14_en</w:t>
        </w:r>
      </w:hyperlink>
    </w:p>
  </w:footnote>
  <w:footnote w:id="13">
    <w:p w14:paraId="2CA39127" w14:textId="77777777" w:rsidR="00376408" w:rsidRPr="0092737C" w:rsidRDefault="00376408" w:rsidP="003764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Hyperlink"/>
          <w:color w:val="auto"/>
          <w:u w:val="none"/>
        </w:rPr>
        <w:t>Il-Każ</w:t>
      </w:r>
      <w:r>
        <w:t xml:space="preserve"> DMA.100042 ByteDance – Servizzi ta’ reklamar online: </w:t>
      </w:r>
      <w:hyperlink r:id="rId8" w:history="1">
        <w:r>
          <w:rPr>
            <w:rStyle w:val="Hyperlink"/>
          </w:rPr>
          <w:t>https://ec.europa.eu/competition/digital_markets_act/cases/202441/DMA_100042_134.pdf</w:t>
        </w:r>
      </w:hyperlink>
      <w:r>
        <w:rPr>
          <w:rStyle w:val="Hyperlink"/>
          <w:u w:val="none"/>
        </w:rPr>
        <w:t>.</w:t>
      </w:r>
    </w:p>
  </w:footnote>
  <w:footnote w:id="14">
    <w:p w14:paraId="1739F24B" w14:textId="3D86CCC5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It-taqsima </w:t>
      </w:r>
      <w:r>
        <w:rPr>
          <w:rStyle w:val="Hyperlink"/>
          <w:color w:val="auto"/>
          <w:u w:val="none"/>
        </w:rPr>
        <w:t>li jmiss</w:t>
      </w:r>
      <w:r>
        <w:t xml:space="preserve"> tar-Rapport Annwali tad-DMA teżamina kif il-Kummissjoni wieġbet għas-sottomissjoni ta’ konfutazzjoni. Għal aktar tagħrif, jekk jogħġbok ara: </w:t>
      </w:r>
      <w:r>
        <w:rPr>
          <w:i/>
        </w:rPr>
        <w:t>Investigazzjonijiet u konfutazzjonijiet tas-suq</w:t>
      </w:r>
      <w:r>
        <w:t>.</w:t>
      </w:r>
    </w:p>
  </w:footnote>
  <w:footnote w:id="15">
    <w:p w14:paraId="4B8C88D6" w14:textId="2A812176" w:rsidR="00005EBC" w:rsidRPr="0092737C" w:rsidRDefault="00005EBC" w:rsidP="00027BE9">
      <w:pPr>
        <w:pStyle w:val="FootnoteText"/>
      </w:pPr>
      <w:r>
        <w:rPr>
          <w:rStyle w:val="FootnoteReference"/>
        </w:rPr>
        <w:footnoteRef/>
      </w:r>
      <w:r>
        <w:t xml:space="preserve"> Il-Każ DMA.100232 X – Servizzi ta’ reklamar online: </w:t>
      </w:r>
      <w:hyperlink r:id="rId9" w:history="1">
        <w:r>
          <w:rPr>
            <w:rStyle w:val="Hyperlink"/>
          </w:rPr>
          <w:t>https://ec.europa.eu/competition/digital_markets_act/cases/202441/DMA_100232_44.pdf</w:t>
        </w:r>
      </w:hyperlink>
      <w:r>
        <w:rPr>
          <w:rStyle w:val="Hyperlink"/>
          <w:u w:val="none"/>
        </w:rPr>
        <w:t>.</w:t>
      </w:r>
    </w:p>
  </w:footnote>
  <w:footnote w:id="16">
    <w:p w14:paraId="2510E524" w14:textId="72394BFA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Il-Każ DMA.100041 - X - Servizz ta’ networking soċjali online: </w:t>
      </w:r>
      <w:hyperlink r:id="rId10" w:history="1">
        <w:r>
          <w:rPr>
            <w:rStyle w:val="Hyperlink"/>
          </w:rPr>
          <w:t>https://ec.europa.eu/competition/digital_markets_act/cases/202441/DMA_100041_631.pdf</w:t>
        </w:r>
      </w:hyperlink>
      <w:r>
        <w:rPr>
          <w:rStyle w:val="Hyperlink"/>
          <w:u w:val="none"/>
        </w:rPr>
        <w:t>.</w:t>
      </w:r>
    </w:p>
  </w:footnote>
  <w:footnote w:id="17">
    <w:p w14:paraId="74AEDDAE" w14:textId="77777777" w:rsidR="00376408" w:rsidRPr="0092737C" w:rsidRDefault="00376408" w:rsidP="003764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Hyperlink"/>
          <w:color w:val="auto"/>
          <w:u w:val="none"/>
        </w:rPr>
        <w:t>Inkluż</w:t>
      </w:r>
      <w:r>
        <w:t xml:space="preserve"> il-kontribut mill-utenti kummerċjali ta’ X u fornituri oħra ta’ servizzi ta’ networking soċjali online.</w:t>
      </w:r>
    </w:p>
  </w:footnote>
  <w:footnote w:id="18">
    <w:p w14:paraId="0ECD5BEF" w14:textId="50EC1F32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Din id-deċiżjoni għadha ma ġietx ippubblikata</w:t>
      </w:r>
      <w:r>
        <w:rPr>
          <w:rStyle w:val="Hyperlink"/>
          <w:u w:val="none"/>
        </w:rPr>
        <w:t>.</w:t>
      </w:r>
    </w:p>
  </w:footnote>
  <w:footnote w:id="19">
    <w:p w14:paraId="500C3F06" w14:textId="0334BD31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Hyperlink"/>
          <w:color w:val="auto"/>
          <w:u w:val="none"/>
        </w:rPr>
        <w:t>Il-Każ</w:t>
      </w:r>
      <w:r>
        <w:t xml:space="preserve"> DMA.100022 – Apple - servizzi ta’ komunikazzjonijiet interpersonali indipendenti min-numri: </w:t>
      </w:r>
      <w:hyperlink r:id="rId11" w:history="1">
        <w:r>
          <w:rPr>
            <w:rStyle w:val="Hyperlink"/>
          </w:rPr>
          <w:t>https://ec.europa.eu/competition/digital_markets_act/cases/202416/DMA_100022_2757.pdf</w:t>
        </w:r>
      </w:hyperlink>
      <w:r>
        <w:rPr>
          <w:rStyle w:val="Hyperlink"/>
          <w:u w:val="none"/>
        </w:rPr>
        <w:t>.</w:t>
      </w:r>
    </w:p>
  </w:footnote>
  <w:footnote w:id="20">
    <w:p w14:paraId="00DAA26C" w14:textId="194AADE9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Hyperlink"/>
          <w:color w:val="auto"/>
          <w:u w:val="none"/>
        </w:rPr>
        <w:t>Il-Każijiet</w:t>
      </w:r>
      <w:r>
        <w:t xml:space="preserve"> DMA.100015 Magni tat-tiftix online tal-Microsoft; DMA.100028 Brawżers tal-Web ta’ Microsoft; DMA.100034 Servizzi ta’ Reklamar Online ta’ Microsoft: </w:t>
      </w:r>
      <w:hyperlink r:id="rId12" w:history="1">
        <w:r>
          <w:rPr>
            <w:rStyle w:val="Hyperlink"/>
          </w:rPr>
          <w:t>https://ec.europa.eu/competition/digital_markets_act/cases/202416/DMA_100015_700.pdf</w:t>
        </w:r>
      </w:hyperlink>
      <w:r>
        <w:rPr>
          <w:rStyle w:val="Hyperlink"/>
          <w:u w:val="none"/>
        </w:rPr>
        <w:t>.</w:t>
      </w:r>
    </w:p>
  </w:footnote>
  <w:footnote w:id="21">
    <w:p w14:paraId="3360EDAD" w14:textId="60FE8475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Hyperlink"/>
          <w:color w:val="auto"/>
          <w:u w:val="none"/>
        </w:rPr>
        <w:t>Id-Deċiżjoni</w:t>
      </w:r>
      <w:r>
        <w:t xml:space="preserve"> tal-Kummissjoni, Każ DMA.100047 - Apple - iPadOS: </w:t>
      </w:r>
      <w:hyperlink r:id="rId13" w:history="1">
        <w:r>
          <w:rPr>
            <w:rStyle w:val="Hyperlink"/>
          </w:rPr>
          <w:t>https://eur-lex.europa.eu/eli/C/2024/4374/oj</w:t>
        </w:r>
      </w:hyperlink>
      <w:r>
        <w:rPr>
          <w:rStyle w:val="Hyperlink"/>
          <w:u w:val="none"/>
        </w:rPr>
        <w:t>.</w:t>
      </w:r>
    </w:p>
  </w:footnote>
  <w:footnote w:id="22">
    <w:p w14:paraId="288ADC8B" w14:textId="1F2C71EB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Għal immappjar </w:t>
      </w:r>
      <w:r>
        <w:rPr>
          <w:rStyle w:val="Hyperlink"/>
          <w:color w:val="auto"/>
          <w:u w:val="none"/>
        </w:rPr>
        <w:t>skematiku</w:t>
      </w:r>
      <w:r>
        <w:t xml:space="preserve"> tal-gwardjani u s-servizzi ewlenin tal-pjattaforma rilevanti, jekk jogħġbok ara dan il-link għas-sit web tad-DMA: </w:t>
      </w:r>
      <w:hyperlink r:id="rId14" w:history="1">
        <w:r>
          <w:rPr>
            <w:rStyle w:val="Hyperlink"/>
          </w:rPr>
          <w:t>https://digital-markets-act.ec.europa.eu/gatekeepers_en</w:t>
        </w:r>
      </w:hyperlink>
      <w:r>
        <w:t>.</w:t>
      </w:r>
    </w:p>
  </w:footnote>
  <w:footnote w:id="23">
    <w:p w14:paraId="723B7A0A" w14:textId="071B100D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Il-Kawża T-1077/23 R Bytedance vs il-Kummissjoni, ĠU C, C/2024/476, 3.1.2024, ELI: </w:t>
      </w:r>
      <w:hyperlink r:id="rId15" w:history="1">
        <w:r>
          <w:rPr>
            <w:rStyle w:val="Hyperlink"/>
          </w:rPr>
          <w:t>http://data.europa.eu/eli/C/2024/2317/oj</w:t>
        </w:r>
      </w:hyperlink>
      <w:r>
        <w:t xml:space="preserve"> u l-Kawża T-1077/23, Bytedance vs Il-Kummissjoni, ĠU C, C/2024/476, 3.1.2024, ELI: </w:t>
      </w:r>
      <w:hyperlink r:id="rId16" w:history="1">
        <w:r>
          <w:rPr>
            <w:rStyle w:val="Hyperlink"/>
          </w:rPr>
          <w:t>http://data.europa.eu/eli/C/2024/476/oj</w:t>
        </w:r>
      </w:hyperlink>
      <w:r>
        <w:rPr>
          <w:rStyle w:val="Hyperlink"/>
          <w:u w:val="none"/>
        </w:rPr>
        <w:t>.</w:t>
      </w:r>
    </w:p>
  </w:footnote>
  <w:footnote w:id="24">
    <w:p w14:paraId="6EC5BEA7" w14:textId="344387BC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Il-Kawża C-627/24 P, Bytedance vs il-Kummissjoni, ĠU C, C/2024/6639, 11.11.2024, ELI: </w:t>
      </w:r>
      <w:hyperlink r:id="rId17" w:history="1">
        <w:r>
          <w:rPr>
            <w:rStyle w:val="Hyperlink"/>
          </w:rPr>
          <w:t>http://data.europa.eu/eli/C/2024/6639/oj</w:t>
        </w:r>
      </w:hyperlink>
      <w:r>
        <w:rPr>
          <w:rStyle w:val="Hyperlink"/>
          <w:u w:val="none"/>
        </w:rPr>
        <w:t>.</w:t>
      </w:r>
    </w:p>
  </w:footnote>
  <w:footnote w:id="25">
    <w:p w14:paraId="332FF199" w14:textId="1DBAF5F0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Il-Kawża T-433/24, Batchelor vs Il-Kummissjoni, ĠU C, C/2024/6103, 21.10.2024, ELI: </w:t>
      </w:r>
      <w:hyperlink r:id="rId18" w:history="1">
        <w:r>
          <w:rPr>
            <w:rStyle w:val="Hyperlink"/>
          </w:rPr>
          <w:t>http://data.europa.eu/eli/C/2024/6103/oj</w:t>
        </w:r>
      </w:hyperlink>
      <w:r>
        <w:rPr>
          <w:rStyle w:val="Hyperlink"/>
          <w:u w:val="none"/>
        </w:rPr>
        <w:t>.</w:t>
      </w:r>
    </w:p>
  </w:footnote>
  <w:footnote w:id="26">
    <w:p w14:paraId="515447D5" w14:textId="2879CC55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Il-Kawża T-357/24, Opera Norway vs Il-Kummissjoni ĠU C, C/2024/5640, 30.9.2024, ELI: </w:t>
      </w:r>
      <w:hyperlink r:id="rId19" w:history="1">
        <w:r>
          <w:rPr>
            <w:rStyle w:val="Hyperlink"/>
          </w:rPr>
          <w:t>http://data.europa.eu/eli/C/2024/5640/oj</w:t>
        </w:r>
      </w:hyperlink>
      <w:r>
        <w:rPr>
          <w:rStyle w:val="Hyperlink"/>
          <w:u w:val="none"/>
        </w:rPr>
        <w:t>.</w:t>
      </w:r>
    </w:p>
  </w:footnote>
  <w:footnote w:id="27">
    <w:p w14:paraId="29549AA2" w14:textId="26DB2FAE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" w:history="1">
        <w:r>
          <w:rPr>
            <w:rStyle w:val="Hyperlink"/>
          </w:rPr>
          <w:t>https://digital-markets-act.ec.europa.eu/whistleblower-tool_en</w:t>
        </w:r>
      </w:hyperlink>
    </w:p>
  </w:footnote>
  <w:footnote w:id="28">
    <w:p w14:paraId="2DBD140A" w14:textId="23E9A75F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 w:history="1">
        <w:r>
          <w:rPr>
            <w:rStyle w:val="Hyperlink"/>
          </w:rPr>
          <w:t>https://digital-markets-act.ec.europa.eu/commission-launches-whistleblower-tools-digital-services-act-and-digital-markets-act-2024-04-30_en</w:t>
        </w:r>
      </w:hyperlink>
    </w:p>
  </w:footnote>
  <w:footnote w:id="29">
    <w:p w14:paraId="49B69FA5" w14:textId="41D82F31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2" w:history="1">
        <w:r>
          <w:rPr>
            <w:rStyle w:val="Hyperlink"/>
          </w:rPr>
          <w:t>https://digital-markets-act.ec.europa.eu/index_en</w:t>
        </w:r>
      </w:hyperlink>
    </w:p>
  </w:footnote>
  <w:footnote w:id="30">
    <w:p w14:paraId="4A2BBFF7" w14:textId="4DB88A31" w:rsidR="008C48C8" w:rsidRPr="0092737C" w:rsidRDefault="008C48C8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 w:history="1">
        <w:r>
          <w:rPr>
            <w:rStyle w:val="Hyperlink"/>
          </w:rPr>
          <w:t>https://digital-markets-act.ec.europa.eu/about-dma/questions-and-answers_en</w:t>
        </w:r>
      </w:hyperlink>
    </w:p>
  </w:footnote>
  <w:footnote w:id="31">
    <w:p w14:paraId="7E1758E0" w14:textId="3B9A55F7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L-aħbarijiet u r-rapporti tal-Kummissjoni dwar id-DMA jistgħu jiġu segwiti permezz ta’ diversi kontijiet: </w:t>
      </w:r>
      <w:hyperlink r:id="rId24" w:history="1">
        <w:r>
          <w:rPr>
            <w:rStyle w:val="Hyperlink"/>
          </w:rPr>
          <w:t>https://www.instagram.com/DigitalEU/</w:t>
        </w:r>
      </w:hyperlink>
      <w:r>
        <w:t xml:space="preserve">; </w:t>
      </w:r>
      <w:hyperlink r:id="rId25" w:history="1">
        <w:r>
          <w:rPr>
            <w:rStyle w:val="Hyperlink"/>
          </w:rPr>
          <w:t>https://www.linkedin.com/showcase/digital-eu/</w:t>
        </w:r>
      </w:hyperlink>
      <w:r>
        <w:t xml:space="preserve">; </w:t>
      </w:r>
      <w:hyperlink r:id="rId26" w:history="1">
        <w:r>
          <w:rPr>
            <w:rStyle w:val="Hyperlink"/>
          </w:rPr>
          <w:t>https://twitter.com/DigitalEU</w:t>
        </w:r>
      </w:hyperlink>
      <w:r>
        <w:t xml:space="preserve">; </w:t>
      </w:r>
      <w:hyperlink r:id="rId27" w:history="1">
        <w:r>
          <w:rPr>
            <w:rStyle w:val="Hyperlink"/>
          </w:rPr>
          <w:t>https://www.youtube.com/c/DigitalEU</w:t>
        </w:r>
      </w:hyperlink>
      <w:r>
        <w:t xml:space="preserve">; </w:t>
      </w:r>
      <w:hyperlink r:id="rId28" w:history="1">
        <w:r>
          <w:rPr>
            <w:rStyle w:val="Hyperlink"/>
          </w:rPr>
          <w:t>https://www.facebook.com/DigitalEU</w:t>
        </w:r>
      </w:hyperlink>
      <w:r>
        <w:t xml:space="preserve">; </w:t>
      </w:r>
      <w:hyperlink r:id="rId29" w:history="1">
        <w:r>
          <w:rPr>
            <w:rStyle w:val="Hyperlink"/>
          </w:rPr>
          <w:t>https://www.linkedin.com/showcase/dg-competition</w:t>
        </w:r>
      </w:hyperlink>
      <w:r>
        <w:t xml:space="preserve">; </w:t>
      </w:r>
      <w:hyperlink r:id="rId30" w:history="1">
        <w:r>
          <w:rPr>
            <w:rStyle w:val="Hyperlink"/>
          </w:rPr>
          <w:t>https://twitter.com/EU_Competition</w:t>
        </w:r>
      </w:hyperlink>
      <w:r>
        <w:t xml:space="preserve">; </w:t>
      </w:r>
      <w:hyperlink r:id="rId31" w:history="1">
        <w:r>
          <w:rPr>
            <w:rStyle w:val="Hyperlink"/>
          </w:rPr>
          <w:t>https://www.youtube.com/@dgcompetition44</w:t>
        </w:r>
      </w:hyperlink>
      <w:r>
        <w:t>.</w:t>
      </w:r>
    </w:p>
  </w:footnote>
  <w:footnote w:id="32">
    <w:p w14:paraId="4BA4B2ED" w14:textId="1B24BD4B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 w:history="1">
        <w:r>
          <w:rPr>
            <w:rStyle w:val="Hyperlink"/>
          </w:rPr>
          <w:t>https://digital-markets-act-cases.ec.europa.eu/reports/compliance-reports</w:t>
        </w:r>
      </w:hyperlink>
      <w:r>
        <w:rPr>
          <w:rStyle w:val="Hyperlink"/>
          <w:color w:val="auto"/>
          <w:u w:val="none"/>
        </w:rPr>
        <w:t xml:space="preserve"> u </w:t>
      </w:r>
      <w:r>
        <w:rPr>
          <w:rStyle w:val="Hyperlink"/>
        </w:rPr>
        <w:t>https://digital-markets-act-cases.ec.europa.eu/reports/consumer-profiling-reports</w:t>
      </w:r>
      <w:r>
        <w:rPr>
          <w:rStyle w:val="Hyperlink"/>
          <w:color w:val="auto"/>
          <w:u w:val="none"/>
        </w:rPr>
        <w:t>.</w:t>
      </w:r>
    </w:p>
  </w:footnote>
  <w:footnote w:id="33">
    <w:p w14:paraId="3E9165BE" w14:textId="690C2A14" w:rsidR="00A32B91" w:rsidRPr="0092737C" w:rsidRDefault="00A32B91" w:rsidP="005E61C8">
      <w:pPr>
        <w:pStyle w:val="FootnoteText"/>
      </w:pPr>
      <w:r>
        <w:rPr>
          <w:rStyle w:val="FootnoteReference"/>
        </w:rPr>
        <w:footnoteRef/>
      </w:r>
      <w:r>
        <w:t xml:space="preserve"> Dan ma jkunx jinkludi lil Booking, li għaliha dan ikun mistenni fl-14 ta’ Novembru 2024.</w:t>
      </w:r>
    </w:p>
  </w:footnote>
  <w:footnote w:id="34">
    <w:p w14:paraId="08710219" w14:textId="2281EDEF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 w:history="1">
        <w:r>
          <w:rPr>
            <w:rStyle w:val="Hyperlink"/>
          </w:rPr>
          <w:t>https://digital-markets-act.ec.europa.eu/events/workshops_en</w:t>
        </w:r>
      </w:hyperlink>
    </w:p>
  </w:footnote>
  <w:footnote w:id="35">
    <w:p w14:paraId="726A1DF2" w14:textId="0A4E967B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 w:history="1">
        <w:r>
          <w:rPr>
            <w:rStyle w:val="Hyperlink"/>
          </w:rPr>
          <w:t>https://digital-markets-act-cases.ec.europa.eu/reports/compliance-reports</w:t>
        </w:r>
      </w:hyperlink>
    </w:p>
  </w:footnote>
  <w:footnote w:id="36">
    <w:p w14:paraId="6C0BB4D6" w14:textId="18CF2E5D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 w:history="1">
        <w:r>
          <w:rPr>
            <w:rStyle w:val="Hyperlink"/>
          </w:rPr>
          <w:t>https://ec.europa.eu/commission/presscorner/detail/en/ip_24_1689</w:t>
        </w:r>
      </w:hyperlink>
    </w:p>
  </w:footnote>
  <w:footnote w:id="37">
    <w:p w14:paraId="1825738D" w14:textId="5F32762E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Hyperlink"/>
          <w:color w:val="auto"/>
          <w:u w:val="none"/>
        </w:rPr>
        <w:t>Xejn</w:t>
      </w:r>
      <w:r>
        <w:t xml:space="preserve"> f’dan ir-rapport ma japprova l-miżuri ta’ konformità meħuda mill-gwardjani bħala lment sħiħ jew parzjali mad-DMA.</w:t>
      </w:r>
    </w:p>
  </w:footnote>
  <w:footnote w:id="38">
    <w:p w14:paraId="682573AA" w14:textId="5F8573BC" w:rsidR="00050664" w:rsidRPr="00050664" w:rsidRDefault="00050664">
      <w:pPr>
        <w:pStyle w:val="FootnoteText"/>
      </w:pPr>
      <w:r>
        <w:rPr>
          <w:rStyle w:val="FootnoteReference"/>
        </w:rPr>
        <w:footnoteRef/>
      </w:r>
      <w:r>
        <w:t xml:space="preserve"> Il-Kummissjoni kkooperat mal-Kummissjoni Irlandiża għall-Protezzjoni tad-Data, li qed tinvestiga wkoll il-mudell ta’ “Ikkonsenti jew Ħallas” ta’ Meta skont il-GDPR, biex tiżgura koerenza sħiħa fl-applikazzjoni tad-dritt tal-UE.</w:t>
      </w:r>
    </w:p>
  </w:footnote>
  <w:footnote w:id="39">
    <w:p w14:paraId="1094D845" w14:textId="2DECBF18" w:rsidR="000C0B01" w:rsidRPr="0092737C" w:rsidRDefault="000C0B01" w:rsidP="005E61C8">
      <w:pPr>
        <w:pStyle w:val="FootnoteText"/>
      </w:pPr>
      <w:r>
        <w:rPr>
          <w:rStyle w:val="FootnoteReference"/>
        </w:rPr>
        <w:footnoteRef/>
      </w:r>
      <w:r>
        <w:t xml:space="preserve"> Bħal app stores ta’ partijiet terzi.</w:t>
      </w:r>
    </w:p>
  </w:footnote>
  <w:footnote w:id="40">
    <w:p w14:paraId="64157540" w14:textId="256315FA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Il-gwardjani jista’ jkollhom żewġ rwoli konnessi, bħal li jkunu kemm fornitur ta’ servizz kritiku kif ukoll kompetitur fl-istess suq. Fi “rwol doppju”, il-gwardjan jista’ juża l-kontroll tiegħu fuq funzjonalitajiet essenzjali biex jiffavorixxi l-prodotti jew is-servizzi tiegħu stess, u joħnoq il-kompetizzjoni minn fornituri alternattivi.</w:t>
      </w:r>
    </w:p>
  </w:footnote>
  <w:footnote w:id="41">
    <w:p w14:paraId="2D892C30" w14:textId="5C459596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 w:history="1">
        <w:r>
          <w:rPr>
            <w:rStyle w:val="Hyperlink"/>
          </w:rPr>
          <w:t>bookingholdings.com/wp-content/uploads/2024/11/DMA-Compliance-Report.pdf</w:t>
        </w:r>
      </w:hyperlink>
    </w:p>
  </w:footnote>
  <w:footnote w:id="42">
    <w:p w14:paraId="02710B54" w14:textId="7488758E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Din il-</w:t>
      </w:r>
      <w:r>
        <w:rPr>
          <w:rStyle w:val="Hyperlink"/>
          <w:color w:val="auto"/>
          <w:u w:val="none"/>
        </w:rPr>
        <w:t>verżjoni</w:t>
      </w:r>
      <w:r>
        <w:t xml:space="preserve"> ġiet ikkomunikata lill-utenti kummerċjali u tħabbret matul is-sessjoni ta’ ħidma dwar il-konformità f’Novembru 2024.</w:t>
      </w:r>
    </w:p>
  </w:footnote>
  <w:footnote w:id="43">
    <w:p w14:paraId="45CC397B" w14:textId="64B59BD0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B’rabta </w:t>
      </w:r>
      <w:r>
        <w:rPr>
          <w:rStyle w:val="Hyperlink"/>
          <w:color w:val="auto"/>
          <w:u w:val="none"/>
        </w:rPr>
        <w:t>wkoll</w:t>
      </w:r>
      <w:r>
        <w:t xml:space="preserve"> mal-konformità mal-Artikolu 5(3) tad-DMA, Alphabet identifikat kuntratti rilevanti fir-rigward ta’ Play Store u Maps li seta’ kien fihom klawżoli ta’ parità. Għal kuntratti bħal dawn, hija bagħtet eżenzjonijiet fil-bidu tal-2024. Apple qieset li kienet diġà konformi mal-Artikolu 5(3) fir-rigward tal-App Store tagħha qabel is-7 ta’ Marzu 2024.</w:t>
      </w:r>
    </w:p>
  </w:footnote>
  <w:footnote w:id="44">
    <w:p w14:paraId="46C604B8" w14:textId="26277286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Hyperlink"/>
          <w:color w:val="auto"/>
          <w:u w:val="none"/>
        </w:rPr>
        <w:t>Is-</w:t>
      </w:r>
      <w:r>
        <w:t>sottomissjonijiet tal-2024 li jifdal se jiġu ppubblikati fl-2025 fuq bażi kontinwa u mhux aktar kmieni minn erba’ xhur wara li tasal l-informazzjoni.</w:t>
      </w:r>
    </w:p>
  </w:footnote>
  <w:footnote w:id="45">
    <w:p w14:paraId="35AFD9F1" w14:textId="619D4B1F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Ara, pereżempju, Microsoft/Inflection AI, Inc., irrapportata skont l-Artikolu 14 tad-DMA fis-17 ta’ Ottubru 2024.</w:t>
      </w:r>
    </w:p>
  </w:footnote>
  <w:footnote w:id="46">
    <w:p w14:paraId="3648B6E3" w14:textId="475D8C7E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Pereżempju, f’Microsoft/Inflection, il-Kummissjoni qieset li t-tranżazzjoni kienet tinvolvi l-assi kollha meħtieġa biex tittrasferixxi l-pożizzjoni tas-suq ta’ Inflection lil Microsoft u kkonkludiet li t-tranżazzjoni tammonta għal konċentrazzjoni skont l-Artikolu 3 tar-Regolament (KE) Nru 139/2004. Ara: </w:t>
      </w:r>
      <w:hyperlink r:id="rId37" w:history="1">
        <w:r>
          <w:rPr>
            <w:rStyle w:val="Hyperlink"/>
          </w:rPr>
          <w:t>https://ec.europa.eu/commission/presscorner/detail/en/ip_24_4727</w:t>
        </w:r>
      </w:hyperlink>
      <w:r>
        <w:t>.</w:t>
      </w:r>
    </w:p>
  </w:footnote>
  <w:footnote w:id="47">
    <w:p w14:paraId="736FF946" w14:textId="559272FB" w:rsidR="00F429DF" w:rsidRPr="00F429DF" w:rsidRDefault="00F429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 w:history="1">
        <w:r>
          <w:rPr>
            <w:rStyle w:val="Hyperlink"/>
          </w:rPr>
          <w:t>https://digital-markets-act.ec.europa.eu/system/files/2023-12/Article%2015%20DMA%20Template%20%28consumer%20profiling%20report%29.pdf</w:t>
        </w:r>
      </w:hyperlink>
    </w:p>
  </w:footnote>
  <w:footnote w:id="48">
    <w:p w14:paraId="0A9536F4" w14:textId="53D56F77" w:rsidR="00E86F41" w:rsidRPr="00E86F41" w:rsidRDefault="00E86F41">
      <w:pPr>
        <w:pStyle w:val="FootnoteText"/>
      </w:pPr>
      <w:r>
        <w:rPr>
          <w:rStyle w:val="FootnoteReference"/>
        </w:rPr>
        <w:footnoteRef/>
      </w:r>
      <w:r>
        <w:t xml:space="preserve"> Fil-kuntest tad-DMA, il-Grupp ta’ Livell Għoli għad-DMA huwa sinonimu mal-Grupp ta’ Livell Għoli tar-Regolaturi Diġitali.</w:t>
      </w:r>
    </w:p>
  </w:footnote>
  <w:footnote w:id="49">
    <w:p w14:paraId="1E9CEF1E" w14:textId="29EFE495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 w:history="1">
        <w:r>
          <w:rPr>
            <w:rStyle w:val="Hyperlink"/>
          </w:rPr>
          <w:t>https://competition-policy.ec.europa.eu/system/files/2023-03/High_Level_Group_on_the_DMA_0.pdf</w:t>
        </w:r>
      </w:hyperlink>
    </w:p>
  </w:footnote>
  <w:footnote w:id="50">
    <w:p w14:paraId="058E24C6" w14:textId="35EC0E59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Id-Deċiżjoni tal-Kummissjoni C(2016) 3301 final li tistabbilixxi regoli orizzontali dwar il-ħolqien u l-funzjonament tal-gruppi ta’ esperti tal-Kummissjoni.</w:t>
      </w:r>
    </w:p>
  </w:footnote>
  <w:footnote w:id="51">
    <w:p w14:paraId="39256F5C" w14:textId="1AD5F2DD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Ibid. Artikolu 40(7).</w:t>
      </w:r>
    </w:p>
  </w:footnote>
  <w:footnote w:id="52">
    <w:p w14:paraId="6C2DF56F" w14:textId="6747EA20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Il-ħidma tas-sottogruppi hija ggwidata minn termini ta’ referenza individwali.</w:t>
      </w:r>
    </w:p>
  </w:footnote>
  <w:footnote w:id="53">
    <w:p w14:paraId="3A2D9B6F" w14:textId="36ED63EA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Għal aktar dettalji ta’ kull laqgħa plenarja jew tas-sottogrupp tal-HLG, inklużi l-aġendi u l-minuti tal-laqgħat, ara: </w:t>
      </w:r>
      <w:hyperlink r:id="rId40" w:history="1">
        <w:r>
          <w:rPr>
            <w:rStyle w:val="Hyperlink"/>
          </w:rPr>
          <w:t>https://ec.europa.eu/transparency/expert-groups-register/screen/expert-groups/consult?lang=en&amp;groupId=3904&amp;fromMembers=true&amp;memberType=5&amp;memberId=111640</w:t>
        </w:r>
      </w:hyperlink>
      <w:r>
        <w:t>.</w:t>
      </w:r>
    </w:p>
  </w:footnote>
  <w:footnote w:id="54">
    <w:p w14:paraId="02B0D1C3" w14:textId="71CCE1F7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Barra minn hekk, id-dokument jidentifika direzzjonijiet għall-kooperazzjoni kif ukoll oqsma ewlenin rilevanti għall-IA li jeħtieġu monitoraġġ komplementari u infurzar ikkoordinat.</w:t>
      </w:r>
    </w:p>
  </w:footnote>
  <w:footnote w:id="55">
    <w:p w14:paraId="546BD08C" w14:textId="5C05A4AF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Apple, Microsoft, u Meta attendew personalment, filwaqt li Alphabet bagħtet nota ta’ informazzjoni kondiviża mal-membri tal-HLG.</w:t>
      </w:r>
    </w:p>
  </w:footnote>
  <w:footnote w:id="56">
    <w:p w14:paraId="472C793B" w14:textId="5F8BB366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Fi Frar, April, Settembru, u Ottubru 2024.</w:t>
      </w:r>
    </w:p>
  </w:footnote>
  <w:footnote w:id="57">
    <w:p w14:paraId="1033AC45" w14:textId="5B2C6F9B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F’dan ir-rigward, l-EDPB ippreżenta l-Opinjoni 08/2024 dwar Kunsens Validu fil-Kuntest ta’ Mudelli ta’ Ħallas jew Ikkonsenti Implimentati minn Pjattaformi Online Kbar, adottata fis-17 ta’ April 2024.</w:t>
      </w:r>
    </w:p>
  </w:footnote>
  <w:footnote w:id="58">
    <w:p w14:paraId="296492C2" w14:textId="087A3D48" w:rsidR="00F22ADD" w:rsidRPr="0092737C" w:rsidRDefault="00F22ADD" w:rsidP="005E61C8">
      <w:pPr>
        <w:pStyle w:val="FootnoteText"/>
      </w:pPr>
      <w:r>
        <w:rPr>
          <w:rStyle w:val="FootnoteReference"/>
        </w:rPr>
        <w:footnoteRef/>
      </w:r>
      <w:r>
        <w:t xml:space="preserve"> Inklużi l-Artikoli 6(9), 6(10), u 6(11), flimkien mal-Artikolu 5(2).</w:t>
      </w:r>
    </w:p>
  </w:footnote>
  <w:footnote w:id="59">
    <w:p w14:paraId="46204FCB" w14:textId="66E196CF" w:rsidR="00625882" w:rsidRPr="001B3962" w:rsidRDefault="00625882" w:rsidP="005E61C8">
      <w:pPr>
        <w:pStyle w:val="FootnoteText"/>
      </w:pPr>
      <w:r>
        <w:rPr>
          <w:rStyle w:val="FootnoteReference"/>
        </w:rPr>
        <w:footnoteRef/>
      </w:r>
      <w:r>
        <w:t xml:space="preserve"> “Servizzi ta’ messaġġi over-the-top (OTT)” jew sempliċiment “apps tal-messaġġi”.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64B81" w14:textId="77777777" w:rsidR="008D45F3" w:rsidRPr="008D45F3" w:rsidRDefault="008D45F3" w:rsidP="008D45F3">
    <w:pPr>
      <w:pStyle w:val="HeaderCoverPag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F43EF" w14:textId="77777777" w:rsidR="008D45F3" w:rsidRPr="008D45F3" w:rsidRDefault="008D45F3" w:rsidP="008D45F3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45F7" w14:textId="77777777" w:rsidR="008D45F3" w:rsidRPr="008D45F3" w:rsidRDefault="008D45F3" w:rsidP="008D45F3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3BFF6" w14:textId="78F523E2" w:rsidR="001D2A30" w:rsidRPr="0092737C" w:rsidRDefault="001D2A3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C8BE4" w14:textId="3E26FE43" w:rsidR="001D2A30" w:rsidRPr="0092737C" w:rsidRDefault="001D2A3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A9A6F" w14:textId="0CDB31B1" w:rsidR="001D2A30" w:rsidRPr="0092737C" w:rsidRDefault="001D2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171"/>
    <w:multiLevelType w:val="hybridMultilevel"/>
    <w:tmpl w:val="C9ECE006"/>
    <w:lvl w:ilvl="0" w:tplc="E62A62B8">
      <w:start w:val="1"/>
      <w:numFmt w:val="upperRoman"/>
      <w:pStyle w:val="Heading1"/>
      <w:lvlText w:val="%1."/>
      <w:lvlJc w:val="right"/>
      <w:pPr>
        <w:ind w:left="1571" w:hanging="360"/>
      </w:pPr>
      <w:rPr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2291" w:hanging="360"/>
      </w:pPr>
    </w:lvl>
    <w:lvl w:ilvl="2" w:tplc="1809001B" w:tentative="1">
      <w:start w:val="1"/>
      <w:numFmt w:val="lowerRoman"/>
      <w:lvlText w:val="%3."/>
      <w:lvlJc w:val="right"/>
      <w:pPr>
        <w:ind w:left="3011" w:hanging="180"/>
      </w:pPr>
    </w:lvl>
    <w:lvl w:ilvl="3" w:tplc="1809000F" w:tentative="1">
      <w:start w:val="1"/>
      <w:numFmt w:val="decimal"/>
      <w:lvlText w:val="%4."/>
      <w:lvlJc w:val="left"/>
      <w:pPr>
        <w:ind w:left="3731" w:hanging="360"/>
      </w:pPr>
    </w:lvl>
    <w:lvl w:ilvl="4" w:tplc="18090019" w:tentative="1">
      <w:start w:val="1"/>
      <w:numFmt w:val="lowerLetter"/>
      <w:lvlText w:val="%5."/>
      <w:lvlJc w:val="left"/>
      <w:pPr>
        <w:ind w:left="4451" w:hanging="360"/>
      </w:pPr>
    </w:lvl>
    <w:lvl w:ilvl="5" w:tplc="1809001B" w:tentative="1">
      <w:start w:val="1"/>
      <w:numFmt w:val="lowerRoman"/>
      <w:lvlText w:val="%6."/>
      <w:lvlJc w:val="right"/>
      <w:pPr>
        <w:ind w:left="5171" w:hanging="180"/>
      </w:pPr>
    </w:lvl>
    <w:lvl w:ilvl="6" w:tplc="1809000F" w:tentative="1">
      <w:start w:val="1"/>
      <w:numFmt w:val="decimal"/>
      <w:lvlText w:val="%7."/>
      <w:lvlJc w:val="left"/>
      <w:pPr>
        <w:ind w:left="5891" w:hanging="360"/>
      </w:pPr>
    </w:lvl>
    <w:lvl w:ilvl="7" w:tplc="18090019" w:tentative="1">
      <w:start w:val="1"/>
      <w:numFmt w:val="lowerLetter"/>
      <w:lvlText w:val="%8."/>
      <w:lvlJc w:val="left"/>
      <w:pPr>
        <w:ind w:left="6611" w:hanging="360"/>
      </w:pPr>
    </w:lvl>
    <w:lvl w:ilvl="8" w:tplc="1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00E2184"/>
    <w:multiLevelType w:val="hybridMultilevel"/>
    <w:tmpl w:val="33E07824"/>
    <w:lvl w:ilvl="0" w:tplc="4F4804EC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240" w:hanging="360"/>
      </w:pPr>
    </w:lvl>
    <w:lvl w:ilvl="2" w:tplc="1809001B" w:tentative="1">
      <w:start w:val="1"/>
      <w:numFmt w:val="lowerRoman"/>
      <w:lvlText w:val="%3."/>
      <w:lvlJc w:val="right"/>
      <w:pPr>
        <w:ind w:left="2960" w:hanging="180"/>
      </w:pPr>
    </w:lvl>
    <w:lvl w:ilvl="3" w:tplc="1809000F" w:tentative="1">
      <w:start w:val="1"/>
      <w:numFmt w:val="decimal"/>
      <w:lvlText w:val="%4."/>
      <w:lvlJc w:val="left"/>
      <w:pPr>
        <w:ind w:left="3680" w:hanging="360"/>
      </w:pPr>
    </w:lvl>
    <w:lvl w:ilvl="4" w:tplc="18090019" w:tentative="1">
      <w:start w:val="1"/>
      <w:numFmt w:val="lowerLetter"/>
      <w:lvlText w:val="%5."/>
      <w:lvlJc w:val="left"/>
      <w:pPr>
        <w:ind w:left="4400" w:hanging="360"/>
      </w:pPr>
    </w:lvl>
    <w:lvl w:ilvl="5" w:tplc="1809001B" w:tentative="1">
      <w:start w:val="1"/>
      <w:numFmt w:val="lowerRoman"/>
      <w:lvlText w:val="%6."/>
      <w:lvlJc w:val="right"/>
      <w:pPr>
        <w:ind w:left="5120" w:hanging="180"/>
      </w:pPr>
    </w:lvl>
    <w:lvl w:ilvl="6" w:tplc="1809000F" w:tentative="1">
      <w:start w:val="1"/>
      <w:numFmt w:val="decimal"/>
      <w:lvlText w:val="%7."/>
      <w:lvlJc w:val="left"/>
      <w:pPr>
        <w:ind w:left="5840" w:hanging="360"/>
      </w:pPr>
    </w:lvl>
    <w:lvl w:ilvl="7" w:tplc="18090019" w:tentative="1">
      <w:start w:val="1"/>
      <w:numFmt w:val="lowerLetter"/>
      <w:lvlText w:val="%8."/>
      <w:lvlJc w:val="left"/>
      <w:pPr>
        <w:ind w:left="6560" w:hanging="360"/>
      </w:pPr>
    </w:lvl>
    <w:lvl w:ilvl="8" w:tplc="1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1C575F9C"/>
    <w:multiLevelType w:val="hybridMultilevel"/>
    <w:tmpl w:val="711A80D8"/>
    <w:lvl w:ilvl="0" w:tplc="5712CA0C">
      <w:start w:val="1"/>
      <w:numFmt w:val="lowerLetter"/>
      <w:lvlText w:val="%1."/>
      <w:lvlJc w:val="left"/>
      <w:pPr>
        <w:ind w:left="126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C80E5E">
      <w:numFmt w:val="bullet"/>
      <w:lvlText w:val="•"/>
      <w:lvlJc w:val="left"/>
      <w:pPr>
        <w:ind w:left="2232" w:hanging="284"/>
      </w:pPr>
      <w:rPr>
        <w:rFonts w:hint="default"/>
        <w:lang w:val="en-US" w:eastAsia="en-US" w:bidi="ar-SA"/>
      </w:rPr>
    </w:lvl>
    <w:lvl w:ilvl="2" w:tplc="AAA2A864">
      <w:numFmt w:val="bullet"/>
      <w:lvlText w:val="•"/>
      <w:lvlJc w:val="left"/>
      <w:pPr>
        <w:ind w:left="3205" w:hanging="284"/>
      </w:pPr>
      <w:rPr>
        <w:rFonts w:hint="default"/>
        <w:lang w:val="en-US" w:eastAsia="en-US" w:bidi="ar-SA"/>
      </w:rPr>
    </w:lvl>
    <w:lvl w:ilvl="3" w:tplc="88A0EA62">
      <w:numFmt w:val="bullet"/>
      <w:lvlText w:val="•"/>
      <w:lvlJc w:val="left"/>
      <w:pPr>
        <w:ind w:left="4177" w:hanging="284"/>
      </w:pPr>
      <w:rPr>
        <w:rFonts w:hint="default"/>
        <w:lang w:val="en-US" w:eastAsia="en-US" w:bidi="ar-SA"/>
      </w:rPr>
    </w:lvl>
    <w:lvl w:ilvl="4" w:tplc="401E461A">
      <w:numFmt w:val="bullet"/>
      <w:lvlText w:val="•"/>
      <w:lvlJc w:val="left"/>
      <w:pPr>
        <w:ind w:left="5150" w:hanging="284"/>
      </w:pPr>
      <w:rPr>
        <w:rFonts w:hint="default"/>
        <w:lang w:val="en-US" w:eastAsia="en-US" w:bidi="ar-SA"/>
      </w:rPr>
    </w:lvl>
    <w:lvl w:ilvl="5" w:tplc="A27AA4B8">
      <w:numFmt w:val="bullet"/>
      <w:lvlText w:val="•"/>
      <w:lvlJc w:val="left"/>
      <w:pPr>
        <w:ind w:left="6123" w:hanging="284"/>
      </w:pPr>
      <w:rPr>
        <w:rFonts w:hint="default"/>
        <w:lang w:val="en-US" w:eastAsia="en-US" w:bidi="ar-SA"/>
      </w:rPr>
    </w:lvl>
    <w:lvl w:ilvl="6" w:tplc="C612442A">
      <w:numFmt w:val="bullet"/>
      <w:lvlText w:val="•"/>
      <w:lvlJc w:val="left"/>
      <w:pPr>
        <w:ind w:left="7095" w:hanging="284"/>
      </w:pPr>
      <w:rPr>
        <w:rFonts w:hint="default"/>
        <w:lang w:val="en-US" w:eastAsia="en-US" w:bidi="ar-SA"/>
      </w:rPr>
    </w:lvl>
    <w:lvl w:ilvl="7" w:tplc="8474E106">
      <w:numFmt w:val="bullet"/>
      <w:lvlText w:val="•"/>
      <w:lvlJc w:val="left"/>
      <w:pPr>
        <w:ind w:left="8068" w:hanging="284"/>
      </w:pPr>
      <w:rPr>
        <w:rFonts w:hint="default"/>
        <w:lang w:val="en-US" w:eastAsia="en-US" w:bidi="ar-SA"/>
      </w:rPr>
    </w:lvl>
    <w:lvl w:ilvl="8" w:tplc="4128F9E6">
      <w:numFmt w:val="bullet"/>
      <w:lvlText w:val="•"/>
      <w:lvlJc w:val="left"/>
      <w:pPr>
        <w:ind w:left="9041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25BA7AEA"/>
    <w:multiLevelType w:val="hybridMultilevel"/>
    <w:tmpl w:val="48C87F9E"/>
    <w:lvl w:ilvl="0" w:tplc="62B2D974">
      <w:start w:val="1"/>
      <w:numFmt w:val="upperRoman"/>
      <w:lvlText w:val="%1."/>
      <w:lvlJc w:val="left"/>
      <w:pPr>
        <w:ind w:left="1983" w:hanging="72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FC6AFFFA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2" w:tplc="C0C6F348">
      <w:numFmt w:val="bullet"/>
      <w:lvlText w:val="•"/>
      <w:lvlJc w:val="left"/>
      <w:pPr>
        <w:ind w:left="3781" w:hanging="720"/>
      </w:pPr>
      <w:rPr>
        <w:rFonts w:hint="default"/>
        <w:lang w:val="en-US" w:eastAsia="en-US" w:bidi="ar-SA"/>
      </w:rPr>
    </w:lvl>
    <w:lvl w:ilvl="3" w:tplc="D0087A40">
      <w:numFmt w:val="bullet"/>
      <w:lvlText w:val="•"/>
      <w:lvlJc w:val="left"/>
      <w:pPr>
        <w:ind w:left="4681" w:hanging="720"/>
      </w:pPr>
      <w:rPr>
        <w:rFonts w:hint="default"/>
        <w:lang w:val="en-US" w:eastAsia="en-US" w:bidi="ar-SA"/>
      </w:rPr>
    </w:lvl>
    <w:lvl w:ilvl="4" w:tplc="5F1AEE30">
      <w:numFmt w:val="bullet"/>
      <w:lvlText w:val="•"/>
      <w:lvlJc w:val="left"/>
      <w:pPr>
        <w:ind w:left="5582" w:hanging="720"/>
      </w:pPr>
      <w:rPr>
        <w:rFonts w:hint="default"/>
        <w:lang w:val="en-US" w:eastAsia="en-US" w:bidi="ar-SA"/>
      </w:rPr>
    </w:lvl>
    <w:lvl w:ilvl="5" w:tplc="43265472">
      <w:numFmt w:val="bullet"/>
      <w:lvlText w:val="•"/>
      <w:lvlJc w:val="left"/>
      <w:pPr>
        <w:ind w:left="6483" w:hanging="720"/>
      </w:pPr>
      <w:rPr>
        <w:rFonts w:hint="default"/>
        <w:lang w:val="en-US" w:eastAsia="en-US" w:bidi="ar-SA"/>
      </w:rPr>
    </w:lvl>
    <w:lvl w:ilvl="6" w:tplc="2C34202E">
      <w:numFmt w:val="bullet"/>
      <w:lvlText w:val="•"/>
      <w:lvlJc w:val="left"/>
      <w:pPr>
        <w:ind w:left="7383" w:hanging="720"/>
      </w:pPr>
      <w:rPr>
        <w:rFonts w:hint="default"/>
        <w:lang w:val="en-US" w:eastAsia="en-US" w:bidi="ar-SA"/>
      </w:rPr>
    </w:lvl>
    <w:lvl w:ilvl="7" w:tplc="F36895D0">
      <w:numFmt w:val="bullet"/>
      <w:lvlText w:val="•"/>
      <w:lvlJc w:val="left"/>
      <w:pPr>
        <w:ind w:left="8284" w:hanging="720"/>
      </w:pPr>
      <w:rPr>
        <w:rFonts w:hint="default"/>
        <w:lang w:val="en-US" w:eastAsia="en-US" w:bidi="ar-SA"/>
      </w:rPr>
    </w:lvl>
    <w:lvl w:ilvl="8" w:tplc="F08CBBEC">
      <w:numFmt w:val="bullet"/>
      <w:lvlText w:val="•"/>
      <w:lvlJc w:val="left"/>
      <w:pPr>
        <w:ind w:left="9185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6B355A5"/>
    <w:multiLevelType w:val="hybridMultilevel"/>
    <w:tmpl w:val="AAC60276"/>
    <w:lvl w:ilvl="0" w:tplc="D6BA2A38">
      <w:start w:val="1"/>
      <w:numFmt w:val="decimal"/>
      <w:lvlText w:val="%1."/>
      <w:lvlJc w:val="left"/>
      <w:pPr>
        <w:ind w:left="720" w:hanging="360"/>
      </w:pPr>
    </w:lvl>
    <w:lvl w:ilvl="1" w:tplc="EEA6EFEC">
      <w:start w:val="1"/>
      <w:numFmt w:val="decimal"/>
      <w:lvlText w:val="%2."/>
      <w:lvlJc w:val="left"/>
      <w:pPr>
        <w:ind w:left="720" w:hanging="360"/>
      </w:pPr>
    </w:lvl>
    <w:lvl w:ilvl="2" w:tplc="CAF262E2">
      <w:start w:val="1"/>
      <w:numFmt w:val="decimal"/>
      <w:lvlText w:val="%3."/>
      <w:lvlJc w:val="left"/>
      <w:pPr>
        <w:ind w:left="720" w:hanging="360"/>
      </w:pPr>
    </w:lvl>
    <w:lvl w:ilvl="3" w:tplc="E200A3C0">
      <w:start w:val="1"/>
      <w:numFmt w:val="decimal"/>
      <w:lvlText w:val="%4."/>
      <w:lvlJc w:val="left"/>
      <w:pPr>
        <w:ind w:left="720" w:hanging="360"/>
      </w:pPr>
    </w:lvl>
    <w:lvl w:ilvl="4" w:tplc="A678CEBC">
      <w:start w:val="1"/>
      <w:numFmt w:val="decimal"/>
      <w:lvlText w:val="%5."/>
      <w:lvlJc w:val="left"/>
      <w:pPr>
        <w:ind w:left="720" w:hanging="360"/>
      </w:pPr>
    </w:lvl>
    <w:lvl w:ilvl="5" w:tplc="B19C4C9A">
      <w:start w:val="1"/>
      <w:numFmt w:val="decimal"/>
      <w:lvlText w:val="%6."/>
      <w:lvlJc w:val="left"/>
      <w:pPr>
        <w:ind w:left="720" w:hanging="360"/>
      </w:pPr>
    </w:lvl>
    <w:lvl w:ilvl="6" w:tplc="2DF4569A">
      <w:start w:val="1"/>
      <w:numFmt w:val="decimal"/>
      <w:lvlText w:val="%7."/>
      <w:lvlJc w:val="left"/>
      <w:pPr>
        <w:ind w:left="720" w:hanging="360"/>
      </w:pPr>
    </w:lvl>
    <w:lvl w:ilvl="7" w:tplc="B39AC966">
      <w:start w:val="1"/>
      <w:numFmt w:val="decimal"/>
      <w:lvlText w:val="%8."/>
      <w:lvlJc w:val="left"/>
      <w:pPr>
        <w:ind w:left="720" w:hanging="360"/>
      </w:pPr>
    </w:lvl>
    <w:lvl w:ilvl="8" w:tplc="F5CE9A24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279D7A50"/>
    <w:multiLevelType w:val="hybridMultilevel"/>
    <w:tmpl w:val="2EEC79B0"/>
    <w:lvl w:ilvl="0" w:tplc="E7A2B9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2F855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7FED7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94D5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7FA65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A74BA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76025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AC8C3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C2E81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A220F1E"/>
    <w:multiLevelType w:val="multilevel"/>
    <w:tmpl w:val="2464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4722C"/>
    <w:multiLevelType w:val="hybridMultilevel"/>
    <w:tmpl w:val="1958843E"/>
    <w:lvl w:ilvl="0" w:tplc="18090017">
      <w:start w:val="1"/>
      <w:numFmt w:val="lowerLetter"/>
      <w:lvlText w:val="%1)"/>
      <w:lvlJc w:val="left"/>
      <w:pPr>
        <w:ind w:left="1549" w:hanging="57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59" w:hanging="360"/>
      </w:pPr>
    </w:lvl>
    <w:lvl w:ilvl="2" w:tplc="1809001B" w:tentative="1">
      <w:start w:val="1"/>
      <w:numFmt w:val="lowerRoman"/>
      <w:lvlText w:val="%3."/>
      <w:lvlJc w:val="right"/>
      <w:pPr>
        <w:ind w:left="2779" w:hanging="180"/>
      </w:pPr>
    </w:lvl>
    <w:lvl w:ilvl="3" w:tplc="1809000F" w:tentative="1">
      <w:start w:val="1"/>
      <w:numFmt w:val="decimal"/>
      <w:lvlText w:val="%4."/>
      <w:lvlJc w:val="left"/>
      <w:pPr>
        <w:ind w:left="3499" w:hanging="360"/>
      </w:pPr>
    </w:lvl>
    <w:lvl w:ilvl="4" w:tplc="18090019" w:tentative="1">
      <w:start w:val="1"/>
      <w:numFmt w:val="lowerLetter"/>
      <w:lvlText w:val="%5."/>
      <w:lvlJc w:val="left"/>
      <w:pPr>
        <w:ind w:left="4219" w:hanging="360"/>
      </w:pPr>
    </w:lvl>
    <w:lvl w:ilvl="5" w:tplc="1809001B" w:tentative="1">
      <w:start w:val="1"/>
      <w:numFmt w:val="lowerRoman"/>
      <w:lvlText w:val="%6."/>
      <w:lvlJc w:val="right"/>
      <w:pPr>
        <w:ind w:left="4939" w:hanging="180"/>
      </w:pPr>
    </w:lvl>
    <w:lvl w:ilvl="6" w:tplc="1809000F" w:tentative="1">
      <w:start w:val="1"/>
      <w:numFmt w:val="decimal"/>
      <w:lvlText w:val="%7."/>
      <w:lvlJc w:val="left"/>
      <w:pPr>
        <w:ind w:left="5659" w:hanging="360"/>
      </w:pPr>
    </w:lvl>
    <w:lvl w:ilvl="7" w:tplc="18090019" w:tentative="1">
      <w:start w:val="1"/>
      <w:numFmt w:val="lowerLetter"/>
      <w:lvlText w:val="%8."/>
      <w:lvlJc w:val="left"/>
      <w:pPr>
        <w:ind w:left="6379" w:hanging="360"/>
      </w:pPr>
    </w:lvl>
    <w:lvl w:ilvl="8" w:tplc="180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8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DE01A11"/>
    <w:multiLevelType w:val="hybridMultilevel"/>
    <w:tmpl w:val="BEB8321E"/>
    <w:lvl w:ilvl="0" w:tplc="76EA7616">
      <w:start w:val="25"/>
      <w:numFmt w:val="decimal"/>
      <w:lvlText w:val="%1"/>
      <w:lvlJc w:val="left"/>
      <w:pPr>
        <w:ind w:left="162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343" w:hanging="360"/>
      </w:pPr>
    </w:lvl>
    <w:lvl w:ilvl="2" w:tplc="1809001B" w:tentative="1">
      <w:start w:val="1"/>
      <w:numFmt w:val="lowerRoman"/>
      <w:lvlText w:val="%3."/>
      <w:lvlJc w:val="right"/>
      <w:pPr>
        <w:ind w:left="3063" w:hanging="180"/>
      </w:pPr>
    </w:lvl>
    <w:lvl w:ilvl="3" w:tplc="1809000F" w:tentative="1">
      <w:start w:val="1"/>
      <w:numFmt w:val="decimal"/>
      <w:lvlText w:val="%4."/>
      <w:lvlJc w:val="left"/>
      <w:pPr>
        <w:ind w:left="3783" w:hanging="360"/>
      </w:pPr>
    </w:lvl>
    <w:lvl w:ilvl="4" w:tplc="18090019" w:tentative="1">
      <w:start w:val="1"/>
      <w:numFmt w:val="lowerLetter"/>
      <w:lvlText w:val="%5."/>
      <w:lvlJc w:val="left"/>
      <w:pPr>
        <w:ind w:left="4503" w:hanging="360"/>
      </w:pPr>
    </w:lvl>
    <w:lvl w:ilvl="5" w:tplc="1809001B" w:tentative="1">
      <w:start w:val="1"/>
      <w:numFmt w:val="lowerRoman"/>
      <w:lvlText w:val="%6."/>
      <w:lvlJc w:val="right"/>
      <w:pPr>
        <w:ind w:left="5223" w:hanging="180"/>
      </w:pPr>
    </w:lvl>
    <w:lvl w:ilvl="6" w:tplc="1809000F" w:tentative="1">
      <w:start w:val="1"/>
      <w:numFmt w:val="decimal"/>
      <w:lvlText w:val="%7."/>
      <w:lvlJc w:val="left"/>
      <w:pPr>
        <w:ind w:left="5943" w:hanging="360"/>
      </w:pPr>
    </w:lvl>
    <w:lvl w:ilvl="7" w:tplc="18090019" w:tentative="1">
      <w:start w:val="1"/>
      <w:numFmt w:val="lowerLetter"/>
      <w:lvlText w:val="%8."/>
      <w:lvlJc w:val="left"/>
      <w:pPr>
        <w:ind w:left="6663" w:hanging="360"/>
      </w:pPr>
    </w:lvl>
    <w:lvl w:ilvl="8" w:tplc="1809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10" w15:restartNumberingAfterBreak="0">
    <w:nsid w:val="2F3D6F76"/>
    <w:multiLevelType w:val="hybridMultilevel"/>
    <w:tmpl w:val="7E9E0E32"/>
    <w:lvl w:ilvl="0" w:tplc="376CA932">
      <w:start w:val="1"/>
      <w:numFmt w:val="decimal"/>
      <w:pStyle w:val="ListParagraph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8ED"/>
    <w:multiLevelType w:val="hybridMultilevel"/>
    <w:tmpl w:val="03A8B0FE"/>
    <w:lvl w:ilvl="0" w:tplc="8AEADDDC">
      <w:start w:val="1"/>
      <w:numFmt w:val="decimal"/>
      <w:lvlText w:val="%1)"/>
      <w:lvlJc w:val="left"/>
      <w:pPr>
        <w:ind w:left="1080" w:hanging="360"/>
      </w:pPr>
    </w:lvl>
    <w:lvl w:ilvl="1" w:tplc="E6B89FEA">
      <w:start w:val="1"/>
      <w:numFmt w:val="decimal"/>
      <w:lvlText w:val="%2)"/>
      <w:lvlJc w:val="left"/>
      <w:pPr>
        <w:ind w:left="1080" w:hanging="360"/>
      </w:pPr>
    </w:lvl>
    <w:lvl w:ilvl="2" w:tplc="3D40164C">
      <w:start w:val="1"/>
      <w:numFmt w:val="decimal"/>
      <w:lvlText w:val="%3)"/>
      <w:lvlJc w:val="left"/>
      <w:pPr>
        <w:ind w:left="1080" w:hanging="360"/>
      </w:pPr>
    </w:lvl>
    <w:lvl w:ilvl="3" w:tplc="D374B612">
      <w:start w:val="1"/>
      <w:numFmt w:val="decimal"/>
      <w:lvlText w:val="%4)"/>
      <w:lvlJc w:val="left"/>
      <w:pPr>
        <w:ind w:left="1080" w:hanging="360"/>
      </w:pPr>
    </w:lvl>
    <w:lvl w:ilvl="4" w:tplc="66CE578C">
      <w:start w:val="1"/>
      <w:numFmt w:val="decimal"/>
      <w:lvlText w:val="%5)"/>
      <w:lvlJc w:val="left"/>
      <w:pPr>
        <w:ind w:left="1080" w:hanging="360"/>
      </w:pPr>
    </w:lvl>
    <w:lvl w:ilvl="5" w:tplc="113C8D2A">
      <w:start w:val="1"/>
      <w:numFmt w:val="decimal"/>
      <w:lvlText w:val="%6)"/>
      <w:lvlJc w:val="left"/>
      <w:pPr>
        <w:ind w:left="1080" w:hanging="360"/>
      </w:pPr>
    </w:lvl>
    <w:lvl w:ilvl="6" w:tplc="F154A73C">
      <w:start w:val="1"/>
      <w:numFmt w:val="decimal"/>
      <w:lvlText w:val="%7)"/>
      <w:lvlJc w:val="left"/>
      <w:pPr>
        <w:ind w:left="1080" w:hanging="360"/>
      </w:pPr>
    </w:lvl>
    <w:lvl w:ilvl="7" w:tplc="2CAAF6A6">
      <w:start w:val="1"/>
      <w:numFmt w:val="decimal"/>
      <w:lvlText w:val="%8)"/>
      <w:lvlJc w:val="left"/>
      <w:pPr>
        <w:ind w:left="1080" w:hanging="360"/>
      </w:pPr>
    </w:lvl>
    <w:lvl w:ilvl="8" w:tplc="DDBCF19A">
      <w:start w:val="1"/>
      <w:numFmt w:val="decimal"/>
      <w:lvlText w:val="%9)"/>
      <w:lvlJc w:val="left"/>
      <w:pPr>
        <w:ind w:left="1080" w:hanging="360"/>
      </w:pPr>
    </w:lvl>
  </w:abstractNum>
  <w:abstractNum w:abstractNumId="12" w15:restartNumberingAfterBreak="0">
    <w:nsid w:val="3E6D2E10"/>
    <w:multiLevelType w:val="hybridMultilevel"/>
    <w:tmpl w:val="C9463BA0"/>
    <w:lvl w:ilvl="0" w:tplc="D4FA03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6EA69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DDA5E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B9E0A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DB088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7BE6F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36E65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3BEC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D4A23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433D4F84"/>
    <w:multiLevelType w:val="hybridMultilevel"/>
    <w:tmpl w:val="401E53F2"/>
    <w:lvl w:ilvl="0" w:tplc="03A8A9E8">
      <w:start w:val="1"/>
      <w:numFmt w:val="upperRoman"/>
      <w:lvlText w:val="%1."/>
      <w:lvlJc w:val="right"/>
      <w:pPr>
        <w:ind w:left="1700" w:hanging="360"/>
      </w:pPr>
      <w:rPr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2420" w:hanging="360"/>
      </w:pPr>
    </w:lvl>
    <w:lvl w:ilvl="2" w:tplc="1809001B" w:tentative="1">
      <w:start w:val="1"/>
      <w:numFmt w:val="lowerRoman"/>
      <w:lvlText w:val="%3."/>
      <w:lvlJc w:val="right"/>
      <w:pPr>
        <w:ind w:left="3140" w:hanging="180"/>
      </w:pPr>
    </w:lvl>
    <w:lvl w:ilvl="3" w:tplc="1809000F" w:tentative="1">
      <w:start w:val="1"/>
      <w:numFmt w:val="decimal"/>
      <w:lvlText w:val="%4."/>
      <w:lvlJc w:val="left"/>
      <w:pPr>
        <w:ind w:left="3860" w:hanging="360"/>
      </w:pPr>
    </w:lvl>
    <w:lvl w:ilvl="4" w:tplc="18090019" w:tentative="1">
      <w:start w:val="1"/>
      <w:numFmt w:val="lowerLetter"/>
      <w:lvlText w:val="%5."/>
      <w:lvlJc w:val="left"/>
      <w:pPr>
        <w:ind w:left="4580" w:hanging="360"/>
      </w:pPr>
    </w:lvl>
    <w:lvl w:ilvl="5" w:tplc="1809001B" w:tentative="1">
      <w:start w:val="1"/>
      <w:numFmt w:val="lowerRoman"/>
      <w:lvlText w:val="%6."/>
      <w:lvlJc w:val="right"/>
      <w:pPr>
        <w:ind w:left="5300" w:hanging="180"/>
      </w:pPr>
    </w:lvl>
    <w:lvl w:ilvl="6" w:tplc="1809000F" w:tentative="1">
      <w:start w:val="1"/>
      <w:numFmt w:val="decimal"/>
      <w:lvlText w:val="%7."/>
      <w:lvlJc w:val="left"/>
      <w:pPr>
        <w:ind w:left="6020" w:hanging="360"/>
      </w:pPr>
    </w:lvl>
    <w:lvl w:ilvl="7" w:tplc="18090019" w:tentative="1">
      <w:start w:val="1"/>
      <w:numFmt w:val="lowerLetter"/>
      <w:lvlText w:val="%8."/>
      <w:lvlJc w:val="left"/>
      <w:pPr>
        <w:ind w:left="6740" w:hanging="360"/>
      </w:pPr>
    </w:lvl>
    <w:lvl w:ilvl="8" w:tplc="18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46B83AE9"/>
    <w:multiLevelType w:val="hybridMultilevel"/>
    <w:tmpl w:val="6958B7A6"/>
    <w:lvl w:ilvl="0" w:tplc="F68AD68E">
      <w:start w:val="1"/>
      <w:numFmt w:val="decimal"/>
      <w:pStyle w:val="Heading2"/>
      <w:lvlText w:val="%1."/>
      <w:lvlJc w:val="left"/>
      <w:pPr>
        <w:ind w:left="1700" w:hanging="360"/>
      </w:pPr>
      <w:rPr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2420" w:hanging="360"/>
      </w:pPr>
    </w:lvl>
    <w:lvl w:ilvl="2" w:tplc="1809001B" w:tentative="1">
      <w:start w:val="1"/>
      <w:numFmt w:val="lowerRoman"/>
      <w:lvlText w:val="%3."/>
      <w:lvlJc w:val="right"/>
      <w:pPr>
        <w:ind w:left="3140" w:hanging="180"/>
      </w:pPr>
    </w:lvl>
    <w:lvl w:ilvl="3" w:tplc="1809000F" w:tentative="1">
      <w:start w:val="1"/>
      <w:numFmt w:val="decimal"/>
      <w:lvlText w:val="%4."/>
      <w:lvlJc w:val="left"/>
      <w:pPr>
        <w:ind w:left="3860" w:hanging="360"/>
      </w:pPr>
    </w:lvl>
    <w:lvl w:ilvl="4" w:tplc="18090019" w:tentative="1">
      <w:start w:val="1"/>
      <w:numFmt w:val="lowerLetter"/>
      <w:lvlText w:val="%5."/>
      <w:lvlJc w:val="left"/>
      <w:pPr>
        <w:ind w:left="4580" w:hanging="360"/>
      </w:pPr>
    </w:lvl>
    <w:lvl w:ilvl="5" w:tplc="1809001B" w:tentative="1">
      <w:start w:val="1"/>
      <w:numFmt w:val="lowerRoman"/>
      <w:lvlText w:val="%6."/>
      <w:lvlJc w:val="right"/>
      <w:pPr>
        <w:ind w:left="5300" w:hanging="180"/>
      </w:pPr>
    </w:lvl>
    <w:lvl w:ilvl="6" w:tplc="1809000F" w:tentative="1">
      <w:start w:val="1"/>
      <w:numFmt w:val="decimal"/>
      <w:lvlText w:val="%7."/>
      <w:lvlJc w:val="left"/>
      <w:pPr>
        <w:ind w:left="6020" w:hanging="360"/>
      </w:pPr>
    </w:lvl>
    <w:lvl w:ilvl="7" w:tplc="18090019" w:tentative="1">
      <w:start w:val="1"/>
      <w:numFmt w:val="lowerLetter"/>
      <w:lvlText w:val="%8."/>
      <w:lvlJc w:val="left"/>
      <w:pPr>
        <w:ind w:left="6740" w:hanging="360"/>
      </w:pPr>
    </w:lvl>
    <w:lvl w:ilvl="8" w:tplc="18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5" w15:restartNumberingAfterBreak="0">
    <w:nsid w:val="48897A0A"/>
    <w:multiLevelType w:val="hybridMultilevel"/>
    <w:tmpl w:val="5F78DC2E"/>
    <w:lvl w:ilvl="0" w:tplc="717281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83821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5FA90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ED420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9C2E6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F221C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E001D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960A7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C32D4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4DD400C2"/>
    <w:multiLevelType w:val="hybridMultilevel"/>
    <w:tmpl w:val="701C6196"/>
    <w:lvl w:ilvl="0" w:tplc="4D80AE8C">
      <w:start w:val="1"/>
      <w:numFmt w:val="decimal"/>
      <w:lvlText w:val="%1."/>
      <w:lvlJc w:val="left"/>
      <w:pPr>
        <w:ind w:left="152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2240" w:hanging="360"/>
      </w:pPr>
    </w:lvl>
    <w:lvl w:ilvl="2" w:tplc="1809001B" w:tentative="1">
      <w:start w:val="1"/>
      <w:numFmt w:val="lowerRoman"/>
      <w:lvlText w:val="%3."/>
      <w:lvlJc w:val="right"/>
      <w:pPr>
        <w:ind w:left="2960" w:hanging="180"/>
      </w:pPr>
    </w:lvl>
    <w:lvl w:ilvl="3" w:tplc="1809000F" w:tentative="1">
      <w:start w:val="1"/>
      <w:numFmt w:val="decimal"/>
      <w:lvlText w:val="%4."/>
      <w:lvlJc w:val="left"/>
      <w:pPr>
        <w:ind w:left="3680" w:hanging="360"/>
      </w:pPr>
    </w:lvl>
    <w:lvl w:ilvl="4" w:tplc="18090019" w:tentative="1">
      <w:start w:val="1"/>
      <w:numFmt w:val="lowerLetter"/>
      <w:lvlText w:val="%5."/>
      <w:lvlJc w:val="left"/>
      <w:pPr>
        <w:ind w:left="4400" w:hanging="360"/>
      </w:pPr>
    </w:lvl>
    <w:lvl w:ilvl="5" w:tplc="1809001B" w:tentative="1">
      <w:start w:val="1"/>
      <w:numFmt w:val="lowerRoman"/>
      <w:lvlText w:val="%6."/>
      <w:lvlJc w:val="right"/>
      <w:pPr>
        <w:ind w:left="5120" w:hanging="180"/>
      </w:pPr>
    </w:lvl>
    <w:lvl w:ilvl="6" w:tplc="1809000F" w:tentative="1">
      <w:start w:val="1"/>
      <w:numFmt w:val="decimal"/>
      <w:lvlText w:val="%7."/>
      <w:lvlJc w:val="left"/>
      <w:pPr>
        <w:ind w:left="5840" w:hanging="360"/>
      </w:pPr>
    </w:lvl>
    <w:lvl w:ilvl="7" w:tplc="18090019" w:tentative="1">
      <w:start w:val="1"/>
      <w:numFmt w:val="lowerLetter"/>
      <w:lvlText w:val="%8."/>
      <w:lvlJc w:val="left"/>
      <w:pPr>
        <w:ind w:left="6560" w:hanging="360"/>
      </w:pPr>
    </w:lvl>
    <w:lvl w:ilvl="8" w:tplc="1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7" w15:restartNumberingAfterBreak="0">
    <w:nsid w:val="4F8E466D"/>
    <w:multiLevelType w:val="hybridMultilevel"/>
    <w:tmpl w:val="E92CF50E"/>
    <w:lvl w:ilvl="0" w:tplc="DFFA0D8C">
      <w:start w:val="1"/>
      <w:numFmt w:val="decimal"/>
      <w:lvlText w:val="%1)"/>
      <w:lvlJc w:val="left"/>
      <w:pPr>
        <w:ind w:left="1080" w:hanging="360"/>
      </w:pPr>
    </w:lvl>
    <w:lvl w:ilvl="1" w:tplc="152A60C2">
      <w:start w:val="1"/>
      <w:numFmt w:val="decimal"/>
      <w:lvlText w:val="%2)"/>
      <w:lvlJc w:val="left"/>
      <w:pPr>
        <w:ind w:left="1080" w:hanging="360"/>
      </w:pPr>
    </w:lvl>
    <w:lvl w:ilvl="2" w:tplc="4B7C5156">
      <w:start w:val="1"/>
      <w:numFmt w:val="decimal"/>
      <w:lvlText w:val="%3)"/>
      <w:lvlJc w:val="left"/>
      <w:pPr>
        <w:ind w:left="1080" w:hanging="360"/>
      </w:pPr>
    </w:lvl>
    <w:lvl w:ilvl="3" w:tplc="D42882E6">
      <w:start w:val="1"/>
      <w:numFmt w:val="decimal"/>
      <w:lvlText w:val="%4)"/>
      <w:lvlJc w:val="left"/>
      <w:pPr>
        <w:ind w:left="1080" w:hanging="360"/>
      </w:pPr>
    </w:lvl>
    <w:lvl w:ilvl="4" w:tplc="103ADE94">
      <w:start w:val="1"/>
      <w:numFmt w:val="decimal"/>
      <w:lvlText w:val="%5)"/>
      <w:lvlJc w:val="left"/>
      <w:pPr>
        <w:ind w:left="1080" w:hanging="360"/>
      </w:pPr>
    </w:lvl>
    <w:lvl w:ilvl="5" w:tplc="4D94ACF8">
      <w:start w:val="1"/>
      <w:numFmt w:val="decimal"/>
      <w:lvlText w:val="%6)"/>
      <w:lvlJc w:val="left"/>
      <w:pPr>
        <w:ind w:left="1080" w:hanging="360"/>
      </w:pPr>
    </w:lvl>
    <w:lvl w:ilvl="6" w:tplc="57B0671C">
      <w:start w:val="1"/>
      <w:numFmt w:val="decimal"/>
      <w:lvlText w:val="%7)"/>
      <w:lvlJc w:val="left"/>
      <w:pPr>
        <w:ind w:left="1080" w:hanging="360"/>
      </w:pPr>
    </w:lvl>
    <w:lvl w:ilvl="7" w:tplc="0A0272EA">
      <w:start w:val="1"/>
      <w:numFmt w:val="decimal"/>
      <w:lvlText w:val="%8)"/>
      <w:lvlJc w:val="left"/>
      <w:pPr>
        <w:ind w:left="1080" w:hanging="360"/>
      </w:pPr>
    </w:lvl>
    <w:lvl w:ilvl="8" w:tplc="1D20CCAE">
      <w:start w:val="1"/>
      <w:numFmt w:val="decimal"/>
      <w:lvlText w:val="%9)"/>
      <w:lvlJc w:val="left"/>
      <w:pPr>
        <w:ind w:left="1080" w:hanging="360"/>
      </w:pPr>
    </w:lvl>
  </w:abstractNum>
  <w:abstractNum w:abstractNumId="18" w15:restartNumberingAfterBreak="0">
    <w:nsid w:val="645A250A"/>
    <w:multiLevelType w:val="hybridMultilevel"/>
    <w:tmpl w:val="601EE46C"/>
    <w:lvl w:ilvl="0" w:tplc="BE429EFC">
      <w:start w:val="1"/>
      <w:numFmt w:val="decimal"/>
      <w:lvlText w:val="%1."/>
      <w:lvlJc w:val="left"/>
      <w:pPr>
        <w:ind w:left="1020" w:hanging="360"/>
      </w:pPr>
    </w:lvl>
    <w:lvl w:ilvl="1" w:tplc="9CF618E4">
      <w:start w:val="1"/>
      <w:numFmt w:val="decimal"/>
      <w:lvlText w:val="%2."/>
      <w:lvlJc w:val="left"/>
      <w:pPr>
        <w:ind w:left="1020" w:hanging="360"/>
      </w:pPr>
    </w:lvl>
    <w:lvl w:ilvl="2" w:tplc="481CBB2A">
      <w:start w:val="1"/>
      <w:numFmt w:val="decimal"/>
      <w:lvlText w:val="%3."/>
      <w:lvlJc w:val="left"/>
      <w:pPr>
        <w:ind w:left="1020" w:hanging="360"/>
      </w:pPr>
    </w:lvl>
    <w:lvl w:ilvl="3" w:tplc="A8EAA582">
      <w:start w:val="1"/>
      <w:numFmt w:val="decimal"/>
      <w:lvlText w:val="%4."/>
      <w:lvlJc w:val="left"/>
      <w:pPr>
        <w:ind w:left="1020" w:hanging="360"/>
      </w:pPr>
    </w:lvl>
    <w:lvl w:ilvl="4" w:tplc="07246488">
      <w:start w:val="1"/>
      <w:numFmt w:val="decimal"/>
      <w:lvlText w:val="%5."/>
      <w:lvlJc w:val="left"/>
      <w:pPr>
        <w:ind w:left="1020" w:hanging="360"/>
      </w:pPr>
    </w:lvl>
    <w:lvl w:ilvl="5" w:tplc="2C1230BA">
      <w:start w:val="1"/>
      <w:numFmt w:val="decimal"/>
      <w:lvlText w:val="%6."/>
      <w:lvlJc w:val="left"/>
      <w:pPr>
        <w:ind w:left="1020" w:hanging="360"/>
      </w:pPr>
    </w:lvl>
    <w:lvl w:ilvl="6" w:tplc="CAC8F788">
      <w:start w:val="1"/>
      <w:numFmt w:val="decimal"/>
      <w:lvlText w:val="%7."/>
      <w:lvlJc w:val="left"/>
      <w:pPr>
        <w:ind w:left="1020" w:hanging="360"/>
      </w:pPr>
    </w:lvl>
    <w:lvl w:ilvl="7" w:tplc="C736E6E6">
      <w:start w:val="1"/>
      <w:numFmt w:val="decimal"/>
      <w:lvlText w:val="%8."/>
      <w:lvlJc w:val="left"/>
      <w:pPr>
        <w:ind w:left="1020" w:hanging="360"/>
      </w:pPr>
    </w:lvl>
    <w:lvl w:ilvl="8" w:tplc="8D1A8DBC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67F2746F"/>
    <w:multiLevelType w:val="hybridMultilevel"/>
    <w:tmpl w:val="35B2542C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04C10"/>
    <w:multiLevelType w:val="hybridMultilevel"/>
    <w:tmpl w:val="94700ECE"/>
    <w:lvl w:ilvl="0" w:tplc="B6C8C894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60" w:hanging="360"/>
      </w:pPr>
    </w:lvl>
    <w:lvl w:ilvl="2" w:tplc="1809001B" w:tentative="1">
      <w:start w:val="1"/>
      <w:numFmt w:val="lowerRoman"/>
      <w:lvlText w:val="%3."/>
      <w:lvlJc w:val="right"/>
      <w:pPr>
        <w:ind w:left="2780" w:hanging="180"/>
      </w:pPr>
    </w:lvl>
    <w:lvl w:ilvl="3" w:tplc="1809000F" w:tentative="1">
      <w:start w:val="1"/>
      <w:numFmt w:val="decimal"/>
      <w:lvlText w:val="%4."/>
      <w:lvlJc w:val="left"/>
      <w:pPr>
        <w:ind w:left="3500" w:hanging="360"/>
      </w:pPr>
    </w:lvl>
    <w:lvl w:ilvl="4" w:tplc="18090019" w:tentative="1">
      <w:start w:val="1"/>
      <w:numFmt w:val="lowerLetter"/>
      <w:lvlText w:val="%5."/>
      <w:lvlJc w:val="left"/>
      <w:pPr>
        <w:ind w:left="4220" w:hanging="360"/>
      </w:pPr>
    </w:lvl>
    <w:lvl w:ilvl="5" w:tplc="1809001B" w:tentative="1">
      <w:start w:val="1"/>
      <w:numFmt w:val="lowerRoman"/>
      <w:lvlText w:val="%6."/>
      <w:lvlJc w:val="right"/>
      <w:pPr>
        <w:ind w:left="4940" w:hanging="180"/>
      </w:pPr>
    </w:lvl>
    <w:lvl w:ilvl="6" w:tplc="1809000F" w:tentative="1">
      <w:start w:val="1"/>
      <w:numFmt w:val="decimal"/>
      <w:lvlText w:val="%7."/>
      <w:lvlJc w:val="left"/>
      <w:pPr>
        <w:ind w:left="5660" w:hanging="360"/>
      </w:pPr>
    </w:lvl>
    <w:lvl w:ilvl="7" w:tplc="18090019" w:tentative="1">
      <w:start w:val="1"/>
      <w:numFmt w:val="lowerLetter"/>
      <w:lvlText w:val="%8."/>
      <w:lvlJc w:val="left"/>
      <w:pPr>
        <w:ind w:left="6380" w:hanging="360"/>
      </w:pPr>
    </w:lvl>
    <w:lvl w:ilvl="8" w:tplc="1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1" w15:restartNumberingAfterBreak="0">
    <w:nsid w:val="6D3729B1"/>
    <w:multiLevelType w:val="hybridMultilevel"/>
    <w:tmpl w:val="6D280FB6"/>
    <w:lvl w:ilvl="0" w:tplc="18090013">
      <w:start w:val="1"/>
      <w:numFmt w:val="upperRoman"/>
      <w:lvlText w:val="%1."/>
      <w:lvlJc w:val="right"/>
      <w:pPr>
        <w:ind w:left="1983" w:hanging="360"/>
      </w:pPr>
    </w:lvl>
    <w:lvl w:ilvl="1" w:tplc="18090019" w:tentative="1">
      <w:start w:val="1"/>
      <w:numFmt w:val="lowerLetter"/>
      <w:lvlText w:val="%2."/>
      <w:lvlJc w:val="left"/>
      <w:pPr>
        <w:ind w:left="2703" w:hanging="360"/>
      </w:pPr>
    </w:lvl>
    <w:lvl w:ilvl="2" w:tplc="1809001B" w:tentative="1">
      <w:start w:val="1"/>
      <w:numFmt w:val="lowerRoman"/>
      <w:lvlText w:val="%3."/>
      <w:lvlJc w:val="right"/>
      <w:pPr>
        <w:ind w:left="3423" w:hanging="180"/>
      </w:pPr>
    </w:lvl>
    <w:lvl w:ilvl="3" w:tplc="1809000F" w:tentative="1">
      <w:start w:val="1"/>
      <w:numFmt w:val="decimal"/>
      <w:lvlText w:val="%4."/>
      <w:lvlJc w:val="left"/>
      <w:pPr>
        <w:ind w:left="4143" w:hanging="360"/>
      </w:pPr>
    </w:lvl>
    <w:lvl w:ilvl="4" w:tplc="18090019" w:tentative="1">
      <w:start w:val="1"/>
      <w:numFmt w:val="lowerLetter"/>
      <w:lvlText w:val="%5."/>
      <w:lvlJc w:val="left"/>
      <w:pPr>
        <w:ind w:left="4863" w:hanging="360"/>
      </w:pPr>
    </w:lvl>
    <w:lvl w:ilvl="5" w:tplc="1809001B" w:tentative="1">
      <w:start w:val="1"/>
      <w:numFmt w:val="lowerRoman"/>
      <w:lvlText w:val="%6."/>
      <w:lvlJc w:val="right"/>
      <w:pPr>
        <w:ind w:left="5583" w:hanging="180"/>
      </w:pPr>
    </w:lvl>
    <w:lvl w:ilvl="6" w:tplc="1809000F" w:tentative="1">
      <w:start w:val="1"/>
      <w:numFmt w:val="decimal"/>
      <w:lvlText w:val="%7."/>
      <w:lvlJc w:val="left"/>
      <w:pPr>
        <w:ind w:left="6303" w:hanging="360"/>
      </w:pPr>
    </w:lvl>
    <w:lvl w:ilvl="7" w:tplc="18090019" w:tentative="1">
      <w:start w:val="1"/>
      <w:numFmt w:val="lowerLetter"/>
      <w:lvlText w:val="%8."/>
      <w:lvlJc w:val="left"/>
      <w:pPr>
        <w:ind w:left="7023" w:hanging="360"/>
      </w:pPr>
    </w:lvl>
    <w:lvl w:ilvl="8" w:tplc="1809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22" w15:restartNumberingAfterBreak="0">
    <w:nsid w:val="6EFC16B3"/>
    <w:multiLevelType w:val="hybridMultilevel"/>
    <w:tmpl w:val="14C66F6E"/>
    <w:lvl w:ilvl="0" w:tplc="63A08012">
      <w:start w:val="1"/>
      <w:numFmt w:val="decimal"/>
      <w:lvlText w:val="%1."/>
      <w:lvlJc w:val="left"/>
      <w:pPr>
        <w:ind w:left="152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4137A"/>
    <w:multiLevelType w:val="hybridMultilevel"/>
    <w:tmpl w:val="B5F863BC"/>
    <w:lvl w:ilvl="0" w:tplc="B60EE808">
      <w:start w:val="1"/>
      <w:numFmt w:val="decimal"/>
      <w:lvlText w:val="%1."/>
      <w:lvlJc w:val="left"/>
      <w:pPr>
        <w:ind w:left="720" w:hanging="360"/>
      </w:pPr>
    </w:lvl>
    <w:lvl w:ilvl="1" w:tplc="012C488E">
      <w:start w:val="1"/>
      <w:numFmt w:val="decimal"/>
      <w:lvlText w:val="%2."/>
      <w:lvlJc w:val="left"/>
      <w:pPr>
        <w:ind w:left="720" w:hanging="360"/>
      </w:pPr>
    </w:lvl>
    <w:lvl w:ilvl="2" w:tplc="E0280EDA">
      <w:start w:val="1"/>
      <w:numFmt w:val="decimal"/>
      <w:lvlText w:val="%3."/>
      <w:lvlJc w:val="left"/>
      <w:pPr>
        <w:ind w:left="720" w:hanging="360"/>
      </w:pPr>
    </w:lvl>
    <w:lvl w:ilvl="3" w:tplc="3EFC99EA">
      <w:start w:val="1"/>
      <w:numFmt w:val="decimal"/>
      <w:lvlText w:val="%4."/>
      <w:lvlJc w:val="left"/>
      <w:pPr>
        <w:ind w:left="720" w:hanging="360"/>
      </w:pPr>
    </w:lvl>
    <w:lvl w:ilvl="4" w:tplc="18A26174">
      <w:start w:val="1"/>
      <w:numFmt w:val="decimal"/>
      <w:lvlText w:val="%5."/>
      <w:lvlJc w:val="left"/>
      <w:pPr>
        <w:ind w:left="720" w:hanging="360"/>
      </w:pPr>
    </w:lvl>
    <w:lvl w:ilvl="5" w:tplc="01706CFE">
      <w:start w:val="1"/>
      <w:numFmt w:val="decimal"/>
      <w:lvlText w:val="%6."/>
      <w:lvlJc w:val="left"/>
      <w:pPr>
        <w:ind w:left="720" w:hanging="360"/>
      </w:pPr>
    </w:lvl>
    <w:lvl w:ilvl="6" w:tplc="E3D2911A">
      <w:start w:val="1"/>
      <w:numFmt w:val="decimal"/>
      <w:lvlText w:val="%7."/>
      <w:lvlJc w:val="left"/>
      <w:pPr>
        <w:ind w:left="720" w:hanging="360"/>
      </w:pPr>
    </w:lvl>
    <w:lvl w:ilvl="7" w:tplc="FA065DB8">
      <w:start w:val="1"/>
      <w:numFmt w:val="decimal"/>
      <w:lvlText w:val="%8."/>
      <w:lvlJc w:val="left"/>
      <w:pPr>
        <w:ind w:left="720" w:hanging="360"/>
      </w:pPr>
    </w:lvl>
    <w:lvl w:ilvl="8" w:tplc="E872025A">
      <w:start w:val="1"/>
      <w:numFmt w:val="decimal"/>
      <w:lvlText w:val="%9."/>
      <w:lvlJc w:val="left"/>
      <w:pPr>
        <w:ind w:left="720" w:hanging="360"/>
      </w:pPr>
    </w:lvl>
  </w:abstractNum>
  <w:abstractNum w:abstractNumId="24" w15:restartNumberingAfterBreak="0">
    <w:nsid w:val="71A509EC"/>
    <w:multiLevelType w:val="hybridMultilevel"/>
    <w:tmpl w:val="83F00B54"/>
    <w:lvl w:ilvl="0" w:tplc="18090013">
      <w:start w:val="1"/>
      <w:numFmt w:val="upperRoman"/>
      <w:lvlText w:val="%1."/>
      <w:lvlJc w:val="right"/>
      <w:pPr>
        <w:ind w:left="2703" w:hanging="360"/>
      </w:pPr>
    </w:lvl>
    <w:lvl w:ilvl="1" w:tplc="18090019" w:tentative="1">
      <w:start w:val="1"/>
      <w:numFmt w:val="lowerLetter"/>
      <w:lvlText w:val="%2."/>
      <w:lvlJc w:val="left"/>
      <w:pPr>
        <w:ind w:left="3423" w:hanging="360"/>
      </w:pPr>
    </w:lvl>
    <w:lvl w:ilvl="2" w:tplc="1809001B" w:tentative="1">
      <w:start w:val="1"/>
      <w:numFmt w:val="lowerRoman"/>
      <w:lvlText w:val="%3."/>
      <w:lvlJc w:val="right"/>
      <w:pPr>
        <w:ind w:left="4143" w:hanging="180"/>
      </w:pPr>
    </w:lvl>
    <w:lvl w:ilvl="3" w:tplc="1809000F" w:tentative="1">
      <w:start w:val="1"/>
      <w:numFmt w:val="decimal"/>
      <w:lvlText w:val="%4."/>
      <w:lvlJc w:val="left"/>
      <w:pPr>
        <w:ind w:left="4863" w:hanging="360"/>
      </w:pPr>
    </w:lvl>
    <w:lvl w:ilvl="4" w:tplc="18090019" w:tentative="1">
      <w:start w:val="1"/>
      <w:numFmt w:val="lowerLetter"/>
      <w:lvlText w:val="%5."/>
      <w:lvlJc w:val="left"/>
      <w:pPr>
        <w:ind w:left="5583" w:hanging="360"/>
      </w:pPr>
    </w:lvl>
    <w:lvl w:ilvl="5" w:tplc="1809001B" w:tentative="1">
      <w:start w:val="1"/>
      <w:numFmt w:val="lowerRoman"/>
      <w:lvlText w:val="%6."/>
      <w:lvlJc w:val="right"/>
      <w:pPr>
        <w:ind w:left="6303" w:hanging="180"/>
      </w:pPr>
    </w:lvl>
    <w:lvl w:ilvl="6" w:tplc="1809000F" w:tentative="1">
      <w:start w:val="1"/>
      <w:numFmt w:val="decimal"/>
      <w:lvlText w:val="%7."/>
      <w:lvlJc w:val="left"/>
      <w:pPr>
        <w:ind w:left="7023" w:hanging="360"/>
      </w:pPr>
    </w:lvl>
    <w:lvl w:ilvl="7" w:tplc="18090019" w:tentative="1">
      <w:start w:val="1"/>
      <w:numFmt w:val="lowerLetter"/>
      <w:lvlText w:val="%8."/>
      <w:lvlJc w:val="left"/>
      <w:pPr>
        <w:ind w:left="7743" w:hanging="360"/>
      </w:pPr>
    </w:lvl>
    <w:lvl w:ilvl="8" w:tplc="18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25" w15:restartNumberingAfterBreak="0">
    <w:nsid w:val="749C4D0B"/>
    <w:multiLevelType w:val="hybridMultilevel"/>
    <w:tmpl w:val="AB6840E4"/>
    <w:lvl w:ilvl="0" w:tplc="E48690B0">
      <w:start w:val="1"/>
      <w:numFmt w:val="decimal"/>
      <w:lvlText w:val="(%1)"/>
      <w:lvlJc w:val="left"/>
      <w:pPr>
        <w:ind w:left="154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BA44AA">
      <w:start w:val="1"/>
      <w:numFmt w:val="lowerRoman"/>
      <w:lvlText w:val="(%2)"/>
      <w:lvlJc w:val="left"/>
      <w:pPr>
        <w:ind w:left="211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5A2CF58">
      <w:numFmt w:val="bullet"/>
      <w:lvlText w:val="•"/>
      <w:lvlJc w:val="left"/>
      <w:pPr>
        <w:ind w:left="2400" w:hanging="567"/>
      </w:pPr>
      <w:rPr>
        <w:rFonts w:hint="default"/>
        <w:lang w:val="en-US" w:eastAsia="en-US" w:bidi="ar-SA"/>
      </w:rPr>
    </w:lvl>
    <w:lvl w:ilvl="3" w:tplc="0734A08C">
      <w:numFmt w:val="bullet"/>
      <w:lvlText w:val="•"/>
      <w:lvlJc w:val="left"/>
      <w:pPr>
        <w:ind w:left="3473" w:hanging="567"/>
      </w:pPr>
      <w:rPr>
        <w:rFonts w:hint="default"/>
        <w:lang w:val="en-US" w:eastAsia="en-US" w:bidi="ar-SA"/>
      </w:rPr>
    </w:lvl>
    <w:lvl w:ilvl="4" w:tplc="8DE86EB2">
      <w:numFmt w:val="bullet"/>
      <w:lvlText w:val="•"/>
      <w:lvlJc w:val="left"/>
      <w:pPr>
        <w:ind w:left="4546" w:hanging="567"/>
      </w:pPr>
      <w:rPr>
        <w:rFonts w:hint="default"/>
        <w:lang w:val="en-US" w:eastAsia="en-US" w:bidi="ar-SA"/>
      </w:rPr>
    </w:lvl>
    <w:lvl w:ilvl="5" w:tplc="0220D2D0">
      <w:numFmt w:val="bullet"/>
      <w:lvlText w:val="•"/>
      <w:lvlJc w:val="left"/>
      <w:pPr>
        <w:ind w:left="5619" w:hanging="567"/>
      </w:pPr>
      <w:rPr>
        <w:rFonts w:hint="default"/>
        <w:lang w:val="en-US" w:eastAsia="en-US" w:bidi="ar-SA"/>
      </w:rPr>
    </w:lvl>
    <w:lvl w:ilvl="6" w:tplc="05C0EB28">
      <w:numFmt w:val="bullet"/>
      <w:lvlText w:val="•"/>
      <w:lvlJc w:val="left"/>
      <w:pPr>
        <w:ind w:left="6693" w:hanging="567"/>
      </w:pPr>
      <w:rPr>
        <w:rFonts w:hint="default"/>
        <w:lang w:val="en-US" w:eastAsia="en-US" w:bidi="ar-SA"/>
      </w:rPr>
    </w:lvl>
    <w:lvl w:ilvl="7" w:tplc="1BB8A4A8">
      <w:numFmt w:val="bullet"/>
      <w:lvlText w:val="•"/>
      <w:lvlJc w:val="left"/>
      <w:pPr>
        <w:ind w:left="7766" w:hanging="567"/>
      </w:pPr>
      <w:rPr>
        <w:rFonts w:hint="default"/>
        <w:lang w:val="en-US" w:eastAsia="en-US" w:bidi="ar-SA"/>
      </w:rPr>
    </w:lvl>
    <w:lvl w:ilvl="8" w:tplc="2B46655E">
      <w:numFmt w:val="bullet"/>
      <w:lvlText w:val="•"/>
      <w:lvlJc w:val="left"/>
      <w:pPr>
        <w:ind w:left="8839" w:hanging="567"/>
      </w:pPr>
      <w:rPr>
        <w:rFonts w:hint="default"/>
        <w:lang w:val="en-US" w:eastAsia="en-US" w:bidi="ar-SA"/>
      </w:rPr>
    </w:lvl>
  </w:abstractNum>
  <w:abstractNum w:abstractNumId="26" w15:restartNumberingAfterBreak="0">
    <w:nsid w:val="790920FF"/>
    <w:multiLevelType w:val="hybridMultilevel"/>
    <w:tmpl w:val="947E3B06"/>
    <w:lvl w:ilvl="0" w:tplc="18090017">
      <w:start w:val="1"/>
      <w:numFmt w:val="lowerLetter"/>
      <w:lvlText w:val="%1)"/>
      <w:lvlJc w:val="left"/>
      <w:pPr>
        <w:ind w:left="1549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 w:tentative="1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num w:numId="1">
    <w:abstractNumId w:val="2"/>
  </w:num>
  <w:num w:numId="2">
    <w:abstractNumId w:val="25"/>
  </w:num>
  <w:num w:numId="3">
    <w:abstractNumId w:val="3"/>
  </w:num>
  <w:num w:numId="4">
    <w:abstractNumId w:val="20"/>
  </w:num>
  <w:num w:numId="5">
    <w:abstractNumId w:val="7"/>
  </w:num>
  <w:num w:numId="6">
    <w:abstractNumId w:val="11"/>
  </w:num>
  <w:num w:numId="7">
    <w:abstractNumId w:val="15"/>
  </w:num>
  <w:num w:numId="8">
    <w:abstractNumId w:val="17"/>
  </w:num>
  <w:num w:numId="9">
    <w:abstractNumId w:val="5"/>
  </w:num>
  <w:num w:numId="10">
    <w:abstractNumId w:val="12"/>
  </w:num>
  <w:num w:numId="11">
    <w:abstractNumId w:val="13"/>
  </w:num>
  <w:num w:numId="12">
    <w:abstractNumId w:val="21"/>
  </w:num>
  <w:num w:numId="13">
    <w:abstractNumId w:val="19"/>
  </w:num>
  <w:num w:numId="14">
    <w:abstractNumId w:val="24"/>
  </w:num>
  <w:num w:numId="15">
    <w:abstractNumId w:val="9"/>
  </w:num>
  <w:num w:numId="16">
    <w:abstractNumId w:val="1"/>
  </w:num>
  <w:num w:numId="17">
    <w:abstractNumId w:val="16"/>
  </w:num>
  <w:num w:numId="18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</w:num>
  <w:num w:numId="20">
    <w:abstractNumId w:val="6"/>
  </w:num>
  <w:num w:numId="21">
    <w:abstractNumId w:val="18"/>
  </w:num>
  <w:num w:numId="22">
    <w:abstractNumId w:val="4"/>
  </w:num>
  <w:num w:numId="23">
    <w:abstractNumId w:val="23"/>
  </w:num>
  <w:num w:numId="24">
    <w:abstractNumId w:val="8"/>
  </w:num>
  <w:num w:numId="25">
    <w:abstractNumId w:val="26"/>
  </w:num>
  <w:num w:numId="26">
    <w:abstractNumId w:val="0"/>
  </w:num>
  <w:num w:numId="27">
    <w:abstractNumId w:val="14"/>
  </w:num>
  <w:num w:numId="28">
    <w:abstractNumId w:val="14"/>
    <w:lvlOverride w:ilvl="0">
      <w:startOverride w:val="1"/>
    </w:lvlOverride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5B2BB760-898F-402C-A8EA-576719AF5EB8"/>
    <w:docVar w:name="LW_COVERPAGE_TYPE" w:val="1"/>
    <w:docVar w:name="LW_CROSSREFERENCE" w:val="&lt;UNUSED&gt;"/>
    <w:docVar w:name="LW_DocType" w:val="NORMAL"/>
    <w:docVar w:name="LW_EMISSION" w:val="25.4.2025"/>
    <w:docVar w:name="LW_EMISSION_ISODATE" w:val="2025-04-25"/>
    <w:docVar w:name="LW_EMISSION_LOCATION" w:val="BRX"/>
    <w:docVar w:name="LW_EMISSION_PREFIX" w:val="Brussell, "/>
    <w:docVar w:name="LW_EMISSION_SUFFIX" w:val=" "/>
    <w:docVar w:name="LW_ID_DOCTYPE_NONLW" w:val="CP-005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5) 166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Rapport Annwali dwar ir-Regolament (UE) 2022/1925 tal-Parlament Ewropew u tal-Kunsill dwar swieq kontestabbli u \u289?usti fis-settur di\u289?itali u li jemenda d-Direttivi (UE) 2019/1937 u (UE) 2020/1828 (l-Att dwar is-Swieq Di\u289?itali)"/>
    <w:docVar w:name="LW_TYPE.DOC.CP" w:val="RAPPORT TAL-KUMMISSJONI LILL-KUNSILL U LILL-PARLAMENT EWROPEW"/>
    <w:docVar w:name="LwApiVersions" w:val="LW4CoDe 1.24.5.0; LW 9.0, Build 20240221"/>
    <w:docVar w:name="Stamp" w:val="\\dossiers.dgt.cec.eu.int\dossiers\COMP\COMP-2025-00273\COMP-2025-00273-00-00-EN-EDT-00.202502181850348414021.DOCX"/>
  </w:docVars>
  <w:rsids>
    <w:rsidRoot w:val="002E7827"/>
    <w:rsid w:val="00002B6D"/>
    <w:rsid w:val="00003241"/>
    <w:rsid w:val="00004F1D"/>
    <w:rsid w:val="00005EBC"/>
    <w:rsid w:val="00011043"/>
    <w:rsid w:val="00011EE1"/>
    <w:rsid w:val="00012106"/>
    <w:rsid w:val="000139C1"/>
    <w:rsid w:val="000227DD"/>
    <w:rsid w:val="00026290"/>
    <w:rsid w:val="00027BE9"/>
    <w:rsid w:val="00030497"/>
    <w:rsid w:val="00030FF2"/>
    <w:rsid w:val="00031739"/>
    <w:rsid w:val="000338B5"/>
    <w:rsid w:val="0003441C"/>
    <w:rsid w:val="000363D7"/>
    <w:rsid w:val="000448BD"/>
    <w:rsid w:val="00046F6D"/>
    <w:rsid w:val="00050664"/>
    <w:rsid w:val="00054925"/>
    <w:rsid w:val="00054A59"/>
    <w:rsid w:val="00054D69"/>
    <w:rsid w:val="00061645"/>
    <w:rsid w:val="00064465"/>
    <w:rsid w:val="000677AB"/>
    <w:rsid w:val="00070197"/>
    <w:rsid w:val="00074E86"/>
    <w:rsid w:val="00081771"/>
    <w:rsid w:val="00081A60"/>
    <w:rsid w:val="00087D46"/>
    <w:rsid w:val="00090251"/>
    <w:rsid w:val="00094AA6"/>
    <w:rsid w:val="00094D6F"/>
    <w:rsid w:val="000A3B46"/>
    <w:rsid w:val="000A622E"/>
    <w:rsid w:val="000A66DD"/>
    <w:rsid w:val="000A6D39"/>
    <w:rsid w:val="000B2F0A"/>
    <w:rsid w:val="000B31E7"/>
    <w:rsid w:val="000C0B01"/>
    <w:rsid w:val="000E1531"/>
    <w:rsid w:val="000E2E56"/>
    <w:rsid w:val="000F1CB8"/>
    <w:rsid w:val="000F4B95"/>
    <w:rsid w:val="000F5A28"/>
    <w:rsid w:val="000F5FBF"/>
    <w:rsid w:val="001036E8"/>
    <w:rsid w:val="0010491C"/>
    <w:rsid w:val="00110D17"/>
    <w:rsid w:val="00110EB8"/>
    <w:rsid w:val="00113FA8"/>
    <w:rsid w:val="00114DF9"/>
    <w:rsid w:val="00126E1D"/>
    <w:rsid w:val="00131FE9"/>
    <w:rsid w:val="00133936"/>
    <w:rsid w:val="00134098"/>
    <w:rsid w:val="00141416"/>
    <w:rsid w:val="00146EE1"/>
    <w:rsid w:val="00150C57"/>
    <w:rsid w:val="001532C5"/>
    <w:rsid w:val="00155A12"/>
    <w:rsid w:val="00156E45"/>
    <w:rsid w:val="00162338"/>
    <w:rsid w:val="001718D0"/>
    <w:rsid w:val="00187843"/>
    <w:rsid w:val="00190367"/>
    <w:rsid w:val="00196B30"/>
    <w:rsid w:val="00197610"/>
    <w:rsid w:val="00197CEF"/>
    <w:rsid w:val="001A7900"/>
    <w:rsid w:val="001B3962"/>
    <w:rsid w:val="001B49F0"/>
    <w:rsid w:val="001C190A"/>
    <w:rsid w:val="001C62A2"/>
    <w:rsid w:val="001C7BD2"/>
    <w:rsid w:val="001D2A30"/>
    <w:rsid w:val="001D443D"/>
    <w:rsid w:val="001E0E00"/>
    <w:rsid w:val="001E4C40"/>
    <w:rsid w:val="001E4FD3"/>
    <w:rsid w:val="001E6D9B"/>
    <w:rsid w:val="001F1D43"/>
    <w:rsid w:val="001F5240"/>
    <w:rsid w:val="001F77B4"/>
    <w:rsid w:val="00202D4B"/>
    <w:rsid w:val="002034AD"/>
    <w:rsid w:val="002051CD"/>
    <w:rsid w:val="002118D2"/>
    <w:rsid w:val="00213275"/>
    <w:rsid w:val="00213A19"/>
    <w:rsid w:val="002332D6"/>
    <w:rsid w:val="002362EF"/>
    <w:rsid w:val="00236BFF"/>
    <w:rsid w:val="00244C38"/>
    <w:rsid w:val="00247250"/>
    <w:rsid w:val="00250A35"/>
    <w:rsid w:val="0025310B"/>
    <w:rsid w:val="002567A6"/>
    <w:rsid w:val="00260940"/>
    <w:rsid w:val="00260EB5"/>
    <w:rsid w:val="00262650"/>
    <w:rsid w:val="002656BA"/>
    <w:rsid w:val="00280855"/>
    <w:rsid w:val="00280990"/>
    <w:rsid w:val="0028114F"/>
    <w:rsid w:val="00287BF5"/>
    <w:rsid w:val="00293128"/>
    <w:rsid w:val="002A129C"/>
    <w:rsid w:val="002A2E42"/>
    <w:rsid w:val="002B29CE"/>
    <w:rsid w:val="002C3786"/>
    <w:rsid w:val="002C6EAF"/>
    <w:rsid w:val="002C7AFC"/>
    <w:rsid w:val="002D1ABC"/>
    <w:rsid w:val="002E0461"/>
    <w:rsid w:val="002E0A37"/>
    <w:rsid w:val="002E294D"/>
    <w:rsid w:val="002E53BF"/>
    <w:rsid w:val="002E62AD"/>
    <w:rsid w:val="002E7827"/>
    <w:rsid w:val="002F6E6B"/>
    <w:rsid w:val="003041DD"/>
    <w:rsid w:val="00312644"/>
    <w:rsid w:val="003127A6"/>
    <w:rsid w:val="00313FCA"/>
    <w:rsid w:val="00320DA8"/>
    <w:rsid w:val="0032374F"/>
    <w:rsid w:val="00330404"/>
    <w:rsid w:val="003305EC"/>
    <w:rsid w:val="00340A98"/>
    <w:rsid w:val="00343734"/>
    <w:rsid w:val="003468AF"/>
    <w:rsid w:val="00350183"/>
    <w:rsid w:val="00351BCD"/>
    <w:rsid w:val="0035459E"/>
    <w:rsid w:val="003636AB"/>
    <w:rsid w:val="00372171"/>
    <w:rsid w:val="00376408"/>
    <w:rsid w:val="0039576D"/>
    <w:rsid w:val="003A796C"/>
    <w:rsid w:val="003B1D47"/>
    <w:rsid w:val="003B250E"/>
    <w:rsid w:val="003C30C3"/>
    <w:rsid w:val="003D038B"/>
    <w:rsid w:val="003D293C"/>
    <w:rsid w:val="003D2EFF"/>
    <w:rsid w:val="003D53BF"/>
    <w:rsid w:val="003D5D57"/>
    <w:rsid w:val="003D687B"/>
    <w:rsid w:val="003E0D84"/>
    <w:rsid w:val="003E0E7D"/>
    <w:rsid w:val="003E2000"/>
    <w:rsid w:val="00402DD6"/>
    <w:rsid w:val="004158D7"/>
    <w:rsid w:val="0042358A"/>
    <w:rsid w:val="00425974"/>
    <w:rsid w:val="004278DF"/>
    <w:rsid w:val="00441DB9"/>
    <w:rsid w:val="00442923"/>
    <w:rsid w:val="004435F3"/>
    <w:rsid w:val="0044784F"/>
    <w:rsid w:val="004507B5"/>
    <w:rsid w:val="004517FA"/>
    <w:rsid w:val="00451E2E"/>
    <w:rsid w:val="00454A84"/>
    <w:rsid w:val="004620E7"/>
    <w:rsid w:val="0046315B"/>
    <w:rsid w:val="004635AE"/>
    <w:rsid w:val="00465943"/>
    <w:rsid w:val="0046778E"/>
    <w:rsid w:val="00471621"/>
    <w:rsid w:val="00474327"/>
    <w:rsid w:val="0047693D"/>
    <w:rsid w:val="004778E0"/>
    <w:rsid w:val="00477F02"/>
    <w:rsid w:val="00481D65"/>
    <w:rsid w:val="00484331"/>
    <w:rsid w:val="00484CF6"/>
    <w:rsid w:val="004861CE"/>
    <w:rsid w:val="004867A7"/>
    <w:rsid w:val="00495B9D"/>
    <w:rsid w:val="00496E35"/>
    <w:rsid w:val="004978B2"/>
    <w:rsid w:val="004A45DC"/>
    <w:rsid w:val="004B079D"/>
    <w:rsid w:val="004B0FD9"/>
    <w:rsid w:val="004B1798"/>
    <w:rsid w:val="004B68DF"/>
    <w:rsid w:val="004C48E6"/>
    <w:rsid w:val="004E1AA6"/>
    <w:rsid w:val="004E2285"/>
    <w:rsid w:val="004E479F"/>
    <w:rsid w:val="004E78A5"/>
    <w:rsid w:val="004E7F94"/>
    <w:rsid w:val="004F43AB"/>
    <w:rsid w:val="00503FB7"/>
    <w:rsid w:val="0050540A"/>
    <w:rsid w:val="005147DB"/>
    <w:rsid w:val="00522521"/>
    <w:rsid w:val="00525E69"/>
    <w:rsid w:val="005331FF"/>
    <w:rsid w:val="005447BB"/>
    <w:rsid w:val="005545AD"/>
    <w:rsid w:val="0055610E"/>
    <w:rsid w:val="00560BEC"/>
    <w:rsid w:val="005644FD"/>
    <w:rsid w:val="00570492"/>
    <w:rsid w:val="005717DE"/>
    <w:rsid w:val="005725B5"/>
    <w:rsid w:val="005764E9"/>
    <w:rsid w:val="00581F77"/>
    <w:rsid w:val="005833C3"/>
    <w:rsid w:val="00583EC3"/>
    <w:rsid w:val="005848DC"/>
    <w:rsid w:val="00585FFE"/>
    <w:rsid w:val="00592BC3"/>
    <w:rsid w:val="00594250"/>
    <w:rsid w:val="00595F5F"/>
    <w:rsid w:val="005A602A"/>
    <w:rsid w:val="005A6335"/>
    <w:rsid w:val="005C563F"/>
    <w:rsid w:val="005C5E34"/>
    <w:rsid w:val="005D62CC"/>
    <w:rsid w:val="005E416D"/>
    <w:rsid w:val="005E61C8"/>
    <w:rsid w:val="005F37F0"/>
    <w:rsid w:val="005F6F2D"/>
    <w:rsid w:val="00600147"/>
    <w:rsid w:val="00615F5F"/>
    <w:rsid w:val="00617288"/>
    <w:rsid w:val="006217D1"/>
    <w:rsid w:val="006224AC"/>
    <w:rsid w:val="00625882"/>
    <w:rsid w:val="00626E36"/>
    <w:rsid w:val="00634BAA"/>
    <w:rsid w:val="00636442"/>
    <w:rsid w:val="006432BF"/>
    <w:rsid w:val="00647393"/>
    <w:rsid w:val="0065313A"/>
    <w:rsid w:val="00654260"/>
    <w:rsid w:val="0065550D"/>
    <w:rsid w:val="00657BDC"/>
    <w:rsid w:val="0066304F"/>
    <w:rsid w:val="00665863"/>
    <w:rsid w:val="00665876"/>
    <w:rsid w:val="0067065C"/>
    <w:rsid w:val="00671D17"/>
    <w:rsid w:val="00677E5A"/>
    <w:rsid w:val="00677E8B"/>
    <w:rsid w:val="00680066"/>
    <w:rsid w:val="006800FE"/>
    <w:rsid w:val="00684A29"/>
    <w:rsid w:val="00684E73"/>
    <w:rsid w:val="006863EC"/>
    <w:rsid w:val="006875C4"/>
    <w:rsid w:val="00691A38"/>
    <w:rsid w:val="00696F4E"/>
    <w:rsid w:val="006A0476"/>
    <w:rsid w:val="006A0944"/>
    <w:rsid w:val="006A4FEC"/>
    <w:rsid w:val="006B0E83"/>
    <w:rsid w:val="006B233F"/>
    <w:rsid w:val="006E5623"/>
    <w:rsid w:val="006E7688"/>
    <w:rsid w:val="006F341B"/>
    <w:rsid w:val="006F3A9E"/>
    <w:rsid w:val="006F50DA"/>
    <w:rsid w:val="006F5A5C"/>
    <w:rsid w:val="006F757D"/>
    <w:rsid w:val="006F7961"/>
    <w:rsid w:val="00701341"/>
    <w:rsid w:val="0070176D"/>
    <w:rsid w:val="007017D3"/>
    <w:rsid w:val="00702FA0"/>
    <w:rsid w:val="00705F52"/>
    <w:rsid w:val="00712E83"/>
    <w:rsid w:val="00715618"/>
    <w:rsid w:val="00717EE1"/>
    <w:rsid w:val="00725FA8"/>
    <w:rsid w:val="00725FEE"/>
    <w:rsid w:val="00735127"/>
    <w:rsid w:val="007353E0"/>
    <w:rsid w:val="0073554C"/>
    <w:rsid w:val="007367FB"/>
    <w:rsid w:val="007371A3"/>
    <w:rsid w:val="00740FBC"/>
    <w:rsid w:val="0075051E"/>
    <w:rsid w:val="00770341"/>
    <w:rsid w:val="0077071E"/>
    <w:rsid w:val="00772140"/>
    <w:rsid w:val="00773BAE"/>
    <w:rsid w:val="007843B3"/>
    <w:rsid w:val="00786E70"/>
    <w:rsid w:val="007A74FB"/>
    <w:rsid w:val="007B0F4A"/>
    <w:rsid w:val="007B1A8C"/>
    <w:rsid w:val="007B1D51"/>
    <w:rsid w:val="007B1E3F"/>
    <w:rsid w:val="007C0192"/>
    <w:rsid w:val="007C0C5E"/>
    <w:rsid w:val="007C1B8F"/>
    <w:rsid w:val="007C2903"/>
    <w:rsid w:val="007C5AFD"/>
    <w:rsid w:val="007D076C"/>
    <w:rsid w:val="007D5EE0"/>
    <w:rsid w:val="007D5FD8"/>
    <w:rsid w:val="007D67FB"/>
    <w:rsid w:val="007D7340"/>
    <w:rsid w:val="007E13C0"/>
    <w:rsid w:val="007E2D88"/>
    <w:rsid w:val="007E3997"/>
    <w:rsid w:val="007F7A1D"/>
    <w:rsid w:val="00804D24"/>
    <w:rsid w:val="008068E7"/>
    <w:rsid w:val="00810A5F"/>
    <w:rsid w:val="008112E5"/>
    <w:rsid w:val="00816409"/>
    <w:rsid w:val="00817A95"/>
    <w:rsid w:val="008216AB"/>
    <w:rsid w:val="0082173A"/>
    <w:rsid w:val="00827354"/>
    <w:rsid w:val="00827E5F"/>
    <w:rsid w:val="00837969"/>
    <w:rsid w:val="00840D4C"/>
    <w:rsid w:val="00842294"/>
    <w:rsid w:val="00843965"/>
    <w:rsid w:val="00846DF8"/>
    <w:rsid w:val="00847A6F"/>
    <w:rsid w:val="008502D0"/>
    <w:rsid w:val="008506FB"/>
    <w:rsid w:val="008603D3"/>
    <w:rsid w:val="00866342"/>
    <w:rsid w:val="00873BB9"/>
    <w:rsid w:val="00874275"/>
    <w:rsid w:val="008766D7"/>
    <w:rsid w:val="008773C1"/>
    <w:rsid w:val="008806A5"/>
    <w:rsid w:val="00880D63"/>
    <w:rsid w:val="00894C17"/>
    <w:rsid w:val="00894C97"/>
    <w:rsid w:val="0089796C"/>
    <w:rsid w:val="008A65B9"/>
    <w:rsid w:val="008A754E"/>
    <w:rsid w:val="008B1B59"/>
    <w:rsid w:val="008B47E5"/>
    <w:rsid w:val="008C0398"/>
    <w:rsid w:val="008C3A96"/>
    <w:rsid w:val="008C48C8"/>
    <w:rsid w:val="008C4AD7"/>
    <w:rsid w:val="008C559D"/>
    <w:rsid w:val="008C6FCD"/>
    <w:rsid w:val="008C7F5D"/>
    <w:rsid w:val="008D16E6"/>
    <w:rsid w:val="008D29D4"/>
    <w:rsid w:val="008D45F3"/>
    <w:rsid w:val="008E3AF7"/>
    <w:rsid w:val="008E3FF5"/>
    <w:rsid w:val="008F6604"/>
    <w:rsid w:val="009124E5"/>
    <w:rsid w:val="009177DB"/>
    <w:rsid w:val="00920E4E"/>
    <w:rsid w:val="00923471"/>
    <w:rsid w:val="00923923"/>
    <w:rsid w:val="0092514F"/>
    <w:rsid w:val="00926922"/>
    <w:rsid w:val="0092737C"/>
    <w:rsid w:val="00930E27"/>
    <w:rsid w:val="00931E1B"/>
    <w:rsid w:val="00943D54"/>
    <w:rsid w:val="00944F02"/>
    <w:rsid w:val="009464EB"/>
    <w:rsid w:val="00955800"/>
    <w:rsid w:val="00962007"/>
    <w:rsid w:val="00963F71"/>
    <w:rsid w:val="0096588D"/>
    <w:rsid w:val="009659B8"/>
    <w:rsid w:val="00965E05"/>
    <w:rsid w:val="009752F3"/>
    <w:rsid w:val="009836DA"/>
    <w:rsid w:val="00992C21"/>
    <w:rsid w:val="00995BA5"/>
    <w:rsid w:val="00996835"/>
    <w:rsid w:val="009A7CAB"/>
    <w:rsid w:val="009B01B0"/>
    <w:rsid w:val="009B0B62"/>
    <w:rsid w:val="009B0F5A"/>
    <w:rsid w:val="009B54A9"/>
    <w:rsid w:val="009E108A"/>
    <w:rsid w:val="009F5517"/>
    <w:rsid w:val="009F6481"/>
    <w:rsid w:val="00A04F41"/>
    <w:rsid w:val="00A0676A"/>
    <w:rsid w:val="00A10176"/>
    <w:rsid w:val="00A140AD"/>
    <w:rsid w:val="00A240DF"/>
    <w:rsid w:val="00A24919"/>
    <w:rsid w:val="00A27AF8"/>
    <w:rsid w:val="00A27BCF"/>
    <w:rsid w:val="00A32B91"/>
    <w:rsid w:val="00A32BC1"/>
    <w:rsid w:val="00A36152"/>
    <w:rsid w:val="00A43E78"/>
    <w:rsid w:val="00A44C4F"/>
    <w:rsid w:val="00A473C5"/>
    <w:rsid w:val="00A47E49"/>
    <w:rsid w:val="00A50CA8"/>
    <w:rsid w:val="00A5507C"/>
    <w:rsid w:val="00A57667"/>
    <w:rsid w:val="00A60DA7"/>
    <w:rsid w:val="00A621E2"/>
    <w:rsid w:val="00A65B1A"/>
    <w:rsid w:val="00A7643A"/>
    <w:rsid w:val="00A822F3"/>
    <w:rsid w:val="00A8687D"/>
    <w:rsid w:val="00A9094A"/>
    <w:rsid w:val="00A91FB9"/>
    <w:rsid w:val="00A93BD7"/>
    <w:rsid w:val="00AA50E0"/>
    <w:rsid w:val="00AA7D8E"/>
    <w:rsid w:val="00AB203F"/>
    <w:rsid w:val="00AB2213"/>
    <w:rsid w:val="00AB37DA"/>
    <w:rsid w:val="00AB5842"/>
    <w:rsid w:val="00AB684E"/>
    <w:rsid w:val="00AC3386"/>
    <w:rsid w:val="00AC50B3"/>
    <w:rsid w:val="00AD1331"/>
    <w:rsid w:val="00AD26FA"/>
    <w:rsid w:val="00AD4413"/>
    <w:rsid w:val="00AE02E4"/>
    <w:rsid w:val="00AE044C"/>
    <w:rsid w:val="00AE05F3"/>
    <w:rsid w:val="00AE0743"/>
    <w:rsid w:val="00AE2E66"/>
    <w:rsid w:val="00AE4783"/>
    <w:rsid w:val="00AE5A1A"/>
    <w:rsid w:val="00AE70E4"/>
    <w:rsid w:val="00AF5B68"/>
    <w:rsid w:val="00B01462"/>
    <w:rsid w:val="00B017E3"/>
    <w:rsid w:val="00B01D4F"/>
    <w:rsid w:val="00B02913"/>
    <w:rsid w:val="00B03462"/>
    <w:rsid w:val="00B10E35"/>
    <w:rsid w:val="00B12A1D"/>
    <w:rsid w:val="00B12A99"/>
    <w:rsid w:val="00B139E5"/>
    <w:rsid w:val="00B15B8F"/>
    <w:rsid w:val="00B21CF2"/>
    <w:rsid w:val="00B21E3C"/>
    <w:rsid w:val="00B22FE8"/>
    <w:rsid w:val="00B305E0"/>
    <w:rsid w:val="00B31AF5"/>
    <w:rsid w:val="00B32654"/>
    <w:rsid w:val="00B32B30"/>
    <w:rsid w:val="00B33442"/>
    <w:rsid w:val="00B36057"/>
    <w:rsid w:val="00B364E7"/>
    <w:rsid w:val="00B37364"/>
    <w:rsid w:val="00B40D3B"/>
    <w:rsid w:val="00B467CE"/>
    <w:rsid w:val="00B46EDB"/>
    <w:rsid w:val="00B608C9"/>
    <w:rsid w:val="00B620EE"/>
    <w:rsid w:val="00B72A4A"/>
    <w:rsid w:val="00B77009"/>
    <w:rsid w:val="00B834FD"/>
    <w:rsid w:val="00B8504D"/>
    <w:rsid w:val="00B87141"/>
    <w:rsid w:val="00B90641"/>
    <w:rsid w:val="00B91E9A"/>
    <w:rsid w:val="00B920A6"/>
    <w:rsid w:val="00BA350F"/>
    <w:rsid w:val="00BB24C6"/>
    <w:rsid w:val="00BB5306"/>
    <w:rsid w:val="00BB5F6A"/>
    <w:rsid w:val="00BD0065"/>
    <w:rsid w:val="00BD1823"/>
    <w:rsid w:val="00BD1E43"/>
    <w:rsid w:val="00BD506D"/>
    <w:rsid w:val="00BD541F"/>
    <w:rsid w:val="00BD6BEA"/>
    <w:rsid w:val="00BE458B"/>
    <w:rsid w:val="00BF1ABB"/>
    <w:rsid w:val="00BF272A"/>
    <w:rsid w:val="00BF5286"/>
    <w:rsid w:val="00BF5721"/>
    <w:rsid w:val="00BF6565"/>
    <w:rsid w:val="00BF6ED7"/>
    <w:rsid w:val="00BF78F5"/>
    <w:rsid w:val="00BF7B02"/>
    <w:rsid w:val="00C021C5"/>
    <w:rsid w:val="00C03D36"/>
    <w:rsid w:val="00C05241"/>
    <w:rsid w:val="00C104F5"/>
    <w:rsid w:val="00C15473"/>
    <w:rsid w:val="00C25016"/>
    <w:rsid w:val="00C276E3"/>
    <w:rsid w:val="00C30004"/>
    <w:rsid w:val="00C30A00"/>
    <w:rsid w:val="00C31D0A"/>
    <w:rsid w:val="00C400DC"/>
    <w:rsid w:val="00C42E5F"/>
    <w:rsid w:val="00C46C3C"/>
    <w:rsid w:val="00C50093"/>
    <w:rsid w:val="00C62472"/>
    <w:rsid w:val="00C7031A"/>
    <w:rsid w:val="00C71256"/>
    <w:rsid w:val="00C745C2"/>
    <w:rsid w:val="00C83ADF"/>
    <w:rsid w:val="00C86A7F"/>
    <w:rsid w:val="00C86A9F"/>
    <w:rsid w:val="00C86C23"/>
    <w:rsid w:val="00C87EC4"/>
    <w:rsid w:val="00C9046C"/>
    <w:rsid w:val="00C909D4"/>
    <w:rsid w:val="00C913F7"/>
    <w:rsid w:val="00C917C1"/>
    <w:rsid w:val="00CA01DE"/>
    <w:rsid w:val="00CA1471"/>
    <w:rsid w:val="00CA2E94"/>
    <w:rsid w:val="00CA4D89"/>
    <w:rsid w:val="00CA5F76"/>
    <w:rsid w:val="00CB2BC6"/>
    <w:rsid w:val="00CB7989"/>
    <w:rsid w:val="00CC093F"/>
    <w:rsid w:val="00CC45A0"/>
    <w:rsid w:val="00CD072F"/>
    <w:rsid w:val="00CE0781"/>
    <w:rsid w:val="00CE4852"/>
    <w:rsid w:val="00CE724A"/>
    <w:rsid w:val="00CF1CEE"/>
    <w:rsid w:val="00CF1EC2"/>
    <w:rsid w:val="00CF424D"/>
    <w:rsid w:val="00D020D8"/>
    <w:rsid w:val="00D03E0C"/>
    <w:rsid w:val="00D16F59"/>
    <w:rsid w:val="00D17DE8"/>
    <w:rsid w:val="00D219C6"/>
    <w:rsid w:val="00D2353C"/>
    <w:rsid w:val="00D26FCD"/>
    <w:rsid w:val="00D329E2"/>
    <w:rsid w:val="00D40487"/>
    <w:rsid w:val="00D41235"/>
    <w:rsid w:val="00D50A6A"/>
    <w:rsid w:val="00D5663D"/>
    <w:rsid w:val="00D6031F"/>
    <w:rsid w:val="00D60FD2"/>
    <w:rsid w:val="00D61980"/>
    <w:rsid w:val="00D720D2"/>
    <w:rsid w:val="00D84774"/>
    <w:rsid w:val="00DA01A2"/>
    <w:rsid w:val="00DA17DC"/>
    <w:rsid w:val="00DA19E7"/>
    <w:rsid w:val="00DB4037"/>
    <w:rsid w:val="00DC0065"/>
    <w:rsid w:val="00DC3CFC"/>
    <w:rsid w:val="00DD7A16"/>
    <w:rsid w:val="00DE00E1"/>
    <w:rsid w:val="00DE1447"/>
    <w:rsid w:val="00DE221A"/>
    <w:rsid w:val="00DE6837"/>
    <w:rsid w:val="00DF3028"/>
    <w:rsid w:val="00E10A21"/>
    <w:rsid w:val="00E118E4"/>
    <w:rsid w:val="00E11E15"/>
    <w:rsid w:val="00E2123A"/>
    <w:rsid w:val="00E31702"/>
    <w:rsid w:val="00E36FED"/>
    <w:rsid w:val="00E418DE"/>
    <w:rsid w:val="00E432D8"/>
    <w:rsid w:val="00E452FE"/>
    <w:rsid w:val="00E53AE6"/>
    <w:rsid w:val="00E57641"/>
    <w:rsid w:val="00E63BC1"/>
    <w:rsid w:val="00E75BBE"/>
    <w:rsid w:val="00E75FC6"/>
    <w:rsid w:val="00E86F41"/>
    <w:rsid w:val="00E90B8F"/>
    <w:rsid w:val="00E91877"/>
    <w:rsid w:val="00EB1A8F"/>
    <w:rsid w:val="00EB1FFF"/>
    <w:rsid w:val="00EB40A6"/>
    <w:rsid w:val="00EB5A1E"/>
    <w:rsid w:val="00EB5AB0"/>
    <w:rsid w:val="00EC19D4"/>
    <w:rsid w:val="00EC4264"/>
    <w:rsid w:val="00ED0684"/>
    <w:rsid w:val="00ED4F83"/>
    <w:rsid w:val="00EE0D6C"/>
    <w:rsid w:val="00EF0820"/>
    <w:rsid w:val="00EF244C"/>
    <w:rsid w:val="00EF4832"/>
    <w:rsid w:val="00F13D11"/>
    <w:rsid w:val="00F22ADD"/>
    <w:rsid w:val="00F26A5A"/>
    <w:rsid w:val="00F348BA"/>
    <w:rsid w:val="00F429DF"/>
    <w:rsid w:val="00F54FF1"/>
    <w:rsid w:val="00F60B5B"/>
    <w:rsid w:val="00F62C22"/>
    <w:rsid w:val="00F660D1"/>
    <w:rsid w:val="00F66FFA"/>
    <w:rsid w:val="00F810C5"/>
    <w:rsid w:val="00F85EA6"/>
    <w:rsid w:val="00F96D32"/>
    <w:rsid w:val="00FA3CB9"/>
    <w:rsid w:val="00FA79A1"/>
    <w:rsid w:val="00FB3623"/>
    <w:rsid w:val="00FB738F"/>
    <w:rsid w:val="00FC1B88"/>
    <w:rsid w:val="00FC568C"/>
    <w:rsid w:val="00FC6B99"/>
    <w:rsid w:val="00FC755E"/>
    <w:rsid w:val="00FD316B"/>
    <w:rsid w:val="00FD65F7"/>
    <w:rsid w:val="00FD6D45"/>
    <w:rsid w:val="00FD7B20"/>
    <w:rsid w:val="00FE0D2B"/>
    <w:rsid w:val="00FE26D8"/>
    <w:rsid w:val="00FE5E24"/>
    <w:rsid w:val="00FF423B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092E863"/>
  <w15:chartTrackingRefBased/>
  <w15:docId w15:val="{325D4639-F2D8-4125-9C1B-34806104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A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2358A"/>
    <w:pPr>
      <w:numPr>
        <w:numId w:val="26"/>
      </w:numPr>
      <w:tabs>
        <w:tab w:val="left" w:pos="1983"/>
        <w:tab w:val="left" w:pos="4007"/>
        <w:tab w:val="left" w:pos="5429"/>
        <w:tab w:val="left" w:pos="6146"/>
        <w:tab w:val="left" w:pos="7983"/>
        <w:tab w:val="left" w:pos="8711"/>
      </w:tabs>
      <w:spacing w:before="120" w:after="120"/>
      <w:jc w:val="both"/>
      <w:outlineLvl w:val="0"/>
    </w:pPr>
    <w:rPr>
      <w:b/>
      <w:bCs/>
      <w:spacing w:val="-2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506FB"/>
    <w:pPr>
      <w:numPr>
        <w:numId w:val="27"/>
      </w:numPr>
      <w:spacing w:before="120" w:after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ADD"/>
    <w:rPr>
      <w:rFonts w:ascii="Times New Roman" w:eastAsia="Times New Roman" w:hAnsi="Times New Roman" w:cs="Times New Roman"/>
      <w:b/>
      <w:bCs/>
      <w:spacing w:val="-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22A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22AD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22ADD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F22ADD"/>
    <w:pPr>
      <w:ind w:left="106"/>
    </w:pPr>
    <w:rPr>
      <w:rFonts w:ascii="Arial" w:eastAsia="Arial" w:hAnsi="Arial" w:cs="Arial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22ADD"/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495B9D"/>
    <w:pPr>
      <w:numPr>
        <w:numId w:val="29"/>
      </w:numPr>
      <w:spacing w:before="120" w:after="120"/>
      <w:jc w:val="both"/>
    </w:pPr>
  </w:style>
  <w:style w:type="paragraph" w:customStyle="1" w:styleId="TableParagraph">
    <w:name w:val="Table Paragraph"/>
    <w:basedOn w:val="Normal"/>
    <w:uiPriority w:val="1"/>
    <w:qFormat/>
    <w:rsid w:val="00F22ADD"/>
  </w:style>
  <w:style w:type="paragraph" w:styleId="Revision">
    <w:name w:val="Revision"/>
    <w:hidden/>
    <w:uiPriority w:val="99"/>
    <w:semiHidden/>
    <w:rsid w:val="00F22AD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2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2A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A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uiPriority w:val="99"/>
    <w:unhideWhenUsed/>
    <w:rsid w:val="00F22ADD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rsid w:val="00F22AD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22A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22AD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2A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A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AD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22A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ADD"/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F22ADD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22ADD"/>
    <w:rPr>
      <w:color w:val="954F72" w:themeColor="followedHyperlink"/>
      <w:u w:val="single"/>
    </w:rPr>
  </w:style>
  <w:style w:type="character" w:customStyle="1" w:styleId="Marker">
    <w:name w:val="Marker"/>
    <w:basedOn w:val="DefaultParagraphFont"/>
    <w:rsid w:val="00F22ADD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link w:val="PagedecouvertureChar"/>
    <w:rsid w:val="00F22ADD"/>
    <w:pPr>
      <w:widowControl/>
      <w:autoSpaceDE/>
      <w:autoSpaceDN/>
      <w:jc w:val="both"/>
    </w:pPr>
    <w:rPr>
      <w:rFonts w:eastAsiaTheme="minorHAnsi"/>
      <w:sz w:val="24"/>
    </w:rPr>
  </w:style>
  <w:style w:type="paragraph" w:customStyle="1" w:styleId="FooterCoverPage">
    <w:name w:val="Footer Cover Page"/>
    <w:basedOn w:val="Normal"/>
    <w:link w:val="FooterCoverPageChar"/>
    <w:rsid w:val="00F22ADD"/>
    <w:pPr>
      <w:tabs>
        <w:tab w:val="center" w:pos="4535"/>
        <w:tab w:val="right" w:pos="9071"/>
        <w:tab w:val="right" w:pos="9921"/>
      </w:tabs>
      <w:spacing w:before="360"/>
      <w:ind w:left="-850" w:right="-850"/>
    </w:pPr>
    <w:rPr>
      <w:sz w:val="24"/>
    </w:rPr>
  </w:style>
  <w:style w:type="character" w:customStyle="1" w:styleId="PagedecouvertureChar">
    <w:name w:val="Page de couverture Char"/>
    <w:basedOn w:val="DefaultParagraphFont"/>
    <w:link w:val="Pagedecouverture"/>
    <w:rsid w:val="00F22ADD"/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PagedecouvertureChar"/>
    <w:link w:val="FooterCoverPage"/>
    <w:rsid w:val="00F22ADD"/>
    <w:rPr>
      <w:rFonts w:ascii="Times New Roman" w:eastAsia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F22A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PagedecouvertureChar"/>
    <w:link w:val="FooterSensitivity"/>
    <w:rsid w:val="00F22ADD"/>
    <w:rPr>
      <w:rFonts w:ascii="Times New Roman" w:eastAsia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F22ADD"/>
    <w:pPr>
      <w:tabs>
        <w:tab w:val="center" w:pos="4535"/>
        <w:tab w:val="right" w:pos="9071"/>
      </w:tabs>
      <w:spacing w:after="120"/>
      <w:jc w:val="both"/>
    </w:pPr>
    <w:rPr>
      <w:sz w:val="24"/>
    </w:rPr>
  </w:style>
  <w:style w:type="character" w:customStyle="1" w:styleId="HeaderCoverPageChar">
    <w:name w:val="Header Cover Page Char"/>
    <w:basedOn w:val="PagedecouvertureChar"/>
    <w:link w:val="HeaderCoverPage"/>
    <w:rsid w:val="00F22ADD"/>
    <w:rPr>
      <w:rFonts w:ascii="Times New Roman" w:eastAsia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F22A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PagedecouvertureChar"/>
    <w:link w:val="HeaderSensitivity"/>
    <w:rsid w:val="00F22ADD"/>
    <w:rPr>
      <w:rFonts w:ascii="Times New Roman" w:eastAsia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F22ADD"/>
    <w:pPr>
      <w:spacing w:after="120"/>
      <w:jc w:val="right"/>
    </w:pPr>
    <w:rPr>
      <w:sz w:val="28"/>
    </w:rPr>
  </w:style>
  <w:style w:type="character" w:customStyle="1" w:styleId="HeaderSensitivityRightChar">
    <w:name w:val="Header Sensitivity Right Char"/>
    <w:basedOn w:val="PagedecouvertureChar"/>
    <w:link w:val="HeaderSensitivityRight"/>
    <w:rsid w:val="00F22ADD"/>
    <w:rPr>
      <w:rFonts w:ascii="Times New Roman" w:eastAsia="Times New Roman" w:hAnsi="Times New Roman" w:cs="Times New Roman"/>
      <w:sz w:val="28"/>
    </w:rPr>
  </w:style>
  <w:style w:type="character" w:styleId="Strong">
    <w:name w:val="Strong"/>
    <w:basedOn w:val="DefaultParagraphFont"/>
    <w:uiPriority w:val="22"/>
    <w:qFormat/>
    <w:rsid w:val="00F22ADD"/>
    <w:rPr>
      <w:b/>
      <w:bCs/>
    </w:rPr>
  </w:style>
  <w:style w:type="paragraph" w:customStyle="1" w:styleId="LegalNumPar">
    <w:name w:val="LegalNumPar"/>
    <w:basedOn w:val="Normal"/>
    <w:rsid w:val="00F22ADD"/>
    <w:pPr>
      <w:numPr>
        <w:numId w:val="24"/>
      </w:numPr>
      <w:autoSpaceDE/>
      <w:autoSpaceDN/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F22ADD"/>
    <w:pPr>
      <w:numPr>
        <w:ilvl w:val="1"/>
        <w:numId w:val="24"/>
      </w:numPr>
      <w:autoSpaceDE/>
      <w:autoSpaceDN/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F22ADD"/>
    <w:pPr>
      <w:numPr>
        <w:ilvl w:val="2"/>
        <w:numId w:val="24"/>
      </w:numPr>
      <w:autoSpaceDE/>
      <w:autoSpaceDN/>
      <w:spacing w:line="36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competition/digital_markets_act/cases/202441/DMA_100042_134.pdf" TargetMode="External"/><Relationship Id="rId13" Type="http://schemas.openxmlformats.org/officeDocument/2006/relationships/hyperlink" Target="https://eur-lex.europa.eu/eli/C/2024/4374/oj" TargetMode="External"/><Relationship Id="rId18" Type="http://schemas.openxmlformats.org/officeDocument/2006/relationships/hyperlink" Target="http://data.europa.eu/eli/C/2024/6103/oj" TargetMode="External"/><Relationship Id="rId26" Type="http://schemas.openxmlformats.org/officeDocument/2006/relationships/hyperlink" Target="https://twitter.com/DigitalEU" TargetMode="External"/><Relationship Id="rId39" Type="http://schemas.openxmlformats.org/officeDocument/2006/relationships/hyperlink" Target="https://competition-policy.ec.europa.eu/system/files/2023-03/High_Level_Group_on_the_DMA_0.pdf" TargetMode="External"/><Relationship Id="rId3" Type="http://schemas.openxmlformats.org/officeDocument/2006/relationships/hyperlink" Target="https://digital-markets-act.ec.europa.eu/commission-opens-non-compliance-investigations-against-alphabet-apple-and-meta-under-digital-markets-2024-03-25_en" TargetMode="External"/><Relationship Id="rId21" Type="http://schemas.openxmlformats.org/officeDocument/2006/relationships/hyperlink" Target="https://digital-markets-act.ec.europa.eu/commission-launches-whistleblower-tools-digital-services-act-and-digital-markets-act-2024-04-30_en" TargetMode="External"/><Relationship Id="rId34" Type="http://schemas.openxmlformats.org/officeDocument/2006/relationships/hyperlink" Target="https://digital-markets-act-cases.ec.europa.eu/reports/compliance-reports" TargetMode="External"/><Relationship Id="rId7" Type="http://schemas.openxmlformats.org/officeDocument/2006/relationships/hyperlink" Target="https://digital-markets-act.ec.europa.eu/booking-must-comply-all-relevant-obligations-under-digital-markets-act-2024-11-14_en" TargetMode="External"/><Relationship Id="rId12" Type="http://schemas.openxmlformats.org/officeDocument/2006/relationships/hyperlink" Target="https://ec.europa.eu/competition/digital_markets_act/cases/202416/DMA_100015_700.pdf" TargetMode="External"/><Relationship Id="rId17" Type="http://schemas.openxmlformats.org/officeDocument/2006/relationships/hyperlink" Target="http://data.europa.eu/eli/C/2024/6639/oj" TargetMode="External"/><Relationship Id="rId25" Type="http://schemas.openxmlformats.org/officeDocument/2006/relationships/hyperlink" Target="https://www.linkedin.com/showcase/digital-eu/" TargetMode="External"/><Relationship Id="rId33" Type="http://schemas.openxmlformats.org/officeDocument/2006/relationships/hyperlink" Target="https://digital-markets-act.ec.europa.eu/events/workshops_en" TargetMode="External"/><Relationship Id="rId38" Type="http://schemas.openxmlformats.org/officeDocument/2006/relationships/hyperlink" Target="https://digital-markets-act.ec.europa.eu/system/files/2023-12/Article%2015%20DMA%20Template%20%28consumer%20profiling%20report%29.pdf" TargetMode="External"/><Relationship Id="rId2" Type="http://schemas.openxmlformats.org/officeDocument/2006/relationships/hyperlink" Target="https://digital-markets-act.ec.europa.eu/commission-sends-preliminary-findings-apple-and-opens-additional-non-compliance-investigation-2024-06-24_en" TargetMode="External"/><Relationship Id="rId16" Type="http://schemas.openxmlformats.org/officeDocument/2006/relationships/hyperlink" Target="http://data.europa.eu/eli/C/2024/476/oj" TargetMode="External"/><Relationship Id="rId20" Type="http://schemas.openxmlformats.org/officeDocument/2006/relationships/hyperlink" Target="https://digital-markets-act.ec.europa.eu/whistleblower-tool_en" TargetMode="External"/><Relationship Id="rId29" Type="http://schemas.openxmlformats.org/officeDocument/2006/relationships/hyperlink" Target="https://www.linkedin.com/showcase/dg-competition" TargetMode="External"/><Relationship Id="rId1" Type="http://schemas.openxmlformats.org/officeDocument/2006/relationships/hyperlink" Target="https://digital-markets-act.ec.europa.eu/commission-sends-preliminary-findings-meta-over-its-pay-or-consent-model-breach-digital-markets-act-2024-07-01_en" TargetMode="External"/><Relationship Id="rId6" Type="http://schemas.openxmlformats.org/officeDocument/2006/relationships/hyperlink" Target="https://digital-markets-act.ec.europa.eu/latest-news_en" TargetMode="External"/><Relationship Id="rId11" Type="http://schemas.openxmlformats.org/officeDocument/2006/relationships/hyperlink" Target="https://ec.europa.eu/competition/digital_markets_act/cases/202416/DMA_100022_2757.pdf" TargetMode="External"/><Relationship Id="rId24" Type="http://schemas.openxmlformats.org/officeDocument/2006/relationships/hyperlink" Target="https://www.instagram.com/DigitalEU/" TargetMode="External"/><Relationship Id="rId32" Type="http://schemas.openxmlformats.org/officeDocument/2006/relationships/hyperlink" Target="https://digital-markets-act-cases.ec.europa.eu/reports/compliance-reports" TargetMode="External"/><Relationship Id="rId37" Type="http://schemas.openxmlformats.org/officeDocument/2006/relationships/hyperlink" Target="https://ec.europa.eu/commission/presscorner/detail/en/ip_24_4727" TargetMode="External"/><Relationship Id="rId40" Type="http://schemas.openxmlformats.org/officeDocument/2006/relationships/hyperlink" Target="https://ec.europa.eu/transparency/expert-groups-register/screen/expert-groups/consult?lang=en&amp;groupId=3904&amp;fromMembers=true&amp;memberType=5&amp;memberId=111640" TargetMode="External"/><Relationship Id="rId5" Type="http://schemas.openxmlformats.org/officeDocument/2006/relationships/hyperlink" Target="https://digital-markets-act.ec.europa.eu/commission-seeks-feedback-measures-apple-should-take-ensure-interoperability-under-digital-markets-2024-12-19_en" TargetMode="External"/><Relationship Id="rId15" Type="http://schemas.openxmlformats.org/officeDocument/2006/relationships/hyperlink" Target="http://data.europa.eu/eli/C/2024/2317/oj" TargetMode="External"/><Relationship Id="rId23" Type="http://schemas.openxmlformats.org/officeDocument/2006/relationships/hyperlink" Target="https://digital-markets-act.ec.europa.eu/about-dma/questions-and-answers_en" TargetMode="External"/><Relationship Id="rId28" Type="http://schemas.openxmlformats.org/officeDocument/2006/relationships/hyperlink" Target="https://www.facebook.com/DigitalEU" TargetMode="External"/><Relationship Id="rId36" Type="http://schemas.openxmlformats.org/officeDocument/2006/relationships/hyperlink" Target="https://www.bookingholdings.com/wp-content/uploads/2024/11/DMA-Compliance-Report.pdf" TargetMode="External"/><Relationship Id="rId10" Type="http://schemas.openxmlformats.org/officeDocument/2006/relationships/hyperlink" Target="https://ec.europa.eu/competition/digital_markets_act/cases/202441/DMA_100041_631.pdf" TargetMode="External"/><Relationship Id="rId19" Type="http://schemas.openxmlformats.org/officeDocument/2006/relationships/hyperlink" Target="http://data.europa.eu/eli/C/2024/5640/oj" TargetMode="External"/><Relationship Id="rId31" Type="http://schemas.openxmlformats.org/officeDocument/2006/relationships/hyperlink" Target="https://www.youtube.com/%40dgcompetition44" TargetMode="External"/><Relationship Id="rId4" Type="http://schemas.openxmlformats.org/officeDocument/2006/relationships/hyperlink" Target="https://digital-markets-act.ec.europa.eu/commission-starts-first-proceedings-specify-apples-interoperability-obligations-under-digital-2024-09-19_en" TargetMode="External"/><Relationship Id="rId9" Type="http://schemas.openxmlformats.org/officeDocument/2006/relationships/hyperlink" Target="https://ec.europa.eu/competition/digital_markets_act/cases/202441/DMA_100232_44.pdf" TargetMode="External"/><Relationship Id="rId14" Type="http://schemas.openxmlformats.org/officeDocument/2006/relationships/hyperlink" Target="https://digital-markets-act.ec.europa.eu/gatekeepers_en" TargetMode="External"/><Relationship Id="rId22" Type="http://schemas.openxmlformats.org/officeDocument/2006/relationships/hyperlink" Target="https://digital-markets-act.ec.europa.eu/index_en" TargetMode="External"/><Relationship Id="rId27" Type="http://schemas.openxmlformats.org/officeDocument/2006/relationships/hyperlink" Target="https://www.youtube.com/c/DigitalEU" TargetMode="External"/><Relationship Id="rId30" Type="http://schemas.openxmlformats.org/officeDocument/2006/relationships/hyperlink" Target="https://twitter.com/EU_Competition" TargetMode="External"/><Relationship Id="rId35" Type="http://schemas.openxmlformats.org/officeDocument/2006/relationships/hyperlink" Target="https://ec.europa.eu/commission/presscorner/detail/en/ip_24_1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FCCED0C3CA34289BDE3963578B741" ma:contentTypeVersion="3" ma:contentTypeDescription="Create a new document." ma:contentTypeScope="" ma:versionID="fc7af3474e9c5cda3d834e52bb51166d">
  <xsd:schema xmlns:xsd="http://www.w3.org/2001/XMLSchema" xmlns:xs="http://www.w3.org/2001/XMLSchema" xmlns:p="http://schemas.microsoft.com/office/2006/metadata/properties" xmlns:ns2="38080443-59f1-4468-9185-e277ce99790f" xmlns:ns3="aaad0b86-1dbf-48d2-99f8-fcc2ae493cdc" targetNamespace="http://schemas.microsoft.com/office/2006/metadata/properties" ma:root="true" ma:fieldsID="7e742c72fabc2c9633e3e9b3f801ed08" ns2:_="" ns3:_="">
    <xsd:import namespace="38080443-59f1-4468-9185-e277ce99790f"/>
    <xsd:import namespace="aaad0b86-1dbf-48d2-99f8-fcc2ae493c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ttachment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80443-59f1-4468-9185-e277ce997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d0b86-1dbf-48d2-99f8-fcc2ae493cdc" elementFormDefault="qualified">
    <xsd:import namespace="http://schemas.microsoft.com/office/2006/documentManagement/types"/>
    <xsd:import namespace="http://schemas.microsoft.com/office/infopath/2007/PartnerControls"/>
    <xsd:element name="Attachment_Id" ma:index="10" nillable="true" ma:displayName="Attachment_Id" ma:internalName="Attachment_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_Id xmlns="aaad0b86-1dbf-48d2-99f8-fcc2ae493c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D01D5-8B1D-4CCD-B228-C1B236D5D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80443-59f1-4468-9185-e277ce99790f"/>
    <ds:schemaRef ds:uri="aaad0b86-1dbf-48d2-99f8-fcc2ae493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37A14-6B52-4744-86B7-828282D53FB3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38080443-59f1-4468-9185-e277ce99790f"/>
    <ds:schemaRef ds:uri="http://schemas.openxmlformats.org/package/2006/metadata/core-properties"/>
    <ds:schemaRef ds:uri="aaad0b86-1dbf-48d2-99f8-fcc2ae493cd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45FED9-850D-4A4D-ABE3-3AF953532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C067E9-4B74-4C48-B11E-AF47C60F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6689</Words>
  <Characters>38133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 2024_ISC-comments LS-250320.docx</vt:lpstr>
    </vt:vector>
  </TitlesOfParts>
  <Manager/>
  <Company/>
  <LinksUpToDate>false</LinksUpToDate>
  <CharactersWithSpaces>44733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2024_ISC-comments LS-250320.docx</dc:title>
  <dc:subject/>
  <dc:creator/>
  <cp:keywords/>
  <dc:description/>
  <cp:lastModifiedBy>EC CoDe</cp:lastModifiedBy>
  <cp:revision>6</cp:revision>
  <dcterms:created xsi:type="dcterms:W3CDTF">2025-04-08T16:02:00Z</dcterms:created>
  <dcterms:modified xsi:type="dcterms:W3CDTF">2025-04-25T07:11:00Z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2025-01-27T12:12:12Z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17877993-7d29-4bb1-859a-f9fa1de7e614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0x010100BF2FCCED0C3CA34289BDE3963578B741</vt:lpwstr>
  </property>
  <property fmtid="{D5CDD505-2E9C-101B-9397-08002B2CF9AE}" pid="10" name="Level of sensitivity">
    <vt:lpwstr>Standard treatment</vt:lpwstr>
  </property>
  <property fmtid="{D5CDD505-2E9C-101B-9397-08002B2CF9AE}" pid="11" name="Part">
    <vt:lpwstr>1</vt:lpwstr>
  </property>
  <property fmtid="{D5CDD505-2E9C-101B-9397-08002B2CF9AE}" pid="12" name="Total parts">
    <vt:lpwstr>1</vt:lpwstr>
  </property>
  <property fmtid="{D5CDD505-2E9C-101B-9397-08002B2CF9AE}" pid="13" name="DocStatus">
    <vt:lpwstr>Green</vt:lpwstr>
  </property>
  <property fmtid="{D5CDD505-2E9C-101B-9397-08002B2CF9AE}" pid="14" name="CPTemplateID">
    <vt:lpwstr>CP-005</vt:lpwstr>
  </property>
  <property fmtid="{D5CDD505-2E9C-101B-9397-08002B2CF9AE}" pid="15" name="Last edited using">
    <vt:lpwstr>LW 9.1, Build 20240808</vt:lpwstr>
  </property>
  <property fmtid="{D5CDD505-2E9C-101B-9397-08002B2CF9AE}" pid="16" name="Created using">
    <vt:lpwstr>LW 9.1, Build 20240808</vt:lpwstr>
  </property>
</Properties>
</file>