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B6" w:rsidRPr="000F157D" w:rsidRDefault="002C3A24" w:rsidP="002C3A24">
      <w:pPr>
        <w:pStyle w:val="Pagedecouverture"/>
        <w:rPr>
          <w:noProof/>
        </w:rPr>
      </w:pPr>
      <w:bookmarkStart w:id="0" w:name="_Hlk155771104"/>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EF26371F-7B9A-4BB2-8F96-D459957E4EF6" style="width:455.25pt;height:383.25pt">
            <v:imagedata r:id="rId11" o:title=""/>
          </v:shape>
        </w:pict>
      </w:r>
    </w:p>
    <w:p w:rsidR="004D6A5C" w:rsidRPr="000F157D" w:rsidRDefault="004D6A5C" w:rsidP="004D6A5C">
      <w:pPr>
        <w:pStyle w:val="Pagedecouverture"/>
        <w:rPr>
          <w:noProof/>
        </w:rPr>
        <w:sectPr w:rsidR="004D6A5C" w:rsidRPr="000F157D" w:rsidSect="002C3A24">
          <w:footerReference w:type="even" r:id="rId12"/>
          <w:footerReference w:type="default" r:id="rId13"/>
          <w:pgSz w:w="11907" w:h="16839"/>
          <w:pgMar w:top="1134" w:right="1417" w:bottom="1134" w:left="1417" w:header="709" w:footer="709" w:gutter="0"/>
          <w:pgNumType w:start="0"/>
          <w:cols w:space="720"/>
          <w:docGrid w:linePitch="360"/>
        </w:sectPr>
      </w:pPr>
    </w:p>
    <w:p w:rsidR="00DE44F1" w:rsidRPr="000F157D" w:rsidRDefault="00DE44F1" w:rsidP="00DE44F1">
      <w:pPr>
        <w:pStyle w:val="Exposdesmotifstitre"/>
        <w:rPr>
          <w:noProof/>
        </w:rPr>
      </w:pPr>
      <w:bookmarkStart w:id="1" w:name="_GoBack"/>
      <w:bookmarkEnd w:id="1"/>
    </w:p>
    <w:p w:rsidR="00DE44F1" w:rsidRPr="000F157D" w:rsidRDefault="00DE44F1" w:rsidP="00DE44F1">
      <w:pPr>
        <w:rPr>
          <w:noProof/>
        </w:rPr>
      </w:pPr>
    </w:p>
    <w:p w:rsidR="006E3A1A" w:rsidRDefault="00AE415C">
      <w:pPr>
        <w:pStyle w:val="Rfrenceinterinstitutionnelle"/>
        <w:rPr>
          <w:noProof/>
        </w:rPr>
      </w:pPr>
      <w:r>
        <w:rPr>
          <w:noProof/>
        </w:rPr>
        <w:t>2025/0100 (NLE)</w:t>
      </w:r>
    </w:p>
    <w:p w:rsidR="002709B6" w:rsidRPr="000F157D" w:rsidRDefault="000F157D" w:rsidP="000F157D">
      <w:pPr>
        <w:pStyle w:val="Statut"/>
        <w:rPr>
          <w:noProof/>
        </w:rPr>
      </w:pPr>
      <w:r w:rsidRPr="000F157D">
        <w:rPr>
          <w:noProof/>
        </w:rPr>
        <w:t>Förslag till</w:t>
      </w:r>
    </w:p>
    <w:p w:rsidR="002709B6" w:rsidRPr="000F157D" w:rsidRDefault="000F157D" w:rsidP="000F157D">
      <w:pPr>
        <w:pStyle w:val="Typedudocument"/>
        <w:rPr>
          <w:noProof/>
        </w:rPr>
      </w:pPr>
      <w:r w:rsidRPr="000F157D">
        <w:rPr>
          <w:noProof/>
        </w:rPr>
        <w:t>RÅDETS GENOMFÖRANDEBESLUT</w:t>
      </w:r>
    </w:p>
    <w:p w:rsidR="002709B6" w:rsidRPr="000F157D" w:rsidRDefault="000F157D" w:rsidP="000F157D">
      <w:pPr>
        <w:pStyle w:val="Titreobjet"/>
        <w:rPr>
          <w:noProof/>
        </w:rPr>
      </w:pPr>
      <w:r w:rsidRPr="000F157D">
        <w:rPr>
          <w:noProof/>
        </w:rPr>
        <w:t>om ändring av genomförandebeslut (EU) (ST 12275/22 INIT; ST 12275/22 ADD 1) av den 4 oktober 2022 om godkännande av bedömningen av Nederländernas återhämtnings- och resiliensplan</w:t>
      </w:r>
    </w:p>
    <w:p w:rsidR="002709B6" w:rsidRPr="000F157D" w:rsidRDefault="00DC39D2">
      <w:pPr>
        <w:pStyle w:val="Institutionquiagit"/>
        <w:rPr>
          <w:rFonts w:eastAsia="Times New Roman"/>
          <w:noProof/>
        </w:rPr>
      </w:pPr>
      <w:r w:rsidRPr="000F157D">
        <w:rPr>
          <w:noProof/>
        </w:rPr>
        <w:t>EUROPEISKA UNIONENS RÅD HAR ANTAGIT DETTA BESLUT</w:t>
      </w:r>
    </w:p>
    <w:p w:rsidR="002709B6" w:rsidRPr="000F157D" w:rsidRDefault="00DC39D2">
      <w:pPr>
        <w:rPr>
          <w:rFonts w:eastAsia="Times New Roman"/>
          <w:noProof/>
        </w:rPr>
      </w:pPr>
      <w:r w:rsidRPr="000F157D">
        <w:rPr>
          <w:noProof/>
        </w:rPr>
        <w:t xml:space="preserve">med beaktande av fördraget om Europeiska unionens funktionssätt, </w:t>
      </w:r>
    </w:p>
    <w:p w:rsidR="002709B6" w:rsidRPr="000F157D" w:rsidRDefault="00DC39D2">
      <w:pPr>
        <w:rPr>
          <w:rFonts w:eastAsia="Times New Roman"/>
          <w:noProof/>
        </w:rPr>
      </w:pPr>
      <w:r w:rsidRPr="000F157D">
        <w:rPr>
          <w:noProof/>
        </w:rPr>
        <w:t>med beaktande av Europaparlamentets och rådets förordning (EU) 2021/241 av den 12 februari 2021 om inrättande av faciliteten för återhämtning och resiliens</w:t>
      </w:r>
      <w:r w:rsidRPr="000F157D">
        <w:rPr>
          <w:rStyle w:val="FootnoteReference"/>
          <w:rFonts w:eastAsia="Times New Roman"/>
          <w:noProof/>
        </w:rPr>
        <w:footnoteReference w:id="2"/>
      </w:r>
      <w:r w:rsidRPr="000F157D">
        <w:rPr>
          <w:noProof/>
        </w:rPr>
        <w:t>, särskilt artikel 20.1,</w:t>
      </w:r>
    </w:p>
    <w:p w:rsidR="002709B6" w:rsidRPr="000F157D" w:rsidRDefault="00DC39D2">
      <w:pPr>
        <w:rPr>
          <w:rFonts w:eastAsia="Times New Roman"/>
          <w:noProof/>
        </w:rPr>
      </w:pPr>
      <w:r w:rsidRPr="000F157D">
        <w:rPr>
          <w:noProof/>
        </w:rPr>
        <w:t>med beaktande av Europeiska kommissionens förslag, och</w:t>
      </w:r>
    </w:p>
    <w:p w:rsidR="002709B6" w:rsidRPr="000F157D" w:rsidRDefault="00DC39D2">
      <w:pPr>
        <w:rPr>
          <w:rFonts w:eastAsia="Times New Roman"/>
          <w:noProof/>
        </w:rPr>
      </w:pPr>
      <w:r w:rsidRPr="000F157D">
        <w:rPr>
          <w:noProof/>
        </w:rPr>
        <w:t>av följande skäl:</w:t>
      </w:r>
    </w:p>
    <w:p w:rsidR="002709B6" w:rsidRPr="000F157D" w:rsidRDefault="003A75E7" w:rsidP="003A75E7">
      <w:pPr>
        <w:pStyle w:val="ManualConsidrant"/>
        <w:rPr>
          <w:rFonts w:eastAsia="Times New Roman"/>
          <w:noProof/>
        </w:rPr>
      </w:pPr>
      <w:r w:rsidRPr="003A75E7">
        <w:rPr>
          <w:noProof/>
        </w:rPr>
        <w:t>(1)</w:t>
      </w:r>
      <w:r w:rsidRPr="003A75E7">
        <w:rPr>
          <w:noProof/>
        </w:rPr>
        <w:tab/>
      </w:r>
      <w:r w:rsidR="29FF1D6D" w:rsidRPr="000F157D">
        <w:rPr>
          <w:noProof/>
        </w:rPr>
        <w:t>Efter att</w:t>
      </w:r>
      <w:r w:rsidR="29FF1D6D" w:rsidRPr="000F157D">
        <w:rPr>
          <w:noProof/>
          <w:shd w:val="clear" w:color="auto" w:fill="FFFFFF"/>
        </w:rPr>
        <w:t xml:space="preserve"> </w:t>
      </w:r>
      <w:r w:rsidR="29FF1D6D" w:rsidRPr="000F157D">
        <w:rPr>
          <w:noProof/>
        </w:rPr>
        <w:t xml:space="preserve">Nederländerna hade lämnat in den nationella återhämtnings- och resiliensplanen </w:t>
      </w:r>
      <w:r w:rsidR="29FF1D6D" w:rsidRPr="000F157D">
        <w:rPr>
          <w:noProof/>
          <w:shd w:val="clear" w:color="auto" w:fill="FFFFFF"/>
        </w:rPr>
        <w:t>den</w:t>
      </w:r>
      <w:r w:rsidR="29FF1D6D" w:rsidRPr="000F157D">
        <w:rPr>
          <w:noProof/>
        </w:rPr>
        <w:t xml:space="preserve"> 8 juli 2022 lade kommissionen fram sin positiva bedömning för rådet. Rådet godkände den positiva bedömningen genom rådets genomförandebeslut av den 4 oktober 2022</w:t>
      </w:r>
      <w:r w:rsidR="00DC39D2" w:rsidRPr="000F157D">
        <w:rPr>
          <w:rStyle w:val="FootnoteReference"/>
          <w:rFonts w:eastAsia="Times New Roman"/>
          <w:noProof/>
        </w:rPr>
        <w:footnoteReference w:id="3"/>
      </w:r>
      <w:r w:rsidR="29FF1D6D" w:rsidRPr="000F157D">
        <w:rPr>
          <w:noProof/>
        </w:rPr>
        <w:t>. Det genomförandebeslutet ändrades den 17 oktober 2023 och den 5 november 2024</w:t>
      </w:r>
      <w:r w:rsidR="00DC39D2" w:rsidRPr="000F157D">
        <w:rPr>
          <w:rStyle w:val="FootnoteReference"/>
          <w:rFonts w:eastAsia="Times New Roman"/>
          <w:noProof/>
        </w:rPr>
        <w:footnoteReference w:id="4"/>
      </w:r>
      <w:r w:rsidR="29FF1D6D" w:rsidRPr="000F157D">
        <w:rPr>
          <w:noProof/>
        </w:rPr>
        <w:t>.</w:t>
      </w:r>
    </w:p>
    <w:p w:rsidR="002709B6" w:rsidRPr="000F157D" w:rsidRDefault="003A75E7" w:rsidP="003A75E7">
      <w:pPr>
        <w:pStyle w:val="ManualConsidrant"/>
        <w:rPr>
          <w:rFonts w:eastAsia="Times New Roman"/>
          <w:noProof/>
        </w:rPr>
      </w:pPr>
      <w:r w:rsidRPr="003A75E7">
        <w:rPr>
          <w:noProof/>
        </w:rPr>
        <w:t>(2)</w:t>
      </w:r>
      <w:r w:rsidRPr="003A75E7">
        <w:rPr>
          <w:noProof/>
        </w:rPr>
        <w:tab/>
      </w:r>
      <w:r w:rsidR="29FF1D6D" w:rsidRPr="000F157D">
        <w:rPr>
          <w:noProof/>
        </w:rPr>
        <w:t xml:space="preserve">Den 21 mars 2025 lämnade Nederländerna en </w:t>
      </w:r>
      <w:bookmarkStart w:id="2" w:name="_Hlk130805569"/>
      <w:r w:rsidR="29FF1D6D" w:rsidRPr="000F157D">
        <w:rPr>
          <w:noProof/>
        </w:rPr>
        <w:t>motiverad begäran till kommissionen om att lägga fram ett förslag till ändring av rådets genomförandebeslut av den 4 oktober 2022 i enlighet med artikel 21.1 i förordning (EU) 2021/241, eftersom återhämtnings- och resiliensplanen delvis inte längre kan uppnås på grund av objektiva omständigheter. På grundval av detta har Nederländerna lämnat in en ändrad återhämtnings- och resiliensplan.</w:t>
      </w:r>
      <w:bookmarkEnd w:id="2"/>
    </w:p>
    <w:p w:rsidR="002709B6" w:rsidRPr="000F157D" w:rsidRDefault="00DC39D2" w:rsidP="004D6A5C">
      <w:pPr>
        <w:rPr>
          <w:b/>
          <w:bCs/>
          <w:i/>
          <w:iCs/>
          <w:noProof/>
        </w:rPr>
      </w:pPr>
      <w:r w:rsidRPr="000F157D">
        <w:rPr>
          <w:b/>
          <w:i/>
          <w:noProof/>
        </w:rPr>
        <w:t xml:space="preserve">Ändringar på grundval av artikel 21 i förordning (EU) 2021/241 </w:t>
      </w:r>
    </w:p>
    <w:p w:rsidR="002709B6" w:rsidRPr="000F157D" w:rsidRDefault="003A75E7" w:rsidP="003A75E7">
      <w:pPr>
        <w:pStyle w:val="ManualConsidrant"/>
        <w:rPr>
          <w:rFonts w:eastAsia="Times New Roman"/>
          <w:noProof/>
        </w:rPr>
      </w:pPr>
      <w:r w:rsidRPr="003A75E7">
        <w:rPr>
          <w:noProof/>
        </w:rPr>
        <w:t>(3)</w:t>
      </w:r>
      <w:r w:rsidRPr="003A75E7">
        <w:rPr>
          <w:noProof/>
        </w:rPr>
        <w:tab/>
      </w:r>
      <w:r w:rsidR="29FF1D6D" w:rsidRPr="000F157D">
        <w:rPr>
          <w:noProof/>
        </w:rPr>
        <w:t xml:space="preserve">De ändringar av återhämtnings- och resiliensplanen som Nederländerna lämnat in på grund av objektiva omständigheter rör 17 åtgärder. </w:t>
      </w:r>
    </w:p>
    <w:p w:rsidR="002709B6" w:rsidRPr="000F157D" w:rsidRDefault="003A75E7" w:rsidP="003A75E7">
      <w:pPr>
        <w:pStyle w:val="ManualConsidrant"/>
        <w:rPr>
          <w:noProof/>
        </w:rPr>
      </w:pPr>
      <w:bookmarkStart w:id="3" w:name="_Hlk158894031"/>
      <w:r w:rsidRPr="003A75E7">
        <w:rPr>
          <w:noProof/>
        </w:rPr>
        <w:t>(4)</w:t>
      </w:r>
      <w:r w:rsidRPr="003A75E7">
        <w:rPr>
          <w:noProof/>
        </w:rPr>
        <w:tab/>
      </w:r>
      <w:r w:rsidR="09559E58" w:rsidRPr="000F157D">
        <w:rPr>
          <w:noProof/>
        </w:rPr>
        <w:t>Nederländerna har förklarat att en åtgärd delvis inte längre är genomförbar på grund av objektiva omständigheter, nämligen den senaste utvecklingen på marknaden, vilket har lett till lägre efterfrågan än väntat.</w:t>
      </w:r>
      <w:r w:rsidR="09559E58" w:rsidRPr="000F157D">
        <w:rPr>
          <w:noProof/>
          <w:color w:val="000000" w:themeColor="text1"/>
        </w:rPr>
        <w:t xml:space="preserve"> </w:t>
      </w:r>
      <w:r w:rsidR="09559E58" w:rsidRPr="000F157D">
        <w:rPr>
          <w:noProof/>
        </w:rPr>
        <w:t xml:space="preserve">Detta gäller mål 16 och delmålen 17, 18, 19 och 20 inom åtgärd C1.1 I1-8 (Offshore-vindenergi) i del 1 (Främjande av den gröna omställningen). På grundval av detta har Nederländerna begärt att få ändra beskrivningen av åtgärd C1.1 I1-8 (Offshore-vindenergi), ändra beskrivningarna av delmålen 17, 18, 19 och 20 samt minska mål 16. Rådets genomförandebeslut av den 4 oktober 2022 bör ändras i enlighet med detta.  </w:t>
      </w:r>
    </w:p>
    <w:p w:rsidR="002709B6" w:rsidRPr="000F157D" w:rsidRDefault="003A75E7" w:rsidP="003A75E7">
      <w:pPr>
        <w:pStyle w:val="ManualConsidrant"/>
        <w:rPr>
          <w:noProof/>
        </w:rPr>
      </w:pPr>
      <w:r w:rsidRPr="003A75E7">
        <w:rPr>
          <w:noProof/>
        </w:rPr>
        <w:t>(5)</w:t>
      </w:r>
      <w:r w:rsidRPr="003A75E7">
        <w:rPr>
          <w:noProof/>
        </w:rPr>
        <w:tab/>
      </w:r>
      <w:r w:rsidR="5195C857" w:rsidRPr="000F157D">
        <w:rPr>
          <w:noProof/>
        </w:rPr>
        <w:t xml:space="preserve">Nederländerna har förklarat att tre åtgärder inte längre kan uppnås helt inom angiven tid på grund av objektiva omständigheter, nämligen en kombination av problem som beror på överbelastning av nätet, inflation och brist på kompetens och personal. Detta gäller målen 24, 25 och 26 för åtgärd C1.1 I3-1 (Energiomställning inom inlandssjöfarten, projektet ZES) inom del 1 (Främjande av den gröna omställningen); mål 48 och delmålen 49 och 50 för åtgärd C2.2 I1-1 (European Rail Traffic Management System), mål 51 för åtgärd C2.2 I2-3 (Säker, smart och hållbar mobilitet) inom del 2 (Påskynda den digitala omställningen). På grundval av detta har Nederländerna begärt att målen 24, 25 och 51 ska sänkas och att mål 26 ska utgå. Vidare har Nederländerna begärt att beskrivningarna av åtgärd C1.1 I3 och av delmål 50 ska ändras. Nederländerna har också begärt att tidsplanen för genomförande av målen 24, 25, 48 och 51 samt delmålen 49 och 50 ska förlängas, och att beskrivningen av åtgärd C2.2 I1-1 (European Rail Traffic Management System) ska ändras till följd av den förlängda tidsfristen för genomförandet av delmålen 49 och 50. Rådets genomförandebeslut av den 4 oktober 2022 bör ändras i enlighet med detta.  </w:t>
      </w:r>
    </w:p>
    <w:p w:rsidR="002709B6" w:rsidRPr="000F157D" w:rsidRDefault="003A75E7" w:rsidP="003A75E7">
      <w:pPr>
        <w:pStyle w:val="ManualConsidrant"/>
        <w:rPr>
          <w:noProof/>
        </w:rPr>
      </w:pPr>
      <w:r w:rsidRPr="003A75E7">
        <w:rPr>
          <w:noProof/>
        </w:rPr>
        <w:t>(6)</w:t>
      </w:r>
      <w:r w:rsidRPr="003A75E7">
        <w:rPr>
          <w:noProof/>
        </w:rPr>
        <w:tab/>
      </w:r>
      <w:r w:rsidR="2F881B56" w:rsidRPr="000F157D">
        <w:rPr>
          <w:noProof/>
        </w:rPr>
        <w:t xml:space="preserve">Nederländerna har förklarat att en åtgärd inte längre kan genomföras fullständigt på grund av objektiva omständigheter, nämligen en oförutsedd ökning av produktionskostnaderna och oförutsedda tekniska problem. Detta gäller målen 56 och 57 inom åtgärd C2.2 I3-1 (Intelligenta vägstationer - iWKS) inom del 2 (Påskynda den digitala omställningen). På grundval av detta har Nederländerna begärt att få ändra beskrivningen av åtgärd C2.2 I3-1 (Intelligenta vägstationer iWKS) och sänka målen 56 och 57. Dessutom har Nederländerna begärt att tidsplanen för genomförandet av mål 56 förlängs. Rådets genomförandebeslut av den 4 oktober 2022 bör ändras i enlighet med detta.  </w:t>
      </w:r>
    </w:p>
    <w:bookmarkEnd w:id="3"/>
    <w:p w:rsidR="00C94061" w:rsidRPr="000F157D" w:rsidRDefault="003A75E7" w:rsidP="003A75E7">
      <w:pPr>
        <w:pStyle w:val="ManualConsidrant"/>
        <w:rPr>
          <w:rFonts w:eastAsia="Times New Roman"/>
          <w:noProof/>
        </w:rPr>
      </w:pPr>
      <w:r w:rsidRPr="003A75E7">
        <w:rPr>
          <w:noProof/>
        </w:rPr>
        <w:t>(7)</w:t>
      </w:r>
      <w:r w:rsidRPr="003A75E7">
        <w:rPr>
          <w:noProof/>
        </w:rPr>
        <w:tab/>
      </w:r>
      <w:r w:rsidR="45FBB09F" w:rsidRPr="000F157D">
        <w:rPr>
          <w:noProof/>
        </w:rPr>
        <w:t>Nederländerna har förklarat att åtta åtgärder har ändrats i syfte att genomföra bättre alternativ för att uppnå den ursprungliga ambitionen med åtgärden. Detta gäller delmål 2 för åtgärd C1.1 R1-1 (Reform av energibeskattningen), delmålen 7 och 8 för åtgärd C1.1 R4-1 (Reform av fordonsskatten), delmålen 27 och 28 för åtgärd C1.1 I4-1 (Omställning av luftfart) inom del 1 (Främjande av den gröna omställningen), mål 39 för åtgärd C2.1 I2-1 (AI Ned och tillämpade AI-lärgemenskaper), mål 53 för åtgärd C2.2 I2-3 (Säker, smart och hållbar mobilitet), delmål 61 för åtgärd C2.3 I1-1 (Förnyad it-infrastruktur på försvarsministeriet) inom del 2 (Påskynda den digitala omställningen), delmålen 85 och 86 för åtgärd C4.1 R2-1 (Handikappförsäkring för egenföretagare) inom del 4 (Stärka arbetsmarknaden, pensioner och framtidsinriktad utbildning) samt delmål 134 för åtgärd C8 R1 (Reformpaket för energimarknaden) inom REPowerEU-delen. På grundval av detta har Nederländerna begärt en förlängning av tidsplanen för genomförandet av mål 28 och delmålen 85 och 86.</w:t>
      </w:r>
      <w:r w:rsidR="45FBB09F" w:rsidRPr="000F157D">
        <w:rPr>
          <w:noProof/>
          <w:color w:val="000000" w:themeColor="text1"/>
        </w:rPr>
        <w:t xml:space="preserve"> Vidare har Nederländerna begärt</w:t>
      </w:r>
      <w:r w:rsidR="45FBB09F" w:rsidRPr="000F157D">
        <w:rPr>
          <w:noProof/>
        </w:rPr>
        <w:t xml:space="preserve"> att få ändra beskrivningen av åtgärderna C1.1 R1-1 (Reform av energibeskattningen) och C1.1 I4-1 (Omställning av luftfarten) och beskrivningarna av delmålen 2, 7, 8, 27, 28, 53, 61 och 134 och delmål 39. Nederländerna har också begärt att få lägga till delmål 8a för åtgärd C1.1 R4-1 (Reform av fordonsskatten). Rådets genomförandebeslut av den 4 oktober 2022 bör ändras i enlighet med detta.  </w:t>
      </w:r>
    </w:p>
    <w:p w:rsidR="00BE2B23" w:rsidRPr="000F157D" w:rsidRDefault="003A75E7" w:rsidP="003A75E7">
      <w:pPr>
        <w:pStyle w:val="ManualConsidrant"/>
        <w:rPr>
          <w:rFonts w:eastAsia="Times New Roman"/>
          <w:noProof/>
        </w:rPr>
      </w:pPr>
      <w:r w:rsidRPr="003A75E7">
        <w:rPr>
          <w:noProof/>
        </w:rPr>
        <w:t>(8)</w:t>
      </w:r>
      <w:r w:rsidRPr="003A75E7">
        <w:rPr>
          <w:noProof/>
        </w:rPr>
        <w:tab/>
      </w:r>
      <w:r w:rsidR="45FBB09F" w:rsidRPr="000F157D">
        <w:rPr>
          <w:noProof/>
        </w:rPr>
        <w:t xml:space="preserve">Nederländerna har förklarat att fyra åtgärder har ändrats i syfte att genomföra ett bättre alternativ som gör det möjligt att minska den administrativa bördan, samtidigt som målen för respektive åtgärder uppnås. Detta gäller målen 22 och 23 för åtgärd C1.1 I2-2 (Grön energi och vätgas), målen 31, 32 och 33 för åtgärd C1.2 I1-1 (Naturprogrammet) inom del 1 (Främjande av den gröna omställningen), mål 60 för åtgärd C2.3 R1-3 (Förvaltning av offentlig information (lag om offentlighet)) inom del 2 (Påskynda den digitala omställningen) samt delmål 108a för åtgärd C5.1 I1-1 (Tillfälligt personaltillskott inom vården i händelse av kris) inom del 5 (Stärkt offentlig vård och pandemiberedskap). På grundval av detta har Nederländerna begärt att onödig bakgrundsinformation eller förfarandemässiga element som inte bidrar till målen för åtgärderna stryks, att det klargörs att vissa element rör åtgärdernas mål eller sammanhang och att åtgärdsbeskrivningar eller delmål och mål som orsakar en omotiverad administrativ börda för att uppnå målen för respektive åtgärder förenklas. Rådets genomförandebeslut av den 4 oktober 2022 bör ändras i enlighet med detta.  </w:t>
      </w:r>
    </w:p>
    <w:p w:rsidR="002709B6" w:rsidRPr="000F157D" w:rsidRDefault="003A75E7" w:rsidP="003A75E7">
      <w:pPr>
        <w:pStyle w:val="ManualConsidrant"/>
        <w:rPr>
          <w:rFonts w:eastAsia="Times New Roman"/>
          <w:noProof/>
        </w:rPr>
      </w:pPr>
      <w:r w:rsidRPr="003A75E7">
        <w:rPr>
          <w:noProof/>
        </w:rPr>
        <w:t>(9)</w:t>
      </w:r>
      <w:r w:rsidRPr="003A75E7">
        <w:rPr>
          <w:noProof/>
        </w:rPr>
        <w:tab/>
      </w:r>
      <w:r w:rsidR="00A60680" w:rsidRPr="000F157D">
        <w:rPr>
          <w:noProof/>
        </w:rPr>
        <w:t>Efter strykningen av åtgärder enligt artikel 21 i förordning (EU) 2021/241 har Nederländerna begärt att få använda de resurser som frigörs genom att åtgärderna stryks och genomförandenivån sänks för att öka genomförandenivån för en åtgärd</w:t>
      </w:r>
      <w:r w:rsidR="00A60680" w:rsidRPr="000F157D">
        <w:rPr>
          <w:i/>
          <w:noProof/>
        </w:rPr>
        <w:t xml:space="preserve">. </w:t>
      </w:r>
      <w:r w:rsidR="00A60680" w:rsidRPr="000F157D">
        <w:rPr>
          <w:noProof/>
        </w:rPr>
        <w:t xml:space="preserve">Detta gäller mål 130 inom åtgärd C8 I1 (Investeringssubventioner för hållbar energi och energibesparingar) inom REPowerEU-delen. På grundval av detta har </w:t>
      </w:r>
      <w:r w:rsidR="00A60680" w:rsidRPr="000F157D">
        <w:rPr>
          <w:noProof/>
          <w:color w:val="000000" w:themeColor="text1"/>
        </w:rPr>
        <w:t xml:space="preserve">Nederländerna </w:t>
      </w:r>
      <w:r w:rsidR="00A60680" w:rsidRPr="000F157D">
        <w:rPr>
          <w:noProof/>
        </w:rPr>
        <w:t>begärt att den nödvändiga genomförandenivån för ovannämnda åtgärder ska minskas</w:t>
      </w:r>
      <w:r w:rsidR="00A60680" w:rsidRPr="000F157D">
        <w:rPr>
          <w:i/>
          <w:noProof/>
        </w:rPr>
        <w:t xml:space="preserve">. </w:t>
      </w:r>
      <w:r w:rsidR="00A60680" w:rsidRPr="000F157D">
        <w:rPr>
          <w:noProof/>
        </w:rPr>
        <w:t>Rådets genomförandebeslut av den 4 oktober 2022 bör ändras i enlighet med detta.</w:t>
      </w:r>
    </w:p>
    <w:p w:rsidR="002709B6" w:rsidRPr="000F157D" w:rsidRDefault="003A75E7" w:rsidP="003A75E7">
      <w:pPr>
        <w:pStyle w:val="ManualConsidrant"/>
        <w:rPr>
          <w:rFonts w:eastAsia="Times New Roman"/>
          <w:noProof/>
        </w:rPr>
      </w:pPr>
      <w:r w:rsidRPr="003A75E7">
        <w:rPr>
          <w:noProof/>
        </w:rPr>
        <w:t>(10)</w:t>
      </w:r>
      <w:r w:rsidRPr="003A75E7">
        <w:rPr>
          <w:noProof/>
        </w:rPr>
        <w:tab/>
      </w:r>
      <w:r w:rsidR="29FF1D6D" w:rsidRPr="000F157D">
        <w:rPr>
          <w:noProof/>
        </w:rPr>
        <w:t>Kommissionen anser att de skäl som Nederländerna har anfört motiverar ändringarna i enlighet med artikel 21.2 i förordning (EU) 2021/241, och att rådets genomförandebeslut av den 4 oktober 2022 bör ändras i enlighet med detta.</w:t>
      </w:r>
    </w:p>
    <w:p w:rsidR="002709B6" w:rsidRPr="000F157D" w:rsidRDefault="00DC39D2" w:rsidP="004D6A5C">
      <w:pPr>
        <w:rPr>
          <w:b/>
          <w:bCs/>
          <w:i/>
          <w:iCs/>
          <w:noProof/>
        </w:rPr>
      </w:pPr>
      <w:r w:rsidRPr="000F157D">
        <w:rPr>
          <w:b/>
          <w:i/>
          <w:noProof/>
        </w:rPr>
        <w:t>Fördelning av delmål och mål</w:t>
      </w:r>
    </w:p>
    <w:p w:rsidR="00CB373D" w:rsidRPr="000F157D" w:rsidRDefault="003A75E7" w:rsidP="003A75E7">
      <w:pPr>
        <w:pStyle w:val="ManualConsidrant"/>
        <w:rPr>
          <w:noProof/>
        </w:rPr>
      </w:pPr>
      <w:r w:rsidRPr="003A75E7">
        <w:rPr>
          <w:noProof/>
        </w:rPr>
        <w:t>(11)</w:t>
      </w:r>
      <w:r w:rsidRPr="003A75E7">
        <w:rPr>
          <w:noProof/>
        </w:rPr>
        <w:tab/>
      </w:r>
      <w:r w:rsidR="29FF1D6D" w:rsidRPr="000F157D">
        <w:rPr>
          <w:noProof/>
        </w:rPr>
        <w:t xml:space="preserve">Delmålens och målens fördelning i delbetalningar bör ändras så att hänsyn tas till ändringarna i planen och den vägledande tidsplan som Nederländerna lagt fram.  </w:t>
      </w:r>
    </w:p>
    <w:p w:rsidR="002709B6" w:rsidRPr="000F157D" w:rsidRDefault="00DC39D2" w:rsidP="004D6A5C">
      <w:pPr>
        <w:rPr>
          <w:b/>
          <w:bCs/>
          <w:i/>
          <w:iCs/>
          <w:noProof/>
        </w:rPr>
      </w:pPr>
      <w:r w:rsidRPr="000F157D">
        <w:rPr>
          <w:b/>
          <w:i/>
          <w:noProof/>
        </w:rPr>
        <w:t>Rättelser av skrivfel</w:t>
      </w:r>
    </w:p>
    <w:p w:rsidR="003379FC" w:rsidRPr="000F157D" w:rsidRDefault="003A75E7" w:rsidP="003A75E7">
      <w:pPr>
        <w:pStyle w:val="ManualConsidrant"/>
        <w:rPr>
          <w:noProof/>
        </w:rPr>
      </w:pPr>
      <w:r w:rsidRPr="003A75E7">
        <w:rPr>
          <w:noProof/>
        </w:rPr>
        <w:t>(12)</w:t>
      </w:r>
      <w:r w:rsidRPr="003A75E7">
        <w:rPr>
          <w:noProof/>
        </w:rPr>
        <w:tab/>
      </w:r>
      <w:r w:rsidR="2C561EE3" w:rsidRPr="000F157D">
        <w:rPr>
          <w:noProof/>
        </w:rPr>
        <w:t>Ett skrivfel har identifierats i texten till rådets genomförandebeslut, vilket påverkar fyra delmål och en åtgärdsbeskrivning inom en del. Rådets genomförandebeslut bör ändras för att rätta skrivfelet, som inte återspeglar innehållet i den återhämtnings- och resiliensplan som överlämnades till kommissionen den 8 juli 2022, enligt överenskommelse mellan kommissionen och Nederländerna. Skrivfelet gäller delmålen 69, 70, 71 och 72 inom åtgärd C3.1 R3–1 (Centraliserad planering för att öka bostadsutbudet) inom del 3 (Förbättra bostadsmarknaden och göra fastigheterna mer energieffektiva). Dessa rättelser påverkar inte genomförandet av de berörda åtgärderna.</w:t>
      </w:r>
    </w:p>
    <w:p w:rsidR="004A7C82" w:rsidRPr="000F157D" w:rsidRDefault="00DC39D2" w:rsidP="004D6A5C">
      <w:pPr>
        <w:rPr>
          <w:b/>
          <w:bCs/>
          <w:i/>
          <w:iCs/>
          <w:noProof/>
        </w:rPr>
      </w:pPr>
      <w:r w:rsidRPr="000F157D">
        <w:rPr>
          <w:b/>
          <w:i/>
          <w:noProof/>
        </w:rPr>
        <w:t>Kommissionens bedömning</w:t>
      </w:r>
    </w:p>
    <w:p w:rsidR="00CB2002" w:rsidRPr="000F157D" w:rsidRDefault="003A75E7" w:rsidP="003A75E7">
      <w:pPr>
        <w:pStyle w:val="ManualConsidrant"/>
        <w:rPr>
          <w:noProof/>
        </w:rPr>
      </w:pPr>
      <w:r w:rsidRPr="003A75E7">
        <w:rPr>
          <w:noProof/>
        </w:rPr>
        <w:t>(13)</w:t>
      </w:r>
      <w:r w:rsidRPr="003A75E7">
        <w:rPr>
          <w:noProof/>
        </w:rPr>
        <w:tab/>
      </w:r>
      <w:r w:rsidR="29FF1D6D" w:rsidRPr="000F157D">
        <w:rPr>
          <w:noProof/>
        </w:rPr>
        <w:t>Kommissionen har bedömt den ändrade återhämtnings- och resiliensplanen mot de bedömningskriterier som fastställs i artikel 19.3 i förordning (EU) 2021/241.</w:t>
      </w:r>
    </w:p>
    <w:p w:rsidR="00F24FD7" w:rsidRPr="000F157D" w:rsidRDefault="00F24FD7" w:rsidP="004D6A5C">
      <w:pPr>
        <w:rPr>
          <w:b/>
          <w:bCs/>
          <w:i/>
          <w:iCs/>
          <w:noProof/>
        </w:rPr>
      </w:pPr>
      <w:r w:rsidRPr="000F157D">
        <w:rPr>
          <w:b/>
          <w:i/>
          <w:noProof/>
        </w:rPr>
        <w:t xml:space="preserve">Bidrag till REPowerEU-målen </w:t>
      </w:r>
    </w:p>
    <w:p w:rsidR="00F24FD7" w:rsidRPr="000F157D" w:rsidRDefault="003A75E7" w:rsidP="003A75E7">
      <w:pPr>
        <w:pStyle w:val="ManualConsidrant"/>
        <w:rPr>
          <w:rFonts w:eastAsia="Times New Roman"/>
          <w:noProof/>
        </w:rPr>
      </w:pPr>
      <w:r w:rsidRPr="003A75E7">
        <w:rPr>
          <w:noProof/>
        </w:rPr>
        <w:t>(14)</w:t>
      </w:r>
      <w:r w:rsidRPr="003A75E7">
        <w:rPr>
          <w:noProof/>
        </w:rPr>
        <w:tab/>
      </w:r>
      <w:r w:rsidR="00F24FD7" w:rsidRPr="000F157D">
        <w:rPr>
          <w:noProof/>
        </w:rPr>
        <w:t xml:space="preserve">REPowerEU-kapitlet förväntas i enlighet med artikel 19.3 da i förordning (EU) 2021/241 och kriterium 2.12 i bilaga V till samma förordning i stor utsträckning (betyg A) effektivt bidra till energitrygghet, diversifiering av unionens energiförsörjning, ökad användning av förnybara energikällor och energieffektivitet, ökad energilagringskapacitet eller en nödvändig minskning av beroendet av fossila bränslen före 2030. </w:t>
      </w:r>
    </w:p>
    <w:p w:rsidR="00F24FD7" w:rsidRPr="000F157D" w:rsidRDefault="003A75E7" w:rsidP="003A75E7">
      <w:pPr>
        <w:pStyle w:val="ManualConsidrant"/>
        <w:rPr>
          <w:rFonts w:eastAsia="Times New Roman"/>
          <w:noProof/>
        </w:rPr>
      </w:pPr>
      <w:r w:rsidRPr="003A75E7">
        <w:rPr>
          <w:noProof/>
        </w:rPr>
        <w:t>(15)</w:t>
      </w:r>
      <w:r w:rsidRPr="003A75E7">
        <w:rPr>
          <w:noProof/>
        </w:rPr>
        <w:tab/>
      </w:r>
      <w:r w:rsidR="00185A56" w:rsidRPr="000F157D">
        <w:rPr>
          <w:noProof/>
        </w:rPr>
        <w:t xml:space="preserve">Åtgärd C8 I1 (Investeringssubventioner för hållbar energi och energibesparingar) expanderar sedan ett mål strukits och genomförandenivån minskat för vissa åtgärder. Åtgärden ger hushållen subventioner för flera insatser för att förbättra byggnadsbeståndets energieffektivitet. Insatserna förväntas minska efterfrågan på energi och bidra till elektrifiering av värmeproduktionen, vilket stöder utfasningen av fossila bränslen i den nederländska energiproduktionen och spridningen av förnybar energi. Investeringen förväntas få långvariga effekter på grund av de subventionerade installationernas långa livslängd och deras långsiktiga inverkan på energiefterfrågan. Investeringen är en uppskalning av en befintlig åtgärd i del 3 och REPowerEU-kapitlet, som därigenom ökar resursallokeringen till REPowerEU-kapitlet. </w:t>
      </w:r>
    </w:p>
    <w:p w:rsidR="00704951" w:rsidRPr="000F157D" w:rsidRDefault="00704951" w:rsidP="00704951">
      <w:pPr>
        <w:rPr>
          <w:rFonts w:eastAsia="Times New Roman"/>
          <w:b/>
          <w:bCs/>
          <w:i/>
          <w:iCs/>
          <w:noProof/>
        </w:rPr>
      </w:pPr>
      <w:r w:rsidRPr="000F157D">
        <w:rPr>
          <w:b/>
          <w:i/>
          <w:noProof/>
        </w:rPr>
        <w:t xml:space="preserve">Bidrag till den gröna omställningen, inbegripet biologisk mångfald </w:t>
      </w:r>
    </w:p>
    <w:p w:rsidR="00704951" w:rsidRPr="000F157D" w:rsidRDefault="003A75E7" w:rsidP="003A75E7">
      <w:pPr>
        <w:pStyle w:val="ManualConsidrant"/>
        <w:rPr>
          <w:rFonts w:eastAsia="Times New Roman"/>
          <w:noProof/>
        </w:rPr>
      </w:pPr>
      <w:r w:rsidRPr="003A75E7">
        <w:rPr>
          <w:noProof/>
        </w:rPr>
        <w:t>(16)</w:t>
      </w:r>
      <w:r w:rsidRPr="003A75E7">
        <w:rPr>
          <w:noProof/>
        </w:rPr>
        <w:tab/>
      </w:r>
      <w:r w:rsidR="00704951" w:rsidRPr="000F157D">
        <w:rPr>
          <w:noProof/>
        </w:rPr>
        <w:t xml:space="preserve">Den ändrade återhämtnings- och resiliensplanen innehåller i enlighet med artikel 19.3 e i förordning (EU) 2021/241 och kriterium 2.5 i bilaga V till samma förordning åtgärder som i stor utsträckning (betyg A) bidrar till den gröna omställningen, inbegripet biologisk mångfald, eller som tar itu med de utmaningar som följer av omställningen. De åtgärder som stöder klimatmålen står för ett belopp som motsvarar 55,1 % av den totala tilldelningen från den ändrade återhämtnings- och resiliensplanen och 100 % av de totala uppskattade kostnaderna för åtgärder i REPowerEU-kapitlet, beräknat i enlighet med den metod som anges i bilaga VI till förordning (EU) 2021/241. I enlighet med artikel 17 i förordning (EU) 2021/241 är den ändrade återhämtnings- och resiliensplanen förenlig med informationen i den nationella energi- och klimatplanen för 2021–2030. </w:t>
      </w:r>
    </w:p>
    <w:p w:rsidR="00704951" w:rsidRPr="000F157D" w:rsidRDefault="003A75E7" w:rsidP="003A75E7">
      <w:pPr>
        <w:pStyle w:val="ManualConsidrant"/>
        <w:rPr>
          <w:rFonts w:eastAsia="Times New Roman"/>
          <w:noProof/>
        </w:rPr>
      </w:pPr>
      <w:r w:rsidRPr="003A75E7">
        <w:rPr>
          <w:noProof/>
        </w:rPr>
        <w:t>(17)</w:t>
      </w:r>
      <w:r w:rsidRPr="003A75E7">
        <w:rPr>
          <w:noProof/>
        </w:rPr>
        <w:tab/>
      </w:r>
      <w:r w:rsidR="00DA5B4C" w:rsidRPr="000F157D">
        <w:rPr>
          <w:noProof/>
        </w:rPr>
        <w:t>De ändringar som Nederländerna föreslår i form av strykning av ett mål och sänkt genomförandenivå för ett antal åtgärder har resulterat i en ökning av mål 130</w:t>
      </w:r>
      <w:r w:rsidR="00DA5B4C" w:rsidRPr="000F157D">
        <w:rPr>
          <w:noProof/>
          <w:color w:val="000000" w:themeColor="text1"/>
        </w:rPr>
        <w:t xml:space="preserve"> </w:t>
      </w:r>
      <w:r w:rsidR="00DA5B4C" w:rsidRPr="000F157D">
        <w:rPr>
          <w:noProof/>
        </w:rPr>
        <w:t xml:space="preserve">inom åtgärd C8 I1 (Investeringssubventioner för hållbar energi och energibesparingar). Ökningen inom denna åtgärd utgör hela den positiva förändringen av den ändrade återhämtnings- och resiliensplanens bidrag till den gröna omställningen.  </w:t>
      </w:r>
    </w:p>
    <w:p w:rsidR="002709B6" w:rsidRPr="000F157D" w:rsidRDefault="00DC39D2" w:rsidP="004D6A5C">
      <w:pPr>
        <w:rPr>
          <w:b/>
          <w:bCs/>
          <w:i/>
          <w:iCs/>
          <w:noProof/>
        </w:rPr>
      </w:pPr>
      <w:r w:rsidRPr="000F157D">
        <w:rPr>
          <w:b/>
          <w:i/>
          <w:noProof/>
        </w:rPr>
        <w:t>Kostnader</w:t>
      </w:r>
    </w:p>
    <w:p w:rsidR="002709B6" w:rsidRPr="000F157D" w:rsidRDefault="003A75E7" w:rsidP="003A75E7">
      <w:pPr>
        <w:pStyle w:val="ManualConsidrant"/>
        <w:rPr>
          <w:rFonts w:eastAsia="Times New Roman"/>
          <w:noProof/>
        </w:rPr>
      </w:pPr>
      <w:r w:rsidRPr="003A75E7">
        <w:rPr>
          <w:noProof/>
        </w:rPr>
        <w:t>(18)</w:t>
      </w:r>
      <w:r w:rsidRPr="003A75E7">
        <w:rPr>
          <w:noProof/>
        </w:rPr>
        <w:tab/>
      </w:r>
      <w:r w:rsidR="29FF1D6D" w:rsidRPr="000F157D">
        <w:rPr>
          <w:noProof/>
        </w:rPr>
        <w:t>Den motivering som lämnats i den ändrade återhämtnings- och resiliensplanen för de skattade totala kostnaderna för återhämtnings- och resiliensplanen är i enlighet med artikel 19.3 i) i förordning (EU) 2021/241 och kriterium 2.9 i bilaga V till samma förordning i stor utsträckning (betyg B) rimlig och trovärdig och överensstämmer med principen om kostnadseffektivitet och står i proportion till den förväntade nationella ekonomiska och sociala effekten.</w:t>
      </w:r>
    </w:p>
    <w:p w:rsidR="000B3FA4" w:rsidRPr="000F157D" w:rsidRDefault="003A75E7" w:rsidP="003A75E7">
      <w:pPr>
        <w:pStyle w:val="ManualConsidrant"/>
        <w:rPr>
          <w:rFonts w:eastAsia="Times New Roman"/>
          <w:noProof/>
        </w:rPr>
      </w:pPr>
      <w:r w:rsidRPr="003A75E7">
        <w:rPr>
          <w:noProof/>
        </w:rPr>
        <w:t>(19)</w:t>
      </w:r>
      <w:r w:rsidRPr="003A75E7">
        <w:rPr>
          <w:noProof/>
        </w:rPr>
        <w:tab/>
      </w:r>
      <w:r w:rsidR="680996C8" w:rsidRPr="000F157D">
        <w:rPr>
          <w:noProof/>
        </w:rPr>
        <w:t>De kostnadsuppgifter som Nederländerna lämnat för den ändrade återhämtnings- och resiliensplanen är detaljerade och väl underbyggda. Dessutom har Nederländerna lämnat in separata dokument med mer detaljerade beskrivningar av den metod som ligger till grund för kostnadsberäkningarna och förklaringar av hur tidigare projekt förhåller sig till kostnadsberäkningarna för de ändrade åtgärderna, samt i tillämpliga fall om EU-finansieringens mervärde. Bedömningen av kostnadsberäkningarna och underlagen visar att merparten av kostnaderna för de ändrade åtgärderna är väl motiverade, rimliga och trovärdiga, och inte omfattar kostnader som täcks av befintlig eller planerad unionsfinansiering, vilket motiverar betyget B. Slutligen överensstämmer de skattade totala kostnaderna för återhämtnings- och resiliensplanen med principen om kostnadseffektivitet och står i proportion till den förväntade nationella ekonomiska och sociala effekten. </w:t>
      </w:r>
    </w:p>
    <w:p w:rsidR="007F4621" w:rsidRPr="000F157D" w:rsidRDefault="00DC39D2">
      <w:pPr>
        <w:rPr>
          <w:rFonts w:eastAsia="Times New Roman"/>
          <w:b/>
          <w:bCs/>
          <w:i/>
          <w:iCs/>
          <w:noProof/>
          <w:szCs w:val="24"/>
        </w:rPr>
      </w:pPr>
      <w:r w:rsidRPr="000F157D">
        <w:rPr>
          <w:b/>
          <w:i/>
          <w:noProof/>
        </w:rPr>
        <w:t xml:space="preserve">Skydd av unionens ekonomiska intressen </w:t>
      </w:r>
    </w:p>
    <w:p w:rsidR="00991FA2" w:rsidRPr="000F157D" w:rsidRDefault="003A75E7" w:rsidP="003A75E7">
      <w:pPr>
        <w:pStyle w:val="ManualConsidrant"/>
        <w:rPr>
          <w:noProof/>
        </w:rPr>
      </w:pPr>
      <w:r w:rsidRPr="003A75E7">
        <w:rPr>
          <w:noProof/>
        </w:rPr>
        <w:t>(20)</w:t>
      </w:r>
      <w:r w:rsidRPr="003A75E7">
        <w:rPr>
          <w:noProof/>
        </w:rPr>
        <w:tab/>
      </w:r>
      <w:r w:rsidR="00991FA2" w:rsidRPr="000F157D">
        <w:rPr>
          <w:noProof/>
        </w:rPr>
        <w:t>De arrangemang som föreslås i den ändrade återhämtnings- och resiliensplanen är i enlighet med artikel 19.3 j och kriterium 2.10 i bilaga V till förordning (EU) 2021/241 lämpliga arrangemang (betyg A) för att förebygga, upptäcka och åtgärda korruption, bedrägerier och intressekonflikter vid användning av medel som tillhandahålls inom ramen för den förordningen och arrangemangen förväntas på ett ändamålsenligt sätt bidra till att dubbelfinansiering via den förordningen och andra unionsprogram undviks. Detta påverkar inte tillämpningen av andra instrument och verktyg för att främja och verkställa efterlevnad av unionsrätten, däribland för att förebygga, upptäcka och åtgärda korruption, bedrägerier och intressekonflikter samt för att skydda unionens finanser i enlighet med Europaparlamentets och rådets förordning (EU, Euratom) 2020/2092</w:t>
      </w:r>
      <w:r w:rsidR="00991FA2" w:rsidRPr="000F157D">
        <w:rPr>
          <w:rStyle w:val="FootnoteReference"/>
          <w:rFonts w:eastAsia="Times New Roman"/>
          <w:noProof/>
        </w:rPr>
        <w:footnoteReference w:id="5"/>
      </w:r>
      <w:r w:rsidR="00991FA2" w:rsidRPr="000F157D">
        <w:rPr>
          <w:noProof/>
        </w:rPr>
        <w:t>.</w:t>
      </w:r>
    </w:p>
    <w:p w:rsidR="00991FA2" w:rsidRPr="000F157D" w:rsidRDefault="003A75E7" w:rsidP="003A75E7">
      <w:pPr>
        <w:pStyle w:val="ManualConsidrant"/>
        <w:rPr>
          <w:noProof/>
          <w:sz w:val="22"/>
        </w:rPr>
      </w:pPr>
      <w:r w:rsidRPr="003A75E7">
        <w:rPr>
          <w:noProof/>
        </w:rPr>
        <w:t>(21)</w:t>
      </w:r>
      <w:r w:rsidRPr="003A75E7">
        <w:rPr>
          <w:noProof/>
        </w:rPr>
        <w:tab/>
      </w:r>
      <w:r w:rsidR="00991FA2" w:rsidRPr="000F157D">
        <w:rPr>
          <w:noProof/>
        </w:rPr>
        <w:t>Sedan den föregående bedömningen har kommissionen haft tillgång till information om det faktiska genomförandet av Nederländernas revisions- och kontrollsystem. Informationen omfattar preliminära slutsatser från den revision avseende skyddet av unionens ekonomiska intressen som utförts av kommissionen i Nederländerna.</w:t>
      </w:r>
      <w:r w:rsidR="00991FA2" w:rsidRPr="000F157D">
        <w:rPr>
          <w:rFonts w:ascii="Segoe UI" w:hAnsi="Segoe UI"/>
          <w:noProof/>
          <w:color w:val="000000" w:themeColor="text1"/>
          <w:sz w:val="20"/>
        </w:rPr>
        <w:t xml:space="preserve"> </w:t>
      </w:r>
    </w:p>
    <w:p w:rsidR="008830C2" w:rsidRPr="000F157D" w:rsidRDefault="003A75E7" w:rsidP="003A75E7">
      <w:pPr>
        <w:pStyle w:val="ManualConsidrant"/>
        <w:rPr>
          <w:noProof/>
        </w:rPr>
      </w:pPr>
      <w:r w:rsidRPr="003A75E7">
        <w:rPr>
          <w:noProof/>
        </w:rPr>
        <w:t>(22)</w:t>
      </w:r>
      <w:r w:rsidRPr="003A75E7">
        <w:rPr>
          <w:noProof/>
        </w:rPr>
        <w:tab/>
      </w:r>
      <w:r w:rsidR="00991FA2" w:rsidRPr="000F157D">
        <w:rPr>
          <w:noProof/>
        </w:rPr>
        <w:t xml:space="preserve">Mot bakgrund av denna information anser kommissionen att det interna kontrollsystemet för Nederländernas återhämtnings- och resiliensplan överlag är ändamålsenligt. Den ändrade återhämtnings- och resiliensplanen innehåller en uppdatering av kontroll- och revisionsramen för att återspegla det arbete som gjorts för att ytterligare rationalisera de tillämpliga processerna. Den inbegriper en uppdatering av förfarandet för att förebygga, upptäcka och korrigera intressekonflikter, särskilt vad gäller åtgärder som kompenserar för att Arachne inte används. De politiska direktoratens anställda är skyldiga att samla in undertecknade förklaringar om avsaknad av intressekonflikter. Dessa förklaringar bör också signeras eller kontrasigneras av de närmaste cheferna. Under de regelbundna kontrollerna, särskilt före utarbetande och inlämnande av varje betalningsansökning, bör direktoraten för finansiella och ekonomiska frågor genomföra riskbaserade revisioner av de anställdas förklaringar och potentiella intressekonflikter. Efter dessa riskbaserade revisioner och kontroller med hjälp av olika databaser kommer dubbelkontroller att genomföras av de förklaringar om avsaknad av intressekonflikter som undertecknats på de politiska direktoraten. Andra förfaranden med anknytning till intressekonflikter och mer allmänt skyddet av unionens ekonomiska intressen kvarstår och anses vara tillräckliga och robusta. </w:t>
      </w:r>
    </w:p>
    <w:p w:rsidR="007F4621" w:rsidRPr="000F157D" w:rsidRDefault="007F4621" w:rsidP="004D6A5C">
      <w:pPr>
        <w:rPr>
          <w:b/>
          <w:bCs/>
          <w:i/>
          <w:iCs/>
          <w:noProof/>
        </w:rPr>
      </w:pPr>
      <w:r w:rsidRPr="000F157D">
        <w:rPr>
          <w:b/>
          <w:i/>
          <w:noProof/>
        </w:rPr>
        <w:t>Andra bedömningskriterier </w:t>
      </w:r>
    </w:p>
    <w:p w:rsidR="007F4621" w:rsidRPr="000F157D" w:rsidRDefault="003A75E7" w:rsidP="003A75E7">
      <w:pPr>
        <w:pStyle w:val="ManualConsidrant"/>
        <w:rPr>
          <w:rFonts w:eastAsia="Times New Roman"/>
          <w:noProof/>
        </w:rPr>
      </w:pPr>
      <w:r w:rsidRPr="003A75E7">
        <w:rPr>
          <w:noProof/>
        </w:rPr>
        <w:t>(23)</w:t>
      </w:r>
      <w:r w:rsidRPr="003A75E7">
        <w:rPr>
          <w:noProof/>
        </w:rPr>
        <w:tab/>
      </w:r>
      <w:r w:rsidR="007F4621" w:rsidRPr="000F157D">
        <w:rPr>
          <w:noProof/>
        </w:rPr>
        <w:t>Kommissionen anser att de ändringar som lagts fram av Nederländerna inte påverkar den positiva bedömning av återhämtnings- och resiliensplanen som anges i rådets genomförandebeslut (EU) (ST 12275/22 INIT; ST 12275/22 ADD 1) av den 4 oktober 2022 om godkännandet av bedömningen av den nederländska återhämtnings- och resiliensplanens relevans, ändamålsenlighet, effektivitet och enhetlighet i förhållande till bedömningskriterierna i artikel 19.3 a, b, c, d, da, db, e, f, g, h, och k. </w:t>
      </w:r>
    </w:p>
    <w:p w:rsidR="00291EC0" w:rsidRPr="000F157D" w:rsidRDefault="00291EC0" w:rsidP="00291EC0">
      <w:pPr>
        <w:rPr>
          <w:rFonts w:eastAsia="Times New Roman"/>
          <w:noProof/>
        </w:rPr>
      </w:pPr>
      <w:bookmarkStart w:id="4" w:name="_Hlk195011292"/>
      <w:r w:rsidRPr="000F157D">
        <w:rPr>
          <w:b/>
          <w:i/>
          <w:noProof/>
        </w:rPr>
        <w:t>Åtgärder till stöd för investeringstransaktioner som bidrar till målen för den europeiska plattformen för strategisk teknik (Step)</w:t>
      </w:r>
    </w:p>
    <w:p w:rsidR="00291EC0" w:rsidRPr="000F157D" w:rsidRDefault="003A75E7" w:rsidP="003A75E7">
      <w:pPr>
        <w:pStyle w:val="ManualConsidrant"/>
        <w:rPr>
          <w:noProof/>
        </w:rPr>
      </w:pPr>
      <w:r w:rsidRPr="003A75E7">
        <w:rPr>
          <w:noProof/>
        </w:rPr>
        <w:t>(24)</w:t>
      </w:r>
      <w:r w:rsidRPr="003A75E7">
        <w:rPr>
          <w:noProof/>
        </w:rPr>
        <w:tab/>
      </w:r>
      <w:r w:rsidR="00291EC0" w:rsidRPr="000F157D">
        <w:rPr>
          <w:noProof/>
        </w:rPr>
        <w:t xml:space="preserve">I överensstämmelse med artikel 4.4 i förordning (EU) 2024/795 betraktade Nederländerna projekt med suveränitetsstämpel som prioriterade enligt artikel 4.1 i förordning (EU) 2024/795. Nederländerna har dock inte tagit med några suveränitetsstämplade projekt i den ändrade planen, eftersom ändringarna av planen inte inneburit några nya åtgärder, och strykningen av ett mål och den sänkta genomförandenivån för ett antal åtgärder har resulterat i att begränsade resurser frigjorts, som Nederländerna har begärt ska anslås för att skala upp åtgärd 130 inom åtgärd C8 I1 (Investeringssubventioner för hållbar energi och energibesparingar). Närmare bestämt föranleder uppskalningen av mål 130 inom åtgärd C8 I1 (Investeringssubventioner för hållbar energi och energibesparingar) inte de resurser som krävs för att projekt som tilldelats en suveränitetsstämpel ska kunna genomföras, varför Nederländerna inte tagit med några sådana projekt i den ändrade återhämtnings- och resiliensplanen. </w:t>
      </w:r>
    </w:p>
    <w:bookmarkEnd w:id="4"/>
    <w:p w:rsidR="002709B6" w:rsidRPr="000F157D" w:rsidRDefault="00DC39D2">
      <w:pPr>
        <w:rPr>
          <w:rFonts w:eastAsia="Times New Roman"/>
          <w:b/>
          <w:bCs/>
          <w:i/>
          <w:iCs/>
          <w:noProof/>
        </w:rPr>
      </w:pPr>
      <w:r w:rsidRPr="000F157D">
        <w:rPr>
          <w:b/>
          <w:i/>
          <w:noProof/>
        </w:rPr>
        <w:t>Positiv bedömning</w:t>
      </w:r>
    </w:p>
    <w:p w:rsidR="001F31FF" w:rsidRPr="000F157D" w:rsidRDefault="003A75E7" w:rsidP="003A75E7">
      <w:pPr>
        <w:pStyle w:val="ManualConsidrant"/>
        <w:rPr>
          <w:rFonts w:eastAsia="Times New Roman"/>
          <w:noProof/>
        </w:rPr>
      </w:pPr>
      <w:r w:rsidRPr="003A75E7">
        <w:rPr>
          <w:noProof/>
        </w:rPr>
        <w:t>(25)</w:t>
      </w:r>
      <w:r w:rsidRPr="003A75E7">
        <w:rPr>
          <w:noProof/>
        </w:rPr>
        <w:tab/>
      </w:r>
      <w:r w:rsidR="29FF1D6D" w:rsidRPr="000F157D">
        <w:rPr>
          <w:noProof/>
        </w:rPr>
        <w:t>Efter kommissionens positiva bedömning av den ändrade återhämtnings- och resiliensplanen som konstaterar att återhämtnings- och resiliensplanen på ett tillfredsställande sätt uppfyller bedömningskriterierna i enlighet med artikel 20.2 i förordning (EU) 2021/241 och bilaga V till samma förordning, bör det anges vilka reformer och investeringsprojekt som är nödvändiga för att genomföra den ändrade återhämtnings- och resiliensplanen liksom relevanta delmål, mål och indikatorer samt vilket belopp som unionen ställer till förfogande för genomförandet av den ändrade återhämtnings- och resiliensplanen i form av icke återbetalningspliktigt ekonomiskt stöd.</w:t>
      </w:r>
    </w:p>
    <w:p w:rsidR="002709B6" w:rsidRPr="000F157D" w:rsidRDefault="00DC39D2" w:rsidP="004D6A5C">
      <w:pPr>
        <w:rPr>
          <w:rFonts w:eastAsia="Times New Roman"/>
          <w:b/>
          <w:bCs/>
          <w:i/>
          <w:iCs/>
          <w:noProof/>
        </w:rPr>
      </w:pPr>
      <w:r w:rsidRPr="000F157D">
        <w:rPr>
          <w:b/>
          <w:i/>
          <w:noProof/>
        </w:rPr>
        <w:t>Ekonomiskt bidrag</w:t>
      </w:r>
    </w:p>
    <w:p w:rsidR="002709B6" w:rsidRPr="000F157D" w:rsidRDefault="003A75E7" w:rsidP="003A75E7">
      <w:pPr>
        <w:pStyle w:val="ManualConsidrant"/>
        <w:rPr>
          <w:noProof/>
        </w:rPr>
      </w:pPr>
      <w:r w:rsidRPr="003A75E7">
        <w:rPr>
          <w:noProof/>
        </w:rPr>
        <w:t>(26)</w:t>
      </w:r>
      <w:r w:rsidRPr="003A75E7">
        <w:rPr>
          <w:noProof/>
        </w:rPr>
        <w:tab/>
      </w:r>
      <w:r w:rsidR="4A0C1CFC" w:rsidRPr="000F157D">
        <w:rPr>
          <w:noProof/>
        </w:rPr>
        <w:t>De uppskattade totala kostnaderna för Nederländernas ändrade återhämtnings- och resiliensplan är 5 442 993 000 EUR. Eftersom de uppskattade totala kostnaderna för den ändrade återhämtnings- och resiliensplanen är högre än det uppdaterade högsta ekonomiska bidrag som är tillgängligt för Nederländerna, bör det totala ekonomiska bidrag som beräknats i enlighet med artikel 4a i Europaparlamentets och rådets förordning (EU) 2021/1755 och artiklarna 20.4 och 21a.6 i förordning (EU) 2021/241 och som anslagits för Nederländernas ändrade återhämtnings- och resiliensplan vara lika med det totala ekonomiska bidrag som är tillgängligt för Nederländernas ändrade återhämtnings- och resiliensplan.</w:t>
      </w:r>
      <w:r w:rsidR="4A0C1CFC" w:rsidRPr="000F157D">
        <w:rPr>
          <w:i/>
          <w:noProof/>
        </w:rPr>
        <w:t xml:space="preserve"> </w:t>
      </w:r>
      <w:r w:rsidR="4A0C1CFC" w:rsidRPr="000F157D">
        <w:rPr>
          <w:noProof/>
        </w:rPr>
        <w:t>Detta belopp är lika med 5 441 423 046 EUR.</w:t>
      </w:r>
    </w:p>
    <w:p w:rsidR="00E24C7D" w:rsidRPr="000F157D" w:rsidRDefault="003A75E7" w:rsidP="003A75E7">
      <w:pPr>
        <w:pStyle w:val="ManualConsidrant"/>
        <w:rPr>
          <w:rFonts w:eastAsia="Times New Roman"/>
          <w:noProof/>
        </w:rPr>
      </w:pPr>
      <w:r w:rsidRPr="003A75E7">
        <w:rPr>
          <w:noProof/>
        </w:rPr>
        <w:t>(27)</w:t>
      </w:r>
      <w:r w:rsidRPr="003A75E7">
        <w:rPr>
          <w:noProof/>
        </w:rPr>
        <w:tab/>
      </w:r>
      <w:r w:rsidR="29FF1D6D" w:rsidRPr="000F157D">
        <w:rPr>
          <w:noProof/>
        </w:rPr>
        <w:t>Rådets genomförandebeslut (EU) (ST 12275/22 INIT; ST 12275/22 ADD 1) av den 4 oktober 2022 om godkännande av bedömningen av Nederländernas återhämtnings- och resiliensplan bör därför ändras i enlighet med detta. För tydlighetens skull bör bilagan till rådets genomförandebeslut ersättas helt.</w:t>
      </w:r>
    </w:p>
    <w:p w:rsidR="002709B6" w:rsidRPr="000F157D" w:rsidRDefault="00DC39D2">
      <w:pPr>
        <w:pStyle w:val="Formuledadoption"/>
        <w:rPr>
          <w:rFonts w:eastAsia="Times New Roman"/>
          <w:noProof/>
        </w:rPr>
      </w:pPr>
      <w:r w:rsidRPr="000F157D">
        <w:rPr>
          <w:noProof/>
        </w:rPr>
        <w:t xml:space="preserve">HÄRIGENOM FÖRESKRIVS FÖLJANDE. </w:t>
      </w:r>
    </w:p>
    <w:p w:rsidR="002709B6" w:rsidRPr="000F157D" w:rsidRDefault="00DC39D2">
      <w:pPr>
        <w:pStyle w:val="Titrearticle"/>
        <w:rPr>
          <w:rFonts w:eastAsia="Times New Roman"/>
          <w:noProof/>
        </w:rPr>
      </w:pPr>
      <w:r w:rsidRPr="000F157D">
        <w:rPr>
          <w:noProof/>
        </w:rPr>
        <w:t>Artikel 1</w:t>
      </w:r>
    </w:p>
    <w:p w:rsidR="002709B6" w:rsidRPr="000F157D" w:rsidRDefault="00DC39D2" w:rsidP="004D6A5C">
      <w:pPr>
        <w:rPr>
          <w:rFonts w:eastAsia="Times New Roman"/>
          <w:noProof/>
        </w:rPr>
      </w:pPr>
      <w:r w:rsidRPr="000F157D">
        <w:rPr>
          <w:noProof/>
        </w:rPr>
        <w:t xml:space="preserve">Rådets genomförandebeslut av den 4 oktober 2022 om godkännande av bedömningen av återhämtnings- och resiliensplanen för Nederländerna ska ändras på följande sätt: </w:t>
      </w:r>
    </w:p>
    <w:p w:rsidR="00261B9E" w:rsidRPr="000F157D" w:rsidRDefault="00DC39D2" w:rsidP="004B2EE3">
      <w:pPr>
        <w:rPr>
          <w:rFonts w:eastAsia="Times New Roman"/>
          <w:noProof/>
        </w:rPr>
      </w:pPr>
      <w:r w:rsidRPr="000F157D">
        <w:rPr>
          <w:noProof/>
        </w:rPr>
        <w:t>1. Artikel 1 ska ersättas med följande:</w:t>
      </w:r>
    </w:p>
    <w:p w:rsidR="004B2EE3" w:rsidRPr="000F157D" w:rsidRDefault="0058101B" w:rsidP="00E01855">
      <w:pPr>
        <w:jc w:val="center"/>
        <w:rPr>
          <w:rFonts w:eastAsia="Times New Roman"/>
          <w:noProof/>
        </w:rPr>
      </w:pPr>
      <w:r w:rsidRPr="000F157D">
        <w:rPr>
          <w:noProof/>
        </w:rPr>
        <w:t>”</w:t>
      </w:r>
      <w:r w:rsidRPr="000F157D">
        <w:rPr>
          <w:i/>
          <w:iCs/>
          <w:noProof/>
        </w:rPr>
        <w:t>Artikel 1</w:t>
      </w:r>
    </w:p>
    <w:p w:rsidR="004B2EE3" w:rsidRPr="000F157D" w:rsidRDefault="004B2EE3" w:rsidP="00E01855">
      <w:pPr>
        <w:jc w:val="center"/>
        <w:rPr>
          <w:rFonts w:eastAsia="Times New Roman"/>
          <w:noProof/>
        </w:rPr>
      </w:pPr>
      <w:r w:rsidRPr="000F157D">
        <w:rPr>
          <w:i/>
          <w:noProof/>
        </w:rPr>
        <w:t>Godkännande av bedömningen av återhämtnings- och resiliensplanen</w:t>
      </w:r>
    </w:p>
    <w:p w:rsidR="004B2EE3" w:rsidRPr="000F157D" w:rsidRDefault="004B2EE3" w:rsidP="004B2EE3">
      <w:pPr>
        <w:rPr>
          <w:rFonts w:eastAsia="Times New Roman"/>
          <w:noProof/>
        </w:rPr>
      </w:pPr>
      <w:r w:rsidRPr="000F157D">
        <w:rPr>
          <w:noProof/>
        </w:rPr>
        <w:t>Härmed godkänns bedömningen av Nederländernas ändrade återhämtnings- och resiliensplan på grundval av kriterierna i artikel 19.3 i förordning (EU) 2021/241. Reformer och investeringsprojekt i återhämtnings- och resiliensplanen, arrangemangen och tidsplanen för övervakning och genomförande av återhämtnings- och resiliensplanen, inbegripet relevanta delmål och mål, relevanta indikatorer för att mäta uppnåendet av planerade delmål och mål, samt arrangemang för att ge kommissionen fullständig tillgång till relevanta underliggande data anges i bilagan till detta beslut.”</w:t>
      </w:r>
    </w:p>
    <w:p w:rsidR="00C239F9" w:rsidRPr="000F157D" w:rsidRDefault="00C239F9" w:rsidP="004B2EE3">
      <w:pPr>
        <w:rPr>
          <w:noProof/>
        </w:rPr>
      </w:pPr>
    </w:p>
    <w:p w:rsidR="002709B6" w:rsidRPr="000F157D" w:rsidRDefault="00DC39D2">
      <w:pPr>
        <w:rPr>
          <w:rFonts w:eastAsia="Times New Roman"/>
          <w:noProof/>
        </w:rPr>
      </w:pPr>
      <w:r w:rsidRPr="000F157D">
        <w:rPr>
          <w:noProof/>
        </w:rPr>
        <w:t>2. Bilagan ska ersättas med texten i bilagan till det här beslutet.</w:t>
      </w:r>
    </w:p>
    <w:p w:rsidR="002709B6" w:rsidRPr="000F157D" w:rsidRDefault="00DC39D2" w:rsidP="00BA380D">
      <w:pPr>
        <w:pStyle w:val="Titrearticle"/>
        <w:rPr>
          <w:noProof/>
        </w:rPr>
      </w:pPr>
      <w:r w:rsidRPr="000F157D">
        <w:rPr>
          <w:noProof/>
        </w:rPr>
        <w:t>Artikel 2</w:t>
      </w:r>
      <w:r w:rsidRPr="000F157D">
        <w:rPr>
          <w:noProof/>
        </w:rPr>
        <w:br/>
        <w:t>Adressat</w:t>
      </w:r>
    </w:p>
    <w:p w:rsidR="002709B6" w:rsidRPr="000F157D" w:rsidRDefault="00DC39D2">
      <w:pPr>
        <w:rPr>
          <w:noProof/>
        </w:rPr>
      </w:pPr>
      <w:r w:rsidRPr="000F157D">
        <w:rPr>
          <w:noProof/>
        </w:rPr>
        <w:t>Detta beslut riktar sig till Konungariket Nederländerna.</w:t>
      </w:r>
    </w:p>
    <w:p w:rsidR="002709B6" w:rsidRPr="000F157D" w:rsidRDefault="000F157D" w:rsidP="00BA380D">
      <w:pPr>
        <w:pStyle w:val="Fait"/>
        <w:rPr>
          <w:noProof/>
        </w:rPr>
      </w:pPr>
      <w:r>
        <w:rPr>
          <w:noProof/>
        </w:rPr>
        <w:t>Utfärdat i Bryssel den</w:t>
      </w:r>
    </w:p>
    <w:p w:rsidR="002709B6" w:rsidRPr="000F157D" w:rsidRDefault="00DC39D2" w:rsidP="00BA380D">
      <w:pPr>
        <w:pStyle w:val="Institutionquisigne"/>
        <w:rPr>
          <w:noProof/>
        </w:rPr>
      </w:pPr>
      <w:r w:rsidRPr="000F157D">
        <w:rPr>
          <w:noProof/>
        </w:rPr>
        <w:tab/>
        <w:t>På rådets vägnar</w:t>
      </w:r>
    </w:p>
    <w:p w:rsidR="002709B6" w:rsidRPr="000F157D" w:rsidRDefault="00DC39D2" w:rsidP="00DA2785">
      <w:pPr>
        <w:pStyle w:val="Personnequisigne"/>
        <w:rPr>
          <w:noProof/>
        </w:rPr>
      </w:pPr>
      <w:r w:rsidRPr="000F157D">
        <w:rPr>
          <w:noProof/>
        </w:rPr>
        <w:tab/>
        <w:t>Ordförande</w:t>
      </w:r>
      <w:bookmarkEnd w:id="0"/>
    </w:p>
    <w:sectPr w:rsidR="002709B6" w:rsidRPr="000F157D" w:rsidSect="002C3A24">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30A" w:rsidRDefault="0096330A">
      <w:pPr>
        <w:spacing w:before="0" w:after="0"/>
      </w:pPr>
      <w:r>
        <w:separator/>
      </w:r>
    </w:p>
  </w:endnote>
  <w:endnote w:type="continuationSeparator" w:id="0">
    <w:p w:rsidR="0096330A" w:rsidRDefault="0096330A">
      <w:pPr>
        <w:spacing w:before="0" w:after="0"/>
      </w:pPr>
      <w:r>
        <w:continuationSeparator/>
      </w:r>
    </w:p>
  </w:endnote>
  <w:endnote w:type="continuationNotice" w:id="1">
    <w:p w:rsidR="0096330A" w:rsidRDefault="0096330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A24" w:rsidRPr="002C3A24" w:rsidRDefault="002C3A24" w:rsidP="002C3A24">
    <w:pPr>
      <w:pStyle w:val="Footer"/>
      <w:rPr>
        <w:rFonts w:ascii="Arial" w:hAnsi="Arial" w:cs="Arial"/>
        <w:b/>
        <w:sz w:val="48"/>
      </w:rPr>
    </w:pPr>
    <w:r w:rsidRPr="002C3A24">
      <w:rPr>
        <w:rFonts w:ascii="Arial" w:hAnsi="Arial" w:cs="Arial"/>
        <w:b/>
        <w:sz w:val="48"/>
      </w:rPr>
      <w:t>SV</w:t>
    </w:r>
    <w:r w:rsidRPr="002C3A24">
      <w:rPr>
        <w:rFonts w:ascii="Arial" w:hAnsi="Arial" w:cs="Arial"/>
        <w:b/>
        <w:sz w:val="48"/>
      </w:rPr>
      <w:tab/>
    </w:r>
    <w:r w:rsidRPr="002C3A24">
      <w:rPr>
        <w:rFonts w:ascii="Arial" w:hAnsi="Arial" w:cs="Arial"/>
        <w:b/>
        <w:sz w:val="48"/>
      </w:rPr>
      <w:tab/>
    </w:r>
    <w:r w:rsidRPr="002C3A24">
      <w:tab/>
    </w:r>
    <w:r w:rsidRPr="002C3A24">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A24" w:rsidRPr="002C3A24" w:rsidRDefault="002C3A24" w:rsidP="002C3A24">
    <w:pPr>
      <w:pStyle w:val="Footer"/>
      <w:rPr>
        <w:rFonts w:ascii="Arial" w:hAnsi="Arial" w:cs="Arial"/>
        <w:b/>
        <w:sz w:val="48"/>
      </w:rPr>
    </w:pPr>
    <w:r w:rsidRPr="002C3A24">
      <w:rPr>
        <w:rFonts w:ascii="Arial" w:hAnsi="Arial" w:cs="Arial"/>
        <w:b/>
        <w:sz w:val="48"/>
      </w:rPr>
      <w:t>SV</w:t>
    </w:r>
    <w:r w:rsidRPr="002C3A24">
      <w:rPr>
        <w:rFonts w:ascii="Arial" w:hAnsi="Arial" w:cs="Arial"/>
        <w:b/>
        <w:sz w:val="48"/>
      </w:rPr>
      <w:tab/>
    </w:r>
    <w:r w:rsidRPr="002C3A24">
      <w:rPr>
        <w:rFonts w:ascii="Arial" w:hAnsi="Arial" w:cs="Arial"/>
        <w:b/>
        <w:sz w:val="48"/>
      </w:rPr>
      <w:tab/>
    </w:r>
    <w:r w:rsidRPr="002C3A24">
      <w:tab/>
    </w:r>
    <w:r w:rsidRPr="002C3A24">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A24" w:rsidRDefault="002C3A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A24" w:rsidRPr="002C3A24" w:rsidRDefault="002C3A24" w:rsidP="002C3A24">
    <w:pPr>
      <w:pStyle w:val="Footer"/>
      <w:rPr>
        <w:rFonts w:ascii="Arial" w:hAnsi="Arial" w:cs="Arial"/>
        <w:b/>
        <w:sz w:val="48"/>
      </w:rPr>
    </w:pPr>
    <w:r w:rsidRPr="002C3A24">
      <w:rPr>
        <w:rFonts w:ascii="Arial" w:hAnsi="Arial" w:cs="Arial"/>
        <w:b/>
        <w:sz w:val="48"/>
      </w:rPr>
      <w:t>SV</w:t>
    </w:r>
    <w:r w:rsidRPr="002C3A24">
      <w:rPr>
        <w:rFonts w:ascii="Arial" w:hAnsi="Arial" w:cs="Arial"/>
        <w:b/>
        <w:sz w:val="48"/>
      </w:rPr>
      <w:tab/>
    </w:r>
    <w:r>
      <w:fldChar w:fldCharType="begin"/>
    </w:r>
    <w:r>
      <w:instrText xml:space="preserve"> PAGE  \* MERGEFORMAT </w:instrText>
    </w:r>
    <w:r>
      <w:fldChar w:fldCharType="separate"/>
    </w:r>
    <w:r w:rsidR="00810C75">
      <w:rPr>
        <w:noProof/>
      </w:rPr>
      <w:t>1</w:t>
    </w:r>
    <w:r>
      <w:fldChar w:fldCharType="end"/>
    </w:r>
    <w:r>
      <w:tab/>
    </w:r>
    <w:r w:rsidRPr="002C3A24">
      <w:tab/>
    </w:r>
    <w:r w:rsidRPr="002C3A24">
      <w:rPr>
        <w:rFonts w:ascii="Arial" w:hAnsi="Arial" w:cs="Arial"/>
        <w:b/>
        <w:sz w:val="48"/>
      </w:rPr>
      <w:t>SV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A24" w:rsidRDefault="002C3A24" w:rsidP="002C3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30A" w:rsidRDefault="0096330A">
      <w:pPr>
        <w:spacing w:before="0" w:after="0"/>
      </w:pPr>
      <w:r>
        <w:separator/>
      </w:r>
    </w:p>
  </w:footnote>
  <w:footnote w:type="continuationSeparator" w:id="0">
    <w:p w:rsidR="0096330A" w:rsidRDefault="0096330A">
      <w:pPr>
        <w:spacing w:before="0" w:after="0"/>
      </w:pPr>
      <w:r>
        <w:continuationSeparator/>
      </w:r>
    </w:p>
  </w:footnote>
  <w:footnote w:type="continuationNotice" w:id="1">
    <w:p w:rsidR="0096330A" w:rsidRDefault="0096330A">
      <w:pPr>
        <w:spacing w:before="0" w:after="0"/>
      </w:pPr>
    </w:p>
  </w:footnote>
  <w:footnote w:id="2">
    <w:p w:rsidR="002709B6" w:rsidRDefault="00DC39D2">
      <w:pPr>
        <w:pStyle w:val="FootnoteText"/>
      </w:pPr>
      <w:r>
        <w:rPr>
          <w:rStyle w:val="FootnoteReference"/>
        </w:rPr>
        <w:footnoteRef/>
      </w:r>
      <w:r>
        <w:tab/>
        <w:t>EUT L 57, 18.2.2021, s. 17</w:t>
      </w:r>
      <w:r w:rsidR="000F157D">
        <w:t>.</w:t>
      </w:r>
    </w:p>
  </w:footnote>
  <w:footnote w:id="3">
    <w:p w:rsidR="002709B6" w:rsidRDefault="00DC39D2">
      <w:pPr>
        <w:pStyle w:val="FootnoteText"/>
      </w:pPr>
      <w:r>
        <w:rPr>
          <w:rStyle w:val="FootnoteReference"/>
        </w:rPr>
        <w:footnoteRef/>
      </w:r>
      <w:r>
        <w:tab/>
        <w:t>ST 12275/22 INIT; ST 12275/22 ADD 1.</w:t>
      </w:r>
    </w:p>
  </w:footnote>
  <w:footnote w:id="4">
    <w:p w:rsidR="002709B6" w:rsidRDefault="00DC39D2">
      <w:pPr>
        <w:pStyle w:val="FootnoteText"/>
      </w:pPr>
      <w:r>
        <w:rPr>
          <w:rStyle w:val="FootnoteReference"/>
        </w:rPr>
        <w:footnoteRef/>
      </w:r>
      <w:r>
        <w:tab/>
        <w:t>ST 13789/24 INIT; ST 13789/24 ADD 1 REV 1.</w:t>
      </w:r>
    </w:p>
    <w:p w:rsidR="002709B6" w:rsidRDefault="002709B6">
      <w:pPr>
        <w:pStyle w:val="FootnoteText"/>
        <w:rPr>
          <w:lang w:val="en-IE"/>
        </w:rPr>
      </w:pPr>
    </w:p>
  </w:footnote>
  <w:footnote w:id="5">
    <w:p w:rsidR="00991FA2" w:rsidRDefault="00991FA2" w:rsidP="00991FA2">
      <w:pPr>
        <w:rPr>
          <w:rFonts w:eastAsia="Times New Roman"/>
          <w:b/>
          <w:bCs/>
          <w:i/>
          <w:iCs/>
          <w:szCs w:val="24"/>
        </w:rPr>
      </w:pPr>
      <w:r>
        <w:rPr>
          <w:rStyle w:val="FootnoteReference"/>
        </w:rPr>
        <w:footnoteRef/>
      </w:r>
      <w:r>
        <w:tab/>
      </w:r>
      <w:r>
        <w:rPr>
          <w:sz w:val="20"/>
        </w:rPr>
        <w:t>Europaparlamentets och rådets förordning (EU, Euratom) 2020/2092 av den 16 december 2020 om en generell villkorlighetsordning för skydd av unionsbudgeten (EUT L 433 I, 22.12.2020, s. 1).</w:t>
      </w:r>
    </w:p>
    <w:p w:rsidR="00991FA2" w:rsidRDefault="00991FA2" w:rsidP="00991FA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A24" w:rsidRDefault="002C3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A24" w:rsidRDefault="002C3A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30AB852"/>
    <w:lvl w:ilvl="0">
      <w:start w:val="1"/>
      <w:numFmt w:val="bullet"/>
      <w:pStyle w:val="ListBullet4"/>
      <w:lvlText w:val=""/>
      <w:lvlJc w:val="left"/>
      <w:pPr>
        <w:tabs>
          <w:tab w:val="num" w:pos="1635"/>
        </w:tabs>
        <w:ind w:left="1635" w:hanging="360"/>
      </w:pPr>
      <w:rPr>
        <w:rFonts w:ascii="Symbol" w:hAnsi="Symbol" w:hint="default"/>
      </w:rPr>
    </w:lvl>
  </w:abstractNum>
  <w:abstractNum w:abstractNumId="1" w15:restartNumberingAfterBreak="0">
    <w:nsid w:val="FFFFFF82"/>
    <w:multiLevelType w:val="singleLevel"/>
    <w:tmpl w:val="443046D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492103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38C9B0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18"/>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5-04-29 11:45:1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EPKit_DocumentHasBeenSaved" w:val="true"/>
    <w:docVar w:name="LW_CORRIGENDUM" w:val="&lt;UNUSED&gt;"/>
    <w:docVar w:name="LW_COVERPAGE_EXISTS" w:val="True"/>
    <w:docVar w:name="LW_COVERPAGE_GUID" w:val="EF26371F-7B9A-4BB2-8F96-D459957E4EF6"/>
    <w:docVar w:name="LW_COVERPAGE_TYPE" w:val="1"/>
    <w:docVar w:name="LW_CROSSREFERENCE" w:val="{SWD(2025) 111 final}"/>
    <w:docVar w:name="LW_DocType" w:val="COM"/>
    <w:docVar w:name="LW_EMISSION" w:val="16.4.2025"/>
    <w:docVar w:name="LW_EMISSION_ISODATE" w:val="2025-04-16"/>
    <w:docVar w:name="LW_EMISSION_LOCATION" w:val="BRX"/>
    <w:docVar w:name="LW_EMISSION_PREFIX" w:val="Bryssel den "/>
    <w:docVar w:name="LW_EMISSION_SUFFIX" w:val=" "/>
    <w:docVar w:name="LW_ID_DOCMODEL" w:val="SJ-020"/>
    <w:docVar w:name="LW_ID_DOCSIGNATURE" w:val="SJ-020"/>
    <w:docVar w:name="LW_ID_DOCSTRUCTURE" w:val="COM/PL/ORG"/>
    <w:docVar w:name="LW_ID_DOCTYPE" w:val="SJ-020"/>
    <w:docVar w:name="LW_ID_EXP.MOTIFS.NEW" w:val="EM_PL_"/>
    <w:docVar w:name="LW_ID_STATUT" w:val="SJ-020"/>
    <w:docVar w:name="LW_INTERETEEE.CP" w:val="&lt;UNUSED&gt;"/>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NLE"/>
    <w:docVar w:name="LW_REF.II.NEW.CP_NUMBER" w:val="0100"/>
    <w:docVar w:name="LW_REF.II.NEW.CP_YEAR" w:val="2025"/>
    <w:docVar w:name="LW_REF.INST.NEW" w:val="COM"/>
    <w:docVar w:name="LW_REF.INST.NEW_ADOPTED" w:val="final"/>
    <w:docVar w:name="LW_REF.INST.NEW_TEXT" w:val="(2025) 18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örslag till"/>
    <w:docVar w:name="LW_SUPERTITRE" w:val="&lt;UNUSED&gt;"/>
    <w:docVar w:name="LW_TITRE.OBJ.CP" w:val="om ändring av genomförandebeslut (EU) (ST 12275/22 INIT; ST 12275/22 ADD 1) av den 4 oktober 2022 om godkännande av bedömningen av Nederländernas återhämtnings- och resiliensplan"/>
    <w:docVar w:name="LW_TYPE.DOC.CP" w:val="RÅDETS GENOMFÖRANDEBESLUT"/>
    <w:docVar w:name="LwApiVersions" w:val="LW4CoDe 1.24.5.0; LW 9.0, Build 20240221"/>
  </w:docVars>
  <w:rsids>
    <w:rsidRoot w:val="002709B6"/>
    <w:rsid w:val="0000164E"/>
    <w:rsid w:val="00002FC2"/>
    <w:rsid w:val="00003279"/>
    <w:rsid w:val="00003485"/>
    <w:rsid w:val="000054C7"/>
    <w:rsid w:val="00005830"/>
    <w:rsid w:val="0000589F"/>
    <w:rsid w:val="00011F1A"/>
    <w:rsid w:val="00012FB7"/>
    <w:rsid w:val="000135DC"/>
    <w:rsid w:val="0001491A"/>
    <w:rsid w:val="00016AEC"/>
    <w:rsid w:val="0002042E"/>
    <w:rsid w:val="0002050A"/>
    <w:rsid w:val="00021347"/>
    <w:rsid w:val="00022696"/>
    <w:rsid w:val="00024908"/>
    <w:rsid w:val="00024F0D"/>
    <w:rsid w:val="000253F7"/>
    <w:rsid w:val="00025DC6"/>
    <w:rsid w:val="00026F83"/>
    <w:rsid w:val="000276FD"/>
    <w:rsid w:val="000279CC"/>
    <w:rsid w:val="000279F9"/>
    <w:rsid w:val="0003064F"/>
    <w:rsid w:val="00030EC0"/>
    <w:rsid w:val="00031196"/>
    <w:rsid w:val="00032121"/>
    <w:rsid w:val="000321DB"/>
    <w:rsid w:val="000338FC"/>
    <w:rsid w:val="00033E62"/>
    <w:rsid w:val="00034C38"/>
    <w:rsid w:val="00036619"/>
    <w:rsid w:val="00036D13"/>
    <w:rsid w:val="00037E6F"/>
    <w:rsid w:val="000409D5"/>
    <w:rsid w:val="000413AA"/>
    <w:rsid w:val="000417F6"/>
    <w:rsid w:val="00041AB0"/>
    <w:rsid w:val="00041B5F"/>
    <w:rsid w:val="000422CA"/>
    <w:rsid w:val="0004298C"/>
    <w:rsid w:val="00043FAD"/>
    <w:rsid w:val="0004465E"/>
    <w:rsid w:val="000449DA"/>
    <w:rsid w:val="00044D79"/>
    <w:rsid w:val="00044F57"/>
    <w:rsid w:val="00045216"/>
    <w:rsid w:val="000454FD"/>
    <w:rsid w:val="00045F5A"/>
    <w:rsid w:val="00046508"/>
    <w:rsid w:val="00046553"/>
    <w:rsid w:val="0004682A"/>
    <w:rsid w:val="00046BE2"/>
    <w:rsid w:val="00047FFE"/>
    <w:rsid w:val="000504D0"/>
    <w:rsid w:val="000514A5"/>
    <w:rsid w:val="00051AA3"/>
    <w:rsid w:val="00052905"/>
    <w:rsid w:val="0005364F"/>
    <w:rsid w:val="00053A47"/>
    <w:rsid w:val="000549E3"/>
    <w:rsid w:val="00054B43"/>
    <w:rsid w:val="00055033"/>
    <w:rsid w:val="0005623B"/>
    <w:rsid w:val="00057DF7"/>
    <w:rsid w:val="00061755"/>
    <w:rsid w:val="00062156"/>
    <w:rsid w:val="00062235"/>
    <w:rsid w:val="00062358"/>
    <w:rsid w:val="0006392B"/>
    <w:rsid w:val="00064153"/>
    <w:rsid w:val="00066D57"/>
    <w:rsid w:val="0007005C"/>
    <w:rsid w:val="000720BA"/>
    <w:rsid w:val="0007340F"/>
    <w:rsid w:val="00073C95"/>
    <w:rsid w:val="00073DBA"/>
    <w:rsid w:val="00077D96"/>
    <w:rsid w:val="00080C32"/>
    <w:rsid w:val="00081C72"/>
    <w:rsid w:val="00083660"/>
    <w:rsid w:val="000845C4"/>
    <w:rsid w:val="000848CD"/>
    <w:rsid w:val="00087DBC"/>
    <w:rsid w:val="0009277B"/>
    <w:rsid w:val="000935D2"/>
    <w:rsid w:val="00095D5A"/>
    <w:rsid w:val="00096364"/>
    <w:rsid w:val="00096ADB"/>
    <w:rsid w:val="000A1CBC"/>
    <w:rsid w:val="000A30CA"/>
    <w:rsid w:val="000A4227"/>
    <w:rsid w:val="000A5630"/>
    <w:rsid w:val="000B1DC3"/>
    <w:rsid w:val="000B3648"/>
    <w:rsid w:val="000B3FA4"/>
    <w:rsid w:val="000B50A6"/>
    <w:rsid w:val="000B5B75"/>
    <w:rsid w:val="000B5CDB"/>
    <w:rsid w:val="000B676A"/>
    <w:rsid w:val="000B71E1"/>
    <w:rsid w:val="000C3453"/>
    <w:rsid w:val="000C42BB"/>
    <w:rsid w:val="000C48F8"/>
    <w:rsid w:val="000C5B09"/>
    <w:rsid w:val="000C7780"/>
    <w:rsid w:val="000D0A37"/>
    <w:rsid w:val="000D1530"/>
    <w:rsid w:val="000D3412"/>
    <w:rsid w:val="000D3A31"/>
    <w:rsid w:val="000D6707"/>
    <w:rsid w:val="000D7F51"/>
    <w:rsid w:val="000E2B76"/>
    <w:rsid w:val="000E38C1"/>
    <w:rsid w:val="000E3AE1"/>
    <w:rsid w:val="000E401A"/>
    <w:rsid w:val="000E5470"/>
    <w:rsid w:val="000E5BC6"/>
    <w:rsid w:val="000E5C28"/>
    <w:rsid w:val="000E65DA"/>
    <w:rsid w:val="000E7B25"/>
    <w:rsid w:val="000F157D"/>
    <w:rsid w:val="000F35DB"/>
    <w:rsid w:val="000F3A91"/>
    <w:rsid w:val="000F4091"/>
    <w:rsid w:val="000F6615"/>
    <w:rsid w:val="001017E2"/>
    <w:rsid w:val="00102300"/>
    <w:rsid w:val="001033BE"/>
    <w:rsid w:val="001039E9"/>
    <w:rsid w:val="00103C0B"/>
    <w:rsid w:val="001044A5"/>
    <w:rsid w:val="001049B3"/>
    <w:rsid w:val="00104ABB"/>
    <w:rsid w:val="00104EE7"/>
    <w:rsid w:val="0010546E"/>
    <w:rsid w:val="00105B3C"/>
    <w:rsid w:val="00106348"/>
    <w:rsid w:val="00106ECF"/>
    <w:rsid w:val="00107346"/>
    <w:rsid w:val="00107A39"/>
    <w:rsid w:val="0011014B"/>
    <w:rsid w:val="001101E8"/>
    <w:rsid w:val="00111F8F"/>
    <w:rsid w:val="0011474F"/>
    <w:rsid w:val="0011604E"/>
    <w:rsid w:val="00121A92"/>
    <w:rsid w:val="00122156"/>
    <w:rsid w:val="0012492E"/>
    <w:rsid w:val="001252CD"/>
    <w:rsid w:val="001262ED"/>
    <w:rsid w:val="00127160"/>
    <w:rsid w:val="00127FB6"/>
    <w:rsid w:val="00130A91"/>
    <w:rsid w:val="0013139C"/>
    <w:rsid w:val="001329C6"/>
    <w:rsid w:val="0013319C"/>
    <w:rsid w:val="00133547"/>
    <w:rsid w:val="00135E61"/>
    <w:rsid w:val="00137F26"/>
    <w:rsid w:val="00141D9C"/>
    <w:rsid w:val="00142E09"/>
    <w:rsid w:val="00142E5C"/>
    <w:rsid w:val="00142F94"/>
    <w:rsid w:val="0014361F"/>
    <w:rsid w:val="001438A0"/>
    <w:rsid w:val="0014471E"/>
    <w:rsid w:val="00145C59"/>
    <w:rsid w:val="001478AC"/>
    <w:rsid w:val="001523F4"/>
    <w:rsid w:val="00153BBB"/>
    <w:rsid w:val="00154F2E"/>
    <w:rsid w:val="00155719"/>
    <w:rsid w:val="001562EE"/>
    <w:rsid w:val="00157008"/>
    <w:rsid w:val="0015785D"/>
    <w:rsid w:val="001578E1"/>
    <w:rsid w:val="001601B7"/>
    <w:rsid w:val="001642B3"/>
    <w:rsid w:val="00167581"/>
    <w:rsid w:val="00170A0B"/>
    <w:rsid w:val="00171D54"/>
    <w:rsid w:val="00171F67"/>
    <w:rsid w:val="001726DB"/>
    <w:rsid w:val="00173802"/>
    <w:rsid w:val="00176111"/>
    <w:rsid w:val="0017764C"/>
    <w:rsid w:val="001809B1"/>
    <w:rsid w:val="00181765"/>
    <w:rsid w:val="001817AF"/>
    <w:rsid w:val="00181949"/>
    <w:rsid w:val="00181C87"/>
    <w:rsid w:val="00182DD9"/>
    <w:rsid w:val="001830DE"/>
    <w:rsid w:val="001839B7"/>
    <w:rsid w:val="00184043"/>
    <w:rsid w:val="001854BA"/>
    <w:rsid w:val="00185A56"/>
    <w:rsid w:val="00186126"/>
    <w:rsid w:val="001862F2"/>
    <w:rsid w:val="00186D51"/>
    <w:rsid w:val="00187779"/>
    <w:rsid w:val="001908F1"/>
    <w:rsid w:val="00192185"/>
    <w:rsid w:val="00192D78"/>
    <w:rsid w:val="0019309F"/>
    <w:rsid w:val="00193705"/>
    <w:rsid w:val="00193B80"/>
    <w:rsid w:val="00195CCF"/>
    <w:rsid w:val="001A0586"/>
    <w:rsid w:val="001A31E0"/>
    <w:rsid w:val="001A460B"/>
    <w:rsid w:val="001A61C8"/>
    <w:rsid w:val="001B2DD0"/>
    <w:rsid w:val="001B310B"/>
    <w:rsid w:val="001B48C9"/>
    <w:rsid w:val="001BDA16"/>
    <w:rsid w:val="001C2347"/>
    <w:rsid w:val="001C3465"/>
    <w:rsid w:val="001C6EA6"/>
    <w:rsid w:val="001C71D8"/>
    <w:rsid w:val="001C77A2"/>
    <w:rsid w:val="001C7A40"/>
    <w:rsid w:val="001D0F54"/>
    <w:rsid w:val="001D1538"/>
    <w:rsid w:val="001D1B13"/>
    <w:rsid w:val="001D24E6"/>
    <w:rsid w:val="001D2565"/>
    <w:rsid w:val="001D31FB"/>
    <w:rsid w:val="001D4E1E"/>
    <w:rsid w:val="001D56FC"/>
    <w:rsid w:val="001E07B7"/>
    <w:rsid w:val="001E0AE0"/>
    <w:rsid w:val="001E1710"/>
    <w:rsid w:val="001E2330"/>
    <w:rsid w:val="001E3036"/>
    <w:rsid w:val="001E41E1"/>
    <w:rsid w:val="001E66D0"/>
    <w:rsid w:val="001E6EA0"/>
    <w:rsid w:val="001E7A3E"/>
    <w:rsid w:val="001F056E"/>
    <w:rsid w:val="001F19D5"/>
    <w:rsid w:val="001F31FF"/>
    <w:rsid w:val="001F3476"/>
    <w:rsid w:val="001F3C18"/>
    <w:rsid w:val="001F527F"/>
    <w:rsid w:val="001F5491"/>
    <w:rsid w:val="001F5C6E"/>
    <w:rsid w:val="001F6B1C"/>
    <w:rsid w:val="001F6D03"/>
    <w:rsid w:val="001F787B"/>
    <w:rsid w:val="0020097B"/>
    <w:rsid w:val="00202AC3"/>
    <w:rsid w:val="00202D83"/>
    <w:rsid w:val="002037F1"/>
    <w:rsid w:val="00204DA0"/>
    <w:rsid w:val="00204ED7"/>
    <w:rsid w:val="00205EB6"/>
    <w:rsid w:val="002125A5"/>
    <w:rsid w:val="00212F41"/>
    <w:rsid w:val="0021522A"/>
    <w:rsid w:val="00216C58"/>
    <w:rsid w:val="00220500"/>
    <w:rsid w:val="00220655"/>
    <w:rsid w:val="00221680"/>
    <w:rsid w:val="002220F8"/>
    <w:rsid w:val="00224518"/>
    <w:rsid w:val="00230DE4"/>
    <w:rsid w:val="002334D9"/>
    <w:rsid w:val="002373A0"/>
    <w:rsid w:val="0024105F"/>
    <w:rsid w:val="00241558"/>
    <w:rsid w:val="00241614"/>
    <w:rsid w:val="00241E20"/>
    <w:rsid w:val="00247E85"/>
    <w:rsid w:val="002500E1"/>
    <w:rsid w:val="002508D6"/>
    <w:rsid w:val="00250B1C"/>
    <w:rsid w:val="002513E0"/>
    <w:rsid w:val="00251ACF"/>
    <w:rsid w:val="002523EF"/>
    <w:rsid w:val="0025336B"/>
    <w:rsid w:val="0025528E"/>
    <w:rsid w:val="00256143"/>
    <w:rsid w:val="00256157"/>
    <w:rsid w:val="002577F4"/>
    <w:rsid w:val="00261B9E"/>
    <w:rsid w:val="00262921"/>
    <w:rsid w:val="002633D3"/>
    <w:rsid w:val="002633EB"/>
    <w:rsid w:val="0026565E"/>
    <w:rsid w:val="00270745"/>
    <w:rsid w:val="002709B6"/>
    <w:rsid w:val="00270EFA"/>
    <w:rsid w:val="00275929"/>
    <w:rsid w:val="002800E3"/>
    <w:rsid w:val="002805A4"/>
    <w:rsid w:val="002832C1"/>
    <w:rsid w:val="00284059"/>
    <w:rsid w:val="00284CC4"/>
    <w:rsid w:val="00285B6F"/>
    <w:rsid w:val="00285F07"/>
    <w:rsid w:val="002876AB"/>
    <w:rsid w:val="00291EC0"/>
    <w:rsid w:val="002928E6"/>
    <w:rsid w:val="00294BC2"/>
    <w:rsid w:val="0029549B"/>
    <w:rsid w:val="00295B1B"/>
    <w:rsid w:val="00295F89"/>
    <w:rsid w:val="00296B6C"/>
    <w:rsid w:val="002A0043"/>
    <w:rsid w:val="002A0959"/>
    <w:rsid w:val="002A0CD6"/>
    <w:rsid w:val="002A1750"/>
    <w:rsid w:val="002A2377"/>
    <w:rsid w:val="002A244F"/>
    <w:rsid w:val="002A4879"/>
    <w:rsid w:val="002A56C7"/>
    <w:rsid w:val="002A5A30"/>
    <w:rsid w:val="002A6991"/>
    <w:rsid w:val="002A699B"/>
    <w:rsid w:val="002B4375"/>
    <w:rsid w:val="002B4538"/>
    <w:rsid w:val="002B6813"/>
    <w:rsid w:val="002B6962"/>
    <w:rsid w:val="002C202F"/>
    <w:rsid w:val="002C3A24"/>
    <w:rsid w:val="002C3FFC"/>
    <w:rsid w:val="002C5FC8"/>
    <w:rsid w:val="002C7099"/>
    <w:rsid w:val="002C729F"/>
    <w:rsid w:val="002D0206"/>
    <w:rsid w:val="002D27E3"/>
    <w:rsid w:val="002D398F"/>
    <w:rsid w:val="002D4250"/>
    <w:rsid w:val="002D56F4"/>
    <w:rsid w:val="002E097D"/>
    <w:rsid w:val="002E0FAF"/>
    <w:rsid w:val="002E16B4"/>
    <w:rsid w:val="002E1777"/>
    <w:rsid w:val="002E2119"/>
    <w:rsid w:val="002E2B1D"/>
    <w:rsid w:val="002E31C2"/>
    <w:rsid w:val="002E3EF0"/>
    <w:rsid w:val="002F088F"/>
    <w:rsid w:val="002F157F"/>
    <w:rsid w:val="002F2611"/>
    <w:rsid w:val="002F38E9"/>
    <w:rsid w:val="002F4A38"/>
    <w:rsid w:val="002F5AAE"/>
    <w:rsid w:val="003024C3"/>
    <w:rsid w:val="003025DD"/>
    <w:rsid w:val="003060C3"/>
    <w:rsid w:val="00307E9D"/>
    <w:rsid w:val="003132BB"/>
    <w:rsid w:val="0031471F"/>
    <w:rsid w:val="00315D48"/>
    <w:rsid w:val="00315FEA"/>
    <w:rsid w:val="00316FE4"/>
    <w:rsid w:val="0032077E"/>
    <w:rsid w:val="003221F8"/>
    <w:rsid w:val="003227E7"/>
    <w:rsid w:val="00322872"/>
    <w:rsid w:val="003228BC"/>
    <w:rsid w:val="00322DE7"/>
    <w:rsid w:val="00324AE0"/>
    <w:rsid w:val="003251EA"/>
    <w:rsid w:val="00325469"/>
    <w:rsid w:val="00326843"/>
    <w:rsid w:val="00326D1D"/>
    <w:rsid w:val="00330DEB"/>
    <w:rsid w:val="0033125D"/>
    <w:rsid w:val="003315D9"/>
    <w:rsid w:val="00331BF0"/>
    <w:rsid w:val="0033221A"/>
    <w:rsid w:val="003322CE"/>
    <w:rsid w:val="00332952"/>
    <w:rsid w:val="00333787"/>
    <w:rsid w:val="00333860"/>
    <w:rsid w:val="003344BE"/>
    <w:rsid w:val="0033557C"/>
    <w:rsid w:val="00337564"/>
    <w:rsid w:val="0033795E"/>
    <w:rsid w:val="003379FC"/>
    <w:rsid w:val="00337C56"/>
    <w:rsid w:val="003404E8"/>
    <w:rsid w:val="003418CB"/>
    <w:rsid w:val="003448B1"/>
    <w:rsid w:val="0034496D"/>
    <w:rsid w:val="00345BE6"/>
    <w:rsid w:val="00347CFA"/>
    <w:rsid w:val="00350DD7"/>
    <w:rsid w:val="00352DB7"/>
    <w:rsid w:val="00354000"/>
    <w:rsid w:val="00354F77"/>
    <w:rsid w:val="00355D00"/>
    <w:rsid w:val="00357032"/>
    <w:rsid w:val="003601A7"/>
    <w:rsid w:val="00360515"/>
    <w:rsid w:val="00360AC2"/>
    <w:rsid w:val="00360AF2"/>
    <w:rsid w:val="00360D7D"/>
    <w:rsid w:val="00365941"/>
    <w:rsid w:val="0036628D"/>
    <w:rsid w:val="00366526"/>
    <w:rsid w:val="00372592"/>
    <w:rsid w:val="00372B25"/>
    <w:rsid w:val="00373077"/>
    <w:rsid w:val="00374034"/>
    <w:rsid w:val="00374531"/>
    <w:rsid w:val="00375004"/>
    <w:rsid w:val="0037651B"/>
    <w:rsid w:val="00377ABE"/>
    <w:rsid w:val="003805B0"/>
    <w:rsid w:val="003809FD"/>
    <w:rsid w:val="0038121F"/>
    <w:rsid w:val="00382010"/>
    <w:rsid w:val="00382EB0"/>
    <w:rsid w:val="00383571"/>
    <w:rsid w:val="00383E67"/>
    <w:rsid w:val="0038473E"/>
    <w:rsid w:val="00384FF9"/>
    <w:rsid w:val="00385289"/>
    <w:rsid w:val="0038765B"/>
    <w:rsid w:val="00387D61"/>
    <w:rsid w:val="00387FED"/>
    <w:rsid w:val="00390F00"/>
    <w:rsid w:val="00391DFC"/>
    <w:rsid w:val="0039274B"/>
    <w:rsid w:val="0039291F"/>
    <w:rsid w:val="0039424D"/>
    <w:rsid w:val="00396DED"/>
    <w:rsid w:val="003A0233"/>
    <w:rsid w:val="003A3C51"/>
    <w:rsid w:val="003A4C6A"/>
    <w:rsid w:val="003A75E7"/>
    <w:rsid w:val="003A7739"/>
    <w:rsid w:val="003B2208"/>
    <w:rsid w:val="003B4AFA"/>
    <w:rsid w:val="003B578F"/>
    <w:rsid w:val="003B579A"/>
    <w:rsid w:val="003B6767"/>
    <w:rsid w:val="003B6803"/>
    <w:rsid w:val="003B6ADB"/>
    <w:rsid w:val="003B7FD4"/>
    <w:rsid w:val="003C0167"/>
    <w:rsid w:val="003C21F8"/>
    <w:rsid w:val="003C2A67"/>
    <w:rsid w:val="003C5CBB"/>
    <w:rsid w:val="003C5F0C"/>
    <w:rsid w:val="003D12E1"/>
    <w:rsid w:val="003D674F"/>
    <w:rsid w:val="003D6B72"/>
    <w:rsid w:val="003D6F64"/>
    <w:rsid w:val="003E2AAA"/>
    <w:rsid w:val="003E4450"/>
    <w:rsid w:val="003E4F4F"/>
    <w:rsid w:val="003F0FC4"/>
    <w:rsid w:val="003F1022"/>
    <w:rsid w:val="003F128C"/>
    <w:rsid w:val="003F2020"/>
    <w:rsid w:val="003F38B1"/>
    <w:rsid w:val="003F4269"/>
    <w:rsid w:val="003F4666"/>
    <w:rsid w:val="003F4FBA"/>
    <w:rsid w:val="003F673D"/>
    <w:rsid w:val="003F74B9"/>
    <w:rsid w:val="003F7519"/>
    <w:rsid w:val="003F7DB0"/>
    <w:rsid w:val="00400F45"/>
    <w:rsid w:val="00403D26"/>
    <w:rsid w:val="00404BD4"/>
    <w:rsid w:val="00406FC4"/>
    <w:rsid w:val="00412998"/>
    <w:rsid w:val="00413DD4"/>
    <w:rsid w:val="00414686"/>
    <w:rsid w:val="00414AE0"/>
    <w:rsid w:val="00415726"/>
    <w:rsid w:val="00416822"/>
    <w:rsid w:val="00416839"/>
    <w:rsid w:val="00420B58"/>
    <w:rsid w:val="00420BE7"/>
    <w:rsid w:val="004225EA"/>
    <w:rsid w:val="00422B4F"/>
    <w:rsid w:val="00423FE0"/>
    <w:rsid w:val="00424D77"/>
    <w:rsid w:val="0042577F"/>
    <w:rsid w:val="00425B2F"/>
    <w:rsid w:val="00425BAB"/>
    <w:rsid w:val="004265E4"/>
    <w:rsid w:val="00427EB0"/>
    <w:rsid w:val="0043028F"/>
    <w:rsid w:val="00430ACA"/>
    <w:rsid w:val="00431B78"/>
    <w:rsid w:val="00432A07"/>
    <w:rsid w:val="00432ED4"/>
    <w:rsid w:val="00433B08"/>
    <w:rsid w:val="00433C9B"/>
    <w:rsid w:val="00440739"/>
    <w:rsid w:val="00440DB2"/>
    <w:rsid w:val="0044154A"/>
    <w:rsid w:val="00442398"/>
    <w:rsid w:val="00442848"/>
    <w:rsid w:val="0044299A"/>
    <w:rsid w:val="00442E96"/>
    <w:rsid w:val="004432F8"/>
    <w:rsid w:val="00444CBB"/>
    <w:rsid w:val="00445271"/>
    <w:rsid w:val="00447A07"/>
    <w:rsid w:val="004509EA"/>
    <w:rsid w:val="00456F15"/>
    <w:rsid w:val="004603DB"/>
    <w:rsid w:val="00463AAD"/>
    <w:rsid w:val="00463B31"/>
    <w:rsid w:val="00464ABB"/>
    <w:rsid w:val="00464D61"/>
    <w:rsid w:val="0046716E"/>
    <w:rsid w:val="004706A6"/>
    <w:rsid w:val="00470F78"/>
    <w:rsid w:val="00471A41"/>
    <w:rsid w:val="00471CE9"/>
    <w:rsid w:val="00472359"/>
    <w:rsid w:val="00472B35"/>
    <w:rsid w:val="00472FAD"/>
    <w:rsid w:val="00473C1E"/>
    <w:rsid w:val="00473FE7"/>
    <w:rsid w:val="00474FC7"/>
    <w:rsid w:val="004756B3"/>
    <w:rsid w:val="004771CB"/>
    <w:rsid w:val="0048023D"/>
    <w:rsid w:val="00481211"/>
    <w:rsid w:val="00483545"/>
    <w:rsid w:val="00483C26"/>
    <w:rsid w:val="00483C4E"/>
    <w:rsid w:val="004900A4"/>
    <w:rsid w:val="00494287"/>
    <w:rsid w:val="00495DC2"/>
    <w:rsid w:val="0049719C"/>
    <w:rsid w:val="00497A38"/>
    <w:rsid w:val="004A1A9D"/>
    <w:rsid w:val="004A2718"/>
    <w:rsid w:val="004A654E"/>
    <w:rsid w:val="004A7C72"/>
    <w:rsid w:val="004A7C82"/>
    <w:rsid w:val="004B13A1"/>
    <w:rsid w:val="004B1FBF"/>
    <w:rsid w:val="004B2EE3"/>
    <w:rsid w:val="004B4DC9"/>
    <w:rsid w:val="004B5924"/>
    <w:rsid w:val="004B6016"/>
    <w:rsid w:val="004B73EC"/>
    <w:rsid w:val="004B7E77"/>
    <w:rsid w:val="004B7EE5"/>
    <w:rsid w:val="004C04D1"/>
    <w:rsid w:val="004C068E"/>
    <w:rsid w:val="004C080E"/>
    <w:rsid w:val="004C09A8"/>
    <w:rsid w:val="004C0E69"/>
    <w:rsid w:val="004C1A1F"/>
    <w:rsid w:val="004C1A88"/>
    <w:rsid w:val="004C2D97"/>
    <w:rsid w:val="004C4844"/>
    <w:rsid w:val="004C4F85"/>
    <w:rsid w:val="004C5103"/>
    <w:rsid w:val="004C7558"/>
    <w:rsid w:val="004D070F"/>
    <w:rsid w:val="004D0E46"/>
    <w:rsid w:val="004D130C"/>
    <w:rsid w:val="004D1559"/>
    <w:rsid w:val="004D1A30"/>
    <w:rsid w:val="004D35E9"/>
    <w:rsid w:val="004D4997"/>
    <w:rsid w:val="004D6A5C"/>
    <w:rsid w:val="004E2049"/>
    <w:rsid w:val="004E24E2"/>
    <w:rsid w:val="004E3C15"/>
    <w:rsid w:val="004E3FB3"/>
    <w:rsid w:val="004E66EE"/>
    <w:rsid w:val="004E6709"/>
    <w:rsid w:val="004E7917"/>
    <w:rsid w:val="004F1107"/>
    <w:rsid w:val="004F403E"/>
    <w:rsid w:val="004F543D"/>
    <w:rsid w:val="004F657D"/>
    <w:rsid w:val="004F7F64"/>
    <w:rsid w:val="00502A4D"/>
    <w:rsid w:val="00504500"/>
    <w:rsid w:val="005045B9"/>
    <w:rsid w:val="00505014"/>
    <w:rsid w:val="00505563"/>
    <w:rsid w:val="005139C8"/>
    <w:rsid w:val="00514313"/>
    <w:rsid w:val="00514F00"/>
    <w:rsid w:val="00515939"/>
    <w:rsid w:val="00515F36"/>
    <w:rsid w:val="00516438"/>
    <w:rsid w:val="0051732E"/>
    <w:rsid w:val="0051794B"/>
    <w:rsid w:val="00517EA1"/>
    <w:rsid w:val="00522390"/>
    <w:rsid w:val="00522AA1"/>
    <w:rsid w:val="00526356"/>
    <w:rsid w:val="00526E0E"/>
    <w:rsid w:val="0052771C"/>
    <w:rsid w:val="00532DCC"/>
    <w:rsid w:val="00534032"/>
    <w:rsid w:val="00534220"/>
    <w:rsid w:val="00534D21"/>
    <w:rsid w:val="00534FB9"/>
    <w:rsid w:val="0053590A"/>
    <w:rsid w:val="00537887"/>
    <w:rsid w:val="00541ABF"/>
    <w:rsid w:val="00541F01"/>
    <w:rsid w:val="00542663"/>
    <w:rsid w:val="005432A7"/>
    <w:rsid w:val="00543703"/>
    <w:rsid w:val="00543C64"/>
    <w:rsid w:val="00543CA9"/>
    <w:rsid w:val="00544287"/>
    <w:rsid w:val="00546D87"/>
    <w:rsid w:val="00547B94"/>
    <w:rsid w:val="00551173"/>
    <w:rsid w:val="0055155B"/>
    <w:rsid w:val="00552058"/>
    <w:rsid w:val="005522C9"/>
    <w:rsid w:val="00552EAC"/>
    <w:rsid w:val="00554115"/>
    <w:rsid w:val="00554567"/>
    <w:rsid w:val="00555309"/>
    <w:rsid w:val="00555354"/>
    <w:rsid w:val="00555BCC"/>
    <w:rsid w:val="00556A8F"/>
    <w:rsid w:val="005624CF"/>
    <w:rsid w:val="005631DE"/>
    <w:rsid w:val="0056447A"/>
    <w:rsid w:val="00565EE8"/>
    <w:rsid w:val="005671FA"/>
    <w:rsid w:val="00570B43"/>
    <w:rsid w:val="00571BE7"/>
    <w:rsid w:val="00571D80"/>
    <w:rsid w:val="00572506"/>
    <w:rsid w:val="00572548"/>
    <w:rsid w:val="00572E03"/>
    <w:rsid w:val="00574040"/>
    <w:rsid w:val="00574ABE"/>
    <w:rsid w:val="005755CD"/>
    <w:rsid w:val="005761BE"/>
    <w:rsid w:val="00576665"/>
    <w:rsid w:val="005775A4"/>
    <w:rsid w:val="00577711"/>
    <w:rsid w:val="0058101B"/>
    <w:rsid w:val="00581130"/>
    <w:rsid w:val="00582440"/>
    <w:rsid w:val="00582709"/>
    <w:rsid w:val="00583B71"/>
    <w:rsid w:val="00584312"/>
    <w:rsid w:val="00584A90"/>
    <w:rsid w:val="00584C80"/>
    <w:rsid w:val="005863C3"/>
    <w:rsid w:val="00586862"/>
    <w:rsid w:val="00586AD7"/>
    <w:rsid w:val="00586F25"/>
    <w:rsid w:val="00587370"/>
    <w:rsid w:val="0058757D"/>
    <w:rsid w:val="005909E7"/>
    <w:rsid w:val="00591BDA"/>
    <w:rsid w:val="005921CE"/>
    <w:rsid w:val="00592825"/>
    <w:rsid w:val="00593985"/>
    <w:rsid w:val="00593E8D"/>
    <w:rsid w:val="005A0FC9"/>
    <w:rsid w:val="005A14DC"/>
    <w:rsid w:val="005A1842"/>
    <w:rsid w:val="005A29EB"/>
    <w:rsid w:val="005A542A"/>
    <w:rsid w:val="005A5739"/>
    <w:rsid w:val="005A5F3D"/>
    <w:rsid w:val="005A6C37"/>
    <w:rsid w:val="005B0323"/>
    <w:rsid w:val="005B0BD0"/>
    <w:rsid w:val="005B25E1"/>
    <w:rsid w:val="005C14E0"/>
    <w:rsid w:val="005C25F9"/>
    <w:rsid w:val="005C316A"/>
    <w:rsid w:val="005C491F"/>
    <w:rsid w:val="005C5AA3"/>
    <w:rsid w:val="005C64F6"/>
    <w:rsid w:val="005C750F"/>
    <w:rsid w:val="005D000F"/>
    <w:rsid w:val="005D0A4E"/>
    <w:rsid w:val="005D22E4"/>
    <w:rsid w:val="005D2D4E"/>
    <w:rsid w:val="005D3F6F"/>
    <w:rsid w:val="005D41F7"/>
    <w:rsid w:val="005D464A"/>
    <w:rsid w:val="005D4C2B"/>
    <w:rsid w:val="005D6A75"/>
    <w:rsid w:val="005D6D28"/>
    <w:rsid w:val="005D73A7"/>
    <w:rsid w:val="005D7908"/>
    <w:rsid w:val="005E108F"/>
    <w:rsid w:val="005E1239"/>
    <w:rsid w:val="005E1688"/>
    <w:rsid w:val="005E283F"/>
    <w:rsid w:val="005E300F"/>
    <w:rsid w:val="005E34D6"/>
    <w:rsid w:val="005E43DD"/>
    <w:rsid w:val="005E73CE"/>
    <w:rsid w:val="005F010A"/>
    <w:rsid w:val="005F0225"/>
    <w:rsid w:val="005F201A"/>
    <w:rsid w:val="005F33ED"/>
    <w:rsid w:val="005F43D6"/>
    <w:rsid w:val="005F62CC"/>
    <w:rsid w:val="005F6436"/>
    <w:rsid w:val="005F6D93"/>
    <w:rsid w:val="005F73B4"/>
    <w:rsid w:val="005F7599"/>
    <w:rsid w:val="005F7924"/>
    <w:rsid w:val="005F7E08"/>
    <w:rsid w:val="00600F56"/>
    <w:rsid w:val="0060156C"/>
    <w:rsid w:val="00606101"/>
    <w:rsid w:val="006111C4"/>
    <w:rsid w:val="006121B5"/>
    <w:rsid w:val="006150CE"/>
    <w:rsid w:val="006160DB"/>
    <w:rsid w:val="00616A11"/>
    <w:rsid w:val="00621539"/>
    <w:rsid w:val="006235BE"/>
    <w:rsid w:val="006238A4"/>
    <w:rsid w:val="00623ACA"/>
    <w:rsid w:val="00625D1C"/>
    <w:rsid w:val="00626564"/>
    <w:rsid w:val="00627085"/>
    <w:rsid w:val="006276FC"/>
    <w:rsid w:val="006278B7"/>
    <w:rsid w:val="00627A70"/>
    <w:rsid w:val="00630318"/>
    <w:rsid w:val="0063071B"/>
    <w:rsid w:val="0063091F"/>
    <w:rsid w:val="00630E10"/>
    <w:rsid w:val="00632E82"/>
    <w:rsid w:val="006355C1"/>
    <w:rsid w:val="00640631"/>
    <w:rsid w:val="00642722"/>
    <w:rsid w:val="00642746"/>
    <w:rsid w:val="00642AEE"/>
    <w:rsid w:val="006451D1"/>
    <w:rsid w:val="00647B67"/>
    <w:rsid w:val="00651268"/>
    <w:rsid w:val="006517C4"/>
    <w:rsid w:val="00651F9C"/>
    <w:rsid w:val="006561F2"/>
    <w:rsid w:val="0065757C"/>
    <w:rsid w:val="00662150"/>
    <w:rsid w:val="00663246"/>
    <w:rsid w:val="00665D6C"/>
    <w:rsid w:val="0066615F"/>
    <w:rsid w:val="006701DA"/>
    <w:rsid w:val="0067023C"/>
    <w:rsid w:val="00671257"/>
    <w:rsid w:val="00672556"/>
    <w:rsid w:val="00672AA6"/>
    <w:rsid w:val="0067650B"/>
    <w:rsid w:val="00676AB7"/>
    <w:rsid w:val="00677430"/>
    <w:rsid w:val="0068093A"/>
    <w:rsid w:val="006821D7"/>
    <w:rsid w:val="00682A39"/>
    <w:rsid w:val="00684E40"/>
    <w:rsid w:val="00686347"/>
    <w:rsid w:val="00686B4E"/>
    <w:rsid w:val="00686F74"/>
    <w:rsid w:val="00687A4E"/>
    <w:rsid w:val="006908B0"/>
    <w:rsid w:val="00690CC4"/>
    <w:rsid w:val="00690D20"/>
    <w:rsid w:val="006911DC"/>
    <w:rsid w:val="006915DF"/>
    <w:rsid w:val="0069202E"/>
    <w:rsid w:val="0069220C"/>
    <w:rsid w:val="006928E0"/>
    <w:rsid w:val="00693A4A"/>
    <w:rsid w:val="00693DF2"/>
    <w:rsid w:val="00694843"/>
    <w:rsid w:val="006956BB"/>
    <w:rsid w:val="00695E35"/>
    <w:rsid w:val="00696C4F"/>
    <w:rsid w:val="006A0AD9"/>
    <w:rsid w:val="006A0B16"/>
    <w:rsid w:val="006A0C56"/>
    <w:rsid w:val="006A18F1"/>
    <w:rsid w:val="006A2162"/>
    <w:rsid w:val="006A2289"/>
    <w:rsid w:val="006A4880"/>
    <w:rsid w:val="006A6131"/>
    <w:rsid w:val="006A6AA8"/>
    <w:rsid w:val="006B0D8A"/>
    <w:rsid w:val="006B1338"/>
    <w:rsid w:val="006B472B"/>
    <w:rsid w:val="006B555E"/>
    <w:rsid w:val="006B5A8E"/>
    <w:rsid w:val="006B6B08"/>
    <w:rsid w:val="006C04A9"/>
    <w:rsid w:val="006C14A8"/>
    <w:rsid w:val="006C299D"/>
    <w:rsid w:val="006C2D2E"/>
    <w:rsid w:val="006C31F1"/>
    <w:rsid w:val="006C3909"/>
    <w:rsid w:val="006C3CB6"/>
    <w:rsid w:val="006C4A7D"/>
    <w:rsid w:val="006C503C"/>
    <w:rsid w:val="006C5BFC"/>
    <w:rsid w:val="006C6F67"/>
    <w:rsid w:val="006D004B"/>
    <w:rsid w:val="006D08DA"/>
    <w:rsid w:val="006D12B0"/>
    <w:rsid w:val="006D15FF"/>
    <w:rsid w:val="006D2B84"/>
    <w:rsid w:val="006D3E5A"/>
    <w:rsid w:val="006D4B9E"/>
    <w:rsid w:val="006D684E"/>
    <w:rsid w:val="006D6AB7"/>
    <w:rsid w:val="006D73F7"/>
    <w:rsid w:val="006D7F04"/>
    <w:rsid w:val="006D7F9B"/>
    <w:rsid w:val="006E03A8"/>
    <w:rsid w:val="006E092B"/>
    <w:rsid w:val="006E0F3A"/>
    <w:rsid w:val="006E3A1A"/>
    <w:rsid w:val="006E58CC"/>
    <w:rsid w:val="006F1782"/>
    <w:rsid w:val="006F18B8"/>
    <w:rsid w:val="006F2A99"/>
    <w:rsid w:val="006F3E06"/>
    <w:rsid w:val="006F410C"/>
    <w:rsid w:val="006F6CF7"/>
    <w:rsid w:val="006F7408"/>
    <w:rsid w:val="006F7AC6"/>
    <w:rsid w:val="00701871"/>
    <w:rsid w:val="00701A87"/>
    <w:rsid w:val="00702A2A"/>
    <w:rsid w:val="007044DA"/>
    <w:rsid w:val="00704951"/>
    <w:rsid w:val="00706772"/>
    <w:rsid w:val="00706F78"/>
    <w:rsid w:val="0071024C"/>
    <w:rsid w:val="00711DBE"/>
    <w:rsid w:val="0071570C"/>
    <w:rsid w:val="007171B7"/>
    <w:rsid w:val="00717F1E"/>
    <w:rsid w:val="007203C6"/>
    <w:rsid w:val="0072065C"/>
    <w:rsid w:val="00721A72"/>
    <w:rsid w:val="0072308C"/>
    <w:rsid w:val="007259DD"/>
    <w:rsid w:val="00726958"/>
    <w:rsid w:val="00730558"/>
    <w:rsid w:val="00731819"/>
    <w:rsid w:val="00731839"/>
    <w:rsid w:val="0073199C"/>
    <w:rsid w:val="00732EA2"/>
    <w:rsid w:val="00733248"/>
    <w:rsid w:val="00733E97"/>
    <w:rsid w:val="00734A25"/>
    <w:rsid w:val="00734CFB"/>
    <w:rsid w:val="0073603E"/>
    <w:rsid w:val="00736CCA"/>
    <w:rsid w:val="00737AA1"/>
    <w:rsid w:val="00740507"/>
    <w:rsid w:val="007422AB"/>
    <w:rsid w:val="00743872"/>
    <w:rsid w:val="007438FB"/>
    <w:rsid w:val="00743905"/>
    <w:rsid w:val="00743E6B"/>
    <w:rsid w:val="00744F5A"/>
    <w:rsid w:val="00744FE8"/>
    <w:rsid w:val="0074521F"/>
    <w:rsid w:val="007462D4"/>
    <w:rsid w:val="00746733"/>
    <w:rsid w:val="007470D4"/>
    <w:rsid w:val="0074754C"/>
    <w:rsid w:val="007477C4"/>
    <w:rsid w:val="00747BB2"/>
    <w:rsid w:val="007516C7"/>
    <w:rsid w:val="00751745"/>
    <w:rsid w:val="00751FBD"/>
    <w:rsid w:val="007533F4"/>
    <w:rsid w:val="00753445"/>
    <w:rsid w:val="00755E7D"/>
    <w:rsid w:val="00756D9C"/>
    <w:rsid w:val="007574C2"/>
    <w:rsid w:val="00760C69"/>
    <w:rsid w:val="00761F78"/>
    <w:rsid w:val="007625D5"/>
    <w:rsid w:val="00762AF3"/>
    <w:rsid w:val="00762D1E"/>
    <w:rsid w:val="00764E8A"/>
    <w:rsid w:val="007665B6"/>
    <w:rsid w:val="00770D8E"/>
    <w:rsid w:val="00774040"/>
    <w:rsid w:val="007751C2"/>
    <w:rsid w:val="00775E03"/>
    <w:rsid w:val="00777057"/>
    <w:rsid w:val="0077735F"/>
    <w:rsid w:val="00777452"/>
    <w:rsid w:val="007778F3"/>
    <w:rsid w:val="00777F77"/>
    <w:rsid w:val="00780548"/>
    <w:rsid w:val="007825DE"/>
    <w:rsid w:val="00783404"/>
    <w:rsid w:val="0078362C"/>
    <w:rsid w:val="00786525"/>
    <w:rsid w:val="007873AC"/>
    <w:rsid w:val="00790710"/>
    <w:rsid w:val="00792259"/>
    <w:rsid w:val="007A0640"/>
    <w:rsid w:val="007A12B4"/>
    <w:rsid w:val="007A194A"/>
    <w:rsid w:val="007A2D46"/>
    <w:rsid w:val="007A6667"/>
    <w:rsid w:val="007B0802"/>
    <w:rsid w:val="007B0AC7"/>
    <w:rsid w:val="007B15DE"/>
    <w:rsid w:val="007B18FD"/>
    <w:rsid w:val="007B2749"/>
    <w:rsid w:val="007B2853"/>
    <w:rsid w:val="007B2A5A"/>
    <w:rsid w:val="007B3683"/>
    <w:rsid w:val="007B4CA3"/>
    <w:rsid w:val="007B5CAD"/>
    <w:rsid w:val="007B689C"/>
    <w:rsid w:val="007B6D12"/>
    <w:rsid w:val="007B72E0"/>
    <w:rsid w:val="007B7996"/>
    <w:rsid w:val="007C10CE"/>
    <w:rsid w:val="007C1165"/>
    <w:rsid w:val="007C26AE"/>
    <w:rsid w:val="007C3657"/>
    <w:rsid w:val="007C5520"/>
    <w:rsid w:val="007C667C"/>
    <w:rsid w:val="007C76E3"/>
    <w:rsid w:val="007C7D40"/>
    <w:rsid w:val="007D0010"/>
    <w:rsid w:val="007D3161"/>
    <w:rsid w:val="007D4289"/>
    <w:rsid w:val="007D5291"/>
    <w:rsid w:val="007D613D"/>
    <w:rsid w:val="007E11D9"/>
    <w:rsid w:val="007E1221"/>
    <w:rsid w:val="007E1B38"/>
    <w:rsid w:val="007E352B"/>
    <w:rsid w:val="007E4ED0"/>
    <w:rsid w:val="007E58DC"/>
    <w:rsid w:val="007E65D2"/>
    <w:rsid w:val="007F0AA8"/>
    <w:rsid w:val="007F0F3E"/>
    <w:rsid w:val="007F1A4B"/>
    <w:rsid w:val="007F38A6"/>
    <w:rsid w:val="007F411F"/>
    <w:rsid w:val="007F4621"/>
    <w:rsid w:val="007F78E9"/>
    <w:rsid w:val="00801CFA"/>
    <w:rsid w:val="00801FCC"/>
    <w:rsid w:val="0080215F"/>
    <w:rsid w:val="008032E4"/>
    <w:rsid w:val="008033FD"/>
    <w:rsid w:val="0080417E"/>
    <w:rsid w:val="00804FBF"/>
    <w:rsid w:val="00805668"/>
    <w:rsid w:val="00806375"/>
    <w:rsid w:val="0080760B"/>
    <w:rsid w:val="008102E7"/>
    <w:rsid w:val="00810C75"/>
    <w:rsid w:val="0081285D"/>
    <w:rsid w:val="00813D3F"/>
    <w:rsid w:val="00814544"/>
    <w:rsid w:val="00817451"/>
    <w:rsid w:val="008175E7"/>
    <w:rsid w:val="00820158"/>
    <w:rsid w:val="00821174"/>
    <w:rsid w:val="008220D0"/>
    <w:rsid w:val="00822521"/>
    <w:rsid w:val="00823073"/>
    <w:rsid w:val="00823CCE"/>
    <w:rsid w:val="00830BCD"/>
    <w:rsid w:val="00831E95"/>
    <w:rsid w:val="00833423"/>
    <w:rsid w:val="008338BF"/>
    <w:rsid w:val="008371A2"/>
    <w:rsid w:val="00840546"/>
    <w:rsid w:val="00840EE5"/>
    <w:rsid w:val="00842C80"/>
    <w:rsid w:val="008439EB"/>
    <w:rsid w:val="00843C97"/>
    <w:rsid w:val="00844633"/>
    <w:rsid w:val="00845D87"/>
    <w:rsid w:val="00846A99"/>
    <w:rsid w:val="00852345"/>
    <w:rsid w:val="008531C2"/>
    <w:rsid w:val="00854D7B"/>
    <w:rsid w:val="008568AE"/>
    <w:rsid w:val="008577F4"/>
    <w:rsid w:val="00860DBB"/>
    <w:rsid w:val="00862EAD"/>
    <w:rsid w:val="008647B6"/>
    <w:rsid w:val="00865426"/>
    <w:rsid w:val="0086661F"/>
    <w:rsid w:val="00867B28"/>
    <w:rsid w:val="00867C0D"/>
    <w:rsid w:val="008700D1"/>
    <w:rsid w:val="00871EDA"/>
    <w:rsid w:val="008723D6"/>
    <w:rsid w:val="008733C6"/>
    <w:rsid w:val="00873515"/>
    <w:rsid w:val="00873928"/>
    <w:rsid w:val="00873DA2"/>
    <w:rsid w:val="008741A9"/>
    <w:rsid w:val="008750F0"/>
    <w:rsid w:val="00877900"/>
    <w:rsid w:val="00881495"/>
    <w:rsid w:val="00881FEB"/>
    <w:rsid w:val="008822AC"/>
    <w:rsid w:val="008830C2"/>
    <w:rsid w:val="00884F8E"/>
    <w:rsid w:val="0088681B"/>
    <w:rsid w:val="00886EC6"/>
    <w:rsid w:val="00887A0C"/>
    <w:rsid w:val="00891AAF"/>
    <w:rsid w:val="00891D29"/>
    <w:rsid w:val="00891F66"/>
    <w:rsid w:val="00893D54"/>
    <w:rsid w:val="0089517B"/>
    <w:rsid w:val="008A0719"/>
    <w:rsid w:val="008A20E6"/>
    <w:rsid w:val="008A2CA3"/>
    <w:rsid w:val="008A2F14"/>
    <w:rsid w:val="008A3624"/>
    <w:rsid w:val="008A3766"/>
    <w:rsid w:val="008A5BB7"/>
    <w:rsid w:val="008A6C75"/>
    <w:rsid w:val="008B1D51"/>
    <w:rsid w:val="008B2BF8"/>
    <w:rsid w:val="008B4C37"/>
    <w:rsid w:val="008B6A00"/>
    <w:rsid w:val="008B7BEA"/>
    <w:rsid w:val="008C10E0"/>
    <w:rsid w:val="008C1387"/>
    <w:rsid w:val="008C1680"/>
    <w:rsid w:val="008C21F6"/>
    <w:rsid w:val="008C22CE"/>
    <w:rsid w:val="008C26C7"/>
    <w:rsid w:val="008C2A14"/>
    <w:rsid w:val="008C2A34"/>
    <w:rsid w:val="008C34C9"/>
    <w:rsid w:val="008C3883"/>
    <w:rsid w:val="008C5A4B"/>
    <w:rsid w:val="008C62DA"/>
    <w:rsid w:val="008C6982"/>
    <w:rsid w:val="008C7025"/>
    <w:rsid w:val="008C7993"/>
    <w:rsid w:val="008D19C8"/>
    <w:rsid w:val="008D26B0"/>
    <w:rsid w:val="008D3069"/>
    <w:rsid w:val="008D4C52"/>
    <w:rsid w:val="008D4CE5"/>
    <w:rsid w:val="008D52DD"/>
    <w:rsid w:val="008D7285"/>
    <w:rsid w:val="008E010C"/>
    <w:rsid w:val="008E1528"/>
    <w:rsid w:val="008E2756"/>
    <w:rsid w:val="008E2A8C"/>
    <w:rsid w:val="008E301C"/>
    <w:rsid w:val="008E469B"/>
    <w:rsid w:val="008E46C7"/>
    <w:rsid w:val="008E4D76"/>
    <w:rsid w:val="008F56D0"/>
    <w:rsid w:val="008F78D6"/>
    <w:rsid w:val="009023E7"/>
    <w:rsid w:val="0090363D"/>
    <w:rsid w:val="0090684D"/>
    <w:rsid w:val="009069FF"/>
    <w:rsid w:val="00906DA2"/>
    <w:rsid w:val="00907346"/>
    <w:rsid w:val="00907E48"/>
    <w:rsid w:val="009106FA"/>
    <w:rsid w:val="0091377B"/>
    <w:rsid w:val="00913DA3"/>
    <w:rsid w:val="00914537"/>
    <w:rsid w:val="00915D02"/>
    <w:rsid w:val="009170D2"/>
    <w:rsid w:val="009177EC"/>
    <w:rsid w:val="00917BAE"/>
    <w:rsid w:val="00920867"/>
    <w:rsid w:val="00920A03"/>
    <w:rsid w:val="00921039"/>
    <w:rsid w:val="00922ABA"/>
    <w:rsid w:val="00922AD9"/>
    <w:rsid w:val="00923383"/>
    <w:rsid w:val="009244C4"/>
    <w:rsid w:val="009249DC"/>
    <w:rsid w:val="009260E8"/>
    <w:rsid w:val="0092670C"/>
    <w:rsid w:val="00926D3D"/>
    <w:rsid w:val="00927008"/>
    <w:rsid w:val="00932E5F"/>
    <w:rsid w:val="009339DF"/>
    <w:rsid w:val="00935C77"/>
    <w:rsid w:val="00936862"/>
    <w:rsid w:val="00936AB8"/>
    <w:rsid w:val="00936B22"/>
    <w:rsid w:val="00936FB2"/>
    <w:rsid w:val="00937269"/>
    <w:rsid w:val="009373BD"/>
    <w:rsid w:val="00940BDA"/>
    <w:rsid w:val="00941135"/>
    <w:rsid w:val="00943ADE"/>
    <w:rsid w:val="00943CDE"/>
    <w:rsid w:val="00944D92"/>
    <w:rsid w:val="009456CD"/>
    <w:rsid w:val="00946A41"/>
    <w:rsid w:val="00946BBD"/>
    <w:rsid w:val="00947C7C"/>
    <w:rsid w:val="00951515"/>
    <w:rsid w:val="009601A2"/>
    <w:rsid w:val="009608CC"/>
    <w:rsid w:val="009622A4"/>
    <w:rsid w:val="009624AE"/>
    <w:rsid w:val="009630A1"/>
    <w:rsid w:val="0096329F"/>
    <w:rsid w:val="0096330A"/>
    <w:rsid w:val="00965622"/>
    <w:rsid w:val="009671BB"/>
    <w:rsid w:val="00967614"/>
    <w:rsid w:val="00967D07"/>
    <w:rsid w:val="00970962"/>
    <w:rsid w:val="00972E5E"/>
    <w:rsid w:val="00973930"/>
    <w:rsid w:val="00975191"/>
    <w:rsid w:val="00975867"/>
    <w:rsid w:val="009774E5"/>
    <w:rsid w:val="00977809"/>
    <w:rsid w:val="00977B69"/>
    <w:rsid w:val="009811A7"/>
    <w:rsid w:val="0098336D"/>
    <w:rsid w:val="009842CA"/>
    <w:rsid w:val="0098660B"/>
    <w:rsid w:val="00990AFD"/>
    <w:rsid w:val="00991FA2"/>
    <w:rsid w:val="0099226F"/>
    <w:rsid w:val="00993C2A"/>
    <w:rsid w:val="009950D7"/>
    <w:rsid w:val="00996323"/>
    <w:rsid w:val="009967BD"/>
    <w:rsid w:val="009A08D2"/>
    <w:rsid w:val="009A3309"/>
    <w:rsid w:val="009A4047"/>
    <w:rsid w:val="009A44B1"/>
    <w:rsid w:val="009A4BB5"/>
    <w:rsid w:val="009A7263"/>
    <w:rsid w:val="009A76DE"/>
    <w:rsid w:val="009A7A70"/>
    <w:rsid w:val="009B130D"/>
    <w:rsid w:val="009B3552"/>
    <w:rsid w:val="009B3FBD"/>
    <w:rsid w:val="009B4183"/>
    <w:rsid w:val="009B591B"/>
    <w:rsid w:val="009B5D36"/>
    <w:rsid w:val="009B6229"/>
    <w:rsid w:val="009B73F1"/>
    <w:rsid w:val="009C085D"/>
    <w:rsid w:val="009C1CAB"/>
    <w:rsid w:val="009C4283"/>
    <w:rsid w:val="009D19B3"/>
    <w:rsid w:val="009D1E60"/>
    <w:rsid w:val="009D2701"/>
    <w:rsid w:val="009D485B"/>
    <w:rsid w:val="009D4C2B"/>
    <w:rsid w:val="009D6229"/>
    <w:rsid w:val="009D6DE9"/>
    <w:rsid w:val="009E0961"/>
    <w:rsid w:val="009E2A23"/>
    <w:rsid w:val="009E5DBC"/>
    <w:rsid w:val="009E6181"/>
    <w:rsid w:val="009E7158"/>
    <w:rsid w:val="009F039E"/>
    <w:rsid w:val="009F2103"/>
    <w:rsid w:val="009F2904"/>
    <w:rsid w:val="009F2C3D"/>
    <w:rsid w:val="009F36D9"/>
    <w:rsid w:val="009F50D2"/>
    <w:rsid w:val="009F5145"/>
    <w:rsid w:val="009F52E9"/>
    <w:rsid w:val="009F542F"/>
    <w:rsid w:val="009F74F2"/>
    <w:rsid w:val="00A01478"/>
    <w:rsid w:val="00A047F8"/>
    <w:rsid w:val="00A0529C"/>
    <w:rsid w:val="00A10BD3"/>
    <w:rsid w:val="00A10C2E"/>
    <w:rsid w:val="00A12A75"/>
    <w:rsid w:val="00A13E7D"/>
    <w:rsid w:val="00A151B0"/>
    <w:rsid w:val="00A15BE8"/>
    <w:rsid w:val="00A16793"/>
    <w:rsid w:val="00A2051C"/>
    <w:rsid w:val="00A218A7"/>
    <w:rsid w:val="00A2307E"/>
    <w:rsid w:val="00A2342C"/>
    <w:rsid w:val="00A26B85"/>
    <w:rsid w:val="00A27166"/>
    <w:rsid w:val="00A2766B"/>
    <w:rsid w:val="00A31428"/>
    <w:rsid w:val="00A317BA"/>
    <w:rsid w:val="00A31AA6"/>
    <w:rsid w:val="00A3223C"/>
    <w:rsid w:val="00A32917"/>
    <w:rsid w:val="00A32C4A"/>
    <w:rsid w:val="00A32EDA"/>
    <w:rsid w:val="00A336DA"/>
    <w:rsid w:val="00A34CB0"/>
    <w:rsid w:val="00A35D39"/>
    <w:rsid w:val="00A377B5"/>
    <w:rsid w:val="00A37FD5"/>
    <w:rsid w:val="00A40087"/>
    <w:rsid w:val="00A41DCD"/>
    <w:rsid w:val="00A420EF"/>
    <w:rsid w:val="00A4221D"/>
    <w:rsid w:val="00A434B7"/>
    <w:rsid w:val="00A445C9"/>
    <w:rsid w:val="00A447C8"/>
    <w:rsid w:val="00A44AEC"/>
    <w:rsid w:val="00A45794"/>
    <w:rsid w:val="00A45FAF"/>
    <w:rsid w:val="00A46106"/>
    <w:rsid w:val="00A47594"/>
    <w:rsid w:val="00A475EB"/>
    <w:rsid w:val="00A477BE"/>
    <w:rsid w:val="00A477EE"/>
    <w:rsid w:val="00A47E00"/>
    <w:rsid w:val="00A47EFD"/>
    <w:rsid w:val="00A47FB8"/>
    <w:rsid w:val="00A5061C"/>
    <w:rsid w:val="00A520ED"/>
    <w:rsid w:val="00A54CA2"/>
    <w:rsid w:val="00A57062"/>
    <w:rsid w:val="00A573A8"/>
    <w:rsid w:val="00A60677"/>
    <w:rsid w:val="00A60680"/>
    <w:rsid w:val="00A607D1"/>
    <w:rsid w:val="00A61ED5"/>
    <w:rsid w:val="00A62235"/>
    <w:rsid w:val="00A6235D"/>
    <w:rsid w:val="00A62A1E"/>
    <w:rsid w:val="00A637A8"/>
    <w:rsid w:val="00A638D7"/>
    <w:rsid w:val="00A644B5"/>
    <w:rsid w:val="00A64BF1"/>
    <w:rsid w:val="00A65178"/>
    <w:rsid w:val="00A65590"/>
    <w:rsid w:val="00A673C7"/>
    <w:rsid w:val="00A75FED"/>
    <w:rsid w:val="00A8009F"/>
    <w:rsid w:val="00A80CCB"/>
    <w:rsid w:val="00A8113D"/>
    <w:rsid w:val="00A81E61"/>
    <w:rsid w:val="00A82564"/>
    <w:rsid w:val="00A84F2D"/>
    <w:rsid w:val="00A8543B"/>
    <w:rsid w:val="00A90EC0"/>
    <w:rsid w:val="00A93125"/>
    <w:rsid w:val="00A93247"/>
    <w:rsid w:val="00A93447"/>
    <w:rsid w:val="00A94964"/>
    <w:rsid w:val="00A970A4"/>
    <w:rsid w:val="00A971CB"/>
    <w:rsid w:val="00A97247"/>
    <w:rsid w:val="00A976F5"/>
    <w:rsid w:val="00A977FB"/>
    <w:rsid w:val="00AA1547"/>
    <w:rsid w:val="00AA3978"/>
    <w:rsid w:val="00AA43E4"/>
    <w:rsid w:val="00AA4966"/>
    <w:rsid w:val="00AA7454"/>
    <w:rsid w:val="00AA7CF2"/>
    <w:rsid w:val="00AB0A37"/>
    <w:rsid w:val="00AB6286"/>
    <w:rsid w:val="00AB6319"/>
    <w:rsid w:val="00AB760C"/>
    <w:rsid w:val="00AC2448"/>
    <w:rsid w:val="00AC41CE"/>
    <w:rsid w:val="00AC46EB"/>
    <w:rsid w:val="00AC5006"/>
    <w:rsid w:val="00AC57E7"/>
    <w:rsid w:val="00AC58FC"/>
    <w:rsid w:val="00AC598A"/>
    <w:rsid w:val="00AC7ED0"/>
    <w:rsid w:val="00AD02C4"/>
    <w:rsid w:val="00AD066E"/>
    <w:rsid w:val="00AD12F1"/>
    <w:rsid w:val="00AD5497"/>
    <w:rsid w:val="00AE10D9"/>
    <w:rsid w:val="00AE415C"/>
    <w:rsid w:val="00AE44DA"/>
    <w:rsid w:val="00AE50A3"/>
    <w:rsid w:val="00AE595C"/>
    <w:rsid w:val="00AE6032"/>
    <w:rsid w:val="00AE76A4"/>
    <w:rsid w:val="00AE782F"/>
    <w:rsid w:val="00AE7914"/>
    <w:rsid w:val="00AE7B5F"/>
    <w:rsid w:val="00AF03B0"/>
    <w:rsid w:val="00AF06E6"/>
    <w:rsid w:val="00AF34A1"/>
    <w:rsid w:val="00AF3A0D"/>
    <w:rsid w:val="00AF3D8D"/>
    <w:rsid w:val="00AF3EAA"/>
    <w:rsid w:val="00AF6200"/>
    <w:rsid w:val="00AF7949"/>
    <w:rsid w:val="00B006DF"/>
    <w:rsid w:val="00B0104F"/>
    <w:rsid w:val="00B0351B"/>
    <w:rsid w:val="00B039EB"/>
    <w:rsid w:val="00B040AF"/>
    <w:rsid w:val="00B04C18"/>
    <w:rsid w:val="00B06FA8"/>
    <w:rsid w:val="00B07E81"/>
    <w:rsid w:val="00B13CA3"/>
    <w:rsid w:val="00B14129"/>
    <w:rsid w:val="00B156FD"/>
    <w:rsid w:val="00B16907"/>
    <w:rsid w:val="00B207BD"/>
    <w:rsid w:val="00B22DF2"/>
    <w:rsid w:val="00B232A2"/>
    <w:rsid w:val="00B24658"/>
    <w:rsid w:val="00B250C0"/>
    <w:rsid w:val="00B2657A"/>
    <w:rsid w:val="00B269C4"/>
    <w:rsid w:val="00B26F06"/>
    <w:rsid w:val="00B27786"/>
    <w:rsid w:val="00B27EAF"/>
    <w:rsid w:val="00B30292"/>
    <w:rsid w:val="00B30E4B"/>
    <w:rsid w:val="00B310C8"/>
    <w:rsid w:val="00B316A2"/>
    <w:rsid w:val="00B31F9E"/>
    <w:rsid w:val="00B34112"/>
    <w:rsid w:val="00B35C38"/>
    <w:rsid w:val="00B37638"/>
    <w:rsid w:val="00B40533"/>
    <w:rsid w:val="00B430A2"/>
    <w:rsid w:val="00B4411A"/>
    <w:rsid w:val="00B457BD"/>
    <w:rsid w:val="00B4624B"/>
    <w:rsid w:val="00B46BC2"/>
    <w:rsid w:val="00B47C90"/>
    <w:rsid w:val="00B47F8A"/>
    <w:rsid w:val="00B51037"/>
    <w:rsid w:val="00B5211A"/>
    <w:rsid w:val="00B52B8D"/>
    <w:rsid w:val="00B52D13"/>
    <w:rsid w:val="00B537A4"/>
    <w:rsid w:val="00B54744"/>
    <w:rsid w:val="00B55454"/>
    <w:rsid w:val="00B554A5"/>
    <w:rsid w:val="00B563CB"/>
    <w:rsid w:val="00B57196"/>
    <w:rsid w:val="00B604AB"/>
    <w:rsid w:val="00B6155A"/>
    <w:rsid w:val="00B6197A"/>
    <w:rsid w:val="00B62392"/>
    <w:rsid w:val="00B624DD"/>
    <w:rsid w:val="00B644D2"/>
    <w:rsid w:val="00B64AFD"/>
    <w:rsid w:val="00B656A6"/>
    <w:rsid w:val="00B65D4E"/>
    <w:rsid w:val="00B66ED0"/>
    <w:rsid w:val="00B70C2D"/>
    <w:rsid w:val="00B71CBB"/>
    <w:rsid w:val="00B72DA5"/>
    <w:rsid w:val="00B73AF2"/>
    <w:rsid w:val="00B73E86"/>
    <w:rsid w:val="00B75037"/>
    <w:rsid w:val="00B7548F"/>
    <w:rsid w:val="00B759CA"/>
    <w:rsid w:val="00B77C72"/>
    <w:rsid w:val="00B80E7A"/>
    <w:rsid w:val="00B81873"/>
    <w:rsid w:val="00B823BC"/>
    <w:rsid w:val="00B82C05"/>
    <w:rsid w:val="00B84688"/>
    <w:rsid w:val="00B855BF"/>
    <w:rsid w:val="00B857DB"/>
    <w:rsid w:val="00B860A6"/>
    <w:rsid w:val="00B8636E"/>
    <w:rsid w:val="00B868B9"/>
    <w:rsid w:val="00B873F5"/>
    <w:rsid w:val="00B90929"/>
    <w:rsid w:val="00B9215B"/>
    <w:rsid w:val="00B94F2E"/>
    <w:rsid w:val="00B9573A"/>
    <w:rsid w:val="00B96139"/>
    <w:rsid w:val="00B96688"/>
    <w:rsid w:val="00B97237"/>
    <w:rsid w:val="00B97ABE"/>
    <w:rsid w:val="00B97DE8"/>
    <w:rsid w:val="00BA0B0C"/>
    <w:rsid w:val="00BA0D04"/>
    <w:rsid w:val="00BA17A8"/>
    <w:rsid w:val="00BA22F5"/>
    <w:rsid w:val="00BA380D"/>
    <w:rsid w:val="00BA39EA"/>
    <w:rsid w:val="00BA5E89"/>
    <w:rsid w:val="00BA6566"/>
    <w:rsid w:val="00BA6CFF"/>
    <w:rsid w:val="00BA78AF"/>
    <w:rsid w:val="00BA7956"/>
    <w:rsid w:val="00BB0241"/>
    <w:rsid w:val="00BB05AA"/>
    <w:rsid w:val="00BB3E18"/>
    <w:rsid w:val="00BB47AF"/>
    <w:rsid w:val="00BB5E57"/>
    <w:rsid w:val="00BB6CAB"/>
    <w:rsid w:val="00BC0241"/>
    <w:rsid w:val="00BC0C7E"/>
    <w:rsid w:val="00BC3845"/>
    <w:rsid w:val="00BC506E"/>
    <w:rsid w:val="00BC513A"/>
    <w:rsid w:val="00BC5BEA"/>
    <w:rsid w:val="00BC7561"/>
    <w:rsid w:val="00BC79D2"/>
    <w:rsid w:val="00BD1130"/>
    <w:rsid w:val="00BD15CE"/>
    <w:rsid w:val="00BD1CB3"/>
    <w:rsid w:val="00BD3FC2"/>
    <w:rsid w:val="00BD4CAE"/>
    <w:rsid w:val="00BD5BBB"/>
    <w:rsid w:val="00BD61CB"/>
    <w:rsid w:val="00BD6659"/>
    <w:rsid w:val="00BE01C9"/>
    <w:rsid w:val="00BE0F50"/>
    <w:rsid w:val="00BE2B23"/>
    <w:rsid w:val="00BE3975"/>
    <w:rsid w:val="00BE3999"/>
    <w:rsid w:val="00BE3AE5"/>
    <w:rsid w:val="00BE482F"/>
    <w:rsid w:val="00BE5C6C"/>
    <w:rsid w:val="00BE7CC3"/>
    <w:rsid w:val="00BF0918"/>
    <w:rsid w:val="00BF0F06"/>
    <w:rsid w:val="00BF1784"/>
    <w:rsid w:val="00BF2627"/>
    <w:rsid w:val="00BF5A99"/>
    <w:rsid w:val="00BF6535"/>
    <w:rsid w:val="00BF65E4"/>
    <w:rsid w:val="00BF7241"/>
    <w:rsid w:val="00C0099A"/>
    <w:rsid w:val="00C01BA7"/>
    <w:rsid w:val="00C03B34"/>
    <w:rsid w:val="00C03CE1"/>
    <w:rsid w:val="00C04D97"/>
    <w:rsid w:val="00C06D2F"/>
    <w:rsid w:val="00C073A3"/>
    <w:rsid w:val="00C07CD6"/>
    <w:rsid w:val="00C113EB"/>
    <w:rsid w:val="00C11AB8"/>
    <w:rsid w:val="00C11B06"/>
    <w:rsid w:val="00C11F89"/>
    <w:rsid w:val="00C12CDE"/>
    <w:rsid w:val="00C15462"/>
    <w:rsid w:val="00C1688E"/>
    <w:rsid w:val="00C170C9"/>
    <w:rsid w:val="00C2016C"/>
    <w:rsid w:val="00C20DDE"/>
    <w:rsid w:val="00C223E8"/>
    <w:rsid w:val="00C22D9B"/>
    <w:rsid w:val="00C239F9"/>
    <w:rsid w:val="00C23D80"/>
    <w:rsid w:val="00C23FAC"/>
    <w:rsid w:val="00C25295"/>
    <w:rsid w:val="00C25AB8"/>
    <w:rsid w:val="00C25D3D"/>
    <w:rsid w:val="00C266FD"/>
    <w:rsid w:val="00C26A92"/>
    <w:rsid w:val="00C27368"/>
    <w:rsid w:val="00C27991"/>
    <w:rsid w:val="00C30EA5"/>
    <w:rsid w:val="00C31991"/>
    <w:rsid w:val="00C32D03"/>
    <w:rsid w:val="00C32EFB"/>
    <w:rsid w:val="00C3367F"/>
    <w:rsid w:val="00C336ED"/>
    <w:rsid w:val="00C340F3"/>
    <w:rsid w:val="00C34B97"/>
    <w:rsid w:val="00C40DD8"/>
    <w:rsid w:val="00C40E0E"/>
    <w:rsid w:val="00C416AB"/>
    <w:rsid w:val="00C4179E"/>
    <w:rsid w:val="00C41B67"/>
    <w:rsid w:val="00C41D36"/>
    <w:rsid w:val="00C4245F"/>
    <w:rsid w:val="00C44AFD"/>
    <w:rsid w:val="00C5096E"/>
    <w:rsid w:val="00C517D4"/>
    <w:rsid w:val="00C534A5"/>
    <w:rsid w:val="00C56416"/>
    <w:rsid w:val="00C568F3"/>
    <w:rsid w:val="00C570FE"/>
    <w:rsid w:val="00C622A6"/>
    <w:rsid w:val="00C62542"/>
    <w:rsid w:val="00C631F9"/>
    <w:rsid w:val="00C64932"/>
    <w:rsid w:val="00C65C70"/>
    <w:rsid w:val="00C6608C"/>
    <w:rsid w:val="00C709A9"/>
    <w:rsid w:val="00C70E1D"/>
    <w:rsid w:val="00C71B83"/>
    <w:rsid w:val="00C71F5F"/>
    <w:rsid w:val="00C7252E"/>
    <w:rsid w:val="00C73BC0"/>
    <w:rsid w:val="00C74EA7"/>
    <w:rsid w:val="00C7678A"/>
    <w:rsid w:val="00C77EC2"/>
    <w:rsid w:val="00C81108"/>
    <w:rsid w:val="00C81B6C"/>
    <w:rsid w:val="00C820C1"/>
    <w:rsid w:val="00C82AB9"/>
    <w:rsid w:val="00C8541D"/>
    <w:rsid w:val="00C87DDF"/>
    <w:rsid w:val="00C902D6"/>
    <w:rsid w:val="00C903B8"/>
    <w:rsid w:val="00C90624"/>
    <w:rsid w:val="00C910F7"/>
    <w:rsid w:val="00C92BE8"/>
    <w:rsid w:val="00C9315F"/>
    <w:rsid w:val="00C935FD"/>
    <w:rsid w:val="00C93AB9"/>
    <w:rsid w:val="00C94061"/>
    <w:rsid w:val="00C94FC4"/>
    <w:rsid w:val="00C970B1"/>
    <w:rsid w:val="00CA0AF2"/>
    <w:rsid w:val="00CA172C"/>
    <w:rsid w:val="00CA232E"/>
    <w:rsid w:val="00CA278B"/>
    <w:rsid w:val="00CA2C37"/>
    <w:rsid w:val="00CA3068"/>
    <w:rsid w:val="00CA339A"/>
    <w:rsid w:val="00CA6638"/>
    <w:rsid w:val="00CB2002"/>
    <w:rsid w:val="00CB373D"/>
    <w:rsid w:val="00CB5BE9"/>
    <w:rsid w:val="00CB6E00"/>
    <w:rsid w:val="00CB6F46"/>
    <w:rsid w:val="00CB7098"/>
    <w:rsid w:val="00CC0226"/>
    <w:rsid w:val="00CC191E"/>
    <w:rsid w:val="00CC19C0"/>
    <w:rsid w:val="00CC1AD1"/>
    <w:rsid w:val="00CC271B"/>
    <w:rsid w:val="00CC3325"/>
    <w:rsid w:val="00CC4EFD"/>
    <w:rsid w:val="00CC5757"/>
    <w:rsid w:val="00CC5F57"/>
    <w:rsid w:val="00CC683B"/>
    <w:rsid w:val="00CC6CC6"/>
    <w:rsid w:val="00CD065F"/>
    <w:rsid w:val="00CD13A8"/>
    <w:rsid w:val="00CD165C"/>
    <w:rsid w:val="00CD2B0B"/>
    <w:rsid w:val="00CD2C5F"/>
    <w:rsid w:val="00CD3AA3"/>
    <w:rsid w:val="00CD4135"/>
    <w:rsid w:val="00CD45EB"/>
    <w:rsid w:val="00CD4C92"/>
    <w:rsid w:val="00CD5361"/>
    <w:rsid w:val="00CD5376"/>
    <w:rsid w:val="00CD7645"/>
    <w:rsid w:val="00CE0320"/>
    <w:rsid w:val="00CE047E"/>
    <w:rsid w:val="00CE10D9"/>
    <w:rsid w:val="00CE12A3"/>
    <w:rsid w:val="00CE1CEE"/>
    <w:rsid w:val="00CE2041"/>
    <w:rsid w:val="00CE2414"/>
    <w:rsid w:val="00CE3A5A"/>
    <w:rsid w:val="00CE61A9"/>
    <w:rsid w:val="00CE6A50"/>
    <w:rsid w:val="00CF17A6"/>
    <w:rsid w:val="00CF1F4D"/>
    <w:rsid w:val="00CF373A"/>
    <w:rsid w:val="00CF41B8"/>
    <w:rsid w:val="00CF479D"/>
    <w:rsid w:val="00CF5902"/>
    <w:rsid w:val="00CF692A"/>
    <w:rsid w:val="00CF7CC2"/>
    <w:rsid w:val="00D00592"/>
    <w:rsid w:val="00D01315"/>
    <w:rsid w:val="00D016FA"/>
    <w:rsid w:val="00D02BF8"/>
    <w:rsid w:val="00D05415"/>
    <w:rsid w:val="00D058AD"/>
    <w:rsid w:val="00D10580"/>
    <w:rsid w:val="00D11297"/>
    <w:rsid w:val="00D148CA"/>
    <w:rsid w:val="00D17D20"/>
    <w:rsid w:val="00D232F8"/>
    <w:rsid w:val="00D238F4"/>
    <w:rsid w:val="00D23BFF"/>
    <w:rsid w:val="00D2495E"/>
    <w:rsid w:val="00D24FDB"/>
    <w:rsid w:val="00D26F9E"/>
    <w:rsid w:val="00D27AA1"/>
    <w:rsid w:val="00D30704"/>
    <w:rsid w:val="00D32150"/>
    <w:rsid w:val="00D33548"/>
    <w:rsid w:val="00D347C8"/>
    <w:rsid w:val="00D35FD8"/>
    <w:rsid w:val="00D363C2"/>
    <w:rsid w:val="00D371C9"/>
    <w:rsid w:val="00D37B75"/>
    <w:rsid w:val="00D41EFB"/>
    <w:rsid w:val="00D42914"/>
    <w:rsid w:val="00D42CDB"/>
    <w:rsid w:val="00D4300D"/>
    <w:rsid w:val="00D44067"/>
    <w:rsid w:val="00D44D81"/>
    <w:rsid w:val="00D44F93"/>
    <w:rsid w:val="00D45F17"/>
    <w:rsid w:val="00D46DDB"/>
    <w:rsid w:val="00D47645"/>
    <w:rsid w:val="00D47DFE"/>
    <w:rsid w:val="00D4ADDB"/>
    <w:rsid w:val="00D50AA6"/>
    <w:rsid w:val="00D52ED5"/>
    <w:rsid w:val="00D53485"/>
    <w:rsid w:val="00D55401"/>
    <w:rsid w:val="00D578B0"/>
    <w:rsid w:val="00D61492"/>
    <w:rsid w:val="00D642DF"/>
    <w:rsid w:val="00D64B41"/>
    <w:rsid w:val="00D65009"/>
    <w:rsid w:val="00D651DD"/>
    <w:rsid w:val="00D65911"/>
    <w:rsid w:val="00D6653F"/>
    <w:rsid w:val="00D6764A"/>
    <w:rsid w:val="00D6CBC3"/>
    <w:rsid w:val="00D70DB4"/>
    <w:rsid w:val="00D710F7"/>
    <w:rsid w:val="00D734A0"/>
    <w:rsid w:val="00D7383E"/>
    <w:rsid w:val="00D73968"/>
    <w:rsid w:val="00D73BD2"/>
    <w:rsid w:val="00D75C27"/>
    <w:rsid w:val="00D75FE0"/>
    <w:rsid w:val="00D762AF"/>
    <w:rsid w:val="00D77EE2"/>
    <w:rsid w:val="00D80195"/>
    <w:rsid w:val="00D818E2"/>
    <w:rsid w:val="00D81BCA"/>
    <w:rsid w:val="00D83E0E"/>
    <w:rsid w:val="00D9119E"/>
    <w:rsid w:val="00D91B74"/>
    <w:rsid w:val="00D91BB4"/>
    <w:rsid w:val="00D922BD"/>
    <w:rsid w:val="00D930DC"/>
    <w:rsid w:val="00D935FB"/>
    <w:rsid w:val="00D94520"/>
    <w:rsid w:val="00D94D1B"/>
    <w:rsid w:val="00D967B6"/>
    <w:rsid w:val="00D97303"/>
    <w:rsid w:val="00D97EEC"/>
    <w:rsid w:val="00DA0FD6"/>
    <w:rsid w:val="00DA1335"/>
    <w:rsid w:val="00DA23CD"/>
    <w:rsid w:val="00DA2785"/>
    <w:rsid w:val="00DA28FF"/>
    <w:rsid w:val="00DA5B4C"/>
    <w:rsid w:val="00DA6440"/>
    <w:rsid w:val="00DA7465"/>
    <w:rsid w:val="00DB05A7"/>
    <w:rsid w:val="00DB0C1D"/>
    <w:rsid w:val="00DB1EBD"/>
    <w:rsid w:val="00DB2090"/>
    <w:rsid w:val="00DB4379"/>
    <w:rsid w:val="00DB45B7"/>
    <w:rsid w:val="00DB541E"/>
    <w:rsid w:val="00DB57BC"/>
    <w:rsid w:val="00DC0043"/>
    <w:rsid w:val="00DC0B40"/>
    <w:rsid w:val="00DC0E3A"/>
    <w:rsid w:val="00DC0F68"/>
    <w:rsid w:val="00DC2930"/>
    <w:rsid w:val="00DC359B"/>
    <w:rsid w:val="00DC39D2"/>
    <w:rsid w:val="00DC4274"/>
    <w:rsid w:val="00DC466B"/>
    <w:rsid w:val="00DC4AD2"/>
    <w:rsid w:val="00DC6DEE"/>
    <w:rsid w:val="00DC72FC"/>
    <w:rsid w:val="00DD03BD"/>
    <w:rsid w:val="00DD1028"/>
    <w:rsid w:val="00DD1F0A"/>
    <w:rsid w:val="00DD260E"/>
    <w:rsid w:val="00DD339C"/>
    <w:rsid w:val="00DD44BB"/>
    <w:rsid w:val="00DE0DAC"/>
    <w:rsid w:val="00DE2B74"/>
    <w:rsid w:val="00DE44F1"/>
    <w:rsid w:val="00DE583A"/>
    <w:rsid w:val="00DE72FF"/>
    <w:rsid w:val="00DF03DC"/>
    <w:rsid w:val="00DF11B5"/>
    <w:rsid w:val="00DF1A4B"/>
    <w:rsid w:val="00DF287D"/>
    <w:rsid w:val="00DF2BE2"/>
    <w:rsid w:val="00DF69BB"/>
    <w:rsid w:val="00DF7414"/>
    <w:rsid w:val="00E01855"/>
    <w:rsid w:val="00E0413B"/>
    <w:rsid w:val="00E10626"/>
    <w:rsid w:val="00E10CBB"/>
    <w:rsid w:val="00E11550"/>
    <w:rsid w:val="00E130E3"/>
    <w:rsid w:val="00E13C60"/>
    <w:rsid w:val="00E22F9B"/>
    <w:rsid w:val="00E23D2E"/>
    <w:rsid w:val="00E24446"/>
    <w:rsid w:val="00E24C7D"/>
    <w:rsid w:val="00E268C4"/>
    <w:rsid w:val="00E274DB"/>
    <w:rsid w:val="00E30D0F"/>
    <w:rsid w:val="00E30DBC"/>
    <w:rsid w:val="00E30E8A"/>
    <w:rsid w:val="00E31DA4"/>
    <w:rsid w:val="00E32454"/>
    <w:rsid w:val="00E32A98"/>
    <w:rsid w:val="00E332BC"/>
    <w:rsid w:val="00E336D6"/>
    <w:rsid w:val="00E3570B"/>
    <w:rsid w:val="00E363D0"/>
    <w:rsid w:val="00E36531"/>
    <w:rsid w:val="00E37645"/>
    <w:rsid w:val="00E4141B"/>
    <w:rsid w:val="00E41EDE"/>
    <w:rsid w:val="00E42959"/>
    <w:rsid w:val="00E43208"/>
    <w:rsid w:val="00E434CD"/>
    <w:rsid w:val="00E43C95"/>
    <w:rsid w:val="00E447DC"/>
    <w:rsid w:val="00E44C36"/>
    <w:rsid w:val="00E44EA3"/>
    <w:rsid w:val="00E52E23"/>
    <w:rsid w:val="00E538FE"/>
    <w:rsid w:val="00E54ED2"/>
    <w:rsid w:val="00E552D5"/>
    <w:rsid w:val="00E570C5"/>
    <w:rsid w:val="00E57199"/>
    <w:rsid w:val="00E61EF7"/>
    <w:rsid w:val="00E61F73"/>
    <w:rsid w:val="00E6258D"/>
    <w:rsid w:val="00E62892"/>
    <w:rsid w:val="00E62DD9"/>
    <w:rsid w:val="00E66273"/>
    <w:rsid w:val="00E674E4"/>
    <w:rsid w:val="00E67790"/>
    <w:rsid w:val="00E67CC9"/>
    <w:rsid w:val="00E70D4F"/>
    <w:rsid w:val="00E71DCF"/>
    <w:rsid w:val="00E73890"/>
    <w:rsid w:val="00E7417E"/>
    <w:rsid w:val="00E74EF9"/>
    <w:rsid w:val="00E75EE3"/>
    <w:rsid w:val="00E803F1"/>
    <w:rsid w:val="00E80624"/>
    <w:rsid w:val="00E80D2E"/>
    <w:rsid w:val="00E81A5B"/>
    <w:rsid w:val="00E821FA"/>
    <w:rsid w:val="00E83D49"/>
    <w:rsid w:val="00E84F01"/>
    <w:rsid w:val="00E864B2"/>
    <w:rsid w:val="00E87C73"/>
    <w:rsid w:val="00E911B2"/>
    <w:rsid w:val="00E92045"/>
    <w:rsid w:val="00E924AE"/>
    <w:rsid w:val="00E955BE"/>
    <w:rsid w:val="00E97D12"/>
    <w:rsid w:val="00EA1065"/>
    <w:rsid w:val="00EA49F7"/>
    <w:rsid w:val="00EA4BD3"/>
    <w:rsid w:val="00EA544A"/>
    <w:rsid w:val="00EA58FE"/>
    <w:rsid w:val="00EA7907"/>
    <w:rsid w:val="00EB17F1"/>
    <w:rsid w:val="00EB1E11"/>
    <w:rsid w:val="00EB2180"/>
    <w:rsid w:val="00EB2CF0"/>
    <w:rsid w:val="00EB3384"/>
    <w:rsid w:val="00EB3905"/>
    <w:rsid w:val="00EB4233"/>
    <w:rsid w:val="00EB4518"/>
    <w:rsid w:val="00EB4B0C"/>
    <w:rsid w:val="00EB6D6A"/>
    <w:rsid w:val="00EB7363"/>
    <w:rsid w:val="00EB75E6"/>
    <w:rsid w:val="00EB7786"/>
    <w:rsid w:val="00EC04E4"/>
    <w:rsid w:val="00EC1D15"/>
    <w:rsid w:val="00EC1D85"/>
    <w:rsid w:val="00EC2033"/>
    <w:rsid w:val="00EC5551"/>
    <w:rsid w:val="00EC5667"/>
    <w:rsid w:val="00EC5F4D"/>
    <w:rsid w:val="00EC65FB"/>
    <w:rsid w:val="00EC66B8"/>
    <w:rsid w:val="00EC6961"/>
    <w:rsid w:val="00EC6AB5"/>
    <w:rsid w:val="00EC7C19"/>
    <w:rsid w:val="00ED0070"/>
    <w:rsid w:val="00ED0D9D"/>
    <w:rsid w:val="00ED1AB0"/>
    <w:rsid w:val="00ED2C3A"/>
    <w:rsid w:val="00ED4004"/>
    <w:rsid w:val="00ED4EDB"/>
    <w:rsid w:val="00ED4EE0"/>
    <w:rsid w:val="00ED6010"/>
    <w:rsid w:val="00ED72E4"/>
    <w:rsid w:val="00EE0207"/>
    <w:rsid w:val="00EE0D88"/>
    <w:rsid w:val="00EE3831"/>
    <w:rsid w:val="00EE3E0C"/>
    <w:rsid w:val="00EE4C80"/>
    <w:rsid w:val="00EE7ACC"/>
    <w:rsid w:val="00EE7F31"/>
    <w:rsid w:val="00EF2024"/>
    <w:rsid w:val="00EF30B5"/>
    <w:rsid w:val="00EF48E2"/>
    <w:rsid w:val="00EF4A5B"/>
    <w:rsid w:val="00EF4AFF"/>
    <w:rsid w:val="00EF4C40"/>
    <w:rsid w:val="00EF515F"/>
    <w:rsid w:val="00EF51CC"/>
    <w:rsid w:val="00F00932"/>
    <w:rsid w:val="00F037F8"/>
    <w:rsid w:val="00F05127"/>
    <w:rsid w:val="00F05331"/>
    <w:rsid w:val="00F05AAA"/>
    <w:rsid w:val="00F05F24"/>
    <w:rsid w:val="00F073D2"/>
    <w:rsid w:val="00F0783D"/>
    <w:rsid w:val="00F10020"/>
    <w:rsid w:val="00F10563"/>
    <w:rsid w:val="00F10A4F"/>
    <w:rsid w:val="00F1241A"/>
    <w:rsid w:val="00F13DAD"/>
    <w:rsid w:val="00F1611A"/>
    <w:rsid w:val="00F1616C"/>
    <w:rsid w:val="00F20DD3"/>
    <w:rsid w:val="00F21018"/>
    <w:rsid w:val="00F2244A"/>
    <w:rsid w:val="00F239BF"/>
    <w:rsid w:val="00F24FD7"/>
    <w:rsid w:val="00F258A7"/>
    <w:rsid w:val="00F260A4"/>
    <w:rsid w:val="00F269E9"/>
    <w:rsid w:val="00F26EB4"/>
    <w:rsid w:val="00F31072"/>
    <w:rsid w:val="00F317F5"/>
    <w:rsid w:val="00F3227D"/>
    <w:rsid w:val="00F328EB"/>
    <w:rsid w:val="00F33219"/>
    <w:rsid w:val="00F33932"/>
    <w:rsid w:val="00F33C33"/>
    <w:rsid w:val="00F36A58"/>
    <w:rsid w:val="00F41493"/>
    <w:rsid w:val="00F423E3"/>
    <w:rsid w:val="00F429E0"/>
    <w:rsid w:val="00F43831"/>
    <w:rsid w:val="00F459CA"/>
    <w:rsid w:val="00F47FC4"/>
    <w:rsid w:val="00F50C4C"/>
    <w:rsid w:val="00F51994"/>
    <w:rsid w:val="00F51CAB"/>
    <w:rsid w:val="00F52281"/>
    <w:rsid w:val="00F531FF"/>
    <w:rsid w:val="00F535A2"/>
    <w:rsid w:val="00F53A2F"/>
    <w:rsid w:val="00F54435"/>
    <w:rsid w:val="00F549A4"/>
    <w:rsid w:val="00F54CC2"/>
    <w:rsid w:val="00F5643E"/>
    <w:rsid w:val="00F6042D"/>
    <w:rsid w:val="00F606FB"/>
    <w:rsid w:val="00F61181"/>
    <w:rsid w:val="00F6134D"/>
    <w:rsid w:val="00F61E84"/>
    <w:rsid w:val="00F6311C"/>
    <w:rsid w:val="00F65326"/>
    <w:rsid w:val="00F65CD0"/>
    <w:rsid w:val="00F66C0E"/>
    <w:rsid w:val="00F678A7"/>
    <w:rsid w:val="00F67C6D"/>
    <w:rsid w:val="00F717FB"/>
    <w:rsid w:val="00F71CC2"/>
    <w:rsid w:val="00F71DA1"/>
    <w:rsid w:val="00F73585"/>
    <w:rsid w:val="00F74666"/>
    <w:rsid w:val="00F748FF"/>
    <w:rsid w:val="00F75F57"/>
    <w:rsid w:val="00F7657B"/>
    <w:rsid w:val="00F77C01"/>
    <w:rsid w:val="00F8009F"/>
    <w:rsid w:val="00F81C4F"/>
    <w:rsid w:val="00F81CFC"/>
    <w:rsid w:val="00F81EE0"/>
    <w:rsid w:val="00F83E97"/>
    <w:rsid w:val="00F84C1F"/>
    <w:rsid w:val="00F8568A"/>
    <w:rsid w:val="00F85B46"/>
    <w:rsid w:val="00F87459"/>
    <w:rsid w:val="00F877DA"/>
    <w:rsid w:val="00F90A34"/>
    <w:rsid w:val="00F91805"/>
    <w:rsid w:val="00F9194E"/>
    <w:rsid w:val="00F948B3"/>
    <w:rsid w:val="00F94A2A"/>
    <w:rsid w:val="00F95538"/>
    <w:rsid w:val="00F9696D"/>
    <w:rsid w:val="00F96E39"/>
    <w:rsid w:val="00F97297"/>
    <w:rsid w:val="00F9742B"/>
    <w:rsid w:val="00FA05C6"/>
    <w:rsid w:val="00FA46A6"/>
    <w:rsid w:val="00FA4F7E"/>
    <w:rsid w:val="00FA6276"/>
    <w:rsid w:val="00FA694D"/>
    <w:rsid w:val="00FA6975"/>
    <w:rsid w:val="00FB244F"/>
    <w:rsid w:val="00FB2A13"/>
    <w:rsid w:val="00FB2D17"/>
    <w:rsid w:val="00FB358E"/>
    <w:rsid w:val="00FB448B"/>
    <w:rsid w:val="00FB4BA1"/>
    <w:rsid w:val="00FB6426"/>
    <w:rsid w:val="00FB64AA"/>
    <w:rsid w:val="00FB7FED"/>
    <w:rsid w:val="00FC1B67"/>
    <w:rsid w:val="00FC1F19"/>
    <w:rsid w:val="00FC4E6F"/>
    <w:rsid w:val="00FC61AD"/>
    <w:rsid w:val="00FC6B7A"/>
    <w:rsid w:val="00FD03B4"/>
    <w:rsid w:val="00FD1C42"/>
    <w:rsid w:val="00FD25A5"/>
    <w:rsid w:val="00FD2882"/>
    <w:rsid w:val="00FD396A"/>
    <w:rsid w:val="00FD58E9"/>
    <w:rsid w:val="00FD68B6"/>
    <w:rsid w:val="00FE06F5"/>
    <w:rsid w:val="00FE2549"/>
    <w:rsid w:val="00FE3E57"/>
    <w:rsid w:val="00FE429C"/>
    <w:rsid w:val="00FE586E"/>
    <w:rsid w:val="00FF2A66"/>
    <w:rsid w:val="00FF3BB3"/>
    <w:rsid w:val="01167EE1"/>
    <w:rsid w:val="01425A84"/>
    <w:rsid w:val="014CE5FC"/>
    <w:rsid w:val="015790F5"/>
    <w:rsid w:val="0173A906"/>
    <w:rsid w:val="01A76710"/>
    <w:rsid w:val="01BAD639"/>
    <w:rsid w:val="0226DB7F"/>
    <w:rsid w:val="0232A743"/>
    <w:rsid w:val="0238CFF7"/>
    <w:rsid w:val="024F1D8E"/>
    <w:rsid w:val="02629F22"/>
    <w:rsid w:val="02694F7E"/>
    <w:rsid w:val="02F6E3FD"/>
    <w:rsid w:val="033DEC03"/>
    <w:rsid w:val="0376DAF1"/>
    <w:rsid w:val="038EDCD5"/>
    <w:rsid w:val="03AA0C63"/>
    <w:rsid w:val="03C072F4"/>
    <w:rsid w:val="04035D0C"/>
    <w:rsid w:val="04057049"/>
    <w:rsid w:val="0423B0EE"/>
    <w:rsid w:val="0455FF81"/>
    <w:rsid w:val="0475612D"/>
    <w:rsid w:val="04760A96"/>
    <w:rsid w:val="04B793EE"/>
    <w:rsid w:val="04D88BBF"/>
    <w:rsid w:val="04FF7A90"/>
    <w:rsid w:val="0515C7CC"/>
    <w:rsid w:val="052F9409"/>
    <w:rsid w:val="054DCB73"/>
    <w:rsid w:val="05AAC1EE"/>
    <w:rsid w:val="05B30967"/>
    <w:rsid w:val="05C94506"/>
    <w:rsid w:val="060063B0"/>
    <w:rsid w:val="0600FBD3"/>
    <w:rsid w:val="0614313C"/>
    <w:rsid w:val="065BA1A2"/>
    <w:rsid w:val="065FF718"/>
    <w:rsid w:val="06E19AE8"/>
    <w:rsid w:val="0706A394"/>
    <w:rsid w:val="07199877"/>
    <w:rsid w:val="07332929"/>
    <w:rsid w:val="073471DD"/>
    <w:rsid w:val="0776C811"/>
    <w:rsid w:val="0787EF52"/>
    <w:rsid w:val="07CF762A"/>
    <w:rsid w:val="07E34C5D"/>
    <w:rsid w:val="08387FEC"/>
    <w:rsid w:val="08B1704D"/>
    <w:rsid w:val="08CA1D63"/>
    <w:rsid w:val="08FEA89A"/>
    <w:rsid w:val="08FF3333"/>
    <w:rsid w:val="090D995A"/>
    <w:rsid w:val="0912B7C9"/>
    <w:rsid w:val="0945E700"/>
    <w:rsid w:val="09559E58"/>
    <w:rsid w:val="095EAA51"/>
    <w:rsid w:val="09A25006"/>
    <w:rsid w:val="09BD69F2"/>
    <w:rsid w:val="09D02F19"/>
    <w:rsid w:val="09F3B684"/>
    <w:rsid w:val="09FD54A9"/>
    <w:rsid w:val="0A1A5FEC"/>
    <w:rsid w:val="0A5AB4AD"/>
    <w:rsid w:val="0A824FE1"/>
    <w:rsid w:val="0AD51827"/>
    <w:rsid w:val="0ADCEA09"/>
    <w:rsid w:val="0AF67BE2"/>
    <w:rsid w:val="0B37557F"/>
    <w:rsid w:val="0B45DA3A"/>
    <w:rsid w:val="0B632B5A"/>
    <w:rsid w:val="0B896DD8"/>
    <w:rsid w:val="0B8E7607"/>
    <w:rsid w:val="0BC78FBA"/>
    <w:rsid w:val="0BE69354"/>
    <w:rsid w:val="0C3526A3"/>
    <w:rsid w:val="0C7CAF87"/>
    <w:rsid w:val="0C90460D"/>
    <w:rsid w:val="0C956C98"/>
    <w:rsid w:val="0CB77D9E"/>
    <w:rsid w:val="0CC07264"/>
    <w:rsid w:val="0D0FDD43"/>
    <w:rsid w:val="0D4DD6DB"/>
    <w:rsid w:val="0D4EDD8B"/>
    <w:rsid w:val="0D58F500"/>
    <w:rsid w:val="0DB01B0F"/>
    <w:rsid w:val="0DB60E20"/>
    <w:rsid w:val="0E02F066"/>
    <w:rsid w:val="0E1494BD"/>
    <w:rsid w:val="0E17C343"/>
    <w:rsid w:val="0E31727E"/>
    <w:rsid w:val="0E89A525"/>
    <w:rsid w:val="0E8B64D8"/>
    <w:rsid w:val="0F011EA6"/>
    <w:rsid w:val="0F25B9D7"/>
    <w:rsid w:val="0F648B7D"/>
    <w:rsid w:val="0FD250D2"/>
    <w:rsid w:val="0FD69793"/>
    <w:rsid w:val="0FE244B6"/>
    <w:rsid w:val="1016EBBE"/>
    <w:rsid w:val="104A716D"/>
    <w:rsid w:val="10832B00"/>
    <w:rsid w:val="10925CE0"/>
    <w:rsid w:val="10C84FCD"/>
    <w:rsid w:val="10D94794"/>
    <w:rsid w:val="10F93A9F"/>
    <w:rsid w:val="11102D44"/>
    <w:rsid w:val="11315DCF"/>
    <w:rsid w:val="11A2F408"/>
    <w:rsid w:val="11A89E6A"/>
    <w:rsid w:val="11BA6015"/>
    <w:rsid w:val="11D430F4"/>
    <w:rsid w:val="121C82C2"/>
    <w:rsid w:val="126CCCF8"/>
    <w:rsid w:val="12D15818"/>
    <w:rsid w:val="12F04481"/>
    <w:rsid w:val="13887AC3"/>
    <w:rsid w:val="138D6E3F"/>
    <w:rsid w:val="139E1D33"/>
    <w:rsid w:val="13AA2DB5"/>
    <w:rsid w:val="143186F3"/>
    <w:rsid w:val="143CC7FB"/>
    <w:rsid w:val="143D5C2B"/>
    <w:rsid w:val="14402FAD"/>
    <w:rsid w:val="149ACBEC"/>
    <w:rsid w:val="14A3AD8A"/>
    <w:rsid w:val="14C3D247"/>
    <w:rsid w:val="14C445C8"/>
    <w:rsid w:val="14DF14BB"/>
    <w:rsid w:val="153D06B4"/>
    <w:rsid w:val="154E6ABF"/>
    <w:rsid w:val="15510CFC"/>
    <w:rsid w:val="156840F9"/>
    <w:rsid w:val="157D994F"/>
    <w:rsid w:val="15A8E47F"/>
    <w:rsid w:val="15AF49D0"/>
    <w:rsid w:val="15D59066"/>
    <w:rsid w:val="15E41E50"/>
    <w:rsid w:val="15F439A5"/>
    <w:rsid w:val="15F85097"/>
    <w:rsid w:val="166C8A22"/>
    <w:rsid w:val="167F0E6C"/>
    <w:rsid w:val="1692E120"/>
    <w:rsid w:val="1712DFE4"/>
    <w:rsid w:val="17142667"/>
    <w:rsid w:val="17328355"/>
    <w:rsid w:val="173CF5D6"/>
    <w:rsid w:val="17621F13"/>
    <w:rsid w:val="1771804C"/>
    <w:rsid w:val="1782C9CB"/>
    <w:rsid w:val="1790B511"/>
    <w:rsid w:val="17C3D31C"/>
    <w:rsid w:val="17D07098"/>
    <w:rsid w:val="17D15591"/>
    <w:rsid w:val="181057B0"/>
    <w:rsid w:val="18307E55"/>
    <w:rsid w:val="186DA629"/>
    <w:rsid w:val="189EB930"/>
    <w:rsid w:val="18A0E01B"/>
    <w:rsid w:val="18BEA4B2"/>
    <w:rsid w:val="18CFD064"/>
    <w:rsid w:val="18F18006"/>
    <w:rsid w:val="190833E2"/>
    <w:rsid w:val="194B2EAD"/>
    <w:rsid w:val="1968BC2F"/>
    <w:rsid w:val="197F2B73"/>
    <w:rsid w:val="1996802D"/>
    <w:rsid w:val="19C9FA87"/>
    <w:rsid w:val="19F05221"/>
    <w:rsid w:val="1A1086A4"/>
    <w:rsid w:val="1A1E6742"/>
    <w:rsid w:val="1A365BFC"/>
    <w:rsid w:val="1A36BA67"/>
    <w:rsid w:val="1A45E3C5"/>
    <w:rsid w:val="1A479784"/>
    <w:rsid w:val="1A7BD825"/>
    <w:rsid w:val="1A7C9C18"/>
    <w:rsid w:val="1A9100D9"/>
    <w:rsid w:val="1B0DEB66"/>
    <w:rsid w:val="1B388249"/>
    <w:rsid w:val="1B3DD618"/>
    <w:rsid w:val="1B5676DC"/>
    <w:rsid w:val="1B649F9E"/>
    <w:rsid w:val="1B7C8279"/>
    <w:rsid w:val="1B86664E"/>
    <w:rsid w:val="1B900CE0"/>
    <w:rsid w:val="1BCAC6B9"/>
    <w:rsid w:val="1BF69ED4"/>
    <w:rsid w:val="1BFAD6A6"/>
    <w:rsid w:val="1C1336AB"/>
    <w:rsid w:val="1C157565"/>
    <w:rsid w:val="1C1BD5B0"/>
    <w:rsid w:val="1C2342C8"/>
    <w:rsid w:val="1C23B384"/>
    <w:rsid w:val="1C39D67B"/>
    <w:rsid w:val="1C7DA943"/>
    <w:rsid w:val="1C8DAE40"/>
    <w:rsid w:val="1CBCB975"/>
    <w:rsid w:val="1CFC1600"/>
    <w:rsid w:val="1D0C42B6"/>
    <w:rsid w:val="1D0FB34A"/>
    <w:rsid w:val="1D4BB66F"/>
    <w:rsid w:val="1D79314F"/>
    <w:rsid w:val="1E5BB043"/>
    <w:rsid w:val="1E99A35F"/>
    <w:rsid w:val="1EB69E0F"/>
    <w:rsid w:val="1EF11D0D"/>
    <w:rsid w:val="1EFF34F3"/>
    <w:rsid w:val="1F016AC5"/>
    <w:rsid w:val="1F1C8F0C"/>
    <w:rsid w:val="1F1C9286"/>
    <w:rsid w:val="1F6EBACA"/>
    <w:rsid w:val="1F73747A"/>
    <w:rsid w:val="1FB88B6F"/>
    <w:rsid w:val="1FBBC22E"/>
    <w:rsid w:val="1FF6356B"/>
    <w:rsid w:val="20773DB4"/>
    <w:rsid w:val="20888E2C"/>
    <w:rsid w:val="20D8471B"/>
    <w:rsid w:val="216A5D60"/>
    <w:rsid w:val="21743A99"/>
    <w:rsid w:val="217F1460"/>
    <w:rsid w:val="21BCF5E2"/>
    <w:rsid w:val="21C61219"/>
    <w:rsid w:val="21D04391"/>
    <w:rsid w:val="21E08F2C"/>
    <w:rsid w:val="22006842"/>
    <w:rsid w:val="2214F2A0"/>
    <w:rsid w:val="221F4D70"/>
    <w:rsid w:val="22348FAC"/>
    <w:rsid w:val="226423EC"/>
    <w:rsid w:val="227DF10B"/>
    <w:rsid w:val="2292CE1C"/>
    <w:rsid w:val="22B3AC4C"/>
    <w:rsid w:val="22DD77C5"/>
    <w:rsid w:val="233BBA12"/>
    <w:rsid w:val="23412081"/>
    <w:rsid w:val="235643FB"/>
    <w:rsid w:val="23589286"/>
    <w:rsid w:val="2365E6ED"/>
    <w:rsid w:val="23A948BB"/>
    <w:rsid w:val="23C1169A"/>
    <w:rsid w:val="23D41267"/>
    <w:rsid w:val="23E75A95"/>
    <w:rsid w:val="23E9E8E2"/>
    <w:rsid w:val="24397542"/>
    <w:rsid w:val="246B12D0"/>
    <w:rsid w:val="246BF8FE"/>
    <w:rsid w:val="2499E370"/>
    <w:rsid w:val="24A5E690"/>
    <w:rsid w:val="24C9DD9F"/>
    <w:rsid w:val="24CFD354"/>
    <w:rsid w:val="24F51396"/>
    <w:rsid w:val="250BB527"/>
    <w:rsid w:val="2515C372"/>
    <w:rsid w:val="251DDBC6"/>
    <w:rsid w:val="252F8C9A"/>
    <w:rsid w:val="25444172"/>
    <w:rsid w:val="256B8732"/>
    <w:rsid w:val="256C468C"/>
    <w:rsid w:val="2587EC92"/>
    <w:rsid w:val="2589F427"/>
    <w:rsid w:val="2622F797"/>
    <w:rsid w:val="262306CA"/>
    <w:rsid w:val="266277BB"/>
    <w:rsid w:val="268C10B4"/>
    <w:rsid w:val="268E1CC9"/>
    <w:rsid w:val="26922514"/>
    <w:rsid w:val="26BB7873"/>
    <w:rsid w:val="26BF2811"/>
    <w:rsid w:val="26C1194D"/>
    <w:rsid w:val="26D49314"/>
    <w:rsid w:val="27807683"/>
    <w:rsid w:val="278A3205"/>
    <w:rsid w:val="2798DD59"/>
    <w:rsid w:val="279AF9F6"/>
    <w:rsid w:val="27AE57B6"/>
    <w:rsid w:val="27B84CD9"/>
    <w:rsid w:val="27C2A8AF"/>
    <w:rsid w:val="27F125F4"/>
    <w:rsid w:val="28AAE2C9"/>
    <w:rsid w:val="28E8CCAF"/>
    <w:rsid w:val="28F4EB08"/>
    <w:rsid w:val="29169C83"/>
    <w:rsid w:val="2920C53A"/>
    <w:rsid w:val="296B324F"/>
    <w:rsid w:val="29A22A39"/>
    <w:rsid w:val="29C05F1B"/>
    <w:rsid w:val="29FF1D6D"/>
    <w:rsid w:val="2A42C300"/>
    <w:rsid w:val="2A53BDAD"/>
    <w:rsid w:val="2A630B63"/>
    <w:rsid w:val="2A73A6CB"/>
    <w:rsid w:val="2A7C2C29"/>
    <w:rsid w:val="2A81E37B"/>
    <w:rsid w:val="2B5D9A27"/>
    <w:rsid w:val="2B806C9D"/>
    <w:rsid w:val="2BA328D6"/>
    <w:rsid w:val="2BD39EF9"/>
    <w:rsid w:val="2C0DC93F"/>
    <w:rsid w:val="2C1765A3"/>
    <w:rsid w:val="2C29BE25"/>
    <w:rsid w:val="2C5545F2"/>
    <w:rsid w:val="2C561EE3"/>
    <w:rsid w:val="2C834E61"/>
    <w:rsid w:val="2C90C814"/>
    <w:rsid w:val="2C961126"/>
    <w:rsid w:val="2C99EC47"/>
    <w:rsid w:val="2CDEC938"/>
    <w:rsid w:val="2D427E9E"/>
    <w:rsid w:val="2D779EF8"/>
    <w:rsid w:val="2D83E961"/>
    <w:rsid w:val="2DCDBDCA"/>
    <w:rsid w:val="2EC3ABB3"/>
    <w:rsid w:val="2ECE524C"/>
    <w:rsid w:val="2ED2281F"/>
    <w:rsid w:val="2EF04874"/>
    <w:rsid w:val="2F018D0C"/>
    <w:rsid w:val="2F0B5B57"/>
    <w:rsid w:val="2F4907CD"/>
    <w:rsid w:val="2F5EEE58"/>
    <w:rsid w:val="2F881B56"/>
    <w:rsid w:val="2F9DC926"/>
    <w:rsid w:val="2FA9B959"/>
    <w:rsid w:val="3015AB39"/>
    <w:rsid w:val="30564DE9"/>
    <w:rsid w:val="305BCCB7"/>
    <w:rsid w:val="3067698F"/>
    <w:rsid w:val="306841C7"/>
    <w:rsid w:val="30DA71EF"/>
    <w:rsid w:val="31089BC8"/>
    <w:rsid w:val="3116FD26"/>
    <w:rsid w:val="311CBA71"/>
    <w:rsid w:val="31437D7B"/>
    <w:rsid w:val="3176A483"/>
    <w:rsid w:val="3197BE67"/>
    <w:rsid w:val="31C8B655"/>
    <w:rsid w:val="31DCD51C"/>
    <w:rsid w:val="31FDB6E6"/>
    <w:rsid w:val="3223E1EA"/>
    <w:rsid w:val="3264CCF9"/>
    <w:rsid w:val="328294B3"/>
    <w:rsid w:val="32AE09B3"/>
    <w:rsid w:val="32C6EE6E"/>
    <w:rsid w:val="32E98098"/>
    <w:rsid w:val="331EBEDC"/>
    <w:rsid w:val="332EFF2F"/>
    <w:rsid w:val="3375136F"/>
    <w:rsid w:val="3377F25D"/>
    <w:rsid w:val="33861D30"/>
    <w:rsid w:val="33A7C796"/>
    <w:rsid w:val="33C80E57"/>
    <w:rsid w:val="342BFC1D"/>
    <w:rsid w:val="344C2BC8"/>
    <w:rsid w:val="344DC044"/>
    <w:rsid w:val="346A6620"/>
    <w:rsid w:val="3493E3A0"/>
    <w:rsid w:val="34980891"/>
    <w:rsid w:val="34AD56F7"/>
    <w:rsid w:val="357210CA"/>
    <w:rsid w:val="3577E8D7"/>
    <w:rsid w:val="35A0D829"/>
    <w:rsid w:val="35A30576"/>
    <w:rsid w:val="35A6CEB5"/>
    <w:rsid w:val="35BB503C"/>
    <w:rsid w:val="35D7ABDA"/>
    <w:rsid w:val="360D73C5"/>
    <w:rsid w:val="3697F3CE"/>
    <w:rsid w:val="370171ED"/>
    <w:rsid w:val="3725B861"/>
    <w:rsid w:val="3753F5C3"/>
    <w:rsid w:val="3756E81E"/>
    <w:rsid w:val="37E104C1"/>
    <w:rsid w:val="37F0C5AA"/>
    <w:rsid w:val="38677362"/>
    <w:rsid w:val="38751B71"/>
    <w:rsid w:val="38BBC1CA"/>
    <w:rsid w:val="38C1CA46"/>
    <w:rsid w:val="38CF7725"/>
    <w:rsid w:val="38E46BEB"/>
    <w:rsid w:val="391D0FDF"/>
    <w:rsid w:val="392D1578"/>
    <w:rsid w:val="394DCD18"/>
    <w:rsid w:val="395AE279"/>
    <w:rsid w:val="39D6DCC9"/>
    <w:rsid w:val="39E41596"/>
    <w:rsid w:val="39EA7E97"/>
    <w:rsid w:val="3A176C60"/>
    <w:rsid w:val="3A5BFAEC"/>
    <w:rsid w:val="3ABB70D1"/>
    <w:rsid w:val="3B269903"/>
    <w:rsid w:val="3B415D0B"/>
    <w:rsid w:val="3BC9B225"/>
    <w:rsid w:val="3BD1D32F"/>
    <w:rsid w:val="3C050109"/>
    <w:rsid w:val="3C276705"/>
    <w:rsid w:val="3C6CC1CE"/>
    <w:rsid w:val="3C78F44C"/>
    <w:rsid w:val="3C87043D"/>
    <w:rsid w:val="3C8B4428"/>
    <w:rsid w:val="3C90235E"/>
    <w:rsid w:val="3CECD210"/>
    <w:rsid w:val="3D06AFE5"/>
    <w:rsid w:val="3D07C4B1"/>
    <w:rsid w:val="3D1802D5"/>
    <w:rsid w:val="3D302433"/>
    <w:rsid w:val="3D3C33D5"/>
    <w:rsid w:val="3D70C43C"/>
    <w:rsid w:val="3DD29C58"/>
    <w:rsid w:val="3DDE3015"/>
    <w:rsid w:val="3E177701"/>
    <w:rsid w:val="3E2EB05E"/>
    <w:rsid w:val="3E35DE6C"/>
    <w:rsid w:val="3E57A91D"/>
    <w:rsid w:val="3E59A067"/>
    <w:rsid w:val="3EA6550C"/>
    <w:rsid w:val="3ED1EBB8"/>
    <w:rsid w:val="3EF5BA69"/>
    <w:rsid w:val="3F3A692C"/>
    <w:rsid w:val="3F716B60"/>
    <w:rsid w:val="3F801025"/>
    <w:rsid w:val="3F8AC625"/>
    <w:rsid w:val="3F8F9369"/>
    <w:rsid w:val="3FC5706B"/>
    <w:rsid w:val="3FD10ADC"/>
    <w:rsid w:val="3FF44621"/>
    <w:rsid w:val="3FFE7C97"/>
    <w:rsid w:val="400C2624"/>
    <w:rsid w:val="4077CDD8"/>
    <w:rsid w:val="40CA40A5"/>
    <w:rsid w:val="40D7C450"/>
    <w:rsid w:val="4117B6DB"/>
    <w:rsid w:val="41278B22"/>
    <w:rsid w:val="41303B58"/>
    <w:rsid w:val="4172DBB0"/>
    <w:rsid w:val="41B482DD"/>
    <w:rsid w:val="41B5CC9A"/>
    <w:rsid w:val="41B9D4D8"/>
    <w:rsid w:val="41C048E8"/>
    <w:rsid w:val="41C349F6"/>
    <w:rsid w:val="41E0C8CC"/>
    <w:rsid w:val="4230F191"/>
    <w:rsid w:val="42BACD03"/>
    <w:rsid w:val="42D6D5D7"/>
    <w:rsid w:val="42D86242"/>
    <w:rsid w:val="43186DBC"/>
    <w:rsid w:val="43349F2F"/>
    <w:rsid w:val="433704BA"/>
    <w:rsid w:val="43486DCF"/>
    <w:rsid w:val="434CCA6C"/>
    <w:rsid w:val="43B734A9"/>
    <w:rsid w:val="43FB8257"/>
    <w:rsid w:val="440A0C36"/>
    <w:rsid w:val="441D3A29"/>
    <w:rsid w:val="446BCE22"/>
    <w:rsid w:val="4475E47E"/>
    <w:rsid w:val="44CE0C45"/>
    <w:rsid w:val="44D20812"/>
    <w:rsid w:val="44D93424"/>
    <w:rsid w:val="44FF2DD4"/>
    <w:rsid w:val="4500E561"/>
    <w:rsid w:val="4547A358"/>
    <w:rsid w:val="45786B17"/>
    <w:rsid w:val="457FE147"/>
    <w:rsid w:val="458BDD3A"/>
    <w:rsid w:val="45FBB09F"/>
    <w:rsid w:val="464FBC2C"/>
    <w:rsid w:val="4666510A"/>
    <w:rsid w:val="468D15B9"/>
    <w:rsid w:val="46915D31"/>
    <w:rsid w:val="4699DA20"/>
    <w:rsid w:val="469C9FB5"/>
    <w:rsid w:val="470B3732"/>
    <w:rsid w:val="470C32ED"/>
    <w:rsid w:val="47659EB4"/>
    <w:rsid w:val="4813C9E3"/>
    <w:rsid w:val="498F5723"/>
    <w:rsid w:val="49A66F25"/>
    <w:rsid w:val="49DAB749"/>
    <w:rsid w:val="4A0C1CFC"/>
    <w:rsid w:val="4A359ED2"/>
    <w:rsid w:val="4A60D466"/>
    <w:rsid w:val="4A6E601C"/>
    <w:rsid w:val="4A74FEFD"/>
    <w:rsid w:val="4A809DAD"/>
    <w:rsid w:val="4A8A81C1"/>
    <w:rsid w:val="4A8CABF7"/>
    <w:rsid w:val="4ABAD849"/>
    <w:rsid w:val="4AEF40AA"/>
    <w:rsid w:val="4AF477A3"/>
    <w:rsid w:val="4AFB6560"/>
    <w:rsid w:val="4B324A81"/>
    <w:rsid w:val="4B7224AD"/>
    <w:rsid w:val="4BBB54D4"/>
    <w:rsid w:val="4C9AB2E1"/>
    <w:rsid w:val="4CE40723"/>
    <w:rsid w:val="4CEEABBB"/>
    <w:rsid w:val="4D25B7AE"/>
    <w:rsid w:val="4DC0E729"/>
    <w:rsid w:val="4DFEF938"/>
    <w:rsid w:val="4E05D2D9"/>
    <w:rsid w:val="4E14FEA4"/>
    <w:rsid w:val="4E5E626D"/>
    <w:rsid w:val="4E5E8DBF"/>
    <w:rsid w:val="4E6F23C3"/>
    <w:rsid w:val="4E73EE93"/>
    <w:rsid w:val="4E74C6AC"/>
    <w:rsid w:val="4E947CC0"/>
    <w:rsid w:val="4EB748D1"/>
    <w:rsid w:val="4EBAC29B"/>
    <w:rsid w:val="4EBB6354"/>
    <w:rsid w:val="4ED47DD0"/>
    <w:rsid w:val="4F1362B6"/>
    <w:rsid w:val="4F2CF3FA"/>
    <w:rsid w:val="4F6F65AD"/>
    <w:rsid w:val="4FBA331B"/>
    <w:rsid w:val="5000B619"/>
    <w:rsid w:val="50099D8F"/>
    <w:rsid w:val="500C4CD2"/>
    <w:rsid w:val="501334A8"/>
    <w:rsid w:val="5024895A"/>
    <w:rsid w:val="505250AD"/>
    <w:rsid w:val="505E140D"/>
    <w:rsid w:val="5074D0D8"/>
    <w:rsid w:val="50BBB1EF"/>
    <w:rsid w:val="50BD87DB"/>
    <w:rsid w:val="50CC741E"/>
    <w:rsid w:val="50E8E783"/>
    <w:rsid w:val="514B9A97"/>
    <w:rsid w:val="515123D4"/>
    <w:rsid w:val="5195C857"/>
    <w:rsid w:val="5197D529"/>
    <w:rsid w:val="51B6F55C"/>
    <w:rsid w:val="51B91879"/>
    <w:rsid w:val="51C1A1C9"/>
    <w:rsid w:val="51EAC2FB"/>
    <w:rsid w:val="51FB7225"/>
    <w:rsid w:val="5263CDA0"/>
    <w:rsid w:val="52763CE8"/>
    <w:rsid w:val="527F6549"/>
    <w:rsid w:val="52824D84"/>
    <w:rsid w:val="52F46E74"/>
    <w:rsid w:val="531549B6"/>
    <w:rsid w:val="5324C8AA"/>
    <w:rsid w:val="536ED952"/>
    <w:rsid w:val="53E65D6C"/>
    <w:rsid w:val="540770A4"/>
    <w:rsid w:val="54099545"/>
    <w:rsid w:val="541B4BB4"/>
    <w:rsid w:val="54375264"/>
    <w:rsid w:val="543DE0B9"/>
    <w:rsid w:val="544DF29F"/>
    <w:rsid w:val="548E8DCB"/>
    <w:rsid w:val="54AD4D38"/>
    <w:rsid w:val="54B4C7A1"/>
    <w:rsid w:val="54C06A6C"/>
    <w:rsid w:val="55066C36"/>
    <w:rsid w:val="550E1761"/>
    <w:rsid w:val="555BA825"/>
    <w:rsid w:val="55927E56"/>
    <w:rsid w:val="55A4451D"/>
    <w:rsid w:val="56333956"/>
    <w:rsid w:val="563A80E8"/>
    <w:rsid w:val="56508B89"/>
    <w:rsid w:val="56517B2F"/>
    <w:rsid w:val="56621DD2"/>
    <w:rsid w:val="567428F2"/>
    <w:rsid w:val="5676E88F"/>
    <w:rsid w:val="5682DDC0"/>
    <w:rsid w:val="56AFC90B"/>
    <w:rsid w:val="56C69250"/>
    <w:rsid w:val="573942AC"/>
    <w:rsid w:val="574A9899"/>
    <w:rsid w:val="57629F59"/>
    <w:rsid w:val="5771E135"/>
    <w:rsid w:val="57A53BFA"/>
    <w:rsid w:val="57AD147B"/>
    <w:rsid w:val="57C49709"/>
    <w:rsid w:val="57DB0455"/>
    <w:rsid w:val="57DEAD43"/>
    <w:rsid w:val="5815BF98"/>
    <w:rsid w:val="584751BB"/>
    <w:rsid w:val="5852FFA2"/>
    <w:rsid w:val="5880579D"/>
    <w:rsid w:val="58862680"/>
    <w:rsid w:val="58AA82E0"/>
    <w:rsid w:val="58AA9BD7"/>
    <w:rsid w:val="58E3F152"/>
    <w:rsid w:val="590EA1D3"/>
    <w:rsid w:val="592D9B8F"/>
    <w:rsid w:val="5963AFC9"/>
    <w:rsid w:val="596837E9"/>
    <w:rsid w:val="5988066F"/>
    <w:rsid w:val="599B2504"/>
    <w:rsid w:val="59A04FB2"/>
    <w:rsid w:val="59C5E645"/>
    <w:rsid w:val="59C9E873"/>
    <w:rsid w:val="5A1D5041"/>
    <w:rsid w:val="5A9377F8"/>
    <w:rsid w:val="5B43DB11"/>
    <w:rsid w:val="5B5ED10E"/>
    <w:rsid w:val="5B8E7E5C"/>
    <w:rsid w:val="5B947726"/>
    <w:rsid w:val="5B94B915"/>
    <w:rsid w:val="5C2C13A9"/>
    <w:rsid w:val="5C3FF87B"/>
    <w:rsid w:val="5C8C2009"/>
    <w:rsid w:val="5CA57066"/>
    <w:rsid w:val="5CAA9C21"/>
    <w:rsid w:val="5CAC395E"/>
    <w:rsid w:val="5CBC6E51"/>
    <w:rsid w:val="5CE6B124"/>
    <w:rsid w:val="5CFC7CF3"/>
    <w:rsid w:val="5CFEA396"/>
    <w:rsid w:val="5D2D7CC4"/>
    <w:rsid w:val="5D502B8B"/>
    <w:rsid w:val="5D54EE92"/>
    <w:rsid w:val="5DED8594"/>
    <w:rsid w:val="5DF59620"/>
    <w:rsid w:val="5E0B7D30"/>
    <w:rsid w:val="5EA54419"/>
    <w:rsid w:val="5EB4AC48"/>
    <w:rsid w:val="5EBE2387"/>
    <w:rsid w:val="5EE1B5DD"/>
    <w:rsid w:val="5EE2CD23"/>
    <w:rsid w:val="5F1E4BE5"/>
    <w:rsid w:val="5F2ACB17"/>
    <w:rsid w:val="5F66C5F6"/>
    <w:rsid w:val="5F9F9967"/>
    <w:rsid w:val="604C588F"/>
    <w:rsid w:val="60A12207"/>
    <w:rsid w:val="60A93AB0"/>
    <w:rsid w:val="60B158BD"/>
    <w:rsid w:val="6100FFBA"/>
    <w:rsid w:val="612A479E"/>
    <w:rsid w:val="61457927"/>
    <w:rsid w:val="615F6261"/>
    <w:rsid w:val="619CEEEC"/>
    <w:rsid w:val="61AB19E7"/>
    <w:rsid w:val="61CC9311"/>
    <w:rsid w:val="61DC802A"/>
    <w:rsid w:val="61E95F53"/>
    <w:rsid w:val="61EB679B"/>
    <w:rsid w:val="61F4BFA0"/>
    <w:rsid w:val="620E66BD"/>
    <w:rsid w:val="621161F3"/>
    <w:rsid w:val="6226AFB6"/>
    <w:rsid w:val="6227FDF4"/>
    <w:rsid w:val="6284366D"/>
    <w:rsid w:val="6298FBE2"/>
    <w:rsid w:val="62B04EA0"/>
    <w:rsid w:val="62C092F7"/>
    <w:rsid w:val="62E3F8D5"/>
    <w:rsid w:val="637BF70E"/>
    <w:rsid w:val="637D8F38"/>
    <w:rsid w:val="63AB1179"/>
    <w:rsid w:val="63BE37A1"/>
    <w:rsid w:val="63E7FC91"/>
    <w:rsid w:val="63EABA55"/>
    <w:rsid w:val="63ECDFDD"/>
    <w:rsid w:val="63F57707"/>
    <w:rsid w:val="64373B1E"/>
    <w:rsid w:val="643F0E9B"/>
    <w:rsid w:val="64546CC6"/>
    <w:rsid w:val="645BE3A5"/>
    <w:rsid w:val="64861EDE"/>
    <w:rsid w:val="64A98A17"/>
    <w:rsid w:val="64E44C49"/>
    <w:rsid w:val="650996C2"/>
    <w:rsid w:val="6517CACF"/>
    <w:rsid w:val="654E98EC"/>
    <w:rsid w:val="65704839"/>
    <w:rsid w:val="6588786C"/>
    <w:rsid w:val="65C85F4A"/>
    <w:rsid w:val="65D0A2E6"/>
    <w:rsid w:val="65EA1B7F"/>
    <w:rsid w:val="65EB064B"/>
    <w:rsid w:val="661AE7E5"/>
    <w:rsid w:val="661E43E5"/>
    <w:rsid w:val="6628E38B"/>
    <w:rsid w:val="663EE87D"/>
    <w:rsid w:val="668C4AAA"/>
    <w:rsid w:val="66952EDE"/>
    <w:rsid w:val="66BB06D9"/>
    <w:rsid w:val="66E169E4"/>
    <w:rsid w:val="674502BC"/>
    <w:rsid w:val="67591C22"/>
    <w:rsid w:val="6792DA1B"/>
    <w:rsid w:val="679E13B3"/>
    <w:rsid w:val="67AD4DE4"/>
    <w:rsid w:val="67ECCB8A"/>
    <w:rsid w:val="67F6073B"/>
    <w:rsid w:val="680996C8"/>
    <w:rsid w:val="68454526"/>
    <w:rsid w:val="684BC902"/>
    <w:rsid w:val="68CF1D22"/>
    <w:rsid w:val="6909A96D"/>
    <w:rsid w:val="691A719C"/>
    <w:rsid w:val="69342A63"/>
    <w:rsid w:val="69B5ACA9"/>
    <w:rsid w:val="69B62C96"/>
    <w:rsid w:val="69C075F3"/>
    <w:rsid w:val="69EC0032"/>
    <w:rsid w:val="69EF541B"/>
    <w:rsid w:val="6A0EC996"/>
    <w:rsid w:val="6A1A8DDA"/>
    <w:rsid w:val="6A1CDFC8"/>
    <w:rsid w:val="6A21A28A"/>
    <w:rsid w:val="6A403A0E"/>
    <w:rsid w:val="6A6048CB"/>
    <w:rsid w:val="6A9C738B"/>
    <w:rsid w:val="6AAB90DE"/>
    <w:rsid w:val="6AC00769"/>
    <w:rsid w:val="6AC73992"/>
    <w:rsid w:val="6AE29684"/>
    <w:rsid w:val="6B04B3EF"/>
    <w:rsid w:val="6B2403D9"/>
    <w:rsid w:val="6B29FE82"/>
    <w:rsid w:val="6B411B58"/>
    <w:rsid w:val="6B731128"/>
    <w:rsid w:val="6B81CB6C"/>
    <w:rsid w:val="6B84F14E"/>
    <w:rsid w:val="6BD6FD1D"/>
    <w:rsid w:val="6BE9A1F9"/>
    <w:rsid w:val="6C2065DB"/>
    <w:rsid w:val="6C2D755C"/>
    <w:rsid w:val="6C6CD102"/>
    <w:rsid w:val="6C99811B"/>
    <w:rsid w:val="6CB697C6"/>
    <w:rsid w:val="6D21C094"/>
    <w:rsid w:val="6D6AE747"/>
    <w:rsid w:val="6DEF2F31"/>
    <w:rsid w:val="6DFD5B10"/>
    <w:rsid w:val="6E4EF98F"/>
    <w:rsid w:val="6E8FEB56"/>
    <w:rsid w:val="6EA6B9E4"/>
    <w:rsid w:val="6EE433C8"/>
    <w:rsid w:val="6EEFA4F3"/>
    <w:rsid w:val="6EF3DC4F"/>
    <w:rsid w:val="6F434195"/>
    <w:rsid w:val="6F932DE3"/>
    <w:rsid w:val="6FD5E27C"/>
    <w:rsid w:val="6FF9A9E5"/>
    <w:rsid w:val="703A5274"/>
    <w:rsid w:val="70402F09"/>
    <w:rsid w:val="709A7D54"/>
    <w:rsid w:val="70C1EA8E"/>
    <w:rsid w:val="70E5ACD9"/>
    <w:rsid w:val="710B3404"/>
    <w:rsid w:val="7141761A"/>
    <w:rsid w:val="71919195"/>
    <w:rsid w:val="7193FF1D"/>
    <w:rsid w:val="719EA496"/>
    <w:rsid w:val="71EC1982"/>
    <w:rsid w:val="71FFFB49"/>
    <w:rsid w:val="721FB91D"/>
    <w:rsid w:val="72232FD5"/>
    <w:rsid w:val="722EB858"/>
    <w:rsid w:val="722FD096"/>
    <w:rsid w:val="7232EBF2"/>
    <w:rsid w:val="728A283E"/>
    <w:rsid w:val="72B24333"/>
    <w:rsid w:val="72D06A54"/>
    <w:rsid w:val="72E8C441"/>
    <w:rsid w:val="733F91DA"/>
    <w:rsid w:val="73456A0B"/>
    <w:rsid w:val="7360CB13"/>
    <w:rsid w:val="73BF2855"/>
    <w:rsid w:val="73FD5CCB"/>
    <w:rsid w:val="73FEA783"/>
    <w:rsid w:val="742A5A2F"/>
    <w:rsid w:val="742E5707"/>
    <w:rsid w:val="7438CD1F"/>
    <w:rsid w:val="745A0900"/>
    <w:rsid w:val="7476271D"/>
    <w:rsid w:val="748608BA"/>
    <w:rsid w:val="7495E26D"/>
    <w:rsid w:val="74B7631E"/>
    <w:rsid w:val="74BA5A0B"/>
    <w:rsid w:val="74C4BF80"/>
    <w:rsid w:val="74E4846A"/>
    <w:rsid w:val="74F467A1"/>
    <w:rsid w:val="750035A1"/>
    <w:rsid w:val="75426E5A"/>
    <w:rsid w:val="755882AF"/>
    <w:rsid w:val="7567F767"/>
    <w:rsid w:val="75686C4D"/>
    <w:rsid w:val="7593E2B8"/>
    <w:rsid w:val="75A0E0EF"/>
    <w:rsid w:val="75F36ABD"/>
    <w:rsid w:val="76329AE2"/>
    <w:rsid w:val="7638F8A5"/>
    <w:rsid w:val="7657D337"/>
    <w:rsid w:val="76597459"/>
    <w:rsid w:val="76848C87"/>
    <w:rsid w:val="76881330"/>
    <w:rsid w:val="76C2A9FF"/>
    <w:rsid w:val="76CF0AF9"/>
    <w:rsid w:val="76DCDC87"/>
    <w:rsid w:val="7703DE06"/>
    <w:rsid w:val="77095CE9"/>
    <w:rsid w:val="77223317"/>
    <w:rsid w:val="77526F2C"/>
    <w:rsid w:val="7784E453"/>
    <w:rsid w:val="77BF9A5C"/>
    <w:rsid w:val="77CE7720"/>
    <w:rsid w:val="77DD671B"/>
    <w:rsid w:val="77E4AB84"/>
    <w:rsid w:val="781AE0E8"/>
    <w:rsid w:val="78361E0C"/>
    <w:rsid w:val="78A74F1B"/>
    <w:rsid w:val="78D0F679"/>
    <w:rsid w:val="78D38D93"/>
    <w:rsid w:val="79492C92"/>
    <w:rsid w:val="7952EEAE"/>
    <w:rsid w:val="7985BE89"/>
    <w:rsid w:val="799614F5"/>
    <w:rsid w:val="79C7A8EB"/>
    <w:rsid w:val="79CF7E14"/>
    <w:rsid w:val="7A07DB66"/>
    <w:rsid w:val="7A6C8EE6"/>
    <w:rsid w:val="7AA93F8D"/>
    <w:rsid w:val="7AA9D0B7"/>
    <w:rsid w:val="7ABB4EBE"/>
    <w:rsid w:val="7AEA5DB4"/>
    <w:rsid w:val="7B154920"/>
    <w:rsid w:val="7B39B38A"/>
    <w:rsid w:val="7B51E191"/>
    <w:rsid w:val="7B558AE9"/>
    <w:rsid w:val="7B604080"/>
    <w:rsid w:val="7B7412C5"/>
    <w:rsid w:val="7B7E7FA5"/>
    <w:rsid w:val="7C0247CF"/>
    <w:rsid w:val="7C1C9688"/>
    <w:rsid w:val="7C4A0F54"/>
    <w:rsid w:val="7C5BCDF7"/>
    <w:rsid w:val="7C81E8D4"/>
    <w:rsid w:val="7CE3D18B"/>
    <w:rsid w:val="7CFEBFCB"/>
    <w:rsid w:val="7D15A0CF"/>
    <w:rsid w:val="7D5A2391"/>
    <w:rsid w:val="7D70DBE1"/>
    <w:rsid w:val="7DDE4D32"/>
    <w:rsid w:val="7DFA56B3"/>
    <w:rsid w:val="7E3AD0BA"/>
    <w:rsid w:val="7E3B2A24"/>
    <w:rsid w:val="7E49932C"/>
    <w:rsid w:val="7E7CE8F5"/>
    <w:rsid w:val="7E8E18DD"/>
    <w:rsid w:val="7EA148A5"/>
    <w:rsid w:val="7EC10CAB"/>
    <w:rsid w:val="7EC5FE53"/>
    <w:rsid w:val="7F6B0400"/>
    <w:rsid w:val="7FB24711"/>
    <w:rsid w:val="7FD40B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7AE2DD4C-8751-4770-A271-CD5444ED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numPr>
        <w:numId w:val="1"/>
      </w:numPr>
    </w:pPr>
    <w:rPr>
      <w:rFonts w:eastAsia="Times New Roman"/>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v-S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v-S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customStyle="1" w:styleId="eop">
    <w:name w:val="eop"/>
    <w:basedOn w:val="DefaultParagraphFont"/>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normaltextrun">
    <w:name w:val="normaltextrun"/>
    <w:basedOn w:val="DefaultParagraphFont"/>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character" w:customStyle="1" w:styleId="ui-provider">
    <w:name w:val="ui-provider"/>
    <w:basedOn w:val="DefaultParagraphFont"/>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aragraph">
    <w:name w:val="paragraph"/>
    <w:basedOn w:val="Normal"/>
    <w:pPr>
      <w:spacing w:before="100" w:beforeAutospacing="1" w:after="100" w:afterAutospacing="1"/>
      <w:jc w:val="left"/>
    </w:pPr>
    <w:rPr>
      <w:rFonts w:eastAsia="Times New Roman"/>
      <w:szCs w:val="24"/>
      <w:lang w:eastAsia="en-IE"/>
    </w:rPr>
  </w:style>
  <w:style w:type="character" w:customStyle="1" w:styleId="superscript">
    <w:name w:val="superscript"/>
    <w:basedOn w:val="DefaultParagraphFont"/>
  </w:style>
  <w:style w:type="character" w:customStyle="1" w:styleId="Mention">
    <w:name w:val="Mention"/>
    <w:basedOn w:val="DefaultParagraphFont"/>
    <w:uiPriority w:val="99"/>
    <w:unhideWhenUsed/>
    <w:rsid w:val="006D7F9B"/>
    <w:rPr>
      <w:color w:val="2B579A"/>
      <w:shd w:val="clear" w:color="auto" w:fill="E1DFDD"/>
    </w:rPr>
  </w:style>
  <w:style w:type="character" w:customStyle="1" w:styleId="UnresolvedMention">
    <w:name w:val="Unresolved Mention"/>
    <w:basedOn w:val="DefaultParagraphFont"/>
    <w:uiPriority w:val="99"/>
    <w:semiHidden/>
    <w:unhideWhenUsed/>
    <w:rsid w:val="00C5096E"/>
    <w:rPr>
      <w:color w:val="605E5C"/>
      <w:shd w:val="clear" w:color="auto" w:fill="E1DFDD"/>
    </w:rPr>
  </w:style>
  <w:style w:type="character" w:customStyle="1" w:styleId="HeaderChar">
    <w:name w:val="Header Char"/>
    <w:basedOn w:val="DefaultParagraphFont"/>
    <w:link w:val="Header"/>
    <w:uiPriority w:val="99"/>
    <w:rsid w:val="002C3A24"/>
    <w:rPr>
      <w:rFonts w:ascii="Times New Roman" w:hAnsi="Times New Roman" w:cs="Times New Roman"/>
      <w:sz w:val="24"/>
      <w:lang w:val="sv-SE"/>
    </w:rPr>
  </w:style>
  <w:style w:type="character" w:customStyle="1" w:styleId="FooterChar">
    <w:name w:val="Footer Char"/>
    <w:basedOn w:val="DefaultParagraphFont"/>
    <w:link w:val="Footer"/>
    <w:uiPriority w:val="99"/>
    <w:rsid w:val="002C3A24"/>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v-S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v-S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v-S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v-S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v-S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v-S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v-S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2C3A2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C3A24"/>
    <w:pPr>
      <w:spacing w:before="0"/>
      <w:jc w:val="right"/>
    </w:pPr>
    <w:rPr>
      <w:sz w:val="28"/>
    </w:rPr>
  </w:style>
  <w:style w:type="paragraph" w:customStyle="1" w:styleId="FooterSensitivity">
    <w:name w:val="Footer Sensitivity"/>
    <w:basedOn w:val="Normal"/>
    <w:rsid w:val="002C3A2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2C3A24"/>
    <w:pPr>
      <w:tabs>
        <w:tab w:val="center" w:pos="4535"/>
        <w:tab w:val="right" w:pos="9071"/>
      </w:tabs>
      <w:spacing w:before="0"/>
    </w:pPr>
  </w:style>
  <w:style w:type="paragraph" w:customStyle="1" w:styleId="HeaderLandscape">
    <w:name w:val="HeaderLandscape"/>
    <w:basedOn w:val="Normal"/>
    <w:rsid w:val="002C3A24"/>
    <w:pPr>
      <w:tabs>
        <w:tab w:val="center" w:pos="7285"/>
        <w:tab w:val="right" w:pos="14003"/>
      </w:tabs>
      <w:spacing w:before="0"/>
    </w:pPr>
  </w:style>
  <w:style w:type="paragraph" w:styleId="Footer">
    <w:name w:val="footer"/>
    <w:basedOn w:val="Normal"/>
    <w:link w:val="FooterChar"/>
    <w:uiPriority w:val="99"/>
    <w:unhideWhenUsed/>
    <w:rsid w:val="002C3A24"/>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2C3A24"/>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4062">
      <w:bodyDiv w:val="1"/>
      <w:marLeft w:val="0"/>
      <w:marRight w:val="0"/>
      <w:marTop w:val="0"/>
      <w:marBottom w:val="0"/>
      <w:divBdr>
        <w:top w:val="none" w:sz="0" w:space="0" w:color="auto"/>
        <w:left w:val="none" w:sz="0" w:space="0" w:color="auto"/>
        <w:bottom w:val="none" w:sz="0" w:space="0" w:color="auto"/>
        <w:right w:val="none" w:sz="0" w:space="0" w:color="auto"/>
      </w:divBdr>
    </w:div>
    <w:div w:id="49349610">
      <w:bodyDiv w:val="1"/>
      <w:marLeft w:val="0"/>
      <w:marRight w:val="0"/>
      <w:marTop w:val="0"/>
      <w:marBottom w:val="0"/>
      <w:divBdr>
        <w:top w:val="none" w:sz="0" w:space="0" w:color="auto"/>
        <w:left w:val="none" w:sz="0" w:space="0" w:color="auto"/>
        <w:bottom w:val="none" w:sz="0" w:space="0" w:color="auto"/>
        <w:right w:val="none" w:sz="0" w:space="0" w:color="auto"/>
      </w:divBdr>
    </w:div>
    <w:div w:id="65227759">
      <w:bodyDiv w:val="1"/>
      <w:marLeft w:val="0"/>
      <w:marRight w:val="0"/>
      <w:marTop w:val="0"/>
      <w:marBottom w:val="0"/>
      <w:divBdr>
        <w:top w:val="none" w:sz="0" w:space="0" w:color="auto"/>
        <w:left w:val="none" w:sz="0" w:space="0" w:color="auto"/>
        <w:bottom w:val="none" w:sz="0" w:space="0" w:color="auto"/>
        <w:right w:val="none" w:sz="0" w:space="0" w:color="auto"/>
      </w:divBdr>
    </w:div>
    <w:div w:id="72894876">
      <w:bodyDiv w:val="1"/>
      <w:marLeft w:val="0"/>
      <w:marRight w:val="0"/>
      <w:marTop w:val="0"/>
      <w:marBottom w:val="0"/>
      <w:divBdr>
        <w:top w:val="none" w:sz="0" w:space="0" w:color="auto"/>
        <w:left w:val="none" w:sz="0" w:space="0" w:color="auto"/>
        <w:bottom w:val="none" w:sz="0" w:space="0" w:color="auto"/>
        <w:right w:val="none" w:sz="0" w:space="0" w:color="auto"/>
      </w:divBdr>
      <w:divsChild>
        <w:div w:id="684478751">
          <w:marLeft w:val="0"/>
          <w:marRight w:val="0"/>
          <w:marTop w:val="0"/>
          <w:marBottom w:val="0"/>
          <w:divBdr>
            <w:top w:val="none" w:sz="0" w:space="0" w:color="auto"/>
            <w:left w:val="none" w:sz="0" w:space="0" w:color="auto"/>
            <w:bottom w:val="none" w:sz="0" w:space="0" w:color="auto"/>
            <w:right w:val="none" w:sz="0" w:space="0" w:color="auto"/>
          </w:divBdr>
        </w:div>
        <w:div w:id="884950013">
          <w:marLeft w:val="0"/>
          <w:marRight w:val="0"/>
          <w:marTop w:val="0"/>
          <w:marBottom w:val="0"/>
          <w:divBdr>
            <w:top w:val="none" w:sz="0" w:space="0" w:color="auto"/>
            <w:left w:val="none" w:sz="0" w:space="0" w:color="auto"/>
            <w:bottom w:val="none" w:sz="0" w:space="0" w:color="auto"/>
            <w:right w:val="none" w:sz="0" w:space="0" w:color="auto"/>
          </w:divBdr>
        </w:div>
        <w:div w:id="1449081800">
          <w:marLeft w:val="0"/>
          <w:marRight w:val="0"/>
          <w:marTop w:val="0"/>
          <w:marBottom w:val="0"/>
          <w:divBdr>
            <w:top w:val="none" w:sz="0" w:space="0" w:color="auto"/>
            <w:left w:val="none" w:sz="0" w:space="0" w:color="auto"/>
            <w:bottom w:val="none" w:sz="0" w:space="0" w:color="auto"/>
            <w:right w:val="none" w:sz="0" w:space="0" w:color="auto"/>
          </w:divBdr>
        </w:div>
      </w:divsChild>
    </w:div>
    <w:div w:id="132215146">
      <w:bodyDiv w:val="1"/>
      <w:marLeft w:val="0"/>
      <w:marRight w:val="0"/>
      <w:marTop w:val="0"/>
      <w:marBottom w:val="0"/>
      <w:divBdr>
        <w:top w:val="none" w:sz="0" w:space="0" w:color="auto"/>
        <w:left w:val="none" w:sz="0" w:space="0" w:color="auto"/>
        <w:bottom w:val="none" w:sz="0" w:space="0" w:color="auto"/>
        <w:right w:val="none" w:sz="0" w:space="0" w:color="auto"/>
      </w:divBdr>
      <w:divsChild>
        <w:div w:id="925847878">
          <w:marLeft w:val="0"/>
          <w:marRight w:val="0"/>
          <w:marTop w:val="0"/>
          <w:marBottom w:val="0"/>
          <w:divBdr>
            <w:top w:val="none" w:sz="0" w:space="0" w:color="auto"/>
            <w:left w:val="none" w:sz="0" w:space="0" w:color="auto"/>
            <w:bottom w:val="none" w:sz="0" w:space="0" w:color="auto"/>
            <w:right w:val="none" w:sz="0" w:space="0" w:color="auto"/>
          </w:divBdr>
        </w:div>
        <w:div w:id="938871303">
          <w:marLeft w:val="0"/>
          <w:marRight w:val="0"/>
          <w:marTop w:val="0"/>
          <w:marBottom w:val="0"/>
          <w:divBdr>
            <w:top w:val="none" w:sz="0" w:space="0" w:color="auto"/>
            <w:left w:val="none" w:sz="0" w:space="0" w:color="auto"/>
            <w:bottom w:val="none" w:sz="0" w:space="0" w:color="auto"/>
            <w:right w:val="none" w:sz="0" w:space="0" w:color="auto"/>
          </w:divBdr>
        </w:div>
      </w:divsChild>
    </w:div>
    <w:div w:id="202328572">
      <w:bodyDiv w:val="1"/>
      <w:marLeft w:val="0"/>
      <w:marRight w:val="0"/>
      <w:marTop w:val="0"/>
      <w:marBottom w:val="0"/>
      <w:divBdr>
        <w:top w:val="none" w:sz="0" w:space="0" w:color="auto"/>
        <w:left w:val="none" w:sz="0" w:space="0" w:color="auto"/>
        <w:bottom w:val="none" w:sz="0" w:space="0" w:color="auto"/>
        <w:right w:val="none" w:sz="0" w:space="0" w:color="auto"/>
      </w:divBdr>
    </w:div>
    <w:div w:id="278220571">
      <w:bodyDiv w:val="1"/>
      <w:marLeft w:val="0"/>
      <w:marRight w:val="0"/>
      <w:marTop w:val="0"/>
      <w:marBottom w:val="0"/>
      <w:divBdr>
        <w:top w:val="none" w:sz="0" w:space="0" w:color="auto"/>
        <w:left w:val="none" w:sz="0" w:space="0" w:color="auto"/>
        <w:bottom w:val="none" w:sz="0" w:space="0" w:color="auto"/>
        <w:right w:val="none" w:sz="0" w:space="0" w:color="auto"/>
      </w:divBdr>
    </w:div>
    <w:div w:id="475801527">
      <w:bodyDiv w:val="1"/>
      <w:marLeft w:val="0"/>
      <w:marRight w:val="0"/>
      <w:marTop w:val="0"/>
      <w:marBottom w:val="0"/>
      <w:divBdr>
        <w:top w:val="none" w:sz="0" w:space="0" w:color="auto"/>
        <w:left w:val="none" w:sz="0" w:space="0" w:color="auto"/>
        <w:bottom w:val="none" w:sz="0" w:space="0" w:color="auto"/>
        <w:right w:val="none" w:sz="0" w:space="0" w:color="auto"/>
      </w:divBdr>
    </w:div>
    <w:div w:id="514930353">
      <w:bodyDiv w:val="1"/>
      <w:marLeft w:val="0"/>
      <w:marRight w:val="0"/>
      <w:marTop w:val="0"/>
      <w:marBottom w:val="0"/>
      <w:divBdr>
        <w:top w:val="none" w:sz="0" w:space="0" w:color="auto"/>
        <w:left w:val="none" w:sz="0" w:space="0" w:color="auto"/>
        <w:bottom w:val="none" w:sz="0" w:space="0" w:color="auto"/>
        <w:right w:val="none" w:sz="0" w:space="0" w:color="auto"/>
      </w:divBdr>
    </w:div>
    <w:div w:id="602037395">
      <w:bodyDiv w:val="1"/>
      <w:marLeft w:val="0"/>
      <w:marRight w:val="0"/>
      <w:marTop w:val="0"/>
      <w:marBottom w:val="0"/>
      <w:divBdr>
        <w:top w:val="none" w:sz="0" w:space="0" w:color="auto"/>
        <w:left w:val="none" w:sz="0" w:space="0" w:color="auto"/>
        <w:bottom w:val="none" w:sz="0" w:space="0" w:color="auto"/>
        <w:right w:val="none" w:sz="0" w:space="0" w:color="auto"/>
      </w:divBdr>
    </w:div>
    <w:div w:id="606738645">
      <w:bodyDiv w:val="1"/>
      <w:marLeft w:val="0"/>
      <w:marRight w:val="0"/>
      <w:marTop w:val="0"/>
      <w:marBottom w:val="0"/>
      <w:divBdr>
        <w:top w:val="none" w:sz="0" w:space="0" w:color="auto"/>
        <w:left w:val="none" w:sz="0" w:space="0" w:color="auto"/>
        <w:bottom w:val="none" w:sz="0" w:space="0" w:color="auto"/>
        <w:right w:val="none" w:sz="0" w:space="0" w:color="auto"/>
      </w:divBdr>
      <w:divsChild>
        <w:div w:id="798302481">
          <w:marLeft w:val="360"/>
          <w:marRight w:val="0"/>
          <w:marTop w:val="0"/>
          <w:marBottom w:val="160"/>
          <w:divBdr>
            <w:top w:val="none" w:sz="0" w:space="0" w:color="auto"/>
            <w:left w:val="none" w:sz="0" w:space="0" w:color="auto"/>
            <w:bottom w:val="none" w:sz="0" w:space="0" w:color="auto"/>
            <w:right w:val="none" w:sz="0" w:space="0" w:color="auto"/>
          </w:divBdr>
        </w:div>
      </w:divsChild>
    </w:div>
    <w:div w:id="608701650">
      <w:bodyDiv w:val="1"/>
      <w:marLeft w:val="0"/>
      <w:marRight w:val="0"/>
      <w:marTop w:val="0"/>
      <w:marBottom w:val="0"/>
      <w:divBdr>
        <w:top w:val="none" w:sz="0" w:space="0" w:color="auto"/>
        <w:left w:val="none" w:sz="0" w:space="0" w:color="auto"/>
        <w:bottom w:val="none" w:sz="0" w:space="0" w:color="auto"/>
        <w:right w:val="none" w:sz="0" w:space="0" w:color="auto"/>
      </w:divBdr>
    </w:div>
    <w:div w:id="640816557">
      <w:bodyDiv w:val="1"/>
      <w:marLeft w:val="0"/>
      <w:marRight w:val="0"/>
      <w:marTop w:val="0"/>
      <w:marBottom w:val="0"/>
      <w:divBdr>
        <w:top w:val="none" w:sz="0" w:space="0" w:color="auto"/>
        <w:left w:val="none" w:sz="0" w:space="0" w:color="auto"/>
        <w:bottom w:val="none" w:sz="0" w:space="0" w:color="auto"/>
        <w:right w:val="none" w:sz="0" w:space="0" w:color="auto"/>
      </w:divBdr>
    </w:div>
    <w:div w:id="727916566">
      <w:bodyDiv w:val="1"/>
      <w:marLeft w:val="0"/>
      <w:marRight w:val="0"/>
      <w:marTop w:val="0"/>
      <w:marBottom w:val="0"/>
      <w:divBdr>
        <w:top w:val="none" w:sz="0" w:space="0" w:color="auto"/>
        <w:left w:val="none" w:sz="0" w:space="0" w:color="auto"/>
        <w:bottom w:val="none" w:sz="0" w:space="0" w:color="auto"/>
        <w:right w:val="none" w:sz="0" w:space="0" w:color="auto"/>
      </w:divBdr>
    </w:div>
    <w:div w:id="925722292">
      <w:bodyDiv w:val="1"/>
      <w:marLeft w:val="0"/>
      <w:marRight w:val="0"/>
      <w:marTop w:val="0"/>
      <w:marBottom w:val="0"/>
      <w:divBdr>
        <w:top w:val="none" w:sz="0" w:space="0" w:color="auto"/>
        <w:left w:val="none" w:sz="0" w:space="0" w:color="auto"/>
        <w:bottom w:val="none" w:sz="0" w:space="0" w:color="auto"/>
        <w:right w:val="none" w:sz="0" w:space="0" w:color="auto"/>
      </w:divBdr>
    </w:div>
    <w:div w:id="966668461">
      <w:bodyDiv w:val="1"/>
      <w:marLeft w:val="0"/>
      <w:marRight w:val="0"/>
      <w:marTop w:val="0"/>
      <w:marBottom w:val="0"/>
      <w:divBdr>
        <w:top w:val="none" w:sz="0" w:space="0" w:color="auto"/>
        <w:left w:val="none" w:sz="0" w:space="0" w:color="auto"/>
        <w:bottom w:val="none" w:sz="0" w:space="0" w:color="auto"/>
        <w:right w:val="none" w:sz="0" w:space="0" w:color="auto"/>
      </w:divBdr>
    </w:div>
    <w:div w:id="1106460491">
      <w:bodyDiv w:val="1"/>
      <w:marLeft w:val="0"/>
      <w:marRight w:val="0"/>
      <w:marTop w:val="0"/>
      <w:marBottom w:val="0"/>
      <w:divBdr>
        <w:top w:val="none" w:sz="0" w:space="0" w:color="auto"/>
        <w:left w:val="none" w:sz="0" w:space="0" w:color="auto"/>
        <w:bottom w:val="none" w:sz="0" w:space="0" w:color="auto"/>
        <w:right w:val="none" w:sz="0" w:space="0" w:color="auto"/>
      </w:divBdr>
    </w:div>
    <w:div w:id="1139567415">
      <w:bodyDiv w:val="1"/>
      <w:marLeft w:val="0"/>
      <w:marRight w:val="0"/>
      <w:marTop w:val="0"/>
      <w:marBottom w:val="0"/>
      <w:divBdr>
        <w:top w:val="none" w:sz="0" w:space="0" w:color="auto"/>
        <w:left w:val="none" w:sz="0" w:space="0" w:color="auto"/>
        <w:bottom w:val="none" w:sz="0" w:space="0" w:color="auto"/>
        <w:right w:val="none" w:sz="0" w:space="0" w:color="auto"/>
      </w:divBdr>
    </w:div>
    <w:div w:id="1150707288">
      <w:bodyDiv w:val="1"/>
      <w:marLeft w:val="0"/>
      <w:marRight w:val="0"/>
      <w:marTop w:val="0"/>
      <w:marBottom w:val="0"/>
      <w:divBdr>
        <w:top w:val="none" w:sz="0" w:space="0" w:color="auto"/>
        <w:left w:val="none" w:sz="0" w:space="0" w:color="auto"/>
        <w:bottom w:val="none" w:sz="0" w:space="0" w:color="auto"/>
        <w:right w:val="none" w:sz="0" w:space="0" w:color="auto"/>
      </w:divBdr>
      <w:divsChild>
        <w:div w:id="120389817">
          <w:marLeft w:val="0"/>
          <w:marRight w:val="0"/>
          <w:marTop w:val="0"/>
          <w:marBottom w:val="0"/>
          <w:divBdr>
            <w:top w:val="none" w:sz="0" w:space="0" w:color="auto"/>
            <w:left w:val="none" w:sz="0" w:space="0" w:color="auto"/>
            <w:bottom w:val="none" w:sz="0" w:space="0" w:color="auto"/>
            <w:right w:val="none" w:sz="0" w:space="0" w:color="auto"/>
          </w:divBdr>
        </w:div>
        <w:div w:id="2141655175">
          <w:marLeft w:val="0"/>
          <w:marRight w:val="0"/>
          <w:marTop w:val="0"/>
          <w:marBottom w:val="0"/>
          <w:divBdr>
            <w:top w:val="none" w:sz="0" w:space="0" w:color="auto"/>
            <w:left w:val="none" w:sz="0" w:space="0" w:color="auto"/>
            <w:bottom w:val="none" w:sz="0" w:space="0" w:color="auto"/>
            <w:right w:val="none" w:sz="0" w:space="0" w:color="auto"/>
          </w:divBdr>
        </w:div>
      </w:divsChild>
    </w:div>
    <w:div w:id="1244217790">
      <w:bodyDiv w:val="1"/>
      <w:marLeft w:val="0"/>
      <w:marRight w:val="0"/>
      <w:marTop w:val="0"/>
      <w:marBottom w:val="0"/>
      <w:divBdr>
        <w:top w:val="none" w:sz="0" w:space="0" w:color="auto"/>
        <w:left w:val="none" w:sz="0" w:space="0" w:color="auto"/>
        <w:bottom w:val="none" w:sz="0" w:space="0" w:color="auto"/>
        <w:right w:val="none" w:sz="0" w:space="0" w:color="auto"/>
      </w:divBdr>
      <w:divsChild>
        <w:div w:id="177735751">
          <w:marLeft w:val="0"/>
          <w:marRight w:val="0"/>
          <w:marTop w:val="0"/>
          <w:marBottom w:val="0"/>
          <w:divBdr>
            <w:top w:val="none" w:sz="0" w:space="0" w:color="auto"/>
            <w:left w:val="none" w:sz="0" w:space="0" w:color="auto"/>
            <w:bottom w:val="none" w:sz="0" w:space="0" w:color="auto"/>
            <w:right w:val="none" w:sz="0" w:space="0" w:color="auto"/>
          </w:divBdr>
        </w:div>
        <w:div w:id="404646667">
          <w:marLeft w:val="0"/>
          <w:marRight w:val="0"/>
          <w:marTop w:val="0"/>
          <w:marBottom w:val="0"/>
          <w:divBdr>
            <w:top w:val="none" w:sz="0" w:space="0" w:color="auto"/>
            <w:left w:val="none" w:sz="0" w:space="0" w:color="auto"/>
            <w:bottom w:val="none" w:sz="0" w:space="0" w:color="auto"/>
            <w:right w:val="none" w:sz="0" w:space="0" w:color="auto"/>
          </w:divBdr>
        </w:div>
        <w:div w:id="770054521">
          <w:marLeft w:val="0"/>
          <w:marRight w:val="0"/>
          <w:marTop w:val="0"/>
          <w:marBottom w:val="0"/>
          <w:divBdr>
            <w:top w:val="none" w:sz="0" w:space="0" w:color="auto"/>
            <w:left w:val="none" w:sz="0" w:space="0" w:color="auto"/>
            <w:bottom w:val="none" w:sz="0" w:space="0" w:color="auto"/>
            <w:right w:val="none" w:sz="0" w:space="0" w:color="auto"/>
          </w:divBdr>
        </w:div>
      </w:divsChild>
    </w:div>
    <w:div w:id="1293251827">
      <w:bodyDiv w:val="1"/>
      <w:marLeft w:val="0"/>
      <w:marRight w:val="0"/>
      <w:marTop w:val="0"/>
      <w:marBottom w:val="0"/>
      <w:divBdr>
        <w:top w:val="none" w:sz="0" w:space="0" w:color="auto"/>
        <w:left w:val="none" w:sz="0" w:space="0" w:color="auto"/>
        <w:bottom w:val="none" w:sz="0" w:space="0" w:color="auto"/>
        <w:right w:val="none" w:sz="0" w:space="0" w:color="auto"/>
      </w:divBdr>
    </w:div>
    <w:div w:id="1314946313">
      <w:bodyDiv w:val="1"/>
      <w:marLeft w:val="0"/>
      <w:marRight w:val="0"/>
      <w:marTop w:val="0"/>
      <w:marBottom w:val="0"/>
      <w:divBdr>
        <w:top w:val="none" w:sz="0" w:space="0" w:color="auto"/>
        <w:left w:val="none" w:sz="0" w:space="0" w:color="auto"/>
        <w:bottom w:val="none" w:sz="0" w:space="0" w:color="auto"/>
        <w:right w:val="none" w:sz="0" w:space="0" w:color="auto"/>
      </w:divBdr>
    </w:div>
    <w:div w:id="1543636083">
      <w:bodyDiv w:val="1"/>
      <w:marLeft w:val="0"/>
      <w:marRight w:val="0"/>
      <w:marTop w:val="0"/>
      <w:marBottom w:val="0"/>
      <w:divBdr>
        <w:top w:val="none" w:sz="0" w:space="0" w:color="auto"/>
        <w:left w:val="none" w:sz="0" w:space="0" w:color="auto"/>
        <w:bottom w:val="none" w:sz="0" w:space="0" w:color="auto"/>
        <w:right w:val="none" w:sz="0" w:space="0" w:color="auto"/>
      </w:divBdr>
      <w:divsChild>
        <w:div w:id="1033000835">
          <w:marLeft w:val="360"/>
          <w:marRight w:val="0"/>
          <w:marTop w:val="0"/>
          <w:marBottom w:val="160"/>
          <w:divBdr>
            <w:top w:val="none" w:sz="0" w:space="0" w:color="auto"/>
            <w:left w:val="none" w:sz="0" w:space="0" w:color="auto"/>
            <w:bottom w:val="none" w:sz="0" w:space="0" w:color="auto"/>
            <w:right w:val="none" w:sz="0" w:space="0" w:color="auto"/>
          </w:divBdr>
        </w:div>
      </w:divsChild>
    </w:div>
    <w:div w:id="1581792308">
      <w:bodyDiv w:val="1"/>
      <w:marLeft w:val="0"/>
      <w:marRight w:val="0"/>
      <w:marTop w:val="0"/>
      <w:marBottom w:val="0"/>
      <w:divBdr>
        <w:top w:val="none" w:sz="0" w:space="0" w:color="auto"/>
        <w:left w:val="none" w:sz="0" w:space="0" w:color="auto"/>
        <w:bottom w:val="none" w:sz="0" w:space="0" w:color="auto"/>
        <w:right w:val="none" w:sz="0" w:space="0" w:color="auto"/>
      </w:divBdr>
    </w:div>
    <w:div w:id="1801337480">
      <w:bodyDiv w:val="1"/>
      <w:marLeft w:val="0"/>
      <w:marRight w:val="0"/>
      <w:marTop w:val="0"/>
      <w:marBottom w:val="0"/>
      <w:divBdr>
        <w:top w:val="none" w:sz="0" w:space="0" w:color="auto"/>
        <w:left w:val="none" w:sz="0" w:space="0" w:color="auto"/>
        <w:bottom w:val="none" w:sz="0" w:space="0" w:color="auto"/>
        <w:right w:val="none" w:sz="0" w:space="0" w:color="auto"/>
      </w:divBdr>
      <w:divsChild>
        <w:div w:id="198710115">
          <w:marLeft w:val="0"/>
          <w:marRight w:val="0"/>
          <w:marTop w:val="0"/>
          <w:marBottom w:val="0"/>
          <w:divBdr>
            <w:top w:val="none" w:sz="0" w:space="0" w:color="auto"/>
            <w:left w:val="none" w:sz="0" w:space="0" w:color="auto"/>
            <w:bottom w:val="none" w:sz="0" w:space="0" w:color="auto"/>
            <w:right w:val="none" w:sz="0" w:space="0" w:color="auto"/>
          </w:divBdr>
        </w:div>
        <w:div w:id="1024944231">
          <w:marLeft w:val="0"/>
          <w:marRight w:val="0"/>
          <w:marTop w:val="0"/>
          <w:marBottom w:val="0"/>
          <w:divBdr>
            <w:top w:val="none" w:sz="0" w:space="0" w:color="auto"/>
            <w:left w:val="none" w:sz="0" w:space="0" w:color="auto"/>
            <w:bottom w:val="none" w:sz="0" w:space="0" w:color="auto"/>
            <w:right w:val="none" w:sz="0" w:space="0" w:color="auto"/>
          </w:divBdr>
        </w:div>
      </w:divsChild>
    </w:div>
    <w:div w:id="187249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documenttasks/documenttasks1.xml><?xml version="1.0" encoding="utf-8"?>
<t:Tasks xmlns:t="http://schemas.microsoft.com/office/tasks/2019/documenttasks" xmlns:oel="http://schemas.microsoft.com/office/2019/extlst">
  <t:Task id="{F2E26404-18F7-4CEB-A920-D0958651DBB5}">
    <t:Anchor>
      <t:Comment id="1810327585"/>
    </t:Anchor>
    <t:History>
      <t:Event id="{54052D89-3E8E-4DAF-B092-90B2EE81F7BB}" time="2023-03-27T09:18:00.794Z">
        <t:Attribution userId="S::francesco.perticari@ec.europa.eu::9ea59f4c-194c-4786-8066-5b3be293c07f" userProvider="AD" userName="PERTICARI Francesco (ECFIN)"/>
        <t:Anchor>
          <t:Comment id="1810327585"/>
        </t:Anchor>
        <t:Create/>
      </t:Event>
      <t:Event id="{3D73CAE8-DF4F-4303-A6CC-BA3A6A553DBE}" time="2023-03-27T09:18:00.794Z">
        <t:Attribution userId="S::francesco.perticari@ec.europa.eu::9ea59f4c-194c-4786-8066-5b3be293c07f" userProvider="AD" userName="PERTICARI Francesco (ECFIN)"/>
        <t:Anchor>
          <t:Comment id="1810327585"/>
        </t:Anchor>
        <t:Assign userId="S::Aurelia-Madalina.PLENICEANU@ec.europa.eu::a0fe7b1c-00a9-4040-b8af-b1eac3d78215" userProvider="AD" userName="PLENICEANU Aurelia-Madalina (ECFIN)"/>
      </t:Event>
      <t:Event id="{966A6B76-547D-4321-9F90-B655A8463F32}" time="2023-03-27T09:18:00.794Z">
        <t:Attribution userId="S::francesco.perticari@ec.europa.eu::9ea59f4c-194c-4786-8066-5b3be293c07f" userProvider="AD" userName="PERTICARI Francesco (ECFIN)"/>
        <t:Anchor>
          <t:Comment id="1810327585"/>
        </t:Anchor>
        <t:SetTitle title="@PLENICEANU Aurelia-Madalina (ECFIN) TBD"/>
      </t:Event>
    </t:History>
  </t:Task>
  <t:Task id="{A481E945-A52A-4B94-8D92-275DA360AF8B}">
    <t:Anchor>
      <t:Comment id="2133395610"/>
    </t:Anchor>
    <t:History>
      <t:Event id="{FF94924C-1DC0-482E-B6E8-AB975FCA48F3}" time="2023-03-27T09:18:00.794Z">
        <t:Attribution userId="S::francesco.perticari@ec.europa.eu::9ea59f4c-194c-4786-8066-5b3be293c07f" userProvider="AD" userName="PERTICARI Francesco (ECFIN)"/>
        <t:Anchor>
          <t:Comment id="2133395610"/>
        </t:Anchor>
        <t:Create/>
      </t:Event>
      <t:Event id="{4A1B0725-1774-4FE0-8176-865E865D86FB}" time="2023-03-27T09:18:00.794Z">
        <t:Attribution userId="S::francesco.perticari@ec.europa.eu::9ea59f4c-194c-4786-8066-5b3be293c07f" userProvider="AD" userName="PERTICARI Francesco (ECFIN)"/>
        <t:Anchor>
          <t:Comment id="2133395610"/>
        </t:Anchor>
        <t:Assign userId="S::Aurelia-Madalina.PLENICEANU@ec.europa.eu::a0fe7b1c-00a9-4040-b8af-b1eac3d78215" userProvider="AD" userName="PLENICEANU Aurelia-Madalina (ECFIN)"/>
      </t:Event>
      <t:Event id="{D4042AA4-2AF1-45EF-AADC-9112004E7D48}" time="2023-03-27T09:18:00.794Z">
        <t:Attribution userId="S::francesco.perticari@ec.europa.eu::9ea59f4c-194c-4786-8066-5b3be293c07f" userProvider="AD" userName="PERTICARI Francesco (ECFIN)"/>
        <t:Anchor>
          <t:Comment id="2133395610"/>
        </t:Anchor>
        <t:SetTitle title="@PLENICEANU Aurelia-Madalina (ECFIN) TBD"/>
      </t:Event>
      <t:Event id="{5BA26A37-965F-455C-9E23-9F434299E54E}" time="2023-03-27T09:43:30.267Z">
        <t:Attribution userId="S::aurelia-madalina.pleniceanu@ec.europa.eu::a0fe7b1c-00a9-4040-b8af-b1eac3d78215" userProvider="AD" userName="PLENICEANU Aurelia-Madalina (ECFIN)"/>
        <t:Progress percentComplete="100"/>
      </t:Event>
    </t:History>
  </t:Task>
  <t:Task id="{511B2260-564B-43A5-8C0C-03047D4EC1A4}">
    <t:Anchor>
      <t:Comment id="768345462"/>
    </t:Anchor>
    <t:History>
      <t:Event id="{38BA315E-BC1D-48FF-8C7C-62CD80DA4654}" time="2023-03-27T09:18:00.794Z">
        <t:Attribution userId="S::francesco.perticari@ec.europa.eu::9ea59f4c-194c-4786-8066-5b3be293c07f" userProvider="AD" userName="PERTICARI Francesco (ECFIN)"/>
        <t:Anchor>
          <t:Comment id="768345462"/>
        </t:Anchor>
        <t:Create/>
      </t:Event>
      <t:Event id="{5EA04A65-E919-4CE6-975F-6C9840C73AA5}" time="2023-03-27T09:18:00.794Z">
        <t:Attribution userId="S::francesco.perticari@ec.europa.eu::9ea59f4c-194c-4786-8066-5b3be293c07f" userProvider="AD" userName="PERTICARI Francesco (ECFIN)"/>
        <t:Anchor>
          <t:Comment id="768345462"/>
        </t:Anchor>
        <t:Assign userId="S::Aurelia-Madalina.PLENICEANU@ec.europa.eu::a0fe7b1c-00a9-4040-b8af-b1eac3d78215" userProvider="AD" userName="PLENICEANU Aurelia-Madalina (ECFIN)"/>
      </t:Event>
      <t:Event id="{4F6F27ED-2EAF-4A8D-8C89-8CF950FF9DB4}" time="2023-03-27T09:18:00.794Z">
        <t:Attribution userId="S::francesco.perticari@ec.europa.eu::9ea59f4c-194c-4786-8066-5b3be293c07f" userProvider="AD" userName="PERTICARI Francesco (ECFIN)"/>
        <t:Anchor>
          <t:Comment id="768345462"/>
        </t:Anchor>
        <t:SetTitle title="@PLENICEANU Aurelia-Madalina (ECFIN) TBD"/>
      </t:Event>
      <t:Event id="{1C0B8B13-D2F5-49C4-A446-5AF85003FD0A}" time="2023-03-27T09:33:45.541Z">
        <t:Attribution userId="S::aurelia-madalina.pleniceanu@ec.europa.eu::a0fe7b1c-00a9-4040-b8af-b1eac3d78215" userProvider="AD" userName="PLENICEANU Aurelia-Madalina (ECFIN)"/>
        <t:Progress percentComplete="100"/>
      </t:Event>
    </t:History>
  </t:Task>
  <t:Task id="{A152B4F7-2C95-4F4A-A636-464B8D749761}">
    <t:Anchor>
      <t:Comment id="271047131"/>
    </t:Anchor>
    <t:History>
      <t:Event id="{7DF19C40-A487-4ADA-ACBC-AA18AAEE9DC3}" time="2025-03-25T16:45:58.145Z">
        <t:Attribution userId="S::Claudia.FERNANDEZ-GARCIA@ec.europa.eu::ab180a33-e5cb-4535-914d-a5435f29aeab" userProvider="AD" userName="FERNANDEZ GARCIA Claudia (ECFIN)"/>
        <t:Anchor>
          <t:Comment id="271047131"/>
        </t:Anchor>
        <t:Create/>
      </t:Event>
      <t:Event id="{5F63F9F7-8064-422F-ABB7-EE20A5CDFDD1}" time="2025-03-25T16:45:58.145Z">
        <t:Attribution userId="S::Claudia.FERNANDEZ-GARCIA@ec.europa.eu::ab180a33-e5cb-4535-914d-a5435f29aeab" userProvider="AD" userName="FERNANDEZ GARCIA Claudia (ECFIN)"/>
        <t:Anchor>
          <t:Comment id="271047131"/>
        </t:Anchor>
        <t:Assign userId="S::Ellen.LOFGREN@ec.europa.eu::d06a09c6-33db-4a1f-b358-bc993ff0f020" userProvider="AD" userName="LOFGREN Ellen (SG REFORM)"/>
      </t:Event>
      <t:Event id="{99B63FBD-FA2B-4900-A103-D41F2661533F}" time="2025-03-25T16:45:58.145Z">
        <t:Attribution userId="S::Claudia.FERNANDEZ-GARCIA@ec.europa.eu::ab180a33-e5cb-4535-914d-a5435f29aeab" userProvider="AD" userName="FERNANDEZ GARCIA Claudia (ECFIN)"/>
        <t:Anchor>
          <t:Comment id="271047131"/>
        </t:Anchor>
        <t:SetTitle title="@LOFGREN Ellen (SG REFORM) From the addendum submitted I don’t get what is modified in milestones 17 18 and 19 (the text seems to be same?). If you see the way the CID works is that we say: target 26 to be removed, targets 56 and 57 to be reduced.. What…"/>
      </t:Event>
    </t:History>
  </t:Task>
  <t:Task id="{618B2A47-006B-4607-B2DC-ADBF1463BC55}">
    <t:Anchor>
      <t:Comment id="1235278233"/>
    </t:Anchor>
    <t:History>
      <t:Event id="{B2065408-6CF8-4690-8431-840296D55666}" time="2025-03-25T16:45:58.145Z">
        <t:Attribution userId="S::Claudia.FERNANDEZ-GARCIA@ec.europa.eu::ab180a33-e5cb-4535-914d-a5435f29aeab" userProvider="AD" userName="FERNANDEZ GARCIA Claudia (ECFIN)"/>
        <t:Anchor>
          <t:Comment id="1235278233"/>
        </t:Anchor>
        <t:Create/>
      </t:Event>
      <t:Event id="{346C3235-A974-45B6-B4C8-D0037DDCB487}" time="2025-03-25T16:45:58.145Z">
        <t:Attribution userId="S::Claudia.FERNANDEZ-GARCIA@ec.europa.eu::ab180a33-e5cb-4535-914d-a5435f29aeab" userProvider="AD" userName="FERNANDEZ GARCIA Claudia (ECFIN)"/>
        <t:Anchor>
          <t:Comment id="1235278233"/>
        </t:Anchor>
        <t:Assign userId="S::Ellen.LOFGREN@ec.europa.eu::d06a09c6-33db-4a1f-b358-bc993ff0f020" userProvider="AD" userName="LOFGREN Ellen (SG REFORM)"/>
      </t:Event>
      <t:Event id="{58790D4A-C635-4FBC-A878-C7D804B01708}" time="2025-03-25T16:45:58.145Z">
        <t:Attribution userId="S::Claudia.FERNANDEZ-GARCIA@ec.europa.eu::ab180a33-e5cb-4535-914d-a5435f29aeab" userProvider="AD" userName="FERNANDEZ GARCIA Claudia (ECFIN)"/>
        <t:Anchor>
          <t:Comment id="1235278233"/>
        </t:Anchor>
        <t:SetTitle title="@LOFGREN Ellen (SG REFORM) From the addendum submitted I don’t get what is modified in milestones 17 18 and 19 (the text seems to be same?). If you see the way the CID works is that we say: target 26 to be removed, targets 56 and 57 to be reduced.. Wha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00ab43-7395-48ff-866c-657c86ba7f4e">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e6c3bc29-9e11-4027-900b-c73633d7928a"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094E9F29D6C04F85860C631ABC812A" ma:contentTypeVersion="18" ma:contentTypeDescription="Create a new document." ma:contentTypeScope="" ma:versionID="0f42662f09f6fc6f6b00eb6c31cefcb7">
  <xsd:schema xmlns:xsd="http://www.w3.org/2001/XMLSchema" xmlns:xs="http://www.w3.org/2001/XMLSchema" xmlns:p="http://schemas.microsoft.com/office/2006/metadata/properties" xmlns:ns1="http://schemas.microsoft.com/sharepoint/v3" xmlns:ns2="1700ab43-7395-48ff-866c-657c86ba7f4e" xmlns:ns3="e6c3bc29-9e11-4027-900b-c73633d7928a" targetNamespace="http://schemas.microsoft.com/office/2006/metadata/properties" ma:root="true" ma:fieldsID="d7c074b16e2fce5e2f8edb33164e7d7e" ns1:_="" ns2:_="" ns3:_="">
    <xsd:import namespace="http://schemas.microsoft.com/sharepoint/v3"/>
    <xsd:import namespace="1700ab43-7395-48ff-866c-657c86ba7f4e"/>
    <xsd:import namespace="e6c3bc29-9e11-4027-900b-c73633d79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00ab43-7395-48ff-866c-657c86ba7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c3bc29-9e11-4027-900b-c73633d792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cdd964-02da-4454-bfe5-d3da7d7a933e}" ma:internalName="TaxCatchAll" ma:showField="CatchAllData" ma:web="e6c3bc29-9e11-4027-900b-c73633d7928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2379E-E59E-4A12-9FAA-58C4AD59449E}">
  <ds:schemaRefs>
    <ds:schemaRef ds:uri="http://schemas.microsoft.com/office/2006/metadata/properties"/>
    <ds:schemaRef ds:uri="http://schemas.microsoft.com/office/infopath/2007/PartnerControls"/>
    <ds:schemaRef ds:uri="1700ab43-7395-48ff-866c-657c86ba7f4e"/>
    <ds:schemaRef ds:uri="e6c3bc29-9e11-4027-900b-c73633d7928a"/>
    <ds:schemaRef ds:uri="http://schemas.microsoft.com/sharepoint/v3"/>
  </ds:schemaRefs>
</ds:datastoreItem>
</file>

<file path=customXml/itemProps2.xml><?xml version="1.0" encoding="utf-8"?>
<ds:datastoreItem xmlns:ds="http://schemas.openxmlformats.org/officeDocument/2006/customXml" ds:itemID="{30DD6E6D-C28E-474B-9658-BB1AB5140FF7}">
  <ds:schemaRefs>
    <ds:schemaRef ds:uri="http://schemas.microsoft.com/sharepoint/v3/contenttype/forms"/>
  </ds:schemaRefs>
</ds:datastoreItem>
</file>

<file path=customXml/itemProps3.xml><?xml version="1.0" encoding="utf-8"?>
<ds:datastoreItem xmlns:ds="http://schemas.openxmlformats.org/officeDocument/2006/customXml" ds:itemID="{135A934E-A6CA-40C2-B591-B638661F4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00ab43-7395-48ff-866c-657c86ba7f4e"/>
    <ds:schemaRef ds:uri="e6c3bc29-9e11-4027-900b-c73633d79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E3C275-9C27-491F-BED8-4C523EC1B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205</TotalTime>
  <Pages>8</Pages>
  <Words>2949</Words>
  <Characters>16810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848</cp:revision>
  <cp:lastPrinted>2025-03-30T00:13:00Z</cp:lastPrinted>
  <dcterms:created xsi:type="dcterms:W3CDTF">2024-10-09T22:45:00Z</dcterms:created>
  <dcterms:modified xsi:type="dcterms:W3CDTF">2025-04-29T09:45:00Z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Created using">
    <vt:lpwstr>LW 8.0.1, Build 20220429</vt:lpwstr>
  </property>
  <property fmtid="{D5CDD505-2E9C-101B-9397-08002B2CF9AE}" pid="5" name="Part">
    <vt:lpwstr>1</vt:lpwstr>
  </property>
  <property fmtid="{D5CDD505-2E9C-101B-9397-08002B2CF9AE}" pid="6" name="Total parts">
    <vt:lpwstr>1</vt:lpwstr>
  </property>
  <property fmtid="{D5CDD505-2E9C-101B-9397-08002B2CF9AE}" pid="7" name="Level of sensitivity">
    <vt:lpwstr>Standard treatment</vt:lpwstr>
  </property>
  <property fmtid="{D5CDD505-2E9C-101B-9397-08002B2CF9AE}" pid="8" name="LWTemplateID">
    <vt:lpwstr>SJ-020</vt:lpwstr>
  </property>
  <property fmtid="{D5CDD505-2E9C-101B-9397-08002B2CF9AE}" pid="9" name="MSIP_Label_6bd9ddd1-4d20-43f6-abfa-fc3c07406f94_Enabled">
    <vt:lpwstr>true</vt:lpwstr>
  </property>
  <property fmtid="{D5CDD505-2E9C-101B-9397-08002B2CF9AE}" pid="10" name="MSIP_Label_6bd9ddd1-4d20-43f6-abfa-fc3c07406f94_SetDate">
    <vt:lpwstr>2023-03-02T12:49:16Z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8f582852-c262-4eca-97ef-cdd4caf4869a</vt:lpwstr>
  </property>
  <property fmtid="{D5CDD505-2E9C-101B-9397-08002B2CF9AE}" pid="15" name="MSIP_Label_6bd9ddd1-4d20-43f6-abfa-fc3c07406f94_ContentBits">
    <vt:lpwstr>0</vt:lpwstr>
  </property>
  <property fmtid="{D5CDD505-2E9C-101B-9397-08002B2CF9AE}" pid="16" name="ContentTypeId">
    <vt:lpwstr>0x01010062094E9F29D6C04F85860C631ABC812A</vt:lpwstr>
  </property>
  <property fmtid="{D5CDD505-2E9C-101B-9397-08002B2CF9AE}" pid="17" name="Last edited using">
    <vt:lpwstr>LW 9.0, Build 20230317</vt:lpwstr>
  </property>
  <property fmtid="{D5CDD505-2E9C-101B-9397-08002B2CF9AE}" pid="18" name="MediaServiceImageTags">
    <vt:lpwstr/>
  </property>
  <property fmtid="{D5CDD505-2E9C-101B-9397-08002B2CF9AE}" pid="19" name="DQCStatus">
    <vt:lpwstr>Green (DQC version 03)</vt:lpwstr>
  </property>
</Properties>
</file>