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4B4EC" w14:textId="74BA03A0" w:rsidR="00877B3D" w:rsidRPr="00C754CA" w:rsidRDefault="008E2EBB" w:rsidP="008E2EBB">
      <w:pPr>
        <w:pStyle w:val="Pagedecouverture"/>
        <w:rPr>
          <w:noProof/>
        </w:rPr>
      </w:pPr>
      <w:r>
        <w:rPr>
          <w:noProof/>
        </w:rPr>
        <w:pict w14:anchorId="7F2F4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D1836C6-9DF4-49C1-957E-C62B86006488" style="width:455.25pt;height:369.75pt">
            <v:imagedata r:id="rId11" o:title=""/>
          </v:shape>
        </w:pict>
      </w:r>
    </w:p>
    <w:p w14:paraId="08FD8B3E" w14:textId="77777777" w:rsidR="00E475A3" w:rsidRPr="00C754CA" w:rsidRDefault="00E475A3" w:rsidP="00E475A3">
      <w:pPr>
        <w:rPr>
          <w:noProof/>
        </w:rPr>
        <w:sectPr w:rsidR="00E475A3" w:rsidRPr="00C754CA" w:rsidSect="008E2EBB">
          <w:footerReference w:type="even" r:id="rId12"/>
          <w:footerReference w:type="default" r:id="rId13"/>
          <w:pgSz w:w="11907" w:h="16839"/>
          <w:pgMar w:top="1134" w:right="1417" w:bottom="1134" w:left="1417" w:header="709" w:footer="709" w:gutter="0"/>
          <w:pgNumType w:start="0"/>
          <w:cols w:space="720"/>
          <w:docGrid w:linePitch="360"/>
        </w:sectPr>
      </w:pPr>
    </w:p>
    <w:p w14:paraId="01D38445" w14:textId="77777777" w:rsidR="000852D5" w:rsidRPr="00C754CA" w:rsidRDefault="000852D5">
      <w:pPr>
        <w:pStyle w:val="Exposdesmotifstitre"/>
        <w:rPr>
          <w:noProof/>
        </w:rPr>
      </w:pPr>
      <w:bookmarkStart w:id="0" w:name="_GoBack"/>
      <w:bookmarkEnd w:id="0"/>
      <w:r w:rsidRPr="00C754CA">
        <w:rPr>
          <w:noProof/>
        </w:rPr>
        <w:lastRenderedPageBreak/>
        <w:t>BEGRÜNDUNG</w:t>
      </w:r>
    </w:p>
    <w:p w14:paraId="2A860E21" w14:textId="77777777" w:rsidR="000852D5" w:rsidRPr="00C754CA" w:rsidRDefault="000852D5">
      <w:pPr>
        <w:pStyle w:val="ManualHeading1"/>
        <w:rPr>
          <w:noProof/>
        </w:rPr>
      </w:pPr>
      <w:r w:rsidRPr="00E2773D">
        <w:rPr>
          <w:noProof/>
        </w:rPr>
        <w:t>1</w:t>
      </w:r>
      <w:r w:rsidRPr="00C754CA">
        <w:rPr>
          <w:noProof/>
        </w:rPr>
        <w:t>.</w:t>
      </w:r>
      <w:r w:rsidRPr="00C754CA">
        <w:rPr>
          <w:noProof/>
        </w:rPr>
        <w:tab/>
        <w:t>KONTEXT DES VORSCHLAGS</w:t>
      </w:r>
    </w:p>
    <w:p w14:paraId="73D8D145" w14:textId="77777777" w:rsidR="000852D5" w:rsidRPr="00C754CA" w:rsidRDefault="000852D5">
      <w:pPr>
        <w:pStyle w:val="ManualHeading2"/>
        <w:rPr>
          <w:rFonts w:eastAsia="Arial Unicode MS"/>
          <w:noProof/>
        </w:rPr>
      </w:pPr>
      <w:r w:rsidRPr="00C754CA">
        <w:rPr>
          <w:noProof/>
          <w:color w:val="000000"/>
          <w:u w:color="000000"/>
          <w:bdr w:val="nil"/>
        </w:rPr>
        <w:t>•</w:t>
      </w:r>
      <w:r w:rsidRPr="00C754CA">
        <w:rPr>
          <w:noProof/>
          <w:color w:val="000000"/>
          <w:u w:color="000000"/>
          <w:bdr w:val="nil"/>
        </w:rPr>
        <w:tab/>
      </w:r>
      <w:r w:rsidRPr="00C754CA">
        <w:rPr>
          <w:noProof/>
        </w:rPr>
        <w:t>Gründe und Ziele des Vorschlags</w:t>
      </w:r>
    </w:p>
    <w:p w14:paraId="5FE12745" w14:textId="77777777" w:rsidR="00FC04A3" w:rsidRPr="00C754CA" w:rsidRDefault="00FC04A3" w:rsidP="00FC04A3">
      <w:pPr>
        <w:rPr>
          <w:rFonts w:ascii="Segoe UI" w:hAnsi="Segoe UI" w:cs="Segoe UI"/>
          <w:noProof/>
          <w:sz w:val="18"/>
          <w:szCs w:val="18"/>
        </w:rPr>
      </w:pPr>
      <w:bookmarkStart w:id="1" w:name="_Hlk194321056"/>
      <w:r w:rsidRPr="00C754CA">
        <w:rPr>
          <w:noProof/>
        </w:rPr>
        <w:t xml:space="preserve">Die Halbzeitüberprüfung der Kohäsionspolitik bietet den Mitgliedstaaten die Gelegenheit, Mittel für den Zeitraum </w:t>
      </w:r>
      <w:r w:rsidRPr="00E2773D">
        <w:rPr>
          <w:noProof/>
        </w:rPr>
        <w:t>2021</w:t>
      </w:r>
      <w:r w:rsidRPr="00C754CA">
        <w:rPr>
          <w:noProof/>
        </w:rPr>
        <w:t>-</w:t>
      </w:r>
      <w:r w:rsidRPr="00E2773D">
        <w:rPr>
          <w:noProof/>
        </w:rPr>
        <w:t>2027</w:t>
      </w:r>
      <w:r w:rsidRPr="00C754CA">
        <w:rPr>
          <w:noProof/>
        </w:rPr>
        <w:t xml:space="preserve"> auf Investitionen in die Verteidigungsfähigkeit, Wettbewerbsfähigkeit und strategische Autonomie der EU sowie auf andere neue Prioritäten, einschließlich der Ziele des Deals für eine saubere Industrie, umzuschichten, indem sie der Kommission entsprechende Programmänderungen vorlegen. Der in den Verordnungen über den Europäischen Fonds für regionale Entwicklung, den Kohäsionsfonds und den Fonds für einen gerechten Übergang festgelegte Rahmen für kohäsionspolitische Investitionen ist jedoch nicht ausreichend auf diese neuen Prioritäten abgestimmt. Darüber hinaus ist zusätzliche Flexibilität erforderlich, um Investitionen in diesen Bereichen zu beschleunigen, insbesondere um in der gegenwärtigen kritischen geopolitischen Situation, in der sich die EU befindet, die Widerstandsfähigkeit der EU-Wirtschaft und aller ihrer Regionen zu stärken. Dieser Vorschlag enthält verschiedene Anpassungen der genannten Verordnungen, um diese Ziele zu erreichen</w:t>
      </w:r>
      <w:bookmarkEnd w:id="1"/>
      <w:r w:rsidRPr="00C754CA">
        <w:rPr>
          <w:noProof/>
        </w:rPr>
        <w:t>.</w:t>
      </w:r>
    </w:p>
    <w:p w14:paraId="5BAC6EC9" w14:textId="77777777" w:rsidR="00FC04A3" w:rsidRPr="00C754CA" w:rsidRDefault="00FC04A3" w:rsidP="00FC04A3">
      <w:pPr>
        <w:spacing w:before="240"/>
        <w:rPr>
          <w:rStyle w:val="eop"/>
          <w:rFonts w:eastAsiaTheme="majorEastAsia"/>
          <w:b/>
          <w:bCs/>
          <w:noProof/>
          <w:color w:val="000000" w:themeColor="text1"/>
        </w:rPr>
      </w:pPr>
      <w:r w:rsidRPr="00C754CA">
        <w:rPr>
          <w:rStyle w:val="eop"/>
          <w:b/>
          <w:noProof/>
          <w:color w:val="000000" w:themeColor="text1"/>
        </w:rPr>
        <w:t>Ausrichtung der kohäsionspolitischen Investitionen auf neue Prioritäten</w:t>
      </w:r>
    </w:p>
    <w:p w14:paraId="0123045E" w14:textId="77777777" w:rsidR="00FC04A3" w:rsidRPr="00C754CA" w:rsidRDefault="4B743CAF" w:rsidP="142F223E">
      <w:pPr>
        <w:rPr>
          <w:rStyle w:val="eop"/>
          <w:rFonts w:eastAsia="Times New Roman"/>
          <w:noProof/>
          <w:color w:val="000000" w:themeColor="text1"/>
        </w:rPr>
      </w:pPr>
      <w:bookmarkStart w:id="2" w:name="_Hlk194321097"/>
      <w:r w:rsidRPr="00C754CA">
        <w:rPr>
          <w:rStyle w:val="eop"/>
          <w:noProof/>
          <w:color w:val="000000" w:themeColor="text1"/>
        </w:rPr>
        <w:t>In den letzten Jahren war die geopolitische Dynamik von großer Unsicherheit geprägt, die eine grundlegende Neubewertung der strategischen Autonomie, Resilienz und Abwehrbereitschaft der EU erforderlich machte. Diese Veränderungen vollziehen sich parallel zum ökologischen, sozialen und technologischen Wandel, der die Welt um uns herum sehr schnell verändert. Die Herausforderungen, die sich aus diesen sich gleichzeitig vollziehenden Veränderungen ergeben, wurden in dem im September </w:t>
      </w:r>
      <w:r w:rsidRPr="00E2773D">
        <w:rPr>
          <w:rStyle w:val="eop"/>
          <w:noProof/>
          <w:color w:val="000000" w:themeColor="text1"/>
        </w:rPr>
        <w:t>2024</w:t>
      </w:r>
      <w:r w:rsidRPr="00C754CA">
        <w:rPr>
          <w:rStyle w:val="eop"/>
          <w:noProof/>
          <w:color w:val="000000" w:themeColor="text1"/>
        </w:rPr>
        <w:t xml:space="preserve"> veröffentlichten Bericht über die Zukunft der europäischen Wettbewerbsfähigkeit umfassend analysiert. Gemäß diesem Bericht ist es dringend notwendig, die Innovationslücke zu schließen, die Dekarbonisierungsbemühungen zur Stärkung der wirtschaftlichen Wettbewerbsfähigkeit zu beschleunigen und die Abhängigkeit von externen Faktoren zu verringern, indem die Lieferketten diversifiziert werden, die Erzeugung grüner Energie in der EU ausgeweitet sowie in Klimaresilienz, Digitalisierung und kritische Sektoren investiert wird.</w:t>
      </w:r>
    </w:p>
    <w:p w14:paraId="376B3A7A" w14:textId="77777777" w:rsidR="00FC04A3" w:rsidRPr="00C754CA" w:rsidRDefault="00FC04A3" w:rsidP="00FC04A3">
      <w:pPr>
        <w:rPr>
          <w:rStyle w:val="eop"/>
          <w:rFonts w:eastAsiaTheme="majorEastAsia"/>
          <w:noProof/>
          <w:color w:val="000000" w:themeColor="text1"/>
        </w:rPr>
      </w:pPr>
      <w:r w:rsidRPr="00C754CA">
        <w:rPr>
          <w:rStyle w:val="eop"/>
          <w:noProof/>
          <w:color w:val="000000" w:themeColor="text1"/>
        </w:rPr>
        <w:t>Als Reaktion darauf wurden bereits mehrere wichtige Initiativen eingeleitet, um die wirtschaftliche Widerstandsfähigkeit und strategische Autonomie der EU zu stärken. Dazu gehören die „Plattform für strategische Technologien für Europa“ (Strategic Technologies for Europe Platform, STEP), mit der die technologische Führungsrolle Europas gestärkt werden soll, und der Plan „REPowerEU“, mit dem die Abhängigkeit von externen Energiequellen verringert und der ökologische Wandel beschleunigt werden soll; dadurch sollen die bereits laufenden Maßnahmen im Rahmen der kohäsionspolitischen Programme und der Aufbau- und Resilienzfazilität (ARF) ergänzt, strukturelle Veränderungen in den Mitgliedstaaten und Regionen unterstützt und deren Resilienz verbessert werden.</w:t>
      </w:r>
    </w:p>
    <w:p w14:paraId="27AF3A3B" w14:textId="77777777" w:rsidR="00FC04A3" w:rsidRPr="00C754CA" w:rsidRDefault="00FC04A3" w:rsidP="00FC04A3">
      <w:pPr>
        <w:rPr>
          <w:rStyle w:val="eop"/>
          <w:rFonts w:eastAsiaTheme="majorEastAsia"/>
          <w:noProof/>
          <w:color w:val="000000" w:themeColor="text1"/>
        </w:rPr>
      </w:pPr>
      <w:r w:rsidRPr="00C754CA">
        <w:rPr>
          <w:rStyle w:val="eop"/>
          <w:noProof/>
          <w:color w:val="000000" w:themeColor="text1"/>
        </w:rPr>
        <w:t xml:space="preserve">Als wichtigstes Investitionsinstrument der EU innerhalb des Mehrjährigen Finanzrahmens (MFR) spielt die Kohäsionspolitik eine entscheidende Rolle bei der Unterstützung dieser Prioritäten. Sie fördert gezielte Investitionen, mit denen ein Beitrag zum wirtschaftlichen, sozialen und territorialen Zusammenhalt geleistet wird und gleichzeitig neue Herausforderungen angegangen werden. Der Rechtsrahmen für die Fonds der Kohäsionspolitik für den Zeitraum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2027</w:t>
      </w:r>
      <w:r w:rsidRPr="00C754CA">
        <w:rPr>
          <w:rStyle w:val="eop"/>
          <w:noProof/>
          <w:color w:val="000000" w:themeColor="text1"/>
        </w:rPr>
        <w:t xml:space="preserve"> wurde jedoch vor dem Eintritt einer Reihe folgenreicher geopolitischer und wirtschaftlicher Ereignisse ausgearbeitet, ausgehandelt und angenommen, durch die sich einige der strategischen politischen Prioritäten der EU verändert haben.</w:t>
      </w:r>
    </w:p>
    <w:p w14:paraId="0859BB8F" w14:textId="77777777" w:rsidR="00FC04A3" w:rsidRPr="00C754CA" w:rsidRDefault="00FC04A3" w:rsidP="00FC04A3">
      <w:pPr>
        <w:rPr>
          <w:rStyle w:val="eop"/>
          <w:rFonts w:eastAsiaTheme="majorEastAsia"/>
          <w:noProof/>
          <w:color w:val="000000" w:themeColor="text1"/>
        </w:rPr>
      </w:pPr>
      <w:r w:rsidRPr="00C754CA">
        <w:rPr>
          <w:rStyle w:val="eop"/>
          <w:noProof/>
          <w:color w:val="000000" w:themeColor="text1"/>
        </w:rPr>
        <w:t>Auch die Partnerschaftsvereinbarungen sowie die nationalen und regionalen kohäsionspolitischen Programme wurden in diesem Zeitraum ausgearbeitet und gebilligt und spiegeln somit die damals festgelegten Prioritäten wider. In Anbetracht des sich wandelnden globalen und regionalen Kontexts bietet die Halbzeitüberprüfung </w:t>
      </w:r>
      <w:r w:rsidRPr="00E2773D">
        <w:rPr>
          <w:rStyle w:val="eop"/>
          <w:noProof/>
          <w:color w:val="000000" w:themeColor="text1"/>
        </w:rPr>
        <w:t>2025</w:t>
      </w:r>
      <w:r w:rsidRPr="00C754CA">
        <w:rPr>
          <w:rStyle w:val="eop"/>
          <w:noProof/>
          <w:color w:val="000000" w:themeColor="text1"/>
        </w:rPr>
        <w:t xml:space="preserve"> eine gute Gelegenheit, ihre Umsetzung und die Wirksamkeit ihres Beitrags zu den sich wandelnden Prioritäten zu bewerten. Diese Überprüfung wird dazu beitragen, festzustellen, inwieweit die kohäsionspolitischen Programme direkt und schnell auf die sich rasch verändernden politischen, wirtschaftlichen und sozialen Gegebenheiten reagieren können.</w:t>
      </w:r>
    </w:p>
    <w:p w14:paraId="757D136B" w14:textId="77777777" w:rsidR="00FC04A3" w:rsidRPr="00C754CA" w:rsidRDefault="00FC04A3" w:rsidP="00FC04A3">
      <w:pPr>
        <w:rPr>
          <w:rStyle w:val="eop"/>
          <w:rFonts w:eastAsiaTheme="majorEastAsia"/>
          <w:noProof/>
          <w:color w:val="000000" w:themeColor="text1"/>
        </w:rPr>
      </w:pPr>
      <w:r w:rsidRPr="00C754CA">
        <w:rPr>
          <w:rStyle w:val="eop"/>
          <w:noProof/>
          <w:color w:val="000000" w:themeColor="text1"/>
        </w:rPr>
        <w:t xml:space="preserve">Gleichzeitig hat sich gezeigt, dass die frühe Umsetzung der kohäsionspolitischen Programme im Zeitraum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2027</w:t>
      </w:r>
      <w:r w:rsidRPr="00C754CA">
        <w:rPr>
          <w:rStyle w:val="eop"/>
          <w:noProof/>
          <w:color w:val="000000" w:themeColor="text1"/>
        </w:rPr>
        <w:t xml:space="preserve"> mit Herausforderungen verbunden war, die einer raschen Inanspruchnahme und Auszahlung der Mittel nicht förderlich waren und gegenüber früheren Programmplanungszeiträumen zu Verzögerungen bei der Durchführung geführt haben. Diese Verzögerungen fallen in eine Zeit, in der umfangreiche und beschleunigte Investitionen zur Stärkung der wirtschaftlichen Widerstandsfähigkeit und Wettbewerbsfähigkeit unerlässlich sind.</w:t>
      </w:r>
    </w:p>
    <w:p w14:paraId="5A5EF218" w14:textId="77777777" w:rsidR="00F71339" w:rsidRPr="00C754CA" w:rsidRDefault="00FC04A3">
      <w:pPr>
        <w:pStyle w:val="ListBullet"/>
        <w:rPr>
          <w:rStyle w:val="eop"/>
          <w:rFonts w:eastAsiaTheme="majorEastAsia"/>
          <w:noProof/>
          <w:color w:val="000000" w:themeColor="text1"/>
        </w:rPr>
      </w:pPr>
      <w:r w:rsidRPr="00C754CA">
        <w:rPr>
          <w:rStyle w:val="eop"/>
          <w:noProof/>
          <w:color w:val="000000" w:themeColor="text1"/>
        </w:rPr>
        <w:t xml:space="preserve">Vor diesem Hintergrund schlägt die Kommission gezielte Änderungen der Verordnungen (EU)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1056</w:t>
      </w:r>
      <w:r w:rsidRPr="00C754CA">
        <w:rPr>
          <w:rStyle w:val="eop"/>
          <w:noProof/>
          <w:color w:val="000000" w:themeColor="text1"/>
        </w:rPr>
        <w:t xml:space="preserve"> und (EU)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1058</w:t>
      </w:r>
      <w:r w:rsidRPr="00C754CA">
        <w:rPr>
          <w:rStyle w:val="eop"/>
          <w:noProof/>
          <w:color w:val="000000" w:themeColor="text1"/>
        </w:rPr>
        <w:t xml:space="preserve"> vor. Diese Änderungen haben den Zweck, die Investitionsprioritäten an den sich wandelnden wirtschaftlichen, gesellschaftlichen und geopolitischen Kontext </w:t>
      </w:r>
      <w:r w:rsidRPr="00C754CA">
        <w:rPr>
          <w:noProof/>
        </w:rPr>
        <w:t xml:space="preserve">sowie unsere Klima- und Umweltziele anzupassen und </w:t>
      </w:r>
      <w:r w:rsidRPr="00C754CA">
        <w:rPr>
          <w:rStyle w:val="eop"/>
          <w:noProof/>
          <w:color w:val="000000" w:themeColor="text1"/>
        </w:rPr>
        <w:t xml:space="preserve">gleichzeitig mehr Flexibilität und Anreize zu schaffen, um die rasche Bereitstellung der dringend benötigten Mittel zu erleichtern und zu fördern. Durch die Überarbeitung des kohäsionspolitischen Rahmens für den Zeitraum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2027</w:t>
      </w:r>
      <w:r w:rsidRPr="00C754CA">
        <w:rPr>
          <w:rStyle w:val="eop"/>
          <w:noProof/>
          <w:color w:val="000000" w:themeColor="text1"/>
        </w:rPr>
        <w:t xml:space="preserve"> kann die EU sicherstellen, dass ihre Investitionsmechanismen flexibel und reaktionsfähig bleiben und eine wirksamere Reaktion auf aktuelle und künftige Herausforderungen ermöglichen. </w:t>
      </w:r>
    </w:p>
    <w:p w14:paraId="077A773C" w14:textId="77777777" w:rsidR="00FC04A3" w:rsidRPr="00C754CA" w:rsidRDefault="00FC04A3">
      <w:pPr>
        <w:pStyle w:val="ListBullet"/>
        <w:rPr>
          <w:rStyle w:val="eop"/>
          <w:noProof/>
          <w:color w:val="000000" w:themeColor="text1"/>
        </w:rPr>
      </w:pPr>
      <w:r w:rsidRPr="00C754CA">
        <w:rPr>
          <w:rStyle w:val="eop"/>
          <w:noProof/>
          <w:color w:val="000000" w:themeColor="text1"/>
        </w:rPr>
        <w:t xml:space="preserve">Damit die Mitgliedstaaten die in diesem Vorschlag vorgesehenen Möglichkeiten wirksam nutzen können, schlägt die Kommission vor, ihnen zu gestatten, ihren Vorschlag für die Halbzeitüberprüfung innerhalb von zwei Monaten nach Inkrafttreten des vorliegenden Vorschlags zur Änderung der Verordnung (EU)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1058</w:t>
      </w:r>
      <w:r w:rsidRPr="00C754CA">
        <w:rPr>
          <w:rStyle w:val="eop"/>
          <w:noProof/>
          <w:color w:val="000000" w:themeColor="text1"/>
        </w:rPr>
        <w:t xml:space="preserve"> erneut vorzulegen</w:t>
      </w:r>
      <w:bookmarkEnd w:id="2"/>
      <w:r w:rsidRPr="00C754CA">
        <w:rPr>
          <w:rStyle w:val="eop"/>
          <w:noProof/>
          <w:color w:val="000000" w:themeColor="text1"/>
        </w:rPr>
        <w:t xml:space="preserve">. </w:t>
      </w:r>
      <w:r w:rsidRPr="00C754CA">
        <w:rPr>
          <w:noProof/>
        </w:rPr>
        <w:t xml:space="preserve">Eine etwaige Programmänderung, die im Rahmen der neuen Prioritäten und Flexibilitätsregelungen vorgenommen wird, hat keinen Einfluss auf die Anwendung der Maßnahmen, die gemäß der Verordnung (EU) </w:t>
      </w:r>
      <w:r w:rsidRPr="00E2773D">
        <w:rPr>
          <w:noProof/>
        </w:rPr>
        <w:t>2020</w:t>
      </w:r>
      <w:r w:rsidRPr="00C754CA">
        <w:rPr>
          <w:noProof/>
        </w:rPr>
        <w:t>/</w:t>
      </w:r>
      <w:r w:rsidRPr="00E2773D">
        <w:rPr>
          <w:noProof/>
        </w:rPr>
        <w:t>2092</w:t>
      </w:r>
      <w:r w:rsidRPr="00C754CA">
        <w:rPr>
          <w:noProof/>
        </w:rPr>
        <w:t xml:space="preserve"> angenommen wurden, und die Einhaltung der Prioritäten gemäß Artikel </w:t>
      </w:r>
      <w:r w:rsidRPr="00E2773D">
        <w:rPr>
          <w:noProof/>
        </w:rPr>
        <w:t>15</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im Rahmen der einschlägigen Programme. In diesem Zusammenhang wird die Kommission die Übereinstimmung der Programme mit den Anforderungen des einschlägigen EU-Rechts genau überwachen.</w:t>
      </w:r>
    </w:p>
    <w:p w14:paraId="003CFD96" w14:textId="77777777" w:rsidR="00FC04A3" w:rsidRPr="00C754CA" w:rsidRDefault="4D7EBF05" w:rsidP="653353E9">
      <w:pPr>
        <w:ind w:left="360"/>
        <w:rPr>
          <w:rStyle w:val="eop"/>
          <w:rFonts w:eastAsia="Times New Roman"/>
          <w:noProof/>
          <w:color w:val="000000" w:themeColor="text1"/>
        </w:rPr>
      </w:pPr>
      <w:r w:rsidRPr="00C754CA">
        <w:rPr>
          <w:rStyle w:val="eop"/>
          <w:i/>
          <w:noProof/>
          <w:color w:val="000000" w:themeColor="text1"/>
        </w:rPr>
        <w:t>Wettbewerbsfähigkeit und Dekarbonisierung</w:t>
      </w:r>
    </w:p>
    <w:p w14:paraId="3ED90D3A" w14:textId="77777777" w:rsidR="00837962" w:rsidRPr="00C754CA" w:rsidRDefault="48B5E561">
      <w:pPr>
        <w:rPr>
          <w:rFonts w:eastAsia="Times New Roman"/>
          <w:noProof/>
        </w:rPr>
      </w:pPr>
      <w:bookmarkStart w:id="3" w:name="_Hlk194321125"/>
      <w:r w:rsidRPr="00C754CA">
        <w:rPr>
          <w:noProof/>
        </w:rPr>
        <w:t>Die Kommission hat im Kompass für Wettbewerbsfähigkeit, im Deal für eine saubere Industrie und im Aktionsplan für erschwingliche Energie einen konkreten Weg aufgezeigt, wie Europa seine Wettbewerbsfähigkeit wiedererlangen und nachhaltigen Wohlstand sichern kann; dabei sind Dekarbonisierung und Kreislaufwirtschaft die Triebkräfte für Wachstum.</w:t>
      </w:r>
    </w:p>
    <w:p w14:paraId="27DD4A95" w14:textId="4B983E88" w:rsidR="00837962" w:rsidRPr="00C754CA" w:rsidRDefault="00837962">
      <w:pPr>
        <w:rPr>
          <w:rFonts w:eastAsia="Times New Roman"/>
          <w:noProof/>
        </w:rPr>
      </w:pPr>
      <w:r w:rsidRPr="00C754CA">
        <w:rPr>
          <w:noProof/>
        </w:rPr>
        <w:t>Insbesondere energieintensive Wirtschaftszweige spielen in unseren Regionen eine entscheidende Rolle und bedürfen im Rahmen der Umplanung von EU-Mitteln besonderer Aufmerksamkeit. Diese Wirtschaftszweige stehen vor großen Herausforderungen, darunter höhere Energiekosten im Vergleich zu ihren globalen Wettbewerbern, die anhaltende mangelnde Wettbewerbsfähigkeit bestimmter sauberer Technologien, ein Nachfragerückgang in einigen der wichtigsten nachgelagerten Sektoren und ein verstärkter internationaler Wettbewerb aufgrund von Überkapazitäten und subventionierter Produktion in Nicht-EU-Ländern. Im Ergebnis untergraben diese Faktoren die Wettbewerbsfähigkeit der energieintensiven Wirtschaftszweige und schwächen die europäischen Dekarbonisierungs- und Resilienzziele.</w:t>
      </w:r>
    </w:p>
    <w:p w14:paraId="6F82F631" w14:textId="77777777" w:rsidR="00FC04A3" w:rsidRPr="00C754CA" w:rsidRDefault="48B5E561">
      <w:pPr>
        <w:rPr>
          <w:rFonts w:eastAsia="Times New Roman"/>
          <w:noProof/>
        </w:rPr>
      </w:pPr>
      <w:r w:rsidRPr="00C754CA">
        <w:rPr>
          <w:noProof/>
        </w:rPr>
        <w:t xml:space="preserve">Mit Mitteln der Kohäsionspolitik können bereits Investitionen zur Verwirklichung der Klimaziele gemäß der </w:t>
      </w:r>
      <w:bookmarkStart w:id="4" w:name="_Hlk194313841"/>
      <w:r w:rsidRPr="00C754CA">
        <w:rPr>
          <w:noProof/>
        </w:rPr>
        <w:t xml:space="preserve">Verordnung (EU) </w:t>
      </w:r>
      <w:r w:rsidRPr="00E2773D">
        <w:rPr>
          <w:noProof/>
        </w:rPr>
        <w:t>2021</w:t>
      </w:r>
      <w:r w:rsidRPr="00C754CA">
        <w:rPr>
          <w:noProof/>
        </w:rPr>
        <w:t>/</w:t>
      </w:r>
      <w:r w:rsidRPr="00E2773D">
        <w:rPr>
          <w:noProof/>
        </w:rPr>
        <w:t>1060</w:t>
      </w:r>
      <w:bookmarkEnd w:id="4"/>
      <w:r w:rsidRPr="00C754CA">
        <w:rPr>
          <w:noProof/>
        </w:rPr>
        <w:t xml:space="preserve"> unterstützt werden, allerdings sollten die Anstrengungen weiter beschleunigt werden, um zu gewährleisten, dass die Dekarbonisierung eine Triebkraft für das Wachstum der europäischen Industrie und den Wohlstand der Europäerinnen und Europäer ist. In Anbetracht des erheblichen Investitionsbedarfs zur Erreichung unserer Dekarbonisierungs- und Wettbewerbsfähigkeitsziele müssen die Mitgliedstaaten weiterhin in Projekte investieren, die direkt zur Klima- und Energiewende beitragen, und zwar im Einklang mit den Anforderungen des Artikels </w:t>
      </w:r>
      <w:r w:rsidRPr="00E2773D">
        <w:rPr>
          <w:noProof/>
        </w:rPr>
        <w:t>6</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der weiterhin gelten wird, um das Niveau der klimabezogenen Investitionen aufrechtzuerhalten. </w:t>
      </w:r>
    </w:p>
    <w:p w14:paraId="0E2B9B42" w14:textId="77777777" w:rsidR="00FC04A3" w:rsidRPr="00C754CA" w:rsidRDefault="00FC04A3" w:rsidP="08875448">
      <w:pPr>
        <w:rPr>
          <w:rFonts w:eastAsia="Times New Roman"/>
          <w:noProof/>
        </w:rPr>
      </w:pPr>
      <w:r w:rsidRPr="00C754CA">
        <w:rPr>
          <w:noProof/>
        </w:rPr>
        <w:t>Die Förderung von Projekten im Rahmen der STEP sollte in allen Regionen ermöglicht werden, auch in den stärker entwickelten Regionen in Mitgliedstaaten der Union, deren Pro-Kopf-BIP über dem EU-Durchschnitt liegt, soweit dies nach den Vorschriften über staatliche Beihilfen gemäß den Artikeln </w:t>
      </w:r>
      <w:r w:rsidRPr="00E2773D">
        <w:rPr>
          <w:noProof/>
        </w:rPr>
        <w:t>107</w:t>
      </w:r>
      <w:r w:rsidRPr="00C754CA">
        <w:rPr>
          <w:noProof/>
        </w:rPr>
        <w:t xml:space="preserve"> und </w:t>
      </w:r>
      <w:r w:rsidRPr="00E2773D">
        <w:rPr>
          <w:noProof/>
        </w:rPr>
        <w:t>108</w:t>
      </w:r>
      <w:r w:rsidRPr="00C754CA">
        <w:rPr>
          <w:noProof/>
        </w:rPr>
        <w:t xml:space="preserve"> des Vertrags zulässig ist, insbesondere insoweit, als solche Investitionen zu den strategischen Zielen der Union beitragen, wie sie in den geltenden Leitlinien wie dem künftigen Rahmen für staatliche Beihilfen für eine saubere Industrie (zu dem derzeit eine öffentliche Konsultation stattfindet) und in der IPCEI-Mitteilung</w:t>
      </w:r>
      <w:r w:rsidR="008F0722" w:rsidRPr="00C754CA">
        <w:rPr>
          <w:rStyle w:val="FootnoteReference"/>
          <w:rFonts w:eastAsia="Times New Roman"/>
          <w:noProof/>
        </w:rPr>
        <w:footnoteReference w:id="2"/>
      </w:r>
      <w:r w:rsidRPr="00C754CA">
        <w:rPr>
          <w:noProof/>
        </w:rPr>
        <w:t xml:space="preserve"> dargelegt sind. </w:t>
      </w:r>
    </w:p>
    <w:p w14:paraId="39EFE45B" w14:textId="77777777" w:rsidR="4BCA091C" w:rsidRPr="00C754CA" w:rsidRDefault="00FC04A3" w:rsidP="310F7DDB">
      <w:pPr>
        <w:rPr>
          <w:rFonts w:eastAsia="Times New Roman"/>
          <w:noProof/>
        </w:rPr>
      </w:pPr>
      <w:r w:rsidRPr="00C754CA">
        <w:rPr>
          <w:noProof/>
        </w:rPr>
        <w:t xml:space="preserve">Darüber hinaus sollten weitere Beschränkungen im Zusammenhang mit der STEP betreffend die Obergrenze von </w:t>
      </w:r>
      <w:r w:rsidRPr="00E2773D">
        <w:rPr>
          <w:noProof/>
        </w:rPr>
        <w:t>20</w:t>
      </w:r>
      <w:r w:rsidRPr="00C754CA">
        <w:rPr>
          <w:noProof/>
        </w:rPr>
        <w:t> % der EFRE-Zuweisung für die Umplanung aufgehoben und die Frist für die Einreichung von Anträgen auf Änderungen an der STEP und die Inanspruchnahme der zusätzlichen einmaligen Vorfinanzierung gestrichen werden. Dies dürfte auch zur Förderung von Investitionen in innovative saubere Technologien (Produktionskapazitäten und Ausbau) beitragen, die für die Verwirklichung der Ziele des Deals für eine saubere Industrie von wesentlicher Bedeutung sind, sowie in anderen wichtigen Förderbereichen, für die die STEP wichtige Anreize bietet.</w:t>
      </w:r>
    </w:p>
    <w:p w14:paraId="4318456F" w14:textId="6172EC40" w:rsidR="43A69A20" w:rsidRPr="00C754CA" w:rsidRDefault="4B743CAF" w:rsidP="43FF4EBE">
      <w:pPr>
        <w:rPr>
          <w:rFonts w:eastAsia="Times New Roman"/>
          <w:noProof/>
        </w:rPr>
      </w:pPr>
      <w:r w:rsidRPr="00C754CA">
        <w:rPr>
          <w:rStyle w:val="eop"/>
          <w:noProof/>
          <w:color w:val="000000" w:themeColor="text1"/>
        </w:rPr>
        <w:t xml:space="preserve">Es ist wichtig, auch die Rolle der großen Unternehmen bei der regionalen Entwicklung anzuerkennen und zu stärken, da sie Forschung, Innovation, Wissen und den Technologietransfer auf andere Unternehmen voranbringen und in der gesamten Lieferkette Nachfrage und Beschäftigungsmöglichkeiten schaffen. Um die Wirkung der EU-Unterstützung zur Förderung von Wachstum und Wettbewerbsfähigkeit zu maximieren, schlägt die Kommission außerdem vor, die Möglichkeiten zur Unterstützung produktiver Investitionen in andere Unternehmen als KMU im Rahmen des EFRE zu erweitern, soweit dies nach den Vorschriften über staatliche Beihilfen zulässig ist und sofern die Mittel für folgende Zwecke verwendet werden: </w:t>
      </w:r>
      <w:r w:rsidRPr="00E2773D">
        <w:rPr>
          <w:rStyle w:val="eop"/>
          <w:noProof/>
          <w:color w:val="000000" w:themeColor="text1"/>
        </w:rPr>
        <w:t>1</w:t>
      </w:r>
      <w:r w:rsidRPr="00C754CA">
        <w:rPr>
          <w:rStyle w:val="eop"/>
          <w:noProof/>
          <w:color w:val="000000" w:themeColor="text1"/>
        </w:rPr>
        <w:t xml:space="preserve">) Unterstützung von Investitionen, die zu den STEP-Zielen beitragen, </w:t>
      </w:r>
      <w:r w:rsidRPr="00E2773D">
        <w:rPr>
          <w:rStyle w:val="eop"/>
          <w:noProof/>
          <w:color w:val="000000" w:themeColor="text1"/>
        </w:rPr>
        <w:t>2</w:t>
      </w:r>
      <w:r w:rsidRPr="00C754CA">
        <w:rPr>
          <w:rStyle w:val="eop"/>
          <w:noProof/>
          <w:color w:val="000000" w:themeColor="text1"/>
        </w:rPr>
        <w:t xml:space="preserve">) Stärkung der industriellen Kapazitäten zur Förderung der Verteidigungsfähigkeiten, </w:t>
      </w:r>
      <w:r w:rsidRPr="00E2773D">
        <w:rPr>
          <w:rStyle w:val="eop"/>
          <w:noProof/>
          <w:color w:val="000000" w:themeColor="text1"/>
        </w:rPr>
        <w:t>3</w:t>
      </w:r>
      <w:r w:rsidRPr="00C754CA">
        <w:rPr>
          <w:rStyle w:val="eop"/>
          <w:noProof/>
          <w:color w:val="000000" w:themeColor="text1"/>
        </w:rPr>
        <w:t xml:space="preserve">) Unterstützung von Verteidigungsprojekten und </w:t>
      </w:r>
      <w:r w:rsidRPr="00E2773D">
        <w:rPr>
          <w:rStyle w:val="eop"/>
          <w:noProof/>
          <w:color w:val="000000" w:themeColor="text1"/>
        </w:rPr>
        <w:t>4</w:t>
      </w:r>
      <w:r w:rsidRPr="00C754CA">
        <w:rPr>
          <w:rStyle w:val="eop"/>
          <w:noProof/>
          <w:color w:val="000000" w:themeColor="text1"/>
        </w:rPr>
        <w:t xml:space="preserve">) Erleichterung der industriellen Anpassung im Zusammenhang mit der Dekarbonisierung und der Unterstützung kreislauforientierter Produktionsverfahren und Produkte, z. B. in der Automobilindustrie und in energieintensiven Wirtschaftszweigen. </w:t>
      </w:r>
      <w:r w:rsidRPr="00C754CA">
        <w:rPr>
          <w:noProof/>
          <w:color w:val="000000" w:themeColor="text1"/>
        </w:rPr>
        <w:t>Gefördert werden können auch Investitionen in Projekte in anderen Unternehmen als KMU, die unmittelbar an einem von der Kommission nach Artikel </w:t>
      </w:r>
      <w:r w:rsidRPr="00E2773D">
        <w:rPr>
          <w:noProof/>
          <w:color w:val="000000" w:themeColor="text1"/>
        </w:rPr>
        <w:t>107</w:t>
      </w:r>
      <w:r w:rsidRPr="00C754CA">
        <w:rPr>
          <w:noProof/>
          <w:color w:val="000000" w:themeColor="text1"/>
        </w:rPr>
        <w:t xml:space="preserve"> Absatz </w:t>
      </w:r>
      <w:r w:rsidRPr="00E2773D">
        <w:rPr>
          <w:noProof/>
          <w:color w:val="000000" w:themeColor="text1"/>
        </w:rPr>
        <w:t>3</w:t>
      </w:r>
      <w:r w:rsidRPr="00C754CA">
        <w:rPr>
          <w:noProof/>
          <w:color w:val="000000" w:themeColor="text1"/>
        </w:rPr>
        <w:t xml:space="preserve"> Buchstabe b AEUV und der Mitteilung C(</w:t>
      </w:r>
      <w:r w:rsidRPr="00E2773D">
        <w:rPr>
          <w:noProof/>
          <w:color w:val="000000" w:themeColor="text1"/>
        </w:rPr>
        <w:t>2021</w:t>
      </w:r>
      <w:r w:rsidRPr="00C754CA">
        <w:rPr>
          <w:noProof/>
          <w:color w:val="000000" w:themeColor="text1"/>
        </w:rPr>
        <w:t>) </w:t>
      </w:r>
      <w:r w:rsidRPr="00E2773D">
        <w:rPr>
          <w:noProof/>
          <w:color w:val="000000" w:themeColor="text1"/>
        </w:rPr>
        <w:t>8481</w:t>
      </w:r>
      <w:r w:rsidRPr="00C754CA">
        <w:rPr>
          <w:noProof/>
          <w:color w:val="000000" w:themeColor="text1"/>
        </w:rPr>
        <w:t xml:space="preserve"> genehmigten IPCEI beteiligt sind.</w:t>
      </w:r>
      <w:r w:rsidRPr="00C754CA">
        <w:rPr>
          <w:noProof/>
        </w:rPr>
        <w:t xml:space="preserve"> </w:t>
      </w:r>
      <w:r w:rsidRPr="00C754CA">
        <w:rPr>
          <w:rStyle w:val="eop"/>
          <w:noProof/>
          <w:color w:val="000000" w:themeColor="text1"/>
        </w:rPr>
        <w:t xml:space="preserve">Die Unterstützung solcher Unternehmen muss im Rahmen des Fonds für einen gerechten Übergang sowie durch den Verzicht auf Durchführung einer Lückenanalyse weiter erleichtert werden. </w:t>
      </w:r>
      <w:r w:rsidRPr="00C754CA">
        <w:rPr>
          <w:noProof/>
        </w:rPr>
        <w:t>Daher wird vorgeschlagen, dass die Mitgliedstaaten im Einklang mit den Vorschriften über staatliche Beihilfen eine direkte Unterstützung aus dem EFRE für Projekte gewähren können, die unmittelbar an einem wichtigen Vorhaben von gemeinsamem europäischem Interesse beteiligt sind, das von der Kommission gemäß Artikel </w:t>
      </w:r>
      <w:r w:rsidRPr="00E2773D">
        <w:rPr>
          <w:noProof/>
        </w:rPr>
        <w:t>107</w:t>
      </w:r>
      <w:r w:rsidRPr="00C754CA">
        <w:rPr>
          <w:noProof/>
        </w:rPr>
        <w:t xml:space="preserve"> Absatz </w:t>
      </w:r>
      <w:r w:rsidRPr="00E2773D">
        <w:rPr>
          <w:noProof/>
        </w:rPr>
        <w:t>3</w:t>
      </w:r>
      <w:r w:rsidRPr="00C754CA">
        <w:rPr>
          <w:noProof/>
        </w:rPr>
        <w:t xml:space="preserve"> Buchstabe b des Vertrags über die Arbeitsweise der Europäischen Union (AEUV) und der Mitteilung C(</w:t>
      </w:r>
      <w:r w:rsidRPr="00E2773D">
        <w:rPr>
          <w:noProof/>
        </w:rPr>
        <w:t>2021</w:t>
      </w:r>
      <w:r w:rsidRPr="00C754CA">
        <w:rPr>
          <w:noProof/>
        </w:rPr>
        <w:t>) </w:t>
      </w:r>
      <w:r w:rsidRPr="00E2773D">
        <w:rPr>
          <w:noProof/>
        </w:rPr>
        <w:t>8481</w:t>
      </w:r>
      <w:r w:rsidRPr="00C754CA">
        <w:rPr>
          <w:noProof/>
        </w:rPr>
        <w:t xml:space="preserve"> genehmigt wurde.</w:t>
      </w:r>
    </w:p>
    <w:p w14:paraId="152C8D04" w14:textId="77777777" w:rsidR="00FC04A3" w:rsidRPr="00C754CA" w:rsidRDefault="00FC04A3" w:rsidP="08875448">
      <w:pPr>
        <w:rPr>
          <w:noProof/>
        </w:rPr>
      </w:pPr>
      <w:r w:rsidRPr="00C754CA">
        <w:rPr>
          <w:rStyle w:val="eop"/>
          <w:noProof/>
          <w:color w:val="000000" w:themeColor="text1"/>
        </w:rPr>
        <w:t>Um die Hebelwirkung von InvestEU, dem EU-Leitprogramm zur Förderung von Investitionen in strategische und kritische Wirtschaftszweige, weiter zu verstärken und die in den Rechtsvorschriften bereits vorgesehenen Übertragungsmöglichkeiten zu erweitern, schlägt die Kommission vor, die Übertragung von Mitteln aus dem EFRE und dem Kohäsionsfonds auf die Mitgliedstaaten-Komponenten von InvestEU zu ermöglichen, um ein neues InvestEU-Finanzierungsinstrument zur Verwirklichung der kohäsionspolitischen Ziele einzuführen</w:t>
      </w:r>
      <w:bookmarkEnd w:id="3"/>
      <w:r w:rsidRPr="00C754CA">
        <w:rPr>
          <w:rStyle w:val="eop"/>
          <w:noProof/>
          <w:color w:val="000000" w:themeColor="text1"/>
        </w:rPr>
        <w:t>.</w:t>
      </w:r>
      <w:r w:rsidRPr="00C754CA">
        <w:rPr>
          <w:noProof/>
        </w:rPr>
        <w:t xml:space="preserve"> </w:t>
      </w:r>
    </w:p>
    <w:p w14:paraId="692A9630" w14:textId="77777777" w:rsidR="00FC04A3" w:rsidRPr="00C754CA" w:rsidRDefault="00FC04A3" w:rsidP="00E475A3">
      <w:pPr>
        <w:ind w:left="360"/>
        <w:rPr>
          <w:rStyle w:val="eop"/>
          <w:rFonts w:eastAsiaTheme="majorEastAsia"/>
          <w:i/>
          <w:iCs/>
          <w:noProof/>
          <w:color w:val="000000" w:themeColor="text1"/>
        </w:rPr>
      </w:pPr>
      <w:r w:rsidRPr="00C754CA">
        <w:rPr>
          <w:rStyle w:val="eop"/>
          <w:i/>
          <w:noProof/>
          <w:color w:val="000000" w:themeColor="text1"/>
        </w:rPr>
        <w:t xml:space="preserve">Verteidigung und Sicherheit </w:t>
      </w:r>
    </w:p>
    <w:p w14:paraId="21D09112" w14:textId="77777777" w:rsidR="00FC04A3" w:rsidRPr="00C754CA" w:rsidRDefault="4B743CAF" w:rsidP="4D8CB314">
      <w:pPr>
        <w:rPr>
          <w:noProof/>
        </w:rPr>
      </w:pPr>
      <w:bookmarkStart w:id="5" w:name="_Hlk194321158"/>
      <w:r w:rsidRPr="00C754CA">
        <w:rPr>
          <w:noProof/>
        </w:rPr>
        <w:t>Angesichts der geopolitischen Instabilität, wie es sie seit Jahrzehnten nicht mehr gegeben hat, muss die Europäische Union nun konsequente Entscheidungen treffen, um ihre Abwehrbereitschaft und Sicherheit zu gewährleisten. Um die Abschreckung und Abwehr sicherzustellen, muss Europa bereit sein, in eine neue Ära einzutreten, indem es seine Unterstützung für die Entwicklung der Verteidigungsfähigkeiten, die Verringerung von Abhängigkeiten, die Widerstandsfähigkeit der Infrastruktur und die Wettbewerbsfähigkeit der europäischen Verteidigungsindustrie deutlich erhöht. Auf diese Weise wird die Union in der Lage sein, der Ukraine kurzfristig die dringend benötigte Unterstützung zu gewähren und gleichzeitig die langfristige Stabilität des Kontinents zu gewährleisten.</w:t>
      </w:r>
    </w:p>
    <w:p w14:paraId="595A2D04" w14:textId="77777777" w:rsidR="00FC04A3" w:rsidRPr="00C754CA" w:rsidRDefault="00FC04A3" w:rsidP="00FC04A3">
      <w:pPr>
        <w:rPr>
          <w:noProof/>
        </w:rPr>
      </w:pPr>
      <w:r w:rsidRPr="00C754CA">
        <w:rPr>
          <w:noProof/>
        </w:rPr>
        <w:t xml:space="preserve">Die Kommission hat dem Europäischen Rat einen Plan für Sofortmaßnahmen – „ReArm Europe“ – in Höhe von </w:t>
      </w:r>
      <w:r w:rsidRPr="00E2773D">
        <w:rPr>
          <w:noProof/>
        </w:rPr>
        <w:t>800</w:t>
      </w:r>
      <w:r w:rsidRPr="00C754CA">
        <w:rPr>
          <w:noProof/>
        </w:rPr>
        <w:t> Mrd. EUR vorgeschlagen, mit dem alle verfügbaren finanziellen Hebel in Bewegung gesetzt werden, um Investitionen in die europäischen Verteidigungsfähigkeiten rasch und in großem Umfang zu unterstützen. Unter anderem kann der Unionshaushalt durch ein neues spezielles Verteidigungsinstrument und die Stärkung des Programms für die europäische Verteidigungsindustrie (EDIP) weiter zu diesen gemeinsamen Anstrengungen beitragen.</w:t>
      </w:r>
    </w:p>
    <w:p w14:paraId="737DC53F" w14:textId="77777777" w:rsidR="00FC04A3" w:rsidRPr="00C754CA" w:rsidRDefault="00FC04A3" w:rsidP="00FC04A3">
      <w:pPr>
        <w:rPr>
          <w:noProof/>
        </w:rPr>
      </w:pPr>
      <w:r w:rsidRPr="00C754CA">
        <w:rPr>
          <w:noProof/>
        </w:rPr>
        <w:t>Ergänzend zu diesen Instrumenten, und um weitere Anreize für die Mitgliedstaaten zu schaffen, Verteidigungsinvestitionen direkt zu unterstützen, ist es von entscheidender Bedeutung, dass die Mittel der Kohäsionspolitik schnell mobilisiert werden können. Diese Investitionen werden die Widerstandsfähigkeit und die Wettbewerbsfähigkeit der EU stärken und gleichzeitig die Entwicklung und das Wachstum in der Region fördern. Sie werden auch der zweifachen Herausforderung gerecht, der die an Russland, Belarus und die Ukraine angrenzenden Regionen der Union gegenüberstehen: Stärkung der Sicherheit bei gleichzeitiger Wiederbelebung ihrer Volkswirtschaften.</w:t>
      </w:r>
    </w:p>
    <w:p w14:paraId="3B04F713" w14:textId="5334251F" w:rsidR="00FC04A3" w:rsidRPr="00C754CA" w:rsidRDefault="00FC04A3" w:rsidP="142F223E">
      <w:pPr>
        <w:rPr>
          <w:rFonts w:eastAsia="Times New Roman"/>
          <w:noProof/>
        </w:rPr>
      </w:pPr>
      <w:r w:rsidRPr="00C754CA">
        <w:rPr>
          <w:noProof/>
        </w:rPr>
        <w:t xml:space="preserve">Um einen Rahmen zu schaffen, der Flexibilität und finanzielle Unterstützung bietet, schlägt die Kommission vor, zwei neue spezifische Ziele innerhalb des geltenden Anwendungsbereichs der EFRE-Unterstützung festzulegen. Das erste neue spezifische Ziel ermöglicht es den Mitgliedstaaten, Mittel des Ziels „Investitionen in Beschäftigung und Wachstum“ im Rahmen ihrer Programme für </w:t>
      </w:r>
      <w:r w:rsidRPr="00E2773D">
        <w:rPr>
          <w:noProof/>
        </w:rPr>
        <w:t>2021</w:t>
      </w:r>
      <w:r w:rsidRPr="00C754CA">
        <w:rPr>
          <w:noProof/>
        </w:rPr>
        <w:t>-</w:t>
      </w:r>
      <w:r w:rsidRPr="00E2773D">
        <w:rPr>
          <w:noProof/>
        </w:rPr>
        <w:t>2027</w:t>
      </w:r>
      <w:r w:rsidRPr="00C754CA">
        <w:rPr>
          <w:noProof/>
        </w:rPr>
        <w:t xml:space="preserve"> umzuplanen und für den Ausbau der Produktionskapazitäten in Unternehmen des Verteidigungssektors bereitzustellen – ohne Einschränkungen in Bezug auf den geografischen Standort oder die Größe des Unternehmens. Produktive Investitionen in andere Unternehmen als KMU, die in allen Regionen der EU getätigt werden, sollten ebenfalls finanzielle Unterstützung für Vorhaben der Verteidigungsindustrie von gemeinsamem Interesse im Rahmen des EDIP erhalten können und die Kapazitäten Europas auf dem Gebiet der Verteidigung und Abwehrbereitschaft insgesamt stärken. Das zweite neue spezifische Ziel im Bereich der Verteidigung trägt zum Aufbau einer widerstandsfähigen Verteidigungsinfrastruktur oder einer Infrastruktur mit doppeltem Verwendungszweck bei, um die militärische Mobilität in der EU zu fördern. Diese spezifischen Ziele helfen auch den Regionen an der Ostgrenze. </w:t>
      </w:r>
    </w:p>
    <w:p w14:paraId="4887710A" w14:textId="77777777" w:rsidR="00FC04A3" w:rsidRPr="00C754CA" w:rsidRDefault="00FC04A3" w:rsidP="00FC04A3">
      <w:pPr>
        <w:rPr>
          <w:noProof/>
        </w:rPr>
      </w:pPr>
      <w:r w:rsidRPr="00C754CA">
        <w:rPr>
          <w:noProof/>
        </w:rPr>
        <w:t xml:space="preserve">Es wird vorgeschlagen, dass die Mitgliedstaaten bei der Nutzung des vorgeschlagenen Rahmens eine zusätzliche einmalige Vorfinanzierung in Höhe von </w:t>
      </w:r>
      <w:r w:rsidRPr="00E2773D">
        <w:rPr>
          <w:noProof/>
        </w:rPr>
        <w:t>30</w:t>
      </w:r>
      <w:r w:rsidRPr="00C754CA">
        <w:rPr>
          <w:noProof/>
        </w:rPr>
        <w:t xml:space="preserve"> % der im Rahmen der speziellen Priorität eingeplanten Beträge erhalten und die Möglichkeit haben, eine Unionsfinanzierung von bis zu </w:t>
      </w:r>
      <w:r w:rsidRPr="00E2773D">
        <w:rPr>
          <w:noProof/>
        </w:rPr>
        <w:t>100</w:t>
      </w:r>
      <w:r w:rsidRPr="00C754CA">
        <w:rPr>
          <w:noProof/>
        </w:rPr>
        <w:t> % für beide spezifische Ziele zu beantragen, sofern die Programmänderung im Jahr </w:t>
      </w:r>
      <w:r w:rsidRPr="00E2773D">
        <w:rPr>
          <w:noProof/>
        </w:rPr>
        <w:t>2025</w:t>
      </w:r>
      <w:r w:rsidRPr="00C754CA">
        <w:rPr>
          <w:noProof/>
        </w:rPr>
        <w:t xml:space="preserve"> vorgelegt wird</w:t>
      </w:r>
      <w:bookmarkEnd w:id="5"/>
      <w:r w:rsidRPr="00C754CA">
        <w:rPr>
          <w:noProof/>
        </w:rPr>
        <w:t xml:space="preserve">. </w:t>
      </w:r>
    </w:p>
    <w:p w14:paraId="0F085E02" w14:textId="77777777" w:rsidR="00FC04A3" w:rsidRPr="00C754CA" w:rsidRDefault="00FC04A3" w:rsidP="00E475A3">
      <w:pPr>
        <w:ind w:left="360"/>
        <w:rPr>
          <w:rStyle w:val="eop"/>
          <w:rFonts w:eastAsiaTheme="majorEastAsia"/>
          <w:i/>
          <w:iCs/>
          <w:noProof/>
          <w:color w:val="000000" w:themeColor="text1"/>
        </w:rPr>
      </w:pPr>
      <w:r w:rsidRPr="00C754CA">
        <w:rPr>
          <w:rStyle w:val="eop"/>
          <w:i/>
          <w:noProof/>
          <w:color w:val="000000" w:themeColor="text1"/>
        </w:rPr>
        <w:t>Erschwinglicher Wohnraum (einschließlich Sozialwohnungen)</w:t>
      </w:r>
    </w:p>
    <w:p w14:paraId="4F0B303E" w14:textId="77777777" w:rsidR="00FC04A3" w:rsidRPr="00C754CA" w:rsidRDefault="00FC04A3" w:rsidP="00FC04A3">
      <w:pPr>
        <w:rPr>
          <w:rStyle w:val="eop"/>
          <w:rFonts w:eastAsiaTheme="majorEastAsia"/>
          <w:noProof/>
          <w:color w:val="000000" w:themeColor="text1"/>
        </w:rPr>
      </w:pPr>
      <w:bookmarkStart w:id="6" w:name="_Hlk194321180"/>
      <w:r w:rsidRPr="00C754CA">
        <w:rPr>
          <w:rStyle w:val="eop"/>
          <w:noProof/>
          <w:color w:val="000000" w:themeColor="text1"/>
        </w:rPr>
        <w:t>Die Preise für Wohnraum und Mieten sind in den letzten Jahren erheblich gestiegen. Die Löhne sind dagegen nicht in gleichem Maße gestiegen. Diese ungleiche Entwicklung hat dazu geführt, dass die Kluft zwischen dem Angebot an erschwinglichem Wohnraum und dem Bedarf der Bevölkerung immer größer geworden ist.</w:t>
      </w:r>
    </w:p>
    <w:p w14:paraId="7B46993B" w14:textId="77777777" w:rsidR="00FC04A3" w:rsidRPr="00C754CA" w:rsidRDefault="00FC04A3" w:rsidP="00FC04A3">
      <w:pPr>
        <w:rPr>
          <w:rStyle w:val="eop"/>
          <w:rFonts w:eastAsiaTheme="majorEastAsia"/>
          <w:noProof/>
          <w:color w:val="000000" w:themeColor="text1"/>
        </w:rPr>
      </w:pPr>
      <w:r w:rsidRPr="00C754CA">
        <w:rPr>
          <w:rStyle w:val="eop"/>
          <w:noProof/>
          <w:color w:val="000000" w:themeColor="text1"/>
        </w:rPr>
        <w:t xml:space="preserve">Die durchschnittlichen Wohnimmobilienpreise sind nach </w:t>
      </w:r>
      <w:r w:rsidRPr="00E2773D">
        <w:rPr>
          <w:rStyle w:val="eop"/>
          <w:noProof/>
          <w:color w:val="000000" w:themeColor="text1"/>
        </w:rPr>
        <w:t>2008</w:t>
      </w:r>
      <w:r w:rsidRPr="00C754CA">
        <w:rPr>
          <w:rStyle w:val="eop"/>
          <w:noProof/>
          <w:color w:val="000000" w:themeColor="text1"/>
        </w:rPr>
        <w:t xml:space="preserve"> infolge der wirtschaftlichen Rezession gesunken, aber seit </w:t>
      </w:r>
      <w:r w:rsidRPr="00E2773D">
        <w:rPr>
          <w:rStyle w:val="eop"/>
          <w:noProof/>
          <w:color w:val="000000" w:themeColor="text1"/>
        </w:rPr>
        <w:t>2013</w:t>
      </w:r>
      <w:r w:rsidRPr="00C754CA">
        <w:rPr>
          <w:rStyle w:val="eop"/>
          <w:noProof/>
          <w:color w:val="000000" w:themeColor="text1"/>
        </w:rPr>
        <w:t xml:space="preserve"> in der gesamten EU stetig gestiegen. Insgesamt war in der EU zwischen </w:t>
      </w:r>
      <w:r w:rsidRPr="00E2773D">
        <w:rPr>
          <w:rStyle w:val="eop"/>
          <w:noProof/>
          <w:color w:val="000000" w:themeColor="text1"/>
        </w:rPr>
        <w:t>2013</w:t>
      </w:r>
      <w:r w:rsidRPr="00C754CA">
        <w:rPr>
          <w:rStyle w:val="eop"/>
          <w:noProof/>
          <w:color w:val="000000" w:themeColor="text1"/>
        </w:rPr>
        <w:t xml:space="preserve"> und dem dritten Quartal </w:t>
      </w:r>
      <w:r w:rsidRPr="00E2773D">
        <w:rPr>
          <w:rStyle w:val="eop"/>
          <w:noProof/>
          <w:color w:val="000000" w:themeColor="text1"/>
        </w:rPr>
        <w:t>2024</w:t>
      </w:r>
      <w:r w:rsidRPr="00C754CA">
        <w:rPr>
          <w:rStyle w:val="eop"/>
          <w:noProof/>
          <w:color w:val="000000" w:themeColor="text1"/>
        </w:rPr>
        <w:t xml:space="preserve"> ein Anstieg um </w:t>
      </w:r>
      <w:r w:rsidRPr="00E2773D">
        <w:rPr>
          <w:rStyle w:val="eop"/>
          <w:noProof/>
          <w:color w:val="000000" w:themeColor="text1"/>
        </w:rPr>
        <w:t>59</w:t>
      </w:r>
      <w:r w:rsidRPr="00C754CA">
        <w:rPr>
          <w:rStyle w:val="eop"/>
          <w:noProof/>
          <w:color w:val="000000" w:themeColor="text1"/>
        </w:rPr>
        <w:t> % zu verzeichnen, was etwa dem Doppelten des Anstiegs des allgemeinen Preisniveaus (HVPI) im selben Zeitraum entspricht.</w:t>
      </w:r>
    </w:p>
    <w:p w14:paraId="5E715D0D" w14:textId="77777777" w:rsidR="00FC04A3" w:rsidRPr="00C754CA" w:rsidRDefault="00FC04A3" w:rsidP="00FC04A3">
      <w:pPr>
        <w:rPr>
          <w:noProof/>
        </w:rPr>
      </w:pPr>
      <w:r w:rsidRPr="00C754CA">
        <w:rPr>
          <w:rStyle w:val="eop"/>
          <w:noProof/>
          <w:color w:val="000000" w:themeColor="text1"/>
        </w:rPr>
        <w:t xml:space="preserve">Der eskalierende Anstieg der Wohnimmobilienpreise ging nicht mit einem entsprechenden Lohnanstieg einher, wodurch die Erschwinglichkeit von Wohnraum erheblich beeinträchtigt wurde. Das Preis-Einkommen-Verhältnis stieg zwischen </w:t>
      </w:r>
      <w:r w:rsidRPr="00E2773D">
        <w:rPr>
          <w:rStyle w:val="eop"/>
          <w:noProof/>
          <w:color w:val="000000" w:themeColor="text1"/>
        </w:rPr>
        <w:t>2013</w:t>
      </w:r>
      <w:r w:rsidRPr="00C754CA">
        <w:rPr>
          <w:rStyle w:val="eop"/>
          <w:noProof/>
          <w:color w:val="000000" w:themeColor="text1"/>
        </w:rPr>
        <w:t xml:space="preserve"> und </w:t>
      </w:r>
      <w:r w:rsidRPr="00E2773D">
        <w:rPr>
          <w:rStyle w:val="eop"/>
          <w:noProof/>
          <w:color w:val="000000" w:themeColor="text1"/>
        </w:rPr>
        <w:t>2022</w:t>
      </w:r>
      <w:r w:rsidRPr="00C754CA">
        <w:rPr>
          <w:rStyle w:val="eop"/>
          <w:noProof/>
          <w:color w:val="000000" w:themeColor="text1"/>
        </w:rPr>
        <w:t xml:space="preserve"> um mehr als </w:t>
      </w:r>
      <w:r w:rsidRPr="00E2773D">
        <w:rPr>
          <w:rStyle w:val="eop"/>
          <w:noProof/>
          <w:color w:val="000000" w:themeColor="text1"/>
        </w:rPr>
        <w:t>15</w:t>
      </w:r>
      <w:r w:rsidRPr="00C754CA">
        <w:rPr>
          <w:rStyle w:val="eop"/>
          <w:noProof/>
          <w:color w:val="000000" w:themeColor="text1"/>
        </w:rPr>
        <w:t> Prozentpunkte und liegt trotz einer gewissen Entspannung im Jahr </w:t>
      </w:r>
      <w:r w:rsidRPr="00E2773D">
        <w:rPr>
          <w:rStyle w:val="eop"/>
          <w:noProof/>
          <w:color w:val="000000" w:themeColor="text1"/>
        </w:rPr>
        <w:t>2023</w:t>
      </w:r>
      <w:r w:rsidRPr="00C754CA">
        <w:rPr>
          <w:rStyle w:val="eop"/>
          <w:noProof/>
          <w:color w:val="000000" w:themeColor="text1"/>
        </w:rPr>
        <w:t xml:space="preserve"> immer noch über seinem langfristigen Durchschnitt.</w:t>
      </w:r>
    </w:p>
    <w:p w14:paraId="3E0B95DD" w14:textId="77777777" w:rsidR="00FC04A3" w:rsidRPr="00C754CA" w:rsidRDefault="4B743CAF" w:rsidP="4D8CB314">
      <w:pPr>
        <w:rPr>
          <w:rStyle w:val="eop"/>
          <w:rFonts w:eastAsia="Times New Roman"/>
          <w:noProof/>
          <w:color w:val="000000" w:themeColor="text1"/>
        </w:rPr>
      </w:pPr>
      <w:r w:rsidRPr="00C754CA">
        <w:rPr>
          <w:rStyle w:val="eop"/>
          <w:noProof/>
          <w:color w:val="000000" w:themeColor="text1"/>
        </w:rPr>
        <w:t>Das Problem ist zwar je nach Land und Region unterschiedlich stark ausgeprägt, aber seine Auswirkungen sind weitreichend. Hohe Wohnkosten zwingen viele Haushalte dazu, einen unverhältnismäßig hohen Anteil ihres Einkommens für Mieten oder Hypotheken aufzuwenden, wodurch für andere Bedürfnisse wie Lebensmittel, Gesundheitsversorgung und Bildung weniger übrig bleibt – sodass die Gefahr besteht, in Armut zu geraten. Im Jahr </w:t>
      </w:r>
      <w:r w:rsidRPr="00E2773D">
        <w:rPr>
          <w:rStyle w:val="eop"/>
          <w:noProof/>
          <w:color w:val="000000" w:themeColor="text1"/>
        </w:rPr>
        <w:t>2023</w:t>
      </w:r>
      <w:r w:rsidRPr="00C754CA">
        <w:rPr>
          <w:rStyle w:val="eop"/>
          <w:noProof/>
          <w:color w:val="000000" w:themeColor="text1"/>
        </w:rPr>
        <w:t xml:space="preserve"> gab jeder dritte armutsgefährdete Haushalt </w:t>
      </w:r>
      <w:r w:rsidRPr="00E2773D">
        <w:rPr>
          <w:rStyle w:val="eop"/>
          <w:noProof/>
          <w:color w:val="000000" w:themeColor="text1"/>
        </w:rPr>
        <w:t>40</w:t>
      </w:r>
      <w:r w:rsidRPr="00C754CA">
        <w:rPr>
          <w:rStyle w:val="eop"/>
          <w:noProof/>
          <w:color w:val="000000" w:themeColor="text1"/>
        </w:rPr>
        <w:t xml:space="preserve"> % oder mehr des verfügbaren Haushaltseinkommens für Wohnen aus. Die Wohnimmobilienpreise unterscheiden sich auch zwischen städtischen und ländlichen Gebieten. In Städten und Ballungsgebieten sind die Wohnimmobilienpreise als Anteil am Einkommen höher und seit </w:t>
      </w:r>
      <w:r w:rsidRPr="00E2773D">
        <w:rPr>
          <w:rStyle w:val="eop"/>
          <w:noProof/>
          <w:color w:val="000000" w:themeColor="text1"/>
        </w:rPr>
        <w:t>2015</w:t>
      </w:r>
      <w:r w:rsidRPr="00C754CA">
        <w:rPr>
          <w:rStyle w:val="eop"/>
          <w:noProof/>
          <w:color w:val="000000" w:themeColor="text1"/>
        </w:rPr>
        <w:t xml:space="preserve"> stetig gestiegen, während sie in anderen Gebieten konstant geblieben sind.</w:t>
      </w:r>
      <w:r w:rsidRPr="00C754CA">
        <w:rPr>
          <w:noProof/>
          <w:color w:val="000000" w:themeColor="text1"/>
        </w:rPr>
        <w:t xml:space="preserve"> Die sozialen Auswirkungen dieser Zahlen sind noch weitreichender, wenn man berücksichtigt, dass sie den Mangel an Wohnraum für Studierende und an angemessenen Unterkünften für künftige junge Familien einschließen</w:t>
      </w:r>
      <w:r w:rsidRPr="00C754CA">
        <w:rPr>
          <w:rStyle w:val="eop"/>
          <w:noProof/>
          <w:color w:val="000000" w:themeColor="text1"/>
        </w:rPr>
        <w:t>.</w:t>
      </w:r>
    </w:p>
    <w:p w14:paraId="5D810677" w14:textId="77777777" w:rsidR="653353E9" w:rsidRPr="00C754CA" w:rsidRDefault="233D000E" w:rsidP="08875448">
      <w:pPr>
        <w:spacing w:before="0" w:after="0"/>
        <w:rPr>
          <w:rStyle w:val="eop"/>
          <w:rFonts w:eastAsiaTheme="majorEastAsia"/>
          <w:noProof/>
          <w:color w:val="000000" w:themeColor="text1"/>
        </w:rPr>
      </w:pPr>
      <w:r w:rsidRPr="00C754CA">
        <w:rPr>
          <w:rStyle w:val="eop"/>
          <w:noProof/>
          <w:color w:val="000000" w:themeColor="text1"/>
        </w:rPr>
        <w:t>Der Mangel an ausreichendem bezahlbarem Wohnraum stellt eine wachsende Zahl von Haushalten vor ernste Schwierigkeiten, kann aber auch unter dem Gesichtspunkt der Wettbewerbsfähigkeit betrachtet werden. So haben europäische Unternehmen in einigen Gebieten Probleme, Arbeitskräfte zu finden, da die Wohn- und Lebenshaltungskosten in diesen Gegenden im Vergleich zum Einkommen unverhältnismäßig hoch sind. Aufgrund hoher Preise geraten auch die öffentlichen Dienstleistungen in einigen Städten unter Druck, da es schwierig ist, Arbeitskräfte in der öffentlichen Grundversorgung (Lehrkräfte, Krankenpflegekräfte, Polizeibeamte usw.) zu finden.</w:t>
      </w:r>
    </w:p>
    <w:p w14:paraId="39E1F280" w14:textId="77777777" w:rsidR="00FC04A3" w:rsidRPr="00C754CA" w:rsidRDefault="7E7366B9" w:rsidP="08875448">
      <w:pPr>
        <w:rPr>
          <w:rStyle w:val="eop"/>
          <w:noProof/>
          <w:color w:val="000000" w:themeColor="text1"/>
        </w:rPr>
      </w:pPr>
      <w:r w:rsidRPr="00C754CA">
        <w:rPr>
          <w:rStyle w:val="eop"/>
          <w:noProof/>
          <w:color w:val="000000" w:themeColor="text1"/>
        </w:rPr>
        <w:t>Vor diesem Hintergrund wird der Wohnungspolitik in den politischen Leitlinien der Kommission große Bedeutung beigemessen und ein koordinierter Ansatz im Rahmen des künftigen „Europäischen Plans für erschwinglichen Wohnraum“ vorgeschlagen.</w:t>
      </w:r>
      <w:r w:rsidRPr="00C754CA">
        <w:rPr>
          <w:noProof/>
        </w:rPr>
        <w:t xml:space="preserve"> </w:t>
      </w:r>
      <w:r w:rsidRPr="00C754CA">
        <w:rPr>
          <w:rStyle w:val="eop"/>
          <w:noProof/>
          <w:color w:val="000000" w:themeColor="text1"/>
        </w:rPr>
        <w:t xml:space="preserve">Vor dem Hintergrund dieses übergeordneten Ziels schlägt die Kommission nun vor, die wachsende Investitionslücke im Bereich des erschwinglichen Wohnraums zu schließen, </w:t>
      </w:r>
      <w:r w:rsidRPr="00C754CA">
        <w:rPr>
          <w:noProof/>
        </w:rPr>
        <w:t xml:space="preserve">indem sie den Mitgliedstaaten die Möglichkeit gibt, im Rahmen ihrer Programme für den Zeitraum </w:t>
      </w:r>
      <w:r w:rsidRPr="00E2773D">
        <w:rPr>
          <w:noProof/>
        </w:rPr>
        <w:t>2021</w:t>
      </w:r>
      <w:r w:rsidRPr="00C754CA">
        <w:rPr>
          <w:noProof/>
        </w:rPr>
        <w:t>-</w:t>
      </w:r>
      <w:r w:rsidRPr="00E2773D">
        <w:rPr>
          <w:noProof/>
        </w:rPr>
        <w:t>2027</w:t>
      </w:r>
      <w:r w:rsidRPr="00C754CA">
        <w:rPr>
          <w:noProof/>
        </w:rPr>
        <w:t xml:space="preserve"> Mittel umzuplanen und für die Unterstützung von Investitionen zur Förderung des Zugangs zu erschwinglichem Wohnraum bereitzustellen. Bei Investitionen im Rahmen des Neuen Europäischen Bauhauses sollten diese neuen Möglichkeiten in vollem Umfang genutzt werden.</w:t>
      </w:r>
    </w:p>
    <w:p w14:paraId="2C20E83A" w14:textId="77777777" w:rsidR="00C21DF8" w:rsidRPr="00C754CA" w:rsidRDefault="00C21DF8" w:rsidP="00C21DF8">
      <w:pPr>
        <w:rPr>
          <w:noProof/>
        </w:rPr>
      </w:pPr>
      <w:r w:rsidRPr="00C754CA">
        <w:rPr>
          <w:noProof/>
        </w:rPr>
        <w:t>Gleichzeitig muss sichergestellt werden, dass Wohnraum klimaresilient ist.</w:t>
      </w:r>
    </w:p>
    <w:p w14:paraId="0579B6BD" w14:textId="77777777" w:rsidR="00FC04A3" w:rsidRPr="00C754CA" w:rsidRDefault="290D1D5B" w:rsidP="00FC04A3">
      <w:pPr>
        <w:rPr>
          <w:rFonts w:eastAsia="Times New Roman"/>
          <w:noProof/>
        </w:rPr>
      </w:pPr>
      <w:r w:rsidRPr="00C754CA">
        <w:rPr>
          <w:noProof/>
        </w:rPr>
        <w:t xml:space="preserve">Die Kommission schlägt vor, im Rahmen von drei politischen Zielen entsprechende zusätzliche spezifische Ziele aufzunehmen, um den Mitgliedstaaten und Regionen je nach ihren Programmplanungsstrukturen und dem Schwerpunkt ihrer Maßnahmen im Wohnungswesen Flexibilität zu bieten. </w:t>
      </w:r>
    </w:p>
    <w:p w14:paraId="296436F2" w14:textId="77777777" w:rsidR="00FC04A3" w:rsidRPr="00C754CA" w:rsidRDefault="00FC04A3" w:rsidP="142F223E">
      <w:pPr>
        <w:rPr>
          <w:rFonts w:eastAsia="Times New Roman"/>
          <w:noProof/>
        </w:rPr>
      </w:pPr>
      <w:r w:rsidRPr="00C754CA">
        <w:rPr>
          <w:noProof/>
        </w:rPr>
        <w:t xml:space="preserve">Um Anreize für eine Neugewichtung der Prioritäten ihrer Programme und ihrer Inanspruchnahme zu schaffen und unbeschadet der Einhaltung der Vorschriften über staatliche Beihilfen wird vorgeschlagen, dass die Mitgliedstaaten bei der Nutzung des vorgeschlagenen Rahmens eine Unionsfinanzierung von </w:t>
      </w:r>
      <w:r w:rsidRPr="00E2773D">
        <w:rPr>
          <w:noProof/>
        </w:rPr>
        <w:t>100</w:t>
      </w:r>
      <w:r w:rsidRPr="00C754CA">
        <w:rPr>
          <w:noProof/>
        </w:rPr>
        <w:t xml:space="preserve"> % und eine Vorfinanzierung in Höhe von </w:t>
      </w:r>
      <w:r w:rsidRPr="00E2773D">
        <w:rPr>
          <w:noProof/>
        </w:rPr>
        <w:t>30</w:t>
      </w:r>
      <w:r w:rsidRPr="00C754CA">
        <w:rPr>
          <w:noProof/>
        </w:rPr>
        <w:t> % der im Rahmen der speziellen Priorität eingeplanten Beträge erhalten. Um die Wirkung der Investitionen zu erhöhen, können in den Geltungsbereich der Interventionen nun auch Maßnahmen aufgenommen werden, die mit der Durchführung von Reformen im Rahmen der Kohäsionspolitik zusammenhängen, sofern die Programmänderung im Jahr </w:t>
      </w:r>
      <w:r w:rsidRPr="00E2773D">
        <w:rPr>
          <w:noProof/>
        </w:rPr>
        <w:t>2025</w:t>
      </w:r>
      <w:r w:rsidRPr="00C754CA">
        <w:rPr>
          <w:noProof/>
        </w:rPr>
        <w:t xml:space="preserve"> vorgelegt wird</w:t>
      </w:r>
      <w:bookmarkEnd w:id="6"/>
      <w:r w:rsidRPr="00C754CA">
        <w:rPr>
          <w:noProof/>
        </w:rPr>
        <w:t>.</w:t>
      </w:r>
    </w:p>
    <w:p w14:paraId="049CA3EE" w14:textId="77777777" w:rsidR="653353E9" w:rsidRPr="00C754CA" w:rsidRDefault="3044222C" w:rsidP="00E475A3">
      <w:pPr>
        <w:ind w:left="360"/>
        <w:rPr>
          <w:rStyle w:val="eop"/>
          <w:rFonts w:eastAsia="Times New Roman"/>
          <w:i/>
          <w:iCs/>
          <w:noProof/>
        </w:rPr>
      </w:pPr>
      <w:bookmarkStart w:id="7" w:name="_Hlk194321197"/>
      <w:r w:rsidRPr="00C754CA">
        <w:rPr>
          <w:i/>
          <w:iCs/>
          <w:noProof/>
        </w:rPr>
        <w:t>Zugang zu Wasser, nachhaltige Wasserbewirtschaftung und resiliente Wasserversorgung</w:t>
      </w:r>
      <w:bookmarkEnd w:id="7"/>
    </w:p>
    <w:p w14:paraId="084995EA" w14:textId="695E66DB" w:rsidR="00ED2EBA" w:rsidRPr="00C754CA" w:rsidRDefault="4BED2DD2" w:rsidP="08875448">
      <w:pPr>
        <w:rPr>
          <w:rFonts w:eastAsiaTheme="majorEastAsia"/>
          <w:noProof/>
          <w:color w:val="000000" w:themeColor="text1"/>
        </w:rPr>
      </w:pPr>
      <w:r w:rsidRPr="00C754CA">
        <w:rPr>
          <w:rStyle w:val="eop"/>
          <w:noProof/>
          <w:color w:val="000000" w:themeColor="text1"/>
        </w:rPr>
        <w:t xml:space="preserve">Wasser ist eine lebenswichtige Ressource für die Sicherheit unserer Ernährungs-, Energie- und Wirtschaftssysteme, doch sowohl auf EU- als auch auf globaler Ebene stehen die Wasserressourcen zunehmend unter Druck. Eine wirkungsvolle Wasserbewirtschaftung ist für den Schutz der öffentlichen Gesundheit, den Umweltschutz und die Erhaltung der wirtschaftlichen Wettbewerbsfähigkeit der EU von entscheidender Bedeutung. Missmanagement, einschließlich übermäßiger Wasserentnahme und Verschmutzung, stellt eine zunehmende Belastung für kritische Sektoren wie Landwirtschaft, Energie, Industrie und Verkehr dar. </w:t>
      </w:r>
      <w:r w:rsidRPr="00C754CA">
        <w:rPr>
          <w:noProof/>
          <w:color w:val="000000" w:themeColor="text1"/>
        </w:rPr>
        <w:t>Die EU ist mit den zunehmenden Auswirkungen des Klimawandels konfrontiert, die den bestehenden Druck auf die Wasserqualität, die Wassermenge und die Meeresökosysteme noch verstärken. In diesem Zusammenhang ist es dringend erforderlich, die Umsetzung der Rechtsvorschriften zum Schutz der Wasser- und Meeresressourcen zu fördern, die Wassereffizienz zu verbessern, die Wasserknappheit zu bekämpfen und Fortschritte auf dem Weg zu einem Europa mit einer resilienten Wasserversorgung zu erzielen, was erhebliche Anstrengungen und Investitionen erfordert. </w:t>
      </w:r>
      <w:r w:rsidRPr="00C754CA">
        <w:rPr>
          <w:noProof/>
        </w:rPr>
        <w:t>Die Wasserwirtschaft und die blaue Wirtschaft in der EU sind in vielen Regionen bedeutende Wirtschaftszweige, die Innovationen vorantreiben und die öffentliche Gesundheit sowie die Nachhaltigkeit schützen, indem sie z. B. fortschrittliche Lösungen wie Entsalzung, Wasseraufbereitung, Wasserwiederverwendung, blaue Biotechnologie usw. anbieten. Die weltweite Führungsrolle im Bereich der Wassertechnologien stärkt das Exportpotenzial der EU und schafft Arbeitsplätze in allen Regionen Europas.</w:t>
      </w:r>
    </w:p>
    <w:p w14:paraId="0A08EB2F" w14:textId="77777777" w:rsidR="00FC04A3" w:rsidRPr="00C754CA" w:rsidRDefault="00ED2EBA" w:rsidP="3BBAE73C">
      <w:pPr>
        <w:rPr>
          <w:rStyle w:val="eop"/>
          <w:rFonts w:eastAsiaTheme="majorEastAsia"/>
          <w:noProof/>
          <w:color w:val="000000" w:themeColor="text1"/>
        </w:rPr>
      </w:pPr>
      <w:r w:rsidRPr="00C754CA">
        <w:rPr>
          <w:noProof/>
        </w:rPr>
        <w:t>Die EU muss daher diese Wasserökosysteme und -infrastrukturen durch eine Aufstockung der Investitionen schützen und die Wasserversorgung und -infrastruktur unter dem Gesichtspunkt betrachten, dass unter allen Umständen der Zugang zu und die Versorgung mit Wasser für die Bürgerinnen und Bürger und Gesellschaften in der Union sichergestellt sein muss.</w:t>
      </w:r>
    </w:p>
    <w:p w14:paraId="13330DE5" w14:textId="77777777" w:rsidR="00FC04A3" w:rsidRPr="00C754CA" w:rsidRDefault="4B743CAF" w:rsidP="00FC04A3">
      <w:pPr>
        <w:rPr>
          <w:noProof/>
        </w:rPr>
      </w:pPr>
      <w:r w:rsidRPr="00C754CA">
        <w:rPr>
          <w:noProof/>
        </w:rPr>
        <w:t>Die EU hat einen soliden Rechtsrahmen für die nachhaltige und sichere Wasserbewirtschaftung geschaffen, doch sind weitere Fortschritte bei der Umsetzung unabdingbar und ein entschlosseneres Handeln ist dringend erforderlich. Aus diesem Grund wird die EU im ersten Halbjahr </w:t>
      </w:r>
      <w:r w:rsidRPr="00E2773D">
        <w:rPr>
          <w:noProof/>
        </w:rPr>
        <w:t>2025</w:t>
      </w:r>
      <w:r w:rsidRPr="00C754CA">
        <w:rPr>
          <w:noProof/>
        </w:rPr>
        <w:t xml:space="preserve"> eine Europäische Strategie für eine resiliente Wasserversorgung vorlegen. Im Einklang mit der Strategie für eine krisenfeste Union erfordert eine resiliente Wasserversorgung einen Übergang von einem reaktiven Krisenmanagement hin zu einem proaktiven, risikobasierten Management und einer verstärkten Vorsorge.</w:t>
      </w:r>
    </w:p>
    <w:p w14:paraId="28A8B6ED" w14:textId="77777777" w:rsidR="00FC04A3" w:rsidRPr="00C754CA" w:rsidRDefault="4E39F732" w:rsidP="00FC04A3">
      <w:pPr>
        <w:rPr>
          <w:noProof/>
        </w:rPr>
      </w:pPr>
      <w:r w:rsidRPr="00C754CA">
        <w:rPr>
          <w:noProof/>
        </w:rPr>
        <w:t>Im Zeitraum </w:t>
      </w:r>
      <w:r w:rsidRPr="00E2773D">
        <w:rPr>
          <w:noProof/>
        </w:rPr>
        <w:t>2021</w:t>
      </w:r>
      <w:r w:rsidRPr="00C754CA">
        <w:rPr>
          <w:noProof/>
        </w:rPr>
        <w:t>-</w:t>
      </w:r>
      <w:r w:rsidRPr="00E2773D">
        <w:rPr>
          <w:noProof/>
        </w:rPr>
        <w:t>2027</w:t>
      </w:r>
      <w:r w:rsidRPr="00C754CA">
        <w:rPr>
          <w:noProof/>
        </w:rPr>
        <w:t xml:space="preserve"> werden im Rahmen kohäsionspolitischer Programme fast </w:t>
      </w:r>
      <w:r w:rsidRPr="00E2773D">
        <w:rPr>
          <w:noProof/>
        </w:rPr>
        <w:t>13</w:t>
      </w:r>
      <w:r w:rsidRPr="00C754CA">
        <w:rPr>
          <w:noProof/>
        </w:rPr>
        <w:t> Mrd. EUR in Wasserdienstleistungen und eine verbesserte Abwassersammlung und -reinigung investiert. Es sind jedoch zusätzliche Anstrengungen des öffentlichen und des privaten Sektors erforderlich, um ausreichende Fortschritte zu erzielen. Um der Bedeutung und dem Schwerpunkt von Investitionen in die Resilienz der Wasserversorgung mehr Geltung zu verleihen, schlägt die Kommission daher vor, den Wortlaut des spezifischen Ziels für die Wasserbewirtschaftung im Rahmen des politischen Ziels </w:t>
      </w:r>
      <w:r w:rsidRPr="00E2773D">
        <w:rPr>
          <w:noProof/>
        </w:rPr>
        <w:t>2</w:t>
      </w:r>
      <w:r w:rsidRPr="00C754CA">
        <w:rPr>
          <w:noProof/>
        </w:rPr>
        <w:t xml:space="preserve"> „Ein grünerer, CO</w:t>
      </w:r>
      <w:r w:rsidRPr="00E2773D">
        <w:rPr>
          <w:noProof/>
          <w:vertAlign w:val="subscript"/>
        </w:rPr>
        <w:t>2</w:t>
      </w:r>
      <w:r w:rsidRPr="00C754CA">
        <w:rPr>
          <w:noProof/>
        </w:rPr>
        <w:t>-armer Übergang zu einer CO</w:t>
      </w:r>
      <w:r w:rsidRPr="00E2773D">
        <w:rPr>
          <w:noProof/>
          <w:vertAlign w:val="subscript"/>
        </w:rPr>
        <w:t>2</w:t>
      </w:r>
      <w:r w:rsidRPr="00C754CA">
        <w:rPr>
          <w:noProof/>
        </w:rPr>
        <w:t xml:space="preserve">-neutralen Wirtschaft und einem widerstandsfähigen Europa durch die Förderung von sauberen Energien und einer fairen Energiewende, von grünen und blauen Investitionen, der Kreislaufwirtschaft, des Klimaschutzes und der Anpassung an den Klimawandel, der Risikoprävention und des Risikomanagements sowie der nachhaltigen städtischen Mobilität“ zu ändern. </w:t>
      </w:r>
    </w:p>
    <w:p w14:paraId="6B7E666E" w14:textId="77777777" w:rsidR="00BF7BFC" w:rsidRPr="00C754CA" w:rsidRDefault="00FC04A3" w:rsidP="4D8CB314">
      <w:pPr>
        <w:rPr>
          <w:noProof/>
        </w:rPr>
      </w:pPr>
      <w:r w:rsidRPr="00C754CA">
        <w:rPr>
          <w:noProof/>
        </w:rPr>
        <w:t xml:space="preserve">Es sollten Anreize für kohäsionspolitische Investitionen in nachhaltige und sichere Investitionen geschaffen werden, insbesondere um zum Aufbau einer wasserresilienten Gesellschaft beizutragen, und zwar durch eine verstärkte Wiederherstellung von Wasserkörpern, die Einführung naturbasierter Lösungen zur Verringerung des Hochwasserrisikos und die Verbesserung der Kapazität der Ökosysteme zur Speicherung von Wasser, eine bessere Kontrolle der Wasserentnahmen, eine verbesserte Wassereffizienz und -wiederverwendung, die verstärkte Digitalisierung der Wasserinfrastruktur, die Abmilderung der Auswirkungen von Dürren und Wüstenbildung, Überschwemmungen und extremen Wetterereignissen sowie die Einhaltung der Wasserrahmenrichtlinie, der Grundwasserrichtlinie, der Richtlinie über die Behandlung von kommunalem Abwasser und der Richtlinie über Umweltqualitätsnormen. Es wird vorgeschlagen, dass die Mitgliedstaaten bei der Nutzung des vorgeschlagenen Rahmens die Möglichkeit haben, eine Unionsfinanzierung von bis zu </w:t>
      </w:r>
      <w:r w:rsidRPr="00E2773D">
        <w:rPr>
          <w:noProof/>
        </w:rPr>
        <w:t>100</w:t>
      </w:r>
      <w:r w:rsidRPr="00C754CA">
        <w:rPr>
          <w:noProof/>
        </w:rPr>
        <w:t xml:space="preserve"> % und eine Vorfinanzierung in Höhe von </w:t>
      </w:r>
      <w:r w:rsidRPr="00E2773D">
        <w:rPr>
          <w:noProof/>
        </w:rPr>
        <w:t>30</w:t>
      </w:r>
      <w:r w:rsidRPr="00C754CA">
        <w:rPr>
          <w:noProof/>
        </w:rPr>
        <w:t> % der im Rahmen der speziellen Priorität für dieses neue spezifische Ziel eingeplanten Beträge zu erhalten.</w:t>
      </w:r>
    </w:p>
    <w:p w14:paraId="6B2C7CF9" w14:textId="77777777" w:rsidR="00BF7BFC" w:rsidRPr="00C754CA" w:rsidRDefault="00854387" w:rsidP="00E475A3">
      <w:pPr>
        <w:ind w:left="360"/>
        <w:rPr>
          <w:rFonts w:eastAsia="Times New Roman"/>
          <w:i/>
          <w:iCs/>
          <w:noProof/>
          <w:color w:val="000000" w:themeColor="text1"/>
        </w:rPr>
      </w:pPr>
      <w:r w:rsidRPr="00C754CA">
        <w:rPr>
          <w:i/>
          <w:noProof/>
          <w:color w:val="000000" w:themeColor="text1"/>
        </w:rPr>
        <w:t xml:space="preserve">Energiewende </w:t>
      </w:r>
    </w:p>
    <w:p w14:paraId="24C355C5" w14:textId="77777777" w:rsidR="00BF7BFC" w:rsidRPr="00C754CA" w:rsidRDefault="00BF7BFC" w:rsidP="00385A96">
      <w:pPr>
        <w:rPr>
          <w:rFonts w:eastAsia="Times New Roman"/>
          <w:noProof/>
          <w:color w:val="000000" w:themeColor="text1"/>
        </w:rPr>
      </w:pPr>
      <w:r w:rsidRPr="00C754CA">
        <w:rPr>
          <w:noProof/>
          <w:color w:val="000000" w:themeColor="text1"/>
        </w:rPr>
        <w:t xml:space="preserve">Ein weiterer Bereich, in dem kohäsionspolitische Investitionen zu den Prioritäten der EU beitragen, sind der Klimaschutz und die Klimawende – Bereiche, in denen im Rahmen der Politik mehr als </w:t>
      </w:r>
      <w:r w:rsidRPr="00E2773D">
        <w:rPr>
          <w:noProof/>
          <w:color w:val="000000" w:themeColor="text1"/>
        </w:rPr>
        <w:t>110</w:t>
      </w:r>
      <w:r w:rsidRPr="00C754CA">
        <w:rPr>
          <w:noProof/>
          <w:color w:val="000000" w:themeColor="text1"/>
        </w:rPr>
        <w:t> Mrd. EUR investiert werden. Angesichts des erheblichen Investitionsbedarfs im Zusammenhang mit der Klimawende müssen die Mitgliedstaaten ihre Bemühungen fortsetzen, um die Klimaziele der Fonds zu verwirklichen.</w:t>
      </w:r>
    </w:p>
    <w:p w14:paraId="74BE1D09" w14:textId="77777777" w:rsidR="008E0F35" w:rsidRPr="00C754CA" w:rsidRDefault="008E0F35" w:rsidP="00877B3D">
      <w:pPr>
        <w:rPr>
          <w:rFonts w:eastAsia="Times New Roman"/>
          <w:noProof/>
        </w:rPr>
      </w:pPr>
      <w:r w:rsidRPr="00C754CA">
        <w:rPr>
          <w:noProof/>
        </w:rPr>
        <w:t xml:space="preserve">Um die Energieversorgungssicherheit zu erhöhen und den Übergang in der gesamten Union zu beschleunigen sowie eine saubere Mobilität zu unterstützen, sollte ein neues spezifisches Ziel festgelegt werden, um Verbindungsleitungen und damit verbundene Leitungsinfrastruktur sowie den Aufbau von Ladeinfrastrukturen aus Mitteln des EFRE und des Kohäsionsfonds zu fördern. </w:t>
      </w:r>
    </w:p>
    <w:p w14:paraId="3C6CE47F" w14:textId="77777777" w:rsidR="00BF7BFC" w:rsidRPr="00C754CA" w:rsidRDefault="00BF7BFC" w:rsidP="08875448">
      <w:pPr>
        <w:rPr>
          <w:rStyle w:val="eop"/>
          <w:rFonts w:eastAsiaTheme="majorEastAsia"/>
          <w:noProof/>
          <w:color w:val="000000" w:themeColor="text1"/>
        </w:rPr>
      </w:pPr>
      <w:r w:rsidRPr="00C754CA">
        <w:rPr>
          <w:rStyle w:val="eop"/>
          <w:noProof/>
          <w:color w:val="000000" w:themeColor="text1"/>
        </w:rPr>
        <w:t xml:space="preserve">Um die Energiewende in der Industrie, insbesondere in energieintensiven Wirtschaftszweigen, zu beschleunigen, die für die Verwirklichung der Klimaziele der EU und für die Wettbewerbsfähigkeit und Widerstandsfähigkeit der EU notwendig ist, schlägt die Kommission vor, den Umfang der Unterstützung aus dem EFRE auf die Dekarbonisierung von Projekten auszuweiten, die im Rahmen von Unionsinstrumenten ausgewählt wurden, </w:t>
      </w:r>
      <w:r w:rsidRPr="00C754CA">
        <w:rPr>
          <w:noProof/>
          <w:color w:val="000000" w:themeColor="text1"/>
        </w:rPr>
        <w:t xml:space="preserve">insbesondere auf Projekte in Anlagen, denen ein Souveränitätssiegel im Rahmen des durch das EU-Emissionshandelssystem (EHS) eingerichteten Innovationsfonds zuerkannt wurde; </w:t>
      </w:r>
      <w:r w:rsidRPr="00C754CA">
        <w:rPr>
          <w:rStyle w:val="eop"/>
          <w:noProof/>
          <w:color w:val="000000" w:themeColor="text1"/>
        </w:rPr>
        <w:t>zudem wird vorgeschlagen, die Verwaltungskontrollen für eine ähnliche Förderung im Rahmen des JTF zu verringern.</w:t>
      </w:r>
    </w:p>
    <w:p w14:paraId="3886AA4A" w14:textId="77777777" w:rsidR="00BF7BFC" w:rsidRPr="00C754CA" w:rsidRDefault="00BF7BFC" w:rsidP="08875448">
      <w:pPr>
        <w:rPr>
          <w:rStyle w:val="eop"/>
          <w:rFonts w:eastAsiaTheme="majorEastAsia"/>
          <w:noProof/>
          <w:color w:val="000000" w:themeColor="text1"/>
        </w:rPr>
      </w:pPr>
      <w:r w:rsidRPr="00C754CA">
        <w:rPr>
          <w:rStyle w:val="eop"/>
          <w:noProof/>
          <w:color w:val="000000" w:themeColor="text1"/>
        </w:rPr>
        <w:t>Die Stärkung der Klimaresilienz ist von entscheidender Bedeutung, um die Wettbewerbsfähigkeit zu sichern.</w:t>
      </w:r>
      <w:r w:rsidRPr="00C754CA">
        <w:rPr>
          <w:rStyle w:val="eop"/>
          <w:noProof/>
        </w:rPr>
        <w:t xml:space="preserve"> Im Einklang mit der Strategie für eine krisenfeste Union und dem Grundsatz der konzeptionsintegrierten Vorsorge und Sicherheit ist es unerlässlich, nachhaltige und fundierte Investitionen auf der Grundlage geeigneter Klimamodellierungsdaten sicherzustellen, um sowohl gefährdete Bevölkerungsgruppen als auch die Wirtschaft und die Wettbewerbsfähigkeit der EU zu schützen. </w:t>
      </w:r>
    </w:p>
    <w:p w14:paraId="213F9DAB" w14:textId="77777777" w:rsidR="00FC04A3" w:rsidRPr="00C754CA" w:rsidRDefault="00FC04A3" w:rsidP="00E475A3">
      <w:pPr>
        <w:ind w:left="360"/>
        <w:rPr>
          <w:rStyle w:val="eop"/>
          <w:rFonts w:eastAsiaTheme="majorEastAsia"/>
          <w:i/>
          <w:iCs/>
          <w:noProof/>
          <w:color w:val="000000" w:themeColor="text1"/>
        </w:rPr>
      </w:pPr>
      <w:r w:rsidRPr="00C754CA">
        <w:rPr>
          <w:rStyle w:val="eop"/>
          <w:i/>
          <w:noProof/>
          <w:color w:val="000000" w:themeColor="text1"/>
        </w:rPr>
        <w:t>Regionen an der Ostgrenze</w:t>
      </w:r>
    </w:p>
    <w:p w14:paraId="20907939" w14:textId="77777777" w:rsidR="00FC04A3" w:rsidRPr="00C754CA" w:rsidRDefault="4E39F732" w:rsidP="471CE5AE">
      <w:pPr>
        <w:rPr>
          <w:rStyle w:val="eop"/>
          <w:rFonts w:eastAsiaTheme="majorEastAsia"/>
          <w:b/>
          <w:bCs/>
          <w:noProof/>
          <w:color w:val="000000" w:themeColor="text1"/>
        </w:rPr>
      </w:pPr>
      <w:r w:rsidRPr="00C754CA">
        <w:rPr>
          <w:rStyle w:val="eop"/>
          <w:noProof/>
          <w:color w:val="000000" w:themeColor="text1"/>
        </w:rPr>
        <w:t>Angesichts der Herausforderungen, vor denen die Regionen an der Ostgrenze seit der Aggression Russlands gegen die Ukraine stehen, sollte für Programme im Rahmen des Ziels „Investitionen in Beschäftigung und Wachstum“ für NUTS-</w:t>
      </w:r>
      <w:r w:rsidRPr="00E2773D">
        <w:rPr>
          <w:rStyle w:val="eop"/>
          <w:noProof/>
          <w:color w:val="000000" w:themeColor="text1"/>
        </w:rPr>
        <w:t>2</w:t>
      </w:r>
      <w:r w:rsidRPr="00C754CA">
        <w:rPr>
          <w:rStyle w:val="eop"/>
          <w:noProof/>
          <w:color w:val="000000" w:themeColor="text1"/>
        </w:rPr>
        <w:t xml:space="preserve">-Regionen mit Grenzen zu Russland, Belarus oder der Ukraine die Möglichkeit bestehen, eine einmalige Vorfinanzierung in Höhe von </w:t>
      </w:r>
      <w:r w:rsidRPr="00E2773D">
        <w:rPr>
          <w:rStyle w:val="eop"/>
          <w:noProof/>
          <w:color w:val="000000" w:themeColor="text1"/>
        </w:rPr>
        <w:t>9</w:t>
      </w:r>
      <w:r w:rsidRPr="00C754CA">
        <w:rPr>
          <w:rStyle w:val="eop"/>
          <w:noProof/>
          <w:color w:val="000000" w:themeColor="text1"/>
        </w:rPr>
        <w:t>,</w:t>
      </w:r>
      <w:r w:rsidRPr="00E2773D">
        <w:rPr>
          <w:rStyle w:val="eop"/>
          <w:noProof/>
          <w:color w:val="000000" w:themeColor="text1"/>
        </w:rPr>
        <w:t>5</w:t>
      </w:r>
      <w:r w:rsidRPr="00C754CA">
        <w:rPr>
          <w:rStyle w:val="eop"/>
          <w:noProof/>
          <w:color w:val="000000" w:themeColor="text1"/>
        </w:rPr>
        <w:t xml:space="preserve"> % der Programmmittel und eine </w:t>
      </w:r>
      <w:r w:rsidRPr="00E2773D">
        <w:rPr>
          <w:rStyle w:val="eop"/>
          <w:noProof/>
          <w:color w:val="000000" w:themeColor="text1"/>
        </w:rPr>
        <w:t>100</w:t>
      </w:r>
      <w:r w:rsidRPr="00C754CA">
        <w:rPr>
          <w:rStyle w:val="eop"/>
          <w:noProof/>
          <w:color w:val="000000" w:themeColor="text1"/>
        </w:rPr>
        <w:t>%ige Finanzierung durch die Union zu erhalten.</w:t>
      </w:r>
    </w:p>
    <w:p w14:paraId="618739DA" w14:textId="77777777" w:rsidR="00FC04A3" w:rsidRPr="00C754CA" w:rsidRDefault="00FC04A3" w:rsidP="00FC04A3">
      <w:pPr>
        <w:spacing w:before="240"/>
        <w:rPr>
          <w:rStyle w:val="eop"/>
          <w:rFonts w:eastAsiaTheme="majorEastAsia"/>
          <w:b/>
          <w:bCs/>
          <w:noProof/>
          <w:color w:val="000000" w:themeColor="text1"/>
        </w:rPr>
      </w:pPr>
      <w:r w:rsidRPr="00C754CA">
        <w:rPr>
          <w:rStyle w:val="eop"/>
          <w:b/>
          <w:noProof/>
          <w:color w:val="000000" w:themeColor="text1"/>
        </w:rPr>
        <w:t>Größere Flexibilität und Vereinfachung zur Beschleunigung von Investitionen</w:t>
      </w:r>
    </w:p>
    <w:p w14:paraId="1BC3383D" w14:textId="77777777" w:rsidR="00FC04A3" w:rsidRPr="00C754CA" w:rsidRDefault="00FC04A3" w:rsidP="142F223E">
      <w:pPr>
        <w:rPr>
          <w:rStyle w:val="eop"/>
          <w:rFonts w:eastAsiaTheme="majorEastAsia"/>
          <w:noProof/>
          <w:color w:val="000000" w:themeColor="text1"/>
        </w:rPr>
      </w:pPr>
      <w:r w:rsidRPr="00C754CA">
        <w:rPr>
          <w:rStyle w:val="eop"/>
          <w:noProof/>
          <w:color w:val="000000" w:themeColor="text1"/>
        </w:rPr>
        <w:t>Zur Halbzeit des Programmplanungszeitraums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2027</w:t>
      </w:r>
      <w:r w:rsidRPr="00C754CA">
        <w:rPr>
          <w:rStyle w:val="eop"/>
          <w:noProof/>
          <w:color w:val="000000" w:themeColor="text1"/>
        </w:rPr>
        <w:t xml:space="preserve"> wurden von den Mitgliedstaaten nur in geringem Umfang Auszahlungen bei der Kommission beantragt, was auf das Zusammenwirken mehrere Faktoren zurückzuführen war, nämlich auf die späte Annahme der Verordnungen über die Politik, die Notwendigkeit der Bewältigung aufeinanderfolgender Krisen, einschließlich der COVID-</w:t>
      </w:r>
      <w:r w:rsidRPr="00E2773D">
        <w:rPr>
          <w:rStyle w:val="eop"/>
          <w:noProof/>
          <w:color w:val="000000" w:themeColor="text1"/>
        </w:rPr>
        <w:t>19</w:t>
      </w:r>
      <w:r w:rsidRPr="00C754CA">
        <w:rPr>
          <w:rStyle w:val="eop"/>
          <w:noProof/>
          <w:color w:val="000000" w:themeColor="text1"/>
        </w:rPr>
        <w:t xml:space="preserve">-Pandemie, des Krieges gegen die Ukraine und der Energiekrise, den Druck, den vorangegangenen Programmplanungszeitraum abzuschließen, sowie auf die Priorität, die der Umsetzung der Instrumente von NextGenerationEU eingeräumt wurde, für die kürzere Umsetzungsfristen galten. All dies hat wiederum die Verwaltungskapazitäten der Behörden der Mitgliedstaaten für die Planung und schnelle Durchführung von Investitionen belastet. Ungeachtet der raschen Beschleunigung im vergangenen Jahr, in dem die Projektauswahl nahezu </w:t>
      </w:r>
      <w:r w:rsidRPr="00E2773D">
        <w:rPr>
          <w:rStyle w:val="eop"/>
          <w:noProof/>
          <w:color w:val="000000" w:themeColor="text1"/>
        </w:rPr>
        <w:t>40</w:t>
      </w:r>
      <w:r w:rsidRPr="00C754CA">
        <w:rPr>
          <w:rStyle w:val="eop"/>
          <w:noProof/>
          <w:color w:val="000000" w:themeColor="text1"/>
        </w:rPr>
        <w:t> % der Mittelzuweisungen entsprach, sollte die Umsetzung der Kohäsionspolitik zügig an Fahrt aufnehmen, da die Union mit einer Vielzahl neuer Herausforderungen konfrontiert ist, die rasches Handeln erfordern. Die Kommission schlägt daher eine Reihe von Maßnahmen vor, die darauf abzielen, die Nutzung der kohäsionspolitischen Unterstützung zur Beschleunigung von Investitionen flexibler und einfacher zu gestalten:</w:t>
      </w:r>
    </w:p>
    <w:p w14:paraId="2B51400C" w14:textId="77777777" w:rsidR="00FC04A3" w:rsidRPr="00C754CA" w:rsidRDefault="00FC04A3" w:rsidP="004565AA">
      <w:pPr>
        <w:pStyle w:val="Tiret0"/>
        <w:numPr>
          <w:ilvl w:val="0"/>
          <w:numId w:val="18"/>
        </w:numPr>
        <w:rPr>
          <w:rStyle w:val="eop"/>
          <w:rFonts w:eastAsiaTheme="majorEastAsia"/>
          <w:noProof/>
          <w:color w:val="000000" w:themeColor="text1"/>
        </w:rPr>
      </w:pPr>
      <w:r w:rsidRPr="00C754CA">
        <w:rPr>
          <w:rStyle w:val="eop"/>
          <w:noProof/>
          <w:color w:val="000000" w:themeColor="text1"/>
        </w:rPr>
        <w:t xml:space="preserve">Um zu vermeiden, dass sich die Programmdurchführung aufgrund nationaler Haushaltszwänge verzögert, und um die finanziellen Kapazitäten der Mitgliedstaaten zur Bewältigung der neuen Herausforderungen zu erhöhen, schlägt die Kommission für </w:t>
      </w:r>
      <w:r w:rsidRPr="00E2773D">
        <w:rPr>
          <w:rStyle w:val="eop"/>
          <w:noProof/>
          <w:color w:val="000000" w:themeColor="text1"/>
        </w:rPr>
        <w:t>2026</w:t>
      </w:r>
      <w:r w:rsidRPr="00C754CA">
        <w:rPr>
          <w:rStyle w:val="eop"/>
          <w:noProof/>
          <w:color w:val="000000" w:themeColor="text1"/>
        </w:rPr>
        <w:t xml:space="preserve"> eine einmalige Vorfinanzierung in Höhe von </w:t>
      </w:r>
      <w:r w:rsidRPr="00E2773D">
        <w:rPr>
          <w:rStyle w:val="eop"/>
          <w:noProof/>
          <w:color w:val="000000" w:themeColor="text1"/>
        </w:rPr>
        <w:t>4</w:t>
      </w:r>
      <w:r w:rsidRPr="00C754CA">
        <w:rPr>
          <w:rStyle w:val="eop"/>
          <w:noProof/>
          <w:color w:val="000000" w:themeColor="text1"/>
        </w:rPr>
        <w:t>,</w:t>
      </w:r>
      <w:r w:rsidRPr="00E2773D">
        <w:rPr>
          <w:rStyle w:val="eop"/>
          <w:noProof/>
          <w:color w:val="000000" w:themeColor="text1"/>
        </w:rPr>
        <w:t>5</w:t>
      </w:r>
      <w:r w:rsidRPr="00C754CA">
        <w:rPr>
          <w:rStyle w:val="eop"/>
          <w:noProof/>
          <w:color w:val="000000" w:themeColor="text1"/>
        </w:rPr>
        <w:t xml:space="preserve"> % aus dem EFRE und dem Kohäsionsfonds für alle Programme vor, bei denen im Rahmen der Halbzeitüberprüfung mindestens </w:t>
      </w:r>
      <w:r w:rsidRPr="00E2773D">
        <w:rPr>
          <w:rStyle w:val="eop"/>
          <w:noProof/>
          <w:color w:val="000000" w:themeColor="text1"/>
        </w:rPr>
        <w:t>15</w:t>
      </w:r>
      <w:r w:rsidRPr="00C754CA">
        <w:rPr>
          <w:rStyle w:val="eop"/>
          <w:noProof/>
          <w:color w:val="000000" w:themeColor="text1"/>
        </w:rPr>
        <w:t xml:space="preserve"> % der Mittel für die neuen Prioritäten bereitgestellt werden. </w:t>
      </w:r>
      <w:bookmarkStart w:id="8" w:name="_Hlk192757725"/>
      <w:r w:rsidRPr="00C754CA">
        <w:rPr>
          <w:noProof/>
        </w:rPr>
        <w:t>Es wird vorgeschlagen, den Vorfinanzierungssatz für Programme des Ziels „Investitionen in Beschäftigung und Wachstum“, die sich auf eine oder mehrere an Russland, Belarus oder die Ukraine angrenzende NUTS-</w:t>
      </w:r>
      <w:r w:rsidRPr="00E2773D">
        <w:rPr>
          <w:noProof/>
        </w:rPr>
        <w:t>2</w:t>
      </w:r>
      <w:r w:rsidRPr="00C754CA">
        <w:rPr>
          <w:noProof/>
        </w:rPr>
        <w:t>-Regionen erstrecken, im Jahr </w:t>
      </w:r>
      <w:r w:rsidRPr="00E2773D">
        <w:rPr>
          <w:noProof/>
        </w:rPr>
        <w:t>2026</w:t>
      </w:r>
      <w:r w:rsidRPr="00C754CA">
        <w:rPr>
          <w:noProof/>
        </w:rPr>
        <w:t xml:space="preserve"> auf </w:t>
      </w:r>
      <w:r w:rsidRPr="00E2773D">
        <w:rPr>
          <w:noProof/>
        </w:rPr>
        <w:t>9</w:t>
      </w:r>
      <w:r w:rsidRPr="00C754CA">
        <w:rPr>
          <w:noProof/>
        </w:rPr>
        <w:t>,</w:t>
      </w:r>
      <w:r w:rsidRPr="00E2773D">
        <w:rPr>
          <w:noProof/>
        </w:rPr>
        <w:t>5</w:t>
      </w:r>
      <w:r w:rsidRPr="00C754CA">
        <w:rPr>
          <w:noProof/>
        </w:rPr>
        <w:t xml:space="preserve"> % zu erhöhen. </w:t>
      </w:r>
      <w:bookmarkEnd w:id="8"/>
      <w:r w:rsidRPr="00C754CA">
        <w:rPr>
          <w:rStyle w:val="eop"/>
          <w:noProof/>
          <w:color w:val="000000" w:themeColor="text1"/>
        </w:rPr>
        <w:t xml:space="preserve">Um zu vermeiden, dass das Risiko von Verzögerungen und eines entsprechenden Verlusts von Mitteln die Bereitschaft zu Programmänderungen verringert, und um die ordnungsgemäße Durchführung der betreffenden Maßnahmen zu gewährleisten, schlägt die Kommission vor, die Frist für die Verwendung der Mittel aus dem EFRE und dem Kohäsionsfonds zu verlängern und das Enddatum für die Förderfähigkeit um ein weiteres Jahr zu verlängern. Diese Flexibilitätsregelung sollte nur für Programme gelten, bei denen Änderungen vorgeschlagen werden, die nach ihrer Genehmigung eine Neuzuweisung von mindestens </w:t>
      </w:r>
      <w:r w:rsidRPr="00E2773D">
        <w:rPr>
          <w:rStyle w:val="eop"/>
          <w:noProof/>
          <w:color w:val="000000" w:themeColor="text1"/>
        </w:rPr>
        <w:t>15</w:t>
      </w:r>
      <w:r w:rsidRPr="00C754CA">
        <w:rPr>
          <w:rStyle w:val="eop"/>
          <w:noProof/>
          <w:color w:val="000000" w:themeColor="text1"/>
        </w:rPr>
        <w:t> % der Mittel für die neuen Prioritäten gemäß diesem Vorschlag und im Rahmen der Halbzeitüberprüfung vorsehen.</w:t>
      </w:r>
    </w:p>
    <w:p w14:paraId="6712D590" w14:textId="77777777" w:rsidR="00FC04A3" w:rsidRPr="00C754CA" w:rsidRDefault="00FC04A3" w:rsidP="4D8CB314">
      <w:pPr>
        <w:pStyle w:val="Tiret0"/>
        <w:rPr>
          <w:rStyle w:val="eop"/>
          <w:rFonts w:eastAsiaTheme="majorEastAsia"/>
          <w:noProof/>
          <w:color w:val="000000" w:themeColor="text1"/>
        </w:rPr>
      </w:pPr>
      <w:r w:rsidRPr="00C754CA">
        <w:rPr>
          <w:rStyle w:val="eop"/>
          <w:noProof/>
          <w:color w:val="000000" w:themeColor="text1"/>
        </w:rPr>
        <w:t>Kosten im Zusammenhang mit vorbereitenden Maßnahmen für Reformen sind förderfähig, auch für eigenständige Reformen (d. h. solche, die nicht von Investitionen begleitet sind).</w:t>
      </w:r>
    </w:p>
    <w:p w14:paraId="5897E0E9" w14:textId="77777777" w:rsidR="00FC04A3" w:rsidRPr="00C754CA" w:rsidRDefault="00FC04A3" w:rsidP="08875448">
      <w:pPr>
        <w:pStyle w:val="Tiret0"/>
        <w:rPr>
          <w:rStyle w:val="eop"/>
          <w:rFonts w:eastAsiaTheme="majorEastAsia"/>
          <w:noProof/>
          <w:color w:val="000000" w:themeColor="text1"/>
        </w:rPr>
      </w:pPr>
      <w:r w:rsidRPr="00C754CA">
        <w:rPr>
          <w:rStyle w:val="eop"/>
          <w:noProof/>
          <w:color w:val="000000" w:themeColor="text1"/>
        </w:rPr>
        <w:t xml:space="preserve">Um die Synergien zwischen den EU-Maßnahmen und -Instrumenten weiter zu stärken, wird vorgeschlagen, dass der JTF ebenfalls in den Geltungsbereich des Exzellenzsiegels (einschließlich des Souveränitätssiegels) und die Möglichkeit eines vereinfachten Auswahlverfahrens gemäß der Verordnung (EU)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1060</w:t>
      </w:r>
      <w:r w:rsidRPr="00C754CA">
        <w:rPr>
          <w:rStyle w:val="eop"/>
          <w:noProof/>
          <w:color w:val="000000" w:themeColor="text1"/>
        </w:rPr>
        <w:t xml:space="preserve"> einzubeziehen, sodass Projekte unterstützt werden können, die im Rahmen anderer EU-Instrumente ausgewählt wurden, aber nicht über ausreichende Mittel verfügen. </w:t>
      </w:r>
      <w:r w:rsidRPr="00C754CA">
        <w:rPr>
          <w:noProof/>
          <w:color w:val="000000" w:themeColor="text1"/>
        </w:rPr>
        <w:t xml:space="preserve">Angesichts der hohen Nachfrage nach dem Innovationsfonds und seiner Erfolge bei der Unterstützung von Projekten, die ausreichend ausgereift sind und ein erhebliches Potenzial zur Verringerung der Treibhausgasemissionen aufweisen und die entweder die Demonstration hoch innovativer Technologien, Verfahren oder Produkte umfassen oder auf die Ausweitung innovativer Technologien, Verfahren oder Produkte abzielen, um ihre breite kommerzielle Einführung in der gesamten EU zu ermöglichen, </w:t>
      </w:r>
      <w:r w:rsidRPr="00C754CA">
        <w:rPr>
          <w:rStyle w:val="eop"/>
          <w:noProof/>
          <w:color w:val="000000" w:themeColor="text1"/>
        </w:rPr>
        <w:t>schlägt die Kommission außerdem vor, die Möglichkeiten für Projekte, die im Rahmen des Innovationsfonds gefördert werden, anzugleichen und eine entsprechende gezielte Bestimmung aufzunehmen, die die Produktion, Verarbeitung, Beförderung, Verteilung, Speicherung oder Verbrennung fossiler Brennstoffe ermöglicht, sofern diesen Projekten im Rahmen des Innovationsfonds ein Souveränitätssiegel zuerkannt wurde.</w:t>
      </w:r>
    </w:p>
    <w:p w14:paraId="559C1E30" w14:textId="77777777" w:rsidR="00FC04A3" w:rsidRPr="00C754CA" w:rsidRDefault="00FC04A3" w:rsidP="08875448">
      <w:pPr>
        <w:pStyle w:val="Tiret0"/>
        <w:rPr>
          <w:rStyle w:val="eop"/>
          <w:rFonts w:eastAsiaTheme="majorEastAsia"/>
          <w:noProof/>
          <w:color w:val="000000" w:themeColor="text1"/>
        </w:rPr>
      </w:pPr>
      <w:r w:rsidRPr="00C754CA">
        <w:rPr>
          <w:rStyle w:val="eop"/>
          <w:noProof/>
          <w:color w:val="000000" w:themeColor="text1"/>
        </w:rPr>
        <w:t xml:space="preserve">In Anerkennung der wichtigen Rolle der Städte bei der Verwirklichung der EU-Ziele, bei der Bewältigung lokaler Herausforderungen und bei der Stärkung der Verbindungen zwischen Stadt und Land zur Förderung einer ausgewogenen regionalen Entwicklung schlägt die Kommission vor, die Europäische Stadtinitiative zu stärken, indem die Möglichkeit eingeführt wird, Mittel aus dem EFRE auf die Europäische Stadtinitiative umzuschichten. Mit diesen Mitteln würden Maßnahmen zugunsten derjenigen Mitgliedstaaten unterstützt, die eine solche Umschichtung vornehmen. Die Kommission schlägt ferner vor, ein Exzellenzsiegel für die Europäische Stadtinitiative einzuführen, das es ermöglicht, im Rahmen der kohäsionspolitischen Programme Projekte der Europäischen Stadtinitiative zu fördern, die zwar ausgewählt wurden, aber aufgrund unzureichender Mittel keine Förderung erhalten konnten. </w:t>
      </w:r>
      <w:r w:rsidRPr="00C754CA">
        <w:rPr>
          <w:noProof/>
        </w:rPr>
        <w:t xml:space="preserve">Die Mitgliedstaaten hätten auch die Möglichkeit, EFRE-Mittel aus ihren Programmen des Ziels „Investitionen in Beschäftigung und Wachstum“ auf das Instrument für Interregionale Innovationsinvestitionen umzuschichten, wodurch sie mehr Flexibilität bei der Verwendung der Mittel hätten. </w:t>
      </w:r>
      <w:r w:rsidRPr="00C754CA">
        <w:rPr>
          <w:rStyle w:val="eop"/>
          <w:noProof/>
          <w:color w:val="000000" w:themeColor="text1"/>
        </w:rPr>
        <w:t>Diese Umschichtungen erfolgen innerhalb desselben Fonds, des EFRE; daher wird vorgeschlagen, sie nicht auf die Obergrenzen gemäß Artikel </w:t>
      </w:r>
      <w:r w:rsidRPr="00E2773D">
        <w:rPr>
          <w:rStyle w:val="eop"/>
          <w:noProof/>
          <w:color w:val="000000" w:themeColor="text1"/>
        </w:rPr>
        <w:t>26</w:t>
      </w:r>
      <w:r w:rsidRPr="00C754CA">
        <w:rPr>
          <w:rStyle w:val="eop"/>
          <w:noProof/>
          <w:color w:val="000000" w:themeColor="text1"/>
        </w:rPr>
        <w:t xml:space="preserve"> der Verordnung (EU)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1060</w:t>
      </w:r>
      <w:r w:rsidRPr="00C754CA">
        <w:rPr>
          <w:rStyle w:val="eop"/>
          <w:noProof/>
          <w:color w:val="000000" w:themeColor="text1"/>
        </w:rPr>
        <w:t xml:space="preserve"> anzurechnen.</w:t>
      </w:r>
    </w:p>
    <w:p w14:paraId="613F0595" w14:textId="77777777" w:rsidR="00FC04A3" w:rsidRPr="00C754CA" w:rsidRDefault="4B743CAF" w:rsidP="08875448">
      <w:pPr>
        <w:pBdr>
          <w:top w:val="nil"/>
          <w:left w:val="nil"/>
          <w:bottom w:val="nil"/>
          <w:right w:val="nil"/>
          <w:between w:val="nil"/>
          <w:bar w:val="nil"/>
        </w:pBdr>
        <w:spacing w:before="0" w:after="240"/>
        <w:rPr>
          <w:rFonts w:eastAsia="Arial Unicode MS"/>
          <w:noProof/>
        </w:rPr>
      </w:pPr>
      <w:r w:rsidRPr="00C754CA">
        <w:rPr>
          <w:rStyle w:val="eop"/>
          <w:noProof/>
          <w:color w:val="000000" w:themeColor="text1"/>
        </w:rPr>
        <w:t>Um die erfolgreiche und wirksame Umsetzung des JTF zu erleichtern, schlägt die Kommission vor, die derzeitigen Beschränkungen für die Änderung der Indikatorziele in den Plänen für einen gerechten Übergang nach deren Änderung im Anschluss an die Halbzeitüberprüfung aufzuheben. Diese Beschränkungen können nur aufgehoben werden, wenn sie den Übergang zur Klimaneutralität und die Verpflichtungen zum Ausstieg aus fossilen Brennstoffen nicht beeinträchtigen.</w:t>
      </w:r>
    </w:p>
    <w:p w14:paraId="49C5FF6B" w14:textId="77777777" w:rsidR="00FC04A3" w:rsidRPr="00C754CA" w:rsidRDefault="00FC04A3" w:rsidP="00FC04A3">
      <w:pPr>
        <w:pStyle w:val="ManualHeading2"/>
        <w:rPr>
          <w:rFonts w:eastAsia="Arial Unicode MS"/>
          <w:noProof/>
          <w:color w:val="000000"/>
          <w:u w:color="000000"/>
          <w:bdr w:val="nil"/>
        </w:rPr>
      </w:pPr>
      <w:r w:rsidRPr="00C754CA">
        <w:rPr>
          <w:noProof/>
          <w:color w:val="000000"/>
          <w:u w:color="000000"/>
          <w:bdr w:val="nil"/>
        </w:rPr>
        <w:t>•</w:t>
      </w:r>
      <w:r w:rsidRPr="00C754CA">
        <w:rPr>
          <w:noProof/>
          <w:color w:val="000000"/>
          <w:u w:color="000000"/>
          <w:bdr w:val="nil"/>
        </w:rPr>
        <w:tab/>
      </w:r>
      <w:r w:rsidRPr="00C754CA">
        <w:rPr>
          <w:noProof/>
        </w:rPr>
        <w:t>Kohärenz mit den bestehenden Vorschriften in diesem Bereich</w:t>
      </w:r>
    </w:p>
    <w:p w14:paraId="4BE480FD" w14:textId="77777777" w:rsidR="00FC04A3" w:rsidRPr="00C754CA" w:rsidRDefault="00FC04A3" w:rsidP="00FC04A3">
      <w:pPr>
        <w:pBdr>
          <w:top w:val="nil"/>
          <w:left w:val="nil"/>
          <w:bottom w:val="nil"/>
          <w:right w:val="nil"/>
          <w:between w:val="nil"/>
          <w:bar w:val="nil"/>
        </w:pBdr>
        <w:spacing w:before="0" w:after="240"/>
        <w:rPr>
          <w:rFonts w:eastAsia="Arial Unicode MS"/>
          <w:noProof/>
        </w:rPr>
      </w:pPr>
      <w:r w:rsidRPr="00C754CA">
        <w:rPr>
          <w:noProof/>
        </w:rPr>
        <w:t xml:space="preserve">Der Vorschlag steht im Einklang mit den Zielen der Fonds der Kohäsionspolitik und beschränkt sich auf eine gezielte Änderung der Verordnung (EU) </w:t>
      </w:r>
      <w:r w:rsidRPr="00E2773D">
        <w:rPr>
          <w:noProof/>
        </w:rPr>
        <w:t>2021</w:t>
      </w:r>
      <w:r w:rsidRPr="00C754CA">
        <w:rPr>
          <w:noProof/>
        </w:rPr>
        <w:t>/</w:t>
      </w:r>
      <w:r w:rsidRPr="00E2773D">
        <w:rPr>
          <w:noProof/>
        </w:rPr>
        <w:t>1058</w:t>
      </w:r>
      <w:r w:rsidRPr="00C754CA">
        <w:rPr>
          <w:noProof/>
        </w:rPr>
        <w:t xml:space="preserve"> und der Verordnung (EU) </w:t>
      </w:r>
      <w:r w:rsidRPr="00E2773D">
        <w:rPr>
          <w:noProof/>
        </w:rPr>
        <w:t>2021</w:t>
      </w:r>
      <w:r w:rsidRPr="00C754CA">
        <w:rPr>
          <w:noProof/>
        </w:rPr>
        <w:t>/</w:t>
      </w:r>
      <w:r w:rsidRPr="00E2773D">
        <w:rPr>
          <w:noProof/>
        </w:rPr>
        <w:t>1056</w:t>
      </w:r>
      <w:r w:rsidRPr="00C754CA">
        <w:rPr>
          <w:noProof/>
        </w:rPr>
        <w:t>.</w:t>
      </w:r>
    </w:p>
    <w:p w14:paraId="183550F0" w14:textId="77777777" w:rsidR="00FC04A3" w:rsidRPr="00C754CA" w:rsidRDefault="00FC04A3" w:rsidP="00FC04A3">
      <w:pPr>
        <w:pStyle w:val="ManualHeading2"/>
        <w:rPr>
          <w:rFonts w:eastAsia="Arial Unicode MS"/>
          <w:noProof/>
        </w:rPr>
      </w:pPr>
      <w:r w:rsidRPr="00C754CA">
        <w:rPr>
          <w:noProof/>
          <w:color w:val="000000"/>
          <w:u w:color="000000"/>
          <w:bdr w:val="nil"/>
        </w:rPr>
        <w:t>•</w:t>
      </w:r>
      <w:r w:rsidRPr="00C754CA">
        <w:rPr>
          <w:noProof/>
          <w:color w:val="000000"/>
          <w:u w:color="000000"/>
          <w:bdr w:val="nil"/>
        </w:rPr>
        <w:tab/>
      </w:r>
      <w:r w:rsidRPr="00C754CA">
        <w:rPr>
          <w:noProof/>
        </w:rPr>
        <w:t>Kohärenz mit der Politik der Union in anderen Bereichen</w:t>
      </w:r>
    </w:p>
    <w:p w14:paraId="506ED7A9" w14:textId="77777777" w:rsidR="000852D5" w:rsidRPr="00C754CA" w:rsidRDefault="00FC04A3" w:rsidP="00FC04A3">
      <w:pPr>
        <w:pBdr>
          <w:top w:val="nil"/>
          <w:left w:val="nil"/>
          <w:bottom w:val="nil"/>
          <w:right w:val="nil"/>
          <w:between w:val="nil"/>
          <w:bar w:val="nil"/>
        </w:pBdr>
        <w:spacing w:before="0" w:after="240"/>
        <w:rPr>
          <w:rFonts w:eastAsia="Arial Unicode MS"/>
          <w:noProof/>
        </w:rPr>
      </w:pPr>
      <w:r w:rsidRPr="00C754CA">
        <w:rPr>
          <w:noProof/>
        </w:rPr>
        <w:t xml:space="preserve">Der Vorschlag beschränkt sich auf eine gezielte Änderung der Verordnung (EU) </w:t>
      </w:r>
      <w:r w:rsidRPr="00E2773D">
        <w:rPr>
          <w:noProof/>
        </w:rPr>
        <w:t>2021</w:t>
      </w:r>
      <w:r w:rsidRPr="00C754CA">
        <w:rPr>
          <w:noProof/>
        </w:rPr>
        <w:t>/</w:t>
      </w:r>
      <w:r w:rsidRPr="00E2773D">
        <w:rPr>
          <w:noProof/>
        </w:rPr>
        <w:t>1058</w:t>
      </w:r>
      <w:r w:rsidRPr="00C754CA">
        <w:rPr>
          <w:noProof/>
        </w:rPr>
        <w:t xml:space="preserve"> und der Verordnung (EU) </w:t>
      </w:r>
      <w:r w:rsidRPr="00E2773D">
        <w:rPr>
          <w:noProof/>
        </w:rPr>
        <w:t>2021</w:t>
      </w:r>
      <w:r w:rsidRPr="00C754CA">
        <w:rPr>
          <w:noProof/>
        </w:rPr>
        <w:t>/</w:t>
      </w:r>
      <w:r w:rsidRPr="00E2773D">
        <w:rPr>
          <w:noProof/>
        </w:rPr>
        <w:t>1056</w:t>
      </w:r>
      <w:r w:rsidRPr="00C754CA">
        <w:rPr>
          <w:noProof/>
        </w:rPr>
        <w:t xml:space="preserve"> und wahrt die Kohärenz mit der Politik der Union in anderen Bereichen.</w:t>
      </w:r>
    </w:p>
    <w:p w14:paraId="47544B61" w14:textId="77777777" w:rsidR="000852D5" w:rsidRPr="00C754CA" w:rsidRDefault="000852D5">
      <w:pPr>
        <w:pStyle w:val="ManualHeading1"/>
        <w:rPr>
          <w:noProof/>
        </w:rPr>
      </w:pPr>
      <w:r w:rsidRPr="00E2773D">
        <w:rPr>
          <w:noProof/>
        </w:rPr>
        <w:t>2</w:t>
      </w:r>
      <w:r w:rsidRPr="00C754CA">
        <w:rPr>
          <w:noProof/>
        </w:rPr>
        <w:t>.</w:t>
      </w:r>
      <w:r w:rsidRPr="00C754CA">
        <w:rPr>
          <w:noProof/>
        </w:rPr>
        <w:tab/>
        <w:t>RECHTSGRUNDLAGE, SUBSIDIARITÄT UND VERHÄLTNISMÄẞIGKEIT</w:t>
      </w:r>
    </w:p>
    <w:p w14:paraId="07DCB20A"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Rechtsgrundlage</w:t>
      </w:r>
    </w:p>
    <w:p w14:paraId="38A6EF64" w14:textId="77777777" w:rsidR="000852D5" w:rsidRPr="00C754CA" w:rsidRDefault="00FC04A3" w:rsidP="24923FD7">
      <w:pPr>
        <w:pBdr>
          <w:top w:val="nil"/>
          <w:left w:val="nil"/>
          <w:bottom w:val="nil"/>
          <w:right w:val="nil"/>
          <w:between w:val="nil"/>
          <w:bar w:val="nil"/>
        </w:pBdr>
        <w:spacing w:before="0" w:after="240"/>
        <w:rPr>
          <w:rFonts w:eastAsia="Arial Unicode MS"/>
          <w:noProof/>
        </w:rPr>
      </w:pPr>
      <w:r w:rsidRPr="00C754CA">
        <w:rPr>
          <w:noProof/>
        </w:rPr>
        <w:t>Der Vorschlag beruht auf den Artikeln </w:t>
      </w:r>
      <w:r w:rsidRPr="00E2773D">
        <w:rPr>
          <w:noProof/>
        </w:rPr>
        <w:t>175</w:t>
      </w:r>
      <w:r w:rsidRPr="00C754CA">
        <w:rPr>
          <w:noProof/>
        </w:rPr>
        <w:t xml:space="preserve">, </w:t>
      </w:r>
      <w:r w:rsidRPr="00E2773D">
        <w:rPr>
          <w:noProof/>
        </w:rPr>
        <w:t>177</w:t>
      </w:r>
      <w:r w:rsidRPr="00C754CA">
        <w:rPr>
          <w:noProof/>
        </w:rPr>
        <w:t xml:space="preserve">, </w:t>
      </w:r>
      <w:r w:rsidRPr="00E2773D">
        <w:rPr>
          <w:noProof/>
        </w:rPr>
        <w:t>178</w:t>
      </w:r>
      <w:r w:rsidRPr="00C754CA">
        <w:rPr>
          <w:noProof/>
        </w:rPr>
        <w:t xml:space="preserve"> und </w:t>
      </w:r>
      <w:r w:rsidRPr="00E2773D">
        <w:rPr>
          <w:noProof/>
        </w:rPr>
        <w:t>322</w:t>
      </w:r>
      <w:r w:rsidRPr="00C754CA">
        <w:rPr>
          <w:noProof/>
        </w:rPr>
        <w:t xml:space="preserve"> des Vertrags über die Arbeitsweise der Europäischen Union.</w:t>
      </w:r>
    </w:p>
    <w:p w14:paraId="773AAD49"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 xml:space="preserve">Subsidiarität (bei nicht ausschließlicher Zuständigkeit) </w:t>
      </w:r>
    </w:p>
    <w:p w14:paraId="2116C12F" w14:textId="77777777" w:rsidR="000852D5" w:rsidRPr="00C754CA" w:rsidRDefault="000848A7">
      <w:pPr>
        <w:pBdr>
          <w:top w:val="nil"/>
          <w:left w:val="nil"/>
          <w:bottom w:val="nil"/>
          <w:right w:val="nil"/>
          <w:between w:val="nil"/>
          <w:bar w:val="nil"/>
        </w:pBdr>
        <w:spacing w:before="0" w:after="240"/>
        <w:rPr>
          <w:rFonts w:eastAsia="Arial Unicode MS"/>
          <w:noProof/>
        </w:rPr>
      </w:pPr>
      <w:bookmarkStart w:id="9" w:name="_Hlk194315925"/>
      <w:r w:rsidRPr="00C754CA">
        <w:rPr>
          <w:noProof/>
        </w:rPr>
        <w:t xml:space="preserve">Um die Mitgliedstaaten dazu zu veranlassen, ihre kohäsionspolitischen Programme stärker auf die neuen Prioritäten der EU abzustimmen, und gleichzeitig für mehr Flexibilität und Vereinfachung zur Beschleunigung von Investitionen zu sorgen, werden Änderungen der Verordnung (EU) </w:t>
      </w:r>
      <w:r w:rsidRPr="00E2773D">
        <w:rPr>
          <w:noProof/>
        </w:rPr>
        <w:t>2021</w:t>
      </w:r>
      <w:r w:rsidRPr="00C754CA">
        <w:rPr>
          <w:noProof/>
        </w:rPr>
        <w:t>/</w:t>
      </w:r>
      <w:r w:rsidRPr="00E2773D">
        <w:rPr>
          <w:noProof/>
        </w:rPr>
        <w:t>1058</w:t>
      </w:r>
      <w:r w:rsidRPr="00C754CA">
        <w:rPr>
          <w:noProof/>
        </w:rPr>
        <w:t xml:space="preserve"> und der Verordnung (EU) </w:t>
      </w:r>
      <w:r w:rsidRPr="00E2773D">
        <w:rPr>
          <w:noProof/>
        </w:rPr>
        <w:t>2021</w:t>
      </w:r>
      <w:r w:rsidRPr="00C754CA">
        <w:rPr>
          <w:noProof/>
        </w:rPr>
        <w:t>/</w:t>
      </w:r>
      <w:r w:rsidRPr="00E2773D">
        <w:rPr>
          <w:noProof/>
        </w:rPr>
        <w:t>1056</w:t>
      </w:r>
      <w:r w:rsidRPr="00C754CA">
        <w:rPr>
          <w:noProof/>
        </w:rPr>
        <w:t xml:space="preserve"> vorgeschlagen. </w:t>
      </w:r>
      <w:bookmarkEnd w:id="9"/>
      <w:r w:rsidRPr="00C754CA">
        <w:rPr>
          <w:noProof/>
        </w:rPr>
        <w:t>Das gleiche Ergebnis kann nicht durch Maßnahmen auf nationaler Ebene erzielt werden.</w:t>
      </w:r>
    </w:p>
    <w:p w14:paraId="00FDDEB3"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Verhältnismäßigkeit</w:t>
      </w:r>
    </w:p>
    <w:p w14:paraId="26553C77" w14:textId="77777777" w:rsidR="000852D5" w:rsidRPr="00C754CA" w:rsidRDefault="00ED1EDF">
      <w:pPr>
        <w:pBdr>
          <w:top w:val="nil"/>
          <w:left w:val="nil"/>
          <w:bottom w:val="nil"/>
          <w:right w:val="nil"/>
          <w:between w:val="nil"/>
          <w:bar w:val="nil"/>
        </w:pBdr>
        <w:spacing w:before="0" w:after="240"/>
        <w:rPr>
          <w:rFonts w:eastAsia="Arial Unicode MS"/>
          <w:noProof/>
        </w:rPr>
      </w:pPr>
      <w:r w:rsidRPr="00C754CA">
        <w:rPr>
          <w:noProof/>
        </w:rPr>
        <w:t>Der Vorschlag zielt darauf ab, Anreize für die Mitgliedstaaten zu schaffen, ihre kohäsionspolitischen Programme stärker auf die neuen Prioritäten der EU auszurichten, und für mehr Flexibilität und Vereinfachung zur Beschleunigung von Investitionen zu sorgen. Die Maßnahmen gehen nicht über das zur Erreichung dieser Ziele erforderliche Maß hinaus.</w:t>
      </w:r>
    </w:p>
    <w:p w14:paraId="2EFD66FE"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Wahl des Instruments</w:t>
      </w:r>
    </w:p>
    <w:p w14:paraId="4A64E15F" w14:textId="77777777" w:rsidR="000852D5" w:rsidRPr="00C754CA" w:rsidRDefault="00ED1EDF">
      <w:pPr>
        <w:pBdr>
          <w:top w:val="nil"/>
          <w:left w:val="nil"/>
          <w:bottom w:val="nil"/>
          <w:right w:val="nil"/>
          <w:between w:val="nil"/>
          <w:bar w:val="nil"/>
        </w:pBdr>
        <w:spacing w:before="0" w:after="240"/>
        <w:rPr>
          <w:rFonts w:eastAsia="Arial Unicode MS"/>
          <w:noProof/>
        </w:rPr>
      </w:pPr>
      <w:r w:rsidRPr="00C754CA">
        <w:rPr>
          <w:noProof/>
        </w:rPr>
        <w:t>Eine Verordnung ist das geeignete Instrument, da sie unmittelbar anwendbare Regeln für die Unterstützung enthält.</w:t>
      </w:r>
    </w:p>
    <w:p w14:paraId="1B26D976" w14:textId="77777777" w:rsidR="000852D5" w:rsidRPr="00C754CA" w:rsidRDefault="000852D5">
      <w:pPr>
        <w:pStyle w:val="ManualHeading1"/>
        <w:rPr>
          <w:noProof/>
        </w:rPr>
      </w:pPr>
      <w:r w:rsidRPr="00E2773D">
        <w:rPr>
          <w:noProof/>
        </w:rPr>
        <w:t>3</w:t>
      </w:r>
      <w:r w:rsidRPr="00C754CA">
        <w:rPr>
          <w:noProof/>
        </w:rPr>
        <w:t>.</w:t>
      </w:r>
      <w:r w:rsidRPr="00C754CA">
        <w:rPr>
          <w:noProof/>
        </w:rPr>
        <w:tab/>
        <w:t>ERGEBNISSE DER EX-POST-BEWERTUNG, DER KONSULTATION DER INTERESSENTRÄGER UND DER FOLGENABSCHÄTZUNG</w:t>
      </w:r>
    </w:p>
    <w:p w14:paraId="3C713ADD"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Ex-post-Bewertung/Eignungsprüfungen bestehender Rechtsvorschriften</w:t>
      </w:r>
    </w:p>
    <w:p w14:paraId="5EEC1690" w14:textId="77777777" w:rsidR="000852D5" w:rsidRPr="00C754CA" w:rsidRDefault="00E719C1">
      <w:pPr>
        <w:pBdr>
          <w:top w:val="nil"/>
          <w:left w:val="nil"/>
          <w:bottom w:val="nil"/>
          <w:right w:val="nil"/>
          <w:between w:val="nil"/>
          <w:bar w:val="nil"/>
        </w:pBdr>
        <w:spacing w:before="0" w:after="240"/>
        <w:rPr>
          <w:rFonts w:eastAsia="Arial Unicode MS"/>
          <w:noProof/>
        </w:rPr>
      </w:pPr>
      <w:r w:rsidRPr="00C754CA">
        <w:rPr>
          <w:noProof/>
        </w:rPr>
        <w:t>Nicht zutreffend</w:t>
      </w:r>
    </w:p>
    <w:p w14:paraId="222A69D5"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Konsultation der Interessenträger</w:t>
      </w:r>
    </w:p>
    <w:p w14:paraId="502AC9D9" w14:textId="77777777" w:rsidR="000852D5" w:rsidRPr="00C754CA" w:rsidRDefault="00E719C1">
      <w:pPr>
        <w:pBdr>
          <w:top w:val="nil"/>
          <w:left w:val="nil"/>
          <w:bottom w:val="nil"/>
          <w:right w:val="nil"/>
          <w:between w:val="nil"/>
          <w:bar w:val="nil"/>
        </w:pBdr>
        <w:spacing w:before="0" w:after="240"/>
        <w:rPr>
          <w:rFonts w:eastAsia="Arial Unicode MS"/>
          <w:noProof/>
        </w:rPr>
      </w:pPr>
      <w:r w:rsidRPr="00C754CA">
        <w:rPr>
          <w:noProof/>
        </w:rPr>
        <w:t>Nicht zutreffend</w:t>
      </w:r>
    </w:p>
    <w:p w14:paraId="148E6FE3"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Einholung und Nutzung von Expertenwissen</w:t>
      </w:r>
    </w:p>
    <w:p w14:paraId="37671A14" w14:textId="77777777" w:rsidR="000852D5" w:rsidRPr="00C754CA" w:rsidRDefault="00E719C1">
      <w:pPr>
        <w:pBdr>
          <w:top w:val="nil"/>
          <w:left w:val="nil"/>
          <w:bottom w:val="nil"/>
          <w:right w:val="nil"/>
          <w:between w:val="nil"/>
          <w:bar w:val="nil"/>
        </w:pBdr>
        <w:spacing w:before="0" w:after="240"/>
        <w:rPr>
          <w:rFonts w:eastAsia="Arial Unicode MS"/>
          <w:noProof/>
        </w:rPr>
      </w:pPr>
      <w:r w:rsidRPr="00C754CA">
        <w:rPr>
          <w:noProof/>
        </w:rPr>
        <w:t>Nicht zutreffend</w:t>
      </w:r>
    </w:p>
    <w:p w14:paraId="0960371A"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Folgenabschätzung</w:t>
      </w:r>
    </w:p>
    <w:p w14:paraId="4B2E9F03" w14:textId="77777777" w:rsidR="000852D5" w:rsidRPr="00C754CA" w:rsidRDefault="00E719C1">
      <w:pPr>
        <w:pBdr>
          <w:top w:val="nil"/>
          <w:left w:val="nil"/>
          <w:bottom w:val="nil"/>
          <w:right w:val="nil"/>
          <w:between w:val="nil"/>
          <w:bar w:val="nil"/>
        </w:pBdr>
        <w:spacing w:before="0" w:after="240"/>
        <w:rPr>
          <w:rFonts w:eastAsia="Arial Unicode MS"/>
          <w:noProof/>
        </w:rPr>
      </w:pPr>
      <w:r w:rsidRPr="00C754CA">
        <w:rPr>
          <w:noProof/>
        </w:rPr>
        <w:t xml:space="preserve">Zur Ausarbeitung des Vorschlags für die Verordnung (EU) </w:t>
      </w:r>
      <w:r w:rsidRPr="00E2773D">
        <w:rPr>
          <w:noProof/>
        </w:rPr>
        <w:t>2021</w:t>
      </w:r>
      <w:r w:rsidRPr="00C754CA">
        <w:rPr>
          <w:noProof/>
        </w:rPr>
        <w:t>/</w:t>
      </w:r>
      <w:r w:rsidRPr="00E2773D">
        <w:rPr>
          <w:noProof/>
        </w:rPr>
        <w:t>1058</w:t>
      </w:r>
      <w:r w:rsidRPr="00C754CA">
        <w:rPr>
          <w:noProof/>
        </w:rPr>
        <w:t xml:space="preserve"> und die Verordnung (EU) </w:t>
      </w:r>
      <w:r w:rsidRPr="00E2773D">
        <w:rPr>
          <w:noProof/>
        </w:rPr>
        <w:t>2021</w:t>
      </w:r>
      <w:r w:rsidRPr="00C754CA">
        <w:rPr>
          <w:noProof/>
        </w:rPr>
        <w:t>/</w:t>
      </w:r>
      <w:r w:rsidRPr="00E2773D">
        <w:rPr>
          <w:noProof/>
        </w:rPr>
        <w:t>1056</w:t>
      </w:r>
      <w:r w:rsidRPr="00C754CA">
        <w:rPr>
          <w:noProof/>
        </w:rPr>
        <w:t xml:space="preserve"> wurden Folgenabschätzungen vorgenommen. Die begrenzten und gezielten Änderungen erfordern keine separate Folgenabschätzung.</w:t>
      </w:r>
    </w:p>
    <w:p w14:paraId="56970344"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Effizienz der Rechtsetzung und Vereinfachung</w:t>
      </w:r>
    </w:p>
    <w:p w14:paraId="7A6524FC" w14:textId="77777777" w:rsidR="000852D5" w:rsidRPr="00C754CA" w:rsidRDefault="00E719C1">
      <w:pPr>
        <w:pBdr>
          <w:top w:val="nil"/>
          <w:left w:val="nil"/>
          <w:bottom w:val="nil"/>
          <w:right w:val="nil"/>
          <w:between w:val="nil"/>
          <w:bar w:val="nil"/>
        </w:pBdr>
        <w:spacing w:before="0" w:after="240"/>
        <w:rPr>
          <w:rFonts w:eastAsia="Arial Unicode MS"/>
          <w:noProof/>
        </w:rPr>
      </w:pPr>
      <w:r w:rsidRPr="00C754CA">
        <w:rPr>
          <w:noProof/>
        </w:rPr>
        <w:t>Nicht zutreffend</w:t>
      </w:r>
    </w:p>
    <w:p w14:paraId="1548DD39"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Grundrechte</w:t>
      </w:r>
    </w:p>
    <w:p w14:paraId="275B88FC" w14:textId="77777777" w:rsidR="000852D5" w:rsidRPr="00C754CA" w:rsidRDefault="00E719C1">
      <w:pPr>
        <w:pBdr>
          <w:top w:val="nil"/>
          <w:left w:val="nil"/>
          <w:bottom w:val="nil"/>
          <w:right w:val="nil"/>
          <w:between w:val="nil"/>
          <w:bar w:val="nil"/>
        </w:pBdr>
        <w:spacing w:before="0" w:after="240"/>
        <w:rPr>
          <w:rFonts w:eastAsia="Arial Unicode MS"/>
          <w:noProof/>
        </w:rPr>
      </w:pPr>
      <w:r w:rsidRPr="00C754CA">
        <w:rPr>
          <w:noProof/>
        </w:rPr>
        <w:t>Nicht zutreffend</w:t>
      </w:r>
    </w:p>
    <w:p w14:paraId="7DA2E4A4" w14:textId="77777777" w:rsidR="000852D5" w:rsidRPr="00C754CA" w:rsidRDefault="000852D5">
      <w:pPr>
        <w:pStyle w:val="ManualHeading1"/>
        <w:rPr>
          <w:noProof/>
        </w:rPr>
      </w:pPr>
      <w:r w:rsidRPr="00E2773D">
        <w:rPr>
          <w:noProof/>
        </w:rPr>
        <w:t>4</w:t>
      </w:r>
      <w:r w:rsidRPr="00C754CA">
        <w:rPr>
          <w:noProof/>
        </w:rPr>
        <w:t>.</w:t>
      </w:r>
      <w:r w:rsidRPr="00C754CA">
        <w:rPr>
          <w:noProof/>
        </w:rPr>
        <w:tab/>
        <w:t>AUSWIRKUNGEN AUF DEN HAUSHALT</w:t>
      </w:r>
    </w:p>
    <w:p w14:paraId="6D2A5126" w14:textId="77777777" w:rsidR="007178E1" w:rsidRPr="00C754CA" w:rsidRDefault="5D99C58F" w:rsidP="08875448">
      <w:pPr>
        <w:pBdr>
          <w:top w:val="nil"/>
          <w:left w:val="nil"/>
          <w:bottom w:val="nil"/>
          <w:right w:val="nil"/>
          <w:between w:val="nil"/>
          <w:bar w:val="nil"/>
        </w:pBdr>
        <w:spacing w:before="0" w:after="240"/>
        <w:rPr>
          <w:noProof/>
        </w:rPr>
      </w:pPr>
      <w:r w:rsidRPr="00C754CA">
        <w:rPr>
          <w:noProof/>
        </w:rPr>
        <w:t xml:space="preserve">Der Vorschlag betrifft kohäsionspolitische Programme des Programmplanungszeitraums </w:t>
      </w:r>
      <w:r w:rsidRPr="00E2773D">
        <w:rPr>
          <w:noProof/>
        </w:rPr>
        <w:t>2021</w:t>
      </w:r>
      <w:r w:rsidRPr="00C754CA">
        <w:rPr>
          <w:noProof/>
        </w:rPr>
        <w:t>-</w:t>
      </w:r>
      <w:r w:rsidRPr="00E2773D">
        <w:rPr>
          <w:noProof/>
        </w:rPr>
        <w:t>2027</w:t>
      </w:r>
      <w:r w:rsidRPr="00C754CA">
        <w:rPr>
          <w:noProof/>
        </w:rPr>
        <w:t xml:space="preserve"> und wird zu einer zusätzlichen Vorfinanzierung im Rahmen des EFRE im Jahr </w:t>
      </w:r>
      <w:r w:rsidRPr="00E2773D">
        <w:rPr>
          <w:noProof/>
        </w:rPr>
        <w:t>2026</w:t>
      </w:r>
      <w:r w:rsidRPr="00C754CA">
        <w:rPr>
          <w:noProof/>
        </w:rPr>
        <w:t xml:space="preserve"> führen. Diese zusätzliche Vorfinanzierung wird im Zeitraum </w:t>
      </w:r>
      <w:r w:rsidRPr="00E2773D">
        <w:rPr>
          <w:noProof/>
        </w:rPr>
        <w:t>2021</w:t>
      </w:r>
      <w:r w:rsidRPr="00C754CA">
        <w:rPr>
          <w:noProof/>
        </w:rPr>
        <w:t>-</w:t>
      </w:r>
      <w:r w:rsidRPr="00E2773D">
        <w:rPr>
          <w:noProof/>
        </w:rPr>
        <w:t>2027</w:t>
      </w:r>
      <w:r w:rsidRPr="00C754CA">
        <w:rPr>
          <w:noProof/>
        </w:rPr>
        <w:t xml:space="preserve"> gegenüber einem Szenario einer unveränderten Politik zu einer vorgezogenen Bereitstellung von Mitteln für Zahlungen im Jahr </w:t>
      </w:r>
      <w:r w:rsidRPr="00E2773D">
        <w:rPr>
          <w:noProof/>
        </w:rPr>
        <w:t>2026</w:t>
      </w:r>
      <w:r w:rsidRPr="00C754CA">
        <w:rPr>
          <w:noProof/>
        </w:rPr>
        <w:t xml:space="preserve"> führen und ist haushaltsneutral. Ausgehend von der geschätzten Inanspruchnahme der in dem Vorschlag vorgesehenen Möglichkeiten beläuft sich die zusätzliche Vorfinanzierung für </w:t>
      </w:r>
      <w:r w:rsidRPr="00E2773D">
        <w:rPr>
          <w:noProof/>
        </w:rPr>
        <w:t>2026</w:t>
      </w:r>
      <w:r w:rsidRPr="00C754CA">
        <w:rPr>
          <w:noProof/>
        </w:rPr>
        <w:t xml:space="preserve"> auf </w:t>
      </w:r>
      <w:r w:rsidRPr="00E2773D">
        <w:rPr>
          <w:noProof/>
        </w:rPr>
        <w:t>16</w:t>
      </w:r>
      <w:r w:rsidRPr="00C754CA">
        <w:rPr>
          <w:noProof/>
        </w:rPr>
        <w:t>,</w:t>
      </w:r>
      <w:r w:rsidRPr="00E2773D">
        <w:rPr>
          <w:noProof/>
        </w:rPr>
        <w:t>1</w:t>
      </w:r>
      <w:r w:rsidRPr="00C754CA">
        <w:rPr>
          <w:noProof/>
        </w:rPr>
        <w:t xml:space="preserve"> Mrd. EUR. Unter Berücksichtigung der Zahlungsvorausschätzungen und Mittelumschichtungen werden die Nettoauswirkungen auf den Haushalt auf </w:t>
      </w:r>
      <w:r w:rsidRPr="00E2773D">
        <w:rPr>
          <w:noProof/>
        </w:rPr>
        <w:t>3</w:t>
      </w:r>
      <w:r w:rsidRPr="00C754CA">
        <w:rPr>
          <w:noProof/>
        </w:rPr>
        <w:t>,</w:t>
      </w:r>
      <w:r w:rsidRPr="00E2773D">
        <w:rPr>
          <w:noProof/>
        </w:rPr>
        <w:t>6</w:t>
      </w:r>
      <w:r w:rsidRPr="00C754CA">
        <w:rPr>
          <w:noProof/>
        </w:rPr>
        <w:t> Mrd. EUR geschätzt, die in den Entwurf des Haushaltsplans </w:t>
      </w:r>
      <w:r w:rsidRPr="00E2773D">
        <w:rPr>
          <w:noProof/>
        </w:rPr>
        <w:t>2026</w:t>
      </w:r>
      <w:r w:rsidRPr="00C754CA">
        <w:rPr>
          <w:noProof/>
        </w:rPr>
        <w:t xml:space="preserve"> aufgenommen werden. Die Möglichkeit, einen höheren Finanzierungssatz der Union für Investitionen in Verteidigung, Wohnungsbau, Resilienz der Wasserversorgung, bestimmte Energieinfrastrukturen und für Programme für die Regionen an der Ostgrenze zu beantragen, wird auch dazu führen, dass Zahlungen teilweise vorgezogen werden und Zahlungen zu einem späteren Zeitpunkt geringer ausfallen, da die Gesamtmittelausstattung unverändert bleibt. Die tatsächlichen Auswirkungen des höheren Kofinanzierungssatzes auf den Haushalt auf Jahresbasis hängen von der Inanspruchnahme durch die Mitgliedstaaten und dem Tempo der Einreichung der Zahlungsanträge ab. </w:t>
      </w:r>
    </w:p>
    <w:p w14:paraId="0B781C77" w14:textId="77777777" w:rsidR="000852D5" w:rsidRPr="00C754CA" w:rsidRDefault="00E719C1" w:rsidP="00E719C1">
      <w:pPr>
        <w:pBdr>
          <w:top w:val="nil"/>
          <w:left w:val="nil"/>
          <w:bottom w:val="nil"/>
          <w:right w:val="nil"/>
          <w:between w:val="nil"/>
          <w:bar w:val="nil"/>
        </w:pBdr>
        <w:spacing w:before="0" w:after="240"/>
        <w:rPr>
          <w:rFonts w:eastAsia="Arial Unicode MS"/>
          <w:noProof/>
        </w:rPr>
      </w:pPr>
      <w:r w:rsidRPr="00C754CA">
        <w:rPr>
          <w:noProof/>
        </w:rPr>
        <w:t xml:space="preserve">Die vorgeschlagene Änderung erfordert keine Änderung der jährlichen Obergrenzen des mehrjährigen Finanzrahmens für Mittel für Verpflichtungen und Zahlungen gemäß Anlage I der Verordnung (EU, Euratom) </w:t>
      </w:r>
      <w:r w:rsidRPr="00E2773D">
        <w:rPr>
          <w:noProof/>
        </w:rPr>
        <w:t>2020</w:t>
      </w:r>
      <w:r w:rsidRPr="00C754CA">
        <w:rPr>
          <w:noProof/>
        </w:rPr>
        <w:t>/</w:t>
      </w:r>
      <w:r w:rsidRPr="00E2773D">
        <w:rPr>
          <w:noProof/>
        </w:rPr>
        <w:t>2093</w:t>
      </w:r>
      <w:r w:rsidRPr="00C754CA">
        <w:rPr>
          <w:noProof/>
        </w:rPr>
        <w:t xml:space="preserve"> des Rates. </w:t>
      </w:r>
    </w:p>
    <w:p w14:paraId="19E8A5E0" w14:textId="77777777" w:rsidR="000852D5" w:rsidRPr="00C754CA" w:rsidRDefault="000852D5">
      <w:pPr>
        <w:pStyle w:val="ManualHeading1"/>
        <w:rPr>
          <w:noProof/>
        </w:rPr>
      </w:pPr>
      <w:r w:rsidRPr="00E2773D">
        <w:rPr>
          <w:noProof/>
        </w:rPr>
        <w:t>5</w:t>
      </w:r>
      <w:r w:rsidRPr="00C754CA">
        <w:rPr>
          <w:noProof/>
        </w:rPr>
        <w:t>.</w:t>
      </w:r>
      <w:r w:rsidRPr="00C754CA">
        <w:rPr>
          <w:noProof/>
        </w:rPr>
        <w:tab/>
        <w:t>WEITERE ANGABEN</w:t>
      </w:r>
    </w:p>
    <w:p w14:paraId="0D302F09"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Durchführungspläne sowie Monitoring-, Bewertungs- und Berichterstattungsmodalitäten</w:t>
      </w:r>
    </w:p>
    <w:p w14:paraId="0C8929A4" w14:textId="659CCB74" w:rsidR="000852D5" w:rsidRPr="00C754CA" w:rsidRDefault="00E719C1">
      <w:pPr>
        <w:pBdr>
          <w:top w:val="nil"/>
          <w:left w:val="nil"/>
          <w:bottom w:val="nil"/>
          <w:right w:val="nil"/>
          <w:between w:val="nil"/>
          <w:bar w:val="nil"/>
        </w:pBdr>
        <w:spacing w:before="0" w:after="240"/>
        <w:rPr>
          <w:rFonts w:eastAsia="Arial Unicode MS"/>
          <w:noProof/>
        </w:rPr>
      </w:pPr>
      <w:r w:rsidRPr="00C754CA">
        <w:rPr>
          <w:noProof/>
        </w:rPr>
        <w:t>Das Monitoring der Durchführung der Maßnahme sowie die diesbezügliche Berichterstattung erfolgen im Rahmen der allgemeinen Mechanismen zur Berichterstattung gemäß der Verordnung (EU) </w:t>
      </w:r>
      <w:r w:rsidRPr="00E2773D">
        <w:rPr>
          <w:noProof/>
        </w:rPr>
        <w:t>2021</w:t>
      </w:r>
      <w:r w:rsidRPr="00C754CA">
        <w:rPr>
          <w:noProof/>
        </w:rPr>
        <w:t>/</w:t>
      </w:r>
      <w:r w:rsidRPr="00E2773D">
        <w:rPr>
          <w:noProof/>
        </w:rPr>
        <w:t>1060</w:t>
      </w:r>
      <w:r w:rsidRPr="00C754CA">
        <w:rPr>
          <w:noProof/>
        </w:rPr>
        <w:t xml:space="preserve">. </w:t>
      </w:r>
    </w:p>
    <w:p w14:paraId="050F22FE"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Erläuternde Dokumente (bei Richtlinien)</w:t>
      </w:r>
    </w:p>
    <w:p w14:paraId="30BE1668" w14:textId="77777777" w:rsidR="000852D5" w:rsidRPr="00C754CA" w:rsidRDefault="00E719C1">
      <w:pPr>
        <w:pBdr>
          <w:top w:val="nil"/>
          <w:left w:val="nil"/>
          <w:bottom w:val="nil"/>
          <w:right w:val="nil"/>
          <w:between w:val="nil"/>
          <w:bar w:val="nil"/>
        </w:pBdr>
        <w:spacing w:before="0" w:after="240"/>
        <w:rPr>
          <w:rFonts w:eastAsia="Arial Unicode MS"/>
          <w:noProof/>
        </w:rPr>
      </w:pPr>
      <w:r w:rsidRPr="00C754CA">
        <w:rPr>
          <w:noProof/>
        </w:rPr>
        <w:t>Nicht zutreffend</w:t>
      </w:r>
    </w:p>
    <w:p w14:paraId="076E6D19" w14:textId="77777777" w:rsidR="000852D5" w:rsidRPr="00C754CA" w:rsidRDefault="000852D5">
      <w:pPr>
        <w:pStyle w:val="ManualHeading2"/>
        <w:rPr>
          <w:rFonts w:eastAsia="Arial Unicode MS"/>
          <w:noProof/>
          <w:u w:color="000000"/>
          <w:bdr w:val="nil"/>
        </w:rPr>
      </w:pPr>
      <w:r w:rsidRPr="00C754CA">
        <w:rPr>
          <w:noProof/>
          <w:u w:color="000000"/>
          <w:bdr w:val="nil"/>
        </w:rPr>
        <w:t>•</w:t>
      </w:r>
      <w:r w:rsidRPr="00C754CA">
        <w:rPr>
          <w:noProof/>
          <w:u w:color="000000"/>
          <w:bdr w:val="nil"/>
        </w:rPr>
        <w:tab/>
        <w:t>Ausführliche Erläuterung einzelner Bestimmungen des Vorschlags</w:t>
      </w:r>
    </w:p>
    <w:p w14:paraId="325C1F57" w14:textId="77777777" w:rsidR="000852D5" w:rsidRPr="00C754CA" w:rsidRDefault="00E719C1" w:rsidP="54388C04">
      <w:pPr>
        <w:pBdr>
          <w:top w:val="nil"/>
          <w:left w:val="nil"/>
          <w:bottom w:val="nil"/>
          <w:right w:val="nil"/>
          <w:between w:val="nil"/>
          <w:bar w:val="nil"/>
        </w:pBdr>
        <w:spacing w:before="0" w:after="240"/>
        <w:rPr>
          <w:noProof/>
        </w:rPr>
      </w:pPr>
      <w:r w:rsidRPr="00C754CA">
        <w:rPr>
          <w:noProof/>
        </w:rPr>
        <w:t xml:space="preserve">Der Vorschlag betrifft eine Änderung der Verordnungen (EU) </w:t>
      </w:r>
      <w:r w:rsidRPr="00E2773D">
        <w:rPr>
          <w:noProof/>
        </w:rPr>
        <w:t>2021</w:t>
      </w:r>
      <w:r w:rsidRPr="00C754CA">
        <w:rPr>
          <w:noProof/>
        </w:rPr>
        <w:t>/</w:t>
      </w:r>
      <w:r w:rsidRPr="00E2773D">
        <w:rPr>
          <w:noProof/>
        </w:rPr>
        <w:t>1058</w:t>
      </w:r>
      <w:r w:rsidRPr="00C754CA">
        <w:rPr>
          <w:noProof/>
        </w:rPr>
        <w:t xml:space="preserve"> und (EU) </w:t>
      </w:r>
      <w:r w:rsidRPr="00E2773D">
        <w:rPr>
          <w:noProof/>
        </w:rPr>
        <w:t>2021</w:t>
      </w:r>
      <w:r w:rsidRPr="00C754CA">
        <w:rPr>
          <w:noProof/>
        </w:rPr>
        <w:t>/</w:t>
      </w:r>
      <w:r w:rsidRPr="00E2773D">
        <w:rPr>
          <w:noProof/>
        </w:rPr>
        <w:t>1056</w:t>
      </w:r>
      <w:r w:rsidRPr="00C754CA">
        <w:rPr>
          <w:noProof/>
        </w:rPr>
        <w:t xml:space="preserve"> in Bezug auf den EFRE, den Kohäsionsfonds und den JTF:</w:t>
      </w:r>
    </w:p>
    <w:p w14:paraId="132B1C7B" w14:textId="77777777" w:rsidR="00112847" w:rsidRPr="00C754CA" w:rsidRDefault="00112847" w:rsidP="54388C04">
      <w:pPr>
        <w:pBdr>
          <w:top w:val="nil"/>
          <w:left w:val="nil"/>
          <w:bottom w:val="nil"/>
          <w:right w:val="nil"/>
          <w:between w:val="nil"/>
          <w:bar w:val="nil"/>
        </w:pBdr>
        <w:spacing w:before="0" w:after="240"/>
        <w:rPr>
          <w:rFonts w:eastAsia="Arial Unicode MS"/>
          <w:b/>
          <w:bCs/>
          <w:noProof/>
        </w:rPr>
      </w:pPr>
      <w:r w:rsidRPr="00C754CA">
        <w:rPr>
          <w:b/>
          <w:noProof/>
        </w:rPr>
        <w:t>Spezifische Ziele</w:t>
      </w:r>
    </w:p>
    <w:p w14:paraId="77F06648" w14:textId="77777777" w:rsidR="00303689" w:rsidRPr="00C754CA" w:rsidRDefault="003A7E4E" w:rsidP="08875448">
      <w:pPr>
        <w:rPr>
          <w:i/>
          <w:iCs/>
          <w:noProof/>
        </w:rPr>
      </w:pPr>
      <w:r w:rsidRPr="00C754CA">
        <w:rPr>
          <w:i/>
          <w:noProof/>
        </w:rPr>
        <w:t>Wettbewerbsfähigkeit und Dekarbonisierung</w:t>
      </w:r>
    </w:p>
    <w:p w14:paraId="5C90E2EC" w14:textId="4B36108F" w:rsidR="00303689" w:rsidRPr="00C754CA" w:rsidRDefault="003A7E4E" w:rsidP="54388C04">
      <w:pPr>
        <w:pStyle w:val="ListBullet"/>
        <w:rPr>
          <w:noProof/>
        </w:rPr>
      </w:pPr>
      <w:r w:rsidRPr="00C754CA">
        <w:rPr>
          <w:noProof/>
        </w:rPr>
        <w:t xml:space="preserve">Die Begrenzung von </w:t>
      </w:r>
      <w:r w:rsidRPr="00E2773D">
        <w:rPr>
          <w:noProof/>
        </w:rPr>
        <w:t>20</w:t>
      </w:r>
      <w:r w:rsidRPr="00C754CA">
        <w:rPr>
          <w:noProof/>
        </w:rPr>
        <w:t xml:space="preserve"> % für die Neuausrichtung der Mittel auf die spezifischen Ziele bezüglich der STEP wird aufgehoben. </w:t>
      </w:r>
    </w:p>
    <w:p w14:paraId="3D5E60DC" w14:textId="77777777" w:rsidR="00303689" w:rsidRPr="00C754CA" w:rsidRDefault="70473D4E" w:rsidP="00C9580B">
      <w:pPr>
        <w:pStyle w:val="ListBullet"/>
        <w:rPr>
          <w:noProof/>
        </w:rPr>
      </w:pPr>
      <w:r w:rsidRPr="00C754CA">
        <w:rPr>
          <w:noProof/>
        </w:rPr>
        <w:t>Eine Unterstützung aus dem EFRE und dem Kohäsionsfonds für andere Unternehmen als KMU ist möglich, soweit bei Investitionen, die ein wichtiges Vorhaben von gemeinsamem europäischem Interesse betreffen, das von der Kommission nach Artikel </w:t>
      </w:r>
      <w:r w:rsidRPr="00E2773D">
        <w:rPr>
          <w:noProof/>
        </w:rPr>
        <w:t>107</w:t>
      </w:r>
      <w:r w:rsidRPr="00C754CA">
        <w:rPr>
          <w:noProof/>
        </w:rPr>
        <w:t xml:space="preserve"> Absatz </w:t>
      </w:r>
      <w:r w:rsidRPr="00E2773D">
        <w:rPr>
          <w:noProof/>
        </w:rPr>
        <w:t>3</w:t>
      </w:r>
      <w:r w:rsidRPr="00C754CA">
        <w:rPr>
          <w:noProof/>
        </w:rPr>
        <w:t xml:space="preserve"> Buchstabe b des Vertrags über die Arbeitsweise der Europäischen Union (AEUV) und der Mitteilung C(</w:t>
      </w:r>
      <w:r w:rsidRPr="00E2773D">
        <w:rPr>
          <w:noProof/>
        </w:rPr>
        <w:t>2021</w:t>
      </w:r>
      <w:r w:rsidRPr="00C754CA">
        <w:rPr>
          <w:noProof/>
        </w:rPr>
        <w:t>) </w:t>
      </w:r>
      <w:r w:rsidRPr="00E2773D">
        <w:rPr>
          <w:noProof/>
        </w:rPr>
        <w:t>8481</w:t>
      </w:r>
      <w:r w:rsidRPr="00C754CA">
        <w:rPr>
          <w:noProof/>
        </w:rPr>
        <w:t xml:space="preserve"> genehmigt wurde, die Vorschriften über staatliche Beihilfen gemäß den Artikeln </w:t>
      </w:r>
      <w:r w:rsidRPr="00E2773D">
        <w:rPr>
          <w:noProof/>
        </w:rPr>
        <w:t>107</w:t>
      </w:r>
      <w:r w:rsidRPr="00C754CA">
        <w:rPr>
          <w:noProof/>
        </w:rPr>
        <w:t xml:space="preserve"> und </w:t>
      </w:r>
      <w:r w:rsidRPr="00E2773D">
        <w:rPr>
          <w:noProof/>
        </w:rPr>
        <w:t>108</w:t>
      </w:r>
      <w:r w:rsidRPr="00C754CA">
        <w:rPr>
          <w:noProof/>
        </w:rPr>
        <w:t xml:space="preserve"> AEUV eingehalten werden, oder wenn die Unternehmen die industrielle Anpassung im Zusammenhang mit der Dekarbonisierung von Produktionsverfahren und Produkten erleichtern. Darüber hinaus wird die Möglichkeit, große Unternehmen im Rahmen der spezifischen STEP-Ziele unter den politischen Zielen </w:t>
      </w:r>
      <w:r w:rsidRPr="00E2773D">
        <w:rPr>
          <w:noProof/>
        </w:rPr>
        <w:t>1</w:t>
      </w:r>
      <w:r w:rsidRPr="00C754CA">
        <w:rPr>
          <w:noProof/>
        </w:rPr>
        <w:t xml:space="preserve"> und </w:t>
      </w:r>
      <w:r w:rsidRPr="00E2773D">
        <w:rPr>
          <w:noProof/>
        </w:rPr>
        <w:t>2</w:t>
      </w:r>
      <w:r w:rsidRPr="00C754CA">
        <w:rPr>
          <w:noProof/>
        </w:rPr>
        <w:t xml:space="preserve"> zu unterstützen, auf alle Regionen ausgeweitet, soweit dies nach den Vorschriften über staatliche Beihilfen zulässig ist.</w:t>
      </w:r>
    </w:p>
    <w:p w14:paraId="68B6ABB1" w14:textId="77777777" w:rsidR="00303689" w:rsidRPr="00C754CA" w:rsidRDefault="003A7E4E" w:rsidP="54388C04">
      <w:pPr>
        <w:pStyle w:val="ListBullet"/>
        <w:rPr>
          <w:noProof/>
        </w:rPr>
      </w:pPr>
      <w:r w:rsidRPr="00C754CA">
        <w:rPr>
          <w:noProof/>
        </w:rPr>
        <w:t>Für die Mitgliedstaaten besteht die Möglichkeit, gemäß dem Vorschlag zur Änderung der InvestEU-Verordnung (COM(</w:t>
      </w:r>
      <w:r w:rsidRPr="00E2773D">
        <w:rPr>
          <w:noProof/>
        </w:rPr>
        <w:t>2025</w:t>
      </w:r>
      <w:r w:rsidRPr="00C754CA">
        <w:rPr>
          <w:noProof/>
        </w:rPr>
        <w:t>) </w:t>
      </w:r>
      <w:r w:rsidRPr="00E2773D">
        <w:rPr>
          <w:noProof/>
        </w:rPr>
        <w:t>84</w:t>
      </w:r>
      <w:r w:rsidRPr="00C754CA">
        <w:rPr>
          <w:noProof/>
        </w:rPr>
        <w:t>) Mittel aus dem EFRE oder dem Kohäsionsfonds auf die Mitgliedstaaten-Komponente des Fonds „InvestEU“ zu übertragen, um sie im Rahmen des neuen InvestEU-Finanzierungsinstruments einzusetzen.</w:t>
      </w:r>
    </w:p>
    <w:p w14:paraId="42E581FD" w14:textId="77777777" w:rsidR="003D4E11" w:rsidRPr="00C754CA" w:rsidRDefault="51E128E7" w:rsidP="003D4E11">
      <w:pPr>
        <w:pStyle w:val="ListBullet"/>
        <w:rPr>
          <w:noProof/>
        </w:rPr>
      </w:pPr>
      <w:r w:rsidRPr="00C754CA">
        <w:rPr>
          <w:rStyle w:val="normaltextrun"/>
          <w:noProof/>
          <w:color w:val="000000" w:themeColor="text1"/>
        </w:rPr>
        <w:t xml:space="preserve">Für wichtige Vorhaben von gemeinsamem europäischem Interesse, die von der Kommission </w:t>
      </w:r>
      <w:r w:rsidRPr="00C754CA">
        <w:rPr>
          <w:noProof/>
        </w:rPr>
        <w:t>gemäß Artikel </w:t>
      </w:r>
      <w:r w:rsidRPr="00E2773D">
        <w:rPr>
          <w:noProof/>
        </w:rPr>
        <w:t>107</w:t>
      </w:r>
      <w:r w:rsidRPr="00C754CA">
        <w:rPr>
          <w:noProof/>
        </w:rPr>
        <w:t xml:space="preserve"> Absatz </w:t>
      </w:r>
      <w:r w:rsidRPr="00E2773D">
        <w:rPr>
          <w:noProof/>
        </w:rPr>
        <w:t>3</w:t>
      </w:r>
      <w:r w:rsidRPr="00C754CA">
        <w:rPr>
          <w:noProof/>
        </w:rPr>
        <w:t xml:space="preserve"> Buchstabe b des Vertrags über die Arbeitsweise der Europäischen Union (AEUV) und der Mitteilung C(</w:t>
      </w:r>
      <w:r w:rsidRPr="00E2773D">
        <w:rPr>
          <w:noProof/>
        </w:rPr>
        <w:t>2021</w:t>
      </w:r>
      <w:r w:rsidRPr="00C754CA">
        <w:rPr>
          <w:noProof/>
        </w:rPr>
        <w:t>) </w:t>
      </w:r>
      <w:r w:rsidRPr="00E2773D">
        <w:rPr>
          <w:noProof/>
        </w:rPr>
        <w:t>8481</w:t>
      </w:r>
      <w:r w:rsidRPr="00C754CA">
        <w:rPr>
          <w:rStyle w:val="normaltextrun"/>
          <w:noProof/>
        </w:rPr>
        <w:t xml:space="preserve"> genehmigt wurden, wird das Auswahlverfahren insofern vereinfacht, als die Verwaltungsbehörden </w:t>
      </w:r>
      <w:r w:rsidRPr="00C754CA">
        <w:rPr>
          <w:noProof/>
        </w:rPr>
        <w:t>im Einklang mit den Vorschriften über staatliche Beihilfen Projekte, die unmittelbar an einem solchen genehmigten wichtigen Vorhaben von gemeinsamem europäischem Interesse beteiligt sind, direkt aus dem EFRE unterstützen können.</w:t>
      </w:r>
      <w:r w:rsidRPr="00C754CA">
        <w:rPr>
          <w:noProof/>
          <w:color w:val="000000" w:themeColor="text1"/>
        </w:rPr>
        <w:t xml:space="preserve"> </w:t>
      </w:r>
    </w:p>
    <w:p w14:paraId="79B894D5" w14:textId="77777777" w:rsidR="00CD50D3" w:rsidRPr="00C754CA" w:rsidRDefault="4EA95BAE" w:rsidP="00CD50D3">
      <w:pPr>
        <w:pStyle w:val="ListBullet"/>
        <w:rPr>
          <w:noProof/>
        </w:rPr>
      </w:pPr>
      <w:r w:rsidRPr="00C754CA">
        <w:rPr>
          <w:noProof/>
        </w:rPr>
        <w:t>Es wird gewährleistet, dass Investitionen mit Kohäsionsmitteln die Klimaresilienz erhöhen, da dies ebenfalls ein wichtiger Bestandteil der Wettbewerbsfähigkeit ist.</w:t>
      </w:r>
    </w:p>
    <w:p w14:paraId="3932ABFC" w14:textId="77777777" w:rsidR="00170AF9" w:rsidRPr="00C754CA" w:rsidRDefault="00170AF9" w:rsidP="08875448">
      <w:pPr>
        <w:rPr>
          <w:rFonts w:eastAsia="Times New Roman"/>
          <w:i/>
          <w:iCs/>
          <w:noProof/>
        </w:rPr>
      </w:pPr>
      <w:r w:rsidRPr="00C754CA">
        <w:rPr>
          <w:i/>
          <w:noProof/>
        </w:rPr>
        <w:t xml:space="preserve">Verteidigung und Sicherheit </w:t>
      </w:r>
    </w:p>
    <w:p w14:paraId="67FCBF15" w14:textId="436AE53A" w:rsidR="00E366FA" w:rsidRPr="00C754CA" w:rsidRDefault="0DE62688" w:rsidP="00C9580B">
      <w:pPr>
        <w:pStyle w:val="ListBullet"/>
        <w:rPr>
          <w:noProof/>
        </w:rPr>
      </w:pPr>
      <w:r w:rsidRPr="00C754CA">
        <w:rPr>
          <w:noProof/>
        </w:rPr>
        <w:t>Im Rahmen des politischen Ziels </w:t>
      </w:r>
      <w:r w:rsidRPr="00E2773D">
        <w:rPr>
          <w:noProof/>
        </w:rPr>
        <w:t>1</w:t>
      </w:r>
      <w:r w:rsidRPr="00C754CA">
        <w:rPr>
          <w:noProof/>
        </w:rPr>
        <w:t xml:space="preserve"> für den EFRE und des politischen Ziels </w:t>
      </w:r>
      <w:r w:rsidRPr="00E2773D">
        <w:rPr>
          <w:noProof/>
        </w:rPr>
        <w:t>3</w:t>
      </w:r>
      <w:r w:rsidRPr="00C754CA">
        <w:rPr>
          <w:noProof/>
        </w:rPr>
        <w:t xml:space="preserve"> für den EFRE und den Kohäsionsfonds wird ein neues spezifisches Ziel zur Unterstützung von Investitionen in die Verteidigungsfähigkeit der EU eingeführt, und der Umfang der Unterstützung wird geändert, um die Unterstützung von anderen Unternehmen als KMU für diese spezifischen Ziele zu ermöglichen, soweit dies nach den Vorschriften über staatliche Beihilfen zulässig ist. Das spezifische Ziel im Rahmen des politischen Ziels </w:t>
      </w:r>
      <w:r w:rsidRPr="00E2773D">
        <w:rPr>
          <w:noProof/>
        </w:rPr>
        <w:t>3</w:t>
      </w:r>
      <w:r w:rsidRPr="00C754CA">
        <w:rPr>
          <w:noProof/>
        </w:rPr>
        <w:t xml:space="preserve"> wird dazu dienen, eine widerstandsfähige Verteidigungsinfrastruktur oder eine Infrastruktur mit doppeltem Verwendungszweck zu fördern, um die militärische Mobilität in der EU zu verbessern. Darüber hinaus wird die Kommission zusätzlich zur jährlichen Vorfinanzierung für die Programme eine außerordentliche einmalige Vorfinanzierung in Höhe von </w:t>
      </w:r>
      <w:r w:rsidRPr="00E2773D">
        <w:rPr>
          <w:noProof/>
        </w:rPr>
        <w:t>30</w:t>
      </w:r>
      <w:r w:rsidRPr="00C754CA">
        <w:rPr>
          <w:noProof/>
        </w:rPr>
        <w:t xml:space="preserve"> % auf der Grundlage der Mittel zahlen, die diesen spezifischen Zielen im Rahmen spezieller Prioritäten zugewiesen werden, wobei der Höchstsatz für die Kofinanzierung für diese Prioritäten auf </w:t>
      </w:r>
      <w:r w:rsidRPr="00E2773D">
        <w:rPr>
          <w:noProof/>
        </w:rPr>
        <w:t>100</w:t>
      </w:r>
      <w:r w:rsidRPr="00C754CA">
        <w:rPr>
          <w:noProof/>
        </w:rPr>
        <w:t> % festgesetzt wird.</w:t>
      </w:r>
    </w:p>
    <w:p w14:paraId="663B6EFB" w14:textId="77777777" w:rsidR="00FA67E3" w:rsidRPr="00C754CA" w:rsidRDefault="00FA67E3" w:rsidP="00C974C5">
      <w:pPr>
        <w:keepNext/>
        <w:rPr>
          <w:rFonts w:eastAsia="Times New Roman"/>
          <w:i/>
          <w:iCs/>
          <w:noProof/>
        </w:rPr>
      </w:pPr>
      <w:r w:rsidRPr="00C754CA">
        <w:rPr>
          <w:i/>
          <w:noProof/>
        </w:rPr>
        <w:t>Erschwinglicher Wohnraum (einschließlich Sozialwohnungen)</w:t>
      </w:r>
    </w:p>
    <w:p w14:paraId="111D71AC" w14:textId="77777777" w:rsidR="00FA67E3" w:rsidRPr="00C754CA" w:rsidRDefault="053703D5" w:rsidP="54388C04">
      <w:pPr>
        <w:pStyle w:val="ListBullet"/>
        <w:rPr>
          <w:noProof/>
        </w:rPr>
      </w:pPr>
      <w:r w:rsidRPr="00C754CA">
        <w:rPr>
          <w:noProof/>
        </w:rPr>
        <w:t xml:space="preserve">Zur Förderung von Investitionen in erschwinglichen Wohnraum, einschließlich Sozialwohnungen, und zur Unterstützung der damit verbundenen Reformen werden drei neue spezifische Ziele für den EFRE und eines für den Kohäsionsfonds eingeführt. Für diese spezifischen Ziele wird die Kommission zusätzlich zur jährlichen Vorfinanzierung für die Programme eine außerordentliche einmalige Vorfinanzierung in Höhe von </w:t>
      </w:r>
      <w:r w:rsidRPr="00E2773D">
        <w:rPr>
          <w:noProof/>
        </w:rPr>
        <w:t>30</w:t>
      </w:r>
      <w:r w:rsidRPr="00C754CA">
        <w:rPr>
          <w:noProof/>
        </w:rPr>
        <w:t xml:space="preserve"> % auf der Grundlage der Mittel zahlen, die diesen speziellen Prioritäten zugewiesen werden, wobei der Höchstsatz für die Kofinanzierung für diese speziellen Prioritäten auf </w:t>
      </w:r>
      <w:r w:rsidRPr="00E2773D">
        <w:rPr>
          <w:noProof/>
        </w:rPr>
        <w:t>100</w:t>
      </w:r>
      <w:r w:rsidRPr="00C754CA">
        <w:rPr>
          <w:noProof/>
        </w:rPr>
        <w:t> % festgesetzt wird. Gleichzeitig muss sichergestellt werden, dass Wohnraum klimaresilient ist.</w:t>
      </w:r>
    </w:p>
    <w:p w14:paraId="319E88D6" w14:textId="77777777" w:rsidR="00FA67E3" w:rsidRPr="00C754CA" w:rsidRDefault="3EA82F98" w:rsidP="54388C04">
      <w:pPr>
        <w:pStyle w:val="ListBullet"/>
        <w:rPr>
          <w:noProof/>
        </w:rPr>
      </w:pPr>
      <w:r w:rsidRPr="00C754CA">
        <w:rPr>
          <w:noProof/>
        </w:rPr>
        <w:t>Darüber hinaus wird der Anwendungsbereich des Fonds für einen gerechten Übergang dahin gehend geändert, dass auch Investitionen in erschwinglichen Wohnraum und die Unterstützung einschlägiger Reformen zur Unterstützung der Umsetzung der territorialen Pläne für einen gerechten Übergang möglich sind.</w:t>
      </w:r>
    </w:p>
    <w:p w14:paraId="29F439CF" w14:textId="77777777" w:rsidR="00170AF9" w:rsidRPr="00C754CA" w:rsidRDefault="6DF629FC" w:rsidP="001301D4">
      <w:pPr>
        <w:keepNext/>
        <w:rPr>
          <w:rFonts w:eastAsia="Times New Roman"/>
          <w:i/>
          <w:iCs/>
          <w:noProof/>
        </w:rPr>
      </w:pPr>
      <w:r w:rsidRPr="00C754CA">
        <w:rPr>
          <w:i/>
          <w:noProof/>
        </w:rPr>
        <w:t xml:space="preserve">Sicherer </w:t>
      </w:r>
      <w:r w:rsidRPr="00C754CA">
        <w:rPr>
          <w:i/>
          <w:iCs/>
          <w:noProof/>
        </w:rPr>
        <w:t>Zugang zu Wasser, nachhaltige Wasserbewirtschaftung und resiliente Wasserversorgung</w:t>
      </w:r>
    </w:p>
    <w:p w14:paraId="195A794B" w14:textId="77777777" w:rsidR="000848A7" w:rsidRPr="00C754CA" w:rsidRDefault="4BE724A8" w:rsidP="00E475A3">
      <w:pPr>
        <w:pStyle w:val="ListBullet"/>
        <w:rPr>
          <w:noProof/>
        </w:rPr>
      </w:pPr>
      <w:r w:rsidRPr="00C754CA">
        <w:rPr>
          <w:noProof/>
        </w:rPr>
        <w:t xml:space="preserve">Die Änderung in Bezug auf das spezifische Ziel „Förderung eines sicheren Zugangs zu Wasser, einer nachhaltigen Wasserbewirtschaftung und einer resilienten Wasserversorgung“ spiegelt die strategische Bedeutung einer widerstandsfähigen Wasserbewirtschaftung für die EU wider. Um Investitionen in diesem Bereich zu beschleunigen, wird die Kommission zusätzlich zur jährlichen Vorfinanzierung für die Programme eine außerordentliche einmalige Vorfinanzierung in Höhe von </w:t>
      </w:r>
      <w:r w:rsidRPr="00E2773D">
        <w:rPr>
          <w:noProof/>
        </w:rPr>
        <w:t>30</w:t>
      </w:r>
      <w:r w:rsidRPr="00C754CA">
        <w:rPr>
          <w:noProof/>
        </w:rPr>
        <w:t xml:space="preserve"> % auf der Grundlage der Mittel zahlen, die diesen speziellen Prioritäten zur Unterstützung des spezifischen Ziels zugewiesen werden, wobei der Höchstsatz für die Kofinanzierung für diese speziellen Prioritäten auf </w:t>
      </w:r>
      <w:r w:rsidRPr="00E2773D">
        <w:rPr>
          <w:noProof/>
        </w:rPr>
        <w:t>100</w:t>
      </w:r>
      <w:r w:rsidRPr="00C754CA">
        <w:rPr>
          <w:noProof/>
        </w:rPr>
        <w:t> % festgesetzt wird.</w:t>
      </w:r>
    </w:p>
    <w:p w14:paraId="3EEBE379" w14:textId="77777777" w:rsidR="005636A3" w:rsidRPr="00C754CA" w:rsidRDefault="00854387" w:rsidP="00DA5FFF">
      <w:pPr>
        <w:rPr>
          <w:rStyle w:val="eop"/>
          <w:rFonts w:eastAsiaTheme="minorEastAsia"/>
          <w:i/>
          <w:iCs/>
          <w:noProof/>
        </w:rPr>
      </w:pPr>
      <w:r w:rsidRPr="00C754CA">
        <w:rPr>
          <w:rStyle w:val="eop"/>
          <w:i/>
          <w:noProof/>
          <w:color w:val="000000" w:themeColor="text1"/>
        </w:rPr>
        <w:t xml:space="preserve">Energiewende </w:t>
      </w:r>
    </w:p>
    <w:p w14:paraId="7A827FC1" w14:textId="77777777" w:rsidR="005636A3" w:rsidRPr="00C754CA" w:rsidRDefault="005636A3" w:rsidP="005636A3">
      <w:pPr>
        <w:pStyle w:val="ListBullet"/>
        <w:rPr>
          <w:noProof/>
        </w:rPr>
      </w:pPr>
      <w:r w:rsidRPr="00C754CA">
        <w:rPr>
          <w:noProof/>
        </w:rPr>
        <w:t xml:space="preserve">Um die Energieversorgungssicherheit zu erhöhen und den Übergang in der gesamten Union zu beschleunigen sowie eine saubere Mobilität zu unterstützen, sollte ein neues spezifisches Ziel festgelegt werden, um Verbindungsleitungen und damit verbundene Leitungsinfrastruktur sowie den Aufbau von Ladeinfrastrukturen aus Mitteln des EFRE und des Kohäsionsfonds zu fördern. </w:t>
      </w:r>
    </w:p>
    <w:p w14:paraId="7B6C1768" w14:textId="77777777" w:rsidR="000848A7" w:rsidRPr="00C754CA" w:rsidRDefault="000848A7" w:rsidP="000848A7">
      <w:pPr>
        <w:rPr>
          <w:rStyle w:val="eop"/>
          <w:rFonts w:eastAsiaTheme="minorEastAsia"/>
          <w:i/>
          <w:noProof/>
        </w:rPr>
      </w:pPr>
      <w:r w:rsidRPr="00C754CA">
        <w:rPr>
          <w:rStyle w:val="eop"/>
          <w:i/>
          <w:noProof/>
          <w:color w:val="000000" w:themeColor="text1"/>
        </w:rPr>
        <w:t>Regionen an der Ostgrenze</w:t>
      </w:r>
    </w:p>
    <w:p w14:paraId="7CCADA34" w14:textId="77777777" w:rsidR="000848A7" w:rsidRPr="00C754CA" w:rsidRDefault="053703D5" w:rsidP="4D8CB314">
      <w:pPr>
        <w:pStyle w:val="ListBullet"/>
        <w:rPr>
          <w:rFonts w:eastAsiaTheme="minorEastAsia"/>
          <w:i/>
          <w:iCs/>
          <w:noProof/>
        </w:rPr>
      </w:pPr>
      <w:r w:rsidRPr="00C754CA">
        <w:rPr>
          <w:rStyle w:val="eop"/>
          <w:noProof/>
          <w:color w:val="000000" w:themeColor="text1"/>
        </w:rPr>
        <w:t>Angesichts der Herausforderungen, vor denen die Regionen an der Ostgrenze seit dem Angriffskrieg Russlands gegen die Ukraine stehen, sollten aus dem EFRE oder dem Kohäsionsfonds finanzierte Programme des Ziels „Investitionen in Beschäftigung und Wachstum“ für NUTS-</w:t>
      </w:r>
      <w:r w:rsidRPr="00E2773D">
        <w:rPr>
          <w:rStyle w:val="eop"/>
          <w:noProof/>
          <w:color w:val="000000" w:themeColor="text1"/>
        </w:rPr>
        <w:t>2</w:t>
      </w:r>
      <w:r w:rsidRPr="00C754CA">
        <w:rPr>
          <w:rStyle w:val="eop"/>
          <w:noProof/>
          <w:color w:val="000000" w:themeColor="text1"/>
        </w:rPr>
        <w:t xml:space="preserve">-Regionen, die an Russland, Belarus oder die Ukraine angrenzen, die Möglichkeit erhalten, eine einmalige Vorfinanzierung in Höhe von </w:t>
      </w:r>
      <w:r w:rsidRPr="00E2773D">
        <w:rPr>
          <w:rStyle w:val="eop"/>
          <w:noProof/>
          <w:color w:val="000000" w:themeColor="text1"/>
        </w:rPr>
        <w:t>9</w:t>
      </w:r>
      <w:r w:rsidRPr="00C754CA">
        <w:rPr>
          <w:rStyle w:val="eop"/>
          <w:noProof/>
          <w:color w:val="000000" w:themeColor="text1"/>
        </w:rPr>
        <w:t>,</w:t>
      </w:r>
      <w:r w:rsidRPr="00E2773D">
        <w:rPr>
          <w:rStyle w:val="eop"/>
          <w:noProof/>
          <w:color w:val="000000" w:themeColor="text1"/>
        </w:rPr>
        <w:t>5</w:t>
      </w:r>
      <w:r w:rsidRPr="00C754CA">
        <w:rPr>
          <w:rStyle w:val="eop"/>
          <w:noProof/>
          <w:color w:val="000000" w:themeColor="text1"/>
        </w:rPr>
        <w:t xml:space="preserve"> % und eine </w:t>
      </w:r>
      <w:r w:rsidRPr="00E2773D">
        <w:rPr>
          <w:rStyle w:val="eop"/>
          <w:noProof/>
          <w:color w:val="000000" w:themeColor="text1"/>
        </w:rPr>
        <w:t>100</w:t>
      </w:r>
      <w:r w:rsidRPr="00C754CA">
        <w:rPr>
          <w:rStyle w:val="eop"/>
          <w:noProof/>
          <w:color w:val="000000" w:themeColor="text1"/>
        </w:rPr>
        <w:t xml:space="preserve">%ige Finanzierung durch die Union in Anspruch zu nehmen, wenn bei den </w:t>
      </w:r>
      <w:r w:rsidRPr="00C754CA">
        <w:rPr>
          <w:noProof/>
        </w:rPr>
        <w:t xml:space="preserve">Programmen mindestens </w:t>
      </w:r>
      <w:r w:rsidRPr="00E2773D">
        <w:rPr>
          <w:noProof/>
        </w:rPr>
        <w:t>15</w:t>
      </w:r>
      <w:r w:rsidRPr="00C754CA">
        <w:rPr>
          <w:noProof/>
        </w:rPr>
        <w:t> % der Mittel den neu eingeführten spezifischen Zielen und der STEP zugewiesen werden</w:t>
      </w:r>
      <w:r w:rsidRPr="00C754CA">
        <w:rPr>
          <w:rStyle w:val="eop"/>
          <w:noProof/>
          <w:color w:val="000000" w:themeColor="text1"/>
        </w:rPr>
        <w:t>. Erstreckt sich das entsprechende Programm auf das gesamte Hoheitsgebiet des Mitgliedstaats, so sollten diese finanziellen Flexibilitätsregelungen nur dann gelten, wenn das Programm, das das gesamte Hoheitsgebiet des Mitgliedstaats abdeckt, das einzige Programm in dem Mitgliedstaat ist, das die betreffenden NUTS-</w:t>
      </w:r>
      <w:r w:rsidRPr="00E2773D">
        <w:rPr>
          <w:rStyle w:val="eop"/>
          <w:noProof/>
          <w:color w:val="000000" w:themeColor="text1"/>
        </w:rPr>
        <w:t>2</w:t>
      </w:r>
      <w:r w:rsidRPr="00C754CA">
        <w:rPr>
          <w:rStyle w:val="eop"/>
          <w:noProof/>
          <w:color w:val="000000" w:themeColor="text1"/>
        </w:rPr>
        <w:t>-Regionen umfasst.</w:t>
      </w:r>
    </w:p>
    <w:p w14:paraId="0D21EC9D" w14:textId="77777777" w:rsidR="000848A7" w:rsidRPr="00C754CA" w:rsidRDefault="000848A7" w:rsidP="001818DA">
      <w:pPr>
        <w:rPr>
          <w:rStyle w:val="eop"/>
          <w:rFonts w:eastAsiaTheme="majorEastAsia"/>
          <w:noProof/>
          <w:color w:val="000000" w:themeColor="text1"/>
        </w:rPr>
      </w:pPr>
      <w:r w:rsidRPr="00C754CA">
        <w:rPr>
          <w:i/>
          <w:noProof/>
        </w:rPr>
        <w:t xml:space="preserve">Städte </w:t>
      </w:r>
    </w:p>
    <w:p w14:paraId="697EEFEA" w14:textId="77777777" w:rsidR="000848A7" w:rsidRPr="00C754CA" w:rsidRDefault="053703D5" w:rsidP="4D8CB314">
      <w:pPr>
        <w:pStyle w:val="ListBullet"/>
        <w:rPr>
          <w:rFonts w:eastAsiaTheme="majorEastAsia"/>
          <w:noProof/>
          <w:color w:val="000000" w:themeColor="text1"/>
        </w:rPr>
      </w:pPr>
      <w:r w:rsidRPr="00C754CA">
        <w:rPr>
          <w:rStyle w:val="eop"/>
          <w:noProof/>
          <w:color w:val="000000" w:themeColor="text1"/>
        </w:rPr>
        <w:t>Die Europäische Stadtinitiative wird gestärkt, indem die Vergabe eines Exzellenzsiegels für innovative Maßnahmen ermöglicht wird, die bewertet wurden und den Mindestqualitätsanforderungen entsprechen, aber aufgrund von Haushaltszwängen nicht finanziert werden konnten, und indem es den Mitgliedstaaten gestattet wird, einen Teil ihrer ursprünglichen nationalen Zuweisungen für den EFRE der Europäischen Stadtinitiative zuzuweisen. Diese Neuzuweisung würde nicht auf die Obergrenzen gemäß Artikel </w:t>
      </w:r>
      <w:r w:rsidRPr="00E2773D">
        <w:rPr>
          <w:rStyle w:val="eop"/>
          <w:noProof/>
          <w:color w:val="000000" w:themeColor="text1"/>
        </w:rPr>
        <w:t>26</w:t>
      </w:r>
      <w:r w:rsidRPr="00C754CA">
        <w:rPr>
          <w:rStyle w:val="eop"/>
          <w:noProof/>
          <w:color w:val="000000" w:themeColor="text1"/>
        </w:rPr>
        <w:t xml:space="preserve"> der Verordnung (EU) </w:t>
      </w:r>
      <w:r w:rsidRPr="00E2773D">
        <w:rPr>
          <w:rStyle w:val="eop"/>
          <w:noProof/>
          <w:color w:val="000000" w:themeColor="text1"/>
        </w:rPr>
        <w:t>2021</w:t>
      </w:r>
      <w:r w:rsidRPr="00C754CA">
        <w:rPr>
          <w:rStyle w:val="eop"/>
          <w:noProof/>
          <w:color w:val="000000" w:themeColor="text1"/>
        </w:rPr>
        <w:t>/</w:t>
      </w:r>
      <w:r w:rsidRPr="00E2773D">
        <w:rPr>
          <w:rStyle w:val="eop"/>
          <w:noProof/>
          <w:color w:val="000000" w:themeColor="text1"/>
        </w:rPr>
        <w:t>1060</w:t>
      </w:r>
      <w:r w:rsidRPr="00C754CA">
        <w:rPr>
          <w:rStyle w:val="eop"/>
          <w:noProof/>
          <w:color w:val="000000" w:themeColor="text1"/>
        </w:rPr>
        <w:t xml:space="preserve"> angerechnet.</w:t>
      </w:r>
    </w:p>
    <w:p w14:paraId="45C6DCA4" w14:textId="77777777" w:rsidR="000848A7" w:rsidRPr="00C754CA" w:rsidRDefault="000848A7" w:rsidP="000848A7">
      <w:pPr>
        <w:rPr>
          <w:b/>
          <w:bCs/>
          <w:noProof/>
        </w:rPr>
      </w:pPr>
      <w:r w:rsidRPr="00C754CA">
        <w:rPr>
          <w:b/>
          <w:noProof/>
        </w:rPr>
        <w:t>Weitere Flexibilität bei der Umsetzung</w:t>
      </w:r>
    </w:p>
    <w:p w14:paraId="790B6A59" w14:textId="77777777" w:rsidR="000848A7" w:rsidRPr="00C754CA" w:rsidRDefault="000848A7" w:rsidP="000848A7">
      <w:pPr>
        <w:rPr>
          <w:i/>
          <w:iCs/>
          <w:noProof/>
        </w:rPr>
      </w:pPr>
      <w:r w:rsidRPr="00C754CA">
        <w:rPr>
          <w:i/>
          <w:noProof/>
        </w:rPr>
        <w:t>Thematische Konzentration</w:t>
      </w:r>
    </w:p>
    <w:p w14:paraId="45FBD251" w14:textId="77777777" w:rsidR="000848A7" w:rsidRPr="00C754CA" w:rsidRDefault="053703D5" w:rsidP="0063664F">
      <w:pPr>
        <w:pStyle w:val="ListBullet"/>
        <w:rPr>
          <w:noProof/>
        </w:rPr>
      </w:pPr>
      <w:r w:rsidRPr="00C754CA">
        <w:rPr>
          <w:noProof/>
        </w:rPr>
        <w:t>Die Anforderungen an die thematische Konzentration des EFRE werden überarbeitet, um der Einführung der neuen und geänderten spezifischen Ziele und der spezifischen Ziele, die im Rahmen der STEP-Verordnung eingeführt wurden, Rechnung zu tragen. Die in Artikel </w:t>
      </w:r>
      <w:r w:rsidRPr="00E2773D">
        <w:rPr>
          <w:noProof/>
        </w:rPr>
        <w:t>6</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festgelegten Anforderungen in Bezug auf klimabezogene Investitionen gelten jedoch weiterhin. </w:t>
      </w:r>
    </w:p>
    <w:p w14:paraId="68C03C2C" w14:textId="77777777" w:rsidR="000848A7" w:rsidRPr="00C754CA" w:rsidRDefault="000848A7" w:rsidP="000848A7">
      <w:pPr>
        <w:rPr>
          <w:i/>
          <w:iCs/>
          <w:noProof/>
        </w:rPr>
      </w:pPr>
      <w:r w:rsidRPr="00C754CA">
        <w:rPr>
          <w:i/>
          <w:noProof/>
        </w:rPr>
        <w:t>Halbzeitüberprüfung</w:t>
      </w:r>
    </w:p>
    <w:p w14:paraId="31D16084" w14:textId="77777777" w:rsidR="000848A7" w:rsidRPr="00C754CA" w:rsidRDefault="053703D5" w:rsidP="4D8CB314">
      <w:pPr>
        <w:pStyle w:val="ListBullet"/>
        <w:ind w:left="720" w:hanging="360"/>
        <w:rPr>
          <w:i/>
          <w:iCs/>
          <w:noProof/>
        </w:rPr>
      </w:pPr>
      <w:r w:rsidRPr="00C754CA">
        <w:rPr>
          <w:noProof/>
        </w:rPr>
        <w:t>Damit die Mitgliedstaaten die neuen Prioritäten und Flexibilitätsregelungen wirksam nutzen können, wird vorgeschlagen, dass sie ihren Vorschlag zur Halbzeitüberprüfung innerhalb von zwei Monaten nach Inkrafttreten dieser Änderungen der Rechtsvorschriften erneut vorlegen können.</w:t>
      </w:r>
      <w:r w:rsidRPr="00C754CA">
        <w:rPr>
          <w:i/>
          <w:noProof/>
        </w:rPr>
        <w:t xml:space="preserve"> </w:t>
      </w:r>
    </w:p>
    <w:p w14:paraId="48707D72" w14:textId="77777777" w:rsidR="000848A7" w:rsidRPr="00C754CA" w:rsidRDefault="053703D5" w:rsidP="000848A7">
      <w:pPr>
        <w:pStyle w:val="ListBullet"/>
        <w:ind w:left="720" w:hanging="360"/>
        <w:rPr>
          <w:noProof/>
        </w:rPr>
      </w:pPr>
      <w:r w:rsidRPr="00C754CA">
        <w:rPr>
          <w:noProof/>
        </w:rPr>
        <w:t xml:space="preserve">Um die Durchführung des EFRE und des Kohäsionsfonds zu beschleunigen, würden alle Programme, bei denen mindestens </w:t>
      </w:r>
      <w:r w:rsidRPr="00E2773D">
        <w:rPr>
          <w:noProof/>
        </w:rPr>
        <w:t>15</w:t>
      </w:r>
      <w:r w:rsidRPr="00C754CA">
        <w:rPr>
          <w:noProof/>
        </w:rPr>
        <w:t xml:space="preserve"> % der Mittel den neu eingeführten spezifischen Zielen und der STEP zugewiesen werden, auf der Grundlage ihres geänderten Programmbudgets eine einmalige Vorfinanzierung in Höhe von </w:t>
      </w:r>
      <w:r w:rsidRPr="00E2773D">
        <w:rPr>
          <w:noProof/>
        </w:rPr>
        <w:t>4</w:t>
      </w:r>
      <w:r w:rsidRPr="00C754CA">
        <w:rPr>
          <w:noProof/>
        </w:rPr>
        <w:t>,</w:t>
      </w:r>
      <w:r w:rsidRPr="00E2773D">
        <w:rPr>
          <w:noProof/>
        </w:rPr>
        <w:t>5</w:t>
      </w:r>
      <w:r w:rsidRPr="00C754CA">
        <w:rPr>
          <w:noProof/>
        </w:rPr>
        <w:t xml:space="preserve"> % erhalten (ausgenommen die </w:t>
      </w:r>
      <w:r w:rsidRPr="00C754CA">
        <w:rPr>
          <w:rStyle w:val="eop"/>
          <w:noProof/>
          <w:color w:val="000000" w:themeColor="text1"/>
        </w:rPr>
        <w:t>NUTS-</w:t>
      </w:r>
      <w:r w:rsidRPr="00E2773D">
        <w:rPr>
          <w:rStyle w:val="eop"/>
          <w:noProof/>
          <w:color w:val="000000" w:themeColor="text1"/>
        </w:rPr>
        <w:t>2</w:t>
      </w:r>
      <w:r w:rsidRPr="00C754CA">
        <w:rPr>
          <w:rStyle w:val="eop"/>
          <w:noProof/>
          <w:color w:val="000000" w:themeColor="text1"/>
        </w:rPr>
        <w:t xml:space="preserve">-Regionen, die an Russland, Belarus oder die Ukraine angrenzen und denen eine höhere einmalige Vorfinanzierung von </w:t>
      </w:r>
      <w:r w:rsidRPr="00E2773D">
        <w:rPr>
          <w:rStyle w:val="eop"/>
          <w:noProof/>
          <w:color w:val="000000" w:themeColor="text1"/>
        </w:rPr>
        <w:t>9</w:t>
      </w:r>
      <w:r w:rsidRPr="00C754CA">
        <w:rPr>
          <w:rStyle w:val="eop"/>
          <w:noProof/>
          <w:color w:val="000000" w:themeColor="text1"/>
        </w:rPr>
        <w:t>,</w:t>
      </w:r>
      <w:r w:rsidRPr="00E2773D">
        <w:rPr>
          <w:rStyle w:val="eop"/>
          <w:noProof/>
          <w:color w:val="000000" w:themeColor="text1"/>
        </w:rPr>
        <w:t>5</w:t>
      </w:r>
      <w:r w:rsidRPr="00C754CA">
        <w:rPr>
          <w:rStyle w:val="eop"/>
          <w:noProof/>
          <w:color w:val="000000" w:themeColor="text1"/>
        </w:rPr>
        <w:t> % gewährt wird)</w:t>
      </w:r>
      <w:r w:rsidRPr="00C754CA">
        <w:rPr>
          <w:noProof/>
        </w:rPr>
        <w:t>. Die zusätzliche Vorfinanzierung im Zusammenhang mit den genannten neuen Schwerpunktbereichen würde zusätzlich dazu erfolgen.</w:t>
      </w:r>
    </w:p>
    <w:p w14:paraId="1E8961EC" w14:textId="77777777" w:rsidR="003C6A77" w:rsidRPr="00C754CA" w:rsidRDefault="053703D5" w:rsidP="000848A7">
      <w:pPr>
        <w:pStyle w:val="ListBullet"/>
        <w:ind w:left="720" w:hanging="360"/>
        <w:rPr>
          <w:noProof/>
        </w:rPr>
      </w:pPr>
      <w:r w:rsidRPr="00C754CA">
        <w:rPr>
          <w:noProof/>
        </w:rPr>
        <w:t xml:space="preserve">Darüber hinaus wird das Enddatum für die Förderfähigkeit von Ausgaben für EFRE- und Kohäsionsfondsprogramme, bei denen mindestens </w:t>
      </w:r>
      <w:r w:rsidRPr="00E2773D">
        <w:rPr>
          <w:noProof/>
        </w:rPr>
        <w:t>15</w:t>
      </w:r>
      <w:r w:rsidRPr="00C754CA">
        <w:rPr>
          <w:noProof/>
        </w:rPr>
        <w:t> % der Mittelausstattung auf die neuen Schwerpunktbereiche umgelenkt werden, um ein weiteres Jahr verlängert.</w:t>
      </w:r>
    </w:p>
    <w:p w14:paraId="177E569B" w14:textId="77777777" w:rsidR="000848A7" w:rsidRPr="00C754CA" w:rsidRDefault="003C6A77" w:rsidP="000848A7">
      <w:pPr>
        <w:pStyle w:val="ListBullet"/>
        <w:ind w:left="720" w:hanging="360"/>
        <w:rPr>
          <w:noProof/>
        </w:rPr>
      </w:pPr>
      <w:r w:rsidRPr="00C754CA">
        <w:rPr>
          <w:noProof/>
        </w:rPr>
        <w:t>Um Flexibilität bei der Berechnung des Klimabeitrags zu gewährleisten, könnte bei einer Überschreitung des Klimabeitrags gemäß Artikel </w:t>
      </w:r>
      <w:r w:rsidRPr="00E2773D">
        <w:rPr>
          <w:noProof/>
        </w:rPr>
        <w:t>6</w:t>
      </w:r>
      <w:r w:rsidRPr="00C754CA">
        <w:rPr>
          <w:noProof/>
        </w:rPr>
        <w:t xml:space="preserve"> Absatz </w:t>
      </w:r>
      <w:r w:rsidRPr="00E2773D">
        <w:rPr>
          <w:noProof/>
        </w:rPr>
        <w:t>1</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entweder für den Kohäsionsfonds oder für den EFRE der über den Zielwert hinausgehende Betrag bei der Berechnung des Klimaschutzbeitrags für den jeweils anderen Fonds berücksichtigt werden. </w:t>
      </w:r>
    </w:p>
    <w:p w14:paraId="64CD30CD" w14:textId="77777777" w:rsidR="000848A7" w:rsidRPr="00C754CA" w:rsidRDefault="000848A7" w:rsidP="000848A7">
      <w:pPr>
        <w:rPr>
          <w:i/>
          <w:iCs/>
          <w:noProof/>
        </w:rPr>
      </w:pPr>
      <w:r w:rsidRPr="00C754CA">
        <w:rPr>
          <w:i/>
          <w:noProof/>
        </w:rPr>
        <w:t>Weitere Änderungen zur Straffung der Durchführung umfassen:</w:t>
      </w:r>
    </w:p>
    <w:p w14:paraId="2ED62707" w14:textId="77777777" w:rsidR="000848A7" w:rsidRPr="00C754CA" w:rsidRDefault="000848A7" w:rsidP="00C9580B">
      <w:pPr>
        <w:pStyle w:val="ListBullet"/>
        <w:ind w:left="720" w:hanging="360"/>
        <w:rPr>
          <w:noProof/>
        </w:rPr>
      </w:pPr>
      <w:r w:rsidRPr="00C754CA">
        <w:rPr>
          <w:noProof/>
        </w:rPr>
        <w:t>die Möglichkeit für die Mitgliedstaaten, Mittel aus dem EFRE auf das Instrument für Interregionale Innovationsinvestitionen umzuschichten;</w:t>
      </w:r>
    </w:p>
    <w:p w14:paraId="68A4095D" w14:textId="77777777" w:rsidR="000848A7" w:rsidRPr="00C754CA" w:rsidRDefault="053703D5" w:rsidP="00C9580B">
      <w:pPr>
        <w:pStyle w:val="ListBullet"/>
        <w:ind w:left="720" w:hanging="360"/>
        <w:rPr>
          <w:noProof/>
        </w:rPr>
      </w:pPr>
      <w:r w:rsidRPr="00C754CA">
        <w:rPr>
          <w:noProof/>
        </w:rPr>
        <w:t>die Möglichkeit, Tätigkeiten zu unterstützen, die zur Durchführung von Reformen beitragen;</w:t>
      </w:r>
    </w:p>
    <w:p w14:paraId="78081C1C" w14:textId="77777777" w:rsidR="00390C6B" w:rsidRPr="00C754CA" w:rsidRDefault="000848A7" w:rsidP="00C9580B">
      <w:pPr>
        <w:pStyle w:val="ListBullet"/>
        <w:ind w:left="720" w:hanging="360"/>
        <w:rPr>
          <w:noProof/>
        </w:rPr>
      </w:pPr>
      <w:r w:rsidRPr="00C754CA">
        <w:rPr>
          <w:noProof/>
        </w:rPr>
        <w:t>die hinreichend begründete Überarbeitung der Zielvorgaben der Outputindikatoren im Rahmen einer Änderung Programmänderung im Rahmen des JTF, wobei sichergestellt wird, dass sich diese Überarbeitungen nicht auf den Übergang zur Klimaneutralität und die Verpflichtungen zum Ausstieg aus fossilen Brennstoffen auswirken.</w:t>
      </w:r>
    </w:p>
    <w:p w14:paraId="6A2B4A84" w14:textId="77777777" w:rsidR="0063664F" w:rsidRPr="00C754CA" w:rsidRDefault="0063664F" w:rsidP="00877B3D">
      <w:pPr>
        <w:rPr>
          <w:noProof/>
        </w:rPr>
        <w:sectPr w:rsidR="0063664F" w:rsidRPr="00C754CA" w:rsidSect="008E2EBB">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pPr>
    </w:p>
    <w:p w14:paraId="19D69CF9" w14:textId="4D94D71B" w:rsidR="00002605" w:rsidRPr="00C754CA" w:rsidRDefault="00C754CA" w:rsidP="00C754CA">
      <w:pPr>
        <w:pStyle w:val="Rfrenceinterinstitutionnelle"/>
        <w:rPr>
          <w:noProof/>
        </w:rPr>
      </w:pPr>
      <w:r>
        <w:rPr>
          <w:noProof/>
        </w:rPr>
        <w:t>2025/0084 (COD)</w:t>
      </w:r>
    </w:p>
    <w:p w14:paraId="5950A8F7" w14:textId="27F2D113" w:rsidR="000852D5" w:rsidRPr="00C754CA" w:rsidRDefault="00C754CA" w:rsidP="00C754CA">
      <w:pPr>
        <w:pStyle w:val="Statut"/>
        <w:rPr>
          <w:noProof/>
        </w:rPr>
      </w:pPr>
      <w:r w:rsidRPr="00C754CA">
        <w:rPr>
          <w:noProof/>
        </w:rPr>
        <w:t>Vorschlag für eine</w:t>
      </w:r>
    </w:p>
    <w:p w14:paraId="066EE187" w14:textId="50D82043" w:rsidR="000852D5" w:rsidRPr="00C754CA" w:rsidRDefault="00C754CA" w:rsidP="00C754CA">
      <w:pPr>
        <w:pStyle w:val="Typedudocument"/>
        <w:rPr>
          <w:noProof/>
        </w:rPr>
      </w:pPr>
      <w:r w:rsidRPr="00C754CA">
        <w:rPr>
          <w:noProof/>
        </w:rPr>
        <w:t>VERORDNUNG DES EUROPÄISCHEN PARLAMENTS UND DES RATES</w:t>
      </w:r>
    </w:p>
    <w:p w14:paraId="66CEAAB1" w14:textId="417F4B08" w:rsidR="000852D5" w:rsidRPr="00C754CA" w:rsidRDefault="00C754CA" w:rsidP="00C754CA">
      <w:pPr>
        <w:pStyle w:val="Titreobjet"/>
        <w:rPr>
          <w:noProof/>
        </w:rPr>
      </w:pPr>
      <w:r w:rsidRPr="00C754CA">
        <w:rPr>
          <w:noProof/>
        </w:rPr>
        <w:t xml:space="preserve">zur Änderung der Verordnungen (EU) </w:t>
      </w:r>
      <w:r w:rsidRPr="00E2773D">
        <w:rPr>
          <w:noProof/>
        </w:rPr>
        <w:t>2021</w:t>
      </w:r>
      <w:r w:rsidRPr="00C754CA">
        <w:rPr>
          <w:noProof/>
        </w:rPr>
        <w:t>/</w:t>
      </w:r>
      <w:r w:rsidRPr="00E2773D">
        <w:rPr>
          <w:noProof/>
        </w:rPr>
        <w:t>1058</w:t>
      </w:r>
      <w:r w:rsidRPr="00C754CA">
        <w:rPr>
          <w:noProof/>
        </w:rPr>
        <w:t xml:space="preserve"> und (EU) </w:t>
      </w:r>
      <w:r w:rsidRPr="00E2773D">
        <w:rPr>
          <w:noProof/>
        </w:rPr>
        <w:t>2021</w:t>
      </w:r>
      <w:r w:rsidRPr="00C754CA">
        <w:rPr>
          <w:noProof/>
        </w:rPr>
        <w:t>/</w:t>
      </w:r>
      <w:r w:rsidRPr="00E2773D">
        <w:rPr>
          <w:noProof/>
        </w:rPr>
        <w:t>1056</w:t>
      </w:r>
      <w:r w:rsidRPr="00C754CA">
        <w:rPr>
          <w:noProof/>
        </w:rPr>
        <w:t xml:space="preserve"> in Bezug auf spezifische Maßnahmen zur Bewältigung strategischer Herausforderungen im Rahmen der Halbzeitüberprüfung</w:t>
      </w:r>
    </w:p>
    <w:p w14:paraId="2177406A" w14:textId="77777777" w:rsidR="000852D5" w:rsidRPr="00C754CA" w:rsidRDefault="000852D5">
      <w:pPr>
        <w:pStyle w:val="Institutionquiagit"/>
        <w:rPr>
          <w:noProof/>
        </w:rPr>
      </w:pPr>
      <w:r w:rsidRPr="00C754CA">
        <w:rPr>
          <w:noProof/>
        </w:rPr>
        <w:t>DAS EUROPÄISCHE PARLAMENT UND DER RAT DER EUROPÄISCHEN UNION —</w:t>
      </w:r>
    </w:p>
    <w:p w14:paraId="76EEDC80" w14:textId="77777777" w:rsidR="000852D5" w:rsidRPr="00C754CA" w:rsidRDefault="000852D5">
      <w:pPr>
        <w:rPr>
          <w:noProof/>
        </w:rPr>
      </w:pPr>
      <w:r w:rsidRPr="00C754CA">
        <w:rPr>
          <w:noProof/>
        </w:rPr>
        <w:t>gestützt auf den Vertrag über die Arbeitsweise der Europäischen Union, insbesondere auf die Artikel </w:t>
      </w:r>
      <w:r w:rsidRPr="00E2773D">
        <w:rPr>
          <w:noProof/>
        </w:rPr>
        <w:t>175</w:t>
      </w:r>
      <w:r w:rsidRPr="00C754CA">
        <w:rPr>
          <w:noProof/>
        </w:rPr>
        <w:t xml:space="preserve">, </w:t>
      </w:r>
      <w:r w:rsidRPr="00E2773D">
        <w:rPr>
          <w:noProof/>
        </w:rPr>
        <w:t>177</w:t>
      </w:r>
      <w:r w:rsidRPr="00C754CA">
        <w:rPr>
          <w:noProof/>
        </w:rPr>
        <w:t xml:space="preserve">, </w:t>
      </w:r>
      <w:r w:rsidRPr="00E2773D">
        <w:rPr>
          <w:noProof/>
        </w:rPr>
        <w:t>178</w:t>
      </w:r>
      <w:r w:rsidRPr="00C754CA">
        <w:rPr>
          <w:noProof/>
        </w:rPr>
        <w:t xml:space="preserve"> und </w:t>
      </w:r>
      <w:r w:rsidRPr="00E2773D">
        <w:rPr>
          <w:noProof/>
        </w:rPr>
        <w:t>322</w:t>
      </w:r>
      <w:r w:rsidRPr="00C754CA">
        <w:rPr>
          <w:noProof/>
        </w:rPr>
        <w:t>,</w:t>
      </w:r>
    </w:p>
    <w:p w14:paraId="448E0AF8" w14:textId="77777777" w:rsidR="000852D5" w:rsidRPr="00C754CA" w:rsidRDefault="000852D5">
      <w:pPr>
        <w:rPr>
          <w:noProof/>
        </w:rPr>
      </w:pPr>
      <w:r w:rsidRPr="00C754CA">
        <w:rPr>
          <w:noProof/>
        </w:rPr>
        <w:t>auf Vorschlag der Europäischen Kommission,</w:t>
      </w:r>
    </w:p>
    <w:p w14:paraId="1847984C" w14:textId="77777777" w:rsidR="000852D5" w:rsidRPr="00C754CA" w:rsidRDefault="000852D5">
      <w:pPr>
        <w:rPr>
          <w:noProof/>
        </w:rPr>
      </w:pPr>
      <w:r w:rsidRPr="00C754CA">
        <w:rPr>
          <w:noProof/>
        </w:rPr>
        <w:t>nach Zuleitung des Entwurfs des Gesetzgebungsakts an die nationalen Parlamente,</w:t>
      </w:r>
    </w:p>
    <w:p w14:paraId="0DAA6B09" w14:textId="77777777" w:rsidR="000852D5" w:rsidRPr="00C754CA" w:rsidRDefault="000852D5">
      <w:pPr>
        <w:rPr>
          <w:noProof/>
        </w:rPr>
      </w:pPr>
      <w:r w:rsidRPr="00C754CA">
        <w:rPr>
          <w:noProof/>
        </w:rPr>
        <w:t>nach Stellungnahme des Europäischen Wirtschafts- und Sozialausschusses</w:t>
      </w:r>
      <w:r w:rsidRPr="00C754CA">
        <w:rPr>
          <w:rStyle w:val="FootnoteReference"/>
          <w:noProof/>
        </w:rPr>
        <w:footnoteReference w:id="3"/>
      </w:r>
      <w:r w:rsidRPr="00C754CA">
        <w:rPr>
          <w:noProof/>
        </w:rPr>
        <w:t xml:space="preserve">, </w:t>
      </w:r>
    </w:p>
    <w:p w14:paraId="5DD9006D" w14:textId="77777777" w:rsidR="000852D5" w:rsidRPr="00C754CA" w:rsidRDefault="000852D5" w:rsidP="5EA49681">
      <w:pPr>
        <w:rPr>
          <w:rFonts w:eastAsia="Times New Roman"/>
          <w:noProof/>
        </w:rPr>
      </w:pPr>
      <w:r w:rsidRPr="00C754CA">
        <w:rPr>
          <w:noProof/>
        </w:rPr>
        <w:t>nach Stellungnahme des Ausschusses der Regionen</w:t>
      </w:r>
      <w:r w:rsidRPr="00C754CA">
        <w:rPr>
          <w:rStyle w:val="FootnoteReference"/>
          <w:rFonts w:eastAsia="Times New Roman"/>
          <w:noProof/>
        </w:rPr>
        <w:footnoteReference w:id="4"/>
      </w:r>
      <w:r w:rsidRPr="00C754CA">
        <w:rPr>
          <w:noProof/>
        </w:rPr>
        <w:t>,</w:t>
      </w:r>
    </w:p>
    <w:p w14:paraId="68F22C5D" w14:textId="77777777" w:rsidR="000852D5" w:rsidRPr="00C754CA" w:rsidRDefault="000852D5" w:rsidP="5EA49681">
      <w:pPr>
        <w:rPr>
          <w:rFonts w:eastAsia="Times New Roman"/>
          <w:noProof/>
        </w:rPr>
      </w:pPr>
      <w:r w:rsidRPr="00C754CA">
        <w:rPr>
          <w:noProof/>
        </w:rPr>
        <w:t>gemäß dem ordentlichen Gesetzgebungsverfahren,</w:t>
      </w:r>
    </w:p>
    <w:p w14:paraId="2D9CD2AA" w14:textId="77777777" w:rsidR="000852D5" w:rsidRPr="00C754CA" w:rsidRDefault="000852D5" w:rsidP="5EA49681">
      <w:pPr>
        <w:rPr>
          <w:rFonts w:eastAsia="Times New Roman"/>
          <w:noProof/>
        </w:rPr>
      </w:pPr>
      <w:r w:rsidRPr="00C754CA">
        <w:rPr>
          <w:noProof/>
        </w:rPr>
        <w:t>in Erwägung nachstehender Gründe:</w:t>
      </w:r>
    </w:p>
    <w:p w14:paraId="744A864B" w14:textId="77777777" w:rsidR="000852D5" w:rsidRPr="00C754CA" w:rsidRDefault="00C45D17" w:rsidP="00C45D17">
      <w:pPr>
        <w:pStyle w:val="ManualConsidrant"/>
        <w:rPr>
          <w:noProof/>
        </w:rPr>
      </w:pPr>
      <w:r w:rsidRPr="00C754CA">
        <w:rPr>
          <w:noProof/>
        </w:rPr>
        <w:t>(</w:t>
      </w:r>
      <w:r w:rsidRPr="00E2773D">
        <w:rPr>
          <w:noProof/>
        </w:rPr>
        <w:t>1</w:t>
      </w:r>
      <w:r w:rsidRPr="00C754CA">
        <w:rPr>
          <w:noProof/>
        </w:rPr>
        <w:t>)</w:t>
      </w:r>
      <w:r w:rsidRPr="00C754CA">
        <w:rPr>
          <w:noProof/>
        </w:rPr>
        <w:tab/>
        <w:t>In den letzten Jahren war die geopolitische Dynamik von großer Unsicherheit geprägt, die parallel zu den Herausforderungen in Verbindung mit dem ökologischen, sozialen und technologischen Wandel eine grundlegende Neubewertung der strategischen Autonomie, Resilienz und Sicherheit der EU erforderlich machte. Diese sich gleichzeitig vollziehenden Veränderungen machen deutlich, dass es dringend notwendig ist, die Innovationslücke zu schließen, die Dekarbonisierungsbemühungen zur Stärkung der wirtschaftlichen Wettbewerbsfähigkeit zu beschleunigen und die Abhängigkeit von externen Faktoren zu verringern, indem die Lieferketten diversifiziert werden, die Erzeugung grüner Energie in der EU ausgeweitet und in kritische Sektoren investiert wird.</w:t>
      </w:r>
    </w:p>
    <w:p w14:paraId="6A0ED079" w14:textId="77777777" w:rsidR="009E0335" w:rsidRPr="00C754CA" w:rsidRDefault="00C45D17" w:rsidP="00C45D17">
      <w:pPr>
        <w:pStyle w:val="ManualConsidrant"/>
        <w:rPr>
          <w:noProof/>
        </w:rPr>
      </w:pPr>
      <w:r w:rsidRPr="00C754CA">
        <w:rPr>
          <w:noProof/>
        </w:rPr>
        <w:t>(</w:t>
      </w:r>
      <w:r w:rsidRPr="00E2773D">
        <w:rPr>
          <w:noProof/>
        </w:rPr>
        <w:t>2</w:t>
      </w:r>
      <w:r w:rsidRPr="00C754CA">
        <w:rPr>
          <w:noProof/>
        </w:rPr>
        <w:t>)</w:t>
      </w:r>
      <w:r w:rsidRPr="00C754CA">
        <w:rPr>
          <w:noProof/>
        </w:rPr>
        <w:tab/>
        <w:t xml:space="preserve">Als wichtigstes Investitionsinstrument der Union innerhalb des Mehrjährigen Finanzrahmens spielt die Kohäsionspolitik eine entscheidende Rolle bei der Unterstützung dieser Prioritäten. Sie fördert gezielte Investitionen, mit denen ein Beitrag zum wirtschaftlichen, sozialen und territorialen Zusammenhalt geleistet wird und gleichzeitig neue Herausforderungen angegangen werden. </w:t>
      </w:r>
    </w:p>
    <w:p w14:paraId="55609B15" w14:textId="77777777" w:rsidR="009E0335" w:rsidRPr="00C754CA" w:rsidRDefault="00C45D17" w:rsidP="00C45D17">
      <w:pPr>
        <w:pStyle w:val="ManualConsidrant"/>
        <w:rPr>
          <w:noProof/>
        </w:rPr>
      </w:pPr>
      <w:r w:rsidRPr="00C754CA">
        <w:rPr>
          <w:noProof/>
        </w:rPr>
        <w:t>(</w:t>
      </w:r>
      <w:r w:rsidRPr="00E2773D">
        <w:rPr>
          <w:noProof/>
        </w:rPr>
        <w:t>3</w:t>
      </w:r>
      <w:r w:rsidRPr="00C754CA">
        <w:rPr>
          <w:noProof/>
        </w:rPr>
        <w:t>)</w:t>
      </w:r>
      <w:r w:rsidRPr="00C754CA">
        <w:rPr>
          <w:noProof/>
        </w:rPr>
        <w:tab/>
        <w:t>Der Rechtsrahmen für kohäsionspolitische Programme sieht eine Halbzeitüberprüfung im Jahr </w:t>
      </w:r>
      <w:r w:rsidRPr="00E2773D">
        <w:rPr>
          <w:noProof/>
        </w:rPr>
        <w:t>2025</w:t>
      </w:r>
      <w:r w:rsidRPr="00C754CA">
        <w:rPr>
          <w:noProof/>
        </w:rPr>
        <w:t xml:space="preserve"> vor, die eine zeitnahe und einzigartige Gelegenheit bietet, die Programme auf neue Herausforderungen und Chancen auszurichten, die Umsetzung zu beschleunigen und ihre Wirksamkeit zu erhöhen, um sowohl bestehenden als auch neuen Prioritäten der Union Rechnung zu tragen. </w:t>
      </w:r>
    </w:p>
    <w:p w14:paraId="762A4865" w14:textId="76E8B89C" w:rsidR="009E0335" w:rsidRPr="00C754CA" w:rsidRDefault="00C45D17" w:rsidP="00C45D17">
      <w:pPr>
        <w:pStyle w:val="ManualConsidrant"/>
        <w:rPr>
          <w:noProof/>
        </w:rPr>
      </w:pPr>
      <w:r w:rsidRPr="00C754CA">
        <w:rPr>
          <w:noProof/>
        </w:rPr>
        <w:t>(</w:t>
      </w:r>
      <w:r w:rsidRPr="00E2773D">
        <w:rPr>
          <w:noProof/>
        </w:rPr>
        <w:t>4</w:t>
      </w:r>
      <w:r w:rsidRPr="00C754CA">
        <w:rPr>
          <w:noProof/>
        </w:rPr>
        <w:t>)</w:t>
      </w:r>
      <w:r w:rsidRPr="00C754CA">
        <w:rPr>
          <w:noProof/>
        </w:rPr>
        <w:tab/>
        <w:t xml:space="preserve">Die Kommission hat im Kompass für Wettbewerbsfähigkeit, im Deal für eine saubere Industrie und im Aktionsplan für erschwingliche Energie einen konkreten Weg aufgezeigt, wie Europa seine Wettbewerbsfähigkeit wiedererlangen und nachhaltigen Wohlstand sichern kann. Aus dem EFRE und dem Kohäsionsfonds werden bereits Investitionen zur Verwirklichung der Klimaziele gemäß der Verordnung (EU) </w:t>
      </w:r>
      <w:r w:rsidRPr="00E2773D">
        <w:rPr>
          <w:noProof/>
        </w:rPr>
        <w:t>2021</w:t>
      </w:r>
      <w:r w:rsidRPr="00C754CA">
        <w:rPr>
          <w:noProof/>
        </w:rPr>
        <w:t>/</w:t>
      </w:r>
      <w:r w:rsidRPr="00E2773D">
        <w:rPr>
          <w:noProof/>
        </w:rPr>
        <w:t>1060</w:t>
      </w:r>
      <w:r w:rsidRPr="00C754CA">
        <w:rPr>
          <w:noProof/>
        </w:rPr>
        <w:t xml:space="preserve"> unterstützt. Die Mitgliedstaaten sollten jedoch ihre Anstrengungen weiter beschleunigen, um zu gewährleisten, dass die Dekarbonisierung eine Triebkraft für das Wachstum der europäischen Industrie und den Wohlstand der Menschen in Europa ist, indem sie unter anderem die Unterstützung für saubere Technologien und den Übergang zu sauberer Energie verstärken, in Energieinfrastrukturprojekte investieren, die eine echte Energieunion gewährleisten können, und die Dekarbonisierung von Produktionsverfahren und Produkten unterstützen.</w:t>
      </w:r>
    </w:p>
    <w:p w14:paraId="4F284DBE" w14:textId="74FE0B75" w:rsidR="001E6740" w:rsidRPr="00C754CA" w:rsidRDefault="00C45D17" w:rsidP="00C45D17">
      <w:pPr>
        <w:pStyle w:val="ManualConsidrant"/>
        <w:rPr>
          <w:noProof/>
        </w:rPr>
      </w:pPr>
      <w:r w:rsidRPr="00C754CA">
        <w:rPr>
          <w:noProof/>
        </w:rPr>
        <w:t>(</w:t>
      </w:r>
      <w:r w:rsidRPr="00E2773D">
        <w:rPr>
          <w:noProof/>
        </w:rPr>
        <w:t>5</w:t>
      </w:r>
      <w:r w:rsidRPr="00C754CA">
        <w:rPr>
          <w:noProof/>
        </w:rPr>
        <w:t>)</w:t>
      </w:r>
      <w:r w:rsidRPr="00C754CA">
        <w:rPr>
          <w:noProof/>
        </w:rPr>
        <w:tab/>
        <w:t xml:space="preserve">In Anbetracht der noch nie da gewesenen geopolitischen Instabilität und der Tatsache, dass die Union ihre Verteidigungsfähigkeit sichern muss, sollten Mittel der Kohäsionspolitik rasch mobilisiert werden, um Investitionen in Verteidigungskapazitäten direkt zu unterstützen. Daher ist es notwendig, neue spezifische Ziele für die Unterstützung aus dem Europäischen Fonds für regionale Entwicklung (EFRE) und dem Kohäsionsfonds, die mit der Verordnung (EU) </w:t>
      </w:r>
      <w:r w:rsidRPr="00E2773D">
        <w:rPr>
          <w:noProof/>
        </w:rPr>
        <w:t>2021</w:t>
      </w:r>
      <w:r w:rsidRPr="00C754CA">
        <w:rPr>
          <w:noProof/>
        </w:rPr>
        <w:t>/</w:t>
      </w:r>
      <w:r w:rsidRPr="00E2773D">
        <w:rPr>
          <w:noProof/>
        </w:rPr>
        <w:t>1058</w:t>
      </w:r>
      <w:r w:rsidRPr="00C754CA">
        <w:rPr>
          <w:noProof/>
        </w:rPr>
        <w:t xml:space="preserve"> des Europäischen Parlaments und des Rates</w:t>
      </w:r>
      <w:r w:rsidR="00324945" w:rsidRPr="00C754CA">
        <w:rPr>
          <w:rStyle w:val="FootnoteReference"/>
          <w:rFonts w:eastAsia="Times New Roman"/>
          <w:noProof/>
        </w:rPr>
        <w:footnoteReference w:id="5"/>
      </w:r>
      <w:r w:rsidRPr="00C754CA">
        <w:rPr>
          <w:noProof/>
        </w:rPr>
        <w:t xml:space="preserve"> eingerichtet wurden, festzulegen, um entsprechend dem Anwendungsbereich dieser Fonds industrielle Kapazitäten im Verteidigungssektor zu finanzieren und Investitionen in widerstandsfähige Verteidigungsinfrastrukturen oder Infrastrukturen mit doppeltem Verwendungszweck zur Förderung der militärischen Mobilität zu ermöglichen. Die industriellen Kapazitäten zur Förderung der Verteidigungsfähigkeit sollten sich auf die technologische Entwicklung und Herstellung von Verteidigungsgütern und von sonstigen Gütern für Verteidigungszwecke im Sinne des Artikels </w:t>
      </w:r>
      <w:r w:rsidRPr="00E2773D">
        <w:rPr>
          <w:noProof/>
        </w:rPr>
        <w:t>2</w:t>
      </w:r>
      <w:r w:rsidRPr="00C754CA">
        <w:rPr>
          <w:noProof/>
        </w:rPr>
        <w:t xml:space="preserve"> [des Entwurfs] der Verordnung [xxxx] des Rates zur Festlegung des Instruments „Sicherheitsmaßnahmen für Europa“ (SAFE) durch die Stärkung der europäischen Verteidigungsindustrie beziehen, insbesondere auf die in Artikel </w:t>
      </w:r>
      <w:r w:rsidRPr="00E2773D">
        <w:rPr>
          <w:noProof/>
        </w:rPr>
        <w:t>1</w:t>
      </w:r>
      <w:r w:rsidRPr="00C754CA">
        <w:rPr>
          <w:noProof/>
        </w:rPr>
        <w:t xml:space="preserve"> der genannten Verordnung erwähnten Güter.. Die Mitgliedstaaten werden ermutigt, von der im derzeitigen Rechtsrahmen vorgesehenen Möglichkeit Gebrauch zu machen, die ihnen im Rahmen der geteilten Mittelverwaltung zugewiesenen Mittel freiwillig auf Programme mit Verteidigungs- und Sicherheitszielen mit direkter Mittelverwaltung zu übertragen. In diesem Zusammenhang würden durch Übertragungen auf die Mittelausstattung der Fazilität „Connecting Europe“ für militärische Mobilität koordinierte Maßnahmen entlang der im Weißbuch zur Verteidigung beschriebenen Korridore für militärische Mobilität gewährleistet.</w:t>
      </w:r>
    </w:p>
    <w:p w14:paraId="583B4006" w14:textId="77777777" w:rsidR="009E0335" w:rsidRPr="00C754CA" w:rsidRDefault="00C45D17" w:rsidP="00C45D17">
      <w:pPr>
        <w:pStyle w:val="ManualConsidrant"/>
        <w:rPr>
          <w:noProof/>
        </w:rPr>
      </w:pPr>
      <w:r w:rsidRPr="00C754CA">
        <w:rPr>
          <w:noProof/>
        </w:rPr>
        <w:t>(</w:t>
      </w:r>
      <w:r w:rsidRPr="00E2773D">
        <w:rPr>
          <w:noProof/>
        </w:rPr>
        <w:t>6</w:t>
      </w:r>
      <w:r w:rsidRPr="00C754CA">
        <w:rPr>
          <w:noProof/>
        </w:rPr>
        <w:t>)</w:t>
      </w:r>
      <w:r w:rsidRPr="00C754CA">
        <w:rPr>
          <w:noProof/>
        </w:rPr>
        <w:tab/>
        <w:t xml:space="preserve">Darüber hinaus sollten zusätzliche Finanzierungsmöglichkeiten angeboten werden, um rasch Liquidität zur Deckung des dringendsten Bedarfs, insbesondere für Investitionen in verbesserte Verteidigungsfähigkeiten, bereitzustellen. Insbesondere ist es notwendig, eine zusätzliche einmalige Vorfinanzierung in Höhe von </w:t>
      </w:r>
      <w:r w:rsidRPr="00E2773D">
        <w:rPr>
          <w:noProof/>
        </w:rPr>
        <w:t>30</w:t>
      </w:r>
      <w:r w:rsidRPr="00C754CA">
        <w:rPr>
          <w:noProof/>
        </w:rPr>
        <w:t xml:space="preserve"> % der Mittel vorzusehen, die gemäß den speziellen Prioritäten für den Verteidigungsbereich im Rahmen der jeweiligen politischen Ziele des EFRE und des Kohäsionsfonds vorgesehen sind; zudem sollte </w:t>
      </w:r>
      <w:bookmarkStart w:id="10" w:name="_Hlk192683983"/>
      <w:r w:rsidRPr="00C754CA">
        <w:rPr>
          <w:noProof/>
        </w:rPr>
        <w:t xml:space="preserve">die Möglichkeit vorgesehen werden, einen Kofinanzierungssatz der Union von bis zu </w:t>
      </w:r>
      <w:r w:rsidRPr="00E2773D">
        <w:rPr>
          <w:noProof/>
        </w:rPr>
        <w:t>100</w:t>
      </w:r>
      <w:r w:rsidRPr="00C754CA">
        <w:rPr>
          <w:noProof/>
        </w:rPr>
        <w:t> % anzuwenden.</w:t>
      </w:r>
      <w:bookmarkEnd w:id="10"/>
      <w:r w:rsidRPr="00C754CA">
        <w:rPr>
          <w:noProof/>
        </w:rPr>
        <w:t xml:space="preserve"> </w:t>
      </w:r>
    </w:p>
    <w:p w14:paraId="74140363" w14:textId="77777777" w:rsidR="009E0335" w:rsidRPr="00C754CA" w:rsidRDefault="00C45D17" w:rsidP="00C45D17">
      <w:pPr>
        <w:pStyle w:val="ManualConsidrant"/>
        <w:rPr>
          <w:noProof/>
        </w:rPr>
      </w:pPr>
      <w:r w:rsidRPr="00C754CA">
        <w:rPr>
          <w:noProof/>
        </w:rPr>
        <w:t>(</w:t>
      </w:r>
      <w:r w:rsidRPr="00E2773D">
        <w:rPr>
          <w:noProof/>
        </w:rPr>
        <w:t>7</w:t>
      </w:r>
      <w:r w:rsidRPr="00C754CA">
        <w:rPr>
          <w:noProof/>
        </w:rPr>
        <w:t>)</w:t>
      </w:r>
      <w:r w:rsidRPr="00C754CA">
        <w:rPr>
          <w:noProof/>
        </w:rPr>
        <w:tab/>
        <w:t xml:space="preserve">Aus dem EFRE und dem Kohäsionsfonds können innerhalb ihres jeweiligen Anwendungsbereichs Investitionen unterstützt werden, die zu den Zielen der </w:t>
      </w:r>
      <w:bookmarkStart w:id="11" w:name="_Hlk193349554"/>
      <w:r w:rsidRPr="00C754CA">
        <w:rPr>
          <w:noProof/>
        </w:rPr>
        <w:t>„Plattform für strategische Technologien für Europa“ (STEP)</w:t>
      </w:r>
      <w:bookmarkEnd w:id="11"/>
      <w:r w:rsidRPr="00C754CA">
        <w:rPr>
          <w:noProof/>
        </w:rPr>
        <w:t xml:space="preserve"> beitragen, mit der die technologische Führungsrolle Europas gestärkt werden soll. Um weitere Anreize für Investitionen aus dem EFRE und dem Kohäsionsfonds in diesen kritischen Bereichen zu schaffen, sollte die Beschränkung des Gesamtbeitrags des EFRE und des Kohäsionsfonds zu diesen Prioritäten aufgehoben und die Möglichkeit für die Mitgliedstaaten, eine höhere Vorfinanzierung für entsprechende Programmänderungen zu erhalten, erweitert werden. Darüber hinaus sollten die Möglichkeiten zur Finanzierung produktiver Investitionen, die zu den STEP-Zielen beitragen, in anderen Unternehmen als KMU auf alle Regionen ausgeweitet werden. </w:t>
      </w:r>
      <w:bookmarkStart w:id="12" w:name="_Hlk192609733"/>
      <w:r w:rsidRPr="00C754CA">
        <w:rPr>
          <w:noProof/>
        </w:rPr>
        <w:t>Ebenso sollten solche Investitionen auch in Regionen möglich sein, in denen sie die industrielle Anpassung im Zusammenhang mit dem digitalen Wandel erleichtern, einschließlich digitaler Kapazitäten in den Bereichen Cloud, KI und Hochleistungsrechnen oder der Dekarbonisierung und Kreislauffähigkeit von Produktionsverfahren und Produkten, z. B. in der Automobilindustrie</w:t>
      </w:r>
      <w:bookmarkEnd w:id="12"/>
      <w:r w:rsidRPr="00C754CA">
        <w:rPr>
          <w:noProof/>
        </w:rPr>
        <w:t xml:space="preserve"> oder in energieintensiven Wirtschaftszweigen. Darüber hinaus sollte die für Investitionen, die zu den STEP-Zielen beitragen, vorgesehene Möglichkeit, produktive Investitionen in anderen Unternehmen als KMU aus dem mit der Verordnung (EU) </w:t>
      </w:r>
      <w:r w:rsidRPr="00E2773D">
        <w:rPr>
          <w:noProof/>
        </w:rPr>
        <w:t>2021</w:t>
      </w:r>
      <w:r w:rsidRPr="00C754CA">
        <w:rPr>
          <w:noProof/>
        </w:rPr>
        <w:t>/</w:t>
      </w:r>
      <w:r w:rsidRPr="00E2773D">
        <w:rPr>
          <w:noProof/>
        </w:rPr>
        <w:t>1056</w:t>
      </w:r>
      <w:r w:rsidRPr="00C754CA">
        <w:rPr>
          <w:noProof/>
        </w:rPr>
        <w:t xml:space="preserve"> des Europäischen Parlaments und des Rates</w:t>
      </w:r>
      <w:r w:rsidR="00324945" w:rsidRPr="00C754CA">
        <w:rPr>
          <w:rStyle w:val="FootnoteReference"/>
          <w:rFonts w:eastAsia="Times New Roman"/>
          <w:noProof/>
        </w:rPr>
        <w:footnoteReference w:id="6"/>
      </w:r>
      <w:r w:rsidRPr="00C754CA">
        <w:rPr>
          <w:noProof/>
        </w:rPr>
        <w:t xml:space="preserve"> eingerichteten Fonds für einen gerechten Übergang (JTF) zu finanzieren, ohne dass eine Lückenanalyse erforderlich ist und unabhängig von den Ergebnissen einer solchen Analyse, auf alle Investitionen ausgeweitet werden. </w:t>
      </w:r>
    </w:p>
    <w:p w14:paraId="3ED2EBAB" w14:textId="77777777" w:rsidR="009E0335" w:rsidRPr="00C754CA" w:rsidRDefault="00C45D17" w:rsidP="00C45D17">
      <w:pPr>
        <w:pStyle w:val="ManualConsidrant"/>
        <w:rPr>
          <w:noProof/>
        </w:rPr>
      </w:pPr>
      <w:r w:rsidRPr="00C754CA">
        <w:rPr>
          <w:noProof/>
        </w:rPr>
        <w:t>(</w:t>
      </w:r>
      <w:r w:rsidRPr="00E2773D">
        <w:rPr>
          <w:noProof/>
        </w:rPr>
        <w:t>8</w:t>
      </w:r>
      <w:r w:rsidRPr="00C754CA">
        <w:rPr>
          <w:noProof/>
        </w:rPr>
        <w:t>)</w:t>
      </w:r>
      <w:r w:rsidRPr="00C754CA">
        <w:rPr>
          <w:noProof/>
        </w:rPr>
        <w:tab/>
        <w:t>Zur Verbesserung der Energieversorgungssicherheit, zur Beschleunigung der Energiewende und zur Förderung einer sauberen Mobilität sollten die Investitionen im Rahmen der STEP und der Infrastrukturfazilität für alternative Kraftstoffe ergänzt werden, indem für den EFRE und den Kohäsionsfonds im Rahmen des politischen Ziels </w:t>
      </w:r>
      <w:r w:rsidRPr="00E2773D">
        <w:rPr>
          <w:noProof/>
        </w:rPr>
        <w:t>2</w:t>
      </w:r>
      <w:r w:rsidRPr="00C754CA">
        <w:rPr>
          <w:noProof/>
        </w:rPr>
        <w:t xml:space="preserve"> ein neues spezifisches Ziel zur Förderung von Verbindungsleitungen und der damit verbundenen Leitungsinfrastruktur sowie des Aufbaus von Ladeinfrastruktur festgelegt wird. Um die Investitionen in diesen Bereichen zu beschleunigen, sollte für die diesem spezifischen Ziel zugewiesenen Prioritäten eine zusätzliche einmalige Vorfinanzierung in Höhe von </w:t>
      </w:r>
      <w:r w:rsidRPr="00E2773D">
        <w:rPr>
          <w:noProof/>
        </w:rPr>
        <w:t>30</w:t>
      </w:r>
      <w:r w:rsidRPr="00C754CA">
        <w:rPr>
          <w:noProof/>
        </w:rPr>
        <w:t xml:space="preserve"> % der im Rahmen dieser Prioritäten eingeplanten Beträge gewährt werden und die Möglichkeit bestehen, einen Kofinanzierungssatz der Union von bis zu </w:t>
      </w:r>
      <w:r w:rsidRPr="00E2773D">
        <w:rPr>
          <w:noProof/>
        </w:rPr>
        <w:t>100</w:t>
      </w:r>
      <w:r w:rsidRPr="00C754CA">
        <w:rPr>
          <w:noProof/>
        </w:rPr>
        <w:t> % zu beantragen. Die Verwaltungsbehörden sollten bestrebt sein, nach Möglichkeit ein Höchstmaß an privaten Finanzmitteln zu mobilisieren. Diese verstärkten Investitionsanstrengungen werden energieintensiven Wirtschaftszweigen den Zugang zu stabileren und vielfältigeren Energiequellen in einem weniger fragmentierten Energiebinnenmarkt ermöglichen und ihre Nachhaltigkeit und Wettbewerbsfähigkeit stärken. Darüber hinaus ermöglicht die Ausweitung der Unterstützung aus dem EFRE für Dekarbonisierungsprojekte energieintensiven Wirtschaftszweigen, Innovationen mit großer Wirkung im Einklang mit den Klimazielen der EU Vorrang einzuräumen.</w:t>
      </w:r>
    </w:p>
    <w:p w14:paraId="3CA7DEF4" w14:textId="77777777" w:rsidR="009E0335" w:rsidRPr="00C754CA" w:rsidRDefault="00C45D17" w:rsidP="00C45D17">
      <w:pPr>
        <w:pStyle w:val="ManualConsidrant"/>
        <w:rPr>
          <w:noProof/>
        </w:rPr>
      </w:pPr>
      <w:r w:rsidRPr="00C754CA">
        <w:rPr>
          <w:noProof/>
        </w:rPr>
        <w:t>(</w:t>
      </w:r>
      <w:r w:rsidRPr="00E2773D">
        <w:rPr>
          <w:noProof/>
        </w:rPr>
        <w:t>9</w:t>
      </w:r>
      <w:r w:rsidRPr="00C754CA">
        <w:rPr>
          <w:noProof/>
        </w:rPr>
        <w:t>)</w:t>
      </w:r>
      <w:r w:rsidRPr="00C754CA">
        <w:rPr>
          <w:noProof/>
        </w:rPr>
        <w:tab/>
        <w:t>Wichtige Vorhaben von gemeinsamem europäischem Interesse (IPCEI) ergeben sich aus einem Beihilfeinstrument, das eine europaweite Zusammenarbeit für innovative Technologien oder gesamteuropäische Infrastrukturen erfordert. IPCEI sind Vorhaben, die große grenzüberschreitende Vorhaben unterstützen und fördern, die als wesentlich für das Wirtschaftswachstum, die Innovation und die Wettbewerbsfähigkeit der Union gelten. Um die Entwicklung neuer IPCEI und die Umsetzung der bestehenden Vorhaben zu beschleunigen, sollte die Unterstützung aus dem EFRE für Investitionen in Projekte, die an einem IPCEI beteiligt sind und von der Kommission gemäß Artikel </w:t>
      </w:r>
      <w:r w:rsidRPr="00E2773D">
        <w:rPr>
          <w:noProof/>
        </w:rPr>
        <w:t>107</w:t>
      </w:r>
      <w:r w:rsidRPr="00C754CA">
        <w:rPr>
          <w:noProof/>
        </w:rPr>
        <w:t xml:space="preserve"> Absatz </w:t>
      </w:r>
      <w:r w:rsidRPr="00E2773D">
        <w:rPr>
          <w:noProof/>
        </w:rPr>
        <w:t>3</w:t>
      </w:r>
      <w:r w:rsidRPr="00C754CA">
        <w:rPr>
          <w:noProof/>
        </w:rPr>
        <w:t xml:space="preserve"> Buchstabe b des Vertrags über die Arbeitsweise der Europäischen Union (AEUV) und der Mitteilung C(</w:t>
      </w:r>
      <w:r w:rsidRPr="00E2773D">
        <w:rPr>
          <w:noProof/>
        </w:rPr>
        <w:t>2021</w:t>
      </w:r>
      <w:r w:rsidRPr="00C754CA">
        <w:rPr>
          <w:noProof/>
        </w:rPr>
        <w:t>) </w:t>
      </w:r>
      <w:r w:rsidRPr="00E2773D">
        <w:rPr>
          <w:noProof/>
        </w:rPr>
        <w:t>8481</w:t>
      </w:r>
      <w:r w:rsidRPr="00C754CA">
        <w:rPr>
          <w:noProof/>
        </w:rPr>
        <w:t xml:space="preserve"> genehmigt wurden, in allen Kategorien von Regionen zulässig sein. Darüber hinaus sollten für Vorhaben, die zu einem von der Kommission genehmigten IPCEI beitragen, vereinfachte Auswahlverfahren gelten.</w:t>
      </w:r>
    </w:p>
    <w:p w14:paraId="0F211CB2" w14:textId="77777777" w:rsidR="009E0335" w:rsidRPr="00C754CA" w:rsidRDefault="00C45D17" w:rsidP="00C45D17">
      <w:pPr>
        <w:pStyle w:val="ManualConsidrant"/>
        <w:rPr>
          <w:noProof/>
        </w:rPr>
      </w:pPr>
      <w:r w:rsidRPr="00C754CA">
        <w:rPr>
          <w:noProof/>
        </w:rPr>
        <w:t>(</w:t>
      </w:r>
      <w:r w:rsidRPr="00E2773D">
        <w:rPr>
          <w:noProof/>
        </w:rPr>
        <w:t>10</w:t>
      </w:r>
      <w:r w:rsidRPr="00C754CA">
        <w:rPr>
          <w:noProof/>
        </w:rPr>
        <w:t>)</w:t>
      </w:r>
      <w:r w:rsidRPr="00C754CA">
        <w:rPr>
          <w:noProof/>
        </w:rPr>
        <w:tab/>
        <w:t>Erschwinglicher Wohnraum ist eine weitere Herausforderung, die durch den erheblichen Anstieg der Preise und Mieten in den letzten Jahren in den Vordergrund gerückt ist. Um den Mitgliedstaaten und Regionen Anreize zu bieten, die Investitionen aus dem EFRE und dem Kohäsionsfonds innerhalb ihres jeweiligen Anwendungsbereichs in den Bau und die Renovierung des Bestands an bezahlbarem Wohnraum, einschließlich Sozialwohnungen, zu verdoppeln, sollten im Rahmen verschiedener politischer Ziele neue spezifische Ziele festgelegt werden, um Flexibilität bei der Programmplanung im Zusammenhang mit Wohnungsbauvorhaben im Rahmen spezieller Prioritäten zu bieten.</w:t>
      </w:r>
      <w:bookmarkStart w:id="13" w:name="_Hlk192231915"/>
      <w:r w:rsidRPr="00C754CA">
        <w:rPr>
          <w:noProof/>
        </w:rPr>
        <w:t xml:space="preserve"> Diese Prioritäten sollten die Möglichkeit beinhalten, einen Kofinanzierungssatz der Union von bis zu </w:t>
      </w:r>
      <w:r w:rsidRPr="00E2773D">
        <w:rPr>
          <w:noProof/>
        </w:rPr>
        <w:t>100</w:t>
      </w:r>
      <w:r w:rsidRPr="00C754CA">
        <w:rPr>
          <w:noProof/>
        </w:rPr>
        <w:t xml:space="preserve"> % anzuwenden und eine zusätzliche einmalige Vorfinanzierung in Höhe von </w:t>
      </w:r>
      <w:r w:rsidRPr="00E2773D">
        <w:rPr>
          <w:noProof/>
        </w:rPr>
        <w:t>30</w:t>
      </w:r>
      <w:r w:rsidRPr="00C754CA">
        <w:rPr>
          <w:noProof/>
        </w:rPr>
        <w:t> % der eingeplanten Beträge zu erhalten, um die Belastung der öffentlichen Haushalte zu verringern</w:t>
      </w:r>
      <w:bookmarkEnd w:id="13"/>
      <w:r w:rsidRPr="00C754CA">
        <w:rPr>
          <w:noProof/>
        </w:rPr>
        <w:t>. Beispielsweise sollten bei Investitionen im Rahmen des Neuen Europäischen Bauhauses diese neuen Möglichkeiten in vollem Umfang genutzt werden. Kosten, die durch die vorübergehende Anmietung von Ersatzunterkünften für die Bewohner während der Renovierung entstehen, können ebenfalls im Rahmen dieser Prioritäten gefördert werden, ebenso wie die Kosten für Reformen im Wohnungsbau, wie z. B. vorbereitende Arbeiten für Verbesserungen bei der Regulierung des Wohnungsmarkts und der Erteilung von Genehmigungen auf lokaler und städtischer Ebene. In diesem Zusammenhang sollte auch die Unterstützung aus dem JTF geklärt werden.</w:t>
      </w:r>
    </w:p>
    <w:p w14:paraId="04569B47" w14:textId="510A74F9" w:rsidR="009E0335" w:rsidRPr="00C754CA" w:rsidRDefault="00C45D17" w:rsidP="00C45D17">
      <w:pPr>
        <w:pStyle w:val="ManualConsidrant"/>
        <w:rPr>
          <w:noProof/>
        </w:rPr>
      </w:pPr>
      <w:r w:rsidRPr="00C754CA">
        <w:rPr>
          <w:noProof/>
        </w:rPr>
        <w:t>(</w:t>
      </w:r>
      <w:r w:rsidRPr="00E2773D">
        <w:rPr>
          <w:noProof/>
        </w:rPr>
        <w:t>11</w:t>
      </w:r>
      <w:r w:rsidRPr="00C754CA">
        <w:rPr>
          <w:noProof/>
        </w:rPr>
        <w:t>)</w:t>
      </w:r>
      <w:r w:rsidRPr="00C754CA">
        <w:rPr>
          <w:noProof/>
        </w:rPr>
        <w:tab/>
        <w:t>Wasser spielt eine entscheidende Rolle als Ressource für die Sicherheit der Ernährungs-, Energie- und Wirtschaftssysteme. Dies ist auch ein zentraler Aspekt für die Gewährleistung der Klimaresilienz. Angesichts der Herausforderungen, die sich aus den Auswirkungen des Klimawandels auf die Wasserressourcen ergeben, sollten weitere Investitionen in die Resilienz der Wasserversorgung gefördert werden. Es ist dringend erforderlich, die Umsetzung der Rechtsvorschriften zum Schutz der Wasser- und Meeresressourcen zu fördern, die Wassereffizienz zu verbessern, die Wasserknappheit zu bekämpfen und Fortschritte auf dem Weg zu einem Europa mit resilienter Wasserversorgung zu erzielen. Dies erfordert umfangreiche Investitionen. Daher sollte in das neue spezifische Ziel im Rahmen des politischen Ziels </w:t>
      </w:r>
      <w:r w:rsidRPr="00E2773D">
        <w:rPr>
          <w:noProof/>
        </w:rPr>
        <w:t>2</w:t>
      </w:r>
      <w:r w:rsidRPr="00C754CA">
        <w:rPr>
          <w:noProof/>
        </w:rPr>
        <w:t xml:space="preserve"> ein Verweis auf den sicheren Zugang zu Wasser, eine nachhaltige Wasserbewirtschaftung und eine resiliente Wasserversorgung aufgenommen werden, um ein proaktives, risikobasiertes Management und eine bessere Vorsorge zu ermöglichen. Für die für dieses spezifische Ziel festgelegten speziellen Prioritäten sollte ebenfalls eine zusätzliche einmalige Vorfinanzierung in Höhe von </w:t>
      </w:r>
      <w:r w:rsidRPr="00E2773D">
        <w:rPr>
          <w:noProof/>
        </w:rPr>
        <w:t>30</w:t>
      </w:r>
      <w:r w:rsidRPr="00C754CA">
        <w:rPr>
          <w:noProof/>
        </w:rPr>
        <w:t xml:space="preserve"> % der eingeplanten Beträge gewährt und die Möglichkeit, einen Kofinanzierungssatz von bis zu </w:t>
      </w:r>
      <w:r w:rsidRPr="00E2773D">
        <w:rPr>
          <w:noProof/>
        </w:rPr>
        <w:t>100</w:t>
      </w:r>
      <w:r w:rsidRPr="00C754CA">
        <w:rPr>
          <w:noProof/>
        </w:rPr>
        <w:t> % zu beantragen, gewährt werden, um Anreize für wichtige Investitionen in diesem Bereich zu schaffen.</w:t>
      </w:r>
    </w:p>
    <w:p w14:paraId="098FB8A1" w14:textId="77777777" w:rsidR="009E0335" w:rsidRPr="00C754CA" w:rsidRDefault="00C45D17" w:rsidP="00C45D17">
      <w:pPr>
        <w:pStyle w:val="ManualConsidrant"/>
        <w:rPr>
          <w:noProof/>
        </w:rPr>
      </w:pPr>
      <w:r w:rsidRPr="00C754CA">
        <w:rPr>
          <w:noProof/>
        </w:rPr>
        <w:t>(</w:t>
      </w:r>
      <w:r w:rsidRPr="00E2773D">
        <w:rPr>
          <w:noProof/>
        </w:rPr>
        <w:t>12</w:t>
      </w:r>
      <w:r w:rsidRPr="00C754CA">
        <w:rPr>
          <w:noProof/>
        </w:rPr>
        <w:t>)</w:t>
      </w:r>
      <w:r w:rsidRPr="00C754CA">
        <w:rPr>
          <w:noProof/>
        </w:rPr>
        <w:tab/>
        <w:t>Um die Wirksamkeit der Investitionen zu erhöhen, ist es wichtig, die Übernahme von Kosten im Zusammenhang mit der Durchführung von Reformen zu ermöglichen, auch dann, wenn diese Kosten nicht direkt mit der Durchführung von Investitionen zusammenhängen.</w:t>
      </w:r>
    </w:p>
    <w:p w14:paraId="69AAB70D" w14:textId="19365CD6" w:rsidR="009E0335" w:rsidRPr="00C754CA" w:rsidRDefault="00C45D17" w:rsidP="00C45D17">
      <w:pPr>
        <w:pStyle w:val="ManualConsidrant"/>
        <w:rPr>
          <w:noProof/>
        </w:rPr>
      </w:pPr>
      <w:r w:rsidRPr="00C754CA">
        <w:rPr>
          <w:noProof/>
        </w:rPr>
        <w:t>(</w:t>
      </w:r>
      <w:r w:rsidRPr="00E2773D">
        <w:rPr>
          <w:noProof/>
        </w:rPr>
        <w:t>13</w:t>
      </w:r>
      <w:r w:rsidRPr="00C754CA">
        <w:rPr>
          <w:noProof/>
        </w:rPr>
        <w:t>)</w:t>
      </w:r>
      <w:r w:rsidRPr="00C754CA">
        <w:rPr>
          <w:noProof/>
        </w:rPr>
        <w:tab/>
        <w:t>Damit die Mitgliedstaaten im Rahmen der Halbzeitüberprüfung eine sinnvolle Programmanpassung vornehmen und die Mittel auf diese neuen strategischen Prioritäten der Union konzentrieren können, sollten zusätzliche Beschränkungen aufgehoben werden. In Bezug auf die Anforderungen an die thematische Konzentration sollte es den Mitgliedstaaten gestattet werden, die für neue strategische Prioritäten, einschließlich derjenigen, die zu den STEP-Zielen beitragen, eingeplanten Beträge auf die Beträge anzurechnen, die erforderlich sind, um die Einhaltung der Anforderungen an die thematische Konzentration zu gewährleisten. Dies sollte mit einer gewissen Flexibilität bei der Berechnung des jeweiligen Klimabeitrags für den EFRE und den Kohäsionsfonds gemäß Artikel </w:t>
      </w:r>
      <w:r w:rsidRPr="00E2773D">
        <w:rPr>
          <w:noProof/>
        </w:rPr>
        <w:t>6</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einhergehen, wobei die allgemeinen Anforderungen des genannten Artikels einzuhalten sind. Um die Dekarbonisierung der Industrie zu beschleunigen, die für die Verwirklichung der Klimaziele der Union erforderlich ist, muss außerdem die Möglichkeit geschaffen werden, über den EFRE Investitionen zur Verringerung der Treibhausgasemissionen auch im Rahmen der in Anhang I der Richtlinie </w:t>
      </w:r>
      <w:r w:rsidRPr="00E2773D">
        <w:rPr>
          <w:noProof/>
        </w:rPr>
        <w:t>2003</w:t>
      </w:r>
      <w:r w:rsidRPr="00C754CA">
        <w:rPr>
          <w:noProof/>
        </w:rPr>
        <w:t>/</w:t>
      </w:r>
      <w:r w:rsidRPr="00E2773D">
        <w:rPr>
          <w:noProof/>
        </w:rPr>
        <w:t>87</w:t>
      </w:r>
      <w:r w:rsidRPr="00C754CA">
        <w:rPr>
          <w:noProof/>
        </w:rPr>
        <w:t>/EG des Europäischen Parlaments und des Rates</w:t>
      </w:r>
      <w:r w:rsidR="00AF1DE2" w:rsidRPr="00C754CA">
        <w:rPr>
          <w:rStyle w:val="FootnoteReference"/>
          <w:rFonts w:eastAsia="Times New Roman"/>
          <w:noProof/>
        </w:rPr>
        <w:footnoteReference w:id="7"/>
      </w:r>
      <w:r w:rsidRPr="00C754CA">
        <w:rPr>
          <w:noProof/>
        </w:rPr>
        <w:t xml:space="preserve"> aufgeführten Tätigkeiten zu finanzieren, sofern ihnen ein Exzellenzsiegel zuerkannt wurde. Auch in Bezug auf den JTF sollten die Bedingungen für die Finanzierung solcher Investitionen vereinfacht werden. Um die Kohärenz der Unterstützung zwischen Finanzierungen im Rahmen der direkten und der geteilten Mittelverwaltung zu gewährleisten, sollten Vorhaben, die bereits im Zusammenhang mit Programmen mit direkter Mittelverwaltung bewertet wurden und denen die Kommission im Rahmen einer Aufforderung zur Einreichung von Vorschlägen gemäß der Delegierten Verordnung (EU) </w:t>
      </w:r>
      <w:r w:rsidRPr="00E2773D">
        <w:rPr>
          <w:noProof/>
        </w:rPr>
        <w:t>2019</w:t>
      </w:r>
      <w:r w:rsidRPr="00C754CA">
        <w:rPr>
          <w:noProof/>
        </w:rPr>
        <w:t>/</w:t>
      </w:r>
      <w:r w:rsidRPr="00E2773D">
        <w:rPr>
          <w:noProof/>
        </w:rPr>
        <w:t>856</w:t>
      </w:r>
      <w:r w:rsidRPr="00C754CA">
        <w:rPr>
          <w:noProof/>
        </w:rPr>
        <w:t xml:space="preserve"> der Kommission ein „Souveränitätssiegel“ im Sinne des Artikels </w:t>
      </w:r>
      <w:r w:rsidRPr="00E2773D">
        <w:rPr>
          <w:noProof/>
        </w:rPr>
        <w:t>4</w:t>
      </w:r>
      <w:r w:rsidRPr="00C754CA">
        <w:rPr>
          <w:noProof/>
        </w:rPr>
        <w:t xml:space="preserve"> Absatz </w:t>
      </w:r>
      <w:r w:rsidRPr="00E2773D">
        <w:rPr>
          <w:noProof/>
        </w:rPr>
        <w:t>1</w:t>
      </w:r>
      <w:r w:rsidRPr="00C754CA">
        <w:rPr>
          <w:noProof/>
        </w:rPr>
        <w:t xml:space="preserve"> der Verordnung (EU) </w:t>
      </w:r>
      <w:r w:rsidRPr="00E2773D">
        <w:rPr>
          <w:noProof/>
        </w:rPr>
        <w:t>2024</w:t>
      </w:r>
      <w:r w:rsidRPr="00C754CA">
        <w:rPr>
          <w:noProof/>
        </w:rPr>
        <w:t>/</w:t>
      </w:r>
      <w:r w:rsidRPr="00E2773D">
        <w:rPr>
          <w:noProof/>
        </w:rPr>
        <w:t>795</w:t>
      </w:r>
      <w:r w:rsidRPr="00C754CA">
        <w:rPr>
          <w:noProof/>
        </w:rPr>
        <w:t xml:space="preserve"> zuerkannt hat, nicht unter den Ausschluss fossiler Brennstoffe fallen. Die Mitgliedstaaten sollten auch die Möglichkeit erhalten, Mittel aus dem EFRE und dem Kohäsionsfonds auf die Mitgliedstaaten-Komponente des Fonds „InvestEU“</w:t>
      </w:r>
      <w:r w:rsidR="00AF1DE2" w:rsidRPr="00C754CA">
        <w:rPr>
          <w:rStyle w:val="FootnoteReference"/>
          <w:rFonts w:eastAsia="Times New Roman"/>
          <w:noProof/>
        </w:rPr>
        <w:footnoteReference w:id="8"/>
      </w:r>
      <w:r w:rsidRPr="00C754CA">
        <w:rPr>
          <w:noProof/>
        </w:rPr>
        <w:t xml:space="preserve"> zu übertragen, damit sie über das in [Artikel </w:t>
      </w:r>
      <w:r w:rsidRPr="00E2773D">
        <w:rPr>
          <w:noProof/>
        </w:rPr>
        <w:t>10</w:t>
      </w:r>
      <w:r w:rsidRPr="00C754CA">
        <w:rPr>
          <w:noProof/>
        </w:rPr>
        <w:t xml:space="preserve">a der Verordnung (EU) </w:t>
      </w:r>
      <w:r w:rsidRPr="00E2773D">
        <w:rPr>
          <w:noProof/>
        </w:rPr>
        <w:t>2021</w:t>
      </w:r>
      <w:r w:rsidRPr="00C754CA">
        <w:rPr>
          <w:noProof/>
        </w:rPr>
        <w:t>/</w:t>
      </w:r>
      <w:r w:rsidRPr="00E2773D">
        <w:rPr>
          <w:noProof/>
        </w:rPr>
        <w:t>523</w:t>
      </w:r>
      <w:r w:rsidRPr="00C754CA">
        <w:rPr>
          <w:noProof/>
        </w:rPr>
        <w:t xml:space="preserve">] vorgesehene InvestEU-Finanzierungsinstrument eingesetzt werden können. Um schließlich eine umfassende Neuausrichtung auf die neuen strategischen Prioritäten im Rahmen der Halbzeitüberprüfung zu ermöglichen, sollte den Mitgliedstaaten mehr Zeit zugestanden werden, um die Bewertung der Ergebnisse der Halbzeitüberprüfung zu ergänzen und entsprechende Programmänderungen einzureichen. Dies sollte auch für JTF-Mittel gelten, wenn sie zusammen mit Mitteln des EFRE oder des Kohäsionsfonds im Rahmen eines Programms eingesetzt werden. </w:t>
      </w:r>
    </w:p>
    <w:p w14:paraId="553D6143" w14:textId="77777777" w:rsidR="005C370E" w:rsidRPr="00C754CA" w:rsidRDefault="00C45D17" w:rsidP="00C45D17">
      <w:pPr>
        <w:pStyle w:val="ManualConsidrant"/>
        <w:rPr>
          <w:noProof/>
        </w:rPr>
      </w:pPr>
      <w:r w:rsidRPr="00C754CA">
        <w:rPr>
          <w:noProof/>
        </w:rPr>
        <w:t>(</w:t>
      </w:r>
      <w:r w:rsidRPr="00E2773D">
        <w:rPr>
          <w:noProof/>
        </w:rPr>
        <w:t>14</w:t>
      </w:r>
      <w:r w:rsidRPr="00C754CA">
        <w:rPr>
          <w:noProof/>
        </w:rPr>
        <w:t>)</w:t>
      </w:r>
      <w:r w:rsidRPr="00C754CA">
        <w:rPr>
          <w:noProof/>
        </w:rPr>
        <w:tab/>
        <w:t xml:space="preserve">Um die Durchführung der kohäsionspolitischen Programme generell zu beschleunigen und die für die Durchführung wichtiger Investitionen erforderliche Liquidität bereitzustellen, sollte eine zusätzliche einmalige Vorfinanzierung für den EFRE und den Kohäsionsfonds für Programme sowohl im Rahmen des Ziels „Investitionen in Beschäftigung und Wachstum“ als auch im Rahmen des Ziels „Europäische territoriale Zusammenarbeit“ (Interreg) gezahlt werden, wenn die Neuprogrammierung einen erheblichen Teil des Gesamtprogramms betrifft. </w:t>
      </w:r>
      <w:bookmarkStart w:id="14" w:name="_Hlk192756547"/>
      <w:r w:rsidRPr="00C754CA">
        <w:rPr>
          <w:noProof/>
        </w:rPr>
        <w:t>Angesichts der negativen Auswirkungen des russischen Angriffskriegs gegen die Ukraine sollte der Vorfinanzierungssatz für bestimmte Programme im Rahmen des Ziels „Investitionen in Beschäftigung und Wachstum“, die eine oder mehrere an Russland, Belarus oder die Ukraine angrenzende NUTS-</w:t>
      </w:r>
      <w:r w:rsidRPr="00E2773D">
        <w:rPr>
          <w:noProof/>
        </w:rPr>
        <w:t>2</w:t>
      </w:r>
      <w:r w:rsidRPr="00C754CA">
        <w:rPr>
          <w:noProof/>
        </w:rPr>
        <w:t>-Regionen betreffen, weiter erhöht werden. Um im Rahmen der Halbzeitüberprüfung Anreize für eine Programmanpassung und Neuausrichtung auf wichtige Prioritäten zu schaffen, sollte die zusätzliche Vorfinanzierung nur dann zur Verfügung stehen, wenn ein bestimmter Schwellenwert für die Umschichtung von Mitteln zugunsten spezieller entscheidender Prioritäten erreicht ist</w:t>
      </w:r>
      <w:bookmarkEnd w:id="14"/>
      <w:r w:rsidRPr="00C754CA">
        <w:rPr>
          <w:noProof/>
        </w:rPr>
        <w:t xml:space="preserve">. </w:t>
      </w:r>
    </w:p>
    <w:p w14:paraId="2EC924A0" w14:textId="77777777" w:rsidR="009E0335" w:rsidRPr="00C754CA" w:rsidRDefault="00C45D17" w:rsidP="00C45D17">
      <w:pPr>
        <w:pStyle w:val="ManualConsidrant"/>
        <w:rPr>
          <w:noProof/>
        </w:rPr>
      </w:pPr>
      <w:r w:rsidRPr="00C754CA">
        <w:rPr>
          <w:noProof/>
        </w:rPr>
        <w:t>(</w:t>
      </w:r>
      <w:r w:rsidRPr="00E2773D">
        <w:rPr>
          <w:noProof/>
        </w:rPr>
        <w:t>15</w:t>
      </w:r>
      <w:r w:rsidRPr="00C754CA">
        <w:rPr>
          <w:noProof/>
        </w:rPr>
        <w:t>)</w:t>
      </w:r>
      <w:r w:rsidRPr="00C754CA">
        <w:rPr>
          <w:noProof/>
        </w:rPr>
        <w:tab/>
        <w:t xml:space="preserve">Um dem Zeitaufwand für die Neuausrichtung der Investitionen im Rahmen der Halbzeitüberprüfung Rechnung zu tragen und eine optimale Nutzung der verfügbaren Mittel zu ermöglichen, sollten die Fristen für die Förderfähigkeit der Ausgaben und die Vorschriften für die Aufhebung der Mittelbindungen für Programme, bei denen eine Umschichtung von Mitteln zugunsten strategischer Prioritäten im Rahmen der Halbzeitüberprüfung erfolgt, angepasst werden. Angesichts der negativen Auswirkungen des russischen Angriffskriegs gegen die Ukraine sollte es auch möglich sein, einen Höchstsatz für die Kofinanzierung von bis zu </w:t>
      </w:r>
      <w:r w:rsidRPr="00E2773D">
        <w:rPr>
          <w:noProof/>
        </w:rPr>
        <w:t>100</w:t>
      </w:r>
      <w:r w:rsidRPr="00C754CA">
        <w:rPr>
          <w:noProof/>
        </w:rPr>
        <w:t> % auf Prioritäten von Programmen im Rahmen des Ziels „Investitionen in Beschäftigung und Wachstum“, die eine oder mehrere an Russland, Belarus oder die Ukraine angrenzende NUTS-</w:t>
      </w:r>
      <w:r w:rsidRPr="00E2773D">
        <w:rPr>
          <w:noProof/>
        </w:rPr>
        <w:t>2</w:t>
      </w:r>
      <w:r w:rsidRPr="00C754CA">
        <w:rPr>
          <w:noProof/>
        </w:rPr>
        <w:t xml:space="preserve">-Regionen betreffen, anzuwenden. </w:t>
      </w:r>
    </w:p>
    <w:p w14:paraId="758EED6E" w14:textId="77777777" w:rsidR="009E0335" w:rsidRPr="00C754CA" w:rsidRDefault="00C45D17" w:rsidP="00C45D17">
      <w:pPr>
        <w:pStyle w:val="ManualConsidrant"/>
        <w:rPr>
          <w:noProof/>
        </w:rPr>
      </w:pPr>
      <w:r w:rsidRPr="00C754CA">
        <w:rPr>
          <w:noProof/>
        </w:rPr>
        <w:t>(</w:t>
      </w:r>
      <w:r w:rsidRPr="00E2773D">
        <w:rPr>
          <w:noProof/>
        </w:rPr>
        <w:t>16</w:t>
      </w:r>
      <w:r w:rsidRPr="00C754CA">
        <w:rPr>
          <w:noProof/>
        </w:rPr>
        <w:t>)</w:t>
      </w:r>
      <w:r w:rsidRPr="00C754CA">
        <w:rPr>
          <w:noProof/>
        </w:rPr>
        <w:tab/>
        <w:t>Die Halbzeitüberprüfung sollte auch dazu genutzt werden, die entscheidende Rolle der Städte bei der Verwirklichung vieler Ziele der Union zu stärken, indem den Mitgliedstaaten die Möglichkeit eingeräumt wird, Finanzmittel aus dem EFRE neu zuzuweisen, um die in Artikel </w:t>
      </w:r>
      <w:r w:rsidRPr="00E2773D">
        <w:rPr>
          <w:noProof/>
        </w:rPr>
        <w:t>12</w:t>
      </w:r>
      <w:r w:rsidRPr="00C754CA">
        <w:rPr>
          <w:noProof/>
        </w:rPr>
        <w:t xml:space="preserve"> der Verordnung (EU) </w:t>
      </w:r>
      <w:r w:rsidRPr="00E2773D">
        <w:rPr>
          <w:noProof/>
        </w:rPr>
        <w:t>2021</w:t>
      </w:r>
      <w:r w:rsidRPr="00C754CA">
        <w:rPr>
          <w:noProof/>
        </w:rPr>
        <w:t>/</w:t>
      </w:r>
      <w:r w:rsidRPr="00E2773D">
        <w:rPr>
          <w:noProof/>
        </w:rPr>
        <w:t>1058</w:t>
      </w:r>
      <w:r w:rsidRPr="00C754CA">
        <w:rPr>
          <w:noProof/>
        </w:rPr>
        <w:t xml:space="preserve"> vorgesehene Europäische Stadtinitiative zu stärken. Um die Umsetzung zentraler innovativer Maßnahmen, die im Rahmen der Europäischen Stadtinitiative ermittelt wurden, zu erleichtern, sollte für diese Maßnahmen ein vereinfachtes Auswahlverfahren für eine Unterstützung durch kohäsionspolitische Programme gelten. Die Mitgliedstaaten sollten auch die Möglichkeit erhalten, EFRE-Mittel aus ihren Programmen des Ziels „Investitionen in </w:t>
      </w:r>
      <w:bookmarkStart w:id="15" w:name="_Hlk192677817"/>
      <w:r w:rsidRPr="00C754CA">
        <w:rPr>
          <w:noProof/>
        </w:rPr>
        <w:t>Beschäftigung und Wachstum</w:t>
      </w:r>
      <w:bookmarkEnd w:id="15"/>
      <w:r w:rsidRPr="00C754CA">
        <w:rPr>
          <w:noProof/>
        </w:rPr>
        <w:t>“ auf das in Artikel </w:t>
      </w:r>
      <w:r w:rsidRPr="00E2773D">
        <w:rPr>
          <w:noProof/>
        </w:rPr>
        <w:t>13</w:t>
      </w:r>
      <w:r w:rsidRPr="00C754CA">
        <w:rPr>
          <w:noProof/>
        </w:rPr>
        <w:t xml:space="preserve"> der Verordnung (EU) </w:t>
      </w:r>
      <w:r w:rsidRPr="00E2773D">
        <w:rPr>
          <w:noProof/>
        </w:rPr>
        <w:t>2021</w:t>
      </w:r>
      <w:r w:rsidRPr="00C754CA">
        <w:rPr>
          <w:noProof/>
        </w:rPr>
        <w:t>/</w:t>
      </w:r>
      <w:r w:rsidRPr="00E2773D">
        <w:rPr>
          <w:noProof/>
        </w:rPr>
        <w:t>1058</w:t>
      </w:r>
      <w:r w:rsidRPr="00C754CA">
        <w:rPr>
          <w:noProof/>
        </w:rPr>
        <w:t xml:space="preserve"> vorgesehene Instrument für Interregionale Innovationsinvestitionen umzuschichten, wodurch sie mehr Flexibilität bei der Verwendung der Mittel hätten.</w:t>
      </w:r>
    </w:p>
    <w:p w14:paraId="073796F7" w14:textId="77777777" w:rsidR="009E0335" w:rsidRPr="00C754CA" w:rsidRDefault="00C45D17" w:rsidP="00C45D17">
      <w:pPr>
        <w:pStyle w:val="ManualConsidrant"/>
        <w:rPr>
          <w:noProof/>
        </w:rPr>
      </w:pPr>
      <w:r w:rsidRPr="00C754CA">
        <w:rPr>
          <w:noProof/>
        </w:rPr>
        <w:t>(</w:t>
      </w:r>
      <w:r w:rsidRPr="00E2773D">
        <w:rPr>
          <w:noProof/>
        </w:rPr>
        <w:t>17</w:t>
      </w:r>
      <w:r w:rsidRPr="00C754CA">
        <w:rPr>
          <w:noProof/>
        </w:rPr>
        <w:t>)</w:t>
      </w:r>
      <w:r w:rsidRPr="00C754CA">
        <w:rPr>
          <w:noProof/>
        </w:rPr>
        <w:tab/>
        <w:t>Um die Durchführung zu vereinfachen und die Investitionen zu beschleunigen, sollten weitere gezielte Änderungen am Rechtsrahmen für die Nutzung des JTF vorgenommen werden. Insbesondere sollte die Möglichkeit eines vereinfachten Auswahlverfahrens für Vorhaben, denen ein Exzellenzsiegel zuerkannt wurde, auf den JTF ausgeweitet werden. Darüber hinaus sollten die Beschränkungen für die Überarbeitung der Zielvorgaben aufgehoben werden, um die notwendige Flexibilität vor dem Hintergrund sich ändernder Umsetzungsbedingungen zu gewährleisten.</w:t>
      </w:r>
    </w:p>
    <w:p w14:paraId="7AA73AE6" w14:textId="77777777" w:rsidR="009E0335" w:rsidRPr="00C754CA" w:rsidRDefault="00C45D17" w:rsidP="00C45D17">
      <w:pPr>
        <w:pStyle w:val="ManualConsidrant"/>
        <w:rPr>
          <w:noProof/>
        </w:rPr>
      </w:pPr>
      <w:r w:rsidRPr="00C754CA">
        <w:rPr>
          <w:noProof/>
        </w:rPr>
        <w:t>(</w:t>
      </w:r>
      <w:r w:rsidRPr="00E2773D">
        <w:rPr>
          <w:noProof/>
        </w:rPr>
        <w:t>18</w:t>
      </w:r>
      <w:r w:rsidRPr="00C754CA">
        <w:rPr>
          <w:noProof/>
        </w:rPr>
        <w:t>)</w:t>
      </w:r>
      <w:r w:rsidRPr="00C754CA">
        <w:rPr>
          <w:noProof/>
        </w:rPr>
        <w:tab/>
        <w:t xml:space="preserve">Da das Ziel dieser Verordnung, nämlich durch Änderung der Verordnungen (EU) </w:t>
      </w:r>
      <w:r w:rsidRPr="00E2773D">
        <w:rPr>
          <w:noProof/>
        </w:rPr>
        <w:t>2021</w:t>
      </w:r>
      <w:r w:rsidRPr="00C754CA">
        <w:rPr>
          <w:noProof/>
        </w:rPr>
        <w:t>/</w:t>
      </w:r>
      <w:r w:rsidRPr="00E2773D">
        <w:rPr>
          <w:noProof/>
        </w:rPr>
        <w:t>1058</w:t>
      </w:r>
      <w:r w:rsidRPr="00C754CA">
        <w:rPr>
          <w:noProof/>
        </w:rPr>
        <w:t xml:space="preserve"> und (EU) </w:t>
      </w:r>
      <w:r w:rsidRPr="00E2773D">
        <w:rPr>
          <w:noProof/>
        </w:rPr>
        <w:t>2021</w:t>
      </w:r>
      <w:r w:rsidRPr="00C754CA">
        <w:rPr>
          <w:noProof/>
        </w:rPr>
        <w:t>/</w:t>
      </w:r>
      <w:r w:rsidRPr="00E2773D">
        <w:rPr>
          <w:noProof/>
        </w:rPr>
        <w:t>1056</w:t>
      </w:r>
      <w:r w:rsidRPr="00C754CA">
        <w:rPr>
          <w:noProof/>
        </w:rPr>
        <w:t xml:space="preserve"> Investitionen im Rahmen der Halbzeitüberprüfung neu auf kritische Prioritäten auszurichten und die politische Umsetzung zu vereinfachen und zu beschleunigen, von den Mitgliedstaaten nicht ausreichend verwirklicht werden kann, sondern auf Unionsebene besser zu erreichen ist, kann die Union im Einklang mit dem in Artikel </w:t>
      </w:r>
      <w:r w:rsidRPr="00E2773D">
        <w:rPr>
          <w:noProof/>
        </w:rPr>
        <w:t>5</w:t>
      </w:r>
      <w:r w:rsidRPr="00C754CA">
        <w:rPr>
          <w:noProof/>
        </w:rPr>
        <w:t xml:space="preserve"> des Vertrags über die Europäische Union verankerten Subsidiaritätsprinzip tätig werden. Entsprechend dem in demselben Artikel genannten Grundsatz der Verhältnismäßigkeit geht diese Verordnung nicht über das für die Erreichung dieses Ziels erforderliche Maß hinaus. </w:t>
      </w:r>
    </w:p>
    <w:p w14:paraId="7C8B7A18" w14:textId="77777777" w:rsidR="009E0335" w:rsidRPr="00C754CA" w:rsidRDefault="00C45D17" w:rsidP="00C45D17">
      <w:pPr>
        <w:pStyle w:val="ManualConsidrant"/>
        <w:rPr>
          <w:noProof/>
        </w:rPr>
      </w:pPr>
      <w:bookmarkStart w:id="16" w:name="_Hlk192241934"/>
      <w:r w:rsidRPr="00C754CA">
        <w:rPr>
          <w:noProof/>
        </w:rPr>
        <w:t>(</w:t>
      </w:r>
      <w:r w:rsidRPr="00E2773D">
        <w:rPr>
          <w:noProof/>
        </w:rPr>
        <w:t>19</w:t>
      </w:r>
      <w:r w:rsidRPr="00C754CA">
        <w:rPr>
          <w:noProof/>
        </w:rPr>
        <w:t>)</w:t>
      </w:r>
      <w:r w:rsidRPr="00C754CA">
        <w:rPr>
          <w:noProof/>
        </w:rPr>
        <w:tab/>
        <w:t xml:space="preserve">Die Verordnungen (EU) </w:t>
      </w:r>
      <w:r w:rsidRPr="00E2773D">
        <w:rPr>
          <w:noProof/>
        </w:rPr>
        <w:t>2021</w:t>
      </w:r>
      <w:r w:rsidRPr="00C754CA">
        <w:rPr>
          <w:noProof/>
        </w:rPr>
        <w:t>/</w:t>
      </w:r>
      <w:r w:rsidRPr="00E2773D">
        <w:rPr>
          <w:noProof/>
        </w:rPr>
        <w:t>1058</w:t>
      </w:r>
      <w:r w:rsidRPr="00C754CA">
        <w:rPr>
          <w:noProof/>
        </w:rPr>
        <w:t xml:space="preserve"> und (EU) </w:t>
      </w:r>
      <w:r w:rsidRPr="00E2773D">
        <w:rPr>
          <w:noProof/>
        </w:rPr>
        <w:t>2021</w:t>
      </w:r>
      <w:r w:rsidRPr="00C754CA">
        <w:rPr>
          <w:noProof/>
        </w:rPr>
        <w:t>/</w:t>
      </w:r>
      <w:r w:rsidRPr="00E2773D">
        <w:rPr>
          <w:noProof/>
        </w:rPr>
        <w:t>1056</w:t>
      </w:r>
      <w:bookmarkEnd w:id="16"/>
      <w:r w:rsidRPr="00C754CA">
        <w:rPr>
          <w:noProof/>
        </w:rPr>
        <w:t xml:space="preserve"> sollten daher entsprechend geändert werden.</w:t>
      </w:r>
    </w:p>
    <w:p w14:paraId="0DD7E455" w14:textId="77777777" w:rsidR="000852D5" w:rsidRPr="00C754CA" w:rsidRDefault="00C45D17" w:rsidP="00C45D17">
      <w:pPr>
        <w:pStyle w:val="ManualConsidrant"/>
        <w:rPr>
          <w:noProof/>
        </w:rPr>
      </w:pPr>
      <w:bookmarkStart w:id="17" w:name="_Hlk193353580"/>
      <w:r w:rsidRPr="00C754CA">
        <w:rPr>
          <w:noProof/>
        </w:rPr>
        <w:t>(</w:t>
      </w:r>
      <w:r w:rsidRPr="00E2773D">
        <w:rPr>
          <w:noProof/>
        </w:rPr>
        <w:t>20</w:t>
      </w:r>
      <w:r w:rsidRPr="00C754CA">
        <w:rPr>
          <w:noProof/>
        </w:rPr>
        <w:t>)</w:t>
      </w:r>
      <w:r w:rsidRPr="00C754CA">
        <w:rPr>
          <w:noProof/>
        </w:rPr>
        <w:tab/>
        <w:t>Angesichts der dringenden Notwendigkeit, vor dem Hintergrund der drängenden geopolitischen Herausforderungen entscheidende Investitionen insbesondere in die Verteidigungsfähigkeit zu ermöglichen</w:t>
      </w:r>
      <w:bookmarkEnd w:id="17"/>
      <w:r w:rsidRPr="00C754CA">
        <w:rPr>
          <w:noProof/>
        </w:rPr>
        <w:t xml:space="preserve">, sollte diese Verordnung am Tag nach ihrer Veröffentlichung im </w:t>
      </w:r>
      <w:r w:rsidRPr="00C754CA">
        <w:rPr>
          <w:i/>
          <w:iCs/>
          <w:noProof/>
        </w:rPr>
        <w:t>Amtsblatt der Europäischen Union</w:t>
      </w:r>
      <w:r w:rsidRPr="00C754CA">
        <w:rPr>
          <w:noProof/>
        </w:rPr>
        <w:t xml:space="preserve"> in Kraft treten —</w:t>
      </w:r>
    </w:p>
    <w:p w14:paraId="2E5F3CDD" w14:textId="77777777" w:rsidR="000852D5" w:rsidRPr="00C754CA" w:rsidRDefault="000852D5" w:rsidP="5EA49681">
      <w:pPr>
        <w:pStyle w:val="Formuledadoption"/>
        <w:rPr>
          <w:rFonts w:eastAsia="Times New Roman"/>
          <w:noProof/>
        </w:rPr>
      </w:pPr>
      <w:r w:rsidRPr="00C754CA">
        <w:rPr>
          <w:noProof/>
        </w:rPr>
        <w:t>HABEN FOLGENDE VERORDNUNG ERLASSEN:</w:t>
      </w:r>
    </w:p>
    <w:p w14:paraId="16AEB5AA" w14:textId="77777777" w:rsidR="000852D5" w:rsidRPr="00C754CA" w:rsidRDefault="000852D5">
      <w:pPr>
        <w:pStyle w:val="Titrearticle"/>
        <w:rPr>
          <w:noProof/>
        </w:rPr>
      </w:pPr>
      <w:r w:rsidRPr="00C754CA">
        <w:rPr>
          <w:noProof/>
        </w:rPr>
        <w:t>Artikel </w:t>
      </w:r>
      <w:r w:rsidRPr="00E2773D">
        <w:rPr>
          <w:noProof/>
        </w:rPr>
        <w:t>1</w:t>
      </w:r>
    </w:p>
    <w:p w14:paraId="477C0A42" w14:textId="77777777" w:rsidR="0001385B" w:rsidRPr="00C754CA" w:rsidRDefault="0001385B" w:rsidP="0001385B">
      <w:pPr>
        <w:spacing w:line="276" w:lineRule="auto"/>
        <w:jc w:val="left"/>
        <w:rPr>
          <w:noProof/>
        </w:rPr>
      </w:pPr>
      <w:r w:rsidRPr="00C754CA">
        <w:rPr>
          <w:noProof/>
        </w:rPr>
        <w:t xml:space="preserve">Die Verordnung (EU) </w:t>
      </w:r>
      <w:r w:rsidRPr="00E2773D">
        <w:rPr>
          <w:noProof/>
        </w:rPr>
        <w:t>2021</w:t>
      </w:r>
      <w:r w:rsidRPr="00C754CA">
        <w:rPr>
          <w:noProof/>
        </w:rPr>
        <w:t>/</w:t>
      </w:r>
      <w:r w:rsidRPr="00E2773D">
        <w:rPr>
          <w:noProof/>
        </w:rPr>
        <w:t>1058</w:t>
      </w:r>
      <w:r w:rsidRPr="00C754CA">
        <w:rPr>
          <w:noProof/>
        </w:rPr>
        <w:t xml:space="preserve"> wird wie folgt geändert:</w:t>
      </w:r>
    </w:p>
    <w:p w14:paraId="7CA25519" w14:textId="77777777" w:rsidR="0001385B" w:rsidRPr="00C754CA" w:rsidRDefault="00C45D17" w:rsidP="00C45D17">
      <w:pPr>
        <w:pStyle w:val="Point0"/>
        <w:rPr>
          <w:noProof/>
        </w:rPr>
      </w:pPr>
      <w:r w:rsidRPr="00C754CA">
        <w:rPr>
          <w:noProof/>
        </w:rPr>
        <w:t>(</w:t>
      </w:r>
      <w:r w:rsidRPr="00E2773D">
        <w:rPr>
          <w:noProof/>
        </w:rPr>
        <w:t>1</w:t>
      </w:r>
      <w:r w:rsidRPr="00C754CA">
        <w:rPr>
          <w:noProof/>
        </w:rPr>
        <w:t>)</w:t>
      </w:r>
      <w:r w:rsidRPr="00C754CA">
        <w:rPr>
          <w:noProof/>
        </w:rPr>
        <w:tab/>
        <w:t>Artikel </w:t>
      </w:r>
      <w:r w:rsidRPr="00E2773D">
        <w:rPr>
          <w:noProof/>
        </w:rPr>
        <w:t>3</w:t>
      </w:r>
      <w:r w:rsidRPr="00C754CA">
        <w:rPr>
          <w:noProof/>
        </w:rPr>
        <w:t xml:space="preserve"> wird wie folgt geändert:</w:t>
      </w:r>
    </w:p>
    <w:p w14:paraId="7AA79917" w14:textId="77777777" w:rsidR="00C16F7E" w:rsidRPr="00C754CA" w:rsidRDefault="00C45D17" w:rsidP="00C45D17">
      <w:pPr>
        <w:pStyle w:val="Point1"/>
        <w:rPr>
          <w:noProof/>
        </w:rPr>
      </w:pPr>
      <w:r w:rsidRPr="00C754CA">
        <w:rPr>
          <w:noProof/>
        </w:rPr>
        <w:t>a)</w:t>
      </w:r>
      <w:r w:rsidRPr="00C754CA">
        <w:rPr>
          <w:noProof/>
        </w:rPr>
        <w:tab/>
        <w:t>Absatz </w:t>
      </w:r>
      <w:r w:rsidRPr="00E2773D">
        <w:rPr>
          <w:noProof/>
        </w:rPr>
        <w:t>1</w:t>
      </w:r>
      <w:r w:rsidRPr="00C754CA">
        <w:rPr>
          <w:noProof/>
        </w:rPr>
        <w:t xml:space="preserve"> wird wie folgt geändert:</w:t>
      </w:r>
    </w:p>
    <w:p w14:paraId="0AA8EEAF" w14:textId="77777777" w:rsidR="0001385B" w:rsidRPr="00C754CA" w:rsidRDefault="00C16F7E" w:rsidP="008307EC">
      <w:pPr>
        <w:pStyle w:val="Point2"/>
        <w:rPr>
          <w:noProof/>
        </w:rPr>
      </w:pPr>
      <w:r w:rsidRPr="00C754CA">
        <w:rPr>
          <w:noProof/>
        </w:rPr>
        <w:t>i) In Buchstabe a wird folgende Ziffer vii angefügt:</w:t>
      </w:r>
    </w:p>
    <w:p w14:paraId="0DD975A3" w14:textId="77777777" w:rsidR="0001385B" w:rsidRPr="00C754CA" w:rsidRDefault="00DD65D6" w:rsidP="0001385B">
      <w:pPr>
        <w:pStyle w:val="Text2"/>
        <w:rPr>
          <w:noProof/>
        </w:rPr>
      </w:pPr>
      <w:r w:rsidRPr="00C754CA">
        <w:rPr>
          <w:noProof/>
        </w:rPr>
        <w:t>„vii) Ausbau der industriellen Kapazitäten zur Förderung von Fähigkeiten mit doppeltem Verwendungszweck und Verteidigungsfähigkeiten.“</w:t>
      </w:r>
    </w:p>
    <w:p w14:paraId="6A829B52" w14:textId="77777777" w:rsidR="005433C9" w:rsidRPr="00C754CA" w:rsidRDefault="00C16F7E" w:rsidP="008307EC">
      <w:pPr>
        <w:pStyle w:val="Point2"/>
        <w:rPr>
          <w:noProof/>
        </w:rPr>
      </w:pPr>
      <w:r w:rsidRPr="00C754CA">
        <w:rPr>
          <w:noProof/>
        </w:rPr>
        <w:t>ii) Buchstabe b Ziffer v erhält folgende Fassung:</w:t>
      </w:r>
    </w:p>
    <w:p w14:paraId="2F8D7FF7" w14:textId="77777777" w:rsidR="0001385B" w:rsidRPr="00C754CA" w:rsidRDefault="00214775" w:rsidP="0001385B">
      <w:pPr>
        <w:pStyle w:val="Text2"/>
        <w:rPr>
          <w:noProof/>
        </w:rPr>
      </w:pPr>
      <w:r w:rsidRPr="00C754CA">
        <w:rPr>
          <w:noProof/>
        </w:rPr>
        <w:t xml:space="preserve">„v) Förderung eines sicheren Zugangs zu Wasser, einer nachhaltigen Wasserbewirtschaftung und einer resilienten Wasserversorgung;“ </w:t>
      </w:r>
    </w:p>
    <w:p w14:paraId="62730523" w14:textId="77777777" w:rsidR="0001385B" w:rsidRPr="00C754CA" w:rsidRDefault="00D8190F" w:rsidP="008307EC">
      <w:pPr>
        <w:pStyle w:val="Point2"/>
        <w:rPr>
          <w:noProof/>
        </w:rPr>
      </w:pPr>
      <w:bookmarkStart w:id="18" w:name="_Hlk192164763"/>
      <w:bookmarkStart w:id="19" w:name="_Hlk192164876"/>
      <w:r w:rsidRPr="00C754CA">
        <w:rPr>
          <w:noProof/>
        </w:rPr>
        <w:t>iii) Die folgenden Ziffern xi und xii werden angefügt</w:t>
      </w:r>
      <w:bookmarkEnd w:id="18"/>
      <w:r w:rsidRPr="00C754CA">
        <w:rPr>
          <w:noProof/>
        </w:rPr>
        <w:t xml:space="preserve">: </w:t>
      </w:r>
    </w:p>
    <w:p w14:paraId="71990AD2" w14:textId="77777777" w:rsidR="0001385B" w:rsidRPr="00C754CA" w:rsidRDefault="53FF79EF" w:rsidP="01F46A27">
      <w:pPr>
        <w:pStyle w:val="Text2"/>
        <w:rPr>
          <w:noProof/>
        </w:rPr>
      </w:pPr>
      <w:bookmarkStart w:id="20" w:name="_Hlk191485389"/>
      <w:bookmarkEnd w:id="19"/>
      <w:r w:rsidRPr="00C754CA">
        <w:rPr>
          <w:noProof/>
        </w:rPr>
        <w:t xml:space="preserve">„xi) </w:t>
      </w:r>
      <w:bookmarkStart w:id="21" w:name="_Hlk192246283"/>
      <w:r w:rsidRPr="00C754CA">
        <w:rPr>
          <w:noProof/>
        </w:rPr>
        <w:t>Förderung des Zugangs zu erschwinglichem Wohnraum und damit zusammenhängende Reformen;</w:t>
      </w:r>
    </w:p>
    <w:p w14:paraId="174104D7" w14:textId="66288B29" w:rsidR="0001385B" w:rsidRPr="00C754CA" w:rsidRDefault="5E4FB1C2" w:rsidP="0001385B">
      <w:pPr>
        <w:pStyle w:val="Text2"/>
        <w:rPr>
          <w:noProof/>
        </w:rPr>
      </w:pPr>
      <w:r w:rsidRPr="00C754CA">
        <w:rPr>
          <w:noProof/>
        </w:rPr>
        <w:t>xii) Förderung von Energieverbindungsleitungen und der damit verbundenen Leitungsinfrastruktur sowie des Aufbaus von Ladeinfrastruktur.“</w:t>
      </w:r>
      <w:bookmarkEnd w:id="20"/>
    </w:p>
    <w:bookmarkEnd w:id="21"/>
    <w:p w14:paraId="34636AF9" w14:textId="77777777" w:rsidR="0001385B" w:rsidRPr="00C754CA" w:rsidRDefault="77CE1E85" w:rsidP="00B8610D">
      <w:pPr>
        <w:pStyle w:val="Point2"/>
        <w:rPr>
          <w:noProof/>
        </w:rPr>
      </w:pPr>
      <w:r w:rsidRPr="00C754CA">
        <w:rPr>
          <w:noProof/>
        </w:rPr>
        <w:t xml:space="preserve">iv) In Buchstabe c wird folgende Ziffer iii angefügt: </w:t>
      </w:r>
    </w:p>
    <w:p w14:paraId="650B9524" w14:textId="537EB754" w:rsidR="0001385B" w:rsidRPr="00C754CA" w:rsidRDefault="364A7094" w:rsidP="0001385B">
      <w:pPr>
        <w:pStyle w:val="Text2"/>
        <w:rPr>
          <w:noProof/>
        </w:rPr>
      </w:pPr>
      <w:r w:rsidRPr="00C754CA">
        <w:rPr>
          <w:noProof/>
        </w:rPr>
        <w:t>„iii) Entwicklung einer widerstandsfähigen Verteidigungsinfrastruktur oder einer Infrastruktur mit doppeltem Verwendungszweck zur Förderung der militärischen Mobilität in der Union.“</w:t>
      </w:r>
    </w:p>
    <w:p w14:paraId="0865793F" w14:textId="77777777" w:rsidR="0001385B" w:rsidRPr="00C754CA" w:rsidRDefault="77CE1E85" w:rsidP="00B8610D">
      <w:pPr>
        <w:pStyle w:val="Point2"/>
        <w:rPr>
          <w:noProof/>
        </w:rPr>
      </w:pPr>
      <w:r w:rsidRPr="00C754CA">
        <w:rPr>
          <w:noProof/>
        </w:rPr>
        <w:t>v) In Buchstabe d wird folgende Ziffer vii angefügt:</w:t>
      </w:r>
    </w:p>
    <w:p w14:paraId="37E92055" w14:textId="77777777" w:rsidR="0001385B" w:rsidRPr="00C754CA" w:rsidRDefault="2C25D4D7" w:rsidP="0001385B">
      <w:pPr>
        <w:pStyle w:val="Text2"/>
        <w:rPr>
          <w:noProof/>
        </w:rPr>
      </w:pPr>
      <w:bookmarkStart w:id="22" w:name="_Hlk193049353"/>
      <w:r w:rsidRPr="00C754CA">
        <w:rPr>
          <w:noProof/>
        </w:rPr>
        <w:t>„vii) Förderung des Zugangs zu erschwinglichem Wohnraum und damit zusammenhängende Reformen.“</w:t>
      </w:r>
    </w:p>
    <w:bookmarkEnd w:id="22"/>
    <w:p w14:paraId="058A2A6F" w14:textId="77777777" w:rsidR="0001385B" w:rsidRPr="00C754CA" w:rsidRDefault="6A89AB93" w:rsidP="00B8610D">
      <w:pPr>
        <w:pStyle w:val="Point2"/>
        <w:rPr>
          <w:noProof/>
        </w:rPr>
      </w:pPr>
      <w:r w:rsidRPr="00C754CA">
        <w:rPr>
          <w:noProof/>
        </w:rPr>
        <w:t>vi) In Buchstabe e Unterabsatz </w:t>
      </w:r>
      <w:r w:rsidRPr="00E2773D">
        <w:rPr>
          <w:noProof/>
        </w:rPr>
        <w:t>1</w:t>
      </w:r>
      <w:r w:rsidRPr="00C754CA">
        <w:rPr>
          <w:noProof/>
        </w:rPr>
        <w:t xml:space="preserve"> wird folgende Ziffer iii angefügt:</w:t>
      </w:r>
    </w:p>
    <w:p w14:paraId="208A97BA" w14:textId="77777777" w:rsidR="0001385B" w:rsidRPr="00C754CA" w:rsidRDefault="008BC9EA" w:rsidP="0001385B">
      <w:pPr>
        <w:pStyle w:val="Text2"/>
        <w:rPr>
          <w:noProof/>
        </w:rPr>
      </w:pPr>
      <w:bookmarkStart w:id="23" w:name="_Hlk193049404"/>
      <w:r w:rsidRPr="00C754CA">
        <w:rPr>
          <w:noProof/>
        </w:rPr>
        <w:t xml:space="preserve">„iii) Förderung einer integrierten territorialen Entwicklung durch den Zugang zu erschwinglichem Wohnraum und die Entwicklung damit zusammenhängender Reformen in allen Arten von Gebieten.“ </w:t>
      </w:r>
    </w:p>
    <w:p w14:paraId="7FEB8545" w14:textId="77777777" w:rsidR="00566902" w:rsidRPr="00C754CA" w:rsidRDefault="00B8610D" w:rsidP="00B8610D">
      <w:pPr>
        <w:pStyle w:val="Point2"/>
        <w:rPr>
          <w:noProof/>
        </w:rPr>
      </w:pPr>
      <w:r w:rsidRPr="00C754CA">
        <w:rPr>
          <w:noProof/>
        </w:rPr>
        <w:t>vii) In Absatz </w:t>
      </w:r>
      <w:r w:rsidRPr="00E2773D">
        <w:rPr>
          <w:noProof/>
        </w:rPr>
        <w:t>1</w:t>
      </w:r>
      <w:r w:rsidRPr="00C754CA">
        <w:rPr>
          <w:noProof/>
        </w:rPr>
        <w:t xml:space="preserve"> wird folgender Unterabsatz angefügt:</w:t>
      </w:r>
    </w:p>
    <w:p w14:paraId="0964ABF2" w14:textId="55943231" w:rsidR="00566902" w:rsidRPr="00C754CA" w:rsidRDefault="00B8610D" w:rsidP="0001385B">
      <w:pPr>
        <w:pStyle w:val="Text2"/>
        <w:rPr>
          <w:noProof/>
        </w:rPr>
      </w:pPr>
      <w:r w:rsidRPr="00C754CA">
        <w:rPr>
          <w:noProof/>
        </w:rPr>
        <w:t>„Vorhaben, die im Rahmen des spezifischen Ziels gemäß Buchstabe c Ziffer iii unterstützt werden, konzentrieren sich nach Möglichkeit vorrangig auf einen oder mehrere der vier vorrangigen Korridore für die militärische Mobilität der EU, die von den Mitgliedstaaten in Anhang II des vom Rat am [</w:t>
      </w:r>
      <w:r w:rsidRPr="00E2773D">
        <w:rPr>
          <w:noProof/>
        </w:rPr>
        <w:t>18</w:t>
      </w:r>
      <w:r w:rsidRPr="00C754CA">
        <w:rPr>
          <w:noProof/>
        </w:rPr>
        <w:t xml:space="preserve">. März </w:t>
      </w:r>
      <w:r w:rsidRPr="00E2773D">
        <w:rPr>
          <w:noProof/>
        </w:rPr>
        <w:t>2025</w:t>
      </w:r>
      <w:r w:rsidRPr="00C754CA">
        <w:rPr>
          <w:noProof/>
        </w:rPr>
        <w:t xml:space="preserve"> und mit dem Aktenzeichen ST </w:t>
      </w:r>
      <w:r w:rsidRPr="00E2773D">
        <w:rPr>
          <w:noProof/>
        </w:rPr>
        <w:t>6728</w:t>
      </w:r>
      <w:r w:rsidRPr="00C754CA">
        <w:rPr>
          <w:noProof/>
        </w:rPr>
        <w:t>/</w:t>
      </w:r>
      <w:r w:rsidRPr="00E2773D">
        <w:rPr>
          <w:noProof/>
        </w:rPr>
        <w:t>25</w:t>
      </w:r>
      <w:r w:rsidRPr="00C754CA">
        <w:rPr>
          <w:noProof/>
        </w:rPr>
        <w:t xml:space="preserve"> ADD </w:t>
      </w:r>
      <w:r w:rsidRPr="00E2773D">
        <w:rPr>
          <w:noProof/>
        </w:rPr>
        <w:t>1</w:t>
      </w:r>
      <w:r w:rsidRPr="00C754CA">
        <w:rPr>
          <w:noProof/>
        </w:rPr>
        <w:t>] angenommenen Dokuments „Militärische Anforderungen für die militärische Mobilität innerhalb und außerhalb der EU“ festgelegt wurden. Unterstützte Vorhaben, die Teil dieser Korridore sind, müssen die Infrastrukturanforderungen erfüllen, die in Durchführungsrechtsakten auf der Grundlage von Artikel </w:t>
      </w:r>
      <w:r w:rsidRPr="00E2773D">
        <w:rPr>
          <w:noProof/>
        </w:rPr>
        <w:t>12</w:t>
      </w:r>
      <w:r w:rsidRPr="00C754CA">
        <w:rPr>
          <w:noProof/>
        </w:rPr>
        <w:t xml:space="preserve"> Absatz </w:t>
      </w:r>
      <w:r w:rsidRPr="00E2773D">
        <w:rPr>
          <w:noProof/>
        </w:rPr>
        <w:t>2</w:t>
      </w:r>
      <w:r w:rsidRPr="00C754CA">
        <w:rPr>
          <w:noProof/>
        </w:rPr>
        <w:t xml:space="preserve"> der Verordnung (EU) </w:t>
      </w:r>
      <w:r w:rsidRPr="00E2773D">
        <w:rPr>
          <w:noProof/>
        </w:rPr>
        <w:t>2021</w:t>
      </w:r>
      <w:r w:rsidRPr="00C754CA">
        <w:rPr>
          <w:noProof/>
        </w:rPr>
        <w:t>/</w:t>
      </w:r>
      <w:r w:rsidRPr="00E2773D">
        <w:rPr>
          <w:noProof/>
        </w:rPr>
        <w:t>1153</w:t>
      </w:r>
      <w:r w:rsidRPr="00C754CA">
        <w:rPr>
          <w:noProof/>
        </w:rPr>
        <w:t xml:space="preserve"> festgelegt sind.“ </w:t>
      </w:r>
    </w:p>
    <w:bookmarkEnd w:id="23"/>
    <w:p w14:paraId="76250A66" w14:textId="77777777" w:rsidR="0001385B" w:rsidRPr="00C754CA" w:rsidRDefault="00C45D17" w:rsidP="00C45D17">
      <w:pPr>
        <w:pStyle w:val="Point1"/>
        <w:rPr>
          <w:noProof/>
        </w:rPr>
      </w:pPr>
      <w:r w:rsidRPr="00C754CA">
        <w:rPr>
          <w:noProof/>
        </w:rPr>
        <w:t>b)</w:t>
      </w:r>
      <w:r w:rsidRPr="00C754CA">
        <w:rPr>
          <w:noProof/>
        </w:rPr>
        <w:tab/>
        <w:t>Absatz </w:t>
      </w:r>
      <w:r w:rsidRPr="00E2773D">
        <w:rPr>
          <w:noProof/>
        </w:rPr>
        <w:t>1</w:t>
      </w:r>
      <w:r w:rsidRPr="00C754CA">
        <w:rPr>
          <w:noProof/>
        </w:rPr>
        <w:t>a Unterabsätze </w:t>
      </w:r>
      <w:r w:rsidRPr="00E2773D">
        <w:rPr>
          <w:noProof/>
        </w:rPr>
        <w:t>1</w:t>
      </w:r>
      <w:r w:rsidRPr="00C754CA">
        <w:rPr>
          <w:noProof/>
        </w:rPr>
        <w:t xml:space="preserve"> und </w:t>
      </w:r>
      <w:r w:rsidRPr="00E2773D">
        <w:rPr>
          <w:noProof/>
        </w:rPr>
        <w:t>2</w:t>
      </w:r>
      <w:r w:rsidRPr="00C754CA">
        <w:rPr>
          <w:noProof/>
        </w:rPr>
        <w:t xml:space="preserve"> erhalten folgende Fassung:</w:t>
      </w:r>
    </w:p>
    <w:p w14:paraId="060CE0B2" w14:textId="77777777" w:rsidR="0001385B" w:rsidRPr="00C754CA" w:rsidRDefault="00545EE6" w:rsidP="0001385B">
      <w:pPr>
        <w:pStyle w:val="Text2"/>
        <w:rPr>
          <w:noProof/>
        </w:rPr>
      </w:pPr>
      <w:bookmarkStart w:id="24" w:name="_Hlk193049463"/>
      <w:r w:rsidRPr="00C754CA">
        <w:rPr>
          <w:noProof/>
        </w:rPr>
        <w:t xml:space="preserve">„Die </w:t>
      </w:r>
      <w:bookmarkStart w:id="25" w:name="_Hlk192166547"/>
      <w:r w:rsidRPr="00C754CA">
        <w:rPr>
          <w:noProof/>
        </w:rPr>
        <w:t>Mittel im Rahmen des spezifischen Ziels, auf das in Absatz </w:t>
      </w:r>
      <w:r w:rsidRPr="00E2773D">
        <w:rPr>
          <w:noProof/>
        </w:rPr>
        <w:t>1</w:t>
      </w:r>
      <w:r w:rsidRPr="00C754CA">
        <w:rPr>
          <w:noProof/>
        </w:rPr>
        <w:t xml:space="preserve"> Buchstabe a Ziffer vi und Buchstabe b Ziffer ix verwiesen wird</w:t>
      </w:r>
      <w:bookmarkEnd w:id="25"/>
      <w:r w:rsidRPr="00C754CA">
        <w:rPr>
          <w:noProof/>
        </w:rPr>
        <w:t>, werden im Rahmen spezieller Prioritäten programmiert, die dem jeweiligen politischen Ziel entsprechen.</w:t>
      </w:r>
    </w:p>
    <w:p w14:paraId="3714C709" w14:textId="77777777" w:rsidR="00110674" w:rsidRPr="00C754CA" w:rsidRDefault="00110674" w:rsidP="757EBBDA">
      <w:pPr>
        <w:pStyle w:val="Text2"/>
        <w:rPr>
          <w:rFonts w:eastAsia="Times New Roman"/>
          <w:noProof/>
          <w:szCs w:val="24"/>
        </w:rPr>
      </w:pPr>
      <w:r w:rsidRPr="00C754CA">
        <w:rPr>
          <w:noProof/>
        </w:rPr>
        <w:t xml:space="preserve">Die Kommission zahlt </w:t>
      </w:r>
      <w:r w:rsidRPr="00E2773D">
        <w:rPr>
          <w:noProof/>
        </w:rPr>
        <w:t>30</w:t>
      </w:r>
      <w:r w:rsidRPr="00C754CA">
        <w:rPr>
          <w:noProof/>
        </w:rPr>
        <w:t> % der Zuweisung für diese Prioritäten gemäß dem Beschluss zur Genehmigung der Programmänderung als außerordentliche einmalige Vorfinanzierung zusätzlich zur jährlichen Vorfinanzierung für das Programm gemäß Artikel </w:t>
      </w:r>
      <w:r w:rsidRPr="00E2773D">
        <w:rPr>
          <w:noProof/>
        </w:rPr>
        <w:t>90</w:t>
      </w:r>
      <w:r w:rsidRPr="00C754CA">
        <w:rPr>
          <w:noProof/>
        </w:rPr>
        <w:t xml:space="preserve"> Absätze </w:t>
      </w:r>
      <w:r w:rsidRPr="00E2773D">
        <w:rPr>
          <w:noProof/>
        </w:rPr>
        <w:t>1</w:t>
      </w:r>
      <w:r w:rsidRPr="00C754CA">
        <w:rPr>
          <w:noProof/>
        </w:rPr>
        <w:t xml:space="preserve"> und </w:t>
      </w:r>
      <w:r w:rsidRPr="00E2773D">
        <w:rPr>
          <w:noProof/>
        </w:rPr>
        <w:t>2</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bzw. Artikel </w:t>
      </w:r>
      <w:r w:rsidRPr="00E2773D">
        <w:rPr>
          <w:noProof/>
        </w:rPr>
        <w:t>51</w:t>
      </w:r>
      <w:r w:rsidRPr="00C754CA">
        <w:rPr>
          <w:noProof/>
        </w:rPr>
        <w:t xml:space="preserve"> Absätze </w:t>
      </w:r>
      <w:r w:rsidRPr="00E2773D">
        <w:rPr>
          <w:noProof/>
        </w:rPr>
        <w:t>2</w:t>
      </w:r>
      <w:r w:rsidRPr="00C754CA">
        <w:rPr>
          <w:noProof/>
        </w:rPr>
        <w:t xml:space="preserve">, </w:t>
      </w:r>
      <w:r w:rsidRPr="00E2773D">
        <w:rPr>
          <w:noProof/>
        </w:rPr>
        <w:t>3</w:t>
      </w:r>
      <w:r w:rsidRPr="00C754CA">
        <w:rPr>
          <w:noProof/>
        </w:rPr>
        <w:t xml:space="preserve"> und </w:t>
      </w:r>
      <w:r w:rsidRPr="00E2773D">
        <w:rPr>
          <w:noProof/>
        </w:rPr>
        <w:t>4</w:t>
      </w:r>
      <w:r w:rsidRPr="00C754CA">
        <w:rPr>
          <w:noProof/>
        </w:rPr>
        <w:t xml:space="preserve"> der Verordnung (EU) </w:t>
      </w:r>
      <w:r w:rsidRPr="00E2773D">
        <w:rPr>
          <w:noProof/>
        </w:rPr>
        <w:t>2021</w:t>
      </w:r>
      <w:r w:rsidRPr="00C754CA">
        <w:rPr>
          <w:noProof/>
        </w:rPr>
        <w:t>/</w:t>
      </w:r>
      <w:r w:rsidRPr="00E2773D">
        <w:rPr>
          <w:noProof/>
        </w:rPr>
        <w:t>1059</w:t>
      </w:r>
      <w:r w:rsidRPr="00C754CA">
        <w:rPr>
          <w:noProof/>
        </w:rPr>
        <w:t xml:space="preserve"> des Europäischen Parlaments und des Rates*. Diese außerordentliche Vorfinanzierung wird gezahlt, </w:t>
      </w:r>
      <w:bookmarkStart w:id="26" w:name="_Hlk193996331"/>
      <w:r w:rsidRPr="00C754CA">
        <w:rPr>
          <w:noProof/>
        </w:rPr>
        <w:t xml:space="preserve">sofern die Programmänderung der Kommission bis zum </w:t>
      </w:r>
      <w:r w:rsidRPr="00E2773D">
        <w:rPr>
          <w:noProof/>
        </w:rPr>
        <w:t>31</w:t>
      </w:r>
      <w:r w:rsidRPr="00C754CA">
        <w:rPr>
          <w:noProof/>
        </w:rPr>
        <w:t xml:space="preserve">. Dezember </w:t>
      </w:r>
      <w:r w:rsidRPr="00E2773D">
        <w:rPr>
          <w:noProof/>
        </w:rPr>
        <w:t>2025</w:t>
      </w:r>
      <w:r w:rsidRPr="00C754CA">
        <w:rPr>
          <w:noProof/>
        </w:rPr>
        <w:t xml:space="preserve"> vorgelegt wird.</w:t>
      </w:r>
      <w:bookmarkEnd w:id="26"/>
      <w:r w:rsidRPr="00C754CA">
        <w:rPr>
          <w:noProof/>
        </w:rPr>
        <w:t xml:space="preserve"> Die Zahlung erfolgt innerhalb von </w:t>
      </w:r>
      <w:r w:rsidRPr="00E2773D">
        <w:rPr>
          <w:noProof/>
        </w:rPr>
        <w:t>60</w:t>
      </w:r>
      <w:r w:rsidRPr="00C754CA">
        <w:rPr>
          <w:noProof/>
        </w:rPr>
        <w:t> Tagen nach Annahme des Beschlusses der Kommission zur Genehmigung der Programmänderung.</w:t>
      </w:r>
    </w:p>
    <w:bookmarkEnd w:id="24"/>
    <w:p w14:paraId="33246ADA" w14:textId="77777777" w:rsidR="00150A54" w:rsidRPr="00C754CA" w:rsidRDefault="00150A54" w:rsidP="0001385B">
      <w:pPr>
        <w:pStyle w:val="Text2"/>
        <w:rPr>
          <w:noProof/>
        </w:rPr>
      </w:pPr>
      <w:r w:rsidRPr="00C754CA">
        <w:rPr>
          <w:noProof/>
        </w:rPr>
        <w:t>_______</w:t>
      </w:r>
    </w:p>
    <w:p w14:paraId="17240B15" w14:textId="77777777" w:rsidR="00150A54" w:rsidRPr="00C754CA" w:rsidRDefault="00150A54" w:rsidP="0001385B">
      <w:pPr>
        <w:pStyle w:val="Text2"/>
        <w:rPr>
          <w:noProof/>
        </w:rPr>
      </w:pPr>
      <w:r w:rsidRPr="00C754CA">
        <w:rPr>
          <w:noProof/>
        </w:rPr>
        <w:t xml:space="preserve">* Verordnung (EU) </w:t>
      </w:r>
      <w:r w:rsidRPr="00E2773D">
        <w:rPr>
          <w:noProof/>
        </w:rPr>
        <w:t>2021</w:t>
      </w:r>
      <w:r w:rsidRPr="00C754CA">
        <w:rPr>
          <w:noProof/>
        </w:rPr>
        <w:t>/</w:t>
      </w:r>
      <w:r w:rsidRPr="00E2773D">
        <w:rPr>
          <w:noProof/>
        </w:rPr>
        <w:t>1059</w:t>
      </w:r>
      <w:r w:rsidRPr="00C754CA">
        <w:rPr>
          <w:noProof/>
        </w:rPr>
        <w:t xml:space="preserve"> des Europäischen Parlaments und des Rates vom </w:t>
      </w:r>
      <w:r w:rsidRPr="00E2773D">
        <w:rPr>
          <w:noProof/>
        </w:rPr>
        <w:t>24</w:t>
      </w:r>
      <w:r w:rsidRPr="00C754CA">
        <w:rPr>
          <w:noProof/>
        </w:rPr>
        <w:t xml:space="preserve">. Juni </w:t>
      </w:r>
      <w:r w:rsidRPr="00E2773D">
        <w:rPr>
          <w:noProof/>
        </w:rPr>
        <w:t>2021</w:t>
      </w:r>
      <w:r w:rsidRPr="00C754CA">
        <w:rPr>
          <w:noProof/>
        </w:rPr>
        <w:t xml:space="preserve"> über besondere Bestimmungen für das aus dem Europäischen Fonds für regionale Entwicklung sowie aus Finanzierungsinstrumenten für das auswärtige Handeln unterstützte Ziel „Europäische territoriale Zusammenarbeit“ (Interreg) (ABl. L </w:t>
      </w:r>
      <w:r w:rsidRPr="00E2773D">
        <w:rPr>
          <w:noProof/>
        </w:rPr>
        <w:t>231</w:t>
      </w:r>
      <w:r w:rsidRPr="00C754CA">
        <w:rPr>
          <w:noProof/>
        </w:rPr>
        <w:t xml:space="preserve"> vom </w:t>
      </w:r>
      <w:r w:rsidRPr="00E2773D">
        <w:rPr>
          <w:noProof/>
        </w:rPr>
        <w:t>30</w:t>
      </w:r>
      <w:r w:rsidRPr="00C754CA">
        <w:rPr>
          <w:noProof/>
        </w:rPr>
        <w:t>.</w:t>
      </w:r>
      <w:r w:rsidRPr="00E2773D">
        <w:rPr>
          <w:noProof/>
        </w:rPr>
        <w:t>6</w:t>
      </w:r>
      <w:r w:rsidRPr="00C754CA">
        <w:rPr>
          <w:noProof/>
        </w:rPr>
        <w:t>.</w:t>
      </w:r>
      <w:r w:rsidRPr="00E2773D">
        <w:rPr>
          <w:noProof/>
        </w:rPr>
        <w:t>2021</w:t>
      </w:r>
      <w:r w:rsidRPr="00C754CA">
        <w:rPr>
          <w:noProof/>
        </w:rPr>
        <w:t>, S. </w:t>
      </w:r>
      <w:r w:rsidRPr="00E2773D">
        <w:rPr>
          <w:noProof/>
        </w:rPr>
        <w:t>94</w:t>
      </w:r>
      <w:r w:rsidRPr="00C754CA">
        <w:rPr>
          <w:noProof/>
        </w:rPr>
        <w:t>, ELI: http://data.europa.eu/eli/reg/</w:t>
      </w:r>
      <w:r w:rsidRPr="00E2773D">
        <w:rPr>
          <w:noProof/>
        </w:rPr>
        <w:t>2021</w:t>
      </w:r>
      <w:r w:rsidRPr="00C754CA">
        <w:rPr>
          <w:noProof/>
        </w:rPr>
        <w:t>/</w:t>
      </w:r>
      <w:r w:rsidRPr="00E2773D">
        <w:rPr>
          <w:noProof/>
        </w:rPr>
        <w:t>1059</w:t>
      </w:r>
      <w:r w:rsidRPr="00C754CA">
        <w:rPr>
          <w:noProof/>
        </w:rPr>
        <w:t>/oj).“</w:t>
      </w:r>
    </w:p>
    <w:p w14:paraId="5CC9EEF5" w14:textId="77777777" w:rsidR="0001385B" w:rsidRPr="00C754CA" w:rsidRDefault="00C45D17" w:rsidP="00C45D17">
      <w:pPr>
        <w:pStyle w:val="Point1"/>
        <w:rPr>
          <w:noProof/>
        </w:rPr>
      </w:pPr>
      <w:r w:rsidRPr="00C754CA">
        <w:rPr>
          <w:noProof/>
        </w:rPr>
        <w:t>c)</w:t>
      </w:r>
      <w:r w:rsidRPr="00C754CA">
        <w:rPr>
          <w:noProof/>
        </w:rPr>
        <w:tab/>
        <w:t>Der folgende Absatz </w:t>
      </w:r>
      <w:r w:rsidRPr="00E2773D">
        <w:rPr>
          <w:noProof/>
        </w:rPr>
        <w:t>1</w:t>
      </w:r>
      <w:r w:rsidRPr="00C754CA">
        <w:rPr>
          <w:noProof/>
        </w:rPr>
        <w:t xml:space="preserve">c wird eingefügt: </w:t>
      </w:r>
    </w:p>
    <w:p w14:paraId="49E10E09" w14:textId="7247631F" w:rsidR="0001385B" w:rsidRPr="00C754CA" w:rsidRDefault="00101A17" w:rsidP="0001385B">
      <w:pPr>
        <w:pStyle w:val="Text2"/>
        <w:rPr>
          <w:noProof/>
        </w:rPr>
      </w:pPr>
      <w:bookmarkStart w:id="27" w:name="_Hlk193049825"/>
      <w:r w:rsidRPr="00C754CA">
        <w:rPr>
          <w:noProof/>
        </w:rPr>
        <w:t>„(</w:t>
      </w:r>
      <w:r w:rsidRPr="00E2773D">
        <w:rPr>
          <w:noProof/>
        </w:rPr>
        <w:t>1</w:t>
      </w:r>
      <w:r w:rsidRPr="00C754CA">
        <w:rPr>
          <w:noProof/>
        </w:rPr>
        <w:t>c) Die Mittel im Rahmen der spezifischen Ziele, auf die in Absatz </w:t>
      </w:r>
      <w:r w:rsidRPr="00E2773D">
        <w:rPr>
          <w:noProof/>
        </w:rPr>
        <w:t>1</w:t>
      </w:r>
      <w:r w:rsidRPr="00C754CA">
        <w:rPr>
          <w:noProof/>
        </w:rPr>
        <w:t xml:space="preserve"> </w:t>
      </w:r>
      <w:bookmarkStart w:id="28" w:name="_Hlk192676966"/>
      <w:r w:rsidRPr="00C754CA">
        <w:rPr>
          <w:noProof/>
        </w:rPr>
        <w:t>Buchstabe a Ziffer vii, Buchstabe b Ziffer v, Buchstabe b Ziffer xi, Buchstabe b Ziffer xii, Buchstabe c Ziffer iii, Buchstabe d Ziffer vii und Buchstabe e Ziffer iii</w:t>
      </w:r>
      <w:bookmarkEnd w:id="28"/>
      <w:r w:rsidRPr="00C754CA">
        <w:rPr>
          <w:noProof/>
        </w:rPr>
        <w:t xml:space="preserve"> verwiesen wird, werden im Rahmen spezieller Prioritäten programmiert, die dem jeweiligen politischen Ziel entsprechen. </w:t>
      </w:r>
    </w:p>
    <w:p w14:paraId="59E451B9" w14:textId="77777777" w:rsidR="0001385B" w:rsidRPr="00C754CA" w:rsidRDefault="0001385B" w:rsidP="757EBBDA">
      <w:pPr>
        <w:pStyle w:val="Text2"/>
        <w:rPr>
          <w:noProof/>
        </w:rPr>
      </w:pPr>
      <w:r w:rsidRPr="00C754CA">
        <w:rPr>
          <w:noProof/>
        </w:rPr>
        <w:t xml:space="preserve">Die Kommission zahlt </w:t>
      </w:r>
      <w:r w:rsidRPr="00E2773D">
        <w:rPr>
          <w:noProof/>
        </w:rPr>
        <w:t>30</w:t>
      </w:r>
      <w:r w:rsidRPr="00C754CA">
        <w:rPr>
          <w:noProof/>
        </w:rPr>
        <w:t xml:space="preserve"> % der Zuweisung für diese Prioritäten gemäß dem Beschluss zur Genehmigung der Programmänderung als </w:t>
      </w:r>
      <w:bookmarkStart w:id="29" w:name="_Hlk192756150"/>
      <w:r w:rsidRPr="00C754CA">
        <w:rPr>
          <w:noProof/>
        </w:rPr>
        <w:t>außerordentliche Vorfinanzierung</w:t>
      </w:r>
      <w:bookmarkEnd w:id="29"/>
      <w:r w:rsidRPr="00C754CA">
        <w:rPr>
          <w:noProof/>
        </w:rPr>
        <w:t xml:space="preserve"> zusätzlich zur jährlichen Vorfinanzierung für das Programm gemäß Artikel </w:t>
      </w:r>
      <w:r w:rsidRPr="00E2773D">
        <w:rPr>
          <w:noProof/>
        </w:rPr>
        <w:t>90</w:t>
      </w:r>
      <w:r w:rsidRPr="00C754CA">
        <w:rPr>
          <w:noProof/>
        </w:rPr>
        <w:t xml:space="preserve"> Absätze </w:t>
      </w:r>
      <w:r w:rsidRPr="00E2773D">
        <w:rPr>
          <w:noProof/>
        </w:rPr>
        <w:t>1</w:t>
      </w:r>
      <w:r w:rsidRPr="00C754CA">
        <w:rPr>
          <w:noProof/>
        </w:rPr>
        <w:t xml:space="preserve"> und </w:t>
      </w:r>
      <w:r w:rsidRPr="00E2773D">
        <w:rPr>
          <w:noProof/>
        </w:rPr>
        <w:t>2</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Diese außerordentliche Vorfinanzierung wird gezahlt, sofern die Programmänderung der Kommission bis zum </w:t>
      </w:r>
      <w:r w:rsidRPr="00E2773D">
        <w:rPr>
          <w:noProof/>
        </w:rPr>
        <w:t>31</w:t>
      </w:r>
      <w:r w:rsidRPr="00C754CA">
        <w:rPr>
          <w:noProof/>
        </w:rPr>
        <w:t xml:space="preserve">. Dezember </w:t>
      </w:r>
      <w:r w:rsidRPr="00E2773D">
        <w:rPr>
          <w:noProof/>
        </w:rPr>
        <w:t>2025</w:t>
      </w:r>
      <w:r w:rsidRPr="00C754CA">
        <w:rPr>
          <w:noProof/>
        </w:rPr>
        <w:t xml:space="preserve"> vorgelegt wird. Die Zahlung erfolgt innerhalb von </w:t>
      </w:r>
      <w:r w:rsidRPr="00E2773D">
        <w:rPr>
          <w:noProof/>
        </w:rPr>
        <w:t>60</w:t>
      </w:r>
      <w:r w:rsidRPr="00C754CA">
        <w:rPr>
          <w:noProof/>
        </w:rPr>
        <w:t> Tagen nach Annahme des Beschlusses der Kommission zur Genehmigung der Programmänderung.</w:t>
      </w:r>
    </w:p>
    <w:p w14:paraId="272019F9" w14:textId="77777777" w:rsidR="0001385B" w:rsidRPr="00C754CA" w:rsidRDefault="0001385B" w:rsidP="0001385B">
      <w:pPr>
        <w:pStyle w:val="Text2"/>
        <w:rPr>
          <w:noProof/>
        </w:rPr>
      </w:pPr>
      <w:r w:rsidRPr="00C754CA">
        <w:rPr>
          <w:noProof/>
        </w:rPr>
        <w:t>Gemäß Artikel </w:t>
      </w:r>
      <w:r w:rsidRPr="00E2773D">
        <w:rPr>
          <w:noProof/>
        </w:rPr>
        <w:t>90</w:t>
      </w:r>
      <w:r w:rsidRPr="00C754CA">
        <w:rPr>
          <w:noProof/>
        </w:rPr>
        <w:t xml:space="preserve"> Absatz </w:t>
      </w:r>
      <w:r w:rsidRPr="00E2773D">
        <w:rPr>
          <w:noProof/>
        </w:rPr>
        <w:t>5</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wird der als außerordentliche Vorfinanzierung gezahlte Betrag spätestens mit dem abschließenden Geschäftsjahr von der Kommission verrechnet.</w:t>
      </w:r>
    </w:p>
    <w:p w14:paraId="1591314A" w14:textId="77777777" w:rsidR="0001385B" w:rsidRPr="00C754CA" w:rsidRDefault="0001385B" w:rsidP="0001385B">
      <w:pPr>
        <w:pStyle w:val="Text2"/>
        <w:rPr>
          <w:noProof/>
        </w:rPr>
      </w:pPr>
      <w:r w:rsidRPr="00C754CA">
        <w:rPr>
          <w:noProof/>
        </w:rPr>
        <w:t>Gemäß Artikel </w:t>
      </w:r>
      <w:r w:rsidRPr="00E2773D">
        <w:rPr>
          <w:noProof/>
        </w:rPr>
        <w:t>90</w:t>
      </w:r>
      <w:r w:rsidRPr="00C754CA">
        <w:rPr>
          <w:noProof/>
        </w:rPr>
        <w:t xml:space="preserve"> Absatz </w:t>
      </w:r>
      <w:r w:rsidRPr="00E2773D">
        <w:rPr>
          <w:noProof/>
        </w:rPr>
        <w:t>6</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werden jegliche durch die außerordentliche Vorfinanzierung erwirtschaftete Zinsen für das betreffende Programm auf dieselbe Art verwendet wie die Mittel aus dem EFRE und fließen in die Rechnungslegung für das abschließende Geschäftsjahr ein.</w:t>
      </w:r>
    </w:p>
    <w:p w14:paraId="7E1C9076" w14:textId="77777777" w:rsidR="0001385B" w:rsidRPr="00C754CA" w:rsidRDefault="0001385B" w:rsidP="0001385B">
      <w:pPr>
        <w:pStyle w:val="Text2"/>
        <w:rPr>
          <w:noProof/>
        </w:rPr>
      </w:pPr>
      <w:r w:rsidRPr="00C754CA">
        <w:rPr>
          <w:noProof/>
        </w:rPr>
        <w:t>Gemäß Artikel </w:t>
      </w:r>
      <w:r w:rsidRPr="00E2773D">
        <w:rPr>
          <w:noProof/>
        </w:rPr>
        <w:t>97</w:t>
      </w:r>
      <w:r w:rsidRPr="00C754CA">
        <w:rPr>
          <w:noProof/>
        </w:rPr>
        <w:t xml:space="preserve"> Absatz </w:t>
      </w:r>
      <w:r w:rsidRPr="00E2773D">
        <w:rPr>
          <w:noProof/>
        </w:rPr>
        <w:t>1</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wird die außerordentliche Vorfinanzierung nicht ausgesetzt.</w:t>
      </w:r>
    </w:p>
    <w:p w14:paraId="28DF01FE" w14:textId="77777777" w:rsidR="0001385B" w:rsidRPr="00C754CA" w:rsidRDefault="0001385B" w:rsidP="0001385B">
      <w:pPr>
        <w:pStyle w:val="Text2"/>
        <w:rPr>
          <w:noProof/>
        </w:rPr>
      </w:pPr>
      <w:r w:rsidRPr="00C754CA">
        <w:rPr>
          <w:noProof/>
        </w:rPr>
        <w:t>Gemäß Artikel </w:t>
      </w:r>
      <w:r w:rsidRPr="00E2773D">
        <w:rPr>
          <w:noProof/>
        </w:rPr>
        <w:t>105</w:t>
      </w:r>
      <w:r w:rsidRPr="00C754CA">
        <w:rPr>
          <w:noProof/>
        </w:rPr>
        <w:t xml:space="preserve"> Absatz </w:t>
      </w:r>
      <w:r w:rsidRPr="00E2773D">
        <w:rPr>
          <w:noProof/>
        </w:rPr>
        <w:t>1</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schließt die Vorfinanzierung, die bei der Berechnung von Beträgen zu berücksichtigen ist, für die die Mittelbindung aufzuheben ist, die geleistete außerordentliche Vorfinanzierung ein.</w:t>
      </w:r>
    </w:p>
    <w:p w14:paraId="0E5C4252" w14:textId="77777777" w:rsidR="001D4C91" w:rsidRPr="00C754CA" w:rsidRDefault="0001385B" w:rsidP="0001385B">
      <w:pPr>
        <w:pStyle w:val="Text2"/>
        <w:rPr>
          <w:noProof/>
        </w:rPr>
      </w:pPr>
      <w:bookmarkStart w:id="30" w:name="_Hlk192683446"/>
      <w:r w:rsidRPr="00C754CA">
        <w:rPr>
          <w:noProof/>
        </w:rPr>
        <w:t>Abweichend von Artikel </w:t>
      </w:r>
      <w:r w:rsidRPr="00E2773D">
        <w:rPr>
          <w:noProof/>
        </w:rPr>
        <w:t>112</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wird der Höchstsatz der Kofinanzierung für spezielle Prioritäten, die zur Unterstützung der spezifischen Ziele nach Absatz </w:t>
      </w:r>
      <w:r w:rsidRPr="00E2773D">
        <w:rPr>
          <w:noProof/>
        </w:rPr>
        <w:t>1</w:t>
      </w:r>
      <w:r w:rsidRPr="00C754CA">
        <w:rPr>
          <w:noProof/>
        </w:rPr>
        <w:t xml:space="preserve"> Buchstabe a Ziffer vii, Buchstabe b Ziffer v, Buchstabe b Ziffer xi, Buchstabe b Ziffer xii, Buchstabe c Ziffer iii, Buchstabe d Ziffer vii und Buchstabe e Ziffer iii festgelegt wurden, auf </w:t>
      </w:r>
      <w:r w:rsidRPr="00E2773D">
        <w:rPr>
          <w:noProof/>
        </w:rPr>
        <w:t>100</w:t>
      </w:r>
      <w:r w:rsidRPr="00C754CA">
        <w:rPr>
          <w:noProof/>
        </w:rPr>
        <w:t> % festgelegt</w:t>
      </w:r>
      <w:bookmarkEnd w:id="30"/>
      <w:r w:rsidRPr="00C754CA">
        <w:rPr>
          <w:noProof/>
        </w:rPr>
        <w:t>.</w:t>
      </w:r>
      <w:bookmarkEnd w:id="27"/>
      <w:r w:rsidRPr="00C754CA">
        <w:rPr>
          <w:noProof/>
        </w:rPr>
        <w:t>“</w:t>
      </w:r>
    </w:p>
    <w:p w14:paraId="0468FD7D" w14:textId="77777777" w:rsidR="0001385B" w:rsidRPr="00C754CA" w:rsidRDefault="00C45D17" w:rsidP="00C45D17">
      <w:pPr>
        <w:pStyle w:val="Point1"/>
        <w:rPr>
          <w:noProof/>
        </w:rPr>
      </w:pPr>
      <w:r w:rsidRPr="00C754CA">
        <w:rPr>
          <w:noProof/>
        </w:rPr>
        <w:t>d)</w:t>
      </w:r>
      <w:r w:rsidRPr="00C754CA">
        <w:rPr>
          <w:noProof/>
        </w:rPr>
        <w:tab/>
        <w:t>Absatz </w:t>
      </w:r>
      <w:r w:rsidRPr="00E2773D">
        <w:rPr>
          <w:noProof/>
        </w:rPr>
        <w:t>3</w:t>
      </w:r>
      <w:r w:rsidRPr="00C754CA">
        <w:rPr>
          <w:noProof/>
        </w:rPr>
        <w:t xml:space="preserve"> erhält folgende Fassung:</w:t>
      </w:r>
    </w:p>
    <w:p w14:paraId="4AD152A4" w14:textId="77777777" w:rsidR="0001385B" w:rsidRPr="00C754CA" w:rsidRDefault="003A5937" w:rsidP="0001385B">
      <w:pPr>
        <w:pStyle w:val="Text2"/>
        <w:rPr>
          <w:noProof/>
        </w:rPr>
      </w:pPr>
      <w:bookmarkStart w:id="31" w:name="_Hlk193051717"/>
      <w:r w:rsidRPr="00C754CA">
        <w:rPr>
          <w:noProof/>
        </w:rPr>
        <w:t>„(</w:t>
      </w:r>
      <w:r w:rsidRPr="00E2773D">
        <w:rPr>
          <w:noProof/>
        </w:rPr>
        <w:t>3</w:t>
      </w:r>
      <w:r w:rsidRPr="00C754CA">
        <w:rPr>
          <w:noProof/>
        </w:rPr>
        <w:t>) Aus dem Kohäsionsfonds werden die PZ </w:t>
      </w:r>
      <w:r w:rsidRPr="00E2773D">
        <w:rPr>
          <w:noProof/>
        </w:rPr>
        <w:t>2</w:t>
      </w:r>
      <w:r w:rsidRPr="00C754CA">
        <w:rPr>
          <w:noProof/>
        </w:rPr>
        <w:t xml:space="preserve"> und </w:t>
      </w:r>
      <w:r w:rsidRPr="00E2773D">
        <w:rPr>
          <w:noProof/>
        </w:rPr>
        <w:t>3</w:t>
      </w:r>
      <w:r w:rsidRPr="00C754CA">
        <w:rPr>
          <w:noProof/>
        </w:rPr>
        <w:t xml:space="preserve"> unterstützt, einschließlich der spezifischen Ziele gemäß Absatz </w:t>
      </w:r>
      <w:r w:rsidRPr="00E2773D">
        <w:rPr>
          <w:noProof/>
        </w:rPr>
        <w:t>1</w:t>
      </w:r>
      <w:r w:rsidRPr="00C754CA">
        <w:rPr>
          <w:noProof/>
        </w:rPr>
        <w:t xml:space="preserve"> Buchstabe b Ziffer x, Buchstabe b Ziffer xi, Buchstabe b Ziffer xii und Buchstabe c Ziffer iii, sofern dies mit dem in den Artikeln </w:t>
      </w:r>
      <w:r w:rsidRPr="00E2773D">
        <w:rPr>
          <w:noProof/>
        </w:rPr>
        <w:t>6</w:t>
      </w:r>
      <w:r w:rsidRPr="00C754CA">
        <w:rPr>
          <w:noProof/>
        </w:rPr>
        <w:t xml:space="preserve"> und </w:t>
      </w:r>
      <w:r w:rsidRPr="00E2773D">
        <w:rPr>
          <w:noProof/>
        </w:rPr>
        <w:t>7</w:t>
      </w:r>
      <w:r w:rsidRPr="00C754CA">
        <w:rPr>
          <w:noProof/>
        </w:rPr>
        <w:t xml:space="preserve"> festgelegten Umfang der Unterstützung im Einklang steht.“</w:t>
      </w:r>
    </w:p>
    <w:bookmarkEnd w:id="31"/>
    <w:p w14:paraId="5B5C3A30" w14:textId="77777777" w:rsidR="0001385B" w:rsidRPr="00C754CA" w:rsidRDefault="00C45D17" w:rsidP="00C45D17">
      <w:pPr>
        <w:pStyle w:val="Point1"/>
        <w:rPr>
          <w:noProof/>
        </w:rPr>
      </w:pPr>
      <w:r w:rsidRPr="00C754CA">
        <w:rPr>
          <w:noProof/>
        </w:rPr>
        <w:t>e)</w:t>
      </w:r>
      <w:r w:rsidRPr="00C754CA">
        <w:rPr>
          <w:noProof/>
        </w:rPr>
        <w:tab/>
        <w:t>In Absatz </w:t>
      </w:r>
      <w:r w:rsidRPr="00E2773D">
        <w:rPr>
          <w:noProof/>
        </w:rPr>
        <w:t>4</w:t>
      </w:r>
      <w:r w:rsidRPr="00C754CA">
        <w:rPr>
          <w:noProof/>
        </w:rPr>
        <w:t xml:space="preserve"> Unterabsatz </w:t>
      </w:r>
      <w:r w:rsidRPr="00E2773D">
        <w:rPr>
          <w:noProof/>
        </w:rPr>
        <w:t>1</w:t>
      </w:r>
      <w:r w:rsidRPr="00C754CA">
        <w:rPr>
          <w:noProof/>
        </w:rPr>
        <w:t xml:space="preserve"> wird folgender Buchstabe d angefügt:</w:t>
      </w:r>
      <w:bookmarkStart w:id="32" w:name="_Hlk193051942"/>
    </w:p>
    <w:p w14:paraId="7C3130C1" w14:textId="77777777" w:rsidR="0001385B" w:rsidRPr="00C754CA" w:rsidRDefault="000E7561" w:rsidP="0001385B">
      <w:pPr>
        <w:pStyle w:val="Text2"/>
        <w:rPr>
          <w:noProof/>
        </w:rPr>
      </w:pPr>
      <w:r w:rsidRPr="00C754CA">
        <w:rPr>
          <w:noProof/>
        </w:rPr>
        <w:t>„d) zur Durchführung von Reformen beitragen</w:t>
      </w:r>
      <w:bookmarkEnd w:id="32"/>
      <w:r w:rsidRPr="00C754CA">
        <w:rPr>
          <w:noProof/>
        </w:rPr>
        <w:t>.“</w:t>
      </w:r>
    </w:p>
    <w:p w14:paraId="06285CD8" w14:textId="77777777" w:rsidR="0001385B" w:rsidRPr="00C754CA" w:rsidRDefault="00C45D17" w:rsidP="00C45D17">
      <w:pPr>
        <w:pStyle w:val="Point0"/>
        <w:rPr>
          <w:noProof/>
        </w:rPr>
      </w:pPr>
      <w:r w:rsidRPr="00C754CA">
        <w:rPr>
          <w:noProof/>
        </w:rPr>
        <w:t>(</w:t>
      </w:r>
      <w:r w:rsidRPr="00E2773D">
        <w:rPr>
          <w:noProof/>
        </w:rPr>
        <w:t>2</w:t>
      </w:r>
      <w:r w:rsidRPr="00C754CA">
        <w:rPr>
          <w:noProof/>
        </w:rPr>
        <w:t>)</w:t>
      </w:r>
      <w:r w:rsidRPr="00C754CA">
        <w:rPr>
          <w:noProof/>
        </w:rPr>
        <w:tab/>
        <w:t>Artikel </w:t>
      </w:r>
      <w:r w:rsidRPr="00E2773D">
        <w:rPr>
          <w:noProof/>
        </w:rPr>
        <w:t>4</w:t>
      </w:r>
      <w:r w:rsidRPr="00C754CA">
        <w:rPr>
          <w:noProof/>
        </w:rPr>
        <w:t xml:space="preserve"> Absatz </w:t>
      </w:r>
      <w:r w:rsidRPr="00E2773D">
        <w:rPr>
          <w:noProof/>
        </w:rPr>
        <w:t>10</w:t>
      </w:r>
      <w:r w:rsidRPr="00C754CA">
        <w:rPr>
          <w:noProof/>
        </w:rPr>
        <w:t xml:space="preserve"> erhält folgende Fassung: </w:t>
      </w:r>
    </w:p>
    <w:p w14:paraId="557E8057" w14:textId="77777777" w:rsidR="0001385B" w:rsidRPr="00C754CA" w:rsidRDefault="17C0D68F" w:rsidP="0001385B">
      <w:pPr>
        <w:pStyle w:val="Text1"/>
        <w:rPr>
          <w:noProof/>
        </w:rPr>
      </w:pPr>
      <w:bookmarkStart w:id="33" w:name="_Hlk193052289"/>
      <w:r w:rsidRPr="00C754CA">
        <w:rPr>
          <w:noProof/>
        </w:rPr>
        <w:t>„(</w:t>
      </w:r>
      <w:r w:rsidRPr="00E2773D">
        <w:rPr>
          <w:noProof/>
        </w:rPr>
        <w:t>10</w:t>
      </w:r>
      <w:r w:rsidRPr="00C754CA">
        <w:rPr>
          <w:noProof/>
        </w:rPr>
        <w:t>) Die Anforderungen an die thematische Konzentration gemäß Absatz </w:t>
      </w:r>
      <w:r w:rsidRPr="00E2773D">
        <w:rPr>
          <w:noProof/>
        </w:rPr>
        <w:t>6</w:t>
      </w:r>
      <w:r w:rsidRPr="00C754CA">
        <w:rPr>
          <w:noProof/>
        </w:rPr>
        <w:t xml:space="preserve"> des vorliegenden Artikels sind während des gesamten Programmplanungszeitraums einzuhalten, auch wenn EFRE-Zuweisungen zwischen Prioritäten eines Programms oder zwischen Programmen übertragen werden, sowie zum Zeitpunkt der Halbzeitüberprüfung gemäß Artikel </w:t>
      </w:r>
      <w:r w:rsidRPr="00E2773D">
        <w:rPr>
          <w:noProof/>
        </w:rPr>
        <w:t>18</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Reicht ein Mitgliedstaat einen Antrag auf Änderung eines Programms gemäß Artikel </w:t>
      </w:r>
      <w:r w:rsidRPr="00E2773D">
        <w:rPr>
          <w:noProof/>
        </w:rPr>
        <w:t>24</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ein, so können Beträge, die für die spezifischen Ziele gemäß</w:t>
      </w:r>
      <w:bookmarkStart w:id="34" w:name="_Hlk192677349"/>
      <w:r w:rsidRPr="00C754CA">
        <w:rPr>
          <w:noProof/>
        </w:rPr>
        <w:t xml:space="preserve"> Absatz </w:t>
      </w:r>
      <w:r w:rsidRPr="00E2773D">
        <w:rPr>
          <w:noProof/>
        </w:rPr>
        <w:t>1</w:t>
      </w:r>
      <w:r w:rsidRPr="00C754CA">
        <w:rPr>
          <w:noProof/>
        </w:rPr>
        <w:t xml:space="preserve"> Buchstabe a Ziffer vi und Buchstabe b Ziffer ix</w:t>
      </w:r>
      <w:bookmarkEnd w:id="34"/>
      <w:r w:rsidRPr="00C754CA">
        <w:rPr>
          <w:noProof/>
        </w:rPr>
        <w:t xml:space="preserve"> dieses Artikels </w:t>
      </w:r>
      <w:bookmarkStart w:id="35" w:name="_Hlk192677393"/>
      <w:r w:rsidRPr="00C754CA">
        <w:rPr>
          <w:noProof/>
        </w:rPr>
        <w:t>sowie für die spezifischen Ziele gemäß Absatz </w:t>
      </w:r>
      <w:r w:rsidRPr="00E2773D">
        <w:rPr>
          <w:noProof/>
        </w:rPr>
        <w:t>1</w:t>
      </w:r>
      <w:r w:rsidRPr="00C754CA">
        <w:rPr>
          <w:noProof/>
        </w:rPr>
        <w:t xml:space="preserve"> Buchstabe a Ziffer vii, Buchstabe b Ziffer v, Buchstabe b Ziffer xi, Buchstabe b Ziffer xii, Buchstabe c Ziffer iii, Buchstabe d Ziffer vii und Buchstabe e Ziffer iii</w:t>
      </w:r>
      <w:bookmarkEnd w:id="35"/>
      <w:r w:rsidRPr="00C754CA">
        <w:rPr>
          <w:noProof/>
        </w:rPr>
        <w:t xml:space="preserve"> dieses Artikels eingeplant sind, entweder auf die für PZ </w:t>
      </w:r>
      <w:r w:rsidRPr="00E2773D">
        <w:rPr>
          <w:noProof/>
        </w:rPr>
        <w:t>1</w:t>
      </w:r>
      <w:r w:rsidRPr="00C754CA">
        <w:rPr>
          <w:noProof/>
        </w:rPr>
        <w:t xml:space="preserve"> oder PZ </w:t>
      </w:r>
      <w:r w:rsidRPr="00E2773D">
        <w:rPr>
          <w:noProof/>
        </w:rPr>
        <w:t>2</w:t>
      </w:r>
      <w:r w:rsidRPr="00C754CA">
        <w:rPr>
          <w:noProof/>
        </w:rPr>
        <w:t xml:space="preserve"> erforderlichen Beträge angerechnet oder auf beide aufgeteilt werden.“ </w:t>
      </w:r>
    </w:p>
    <w:p w14:paraId="710E7A72" w14:textId="77777777" w:rsidR="0001385B" w:rsidRPr="00C754CA" w:rsidRDefault="00C45D17" w:rsidP="00C45D17">
      <w:pPr>
        <w:pStyle w:val="Point0"/>
        <w:rPr>
          <w:noProof/>
        </w:rPr>
      </w:pPr>
      <w:bookmarkStart w:id="36" w:name="_Hlk191394998"/>
      <w:bookmarkEnd w:id="33"/>
      <w:r w:rsidRPr="00C754CA">
        <w:rPr>
          <w:noProof/>
        </w:rPr>
        <w:t>(</w:t>
      </w:r>
      <w:r w:rsidRPr="00E2773D">
        <w:rPr>
          <w:noProof/>
        </w:rPr>
        <w:t>3</w:t>
      </w:r>
      <w:r w:rsidRPr="00C754CA">
        <w:rPr>
          <w:noProof/>
        </w:rPr>
        <w:t>)</w:t>
      </w:r>
      <w:r w:rsidRPr="00C754CA">
        <w:rPr>
          <w:noProof/>
        </w:rPr>
        <w:tab/>
        <w:t>Artikel </w:t>
      </w:r>
      <w:r w:rsidRPr="00E2773D">
        <w:rPr>
          <w:noProof/>
        </w:rPr>
        <w:t>5</w:t>
      </w:r>
      <w:r w:rsidRPr="00C754CA">
        <w:rPr>
          <w:noProof/>
        </w:rPr>
        <w:t xml:space="preserve"> wird wie folgt geändert:</w:t>
      </w:r>
    </w:p>
    <w:p w14:paraId="537C5662" w14:textId="77777777" w:rsidR="00D95CDF" w:rsidRPr="00C754CA" w:rsidRDefault="00C45D17" w:rsidP="00C45D17">
      <w:pPr>
        <w:pStyle w:val="Point1"/>
        <w:rPr>
          <w:noProof/>
        </w:rPr>
      </w:pPr>
      <w:r w:rsidRPr="00C754CA">
        <w:rPr>
          <w:noProof/>
        </w:rPr>
        <w:t>a)</w:t>
      </w:r>
      <w:r w:rsidRPr="00C754CA">
        <w:rPr>
          <w:noProof/>
        </w:rPr>
        <w:tab/>
        <w:t>Absatz </w:t>
      </w:r>
      <w:r w:rsidRPr="00E2773D">
        <w:rPr>
          <w:noProof/>
        </w:rPr>
        <w:t>2</w:t>
      </w:r>
      <w:r w:rsidRPr="00C754CA">
        <w:rPr>
          <w:noProof/>
        </w:rPr>
        <w:t xml:space="preserve"> wird wie folgt geändert: </w:t>
      </w:r>
    </w:p>
    <w:p w14:paraId="640AC7E3" w14:textId="77777777" w:rsidR="00AC2305" w:rsidRPr="00C754CA" w:rsidRDefault="00CB3F91" w:rsidP="00037D9D">
      <w:pPr>
        <w:pStyle w:val="Point2"/>
        <w:rPr>
          <w:noProof/>
        </w:rPr>
      </w:pPr>
      <w:r w:rsidRPr="00C754CA">
        <w:rPr>
          <w:noProof/>
        </w:rPr>
        <w:t>i)</w:t>
      </w:r>
      <w:r w:rsidRPr="00C754CA">
        <w:rPr>
          <w:noProof/>
        </w:rPr>
        <w:tab/>
        <w:t>Unterabsatz </w:t>
      </w:r>
      <w:r w:rsidRPr="00E2773D">
        <w:rPr>
          <w:noProof/>
        </w:rPr>
        <w:t>1</w:t>
      </w:r>
      <w:r w:rsidRPr="00C754CA">
        <w:rPr>
          <w:noProof/>
        </w:rPr>
        <w:t xml:space="preserve"> wird wie folgt geändert:</w:t>
      </w:r>
    </w:p>
    <w:p w14:paraId="0CA34AF3" w14:textId="77777777" w:rsidR="0001385B" w:rsidRPr="00C754CA" w:rsidRDefault="5C786600" w:rsidP="001B6C6C">
      <w:pPr>
        <w:pStyle w:val="Text2"/>
        <w:rPr>
          <w:noProof/>
        </w:rPr>
      </w:pPr>
      <w:r w:rsidRPr="00C754CA">
        <w:rPr>
          <w:noProof/>
        </w:rPr>
        <w:t>(</w:t>
      </w:r>
      <w:r w:rsidRPr="00E2773D">
        <w:rPr>
          <w:noProof/>
        </w:rPr>
        <w:t>1</w:t>
      </w:r>
      <w:r w:rsidRPr="00C754CA">
        <w:rPr>
          <w:noProof/>
        </w:rPr>
        <w:t>)</w:t>
      </w:r>
      <w:r w:rsidRPr="00C754CA">
        <w:rPr>
          <w:noProof/>
        </w:rPr>
        <w:tab/>
        <w:t>Buchstabe e erhält folgende Fassung:</w:t>
      </w:r>
    </w:p>
    <w:p w14:paraId="6F7F0CF0" w14:textId="77777777" w:rsidR="009E771D" w:rsidRPr="00C754CA" w:rsidRDefault="78FC8916" w:rsidP="13254EE5">
      <w:pPr>
        <w:pStyle w:val="Text2"/>
        <w:rPr>
          <w:noProof/>
        </w:rPr>
      </w:pPr>
      <w:r w:rsidRPr="00C754CA">
        <w:rPr>
          <w:noProof/>
        </w:rPr>
        <w:t>„e) wenn sie zu den spezifischen Zielen des PZ </w:t>
      </w:r>
      <w:r w:rsidRPr="00E2773D">
        <w:rPr>
          <w:noProof/>
        </w:rPr>
        <w:t>1</w:t>
      </w:r>
      <w:r w:rsidRPr="00C754CA">
        <w:rPr>
          <w:noProof/>
        </w:rPr>
        <w:t xml:space="preserve"> gemäß Artikel </w:t>
      </w:r>
      <w:r w:rsidRPr="00E2773D">
        <w:rPr>
          <w:noProof/>
        </w:rPr>
        <w:t>3</w:t>
      </w:r>
      <w:r w:rsidRPr="00C754CA">
        <w:rPr>
          <w:noProof/>
        </w:rPr>
        <w:t xml:space="preserve"> Absatz </w:t>
      </w:r>
      <w:r w:rsidRPr="00E2773D">
        <w:rPr>
          <w:noProof/>
        </w:rPr>
        <w:t>1</w:t>
      </w:r>
      <w:r w:rsidRPr="00C754CA">
        <w:rPr>
          <w:noProof/>
        </w:rPr>
        <w:t xml:space="preserve"> Buchstabe a Ziffern vi und vii dieser Verordnung oder zu dem spezifischen Ziel des PZ </w:t>
      </w:r>
      <w:r w:rsidRPr="00E2773D">
        <w:rPr>
          <w:noProof/>
        </w:rPr>
        <w:t>2</w:t>
      </w:r>
      <w:r w:rsidRPr="00C754CA">
        <w:rPr>
          <w:noProof/>
        </w:rPr>
        <w:t xml:space="preserve"> gemäß Artikel </w:t>
      </w:r>
      <w:r w:rsidRPr="00E2773D">
        <w:rPr>
          <w:noProof/>
        </w:rPr>
        <w:t>3</w:t>
      </w:r>
      <w:r w:rsidRPr="00C754CA">
        <w:rPr>
          <w:noProof/>
        </w:rPr>
        <w:t xml:space="preserve"> Absatz </w:t>
      </w:r>
      <w:r w:rsidRPr="00E2773D">
        <w:rPr>
          <w:noProof/>
        </w:rPr>
        <w:t>1</w:t>
      </w:r>
      <w:r w:rsidRPr="00C754CA">
        <w:rPr>
          <w:noProof/>
        </w:rPr>
        <w:t xml:space="preserve"> Buchstabe b Ziffer ix dieser Verordnung beitragen;“</w:t>
      </w:r>
    </w:p>
    <w:p w14:paraId="78204A05" w14:textId="77777777" w:rsidR="78FC8916" w:rsidRPr="00C754CA" w:rsidRDefault="009E771D" w:rsidP="13254EE5">
      <w:pPr>
        <w:pStyle w:val="Text2"/>
        <w:rPr>
          <w:noProof/>
        </w:rPr>
      </w:pPr>
      <w:r w:rsidRPr="00C754CA">
        <w:rPr>
          <w:noProof/>
        </w:rPr>
        <w:t>(</w:t>
      </w:r>
      <w:r w:rsidRPr="00E2773D">
        <w:rPr>
          <w:noProof/>
        </w:rPr>
        <w:t>2</w:t>
      </w:r>
      <w:r w:rsidRPr="00C754CA">
        <w:rPr>
          <w:noProof/>
        </w:rPr>
        <w:t>)</w:t>
      </w:r>
      <w:r w:rsidRPr="00C754CA">
        <w:rPr>
          <w:noProof/>
        </w:rPr>
        <w:tab/>
        <w:t xml:space="preserve">Folgender Buchstabe f wird angefügt: </w:t>
      </w:r>
    </w:p>
    <w:p w14:paraId="09C4A552" w14:textId="77777777" w:rsidR="78FC8916" w:rsidRPr="00C754CA" w:rsidRDefault="009E771D" w:rsidP="142F223E">
      <w:pPr>
        <w:pStyle w:val="Text2"/>
        <w:rPr>
          <w:noProof/>
        </w:rPr>
      </w:pPr>
      <w:r w:rsidRPr="00C754CA">
        <w:rPr>
          <w:noProof/>
        </w:rPr>
        <w:t>„f) wenn sie zu einem wichtigen Vorhaben von gemeinsamem europäischem Interesse beitragen, das von der Kommission gemäß Artikel </w:t>
      </w:r>
      <w:r w:rsidRPr="00E2773D">
        <w:rPr>
          <w:noProof/>
        </w:rPr>
        <w:t>107</w:t>
      </w:r>
      <w:r w:rsidRPr="00C754CA">
        <w:rPr>
          <w:noProof/>
        </w:rPr>
        <w:t xml:space="preserve"> Absatz </w:t>
      </w:r>
      <w:r w:rsidRPr="00E2773D">
        <w:rPr>
          <w:noProof/>
        </w:rPr>
        <w:t>3</w:t>
      </w:r>
      <w:r w:rsidRPr="00C754CA">
        <w:rPr>
          <w:noProof/>
        </w:rPr>
        <w:t xml:space="preserve"> Buchstabe b des Vertrags über die Arbeitsweise der Europäischen Union (AEUV) und der Mitteilung C(</w:t>
      </w:r>
      <w:r w:rsidRPr="00E2773D">
        <w:rPr>
          <w:noProof/>
        </w:rPr>
        <w:t>2021</w:t>
      </w:r>
      <w:r w:rsidRPr="00C754CA">
        <w:rPr>
          <w:noProof/>
        </w:rPr>
        <w:t>) </w:t>
      </w:r>
      <w:r w:rsidRPr="00E2773D">
        <w:rPr>
          <w:noProof/>
        </w:rPr>
        <w:t>8481</w:t>
      </w:r>
      <w:r w:rsidRPr="00C754CA">
        <w:rPr>
          <w:noProof/>
        </w:rPr>
        <w:t xml:space="preserve"> genehmigt wurde, wobei ein Schwerpunkt weiterhin auf KMU liegt;“</w:t>
      </w:r>
    </w:p>
    <w:p w14:paraId="5806E5DF" w14:textId="77777777" w:rsidR="0001385B" w:rsidRPr="00C754CA" w:rsidRDefault="00AC2305" w:rsidP="001B6C6C">
      <w:pPr>
        <w:pStyle w:val="Text2"/>
        <w:rPr>
          <w:noProof/>
        </w:rPr>
      </w:pPr>
      <w:r w:rsidRPr="00C754CA">
        <w:rPr>
          <w:noProof/>
        </w:rPr>
        <w:t>(</w:t>
      </w:r>
      <w:r w:rsidRPr="00E2773D">
        <w:rPr>
          <w:noProof/>
        </w:rPr>
        <w:t>3</w:t>
      </w:r>
      <w:r w:rsidRPr="00C754CA">
        <w:rPr>
          <w:noProof/>
        </w:rPr>
        <w:t>)</w:t>
      </w:r>
      <w:r w:rsidRPr="00C754CA">
        <w:rPr>
          <w:noProof/>
        </w:rPr>
        <w:tab/>
        <w:t>Folgender Buchstabe g wird angefügt:</w:t>
      </w:r>
    </w:p>
    <w:p w14:paraId="1BAD86DD" w14:textId="77777777" w:rsidR="0001385B" w:rsidRPr="00C754CA" w:rsidRDefault="67705C1E" w:rsidP="0001385B">
      <w:pPr>
        <w:pStyle w:val="Text2"/>
        <w:rPr>
          <w:noProof/>
        </w:rPr>
      </w:pPr>
      <w:bookmarkStart w:id="37" w:name="_Hlk193053661"/>
      <w:bookmarkStart w:id="38" w:name="_Hlk192609345"/>
      <w:r w:rsidRPr="00C754CA">
        <w:rPr>
          <w:noProof/>
        </w:rPr>
        <w:t>„g) wenn sie die industrielle Anpassung im Zusammenhang mit der Dekarbonisierung von Produktionsverfahren und Produkten erleichtern.“</w:t>
      </w:r>
      <w:bookmarkEnd w:id="37"/>
      <w:bookmarkEnd w:id="38"/>
    </w:p>
    <w:bookmarkEnd w:id="36"/>
    <w:p w14:paraId="6B1B8082" w14:textId="77777777" w:rsidR="0001385B" w:rsidRPr="00C754CA" w:rsidRDefault="00CB3F91" w:rsidP="00037D9D">
      <w:pPr>
        <w:pStyle w:val="Point2"/>
        <w:rPr>
          <w:noProof/>
        </w:rPr>
      </w:pPr>
      <w:r w:rsidRPr="00C754CA">
        <w:rPr>
          <w:noProof/>
        </w:rPr>
        <w:t>ii)</w:t>
      </w:r>
      <w:r w:rsidRPr="00C754CA">
        <w:rPr>
          <w:noProof/>
        </w:rPr>
        <w:tab/>
        <w:t>Unterabsatz </w:t>
      </w:r>
      <w:r w:rsidRPr="00E2773D">
        <w:rPr>
          <w:noProof/>
        </w:rPr>
        <w:t>2</w:t>
      </w:r>
      <w:r w:rsidRPr="00C754CA">
        <w:rPr>
          <w:noProof/>
        </w:rPr>
        <w:t xml:space="preserve"> wird gestrichen.</w:t>
      </w:r>
    </w:p>
    <w:p w14:paraId="191DEC39" w14:textId="77777777" w:rsidR="0001385B" w:rsidRPr="00C754CA" w:rsidRDefault="00C45D17" w:rsidP="00C45D17">
      <w:pPr>
        <w:pStyle w:val="Point1"/>
        <w:rPr>
          <w:noProof/>
        </w:rPr>
      </w:pPr>
      <w:r w:rsidRPr="00C754CA">
        <w:rPr>
          <w:noProof/>
        </w:rPr>
        <w:t>b)</w:t>
      </w:r>
      <w:r w:rsidRPr="00C754CA">
        <w:rPr>
          <w:noProof/>
        </w:rPr>
        <w:tab/>
        <w:t>Folgende Absätze </w:t>
      </w:r>
      <w:r w:rsidRPr="00E2773D">
        <w:rPr>
          <w:noProof/>
        </w:rPr>
        <w:t>10</w:t>
      </w:r>
      <w:r w:rsidRPr="00C754CA">
        <w:rPr>
          <w:noProof/>
        </w:rPr>
        <w:t xml:space="preserve"> und </w:t>
      </w:r>
      <w:r w:rsidRPr="00E2773D">
        <w:rPr>
          <w:noProof/>
        </w:rPr>
        <w:t>11</w:t>
      </w:r>
      <w:r w:rsidRPr="00C754CA">
        <w:rPr>
          <w:noProof/>
        </w:rPr>
        <w:t xml:space="preserve"> werden angefügt: </w:t>
      </w:r>
    </w:p>
    <w:p w14:paraId="2BFBF6E3" w14:textId="77777777" w:rsidR="00E52F62" w:rsidRPr="00C754CA" w:rsidRDefault="18A587BF" w:rsidP="00E52F62">
      <w:pPr>
        <w:pStyle w:val="Text1"/>
        <w:rPr>
          <w:noProof/>
        </w:rPr>
      </w:pPr>
      <w:bookmarkStart w:id="39" w:name="_Hlk193054521"/>
      <w:r w:rsidRPr="00C754CA">
        <w:rPr>
          <w:noProof/>
        </w:rPr>
        <w:t>„(</w:t>
      </w:r>
      <w:r w:rsidRPr="00E2773D">
        <w:rPr>
          <w:noProof/>
        </w:rPr>
        <w:t>10</w:t>
      </w:r>
      <w:r w:rsidRPr="00C754CA">
        <w:rPr>
          <w:noProof/>
        </w:rPr>
        <w:t>) Zusätzlich zu den in Artikel </w:t>
      </w:r>
      <w:r w:rsidRPr="00E2773D">
        <w:rPr>
          <w:noProof/>
        </w:rPr>
        <w:t>14</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festgelegten Möglichkeiten können die Mitgliedstaaten mit Zustimmung der betreffenden Verwaltungsbehörden der Mitgliedstaaten-Komponente des Fonds „InvestEU“ Mittel </w:t>
      </w:r>
      <w:bookmarkStart w:id="40" w:name="_Hlk192233916"/>
      <w:r w:rsidRPr="00C754CA">
        <w:rPr>
          <w:noProof/>
        </w:rPr>
        <w:t>aus dem EFRE und dem Kohäsionsfonds zuweisen, um sie über das in [Artikel </w:t>
      </w:r>
      <w:r w:rsidRPr="00E2773D">
        <w:rPr>
          <w:noProof/>
        </w:rPr>
        <w:t>10</w:t>
      </w:r>
      <w:r w:rsidRPr="00C754CA">
        <w:rPr>
          <w:noProof/>
        </w:rPr>
        <w:t xml:space="preserve">a der Verordnung (EU) </w:t>
      </w:r>
      <w:r w:rsidRPr="00E2773D">
        <w:rPr>
          <w:noProof/>
        </w:rPr>
        <w:t>2021</w:t>
      </w:r>
      <w:r w:rsidRPr="00C754CA">
        <w:rPr>
          <w:noProof/>
        </w:rPr>
        <w:t>/</w:t>
      </w:r>
      <w:r w:rsidRPr="00E2773D">
        <w:rPr>
          <w:noProof/>
        </w:rPr>
        <w:t>523</w:t>
      </w:r>
      <w:r w:rsidRPr="00C754CA">
        <w:rPr>
          <w:noProof/>
        </w:rPr>
        <w:t xml:space="preserve"> des </w:t>
      </w:r>
      <w:bookmarkEnd w:id="40"/>
      <w:r w:rsidRPr="00C754CA">
        <w:rPr>
          <w:noProof/>
        </w:rPr>
        <w:t>Europäischen Parlaments und des Rates]* festzulegende InvestEU-Finanzierungsinstrument einzusetzen. Diese Beiträge unterliegen den in Artikel </w:t>
      </w:r>
      <w:r w:rsidRPr="00E2773D">
        <w:rPr>
          <w:noProof/>
        </w:rPr>
        <w:t>14</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festgelegten Verfahren und werden auf die in dem genannten Artikel festgelegten Obergrenzen angerechnet. Mittel, die durch als Beitrag an das InvestEU-Finanzinstrument gemäß Artikel </w:t>
      </w:r>
      <w:r w:rsidRPr="00E2773D">
        <w:rPr>
          <w:noProof/>
        </w:rPr>
        <w:t>14</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geleistete Beträge generiert wurden oder ihnen zuzuschreiben sind, werden den Mitgliedstaaten gemäß der Beitragsvereinbarung zur Verfügung gestellt und für Unterstützung im Rahmen desselben Ziels oder derselben Ziele in Form von Finanzierungsinstrumenten oder Haushaltsgarantien verwendet.</w:t>
      </w:r>
    </w:p>
    <w:p w14:paraId="7C3B346F" w14:textId="77777777" w:rsidR="00F76EA9" w:rsidRPr="00C754CA" w:rsidRDefault="5834D59F" w:rsidP="0001385B">
      <w:pPr>
        <w:pStyle w:val="Text1"/>
        <w:rPr>
          <w:noProof/>
        </w:rPr>
      </w:pPr>
      <w:r w:rsidRPr="00C754CA">
        <w:rPr>
          <w:noProof/>
        </w:rPr>
        <w:t>(</w:t>
      </w:r>
      <w:r w:rsidRPr="00E2773D">
        <w:rPr>
          <w:noProof/>
        </w:rPr>
        <w:t>11</w:t>
      </w:r>
      <w:r w:rsidRPr="00C754CA">
        <w:rPr>
          <w:noProof/>
        </w:rPr>
        <w:t>)</w:t>
      </w:r>
      <w:r w:rsidRPr="00C754CA">
        <w:rPr>
          <w:rFonts w:ascii="Aptos" w:hAnsi="Aptos"/>
          <w:noProof/>
          <w:sz w:val="22"/>
        </w:rPr>
        <w:t xml:space="preserve"> </w:t>
      </w:r>
      <w:r w:rsidRPr="00C754CA">
        <w:rPr>
          <w:noProof/>
        </w:rPr>
        <w:t>Zusätzlich zu den in Artikel </w:t>
      </w:r>
      <w:r w:rsidRPr="00E2773D">
        <w:rPr>
          <w:noProof/>
        </w:rPr>
        <w:t>73</w:t>
      </w:r>
      <w:r w:rsidRPr="00C754CA">
        <w:rPr>
          <w:noProof/>
        </w:rPr>
        <w:t xml:space="preserve"> Absatz </w:t>
      </w:r>
      <w:r w:rsidRPr="00E2773D">
        <w:rPr>
          <w:noProof/>
        </w:rPr>
        <w:t>4</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vorgesehenen Möglichkeiten kann die Verwaltungsbehörde für Vorhaben, die direkt an einem von der Kommission gemäß Artikel </w:t>
      </w:r>
      <w:r w:rsidRPr="00E2773D">
        <w:rPr>
          <w:noProof/>
        </w:rPr>
        <w:t>107</w:t>
      </w:r>
      <w:r w:rsidRPr="00C754CA">
        <w:rPr>
          <w:noProof/>
        </w:rPr>
        <w:t xml:space="preserve"> Absatz </w:t>
      </w:r>
      <w:r w:rsidRPr="00E2773D">
        <w:rPr>
          <w:noProof/>
        </w:rPr>
        <w:t>3</w:t>
      </w:r>
      <w:r w:rsidRPr="00C754CA">
        <w:rPr>
          <w:noProof/>
        </w:rPr>
        <w:t xml:space="preserve"> Buchstabe b AEUV und der Mitteilung C(</w:t>
      </w:r>
      <w:r w:rsidRPr="00E2773D">
        <w:rPr>
          <w:noProof/>
        </w:rPr>
        <w:t>2021</w:t>
      </w:r>
      <w:r w:rsidRPr="00C754CA">
        <w:rPr>
          <w:noProof/>
        </w:rPr>
        <w:t>) </w:t>
      </w:r>
      <w:r w:rsidRPr="00E2773D">
        <w:rPr>
          <w:noProof/>
        </w:rPr>
        <w:t>8481</w:t>
      </w:r>
      <w:r w:rsidRPr="00C754CA">
        <w:rPr>
          <w:noProof/>
        </w:rPr>
        <w:t xml:space="preserve"> genehmigten wichtigen Vorhaben von gemeinsamem europäischem Interesse beteiligt sind, beschließen, direkt eine Unterstützung aus dem EFRE zu gewähren, sofern diese Vorhaben die in Artikel </w:t>
      </w:r>
      <w:r w:rsidRPr="00E2773D">
        <w:rPr>
          <w:noProof/>
        </w:rPr>
        <w:t>73</w:t>
      </w:r>
      <w:r w:rsidRPr="00C754CA">
        <w:rPr>
          <w:noProof/>
        </w:rPr>
        <w:t xml:space="preserve"> Absatz </w:t>
      </w:r>
      <w:r w:rsidRPr="00E2773D">
        <w:rPr>
          <w:noProof/>
        </w:rPr>
        <w:t>2</w:t>
      </w:r>
      <w:r w:rsidRPr="00C754CA">
        <w:rPr>
          <w:noProof/>
        </w:rPr>
        <w:t xml:space="preserve"> Buchstaben a, b und g der Verordnung (EU) </w:t>
      </w:r>
      <w:r w:rsidRPr="00E2773D">
        <w:rPr>
          <w:noProof/>
        </w:rPr>
        <w:t>2021</w:t>
      </w:r>
      <w:r w:rsidRPr="00C754CA">
        <w:rPr>
          <w:noProof/>
        </w:rPr>
        <w:t>/</w:t>
      </w:r>
      <w:r w:rsidRPr="00E2773D">
        <w:rPr>
          <w:noProof/>
        </w:rPr>
        <w:t>1060</w:t>
      </w:r>
      <w:r w:rsidRPr="00C754CA">
        <w:rPr>
          <w:noProof/>
        </w:rPr>
        <w:t xml:space="preserve"> genannten Anforderungen erfüllen. </w:t>
      </w:r>
    </w:p>
    <w:p w14:paraId="06577B97" w14:textId="77777777" w:rsidR="00F76EA9" w:rsidRPr="00C754CA" w:rsidRDefault="00F76EA9" w:rsidP="0001385B">
      <w:pPr>
        <w:pStyle w:val="Text1"/>
        <w:rPr>
          <w:noProof/>
        </w:rPr>
      </w:pPr>
      <w:r w:rsidRPr="00C754CA">
        <w:rPr>
          <w:noProof/>
        </w:rPr>
        <w:t>______</w:t>
      </w:r>
    </w:p>
    <w:p w14:paraId="652D0DAB" w14:textId="77777777" w:rsidR="0001385B" w:rsidRPr="00C754CA" w:rsidRDefault="00F76EA9" w:rsidP="0001385B">
      <w:pPr>
        <w:pStyle w:val="Text1"/>
        <w:rPr>
          <w:noProof/>
        </w:rPr>
      </w:pPr>
      <w:r w:rsidRPr="00C754CA">
        <w:rPr>
          <w:noProof/>
        </w:rPr>
        <w:t xml:space="preserve">* Verordnung (EU) </w:t>
      </w:r>
      <w:r w:rsidRPr="00E2773D">
        <w:rPr>
          <w:noProof/>
        </w:rPr>
        <w:t>2021</w:t>
      </w:r>
      <w:r w:rsidRPr="00C754CA">
        <w:rPr>
          <w:noProof/>
        </w:rPr>
        <w:t>/</w:t>
      </w:r>
      <w:r w:rsidRPr="00E2773D">
        <w:rPr>
          <w:noProof/>
        </w:rPr>
        <w:t>523</w:t>
      </w:r>
      <w:r w:rsidRPr="00C754CA">
        <w:rPr>
          <w:noProof/>
        </w:rPr>
        <w:t xml:space="preserve"> des Europäischen Parlaments und des Rates vom </w:t>
      </w:r>
      <w:r w:rsidRPr="00E2773D">
        <w:rPr>
          <w:noProof/>
        </w:rPr>
        <w:t>24</w:t>
      </w:r>
      <w:r w:rsidRPr="00C754CA">
        <w:rPr>
          <w:noProof/>
        </w:rPr>
        <w:t xml:space="preserve">. März </w:t>
      </w:r>
      <w:r w:rsidRPr="00E2773D">
        <w:rPr>
          <w:noProof/>
        </w:rPr>
        <w:t>2021</w:t>
      </w:r>
      <w:r w:rsidRPr="00C754CA">
        <w:rPr>
          <w:noProof/>
        </w:rPr>
        <w:t xml:space="preserve"> zur Einrichtung des Programms „InvestEU“ und zur Änderung der Verordnung (EU) </w:t>
      </w:r>
      <w:r w:rsidRPr="00E2773D">
        <w:rPr>
          <w:noProof/>
        </w:rPr>
        <w:t>2015</w:t>
      </w:r>
      <w:r w:rsidRPr="00C754CA">
        <w:rPr>
          <w:noProof/>
        </w:rPr>
        <w:t>/</w:t>
      </w:r>
      <w:r w:rsidRPr="00E2773D">
        <w:rPr>
          <w:noProof/>
        </w:rPr>
        <w:t>1017</w:t>
      </w:r>
      <w:r w:rsidRPr="00C754CA">
        <w:rPr>
          <w:noProof/>
        </w:rPr>
        <w:t xml:space="preserve"> ( ABl. L </w:t>
      </w:r>
      <w:r w:rsidRPr="00E2773D">
        <w:rPr>
          <w:noProof/>
        </w:rPr>
        <w:t>107</w:t>
      </w:r>
      <w:r w:rsidRPr="00C754CA">
        <w:rPr>
          <w:noProof/>
        </w:rPr>
        <w:t xml:space="preserve"> vom </w:t>
      </w:r>
      <w:r w:rsidRPr="00E2773D">
        <w:rPr>
          <w:noProof/>
        </w:rPr>
        <w:t>26</w:t>
      </w:r>
      <w:r w:rsidRPr="00C754CA">
        <w:rPr>
          <w:noProof/>
        </w:rPr>
        <w:t>.</w:t>
      </w:r>
      <w:r w:rsidRPr="00E2773D">
        <w:rPr>
          <w:noProof/>
        </w:rPr>
        <w:t>3</w:t>
      </w:r>
      <w:r w:rsidRPr="00C754CA">
        <w:rPr>
          <w:noProof/>
        </w:rPr>
        <w:t>.</w:t>
      </w:r>
      <w:r w:rsidRPr="00E2773D">
        <w:rPr>
          <w:noProof/>
        </w:rPr>
        <w:t>2021</w:t>
      </w:r>
      <w:r w:rsidRPr="00C754CA">
        <w:rPr>
          <w:noProof/>
        </w:rPr>
        <w:t>, S. </w:t>
      </w:r>
      <w:r w:rsidRPr="00E2773D">
        <w:rPr>
          <w:noProof/>
        </w:rPr>
        <w:t>30</w:t>
      </w:r>
      <w:r w:rsidRPr="00C754CA">
        <w:rPr>
          <w:noProof/>
        </w:rPr>
        <w:t>, ELI: http://data.europa.eu/eli/reg/</w:t>
      </w:r>
      <w:r w:rsidRPr="00E2773D">
        <w:rPr>
          <w:noProof/>
        </w:rPr>
        <w:t>2021</w:t>
      </w:r>
      <w:r w:rsidRPr="00C754CA">
        <w:rPr>
          <w:noProof/>
        </w:rPr>
        <w:t>/</w:t>
      </w:r>
      <w:r w:rsidRPr="00E2773D">
        <w:rPr>
          <w:noProof/>
        </w:rPr>
        <w:t>523</w:t>
      </w:r>
      <w:r w:rsidRPr="00C754CA">
        <w:rPr>
          <w:noProof/>
        </w:rPr>
        <w:t>/oj).“</w:t>
      </w:r>
    </w:p>
    <w:bookmarkEnd w:id="39"/>
    <w:p w14:paraId="0C7253B5" w14:textId="77777777" w:rsidR="0001385B" w:rsidRPr="00C754CA" w:rsidRDefault="00C45D17" w:rsidP="00C45D17">
      <w:pPr>
        <w:pStyle w:val="Point0"/>
        <w:rPr>
          <w:noProof/>
        </w:rPr>
      </w:pPr>
      <w:r w:rsidRPr="00C754CA">
        <w:rPr>
          <w:noProof/>
        </w:rPr>
        <w:t>(</w:t>
      </w:r>
      <w:r w:rsidRPr="00E2773D">
        <w:rPr>
          <w:noProof/>
        </w:rPr>
        <w:t>4</w:t>
      </w:r>
      <w:r w:rsidRPr="00C754CA">
        <w:rPr>
          <w:noProof/>
        </w:rPr>
        <w:t>)</w:t>
      </w:r>
      <w:r w:rsidRPr="00C754CA">
        <w:rPr>
          <w:noProof/>
        </w:rPr>
        <w:tab/>
        <w:t>Artikel </w:t>
      </w:r>
      <w:r w:rsidRPr="00E2773D">
        <w:rPr>
          <w:noProof/>
        </w:rPr>
        <w:t>7</w:t>
      </w:r>
      <w:r w:rsidRPr="00C754CA">
        <w:rPr>
          <w:noProof/>
        </w:rPr>
        <w:t xml:space="preserve"> Absatz </w:t>
      </w:r>
      <w:r w:rsidRPr="00E2773D">
        <w:rPr>
          <w:noProof/>
        </w:rPr>
        <w:t>1</w:t>
      </w:r>
      <w:r w:rsidRPr="00C754CA">
        <w:rPr>
          <w:noProof/>
        </w:rPr>
        <w:t xml:space="preserve"> wird wie folgt geändert:</w:t>
      </w:r>
    </w:p>
    <w:p w14:paraId="19020087" w14:textId="77777777" w:rsidR="00A15047" w:rsidRPr="00C754CA" w:rsidRDefault="00C45D17" w:rsidP="00C45D17">
      <w:pPr>
        <w:pStyle w:val="Point1"/>
        <w:rPr>
          <w:noProof/>
        </w:rPr>
      </w:pPr>
      <w:r w:rsidRPr="00C754CA">
        <w:rPr>
          <w:noProof/>
        </w:rPr>
        <w:t>a)</w:t>
      </w:r>
      <w:r w:rsidRPr="00C754CA">
        <w:rPr>
          <w:noProof/>
        </w:rPr>
        <w:tab/>
        <w:t>Buchstabe b wird wie folgt geändert:</w:t>
      </w:r>
    </w:p>
    <w:p w14:paraId="7CDAF03D" w14:textId="77777777" w:rsidR="0001385B" w:rsidRPr="00C754CA" w:rsidRDefault="00037D9D" w:rsidP="00037D9D">
      <w:pPr>
        <w:pStyle w:val="Text2"/>
        <w:rPr>
          <w:noProof/>
        </w:rPr>
      </w:pPr>
      <w:r w:rsidRPr="00C754CA">
        <w:rPr>
          <w:noProof/>
        </w:rPr>
        <w:t xml:space="preserve">„b) Investitionen zur Verringerung von Treibhausgasemissionen aus Tätigkeiten, die in Anhang I der Richtlinie </w:t>
      </w:r>
      <w:r w:rsidRPr="00E2773D">
        <w:rPr>
          <w:noProof/>
        </w:rPr>
        <w:t>2003</w:t>
      </w:r>
      <w:r w:rsidRPr="00C754CA">
        <w:rPr>
          <w:noProof/>
        </w:rPr>
        <w:t>/</w:t>
      </w:r>
      <w:r w:rsidRPr="00E2773D">
        <w:rPr>
          <w:noProof/>
        </w:rPr>
        <w:t>87</w:t>
      </w:r>
      <w:r w:rsidRPr="00C754CA">
        <w:rPr>
          <w:noProof/>
        </w:rPr>
        <w:t>/EG aufgeführt sind, ausgenommen diejenigen, denen ein Exzellenzsiegel im Sinne des Artikels </w:t>
      </w:r>
      <w:r w:rsidRPr="00E2773D">
        <w:rPr>
          <w:noProof/>
        </w:rPr>
        <w:t>2</w:t>
      </w:r>
      <w:r w:rsidRPr="00C754CA">
        <w:rPr>
          <w:noProof/>
        </w:rPr>
        <w:t xml:space="preserve"> Nummer </w:t>
      </w:r>
      <w:r w:rsidRPr="00E2773D">
        <w:rPr>
          <w:noProof/>
        </w:rPr>
        <w:t>45</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zuerkannt wurde;“</w:t>
      </w:r>
    </w:p>
    <w:p w14:paraId="763F5303" w14:textId="77777777" w:rsidR="0001385B" w:rsidRPr="00C754CA" w:rsidRDefault="00C45D17" w:rsidP="00C45D17">
      <w:pPr>
        <w:pStyle w:val="Point1"/>
        <w:rPr>
          <w:noProof/>
        </w:rPr>
      </w:pPr>
      <w:r w:rsidRPr="00C754CA">
        <w:rPr>
          <w:noProof/>
        </w:rPr>
        <w:t>b)</w:t>
      </w:r>
      <w:r w:rsidRPr="00C754CA">
        <w:rPr>
          <w:noProof/>
        </w:rPr>
        <w:tab/>
        <w:t>Unter Buchstabe h wird folgende Ziffer iv angefügt:</w:t>
      </w:r>
    </w:p>
    <w:p w14:paraId="766087DB" w14:textId="77777777" w:rsidR="0001385B" w:rsidRPr="00C754CA" w:rsidRDefault="005308CB" w:rsidP="0001385B">
      <w:pPr>
        <w:pStyle w:val="Text2"/>
        <w:rPr>
          <w:noProof/>
        </w:rPr>
      </w:pPr>
      <w:bookmarkStart w:id="41" w:name="_Hlk193055228"/>
      <w:r w:rsidRPr="00C754CA">
        <w:rPr>
          <w:noProof/>
        </w:rPr>
        <w:t xml:space="preserve">„iv) Investitionen in Vorhaben, denen im Rahmen einer Aufforderung zur Einreichung von Vorschlägen gemäß der Delegierten Verordnung (EU) </w:t>
      </w:r>
      <w:r w:rsidRPr="00E2773D">
        <w:rPr>
          <w:noProof/>
        </w:rPr>
        <w:t>2019</w:t>
      </w:r>
      <w:r w:rsidRPr="00C754CA">
        <w:rPr>
          <w:noProof/>
        </w:rPr>
        <w:t>/</w:t>
      </w:r>
      <w:r w:rsidRPr="00E2773D">
        <w:rPr>
          <w:noProof/>
        </w:rPr>
        <w:t>856</w:t>
      </w:r>
      <w:r w:rsidRPr="00C754CA">
        <w:rPr>
          <w:noProof/>
        </w:rPr>
        <w:t xml:space="preserve"> der Kommission ein Souveränitätssiegel gemäß Artikel </w:t>
      </w:r>
      <w:r w:rsidRPr="00E2773D">
        <w:rPr>
          <w:noProof/>
        </w:rPr>
        <w:t>4</w:t>
      </w:r>
      <w:r w:rsidRPr="00C754CA">
        <w:rPr>
          <w:noProof/>
        </w:rPr>
        <w:t xml:space="preserve"> Absatz </w:t>
      </w:r>
      <w:r w:rsidRPr="00E2773D">
        <w:rPr>
          <w:noProof/>
        </w:rPr>
        <w:t>1</w:t>
      </w:r>
      <w:r w:rsidRPr="00C754CA">
        <w:rPr>
          <w:noProof/>
        </w:rPr>
        <w:t xml:space="preserve"> der Verordnung (EU) </w:t>
      </w:r>
      <w:r w:rsidRPr="00E2773D">
        <w:rPr>
          <w:noProof/>
        </w:rPr>
        <w:t>2024</w:t>
      </w:r>
      <w:r w:rsidRPr="00C754CA">
        <w:rPr>
          <w:noProof/>
        </w:rPr>
        <w:t>/</w:t>
      </w:r>
      <w:r w:rsidRPr="00E2773D">
        <w:rPr>
          <w:noProof/>
        </w:rPr>
        <w:t>795</w:t>
      </w:r>
      <w:r w:rsidRPr="00C754CA">
        <w:rPr>
          <w:noProof/>
        </w:rPr>
        <w:t xml:space="preserve"> der Kommission zuerkannt wurde.“</w:t>
      </w:r>
    </w:p>
    <w:bookmarkEnd w:id="41"/>
    <w:p w14:paraId="7048E0CE" w14:textId="77777777" w:rsidR="0001385B" w:rsidRPr="00C754CA" w:rsidRDefault="00C45D17" w:rsidP="00C45D17">
      <w:pPr>
        <w:pStyle w:val="Point0"/>
        <w:rPr>
          <w:noProof/>
        </w:rPr>
      </w:pPr>
      <w:r w:rsidRPr="00C754CA">
        <w:rPr>
          <w:noProof/>
        </w:rPr>
        <w:t>(</w:t>
      </w:r>
      <w:r w:rsidRPr="00E2773D">
        <w:rPr>
          <w:noProof/>
        </w:rPr>
        <w:t>5</w:t>
      </w:r>
      <w:r w:rsidRPr="00C754CA">
        <w:rPr>
          <w:noProof/>
        </w:rPr>
        <w:t>)</w:t>
      </w:r>
      <w:r w:rsidRPr="00C754CA">
        <w:rPr>
          <w:noProof/>
        </w:rPr>
        <w:tab/>
        <w:t>Folgender Artikel </w:t>
      </w:r>
      <w:r w:rsidRPr="00E2773D">
        <w:rPr>
          <w:noProof/>
        </w:rPr>
        <w:t>7</w:t>
      </w:r>
      <w:r w:rsidRPr="00C754CA">
        <w:rPr>
          <w:noProof/>
        </w:rPr>
        <w:t>a wird eingefügt:</w:t>
      </w:r>
    </w:p>
    <w:p w14:paraId="36E52F9B" w14:textId="77777777" w:rsidR="00C972A6" w:rsidRPr="00C754CA" w:rsidRDefault="00C972A6" w:rsidP="757EBBDA">
      <w:pPr>
        <w:pStyle w:val="Titrearticle"/>
        <w:rPr>
          <w:b/>
          <w:bCs/>
          <w:i w:val="0"/>
          <w:noProof/>
        </w:rPr>
      </w:pPr>
      <w:bookmarkStart w:id="42" w:name="_Hlk193055708"/>
      <w:r w:rsidRPr="00C754CA">
        <w:rPr>
          <w:noProof/>
        </w:rPr>
        <w:t>„</w:t>
      </w:r>
      <w:bookmarkStart w:id="43" w:name="_Hlk194160521"/>
      <w:r w:rsidRPr="00C754CA">
        <w:rPr>
          <w:noProof/>
        </w:rPr>
        <w:t>Artikel </w:t>
      </w:r>
      <w:r w:rsidRPr="00E2773D">
        <w:rPr>
          <w:noProof/>
        </w:rPr>
        <w:t>7</w:t>
      </w:r>
      <w:r w:rsidRPr="00C754CA">
        <w:rPr>
          <w:noProof/>
        </w:rPr>
        <w:t>a</w:t>
      </w:r>
      <w:r w:rsidRPr="00C754CA">
        <w:rPr>
          <w:noProof/>
        </w:rPr>
        <w:br/>
      </w:r>
      <w:r w:rsidRPr="00C754CA">
        <w:rPr>
          <w:b/>
          <w:i w:val="0"/>
          <w:noProof/>
        </w:rPr>
        <w:t>Spezifische Bestimmungen im Zusammenhang mit der Halbzeitüberprüfung und den damit verbundenen Flexibilitätsregelungen</w:t>
      </w:r>
    </w:p>
    <w:p w14:paraId="11600F06" w14:textId="77777777" w:rsidR="00273F32" w:rsidRPr="00C754CA" w:rsidRDefault="59B2C6CF" w:rsidP="001818DA">
      <w:pPr>
        <w:pStyle w:val="Text1"/>
        <w:rPr>
          <w:noProof/>
        </w:rPr>
      </w:pPr>
      <w:bookmarkStart w:id="44" w:name="_Hlk191116180"/>
      <w:r w:rsidRPr="00C754CA">
        <w:rPr>
          <w:noProof/>
        </w:rPr>
        <w:t>(</w:t>
      </w:r>
      <w:r w:rsidRPr="00E2773D">
        <w:rPr>
          <w:noProof/>
        </w:rPr>
        <w:t>1</w:t>
      </w:r>
      <w:r w:rsidRPr="00C754CA">
        <w:rPr>
          <w:noProof/>
        </w:rPr>
        <w:t>) Die Kommission zahlt im Jahr </w:t>
      </w:r>
      <w:r w:rsidRPr="00E2773D">
        <w:rPr>
          <w:noProof/>
        </w:rPr>
        <w:t>2026</w:t>
      </w:r>
      <w:r w:rsidRPr="00C754CA">
        <w:rPr>
          <w:noProof/>
        </w:rPr>
        <w:t xml:space="preserve"> </w:t>
      </w:r>
      <w:r w:rsidRPr="00E2773D">
        <w:rPr>
          <w:noProof/>
        </w:rPr>
        <w:t>4</w:t>
      </w:r>
      <w:r w:rsidRPr="00C754CA">
        <w:rPr>
          <w:noProof/>
        </w:rPr>
        <w:t>,</w:t>
      </w:r>
      <w:r w:rsidRPr="00E2773D">
        <w:rPr>
          <w:noProof/>
        </w:rPr>
        <w:t>5</w:t>
      </w:r>
      <w:r w:rsidRPr="00C754CA">
        <w:rPr>
          <w:noProof/>
        </w:rPr>
        <w:t xml:space="preserve"> % </w:t>
      </w:r>
      <w:bookmarkStart w:id="45" w:name="_Hlk192757152"/>
      <w:r w:rsidRPr="00C754CA">
        <w:rPr>
          <w:noProof/>
        </w:rPr>
        <w:t>der Gesamtförderung aus dem EFRE und dem Kohäsionsfonds gemäß dem Beschluss zur Genehmigung der Programmänderung als zusätzliche einmalige Vorfinanzierung</w:t>
      </w:r>
      <w:bookmarkEnd w:id="45"/>
      <w:r w:rsidRPr="00C754CA">
        <w:rPr>
          <w:noProof/>
        </w:rPr>
        <w:t xml:space="preserve">. </w:t>
      </w:r>
      <w:bookmarkStart w:id="46" w:name="_Hlk192684080"/>
      <w:r w:rsidRPr="00C754CA">
        <w:rPr>
          <w:noProof/>
        </w:rPr>
        <w:t xml:space="preserve">Der Prozentsatz dieser einmaligen Vorfinanzierung wird für </w:t>
      </w:r>
      <w:bookmarkStart w:id="47" w:name="_Hlk192683620"/>
      <w:r w:rsidRPr="00C754CA">
        <w:rPr>
          <w:noProof/>
        </w:rPr>
        <w:t>Programme des Ziels „Investitionen in Beschäftigung und Wachstum“, die eine oder mehrere an Russland, Belarus oder die Ukraine angrenzende NUTS-</w:t>
      </w:r>
      <w:r w:rsidRPr="00E2773D">
        <w:rPr>
          <w:noProof/>
        </w:rPr>
        <w:t>2</w:t>
      </w:r>
      <w:r w:rsidRPr="00C754CA">
        <w:rPr>
          <w:noProof/>
        </w:rPr>
        <w:t xml:space="preserve">-Regionen betreffen, auf </w:t>
      </w:r>
      <w:r w:rsidRPr="00E2773D">
        <w:rPr>
          <w:noProof/>
        </w:rPr>
        <w:t>9</w:t>
      </w:r>
      <w:r w:rsidRPr="00C754CA">
        <w:rPr>
          <w:noProof/>
        </w:rPr>
        <w:t>,</w:t>
      </w:r>
      <w:r w:rsidRPr="00E2773D">
        <w:rPr>
          <w:noProof/>
        </w:rPr>
        <w:t>5</w:t>
      </w:r>
      <w:r w:rsidRPr="00C754CA">
        <w:rPr>
          <w:noProof/>
        </w:rPr>
        <w:t> % angehoben</w:t>
      </w:r>
      <w:bookmarkEnd w:id="47"/>
      <w:r w:rsidRPr="00C754CA">
        <w:rPr>
          <w:noProof/>
        </w:rPr>
        <w:t>, sofern sich das Programm nicht auf das gesamte Hoheitsgebiet des Mitgliedstaats erstreckt.</w:t>
      </w:r>
      <w:bookmarkEnd w:id="46"/>
      <w:r w:rsidRPr="00C754CA">
        <w:rPr>
          <w:noProof/>
        </w:rPr>
        <w:t xml:space="preserve"> Sind in einem Mitgliedstaat an Russland, Belarus oder die Ukraine angrenzende NUTS-</w:t>
      </w:r>
      <w:r w:rsidRPr="00E2773D">
        <w:rPr>
          <w:noProof/>
        </w:rPr>
        <w:t>2</w:t>
      </w:r>
      <w:r w:rsidRPr="00C754CA">
        <w:rPr>
          <w:noProof/>
        </w:rPr>
        <w:t>-Regionen ausschließlich in Programme einbezogen, die sich auf das gesamte Hoheitsgebiet des betreffenden Mitgliedstaats erstrecken, so gilt für diese Programme die in diesem Absatz festgelegte höhere Vorfinanzierung.</w:t>
      </w:r>
    </w:p>
    <w:p w14:paraId="2D2D181F" w14:textId="77777777" w:rsidR="0001385B" w:rsidRPr="00C754CA" w:rsidRDefault="67663BE0" w:rsidP="001818DA">
      <w:pPr>
        <w:pStyle w:val="Text1"/>
        <w:rPr>
          <w:noProof/>
        </w:rPr>
      </w:pPr>
      <w:r w:rsidRPr="00C754CA">
        <w:rPr>
          <w:noProof/>
        </w:rPr>
        <w:t>Die zusätzliche Vorfinanzierung gemäß Unterabsatz </w:t>
      </w:r>
      <w:r w:rsidRPr="00E2773D">
        <w:rPr>
          <w:noProof/>
        </w:rPr>
        <w:t>1</w:t>
      </w:r>
      <w:r w:rsidRPr="00C754CA">
        <w:rPr>
          <w:noProof/>
        </w:rPr>
        <w:t xml:space="preserve"> dieses Absatzes findet nur Anwendung, wenn im Rahmen der Halbzeitüberprüfung Umschichtungen von mindestens </w:t>
      </w:r>
      <w:r w:rsidRPr="00E2773D">
        <w:rPr>
          <w:noProof/>
        </w:rPr>
        <w:t>15</w:t>
      </w:r>
      <w:r w:rsidRPr="00C754CA">
        <w:rPr>
          <w:noProof/>
        </w:rPr>
        <w:t> % der Mittel des Programms zugunsten einer oder mehrerer spezieller Prioritäten genehmigt wurden, die für die spezifischen Ziele gemäß Artikel </w:t>
      </w:r>
      <w:r w:rsidRPr="00E2773D">
        <w:rPr>
          <w:noProof/>
        </w:rPr>
        <w:t>3</w:t>
      </w:r>
      <w:r w:rsidRPr="00C754CA">
        <w:rPr>
          <w:noProof/>
        </w:rPr>
        <w:t xml:space="preserve"> Absatz </w:t>
      </w:r>
      <w:r w:rsidRPr="00E2773D">
        <w:rPr>
          <w:noProof/>
        </w:rPr>
        <w:t>1</w:t>
      </w:r>
      <w:r w:rsidRPr="00C754CA">
        <w:rPr>
          <w:noProof/>
        </w:rPr>
        <w:t xml:space="preserve"> Buchstabe a Ziffer vi, Buchstabe a Ziffer vii, Buchstabe b Ziffer v, Buchstabe b Ziffer ix, Buchstabe b Ziffer xi, Buchstabe b Ziffer xii, Buchstabe c Ziffer iii, Buchstabe d Ziffer vii und Buchstabe e Ziffer iii dieser Verordnung festgelegt wurden, sofern die Programmänderung bis zum </w:t>
      </w:r>
      <w:r w:rsidRPr="00E2773D">
        <w:rPr>
          <w:noProof/>
        </w:rPr>
        <w:t>31</w:t>
      </w:r>
      <w:r w:rsidRPr="00C754CA">
        <w:rPr>
          <w:noProof/>
        </w:rPr>
        <w:t xml:space="preserve">. Dezember </w:t>
      </w:r>
      <w:r w:rsidRPr="00E2773D">
        <w:rPr>
          <w:noProof/>
        </w:rPr>
        <w:t>2025</w:t>
      </w:r>
      <w:r w:rsidRPr="00C754CA">
        <w:rPr>
          <w:noProof/>
        </w:rPr>
        <w:t xml:space="preserve"> vorgelegt wird.</w:t>
      </w:r>
    </w:p>
    <w:p w14:paraId="360326EB" w14:textId="77777777" w:rsidR="000526A6" w:rsidRPr="00C754CA" w:rsidRDefault="210680C7" w:rsidP="001818DA">
      <w:pPr>
        <w:pStyle w:val="Text1"/>
        <w:rPr>
          <w:noProof/>
        </w:rPr>
      </w:pPr>
      <w:bookmarkStart w:id="48" w:name="_Hlk193914674"/>
      <w:bookmarkStart w:id="49" w:name="_Hlk194160592"/>
      <w:bookmarkEnd w:id="43"/>
      <w:r w:rsidRPr="00C754CA">
        <w:rPr>
          <w:noProof/>
        </w:rPr>
        <w:t>Die einem Mitgliedstaat geschuldete Vorfinanzierung, die sich aus Programmänderungen infolge einer Umschichtung zugunsten der in Unterabsatz </w:t>
      </w:r>
      <w:r w:rsidRPr="00E2773D">
        <w:rPr>
          <w:noProof/>
        </w:rPr>
        <w:t>2</w:t>
      </w:r>
      <w:r w:rsidRPr="00C754CA">
        <w:rPr>
          <w:noProof/>
        </w:rPr>
        <w:t xml:space="preserve"> genannten Prioritäten ergibt, wird bei der Berechnung der aufzuhebenden Mittelbindungen gemäß Artikel </w:t>
      </w:r>
      <w:r w:rsidRPr="00E2773D">
        <w:rPr>
          <w:noProof/>
        </w:rPr>
        <w:t>105</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als im Jahr </w:t>
      </w:r>
      <w:r w:rsidRPr="00E2773D">
        <w:rPr>
          <w:noProof/>
        </w:rPr>
        <w:t>2025</w:t>
      </w:r>
      <w:r w:rsidRPr="00C754CA">
        <w:rPr>
          <w:noProof/>
        </w:rPr>
        <w:t xml:space="preserve"> getätigte Zahlungen berücksichtigt, sofern der Antrag auf Programmänderung im Jahr </w:t>
      </w:r>
      <w:r w:rsidRPr="00E2773D">
        <w:rPr>
          <w:noProof/>
        </w:rPr>
        <w:t>2025</w:t>
      </w:r>
      <w:r w:rsidRPr="00C754CA">
        <w:rPr>
          <w:noProof/>
        </w:rPr>
        <w:t xml:space="preserve"> eingereicht wurde</w:t>
      </w:r>
      <w:bookmarkEnd w:id="48"/>
      <w:r w:rsidRPr="00C754CA">
        <w:rPr>
          <w:noProof/>
        </w:rPr>
        <w:t>.</w:t>
      </w:r>
    </w:p>
    <w:bookmarkEnd w:id="44"/>
    <w:bookmarkEnd w:id="49"/>
    <w:p w14:paraId="31F8CE0D" w14:textId="77777777" w:rsidR="0001385B" w:rsidRPr="00C754CA" w:rsidRDefault="00422C84" w:rsidP="001818DA">
      <w:pPr>
        <w:pStyle w:val="Text1"/>
        <w:rPr>
          <w:noProof/>
        </w:rPr>
      </w:pPr>
      <w:r w:rsidRPr="00C754CA">
        <w:rPr>
          <w:noProof/>
        </w:rPr>
        <w:t>(</w:t>
      </w:r>
      <w:r w:rsidRPr="00E2773D">
        <w:rPr>
          <w:noProof/>
        </w:rPr>
        <w:t>2</w:t>
      </w:r>
      <w:r w:rsidRPr="00C754CA">
        <w:rPr>
          <w:noProof/>
        </w:rPr>
        <w:t>) Abweichend von Artikel </w:t>
      </w:r>
      <w:r w:rsidRPr="00E2773D">
        <w:rPr>
          <w:noProof/>
        </w:rPr>
        <w:t>63</w:t>
      </w:r>
      <w:r w:rsidRPr="00C754CA">
        <w:rPr>
          <w:noProof/>
        </w:rPr>
        <w:t xml:space="preserve"> Absatz </w:t>
      </w:r>
      <w:r w:rsidRPr="00E2773D">
        <w:rPr>
          <w:noProof/>
        </w:rPr>
        <w:t>2</w:t>
      </w:r>
      <w:r w:rsidRPr="00C754CA">
        <w:rPr>
          <w:noProof/>
        </w:rPr>
        <w:t xml:space="preserve"> und Artikel </w:t>
      </w:r>
      <w:r w:rsidRPr="00E2773D">
        <w:rPr>
          <w:noProof/>
        </w:rPr>
        <w:t>105</w:t>
      </w:r>
      <w:r w:rsidRPr="00C754CA">
        <w:rPr>
          <w:noProof/>
        </w:rPr>
        <w:t xml:space="preserve"> Absatz </w:t>
      </w:r>
      <w:r w:rsidRPr="00E2773D">
        <w:rPr>
          <w:noProof/>
        </w:rPr>
        <w:t>2</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endet </w:t>
      </w:r>
      <w:bookmarkStart w:id="50" w:name="_Hlk193999064"/>
      <w:r w:rsidRPr="00C754CA">
        <w:rPr>
          <w:noProof/>
        </w:rPr>
        <w:t xml:space="preserve">die Frist für die Förderfähigkeit von Ausgaben, die Kostenerstattung und die Aufhebung von Mittelbindungen am </w:t>
      </w:r>
      <w:r w:rsidRPr="00E2773D">
        <w:rPr>
          <w:noProof/>
        </w:rPr>
        <w:t>31</w:t>
      </w:r>
      <w:r w:rsidRPr="00C754CA">
        <w:rPr>
          <w:noProof/>
        </w:rPr>
        <w:t xml:space="preserve">. Dezember </w:t>
      </w:r>
      <w:r w:rsidRPr="00E2773D">
        <w:rPr>
          <w:noProof/>
        </w:rPr>
        <w:t>2030</w:t>
      </w:r>
      <w:bookmarkEnd w:id="50"/>
      <w:r w:rsidRPr="00C754CA">
        <w:rPr>
          <w:noProof/>
        </w:rPr>
        <w:t xml:space="preserve">. Diese Ausnahmeregelung findet nur Anwendung, wenn im Rahmen der Halbzeitüberprüfung Programmänderungen genehmigt wurden, mit denen mindestens </w:t>
      </w:r>
      <w:r w:rsidRPr="00E2773D">
        <w:rPr>
          <w:noProof/>
        </w:rPr>
        <w:t>15</w:t>
      </w:r>
      <w:r w:rsidRPr="00C754CA">
        <w:rPr>
          <w:noProof/>
        </w:rPr>
        <w:t xml:space="preserve"> % der Mittel des Programms zugunsten einer oder mehrerer spezieller Prioritäten umgeschichtet werden, </w:t>
      </w:r>
      <w:bookmarkStart w:id="51" w:name="_Hlk193266382"/>
      <w:r w:rsidRPr="00C754CA">
        <w:rPr>
          <w:noProof/>
        </w:rPr>
        <w:t>die für die spezifischen Ziele gemäß Artikel </w:t>
      </w:r>
      <w:r w:rsidRPr="00E2773D">
        <w:rPr>
          <w:noProof/>
        </w:rPr>
        <w:t>3</w:t>
      </w:r>
      <w:r w:rsidRPr="00C754CA">
        <w:rPr>
          <w:noProof/>
        </w:rPr>
        <w:t xml:space="preserve"> Absatz </w:t>
      </w:r>
      <w:r w:rsidRPr="00E2773D">
        <w:rPr>
          <w:noProof/>
        </w:rPr>
        <w:t>1</w:t>
      </w:r>
      <w:r w:rsidRPr="00C754CA">
        <w:rPr>
          <w:noProof/>
        </w:rPr>
        <w:t xml:space="preserve"> Buchstabe a Ziffer vi, Buchstabe a Ziffer vii, Buchstabe b Ziffer v, Buchstabe b Ziffer ix, Buchstabe b Ziffer xi, Buchstabe b Ziffer xii, Buchstabe c Ziffer iii, Buchstabe d Ziffer vii und Buchstabe e Ziffer iii dieser Verordnung festgelegt wurden</w:t>
      </w:r>
      <w:bookmarkEnd w:id="51"/>
      <w:r w:rsidRPr="00C754CA">
        <w:rPr>
          <w:noProof/>
        </w:rPr>
        <w:t>.</w:t>
      </w:r>
    </w:p>
    <w:p w14:paraId="3105A9E8" w14:textId="7E85FCA1" w:rsidR="0001385B" w:rsidRPr="00C754CA" w:rsidRDefault="00273F32" w:rsidP="001818DA">
      <w:pPr>
        <w:pStyle w:val="Text1"/>
        <w:rPr>
          <w:noProof/>
        </w:rPr>
      </w:pPr>
      <w:r w:rsidRPr="00C754CA">
        <w:rPr>
          <w:noProof/>
        </w:rPr>
        <w:t>(</w:t>
      </w:r>
      <w:r w:rsidRPr="00E2773D">
        <w:rPr>
          <w:noProof/>
        </w:rPr>
        <w:t>3</w:t>
      </w:r>
      <w:r w:rsidRPr="00C754CA">
        <w:rPr>
          <w:noProof/>
        </w:rPr>
        <w:t>) Die Mitgliedstaaten können in Anträgen auf Programmänderungen gemäß Artikel </w:t>
      </w:r>
      <w:r w:rsidRPr="00E2773D">
        <w:rPr>
          <w:noProof/>
        </w:rPr>
        <w:t>24</w:t>
      </w:r>
      <w:r w:rsidRPr="00C754CA">
        <w:rPr>
          <w:noProof/>
        </w:rPr>
        <w:t xml:space="preserve"> der Verordnung </w:t>
      </w:r>
      <w:bookmarkStart w:id="52" w:name="_Hlk193353909"/>
      <w:r w:rsidRPr="00C754CA">
        <w:rPr>
          <w:noProof/>
        </w:rPr>
        <w:t xml:space="preserve">(EU) </w:t>
      </w:r>
      <w:r w:rsidRPr="00E2773D">
        <w:rPr>
          <w:noProof/>
        </w:rPr>
        <w:t>2021</w:t>
      </w:r>
      <w:r w:rsidRPr="00C754CA">
        <w:rPr>
          <w:noProof/>
        </w:rPr>
        <w:t>/</w:t>
      </w:r>
      <w:r w:rsidRPr="00E2773D">
        <w:rPr>
          <w:noProof/>
        </w:rPr>
        <w:t>1060</w:t>
      </w:r>
      <w:bookmarkEnd w:id="52"/>
      <w:r w:rsidRPr="00C754CA">
        <w:rPr>
          <w:noProof/>
        </w:rPr>
        <w:t xml:space="preserve"> die Umschichtung von EFRE-Mitteln, die im Rahmen des Ziels „Investitionen in Beschäftigung und Wachstum“ eingeplant sind, auf die Europäische Stadtinitiative und auf die Instrumente für Interregionale Innovationsinvestitionen beantragen, die in Artikel </w:t>
      </w:r>
      <w:r w:rsidRPr="00E2773D">
        <w:rPr>
          <w:noProof/>
        </w:rPr>
        <w:t>12</w:t>
      </w:r>
      <w:r w:rsidRPr="00C754CA">
        <w:rPr>
          <w:noProof/>
        </w:rPr>
        <w:t xml:space="preserve"> bzw. Artikel </w:t>
      </w:r>
      <w:r w:rsidRPr="00E2773D">
        <w:rPr>
          <w:noProof/>
        </w:rPr>
        <w:t>13</w:t>
      </w:r>
      <w:r w:rsidRPr="00C754CA">
        <w:rPr>
          <w:noProof/>
        </w:rPr>
        <w:t xml:space="preserve"> dieser Verordnung genannt werden. Neu zugewiesene Mittel werden zugunsten des betreffenden Mitgliedstaats verwendet. Solche Neuzuweisungen gelten nicht als Übertragungen im Sinne des Artikels </w:t>
      </w:r>
      <w:r w:rsidRPr="00E2773D">
        <w:rPr>
          <w:noProof/>
        </w:rPr>
        <w:t>26</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w:t>
      </w:r>
    </w:p>
    <w:p w14:paraId="4153F350" w14:textId="77777777" w:rsidR="00D47044" w:rsidRPr="00C754CA" w:rsidRDefault="00273F32" w:rsidP="001818DA">
      <w:pPr>
        <w:pStyle w:val="Text1"/>
        <w:rPr>
          <w:noProof/>
        </w:rPr>
      </w:pPr>
      <w:r w:rsidRPr="00C754CA">
        <w:rPr>
          <w:noProof/>
        </w:rPr>
        <w:t>(</w:t>
      </w:r>
      <w:r w:rsidRPr="00E2773D">
        <w:rPr>
          <w:noProof/>
        </w:rPr>
        <w:t>4</w:t>
      </w:r>
      <w:r w:rsidRPr="00C754CA">
        <w:rPr>
          <w:noProof/>
        </w:rPr>
        <w:t>) Abweichend von Artikel </w:t>
      </w:r>
      <w:r w:rsidRPr="00E2773D">
        <w:rPr>
          <w:noProof/>
        </w:rPr>
        <w:t>112</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wird der </w:t>
      </w:r>
      <w:bookmarkStart w:id="53" w:name="_Hlk192684223"/>
      <w:r w:rsidRPr="00C754CA">
        <w:rPr>
          <w:noProof/>
        </w:rPr>
        <w:t>Höchstsatz für die Kofinanzierung für Prioritäten in Programmen des Ziels „Investitionen in Beschäftigung und Wachstum“, die sich auf eine oder mehrere an Russland, Belarus oder die Ukraine angrenzende NUTS-</w:t>
      </w:r>
      <w:r w:rsidRPr="00E2773D">
        <w:rPr>
          <w:noProof/>
        </w:rPr>
        <w:t>2</w:t>
      </w:r>
      <w:r w:rsidRPr="00C754CA">
        <w:rPr>
          <w:noProof/>
        </w:rPr>
        <w:t xml:space="preserve">-Regionen erstrecken, auf </w:t>
      </w:r>
      <w:r w:rsidRPr="00E2773D">
        <w:rPr>
          <w:noProof/>
        </w:rPr>
        <w:t>100</w:t>
      </w:r>
      <w:r w:rsidRPr="00C754CA">
        <w:rPr>
          <w:noProof/>
        </w:rPr>
        <w:t xml:space="preserve"> % festgelegt. </w:t>
      </w:r>
      <w:bookmarkStart w:id="54" w:name="_Hlk193351371"/>
      <w:r w:rsidRPr="00C754CA">
        <w:rPr>
          <w:noProof/>
        </w:rPr>
        <w:t>Der höhere Kofinanzierungssatz gilt nicht für Programme, die sich auf das gesamte Hoheitsgebiet des betreffenden Mitgliedstaats erstrecken, es sei denn, diese Regionen sind nur in Programme einbezogen, die sich auf das gesamte Hoheitsgebiet dieses Mitgliedstaats erstrecken</w:t>
      </w:r>
      <w:bookmarkEnd w:id="54"/>
      <w:r w:rsidRPr="00C754CA">
        <w:rPr>
          <w:noProof/>
        </w:rPr>
        <w:t xml:space="preserve">. </w:t>
      </w:r>
      <w:bookmarkEnd w:id="53"/>
      <w:r w:rsidRPr="00C754CA">
        <w:rPr>
          <w:noProof/>
        </w:rPr>
        <w:t xml:space="preserve">Die Ausnahmeregelung findet nur Anwendung, wenn im Rahmen der Halbzeitüberprüfung Umschichtungen von mindestens </w:t>
      </w:r>
      <w:r w:rsidRPr="00E2773D">
        <w:rPr>
          <w:noProof/>
        </w:rPr>
        <w:t>15</w:t>
      </w:r>
      <w:r w:rsidRPr="00C754CA">
        <w:rPr>
          <w:noProof/>
        </w:rPr>
        <w:t> % der Mittel des Programms zugunsten einer oder mehrerer spezieller Prioritäten genehmigt wurden, die für die spezifischen Ziele gemäß Artikel </w:t>
      </w:r>
      <w:r w:rsidRPr="00E2773D">
        <w:rPr>
          <w:noProof/>
        </w:rPr>
        <w:t>3</w:t>
      </w:r>
      <w:r w:rsidRPr="00C754CA">
        <w:rPr>
          <w:noProof/>
        </w:rPr>
        <w:t xml:space="preserve"> Absatz </w:t>
      </w:r>
      <w:r w:rsidRPr="00E2773D">
        <w:rPr>
          <w:noProof/>
        </w:rPr>
        <w:t>1</w:t>
      </w:r>
      <w:r w:rsidRPr="00C754CA">
        <w:rPr>
          <w:noProof/>
        </w:rPr>
        <w:t xml:space="preserve"> Buchstabe a Ziffer vi, Buchstabe a Ziffer vii, Buchstabe b Ziffer v, Buchstabe b Ziffer ix, Buchstabe b Ziffer xi, Buchstabe b Ziffer xii, Buchstabe c Ziffer iii, Buchstabe d Ziffer vii und Buchstabe e Ziffer iii dieser Verordnung festgelegt wurden, sofern die Programmänderung bis zum </w:t>
      </w:r>
      <w:r w:rsidRPr="00E2773D">
        <w:rPr>
          <w:noProof/>
        </w:rPr>
        <w:t>31</w:t>
      </w:r>
      <w:r w:rsidRPr="00C754CA">
        <w:rPr>
          <w:noProof/>
        </w:rPr>
        <w:t xml:space="preserve">. Dezember </w:t>
      </w:r>
      <w:r w:rsidRPr="00E2773D">
        <w:rPr>
          <w:noProof/>
        </w:rPr>
        <w:t>2025</w:t>
      </w:r>
      <w:r w:rsidRPr="00C754CA">
        <w:rPr>
          <w:noProof/>
        </w:rPr>
        <w:t xml:space="preserve"> vorgelegt wird.</w:t>
      </w:r>
    </w:p>
    <w:p w14:paraId="4CAA0939" w14:textId="77777777" w:rsidR="009E771D" w:rsidRPr="00C754CA" w:rsidRDefault="7B95DD04" w:rsidP="001818DA">
      <w:pPr>
        <w:pStyle w:val="Text1"/>
        <w:rPr>
          <w:noProof/>
        </w:rPr>
      </w:pPr>
      <w:bookmarkStart w:id="55" w:name="_Hlk193348379"/>
      <w:r w:rsidRPr="00C754CA">
        <w:rPr>
          <w:noProof/>
        </w:rPr>
        <w:t>(</w:t>
      </w:r>
      <w:r w:rsidRPr="00E2773D">
        <w:rPr>
          <w:noProof/>
        </w:rPr>
        <w:t>5</w:t>
      </w:r>
      <w:r w:rsidRPr="00C754CA">
        <w:rPr>
          <w:noProof/>
        </w:rPr>
        <w:t xml:space="preserve">) </w:t>
      </w:r>
      <w:bookmarkStart w:id="56" w:name="_Hlk193998696"/>
      <w:bookmarkEnd w:id="55"/>
      <w:r w:rsidRPr="00C754CA">
        <w:rPr>
          <w:noProof/>
        </w:rPr>
        <w:t>Zusätzlich zu der gemäß Artikel </w:t>
      </w:r>
      <w:r w:rsidRPr="00E2773D">
        <w:rPr>
          <w:noProof/>
        </w:rPr>
        <w:t>18</w:t>
      </w:r>
      <w:r w:rsidRPr="00C754CA">
        <w:rPr>
          <w:noProof/>
        </w:rPr>
        <w:t xml:space="preserve"> Absatz </w:t>
      </w:r>
      <w:r w:rsidRPr="00E2773D">
        <w:rPr>
          <w:noProof/>
        </w:rPr>
        <w:t>2</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vorzulegenden Bewertung der Ergebnisse der Halbzeitüberprüfung für jedes Programm können die Mitgliedstaaten innerhalb von zwei Monaten nach Inkrafttreten der Verordnung (EU) XXXX/XXXX [diese Verordnung] erneut eine ergänzende Bewertung sowie damit zusammenhängende Anträge auf Programmänderungen einreichen, wobei die spezifischen Ziele, die mit der Verordnung (EU) XXXX/XXXX [diese Verordnung] eingeführt wurden, zu berücksichtigen sind. Es gelten die in Artikel </w:t>
      </w:r>
      <w:r w:rsidRPr="00E2773D">
        <w:rPr>
          <w:noProof/>
        </w:rPr>
        <w:t>18</w:t>
      </w:r>
      <w:r w:rsidRPr="00C754CA">
        <w:rPr>
          <w:noProof/>
        </w:rPr>
        <w:t xml:space="preserve"> Absatz </w:t>
      </w:r>
      <w:r w:rsidRPr="00E2773D">
        <w:rPr>
          <w:noProof/>
        </w:rPr>
        <w:t>3</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festgelegten Fristen.</w:t>
      </w:r>
      <w:bookmarkEnd w:id="56"/>
    </w:p>
    <w:p w14:paraId="32309C49" w14:textId="77777777" w:rsidR="009D5DED" w:rsidRPr="00C754CA" w:rsidRDefault="009E771D" w:rsidP="001818DA">
      <w:pPr>
        <w:pStyle w:val="Text1"/>
        <w:rPr>
          <w:noProof/>
        </w:rPr>
      </w:pPr>
      <w:r w:rsidRPr="00C754CA">
        <w:rPr>
          <w:noProof/>
        </w:rPr>
        <w:t>(</w:t>
      </w:r>
      <w:r w:rsidRPr="00E2773D">
        <w:rPr>
          <w:noProof/>
        </w:rPr>
        <w:t>6</w:t>
      </w:r>
      <w:r w:rsidRPr="00C754CA">
        <w:rPr>
          <w:noProof/>
        </w:rPr>
        <w:t>) Wenn der Beitrag des Kohäsionsfonds zum Klimaschutz gemäß Artikel </w:t>
      </w:r>
      <w:r w:rsidRPr="00E2773D">
        <w:rPr>
          <w:noProof/>
        </w:rPr>
        <w:t>6</w:t>
      </w:r>
      <w:r w:rsidRPr="00C754CA">
        <w:rPr>
          <w:noProof/>
        </w:rPr>
        <w:t xml:space="preserve"> Absatz </w:t>
      </w:r>
      <w:r w:rsidRPr="00E2773D">
        <w:rPr>
          <w:noProof/>
        </w:rPr>
        <w:t>1</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den Zielwert von </w:t>
      </w:r>
      <w:r w:rsidRPr="00E2773D">
        <w:rPr>
          <w:noProof/>
        </w:rPr>
        <w:t>37</w:t>
      </w:r>
      <w:r w:rsidRPr="00C754CA">
        <w:rPr>
          <w:noProof/>
        </w:rPr>
        <w:t xml:space="preserve"> % seiner Gesamtmittelzuweisung übersteigt, kann der über dieses Beitragsziel hinausgehende Betrag bei der Berechnung des Beitrags des EFRE zum Klimaschutz berücksichtigt werden, damit das Beitragsziel von </w:t>
      </w:r>
      <w:r w:rsidRPr="00E2773D">
        <w:rPr>
          <w:noProof/>
        </w:rPr>
        <w:t>30</w:t>
      </w:r>
      <w:r w:rsidRPr="00C754CA">
        <w:rPr>
          <w:noProof/>
        </w:rPr>
        <w:t xml:space="preserve"> % seiner Gesamtmittelzuweisung erreicht wird. Die Beträge, die das Klimaschutzbeitragsziel des EFRE von </w:t>
      </w:r>
      <w:r w:rsidRPr="00E2773D">
        <w:rPr>
          <w:noProof/>
        </w:rPr>
        <w:t>30</w:t>
      </w:r>
      <w:r w:rsidRPr="00C754CA">
        <w:rPr>
          <w:noProof/>
        </w:rPr>
        <w:t xml:space="preserve"> % seiner Gesamtmittelzuweisung überschreiten, können bei der Berechnung des Beitrags des Kohäsionsfonds zum Klimaschutz berücksichtigt werden.“ </w:t>
      </w:r>
    </w:p>
    <w:p w14:paraId="0DE8686D" w14:textId="77777777" w:rsidR="0001385B" w:rsidRPr="00C754CA" w:rsidRDefault="00C45D17" w:rsidP="00C45D17">
      <w:pPr>
        <w:pStyle w:val="Point0"/>
        <w:rPr>
          <w:noProof/>
        </w:rPr>
      </w:pPr>
      <w:r w:rsidRPr="00C754CA">
        <w:rPr>
          <w:noProof/>
        </w:rPr>
        <w:t>(</w:t>
      </w:r>
      <w:r w:rsidRPr="00E2773D">
        <w:rPr>
          <w:noProof/>
        </w:rPr>
        <w:t>6</w:t>
      </w:r>
      <w:r w:rsidRPr="00C754CA">
        <w:rPr>
          <w:noProof/>
        </w:rPr>
        <w:t>)</w:t>
      </w:r>
      <w:r w:rsidRPr="00C754CA">
        <w:rPr>
          <w:noProof/>
        </w:rPr>
        <w:tab/>
        <w:t>In Artikel </w:t>
      </w:r>
      <w:r w:rsidRPr="00E2773D">
        <w:rPr>
          <w:noProof/>
        </w:rPr>
        <w:t>12</w:t>
      </w:r>
      <w:r w:rsidRPr="00C754CA">
        <w:rPr>
          <w:noProof/>
        </w:rPr>
        <w:t xml:space="preserve"> wird folgender Absatz </w:t>
      </w:r>
      <w:r w:rsidRPr="00E2773D">
        <w:rPr>
          <w:noProof/>
        </w:rPr>
        <w:t>4</w:t>
      </w:r>
      <w:r w:rsidRPr="00C754CA">
        <w:rPr>
          <w:noProof/>
        </w:rPr>
        <w:t xml:space="preserve"> angefügt:</w:t>
      </w:r>
    </w:p>
    <w:p w14:paraId="27FAD126" w14:textId="75399E00" w:rsidR="0001385B" w:rsidRPr="00C754CA" w:rsidRDefault="00B01519" w:rsidP="00233602">
      <w:pPr>
        <w:pStyle w:val="Text1"/>
        <w:rPr>
          <w:noProof/>
        </w:rPr>
      </w:pPr>
      <w:r w:rsidRPr="00C754CA">
        <w:rPr>
          <w:noProof/>
        </w:rPr>
        <w:t>„(</w:t>
      </w:r>
      <w:r w:rsidRPr="00E2773D">
        <w:rPr>
          <w:noProof/>
        </w:rPr>
        <w:t>4</w:t>
      </w:r>
      <w:r w:rsidRPr="00C754CA">
        <w:rPr>
          <w:noProof/>
        </w:rPr>
        <w:t>) Innovative Maßnahmen, die im Zuge einer Aufforderung zur Einreichung von Vorschlägen im Rahmen der Europäischen Stadtinitiative bewertet wurden und den Mindestqualitätsanforderungen dieser Aufforderung entsprechen, die jedoch aufgrund von Haushaltszwängen nicht finanziert werden können, können von der Kommission mit einem Exzellenzsiegel ausgezeichnet werden.</w:t>
      </w:r>
    </w:p>
    <w:p w14:paraId="5C367772" w14:textId="77777777" w:rsidR="0001385B" w:rsidRPr="00C754CA" w:rsidRDefault="0001385B" w:rsidP="0001385B">
      <w:pPr>
        <w:pStyle w:val="Text1"/>
        <w:rPr>
          <w:noProof/>
        </w:rPr>
      </w:pPr>
      <w:r w:rsidRPr="00C754CA">
        <w:rPr>
          <w:noProof/>
        </w:rPr>
        <w:t>Für die Zwecke des Exzellenzsiegels gilt die Europäische Stadtinitiative als eine andere Unionsquelle, die sich von den gemäß Artikel </w:t>
      </w:r>
      <w:r w:rsidRPr="00E2773D">
        <w:rPr>
          <w:noProof/>
        </w:rPr>
        <w:t>7</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durchgeführten und ausgearbeiteten Programmen unterscheidet.“ </w:t>
      </w:r>
    </w:p>
    <w:p w14:paraId="309125AF" w14:textId="77777777" w:rsidR="00CD3073" w:rsidRPr="00C754CA" w:rsidRDefault="00C45D17" w:rsidP="00C45D17">
      <w:pPr>
        <w:pStyle w:val="Point0"/>
        <w:rPr>
          <w:noProof/>
        </w:rPr>
      </w:pPr>
      <w:r w:rsidRPr="00C754CA">
        <w:rPr>
          <w:noProof/>
        </w:rPr>
        <w:t>(</w:t>
      </w:r>
      <w:r w:rsidRPr="00E2773D">
        <w:rPr>
          <w:noProof/>
        </w:rPr>
        <w:t>7</w:t>
      </w:r>
      <w:r w:rsidRPr="00C754CA">
        <w:rPr>
          <w:noProof/>
        </w:rPr>
        <w:t>)</w:t>
      </w:r>
      <w:r w:rsidRPr="00C754CA">
        <w:rPr>
          <w:noProof/>
        </w:rPr>
        <w:tab/>
        <w:t>In Anhang I wird Tabelle </w:t>
      </w:r>
      <w:r w:rsidRPr="00E2773D">
        <w:rPr>
          <w:noProof/>
        </w:rPr>
        <w:t>1</w:t>
      </w:r>
      <w:r w:rsidRPr="00C754CA">
        <w:rPr>
          <w:noProof/>
        </w:rPr>
        <w:t xml:space="preserve"> wie folgt geändert:</w:t>
      </w:r>
    </w:p>
    <w:p w14:paraId="4B5F792C" w14:textId="77777777" w:rsidR="0001385B" w:rsidRPr="00C754CA" w:rsidRDefault="00C45D17" w:rsidP="00C45D17">
      <w:pPr>
        <w:pStyle w:val="Point1"/>
        <w:rPr>
          <w:noProof/>
        </w:rPr>
      </w:pPr>
      <w:r w:rsidRPr="00C754CA">
        <w:rPr>
          <w:noProof/>
        </w:rPr>
        <w:t>a)</w:t>
      </w:r>
      <w:r w:rsidRPr="00C754CA">
        <w:rPr>
          <w:noProof/>
        </w:rPr>
        <w:tab/>
        <w:t>Unter dem politischen Ziel </w:t>
      </w:r>
      <w:r w:rsidRPr="00E2773D">
        <w:rPr>
          <w:noProof/>
        </w:rPr>
        <w:t>1</w:t>
      </w:r>
      <w:r w:rsidRPr="00C754CA">
        <w:rPr>
          <w:noProof/>
        </w:rPr>
        <w:t xml:space="preserve"> wird die folgende Zeile angefügt:</w:t>
      </w:r>
    </w:p>
    <w:p w14:paraId="28B87B95" w14:textId="77777777" w:rsidR="0001385B" w:rsidRPr="00C754CA" w:rsidRDefault="0001385B" w:rsidP="0001385B">
      <w:pPr>
        <w:pStyle w:val="Text1"/>
        <w:spacing w:line="276" w:lineRule="auto"/>
        <w:rPr>
          <w:noProof/>
        </w:rPr>
      </w:pPr>
    </w:p>
    <w:tbl>
      <w:tblPr>
        <w:tblW w:w="4359" w:type="pct"/>
        <w:tblInd w:w="11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64"/>
        <w:gridCol w:w="2527"/>
        <w:gridCol w:w="2524"/>
        <w:gridCol w:w="1311"/>
      </w:tblGrid>
      <w:tr w:rsidR="003100E7" w:rsidRPr="00C754CA" w14:paraId="0541D56B" w14:textId="77777777" w:rsidTr="00D96259">
        <w:tc>
          <w:tcPr>
            <w:tcW w:w="1208" w:type="pct"/>
            <w:tcBorders>
              <w:top w:val="outset" w:sz="8" w:space="0" w:color="auto"/>
              <w:left w:val="outset" w:sz="8" w:space="0" w:color="auto"/>
              <w:bottom w:val="outset" w:sz="8" w:space="0" w:color="auto"/>
              <w:right w:val="outset" w:sz="8" w:space="0" w:color="auto"/>
            </w:tcBorders>
            <w:shd w:val="clear" w:color="auto" w:fill="FFFFFF" w:themeFill="background1"/>
            <w:hideMark/>
          </w:tcPr>
          <w:p w14:paraId="4869BA80" w14:textId="77777777" w:rsidR="00CD3073" w:rsidRPr="00C754CA" w:rsidRDefault="00CD3073">
            <w:pPr>
              <w:pStyle w:val="Text1"/>
              <w:spacing w:line="276" w:lineRule="auto"/>
              <w:rPr>
                <w:noProof/>
              </w:rPr>
            </w:pPr>
          </w:p>
        </w:tc>
        <w:tc>
          <w:tcPr>
            <w:tcW w:w="146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24A342" w14:textId="77777777" w:rsidR="00CD3073" w:rsidRPr="00C754CA" w:rsidRDefault="00090645" w:rsidP="4D8CB314">
            <w:pPr>
              <w:pStyle w:val="Text1"/>
              <w:spacing w:before="0" w:after="0"/>
              <w:ind w:left="69"/>
              <w:rPr>
                <w:rFonts w:ascii="Calibri" w:hAnsi="Calibri" w:cs="Calibri"/>
                <w:noProof/>
                <w:sz w:val="22"/>
              </w:rPr>
            </w:pPr>
            <w:r w:rsidRPr="00C754CA">
              <w:rPr>
                <w:noProof/>
              </w:rPr>
              <w:t>„vii) Ausbau der industriellen Kapazitäten zur Förderung von Fähigkeiten mit doppeltem Verwendungszweck und Verteidigungsfähigkeiten</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797DDE3" w14:textId="77777777" w:rsidR="00CD3073" w:rsidRPr="00C754CA" w:rsidRDefault="00CD3073" w:rsidP="00192517">
            <w:pPr>
              <w:pStyle w:val="Text1"/>
              <w:spacing w:before="0" w:after="0"/>
              <w:ind w:left="69"/>
              <w:jc w:val="left"/>
              <w:rPr>
                <w:noProof/>
              </w:rPr>
            </w:pPr>
            <w:r w:rsidRPr="00C754CA">
              <w:rPr>
                <w:noProof/>
              </w:rPr>
              <w:t>Alle zu den spezifischen Zielen i und iii aufgeführten RCO.</w:t>
            </w:r>
          </w:p>
          <w:p w14:paraId="48282F2C" w14:textId="77777777" w:rsidR="00CD3073" w:rsidRPr="00C754CA" w:rsidRDefault="00CD3073" w:rsidP="00192517">
            <w:pPr>
              <w:pStyle w:val="Text1"/>
              <w:spacing w:before="0" w:after="0"/>
              <w:ind w:left="69"/>
              <w:rPr>
                <w:noProof/>
              </w:rPr>
            </w:pPr>
            <w:r w:rsidRPr="00C754CA">
              <w:rPr>
                <w:noProof/>
              </w:rPr>
              <w:t>RCO </w:t>
            </w:r>
            <w:r w:rsidRPr="00E2773D">
              <w:rPr>
                <w:noProof/>
              </w:rPr>
              <w:t>128</w:t>
            </w:r>
            <w:r w:rsidRPr="00C754CA">
              <w:rPr>
                <w:noProof/>
              </w:rPr>
              <w:t xml:space="preserve"> – Unternehmen, die in erster Linie in Verbindung mit der Förderung von Fähigkeiten mit doppeltem Verwendungszweck und Verteidigungsfähigkeiten (RearmEU) unterstützt wurden – </w:t>
            </w:r>
          </w:p>
          <w:p w14:paraId="48A67F6E" w14:textId="77777777" w:rsidR="00CD3073" w:rsidRPr="00C754CA" w:rsidRDefault="00CD3073" w:rsidP="004565AA">
            <w:pPr>
              <w:pStyle w:val="Text1"/>
              <w:numPr>
                <w:ilvl w:val="0"/>
                <w:numId w:val="17"/>
              </w:numPr>
              <w:spacing w:before="0" w:after="0"/>
              <w:ind w:left="69"/>
              <w:jc w:val="left"/>
              <w:rPr>
                <w:noProof/>
              </w:rPr>
            </w:pPr>
            <w:r w:rsidRPr="00C754CA">
              <w:rPr>
                <w:noProof/>
              </w:rPr>
              <w:t xml:space="preserve"> Unternehmen</w:t>
            </w:r>
          </w:p>
        </w:tc>
        <w:tc>
          <w:tcPr>
            <w:tcW w:w="95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6736DA3" w14:textId="77777777" w:rsidR="00CD3073" w:rsidRPr="00C754CA" w:rsidRDefault="00CD3073" w:rsidP="00192517">
            <w:pPr>
              <w:pStyle w:val="Text1"/>
              <w:spacing w:before="0" w:after="0"/>
              <w:ind w:left="69"/>
              <w:jc w:val="left"/>
              <w:rPr>
                <w:noProof/>
              </w:rPr>
            </w:pPr>
            <w:r w:rsidRPr="00C754CA">
              <w:rPr>
                <w:noProof/>
              </w:rPr>
              <w:t xml:space="preserve">Alle zu den spezifischen Zielen i und iii aufgeführten RCR“ </w:t>
            </w:r>
          </w:p>
        </w:tc>
      </w:tr>
    </w:tbl>
    <w:p w14:paraId="49A51D1F" w14:textId="77777777" w:rsidR="0001385B" w:rsidRPr="00C754CA" w:rsidRDefault="0001385B" w:rsidP="0053777C">
      <w:pPr>
        <w:pStyle w:val="Text1"/>
        <w:spacing w:line="276" w:lineRule="auto"/>
        <w:ind w:left="0"/>
        <w:jc w:val="right"/>
        <w:rPr>
          <w:noProof/>
        </w:rPr>
      </w:pPr>
    </w:p>
    <w:p w14:paraId="5E5B1164" w14:textId="77777777" w:rsidR="0053777C" w:rsidRPr="00C754CA" w:rsidRDefault="00C45D17" w:rsidP="00C45D17">
      <w:pPr>
        <w:pStyle w:val="Point1"/>
        <w:rPr>
          <w:noProof/>
        </w:rPr>
      </w:pPr>
      <w:r w:rsidRPr="00C754CA">
        <w:rPr>
          <w:noProof/>
        </w:rPr>
        <w:t>b)</w:t>
      </w:r>
      <w:r w:rsidRPr="00C754CA">
        <w:rPr>
          <w:noProof/>
        </w:rPr>
        <w:tab/>
        <w:t>Unter dem politischen Ziel </w:t>
      </w:r>
      <w:r w:rsidRPr="00E2773D">
        <w:rPr>
          <w:noProof/>
        </w:rPr>
        <w:t>2</w:t>
      </w:r>
      <w:r w:rsidRPr="00C754CA">
        <w:rPr>
          <w:noProof/>
        </w:rPr>
        <w:t xml:space="preserve"> erhält die Zeile für das spezifische Ziel v folgende Fassung:</w:t>
      </w:r>
    </w:p>
    <w:p w14:paraId="66B70F14" w14:textId="77777777" w:rsidR="0053777C" w:rsidRPr="00C754CA" w:rsidRDefault="0053777C" w:rsidP="0053777C">
      <w:pPr>
        <w:pStyle w:val="Text1"/>
        <w:spacing w:line="276" w:lineRule="auto"/>
        <w:rPr>
          <w:noProof/>
        </w:rPr>
      </w:pPr>
    </w:p>
    <w:tbl>
      <w:tblPr>
        <w:tblW w:w="4399" w:type="pct"/>
        <w:tblInd w:w="114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76"/>
        <w:gridCol w:w="2340"/>
        <w:gridCol w:w="2331"/>
        <w:gridCol w:w="2151"/>
      </w:tblGrid>
      <w:tr w:rsidR="0053777C" w:rsidRPr="00C754CA" w14:paraId="683B16FF" w14:textId="77777777" w:rsidTr="24923FD7">
        <w:tc>
          <w:tcPr>
            <w:tcW w:w="1182" w:type="pct"/>
            <w:tcBorders>
              <w:top w:val="outset" w:sz="8" w:space="0" w:color="auto"/>
              <w:left w:val="outset" w:sz="8" w:space="0" w:color="auto"/>
              <w:bottom w:val="outset" w:sz="8" w:space="0" w:color="auto"/>
              <w:right w:val="outset" w:sz="8" w:space="0" w:color="auto"/>
            </w:tcBorders>
            <w:shd w:val="clear" w:color="auto" w:fill="FFFFFF" w:themeFill="background1"/>
          </w:tcPr>
          <w:p w14:paraId="17CA65BC" w14:textId="77777777" w:rsidR="0053777C" w:rsidRPr="00C754CA" w:rsidRDefault="0053777C">
            <w:pPr>
              <w:pStyle w:val="Text1"/>
              <w:spacing w:line="276" w:lineRule="auto"/>
              <w:rPr>
                <w:noProof/>
              </w:rPr>
            </w:pPr>
          </w:p>
        </w:tc>
        <w:tc>
          <w:tcPr>
            <w:tcW w:w="1442"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AD8D40" w14:textId="77777777" w:rsidR="0053777C" w:rsidRPr="00C754CA" w:rsidRDefault="00E015E9" w:rsidP="24923FD7">
            <w:pPr>
              <w:pStyle w:val="Text1"/>
              <w:spacing w:before="0" w:after="0"/>
              <w:ind w:left="69"/>
              <w:jc w:val="left"/>
              <w:rPr>
                <w:noProof/>
              </w:rPr>
            </w:pPr>
            <w:r w:rsidRPr="00C754CA">
              <w:rPr>
                <w:noProof/>
              </w:rPr>
              <w:t xml:space="preserve">„v) Förderung eines sicheren Zugangs zu Wasser, einer nachhaltigen Wasserbewirtschaftung und einer resilienten Wasserversorgung </w:t>
            </w:r>
          </w:p>
        </w:tc>
        <w:tc>
          <w:tcPr>
            <w:tcW w:w="1150" w:type="pct"/>
            <w:tcBorders>
              <w:top w:val="outset" w:sz="6" w:space="0" w:color="auto"/>
              <w:left w:val="outset" w:sz="6" w:space="0" w:color="auto"/>
              <w:bottom w:val="outset" w:sz="6" w:space="0" w:color="auto"/>
              <w:right w:val="outset" w:sz="6" w:space="0" w:color="auto"/>
            </w:tcBorders>
            <w:shd w:val="clear" w:color="auto" w:fill="FFFFFF" w:themeFill="background1"/>
          </w:tcPr>
          <w:p w14:paraId="7F10B3AD" w14:textId="53C49E39" w:rsidR="0053777C" w:rsidRPr="00C754CA" w:rsidRDefault="0053777C" w:rsidP="00192517">
            <w:pPr>
              <w:pStyle w:val="Text1"/>
              <w:spacing w:before="0" w:after="0"/>
              <w:ind w:left="69"/>
              <w:jc w:val="left"/>
              <w:rPr>
                <w:noProof/>
              </w:rPr>
            </w:pPr>
            <w:r w:rsidRPr="00C754CA">
              <w:rPr>
                <w:noProof/>
              </w:rPr>
              <w:t>RCO </w:t>
            </w:r>
            <w:r w:rsidRPr="00E2773D">
              <w:rPr>
                <w:noProof/>
              </w:rPr>
              <w:t>30</w:t>
            </w:r>
            <w:r w:rsidRPr="00C754CA">
              <w:rPr>
                <w:noProof/>
              </w:rPr>
              <w:t> – Länge neuer oder ausgebauter Rohre für die Verteilungssysteme der öffentlichen Wasserversorgung – km</w:t>
            </w:r>
          </w:p>
          <w:p w14:paraId="3EC9F579" w14:textId="77777777" w:rsidR="0053777C" w:rsidRPr="00C754CA" w:rsidRDefault="0053777C" w:rsidP="00192517">
            <w:pPr>
              <w:pStyle w:val="Text1"/>
              <w:spacing w:before="0" w:after="0"/>
              <w:ind w:left="69"/>
              <w:jc w:val="left"/>
              <w:rPr>
                <w:noProof/>
              </w:rPr>
            </w:pPr>
            <w:r w:rsidRPr="00C754CA">
              <w:rPr>
                <w:noProof/>
              </w:rPr>
              <w:t>RCO </w:t>
            </w:r>
            <w:r w:rsidRPr="00E2773D">
              <w:rPr>
                <w:noProof/>
              </w:rPr>
              <w:t>31</w:t>
            </w:r>
            <w:r w:rsidRPr="00C754CA">
              <w:rPr>
                <w:noProof/>
              </w:rPr>
              <w:t> – Länge neuer oder ausgebauter Rohre für die öffentliche Abwassersammlung – km</w:t>
            </w:r>
          </w:p>
          <w:p w14:paraId="64DB0616" w14:textId="77777777" w:rsidR="0053777C" w:rsidRPr="00C754CA" w:rsidRDefault="0053777C" w:rsidP="00192517">
            <w:pPr>
              <w:pStyle w:val="Text1"/>
              <w:spacing w:before="0" w:after="0"/>
              <w:ind w:left="69"/>
              <w:jc w:val="left"/>
              <w:rPr>
                <w:noProof/>
              </w:rPr>
            </w:pPr>
            <w:r w:rsidRPr="00C754CA">
              <w:rPr>
                <w:noProof/>
              </w:rPr>
              <w:t>RCO </w:t>
            </w:r>
            <w:r w:rsidRPr="00E2773D">
              <w:rPr>
                <w:noProof/>
              </w:rPr>
              <w:t>32</w:t>
            </w:r>
            <w:r w:rsidRPr="00C754CA">
              <w:rPr>
                <w:noProof/>
              </w:rPr>
              <w:t> – neue oder ausgebaute Kapazität für die Abwasserbehandlung – Einwohneräquivalent</w:t>
            </w:r>
          </w:p>
        </w:tc>
        <w:tc>
          <w:tcPr>
            <w:tcW w:w="1226" w:type="pct"/>
            <w:tcBorders>
              <w:top w:val="outset" w:sz="6" w:space="0" w:color="auto"/>
              <w:left w:val="outset" w:sz="6" w:space="0" w:color="auto"/>
              <w:bottom w:val="outset" w:sz="6" w:space="0" w:color="auto"/>
              <w:right w:val="outset" w:sz="6" w:space="0" w:color="auto"/>
            </w:tcBorders>
            <w:shd w:val="clear" w:color="auto" w:fill="FFFFFF" w:themeFill="background1"/>
          </w:tcPr>
          <w:p w14:paraId="41855FBF" w14:textId="77777777" w:rsidR="0053777C" w:rsidRPr="00C754CA" w:rsidRDefault="0053777C" w:rsidP="00192517">
            <w:pPr>
              <w:pStyle w:val="Text1"/>
              <w:spacing w:before="0" w:after="0"/>
              <w:ind w:left="69"/>
              <w:jc w:val="left"/>
              <w:rPr>
                <w:noProof/>
              </w:rPr>
            </w:pPr>
            <w:r w:rsidRPr="00C754CA">
              <w:rPr>
                <w:noProof/>
              </w:rPr>
              <w:t>RCR </w:t>
            </w:r>
            <w:r w:rsidRPr="00E2773D">
              <w:rPr>
                <w:noProof/>
              </w:rPr>
              <w:t>41</w:t>
            </w:r>
            <w:r w:rsidRPr="00C754CA">
              <w:rPr>
                <w:noProof/>
              </w:rPr>
              <w:t> – Bevölkerung, die an eine verbesserte öffentliche Wasserversorgung angeschlossen ist – Personen</w:t>
            </w:r>
          </w:p>
          <w:p w14:paraId="34B6EF7D" w14:textId="77777777" w:rsidR="0053777C" w:rsidRPr="00C754CA" w:rsidRDefault="0053777C" w:rsidP="00192517">
            <w:pPr>
              <w:pStyle w:val="Text1"/>
              <w:spacing w:before="0" w:after="0"/>
              <w:ind w:left="69"/>
              <w:jc w:val="left"/>
              <w:rPr>
                <w:noProof/>
              </w:rPr>
            </w:pPr>
            <w:r w:rsidRPr="00C754CA">
              <w:rPr>
                <w:noProof/>
              </w:rPr>
              <w:t>RCR </w:t>
            </w:r>
            <w:r w:rsidRPr="00E2773D">
              <w:rPr>
                <w:noProof/>
              </w:rPr>
              <w:t>42</w:t>
            </w:r>
            <w:r w:rsidRPr="00C754CA">
              <w:rPr>
                <w:noProof/>
              </w:rPr>
              <w:t> – Bevölkerung, die zumindest an die sekundäre öffentliche Abwasserbehandlung angeschlossen ist – Personen</w:t>
            </w:r>
          </w:p>
          <w:p w14:paraId="690E64BA" w14:textId="77777777" w:rsidR="0053777C" w:rsidRPr="00C754CA" w:rsidRDefault="0053777C" w:rsidP="00192517">
            <w:pPr>
              <w:pStyle w:val="Text1"/>
              <w:spacing w:before="0" w:after="0"/>
              <w:ind w:left="69"/>
              <w:jc w:val="left"/>
              <w:rPr>
                <w:noProof/>
              </w:rPr>
            </w:pPr>
            <w:r w:rsidRPr="00C754CA">
              <w:rPr>
                <w:noProof/>
              </w:rPr>
              <w:t>RCR </w:t>
            </w:r>
            <w:r w:rsidRPr="00E2773D">
              <w:rPr>
                <w:noProof/>
              </w:rPr>
              <w:t>43</w:t>
            </w:r>
            <w:r w:rsidRPr="00C754CA">
              <w:rPr>
                <w:noProof/>
              </w:rPr>
              <w:t> – Wasserverluste in den Verteilungssystemen der öffentlichen Wasserversorgung – Kubikmeter pro Jahr“</w:t>
            </w:r>
          </w:p>
        </w:tc>
      </w:tr>
    </w:tbl>
    <w:p w14:paraId="3DEE3643" w14:textId="77777777" w:rsidR="00E015E9" w:rsidRPr="00C754CA" w:rsidRDefault="00C45D17" w:rsidP="00C45D17">
      <w:pPr>
        <w:pStyle w:val="Point1"/>
        <w:rPr>
          <w:noProof/>
        </w:rPr>
      </w:pPr>
      <w:r w:rsidRPr="00C754CA">
        <w:rPr>
          <w:noProof/>
        </w:rPr>
        <w:t>c)</w:t>
      </w:r>
      <w:r w:rsidRPr="00C754CA">
        <w:rPr>
          <w:noProof/>
        </w:rPr>
        <w:tab/>
        <w:t>Unter dem politischen Ziel </w:t>
      </w:r>
      <w:r w:rsidRPr="00E2773D">
        <w:rPr>
          <w:noProof/>
        </w:rPr>
        <w:t>2</w:t>
      </w:r>
      <w:r w:rsidRPr="00C754CA">
        <w:rPr>
          <w:noProof/>
        </w:rPr>
        <w:t xml:space="preserve"> werden die folgenden Zeilen angefügt:</w:t>
      </w:r>
    </w:p>
    <w:p w14:paraId="76A48B51" w14:textId="77777777" w:rsidR="00E015E9" w:rsidRPr="00C754CA" w:rsidRDefault="00E015E9" w:rsidP="00EF2EB8">
      <w:pPr>
        <w:pStyle w:val="Text1"/>
        <w:rPr>
          <w:noProof/>
        </w:rPr>
      </w:pPr>
    </w:p>
    <w:tbl>
      <w:tblPr>
        <w:tblW w:w="7998" w:type="dxa"/>
        <w:tblInd w:w="114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
        <w:gridCol w:w="2844"/>
        <w:gridCol w:w="2543"/>
        <w:gridCol w:w="2624"/>
      </w:tblGrid>
      <w:tr w:rsidR="003100E7" w:rsidRPr="00C754CA" w14:paraId="7DFAF2B3" w14:textId="77777777" w:rsidTr="00BC0CD0">
        <w:trPr>
          <w:trHeight w:val="300"/>
        </w:trPr>
        <w:tc>
          <w:tcPr>
            <w:tcW w:w="1890" w:type="dxa"/>
            <w:tcBorders>
              <w:top w:val="outset" w:sz="8" w:space="0" w:color="auto"/>
              <w:left w:val="outset" w:sz="8" w:space="0" w:color="auto"/>
              <w:bottom w:val="outset" w:sz="8" w:space="0" w:color="auto"/>
              <w:right w:val="outset" w:sz="8" w:space="0" w:color="auto"/>
            </w:tcBorders>
            <w:shd w:val="clear" w:color="auto" w:fill="FFFFFF" w:themeFill="background1"/>
            <w:hideMark/>
          </w:tcPr>
          <w:p w14:paraId="2181A09B" w14:textId="77777777" w:rsidR="0053777C" w:rsidRPr="00C754CA" w:rsidRDefault="0053777C">
            <w:pPr>
              <w:pStyle w:val="Text1"/>
              <w:spacing w:line="276" w:lineRule="auto"/>
              <w:rPr>
                <w:noProof/>
              </w:rPr>
            </w:pPr>
          </w:p>
        </w:tc>
        <w:tc>
          <w:tcPr>
            <w:tcW w:w="229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FB2FA8" w14:textId="77777777" w:rsidR="0053777C" w:rsidRPr="00C754CA" w:rsidRDefault="00E015E9" w:rsidP="4D8CB314">
            <w:pPr>
              <w:pStyle w:val="Text1"/>
              <w:spacing w:before="0" w:after="0"/>
              <w:ind w:left="69"/>
              <w:jc w:val="left"/>
              <w:rPr>
                <w:rFonts w:ascii="Calibri" w:hAnsi="Calibri" w:cs="Calibri"/>
                <w:noProof/>
                <w:sz w:val="22"/>
              </w:rPr>
            </w:pPr>
            <w:r w:rsidRPr="00C754CA">
              <w:rPr>
                <w:noProof/>
              </w:rPr>
              <w:t>„xi) Förderung des Zugangs zu erschwinglichem Wohnraum und damit zusammenhängende Reformen</w:t>
            </w:r>
          </w:p>
        </w:tc>
        <w:tc>
          <w:tcPr>
            <w:tcW w:w="1852"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35FEF3D" w14:textId="77777777" w:rsidR="0053777C" w:rsidRPr="00C754CA" w:rsidRDefault="0053777C" w:rsidP="00192517">
            <w:pPr>
              <w:pStyle w:val="Text1"/>
              <w:spacing w:before="0" w:after="0"/>
              <w:ind w:left="69"/>
              <w:jc w:val="left"/>
              <w:rPr>
                <w:noProof/>
              </w:rPr>
            </w:pPr>
            <w:r w:rsidRPr="00C754CA">
              <w:rPr>
                <w:noProof/>
              </w:rPr>
              <w:t>RCO </w:t>
            </w:r>
            <w:r w:rsidRPr="00E2773D">
              <w:rPr>
                <w:noProof/>
              </w:rPr>
              <w:t>18</w:t>
            </w:r>
            <w:r w:rsidRPr="00C754CA">
              <w:rPr>
                <w:noProof/>
              </w:rPr>
              <w:t> – Erschwingliche Wohnungen mit verbesserter Gesamtenergieeffizienz – Wohnungen</w:t>
            </w:r>
          </w:p>
          <w:p w14:paraId="0269BB46" w14:textId="77777777" w:rsidR="0053777C" w:rsidRPr="00C754CA" w:rsidRDefault="0053777C" w:rsidP="00192517">
            <w:pPr>
              <w:pStyle w:val="Text1"/>
              <w:spacing w:before="0" w:after="0"/>
              <w:ind w:left="69"/>
              <w:jc w:val="left"/>
              <w:rPr>
                <w:noProof/>
              </w:rPr>
            </w:pPr>
            <w:r w:rsidRPr="00C754CA">
              <w:rPr>
                <w:noProof/>
              </w:rPr>
              <w:t>RCO </w:t>
            </w:r>
            <w:r w:rsidRPr="00E2773D">
              <w:rPr>
                <w:noProof/>
              </w:rPr>
              <w:t>65</w:t>
            </w:r>
            <w:r w:rsidRPr="00C754CA">
              <w:rPr>
                <w:noProof/>
              </w:rPr>
              <w:t> – Kapazität neuer oder modernisierter erschwinglicher Wohnungen und Sozialwohnungen – Personen</w:t>
            </w:r>
          </w:p>
          <w:p w14:paraId="2D42242E" w14:textId="77777777" w:rsidR="0053777C" w:rsidRPr="00C754CA" w:rsidRDefault="0053777C" w:rsidP="00192517">
            <w:pPr>
              <w:pStyle w:val="Text1"/>
              <w:spacing w:before="0" w:after="0"/>
              <w:ind w:left="69"/>
              <w:jc w:val="left"/>
              <w:rPr>
                <w:noProof/>
              </w:rPr>
            </w:pPr>
            <w:r w:rsidRPr="00C754CA">
              <w:rPr>
                <w:noProof/>
              </w:rPr>
              <w:t>RCO </w:t>
            </w:r>
            <w:r w:rsidRPr="00E2773D">
              <w:rPr>
                <w:noProof/>
              </w:rPr>
              <w:t>130</w:t>
            </w:r>
            <w:r w:rsidRPr="00C754CA">
              <w:rPr>
                <w:noProof/>
              </w:rPr>
              <w:t> – Reformen in Bezug auf erschwingliche Wohnungen und Sozialwohnungen – Anzahl</w:t>
            </w:r>
          </w:p>
        </w:tc>
        <w:tc>
          <w:tcPr>
            <w:tcW w:w="196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D72B195" w14:textId="77777777" w:rsidR="0053777C" w:rsidRPr="00C754CA" w:rsidRDefault="0053777C" w:rsidP="00192517">
            <w:pPr>
              <w:pStyle w:val="Text1"/>
              <w:spacing w:before="0" w:after="0"/>
              <w:ind w:left="69"/>
              <w:jc w:val="left"/>
              <w:rPr>
                <w:noProof/>
              </w:rPr>
            </w:pPr>
            <w:r w:rsidRPr="00C754CA">
              <w:rPr>
                <w:noProof/>
              </w:rPr>
              <w:t>RCR </w:t>
            </w:r>
            <w:r w:rsidRPr="00E2773D">
              <w:rPr>
                <w:noProof/>
              </w:rPr>
              <w:t>26</w:t>
            </w:r>
            <w:r w:rsidRPr="00C754CA">
              <w:rPr>
                <w:noProof/>
              </w:rPr>
              <w:t> – jährlicher Primärenergieverbrauch (davon: erschwingliche Wohnstätten, öffentliche Gebäude, Unternehmen, andere) – MWh/Jahr</w:t>
            </w:r>
          </w:p>
          <w:p w14:paraId="14138CCE" w14:textId="77777777" w:rsidR="0053777C" w:rsidRPr="00C754CA" w:rsidRDefault="0053777C" w:rsidP="00192517">
            <w:pPr>
              <w:pStyle w:val="Text1"/>
              <w:spacing w:before="0" w:after="0"/>
              <w:ind w:left="69"/>
              <w:jc w:val="left"/>
              <w:rPr>
                <w:noProof/>
              </w:rPr>
            </w:pPr>
            <w:r w:rsidRPr="00C754CA">
              <w:rPr>
                <w:noProof/>
              </w:rPr>
              <w:t>RCR </w:t>
            </w:r>
            <w:r w:rsidRPr="00E2773D">
              <w:rPr>
                <w:noProof/>
              </w:rPr>
              <w:t>29</w:t>
            </w:r>
            <w:r w:rsidRPr="00C754CA">
              <w:rPr>
                <w:noProof/>
              </w:rPr>
              <w:t> – geschätzte Treibhausgasemissionen – Tonnen CO</w:t>
            </w:r>
            <w:r w:rsidRPr="00E2773D">
              <w:rPr>
                <w:noProof/>
                <w:vertAlign w:val="subscript"/>
              </w:rPr>
              <w:t>2</w:t>
            </w:r>
            <w:r w:rsidRPr="00C754CA">
              <w:rPr>
                <w:noProof/>
              </w:rPr>
              <w:t xml:space="preserve">-Äq./Jahr </w:t>
            </w:r>
          </w:p>
          <w:p w14:paraId="4D0D6EFC" w14:textId="77777777" w:rsidR="0053777C" w:rsidRPr="00C754CA" w:rsidRDefault="0053777C" w:rsidP="00192517">
            <w:pPr>
              <w:pStyle w:val="Text1"/>
              <w:spacing w:before="0" w:after="0"/>
              <w:ind w:left="69"/>
              <w:jc w:val="left"/>
              <w:rPr>
                <w:noProof/>
              </w:rPr>
            </w:pPr>
            <w:r w:rsidRPr="00C754CA">
              <w:rPr>
                <w:noProof/>
              </w:rPr>
              <w:t>RCR </w:t>
            </w:r>
            <w:r w:rsidRPr="00E2773D">
              <w:rPr>
                <w:noProof/>
              </w:rPr>
              <w:t>67</w:t>
            </w:r>
            <w:r w:rsidRPr="00C754CA">
              <w:rPr>
                <w:noProof/>
              </w:rPr>
              <w:t> – Nutzer von neuen oder modernisierten erschwinglichen Wohnungen und Sozialwohnungen pro Jahr – Nutzer/Jahr</w:t>
            </w:r>
          </w:p>
          <w:p w14:paraId="1767A393" w14:textId="77777777" w:rsidR="0053777C" w:rsidRPr="00C754CA" w:rsidRDefault="0053777C" w:rsidP="00192517">
            <w:pPr>
              <w:pStyle w:val="Text1"/>
              <w:spacing w:before="0" w:after="0"/>
              <w:jc w:val="left"/>
              <w:rPr>
                <w:noProof/>
              </w:rPr>
            </w:pPr>
          </w:p>
        </w:tc>
      </w:tr>
      <w:tr w:rsidR="0758BC66" w:rsidRPr="00C754CA" w14:paraId="24459070" w14:textId="77777777" w:rsidTr="00BC0CD0">
        <w:trPr>
          <w:trHeight w:val="300"/>
        </w:trPr>
        <w:tc>
          <w:tcPr>
            <w:tcW w:w="1890" w:type="dxa"/>
            <w:tcBorders>
              <w:top w:val="outset" w:sz="8" w:space="0" w:color="auto"/>
              <w:left w:val="outset" w:sz="8" w:space="0" w:color="auto"/>
              <w:bottom w:val="outset" w:sz="8" w:space="0" w:color="auto"/>
              <w:right w:val="outset" w:sz="8" w:space="0" w:color="auto"/>
            </w:tcBorders>
            <w:shd w:val="clear" w:color="auto" w:fill="FFFFFF" w:themeFill="background1"/>
            <w:hideMark/>
          </w:tcPr>
          <w:p w14:paraId="1F3DB4FD" w14:textId="77777777" w:rsidR="0758BC66" w:rsidRPr="00C754CA" w:rsidRDefault="0758BC66" w:rsidP="00BC0CD0">
            <w:pPr>
              <w:pStyle w:val="Text1"/>
              <w:spacing w:line="276" w:lineRule="auto"/>
              <w:rPr>
                <w:noProof/>
              </w:rPr>
            </w:pPr>
          </w:p>
        </w:tc>
        <w:tc>
          <w:tcPr>
            <w:tcW w:w="229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D552069" w14:textId="38F6C514" w:rsidR="1ACABF3F" w:rsidRPr="00C754CA" w:rsidRDefault="1ACABF3F" w:rsidP="00BC0CD0">
            <w:pPr>
              <w:pStyle w:val="Text1"/>
              <w:ind w:left="0"/>
              <w:jc w:val="left"/>
              <w:rPr>
                <w:noProof/>
              </w:rPr>
            </w:pPr>
            <w:r w:rsidRPr="00C754CA">
              <w:rPr>
                <w:noProof/>
              </w:rPr>
              <w:t>xii) Förderung von Energieverbindungsleitungen und der damit verbundenen Leitungsinfrastruktur sowie des Aufbaus von Ladeinfrastruktur</w:t>
            </w:r>
          </w:p>
        </w:tc>
        <w:tc>
          <w:tcPr>
            <w:tcW w:w="1852"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5C90F18" w14:textId="77777777" w:rsidR="2F894092" w:rsidRPr="00C754CA" w:rsidRDefault="2F894092" w:rsidP="00BC0CD0">
            <w:pPr>
              <w:pStyle w:val="Text1"/>
              <w:ind w:left="0"/>
              <w:jc w:val="left"/>
              <w:rPr>
                <w:noProof/>
              </w:rPr>
            </w:pPr>
            <w:r w:rsidRPr="00C754CA">
              <w:rPr>
                <w:noProof/>
              </w:rPr>
              <w:t>RCO </w:t>
            </w:r>
            <w:r w:rsidRPr="00E2773D">
              <w:rPr>
                <w:noProof/>
              </w:rPr>
              <w:t>59</w:t>
            </w:r>
            <w:r w:rsidRPr="00C754CA">
              <w:rPr>
                <w:noProof/>
              </w:rPr>
              <w:t> – Infrastruktur für alternative Kraftstoffe (Tank-/Aufladestationen)</w:t>
            </w:r>
          </w:p>
          <w:p w14:paraId="6D54F956" w14:textId="7748F536" w:rsidR="0758BC66" w:rsidRPr="00C754CA" w:rsidRDefault="6BFD3BB9" w:rsidP="69B6C51B">
            <w:pPr>
              <w:pStyle w:val="Text1"/>
              <w:ind w:left="0"/>
              <w:jc w:val="left"/>
              <w:rPr>
                <w:noProof/>
              </w:rPr>
            </w:pPr>
            <w:r w:rsidRPr="00C754CA">
              <w:rPr>
                <w:noProof/>
              </w:rPr>
              <w:t>RCO </w:t>
            </w:r>
            <w:r w:rsidRPr="00E2773D">
              <w:rPr>
                <w:noProof/>
              </w:rPr>
              <w:t>131</w:t>
            </w:r>
            <w:r w:rsidRPr="00C754CA">
              <w:rPr>
                <w:noProof/>
              </w:rPr>
              <w:t> –</w:t>
            </w:r>
            <w:r w:rsidR="00C72F83">
              <w:rPr>
                <w:noProof/>
              </w:rPr>
              <w:t xml:space="preserve"> </w:t>
            </w:r>
            <w:r w:rsidRPr="00C754CA">
              <w:rPr>
                <w:noProof/>
              </w:rPr>
              <w:t>Energiefernleitungen und Verbindungsleitungen – neu gebaut oder verbessert“</w:t>
            </w:r>
          </w:p>
        </w:tc>
        <w:tc>
          <w:tcPr>
            <w:tcW w:w="196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FEE4E7A" w14:textId="77777777" w:rsidR="0758BC66" w:rsidRPr="00C754CA" w:rsidRDefault="0758BC66" w:rsidP="00BC0CD0">
            <w:pPr>
              <w:pStyle w:val="Text1"/>
              <w:jc w:val="left"/>
              <w:rPr>
                <w:noProof/>
              </w:rPr>
            </w:pPr>
          </w:p>
        </w:tc>
      </w:tr>
    </w:tbl>
    <w:p w14:paraId="1BC2E4BE" w14:textId="77777777" w:rsidR="00B2796D" w:rsidRPr="00C754CA" w:rsidRDefault="00B2796D" w:rsidP="00B2796D">
      <w:pPr>
        <w:pStyle w:val="Text1"/>
        <w:jc w:val="right"/>
        <w:rPr>
          <w:noProof/>
        </w:rPr>
      </w:pPr>
    </w:p>
    <w:p w14:paraId="1ECE0E83" w14:textId="77777777" w:rsidR="0053777C" w:rsidRPr="00C754CA" w:rsidRDefault="00C45D17" w:rsidP="00C45D17">
      <w:pPr>
        <w:pStyle w:val="Point1"/>
        <w:rPr>
          <w:noProof/>
        </w:rPr>
      </w:pPr>
      <w:r w:rsidRPr="00C754CA">
        <w:rPr>
          <w:noProof/>
        </w:rPr>
        <w:t>d)</w:t>
      </w:r>
      <w:r w:rsidRPr="00C754CA">
        <w:rPr>
          <w:noProof/>
        </w:rPr>
        <w:tab/>
        <w:t>Unter dem politischen Ziel </w:t>
      </w:r>
      <w:r w:rsidRPr="00E2773D">
        <w:rPr>
          <w:noProof/>
        </w:rPr>
        <w:t>3</w:t>
      </w:r>
      <w:r w:rsidRPr="00C754CA">
        <w:rPr>
          <w:noProof/>
        </w:rPr>
        <w:t xml:space="preserve"> wird die folgende Zeile angefügt:</w:t>
      </w:r>
    </w:p>
    <w:p w14:paraId="620F87FC" w14:textId="77777777" w:rsidR="0053777C" w:rsidRPr="00C754CA" w:rsidRDefault="0053777C" w:rsidP="0053777C">
      <w:pPr>
        <w:pStyle w:val="Text1"/>
        <w:spacing w:line="276" w:lineRule="auto"/>
        <w:rPr>
          <w:noProof/>
        </w:rPr>
      </w:pPr>
    </w:p>
    <w:tbl>
      <w:tblPr>
        <w:tblW w:w="4399" w:type="pct"/>
        <w:tblInd w:w="114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1"/>
        <w:gridCol w:w="2647"/>
        <w:gridCol w:w="1780"/>
        <w:gridCol w:w="1740"/>
      </w:tblGrid>
      <w:tr w:rsidR="0053777C" w:rsidRPr="00C754CA" w14:paraId="07710888" w14:textId="77777777" w:rsidTr="4D8CB314">
        <w:tc>
          <w:tcPr>
            <w:tcW w:w="1208" w:type="pct"/>
            <w:tcBorders>
              <w:top w:val="outset" w:sz="8" w:space="0" w:color="auto"/>
              <w:left w:val="outset" w:sz="8" w:space="0" w:color="auto"/>
              <w:bottom w:val="outset" w:sz="8" w:space="0" w:color="auto"/>
              <w:right w:val="outset" w:sz="8" w:space="0" w:color="auto"/>
            </w:tcBorders>
            <w:shd w:val="clear" w:color="auto" w:fill="FFFFFF" w:themeFill="background1"/>
            <w:hideMark/>
          </w:tcPr>
          <w:p w14:paraId="08E0CAEE" w14:textId="77777777" w:rsidR="0053777C" w:rsidRPr="00C754CA" w:rsidRDefault="0053777C">
            <w:pPr>
              <w:pStyle w:val="Text1"/>
              <w:spacing w:line="276" w:lineRule="auto"/>
              <w:rPr>
                <w:noProof/>
              </w:rPr>
            </w:pPr>
          </w:p>
        </w:tc>
        <w:tc>
          <w:tcPr>
            <w:tcW w:w="146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2D5D405" w14:textId="51DDB188" w:rsidR="0053777C" w:rsidRPr="00C754CA" w:rsidRDefault="0F808FE4" w:rsidP="4D8CB314">
            <w:pPr>
              <w:pStyle w:val="Text1"/>
              <w:spacing w:before="0" w:after="0"/>
              <w:ind w:left="69"/>
              <w:jc w:val="left"/>
              <w:rPr>
                <w:rFonts w:ascii="Calibri" w:hAnsi="Calibri" w:cs="Calibri"/>
                <w:noProof/>
                <w:sz w:val="22"/>
              </w:rPr>
            </w:pPr>
            <w:r w:rsidRPr="00C754CA">
              <w:rPr>
                <w:noProof/>
              </w:rPr>
              <w:t>„iii) Entwicklung einer widerstandsfähigen Verteidigungsinfrastruktur oder einer Infrastruktur mit doppeltem Verwendungszweck zur Förderung der militärischen Mobilität in der Union</w:t>
            </w:r>
          </w:p>
        </w:tc>
        <w:tc>
          <w:tcPr>
            <w:tcW w:w="117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0338933" w14:textId="77777777" w:rsidR="0053777C" w:rsidRPr="00C754CA" w:rsidRDefault="0053777C" w:rsidP="00192517">
            <w:pPr>
              <w:pStyle w:val="Text1"/>
              <w:spacing w:before="0" w:after="0"/>
              <w:ind w:left="69"/>
              <w:jc w:val="left"/>
              <w:rPr>
                <w:noProof/>
              </w:rPr>
            </w:pPr>
            <w:r w:rsidRPr="00C754CA">
              <w:rPr>
                <w:noProof/>
              </w:rPr>
              <w:t xml:space="preserve">Alle zu den spezifischen Zielen i und ii aufgeführten RCO </w:t>
            </w:r>
          </w:p>
          <w:p w14:paraId="64234B02" w14:textId="77777777" w:rsidR="0053777C" w:rsidRPr="00C754CA" w:rsidRDefault="0053777C" w:rsidP="00566902">
            <w:pPr>
              <w:pStyle w:val="Text1"/>
              <w:spacing w:before="0" w:after="0"/>
              <w:ind w:left="69"/>
              <w:jc w:val="left"/>
              <w:rPr>
                <w:noProof/>
              </w:rPr>
            </w:pPr>
            <w:r w:rsidRPr="00C754CA">
              <w:rPr>
                <w:noProof/>
              </w:rPr>
              <w:t>RCO </w:t>
            </w:r>
            <w:r w:rsidRPr="00E2773D">
              <w:rPr>
                <w:noProof/>
              </w:rPr>
              <w:t>129</w:t>
            </w:r>
            <w:r w:rsidRPr="00C754CA">
              <w:rPr>
                <w:noProof/>
              </w:rPr>
              <w:t xml:space="preserve"> – Infrastruktur, die an die Anforderungen der militärischen Mobilität angepasst ist, </w:t>
            </w:r>
          </w:p>
        </w:tc>
        <w:tc>
          <w:tcPr>
            <w:tcW w:w="1150"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90171A1" w14:textId="77777777" w:rsidR="0053777C" w:rsidRPr="00C754CA" w:rsidRDefault="0053777C" w:rsidP="00192517">
            <w:pPr>
              <w:pStyle w:val="Text1"/>
              <w:spacing w:before="0" w:after="0"/>
              <w:ind w:left="69"/>
              <w:jc w:val="left"/>
              <w:rPr>
                <w:noProof/>
              </w:rPr>
            </w:pPr>
            <w:r w:rsidRPr="00C754CA">
              <w:rPr>
                <w:noProof/>
              </w:rPr>
              <w:t>Alle für die spezifischen Ziele i und ii aufgeführten RCR“</w:t>
            </w:r>
          </w:p>
        </w:tc>
      </w:tr>
    </w:tbl>
    <w:p w14:paraId="1660F11F" w14:textId="77777777" w:rsidR="0053777C" w:rsidRPr="00C754CA" w:rsidRDefault="0053777C" w:rsidP="00B5447C">
      <w:pPr>
        <w:pStyle w:val="Text1"/>
        <w:jc w:val="right"/>
        <w:rPr>
          <w:noProof/>
        </w:rPr>
      </w:pPr>
    </w:p>
    <w:p w14:paraId="200EF014" w14:textId="77777777" w:rsidR="0053777C" w:rsidRPr="00C754CA" w:rsidRDefault="00C45D17" w:rsidP="00C45D17">
      <w:pPr>
        <w:pStyle w:val="Point1"/>
        <w:rPr>
          <w:noProof/>
        </w:rPr>
      </w:pPr>
      <w:r w:rsidRPr="00C754CA">
        <w:rPr>
          <w:noProof/>
        </w:rPr>
        <w:t>e)</w:t>
      </w:r>
      <w:r w:rsidRPr="00C754CA">
        <w:rPr>
          <w:noProof/>
        </w:rPr>
        <w:tab/>
        <w:t>Unter dem politischen Ziel </w:t>
      </w:r>
      <w:r w:rsidRPr="00E2773D">
        <w:rPr>
          <w:noProof/>
        </w:rPr>
        <w:t>4</w:t>
      </w:r>
      <w:r w:rsidRPr="00C754CA">
        <w:rPr>
          <w:noProof/>
        </w:rPr>
        <w:t xml:space="preserve"> wird die folgende Zeile angefügt:</w:t>
      </w:r>
    </w:p>
    <w:p w14:paraId="781D037B" w14:textId="77777777" w:rsidR="0053777C" w:rsidRPr="00C754CA" w:rsidRDefault="0053777C" w:rsidP="0053777C">
      <w:pPr>
        <w:pStyle w:val="Text1"/>
        <w:spacing w:line="276" w:lineRule="auto"/>
        <w:rPr>
          <w:noProof/>
        </w:rPr>
      </w:pPr>
    </w:p>
    <w:tbl>
      <w:tblPr>
        <w:tblW w:w="4399" w:type="pct"/>
        <w:tblInd w:w="114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8"/>
        <w:gridCol w:w="2033"/>
        <w:gridCol w:w="2543"/>
        <w:gridCol w:w="2624"/>
      </w:tblGrid>
      <w:tr w:rsidR="0053777C" w:rsidRPr="00C754CA" w14:paraId="018A7A41" w14:textId="77777777" w:rsidTr="4D8CB314">
        <w:tc>
          <w:tcPr>
            <w:tcW w:w="1208" w:type="pct"/>
            <w:tcBorders>
              <w:top w:val="outset" w:sz="8" w:space="0" w:color="auto"/>
              <w:left w:val="outset" w:sz="8" w:space="0" w:color="auto"/>
              <w:bottom w:val="outset" w:sz="8" w:space="0" w:color="auto"/>
              <w:right w:val="outset" w:sz="8" w:space="0" w:color="auto"/>
            </w:tcBorders>
            <w:shd w:val="clear" w:color="auto" w:fill="FFFFFF" w:themeFill="background1"/>
            <w:hideMark/>
          </w:tcPr>
          <w:p w14:paraId="0C1B8C2F" w14:textId="77777777" w:rsidR="0053777C" w:rsidRPr="00C754CA" w:rsidRDefault="0053777C">
            <w:pPr>
              <w:pStyle w:val="Text1"/>
              <w:spacing w:line="276" w:lineRule="auto"/>
              <w:rPr>
                <w:noProof/>
              </w:rPr>
            </w:pPr>
          </w:p>
        </w:tc>
        <w:tc>
          <w:tcPr>
            <w:tcW w:w="146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7DD9C5A" w14:textId="77777777" w:rsidR="0053777C" w:rsidRPr="00C754CA" w:rsidRDefault="13C741C9" w:rsidP="4D8CB314">
            <w:pPr>
              <w:pStyle w:val="Text1"/>
              <w:spacing w:before="0" w:after="0"/>
              <w:ind w:left="69"/>
              <w:jc w:val="left"/>
              <w:rPr>
                <w:rFonts w:ascii="Calibri" w:hAnsi="Calibri" w:cs="Calibri"/>
                <w:noProof/>
                <w:sz w:val="22"/>
              </w:rPr>
            </w:pPr>
            <w:r w:rsidRPr="00C754CA">
              <w:rPr>
                <w:noProof/>
              </w:rPr>
              <w:t>„vii) Förderung des Zugangs zu erschwinglichem Wohnraum und damit zusammenhängende Reformen</w:t>
            </w:r>
          </w:p>
        </w:tc>
        <w:tc>
          <w:tcPr>
            <w:tcW w:w="117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BC3E1CB" w14:textId="77777777" w:rsidR="0053777C" w:rsidRPr="00C754CA" w:rsidRDefault="0053777C" w:rsidP="00192517">
            <w:pPr>
              <w:pStyle w:val="Text1"/>
              <w:spacing w:before="0" w:after="0"/>
              <w:ind w:left="69"/>
              <w:jc w:val="left"/>
              <w:rPr>
                <w:noProof/>
              </w:rPr>
            </w:pPr>
            <w:r w:rsidRPr="00C754CA">
              <w:rPr>
                <w:noProof/>
              </w:rPr>
              <w:t>RCO </w:t>
            </w:r>
            <w:r w:rsidRPr="00E2773D">
              <w:rPr>
                <w:noProof/>
              </w:rPr>
              <w:t>18</w:t>
            </w:r>
            <w:r w:rsidRPr="00C754CA">
              <w:rPr>
                <w:noProof/>
              </w:rPr>
              <w:t> – Wohnungen mit verbesserter Gesamtenergieeffizienz – Wohnungen</w:t>
            </w:r>
          </w:p>
          <w:p w14:paraId="14B9EBF6" w14:textId="77777777" w:rsidR="0053777C" w:rsidRPr="00C754CA" w:rsidRDefault="0053777C" w:rsidP="00192517">
            <w:pPr>
              <w:pStyle w:val="Text1"/>
              <w:spacing w:before="0" w:after="0"/>
              <w:ind w:left="69"/>
              <w:jc w:val="left"/>
              <w:rPr>
                <w:noProof/>
              </w:rPr>
            </w:pPr>
            <w:r w:rsidRPr="00C754CA">
              <w:rPr>
                <w:noProof/>
              </w:rPr>
              <w:t>RCO </w:t>
            </w:r>
            <w:r w:rsidRPr="00E2773D">
              <w:rPr>
                <w:noProof/>
              </w:rPr>
              <w:t>65</w:t>
            </w:r>
            <w:r w:rsidRPr="00C754CA">
              <w:rPr>
                <w:noProof/>
              </w:rPr>
              <w:t> – Kapazität neuer oder modernisierter Sozialwohnungen oder erschwinglicher Wohnungen – Personen</w:t>
            </w:r>
          </w:p>
          <w:p w14:paraId="3B9DED39" w14:textId="77777777" w:rsidR="0053777C" w:rsidRPr="00C754CA" w:rsidRDefault="0053777C" w:rsidP="00192517">
            <w:pPr>
              <w:pStyle w:val="Text1"/>
              <w:spacing w:before="0" w:after="0"/>
              <w:ind w:left="69"/>
              <w:jc w:val="left"/>
              <w:rPr>
                <w:noProof/>
              </w:rPr>
            </w:pPr>
            <w:r w:rsidRPr="00C754CA">
              <w:rPr>
                <w:noProof/>
              </w:rPr>
              <w:t>RCO </w:t>
            </w:r>
            <w:r w:rsidRPr="00E2773D">
              <w:rPr>
                <w:noProof/>
              </w:rPr>
              <w:t>130</w:t>
            </w:r>
            <w:r w:rsidRPr="00C754CA">
              <w:rPr>
                <w:noProof/>
              </w:rPr>
              <w:t> – Reformen in Bezug auf erschwingliche Wohnungen und Sozialwohnungen – Anzahl</w:t>
            </w:r>
          </w:p>
        </w:tc>
        <w:tc>
          <w:tcPr>
            <w:tcW w:w="1150"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4A267AB" w14:textId="77777777" w:rsidR="0053777C" w:rsidRPr="00C754CA" w:rsidRDefault="0053777C" w:rsidP="00192517">
            <w:pPr>
              <w:pStyle w:val="Text1"/>
              <w:spacing w:before="0" w:after="0"/>
              <w:ind w:left="69"/>
              <w:jc w:val="left"/>
              <w:rPr>
                <w:noProof/>
              </w:rPr>
            </w:pPr>
            <w:r w:rsidRPr="00C754CA">
              <w:rPr>
                <w:noProof/>
              </w:rPr>
              <w:t>RCR </w:t>
            </w:r>
            <w:r w:rsidRPr="00E2773D">
              <w:rPr>
                <w:noProof/>
              </w:rPr>
              <w:t>26</w:t>
            </w:r>
            <w:r w:rsidRPr="00C754CA">
              <w:rPr>
                <w:noProof/>
              </w:rPr>
              <w:t> – jährlicher Primärenergieverbrauch (davon: Wohnstätten, öffentliche Gebäude, Unternehmen, andere) – MWh/Jahr</w:t>
            </w:r>
          </w:p>
          <w:p w14:paraId="556FDB4B" w14:textId="77777777" w:rsidR="0053777C" w:rsidRPr="00C754CA" w:rsidRDefault="0053777C" w:rsidP="00192517">
            <w:pPr>
              <w:pStyle w:val="Text1"/>
              <w:spacing w:before="0" w:after="0"/>
              <w:ind w:left="69"/>
              <w:jc w:val="left"/>
              <w:rPr>
                <w:noProof/>
              </w:rPr>
            </w:pPr>
            <w:r w:rsidRPr="00C754CA">
              <w:rPr>
                <w:noProof/>
              </w:rPr>
              <w:t>RCR </w:t>
            </w:r>
            <w:r w:rsidRPr="00E2773D">
              <w:rPr>
                <w:noProof/>
              </w:rPr>
              <w:t>29</w:t>
            </w:r>
            <w:r w:rsidRPr="00C754CA">
              <w:rPr>
                <w:noProof/>
              </w:rPr>
              <w:t> – geschätzte Treibhausgasemissionen – Tonnen CO</w:t>
            </w:r>
            <w:r w:rsidRPr="00E2773D">
              <w:rPr>
                <w:noProof/>
                <w:vertAlign w:val="subscript"/>
              </w:rPr>
              <w:t>2</w:t>
            </w:r>
            <w:r w:rsidRPr="00C754CA">
              <w:rPr>
                <w:noProof/>
              </w:rPr>
              <w:t xml:space="preserve">-Äq./Jahr </w:t>
            </w:r>
          </w:p>
          <w:p w14:paraId="3F3CB3B9" w14:textId="77777777" w:rsidR="0053777C" w:rsidRPr="00C754CA" w:rsidRDefault="0053777C" w:rsidP="00192517">
            <w:pPr>
              <w:pStyle w:val="Text1"/>
              <w:spacing w:before="0" w:after="0"/>
              <w:ind w:left="69"/>
              <w:jc w:val="left"/>
              <w:rPr>
                <w:noProof/>
              </w:rPr>
            </w:pPr>
            <w:r w:rsidRPr="00C754CA">
              <w:rPr>
                <w:noProof/>
              </w:rPr>
              <w:t>RCR </w:t>
            </w:r>
            <w:r w:rsidRPr="00E2773D">
              <w:rPr>
                <w:noProof/>
              </w:rPr>
              <w:t>67</w:t>
            </w:r>
            <w:r w:rsidRPr="00C754CA">
              <w:rPr>
                <w:noProof/>
              </w:rPr>
              <w:t xml:space="preserve"> – Nutzer neuer oder modernisierter erschwinglicher Wohnungen und Sozialwohnungen pro Jahr – Nutzer/Jahr“</w:t>
            </w:r>
          </w:p>
          <w:p w14:paraId="16C79421" w14:textId="77777777" w:rsidR="0053777C" w:rsidRPr="00C754CA" w:rsidRDefault="0053777C" w:rsidP="00192517">
            <w:pPr>
              <w:pStyle w:val="Text1"/>
              <w:spacing w:before="0" w:after="0"/>
              <w:ind w:left="69"/>
              <w:jc w:val="left"/>
              <w:rPr>
                <w:noProof/>
              </w:rPr>
            </w:pPr>
          </w:p>
        </w:tc>
      </w:tr>
    </w:tbl>
    <w:p w14:paraId="3880AEEF" w14:textId="77777777" w:rsidR="0053777C" w:rsidRPr="00C754CA" w:rsidRDefault="0053777C" w:rsidP="00192517">
      <w:pPr>
        <w:jc w:val="right"/>
        <w:rPr>
          <w:noProof/>
        </w:rPr>
      </w:pPr>
    </w:p>
    <w:p w14:paraId="3BC3DDD1" w14:textId="77777777" w:rsidR="0053777C" w:rsidRPr="00C754CA" w:rsidRDefault="00C45D17" w:rsidP="00C45D17">
      <w:pPr>
        <w:pStyle w:val="Point1"/>
        <w:rPr>
          <w:noProof/>
        </w:rPr>
      </w:pPr>
      <w:r w:rsidRPr="00C754CA">
        <w:rPr>
          <w:noProof/>
        </w:rPr>
        <w:t>f)</w:t>
      </w:r>
      <w:r w:rsidRPr="00C754CA">
        <w:rPr>
          <w:noProof/>
        </w:rPr>
        <w:tab/>
        <w:t>Unter dem politischen Ziel </w:t>
      </w:r>
      <w:r w:rsidRPr="00E2773D">
        <w:rPr>
          <w:noProof/>
        </w:rPr>
        <w:t>5</w:t>
      </w:r>
      <w:r w:rsidRPr="00C754CA">
        <w:rPr>
          <w:noProof/>
        </w:rPr>
        <w:t xml:space="preserve"> wird die folgende Zeile angefügt:</w:t>
      </w:r>
    </w:p>
    <w:p w14:paraId="64217BCE" w14:textId="77777777" w:rsidR="0053777C" w:rsidRPr="00C754CA" w:rsidRDefault="0053777C" w:rsidP="0053777C">
      <w:pPr>
        <w:pStyle w:val="Text1"/>
        <w:rPr>
          <w:noProof/>
        </w:rPr>
      </w:pPr>
    </w:p>
    <w:tbl>
      <w:tblPr>
        <w:tblW w:w="4399" w:type="pct"/>
        <w:tblInd w:w="114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8"/>
        <w:gridCol w:w="2113"/>
        <w:gridCol w:w="2543"/>
        <w:gridCol w:w="2624"/>
      </w:tblGrid>
      <w:tr w:rsidR="0053777C" w:rsidRPr="00C754CA" w14:paraId="507C96BA" w14:textId="77777777" w:rsidTr="4D8CB314">
        <w:tc>
          <w:tcPr>
            <w:tcW w:w="1208" w:type="pct"/>
            <w:tcBorders>
              <w:top w:val="outset" w:sz="8" w:space="0" w:color="auto"/>
              <w:left w:val="outset" w:sz="8" w:space="0" w:color="auto"/>
              <w:bottom w:val="outset" w:sz="8" w:space="0" w:color="auto"/>
              <w:right w:val="outset" w:sz="8" w:space="0" w:color="auto"/>
            </w:tcBorders>
            <w:shd w:val="clear" w:color="auto" w:fill="FFFFFF" w:themeFill="background1"/>
            <w:hideMark/>
          </w:tcPr>
          <w:p w14:paraId="739788B7" w14:textId="77777777" w:rsidR="0053777C" w:rsidRPr="00C754CA" w:rsidRDefault="0053777C">
            <w:pPr>
              <w:pStyle w:val="Text1"/>
              <w:spacing w:line="276" w:lineRule="auto"/>
              <w:rPr>
                <w:noProof/>
              </w:rPr>
            </w:pPr>
          </w:p>
        </w:tc>
        <w:tc>
          <w:tcPr>
            <w:tcW w:w="146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764D07D" w14:textId="77777777" w:rsidR="0053777C" w:rsidRPr="00C754CA" w:rsidRDefault="0053777C" w:rsidP="4D8CB314">
            <w:pPr>
              <w:pStyle w:val="Text1"/>
              <w:spacing w:before="0" w:after="0"/>
              <w:ind w:left="69"/>
              <w:jc w:val="left"/>
              <w:rPr>
                <w:rFonts w:ascii="Calibri" w:hAnsi="Calibri" w:cs="Calibri"/>
                <w:noProof/>
                <w:sz w:val="22"/>
              </w:rPr>
            </w:pPr>
            <w:r w:rsidRPr="00C754CA">
              <w:rPr>
                <w:noProof/>
              </w:rPr>
              <w:t>iii) Förderung einer integrierten territorialen Entwicklung durch den Zugang zu erschwinglichem Wohnraum und die Entwicklung damit zusammenhängender Reformen in allen Arten von Gebieten</w:t>
            </w:r>
          </w:p>
        </w:tc>
        <w:tc>
          <w:tcPr>
            <w:tcW w:w="117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19F1691" w14:textId="77777777" w:rsidR="0053777C" w:rsidRPr="00C754CA" w:rsidRDefault="0053777C" w:rsidP="00192517">
            <w:pPr>
              <w:pStyle w:val="Text1"/>
              <w:spacing w:before="0" w:after="0"/>
              <w:ind w:left="69"/>
              <w:jc w:val="left"/>
              <w:rPr>
                <w:noProof/>
              </w:rPr>
            </w:pPr>
            <w:r w:rsidRPr="00C754CA">
              <w:rPr>
                <w:noProof/>
              </w:rPr>
              <w:t>RCO </w:t>
            </w:r>
            <w:r w:rsidRPr="00E2773D">
              <w:rPr>
                <w:noProof/>
              </w:rPr>
              <w:t>18</w:t>
            </w:r>
            <w:r w:rsidRPr="00C754CA">
              <w:rPr>
                <w:noProof/>
              </w:rPr>
              <w:t> – Wohnungen mit verbesserter Gesamtenergieeffizienz – Wohnungen</w:t>
            </w:r>
          </w:p>
          <w:p w14:paraId="1F317346" w14:textId="40F0950F" w:rsidR="0053777C" w:rsidRPr="00C754CA" w:rsidRDefault="0053777C" w:rsidP="00192517">
            <w:pPr>
              <w:pStyle w:val="Text1"/>
              <w:spacing w:before="0" w:after="0"/>
              <w:ind w:left="69"/>
              <w:jc w:val="left"/>
              <w:rPr>
                <w:noProof/>
              </w:rPr>
            </w:pPr>
            <w:r w:rsidRPr="00C754CA">
              <w:rPr>
                <w:noProof/>
              </w:rPr>
              <w:t>RCO </w:t>
            </w:r>
            <w:r w:rsidRPr="00E2773D">
              <w:rPr>
                <w:noProof/>
              </w:rPr>
              <w:t>65</w:t>
            </w:r>
            <w:r w:rsidRPr="00C754CA">
              <w:rPr>
                <w:noProof/>
              </w:rPr>
              <w:t> – Kapazität neuer oder modernisierter erschwinglicher Wohnungen und Sozialwohnungen – Personen</w:t>
            </w:r>
          </w:p>
          <w:p w14:paraId="471FF98E" w14:textId="77777777" w:rsidR="0053777C" w:rsidRPr="00C754CA" w:rsidRDefault="0053777C" w:rsidP="00192517">
            <w:pPr>
              <w:pStyle w:val="Text1"/>
              <w:spacing w:before="0" w:after="0"/>
              <w:ind w:left="69"/>
              <w:jc w:val="left"/>
              <w:rPr>
                <w:noProof/>
              </w:rPr>
            </w:pPr>
            <w:r w:rsidRPr="00C754CA">
              <w:rPr>
                <w:noProof/>
              </w:rPr>
              <w:t>RCO </w:t>
            </w:r>
            <w:r w:rsidRPr="00E2773D">
              <w:rPr>
                <w:noProof/>
              </w:rPr>
              <w:t>130</w:t>
            </w:r>
            <w:r w:rsidRPr="00C754CA">
              <w:rPr>
                <w:noProof/>
              </w:rPr>
              <w:t> – Reformen in Bezug auf erschwingliche Wohnungen und Sozialwohnungen – Anzahl</w:t>
            </w:r>
          </w:p>
        </w:tc>
        <w:tc>
          <w:tcPr>
            <w:tcW w:w="1150"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0B58E1C" w14:textId="77777777" w:rsidR="0053777C" w:rsidRPr="00C754CA" w:rsidRDefault="0053777C" w:rsidP="00192517">
            <w:pPr>
              <w:pStyle w:val="Text1"/>
              <w:spacing w:before="0" w:after="0"/>
              <w:ind w:left="69"/>
              <w:jc w:val="left"/>
              <w:rPr>
                <w:noProof/>
              </w:rPr>
            </w:pPr>
            <w:r w:rsidRPr="00C754CA">
              <w:rPr>
                <w:noProof/>
              </w:rPr>
              <w:t>RCR </w:t>
            </w:r>
            <w:r w:rsidRPr="00E2773D">
              <w:rPr>
                <w:noProof/>
              </w:rPr>
              <w:t>26</w:t>
            </w:r>
            <w:r w:rsidRPr="00C754CA">
              <w:rPr>
                <w:noProof/>
              </w:rPr>
              <w:t> – jährlicher Primärenergieverbrauch (davon: Wohnstätten, öffentliche Gebäude, Unternehmen, andere) – MWh/Jahr</w:t>
            </w:r>
          </w:p>
          <w:p w14:paraId="401993A0" w14:textId="77777777" w:rsidR="0053777C" w:rsidRPr="00C754CA" w:rsidRDefault="0053777C" w:rsidP="00192517">
            <w:pPr>
              <w:pStyle w:val="Text1"/>
              <w:spacing w:before="0" w:after="0"/>
              <w:ind w:left="69"/>
              <w:jc w:val="left"/>
              <w:rPr>
                <w:noProof/>
              </w:rPr>
            </w:pPr>
            <w:r w:rsidRPr="00C754CA">
              <w:rPr>
                <w:noProof/>
              </w:rPr>
              <w:t>RCR </w:t>
            </w:r>
            <w:r w:rsidRPr="00E2773D">
              <w:rPr>
                <w:noProof/>
              </w:rPr>
              <w:t>29</w:t>
            </w:r>
            <w:r w:rsidRPr="00C754CA">
              <w:rPr>
                <w:noProof/>
              </w:rPr>
              <w:t> – geschätzte Treibhausgasemissionen – Tonnen CO</w:t>
            </w:r>
            <w:r w:rsidRPr="00E2773D">
              <w:rPr>
                <w:noProof/>
                <w:vertAlign w:val="subscript"/>
              </w:rPr>
              <w:t>2</w:t>
            </w:r>
            <w:r w:rsidRPr="00C754CA">
              <w:rPr>
                <w:noProof/>
              </w:rPr>
              <w:t xml:space="preserve">-Äq./Jahr </w:t>
            </w:r>
          </w:p>
          <w:p w14:paraId="30413798" w14:textId="77777777" w:rsidR="0053777C" w:rsidRPr="00C754CA" w:rsidRDefault="0053777C" w:rsidP="00192517">
            <w:pPr>
              <w:pStyle w:val="Text1"/>
              <w:spacing w:before="0" w:after="0"/>
              <w:ind w:left="69"/>
              <w:jc w:val="left"/>
              <w:rPr>
                <w:noProof/>
              </w:rPr>
            </w:pPr>
            <w:r w:rsidRPr="00C754CA">
              <w:rPr>
                <w:noProof/>
              </w:rPr>
              <w:t>RCR </w:t>
            </w:r>
            <w:r w:rsidRPr="00E2773D">
              <w:rPr>
                <w:noProof/>
              </w:rPr>
              <w:t>67</w:t>
            </w:r>
            <w:r w:rsidRPr="00C754CA">
              <w:rPr>
                <w:noProof/>
              </w:rPr>
              <w:t xml:space="preserve"> – Nutzer neuer oder modernisierter erschwinglicher Wohnungen und Sozialwohnungen pro Jahr – Nutzer/Jahr“</w:t>
            </w:r>
          </w:p>
          <w:p w14:paraId="50FE8D39" w14:textId="77777777" w:rsidR="0053777C" w:rsidRPr="00C754CA" w:rsidRDefault="0053777C" w:rsidP="00192517">
            <w:pPr>
              <w:pStyle w:val="Text1"/>
              <w:spacing w:before="0" w:after="0"/>
              <w:ind w:left="69"/>
              <w:jc w:val="left"/>
              <w:rPr>
                <w:noProof/>
              </w:rPr>
            </w:pPr>
          </w:p>
        </w:tc>
      </w:tr>
      <w:bookmarkEnd w:id="42"/>
    </w:tbl>
    <w:p w14:paraId="56AF414C" w14:textId="77777777" w:rsidR="0053777C" w:rsidRPr="00C754CA" w:rsidRDefault="0053777C" w:rsidP="0053777C">
      <w:pPr>
        <w:pStyle w:val="Text1"/>
        <w:spacing w:line="276" w:lineRule="auto"/>
        <w:ind w:left="0"/>
        <w:jc w:val="right"/>
        <w:rPr>
          <w:noProof/>
        </w:rPr>
      </w:pPr>
    </w:p>
    <w:p w14:paraId="1C68F7BF" w14:textId="77777777" w:rsidR="0001385B" w:rsidRPr="00C754CA" w:rsidRDefault="0001385B" w:rsidP="0001385B">
      <w:pPr>
        <w:pStyle w:val="Titrearticle"/>
        <w:spacing w:line="276" w:lineRule="auto"/>
        <w:rPr>
          <w:noProof/>
        </w:rPr>
      </w:pPr>
      <w:bookmarkStart w:id="57" w:name="_Hlk193349779"/>
      <w:r w:rsidRPr="00C754CA">
        <w:rPr>
          <w:noProof/>
        </w:rPr>
        <w:t>Artikel </w:t>
      </w:r>
      <w:r w:rsidRPr="00E2773D">
        <w:rPr>
          <w:noProof/>
        </w:rPr>
        <w:t>2</w:t>
      </w:r>
    </w:p>
    <w:p w14:paraId="01F52CE3" w14:textId="77777777" w:rsidR="0001385B" w:rsidRPr="00C754CA" w:rsidRDefault="0001385B" w:rsidP="0001385B">
      <w:pPr>
        <w:spacing w:line="276" w:lineRule="auto"/>
        <w:rPr>
          <w:noProof/>
        </w:rPr>
      </w:pPr>
      <w:r w:rsidRPr="00C754CA">
        <w:rPr>
          <w:noProof/>
        </w:rPr>
        <w:t xml:space="preserve">Die Verordnung (EU) </w:t>
      </w:r>
      <w:r w:rsidRPr="00E2773D">
        <w:rPr>
          <w:noProof/>
        </w:rPr>
        <w:t>2021</w:t>
      </w:r>
      <w:r w:rsidRPr="00C754CA">
        <w:rPr>
          <w:noProof/>
        </w:rPr>
        <w:t>/</w:t>
      </w:r>
      <w:r w:rsidRPr="00E2773D">
        <w:rPr>
          <w:noProof/>
        </w:rPr>
        <w:t>1056</w:t>
      </w:r>
      <w:r w:rsidRPr="00C754CA">
        <w:rPr>
          <w:noProof/>
        </w:rPr>
        <w:t xml:space="preserve"> wird wie folgt geändert:</w:t>
      </w:r>
    </w:p>
    <w:bookmarkEnd w:id="57"/>
    <w:p w14:paraId="35C7B36B" w14:textId="77777777" w:rsidR="0001385B" w:rsidRPr="00C754CA" w:rsidRDefault="00C45D17" w:rsidP="00C45D17">
      <w:pPr>
        <w:pStyle w:val="Point0"/>
        <w:rPr>
          <w:noProof/>
        </w:rPr>
      </w:pPr>
      <w:r w:rsidRPr="00C754CA">
        <w:rPr>
          <w:noProof/>
        </w:rPr>
        <w:t>(</w:t>
      </w:r>
      <w:r w:rsidRPr="00E2773D">
        <w:rPr>
          <w:noProof/>
        </w:rPr>
        <w:t>1</w:t>
      </w:r>
      <w:r w:rsidRPr="00C754CA">
        <w:rPr>
          <w:noProof/>
        </w:rPr>
        <w:t>)</w:t>
      </w:r>
      <w:r w:rsidRPr="00C754CA">
        <w:rPr>
          <w:noProof/>
        </w:rPr>
        <w:tab/>
        <w:t>Artikel </w:t>
      </w:r>
      <w:r w:rsidRPr="00E2773D">
        <w:rPr>
          <w:noProof/>
        </w:rPr>
        <w:t>8</w:t>
      </w:r>
      <w:r w:rsidRPr="00C754CA">
        <w:rPr>
          <w:noProof/>
        </w:rPr>
        <w:t xml:space="preserve"> Absatz </w:t>
      </w:r>
      <w:r w:rsidRPr="00E2773D">
        <w:rPr>
          <w:noProof/>
        </w:rPr>
        <w:t>2</w:t>
      </w:r>
      <w:r w:rsidRPr="00C754CA">
        <w:rPr>
          <w:noProof/>
        </w:rPr>
        <w:t xml:space="preserve"> wird wie folgt geändert:</w:t>
      </w:r>
    </w:p>
    <w:p w14:paraId="493AD721" w14:textId="77777777" w:rsidR="0001385B" w:rsidRPr="00C754CA" w:rsidRDefault="00C45D17" w:rsidP="00C45D17">
      <w:pPr>
        <w:pStyle w:val="Point1"/>
        <w:rPr>
          <w:noProof/>
        </w:rPr>
      </w:pPr>
      <w:r w:rsidRPr="00C754CA">
        <w:rPr>
          <w:noProof/>
        </w:rPr>
        <w:t>a)</w:t>
      </w:r>
      <w:r w:rsidRPr="00C754CA">
        <w:rPr>
          <w:noProof/>
        </w:rPr>
        <w:tab/>
        <w:t>In Unterabsatz </w:t>
      </w:r>
      <w:r w:rsidRPr="00E2773D">
        <w:rPr>
          <w:noProof/>
        </w:rPr>
        <w:t>1</w:t>
      </w:r>
      <w:r w:rsidRPr="00C754CA">
        <w:rPr>
          <w:noProof/>
        </w:rPr>
        <w:t xml:space="preserve"> wird folgender Buchstabe p angefügt:</w:t>
      </w:r>
    </w:p>
    <w:p w14:paraId="715BF3DD" w14:textId="77777777" w:rsidR="0001385B" w:rsidRPr="00C754CA" w:rsidRDefault="375C77E2" w:rsidP="009F2519">
      <w:pPr>
        <w:pStyle w:val="Text2"/>
        <w:rPr>
          <w:noProof/>
        </w:rPr>
      </w:pPr>
      <w:bookmarkStart w:id="58" w:name="_Hlk193058675"/>
      <w:r w:rsidRPr="00C754CA">
        <w:rPr>
          <w:noProof/>
        </w:rPr>
        <w:t>„p) Förderung des Zugangs zu erschwinglichem Wohnraum und damit zusammenhängende Reformen</w:t>
      </w:r>
      <w:bookmarkEnd w:id="58"/>
      <w:r w:rsidRPr="00C754CA">
        <w:rPr>
          <w:noProof/>
        </w:rPr>
        <w:t>.“</w:t>
      </w:r>
    </w:p>
    <w:p w14:paraId="6FA74E2F" w14:textId="77777777" w:rsidR="0001385B" w:rsidRPr="00C754CA" w:rsidRDefault="00C45D17" w:rsidP="00C45D17">
      <w:pPr>
        <w:pStyle w:val="Point1"/>
        <w:rPr>
          <w:noProof/>
        </w:rPr>
      </w:pPr>
      <w:r w:rsidRPr="00C754CA">
        <w:rPr>
          <w:noProof/>
        </w:rPr>
        <w:t>b)</w:t>
      </w:r>
      <w:r w:rsidRPr="00C754CA">
        <w:rPr>
          <w:noProof/>
        </w:rPr>
        <w:tab/>
        <w:t>Unterabsatz </w:t>
      </w:r>
      <w:r w:rsidRPr="00E2773D">
        <w:rPr>
          <w:noProof/>
        </w:rPr>
        <w:t>4</w:t>
      </w:r>
      <w:r w:rsidRPr="00C754CA">
        <w:rPr>
          <w:noProof/>
        </w:rPr>
        <w:t xml:space="preserve"> erhält folgende Fassung:</w:t>
      </w:r>
    </w:p>
    <w:p w14:paraId="006F464E" w14:textId="77777777" w:rsidR="0001385B" w:rsidRPr="00C754CA" w:rsidRDefault="00676DBE" w:rsidP="009F2519">
      <w:pPr>
        <w:pStyle w:val="Text2"/>
        <w:rPr>
          <w:noProof/>
        </w:rPr>
      </w:pPr>
      <w:bookmarkStart w:id="59" w:name="_Hlk193059012"/>
      <w:r w:rsidRPr="00C754CA">
        <w:rPr>
          <w:noProof/>
        </w:rPr>
        <w:t>„Aus dem JTF können auch produktive Investitionen in andere Unternehmen als KMU unterstützt werden, wobei ein Schwerpunkt weiterhin auf KMU liegt, unabhängig von einer Ausführung der Lückenanalyse gemäß Artikel </w:t>
      </w:r>
      <w:r w:rsidRPr="00E2773D">
        <w:rPr>
          <w:noProof/>
        </w:rPr>
        <w:t>11</w:t>
      </w:r>
      <w:r w:rsidRPr="00C754CA">
        <w:rPr>
          <w:noProof/>
        </w:rPr>
        <w:t xml:space="preserve"> Absatz </w:t>
      </w:r>
      <w:r w:rsidRPr="00E2773D">
        <w:rPr>
          <w:noProof/>
        </w:rPr>
        <w:t>2</w:t>
      </w:r>
      <w:r w:rsidRPr="00C754CA">
        <w:rPr>
          <w:noProof/>
        </w:rPr>
        <w:t xml:space="preserve"> Buchstabe h dieser Verordnung und ggf. deren Ergebnis. Solche Investitionen sind nur dann förderfähig, wenn sie nicht zu einer Standortverlagerung im Sinne des Artikels </w:t>
      </w:r>
      <w:r w:rsidRPr="00E2773D">
        <w:rPr>
          <w:noProof/>
        </w:rPr>
        <w:t>2</w:t>
      </w:r>
      <w:r w:rsidRPr="00C754CA">
        <w:rPr>
          <w:noProof/>
        </w:rPr>
        <w:t xml:space="preserve"> Nummer </w:t>
      </w:r>
      <w:r w:rsidRPr="00E2773D">
        <w:rPr>
          <w:noProof/>
        </w:rPr>
        <w:t>27</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führen. Die Bereitstellung einer solchen Unterstützung erfordert keine Überarbeitung des territorialen Plans für einen gerechten Übergang, falls diese Überarbeitung ausschließlich mit der Lückenanalyse verbunden wäre. Lehrstellen und Arbeitsplätze sowie schulische oder berufliche Ausbildungen für neue Kompetenzen werden beim Auswahlverfahren berücksichtigt.“</w:t>
      </w:r>
    </w:p>
    <w:bookmarkEnd w:id="59"/>
    <w:p w14:paraId="47E8E119" w14:textId="77777777" w:rsidR="0001385B" w:rsidRPr="00C754CA" w:rsidRDefault="00C45D17" w:rsidP="00C45D17">
      <w:pPr>
        <w:pStyle w:val="Point1"/>
        <w:rPr>
          <w:noProof/>
        </w:rPr>
      </w:pPr>
      <w:r w:rsidRPr="00C754CA">
        <w:rPr>
          <w:noProof/>
        </w:rPr>
        <w:t>c)</w:t>
      </w:r>
      <w:r w:rsidRPr="00C754CA">
        <w:rPr>
          <w:noProof/>
        </w:rPr>
        <w:tab/>
        <w:t>Folgender Unterabsatz wird angefügt:</w:t>
      </w:r>
    </w:p>
    <w:p w14:paraId="4C104FDA" w14:textId="77777777" w:rsidR="0001385B" w:rsidRPr="00C754CA" w:rsidRDefault="008353A5" w:rsidP="009F2519">
      <w:pPr>
        <w:pStyle w:val="Text2"/>
        <w:rPr>
          <w:noProof/>
        </w:rPr>
      </w:pPr>
      <w:bookmarkStart w:id="60" w:name="_Hlk193059231"/>
      <w:r w:rsidRPr="00C754CA">
        <w:rPr>
          <w:noProof/>
        </w:rPr>
        <w:t>„Für Vorhaben, denen ein Exzellenzsiegel im Sinne des Artikels </w:t>
      </w:r>
      <w:r w:rsidRPr="00E2773D">
        <w:rPr>
          <w:noProof/>
        </w:rPr>
        <w:t>2</w:t>
      </w:r>
      <w:r w:rsidRPr="00C754CA">
        <w:rPr>
          <w:noProof/>
        </w:rPr>
        <w:t xml:space="preserve"> Nummer </w:t>
      </w:r>
      <w:r w:rsidRPr="00E2773D">
        <w:rPr>
          <w:noProof/>
        </w:rPr>
        <w:t>45</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zuerkannt wurde, und für Vorhaben, die direkt an einem von der Kommission gemäß Artikel </w:t>
      </w:r>
      <w:r w:rsidRPr="00E2773D">
        <w:rPr>
          <w:noProof/>
        </w:rPr>
        <w:t>107</w:t>
      </w:r>
      <w:r w:rsidRPr="00C754CA">
        <w:rPr>
          <w:noProof/>
        </w:rPr>
        <w:t xml:space="preserve"> Absatz </w:t>
      </w:r>
      <w:r w:rsidRPr="00E2773D">
        <w:rPr>
          <w:noProof/>
        </w:rPr>
        <w:t>3</w:t>
      </w:r>
      <w:r w:rsidRPr="00C754CA">
        <w:rPr>
          <w:noProof/>
        </w:rPr>
        <w:t xml:space="preserve"> Buchstabe b AEUV und der Mitteilung C(</w:t>
      </w:r>
      <w:r w:rsidRPr="00E2773D">
        <w:rPr>
          <w:noProof/>
        </w:rPr>
        <w:t>2021</w:t>
      </w:r>
      <w:r w:rsidRPr="00C754CA">
        <w:rPr>
          <w:noProof/>
        </w:rPr>
        <w:t>) </w:t>
      </w:r>
      <w:r w:rsidRPr="00E2773D">
        <w:rPr>
          <w:noProof/>
        </w:rPr>
        <w:t>848</w:t>
      </w:r>
      <w:r w:rsidRPr="00C754CA">
        <w:rPr>
          <w:noProof/>
        </w:rPr>
        <w:t xml:space="preserve"> genehmigten wichtigen Vorhaben von gemeinsamem europäischem Interesse beteiligt sind, kann die Verwaltungsbehörde beschließen, direkt eine Unterstützung aus dem JTF zu gewähren, sofern diese Vorhaben zu dem spezifischen Ziel gemäß Artikel </w:t>
      </w:r>
      <w:r w:rsidRPr="00E2773D">
        <w:rPr>
          <w:noProof/>
        </w:rPr>
        <w:t>2</w:t>
      </w:r>
      <w:r w:rsidRPr="00C754CA">
        <w:rPr>
          <w:noProof/>
        </w:rPr>
        <w:t xml:space="preserve"> dieser Verordnung und zur Durchführung der territorialen Pläne für einen gerechten Übergang beitragen</w:t>
      </w:r>
      <w:bookmarkEnd w:id="60"/>
      <w:r w:rsidRPr="00C754CA">
        <w:rPr>
          <w:noProof/>
        </w:rPr>
        <w:t>.“</w:t>
      </w:r>
    </w:p>
    <w:p w14:paraId="28D44659" w14:textId="77777777" w:rsidR="0001385B" w:rsidRPr="00C754CA" w:rsidRDefault="00C45D17" w:rsidP="00C45D17">
      <w:pPr>
        <w:pStyle w:val="Point0"/>
        <w:rPr>
          <w:noProof/>
        </w:rPr>
      </w:pPr>
      <w:bookmarkStart w:id="61" w:name="_Hlk190701300"/>
      <w:r w:rsidRPr="00C754CA">
        <w:rPr>
          <w:noProof/>
        </w:rPr>
        <w:t>(</w:t>
      </w:r>
      <w:r w:rsidRPr="00E2773D">
        <w:rPr>
          <w:noProof/>
        </w:rPr>
        <w:t>2</w:t>
      </w:r>
      <w:r w:rsidRPr="00C754CA">
        <w:rPr>
          <w:noProof/>
        </w:rPr>
        <w:t>)</w:t>
      </w:r>
      <w:r w:rsidRPr="00C754CA">
        <w:rPr>
          <w:noProof/>
        </w:rPr>
        <w:tab/>
        <w:t>Artikel </w:t>
      </w:r>
      <w:r w:rsidRPr="00E2773D">
        <w:rPr>
          <w:noProof/>
        </w:rPr>
        <w:t>9</w:t>
      </w:r>
      <w:r w:rsidRPr="00C754CA">
        <w:rPr>
          <w:noProof/>
        </w:rPr>
        <w:t xml:space="preserve"> Buchstabe d erhält folgende Fassung:</w:t>
      </w:r>
    </w:p>
    <w:p w14:paraId="729B8A3D" w14:textId="77777777" w:rsidR="0001385B" w:rsidRPr="00C754CA" w:rsidRDefault="463230F3" w:rsidP="009F2519">
      <w:pPr>
        <w:pStyle w:val="Text1"/>
        <w:rPr>
          <w:noProof/>
        </w:rPr>
      </w:pPr>
      <w:bookmarkStart w:id="62" w:name="_Hlk193059401"/>
      <w:r w:rsidRPr="00C754CA">
        <w:rPr>
          <w:noProof/>
        </w:rPr>
        <w:t xml:space="preserve">„d) Investitionen im Zusammenhang mit der Produktion, Verarbeitung, Beförderung, Verteilung, Speicherung oder Verbrennung fossiler Brennstoffe, ausgenommen Investitionen in Vorhaben, denen im Rahmen einer Aufforderung zur Einreichung von Vorschlägen gemäß der Delegierten Verordnung (EU) </w:t>
      </w:r>
      <w:r w:rsidRPr="00E2773D">
        <w:rPr>
          <w:noProof/>
        </w:rPr>
        <w:t>2019</w:t>
      </w:r>
      <w:r w:rsidRPr="00C754CA">
        <w:rPr>
          <w:noProof/>
        </w:rPr>
        <w:t>/</w:t>
      </w:r>
      <w:r w:rsidRPr="00E2773D">
        <w:rPr>
          <w:noProof/>
        </w:rPr>
        <w:t>856</w:t>
      </w:r>
      <w:r w:rsidRPr="00C754CA">
        <w:rPr>
          <w:noProof/>
        </w:rPr>
        <w:t xml:space="preserve"> der Kommission ein Souveränitätssiegel gemäß Artikel </w:t>
      </w:r>
      <w:r w:rsidRPr="00E2773D">
        <w:rPr>
          <w:noProof/>
        </w:rPr>
        <w:t>4</w:t>
      </w:r>
      <w:r w:rsidRPr="00C754CA">
        <w:rPr>
          <w:noProof/>
        </w:rPr>
        <w:t xml:space="preserve"> Absatz </w:t>
      </w:r>
      <w:r w:rsidRPr="00E2773D">
        <w:rPr>
          <w:noProof/>
        </w:rPr>
        <w:t>1</w:t>
      </w:r>
      <w:r w:rsidRPr="00C754CA">
        <w:rPr>
          <w:noProof/>
        </w:rPr>
        <w:t xml:space="preserve"> der Verordnung (EU) </w:t>
      </w:r>
      <w:r w:rsidRPr="00E2773D">
        <w:rPr>
          <w:noProof/>
        </w:rPr>
        <w:t>2024</w:t>
      </w:r>
      <w:r w:rsidRPr="00C754CA">
        <w:rPr>
          <w:noProof/>
        </w:rPr>
        <w:t>/</w:t>
      </w:r>
      <w:r w:rsidRPr="00E2773D">
        <w:rPr>
          <w:noProof/>
        </w:rPr>
        <w:t>795</w:t>
      </w:r>
      <w:r w:rsidRPr="00C754CA">
        <w:rPr>
          <w:noProof/>
        </w:rPr>
        <w:t xml:space="preserve"> der Kommission zuerkannt wurde.“</w:t>
      </w:r>
    </w:p>
    <w:p w14:paraId="5413320E" w14:textId="77777777" w:rsidR="00EA5E0E" w:rsidRPr="00C754CA" w:rsidRDefault="00C45D17" w:rsidP="00C45D17">
      <w:pPr>
        <w:pStyle w:val="Point0"/>
        <w:rPr>
          <w:noProof/>
        </w:rPr>
      </w:pPr>
      <w:r w:rsidRPr="00C754CA">
        <w:rPr>
          <w:noProof/>
        </w:rPr>
        <w:t>(</w:t>
      </w:r>
      <w:r w:rsidRPr="00E2773D">
        <w:rPr>
          <w:noProof/>
        </w:rPr>
        <w:t>3</w:t>
      </w:r>
      <w:r w:rsidRPr="00C754CA">
        <w:rPr>
          <w:noProof/>
        </w:rPr>
        <w:t>)</w:t>
      </w:r>
      <w:r w:rsidRPr="00C754CA">
        <w:rPr>
          <w:noProof/>
        </w:rPr>
        <w:tab/>
        <w:t>In Artikel </w:t>
      </w:r>
      <w:r w:rsidRPr="00E2773D">
        <w:rPr>
          <w:noProof/>
        </w:rPr>
        <w:t>10</w:t>
      </w:r>
      <w:r w:rsidRPr="00C754CA">
        <w:rPr>
          <w:noProof/>
        </w:rPr>
        <w:t xml:space="preserve"> wird folgender Absatz angefügt:</w:t>
      </w:r>
    </w:p>
    <w:p w14:paraId="7F743280" w14:textId="77777777" w:rsidR="00EA5E0E" w:rsidRPr="00C754CA" w:rsidRDefault="007276F3" w:rsidP="007276F3">
      <w:pPr>
        <w:pStyle w:val="Text1"/>
        <w:rPr>
          <w:rStyle w:val="cf01"/>
          <w:rFonts w:ascii="Times New Roman" w:hAnsi="Times New Roman" w:cs="Times New Roman"/>
          <w:b w:val="0"/>
          <w:bCs w:val="0"/>
          <w:noProof/>
          <w:sz w:val="24"/>
          <w:szCs w:val="24"/>
        </w:rPr>
      </w:pPr>
      <w:r w:rsidRPr="00C754CA">
        <w:rPr>
          <w:noProof/>
        </w:rPr>
        <w:t>„(</w:t>
      </w:r>
      <w:r w:rsidRPr="00E2773D">
        <w:rPr>
          <w:noProof/>
        </w:rPr>
        <w:t>4</w:t>
      </w:r>
      <w:r w:rsidRPr="00C754CA">
        <w:rPr>
          <w:noProof/>
        </w:rPr>
        <w:t>) Wenn JTF-Mittel als Prioritäten in einem Programm eingeplant sind, bei dem auch Mittel des EFRE oder des Kohäsionsfonds verwendet werden, können die Mitgliedstaaten zusätzlich zu der gemäß Artikel </w:t>
      </w:r>
      <w:r w:rsidRPr="00E2773D">
        <w:rPr>
          <w:noProof/>
        </w:rPr>
        <w:t>18</w:t>
      </w:r>
      <w:r w:rsidRPr="00C754CA">
        <w:rPr>
          <w:noProof/>
        </w:rPr>
        <w:t xml:space="preserve"> Absatz </w:t>
      </w:r>
      <w:r w:rsidRPr="00E2773D">
        <w:rPr>
          <w:noProof/>
        </w:rPr>
        <w:t>2</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vorzulegenden Bewertung der Ergebnisse der Halbzeitüberprüfung für jedes Programm innerhalb von zwei Monaten nach Inkrafttreten der Verordnung (EU) XXXX/XXXX [diese Verordnung] erneut eine ergänzende Bewertung sowie damit zusammenhängende Anträge auf Programmänderungen einreichen, wobei die spezifischen Ziele, die mit der Verordnung (EU) XXXX/XXXX [diese Verordnung] eingeführt wurden, zu berücksichtigen sind. Es gelten die in Artikel </w:t>
      </w:r>
      <w:r w:rsidRPr="00E2773D">
        <w:rPr>
          <w:noProof/>
        </w:rPr>
        <w:t>18</w:t>
      </w:r>
      <w:r w:rsidRPr="00C754CA">
        <w:rPr>
          <w:noProof/>
        </w:rPr>
        <w:t xml:space="preserve"> Absatz </w:t>
      </w:r>
      <w:r w:rsidRPr="00E2773D">
        <w:rPr>
          <w:noProof/>
        </w:rPr>
        <w:t>3</w:t>
      </w:r>
      <w:r w:rsidRPr="00C754CA">
        <w:rPr>
          <w:noProof/>
        </w:rPr>
        <w:t xml:space="preserve"> der Verordnung (EU) </w:t>
      </w:r>
      <w:r w:rsidRPr="00E2773D">
        <w:rPr>
          <w:noProof/>
        </w:rPr>
        <w:t>2021</w:t>
      </w:r>
      <w:r w:rsidRPr="00C754CA">
        <w:rPr>
          <w:noProof/>
        </w:rPr>
        <w:t>/</w:t>
      </w:r>
      <w:r w:rsidRPr="00E2773D">
        <w:rPr>
          <w:noProof/>
        </w:rPr>
        <w:t>1060</w:t>
      </w:r>
      <w:r w:rsidRPr="00C754CA">
        <w:rPr>
          <w:noProof/>
        </w:rPr>
        <w:t xml:space="preserve"> festgelegten Fristen</w:t>
      </w:r>
      <w:r w:rsidRPr="00C754CA">
        <w:rPr>
          <w:rStyle w:val="cf01"/>
          <w:rFonts w:ascii="Times New Roman" w:hAnsi="Times New Roman"/>
          <w:b w:val="0"/>
          <w:noProof/>
          <w:sz w:val="24"/>
        </w:rPr>
        <w:t>.</w:t>
      </w:r>
    </w:p>
    <w:p w14:paraId="27C25C87" w14:textId="77777777" w:rsidR="00EA5E0E" w:rsidRPr="00C754CA" w:rsidRDefault="00EA5E0E" w:rsidP="00FF1EF4">
      <w:pPr>
        <w:pStyle w:val="Text1"/>
        <w:rPr>
          <w:noProof/>
        </w:rPr>
      </w:pPr>
      <w:r w:rsidRPr="00C754CA">
        <w:rPr>
          <w:rStyle w:val="cf01"/>
          <w:rFonts w:ascii="Times New Roman" w:hAnsi="Times New Roman"/>
          <w:b w:val="0"/>
          <w:noProof/>
          <w:sz w:val="24"/>
        </w:rPr>
        <w:t xml:space="preserve">Gilt für ein solches Programm eine verlängerte </w:t>
      </w:r>
      <w:r w:rsidRPr="00C754CA">
        <w:rPr>
          <w:noProof/>
        </w:rPr>
        <w:t>Frist für die Förderfähigkeit von Ausgaben, die Erstattung von Kosten und die Aufhebung von Mittelbindungen gemäß Artikel </w:t>
      </w:r>
      <w:r w:rsidRPr="00E2773D">
        <w:rPr>
          <w:noProof/>
        </w:rPr>
        <w:t>7</w:t>
      </w:r>
      <w:r w:rsidRPr="00C754CA">
        <w:rPr>
          <w:noProof/>
        </w:rPr>
        <w:t xml:space="preserve">a der Verordnung (EU) </w:t>
      </w:r>
      <w:r w:rsidRPr="00E2773D">
        <w:rPr>
          <w:noProof/>
        </w:rPr>
        <w:t>2021</w:t>
      </w:r>
      <w:r w:rsidRPr="00C754CA">
        <w:rPr>
          <w:noProof/>
        </w:rPr>
        <w:t>/</w:t>
      </w:r>
      <w:r w:rsidRPr="00E2773D">
        <w:rPr>
          <w:noProof/>
        </w:rPr>
        <w:t>1058</w:t>
      </w:r>
      <w:r w:rsidRPr="00C754CA">
        <w:rPr>
          <w:noProof/>
        </w:rPr>
        <w:t>, so gilt diese Verlängerung auch für die JTF-Mittel.“</w:t>
      </w:r>
    </w:p>
    <w:bookmarkEnd w:id="61"/>
    <w:bookmarkEnd w:id="62"/>
    <w:p w14:paraId="66645C9D" w14:textId="77777777" w:rsidR="0001385B" w:rsidRPr="00C754CA" w:rsidRDefault="00C45D17" w:rsidP="00C45D17">
      <w:pPr>
        <w:pStyle w:val="Point0"/>
        <w:rPr>
          <w:noProof/>
        </w:rPr>
      </w:pPr>
      <w:r w:rsidRPr="00C754CA">
        <w:rPr>
          <w:noProof/>
        </w:rPr>
        <w:t>(</w:t>
      </w:r>
      <w:r w:rsidRPr="00E2773D">
        <w:rPr>
          <w:noProof/>
        </w:rPr>
        <w:t>4</w:t>
      </w:r>
      <w:r w:rsidRPr="00C754CA">
        <w:rPr>
          <w:noProof/>
        </w:rPr>
        <w:t>)</w:t>
      </w:r>
      <w:r w:rsidRPr="00C754CA">
        <w:rPr>
          <w:noProof/>
        </w:rPr>
        <w:tab/>
        <w:t>Artikel </w:t>
      </w:r>
      <w:r w:rsidRPr="00E2773D">
        <w:rPr>
          <w:noProof/>
        </w:rPr>
        <w:t>11</w:t>
      </w:r>
      <w:r w:rsidRPr="00C754CA">
        <w:rPr>
          <w:noProof/>
        </w:rPr>
        <w:t> Absatz </w:t>
      </w:r>
      <w:r w:rsidRPr="00E2773D">
        <w:rPr>
          <w:noProof/>
        </w:rPr>
        <w:t>2</w:t>
      </w:r>
      <w:r w:rsidRPr="00C754CA">
        <w:rPr>
          <w:noProof/>
        </w:rPr>
        <w:t xml:space="preserve"> Buchstabe i erhält folgende Fassung:</w:t>
      </w:r>
    </w:p>
    <w:p w14:paraId="3341EE5E" w14:textId="77777777" w:rsidR="0001385B" w:rsidRPr="00C754CA" w:rsidRDefault="00E51AB5" w:rsidP="009F2519">
      <w:pPr>
        <w:pStyle w:val="Text1"/>
        <w:rPr>
          <w:noProof/>
        </w:rPr>
      </w:pPr>
      <w:bookmarkStart w:id="63" w:name="_Hlk193059726"/>
      <w:r w:rsidRPr="00C754CA">
        <w:rPr>
          <w:noProof/>
        </w:rPr>
        <w:t>„i) bei zu leistender Förderung von Investitionen zur Verringerung von Treibhausgasemissionen aus Tätigkeiten, die in Anhang I der Richtlinie </w:t>
      </w:r>
      <w:r w:rsidRPr="00E2773D">
        <w:rPr>
          <w:noProof/>
        </w:rPr>
        <w:t>2003</w:t>
      </w:r>
      <w:r w:rsidRPr="00C754CA">
        <w:rPr>
          <w:noProof/>
        </w:rPr>
        <w:t>/</w:t>
      </w:r>
      <w:r w:rsidRPr="00E2773D">
        <w:rPr>
          <w:noProof/>
        </w:rPr>
        <w:t>87</w:t>
      </w:r>
      <w:r w:rsidRPr="00C754CA">
        <w:rPr>
          <w:noProof/>
        </w:rPr>
        <w:t>/EG aufgeführt sind, eine Liste der zu unterstützenden Vorhaben und eine Begründung dafür, dass sie zum Übergang zu einer klimaneutralen Wirtschaft und zu einer Verringerung der Treibhausgasemissionen unterhalb der entsprechenden Richtwerte für die kostenfreie Zuteilung gemäß der Richtlinie </w:t>
      </w:r>
      <w:r w:rsidRPr="00E2773D">
        <w:rPr>
          <w:noProof/>
        </w:rPr>
        <w:t>2003</w:t>
      </w:r>
      <w:r w:rsidRPr="00C754CA">
        <w:rPr>
          <w:noProof/>
        </w:rPr>
        <w:t>/</w:t>
      </w:r>
      <w:r w:rsidRPr="00E2773D">
        <w:rPr>
          <w:noProof/>
        </w:rPr>
        <w:t>87</w:t>
      </w:r>
      <w:r w:rsidRPr="00C754CA">
        <w:rPr>
          <w:noProof/>
        </w:rPr>
        <w:t xml:space="preserve">/EG führen und dass diese Vorhaben für den Schutz einer erheblichen Zahl von Arbeitsplätzen erforderlich sind;“ </w:t>
      </w:r>
    </w:p>
    <w:bookmarkEnd w:id="63"/>
    <w:p w14:paraId="0362653E" w14:textId="77777777" w:rsidR="0001385B" w:rsidRPr="00C754CA" w:rsidRDefault="00C45D17" w:rsidP="00C45D17">
      <w:pPr>
        <w:pStyle w:val="Point0"/>
        <w:rPr>
          <w:noProof/>
        </w:rPr>
      </w:pPr>
      <w:r w:rsidRPr="00C754CA">
        <w:rPr>
          <w:noProof/>
        </w:rPr>
        <w:t>(</w:t>
      </w:r>
      <w:r w:rsidRPr="00E2773D">
        <w:rPr>
          <w:noProof/>
        </w:rPr>
        <w:t>5</w:t>
      </w:r>
      <w:r w:rsidRPr="00C754CA">
        <w:rPr>
          <w:noProof/>
        </w:rPr>
        <w:t>)</w:t>
      </w:r>
      <w:r w:rsidRPr="00C754CA">
        <w:rPr>
          <w:noProof/>
        </w:rPr>
        <w:tab/>
        <w:t>In Artikel </w:t>
      </w:r>
      <w:r w:rsidRPr="00E2773D">
        <w:rPr>
          <w:noProof/>
        </w:rPr>
        <w:t>12</w:t>
      </w:r>
      <w:r w:rsidRPr="00C754CA">
        <w:rPr>
          <w:noProof/>
        </w:rPr>
        <w:t xml:space="preserve"> Absatz </w:t>
      </w:r>
      <w:r w:rsidRPr="00E2773D">
        <w:rPr>
          <w:noProof/>
        </w:rPr>
        <w:t>2</w:t>
      </w:r>
      <w:r w:rsidRPr="00C754CA">
        <w:rPr>
          <w:noProof/>
        </w:rPr>
        <w:t xml:space="preserve"> wird der dritte Satz gestrichen.</w:t>
      </w:r>
    </w:p>
    <w:p w14:paraId="70D2ADDF" w14:textId="77777777" w:rsidR="007719A8" w:rsidRPr="00C754CA" w:rsidRDefault="000852D5" w:rsidP="007F79B1">
      <w:pPr>
        <w:pStyle w:val="Titrearticle"/>
        <w:rPr>
          <w:noProof/>
        </w:rPr>
      </w:pPr>
      <w:bookmarkStart w:id="64" w:name="_Hlk193199357"/>
      <w:r w:rsidRPr="00C754CA">
        <w:rPr>
          <w:noProof/>
        </w:rPr>
        <w:t>Artikel </w:t>
      </w:r>
      <w:r w:rsidRPr="00E2773D">
        <w:rPr>
          <w:noProof/>
        </w:rPr>
        <w:t>3</w:t>
      </w:r>
      <w:bookmarkEnd w:id="64"/>
    </w:p>
    <w:p w14:paraId="5D65469C" w14:textId="77777777" w:rsidR="000852D5" w:rsidRPr="00C754CA" w:rsidRDefault="000852D5">
      <w:pPr>
        <w:rPr>
          <w:noProof/>
        </w:rPr>
      </w:pPr>
      <w:r w:rsidRPr="00C754CA">
        <w:rPr>
          <w:noProof/>
        </w:rPr>
        <w:t xml:space="preserve">Diese Verordnung tritt am [Tag] nach ihrer Veröffentlichung im </w:t>
      </w:r>
      <w:r w:rsidRPr="00C754CA">
        <w:rPr>
          <w:i/>
          <w:iCs/>
          <w:noProof/>
        </w:rPr>
        <w:t>Amtsblatt der Europäischen Union</w:t>
      </w:r>
      <w:r w:rsidRPr="00C754CA">
        <w:rPr>
          <w:noProof/>
        </w:rPr>
        <w:t xml:space="preserve"> in Kraft.</w:t>
      </w:r>
    </w:p>
    <w:p w14:paraId="1152BF98" w14:textId="77777777" w:rsidR="000852D5" w:rsidRPr="00C754CA" w:rsidRDefault="000852D5">
      <w:pPr>
        <w:pStyle w:val="Applicationdirecte"/>
        <w:rPr>
          <w:noProof/>
        </w:rPr>
      </w:pPr>
      <w:r w:rsidRPr="00C754CA">
        <w:rPr>
          <w:noProof/>
        </w:rPr>
        <w:t>Diese Verordnung ist in allen ihren Teilen verbindlich und gilt unmittelbar in jedem Mitgliedstaat.</w:t>
      </w:r>
    </w:p>
    <w:p w14:paraId="2E8CD36E" w14:textId="0405902B" w:rsidR="000852D5" w:rsidRPr="00C754CA" w:rsidRDefault="00C754CA" w:rsidP="00E116E4">
      <w:pPr>
        <w:pStyle w:val="Fait"/>
        <w:rPr>
          <w:noProof/>
        </w:rPr>
      </w:pPr>
      <w:r>
        <w:rPr>
          <w:noProof/>
        </w:rPr>
        <w:t xml:space="preserve">Geschehen zu Straßburg am </w:t>
      </w:r>
      <w:r>
        <w:rPr>
          <w:rStyle w:val="Marker"/>
          <w:noProof/>
        </w:rPr>
        <w:t>[…]</w:t>
      </w:r>
    </w:p>
    <w:p w14:paraId="6B97F90D" w14:textId="77777777" w:rsidR="000852D5" w:rsidRPr="00C754CA" w:rsidRDefault="000852D5" w:rsidP="00E116E4">
      <w:pPr>
        <w:pStyle w:val="Institutionquisigne"/>
        <w:rPr>
          <w:noProof/>
        </w:rPr>
      </w:pPr>
      <w:r w:rsidRPr="00C754CA">
        <w:rPr>
          <w:noProof/>
        </w:rPr>
        <w:t>Im Namen des Europäischen Parlaments</w:t>
      </w:r>
      <w:r w:rsidRPr="00C754CA">
        <w:rPr>
          <w:noProof/>
        </w:rPr>
        <w:tab/>
        <w:t>Im Namen des Rates</w:t>
      </w:r>
    </w:p>
    <w:p w14:paraId="403A5C9C" w14:textId="5844AAF8" w:rsidR="000852D5" w:rsidRPr="00C754CA" w:rsidRDefault="000852D5" w:rsidP="000852D5">
      <w:pPr>
        <w:pStyle w:val="Personnequisigne"/>
        <w:rPr>
          <w:noProof/>
        </w:rPr>
      </w:pPr>
      <w:r w:rsidRPr="00C754CA">
        <w:rPr>
          <w:noProof/>
        </w:rPr>
        <w:t>Die Präsidentin</w:t>
      </w:r>
      <w:r w:rsidRPr="00C754CA">
        <w:rPr>
          <w:noProof/>
        </w:rPr>
        <w:tab/>
        <w:t>Der Präsident /// Die Präsidentin</w:t>
      </w:r>
    </w:p>
    <w:p w14:paraId="19FFB44D" w14:textId="77777777" w:rsidR="000852D5" w:rsidRPr="00C754CA" w:rsidRDefault="000852D5" w:rsidP="000852D5">
      <w:pPr>
        <w:rPr>
          <w:noProof/>
        </w:rPr>
        <w:sectPr w:rsidR="000852D5" w:rsidRPr="00C754CA" w:rsidSect="008E2EBB">
          <w:pgSz w:w="11907" w:h="16839"/>
          <w:pgMar w:top="1134" w:right="1417" w:bottom="1134" w:left="1417" w:header="709" w:footer="709" w:gutter="0"/>
          <w:cols w:space="708"/>
          <w:docGrid w:linePitch="360"/>
        </w:sectPr>
      </w:pPr>
    </w:p>
    <w:p w14:paraId="01B4A978" w14:textId="77777777" w:rsidR="00A56747" w:rsidRPr="00C754CA" w:rsidRDefault="00A56747" w:rsidP="00A56747">
      <w:pPr>
        <w:pStyle w:val="Fichefinanciretitre"/>
        <w:keepNext/>
        <w:rPr>
          <w:noProof/>
        </w:rPr>
      </w:pPr>
      <w:r w:rsidRPr="00C754CA">
        <w:rPr>
          <w:noProof/>
        </w:rPr>
        <w:t>FINANZ- UND DIGITALBOGEN ZU RECHTSAKTEN</w:t>
      </w:r>
    </w:p>
    <w:p w14:paraId="0AD61C9D" w14:textId="77777777" w:rsidR="00A56747" w:rsidRPr="00C754CA" w:rsidRDefault="00A56747" w:rsidP="00A56747">
      <w:pPr>
        <w:pStyle w:val="TOC1"/>
        <w:rPr>
          <w:rFonts w:asciiTheme="minorHAnsi" w:eastAsiaTheme="minorEastAsia" w:hAnsiTheme="minorHAnsi" w:cstheme="minorBidi"/>
          <w:noProof/>
          <w:kern w:val="2"/>
          <w:sz w:val="22"/>
          <w14:ligatures w14:val="standardContextual"/>
        </w:rPr>
      </w:pPr>
      <w:r w:rsidRPr="00E2773D">
        <w:rPr>
          <w:noProof/>
        </w:rPr>
        <w:t>1</w:t>
      </w:r>
      <w:r w:rsidRPr="00C754CA">
        <w:rPr>
          <w:rFonts w:asciiTheme="minorHAnsi" w:hAnsiTheme="minorHAnsi"/>
          <w:noProof/>
          <w:sz w:val="22"/>
        </w:rPr>
        <w:tab/>
      </w:r>
      <w:r w:rsidRPr="00C754CA">
        <w:rPr>
          <w:noProof/>
        </w:rPr>
        <w:t>RAHMEN DES VORSCHLAGS/DER INITIATIVE</w:t>
      </w:r>
      <w:r w:rsidRPr="00C754CA">
        <w:rPr>
          <w:noProof/>
          <w:webHidden/>
        </w:rPr>
        <w:tab/>
      </w:r>
      <w:r w:rsidRPr="00E2773D">
        <w:rPr>
          <w:noProof/>
          <w:webHidden/>
        </w:rPr>
        <w:t>3</w:t>
      </w:r>
    </w:p>
    <w:p w14:paraId="53147978"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1</w:t>
      </w:r>
      <w:r w:rsidRPr="00C754CA">
        <w:rPr>
          <w:rFonts w:asciiTheme="minorHAnsi" w:hAnsiTheme="minorHAnsi"/>
          <w:noProof/>
          <w:sz w:val="22"/>
        </w:rPr>
        <w:tab/>
      </w:r>
      <w:r w:rsidRPr="00C754CA">
        <w:rPr>
          <w:noProof/>
        </w:rPr>
        <w:t>Bezeichnung des Vorschlags/der Initiative</w:t>
      </w:r>
      <w:r w:rsidRPr="00C754CA">
        <w:rPr>
          <w:noProof/>
          <w:webHidden/>
        </w:rPr>
        <w:tab/>
      </w:r>
      <w:r w:rsidRPr="00E2773D">
        <w:rPr>
          <w:noProof/>
          <w:webHidden/>
        </w:rPr>
        <w:t>3</w:t>
      </w:r>
    </w:p>
    <w:p w14:paraId="5384D789"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2</w:t>
      </w:r>
      <w:r w:rsidRPr="00C754CA">
        <w:rPr>
          <w:rFonts w:asciiTheme="minorHAnsi" w:hAnsiTheme="minorHAnsi"/>
          <w:noProof/>
          <w:sz w:val="22"/>
        </w:rPr>
        <w:tab/>
      </w:r>
      <w:r w:rsidRPr="00C754CA">
        <w:rPr>
          <w:noProof/>
        </w:rPr>
        <w:t>Politikbereich(e)</w:t>
      </w:r>
      <w:r w:rsidRPr="00C754CA">
        <w:rPr>
          <w:noProof/>
          <w:webHidden/>
        </w:rPr>
        <w:tab/>
      </w:r>
      <w:r w:rsidRPr="00E2773D">
        <w:rPr>
          <w:noProof/>
          <w:webHidden/>
        </w:rPr>
        <w:t>3</w:t>
      </w:r>
    </w:p>
    <w:p w14:paraId="2A4D835B"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3</w:t>
      </w:r>
      <w:r w:rsidRPr="00C754CA">
        <w:rPr>
          <w:rFonts w:asciiTheme="minorHAnsi" w:hAnsiTheme="minorHAnsi"/>
          <w:noProof/>
          <w:sz w:val="22"/>
        </w:rPr>
        <w:tab/>
      </w:r>
      <w:r w:rsidRPr="00C754CA">
        <w:rPr>
          <w:noProof/>
        </w:rPr>
        <w:t>Ziel(e)</w:t>
      </w:r>
      <w:r w:rsidRPr="00C754CA">
        <w:rPr>
          <w:noProof/>
          <w:webHidden/>
        </w:rPr>
        <w:tab/>
      </w:r>
      <w:r w:rsidRPr="00E2773D">
        <w:rPr>
          <w:noProof/>
          <w:webHidden/>
        </w:rPr>
        <w:t>3</w:t>
      </w:r>
    </w:p>
    <w:p w14:paraId="7AB4F2B3"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3</w:t>
      </w:r>
      <w:r w:rsidRPr="00C754CA">
        <w:rPr>
          <w:noProof/>
        </w:rPr>
        <w:t>.</w:t>
      </w:r>
      <w:r w:rsidRPr="00E2773D">
        <w:rPr>
          <w:noProof/>
        </w:rPr>
        <w:t>1</w:t>
      </w:r>
      <w:r w:rsidRPr="00C754CA">
        <w:rPr>
          <w:rFonts w:asciiTheme="minorHAnsi" w:hAnsiTheme="minorHAnsi"/>
          <w:noProof/>
          <w:sz w:val="22"/>
        </w:rPr>
        <w:tab/>
      </w:r>
      <w:r w:rsidRPr="00C754CA">
        <w:rPr>
          <w:noProof/>
        </w:rPr>
        <w:t>Allgemeine(s) Ziel(e)</w:t>
      </w:r>
      <w:r w:rsidRPr="00C754CA">
        <w:rPr>
          <w:noProof/>
          <w:webHidden/>
        </w:rPr>
        <w:tab/>
      </w:r>
      <w:r w:rsidRPr="00E2773D">
        <w:rPr>
          <w:noProof/>
          <w:webHidden/>
        </w:rPr>
        <w:t>3</w:t>
      </w:r>
    </w:p>
    <w:p w14:paraId="0ACFC985"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3</w:t>
      </w:r>
      <w:r w:rsidRPr="00C754CA">
        <w:rPr>
          <w:noProof/>
        </w:rPr>
        <w:t>.</w:t>
      </w:r>
      <w:r w:rsidRPr="00E2773D">
        <w:rPr>
          <w:noProof/>
        </w:rPr>
        <w:t>2</w:t>
      </w:r>
      <w:r w:rsidRPr="00C754CA">
        <w:rPr>
          <w:rFonts w:asciiTheme="minorHAnsi" w:hAnsiTheme="minorHAnsi"/>
          <w:noProof/>
          <w:sz w:val="22"/>
        </w:rPr>
        <w:tab/>
      </w:r>
      <w:r w:rsidRPr="00C754CA">
        <w:rPr>
          <w:noProof/>
        </w:rPr>
        <w:t>Einzelziel(e)</w:t>
      </w:r>
      <w:r w:rsidRPr="00C754CA">
        <w:rPr>
          <w:noProof/>
          <w:webHidden/>
        </w:rPr>
        <w:tab/>
      </w:r>
      <w:r w:rsidRPr="00E2773D">
        <w:rPr>
          <w:noProof/>
          <w:webHidden/>
        </w:rPr>
        <w:t>3</w:t>
      </w:r>
    </w:p>
    <w:p w14:paraId="6072BCF8"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3</w:t>
      </w:r>
      <w:r w:rsidRPr="00C754CA">
        <w:rPr>
          <w:noProof/>
        </w:rPr>
        <w:t>.</w:t>
      </w:r>
      <w:r w:rsidRPr="00E2773D">
        <w:rPr>
          <w:noProof/>
        </w:rPr>
        <w:t>3</w:t>
      </w:r>
      <w:r w:rsidRPr="00C754CA">
        <w:rPr>
          <w:rFonts w:asciiTheme="minorHAnsi" w:hAnsiTheme="minorHAnsi"/>
          <w:noProof/>
          <w:sz w:val="22"/>
        </w:rPr>
        <w:tab/>
      </w:r>
      <w:r w:rsidRPr="00C754CA">
        <w:rPr>
          <w:noProof/>
        </w:rPr>
        <w:t>Erwartete Ergebnisse und Auswirkungen</w:t>
      </w:r>
      <w:r w:rsidRPr="00C754CA">
        <w:rPr>
          <w:noProof/>
          <w:webHidden/>
        </w:rPr>
        <w:tab/>
      </w:r>
      <w:r w:rsidRPr="00E2773D">
        <w:rPr>
          <w:noProof/>
          <w:webHidden/>
        </w:rPr>
        <w:t>3</w:t>
      </w:r>
    </w:p>
    <w:p w14:paraId="2CC86524"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3</w:t>
      </w:r>
      <w:r w:rsidRPr="00C754CA">
        <w:rPr>
          <w:noProof/>
        </w:rPr>
        <w:t>.</w:t>
      </w:r>
      <w:r w:rsidRPr="00E2773D">
        <w:rPr>
          <w:noProof/>
        </w:rPr>
        <w:t>4</w:t>
      </w:r>
      <w:r w:rsidRPr="00C754CA">
        <w:rPr>
          <w:rFonts w:asciiTheme="minorHAnsi" w:hAnsiTheme="minorHAnsi"/>
          <w:noProof/>
          <w:sz w:val="22"/>
        </w:rPr>
        <w:tab/>
      </w:r>
      <w:r w:rsidRPr="00C754CA">
        <w:rPr>
          <w:noProof/>
        </w:rPr>
        <w:t>Leistungsindikatoren</w:t>
      </w:r>
      <w:r w:rsidRPr="00C754CA">
        <w:rPr>
          <w:noProof/>
          <w:webHidden/>
        </w:rPr>
        <w:tab/>
      </w:r>
      <w:r w:rsidRPr="00E2773D">
        <w:rPr>
          <w:noProof/>
          <w:webHidden/>
        </w:rPr>
        <w:t>3</w:t>
      </w:r>
    </w:p>
    <w:p w14:paraId="1EDCD0E6"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4</w:t>
      </w:r>
      <w:r w:rsidRPr="00C754CA">
        <w:rPr>
          <w:rFonts w:asciiTheme="minorHAnsi" w:hAnsiTheme="minorHAnsi"/>
          <w:noProof/>
          <w:sz w:val="22"/>
        </w:rPr>
        <w:tab/>
      </w:r>
      <w:r w:rsidRPr="00C754CA">
        <w:rPr>
          <w:noProof/>
        </w:rPr>
        <w:t>Der Vorschlag/Die Initiative betrifft</w:t>
      </w:r>
      <w:r w:rsidRPr="00C754CA">
        <w:rPr>
          <w:noProof/>
          <w:webHidden/>
        </w:rPr>
        <w:tab/>
      </w:r>
      <w:r w:rsidRPr="00E2773D">
        <w:rPr>
          <w:noProof/>
          <w:webHidden/>
        </w:rPr>
        <w:t>4</w:t>
      </w:r>
    </w:p>
    <w:p w14:paraId="1846D196"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5</w:t>
      </w:r>
      <w:r w:rsidRPr="00C754CA">
        <w:rPr>
          <w:rFonts w:asciiTheme="minorHAnsi" w:hAnsiTheme="minorHAnsi"/>
          <w:noProof/>
          <w:sz w:val="22"/>
        </w:rPr>
        <w:tab/>
      </w:r>
      <w:r w:rsidRPr="00C754CA">
        <w:rPr>
          <w:noProof/>
        </w:rPr>
        <w:t>Begründung des Vorschlags/der Initiative</w:t>
      </w:r>
      <w:r w:rsidRPr="00C754CA">
        <w:rPr>
          <w:noProof/>
          <w:webHidden/>
        </w:rPr>
        <w:tab/>
      </w:r>
      <w:r w:rsidRPr="00E2773D">
        <w:rPr>
          <w:noProof/>
          <w:webHidden/>
        </w:rPr>
        <w:t>4</w:t>
      </w:r>
    </w:p>
    <w:p w14:paraId="6FE32CA6"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5</w:t>
      </w:r>
      <w:r w:rsidRPr="00C754CA">
        <w:rPr>
          <w:noProof/>
        </w:rPr>
        <w:t>.</w:t>
      </w:r>
      <w:r w:rsidRPr="00E2773D">
        <w:rPr>
          <w:noProof/>
        </w:rPr>
        <w:t>1</w:t>
      </w:r>
      <w:r w:rsidRPr="00C754CA">
        <w:rPr>
          <w:rFonts w:asciiTheme="minorHAnsi" w:hAnsiTheme="minorHAnsi"/>
          <w:noProof/>
          <w:sz w:val="22"/>
        </w:rPr>
        <w:tab/>
      </w:r>
      <w:r w:rsidRPr="00C754CA">
        <w:rPr>
          <w:noProof/>
        </w:rPr>
        <w:t>Kurz- oder langfristig zu deckender Bedarf, einschließlich einer detaillierten Zeitleiste für die Durchführung der Initiative</w:t>
      </w:r>
      <w:r w:rsidRPr="00C754CA">
        <w:rPr>
          <w:noProof/>
          <w:webHidden/>
        </w:rPr>
        <w:tab/>
      </w:r>
      <w:r w:rsidRPr="00E2773D">
        <w:rPr>
          <w:noProof/>
          <w:webHidden/>
        </w:rPr>
        <w:t>4</w:t>
      </w:r>
    </w:p>
    <w:p w14:paraId="7934CF3E"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5</w:t>
      </w:r>
      <w:r w:rsidRPr="00C754CA">
        <w:rPr>
          <w:noProof/>
        </w:rPr>
        <w:t>.</w:t>
      </w:r>
      <w:r w:rsidRPr="00E2773D">
        <w:rPr>
          <w:noProof/>
        </w:rPr>
        <w:t>2</w:t>
      </w:r>
      <w:r w:rsidRPr="00C754CA">
        <w:rPr>
          <w:rFonts w:asciiTheme="minorHAnsi" w:hAnsiTheme="minorHAnsi"/>
          <w:noProof/>
          <w:sz w:val="22"/>
        </w:rPr>
        <w:tab/>
      </w:r>
      <w:r w:rsidRPr="00C754CA">
        <w:rPr>
          <w:noProof/>
        </w:rPr>
        <w:t>Mehrwert aufgrund des Tätigwerdens der EU (kann sich aus unterschiedlichen Faktoren ergeben, z. B. Vorteile durch Koordinierung, Rechtssicherheit, größerer Wirksamkeit oder Komplementarität). Für die Zwecke dieses Abschnitts bezeichnet der Ausdruck „Mehrwert aufgrund des Tätigwerdens der EU“ den Wert, der sich aus dem Tätigwerden der EU ergibt und den Wert ergänzt, der andernfalls allein von den Mitgliedstaaten geschaffen worden wäre.</w:t>
      </w:r>
      <w:r w:rsidRPr="00C754CA">
        <w:rPr>
          <w:noProof/>
          <w:webHidden/>
        </w:rPr>
        <w:tab/>
      </w:r>
      <w:r w:rsidRPr="00E2773D">
        <w:rPr>
          <w:noProof/>
          <w:webHidden/>
        </w:rPr>
        <w:t>4</w:t>
      </w:r>
    </w:p>
    <w:p w14:paraId="79FF6FF0"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5</w:t>
      </w:r>
      <w:r w:rsidRPr="00C754CA">
        <w:rPr>
          <w:noProof/>
        </w:rPr>
        <w:t>.</w:t>
      </w:r>
      <w:r w:rsidRPr="00E2773D">
        <w:rPr>
          <w:noProof/>
        </w:rPr>
        <w:t>3</w:t>
      </w:r>
      <w:r w:rsidRPr="00C754CA">
        <w:rPr>
          <w:rFonts w:asciiTheme="minorHAnsi" w:hAnsiTheme="minorHAnsi"/>
          <w:noProof/>
          <w:sz w:val="22"/>
        </w:rPr>
        <w:tab/>
      </w:r>
      <w:r w:rsidRPr="00C754CA">
        <w:rPr>
          <w:noProof/>
        </w:rPr>
        <w:t>Aus früheren ähnlichen Maßnahmen gewonnene Erkenntnisse</w:t>
      </w:r>
      <w:r w:rsidRPr="00C754CA">
        <w:rPr>
          <w:noProof/>
          <w:webHidden/>
        </w:rPr>
        <w:tab/>
      </w:r>
      <w:r w:rsidRPr="00E2773D">
        <w:rPr>
          <w:noProof/>
          <w:webHidden/>
        </w:rPr>
        <w:t>4</w:t>
      </w:r>
    </w:p>
    <w:p w14:paraId="5776321D"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5</w:t>
      </w:r>
      <w:r w:rsidRPr="00C754CA">
        <w:rPr>
          <w:noProof/>
        </w:rPr>
        <w:t>.</w:t>
      </w:r>
      <w:r w:rsidRPr="00E2773D">
        <w:rPr>
          <w:noProof/>
        </w:rPr>
        <w:t>4</w:t>
      </w:r>
      <w:r w:rsidRPr="00C754CA">
        <w:rPr>
          <w:rFonts w:asciiTheme="minorHAnsi" w:hAnsiTheme="minorHAnsi"/>
          <w:noProof/>
          <w:sz w:val="22"/>
        </w:rPr>
        <w:tab/>
      </w:r>
      <w:r w:rsidRPr="00C754CA">
        <w:rPr>
          <w:noProof/>
        </w:rPr>
        <w:t>Vereinbarkeit mit dem Mehrjährigen Finanzrahmen sowie mögliche Synergieeffekte mit anderen geeigneten Instrumenten</w:t>
      </w:r>
      <w:r w:rsidRPr="00C754CA">
        <w:rPr>
          <w:noProof/>
          <w:webHidden/>
        </w:rPr>
        <w:tab/>
      </w:r>
      <w:r w:rsidRPr="00E2773D">
        <w:rPr>
          <w:noProof/>
          <w:webHidden/>
        </w:rPr>
        <w:t>5</w:t>
      </w:r>
    </w:p>
    <w:p w14:paraId="6C6D59F9"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5</w:t>
      </w:r>
      <w:r w:rsidRPr="00C754CA">
        <w:rPr>
          <w:noProof/>
        </w:rPr>
        <w:t>.</w:t>
      </w:r>
      <w:r w:rsidRPr="00E2773D">
        <w:rPr>
          <w:noProof/>
        </w:rPr>
        <w:t>5</w:t>
      </w:r>
      <w:r w:rsidRPr="00C754CA">
        <w:rPr>
          <w:rFonts w:asciiTheme="minorHAnsi" w:hAnsiTheme="minorHAnsi"/>
          <w:noProof/>
          <w:sz w:val="22"/>
        </w:rPr>
        <w:tab/>
      </w:r>
      <w:r w:rsidRPr="00C754CA">
        <w:rPr>
          <w:noProof/>
        </w:rPr>
        <w:t>Bewertung der verschiedenen verfügbaren Finanzierungsoptionen, einschließlich der Möglichkeiten für eine Umschichtung</w:t>
      </w:r>
      <w:r w:rsidRPr="00C754CA">
        <w:rPr>
          <w:noProof/>
          <w:webHidden/>
        </w:rPr>
        <w:tab/>
      </w:r>
      <w:r w:rsidRPr="00E2773D">
        <w:rPr>
          <w:noProof/>
          <w:webHidden/>
        </w:rPr>
        <w:t>5</w:t>
      </w:r>
    </w:p>
    <w:p w14:paraId="3A21A4B0"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6</w:t>
      </w:r>
      <w:r w:rsidRPr="00C754CA">
        <w:rPr>
          <w:rFonts w:asciiTheme="minorHAnsi" w:hAnsiTheme="minorHAnsi"/>
          <w:noProof/>
          <w:sz w:val="22"/>
        </w:rPr>
        <w:tab/>
      </w:r>
      <w:r w:rsidRPr="00C754CA">
        <w:rPr>
          <w:noProof/>
        </w:rPr>
        <w:t>Laufzeit der vorgeschlagenen Maßnahme/der Initiative und Dauer der finanziellen Auswirkungen</w:t>
      </w:r>
      <w:r w:rsidRPr="00C754CA">
        <w:rPr>
          <w:noProof/>
          <w:webHidden/>
        </w:rPr>
        <w:tab/>
      </w:r>
      <w:r w:rsidRPr="00E2773D">
        <w:rPr>
          <w:noProof/>
          <w:webHidden/>
        </w:rPr>
        <w:t>6</w:t>
      </w:r>
    </w:p>
    <w:p w14:paraId="37B7B7E6"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1</w:t>
      </w:r>
      <w:r w:rsidRPr="00C754CA">
        <w:rPr>
          <w:noProof/>
        </w:rPr>
        <w:t>.</w:t>
      </w:r>
      <w:r w:rsidRPr="00E2773D">
        <w:rPr>
          <w:noProof/>
        </w:rPr>
        <w:t>7</w:t>
      </w:r>
      <w:r w:rsidRPr="00C754CA">
        <w:rPr>
          <w:rFonts w:asciiTheme="minorHAnsi" w:hAnsiTheme="minorHAnsi"/>
          <w:noProof/>
          <w:sz w:val="22"/>
        </w:rPr>
        <w:tab/>
      </w:r>
      <w:r w:rsidRPr="00C754CA">
        <w:rPr>
          <w:noProof/>
        </w:rPr>
        <w:t>Vorgeschlagene Haushaltsvollzugsart(en)</w:t>
      </w:r>
      <w:r w:rsidRPr="00C754CA">
        <w:rPr>
          <w:noProof/>
          <w:webHidden/>
        </w:rPr>
        <w:tab/>
      </w:r>
      <w:r w:rsidRPr="00E2773D">
        <w:rPr>
          <w:noProof/>
          <w:webHidden/>
        </w:rPr>
        <w:t>6</w:t>
      </w:r>
    </w:p>
    <w:p w14:paraId="1E16C2BB" w14:textId="77777777" w:rsidR="00A56747" w:rsidRPr="00C754CA" w:rsidRDefault="00A56747" w:rsidP="00A56747">
      <w:pPr>
        <w:pStyle w:val="TOC1"/>
        <w:rPr>
          <w:rFonts w:asciiTheme="minorHAnsi" w:eastAsiaTheme="minorEastAsia" w:hAnsiTheme="minorHAnsi" w:cstheme="minorBidi"/>
          <w:noProof/>
          <w:kern w:val="2"/>
          <w:sz w:val="22"/>
          <w14:ligatures w14:val="standardContextual"/>
        </w:rPr>
      </w:pPr>
      <w:r w:rsidRPr="00E2773D">
        <w:rPr>
          <w:noProof/>
        </w:rPr>
        <w:t>2</w:t>
      </w:r>
      <w:r w:rsidRPr="00C754CA">
        <w:rPr>
          <w:rFonts w:asciiTheme="minorHAnsi" w:hAnsiTheme="minorHAnsi"/>
          <w:noProof/>
          <w:sz w:val="22"/>
        </w:rPr>
        <w:tab/>
      </w:r>
      <w:r w:rsidRPr="00C754CA">
        <w:rPr>
          <w:noProof/>
        </w:rPr>
        <w:t>VERWALTUNGSMAẞNAHMEN</w:t>
      </w:r>
      <w:r w:rsidRPr="00C754CA">
        <w:rPr>
          <w:noProof/>
          <w:webHidden/>
        </w:rPr>
        <w:tab/>
      </w:r>
      <w:r w:rsidRPr="00E2773D">
        <w:rPr>
          <w:noProof/>
          <w:webHidden/>
        </w:rPr>
        <w:t>8</w:t>
      </w:r>
    </w:p>
    <w:p w14:paraId="6A39410B"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2</w:t>
      </w:r>
      <w:r w:rsidRPr="00C754CA">
        <w:rPr>
          <w:noProof/>
        </w:rPr>
        <w:t>.</w:t>
      </w:r>
      <w:r w:rsidRPr="00E2773D">
        <w:rPr>
          <w:noProof/>
        </w:rPr>
        <w:t>1</w:t>
      </w:r>
      <w:r w:rsidRPr="00C754CA">
        <w:rPr>
          <w:rFonts w:asciiTheme="minorHAnsi" w:hAnsiTheme="minorHAnsi"/>
          <w:noProof/>
          <w:sz w:val="22"/>
        </w:rPr>
        <w:tab/>
      </w:r>
      <w:r w:rsidRPr="00C754CA">
        <w:rPr>
          <w:noProof/>
        </w:rPr>
        <w:t>Überwachung und Berichterstattung</w:t>
      </w:r>
      <w:r w:rsidRPr="00C754CA">
        <w:rPr>
          <w:noProof/>
          <w:webHidden/>
        </w:rPr>
        <w:tab/>
      </w:r>
      <w:r w:rsidRPr="00E2773D">
        <w:rPr>
          <w:noProof/>
          <w:webHidden/>
        </w:rPr>
        <w:t>8</w:t>
      </w:r>
    </w:p>
    <w:p w14:paraId="31813D48"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2</w:t>
      </w:r>
      <w:r w:rsidRPr="00C754CA">
        <w:rPr>
          <w:noProof/>
        </w:rPr>
        <w:t>.</w:t>
      </w:r>
      <w:r w:rsidRPr="00E2773D">
        <w:rPr>
          <w:noProof/>
        </w:rPr>
        <w:t>2</w:t>
      </w:r>
      <w:r w:rsidRPr="00C754CA">
        <w:rPr>
          <w:rFonts w:asciiTheme="minorHAnsi" w:hAnsiTheme="minorHAnsi"/>
          <w:noProof/>
          <w:sz w:val="22"/>
        </w:rPr>
        <w:tab/>
      </w:r>
      <w:r w:rsidRPr="00C754CA">
        <w:rPr>
          <w:noProof/>
        </w:rPr>
        <w:t>Verwaltungs- und Kontrollsystem(e)</w:t>
      </w:r>
      <w:r w:rsidRPr="00C754CA">
        <w:rPr>
          <w:noProof/>
          <w:webHidden/>
        </w:rPr>
        <w:tab/>
      </w:r>
      <w:r w:rsidRPr="00E2773D">
        <w:rPr>
          <w:noProof/>
          <w:webHidden/>
        </w:rPr>
        <w:t>8</w:t>
      </w:r>
    </w:p>
    <w:p w14:paraId="4618B76A"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2</w:t>
      </w:r>
      <w:r w:rsidRPr="00C754CA">
        <w:rPr>
          <w:noProof/>
        </w:rPr>
        <w:t>.</w:t>
      </w:r>
      <w:r w:rsidRPr="00E2773D">
        <w:rPr>
          <w:noProof/>
        </w:rPr>
        <w:t>2</w:t>
      </w:r>
      <w:r w:rsidRPr="00C754CA">
        <w:rPr>
          <w:noProof/>
        </w:rPr>
        <w:t>.</w:t>
      </w:r>
      <w:r w:rsidRPr="00E2773D">
        <w:rPr>
          <w:noProof/>
        </w:rPr>
        <w:t>1</w:t>
      </w:r>
      <w:r w:rsidRPr="00C754CA">
        <w:rPr>
          <w:rFonts w:asciiTheme="minorHAnsi" w:hAnsiTheme="minorHAnsi"/>
          <w:noProof/>
          <w:sz w:val="22"/>
        </w:rPr>
        <w:tab/>
      </w:r>
      <w:r w:rsidRPr="00C754CA">
        <w:rPr>
          <w:noProof/>
        </w:rPr>
        <w:t>Begründung der Haushaltsvollzugsart(en), des Durchführungsmechanismus/der Durchführungsmechanismen für die Finanzierung, der Zahlungsmodalitäten und der Kontrollstrategie, wie vorgeschlagen</w:t>
      </w:r>
      <w:r w:rsidRPr="00C754CA">
        <w:rPr>
          <w:noProof/>
          <w:webHidden/>
        </w:rPr>
        <w:tab/>
      </w:r>
      <w:r w:rsidRPr="00E2773D">
        <w:rPr>
          <w:noProof/>
          <w:webHidden/>
        </w:rPr>
        <w:t>8</w:t>
      </w:r>
    </w:p>
    <w:p w14:paraId="3D41498E"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2</w:t>
      </w:r>
      <w:r w:rsidRPr="00C754CA">
        <w:rPr>
          <w:noProof/>
        </w:rPr>
        <w:t>.</w:t>
      </w:r>
      <w:r w:rsidRPr="00E2773D">
        <w:rPr>
          <w:noProof/>
        </w:rPr>
        <w:t>2</w:t>
      </w:r>
      <w:r w:rsidRPr="00C754CA">
        <w:rPr>
          <w:noProof/>
        </w:rPr>
        <w:t>.</w:t>
      </w:r>
      <w:r w:rsidRPr="00E2773D">
        <w:rPr>
          <w:noProof/>
        </w:rPr>
        <w:t>2</w:t>
      </w:r>
      <w:r w:rsidRPr="00C754CA">
        <w:rPr>
          <w:rFonts w:asciiTheme="minorHAnsi" w:hAnsiTheme="minorHAnsi"/>
          <w:noProof/>
          <w:sz w:val="22"/>
        </w:rPr>
        <w:tab/>
      </w:r>
      <w:r w:rsidRPr="00C754CA">
        <w:rPr>
          <w:noProof/>
        </w:rPr>
        <w:t>Angaben zu den ermittelten Risiken und dem/den zu deren Eindämmung eingerichteten System(en) der internen Kontrolle</w:t>
      </w:r>
      <w:r w:rsidRPr="00C754CA">
        <w:rPr>
          <w:noProof/>
          <w:webHidden/>
        </w:rPr>
        <w:tab/>
      </w:r>
      <w:r w:rsidRPr="00E2773D">
        <w:rPr>
          <w:noProof/>
          <w:webHidden/>
        </w:rPr>
        <w:t>8</w:t>
      </w:r>
    </w:p>
    <w:p w14:paraId="0CAFA395"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2</w:t>
      </w:r>
      <w:r w:rsidRPr="00C754CA">
        <w:rPr>
          <w:noProof/>
        </w:rPr>
        <w:t>.</w:t>
      </w:r>
      <w:r w:rsidRPr="00E2773D">
        <w:rPr>
          <w:noProof/>
        </w:rPr>
        <w:t>2</w:t>
      </w:r>
      <w:r w:rsidRPr="00C754CA">
        <w:rPr>
          <w:noProof/>
        </w:rPr>
        <w:t>.</w:t>
      </w:r>
      <w:r w:rsidRPr="00E2773D">
        <w:rPr>
          <w:noProof/>
        </w:rPr>
        <w:t>3</w:t>
      </w:r>
      <w:r w:rsidRPr="00C754CA">
        <w:rPr>
          <w:rFonts w:asciiTheme="minorHAnsi" w:hAnsiTheme="minorHAnsi"/>
          <w:noProof/>
          <w:sz w:val="22"/>
        </w:rPr>
        <w:tab/>
      </w:r>
      <w:r w:rsidRPr="00C754CA">
        <w:rPr>
          <w:noProof/>
        </w:rPr>
        <w:t>Schätzung und Begründung der Kosteneffizienz der Kontrollen (Verhältnis zwischen den Kontrollkosten und dem Wert der betreffenden verwalteten Mittel) sowie Bewertung des erwarteten Ausmaßes des Fehlerrisikos (bei Zahlung und beim Abschluss)</w:t>
      </w:r>
      <w:r w:rsidRPr="00C754CA">
        <w:rPr>
          <w:noProof/>
          <w:webHidden/>
        </w:rPr>
        <w:tab/>
      </w:r>
      <w:r w:rsidRPr="00E2773D">
        <w:rPr>
          <w:noProof/>
          <w:webHidden/>
        </w:rPr>
        <w:t>8</w:t>
      </w:r>
    </w:p>
    <w:p w14:paraId="49233A2F"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2</w:t>
      </w:r>
      <w:r w:rsidRPr="00C754CA">
        <w:rPr>
          <w:noProof/>
        </w:rPr>
        <w:t>.</w:t>
      </w:r>
      <w:r w:rsidRPr="00E2773D">
        <w:rPr>
          <w:noProof/>
        </w:rPr>
        <w:t>3</w:t>
      </w:r>
      <w:r w:rsidRPr="00C754CA">
        <w:rPr>
          <w:rFonts w:asciiTheme="minorHAnsi" w:hAnsiTheme="minorHAnsi"/>
          <w:noProof/>
          <w:sz w:val="22"/>
        </w:rPr>
        <w:tab/>
      </w:r>
      <w:r w:rsidRPr="00C754CA">
        <w:rPr>
          <w:noProof/>
        </w:rPr>
        <w:t>Prävention von Betrug und Unregelmäßigkeiten</w:t>
      </w:r>
      <w:r w:rsidRPr="00C754CA">
        <w:rPr>
          <w:noProof/>
          <w:webHidden/>
        </w:rPr>
        <w:tab/>
      </w:r>
      <w:r w:rsidRPr="00E2773D">
        <w:rPr>
          <w:noProof/>
          <w:webHidden/>
        </w:rPr>
        <w:t>9</w:t>
      </w:r>
    </w:p>
    <w:p w14:paraId="677BF99C" w14:textId="77777777" w:rsidR="00A56747" w:rsidRPr="00C754CA" w:rsidRDefault="00A56747" w:rsidP="00A56747">
      <w:pPr>
        <w:pStyle w:val="TOC1"/>
        <w:rPr>
          <w:rFonts w:asciiTheme="minorHAnsi" w:eastAsiaTheme="minorEastAsia" w:hAnsiTheme="minorHAnsi" w:cstheme="minorBidi"/>
          <w:noProof/>
          <w:kern w:val="2"/>
          <w:sz w:val="22"/>
          <w14:ligatures w14:val="standardContextual"/>
        </w:rPr>
      </w:pPr>
      <w:r w:rsidRPr="00E2773D">
        <w:rPr>
          <w:noProof/>
        </w:rPr>
        <w:t>3</w:t>
      </w:r>
      <w:r w:rsidRPr="00C754CA">
        <w:rPr>
          <w:rFonts w:asciiTheme="minorHAnsi" w:hAnsiTheme="minorHAnsi"/>
          <w:noProof/>
          <w:sz w:val="22"/>
        </w:rPr>
        <w:tab/>
      </w:r>
      <w:r w:rsidRPr="00C754CA">
        <w:rPr>
          <w:noProof/>
        </w:rPr>
        <w:t>GESCHÄTZTE FINANZIELLE AUSWIRKUNGEN DES VORSCHLAGS/DER INITIATIVE</w:t>
      </w:r>
      <w:r w:rsidRPr="00C754CA">
        <w:rPr>
          <w:noProof/>
          <w:webHidden/>
        </w:rPr>
        <w:tab/>
      </w:r>
      <w:r w:rsidRPr="00E2773D">
        <w:rPr>
          <w:noProof/>
          <w:webHidden/>
        </w:rPr>
        <w:t>10</w:t>
      </w:r>
    </w:p>
    <w:p w14:paraId="1A23BC07"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1</w:t>
      </w:r>
      <w:r w:rsidRPr="00C754CA">
        <w:rPr>
          <w:rFonts w:asciiTheme="minorHAnsi" w:hAnsiTheme="minorHAnsi"/>
          <w:noProof/>
          <w:sz w:val="22"/>
        </w:rPr>
        <w:tab/>
      </w:r>
      <w:r w:rsidRPr="00C754CA">
        <w:rPr>
          <w:noProof/>
        </w:rPr>
        <w:t>Betroffene Rubrik(en) des Mehrjährigen Finanzrahmens und Ausgabenlinie(n) im Haushaltsplan</w:t>
      </w:r>
      <w:r w:rsidRPr="00C754CA">
        <w:rPr>
          <w:noProof/>
          <w:webHidden/>
        </w:rPr>
        <w:tab/>
      </w:r>
      <w:r w:rsidRPr="00E2773D">
        <w:rPr>
          <w:noProof/>
          <w:webHidden/>
        </w:rPr>
        <w:t>10</w:t>
      </w:r>
    </w:p>
    <w:p w14:paraId="67F110AA"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rFonts w:asciiTheme="minorHAnsi" w:hAnsiTheme="minorHAnsi"/>
          <w:noProof/>
          <w:sz w:val="22"/>
        </w:rPr>
        <w:tab/>
      </w:r>
      <w:r w:rsidRPr="00C754CA">
        <w:rPr>
          <w:noProof/>
        </w:rPr>
        <w:t>Geschätzte finanzielle Auswirkungen des Vorschlags auf die Mittel</w:t>
      </w:r>
      <w:r w:rsidRPr="00C754CA">
        <w:rPr>
          <w:noProof/>
          <w:webHidden/>
        </w:rPr>
        <w:tab/>
      </w:r>
      <w:r w:rsidRPr="00E2773D">
        <w:rPr>
          <w:noProof/>
          <w:webHidden/>
        </w:rPr>
        <w:t>12</w:t>
      </w:r>
    </w:p>
    <w:p w14:paraId="26192579"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1</w:t>
      </w:r>
      <w:r w:rsidRPr="00C754CA">
        <w:rPr>
          <w:rFonts w:asciiTheme="minorHAnsi" w:hAnsiTheme="minorHAnsi"/>
          <w:noProof/>
          <w:sz w:val="22"/>
        </w:rPr>
        <w:tab/>
      </w:r>
      <w:r w:rsidRPr="00C754CA">
        <w:rPr>
          <w:noProof/>
        </w:rPr>
        <w:t>Übersicht über die geschätzten Auswirkungen auf die operativen Mittel</w:t>
      </w:r>
      <w:r w:rsidRPr="00C754CA">
        <w:rPr>
          <w:noProof/>
          <w:webHidden/>
        </w:rPr>
        <w:tab/>
      </w:r>
      <w:r w:rsidRPr="00E2773D">
        <w:rPr>
          <w:noProof/>
          <w:webHidden/>
        </w:rPr>
        <w:t>12</w:t>
      </w:r>
    </w:p>
    <w:p w14:paraId="2DBF5306"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1</w:t>
      </w:r>
      <w:r w:rsidRPr="00C754CA">
        <w:rPr>
          <w:noProof/>
        </w:rPr>
        <w:t>.</w:t>
      </w:r>
      <w:r w:rsidRPr="00E2773D">
        <w:rPr>
          <w:noProof/>
        </w:rPr>
        <w:t>1</w:t>
      </w:r>
      <w:r w:rsidRPr="00C754CA">
        <w:rPr>
          <w:rFonts w:asciiTheme="minorHAnsi" w:hAnsiTheme="minorHAnsi"/>
          <w:noProof/>
          <w:sz w:val="22"/>
        </w:rPr>
        <w:tab/>
      </w:r>
      <w:r w:rsidRPr="00C754CA">
        <w:rPr>
          <w:noProof/>
        </w:rPr>
        <w:t>Mittel aus dem verabschiedeten Haushaltsplan</w:t>
      </w:r>
      <w:r w:rsidRPr="00C754CA">
        <w:rPr>
          <w:noProof/>
          <w:webHidden/>
        </w:rPr>
        <w:tab/>
      </w:r>
      <w:r w:rsidRPr="00E2773D">
        <w:rPr>
          <w:noProof/>
          <w:webHidden/>
        </w:rPr>
        <w:t>12</w:t>
      </w:r>
    </w:p>
    <w:p w14:paraId="1FE0CC46"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1</w:t>
      </w:r>
      <w:r w:rsidRPr="00C754CA">
        <w:rPr>
          <w:noProof/>
        </w:rPr>
        <w:t>.</w:t>
      </w:r>
      <w:r w:rsidRPr="00E2773D">
        <w:rPr>
          <w:noProof/>
        </w:rPr>
        <w:t>2</w:t>
      </w:r>
      <w:r w:rsidRPr="00C754CA">
        <w:rPr>
          <w:rFonts w:asciiTheme="minorHAnsi" w:hAnsiTheme="minorHAnsi"/>
          <w:noProof/>
          <w:sz w:val="22"/>
        </w:rPr>
        <w:tab/>
      </w:r>
      <w:r w:rsidRPr="00C754CA">
        <w:rPr>
          <w:noProof/>
        </w:rPr>
        <w:t>Mittel aus externen zweckgebundenen Einnahmen</w:t>
      </w:r>
      <w:r w:rsidRPr="00C754CA">
        <w:rPr>
          <w:noProof/>
          <w:webHidden/>
        </w:rPr>
        <w:tab/>
      </w:r>
      <w:r w:rsidRPr="00E2773D">
        <w:rPr>
          <w:noProof/>
          <w:webHidden/>
        </w:rPr>
        <w:t>17</w:t>
      </w:r>
    </w:p>
    <w:p w14:paraId="0E094AA9"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2</w:t>
      </w:r>
      <w:r w:rsidRPr="00C754CA">
        <w:rPr>
          <w:rFonts w:asciiTheme="minorHAnsi" w:hAnsiTheme="minorHAnsi"/>
          <w:noProof/>
          <w:sz w:val="22"/>
        </w:rPr>
        <w:tab/>
      </w:r>
      <w:r w:rsidRPr="00C754CA">
        <w:rPr>
          <w:noProof/>
        </w:rPr>
        <w:t>Geschätzte Ergebnisse, die mit operativen Mitteln finanziert werden</w:t>
      </w:r>
      <w:r w:rsidRPr="00C754CA">
        <w:rPr>
          <w:noProof/>
          <w:webHidden/>
        </w:rPr>
        <w:tab/>
      </w:r>
      <w:r w:rsidRPr="00E2773D">
        <w:rPr>
          <w:noProof/>
          <w:webHidden/>
        </w:rPr>
        <w:t>22</w:t>
      </w:r>
    </w:p>
    <w:p w14:paraId="1581F5D6"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3</w:t>
      </w:r>
      <w:r w:rsidRPr="00C754CA">
        <w:rPr>
          <w:rFonts w:asciiTheme="minorHAnsi" w:hAnsiTheme="minorHAnsi"/>
          <w:noProof/>
          <w:sz w:val="22"/>
        </w:rPr>
        <w:tab/>
      </w:r>
      <w:r w:rsidRPr="00C754CA">
        <w:rPr>
          <w:noProof/>
        </w:rPr>
        <w:t>Übersicht über die geschätzten Auswirkungen auf die Verwaltungsmittel</w:t>
      </w:r>
      <w:r w:rsidRPr="00C754CA">
        <w:rPr>
          <w:noProof/>
          <w:webHidden/>
        </w:rPr>
        <w:tab/>
      </w:r>
      <w:r w:rsidRPr="00E2773D">
        <w:rPr>
          <w:noProof/>
          <w:webHidden/>
        </w:rPr>
        <w:t>24</w:t>
      </w:r>
    </w:p>
    <w:p w14:paraId="35C0CE50"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3</w:t>
      </w:r>
      <w:r w:rsidRPr="00C754CA">
        <w:rPr>
          <w:noProof/>
        </w:rPr>
        <w:t>.</w:t>
      </w:r>
      <w:r w:rsidRPr="00E2773D">
        <w:rPr>
          <w:noProof/>
        </w:rPr>
        <w:t>1</w:t>
      </w:r>
      <w:r w:rsidRPr="00C754CA">
        <w:rPr>
          <w:noProof/>
        </w:rPr>
        <w:t xml:space="preserve"> Mittel aus dem verabschiedeten Haushaltsplan</w:t>
      </w:r>
      <w:r w:rsidRPr="00C754CA">
        <w:rPr>
          <w:noProof/>
          <w:webHidden/>
        </w:rPr>
        <w:tab/>
      </w:r>
      <w:r w:rsidRPr="00E2773D">
        <w:rPr>
          <w:noProof/>
          <w:webHidden/>
        </w:rPr>
        <w:t>24</w:t>
      </w:r>
    </w:p>
    <w:p w14:paraId="40B7960C"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3</w:t>
      </w:r>
      <w:r w:rsidRPr="00C754CA">
        <w:rPr>
          <w:noProof/>
        </w:rPr>
        <w:t>.</w:t>
      </w:r>
      <w:r w:rsidRPr="00E2773D">
        <w:rPr>
          <w:noProof/>
        </w:rPr>
        <w:t>2</w:t>
      </w:r>
      <w:r w:rsidRPr="00C754CA">
        <w:rPr>
          <w:rFonts w:asciiTheme="minorHAnsi" w:hAnsiTheme="minorHAnsi"/>
          <w:noProof/>
          <w:sz w:val="22"/>
        </w:rPr>
        <w:tab/>
      </w:r>
      <w:r w:rsidRPr="00C754CA">
        <w:rPr>
          <w:noProof/>
        </w:rPr>
        <w:t>Mittel aus externen zweckgebundenen Einnahmen</w:t>
      </w:r>
      <w:r w:rsidRPr="00C754CA">
        <w:rPr>
          <w:noProof/>
          <w:webHidden/>
        </w:rPr>
        <w:tab/>
      </w:r>
      <w:r w:rsidRPr="00E2773D">
        <w:rPr>
          <w:noProof/>
          <w:webHidden/>
        </w:rPr>
        <w:t>24</w:t>
      </w:r>
    </w:p>
    <w:p w14:paraId="5E043308"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3</w:t>
      </w:r>
      <w:r w:rsidRPr="00C754CA">
        <w:rPr>
          <w:noProof/>
        </w:rPr>
        <w:t>.</w:t>
      </w:r>
      <w:r w:rsidRPr="00E2773D">
        <w:rPr>
          <w:noProof/>
        </w:rPr>
        <w:t>3</w:t>
      </w:r>
      <w:r w:rsidRPr="00C754CA">
        <w:rPr>
          <w:rFonts w:asciiTheme="minorHAnsi" w:hAnsiTheme="minorHAnsi"/>
          <w:noProof/>
          <w:sz w:val="22"/>
        </w:rPr>
        <w:tab/>
      </w:r>
      <w:r w:rsidRPr="00C754CA">
        <w:rPr>
          <w:noProof/>
        </w:rPr>
        <w:t>Mittel insgesamt</w:t>
      </w:r>
      <w:r w:rsidRPr="00C754CA">
        <w:rPr>
          <w:noProof/>
          <w:webHidden/>
        </w:rPr>
        <w:tab/>
      </w:r>
      <w:r w:rsidRPr="00E2773D">
        <w:rPr>
          <w:noProof/>
          <w:webHidden/>
        </w:rPr>
        <w:t>24</w:t>
      </w:r>
    </w:p>
    <w:p w14:paraId="6226B097"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4</w:t>
      </w:r>
      <w:r w:rsidRPr="00C754CA">
        <w:rPr>
          <w:rFonts w:asciiTheme="minorHAnsi" w:hAnsiTheme="minorHAnsi"/>
          <w:noProof/>
          <w:sz w:val="22"/>
        </w:rPr>
        <w:tab/>
      </w:r>
      <w:r w:rsidRPr="00C754CA">
        <w:rPr>
          <w:noProof/>
        </w:rPr>
        <w:t>Geschätzter Personalbedarf</w:t>
      </w:r>
      <w:r w:rsidRPr="00C754CA">
        <w:rPr>
          <w:noProof/>
          <w:webHidden/>
        </w:rPr>
        <w:tab/>
      </w:r>
      <w:r w:rsidRPr="00E2773D">
        <w:rPr>
          <w:noProof/>
          <w:webHidden/>
        </w:rPr>
        <w:t>25</w:t>
      </w:r>
    </w:p>
    <w:p w14:paraId="01518646"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4</w:t>
      </w:r>
      <w:r w:rsidRPr="00C754CA">
        <w:rPr>
          <w:noProof/>
        </w:rPr>
        <w:t>.</w:t>
      </w:r>
      <w:r w:rsidRPr="00E2773D">
        <w:rPr>
          <w:noProof/>
        </w:rPr>
        <w:t>1</w:t>
      </w:r>
      <w:r w:rsidRPr="00C754CA">
        <w:rPr>
          <w:rFonts w:asciiTheme="minorHAnsi" w:hAnsiTheme="minorHAnsi"/>
          <w:noProof/>
          <w:sz w:val="22"/>
        </w:rPr>
        <w:tab/>
      </w:r>
      <w:r w:rsidRPr="00C754CA">
        <w:rPr>
          <w:noProof/>
        </w:rPr>
        <w:t>Finanziert aus dem verabschiedeten Haushalt</w:t>
      </w:r>
      <w:r w:rsidRPr="00C754CA">
        <w:rPr>
          <w:noProof/>
          <w:webHidden/>
        </w:rPr>
        <w:tab/>
      </w:r>
      <w:r w:rsidRPr="00E2773D">
        <w:rPr>
          <w:noProof/>
          <w:webHidden/>
        </w:rPr>
        <w:t>25</w:t>
      </w:r>
    </w:p>
    <w:p w14:paraId="2F98D0BF"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4</w:t>
      </w:r>
      <w:r w:rsidRPr="00C754CA">
        <w:rPr>
          <w:noProof/>
        </w:rPr>
        <w:t>.</w:t>
      </w:r>
      <w:r w:rsidRPr="00E2773D">
        <w:rPr>
          <w:noProof/>
        </w:rPr>
        <w:t>2</w:t>
      </w:r>
      <w:r w:rsidRPr="00C754CA">
        <w:rPr>
          <w:rFonts w:asciiTheme="minorHAnsi" w:hAnsiTheme="minorHAnsi"/>
          <w:noProof/>
          <w:sz w:val="22"/>
        </w:rPr>
        <w:tab/>
      </w:r>
      <w:r w:rsidRPr="00C754CA">
        <w:rPr>
          <w:noProof/>
        </w:rPr>
        <w:t>Finanziert aus externen zweckgebundenen Einnahmen</w:t>
      </w:r>
      <w:r w:rsidRPr="00C754CA">
        <w:rPr>
          <w:noProof/>
          <w:webHidden/>
        </w:rPr>
        <w:tab/>
      </w:r>
      <w:r w:rsidRPr="00E2773D">
        <w:rPr>
          <w:noProof/>
          <w:webHidden/>
        </w:rPr>
        <w:t>26</w:t>
      </w:r>
    </w:p>
    <w:p w14:paraId="148CF466"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4</w:t>
      </w:r>
      <w:r w:rsidRPr="00C754CA">
        <w:rPr>
          <w:noProof/>
        </w:rPr>
        <w:t>.</w:t>
      </w:r>
      <w:r w:rsidRPr="00E2773D">
        <w:rPr>
          <w:noProof/>
        </w:rPr>
        <w:t>3</w:t>
      </w:r>
      <w:r w:rsidRPr="00C754CA">
        <w:rPr>
          <w:rFonts w:asciiTheme="minorHAnsi" w:hAnsiTheme="minorHAnsi"/>
          <w:noProof/>
          <w:sz w:val="22"/>
        </w:rPr>
        <w:tab/>
      </w:r>
      <w:r w:rsidRPr="00C754CA">
        <w:rPr>
          <w:noProof/>
        </w:rPr>
        <w:t>Geschätzter Personalbedarf insgesamt</w:t>
      </w:r>
      <w:r w:rsidRPr="00C754CA">
        <w:rPr>
          <w:noProof/>
          <w:webHidden/>
        </w:rPr>
        <w:tab/>
      </w:r>
      <w:r w:rsidRPr="00E2773D">
        <w:rPr>
          <w:noProof/>
          <w:webHidden/>
        </w:rPr>
        <w:t>26</w:t>
      </w:r>
    </w:p>
    <w:p w14:paraId="7E88B731"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5</w:t>
      </w:r>
      <w:r w:rsidRPr="00C754CA">
        <w:rPr>
          <w:rFonts w:asciiTheme="minorHAnsi" w:hAnsiTheme="minorHAnsi"/>
          <w:noProof/>
          <w:sz w:val="22"/>
        </w:rPr>
        <w:tab/>
      </w:r>
      <w:r w:rsidRPr="00C754CA">
        <w:rPr>
          <w:noProof/>
        </w:rPr>
        <w:t>Einschätzung der Auswirkungen auf die Investitionen im Zusammenhang mit digitalen Technologien</w:t>
      </w:r>
      <w:r w:rsidRPr="00C754CA">
        <w:rPr>
          <w:noProof/>
          <w:webHidden/>
        </w:rPr>
        <w:tab/>
      </w:r>
      <w:r w:rsidRPr="00E2773D">
        <w:rPr>
          <w:noProof/>
          <w:webHidden/>
        </w:rPr>
        <w:t>28</w:t>
      </w:r>
    </w:p>
    <w:p w14:paraId="5DE8DBF5"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6</w:t>
      </w:r>
      <w:r w:rsidRPr="00C754CA">
        <w:rPr>
          <w:rFonts w:asciiTheme="minorHAnsi" w:hAnsiTheme="minorHAnsi"/>
          <w:noProof/>
          <w:sz w:val="22"/>
        </w:rPr>
        <w:tab/>
      </w:r>
      <w:r w:rsidRPr="00C754CA">
        <w:rPr>
          <w:noProof/>
        </w:rPr>
        <w:t>Vereinbarkeit mit dem derzeitigen Mehrjährigen Finanzrahmen</w:t>
      </w:r>
      <w:r w:rsidRPr="00C754CA">
        <w:rPr>
          <w:noProof/>
          <w:webHidden/>
        </w:rPr>
        <w:tab/>
      </w:r>
      <w:r w:rsidRPr="00E2773D">
        <w:rPr>
          <w:noProof/>
          <w:webHidden/>
        </w:rPr>
        <w:t>28</w:t>
      </w:r>
    </w:p>
    <w:p w14:paraId="494B1FB1" w14:textId="77777777" w:rsidR="00A56747" w:rsidRPr="00C754CA" w:rsidRDefault="00A56747" w:rsidP="00A56747">
      <w:pPr>
        <w:pStyle w:val="TOC3"/>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2</w:t>
      </w:r>
      <w:r w:rsidRPr="00C754CA">
        <w:rPr>
          <w:noProof/>
        </w:rPr>
        <w:t>.</w:t>
      </w:r>
      <w:r w:rsidRPr="00E2773D">
        <w:rPr>
          <w:noProof/>
        </w:rPr>
        <w:t>7</w:t>
      </w:r>
      <w:r w:rsidRPr="00C754CA">
        <w:rPr>
          <w:rFonts w:asciiTheme="minorHAnsi" w:hAnsiTheme="minorHAnsi"/>
          <w:noProof/>
          <w:sz w:val="22"/>
        </w:rPr>
        <w:tab/>
      </w:r>
      <w:r w:rsidRPr="00C754CA">
        <w:rPr>
          <w:noProof/>
        </w:rPr>
        <w:t>Finanzierungsbeteiligung Dritter</w:t>
      </w:r>
      <w:r w:rsidRPr="00C754CA">
        <w:rPr>
          <w:noProof/>
          <w:webHidden/>
        </w:rPr>
        <w:tab/>
      </w:r>
      <w:r w:rsidRPr="00E2773D">
        <w:rPr>
          <w:noProof/>
          <w:webHidden/>
        </w:rPr>
        <w:t>28</w:t>
      </w:r>
    </w:p>
    <w:p w14:paraId="620BB366"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3</w:t>
      </w:r>
      <w:r w:rsidRPr="00C754CA">
        <w:rPr>
          <w:noProof/>
        </w:rPr>
        <w:t>.</w:t>
      </w:r>
      <w:r w:rsidRPr="00E2773D">
        <w:rPr>
          <w:noProof/>
        </w:rPr>
        <w:t>3</w:t>
      </w:r>
      <w:r w:rsidRPr="00C754CA">
        <w:rPr>
          <w:rFonts w:asciiTheme="minorHAnsi" w:hAnsiTheme="minorHAnsi"/>
          <w:noProof/>
          <w:sz w:val="22"/>
        </w:rPr>
        <w:tab/>
      </w:r>
      <w:r w:rsidRPr="00C754CA">
        <w:rPr>
          <w:noProof/>
        </w:rPr>
        <w:t>Geschätzte Auswirkungen auf die Einnahmen</w:t>
      </w:r>
      <w:r w:rsidRPr="00C754CA">
        <w:rPr>
          <w:noProof/>
          <w:webHidden/>
        </w:rPr>
        <w:tab/>
      </w:r>
      <w:r w:rsidRPr="00E2773D">
        <w:rPr>
          <w:noProof/>
          <w:webHidden/>
        </w:rPr>
        <w:t>29</w:t>
      </w:r>
    </w:p>
    <w:p w14:paraId="75EE31AF" w14:textId="77777777" w:rsidR="00A56747" w:rsidRPr="00C754CA" w:rsidRDefault="00A56747" w:rsidP="00A56747">
      <w:pPr>
        <w:pStyle w:val="TOC1"/>
        <w:rPr>
          <w:rFonts w:asciiTheme="minorHAnsi" w:eastAsiaTheme="minorEastAsia" w:hAnsiTheme="minorHAnsi" w:cstheme="minorBidi"/>
          <w:noProof/>
          <w:kern w:val="2"/>
          <w:sz w:val="22"/>
          <w14:ligatures w14:val="standardContextual"/>
        </w:rPr>
      </w:pPr>
      <w:r w:rsidRPr="00E2773D">
        <w:rPr>
          <w:noProof/>
        </w:rPr>
        <w:t>4</w:t>
      </w:r>
      <w:r w:rsidRPr="00C754CA">
        <w:rPr>
          <w:rFonts w:asciiTheme="minorHAnsi" w:hAnsiTheme="minorHAnsi"/>
          <w:noProof/>
          <w:sz w:val="22"/>
        </w:rPr>
        <w:tab/>
      </w:r>
      <w:r w:rsidRPr="00C754CA">
        <w:rPr>
          <w:caps/>
          <w:noProof/>
        </w:rPr>
        <w:t>Digitale Aspekte</w:t>
      </w:r>
      <w:r w:rsidRPr="00C754CA">
        <w:rPr>
          <w:noProof/>
          <w:webHidden/>
        </w:rPr>
        <w:tab/>
      </w:r>
      <w:r w:rsidRPr="00E2773D">
        <w:rPr>
          <w:noProof/>
          <w:webHidden/>
        </w:rPr>
        <w:t>29</w:t>
      </w:r>
    </w:p>
    <w:p w14:paraId="4DF4FA6A"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4</w:t>
      </w:r>
      <w:r w:rsidRPr="00C754CA">
        <w:rPr>
          <w:noProof/>
        </w:rPr>
        <w:t>.</w:t>
      </w:r>
      <w:r w:rsidRPr="00E2773D">
        <w:rPr>
          <w:noProof/>
        </w:rPr>
        <w:t>1</w:t>
      </w:r>
      <w:r w:rsidRPr="00C754CA">
        <w:rPr>
          <w:rFonts w:asciiTheme="minorHAnsi" w:hAnsiTheme="minorHAnsi"/>
          <w:noProof/>
          <w:sz w:val="22"/>
        </w:rPr>
        <w:tab/>
      </w:r>
      <w:r w:rsidRPr="00C754CA">
        <w:rPr>
          <w:noProof/>
        </w:rPr>
        <w:t>Anforderungen von digitaler Relevanz</w:t>
      </w:r>
      <w:r w:rsidRPr="00C754CA">
        <w:rPr>
          <w:noProof/>
          <w:webHidden/>
        </w:rPr>
        <w:tab/>
      </w:r>
      <w:r w:rsidRPr="00E2773D">
        <w:rPr>
          <w:noProof/>
          <w:webHidden/>
        </w:rPr>
        <w:t>30</w:t>
      </w:r>
    </w:p>
    <w:p w14:paraId="4A378774"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4</w:t>
      </w:r>
      <w:r w:rsidRPr="00C754CA">
        <w:rPr>
          <w:noProof/>
        </w:rPr>
        <w:t>.</w:t>
      </w:r>
      <w:r w:rsidRPr="00E2773D">
        <w:rPr>
          <w:noProof/>
        </w:rPr>
        <w:t>2</w:t>
      </w:r>
      <w:r w:rsidRPr="00C754CA">
        <w:rPr>
          <w:rFonts w:asciiTheme="minorHAnsi" w:hAnsiTheme="minorHAnsi"/>
          <w:noProof/>
          <w:sz w:val="22"/>
        </w:rPr>
        <w:tab/>
      </w:r>
      <w:r w:rsidRPr="00C754CA">
        <w:rPr>
          <w:noProof/>
        </w:rPr>
        <w:t>Daten</w:t>
      </w:r>
      <w:r w:rsidRPr="00C754CA">
        <w:rPr>
          <w:noProof/>
          <w:webHidden/>
        </w:rPr>
        <w:tab/>
      </w:r>
      <w:r w:rsidRPr="00E2773D">
        <w:rPr>
          <w:noProof/>
          <w:webHidden/>
        </w:rPr>
        <w:t>30</w:t>
      </w:r>
    </w:p>
    <w:p w14:paraId="4F5449E7"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4</w:t>
      </w:r>
      <w:r w:rsidRPr="00C754CA">
        <w:rPr>
          <w:noProof/>
        </w:rPr>
        <w:t>.</w:t>
      </w:r>
      <w:r w:rsidRPr="00E2773D">
        <w:rPr>
          <w:noProof/>
        </w:rPr>
        <w:t>3</w:t>
      </w:r>
      <w:r w:rsidRPr="00C754CA">
        <w:rPr>
          <w:rFonts w:asciiTheme="minorHAnsi" w:hAnsiTheme="minorHAnsi"/>
          <w:noProof/>
          <w:sz w:val="22"/>
        </w:rPr>
        <w:tab/>
      </w:r>
      <w:r w:rsidRPr="00C754CA">
        <w:rPr>
          <w:noProof/>
        </w:rPr>
        <w:t>Digitale Lösungen</w:t>
      </w:r>
      <w:r w:rsidRPr="00C754CA">
        <w:rPr>
          <w:noProof/>
          <w:webHidden/>
        </w:rPr>
        <w:tab/>
      </w:r>
      <w:r w:rsidRPr="00E2773D">
        <w:rPr>
          <w:noProof/>
          <w:webHidden/>
        </w:rPr>
        <w:t>31</w:t>
      </w:r>
    </w:p>
    <w:p w14:paraId="6FA3F7CF"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4</w:t>
      </w:r>
      <w:r w:rsidRPr="00C754CA">
        <w:rPr>
          <w:noProof/>
        </w:rPr>
        <w:t>.</w:t>
      </w:r>
      <w:r w:rsidRPr="00E2773D">
        <w:rPr>
          <w:noProof/>
        </w:rPr>
        <w:t>4</w:t>
      </w:r>
      <w:r w:rsidRPr="00C754CA">
        <w:rPr>
          <w:rFonts w:asciiTheme="minorHAnsi" w:hAnsiTheme="minorHAnsi"/>
          <w:noProof/>
          <w:sz w:val="22"/>
        </w:rPr>
        <w:tab/>
      </w:r>
      <w:r w:rsidRPr="00C754CA">
        <w:rPr>
          <w:noProof/>
        </w:rPr>
        <w:t>Interoperabilitätsbewertung</w:t>
      </w:r>
      <w:r w:rsidRPr="00C754CA">
        <w:rPr>
          <w:noProof/>
          <w:webHidden/>
        </w:rPr>
        <w:tab/>
      </w:r>
      <w:r w:rsidRPr="00E2773D">
        <w:rPr>
          <w:noProof/>
          <w:webHidden/>
        </w:rPr>
        <w:t>31</w:t>
      </w:r>
    </w:p>
    <w:p w14:paraId="0066B8B0" w14:textId="77777777" w:rsidR="00A56747" w:rsidRPr="00C754CA" w:rsidRDefault="00A56747" w:rsidP="00A56747">
      <w:pPr>
        <w:pStyle w:val="TOC2"/>
        <w:rPr>
          <w:rFonts w:asciiTheme="minorHAnsi" w:eastAsiaTheme="minorEastAsia" w:hAnsiTheme="minorHAnsi" w:cstheme="minorBidi"/>
          <w:noProof/>
          <w:kern w:val="2"/>
          <w:sz w:val="22"/>
          <w14:ligatures w14:val="standardContextual"/>
        </w:rPr>
      </w:pPr>
      <w:r w:rsidRPr="00E2773D">
        <w:rPr>
          <w:noProof/>
        </w:rPr>
        <w:t>4</w:t>
      </w:r>
      <w:r w:rsidRPr="00C754CA">
        <w:rPr>
          <w:noProof/>
        </w:rPr>
        <w:t>.</w:t>
      </w:r>
      <w:r w:rsidRPr="00E2773D">
        <w:rPr>
          <w:noProof/>
        </w:rPr>
        <w:t>5</w:t>
      </w:r>
      <w:r w:rsidRPr="00C754CA">
        <w:rPr>
          <w:rFonts w:asciiTheme="minorHAnsi" w:hAnsiTheme="minorHAnsi"/>
          <w:noProof/>
          <w:sz w:val="22"/>
        </w:rPr>
        <w:tab/>
      </w:r>
      <w:r w:rsidRPr="00C754CA">
        <w:rPr>
          <w:noProof/>
        </w:rPr>
        <w:t>Unterstützungsmaßnahmen für die digitale Umsetzung</w:t>
      </w:r>
      <w:r w:rsidRPr="00C754CA">
        <w:rPr>
          <w:noProof/>
          <w:webHidden/>
        </w:rPr>
        <w:tab/>
      </w:r>
      <w:r w:rsidRPr="00E2773D">
        <w:rPr>
          <w:noProof/>
          <w:webHidden/>
        </w:rPr>
        <w:t>32</w:t>
      </w:r>
    </w:p>
    <w:p w14:paraId="7FC7EE68" w14:textId="77777777" w:rsidR="00A56747" w:rsidRPr="00C754CA" w:rsidRDefault="00A56747" w:rsidP="00A56747">
      <w:pPr>
        <w:pStyle w:val="TOC1"/>
        <w:ind w:left="0" w:firstLine="0"/>
        <w:rPr>
          <w:noProof/>
        </w:rPr>
        <w:sectPr w:rsidR="00A56747" w:rsidRPr="00C754CA" w:rsidSect="008E2EBB">
          <w:pgSz w:w="11907" w:h="16840" w:code="9"/>
          <w:pgMar w:top="1134" w:right="1418" w:bottom="1134" w:left="1418" w:header="709" w:footer="709" w:gutter="0"/>
          <w:pgNumType w:start="1"/>
          <w:cols w:space="720"/>
          <w:docGrid w:linePitch="360"/>
        </w:sectPr>
      </w:pPr>
    </w:p>
    <w:p w14:paraId="34120E02" w14:textId="77777777" w:rsidR="00A56747" w:rsidRPr="00C754CA" w:rsidRDefault="00A56747" w:rsidP="00A56747">
      <w:pPr>
        <w:pStyle w:val="ManualHeading1"/>
        <w:rPr>
          <w:noProof/>
        </w:rPr>
      </w:pPr>
      <w:bookmarkStart w:id="65" w:name="_Toc514938007"/>
      <w:bookmarkStart w:id="66" w:name="_Toc520485025"/>
      <w:bookmarkStart w:id="67" w:name="_Toc160804567"/>
      <w:bookmarkStart w:id="68" w:name="_Toc167220259"/>
      <w:bookmarkStart w:id="69" w:name="_Toc177548992"/>
      <w:r w:rsidRPr="00E2773D">
        <w:rPr>
          <w:noProof/>
        </w:rPr>
        <w:t>1</w:t>
      </w:r>
      <w:r w:rsidRPr="00C754CA">
        <w:rPr>
          <w:noProof/>
        </w:rPr>
        <w:tab/>
        <w:t>RAHMEN DES VORSCHLAGS/DER INITIATIVE</w:t>
      </w:r>
      <w:bookmarkEnd w:id="65"/>
      <w:bookmarkEnd w:id="66"/>
      <w:bookmarkEnd w:id="67"/>
      <w:bookmarkEnd w:id="68"/>
      <w:bookmarkEnd w:id="69"/>
      <w:r w:rsidRPr="00C754CA">
        <w:rPr>
          <w:noProof/>
        </w:rPr>
        <w:t xml:space="preserve"> </w:t>
      </w:r>
    </w:p>
    <w:p w14:paraId="33B03F1D" w14:textId="77777777" w:rsidR="00A56747" w:rsidRPr="00C754CA" w:rsidRDefault="00A56747" w:rsidP="00A56747">
      <w:pPr>
        <w:pStyle w:val="ManualHeading2"/>
        <w:rPr>
          <w:noProof/>
        </w:rPr>
      </w:pPr>
      <w:bookmarkStart w:id="70" w:name="_Toc514938008"/>
      <w:bookmarkStart w:id="71" w:name="_Toc520485026"/>
      <w:bookmarkStart w:id="72" w:name="_Toc160804568"/>
      <w:bookmarkStart w:id="73" w:name="_Toc167220260"/>
      <w:bookmarkStart w:id="74" w:name="_Toc177548993"/>
      <w:r w:rsidRPr="00E2773D">
        <w:rPr>
          <w:noProof/>
        </w:rPr>
        <w:t>1</w:t>
      </w:r>
      <w:r w:rsidRPr="00C754CA">
        <w:rPr>
          <w:noProof/>
        </w:rPr>
        <w:t>.</w:t>
      </w:r>
      <w:r w:rsidRPr="00E2773D">
        <w:rPr>
          <w:noProof/>
        </w:rPr>
        <w:t>1</w:t>
      </w:r>
      <w:r w:rsidRPr="00C754CA">
        <w:rPr>
          <w:noProof/>
        </w:rPr>
        <w:tab/>
        <w:t>Bezeichnung des Vorschlags/der Initiative</w:t>
      </w:r>
      <w:bookmarkEnd w:id="70"/>
      <w:bookmarkEnd w:id="71"/>
      <w:bookmarkEnd w:id="72"/>
      <w:bookmarkEnd w:id="73"/>
      <w:bookmarkEnd w:id="74"/>
    </w:p>
    <w:p w14:paraId="0B7213F4"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VERORDNUNG DES EUROPÄISCHEN PARLAMENTS UND DES RATES zur Änderung der Verordnung (EU) </w:t>
      </w:r>
      <w:r w:rsidRPr="00E2773D">
        <w:rPr>
          <w:noProof/>
        </w:rPr>
        <w:t>2021</w:t>
      </w:r>
      <w:r w:rsidRPr="00C754CA">
        <w:rPr>
          <w:noProof/>
        </w:rPr>
        <w:t>/</w:t>
      </w:r>
      <w:r w:rsidRPr="00E2773D">
        <w:rPr>
          <w:noProof/>
        </w:rPr>
        <w:t>1056</w:t>
      </w:r>
      <w:r w:rsidRPr="00C754CA">
        <w:rPr>
          <w:noProof/>
        </w:rPr>
        <w:t xml:space="preserve"> und der Verordnung (EU) </w:t>
      </w:r>
      <w:r w:rsidRPr="00E2773D">
        <w:rPr>
          <w:noProof/>
        </w:rPr>
        <w:t>2021</w:t>
      </w:r>
      <w:r w:rsidRPr="00C754CA">
        <w:rPr>
          <w:noProof/>
        </w:rPr>
        <w:t>/</w:t>
      </w:r>
      <w:r w:rsidRPr="00E2773D">
        <w:rPr>
          <w:noProof/>
        </w:rPr>
        <w:t>1058</w:t>
      </w:r>
      <w:r w:rsidRPr="00C754CA">
        <w:rPr>
          <w:noProof/>
        </w:rPr>
        <w:t xml:space="preserve"> […]</w:t>
      </w:r>
    </w:p>
    <w:p w14:paraId="32743801" w14:textId="77777777" w:rsidR="00A56747" w:rsidRPr="00C754CA" w:rsidRDefault="00A56747" w:rsidP="00A56747">
      <w:pPr>
        <w:pStyle w:val="ManualHeading2"/>
        <w:rPr>
          <w:i/>
          <w:noProof/>
        </w:rPr>
      </w:pPr>
      <w:bookmarkStart w:id="75" w:name="_Toc514938011"/>
      <w:bookmarkStart w:id="76" w:name="_Toc520485027"/>
      <w:bookmarkStart w:id="77" w:name="_Toc160804569"/>
      <w:bookmarkStart w:id="78" w:name="_Toc167220261"/>
      <w:bookmarkStart w:id="79" w:name="_Toc177548994"/>
      <w:r w:rsidRPr="00E2773D">
        <w:rPr>
          <w:noProof/>
        </w:rPr>
        <w:t>1</w:t>
      </w:r>
      <w:r w:rsidRPr="00C754CA">
        <w:rPr>
          <w:noProof/>
        </w:rPr>
        <w:t>.</w:t>
      </w:r>
      <w:r w:rsidRPr="00E2773D">
        <w:rPr>
          <w:noProof/>
        </w:rPr>
        <w:t>2</w:t>
      </w:r>
      <w:r w:rsidRPr="00C754CA">
        <w:rPr>
          <w:noProof/>
        </w:rPr>
        <w:tab/>
        <w:t>Politikbereich(e)</w:t>
      </w:r>
      <w:bookmarkEnd w:id="75"/>
      <w:bookmarkEnd w:id="76"/>
      <w:bookmarkEnd w:id="77"/>
      <w:bookmarkEnd w:id="78"/>
      <w:bookmarkEnd w:id="79"/>
      <w:r w:rsidRPr="00C754CA">
        <w:rPr>
          <w:i/>
          <w:noProof/>
        </w:rPr>
        <w:t xml:space="preserve"> </w:t>
      </w:r>
    </w:p>
    <w:p w14:paraId="2F955954"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Kohäsionspolitik: Europäischer Fonds für regionale Entwicklung (EFRE), Kohäsionsfonds und Fonds für einen gerechten Übergang (JTF)</w:t>
      </w:r>
    </w:p>
    <w:p w14:paraId="0F90B2A0" w14:textId="77777777" w:rsidR="00A56747" w:rsidRPr="00C754CA" w:rsidRDefault="00A56747" w:rsidP="00A56747">
      <w:pPr>
        <w:pStyle w:val="ManualHeading2"/>
        <w:rPr>
          <w:noProof/>
        </w:rPr>
      </w:pPr>
      <w:bookmarkStart w:id="80" w:name="_Toc514938015"/>
      <w:bookmarkStart w:id="81" w:name="_Toc520485029"/>
      <w:bookmarkStart w:id="82" w:name="_Toc160804571"/>
      <w:bookmarkStart w:id="83" w:name="_Toc167220263"/>
      <w:bookmarkStart w:id="84" w:name="_Toc177548995"/>
      <w:r w:rsidRPr="00E2773D">
        <w:rPr>
          <w:noProof/>
        </w:rPr>
        <w:t>1</w:t>
      </w:r>
      <w:r w:rsidRPr="00C754CA">
        <w:rPr>
          <w:noProof/>
        </w:rPr>
        <w:t>.</w:t>
      </w:r>
      <w:r w:rsidRPr="00E2773D">
        <w:rPr>
          <w:noProof/>
        </w:rPr>
        <w:t>3</w:t>
      </w:r>
      <w:r w:rsidRPr="00C754CA">
        <w:rPr>
          <w:noProof/>
        </w:rPr>
        <w:tab/>
        <w:t>Ziel(e)</w:t>
      </w:r>
      <w:bookmarkEnd w:id="80"/>
      <w:bookmarkEnd w:id="81"/>
      <w:bookmarkEnd w:id="82"/>
      <w:bookmarkEnd w:id="83"/>
      <w:bookmarkEnd w:id="84"/>
    </w:p>
    <w:p w14:paraId="3D216610" w14:textId="77777777" w:rsidR="00A56747" w:rsidRPr="00C754CA" w:rsidRDefault="00A56747" w:rsidP="00A56747">
      <w:pPr>
        <w:pStyle w:val="ManualHeading3"/>
        <w:rPr>
          <w:noProof/>
        </w:rPr>
      </w:pPr>
      <w:bookmarkStart w:id="85" w:name="_Toc514938016"/>
      <w:bookmarkStart w:id="86" w:name="_Toc520485030"/>
      <w:bookmarkStart w:id="87" w:name="_Toc160804572"/>
      <w:bookmarkStart w:id="88" w:name="_Toc167220264"/>
      <w:bookmarkStart w:id="89" w:name="_Toc177548996"/>
      <w:r w:rsidRPr="00E2773D">
        <w:rPr>
          <w:noProof/>
        </w:rPr>
        <w:t>1</w:t>
      </w:r>
      <w:r w:rsidRPr="00C754CA">
        <w:rPr>
          <w:noProof/>
        </w:rPr>
        <w:t>.</w:t>
      </w:r>
      <w:r w:rsidRPr="00E2773D">
        <w:rPr>
          <w:noProof/>
        </w:rPr>
        <w:t>3</w:t>
      </w:r>
      <w:r w:rsidRPr="00C754CA">
        <w:rPr>
          <w:noProof/>
        </w:rPr>
        <w:t>.</w:t>
      </w:r>
      <w:r w:rsidRPr="00E2773D">
        <w:rPr>
          <w:noProof/>
        </w:rPr>
        <w:t>1</w:t>
      </w:r>
      <w:r w:rsidRPr="00C754CA">
        <w:rPr>
          <w:noProof/>
        </w:rPr>
        <w:tab/>
        <w:t>Allgemeine(s) Ziel(e)</w:t>
      </w:r>
      <w:bookmarkEnd w:id="85"/>
      <w:bookmarkEnd w:id="86"/>
      <w:bookmarkEnd w:id="87"/>
      <w:bookmarkEnd w:id="88"/>
      <w:bookmarkEnd w:id="89"/>
    </w:p>
    <w:p w14:paraId="455547A8"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Mit den Fonds der Kohäsionspolitik und dem JTF wird die harmonische Entwicklung der EU durch Maßnahmen zur Stärkung ihres wirtschaftlichen, sozialen und territorialen Zusammenhalts gefördert. </w:t>
      </w:r>
    </w:p>
    <w:p w14:paraId="73AADBAF"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Zur Unterstützung dieses übergeordneten Ziels tragen die Fonds auch zur Förderung wichtiger politischer Ziele bei, unter anderem zur Stärkung der allgemeinen Wettbewerbsfähigkeit und der strategischen Autonomie der EU sowie zur Bewältigung der Herausforderungen und Chancen im Zusammenhang mit dem grünen, digitalen und sozialen Wandel.</w:t>
      </w:r>
    </w:p>
    <w:p w14:paraId="7CBAB8BD" w14:textId="77777777" w:rsidR="00A56747" w:rsidRPr="00C754CA" w:rsidRDefault="00A56747" w:rsidP="00A56747">
      <w:pPr>
        <w:pStyle w:val="ManualHeading3"/>
        <w:rPr>
          <w:noProof/>
        </w:rPr>
      </w:pPr>
      <w:bookmarkStart w:id="90" w:name="_Toc514938018"/>
      <w:bookmarkStart w:id="91" w:name="_Toc520485031"/>
      <w:bookmarkStart w:id="92" w:name="_Toc160804573"/>
      <w:bookmarkStart w:id="93" w:name="_Toc167220265"/>
      <w:bookmarkStart w:id="94" w:name="_Toc177548997"/>
      <w:r w:rsidRPr="00E2773D">
        <w:rPr>
          <w:noProof/>
        </w:rPr>
        <w:t>1</w:t>
      </w:r>
      <w:r w:rsidRPr="00C754CA">
        <w:rPr>
          <w:noProof/>
        </w:rPr>
        <w:t>.</w:t>
      </w:r>
      <w:r w:rsidRPr="00E2773D">
        <w:rPr>
          <w:noProof/>
        </w:rPr>
        <w:t>3</w:t>
      </w:r>
      <w:r w:rsidRPr="00C754CA">
        <w:rPr>
          <w:noProof/>
        </w:rPr>
        <w:t>.</w:t>
      </w:r>
      <w:r w:rsidRPr="00E2773D">
        <w:rPr>
          <w:noProof/>
        </w:rPr>
        <w:t>2</w:t>
      </w:r>
      <w:r w:rsidRPr="00C754CA">
        <w:rPr>
          <w:noProof/>
        </w:rPr>
        <w:tab/>
        <w:t>Einzelziel(e)</w:t>
      </w:r>
      <w:bookmarkEnd w:id="90"/>
      <w:bookmarkEnd w:id="91"/>
      <w:bookmarkEnd w:id="92"/>
      <w:bookmarkEnd w:id="93"/>
      <w:bookmarkEnd w:id="94"/>
    </w:p>
    <w:p w14:paraId="224E27B8"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Spezifisches Ziel Nr. </w:t>
      </w:r>
      <w:r w:rsidRPr="00E2773D">
        <w:rPr>
          <w:noProof/>
        </w:rPr>
        <w:t>1</w:t>
      </w:r>
    </w:p>
    <w:p w14:paraId="2B567777"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Beschleunigung der Umsetzung der kohäsionspolitischen Programme für den Zeitraum </w:t>
      </w:r>
      <w:r w:rsidRPr="00E2773D">
        <w:rPr>
          <w:noProof/>
        </w:rPr>
        <w:t>2021</w:t>
      </w:r>
      <w:r w:rsidRPr="00C754CA">
        <w:rPr>
          <w:noProof/>
        </w:rPr>
        <w:t>-</w:t>
      </w:r>
      <w:r w:rsidRPr="00E2773D">
        <w:rPr>
          <w:noProof/>
        </w:rPr>
        <w:t>2027</w:t>
      </w:r>
      <w:r w:rsidRPr="00C754CA">
        <w:rPr>
          <w:noProof/>
        </w:rPr>
        <w:t xml:space="preserve"> durch mehr Flexibilität und Vereinfachung der Inanspruchnahme der Fonds der Kohäsionspolitik. </w:t>
      </w:r>
    </w:p>
    <w:p w14:paraId="2F31DDDC" w14:textId="77777777" w:rsidR="00A56747" w:rsidRPr="00C754CA" w:rsidRDefault="00A56747" w:rsidP="00A56747">
      <w:pPr>
        <w:pStyle w:val="Text1"/>
        <w:rPr>
          <w:noProof/>
        </w:rPr>
      </w:pPr>
    </w:p>
    <w:p w14:paraId="2718FB4B"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u w:val="single"/>
        </w:rPr>
      </w:pPr>
      <w:r w:rsidRPr="00C754CA">
        <w:rPr>
          <w:noProof/>
        </w:rPr>
        <w:t>Spezifisches Ziel Nr. </w:t>
      </w:r>
      <w:r w:rsidRPr="00E2773D">
        <w:rPr>
          <w:noProof/>
        </w:rPr>
        <w:t>2</w:t>
      </w:r>
      <w:r w:rsidRPr="00C754CA">
        <w:rPr>
          <w:noProof/>
        </w:rPr>
        <w:t xml:space="preserve"> </w:t>
      </w:r>
    </w:p>
    <w:p w14:paraId="046D32D5" w14:textId="5D5FDD4F"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Bereitstellung von Mitteln aus den Fonds der Kohäsionspolitik im Rahmen der Programme für den Zeitraum </w:t>
      </w:r>
      <w:r w:rsidRPr="00E2773D">
        <w:rPr>
          <w:noProof/>
        </w:rPr>
        <w:t>2021</w:t>
      </w:r>
      <w:r w:rsidRPr="00C754CA">
        <w:rPr>
          <w:noProof/>
        </w:rPr>
        <w:t>-</w:t>
      </w:r>
      <w:r w:rsidRPr="00E2773D">
        <w:rPr>
          <w:noProof/>
        </w:rPr>
        <w:t>2027</w:t>
      </w:r>
      <w:r w:rsidRPr="00C754CA">
        <w:rPr>
          <w:noProof/>
        </w:rPr>
        <w:t xml:space="preserve"> für verteidigungsbezogene Investitionen als kurzfristige Reaktion auf die jüngsten geopolitischen Ereignisse, indem zusätzliche Möglichkeiten für die Mitgliedstaaten geschaffen werden, die Investitionen im Verteidigungssektor zu erhöhen und die Produktionskapazitäten und eine widerstandsfähige Infrastruktur mit doppeltem Verwendungszweck zu verbessern. </w:t>
      </w:r>
    </w:p>
    <w:p w14:paraId="6C43CCE6"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Betonung der Bedeutung der Bewältigung der Wohnungskrise durch Schaffung von Anreizen im Regelungsrahmen für </w:t>
      </w:r>
      <w:r w:rsidRPr="00E2773D">
        <w:rPr>
          <w:noProof/>
        </w:rPr>
        <w:t>2021</w:t>
      </w:r>
      <w:r w:rsidRPr="00C754CA">
        <w:rPr>
          <w:noProof/>
        </w:rPr>
        <w:t>-</w:t>
      </w:r>
      <w:r w:rsidRPr="00E2773D">
        <w:rPr>
          <w:noProof/>
        </w:rPr>
        <w:t>2027</w:t>
      </w:r>
      <w:r w:rsidRPr="00C754CA">
        <w:rPr>
          <w:noProof/>
        </w:rPr>
        <w:t xml:space="preserve"> für Investitionen in erschwinglichen Wohnraum. </w:t>
      </w:r>
    </w:p>
    <w:p w14:paraId="00188440"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Betonung der strategischen Bedeutung eines sicheren Zugangs zu Wasser und einer nachhaltigen und resilienten Wasserbewirtschaftung durch Schaffung von Anreizen im Regelungsrahmen für </w:t>
      </w:r>
      <w:r w:rsidRPr="00E2773D">
        <w:rPr>
          <w:noProof/>
        </w:rPr>
        <w:t>2021</w:t>
      </w:r>
      <w:r w:rsidRPr="00C754CA">
        <w:rPr>
          <w:noProof/>
        </w:rPr>
        <w:t>-</w:t>
      </w:r>
      <w:r w:rsidRPr="00E2773D">
        <w:rPr>
          <w:noProof/>
        </w:rPr>
        <w:t>2027</w:t>
      </w:r>
      <w:r w:rsidRPr="00C754CA">
        <w:rPr>
          <w:noProof/>
        </w:rPr>
        <w:t xml:space="preserve"> für Investitionen in einschlägige Projekte. </w:t>
      </w:r>
    </w:p>
    <w:p w14:paraId="479645EB"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Bewältigung spezifischer territorialer Herausforderungen in den an die Ukraine, Russland und Belarus angrenzenden Regionen.</w:t>
      </w:r>
    </w:p>
    <w:p w14:paraId="6B052AD3" w14:textId="77777777" w:rsidR="00A56747" w:rsidRPr="00C754CA" w:rsidRDefault="00A56747" w:rsidP="00A56747">
      <w:pPr>
        <w:pStyle w:val="ManualHeading3"/>
        <w:rPr>
          <w:noProof/>
        </w:rPr>
      </w:pPr>
      <w:bookmarkStart w:id="95" w:name="_Toc514938019"/>
      <w:bookmarkStart w:id="96" w:name="_Toc520485032"/>
      <w:bookmarkStart w:id="97" w:name="_Toc160804574"/>
      <w:bookmarkStart w:id="98" w:name="_Toc167220266"/>
      <w:bookmarkStart w:id="99" w:name="_Toc177548998"/>
      <w:r w:rsidRPr="00E2773D">
        <w:rPr>
          <w:noProof/>
        </w:rPr>
        <w:t>1</w:t>
      </w:r>
      <w:r w:rsidRPr="00C754CA">
        <w:rPr>
          <w:noProof/>
        </w:rPr>
        <w:t>.</w:t>
      </w:r>
      <w:r w:rsidRPr="00E2773D">
        <w:rPr>
          <w:noProof/>
        </w:rPr>
        <w:t>3</w:t>
      </w:r>
      <w:r w:rsidRPr="00C754CA">
        <w:rPr>
          <w:noProof/>
        </w:rPr>
        <w:t>.</w:t>
      </w:r>
      <w:r w:rsidRPr="00E2773D">
        <w:rPr>
          <w:noProof/>
        </w:rPr>
        <w:t>3</w:t>
      </w:r>
      <w:r w:rsidRPr="00C754CA">
        <w:rPr>
          <w:noProof/>
        </w:rPr>
        <w:tab/>
        <w:t>Erwartete Ergebnisse und Auswirkungen</w:t>
      </w:r>
      <w:bookmarkEnd w:id="95"/>
      <w:bookmarkEnd w:id="96"/>
      <w:bookmarkEnd w:id="97"/>
      <w:bookmarkEnd w:id="98"/>
      <w:bookmarkEnd w:id="99"/>
    </w:p>
    <w:p w14:paraId="4048E20E" w14:textId="77777777" w:rsidR="00A56747" w:rsidRPr="00C754CA" w:rsidRDefault="00A56747" w:rsidP="00A56747">
      <w:pPr>
        <w:pStyle w:val="Text1"/>
        <w:rPr>
          <w:i/>
          <w:noProof/>
          <w:sz w:val="20"/>
        </w:rPr>
      </w:pPr>
      <w:r w:rsidRPr="00C754CA">
        <w:rPr>
          <w:i/>
          <w:noProof/>
          <w:sz w:val="20"/>
        </w:rPr>
        <w:t>Bitte geben Sie an, wie sich der Vorschlag/die Initiative auf die Begünstigten/Zielgruppen auswirken sollte.</w:t>
      </w:r>
    </w:p>
    <w:p w14:paraId="4715013C"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Spezifisches Ziel Nr. </w:t>
      </w:r>
      <w:r w:rsidRPr="00E2773D">
        <w:rPr>
          <w:noProof/>
        </w:rPr>
        <w:t>1</w:t>
      </w:r>
      <w:r w:rsidRPr="00C754CA">
        <w:rPr>
          <w:noProof/>
        </w:rPr>
        <w:t> </w:t>
      </w:r>
    </w:p>
    <w:p w14:paraId="0BDD45F3"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Maximierung der Nutzung der Mittel, die dem EFRE und dem Kohäsionsfonds im MFR </w:t>
      </w:r>
      <w:r w:rsidRPr="00E2773D">
        <w:rPr>
          <w:noProof/>
        </w:rPr>
        <w:t>2021</w:t>
      </w:r>
      <w:r w:rsidRPr="00C754CA">
        <w:rPr>
          <w:noProof/>
        </w:rPr>
        <w:t>-</w:t>
      </w:r>
      <w:r w:rsidRPr="00E2773D">
        <w:rPr>
          <w:noProof/>
        </w:rPr>
        <w:t>2027</w:t>
      </w:r>
      <w:r w:rsidRPr="00C754CA">
        <w:rPr>
          <w:noProof/>
        </w:rPr>
        <w:t xml:space="preserve"> zugewiesen wurden, und der Mittel, die dem Fonds für einen gerechten Übergang im MFR </w:t>
      </w:r>
      <w:r w:rsidRPr="00E2773D">
        <w:rPr>
          <w:noProof/>
        </w:rPr>
        <w:t>2021</w:t>
      </w:r>
      <w:r w:rsidRPr="00C754CA">
        <w:rPr>
          <w:noProof/>
        </w:rPr>
        <w:t>-</w:t>
      </w:r>
      <w:r w:rsidRPr="00E2773D">
        <w:rPr>
          <w:noProof/>
        </w:rPr>
        <w:t>2027</w:t>
      </w:r>
      <w:r w:rsidRPr="00C754CA">
        <w:rPr>
          <w:noProof/>
        </w:rPr>
        <w:t xml:space="preserve"> und NextGenerationEU (NGEU) für die in den Verordnungen festgelegten politischen Ziele zugewiesen wurden. </w:t>
      </w:r>
    </w:p>
    <w:p w14:paraId="42D12503" w14:textId="77777777" w:rsidR="00A56747" w:rsidRPr="00C754CA" w:rsidRDefault="00A56747" w:rsidP="00A56747">
      <w:pPr>
        <w:pStyle w:val="ManualHeading3"/>
        <w:rPr>
          <w:noProof/>
        </w:rPr>
      </w:pPr>
      <w:bookmarkStart w:id="100" w:name="_Toc514938023"/>
      <w:bookmarkStart w:id="101" w:name="_Toc520485033"/>
      <w:bookmarkStart w:id="102" w:name="_Toc160804575"/>
      <w:bookmarkStart w:id="103" w:name="_Toc167220267"/>
      <w:bookmarkStart w:id="104" w:name="_Toc177548999"/>
    </w:p>
    <w:p w14:paraId="6C85C498"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Spezifisches Ziel Nr. </w:t>
      </w:r>
      <w:r w:rsidRPr="00E2773D">
        <w:rPr>
          <w:noProof/>
        </w:rPr>
        <w:t>2</w:t>
      </w:r>
      <w:r w:rsidRPr="00C754CA">
        <w:rPr>
          <w:noProof/>
        </w:rPr>
        <w:t> </w:t>
      </w:r>
    </w:p>
    <w:p w14:paraId="62D3F99F"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Steigerung der Produktionskapazitäten von Unternehmen im Verteidigungssektor und Anpassung der kritischen Mobilitätsinfrastruktur an neue Herausforderungen der kritischen Mobilitätsinfrastruktur. </w:t>
      </w:r>
    </w:p>
    <w:p w14:paraId="791C3315"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Stärkere Unterstützung bei der Bewältigung der spezifischen Herausforderungen in den an Russland, Belarus und die Ukraine angrenzenden Regionen.</w:t>
      </w:r>
    </w:p>
    <w:p w14:paraId="49E0A32A"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Nutzung von Investitionen zur Förderung der Wettbewerbsfähigkeit der EU.</w:t>
      </w:r>
    </w:p>
    <w:p w14:paraId="49E069E2"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Nutzung von Investitionen in Bau- und Renovierungsprojekte für erschwinglichen Wohnraum. </w:t>
      </w:r>
    </w:p>
    <w:p w14:paraId="414AE4F5"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Nutzung von Investitionen in Projekte zur Verbesserung der Resilienz der Wasserversorgung und der nachhaltigen Wasserbewirtschaftung. </w:t>
      </w:r>
    </w:p>
    <w:p w14:paraId="713E6D62" w14:textId="77777777" w:rsidR="00A56747" w:rsidRPr="00C754CA" w:rsidRDefault="00A56747" w:rsidP="00A56747">
      <w:pPr>
        <w:pStyle w:val="Text1"/>
        <w:rPr>
          <w:noProof/>
        </w:rPr>
      </w:pPr>
    </w:p>
    <w:p w14:paraId="02F73567" w14:textId="77777777" w:rsidR="00A56747" w:rsidRPr="00C754CA" w:rsidRDefault="00A56747" w:rsidP="00A56747">
      <w:pPr>
        <w:pStyle w:val="ManualHeading3"/>
        <w:rPr>
          <w:noProof/>
        </w:rPr>
      </w:pPr>
      <w:r w:rsidRPr="00E2773D">
        <w:rPr>
          <w:noProof/>
        </w:rPr>
        <w:t>1</w:t>
      </w:r>
      <w:r w:rsidRPr="00C754CA">
        <w:rPr>
          <w:noProof/>
        </w:rPr>
        <w:t>.</w:t>
      </w:r>
      <w:r w:rsidRPr="00E2773D">
        <w:rPr>
          <w:noProof/>
        </w:rPr>
        <w:t>3</w:t>
      </w:r>
      <w:r w:rsidRPr="00C754CA">
        <w:rPr>
          <w:noProof/>
        </w:rPr>
        <w:t>.</w:t>
      </w:r>
      <w:r w:rsidRPr="00E2773D">
        <w:rPr>
          <w:noProof/>
        </w:rPr>
        <w:t>4</w:t>
      </w:r>
      <w:r w:rsidRPr="00C754CA">
        <w:rPr>
          <w:noProof/>
        </w:rPr>
        <w:tab/>
        <w:t>Leistungsindikatoren</w:t>
      </w:r>
      <w:bookmarkEnd w:id="100"/>
      <w:bookmarkEnd w:id="101"/>
      <w:bookmarkEnd w:id="102"/>
      <w:bookmarkEnd w:id="103"/>
      <w:bookmarkEnd w:id="104"/>
    </w:p>
    <w:p w14:paraId="60C85A00" w14:textId="77777777" w:rsidR="00A56747" w:rsidRPr="00C754CA" w:rsidRDefault="00A56747" w:rsidP="00A56747">
      <w:pPr>
        <w:pStyle w:val="Text1"/>
        <w:rPr>
          <w:i/>
          <w:noProof/>
          <w:sz w:val="20"/>
        </w:rPr>
      </w:pPr>
      <w:r w:rsidRPr="00C754CA">
        <w:rPr>
          <w:i/>
          <w:noProof/>
          <w:sz w:val="20"/>
        </w:rPr>
        <w:t>Bitte geben Sie an, anhand welcher Indikatoren die Fortschritte und Ergebnisse verfolgt werden sollen.</w:t>
      </w:r>
    </w:p>
    <w:p w14:paraId="0131AAF1"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Spezifisches Ziel Nr. </w:t>
      </w:r>
      <w:r w:rsidRPr="00E2773D">
        <w:rPr>
          <w:noProof/>
        </w:rPr>
        <w:t>1</w:t>
      </w:r>
      <w:r w:rsidRPr="00C754CA">
        <w:rPr>
          <w:noProof/>
        </w:rPr>
        <w:t> </w:t>
      </w:r>
    </w:p>
    <w:p w14:paraId="69778A1C"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Finanzielle Angaben zu den Beträgen im Zusammenhang mit von den Mitgliedstaaten ausgewählten und durchgeführten Maßnahmen und zu den Zahlungen aus dem EU-Haushalt an die Mitgliedstaaten. </w:t>
      </w:r>
    </w:p>
    <w:p w14:paraId="29FA349C" w14:textId="77777777" w:rsidR="00A56747" w:rsidRPr="00C754CA" w:rsidRDefault="00A56747" w:rsidP="00A56747">
      <w:pPr>
        <w:spacing w:after="160" w:line="259" w:lineRule="auto"/>
        <w:jc w:val="left"/>
        <w:rPr>
          <w:noProof/>
        </w:rPr>
      </w:pPr>
    </w:p>
    <w:p w14:paraId="7EC0FAD7"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Spezifisches Ziel Nr. </w:t>
      </w:r>
      <w:r w:rsidRPr="00E2773D">
        <w:rPr>
          <w:noProof/>
        </w:rPr>
        <w:t>2</w:t>
      </w:r>
      <w:r w:rsidRPr="00C754CA">
        <w:rPr>
          <w:noProof/>
        </w:rPr>
        <w:t> </w:t>
      </w:r>
    </w:p>
    <w:p w14:paraId="4C6416D2"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Gemeinsamer Outputindikator </w:t>
      </w:r>
      <w:r w:rsidRPr="00E2773D">
        <w:rPr>
          <w:noProof/>
        </w:rPr>
        <w:t>128</w:t>
      </w:r>
      <w:r w:rsidRPr="00C754CA">
        <w:rPr>
          <w:noProof/>
        </w:rPr>
        <w:t> – Zahl der Unternehmen, die in erster Linie in Verbindung mit der Förderung von Verteidigungsfähigkeiten (RearmEU) unterstützt werden – Zahl der Unternehmen </w:t>
      </w:r>
    </w:p>
    <w:p w14:paraId="36CC54ED" w14:textId="194A766A" w:rsidR="00A56747" w:rsidRPr="00C754CA" w:rsidRDefault="00A56747" w:rsidP="4D8CB314">
      <w:pPr>
        <w:pStyle w:val="Text1"/>
        <w:pBdr>
          <w:top w:val="single" w:sz="4" w:space="1" w:color="auto"/>
          <w:left w:val="single" w:sz="4" w:space="4" w:color="auto"/>
          <w:bottom w:val="single" w:sz="4" w:space="1" w:color="auto"/>
          <w:right w:val="single" w:sz="4" w:space="4" w:color="auto"/>
        </w:pBdr>
        <w:rPr>
          <w:noProof/>
        </w:rPr>
      </w:pPr>
      <w:r w:rsidRPr="00C754CA">
        <w:rPr>
          <w:noProof/>
        </w:rPr>
        <w:t>Gemeinsamer Outputindikator </w:t>
      </w:r>
      <w:r w:rsidRPr="00E2773D">
        <w:rPr>
          <w:noProof/>
        </w:rPr>
        <w:t>129</w:t>
      </w:r>
      <w:r w:rsidRPr="00C754CA">
        <w:rPr>
          <w:noProof/>
        </w:rPr>
        <w:t> – Zahl der Straßen- und Eisenbahnbrücken, die für einen doppelten Verwendungszweck gebaut oder ausgebaut wurden </w:t>
      </w:r>
    </w:p>
    <w:p w14:paraId="57E2CB62"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Gemeinsamer Outputindikator </w:t>
      </w:r>
      <w:r w:rsidRPr="00E2773D">
        <w:rPr>
          <w:noProof/>
        </w:rPr>
        <w:t>65</w:t>
      </w:r>
      <w:r w:rsidRPr="00C754CA">
        <w:rPr>
          <w:noProof/>
        </w:rPr>
        <w:t> – Kapazität neuer oder modernisierter Sozialwohnungen – Zahl der Personen </w:t>
      </w:r>
    </w:p>
    <w:p w14:paraId="32A14CCA"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Gemeinsamer Ergebnisindikator </w:t>
      </w:r>
      <w:r w:rsidRPr="00E2773D">
        <w:rPr>
          <w:noProof/>
        </w:rPr>
        <w:t>43</w:t>
      </w:r>
      <w:r w:rsidRPr="00C754CA">
        <w:rPr>
          <w:noProof/>
        </w:rPr>
        <w:t> – Wasserverluste in den Verteilungssystemen der öffentlichen Wasserversorgung – Kubikmeter pro Jahr </w:t>
      </w:r>
    </w:p>
    <w:p w14:paraId="710BA138" w14:textId="77777777" w:rsidR="00A56747" w:rsidRPr="00C754CA" w:rsidRDefault="00A56747" w:rsidP="00A56747">
      <w:pPr>
        <w:pStyle w:val="ManualHeading2"/>
        <w:rPr>
          <w:noProof/>
        </w:rPr>
      </w:pPr>
      <w:bookmarkStart w:id="105" w:name="_Toc177549000"/>
      <w:r w:rsidRPr="00E2773D">
        <w:rPr>
          <w:noProof/>
        </w:rPr>
        <w:t>1</w:t>
      </w:r>
      <w:r w:rsidRPr="00C754CA">
        <w:rPr>
          <w:noProof/>
        </w:rPr>
        <w:t>.</w:t>
      </w:r>
      <w:r w:rsidRPr="00E2773D">
        <w:rPr>
          <w:noProof/>
        </w:rPr>
        <w:t>4</w:t>
      </w:r>
      <w:r w:rsidRPr="00C754CA">
        <w:rPr>
          <w:noProof/>
        </w:rPr>
        <w:tab/>
        <w:t>Der Vorschlag/Die Initiative betrifft</w:t>
      </w:r>
      <w:bookmarkEnd w:id="105"/>
      <w:r w:rsidRPr="00C754CA">
        <w:rPr>
          <w:noProof/>
        </w:rPr>
        <w:t xml:space="preserve"> </w:t>
      </w:r>
    </w:p>
    <w:p w14:paraId="6634D841" w14:textId="77777777" w:rsidR="00A56747" w:rsidRPr="00C754CA" w:rsidRDefault="00A56747" w:rsidP="00A56747">
      <w:pPr>
        <w:pStyle w:val="Text1"/>
        <w:rPr>
          <w:noProof/>
          <w:sz w:val="22"/>
        </w:rPr>
      </w:pPr>
      <w:r w:rsidRPr="00C754CA">
        <w:rPr>
          <w:rFonts w:ascii="Wingdings" w:hAnsi="Wingdings"/>
          <w:noProof/>
          <w:sz w:val="22"/>
        </w:rPr>
        <w:t></w:t>
      </w:r>
      <w:r w:rsidRPr="00C754CA">
        <w:rPr>
          <w:i/>
          <w:noProof/>
          <w:sz w:val="22"/>
        </w:rPr>
        <w:t xml:space="preserve"> </w:t>
      </w:r>
      <w:r w:rsidRPr="00C754CA">
        <w:rPr>
          <w:noProof/>
        </w:rPr>
        <w:t>eine neue Maßnahme</w:t>
      </w:r>
      <w:r w:rsidRPr="00C754CA">
        <w:rPr>
          <w:noProof/>
          <w:sz w:val="22"/>
        </w:rPr>
        <w:t xml:space="preserve"> </w:t>
      </w:r>
    </w:p>
    <w:p w14:paraId="145919A5" w14:textId="77777777" w:rsidR="00A56747" w:rsidRPr="00C754CA" w:rsidRDefault="00A56747" w:rsidP="00A56747">
      <w:pPr>
        <w:pStyle w:val="Text1"/>
        <w:rPr>
          <w:noProof/>
          <w:sz w:val="22"/>
        </w:rPr>
      </w:pPr>
      <w:r w:rsidRPr="00C754CA">
        <w:rPr>
          <w:rFonts w:ascii="Wingdings" w:hAnsi="Wingdings"/>
          <w:noProof/>
          <w:sz w:val="22"/>
        </w:rPr>
        <w:t></w:t>
      </w:r>
      <w:r w:rsidRPr="00C754CA">
        <w:rPr>
          <w:i/>
          <w:noProof/>
          <w:sz w:val="22"/>
        </w:rPr>
        <w:t xml:space="preserve"> </w:t>
      </w:r>
      <w:r w:rsidRPr="00C754CA">
        <w:rPr>
          <w:noProof/>
        </w:rPr>
        <w:t>eine neue Maßnahme im Anschluss an ein Pilotprojekt/eine vorbereitende Maßnahme</w:t>
      </w:r>
      <w:r w:rsidRPr="00C754CA">
        <w:rPr>
          <w:rStyle w:val="FootnoteReference"/>
          <w:noProof/>
        </w:rPr>
        <w:footnoteReference w:id="9"/>
      </w:r>
      <w:r w:rsidRPr="00C754CA">
        <w:rPr>
          <w:noProof/>
          <w:sz w:val="22"/>
        </w:rPr>
        <w:t xml:space="preserve"> </w:t>
      </w:r>
    </w:p>
    <w:p w14:paraId="3939953A" w14:textId="77777777" w:rsidR="00A56747" w:rsidRPr="00C754CA" w:rsidRDefault="00A56747" w:rsidP="00A56747">
      <w:pPr>
        <w:pStyle w:val="Text1"/>
        <w:rPr>
          <w:noProof/>
          <w:sz w:val="22"/>
        </w:rPr>
      </w:pPr>
      <w:r w:rsidRPr="00C754CA">
        <w:rPr>
          <w:rFonts w:ascii="Wingdings" w:hAnsi="Wingdings"/>
          <w:noProof/>
          <w:sz w:val="22"/>
        </w:rPr>
        <w:t></w:t>
      </w:r>
      <w:r w:rsidRPr="00C754CA">
        <w:rPr>
          <w:i/>
          <w:noProof/>
          <w:sz w:val="22"/>
        </w:rPr>
        <w:t xml:space="preserve"> </w:t>
      </w:r>
      <w:r w:rsidRPr="00C754CA">
        <w:rPr>
          <w:noProof/>
        </w:rPr>
        <w:t>die Verlängerung einer bestehenden Maßnahme</w:t>
      </w:r>
      <w:r w:rsidRPr="00C754CA">
        <w:rPr>
          <w:noProof/>
          <w:sz w:val="22"/>
        </w:rPr>
        <w:t xml:space="preserve"> </w:t>
      </w:r>
    </w:p>
    <w:p w14:paraId="711E9414" w14:textId="77777777" w:rsidR="00A56747" w:rsidRPr="00C754CA" w:rsidRDefault="00A56747" w:rsidP="00A56747">
      <w:pPr>
        <w:pStyle w:val="Text1"/>
        <w:rPr>
          <w:noProof/>
        </w:rPr>
      </w:pPr>
      <w:r w:rsidRPr="00C754CA">
        <w:rPr>
          <w:rFonts w:ascii="Wingdings" w:hAnsi="Wingdings"/>
          <w:noProof/>
          <w:sz w:val="22"/>
        </w:rPr>
        <w:t></w:t>
      </w:r>
      <w:r w:rsidRPr="00C754CA">
        <w:rPr>
          <w:i/>
          <w:noProof/>
          <w:sz w:val="22"/>
        </w:rPr>
        <w:t xml:space="preserve"> </w:t>
      </w:r>
      <w:r w:rsidRPr="00C754CA">
        <w:rPr>
          <w:noProof/>
        </w:rPr>
        <w:t>die Zusammenführung mehrerer Maßnahmen oder die Neuausrichtung mindestens einer Maßnahme</w:t>
      </w:r>
    </w:p>
    <w:p w14:paraId="3D23C471" w14:textId="77777777" w:rsidR="00A56747" w:rsidRPr="00C754CA" w:rsidRDefault="00A56747" w:rsidP="00A56747">
      <w:pPr>
        <w:pStyle w:val="ManualHeading2"/>
        <w:rPr>
          <w:bCs/>
          <w:noProof/>
          <w:szCs w:val="24"/>
        </w:rPr>
      </w:pPr>
      <w:bookmarkStart w:id="106" w:name="_Toc514938025"/>
      <w:bookmarkStart w:id="107" w:name="_Toc520485034"/>
      <w:bookmarkStart w:id="108" w:name="_Toc160804576"/>
      <w:bookmarkStart w:id="109" w:name="_Toc167220268"/>
      <w:bookmarkStart w:id="110" w:name="_Toc177549001"/>
      <w:r w:rsidRPr="00E2773D">
        <w:rPr>
          <w:noProof/>
        </w:rPr>
        <w:t>1</w:t>
      </w:r>
      <w:r w:rsidRPr="00C754CA">
        <w:rPr>
          <w:noProof/>
        </w:rPr>
        <w:t>.</w:t>
      </w:r>
      <w:r w:rsidRPr="00E2773D">
        <w:rPr>
          <w:noProof/>
        </w:rPr>
        <w:t>5</w:t>
      </w:r>
      <w:r w:rsidRPr="00C754CA">
        <w:rPr>
          <w:noProof/>
        </w:rPr>
        <w:tab/>
        <w:t>Begründung des Vorschlags/der Initiative</w:t>
      </w:r>
      <w:bookmarkEnd w:id="106"/>
      <w:bookmarkEnd w:id="107"/>
      <w:bookmarkEnd w:id="108"/>
      <w:bookmarkEnd w:id="109"/>
      <w:bookmarkEnd w:id="110"/>
      <w:r w:rsidRPr="00C754CA">
        <w:rPr>
          <w:noProof/>
        </w:rPr>
        <w:t xml:space="preserve"> </w:t>
      </w:r>
    </w:p>
    <w:p w14:paraId="20340296" w14:textId="77777777" w:rsidR="00A56747" w:rsidRPr="00C754CA" w:rsidRDefault="00A56747" w:rsidP="00A56747">
      <w:pPr>
        <w:pStyle w:val="ManualHeading3"/>
        <w:rPr>
          <w:noProof/>
        </w:rPr>
      </w:pPr>
      <w:bookmarkStart w:id="111" w:name="_Toc514938026"/>
      <w:bookmarkStart w:id="112" w:name="_Toc520485035"/>
      <w:bookmarkStart w:id="113" w:name="_Toc160804577"/>
      <w:bookmarkStart w:id="114" w:name="_Toc167220269"/>
      <w:bookmarkStart w:id="115" w:name="_Toc177549002"/>
      <w:r w:rsidRPr="00E2773D">
        <w:rPr>
          <w:noProof/>
        </w:rPr>
        <w:t>1</w:t>
      </w:r>
      <w:r w:rsidRPr="00C754CA">
        <w:rPr>
          <w:noProof/>
        </w:rPr>
        <w:t>.</w:t>
      </w:r>
      <w:r w:rsidRPr="00E2773D">
        <w:rPr>
          <w:noProof/>
        </w:rPr>
        <w:t>5</w:t>
      </w:r>
      <w:r w:rsidRPr="00C754CA">
        <w:rPr>
          <w:noProof/>
        </w:rPr>
        <w:t>.</w:t>
      </w:r>
      <w:r w:rsidRPr="00E2773D">
        <w:rPr>
          <w:noProof/>
        </w:rPr>
        <w:t>1</w:t>
      </w:r>
      <w:r w:rsidRPr="00C754CA">
        <w:rPr>
          <w:noProof/>
        </w:rPr>
        <w:tab/>
        <w:t>Kurz- oder langfristig zu deckender Bedarf, einschließlich einer detaillierten Zeitleiste für die Durchführung der Initiative</w:t>
      </w:r>
      <w:bookmarkEnd w:id="111"/>
      <w:bookmarkEnd w:id="112"/>
      <w:bookmarkEnd w:id="113"/>
      <w:bookmarkEnd w:id="114"/>
      <w:bookmarkEnd w:id="115"/>
    </w:p>
    <w:p w14:paraId="0653FEAD"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Durch die jüngsten wirtschaftlichen und geopolitischen Ereignisse sind wichtige Prioritäten in den Vordergrund gerückt, die erhebliche Investitionen erfordern. Die Kohäsionspolitik bietet einen soliden Rahmen für solche Investitionen, und die spezifischen Investitionen, die Gegenstand dieser Änderung sind, sind nach dem für die entsprechenden Fonds geltenden Rechtsrahmen bereits weitgehend möglich. Daher stehen sie bereits im Einklang mit dem übergeordneten Ziel der Stärkung des wirtschaftlichen, sozialen und territorialen Zusammenhalts. Allerdings müssen Tempo und Umfang der Investitionen erhöht werden. Die laufende Halbzeitüberprüfung der kohäsionspolitischen Programme </w:t>
      </w:r>
      <w:r w:rsidRPr="00E2773D">
        <w:rPr>
          <w:noProof/>
        </w:rPr>
        <w:t>2021</w:t>
      </w:r>
      <w:r w:rsidRPr="00C754CA">
        <w:rPr>
          <w:noProof/>
        </w:rPr>
        <w:t>-</w:t>
      </w:r>
      <w:r w:rsidRPr="00E2773D">
        <w:rPr>
          <w:noProof/>
        </w:rPr>
        <w:t>2027</w:t>
      </w:r>
      <w:r w:rsidRPr="00C754CA">
        <w:rPr>
          <w:noProof/>
        </w:rPr>
        <w:t xml:space="preserve"> bietet eine sehr gute Gelegenheit, zu bewerten, wie diese Programme zur Umsetzung der politischen Ziele beitragen können. Daher schafft die hier vorgeschlagene Änderung Anreize und bietet Flexibilitätsregelungen, die es den Mitgliedstaaten ermöglichen, in relativ kurzer Zeit Mittel aus dem mehrjährigen Finanzrahmen stärker auf diese Prioritäten zu konzentrieren.</w:t>
      </w:r>
    </w:p>
    <w:p w14:paraId="5F5DDF94" w14:textId="77777777" w:rsidR="00A56747" w:rsidRPr="00C754CA" w:rsidRDefault="00A56747" w:rsidP="00A56747">
      <w:pPr>
        <w:pStyle w:val="ManualHeading3"/>
        <w:rPr>
          <w:bCs/>
          <w:noProof/>
          <w:szCs w:val="24"/>
        </w:rPr>
      </w:pPr>
      <w:bookmarkStart w:id="116" w:name="_Toc514938029"/>
      <w:bookmarkStart w:id="117" w:name="_Toc520485036"/>
      <w:bookmarkStart w:id="118" w:name="_Toc160804578"/>
      <w:bookmarkStart w:id="119" w:name="_Toc167220270"/>
      <w:bookmarkStart w:id="120" w:name="_Toc177549003"/>
      <w:r w:rsidRPr="00E2773D">
        <w:rPr>
          <w:noProof/>
        </w:rPr>
        <w:t>1</w:t>
      </w:r>
      <w:r w:rsidRPr="00C754CA">
        <w:rPr>
          <w:noProof/>
        </w:rPr>
        <w:t>.</w:t>
      </w:r>
      <w:r w:rsidRPr="00E2773D">
        <w:rPr>
          <w:noProof/>
        </w:rPr>
        <w:t>5</w:t>
      </w:r>
      <w:r w:rsidRPr="00C754CA">
        <w:rPr>
          <w:noProof/>
        </w:rPr>
        <w:t>.</w:t>
      </w:r>
      <w:r w:rsidRPr="00E2773D">
        <w:rPr>
          <w:noProof/>
        </w:rPr>
        <w:t>2</w:t>
      </w:r>
      <w:r w:rsidRPr="00C754CA">
        <w:rPr>
          <w:noProof/>
        </w:rPr>
        <w:tab/>
        <w:t>Mehrwert aufgrund des Tätigwerdens der EU (kann sich aus unterschiedlichen Faktoren ergeben, z. B. Vorteile durch Koordinierung, Rechtssicherheit, größerer Wirksamkeit oder Komplementarität). Für die Zwecke dieses Abschnitts bezeichnet der Ausdruck „Mehrwert aufgrund des Tätigwerdens der EU“ den Wert, der sich aus dem Tätigwerden der EU ergibt und den Wert ergänzt, der andernfalls allein von den Mitgliedstaaten geschaffen worden wäre.</w:t>
      </w:r>
      <w:bookmarkEnd w:id="116"/>
      <w:bookmarkEnd w:id="117"/>
      <w:bookmarkEnd w:id="118"/>
      <w:bookmarkEnd w:id="119"/>
      <w:bookmarkEnd w:id="120"/>
    </w:p>
    <w:p w14:paraId="2F571B77"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u w:val="single"/>
        </w:rPr>
        <w:t>Allgemein</w:t>
      </w:r>
      <w:r w:rsidRPr="00C754CA">
        <w:rPr>
          <w:noProof/>
        </w:rPr>
        <w:t xml:space="preserve">: </w:t>
      </w:r>
    </w:p>
    <w:p w14:paraId="3BC570E2" w14:textId="44F40BA2"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Die Änderung soll es den Mitgliedstaaten ermöglichen, notwendige kohäsionspolitische Mittel für Investitionen in Politikbereiche zu lenken, die als vorrangig eingestuft wurden, und den wirtschaftlichen, sozialen und territorialen Zusammenhalt der EU aufrechtzuerhalten und zu stärken. </w:t>
      </w:r>
    </w:p>
    <w:p w14:paraId="208860F9"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u w:val="single"/>
        </w:rPr>
        <w:t>Spezifisches Ziel </w:t>
      </w:r>
      <w:r w:rsidRPr="00E2773D">
        <w:rPr>
          <w:noProof/>
          <w:u w:val="single"/>
        </w:rPr>
        <w:t>1</w:t>
      </w:r>
      <w:r w:rsidRPr="00C754CA">
        <w:rPr>
          <w:noProof/>
          <w:u w:val="single"/>
        </w:rPr>
        <w:t>:</w:t>
      </w:r>
      <w:r w:rsidRPr="00C754CA">
        <w:rPr>
          <w:noProof/>
        </w:rPr>
        <w:t xml:space="preserve"> </w:t>
      </w:r>
    </w:p>
    <w:p w14:paraId="2AFD0640"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Die Mittel der Kohäsionspolitik sind für wirtschaftliche Stabilität, Fairness und Integration in der EU von entscheidender Bedeutung. Sie spielen eine wesentliche Rolle bei der Verringerung der regionalen Unterschiede und der Gewährleistung einer ausgewogenen Entwicklung in allen Mitgliedstaaten. Durch sie wird sichergestellt, dass alle Regionen über die Mittel verfügen, um zu wachsen, innovativ zu sein und sich an künftige Herausforderungen anzupassen; gleichzeitig wird die EU-weite Solidarität gefördert. Die Aufrechterhaltung und Beschleunigung des Mittelflusses aus dem EU-Haushalt an die Mitgliedstaaten ist von entscheidender Bedeutung für die Sicherstellung der erforderlichen Höhe der öffentlichen Mittel in den Mitgliedstaaten und für die Erreichung der im Vertrag verankerten Kohäsionsziele. </w:t>
      </w:r>
    </w:p>
    <w:p w14:paraId="47E59E44"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u w:val="single"/>
        </w:rPr>
      </w:pPr>
      <w:r w:rsidRPr="00C754CA">
        <w:rPr>
          <w:noProof/>
          <w:u w:val="single"/>
        </w:rPr>
        <w:t>Spezifisches Ziel </w:t>
      </w:r>
      <w:r w:rsidRPr="00E2773D">
        <w:rPr>
          <w:noProof/>
          <w:u w:val="single"/>
        </w:rPr>
        <w:t>2</w:t>
      </w:r>
      <w:r w:rsidRPr="00C754CA">
        <w:rPr>
          <w:noProof/>
          <w:u w:val="single"/>
        </w:rPr>
        <w:t xml:space="preserve">: </w:t>
      </w:r>
    </w:p>
    <w:p w14:paraId="4EF56873" w14:textId="77777777" w:rsidR="00A56747" w:rsidRPr="00C754CA" w:rsidRDefault="4B8FD976" w:rsidP="00A56747">
      <w:pPr>
        <w:pStyle w:val="Text1"/>
        <w:pBdr>
          <w:top w:val="single" w:sz="4" w:space="1" w:color="auto"/>
          <w:left w:val="single" w:sz="4" w:space="4" w:color="auto"/>
          <w:bottom w:val="single" w:sz="4" w:space="1" w:color="auto"/>
          <w:right w:val="single" w:sz="4" w:space="4" w:color="auto"/>
        </w:pBdr>
        <w:rPr>
          <w:noProof/>
        </w:rPr>
      </w:pPr>
      <w:r w:rsidRPr="00C754CA">
        <w:rPr>
          <w:noProof/>
          <w:u w:val="single"/>
        </w:rPr>
        <w:t>Verteidigung</w:t>
      </w:r>
      <w:r w:rsidRPr="00C754CA">
        <w:rPr>
          <w:noProof/>
        </w:rPr>
        <w:t>: In der Erklärung von Versailles vom März </w:t>
      </w:r>
      <w:r w:rsidRPr="00E2773D">
        <w:rPr>
          <w:noProof/>
        </w:rPr>
        <w:t>2022</w:t>
      </w:r>
      <w:r w:rsidRPr="00C754CA">
        <w:rPr>
          <w:noProof/>
        </w:rPr>
        <w:t xml:space="preserve"> sowie in den Mitteilungen JOIN(</w:t>
      </w:r>
      <w:r w:rsidRPr="00E2773D">
        <w:rPr>
          <w:noProof/>
        </w:rPr>
        <w:t>2022</w:t>
      </w:r>
      <w:r w:rsidRPr="00C754CA">
        <w:rPr>
          <w:noProof/>
        </w:rPr>
        <w:t>) </w:t>
      </w:r>
      <w:r w:rsidRPr="00E2773D">
        <w:rPr>
          <w:noProof/>
        </w:rPr>
        <w:t>24</w:t>
      </w:r>
      <w:r w:rsidRPr="00C754CA">
        <w:rPr>
          <w:noProof/>
        </w:rPr>
        <w:t xml:space="preserve"> und COM(</w:t>
      </w:r>
      <w:r w:rsidRPr="00E2773D">
        <w:rPr>
          <w:noProof/>
        </w:rPr>
        <w:t>2022</w:t>
      </w:r>
      <w:r w:rsidRPr="00C754CA">
        <w:rPr>
          <w:noProof/>
        </w:rPr>
        <w:t>) </w:t>
      </w:r>
      <w:r w:rsidRPr="00E2773D">
        <w:rPr>
          <w:noProof/>
        </w:rPr>
        <w:t>60</w:t>
      </w:r>
      <w:r w:rsidRPr="00C754CA">
        <w:rPr>
          <w:noProof/>
        </w:rPr>
        <w:t xml:space="preserve"> wurde bereits dargelegt, dass die EU ihre eigene Krisenvorsorge, Reaktionsfähigkeit und Resilienz verstärken muss, um ihre Bürgerinnen und Bürger besser zu schützen. Die rasche Veränderung des geopolitischen Kontexts in den vergangenen Monaten hat deutlich gemacht, dass die Anstrengungen intensiviert werden müssen. In den Schlussfolgerungen des Europäischen Rates vom </w:t>
      </w:r>
      <w:r w:rsidRPr="00E2773D">
        <w:rPr>
          <w:noProof/>
        </w:rPr>
        <w:t>6</w:t>
      </w:r>
      <w:r w:rsidRPr="00C754CA">
        <w:rPr>
          <w:noProof/>
        </w:rPr>
        <w:t xml:space="preserve">. März </w:t>
      </w:r>
      <w:r w:rsidRPr="00E2773D">
        <w:rPr>
          <w:noProof/>
        </w:rPr>
        <w:t>2025</w:t>
      </w:r>
      <w:r w:rsidRPr="00C754CA">
        <w:rPr>
          <w:noProof/>
        </w:rPr>
        <w:t xml:space="preserve"> wird betont, „dass Europa souveräner werden muss, mehr Verantwortung für seine eigene Verteidigung übernehmen muss und besser gerüstet werden muss, um – mit einem allumfassenden Ansatz – zu handeln und unmittelbare und künftige Herausforderungen und Bedrohungen eigenständig zu bewältigen“. Zu diesem Zweck wird die EU die Mobilisierung der erforderlichen Instrumente und Finanzmittel beschleunigen. Der Europäische Rat „fordert die Kommission auf, zusätzliche Finanzierungsquellen für die Verteidigung auf EU-Ebene vorzuschlagen, einschließlich zusätzlicher Möglichkeiten und Anreize, die allen Mitgliedstaaten basierend auf den Grundsätzen der Objektivität, der Nichtdiskriminierung und der Gleichbehandlung der Mitgliedstaaten bei der Nutzung ihrer derzeitigen Mittelzuweisungen im Rahmen der einschlägigen Finanzierungsprogramme der EU geboten werden, und rasch entsprechende Vorschläge vorzulegen“. </w:t>
      </w:r>
    </w:p>
    <w:p w14:paraId="37B4E423"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u w:val="single"/>
        </w:rPr>
        <w:t>Wettbewerbsfähigkeit:</w:t>
      </w:r>
      <w:r w:rsidRPr="00C754CA">
        <w:rPr>
          <w:noProof/>
        </w:rPr>
        <w:t xml:space="preserve"> Die EU hat in den letzten Jahren die Stärkung der Wettbewerbsfähigkeit und Resilienz in strategischen Sektoren und die Verringerung der Abhängigkeiten der europäischen Wirtschaft durch den ökologischen und den digitalen Wandel ins Visier genommen. Mit der STEP-Verordnung wurden bereits mehr Möglichkeiten zur Unterstützung strategischer Technologien und kritischer Sektoren durch den Einsatz der Fonds der Kohäsionspolitik eingeführt. Der Vorschlag umfasst weitere Impulse, die Größe der EU für Investitionen in Bereiche zu nutzen, die für die künftige Wettbewerbsfähigkeit der EU wichtig sind.</w:t>
      </w:r>
    </w:p>
    <w:p w14:paraId="31A0DCD2" w14:textId="18754214"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u w:val="single"/>
        </w:rPr>
        <w:t>Erschwinglicher Wohnraum:</w:t>
      </w:r>
      <w:r w:rsidRPr="00C754CA">
        <w:rPr>
          <w:noProof/>
        </w:rPr>
        <w:t xml:space="preserve"> Die jüngste Krise der Lebenshaltungskosten hat das seit Langem bestehende Problem der Erschwinglichkeit von Wohnraum in der EU noch verschärft. Dieser allgemeine Trend ist in allen Mitgliedstaaten zu beobachten, und in den politischen Leitlinien wird anerkannt, dass dies den Zusammenhalt belastet. Zu diesem Zweck wurde innerhalb der Kommission eine Taskforce eingerichtet, und das Europäische Parlament hat einen Sonderausschuss zur Wohnraumkrise eingesetzt. Im Vorgriff auf das allgemeine Ziel des Europäischen Plans für erschwinglichen Wohnraum und im Einklang mit diesem Ziel bietet die Halbzeitüberprüfung der kohäsionspolitischen Programme die Gelegenheit, der Bedeutung der Resilienz der Wasserversorgung Nachdruck zu verleihen und Anreize zu schaffen, die es den Mitgliedstaaten ermöglichen, einen Teil ihrer kohäsionspolitischen Zuweisungen für Maßnahmen zur Förderung erschwinglichen Wohnraums zu verwenden. </w:t>
      </w:r>
    </w:p>
    <w:p w14:paraId="0344306C" w14:textId="6574BCC6" w:rsidR="00FF5B0A" w:rsidRPr="00C754CA" w:rsidRDefault="15728A19" w:rsidP="00166892">
      <w:pPr>
        <w:pStyle w:val="Text1"/>
        <w:pBdr>
          <w:top w:val="single" w:sz="4" w:space="1" w:color="000000"/>
          <w:left w:val="single" w:sz="4" w:space="4" w:color="000000"/>
          <w:bottom w:val="single" w:sz="4" w:space="1" w:color="000000"/>
          <w:right w:val="single" w:sz="4" w:space="4" w:color="000000"/>
        </w:pBdr>
        <w:rPr>
          <w:noProof/>
        </w:rPr>
      </w:pPr>
      <w:r w:rsidRPr="00C754CA">
        <w:rPr>
          <w:noProof/>
          <w:u w:val="single"/>
        </w:rPr>
        <w:t>Energieverbindungsleitungen und damit verbundene Leitungsinfrastruktur sowie Ladeinfrastruktur:</w:t>
      </w:r>
      <w:r w:rsidRPr="00C754CA">
        <w:rPr>
          <w:noProof/>
        </w:rPr>
        <w:t xml:space="preserve"> Die Verbesserung der Energieversorgungssicherheit und -integration, die Verringerung der Abhängigkeit von fossilen Brennstoffen und die Stärkung der Energieunabhängigkeit sind für die EU von entscheidender Bedeutung, um ein nachhaltiges und widerstandsfähiges Energiesystem zu schaffen. Im Rahmen der Kohäsionspolitik wird bereits in die Entwicklung intelligenter Energiesysteme und in den Aufbau von Ladeinfrastruktur zur Unterstützung der Elektromobilität investiert.</w:t>
      </w:r>
    </w:p>
    <w:p w14:paraId="6A024153" w14:textId="77777777" w:rsidR="53043B79" w:rsidRPr="00C754CA" w:rsidRDefault="58744DB9" w:rsidP="00166892">
      <w:pPr>
        <w:pStyle w:val="Text1"/>
        <w:pBdr>
          <w:top w:val="single" w:sz="4" w:space="1" w:color="000000"/>
          <w:left w:val="single" w:sz="4" w:space="4" w:color="000000"/>
          <w:bottom w:val="single" w:sz="4" w:space="1" w:color="000000"/>
          <w:right w:val="single" w:sz="4" w:space="4" w:color="000000"/>
        </w:pBdr>
        <w:rPr>
          <w:noProof/>
        </w:rPr>
      </w:pPr>
      <w:r w:rsidRPr="00C754CA">
        <w:rPr>
          <w:noProof/>
        </w:rPr>
        <w:t xml:space="preserve">Um die Investitionsanstrengungen in diesem Bereich zu beschleunigen und eine stärkere grenzüberschreitende Energieintegration zu erreichen, ist es jedoch wichtig, spezifische Anreize für die Förderung von Verbindungsleitungen und damit verbundener Leitungsinfrastruktur sowie für den Aufbau von Ladeinfrastruktur zur Unterstützung der Elektromobilität zu schaffen. </w:t>
      </w:r>
    </w:p>
    <w:p w14:paraId="7390FFCB"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u w:val="single"/>
        </w:rPr>
        <w:t>Zugang zu Wasser und Wasserbewirtschaftung:</w:t>
      </w:r>
      <w:r w:rsidRPr="00C754CA">
        <w:rPr>
          <w:noProof/>
        </w:rPr>
        <w:t xml:space="preserve"> Trotz des umfassenden Rechtsrahmens der EU zum Schutz und zur nachhaltigen Bewirtschaftung der Wasserressourcen hat das strukturelle Missmanagement von Wasser zu einer anhaltenden Verschlechterung und Verschmutzung dieser Ressource und von wasserbezogenen Ökosystemen, einschließlich Küsten- und Meeresökosystemen, geführt. In den letzten fünf Jahren waren immer mehr Gebiete in der EU von Überschwemmungen, anhaltenden Dürren und Wasserknappheit betroffen; die Probleme werden durch den Klimawandel, die Umweltverschmutzung und den Verlust an biologischer Vielfalt zusätzlich verschärft. Der grenzüberschreitende und bereichsübergreifende Charakter von wasserbezogenen Herausforderungen und ihre Relevanz für die Umsetzung der politischen Maßnahmen und Rechtsvorschriften der EU in verschiedenen Bereichen bilden eine klare Grundlage für eine europäische Strategie zur Resilienz der Wasserversorgung. Im Vorgriff auf die Strategie bietet die Halbzeitüberprüfung der kohäsionspolitischen Programme die Gelegenheit, die erforderlichen Finanzmittel auf Projekte zu lenken, die sich mit der Sicherheit des Zugangs zu Wasser, der nachhaltigen Wasserbewirtschaftung und der Resilienz der Wasserversorgung befassen.</w:t>
      </w:r>
    </w:p>
    <w:p w14:paraId="1CB1FC25" w14:textId="77777777" w:rsidR="00A56747" w:rsidRPr="00C754CA" w:rsidRDefault="00A56747" w:rsidP="00A56747">
      <w:pPr>
        <w:pStyle w:val="ManualHeading3"/>
        <w:rPr>
          <w:noProof/>
        </w:rPr>
      </w:pPr>
      <w:bookmarkStart w:id="121" w:name="_Toc514938030"/>
      <w:bookmarkStart w:id="122" w:name="_Toc520485037"/>
      <w:bookmarkStart w:id="123" w:name="_Toc160804579"/>
      <w:bookmarkStart w:id="124" w:name="_Toc167220271"/>
      <w:bookmarkStart w:id="125" w:name="_Toc177549004"/>
      <w:r w:rsidRPr="00E2773D">
        <w:rPr>
          <w:noProof/>
        </w:rPr>
        <w:t>1</w:t>
      </w:r>
      <w:r w:rsidRPr="00C754CA">
        <w:rPr>
          <w:noProof/>
        </w:rPr>
        <w:t>.</w:t>
      </w:r>
      <w:r w:rsidRPr="00E2773D">
        <w:rPr>
          <w:noProof/>
        </w:rPr>
        <w:t>5</w:t>
      </w:r>
      <w:r w:rsidRPr="00C754CA">
        <w:rPr>
          <w:noProof/>
        </w:rPr>
        <w:t>.</w:t>
      </w:r>
      <w:r w:rsidRPr="00E2773D">
        <w:rPr>
          <w:noProof/>
        </w:rPr>
        <w:t>3</w:t>
      </w:r>
      <w:r w:rsidRPr="00C754CA">
        <w:rPr>
          <w:noProof/>
        </w:rPr>
        <w:tab/>
        <w:t>Aus früheren ähnlichen Maßnahmen gewonnene Erkenntnisse</w:t>
      </w:r>
      <w:bookmarkEnd w:id="121"/>
      <w:bookmarkEnd w:id="122"/>
      <w:bookmarkEnd w:id="123"/>
      <w:bookmarkEnd w:id="124"/>
      <w:bookmarkEnd w:id="125"/>
    </w:p>
    <w:p w14:paraId="7322D268"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Die jüngsten Änderungen der Verordnungen für die Zeiträume </w:t>
      </w:r>
      <w:r w:rsidRPr="00E2773D">
        <w:rPr>
          <w:noProof/>
        </w:rPr>
        <w:t>2014</w:t>
      </w:r>
      <w:r w:rsidRPr="00C754CA">
        <w:rPr>
          <w:noProof/>
        </w:rPr>
        <w:t>-</w:t>
      </w:r>
      <w:r w:rsidRPr="00E2773D">
        <w:rPr>
          <w:noProof/>
        </w:rPr>
        <w:t>2020</w:t>
      </w:r>
      <w:r w:rsidRPr="00C754CA">
        <w:rPr>
          <w:noProof/>
        </w:rPr>
        <w:t xml:space="preserve"> und </w:t>
      </w:r>
      <w:r w:rsidRPr="00E2773D">
        <w:rPr>
          <w:noProof/>
        </w:rPr>
        <w:t>2021</w:t>
      </w:r>
      <w:r w:rsidRPr="00C754CA">
        <w:rPr>
          <w:noProof/>
        </w:rPr>
        <w:t>-</w:t>
      </w:r>
      <w:r w:rsidRPr="00E2773D">
        <w:rPr>
          <w:noProof/>
        </w:rPr>
        <w:t>2027</w:t>
      </w:r>
      <w:r w:rsidRPr="00C754CA">
        <w:rPr>
          <w:noProof/>
        </w:rPr>
        <w:t xml:space="preserve"> im Zusammenhang mit der COVID-</w:t>
      </w:r>
      <w:r w:rsidRPr="00E2773D">
        <w:rPr>
          <w:noProof/>
        </w:rPr>
        <w:t>19</w:t>
      </w:r>
      <w:r w:rsidRPr="00C754CA">
        <w:rPr>
          <w:noProof/>
        </w:rPr>
        <w:t>-Krise, der militärischen Aggression Russlands in der Ukraine, der Energiekrise und der Wettbewerbsfähigkeit (STEP) haben zu einer umfangreichen Inanspruchnahme von Mitteln zur Unterstützung einschlägiger Investitionen geführt.</w:t>
      </w:r>
    </w:p>
    <w:p w14:paraId="19EEDE1D" w14:textId="77777777" w:rsidR="00A56747" w:rsidRPr="00C754CA" w:rsidRDefault="00A56747" w:rsidP="00A56747">
      <w:pPr>
        <w:pStyle w:val="ManualHeading3"/>
        <w:rPr>
          <w:noProof/>
        </w:rPr>
      </w:pPr>
      <w:bookmarkStart w:id="126" w:name="_Toc514938033"/>
      <w:bookmarkStart w:id="127" w:name="_Toc520485038"/>
      <w:bookmarkStart w:id="128" w:name="_Toc160804580"/>
      <w:bookmarkStart w:id="129" w:name="_Toc167220272"/>
      <w:bookmarkStart w:id="130" w:name="_Toc177549005"/>
      <w:r w:rsidRPr="00E2773D">
        <w:rPr>
          <w:noProof/>
        </w:rPr>
        <w:t>1</w:t>
      </w:r>
      <w:r w:rsidRPr="00C754CA">
        <w:rPr>
          <w:noProof/>
        </w:rPr>
        <w:t>.</w:t>
      </w:r>
      <w:r w:rsidRPr="00E2773D">
        <w:rPr>
          <w:noProof/>
        </w:rPr>
        <w:t>5</w:t>
      </w:r>
      <w:r w:rsidRPr="00C754CA">
        <w:rPr>
          <w:noProof/>
        </w:rPr>
        <w:t>.</w:t>
      </w:r>
      <w:r w:rsidRPr="00E2773D">
        <w:rPr>
          <w:noProof/>
        </w:rPr>
        <w:t>4</w:t>
      </w:r>
      <w:r w:rsidRPr="00C754CA">
        <w:rPr>
          <w:noProof/>
        </w:rPr>
        <w:tab/>
        <w:t>Vereinbarkeit mit dem Mehrjährigen Finanzrahmen sowie mögliche Synergieeffekte mit anderen geeigneten Instrumenten</w:t>
      </w:r>
      <w:bookmarkEnd w:id="126"/>
      <w:bookmarkEnd w:id="127"/>
      <w:bookmarkEnd w:id="128"/>
      <w:bookmarkEnd w:id="129"/>
      <w:bookmarkEnd w:id="130"/>
    </w:p>
    <w:p w14:paraId="7BCBBB99" w14:textId="77777777" w:rsidR="00A56747" w:rsidRPr="00C754CA" w:rsidRDefault="00A56747" w:rsidP="24923FD7">
      <w:pPr>
        <w:pStyle w:val="Text1"/>
        <w:pBdr>
          <w:top w:val="single" w:sz="4" w:space="1" w:color="auto"/>
          <w:left w:val="single" w:sz="4" w:space="4" w:color="auto"/>
          <w:bottom w:val="single" w:sz="4" w:space="1" w:color="auto"/>
          <w:right w:val="single" w:sz="4" w:space="4" w:color="auto"/>
        </w:pBdr>
        <w:rPr>
          <w:noProof/>
        </w:rPr>
      </w:pPr>
      <w:r w:rsidRPr="00C754CA">
        <w:rPr>
          <w:noProof/>
        </w:rPr>
        <w:t>Die Änderung hat keinen Einfluss auf die bestehenden kohäsionspolitischen Zuweisungen und soll dazu beitragen, die Investitionen im Rahmen der Fonds auf effiziente und wirksame Weise zu beschleunigen.</w:t>
      </w:r>
    </w:p>
    <w:p w14:paraId="51E8DE35" w14:textId="77777777" w:rsidR="00A56747" w:rsidRPr="00C754CA" w:rsidRDefault="00A56747" w:rsidP="00A56747">
      <w:pPr>
        <w:pStyle w:val="ManualHeading3"/>
        <w:rPr>
          <w:noProof/>
        </w:rPr>
      </w:pPr>
      <w:bookmarkStart w:id="131" w:name="_Toc514938036"/>
      <w:bookmarkStart w:id="132" w:name="_Toc520485039"/>
      <w:bookmarkStart w:id="133" w:name="_Toc160804581"/>
      <w:bookmarkStart w:id="134" w:name="_Toc167220273"/>
      <w:bookmarkStart w:id="135" w:name="_Toc177549006"/>
      <w:r w:rsidRPr="00E2773D">
        <w:rPr>
          <w:noProof/>
        </w:rPr>
        <w:t>1</w:t>
      </w:r>
      <w:r w:rsidRPr="00C754CA">
        <w:rPr>
          <w:noProof/>
        </w:rPr>
        <w:t>.</w:t>
      </w:r>
      <w:r w:rsidRPr="00E2773D">
        <w:rPr>
          <w:noProof/>
        </w:rPr>
        <w:t>5</w:t>
      </w:r>
      <w:r w:rsidRPr="00C754CA">
        <w:rPr>
          <w:noProof/>
        </w:rPr>
        <w:t>.</w:t>
      </w:r>
      <w:r w:rsidRPr="00E2773D">
        <w:rPr>
          <w:noProof/>
        </w:rPr>
        <w:t>5</w:t>
      </w:r>
      <w:r w:rsidRPr="00C754CA">
        <w:rPr>
          <w:noProof/>
        </w:rPr>
        <w:tab/>
        <w:t>Bewertung der verschiedenen verfügbaren Finanzierungsoptionen, einschließlich der Möglichkeiten für eine Umschichtung</w:t>
      </w:r>
      <w:bookmarkEnd w:id="131"/>
      <w:bookmarkEnd w:id="132"/>
      <w:bookmarkEnd w:id="133"/>
      <w:bookmarkEnd w:id="134"/>
      <w:bookmarkEnd w:id="135"/>
    </w:p>
    <w:p w14:paraId="6DA17A62"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Die Änderung wirkt sich weder auf die Kernstruktur des bestehenden Rechtsrahmens für die Kohäsionspolitik noch auf die festen Zuweisungen an die Mitgliedstaaten aus. Vielmehr soll der Unterstützung von Maßnahmen, die bereits im Rahmen der Fonds möglich sind und Investitionen über andere Finanzierungsmöglichkeiten auf EU-Ebene oder auf Ebene der Mitgliedstaaten ergänzen, Nachdruck verleihen werden und es sollen entsprechende Anreize geschaffen werden. </w:t>
      </w:r>
    </w:p>
    <w:p w14:paraId="66E0E75A" w14:textId="77777777" w:rsidR="00A56747" w:rsidRPr="00C754CA" w:rsidRDefault="00A56747" w:rsidP="00A56747">
      <w:pPr>
        <w:pStyle w:val="ManualHeading2"/>
        <w:rPr>
          <w:bCs/>
          <w:noProof/>
          <w:szCs w:val="24"/>
        </w:rPr>
      </w:pPr>
      <w:r w:rsidRPr="00C754CA">
        <w:rPr>
          <w:noProof/>
        </w:rPr>
        <w:br w:type="page"/>
      </w:r>
      <w:bookmarkStart w:id="136" w:name="_Toc514938039"/>
      <w:bookmarkStart w:id="137" w:name="_Toc520485040"/>
      <w:bookmarkStart w:id="138" w:name="_Toc160804582"/>
      <w:bookmarkStart w:id="139" w:name="_Toc167220274"/>
      <w:bookmarkStart w:id="140" w:name="_Toc177549007"/>
      <w:r w:rsidRPr="00E2773D">
        <w:rPr>
          <w:noProof/>
        </w:rPr>
        <w:t>1</w:t>
      </w:r>
      <w:r w:rsidRPr="00C754CA">
        <w:rPr>
          <w:noProof/>
        </w:rPr>
        <w:t>.</w:t>
      </w:r>
      <w:r w:rsidRPr="00E2773D">
        <w:rPr>
          <w:noProof/>
        </w:rPr>
        <w:t>6</w:t>
      </w:r>
      <w:r w:rsidRPr="00C754CA">
        <w:rPr>
          <w:noProof/>
        </w:rPr>
        <w:tab/>
        <w:t>Laufzeit der vorgeschlagenen Maßnahme/der Initiative</w:t>
      </w:r>
      <w:bookmarkEnd w:id="136"/>
      <w:bookmarkEnd w:id="137"/>
      <w:r w:rsidRPr="00C754CA">
        <w:rPr>
          <w:noProof/>
        </w:rPr>
        <w:t xml:space="preserve"> und Dauer der finanziellen Auswirkungen</w:t>
      </w:r>
      <w:bookmarkEnd w:id="138"/>
      <w:bookmarkEnd w:id="139"/>
      <w:bookmarkEnd w:id="140"/>
    </w:p>
    <w:p w14:paraId="5D185B4F" w14:textId="77777777" w:rsidR="00A56747" w:rsidRPr="00C754CA" w:rsidRDefault="00A56747" w:rsidP="00A56747">
      <w:pPr>
        <w:pStyle w:val="Text1"/>
        <w:rPr>
          <w:noProof/>
        </w:rPr>
      </w:pPr>
      <w:r w:rsidRPr="00C754CA">
        <w:rPr>
          <w:rFonts w:ascii="Segoe UI Symbol" w:hAnsi="Segoe UI Symbol"/>
          <w:noProof/>
          <w:color w:val="001E62"/>
        </w:rPr>
        <w:t>☑</w:t>
      </w:r>
      <w:r w:rsidRPr="00C754CA">
        <w:rPr>
          <w:b/>
          <w:i/>
          <w:noProof/>
        </w:rPr>
        <w:t xml:space="preserve"> </w:t>
      </w:r>
      <w:r w:rsidRPr="00C754CA">
        <w:rPr>
          <w:b/>
          <w:bCs/>
          <w:noProof/>
        </w:rPr>
        <w:t>Befristete Laufzeit</w:t>
      </w:r>
      <w:r w:rsidRPr="00C754CA">
        <w:rPr>
          <w:b/>
          <w:noProof/>
        </w:rPr>
        <w:t xml:space="preserve"> </w:t>
      </w:r>
    </w:p>
    <w:p w14:paraId="0A73C9F5" w14:textId="616F18CC" w:rsidR="00A56747" w:rsidRPr="00C754CA" w:rsidRDefault="00A56747" w:rsidP="00A56747">
      <w:pPr>
        <w:pStyle w:val="ListDash2"/>
        <w:rPr>
          <w:noProof/>
        </w:rPr>
      </w:pPr>
      <w:r w:rsidRPr="00C754CA">
        <w:rPr>
          <w:rFonts w:ascii="Segoe UI Symbol" w:hAnsi="Segoe UI Symbol"/>
          <w:noProof/>
          <w:color w:val="001E62"/>
        </w:rPr>
        <w:t>☑</w:t>
      </w:r>
      <w:r w:rsidRPr="00C754CA">
        <w:rPr>
          <w:noProof/>
        </w:rPr>
        <w:tab/>
        <w:t xml:space="preserve">Finanzielle Auswirkungen von </w:t>
      </w:r>
      <w:r w:rsidRPr="00E2773D">
        <w:rPr>
          <w:noProof/>
        </w:rPr>
        <w:t>2026</w:t>
      </w:r>
      <w:r w:rsidRPr="00C754CA">
        <w:rPr>
          <w:noProof/>
        </w:rPr>
        <w:t xml:space="preserve"> bis </w:t>
      </w:r>
      <w:r w:rsidRPr="00E2773D">
        <w:rPr>
          <w:noProof/>
        </w:rPr>
        <w:t>2029</w:t>
      </w:r>
      <w:r w:rsidRPr="00C754CA">
        <w:rPr>
          <w:noProof/>
        </w:rPr>
        <w:t xml:space="preserve"> auf die Mittel für Zahlungen. Keine Auswirkungen auf die Mittel für Verpflichtungen. </w:t>
      </w:r>
    </w:p>
    <w:p w14:paraId="171770D5" w14:textId="287F6AD8" w:rsidR="00A56747" w:rsidRPr="00C754CA" w:rsidRDefault="00A56747" w:rsidP="00A56747">
      <w:pPr>
        <w:pStyle w:val="ManualHeading2"/>
        <w:rPr>
          <w:bCs/>
          <w:noProof/>
          <w:szCs w:val="24"/>
        </w:rPr>
      </w:pPr>
      <w:bookmarkStart w:id="141" w:name="_Toc514938040"/>
      <w:bookmarkStart w:id="142" w:name="_Toc520485041"/>
      <w:bookmarkStart w:id="143" w:name="_Toc160804583"/>
      <w:bookmarkStart w:id="144" w:name="_Toc167220275"/>
      <w:bookmarkStart w:id="145" w:name="_Toc177549008"/>
      <w:r w:rsidRPr="00E2773D">
        <w:rPr>
          <w:noProof/>
        </w:rPr>
        <w:t>1</w:t>
      </w:r>
      <w:r w:rsidRPr="00C754CA">
        <w:rPr>
          <w:noProof/>
        </w:rPr>
        <w:t>.</w:t>
      </w:r>
      <w:r w:rsidRPr="00E2773D">
        <w:rPr>
          <w:noProof/>
        </w:rPr>
        <w:t>7</w:t>
      </w:r>
      <w:r w:rsidRPr="00C754CA">
        <w:rPr>
          <w:noProof/>
        </w:rPr>
        <w:tab/>
        <w:t>Vorgeschlagene Haushaltsvollzugsart(en)</w:t>
      </w:r>
      <w:r w:rsidRPr="00C754CA">
        <w:rPr>
          <w:rStyle w:val="FootnoteReference"/>
          <w:noProof/>
        </w:rPr>
        <w:footnoteReference w:id="10"/>
      </w:r>
      <w:bookmarkEnd w:id="141"/>
      <w:bookmarkEnd w:id="142"/>
      <w:bookmarkEnd w:id="143"/>
      <w:bookmarkEnd w:id="144"/>
      <w:bookmarkEnd w:id="145"/>
      <w:r w:rsidRPr="00C754CA">
        <w:rPr>
          <w:rStyle w:val="FootnoteReference"/>
          <w:noProof/>
        </w:rPr>
        <w:t xml:space="preserve"> </w:t>
      </w:r>
    </w:p>
    <w:p w14:paraId="79505106" w14:textId="77777777" w:rsidR="00A56747" w:rsidRPr="00C754CA" w:rsidRDefault="00A56747" w:rsidP="00A56747">
      <w:pPr>
        <w:pStyle w:val="Text1"/>
        <w:rPr>
          <w:noProof/>
        </w:rPr>
      </w:pPr>
      <w:r w:rsidRPr="00C754CA">
        <w:rPr>
          <w:rFonts w:ascii="Segoe UI Symbol" w:hAnsi="Segoe UI Symbol"/>
          <w:noProof/>
          <w:color w:val="001E62"/>
        </w:rPr>
        <w:t>☑</w:t>
      </w:r>
      <w:r w:rsidRPr="00C754CA">
        <w:rPr>
          <w:b/>
          <w:i/>
          <w:noProof/>
        </w:rPr>
        <w:t xml:space="preserve"> </w:t>
      </w:r>
      <w:r w:rsidRPr="00C754CA">
        <w:rPr>
          <w:b/>
          <w:noProof/>
        </w:rPr>
        <w:t>Geteilte Mittelverwaltung</w:t>
      </w:r>
      <w:r w:rsidRPr="00C754CA">
        <w:rPr>
          <w:noProof/>
        </w:rPr>
        <w:t xml:space="preserve"> mit Mitgliedstaaten </w:t>
      </w:r>
    </w:p>
    <w:p w14:paraId="1941557C" w14:textId="77777777" w:rsidR="00A56747" w:rsidRPr="00C754CA" w:rsidRDefault="00A56747" w:rsidP="00A56747">
      <w:pPr>
        <w:pStyle w:val="ManualHeading1"/>
        <w:rPr>
          <w:bCs/>
          <w:noProof/>
          <w:szCs w:val="24"/>
        </w:rPr>
      </w:pPr>
      <w:bookmarkStart w:id="146" w:name="_Toc514938041"/>
      <w:bookmarkStart w:id="147" w:name="_Toc520485042"/>
      <w:bookmarkStart w:id="148" w:name="_Toc160804584"/>
      <w:bookmarkStart w:id="149" w:name="_Toc167220276"/>
      <w:bookmarkStart w:id="150" w:name="_Toc177549009"/>
      <w:r w:rsidRPr="00E2773D">
        <w:rPr>
          <w:noProof/>
        </w:rPr>
        <w:t>2</w:t>
      </w:r>
      <w:r w:rsidRPr="00C754CA">
        <w:rPr>
          <w:noProof/>
        </w:rPr>
        <w:tab/>
        <w:t>VERWALTUNGSMAẞNAHMEN</w:t>
      </w:r>
      <w:bookmarkEnd w:id="146"/>
      <w:bookmarkEnd w:id="147"/>
      <w:bookmarkEnd w:id="148"/>
      <w:bookmarkEnd w:id="149"/>
      <w:bookmarkEnd w:id="150"/>
      <w:r w:rsidRPr="00C754CA">
        <w:rPr>
          <w:noProof/>
        </w:rPr>
        <w:t xml:space="preserve"> </w:t>
      </w:r>
    </w:p>
    <w:p w14:paraId="7A7924B9" w14:textId="77777777" w:rsidR="00A56747" w:rsidRPr="00C754CA" w:rsidRDefault="00A56747" w:rsidP="00A56747">
      <w:pPr>
        <w:pStyle w:val="ManualHeading2"/>
        <w:rPr>
          <w:noProof/>
        </w:rPr>
      </w:pPr>
      <w:bookmarkStart w:id="151" w:name="_Toc514938042"/>
      <w:bookmarkStart w:id="152" w:name="_Toc520485043"/>
      <w:bookmarkStart w:id="153" w:name="_Toc160804585"/>
      <w:bookmarkStart w:id="154" w:name="_Toc167220277"/>
      <w:bookmarkStart w:id="155" w:name="_Toc177549010"/>
      <w:r w:rsidRPr="00E2773D">
        <w:rPr>
          <w:noProof/>
        </w:rPr>
        <w:t>2</w:t>
      </w:r>
      <w:r w:rsidRPr="00C754CA">
        <w:rPr>
          <w:noProof/>
        </w:rPr>
        <w:t>.</w:t>
      </w:r>
      <w:r w:rsidRPr="00E2773D">
        <w:rPr>
          <w:noProof/>
        </w:rPr>
        <w:t>1</w:t>
      </w:r>
      <w:r w:rsidRPr="00C754CA">
        <w:rPr>
          <w:noProof/>
        </w:rPr>
        <w:tab/>
        <w:t>Überwachung und Berichterstattung</w:t>
      </w:r>
      <w:bookmarkEnd w:id="151"/>
      <w:bookmarkEnd w:id="152"/>
      <w:bookmarkEnd w:id="153"/>
      <w:bookmarkEnd w:id="154"/>
      <w:bookmarkEnd w:id="155"/>
      <w:r w:rsidRPr="00C754CA">
        <w:rPr>
          <w:noProof/>
        </w:rPr>
        <w:t xml:space="preserve"> </w:t>
      </w:r>
    </w:p>
    <w:p w14:paraId="1482D3A2" w14:textId="77777777" w:rsidR="00A56747" w:rsidRPr="00C754CA" w:rsidRDefault="00A56747" w:rsidP="00A56747">
      <w:pPr>
        <w:pStyle w:val="Text1"/>
        <w:rPr>
          <w:noProof/>
        </w:rPr>
      </w:pPr>
      <w:r w:rsidRPr="00C754CA">
        <w:rPr>
          <w:noProof/>
        </w:rPr>
        <w:t xml:space="preserve">Die in der Verordnung (EU) </w:t>
      </w:r>
      <w:r w:rsidRPr="00E2773D">
        <w:rPr>
          <w:noProof/>
        </w:rPr>
        <w:t>2021</w:t>
      </w:r>
      <w:r w:rsidRPr="00C754CA">
        <w:rPr>
          <w:noProof/>
        </w:rPr>
        <w:t>/</w:t>
      </w:r>
      <w:r w:rsidRPr="00E2773D">
        <w:rPr>
          <w:noProof/>
        </w:rPr>
        <w:t>1060</w:t>
      </w:r>
      <w:r w:rsidRPr="00C754CA">
        <w:rPr>
          <w:noProof/>
        </w:rPr>
        <w:t xml:space="preserve"> festgelegten Überwachungs- und Berichterstattungsvorschriften bleiben uneingeschränkt anwendbar: </w:t>
      </w:r>
    </w:p>
    <w:p w14:paraId="79FD9C3B" w14:textId="77777777" w:rsidR="00A56747" w:rsidRPr="00C754CA" w:rsidRDefault="00A56747" w:rsidP="00B33FAF">
      <w:pPr>
        <w:pStyle w:val="Text1"/>
        <w:rPr>
          <w:noProof/>
        </w:rPr>
      </w:pPr>
      <w:r w:rsidRPr="00C754CA">
        <w:rPr>
          <w:noProof/>
        </w:rPr>
        <w:t xml:space="preserve">Programmbegleitausschuss: mindestens einmal jährlich </w:t>
      </w:r>
    </w:p>
    <w:p w14:paraId="115F6DFC" w14:textId="77777777" w:rsidR="00A56747" w:rsidRPr="00C754CA" w:rsidRDefault="00A56747" w:rsidP="00B33FAF">
      <w:pPr>
        <w:pStyle w:val="Text1"/>
        <w:rPr>
          <w:noProof/>
        </w:rPr>
      </w:pPr>
      <w:r w:rsidRPr="00C754CA">
        <w:rPr>
          <w:noProof/>
        </w:rPr>
        <w:t xml:space="preserve">Jährliche Sitzungen zur Leistungsüberprüfung zwischen dem Mitgliedstaat und der Kommission </w:t>
      </w:r>
    </w:p>
    <w:p w14:paraId="150B1B6A" w14:textId="77777777" w:rsidR="00A56747" w:rsidRPr="00C754CA" w:rsidRDefault="00A56747" w:rsidP="00B33FAF">
      <w:pPr>
        <w:pStyle w:val="Text1"/>
        <w:rPr>
          <w:noProof/>
        </w:rPr>
      </w:pPr>
      <w:r w:rsidRPr="00C754CA">
        <w:rPr>
          <w:noProof/>
        </w:rPr>
        <w:t xml:space="preserve">Datenübermittlung je Programm: fünfmal pro Jahr </w:t>
      </w:r>
    </w:p>
    <w:p w14:paraId="66277431" w14:textId="77777777" w:rsidR="00A56747" w:rsidRPr="00C754CA" w:rsidRDefault="00A56747" w:rsidP="00B33FAF">
      <w:pPr>
        <w:pStyle w:val="Text1"/>
        <w:rPr>
          <w:noProof/>
        </w:rPr>
      </w:pPr>
      <w:r w:rsidRPr="00C754CA">
        <w:rPr>
          <w:noProof/>
        </w:rPr>
        <w:t>Jährlicher Kontroll- (Prüf-)bericht.</w:t>
      </w:r>
    </w:p>
    <w:p w14:paraId="12A16EF8" w14:textId="77777777" w:rsidR="00A56747" w:rsidRPr="00C754CA" w:rsidRDefault="00A56747" w:rsidP="00B33FAF">
      <w:pPr>
        <w:pStyle w:val="Text1"/>
        <w:rPr>
          <w:noProof/>
        </w:rPr>
      </w:pPr>
      <w:r w:rsidRPr="00C754CA">
        <w:rPr>
          <w:noProof/>
        </w:rPr>
        <w:t xml:space="preserve">Für jedes Programm ist bis zum </w:t>
      </w:r>
      <w:r w:rsidRPr="00E2773D">
        <w:rPr>
          <w:noProof/>
        </w:rPr>
        <w:t>15</w:t>
      </w:r>
      <w:r w:rsidRPr="00C754CA">
        <w:rPr>
          <w:noProof/>
        </w:rPr>
        <w:t xml:space="preserve">. Februar </w:t>
      </w:r>
      <w:r w:rsidRPr="00E2773D">
        <w:rPr>
          <w:noProof/>
        </w:rPr>
        <w:t>2031</w:t>
      </w:r>
      <w:r w:rsidRPr="00C754CA">
        <w:rPr>
          <w:noProof/>
        </w:rPr>
        <w:t xml:space="preserve"> ein abschließender Leistungsbericht vorzulegen.</w:t>
      </w:r>
    </w:p>
    <w:p w14:paraId="562ADA89" w14:textId="77777777" w:rsidR="00A56747" w:rsidRPr="00C754CA" w:rsidRDefault="00A56747" w:rsidP="00A56747">
      <w:pPr>
        <w:pStyle w:val="ManualHeading2"/>
        <w:rPr>
          <w:bCs/>
          <w:noProof/>
          <w:szCs w:val="24"/>
        </w:rPr>
      </w:pPr>
      <w:bookmarkStart w:id="156" w:name="_Toc514938045"/>
      <w:bookmarkStart w:id="157" w:name="_Toc520485044"/>
      <w:bookmarkStart w:id="158" w:name="_Toc160804586"/>
      <w:bookmarkStart w:id="159" w:name="_Toc167220278"/>
      <w:bookmarkStart w:id="160" w:name="_Toc177549011"/>
      <w:r w:rsidRPr="00E2773D">
        <w:rPr>
          <w:noProof/>
        </w:rPr>
        <w:t>2</w:t>
      </w:r>
      <w:r w:rsidRPr="00C754CA">
        <w:rPr>
          <w:noProof/>
        </w:rPr>
        <w:t>.</w:t>
      </w:r>
      <w:r w:rsidRPr="00E2773D">
        <w:rPr>
          <w:noProof/>
        </w:rPr>
        <w:t>2</w:t>
      </w:r>
      <w:r w:rsidRPr="00C754CA">
        <w:rPr>
          <w:noProof/>
        </w:rPr>
        <w:tab/>
        <w:t>Verwaltungs- und Kontrollsystem(e)</w:t>
      </w:r>
      <w:bookmarkEnd w:id="156"/>
      <w:bookmarkEnd w:id="157"/>
      <w:bookmarkEnd w:id="158"/>
      <w:bookmarkEnd w:id="159"/>
      <w:bookmarkEnd w:id="160"/>
      <w:r w:rsidRPr="00C754CA">
        <w:rPr>
          <w:noProof/>
        </w:rPr>
        <w:t xml:space="preserve"> </w:t>
      </w:r>
    </w:p>
    <w:p w14:paraId="450EADAF" w14:textId="77777777" w:rsidR="00A56747" w:rsidRPr="00C754CA" w:rsidRDefault="00A56747" w:rsidP="00A56747">
      <w:pPr>
        <w:pStyle w:val="ManualHeading3"/>
        <w:rPr>
          <w:noProof/>
        </w:rPr>
      </w:pPr>
      <w:bookmarkStart w:id="161" w:name="_Toc514938046"/>
      <w:bookmarkStart w:id="162" w:name="_Toc520485045"/>
      <w:bookmarkStart w:id="163" w:name="_Toc160804587"/>
      <w:bookmarkStart w:id="164" w:name="_Toc167220279"/>
      <w:bookmarkStart w:id="165" w:name="_Toc177549012"/>
      <w:r w:rsidRPr="00E2773D">
        <w:rPr>
          <w:noProof/>
        </w:rPr>
        <w:t>2</w:t>
      </w:r>
      <w:r w:rsidRPr="00C754CA">
        <w:rPr>
          <w:noProof/>
        </w:rPr>
        <w:t>.</w:t>
      </w:r>
      <w:r w:rsidRPr="00E2773D">
        <w:rPr>
          <w:noProof/>
        </w:rPr>
        <w:t>2</w:t>
      </w:r>
      <w:r w:rsidRPr="00C754CA">
        <w:rPr>
          <w:noProof/>
        </w:rPr>
        <w:t>.</w:t>
      </w:r>
      <w:r w:rsidRPr="00E2773D">
        <w:rPr>
          <w:noProof/>
        </w:rPr>
        <w:t>1</w:t>
      </w:r>
      <w:r w:rsidRPr="00C754CA">
        <w:rPr>
          <w:noProof/>
        </w:rPr>
        <w:tab/>
        <w:t>Begründung der Haushaltsvollzugsart(en), des Durchführungsmechanismus/der Durchführungsmechanismen für die Finanzierung, der Zahlungsmodalitäten und der Kontrollstrategie, wie vorgeschlagen</w:t>
      </w:r>
      <w:bookmarkEnd w:id="161"/>
      <w:bookmarkEnd w:id="162"/>
      <w:bookmarkEnd w:id="163"/>
      <w:bookmarkEnd w:id="164"/>
      <w:bookmarkEnd w:id="165"/>
    </w:p>
    <w:p w14:paraId="5F29EC56"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 xml:space="preserve">Der Änderungsvorschlag hat weder Auswirkungen auf die bestehende Form der Mittelverwaltung – geteilte Mittelverwaltung – noch auf die Durchführungsmechanismen, die Zahlungsmodalitäten oder die Kontrollstrategien gemäß der Verordnung (EU) </w:t>
      </w:r>
      <w:r w:rsidRPr="00E2773D">
        <w:rPr>
          <w:noProof/>
        </w:rPr>
        <w:t>2021</w:t>
      </w:r>
      <w:r w:rsidRPr="00C754CA">
        <w:rPr>
          <w:noProof/>
        </w:rPr>
        <w:t>/</w:t>
      </w:r>
      <w:r w:rsidRPr="00E2773D">
        <w:rPr>
          <w:noProof/>
        </w:rPr>
        <w:t>1060</w:t>
      </w:r>
      <w:r w:rsidRPr="00C754CA">
        <w:rPr>
          <w:noProof/>
        </w:rPr>
        <w:t>.</w:t>
      </w:r>
    </w:p>
    <w:p w14:paraId="665C904F" w14:textId="77777777" w:rsidR="00A56747" w:rsidRPr="00C754CA" w:rsidRDefault="00A56747" w:rsidP="00A56747">
      <w:pPr>
        <w:pStyle w:val="ManualHeading3"/>
        <w:rPr>
          <w:bCs/>
          <w:noProof/>
          <w:szCs w:val="24"/>
        </w:rPr>
      </w:pPr>
      <w:bookmarkStart w:id="166" w:name="_Toc514938047"/>
      <w:bookmarkStart w:id="167" w:name="_Toc520485046"/>
      <w:bookmarkStart w:id="168" w:name="_Toc160804588"/>
      <w:bookmarkStart w:id="169" w:name="_Toc167220280"/>
      <w:bookmarkStart w:id="170" w:name="_Toc177549013"/>
      <w:r w:rsidRPr="00E2773D">
        <w:rPr>
          <w:noProof/>
        </w:rPr>
        <w:t>2</w:t>
      </w:r>
      <w:r w:rsidRPr="00C754CA">
        <w:rPr>
          <w:noProof/>
        </w:rPr>
        <w:t>.</w:t>
      </w:r>
      <w:r w:rsidRPr="00E2773D">
        <w:rPr>
          <w:noProof/>
        </w:rPr>
        <w:t>2</w:t>
      </w:r>
      <w:r w:rsidRPr="00C754CA">
        <w:rPr>
          <w:noProof/>
        </w:rPr>
        <w:t>.</w:t>
      </w:r>
      <w:r w:rsidRPr="00E2773D">
        <w:rPr>
          <w:noProof/>
        </w:rPr>
        <w:t>2</w:t>
      </w:r>
      <w:r w:rsidRPr="00C754CA">
        <w:rPr>
          <w:noProof/>
        </w:rPr>
        <w:tab/>
        <w:t>Angaben zu den ermittelten Risiken und dem/den zu deren Eindämmung eingerichteten System(en) der internen Kontrolle</w:t>
      </w:r>
      <w:bookmarkEnd w:id="166"/>
      <w:bookmarkEnd w:id="167"/>
      <w:bookmarkEnd w:id="168"/>
      <w:bookmarkEnd w:id="169"/>
      <w:bookmarkEnd w:id="170"/>
    </w:p>
    <w:p w14:paraId="08190437"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Es wurden keine besonderen Risiken festgestellt. Der Änderungsvorschlag bewirkt keine strukturelle Veränderung der Risikomanagement- und Kontrollstrategie der kohäsionspolitischen Programme, die für die geplanten Investitionen als angemessen erachtet wird.</w:t>
      </w:r>
    </w:p>
    <w:p w14:paraId="42C35978" w14:textId="77777777" w:rsidR="00A56747" w:rsidRPr="00C754CA" w:rsidRDefault="00A56747" w:rsidP="00A56747">
      <w:pPr>
        <w:pStyle w:val="ManualHeading3"/>
        <w:rPr>
          <w:noProof/>
        </w:rPr>
      </w:pPr>
      <w:bookmarkStart w:id="171" w:name="_Toc514938048"/>
      <w:bookmarkStart w:id="172" w:name="_Toc520485047"/>
      <w:bookmarkStart w:id="173" w:name="_Toc160804589"/>
      <w:bookmarkStart w:id="174" w:name="_Toc167220281"/>
      <w:bookmarkStart w:id="175" w:name="_Toc177549014"/>
      <w:r w:rsidRPr="00E2773D">
        <w:rPr>
          <w:noProof/>
        </w:rPr>
        <w:t>2</w:t>
      </w:r>
      <w:r w:rsidRPr="00C754CA">
        <w:rPr>
          <w:noProof/>
        </w:rPr>
        <w:t>.</w:t>
      </w:r>
      <w:r w:rsidRPr="00E2773D">
        <w:rPr>
          <w:noProof/>
        </w:rPr>
        <w:t>2</w:t>
      </w:r>
      <w:r w:rsidRPr="00C754CA">
        <w:rPr>
          <w:noProof/>
        </w:rPr>
        <w:t>.</w:t>
      </w:r>
      <w:r w:rsidRPr="00E2773D">
        <w:rPr>
          <w:noProof/>
        </w:rPr>
        <w:t>3</w:t>
      </w:r>
      <w:r w:rsidRPr="00C754CA">
        <w:rPr>
          <w:noProof/>
        </w:rPr>
        <w:tab/>
        <w:t>Schätzung und Begründung der Kosteneffizienz der Kontrollen (Verhältnis zwischen den Kontrollkosten und dem Wert der betreffenden verwalteten Mittel) sowie Bewertung des erwarteten Ausmaßes des Fehlerrisikos (bei Zahlung und beim Abschluss)</w:t>
      </w:r>
      <w:bookmarkEnd w:id="171"/>
      <w:bookmarkEnd w:id="172"/>
      <w:bookmarkEnd w:id="173"/>
      <w:bookmarkEnd w:id="174"/>
      <w:bookmarkEnd w:id="175"/>
      <w:r w:rsidRPr="00C754CA">
        <w:rPr>
          <w:noProof/>
        </w:rPr>
        <w:t xml:space="preserve"> </w:t>
      </w:r>
    </w:p>
    <w:p w14:paraId="5B4C1FDE"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Der Kontrollrahmen der Kohäsionspolitik bleibt unverändert und gilt weiterhin uneingeschränkt. Dieser wurde zum Schutz der finanziellen Interessen der EU konzipiert und über mehrere Programmplanungszeiträume hinweg angepasst, um den Empfehlungen des EuRH und des OLAF Rechnung zu tragen.</w:t>
      </w:r>
    </w:p>
    <w:p w14:paraId="126F683C" w14:textId="77777777" w:rsidR="00A56747" w:rsidRPr="00C754CA" w:rsidRDefault="00A56747" w:rsidP="00A56747">
      <w:pPr>
        <w:pStyle w:val="ManualHeading2"/>
        <w:rPr>
          <w:noProof/>
        </w:rPr>
      </w:pPr>
      <w:bookmarkStart w:id="176" w:name="_Toc514938049"/>
      <w:bookmarkStart w:id="177" w:name="_Toc520485048"/>
      <w:bookmarkStart w:id="178" w:name="_Toc160804590"/>
      <w:bookmarkStart w:id="179" w:name="_Toc167220282"/>
      <w:bookmarkStart w:id="180" w:name="_Toc177549015"/>
      <w:r w:rsidRPr="00E2773D">
        <w:rPr>
          <w:noProof/>
        </w:rPr>
        <w:t>2</w:t>
      </w:r>
      <w:r w:rsidRPr="00C754CA">
        <w:rPr>
          <w:noProof/>
        </w:rPr>
        <w:t>.</w:t>
      </w:r>
      <w:r w:rsidRPr="00E2773D">
        <w:rPr>
          <w:noProof/>
        </w:rPr>
        <w:t>3</w:t>
      </w:r>
      <w:r w:rsidRPr="00C754CA">
        <w:rPr>
          <w:noProof/>
        </w:rPr>
        <w:tab/>
        <w:t>Prävention von Betrug und Unregelmäßigkeiten</w:t>
      </w:r>
      <w:bookmarkEnd w:id="176"/>
      <w:bookmarkEnd w:id="177"/>
      <w:bookmarkEnd w:id="178"/>
      <w:bookmarkEnd w:id="179"/>
      <w:bookmarkEnd w:id="180"/>
      <w:r w:rsidRPr="00C754CA">
        <w:rPr>
          <w:noProof/>
        </w:rPr>
        <w:t xml:space="preserve"> </w:t>
      </w:r>
    </w:p>
    <w:p w14:paraId="56FE7E71"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r w:rsidRPr="00C754CA">
        <w:rPr>
          <w:noProof/>
        </w:rPr>
        <w:t>Die Mitgliedstaaten müssen den bestehenden Kontrollrahmen der Kohäsionspolitik einhalten und über ein Verwaltungs- und Kontrollsystem verfügen, das die Verhinderung, Aufdeckung und Berichtigung von Unregelmäßigkeiten, einschließlich Betrug, ermöglicht.</w:t>
      </w:r>
    </w:p>
    <w:p w14:paraId="7C459B2D" w14:textId="77777777" w:rsidR="00A56747" w:rsidRPr="00C754CA" w:rsidRDefault="00A56747" w:rsidP="00A56747">
      <w:pPr>
        <w:rPr>
          <w:noProof/>
        </w:rPr>
        <w:sectPr w:rsidR="00A56747" w:rsidRPr="00C754CA" w:rsidSect="008E2EBB">
          <w:pgSz w:w="11907" w:h="16840" w:code="9"/>
          <w:pgMar w:top="1134" w:right="1418" w:bottom="1134" w:left="1418" w:header="709" w:footer="709" w:gutter="0"/>
          <w:cols w:space="708"/>
          <w:docGrid w:linePitch="360"/>
        </w:sectPr>
      </w:pPr>
    </w:p>
    <w:p w14:paraId="155EFD4B" w14:textId="77777777" w:rsidR="00A56747" w:rsidRPr="00C754CA" w:rsidRDefault="00A56747" w:rsidP="00A56747">
      <w:pPr>
        <w:pStyle w:val="ManualHeading1"/>
        <w:rPr>
          <w:bCs/>
          <w:noProof/>
          <w:szCs w:val="24"/>
        </w:rPr>
      </w:pPr>
      <w:bookmarkStart w:id="181" w:name="_Toc514938050"/>
      <w:bookmarkStart w:id="182" w:name="_Toc520485049"/>
      <w:bookmarkStart w:id="183" w:name="_Toc160804591"/>
      <w:bookmarkStart w:id="184" w:name="_Toc167220283"/>
      <w:bookmarkStart w:id="185" w:name="_Toc177549016"/>
      <w:r w:rsidRPr="00E2773D">
        <w:rPr>
          <w:noProof/>
        </w:rPr>
        <w:t>3</w:t>
      </w:r>
      <w:r w:rsidRPr="00C754CA">
        <w:rPr>
          <w:noProof/>
        </w:rPr>
        <w:tab/>
        <w:t>GESCHÄTZTE FINANZIELLE AUSWIRKUNGEN DES VORSCHLAGS/DER INITIATIVE</w:t>
      </w:r>
      <w:bookmarkEnd w:id="181"/>
      <w:bookmarkEnd w:id="182"/>
      <w:bookmarkEnd w:id="183"/>
      <w:bookmarkEnd w:id="184"/>
      <w:bookmarkEnd w:id="185"/>
      <w:r w:rsidRPr="00C754CA">
        <w:rPr>
          <w:noProof/>
        </w:rPr>
        <w:t xml:space="preserve"> </w:t>
      </w:r>
    </w:p>
    <w:p w14:paraId="7827E81B" w14:textId="77777777" w:rsidR="00A56747" w:rsidRPr="00C754CA" w:rsidRDefault="00A56747" w:rsidP="00A56747">
      <w:pPr>
        <w:pStyle w:val="ManualHeading2"/>
        <w:rPr>
          <w:noProof/>
        </w:rPr>
      </w:pPr>
      <w:bookmarkStart w:id="186" w:name="_Toc514938051"/>
      <w:bookmarkStart w:id="187" w:name="_Toc520485050"/>
      <w:bookmarkStart w:id="188" w:name="_Toc160804592"/>
      <w:bookmarkStart w:id="189" w:name="_Toc167220284"/>
      <w:bookmarkStart w:id="190" w:name="_Toc177549017"/>
      <w:r w:rsidRPr="00E2773D">
        <w:rPr>
          <w:noProof/>
        </w:rPr>
        <w:t>3</w:t>
      </w:r>
      <w:r w:rsidRPr="00C754CA">
        <w:rPr>
          <w:noProof/>
        </w:rPr>
        <w:t>.</w:t>
      </w:r>
      <w:r w:rsidRPr="00E2773D">
        <w:rPr>
          <w:noProof/>
        </w:rPr>
        <w:t>1</w:t>
      </w:r>
      <w:r w:rsidRPr="00C754CA">
        <w:rPr>
          <w:noProof/>
        </w:rPr>
        <w:tab/>
        <w:t>Betroffene Rubrik(en) des Mehrjährigen Finanzrahmens und Ausgabenlinie(n) im Haushaltsplan</w:t>
      </w:r>
      <w:bookmarkEnd w:id="186"/>
      <w:bookmarkEnd w:id="187"/>
      <w:bookmarkEnd w:id="188"/>
      <w:bookmarkEnd w:id="189"/>
      <w:bookmarkEnd w:id="190"/>
      <w:r w:rsidRPr="00C754CA">
        <w:rPr>
          <w:noProof/>
        </w:rPr>
        <w:t xml:space="preserve"> </w:t>
      </w:r>
    </w:p>
    <w:p w14:paraId="2E00470D" w14:textId="77777777" w:rsidR="00A56747" w:rsidRPr="00C754CA" w:rsidRDefault="00A56747" w:rsidP="00A56747">
      <w:pPr>
        <w:pStyle w:val="ListBullet1"/>
        <w:rPr>
          <w:noProof/>
        </w:rPr>
      </w:pPr>
      <w:r w:rsidRPr="00C754CA">
        <w:rPr>
          <w:noProof/>
        </w:rPr>
        <w:t xml:space="preserve">Bestehende Haushaltslinien </w:t>
      </w:r>
    </w:p>
    <w:p w14:paraId="5BB27F49" w14:textId="77777777" w:rsidR="00A56747" w:rsidRPr="00C754CA" w:rsidRDefault="00A56747" w:rsidP="00A56747">
      <w:pPr>
        <w:pStyle w:val="Text1"/>
        <w:rPr>
          <w:i/>
          <w:noProof/>
        </w:rPr>
      </w:pPr>
      <w:r w:rsidRPr="00C754CA">
        <w:rPr>
          <w:i/>
          <w:noProof/>
          <w:u w:val="single"/>
        </w:rPr>
        <w:t>In der Reihenfolge</w:t>
      </w:r>
      <w:r w:rsidRPr="00C754CA">
        <w:rPr>
          <w:i/>
          <w:noProof/>
        </w:rPr>
        <w:t xml:space="preserve"> der Rubriken des Mehrjährigen Finanzrahmens und der Haushaltslinien.</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A56747" w:rsidRPr="00C754CA" w14:paraId="5B736EA2" w14:textId="77777777" w:rsidTr="00FF1EF4">
        <w:trPr>
          <w:jc w:val="center"/>
        </w:trPr>
        <w:tc>
          <w:tcPr>
            <w:tcW w:w="1092" w:type="dxa"/>
            <w:vMerge w:val="restart"/>
            <w:vAlign w:val="center"/>
          </w:tcPr>
          <w:p w14:paraId="69C9EAE2" w14:textId="77777777" w:rsidR="00A56747" w:rsidRPr="00C754CA" w:rsidRDefault="00A56747" w:rsidP="004B53CC">
            <w:pPr>
              <w:spacing w:before="60" w:after="60"/>
              <w:jc w:val="center"/>
              <w:rPr>
                <w:noProof/>
              </w:rPr>
            </w:pPr>
            <w:r w:rsidRPr="00C754CA">
              <w:rPr>
                <w:noProof/>
                <w:sz w:val="18"/>
              </w:rPr>
              <w:t>Rubrik des Mehrjährigen Finanzrahmens</w:t>
            </w:r>
          </w:p>
        </w:tc>
        <w:tc>
          <w:tcPr>
            <w:tcW w:w="4002" w:type="dxa"/>
            <w:vAlign w:val="center"/>
          </w:tcPr>
          <w:p w14:paraId="0244D85E" w14:textId="77777777" w:rsidR="00A56747" w:rsidRPr="00C754CA" w:rsidRDefault="00A56747" w:rsidP="004B53CC">
            <w:pPr>
              <w:spacing w:before="60" w:after="60"/>
              <w:jc w:val="center"/>
              <w:rPr>
                <w:noProof/>
              </w:rPr>
            </w:pPr>
            <w:r w:rsidRPr="00C754CA">
              <w:rPr>
                <w:noProof/>
                <w:sz w:val="20"/>
              </w:rPr>
              <w:t>Haushaltslinie</w:t>
            </w:r>
          </w:p>
        </w:tc>
        <w:tc>
          <w:tcPr>
            <w:tcW w:w="1092" w:type="dxa"/>
            <w:vAlign w:val="center"/>
          </w:tcPr>
          <w:p w14:paraId="262D2FB8" w14:textId="77777777" w:rsidR="00A56747" w:rsidRPr="00C754CA" w:rsidRDefault="00A56747" w:rsidP="004B53CC">
            <w:pPr>
              <w:spacing w:before="60" w:after="60"/>
              <w:jc w:val="center"/>
              <w:rPr>
                <w:noProof/>
              </w:rPr>
            </w:pPr>
            <w:r w:rsidRPr="00C754CA">
              <w:rPr>
                <w:noProof/>
                <w:sz w:val="18"/>
              </w:rPr>
              <w:t>Art der Ausgaben</w:t>
            </w:r>
          </w:p>
        </w:tc>
        <w:tc>
          <w:tcPr>
            <w:tcW w:w="4487" w:type="dxa"/>
            <w:gridSpan w:val="4"/>
            <w:vAlign w:val="center"/>
          </w:tcPr>
          <w:p w14:paraId="2E8C67B6" w14:textId="77777777" w:rsidR="00A56747" w:rsidRPr="00C754CA" w:rsidRDefault="00A56747" w:rsidP="004B53CC">
            <w:pPr>
              <w:spacing w:before="60" w:after="60"/>
              <w:jc w:val="center"/>
              <w:rPr>
                <w:noProof/>
              </w:rPr>
            </w:pPr>
            <w:r w:rsidRPr="00C754CA">
              <w:rPr>
                <w:noProof/>
                <w:sz w:val="20"/>
              </w:rPr>
              <w:t xml:space="preserve">Finanzierungsbeiträge </w:t>
            </w:r>
          </w:p>
        </w:tc>
      </w:tr>
      <w:tr w:rsidR="00A56747" w:rsidRPr="00C754CA" w14:paraId="385BD3D6" w14:textId="77777777" w:rsidTr="00FF1EF4">
        <w:trPr>
          <w:cantSplit/>
          <w:jc w:val="center"/>
        </w:trPr>
        <w:tc>
          <w:tcPr>
            <w:tcW w:w="1092" w:type="dxa"/>
            <w:vMerge/>
            <w:vAlign w:val="center"/>
          </w:tcPr>
          <w:p w14:paraId="76681B8F" w14:textId="77777777" w:rsidR="00A56747" w:rsidRPr="00C754CA" w:rsidRDefault="00A56747" w:rsidP="004B53CC">
            <w:pPr>
              <w:jc w:val="center"/>
              <w:rPr>
                <w:noProof/>
              </w:rPr>
            </w:pPr>
          </w:p>
        </w:tc>
        <w:tc>
          <w:tcPr>
            <w:tcW w:w="4002" w:type="dxa"/>
            <w:vAlign w:val="center"/>
          </w:tcPr>
          <w:p w14:paraId="12F62D92" w14:textId="77777777" w:rsidR="00A56747" w:rsidRPr="00C754CA" w:rsidRDefault="00A56747" w:rsidP="004B53CC">
            <w:pPr>
              <w:rPr>
                <w:noProof/>
              </w:rPr>
            </w:pPr>
            <w:r w:rsidRPr="00C754CA">
              <w:rPr>
                <w:noProof/>
                <w:sz w:val="20"/>
              </w:rPr>
              <w:t xml:space="preserve">Nummer </w:t>
            </w:r>
            <w:r w:rsidRPr="00C754CA">
              <w:rPr>
                <w:noProof/>
                <w:sz w:val="22"/>
              </w:rPr>
              <w:br/>
            </w:r>
          </w:p>
        </w:tc>
        <w:tc>
          <w:tcPr>
            <w:tcW w:w="1092" w:type="dxa"/>
            <w:vAlign w:val="center"/>
          </w:tcPr>
          <w:p w14:paraId="093EEDD1" w14:textId="77777777" w:rsidR="00A56747" w:rsidRPr="00C754CA" w:rsidRDefault="00A56747" w:rsidP="004B53CC">
            <w:pPr>
              <w:jc w:val="center"/>
              <w:rPr>
                <w:noProof/>
              </w:rPr>
            </w:pPr>
            <w:r w:rsidRPr="00C754CA">
              <w:rPr>
                <w:noProof/>
                <w:sz w:val="18"/>
              </w:rPr>
              <w:t>GM/NGM</w:t>
            </w:r>
            <w:r w:rsidRPr="00C754CA">
              <w:rPr>
                <w:rStyle w:val="FootnoteReference"/>
                <w:noProof/>
                <w:sz w:val="18"/>
                <w:szCs w:val="18"/>
              </w:rPr>
              <w:footnoteReference w:id="11"/>
            </w:r>
          </w:p>
        </w:tc>
        <w:tc>
          <w:tcPr>
            <w:tcW w:w="966" w:type="dxa"/>
            <w:vAlign w:val="center"/>
          </w:tcPr>
          <w:p w14:paraId="4E36321B" w14:textId="77777777" w:rsidR="00A56747" w:rsidRPr="00C754CA" w:rsidRDefault="00A56747" w:rsidP="004B53CC">
            <w:pPr>
              <w:jc w:val="center"/>
              <w:rPr>
                <w:b/>
                <w:noProof/>
                <w:sz w:val="18"/>
              </w:rPr>
            </w:pPr>
            <w:r w:rsidRPr="00C754CA">
              <w:rPr>
                <w:noProof/>
                <w:sz w:val="18"/>
              </w:rPr>
              <w:t>von EFTA-Ländern</w:t>
            </w:r>
            <w:r w:rsidRPr="00C754CA">
              <w:rPr>
                <w:rStyle w:val="FootnoteReference"/>
                <w:noProof/>
                <w:sz w:val="18"/>
                <w:szCs w:val="18"/>
              </w:rPr>
              <w:footnoteReference w:id="12"/>
            </w:r>
          </w:p>
        </w:tc>
        <w:tc>
          <w:tcPr>
            <w:tcW w:w="1092" w:type="dxa"/>
            <w:vAlign w:val="center"/>
          </w:tcPr>
          <w:p w14:paraId="102D2515" w14:textId="77777777" w:rsidR="00A56747" w:rsidRPr="00C754CA" w:rsidRDefault="00A56747" w:rsidP="004B53CC">
            <w:pPr>
              <w:jc w:val="center"/>
              <w:rPr>
                <w:noProof/>
                <w:sz w:val="18"/>
              </w:rPr>
            </w:pPr>
            <w:r w:rsidRPr="00C754CA">
              <w:rPr>
                <w:noProof/>
                <w:sz w:val="18"/>
              </w:rPr>
              <w:t>von Kandidatenländern und potenziellen Kandidaten</w:t>
            </w:r>
            <w:r w:rsidRPr="00C754CA">
              <w:rPr>
                <w:rStyle w:val="FootnoteReference"/>
                <w:noProof/>
                <w:sz w:val="18"/>
                <w:szCs w:val="18"/>
              </w:rPr>
              <w:footnoteReference w:id="13"/>
            </w:r>
          </w:p>
        </w:tc>
        <w:tc>
          <w:tcPr>
            <w:tcW w:w="966" w:type="dxa"/>
            <w:vAlign w:val="center"/>
          </w:tcPr>
          <w:p w14:paraId="2EF43FFE" w14:textId="77777777" w:rsidR="00A56747" w:rsidRPr="00C754CA" w:rsidRDefault="00A56747" w:rsidP="004B53CC">
            <w:pPr>
              <w:jc w:val="center"/>
              <w:rPr>
                <w:noProof/>
                <w:sz w:val="18"/>
              </w:rPr>
            </w:pPr>
            <w:r w:rsidRPr="00C754CA">
              <w:rPr>
                <w:noProof/>
                <w:sz w:val="18"/>
              </w:rPr>
              <w:t>von anderen Drittländern</w:t>
            </w:r>
          </w:p>
        </w:tc>
        <w:tc>
          <w:tcPr>
            <w:tcW w:w="1463" w:type="dxa"/>
            <w:vAlign w:val="center"/>
          </w:tcPr>
          <w:p w14:paraId="6B47B0F0" w14:textId="77777777" w:rsidR="00A56747" w:rsidRPr="00C754CA" w:rsidRDefault="00A56747" w:rsidP="004B53CC">
            <w:pPr>
              <w:jc w:val="center"/>
              <w:rPr>
                <w:noProof/>
              </w:rPr>
            </w:pPr>
            <w:r w:rsidRPr="00C754CA">
              <w:rPr>
                <w:noProof/>
                <w:sz w:val="18"/>
              </w:rPr>
              <w:t>andere zweckgebundene Einnahmen</w:t>
            </w:r>
          </w:p>
        </w:tc>
      </w:tr>
      <w:tr w:rsidR="00A56747" w:rsidRPr="00C754CA" w14:paraId="02DCD7F4" w14:textId="77777777" w:rsidTr="00FF1EF4">
        <w:trPr>
          <w:jc w:val="center"/>
        </w:trPr>
        <w:tc>
          <w:tcPr>
            <w:tcW w:w="1092" w:type="dxa"/>
            <w:vAlign w:val="center"/>
          </w:tcPr>
          <w:p w14:paraId="35DA7AE8" w14:textId="77777777" w:rsidR="00A56747" w:rsidRPr="00C754CA" w:rsidRDefault="00A56747" w:rsidP="004B53CC">
            <w:pPr>
              <w:jc w:val="center"/>
              <w:rPr>
                <w:noProof/>
              </w:rPr>
            </w:pPr>
            <w:r w:rsidRPr="00C754CA">
              <w:rPr>
                <w:noProof/>
              </w:rPr>
              <w:t>H</w:t>
            </w:r>
            <w:r w:rsidRPr="00E2773D">
              <w:rPr>
                <w:noProof/>
              </w:rPr>
              <w:t>2</w:t>
            </w:r>
            <w:r w:rsidRPr="00C754CA">
              <w:rPr>
                <w:noProof/>
              </w:rPr>
              <w:t>a</w:t>
            </w:r>
          </w:p>
        </w:tc>
        <w:tc>
          <w:tcPr>
            <w:tcW w:w="4002" w:type="dxa"/>
            <w:vAlign w:val="center"/>
          </w:tcPr>
          <w:p w14:paraId="19A9D8AC" w14:textId="77777777" w:rsidR="00A56747" w:rsidRPr="00C754CA" w:rsidRDefault="00A56747" w:rsidP="004B53CC">
            <w:pPr>
              <w:spacing w:before="60"/>
              <w:rPr>
                <w:noProof/>
                <w:sz w:val="22"/>
              </w:rPr>
            </w:pPr>
            <w:r w:rsidRPr="00E2773D">
              <w:rPr>
                <w:noProof/>
                <w:sz w:val="22"/>
              </w:rPr>
              <w:t>05</w:t>
            </w:r>
            <w:r w:rsidRPr="00C754CA">
              <w:rPr>
                <w:noProof/>
                <w:sz w:val="22"/>
              </w:rPr>
              <w:t> </w:t>
            </w:r>
            <w:r w:rsidRPr="00E2773D">
              <w:rPr>
                <w:noProof/>
                <w:sz w:val="22"/>
              </w:rPr>
              <w:t>02</w:t>
            </w:r>
            <w:r w:rsidRPr="00C754CA">
              <w:rPr>
                <w:noProof/>
                <w:sz w:val="22"/>
              </w:rPr>
              <w:t> </w:t>
            </w:r>
            <w:r w:rsidRPr="00E2773D">
              <w:rPr>
                <w:noProof/>
                <w:sz w:val="22"/>
              </w:rPr>
              <w:t>01</w:t>
            </w:r>
            <w:r w:rsidRPr="00C754CA">
              <w:rPr>
                <w:noProof/>
                <w:sz w:val="22"/>
              </w:rPr>
              <w:t xml:space="preserve"> EFRE – Operative Ausgaben</w:t>
            </w:r>
          </w:p>
          <w:p w14:paraId="23E9EF6A" w14:textId="77777777" w:rsidR="00A56747" w:rsidRPr="00C754CA" w:rsidRDefault="00A56747" w:rsidP="004B53CC">
            <w:pPr>
              <w:spacing w:after="60"/>
              <w:rPr>
                <w:noProof/>
              </w:rPr>
            </w:pPr>
          </w:p>
        </w:tc>
        <w:tc>
          <w:tcPr>
            <w:tcW w:w="1092" w:type="dxa"/>
            <w:vAlign w:val="center"/>
          </w:tcPr>
          <w:p w14:paraId="6092806F" w14:textId="77777777" w:rsidR="00A56747" w:rsidRPr="00C754CA" w:rsidRDefault="00A56747" w:rsidP="004B53CC">
            <w:pPr>
              <w:jc w:val="center"/>
              <w:rPr>
                <w:noProof/>
                <w:color w:val="0000FF"/>
              </w:rPr>
            </w:pPr>
            <w:r w:rsidRPr="00C754CA">
              <w:rPr>
                <w:noProof/>
                <w:sz w:val="22"/>
              </w:rPr>
              <w:t>GM</w:t>
            </w:r>
          </w:p>
        </w:tc>
        <w:tc>
          <w:tcPr>
            <w:tcW w:w="966" w:type="dxa"/>
            <w:vAlign w:val="center"/>
          </w:tcPr>
          <w:p w14:paraId="6F5614BD" w14:textId="77777777" w:rsidR="00A56747" w:rsidRPr="00C754CA" w:rsidRDefault="00A56747" w:rsidP="004B53CC">
            <w:pPr>
              <w:jc w:val="center"/>
              <w:rPr>
                <w:noProof/>
                <w:sz w:val="20"/>
                <w:szCs w:val="20"/>
              </w:rPr>
            </w:pPr>
            <w:r w:rsidRPr="00C754CA">
              <w:rPr>
                <w:noProof/>
                <w:sz w:val="20"/>
              </w:rPr>
              <w:t>NEIN</w:t>
            </w:r>
          </w:p>
        </w:tc>
        <w:tc>
          <w:tcPr>
            <w:tcW w:w="1092" w:type="dxa"/>
            <w:vAlign w:val="center"/>
          </w:tcPr>
          <w:p w14:paraId="54667E83" w14:textId="77777777" w:rsidR="00A56747" w:rsidRPr="00C754CA" w:rsidRDefault="00A56747" w:rsidP="004B53CC">
            <w:pPr>
              <w:jc w:val="center"/>
              <w:rPr>
                <w:noProof/>
                <w:sz w:val="20"/>
                <w:szCs w:val="20"/>
              </w:rPr>
            </w:pPr>
            <w:r w:rsidRPr="00C754CA">
              <w:rPr>
                <w:noProof/>
                <w:sz w:val="20"/>
              </w:rPr>
              <w:t>NEIN</w:t>
            </w:r>
          </w:p>
        </w:tc>
        <w:tc>
          <w:tcPr>
            <w:tcW w:w="966" w:type="dxa"/>
            <w:vAlign w:val="center"/>
          </w:tcPr>
          <w:p w14:paraId="7B103822" w14:textId="77777777" w:rsidR="00A56747" w:rsidRPr="00C754CA" w:rsidRDefault="00A56747" w:rsidP="004B53CC">
            <w:pPr>
              <w:jc w:val="center"/>
              <w:rPr>
                <w:noProof/>
                <w:sz w:val="20"/>
                <w:szCs w:val="20"/>
              </w:rPr>
            </w:pPr>
            <w:r w:rsidRPr="00C754CA">
              <w:rPr>
                <w:noProof/>
                <w:sz w:val="20"/>
              </w:rPr>
              <w:t>NEIN</w:t>
            </w:r>
          </w:p>
        </w:tc>
        <w:tc>
          <w:tcPr>
            <w:tcW w:w="1463" w:type="dxa"/>
            <w:vAlign w:val="center"/>
          </w:tcPr>
          <w:p w14:paraId="38467AAC" w14:textId="77777777" w:rsidR="00A56747" w:rsidRPr="00C754CA" w:rsidRDefault="00A56747" w:rsidP="004B53CC">
            <w:pPr>
              <w:jc w:val="center"/>
              <w:rPr>
                <w:noProof/>
                <w:sz w:val="20"/>
                <w:szCs w:val="20"/>
              </w:rPr>
            </w:pPr>
            <w:r w:rsidRPr="00C754CA">
              <w:rPr>
                <w:noProof/>
                <w:sz w:val="20"/>
              </w:rPr>
              <w:t>NEIN</w:t>
            </w:r>
          </w:p>
        </w:tc>
      </w:tr>
      <w:tr w:rsidR="00A56747" w:rsidRPr="00C754CA" w14:paraId="1F1AC3E0" w14:textId="77777777" w:rsidTr="00FF1EF4">
        <w:trPr>
          <w:jc w:val="center"/>
        </w:trPr>
        <w:tc>
          <w:tcPr>
            <w:tcW w:w="1092" w:type="dxa"/>
            <w:vAlign w:val="center"/>
          </w:tcPr>
          <w:p w14:paraId="6D555958" w14:textId="77777777" w:rsidR="00A56747" w:rsidRPr="00C754CA" w:rsidRDefault="00A56747" w:rsidP="004B53CC">
            <w:pPr>
              <w:jc w:val="center"/>
              <w:rPr>
                <w:noProof/>
              </w:rPr>
            </w:pPr>
            <w:r w:rsidRPr="00C754CA">
              <w:rPr>
                <w:noProof/>
              </w:rPr>
              <w:t>H</w:t>
            </w:r>
            <w:r w:rsidRPr="00E2773D">
              <w:rPr>
                <w:noProof/>
              </w:rPr>
              <w:t>2</w:t>
            </w:r>
            <w:r w:rsidRPr="00C754CA">
              <w:rPr>
                <w:noProof/>
              </w:rPr>
              <w:t>a</w:t>
            </w:r>
          </w:p>
          <w:p w14:paraId="7E517D87" w14:textId="77777777" w:rsidR="00A56747" w:rsidRPr="00C754CA" w:rsidRDefault="00A56747" w:rsidP="004B53CC">
            <w:pPr>
              <w:jc w:val="center"/>
              <w:rPr>
                <w:noProof/>
              </w:rPr>
            </w:pPr>
          </w:p>
        </w:tc>
        <w:tc>
          <w:tcPr>
            <w:tcW w:w="4002" w:type="dxa"/>
            <w:vAlign w:val="center"/>
          </w:tcPr>
          <w:p w14:paraId="17499EDA" w14:textId="77777777" w:rsidR="00A56747" w:rsidRPr="00C754CA" w:rsidRDefault="00A56747" w:rsidP="004B53CC">
            <w:pPr>
              <w:spacing w:before="60"/>
              <w:rPr>
                <w:noProof/>
                <w:sz w:val="22"/>
              </w:rPr>
            </w:pPr>
            <w:r w:rsidRPr="00E2773D">
              <w:rPr>
                <w:noProof/>
                <w:sz w:val="22"/>
              </w:rPr>
              <w:t>05</w:t>
            </w:r>
            <w:r w:rsidRPr="00C754CA">
              <w:rPr>
                <w:noProof/>
                <w:sz w:val="22"/>
              </w:rPr>
              <w:t> </w:t>
            </w:r>
            <w:r w:rsidRPr="00E2773D">
              <w:rPr>
                <w:noProof/>
                <w:sz w:val="22"/>
              </w:rPr>
              <w:t>03</w:t>
            </w:r>
            <w:r w:rsidRPr="00C754CA">
              <w:rPr>
                <w:noProof/>
                <w:sz w:val="22"/>
              </w:rPr>
              <w:t> </w:t>
            </w:r>
            <w:r w:rsidRPr="00E2773D">
              <w:rPr>
                <w:noProof/>
                <w:sz w:val="22"/>
              </w:rPr>
              <w:t>01</w:t>
            </w:r>
            <w:r w:rsidRPr="00C754CA">
              <w:rPr>
                <w:noProof/>
                <w:sz w:val="22"/>
              </w:rPr>
              <w:t xml:space="preserve"> Kohäsionsfonds – Operative Ausgaben</w:t>
            </w:r>
          </w:p>
          <w:p w14:paraId="7E5FDFF1" w14:textId="77777777" w:rsidR="00A56747" w:rsidRPr="00C754CA" w:rsidRDefault="00A56747" w:rsidP="004B53CC">
            <w:pPr>
              <w:spacing w:after="60"/>
              <w:rPr>
                <w:noProof/>
              </w:rPr>
            </w:pPr>
          </w:p>
        </w:tc>
        <w:tc>
          <w:tcPr>
            <w:tcW w:w="1092" w:type="dxa"/>
            <w:vAlign w:val="center"/>
          </w:tcPr>
          <w:p w14:paraId="3F1F1D15" w14:textId="77777777" w:rsidR="00A56747" w:rsidRPr="00C754CA" w:rsidRDefault="00A56747" w:rsidP="004B53CC">
            <w:pPr>
              <w:jc w:val="center"/>
              <w:rPr>
                <w:noProof/>
                <w:color w:val="0000FF"/>
              </w:rPr>
            </w:pPr>
            <w:r w:rsidRPr="00C754CA">
              <w:rPr>
                <w:noProof/>
                <w:sz w:val="22"/>
              </w:rPr>
              <w:t>GM</w:t>
            </w:r>
          </w:p>
        </w:tc>
        <w:tc>
          <w:tcPr>
            <w:tcW w:w="966" w:type="dxa"/>
            <w:vAlign w:val="center"/>
          </w:tcPr>
          <w:p w14:paraId="27AB8446" w14:textId="77777777" w:rsidR="00A56747" w:rsidRPr="00C754CA" w:rsidRDefault="00A56747" w:rsidP="004B53CC">
            <w:pPr>
              <w:jc w:val="center"/>
              <w:rPr>
                <w:noProof/>
                <w:sz w:val="20"/>
                <w:szCs w:val="20"/>
              </w:rPr>
            </w:pPr>
            <w:r w:rsidRPr="00C754CA">
              <w:rPr>
                <w:noProof/>
                <w:sz w:val="20"/>
              </w:rPr>
              <w:t>NEIN</w:t>
            </w:r>
          </w:p>
        </w:tc>
        <w:tc>
          <w:tcPr>
            <w:tcW w:w="1092" w:type="dxa"/>
            <w:vAlign w:val="center"/>
          </w:tcPr>
          <w:p w14:paraId="79FE3C81" w14:textId="77777777" w:rsidR="00A56747" w:rsidRPr="00C754CA" w:rsidRDefault="00A56747" w:rsidP="004B53CC">
            <w:pPr>
              <w:jc w:val="center"/>
              <w:rPr>
                <w:noProof/>
                <w:sz w:val="20"/>
                <w:szCs w:val="20"/>
              </w:rPr>
            </w:pPr>
            <w:r w:rsidRPr="00C754CA">
              <w:rPr>
                <w:noProof/>
                <w:sz w:val="20"/>
              </w:rPr>
              <w:t>NEIN</w:t>
            </w:r>
          </w:p>
        </w:tc>
        <w:tc>
          <w:tcPr>
            <w:tcW w:w="966" w:type="dxa"/>
            <w:vAlign w:val="center"/>
          </w:tcPr>
          <w:p w14:paraId="29642138" w14:textId="77777777" w:rsidR="00A56747" w:rsidRPr="00C754CA" w:rsidRDefault="00A56747" w:rsidP="004B53CC">
            <w:pPr>
              <w:jc w:val="center"/>
              <w:rPr>
                <w:noProof/>
                <w:sz w:val="20"/>
                <w:szCs w:val="20"/>
              </w:rPr>
            </w:pPr>
            <w:r w:rsidRPr="00C754CA">
              <w:rPr>
                <w:noProof/>
                <w:sz w:val="20"/>
              </w:rPr>
              <w:t>NEIN</w:t>
            </w:r>
          </w:p>
        </w:tc>
        <w:tc>
          <w:tcPr>
            <w:tcW w:w="1463" w:type="dxa"/>
            <w:vAlign w:val="center"/>
          </w:tcPr>
          <w:p w14:paraId="015B1AAB" w14:textId="77777777" w:rsidR="00A56747" w:rsidRPr="00C754CA" w:rsidRDefault="00A56747" w:rsidP="004B53CC">
            <w:pPr>
              <w:jc w:val="center"/>
              <w:rPr>
                <w:noProof/>
                <w:sz w:val="20"/>
                <w:szCs w:val="20"/>
              </w:rPr>
            </w:pPr>
            <w:r w:rsidRPr="00C754CA">
              <w:rPr>
                <w:noProof/>
                <w:sz w:val="20"/>
              </w:rPr>
              <w:t>NEIN</w:t>
            </w:r>
          </w:p>
        </w:tc>
      </w:tr>
    </w:tbl>
    <w:p w14:paraId="60D9333A" w14:textId="77777777" w:rsidR="00A56747" w:rsidRPr="00C754CA" w:rsidRDefault="00A56747" w:rsidP="00A56747">
      <w:pPr>
        <w:rPr>
          <w:noProof/>
        </w:rPr>
        <w:sectPr w:rsidR="00A56747" w:rsidRPr="00C754CA" w:rsidSect="008E2EBB">
          <w:pgSz w:w="11907" w:h="16840" w:code="1"/>
          <w:pgMar w:top="1134" w:right="1418" w:bottom="1134" w:left="1418" w:header="709" w:footer="709" w:gutter="0"/>
          <w:cols w:space="708"/>
          <w:docGrid w:linePitch="360"/>
        </w:sectPr>
      </w:pPr>
    </w:p>
    <w:p w14:paraId="078F2F06" w14:textId="77777777" w:rsidR="00A56747" w:rsidRPr="00C754CA" w:rsidRDefault="00A56747" w:rsidP="00A56747">
      <w:pPr>
        <w:pStyle w:val="ManualHeading2"/>
        <w:rPr>
          <w:bCs/>
          <w:noProof/>
          <w:szCs w:val="24"/>
        </w:rPr>
      </w:pPr>
      <w:bookmarkStart w:id="191" w:name="_Toc514938052"/>
      <w:bookmarkStart w:id="192" w:name="_Toc520485051"/>
      <w:bookmarkStart w:id="193" w:name="_Toc160804593"/>
      <w:bookmarkStart w:id="194" w:name="_Toc167220285"/>
      <w:bookmarkStart w:id="195" w:name="_Toc177549018"/>
      <w:r w:rsidRPr="00E2773D">
        <w:rPr>
          <w:noProof/>
        </w:rPr>
        <w:t>3</w:t>
      </w:r>
      <w:r w:rsidRPr="00C754CA">
        <w:rPr>
          <w:noProof/>
        </w:rPr>
        <w:t>.</w:t>
      </w:r>
      <w:r w:rsidRPr="00E2773D">
        <w:rPr>
          <w:noProof/>
        </w:rPr>
        <w:t>2</w:t>
      </w:r>
      <w:r w:rsidRPr="00C754CA">
        <w:rPr>
          <w:noProof/>
        </w:rPr>
        <w:tab/>
        <w:t>Geschätzte finanzielle Auswirkungen des Vorschlags auf die Mittel</w:t>
      </w:r>
      <w:bookmarkEnd w:id="191"/>
      <w:bookmarkEnd w:id="192"/>
      <w:bookmarkEnd w:id="193"/>
      <w:bookmarkEnd w:id="194"/>
      <w:bookmarkEnd w:id="195"/>
      <w:r w:rsidRPr="00C754CA">
        <w:rPr>
          <w:noProof/>
        </w:rPr>
        <w:t xml:space="preserve"> </w:t>
      </w:r>
    </w:p>
    <w:p w14:paraId="1B0BA70A" w14:textId="77777777" w:rsidR="00A56747" w:rsidRPr="00C754CA" w:rsidRDefault="00A56747" w:rsidP="00A56747">
      <w:pPr>
        <w:pStyle w:val="ManualHeading3"/>
        <w:rPr>
          <w:noProof/>
        </w:rPr>
      </w:pPr>
      <w:bookmarkStart w:id="196" w:name="_Toc514938053"/>
      <w:bookmarkStart w:id="197" w:name="_Toc520485052"/>
      <w:bookmarkStart w:id="198" w:name="_Toc160804594"/>
      <w:bookmarkStart w:id="199" w:name="_Toc167220286"/>
      <w:bookmarkStart w:id="200" w:name="_Toc177549019"/>
      <w:r w:rsidRPr="00E2773D">
        <w:rPr>
          <w:noProof/>
        </w:rPr>
        <w:t>3</w:t>
      </w:r>
      <w:r w:rsidRPr="00C754CA">
        <w:rPr>
          <w:noProof/>
        </w:rPr>
        <w:t>.</w:t>
      </w:r>
      <w:r w:rsidRPr="00E2773D">
        <w:rPr>
          <w:noProof/>
        </w:rPr>
        <w:t>2</w:t>
      </w:r>
      <w:r w:rsidRPr="00C754CA">
        <w:rPr>
          <w:noProof/>
        </w:rPr>
        <w:t>.</w:t>
      </w:r>
      <w:r w:rsidRPr="00E2773D">
        <w:rPr>
          <w:noProof/>
        </w:rPr>
        <w:t>1</w:t>
      </w:r>
      <w:r w:rsidRPr="00C754CA">
        <w:rPr>
          <w:noProof/>
        </w:rPr>
        <w:tab/>
        <w:t>Übersicht über die geschätzten Auswirkungen auf die operativen Mittel</w:t>
      </w:r>
      <w:bookmarkEnd w:id="196"/>
      <w:bookmarkEnd w:id="197"/>
      <w:bookmarkEnd w:id="198"/>
      <w:bookmarkEnd w:id="199"/>
      <w:bookmarkEnd w:id="200"/>
      <w:r w:rsidRPr="00C754CA">
        <w:rPr>
          <w:noProof/>
        </w:rPr>
        <w:t xml:space="preserve"> </w:t>
      </w:r>
    </w:p>
    <w:p w14:paraId="2913E467" w14:textId="77777777" w:rsidR="00A56747" w:rsidRPr="00C754CA" w:rsidRDefault="00A56747" w:rsidP="00A56747">
      <w:pPr>
        <w:pStyle w:val="ListDash1"/>
        <w:tabs>
          <w:tab w:val="clear" w:pos="3523"/>
          <w:tab w:val="num" w:pos="1134"/>
        </w:tabs>
        <w:ind w:left="1134"/>
        <w:rPr>
          <w:noProof/>
        </w:rPr>
      </w:pPr>
      <w:r w:rsidRPr="00C754CA">
        <w:rPr>
          <w:rFonts w:ascii="Wingdings" w:hAnsi="Wingdings"/>
          <w:noProof/>
        </w:rPr>
        <w:t></w:t>
      </w:r>
      <w:r w:rsidRPr="00C754CA">
        <w:rPr>
          <w:noProof/>
        </w:rPr>
        <w:tab/>
        <w:t xml:space="preserve">Für den Vorschlag/die Initiative werden keine operativen Mittel benötigt. </w:t>
      </w:r>
    </w:p>
    <w:p w14:paraId="7B2E1EFA" w14:textId="77777777" w:rsidR="00A56747" w:rsidRPr="00C754CA" w:rsidRDefault="00A56747" w:rsidP="00A56747">
      <w:pPr>
        <w:pStyle w:val="ListDash1"/>
        <w:tabs>
          <w:tab w:val="clear" w:pos="3523"/>
          <w:tab w:val="num" w:pos="1134"/>
        </w:tabs>
        <w:ind w:left="1134"/>
        <w:rPr>
          <w:noProof/>
        </w:rPr>
      </w:pPr>
      <w:r w:rsidRPr="00C754CA">
        <w:rPr>
          <w:noProof/>
          <w:color w:val="001E62"/>
        </w:rPr>
        <w:t>☑</w:t>
      </w:r>
      <w:r w:rsidRPr="00C754CA">
        <w:rPr>
          <w:noProof/>
        </w:rPr>
        <w:t xml:space="preserve"> Für den Vorschlag/die Initiative werden die folgenden operativen Mittel benötigt:</w:t>
      </w:r>
    </w:p>
    <w:p w14:paraId="33675BAD" w14:textId="77777777" w:rsidR="00A56747" w:rsidRPr="00C754CA" w:rsidRDefault="00A56747" w:rsidP="00A56747">
      <w:pPr>
        <w:pStyle w:val="ManualHeading3"/>
        <w:rPr>
          <w:noProof/>
        </w:rPr>
      </w:pPr>
      <w:bookmarkStart w:id="201" w:name="_Toc160804595"/>
      <w:bookmarkStart w:id="202" w:name="_Toc167220287"/>
      <w:bookmarkStart w:id="203" w:name="_Toc177549020"/>
      <w:r w:rsidRPr="00E2773D">
        <w:rPr>
          <w:noProof/>
        </w:rPr>
        <w:t>3</w:t>
      </w:r>
      <w:r w:rsidRPr="00C754CA">
        <w:rPr>
          <w:noProof/>
        </w:rPr>
        <w:t>.</w:t>
      </w:r>
      <w:r w:rsidRPr="00E2773D">
        <w:rPr>
          <w:noProof/>
        </w:rPr>
        <w:t>2</w:t>
      </w:r>
      <w:r w:rsidRPr="00C754CA">
        <w:rPr>
          <w:noProof/>
        </w:rPr>
        <w:t>.</w:t>
      </w:r>
      <w:r w:rsidRPr="00E2773D">
        <w:rPr>
          <w:noProof/>
        </w:rPr>
        <w:t>1</w:t>
      </w:r>
      <w:r w:rsidRPr="00C754CA">
        <w:rPr>
          <w:noProof/>
        </w:rPr>
        <w:t>.</w:t>
      </w:r>
      <w:r w:rsidRPr="00E2773D">
        <w:rPr>
          <w:noProof/>
        </w:rPr>
        <w:t>1</w:t>
      </w:r>
      <w:r w:rsidRPr="00C754CA">
        <w:rPr>
          <w:noProof/>
        </w:rPr>
        <w:tab/>
        <w:t>Mittel aus dem verabschiedeten Haushaltsplan</w:t>
      </w:r>
      <w:bookmarkEnd w:id="201"/>
      <w:bookmarkEnd w:id="202"/>
      <w:bookmarkEnd w:id="203"/>
    </w:p>
    <w:p w14:paraId="1F34C342" w14:textId="77777777" w:rsidR="00A56747" w:rsidRPr="00C754CA" w:rsidRDefault="00A56747" w:rsidP="00A56747">
      <w:pPr>
        <w:jc w:val="right"/>
        <w:rPr>
          <w:noProof/>
          <w:sz w:val="18"/>
          <w:szCs w:val="18"/>
        </w:rPr>
      </w:pPr>
      <w:r w:rsidRPr="00C754CA">
        <w:rPr>
          <w:noProof/>
          <w:sz w:val="18"/>
        </w:rPr>
        <w:t>in Mio. EUR (</w:t>
      </w:r>
      <w:r w:rsidRPr="00E2773D">
        <w:rPr>
          <w:noProof/>
          <w:sz w:val="18"/>
        </w:rPr>
        <w:t>3</w:t>
      </w:r>
      <w:r w:rsidRPr="00C754CA">
        <w:rPr>
          <w:noProof/>
          <w:sz w:val="18"/>
        </w:rPr>
        <w:t> Dezimalstellen)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A56747" w:rsidRPr="00C754CA" w14:paraId="0BE19E9E" w14:textId="77777777" w:rsidTr="00FF1EF4">
        <w:tc>
          <w:tcPr>
            <w:tcW w:w="1739" w:type="pct"/>
            <w:shd w:val="thinDiagStripe" w:color="C0C0C0" w:fill="auto"/>
            <w:vAlign w:val="center"/>
          </w:tcPr>
          <w:p w14:paraId="4633726C" w14:textId="77777777" w:rsidR="00A56747" w:rsidRPr="00C754CA" w:rsidRDefault="00A56747" w:rsidP="004B53CC">
            <w:pPr>
              <w:spacing w:before="60" w:after="60"/>
              <w:jc w:val="center"/>
              <w:rPr>
                <w:b/>
                <w:noProof/>
              </w:rPr>
            </w:pPr>
            <w:r w:rsidRPr="00C754CA">
              <w:rPr>
                <w:b/>
                <w:noProof/>
                <w:sz w:val="22"/>
              </w:rPr>
              <w:t xml:space="preserve">Rubrik des Mehrjährigen Finanzrahmens </w:t>
            </w:r>
          </w:p>
        </w:tc>
        <w:tc>
          <w:tcPr>
            <w:tcW w:w="396" w:type="pct"/>
            <w:vAlign w:val="center"/>
          </w:tcPr>
          <w:p w14:paraId="3EB982F5" w14:textId="77777777" w:rsidR="00A56747" w:rsidRPr="00C754CA" w:rsidRDefault="00A56747" w:rsidP="004B53CC">
            <w:pPr>
              <w:spacing w:before="60" w:after="60"/>
              <w:jc w:val="center"/>
              <w:rPr>
                <w:noProof/>
              </w:rPr>
            </w:pPr>
            <w:r w:rsidRPr="00C754CA">
              <w:rPr>
                <w:noProof/>
                <w:sz w:val="22"/>
              </w:rPr>
              <w:t>Nummer</w:t>
            </w:r>
          </w:p>
        </w:tc>
        <w:tc>
          <w:tcPr>
            <w:tcW w:w="2865" w:type="pct"/>
            <w:vAlign w:val="center"/>
          </w:tcPr>
          <w:p w14:paraId="6DE1D628" w14:textId="77777777" w:rsidR="00A56747" w:rsidRPr="00C754CA" w:rsidRDefault="00A56747" w:rsidP="004B53CC">
            <w:pPr>
              <w:spacing w:before="60" w:after="60"/>
              <w:rPr>
                <w:noProof/>
              </w:rPr>
            </w:pPr>
            <w:r w:rsidRPr="00C754CA">
              <w:rPr>
                <w:noProof/>
              </w:rPr>
              <w:t>H</w:t>
            </w:r>
            <w:r w:rsidRPr="00E2773D">
              <w:rPr>
                <w:noProof/>
              </w:rPr>
              <w:t>2</w:t>
            </w:r>
            <w:r w:rsidRPr="00C754CA">
              <w:rPr>
                <w:noProof/>
              </w:rPr>
              <w:t>a</w:t>
            </w:r>
          </w:p>
        </w:tc>
      </w:tr>
    </w:tbl>
    <w:p w14:paraId="698EBE08" w14:textId="77777777" w:rsidR="00A56747" w:rsidRPr="00C754CA" w:rsidRDefault="00A56747" w:rsidP="00A56747">
      <w:pPr>
        <w:rPr>
          <w:noProof/>
          <w:sz w:val="16"/>
        </w:rPr>
      </w:pPr>
    </w:p>
    <w:tbl>
      <w:tblPr>
        <w:tblW w:w="5000" w:type="pct"/>
        <w:tblLook w:val="04A0" w:firstRow="1" w:lastRow="0" w:firstColumn="1" w:lastColumn="0" w:noHBand="0" w:noVBand="1"/>
      </w:tblPr>
      <w:tblGrid>
        <w:gridCol w:w="4010"/>
        <w:gridCol w:w="21"/>
        <w:gridCol w:w="289"/>
        <w:gridCol w:w="1240"/>
        <w:gridCol w:w="23"/>
        <w:gridCol w:w="133"/>
        <w:gridCol w:w="1035"/>
        <w:gridCol w:w="207"/>
        <w:gridCol w:w="31"/>
        <w:gridCol w:w="793"/>
        <w:gridCol w:w="569"/>
        <w:gridCol w:w="40"/>
        <w:gridCol w:w="626"/>
        <w:gridCol w:w="728"/>
        <w:gridCol w:w="48"/>
        <w:gridCol w:w="458"/>
        <w:gridCol w:w="887"/>
        <w:gridCol w:w="57"/>
        <w:gridCol w:w="290"/>
        <w:gridCol w:w="1046"/>
        <w:gridCol w:w="15"/>
        <w:gridCol w:w="174"/>
        <w:gridCol w:w="1500"/>
      </w:tblGrid>
      <w:tr w:rsidR="003100E7" w:rsidRPr="00C754CA" w14:paraId="48CBE8DB" w14:textId="77777777" w:rsidTr="4D8CB314">
        <w:trPr>
          <w:trHeight w:val="420"/>
        </w:trPr>
        <w:tc>
          <w:tcPr>
            <w:tcW w:w="2444" w:type="pct"/>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41D204F" w14:textId="77777777" w:rsidR="00A56747" w:rsidRPr="00C754CA" w:rsidRDefault="00A56747" w:rsidP="004B53CC">
            <w:pPr>
              <w:spacing w:before="0" w:after="0"/>
              <w:jc w:val="center"/>
              <w:rPr>
                <w:noProof/>
                <w:color w:val="000000"/>
                <w:sz w:val="22"/>
              </w:rPr>
            </w:pPr>
            <w:r w:rsidRPr="00C754CA">
              <w:rPr>
                <w:noProof/>
                <w:color w:val="000000"/>
                <w:sz w:val="22"/>
              </w:rPr>
              <w:t>GD: REGIO.</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0C6D43A7"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56C9260C"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7DC58607"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78" w:type="pct"/>
            <w:gridSpan w:val="3"/>
            <w:tcBorders>
              <w:top w:val="single" w:sz="8" w:space="0" w:color="auto"/>
              <w:left w:val="nil"/>
              <w:bottom w:val="single" w:sz="8" w:space="0" w:color="auto"/>
              <w:right w:val="single" w:sz="8" w:space="0" w:color="auto"/>
            </w:tcBorders>
            <w:shd w:val="clear" w:color="auto" w:fill="auto"/>
            <w:vAlign w:val="center"/>
            <w:hideMark/>
          </w:tcPr>
          <w:p w14:paraId="1DB3BB6C"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90"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329E1E6"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2021</w:t>
            </w:r>
            <w:r w:rsidRPr="00C754CA">
              <w:rPr>
                <w:b/>
                <w:noProof/>
                <w:color w:val="000000"/>
                <w:sz w:val="20"/>
              </w:rPr>
              <w:t>-</w:t>
            </w:r>
            <w:r w:rsidRPr="00E2773D">
              <w:rPr>
                <w:b/>
                <w:noProof/>
                <w:color w:val="000000"/>
                <w:sz w:val="20"/>
              </w:rPr>
              <w:t>2027</w:t>
            </w:r>
            <w:r w:rsidRPr="00C754CA">
              <w:rPr>
                <w:b/>
                <w:noProof/>
                <w:color w:val="000000"/>
                <w:sz w:val="20"/>
              </w:rPr>
              <w:t xml:space="preserve"> INSGESAMT</w:t>
            </w:r>
          </w:p>
        </w:tc>
      </w:tr>
      <w:tr w:rsidR="00A56747" w:rsidRPr="00C754CA" w14:paraId="44F11C37" w14:textId="77777777" w:rsidTr="00FF1EF4">
        <w:trPr>
          <w:trHeight w:val="288"/>
        </w:trPr>
        <w:tc>
          <w:tcPr>
            <w:tcW w:w="2444" w:type="pct"/>
            <w:gridSpan w:val="9"/>
            <w:vMerge/>
            <w:vAlign w:val="center"/>
            <w:hideMark/>
          </w:tcPr>
          <w:p w14:paraId="51B0EB28" w14:textId="77777777" w:rsidR="00A56747" w:rsidRPr="00C754CA" w:rsidRDefault="00A56747" w:rsidP="004B53CC">
            <w:pPr>
              <w:spacing w:before="0" w:after="0"/>
              <w:jc w:val="left"/>
              <w:rPr>
                <w:noProof/>
                <w:color w:val="000000"/>
                <w:sz w:val="22"/>
                <w:lang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0B3A2FF5"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2024</w:t>
            </w:r>
          </w:p>
        </w:tc>
        <w:tc>
          <w:tcPr>
            <w:tcW w:w="496" w:type="pct"/>
            <w:gridSpan w:val="3"/>
            <w:tcBorders>
              <w:top w:val="nil"/>
              <w:left w:val="nil"/>
              <w:bottom w:val="single" w:sz="8" w:space="0" w:color="auto"/>
              <w:right w:val="single" w:sz="8" w:space="0" w:color="auto"/>
            </w:tcBorders>
            <w:shd w:val="clear" w:color="auto" w:fill="auto"/>
            <w:vAlign w:val="center"/>
            <w:hideMark/>
          </w:tcPr>
          <w:p w14:paraId="524E75FC"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2025</w:t>
            </w:r>
          </w:p>
        </w:tc>
        <w:tc>
          <w:tcPr>
            <w:tcW w:w="496" w:type="pct"/>
            <w:gridSpan w:val="3"/>
            <w:tcBorders>
              <w:top w:val="nil"/>
              <w:left w:val="nil"/>
              <w:bottom w:val="single" w:sz="8" w:space="0" w:color="auto"/>
              <w:right w:val="single" w:sz="8" w:space="0" w:color="auto"/>
            </w:tcBorders>
            <w:shd w:val="clear" w:color="auto" w:fill="auto"/>
            <w:vAlign w:val="center"/>
            <w:hideMark/>
          </w:tcPr>
          <w:p w14:paraId="2711364A"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2026</w:t>
            </w:r>
          </w:p>
        </w:tc>
        <w:tc>
          <w:tcPr>
            <w:tcW w:w="478" w:type="pct"/>
            <w:gridSpan w:val="3"/>
            <w:tcBorders>
              <w:top w:val="nil"/>
              <w:left w:val="nil"/>
              <w:bottom w:val="single" w:sz="8" w:space="0" w:color="auto"/>
              <w:right w:val="single" w:sz="8" w:space="0" w:color="auto"/>
            </w:tcBorders>
            <w:shd w:val="clear" w:color="auto" w:fill="auto"/>
            <w:vAlign w:val="center"/>
            <w:hideMark/>
          </w:tcPr>
          <w:p w14:paraId="5A5C8461"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2027</w:t>
            </w:r>
          </w:p>
        </w:tc>
        <w:tc>
          <w:tcPr>
            <w:tcW w:w="590" w:type="pct"/>
            <w:gridSpan w:val="2"/>
            <w:vMerge/>
            <w:vAlign w:val="center"/>
            <w:hideMark/>
          </w:tcPr>
          <w:p w14:paraId="2A4F72BA" w14:textId="77777777" w:rsidR="00A56747" w:rsidRPr="00C754CA" w:rsidRDefault="00A56747" w:rsidP="004B53CC">
            <w:pPr>
              <w:spacing w:before="0" w:after="0"/>
              <w:jc w:val="left"/>
              <w:rPr>
                <w:b/>
                <w:bCs/>
                <w:noProof/>
                <w:color w:val="000000"/>
                <w:sz w:val="20"/>
                <w:szCs w:val="20"/>
                <w:lang w:eastAsia="en-IE"/>
              </w:rPr>
            </w:pPr>
          </w:p>
        </w:tc>
      </w:tr>
      <w:tr w:rsidR="00A56747" w:rsidRPr="00C754CA" w14:paraId="1C3D29D0" w14:textId="77777777" w:rsidTr="00FF1EF4">
        <w:trPr>
          <w:trHeight w:val="300"/>
        </w:trPr>
        <w:tc>
          <w:tcPr>
            <w:tcW w:w="5000" w:type="pct"/>
            <w:gridSpan w:val="23"/>
            <w:tcBorders>
              <w:top w:val="single" w:sz="8" w:space="0" w:color="auto"/>
              <w:left w:val="single" w:sz="8" w:space="0" w:color="auto"/>
              <w:bottom w:val="single" w:sz="8" w:space="0" w:color="auto"/>
              <w:right w:val="single" w:sz="8" w:space="0" w:color="auto"/>
            </w:tcBorders>
            <w:shd w:val="clear" w:color="auto" w:fill="auto"/>
            <w:vAlign w:val="center"/>
            <w:hideMark/>
          </w:tcPr>
          <w:p w14:paraId="70D4513B" w14:textId="77777777" w:rsidR="00A56747" w:rsidRPr="00C754CA" w:rsidRDefault="00A56747" w:rsidP="004B53CC">
            <w:pPr>
              <w:spacing w:before="0" w:after="0"/>
              <w:jc w:val="left"/>
              <w:rPr>
                <w:noProof/>
                <w:color w:val="000000"/>
                <w:sz w:val="21"/>
                <w:szCs w:val="21"/>
              </w:rPr>
            </w:pPr>
            <w:r w:rsidRPr="00C754CA">
              <w:rPr>
                <w:noProof/>
                <w:color w:val="000000"/>
                <w:sz w:val="21"/>
              </w:rPr>
              <w:t xml:space="preserve">Operative Mittel </w:t>
            </w:r>
          </w:p>
        </w:tc>
      </w:tr>
      <w:tr w:rsidR="003100E7" w:rsidRPr="00C754CA" w14:paraId="4C6DD6C6" w14:textId="77777777" w:rsidTr="4D8CB314">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14:paraId="7179E142" w14:textId="77777777" w:rsidR="00A56747" w:rsidRPr="00C754CA" w:rsidRDefault="00A56747" w:rsidP="004B53CC">
            <w:pPr>
              <w:spacing w:before="0" w:after="0"/>
              <w:jc w:val="left"/>
              <w:rPr>
                <w:noProof/>
                <w:color w:val="000000"/>
                <w:sz w:val="22"/>
              </w:rPr>
            </w:pPr>
            <w:r w:rsidRPr="00E2773D">
              <w:rPr>
                <w:noProof/>
                <w:color w:val="000000"/>
                <w:sz w:val="22"/>
              </w:rPr>
              <w:t>05</w:t>
            </w:r>
            <w:r w:rsidRPr="00C754CA">
              <w:rPr>
                <w:noProof/>
                <w:color w:val="000000"/>
                <w:sz w:val="22"/>
              </w:rPr>
              <w:t>.</w:t>
            </w:r>
            <w:r w:rsidRPr="00E2773D">
              <w:rPr>
                <w:noProof/>
                <w:color w:val="000000"/>
                <w:sz w:val="22"/>
              </w:rPr>
              <w:t>0201</w:t>
            </w:r>
            <w:r w:rsidRPr="00C754CA">
              <w:rPr>
                <w:noProof/>
                <w:color w:val="000000"/>
                <w:sz w:val="22"/>
              </w:rPr>
              <w:t xml:space="preserve"> EFRE – Operative Ausgaben</w:t>
            </w:r>
          </w:p>
        </w:tc>
        <w:tc>
          <w:tcPr>
            <w:tcW w:w="529" w:type="pct"/>
            <w:gridSpan w:val="3"/>
            <w:tcBorders>
              <w:top w:val="nil"/>
              <w:left w:val="nil"/>
              <w:bottom w:val="single" w:sz="8" w:space="0" w:color="auto"/>
              <w:right w:val="single" w:sz="8" w:space="0" w:color="auto"/>
            </w:tcBorders>
            <w:shd w:val="clear" w:color="auto" w:fill="auto"/>
            <w:vAlign w:val="center"/>
            <w:hideMark/>
          </w:tcPr>
          <w:p w14:paraId="6BC392DD" w14:textId="77777777" w:rsidR="00A56747" w:rsidRPr="00C754CA" w:rsidRDefault="00A56747" w:rsidP="004B53CC">
            <w:pPr>
              <w:spacing w:before="0" w:after="0"/>
              <w:rPr>
                <w:noProof/>
                <w:color w:val="000000"/>
                <w:sz w:val="18"/>
                <w:szCs w:val="18"/>
              </w:rPr>
            </w:pPr>
            <w:r w:rsidRPr="00C754CA">
              <w:rPr>
                <w:noProof/>
                <w:color w:val="000000"/>
                <w:sz w:val="18"/>
              </w:rPr>
              <w:t>Verpflichtungen</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48E62C15"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1</w:t>
            </w:r>
            <w:r w:rsidRPr="00C754CA">
              <w:rPr>
                <w:noProof/>
                <w:color w:val="000000"/>
                <w:sz w:val="14"/>
              </w:rPr>
              <w:t>a)</w:t>
            </w:r>
          </w:p>
        </w:tc>
        <w:tc>
          <w:tcPr>
            <w:tcW w:w="496" w:type="pct"/>
            <w:gridSpan w:val="3"/>
            <w:tcBorders>
              <w:top w:val="nil"/>
              <w:left w:val="nil"/>
              <w:bottom w:val="single" w:sz="8" w:space="0" w:color="auto"/>
              <w:right w:val="single" w:sz="8" w:space="0" w:color="auto"/>
            </w:tcBorders>
            <w:shd w:val="clear" w:color="auto" w:fill="auto"/>
            <w:vAlign w:val="center"/>
            <w:hideMark/>
          </w:tcPr>
          <w:p w14:paraId="41360EF3" w14:textId="77777777" w:rsidR="00A56747" w:rsidRPr="00C754CA" w:rsidRDefault="00A56747" w:rsidP="004B53CC">
            <w:pPr>
              <w:spacing w:before="0" w:after="0"/>
              <w:jc w:val="right"/>
              <w:rPr>
                <w:noProof/>
                <w:color w:val="000000"/>
                <w:sz w:val="20"/>
                <w:szCs w:val="20"/>
              </w:rPr>
            </w:pPr>
            <w:r w:rsidRPr="00C754CA">
              <w:rPr>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51E85AA4" w14:textId="77777777" w:rsidR="00A56747" w:rsidRPr="00C754CA" w:rsidRDefault="00A56747" w:rsidP="004B53CC">
            <w:pPr>
              <w:spacing w:before="0" w:after="0"/>
              <w:jc w:val="right"/>
              <w:rPr>
                <w:noProof/>
                <w:color w:val="000000"/>
                <w:sz w:val="20"/>
                <w:szCs w:val="20"/>
              </w:rPr>
            </w:pPr>
            <w:r w:rsidRPr="00C754CA">
              <w:rPr>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59EA21AA"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r w:rsidRPr="00C754CA">
              <w:rPr>
                <w:noProof/>
                <w:color w:val="000000"/>
                <w:sz w:val="20"/>
              </w:rPr>
              <w:t> </w:t>
            </w:r>
          </w:p>
        </w:tc>
        <w:tc>
          <w:tcPr>
            <w:tcW w:w="478" w:type="pct"/>
            <w:gridSpan w:val="3"/>
            <w:tcBorders>
              <w:top w:val="nil"/>
              <w:left w:val="nil"/>
              <w:bottom w:val="single" w:sz="8" w:space="0" w:color="auto"/>
              <w:right w:val="single" w:sz="8" w:space="0" w:color="auto"/>
            </w:tcBorders>
            <w:shd w:val="clear" w:color="auto" w:fill="auto"/>
            <w:vAlign w:val="center"/>
            <w:hideMark/>
          </w:tcPr>
          <w:p w14:paraId="061A59AB"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r w:rsidRPr="00C754CA">
              <w:rPr>
                <w:noProof/>
                <w:color w:val="000000"/>
                <w:sz w:val="20"/>
              </w:rPr>
              <w:t>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3BEE9F9B"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1555F3DB" w14:textId="77777777" w:rsidTr="4D8CB314">
        <w:trPr>
          <w:trHeight w:val="315"/>
        </w:trPr>
        <w:tc>
          <w:tcPr>
            <w:tcW w:w="1419" w:type="pct"/>
            <w:gridSpan w:val="2"/>
            <w:vMerge/>
            <w:vAlign w:val="center"/>
            <w:hideMark/>
          </w:tcPr>
          <w:p w14:paraId="2CD53F20" w14:textId="77777777" w:rsidR="00A56747" w:rsidRPr="00C754CA" w:rsidRDefault="00A56747" w:rsidP="004B53CC">
            <w:pPr>
              <w:spacing w:before="0" w:after="0"/>
              <w:jc w:val="left"/>
              <w:rPr>
                <w:noProof/>
                <w:color w:val="000000"/>
                <w:sz w:val="22"/>
                <w:lang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0BE37643" w14:textId="77777777" w:rsidR="00A56747" w:rsidRPr="00C754CA" w:rsidRDefault="00A56747" w:rsidP="004B53CC">
            <w:pPr>
              <w:spacing w:before="0" w:after="0"/>
              <w:rPr>
                <w:noProof/>
                <w:color w:val="000000"/>
                <w:sz w:val="18"/>
                <w:szCs w:val="18"/>
              </w:rPr>
            </w:pPr>
            <w:r w:rsidRPr="00C754CA">
              <w:rPr>
                <w:noProof/>
                <w:color w:val="000000"/>
                <w:sz w:val="18"/>
              </w:rPr>
              <w:t>Zahlungen</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303C8E54"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2</w:t>
            </w:r>
            <w:r w:rsidRPr="00C754CA">
              <w:rPr>
                <w:noProof/>
                <w:color w:val="000000"/>
                <w:sz w:val="14"/>
              </w:rPr>
              <w:t>a)</w:t>
            </w:r>
          </w:p>
        </w:tc>
        <w:tc>
          <w:tcPr>
            <w:tcW w:w="496" w:type="pct"/>
            <w:gridSpan w:val="3"/>
            <w:tcBorders>
              <w:top w:val="nil"/>
              <w:left w:val="nil"/>
              <w:bottom w:val="single" w:sz="8" w:space="0" w:color="auto"/>
              <w:right w:val="single" w:sz="8" w:space="0" w:color="auto"/>
            </w:tcBorders>
            <w:shd w:val="clear" w:color="auto" w:fill="auto"/>
            <w:vAlign w:val="center"/>
            <w:hideMark/>
          </w:tcPr>
          <w:p w14:paraId="1E2D09E1" w14:textId="77777777" w:rsidR="00A56747" w:rsidRPr="00C754CA" w:rsidRDefault="00A56747" w:rsidP="004B53CC">
            <w:pPr>
              <w:spacing w:before="0" w:after="0"/>
              <w:jc w:val="right"/>
              <w:rPr>
                <w:noProof/>
                <w:color w:val="000000"/>
                <w:sz w:val="20"/>
                <w:szCs w:val="20"/>
              </w:rPr>
            </w:pPr>
            <w:r w:rsidRPr="00C754CA">
              <w:rPr>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40E0BCA7" w14:textId="77777777" w:rsidR="00A56747" w:rsidRPr="00C754CA" w:rsidRDefault="00A56747" w:rsidP="004B53CC">
            <w:pPr>
              <w:spacing w:before="0" w:after="0"/>
              <w:jc w:val="right"/>
              <w:rPr>
                <w:noProof/>
                <w:color w:val="000000"/>
                <w:sz w:val="20"/>
                <w:szCs w:val="20"/>
              </w:rPr>
            </w:pPr>
            <w:r w:rsidRPr="00C754CA">
              <w:rPr>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08B22A30" w14:textId="77777777" w:rsidR="00A56747" w:rsidRPr="00C754CA" w:rsidRDefault="00671C30" w:rsidP="004B53CC">
            <w:pPr>
              <w:spacing w:before="0" w:after="0"/>
              <w:jc w:val="right"/>
              <w:rPr>
                <w:noProof/>
                <w:color w:val="000000"/>
                <w:sz w:val="20"/>
                <w:szCs w:val="20"/>
              </w:rPr>
            </w:pPr>
            <w:r w:rsidRPr="00C754CA">
              <w:rPr>
                <w:noProof/>
                <w:color w:val="000000" w:themeColor="text1"/>
                <w:sz w:val="20"/>
              </w:rPr>
              <w:t>[</w:t>
            </w:r>
            <w:r w:rsidRPr="00E2773D">
              <w:rPr>
                <w:noProof/>
                <w:color w:val="000000" w:themeColor="text1"/>
                <w:sz w:val="20"/>
              </w:rPr>
              <w:t>3</w:t>
            </w:r>
            <w:r w:rsidRPr="00C754CA">
              <w:rPr>
                <w:noProof/>
                <w:color w:val="000000" w:themeColor="text1"/>
                <w:sz w:val="20"/>
              </w:rPr>
              <w:t> </w:t>
            </w:r>
            <w:r w:rsidRPr="00E2773D">
              <w:rPr>
                <w:noProof/>
                <w:color w:val="000000" w:themeColor="text1"/>
                <w:sz w:val="20"/>
              </w:rPr>
              <w:t>060</w:t>
            </w:r>
            <w:r w:rsidRPr="00C754CA">
              <w:rPr>
                <w:noProof/>
                <w:color w:val="000000" w:themeColor="text1"/>
                <w:sz w:val="20"/>
              </w:rPr>
              <w:t> </w:t>
            </w:r>
            <w:r w:rsidRPr="00E2773D">
              <w:rPr>
                <w:noProof/>
                <w:color w:val="000000" w:themeColor="text1"/>
                <w:sz w:val="20"/>
              </w:rPr>
              <w:t>000</w:t>
            </w:r>
            <w:r w:rsidRPr="00C754CA">
              <w:rPr>
                <w:noProof/>
                <w:color w:val="000000" w:themeColor="text1"/>
                <w:sz w:val="20"/>
              </w:rPr>
              <w:t>] </w:t>
            </w:r>
          </w:p>
        </w:tc>
        <w:tc>
          <w:tcPr>
            <w:tcW w:w="478" w:type="pct"/>
            <w:gridSpan w:val="3"/>
            <w:tcBorders>
              <w:top w:val="nil"/>
              <w:left w:val="nil"/>
              <w:bottom w:val="single" w:sz="8" w:space="0" w:color="auto"/>
              <w:right w:val="single" w:sz="8" w:space="0" w:color="auto"/>
            </w:tcBorders>
            <w:shd w:val="clear" w:color="auto" w:fill="auto"/>
            <w:vAlign w:val="center"/>
            <w:hideMark/>
          </w:tcPr>
          <w:p w14:paraId="36092CE9" w14:textId="77777777" w:rsidR="00A56747" w:rsidRPr="00C754CA" w:rsidRDefault="00671C30" w:rsidP="004B53CC">
            <w:pPr>
              <w:spacing w:before="0" w:after="0"/>
              <w:jc w:val="right"/>
              <w:rPr>
                <w:noProof/>
                <w:color w:val="000000"/>
                <w:sz w:val="20"/>
                <w:szCs w:val="20"/>
              </w:rPr>
            </w:pPr>
            <w:r w:rsidRPr="00C754CA">
              <w:rPr>
                <w:noProof/>
                <w:color w:val="000000" w:themeColor="text1"/>
                <w:sz w:val="20"/>
              </w:rPr>
              <w:t>[-</w:t>
            </w:r>
            <w:r w:rsidRPr="00E2773D">
              <w:rPr>
                <w:noProof/>
                <w:color w:val="000000" w:themeColor="text1"/>
                <w:sz w:val="20"/>
              </w:rPr>
              <w:t>3</w:t>
            </w:r>
            <w:r w:rsidRPr="00C754CA">
              <w:rPr>
                <w:noProof/>
                <w:color w:val="000000" w:themeColor="text1"/>
                <w:sz w:val="20"/>
              </w:rPr>
              <w:t> </w:t>
            </w:r>
            <w:r w:rsidRPr="00E2773D">
              <w:rPr>
                <w:noProof/>
                <w:color w:val="000000" w:themeColor="text1"/>
                <w:sz w:val="20"/>
              </w:rPr>
              <w:t>060</w:t>
            </w:r>
            <w:r w:rsidRPr="00C754CA">
              <w:rPr>
                <w:noProof/>
                <w:color w:val="000000" w:themeColor="text1"/>
                <w:sz w:val="20"/>
              </w:rPr>
              <w:t> </w:t>
            </w:r>
            <w:r w:rsidRPr="00E2773D">
              <w:rPr>
                <w:noProof/>
                <w:color w:val="000000" w:themeColor="text1"/>
                <w:sz w:val="20"/>
              </w:rPr>
              <w:t>000</w:t>
            </w:r>
            <w:r w:rsidRPr="00C754CA">
              <w:rPr>
                <w:noProof/>
                <w:color w:val="000000" w:themeColor="text1"/>
                <w:sz w:val="20"/>
              </w:rPr>
              <w:t>]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190CA656"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287A0472" w14:textId="77777777" w:rsidTr="4D8CB314">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1D78DE65" w14:textId="77777777" w:rsidR="00A56747" w:rsidRPr="00C754CA" w:rsidRDefault="00A56747" w:rsidP="004B53CC">
            <w:pPr>
              <w:spacing w:before="0" w:after="0"/>
              <w:rPr>
                <w:noProof/>
                <w:color w:val="000000"/>
                <w:sz w:val="20"/>
                <w:szCs w:val="20"/>
              </w:rPr>
            </w:pPr>
            <w:r w:rsidRPr="00C754CA">
              <w:rPr>
                <w:noProof/>
                <w:color w:val="000000"/>
                <w:sz w:val="20"/>
              </w:rPr>
              <w:t xml:space="preserve"> </w:t>
            </w:r>
            <w:r w:rsidRPr="00E2773D">
              <w:rPr>
                <w:noProof/>
                <w:color w:val="000000"/>
                <w:sz w:val="22"/>
              </w:rPr>
              <w:t>05</w:t>
            </w:r>
            <w:r w:rsidRPr="00C754CA">
              <w:rPr>
                <w:noProof/>
                <w:color w:val="000000"/>
                <w:sz w:val="22"/>
              </w:rPr>
              <w:t>.</w:t>
            </w:r>
            <w:r w:rsidRPr="00E2773D">
              <w:rPr>
                <w:noProof/>
                <w:color w:val="000000"/>
                <w:sz w:val="22"/>
              </w:rPr>
              <w:t>0301</w:t>
            </w:r>
            <w:r w:rsidRPr="00C754CA">
              <w:rPr>
                <w:noProof/>
                <w:color w:val="000000"/>
                <w:sz w:val="22"/>
              </w:rPr>
              <w:t xml:space="preserve"> Kohäsionsfonds – Operative Ausgaben</w:t>
            </w:r>
          </w:p>
        </w:tc>
        <w:tc>
          <w:tcPr>
            <w:tcW w:w="529" w:type="pct"/>
            <w:gridSpan w:val="3"/>
            <w:tcBorders>
              <w:top w:val="nil"/>
              <w:left w:val="nil"/>
              <w:bottom w:val="single" w:sz="8" w:space="0" w:color="auto"/>
              <w:right w:val="single" w:sz="8" w:space="0" w:color="auto"/>
            </w:tcBorders>
            <w:shd w:val="clear" w:color="auto" w:fill="auto"/>
            <w:vAlign w:val="center"/>
            <w:hideMark/>
          </w:tcPr>
          <w:p w14:paraId="40F88742" w14:textId="77777777" w:rsidR="00A56747" w:rsidRPr="00C754CA" w:rsidRDefault="00A56747" w:rsidP="004B53CC">
            <w:pPr>
              <w:spacing w:before="0" w:after="0"/>
              <w:rPr>
                <w:noProof/>
                <w:color w:val="000000"/>
                <w:sz w:val="18"/>
                <w:szCs w:val="18"/>
              </w:rPr>
            </w:pPr>
            <w:r w:rsidRPr="00C754CA">
              <w:rPr>
                <w:noProof/>
                <w:color w:val="000000"/>
                <w:sz w:val="18"/>
              </w:rPr>
              <w:t>Verpflichtungen</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1969BC28"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1</w:t>
            </w:r>
            <w:r w:rsidRPr="00C754CA">
              <w:rPr>
                <w:noProof/>
                <w:color w:val="000000"/>
                <w:sz w:val="14"/>
              </w:rPr>
              <w:t>b)</w:t>
            </w:r>
          </w:p>
        </w:tc>
        <w:tc>
          <w:tcPr>
            <w:tcW w:w="496" w:type="pct"/>
            <w:gridSpan w:val="3"/>
            <w:tcBorders>
              <w:top w:val="nil"/>
              <w:left w:val="nil"/>
              <w:bottom w:val="single" w:sz="8" w:space="0" w:color="auto"/>
              <w:right w:val="single" w:sz="8" w:space="0" w:color="auto"/>
            </w:tcBorders>
            <w:shd w:val="clear" w:color="auto" w:fill="auto"/>
            <w:vAlign w:val="center"/>
            <w:hideMark/>
          </w:tcPr>
          <w:p w14:paraId="08640175" w14:textId="77777777" w:rsidR="00A56747" w:rsidRPr="00C754CA" w:rsidRDefault="00A56747" w:rsidP="004B53CC">
            <w:pPr>
              <w:spacing w:before="0" w:after="0"/>
              <w:jc w:val="right"/>
              <w:rPr>
                <w:noProof/>
                <w:color w:val="000000"/>
                <w:sz w:val="20"/>
                <w:szCs w:val="20"/>
              </w:rPr>
            </w:pPr>
            <w:r w:rsidRPr="00C754CA">
              <w:rPr>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7F989E72" w14:textId="77777777" w:rsidR="00A56747" w:rsidRPr="00C754CA" w:rsidRDefault="00A56747" w:rsidP="004B53CC">
            <w:pPr>
              <w:spacing w:before="0" w:after="0"/>
              <w:jc w:val="right"/>
              <w:rPr>
                <w:noProof/>
                <w:color w:val="000000"/>
                <w:sz w:val="20"/>
                <w:szCs w:val="20"/>
              </w:rPr>
            </w:pPr>
            <w:r w:rsidRPr="00C754CA">
              <w:rPr>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1D037D6B"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r w:rsidRPr="00C754CA">
              <w:rPr>
                <w:noProof/>
                <w:color w:val="000000"/>
                <w:sz w:val="20"/>
              </w:rPr>
              <w:t> </w:t>
            </w:r>
          </w:p>
        </w:tc>
        <w:tc>
          <w:tcPr>
            <w:tcW w:w="478" w:type="pct"/>
            <w:gridSpan w:val="3"/>
            <w:tcBorders>
              <w:top w:val="nil"/>
              <w:left w:val="nil"/>
              <w:bottom w:val="single" w:sz="8" w:space="0" w:color="auto"/>
              <w:right w:val="single" w:sz="8" w:space="0" w:color="auto"/>
            </w:tcBorders>
            <w:shd w:val="clear" w:color="auto" w:fill="auto"/>
            <w:vAlign w:val="center"/>
            <w:hideMark/>
          </w:tcPr>
          <w:p w14:paraId="29EF2B0B"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r w:rsidRPr="00C754CA">
              <w:rPr>
                <w:noProof/>
                <w:color w:val="000000"/>
                <w:sz w:val="20"/>
              </w:rPr>
              <w:t>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57530F2D"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5A8578AF" w14:textId="77777777" w:rsidTr="4D8CB314">
        <w:trPr>
          <w:trHeight w:val="315"/>
        </w:trPr>
        <w:tc>
          <w:tcPr>
            <w:tcW w:w="1419" w:type="pct"/>
            <w:gridSpan w:val="2"/>
            <w:vMerge/>
            <w:vAlign w:val="center"/>
            <w:hideMark/>
          </w:tcPr>
          <w:p w14:paraId="6C094DBF" w14:textId="77777777" w:rsidR="00A56747" w:rsidRPr="00C754CA" w:rsidRDefault="00A56747" w:rsidP="004B53CC">
            <w:pPr>
              <w:spacing w:before="0" w:after="0"/>
              <w:jc w:val="left"/>
              <w:rPr>
                <w:noProof/>
                <w:color w:val="000000"/>
                <w:sz w:val="20"/>
                <w:szCs w:val="20"/>
                <w:lang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3BF88B67" w14:textId="77777777" w:rsidR="00A56747" w:rsidRPr="00C754CA" w:rsidRDefault="00A56747" w:rsidP="004B53CC">
            <w:pPr>
              <w:spacing w:before="0" w:after="0"/>
              <w:rPr>
                <w:noProof/>
                <w:color w:val="000000"/>
                <w:sz w:val="18"/>
                <w:szCs w:val="18"/>
              </w:rPr>
            </w:pPr>
            <w:r w:rsidRPr="00C754CA">
              <w:rPr>
                <w:noProof/>
                <w:color w:val="000000"/>
                <w:sz w:val="18"/>
              </w:rPr>
              <w:t>Zahlungen</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4908C15D"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2</w:t>
            </w:r>
            <w:r w:rsidRPr="00C754CA">
              <w:rPr>
                <w:noProof/>
                <w:color w:val="000000"/>
                <w:sz w:val="14"/>
              </w:rPr>
              <w:t>b)</w:t>
            </w:r>
          </w:p>
        </w:tc>
        <w:tc>
          <w:tcPr>
            <w:tcW w:w="496" w:type="pct"/>
            <w:gridSpan w:val="3"/>
            <w:tcBorders>
              <w:top w:val="nil"/>
              <w:left w:val="nil"/>
              <w:bottom w:val="single" w:sz="8" w:space="0" w:color="auto"/>
              <w:right w:val="single" w:sz="8" w:space="0" w:color="auto"/>
            </w:tcBorders>
            <w:shd w:val="clear" w:color="auto" w:fill="auto"/>
            <w:vAlign w:val="center"/>
            <w:hideMark/>
          </w:tcPr>
          <w:p w14:paraId="6FEEE98B" w14:textId="77777777" w:rsidR="00A56747" w:rsidRPr="00C754CA" w:rsidRDefault="00A56747" w:rsidP="004B53CC">
            <w:pPr>
              <w:spacing w:before="0" w:after="0"/>
              <w:jc w:val="right"/>
              <w:rPr>
                <w:noProof/>
                <w:color w:val="000000"/>
                <w:sz w:val="20"/>
                <w:szCs w:val="20"/>
              </w:rPr>
            </w:pPr>
            <w:r w:rsidRPr="00C754CA">
              <w:rPr>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3B8274C1" w14:textId="77777777" w:rsidR="00A56747" w:rsidRPr="00C754CA" w:rsidRDefault="00A56747" w:rsidP="004B53CC">
            <w:pPr>
              <w:spacing w:before="0" w:after="0"/>
              <w:jc w:val="right"/>
              <w:rPr>
                <w:noProof/>
                <w:color w:val="000000"/>
                <w:sz w:val="20"/>
                <w:szCs w:val="20"/>
              </w:rPr>
            </w:pPr>
            <w:r w:rsidRPr="00C754CA">
              <w:rPr>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16C5E250" w14:textId="77777777" w:rsidR="00A56747" w:rsidRPr="00C754CA" w:rsidRDefault="00671C30" w:rsidP="004B53CC">
            <w:pPr>
              <w:spacing w:before="0" w:after="0"/>
              <w:jc w:val="right"/>
              <w:rPr>
                <w:noProof/>
                <w:color w:val="000000"/>
                <w:sz w:val="20"/>
                <w:szCs w:val="20"/>
              </w:rPr>
            </w:pPr>
            <w:r w:rsidRPr="00C754CA">
              <w:rPr>
                <w:noProof/>
                <w:color w:val="000000" w:themeColor="text1"/>
                <w:sz w:val="20"/>
              </w:rPr>
              <w:t>[</w:t>
            </w:r>
            <w:r w:rsidRPr="00E2773D">
              <w:rPr>
                <w:noProof/>
                <w:color w:val="000000" w:themeColor="text1"/>
                <w:sz w:val="20"/>
              </w:rPr>
              <w:t>540</w:t>
            </w:r>
            <w:r w:rsidRPr="00C754CA">
              <w:rPr>
                <w:noProof/>
                <w:color w:val="000000" w:themeColor="text1"/>
                <w:sz w:val="20"/>
              </w:rPr>
              <w:t> </w:t>
            </w:r>
            <w:r w:rsidRPr="00E2773D">
              <w:rPr>
                <w:noProof/>
                <w:color w:val="000000" w:themeColor="text1"/>
                <w:sz w:val="20"/>
              </w:rPr>
              <w:t>000</w:t>
            </w:r>
            <w:r w:rsidRPr="00C754CA">
              <w:rPr>
                <w:noProof/>
                <w:color w:val="000000" w:themeColor="text1"/>
                <w:sz w:val="20"/>
              </w:rPr>
              <w:t>] </w:t>
            </w:r>
          </w:p>
        </w:tc>
        <w:tc>
          <w:tcPr>
            <w:tcW w:w="478" w:type="pct"/>
            <w:gridSpan w:val="3"/>
            <w:tcBorders>
              <w:top w:val="nil"/>
              <w:left w:val="nil"/>
              <w:bottom w:val="single" w:sz="8" w:space="0" w:color="auto"/>
              <w:right w:val="single" w:sz="8" w:space="0" w:color="auto"/>
            </w:tcBorders>
            <w:shd w:val="clear" w:color="auto" w:fill="auto"/>
            <w:vAlign w:val="center"/>
            <w:hideMark/>
          </w:tcPr>
          <w:p w14:paraId="4087D481" w14:textId="77777777" w:rsidR="00A56747" w:rsidRPr="00C754CA" w:rsidRDefault="00A3606D" w:rsidP="004B53CC">
            <w:pPr>
              <w:spacing w:before="0" w:after="0"/>
              <w:jc w:val="right"/>
              <w:rPr>
                <w:noProof/>
                <w:color w:val="000000"/>
                <w:sz w:val="20"/>
                <w:szCs w:val="20"/>
              </w:rPr>
            </w:pPr>
            <w:r w:rsidRPr="00C754CA">
              <w:rPr>
                <w:noProof/>
                <w:color w:val="000000" w:themeColor="text1"/>
                <w:sz w:val="20"/>
              </w:rPr>
              <w:t>[-</w:t>
            </w:r>
            <w:r w:rsidRPr="00E2773D">
              <w:rPr>
                <w:noProof/>
                <w:color w:val="000000" w:themeColor="text1"/>
                <w:sz w:val="20"/>
              </w:rPr>
              <w:t>540</w:t>
            </w:r>
            <w:r w:rsidRPr="00C754CA">
              <w:rPr>
                <w:noProof/>
                <w:color w:val="000000" w:themeColor="text1"/>
                <w:sz w:val="20"/>
              </w:rPr>
              <w:t> </w:t>
            </w:r>
            <w:r w:rsidRPr="00E2773D">
              <w:rPr>
                <w:noProof/>
                <w:color w:val="000000" w:themeColor="text1"/>
                <w:sz w:val="20"/>
              </w:rPr>
              <w:t>000</w:t>
            </w:r>
            <w:r w:rsidRPr="00C754CA">
              <w:rPr>
                <w:noProof/>
                <w:color w:val="000000" w:themeColor="text1"/>
                <w:sz w:val="20"/>
              </w:rPr>
              <w:t>]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35F0309B"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697E1370" w14:textId="77777777" w:rsidTr="00FF1EF4">
        <w:trPr>
          <w:trHeight w:val="288"/>
        </w:trPr>
        <w:tc>
          <w:tcPr>
            <w:tcW w:w="5000" w:type="pct"/>
            <w:gridSpan w:val="2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73AB43" w14:textId="77777777" w:rsidR="00A56747" w:rsidRPr="00C754CA" w:rsidRDefault="00A56747" w:rsidP="004B53CC">
            <w:pPr>
              <w:spacing w:before="0" w:after="0"/>
              <w:jc w:val="left"/>
              <w:rPr>
                <w:noProof/>
                <w:color w:val="000000"/>
                <w:sz w:val="22"/>
              </w:rPr>
            </w:pPr>
            <w:r w:rsidRPr="00C754CA">
              <w:rPr>
                <w:noProof/>
                <w:color w:val="000000"/>
                <w:sz w:val="22"/>
              </w:rPr>
              <w:t>Aus der Dotation bestimmter spezifischer Programme finanzierte Verwaltungsmittel</w:t>
            </w:r>
            <w:r w:rsidRPr="00C754CA">
              <w:rPr>
                <w:rStyle w:val="FootnoteReference"/>
                <w:noProof/>
                <w:color w:val="000000"/>
                <w:sz w:val="22"/>
                <w:lang w:eastAsia="en-IE"/>
              </w:rPr>
              <w:footnoteReference w:id="14"/>
            </w:r>
          </w:p>
        </w:tc>
      </w:tr>
      <w:tr w:rsidR="003100E7" w:rsidRPr="00C754CA" w14:paraId="73BF8805" w14:textId="77777777" w:rsidTr="4D8CB314">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14:paraId="24BC9152" w14:textId="77777777" w:rsidR="00A56747" w:rsidRPr="00C754CA" w:rsidRDefault="00A56747" w:rsidP="004B53CC">
            <w:pPr>
              <w:spacing w:before="0" w:after="0"/>
              <w:rPr>
                <w:noProof/>
                <w:color w:val="000000"/>
                <w:sz w:val="20"/>
                <w:szCs w:val="20"/>
              </w:rPr>
            </w:pPr>
            <w:r w:rsidRPr="00C754CA">
              <w:rPr>
                <w:noProof/>
                <w:color w:val="000000"/>
                <w:sz w:val="20"/>
              </w:rPr>
              <w:t>Haushaltslinie</w:t>
            </w:r>
          </w:p>
        </w:tc>
        <w:tc>
          <w:tcPr>
            <w:tcW w:w="529" w:type="pct"/>
            <w:gridSpan w:val="3"/>
            <w:tcBorders>
              <w:top w:val="nil"/>
              <w:left w:val="nil"/>
              <w:bottom w:val="single" w:sz="8" w:space="0" w:color="auto"/>
              <w:right w:val="single" w:sz="8" w:space="0" w:color="auto"/>
            </w:tcBorders>
            <w:shd w:val="clear" w:color="auto" w:fill="auto"/>
            <w:vAlign w:val="center"/>
            <w:hideMark/>
          </w:tcPr>
          <w:p w14:paraId="711FC443" w14:textId="77777777" w:rsidR="00A56747" w:rsidRPr="00C754CA" w:rsidRDefault="00A56747" w:rsidP="004B53CC">
            <w:pPr>
              <w:spacing w:before="0" w:after="0"/>
              <w:jc w:val="right"/>
              <w:rPr>
                <w:noProof/>
                <w:color w:val="000000"/>
                <w:sz w:val="18"/>
                <w:szCs w:val="18"/>
              </w:rPr>
            </w:pPr>
            <w:r w:rsidRPr="00C754CA">
              <w:rPr>
                <w:noProof/>
                <w:color w:val="000000"/>
                <w:sz w:val="18"/>
              </w:rPr>
              <w:t> </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6AB9377F"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3</w:t>
            </w:r>
            <w:r w:rsidRPr="00C754CA">
              <w:rPr>
                <w:noProof/>
                <w:color w:val="000000"/>
                <w:sz w:val="14"/>
              </w:rPr>
              <w:t>)</w:t>
            </w:r>
          </w:p>
        </w:tc>
        <w:tc>
          <w:tcPr>
            <w:tcW w:w="496" w:type="pct"/>
            <w:gridSpan w:val="3"/>
            <w:tcBorders>
              <w:top w:val="nil"/>
              <w:left w:val="nil"/>
              <w:bottom w:val="single" w:sz="8" w:space="0" w:color="auto"/>
              <w:right w:val="single" w:sz="8" w:space="0" w:color="auto"/>
            </w:tcBorders>
            <w:shd w:val="clear" w:color="auto" w:fill="auto"/>
            <w:vAlign w:val="center"/>
            <w:hideMark/>
          </w:tcPr>
          <w:p w14:paraId="5E92F866" w14:textId="77777777" w:rsidR="00A56747" w:rsidRPr="00C754CA" w:rsidRDefault="00A56747" w:rsidP="004B53CC">
            <w:pPr>
              <w:spacing w:before="0" w:after="0"/>
              <w:jc w:val="right"/>
              <w:rPr>
                <w:b/>
                <w:bCs/>
                <w:noProof/>
                <w:color w:val="000000"/>
                <w:sz w:val="20"/>
                <w:szCs w:val="20"/>
              </w:rPr>
            </w:pPr>
            <w:r w:rsidRPr="00C754CA">
              <w:rPr>
                <w:b/>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47504529" w14:textId="77777777" w:rsidR="00A56747" w:rsidRPr="00C754CA" w:rsidRDefault="00A56747" w:rsidP="004B53CC">
            <w:pPr>
              <w:spacing w:before="0" w:after="0"/>
              <w:jc w:val="right"/>
              <w:rPr>
                <w:b/>
                <w:bCs/>
                <w:noProof/>
                <w:color w:val="000000"/>
                <w:sz w:val="20"/>
                <w:szCs w:val="20"/>
              </w:rPr>
            </w:pPr>
            <w:r w:rsidRPr="00C754CA">
              <w:rPr>
                <w:b/>
                <w:noProof/>
                <w:color w:val="000000"/>
                <w:sz w:val="20"/>
              </w:rPr>
              <w:t> </w:t>
            </w:r>
          </w:p>
        </w:tc>
        <w:tc>
          <w:tcPr>
            <w:tcW w:w="496" w:type="pct"/>
            <w:gridSpan w:val="3"/>
            <w:tcBorders>
              <w:top w:val="nil"/>
              <w:left w:val="nil"/>
              <w:bottom w:val="single" w:sz="8" w:space="0" w:color="auto"/>
              <w:right w:val="single" w:sz="8" w:space="0" w:color="auto"/>
            </w:tcBorders>
            <w:shd w:val="clear" w:color="auto" w:fill="auto"/>
            <w:vAlign w:val="center"/>
            <w:hideMark/>
          </w:tcPr>
          <w:p w14:paraId="6D7A0325" w14:textId="77777777" w:rsidR="00A56747" w:rsidRPr="00C754CA" w:rsidRDefault="00A56747" w:rsidP="004B53CC">
            <w:pPr>
              <w:spacing w:before="0" w:after="0"/>
              <w:jc w:val="right"/>
              <w:rPr>
                <w:b/>
                <w:bCs/>
                <w:noProof/>
                <w:color w:val="000000"/>
                <w:sz w:val="20"/>
                <w:szCs w:val="20"/>
              </w:rPr>
            </w:pPr>
            <w:r w:rsidRPr="00C754CA">
              <w:rPr>
                <w:b/>
                <w:noProof/>
                <w:color w:val="000000"/>
                <w:sz w:val="20"/>
              </w:rPr>
              <w:t> </w:t>
            </w:r>
          </w:p>
        </w:tc>
        <w:tc>
          <w:tcPr>
            <w:tcW w:w="478" w:type="pct"/>
            <w:gridSpan w:val="3"/>
            <w:tcBorders>
              <w:top w:val="nil"/>
              <w:left w:val="nil"/>
              <w:bottom w:val="single" w:sz="8" w:space="0" w:color="auto"/>
              <w:right w:val="single" w:sz="8" w:space="0" w:color="auto"/>
            </w:tcBorders>
            <w:shd w:val="clear" w:color="auto" w:fill="auto"/>
            <w:vAlign w:val="center"/>
            <w:hideMark/>
          </w:tcPr>
          <w:p w14:paraId="7CD786B1" w14:textId="77777777" w:rsidR="00A56747" w:rsidRPr="00C754CA" w:rsidRDefault="00A56747" w:rsidP="004B53CC">
            <w:pPr>
              <w:spacing w:before="0" w:after="0"/>
              <w:jc w:val="right"/>
              <w:rPr>
                <w:b/>
                <w:bCs/>
                <w:noProof/>
                <w:color w:val="000000"/>
                <w:sz w:val="20"/>
                <w:szCs w:val="20"/>
              </w:rPr>
            </w:pPr>
            <w:r w:rsidRPr="00C754CA">
              <w:rPr>
                <w:b/>
                <w:noProof/>
                <w:color w:val="000000"/>
                <w:sz w:val="20"/>
              </w:rPr>
              <w:t>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73573600"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3D20529F" w14:textId="77777777" w:rsidTr="4D8CB314">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14:paraId="15D228EC" w14:textId="77777777" w:rsidR="00A56747" w:rsidRPr="00C754CA" w:rsidRDefault="00A56747" w:rsidP="004B53CC">
            <w:pPr>
              <w:spacing w:before="0" w:after="0"/>
              <w:jc w:val="center"/>
              <w:rPr>
                <w:b/>
                <w:bCs/>
                <w:noProof/>
                <w:color w:val="000000"/>
                <w:sz w:val="22"/>
              </w:rPr>
            </w:pPr>
            <w:r w:rsidRPr="00C754CA">
              <w:rPr>
                <w:b/>
                <w:noProof/>
                <w:color w:val="000000"/>
                <w:sz w:val="22"/>
              </w:rPr>
              <w:t>Mittel INSGESAMT</w:t>
            </w:r>
          </w:p>
          <w:p w14:paraId="3A789803" w14:textId="77777777" w:rsidR="00A56747" w:rsidRPr="00C754CA" w:rsidRDefault="00A56747" w:rsidP="004B53CC">
            <w:pPr>
              <w:spacing w:before="0" w:after="0"/>
              <w:jc w:val="center"/>
              <w:rPr>
                <w:b/>
                <w:bCs/>
                <w:noProof/>
                <w:color w:val="000000"/>
                <w:sz w:val="22"/>
              </w:rPr>
            </w:pPr>
            <w:r w:rsidRPr="00C754CA">
              <w:rPr>
                <w:b/>
                <w:bCs/>
                <w:noProof/>
                <w:color w:val="000000"/>
                <w:sz w:val="22"/>
              </w:rPr>
              <w:t>für die GD</w:t>
            </w:r>
            <w:r w:rsidRPr="00C754CA">
              <w:rPr>
                <w:noProof/>
                <w:color w:val="000000"/>
                <w:sz w:val="22"/>
              </w:rPr>
              <w:t> REGIO</w:t>
            </w:r>
          </w:p>
        </w:tc>
        <w:tc>
          <w:tcPr>
            <w:tcW w:w="529" w:type="pct"/>
            <w:gridSpan w:val="3"/>
            <w:tcBorders>
              <w:top w:val="nil"/>
              <w:left w:val="nil"/>
              <w:bottom w:val="single" w:sz="8" w:space="0" w:color="auto"/>
              <w:right w:val="single" w:sz="8" w:space="0" w:color="auto"/>
            </w:tcBorders>
            <w:shd w:val="clear" w:color="auto" w:fill="auto"/>
            <w:vAlign w:val="center"/>
            <w:hideMark/>
          </w:tcPr>
          <w:p w14:paraId="3F6C805C" w14:textId="77777777" w:rsidR="00A56747" w:rsidRPr="00C754CA" w:rsidRDefault="00A56747" w:rsidP="004B53CC">
            <w:pPr>
              <w:spacing w:before="0" w:after="0"/>
              <w:rPr>
                <w:noProof/>
                <w:color w:val="000000"/>
                <w:sz w:val="18"/>
                <w:szCs w:val="18"/>
              </w:rPr>
            </w:pPr>
            <w:r w:rsidRPr="00C754CA">
              <w:rPr>
                <w:noProof/>
                <w:color w:val="000000"/>
                <w:sz w:val="18"/>
              </w:rPr>
              <w:t>Verpflichtungen</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40851806"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1</w:t>
            </w:r>
            <w:r w:rsidRPr="00C754CA">
              <w:rPr>
                <w:noProof/>
                <w:color w:val="000000"/>
                <w:sz w:val="14"/>
              </w:rPr>
              <w:t>a+</w:t>
            </w:r>
            <w:r w:rsidRPr="00E2773D">
              <w:rPr>
                <w:noProof/>
                <w:color w:val="000000"/>
                <w:sz w:val="14"/>
              </w:rPr>
              <w:t>1</w:t>
            </w:r>
            <w:r w:rsidRPr="00C754CA">
              <w:rPr>
                <w:noProof/>
                <w:color w:val="000000"/>
                <w:sz w:val="14"/>
              </w:rPr>
              <w:t>b+</w:t>
            </w:r>
            <w:r w:rsidRPr="00E2773D">
              <w:rPr>
                <w:noProof/>
                <w:color w:val="000000"/>
                <w:sz w:val="14"/>
              </w:rPr>
              <w:t>3</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CF76669"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A20A7E1"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1D5457E"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78"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DD7DC0C"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6D219A10"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354F14D9" w14:textId="77777777" w:rsidTr="4D8CB314">
        <w:trPr>
          <w:trHeight w:val="288"/>
        </w:trPr>
        <w:tc>
          <w:tcPr>
            <w:tcW w:w="1419" w:type="pct"/>
            <w:gridSpan w:val="2"/>
            <w:vMerge/>
            <w:vAlign w:val="center"/>
            <w:hideMark/>
          </w:tcPr>
          <w:p w14:paraId="1C0E6C84" w14:textId="77777777" w:rsidR="00A56747" w:rsidRPr="00C754CA" w:rsidRDefault="00A56747" w:rsidP="004B53CC">
            <w:pPr>
              <w:spacing w:before="0" w:after="0"/>
              <w:jc w:val="center"/>
              <w:rPr>
                <w:b/>
                <w:bCs/>
                <w:noProof/>
                <w:color w:val="000000"/>
                <w:sz w:val="22"/>
                <w:lang w:eastAsia="en-IE"/>
              </w:rPr>
            </w:pPr>
          </w:p>
        </w:tc>
        <w:tc>
          <w:tcPr>
            <w:tcW w:w="529" w:type="pct"/>
            <w:gridSpan w:val="3"/>
            <w:tcBorders>
              <w:top w:val="nil"/>
              <w:left w:val="single" w:sz="8" w:space="0" w:color="auto"/>
              <w:bottom w:val="single" w:sz="8" w:space="0" w:color="auto"/>
              <w:right w:val="single" w:sz="8" w:space="0" w:color="auto"/>
            </w:tcBorders>
            <w:shd w:val="clear" w:color="auto" w:fill="auto"/>
            <w:vAlign w:val="center"/>
            <w:hideMark/>
          </w:tcPr>
          <w:p w14:paraId="7065B3C1" w14:textId="77777777" w:rsidR="00A56747" w:rsidRPr="00C754CA" w:rsidRDefault="00A56747" w:rsidP="004B53CC">
            <w:pPr>
              <w:spacing w:before="0" w:after="0"/>
              <w:rPr>
                <w:noProof/>
                <w:color w:val="000000"/>
                <w:sz w:val="18"/>
                <w:szCs w:val="18"/>
              </w:rPr>
            </w:pPr>
            <w:r w:rsidRPr="00C754CA">
              <w:rPr>
                <w:noProof/>
                <w:color w:val="000000"/>
                <w:sz w:val="18"/>
              </w:rPr>
              <w:t>Zahlungen</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08ADEEF9"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2</w:t>
            </w:r>
            <w:r w:rsidRPr="00C754CA">
              <w:rPr>
                <w:noProof/>
                <w:color w:val="000000"/>
                <w:sz w:val="14"/>
              </w:rPr>
              <w:t>a+</w:t>
            </w:r>
            <w:r w:rsidRPr="00E2773D">
              <w:rPr>
                <w:noProof/>
                <w:color w:val="000000"/>
                <w:sz w:val="14"/>
              </w:rPr>
              <w:t>2</w:t>
            </w:r>
            <w:r w:rsidRPr="00C754CA">
              <w:rPr>
                <w:noProof/>
                <w:color w:val="000000"/>
                <w:sz w:val="14"/>
              </w:rPr>
              <w:t>b+</w:t>
            </w:r>
            <w:r w:rsidRPr="00E2773D">
              <w:rPr>
                <w:noProof/>
                <w:color w:val="000000"/>
                <w:sz w:val="14"/>
              </w:rPr>
              <w:t>3</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3B583AD"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58946AF"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E69824F" w14:textId="77777777" w:rsidR="00A56747" w:rsidRPr="00C754CA" w:rsidRDefault="00671C30" w:rsidP="004B53CC">
            <w:pPr>
              <w:spacing w:before="0" w:after="0"/>
              <w:jc w:val="right"/>
              <w:rPr>
                <w:b/>
                <w:bCs/>
                <w:noProof/>
                <w:color w:val="000000"/>
                <w:sz w:val="20"/>
                <w:szCs w:val="20"/>
              </w:rPr>
            </w:pPr>
            <w:r w:rsidRPr="00C754CA">
              <w:rPr>
                <w:b/>
                <w:noProof/>
                <w:color w:val="000000" w:themeColor="text1"/>
                <w:sz w:val="20"/>
              </w:rPr>
              <w:t>[</w:t>
            </w:r>
            <w:r w:rsidRPr="00E2773D">
              <w:rPr>
                <w:b/>
                <w:noProof/>
                <w:color w:val="000000" w:themeColor="text1"/>
                <w:sz w:val="20"/>
              </w:rPr>
              <w:t>3</w:t>
            </w:r>
            <w:r w:rsidRPr="00C754CA">
              <w:rPr>
                <w:b/>
                <w:noProof/>
                <w:color w:val="000000" w:themeColor="text1"/>
                <w:sz w:val="20"/>
              </w:rPr>
              <w:t> </w:t>
            </w:r>
            <w:r w:rsidRPr="00E2773D">
              <w:rPr>
                <w:b/>
                <w:noProof/>
                <w:color w:val="000000" w:themeColor="text1"/>
                <w:sz w:val="20"/>
              </w:rPr>
              <w:t>600</w:t>
            </w:r>
            <w:r w:rsidRPr="00C754CA">
              <w:rPr>
                <w:b/>
                <w:noProof/>
                <w:color w:val="000000" w:themeColor="text1"/>
                <w:sz w:val="20"/>
              </w:rPr>
              <w:t> </w:t>
            </w:r>
            <w:r w:rsidRPr="00E2773D">
              <w:rPr>
                <w:b/>
                <w:noProof/>
                <w:color w:val="000000" w:themeColor="text1"/>
                <w:sz w:val="20"/>
              </w:rPr>
              <w:t>000</w:t>
            </w:r>
            <w:r w:rsidRPr="00C754CA">
              <w:rPr>
                <w:b/>
                <w:noProof/>
                <w:color w:val="000000" w:themeColor="text1"/>
                <w:sz w:val="20"/>
              </w:rPr>
              <w:t>]</w:t>
            </w:r>
          </w:p>
        </w:tc>
        <w:tc>
          <w:tcPr>
            <w:tcW w:w="478"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0B90FA0" w14:textId="77777777" w:rsidR="00A56747" w:rsidRPr="00C754CA" w:rsidRDefault="00671C30" w:rsidP="004B53CC">
            <w:pPr>
              <w:spacing w:before="0" w:after="0"/>
              <w:jc w:val="right"/>
              <w:rPr>
                <w:b/>
                <w:bCs/>
                <w:noProof/>
                <w:color w:val="000000"/>
                <w:sz w:val="20"/>
                <w:szCs w:val="20"/>
              </w:rPr>
            </w:pPr>
            <w:r w:rsidRPr="00C754CA">
              <w:rPr>
                <w:b/>
                <w:noProof/>
                <w:color w:val="000000" w:themeColor="text1"/>
                <w:sz w:val="20"/>
              </w:rPr>
              <w:t>[-</w:t>
            </w:r>
            <w:r w:rsidRPr="00E2773D">
              <w:rPr>
                <w:b/>
                <w:noProof/>
                <w:color w:val="000000" w:themeColor="text1"/>
                <w:sz w:val="20"/>
              </w:rPr>
              <w:t>3</w:t>
            </w:r>
            <w:r w:rsidRPr="00C754CA">
              <w:rPr>
                <w:b/>
                <w:noProof/>
                <w:color w:val="000000" w:themeColor="text1"/>
                <w:sz w:val="20"/>
              </w:rPr>
              <w:t> </w:t>
            </w:r>
            <w:r w:rsidRPr="00E2773D">
              <w:rPr>
                <w:b/>
                <w:noProof/>
                <w:color w:val="000000" w:themeColor="text1"/>
                <w:sz w:val="20"/>
              </w:rPr>
              <w:t>600</w:t>
            </w:r>
            <w:r w:rsidRPr="00C754CA">
              <w:rPr>
                <w:b/>
                <w:noProof/>
                <w:color w:val="000000" w:themeColor="text1"/>
                <w:sz w:val="20"/>
              </w:rPr>
              <w:t> </w:t>
            </w:r>
            <w:r w:rsidRPr="00E2773D">
              <w:rPr>
                <w:b/>
                <w:noProof/>
                <w:color w:val="000000" w:themeColor="text1"/>
                <w:sz w:val="20"/>
              </w:rPr>
              <w:t>000</w:t>
            </w:r>
            <w:r w:rsidRPr="00C754CA">
              <w:rPr>
                <w:b/>
                <w:noProof/>
                <w:color w:val="000000" w:themeColor="text1"/>
                <w:sz w:val="20"/>
              </w:rPr>
              <w:t>]</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369961F0"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6FD2F4FB" w14:textId="77777777" w:rsidTr="2618532F">
        <w:trPr>
          <w:cantSplit/>
          <w:trHeight w:val="300"/>
        </w:trPr>
        <w:tc>
          <w:tcPr>
            <w:tcW w:w="2432" w:type="pct"/>
            <w:gridSpan w:val="8"/>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35DF8872" w14:textId="77777777" w:rsidR="00A56747" w:rsidRPr="00C754CA" w:rsidRDefault="00A56747" w:rsidP="004B53CC">
            <w:pPr>
              <w:spacing w:before="0" w:after="0"/>
              <w:jc w:val="center"/>
              <w:rPr>
                <w:b/>
                <w:bCs/>
                <w:noProof/>
                <w:color w:val="000000"/>
                <w:sz w:val="22"/>
              </w:rPr>
            </w:pPr>
            <w:r w:rsidRPr="00C754CA">
              <w:rPr>
                <w:b/>
                <w:noProof/>
                <w:color w:val="000000"/>
                <w:sz w:val="22"/>
              </w:rPr>
              <w:t> </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5B825F6B"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33937C31"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3C1021FE"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51F4DDF8"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96"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F464FC"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2021</w:t>
            </w:r>
            <w:r w:rsidRPr="00C754CA">
              <w:rPr>
                <w:b/>
                <w:noProof/>
                <w:color w:val="000000"/>
                <w:sz w:val="20"/>
              </w:rPr>
              <w:t>-</w:t>
            </w:r>
            <w:r w:rsidRPr="00E2773D">
              <w:rPr>
                <w:b/>
                <w:noProof/>
                <w:color w:val="000000"/>
                <w:sz w:val="20"/>
              </w:rPr>
              <w:t>2027</w:t>
            </w:r>
            <w:r w:rsidRPr="00C754CA">
              <w:rPr>
                <w:b/>
                <w:noProof/>
                <w:color w:val="000000"/>
                <w:sz w:val="20"/>
              </w:rPr>
              <w:t xml:space="preserve"> INSGESAMT</w:t>
            </w:r>
          </w:p>
        </w:tc>
      </w:tr>
      <w:tr w:rsidR="00A56747" w:rsidRPr="00C754CA" w14:paraId="4EF879A6" w14:textId="77777777" w:rsidTr="00FF1EF4">
        <w:trPr>
          <w:cantSplit/>
          <w:trHeight w:val="300"/>
        </w:trPr>
        <w:tc>
          <w:tcPr>
            <w:tcW w:w="2432" w:type="pct"/>
            <w:gridSpan w:val="8"/>
            <w:vMerge/>
            <w:vAlign w:val="center"/>
            <w:hideMark/>
          </w:tcPr>
          <w:p w14:paraId="0B0D2E6F" w14:textId="77777777" w:rsidR="00A56747" w:rsidRPr="00C754CA" w:rsidRDefault="00A56747" w:rsidP="004B53CC">
            <w:pPr>
              <w:spacing w:before="0" w:after="0"/>
              <w:jc w:val="left"/>
              <w:rPr>
                <w:b/>
                <w:bCs/>
                <w:noProof/>
                <w:color w:val="000000"/>
                <w:sz w:val="22"/>
                <w:lang w:eastAsia="en-IE"/>
              </w:rPr>
            </w:pPr>
          </w:p>
        </w:tc>
        <w:tc>
          <w:tcPr>
            <w:tcW w:w="493" w:type="pct"/>
            <w:gridSpan w:val="3"/>
            <w:tcBorders>
              <w:top w:val="nil"/>
              <w:left w:val="nil"/>
              <w:bottom w:val="single" w:sz="8" w:space="0" w:color="auto"/>
              <w:right w:val="single" w:sz="8" w:space="0" w:color="auto"/>
            </w:tcBorders>
            <w:shd w:val="clear" w:color="auto" w:fill="auto"/>
            <w:vAlign w:val="center"/>
            <w:hideMark/>
          </w:tcPr>
          <w:p w14:paraId="13BB0582"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2024</w:t>
            </w:r>
          </w:p>
        </w:tc>
        <w:tc>
          <w:tcPr>
            <w:tcW w:w="493" w:type="pct"/>
            <w:gridSpan w:val="3"/>
            <w:tcBorders>
              <w:top w:val="nil"/>
              <w:left w:val="nil"/>
              <w:bottom w:val="single" w:sz="8" w:space="0" w:color="auto"/>
              <w:right w:val="single" w:sz="8" w:space="0" w:color="auto"/>
            </w:tcBorders>
            <w:shd w:val="clear" w:color="auto" w:fill="auto"/>
            <w:vAlign w:val="center"/>
            <w:hideMark/>
          </w:tcPr>
          <w:p w14:paraId="08CF1403"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2025</w:t>
            </w:r>
          </w:p>
        </w:tc>
        <w:tc>
          <w:tcPr>
            <w:tcW w:w="493" w:type="pct"/>
            <w:gridSpan w:val="3"/>
            <w:tcBorders>
              <w:top w:val="nil"/>
              <w:left w:val="nil"/>
              <w:bottom w:val="single" w:sz="8" w:space="0" w:color="auto"/>
              <w:right w:val="single" w:sz="8" w:space="0" w:color="auto"/>
            </w:tcBorders>
            <w:shd w:val="clear" w:color="auto" w:fill="auto"/>
            <w:vAlign w:val="center"/>
            <w:hideMark/>
          </w:tcPr>
          <w:p w14:paraId="0B3F6B05"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2026</w:t>
            </w:r>
          </w:p>
        </w:tc>
        <w:tc>
          <w:tcPr>
            <w:tcW w:w="493" w:type="pct"/>
            <w:gridSpan w:val="3"/>
            <w:tcBorders>
              <w:top w:val="nil"/>
              <w:left w:val="nil"/>
              <w:bottom w:val="single" w:sz="8" w:space="0" w:color="auto"/>
              <w:right w:val="single" w:sz="8" w:space="0" w:color="auto"/>
            </w:tcBorders>
            <w:shd w:val="clear" w:color="auto" w:fill="auto"/>
            <w:vAlign w:val="center"/>
            <w:hideMark/>
          </w:tcPr>
          <w:p w14:paraId="1AF94D93"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2027</w:t>
            </w:r>
          </w:p>
        </w:tc>
        <w:tc>
          <w:tcPr>
            <w:tcW w:w="596" w:type="pct"/>
            <w:gridSpan w:val="3"/>
            <w:vMerge/>
            <w:vAlign w:val="center"/>
            <w:hideMark/>
          </w:tcPr>
          <w:p w14:paraId="6921C110" w14:textId="77777777" w:rsidR="00A56747" w:rsidRPr="00C754CA" w:rsidRDefault="00A56747" w:rsidP="004B53CC">
            <w:pPr>
              <w:spacing w:before="0" w:after="0"/>
              <w:jc w:val="left"/>
              <w:rPr>
                <w:b/>
                <w:bCs/>
                <w:noProof/>
                <w:color w:val="000000"/>
                <w:sz w:val="20"/>
                <w:szCs w:val="20"/>
                <w:lang w:eastAsia="en-IE"/>
              </w:rPr>
            </w:pPr>
          </w:p>
        </w:tc>
      </w:tr>
      <w:tr w:rsidR="003100E7" w:rsidRPr="00C754CA" w14:paraId="111CB614" w14:textId="77777777" w:rsidTr="2618532F">
        <w:trPr>
          <w:cantSplit/>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2D5FB24B" w14:textId="77777777" w:rsidR="00A56747" w:rsidRPr="00C754CA" w:rsidRDefault="00A56747" w:rsidP="004B53CC">
            <w:pPr>
              <w:spacing w:before="0" w:after="0"/>
              <w:rPr>
                <w:noProof/>
                <w:color w:val="000000"/>
                <w:sz w:val="21"/>
                <w:szCs w:val="21"/>
              </w:rPr>
            </w:pPr>
            <w:r w:rsidRPr="00C754CA">
              <w:rPr>
                <w:noProof/>
                <w:color w:val="000000"/>
                <w:sz w:val="21"/>
              </w:rPr>
              <w:t xml:space="preserve">Operative Mittel INSGESAMT </w:t>
            </w:r>
            <w:r w:rsidRPr="00C754CA">
              <w:rPr>
                <w:noProof/>
                <w:color w:val="000000"/>
                <w:sz w:val="21"/>
              </w:rPr>
              <w:br/>
            </w:r>
          </w:p>
        </w:tc>
        <w:tc>
          <w:tcPr>
            <w:tcW w:w="529" w:type="pct"/>
            <w:gridSpan w:val="3"/>
            <w:tcBorders>
              <w:top w:val="nil"/>
              <w:left w:val="nil"/>
              <w:bottom w:val="single" w:sz="8" w:space="0" w:color="auto"/>
              <w:right w:val="single" w:sz="8" w:space="0" w:color="auto"/>
            </w:tcBorders>
            <w:shd w:val="clear" w:color="auto" w:fill="auto"/>
            <w:vAlign w:val="center"/>
            <w:hideMark/>
          </w:tcPr>
          <w:p w14:paraId="4B47AAAE" w14:textId="77777777" w:rsidR="00A56747" w:rsidRPr="00C754CA" w:rsidRDefault="00A56747" w:rsidP="004B53CC">
            <w:pPr>
              <w:spacing w:before="0" w:after="0"/>
              <w:rPr>
                <w:noProof/>
                <w:color w:val="000000"/>
                <w:sz w:val="18"/>
                <w:szCs w:val="18"/>
              </w:rPr>
            </w:pPr>
            <w:r w:rsidRPr="00C754CA">
              <w:rPr>
                <w:noProof/>
                <w:color w:val="000000"/>
                <w:sz w:val="18"/>
              </w:rPr>
              <w:t>Verpflichtungen</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176BC156"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4</w:t>
            </w:r>
            <w:r w:rsidRPr="00C754CA">
              <w:rPr>
                <w:noProof/>
                <w:color w:val="000000"/>
                <w:sz w:val="14"/>
              </w:rPr>
              <w:t>)</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BE4B7D7"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06D8467"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47D4054"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419B95A"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9E85549"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01D98753" w14:textId="77777777" w:rsidTr="2618532F">
        <w:trPr>
          <w:cantSplit/>
          <w:trHeight w:val="456"/>
        </w:trPr>
        <w:tc>
          <w:tcPr>
            <w:tcW w:w="1411" w:type="pct"/>
            <w:vMerge/>
            <w:vAlign w:val="center"/>
            <w:hideMark/>
          </w:tcPr>
          <w:p w14:paraId="1581C79A" w14:textId="77777777" w:rsidR="00A56747" w:rsidRPr="00C754CA" w:rsidRDefault="00A56747" w:rsidP="004B53CC">
            <w:pPr>
              <w:spacing w:before="0" w:after="0"/>
              <w:jc w:val="left"/>
              <w:rPr>
                <w:noProof/>
                <w:color w:val="000000"/>
                <w:sz w:val="21"/>
                <w:szCs w:val="21"/>
                <w:lang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2ED32A79" w14:textId="77777777" w:rsidR="00A56747" w:rsidRPr="00C754CA" w:rsidRDefault="00A56747" w:rsidP="004B53CC">
            <w:pPr>
              <w:spacing w:before="0" w:after="0"/>
              <w:rPr>
                <w:noProof/>
                <w:color w:val="000000"/>
                <w:sz w:val="18"/>
                <w:szCs w:val="18"/>
              </w:rPr>
            </w:pPr>
            <w:r w:rsidRPr="00C754CA">
              <w:rPr>
                <w:noProof/>
                <w:color w:val="000000"/>
                <w:sz w:val="18"/>
              </w:rPr>
              <w:t>Zahlungen</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76114164"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5</w:t>
            </w:r>
            <w:r w:rsidRPr="00C754CA">
              <w:rPr>
                <w:noProof/>
                <w:color w:val="000000"/>
                <w:sz w:val="14"/>
              </w:rPr>
              <w:t>)</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F068694"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86588F3"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A439A0F" w14:textId="77777777" w:rsidR="00A56747" w:rsidRPr="00C754CA" w:rsidRDefault="00A3606D" w:rsidP="004B53CC">
            <w:pPr>
              <w:spacing w:before="0" w:after="0"/>
              <w:jc w:val="right"/>
              <w:rPr>
                <w:noProof/>
                <w:color w:val="000000"/>
                <w:sz w:val="20"/>
                <w:szCs w:val="20"/>
              </w:rPr>
            </w:pPr>
            <w:r w:rsidRPr="00C754CA">
              <w:rPr>
                <w:noProof/>
                <w:color w:val="000000" w:themeColor="text1"/>
                <w:sz w:val="20"/>
              </w:rPr>
              <w:t>[</w:t>
            </w:r>
            <w:r w:rsidRPr="00E2773D">
              <w:rPr>
                <w:noProof/>
                <w:color w:val="000000" w:themeColor="text1"/>
                <w:sz w:val="20"/>
              </w:rPr>
              <w:t>3</w:t>
            </w:r>
            <w:r w:rsidRPr="00C754CA">
              <w:rPr>
                <w:noProof/>
                <w:color w:val="000000" w:themeColor="text1"/>
                <w:sz w:val="20"/>
              </w:rPr>
              <w:t> </w:t>
            </w:r>
            <w:r w:rsidRPr="00E2773D">
              <w:rPr>
                <w:noProof/>
                <w:color w:val="000000" w:themeColor="text1"/>
                <w:sz w:val="20"/>
              </w:rPr>
              <w:t>600</w:t>
            </w:r>
            <w:r w:rsidRPr="00C754CA">
              <w:rPr>
                <w:noProof/>
                <w:color w:val="000000" w:themeColor="text1"/>
                <w:sz w:val="20"/>
              </w:rPr>
              <w:t> </w:t>
            </w:r>
            <w:r w:rsidRPr="00E2773D">
              <w:rPr>
                <w:noProof/>
                <w:color w:val="000000" w:themeColor="text1"/>
                <w:sz w:val="20"/>
              </w:rPr>
              <w:t>000</w:t>
            </w:r>
            <w:r w:rsidRPr="00C754CA">
              <w:rPr>
                <w:noProof/>
                <w:color w:val="000000" w:themeColor="text1"/>
                <w:sz w:val="20"/>
              </w:rPr>
              <w:t>]</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E7A0BBD" w14:textId="77777777" w:rsidR="00A56747" w:rsidRPr="00C754CA" w:rsidRDefault="00A3606D" w:rsidP="004B53CC">
            <w:pPr>
              <w:spacing w:before="0" w:after="0"/>
              <w:jc w:val="right"/>
              <w:rPr>
                <w:noProof/>
                <w:color w:val="000000"/>
                <w:sz w:val="20"/>
                <w:szCs w:val="20"/>
              </w:rPr>
            </w:pPr>
            <w:r w:rsidRPr="00C754CA">
              <w:rPr>
                <w:noProof/>
                <w:color w:val="000000" w:themeColor="text1"/>
                <w:sz w:val="20"/>
              </w:rPr>
              <w:t>[-</w:t>
            </w:r>
            <w:r w:rsidRPr="00E2773D">
              <w:rPr>
                <w:noProof/>
                <w:color w:val="000000" w:themeColor="text1"/>
                <w:sz w:val="20"/>
              </w:rPr>
              <w:t>3</w:t>
            </w:r>
            <w:r w:rsidRPr="00C754CA">
              <w:rPr>
                <w:noProof/>
                <w:color w:val="000000" w:themeColor="text1"/>
                <w:sz w:val="20"/>
              </w:rPr>
              <w:t> </w:t>
            </w:r>
            <w:r w:rsidRPr="00E2773D">
              <w:rPr>
                <w:noProof/>
                <w:color w:val="000000" w:themeColor="text1"/>
                <w:sz w:val="20"/>
              </w:rPr>
              <w:t>600</w:t>
            </w:r>
            <w:r w:rsidRPr="00C754CA">
              <w:rPr>
                <w:noProof/>
                <w:color w:val="000000" w:themeColor="text1"/>
                <w:sz w:val="20"/>
              </w:rPr>
              <w:t> </w:t>
            </w:r>
            <w:r w:rsidRPr="00E2773D">
              <w:rPr>
                <w:noProof/>
                <w:color w:val="000000" w:themeColor="text1"/>
                <w:sz w:val="20"/>
              </w:rPr>
              <w:t>000</w:t>
            </w:r>
            <w:r w:rsidRPr="00C754CA">
              <w:rPr>
                <w:noProof/>
                <w:color w:val="000000" w:themeColor="text1"/>
                <w:sz w:val="20"/>
              </w:rPr>
              <w:t>]</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B2126C8"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43D333BE" w14:textId="77777777" w:rsidTr="2618532F">
        <w:trPr>
          <w:cantSplit/>
          <w:trHeight w:val="924"/>
        </w:trPr>
        <w:tc>
          <w:tcPr>
            <w:tcW w:w="1939"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1292544" w14:textId="77777777" w:rsidR="00A56747" w:rsidRPr="00C754CA" w:rsidRDefault="00A56747" w:rsidP="004B53CC">
            <w:pPr>
              <w:spacing w:before="0" w:after="0"/>
              <w:rPr>
                <w:noProof/>
                <w:color w:val="000000"/>
                <w:sz w:val="21"/>
                <w:szCs w:val="21"/>
              </w:rPr>
            </w:pPr>
            <w:r w:rsidRPr="00C754CA">
              <w:rPr>
                <w:noProof/>
                <w:color w:val="000000"/>
                <w:sz w:val="21"/>
              </w:rPr>
              <w:t xml:space="preserve">Aus der Dotation bestimmter spezifischer Programme finanzierte Verwaltungsmittel INSGESAMT </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72875853"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6</w:t>
            </w:r>
            <w:r w:rsidRPr="00C754CA">
              <w:rPr>
                <w:noProof/>
                <w:color w:val="000000"/>
                <w:sz w:val="14"/>
              </w:rPr>
              <w:t>)</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D5468F4"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A4B3BC5"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340DA51"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A0448E5"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16D2939"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7B1EEFB0" w14:textId="77777777" w:rsidTr="2618532F">
        <w:trPr>
          <w:cantSplit/>
          <w:trHeight w:val="564"/>
        </w:trPr>
        <w:tc>
          <w:tcPr>
            <w:tcW w:w="1411" w:type="pct"/>
            <w:tcBorders>
              <w:top w:val="nil"/>
              <w:left w:val="single" w:sz="8" w:space="0" w:color="auto"/>
              <w:bottom w:val="nil"/>
              <w:right w:val="single" w:sz="8" w:space="0" w:color="auto"/>
            </w:tcBorders>
            <w:shd w:val="clear" w:color="auto" w:fill="F1F1F1"/>
            <w:vAlign w:val="center"/>
            <w:hideMark/>
          </w:tcPr>
          <w:p w14:paraId="1874D72B" w14:textId="77777777" w:rsidR="00A56747" w:rsidRPr="00C754CA" w:rsidRDefault="00A56747" w:rsidP="004B53CC">
            <w:pPr>
              <w:spacing w:before="0" w:after="0"/>
              <w:jc w:val="center"/>
              <w:rPr>
                <w:b/>
                <w:bCs/>
                <w:noProof/>
                <w:color w:val="000000"/>
                <w:sz w:val="22"/>
              </w:rPr>
            </w:pPr>
            <w:r w:rsidRPr="00C754CA">
              <w:rPr>
                <w:b/>
                <w:noProof/>
                <w:color w:val="000000"/>
                <w:sz w:val="22"/>
              </w:rPr>
              <w:t>Mittel INSGESAMT unter der RUBRIK </w:t>
            </w:r>
            <w:r w:rsidRPr="00E2773D">
              <w:rPr>
                <w:b/>
                <w:noProof/>
                <w:color w:val="000000"/>
                <w:sz w:val="22"/>
              </w:rPr>
              <w:t>2</w:t>
            </w:r>
            <w:r w:rsidRPr="00C754CA">
              <w:rPr>
                <w:b/>
                <w:noProof/>
                <w:color w:val="000000"/>
                <w:sz w:val="22"/>
              </w:rPr>
              <w:t>a</w:t>
            </w:r>
          </w:p>
        </w:tc>
        <w:tc>
          <w:tcPr>
            <w:tcW w:w="529" w:type="pct"/>
            <w:gridSpan w:val="3"/>
            <w:tcBorders>
              <w:top w:val="nil"/>
              <w:left w:val="nil"/>
              <w:bottom w:val="single" w:sz="8" w:space="0" w:color="auto"/>
              <w:right w:val="single" w:sz="8" w:space="0" w:color="auto"/>
            </w:tcBorders>
            <w:shd w:val="clear" w:color="auto" w:fill="auto"/>
            <w:vAlign w:val="center"/>
            <w:hideMark/>
          </w:tcPr>
          <w:p w14:paraId="556F499D" w14:textId="77777777" w:rsidR="00A56747" w:rsidRPr="00C754CA" w:rsidRDefault="00A56747" w:rsidP="004B53CC">
            <w:pPr>
              <w:spacing w:before="0" w:after="0"/>
              <w:rPr>
                <w:noProof/>
                <w:color w:val="000000"/>
                <w:sz w:val="18"/>
                <w:szCs w:val="18"/>
              </w:rPr>
            </w:pPr>
            <w:r w:rsidRPr="00C754CA">
              <w:rPr>
                <w:noProof/>
                <w:color w:val="000000"/>
                <w:sz w:val="18"/>
              </w:rPr>
              <w:t>Verpflichtungen</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2967E055" w14:textId="77777777" w:rsidR="00A56747" w:rsidRPr="00C754CA" w:rsidRDefault="00A56747" w:rsidP="004B53CC">
            <w:pPr>
              <w:spacing w:before="0" w:after="0"/>
              <w:jc w:val="center"/>
              <w:rPr>
                <w:noProof/>
                <w:color w:val="000000"/>
                <w:sz w:val="14"/>
                <w:szCs w:val="14"/>
              </w:rPr>
            </w:pPr>
            <w:r w:rsidRPr="00C754CA">
              <w:rPr>
                <w:noProof/>
                <w:color w:val="000000"/>
                <w:sz w:val="14"/>
              </w:rPr>
              <w:t>= </w:t>
            </w:r>
            <w:r w:rsidRPr="00E2773D">
              <w:rPr>
                <w:noProof/>
                <w:color w:val="000000"/>
                <w:sz w:val="14"/>
              </w:rPr>
              <w:t>4</w:t>
            </w:r>
            <w:r w:rsidRPr="00C754CA">
              <w:rPr>
                <w:noProof/>
                <w:color w:val="000000"/>
                <w:sz w:val="14"/>
              </w:rPr>
              <w:t>+</w:t>
            </w:r>
            <w:r w:rsidRPr="00E2773D">
              <w:rPr>
                <w:noProof/>
                <w:color w:val="000000"/>
                <w:sz w:val="14"/>
              </w:rPr>
              <w:t>6</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115DD9F"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EE3CDD8"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45C89F8"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D25D944"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00CEE4E"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1D5B8410" w14:textId="77777777" w:rsidTr="2618532F">
        <w:trPr>
          <w:cantSplit/>
          <w:trHeight w:val="528"/>
        </w:trPr>
        <w:tc>
          <w:tcPr>
            <w:tcW w:w="1411" w:type="pct"/>
            <w:tcBorders>
              <w:top w:val="nil"/>
              <w:left w:val="single" w:sz="8" w:space="0" w:color="auto"/>
              <w:bottom w:val="single" w:sz="8" w:space="0" w:color="auto"/>
              <w:right w:val="single" w:sz="8" w:space="0" w:color="auto"/>
            </w:tcBorders>
            <w:shd w:val="clear" w:color="auto" w:fill="F1F1F1"/>
            <w:vAlign w:val="center"/>
            <w:hideMark/>
          </w:tcPr>
          <w:p w14:paraId="6CDE2C78" w14:textId="77777777" w:rsidR="00A56747" w:rsidRPr="00C754CA" w:rsidRDefault="00A56747" w:rsidP="004B53CC">
            <w:pPr>
              <w:spacing w:before="0" w:after="0"/>
              <w:jc w:val="center"/>
              <w:rPr>
                <w:noProof/>
                <w:color w:val="000000"/>
                <w:sz w:val="22"/>
              </w:rPr>
            </w:pPr>
            <w:r w:rsidRPr="00C754CA">
              <w:rPr>
                <w:noProof/>
                <w:color w:val="000000"/>
                <w:sz w:val="22"/>
              </w:rPr>
              <w:t>des Mehrjährigen Finanzrahmens</w:t>
            </w:r>
          </w:p>
        </w:tc>
        <w:tc>
          <w:tcPr>
            <w:tcW w:w="529" w:type="pct"/>
            <w:gridSpan w:val="3"/>
            <w:tcBorders>
              <w:top w:val="nil"/>
              <w:left w:val="nil"/>
              <w:bottom w:val="single" w:sz="8" w:space="0" w:color="auto"/>
              <w:right w:val="single" w:sz="8" w:space="0" w:color="auto"/>
            </w:tcBorders>
            <w:shd w:val="clear" w:color="auto" w:fill="auto"/>
            <w:vAlign w:val="center"/>
            <w:hideMark/>
          </w:tcPr>
          <w:p w14:paraId="225CE969" w14:textId="77777777" w:rsidR="00A56747" w:rsidRPr="00C754CA" w:rsidRDefault="00A56747" w:rsidP="004B53CC">
            <w:pPr>
              <w:spacing w:before="0" w:after="0"/>
              <w:rPr>
                <w:noProof/>
                <w:color w:val="000000"/>
                <w:sz w:val="18"/>
                <w:szCs w:val="18"/>
              </w:rPr>
            </w:pPr>
            <w:r w:rsidRPr="00C754CA">
              <w:rPr>
                <w:noProof/>
                <w:color w:val="000000"/>
                <w:sz w:val="18"/>
              </w:rPr>
              <w:t>Zahlungen</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617337AF" w14:textId="77777777" w:rsidR="00A56747" w:rsidRPr="00C754CA" w:rsidRDefault="00A56747" w:rsidP="004B53CC">
            <w:pPr>
              <w:spacing w:before="0" w:after="0"/>
              <w:jc w:val="center"/>
              <w:rPr>
                <w:noProof/>
                <w:color w:val="000000"/>
                <w:sz w:val="14"/>
                <w:szCs w:val="14"/>
              </w:rPr>
            </w:pPr>
            <w:r w:rsidRPr="00C754CA">
              <w:rPr>
                <w:noProof/>
                <w:color w:val="000000"/>
                <w:sz w:val="14"/>
              </w:rPr>
              <w:t>= </w:t>
            </w:r>
            <w:r w:rsidRPr="00E2773D">
              <w:rPr>
                <w:noProof/>
                <w:color w:val="000000"/>
                <w:sz w:val="14"/>
              </w:rPr>
              <w:t>5</w:t>
            </w:r>
            <w:r w:rsidRPr="00C754CA">
              <w:rPr>
                <w:noProof/>
                <w:color w:val="000000"/>
                <w:sz w:val="14"/>
              </w:rPr>
              <w:t>+</w:t>
            </w:r>
            <w:r w:rsidRPr="00E2773D">
              <w:rPr>
                <w:noProof/>
                <w:color w:val="000000"/>
                <w:sz w:val="14"/>
              </w:rPr>
              <w:t>6</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C2C2CE9"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5C3B58B"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018799A" w14:textId="77777777" w:rsidR="00A56747" w:rsidRPr="00C754CA" w:rsidRDefault="00202D3C" w:rsidP="004B53CC">
            <w:pPr>
              <w:spacing w:before="0" w:after="0"/>
              <w:jc w:val="right"/>
              <w:rPr>
                <w:b/>
                <w:bCs/>
                <w:noProof/>
                <w:color w:val="000000"/>
                <w:sz w:val="20"/>
                <w:szCs w:val="20"/>
              </w:rPr>
            </w:pPr>
            <w:r w:rsidRPr="00C754CA">
              <w:rPr>
                <w:b/>
                <w:noProof/>
                <w:color w:val="000000" w:themeColor="text1"/>
                <w:sz w:val="20"/>
              </w:rPr>
              <w:t>[</w:t>
            </w:r>
            <w:r w:rsidRPr="00E2773D">
              <w:rPr>
                <w:b/>
                <w:noProof/>
                <w:color w:val="000000" w:themeColor="text1"/>
                <w:sz w:val="20"/>
              </w:rPr>
              <w:t>3</w:t>
            </w:r>
            <w:r w:rsidRPr="00C754CA">
              <w:rPr>
                <w:b/>
                <w:noProof/>
                <w:color w:val="000000" w:themeColor="text1"/>
                <w:sz w:val="20"/>
              </w:rPr>
              <w:t> </w:t>
            </w:r>
            <w:r w:rsidRPr="00E2773D">
              <w:rPr>
                <w:b/>
                <w:noProof/>
                <w:color w:val="000000" w:themeColor="text1"/>
                <w:sz w:val="20"/>
              </w:rPr>
              <w:t>600</w:t>
            </w:r>
            <w:r w:rsidRPr="00C754CA">
              <w:rPr>
                <w:b/>
                <w:noProof/>
                <w:color w:val="000000" w:themeColor="text1"/>
                <w:sz w:val="20"/>
              </w:rPr>
              <w:t> </w:t>
            </w:r>
            <w:r w:rsidRPr="00E2773D">
              <w:rPr>
                <w:b/>
                <w:noProof/>
                <w:color w:val="000000" w:themeColor="text1"/>
                <w:sz w:val="20"/>
              </w:rPr>
              <w:t>000</w:t>
            </w:r>
            <w:r w:rsidRPr="00C754CA">
              <w:rPr>
                <w:b/>
                <w:noProof/>
                <w:color w:val="000000" w:themeColor="text1"/>
                <w:sz w:val="20"/>
              </w:rPr>
              <w:t>]</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5FDD632" w14:textId="77777777" w:rsidR="00A56747" w:rsidRPr="00C754CA" w:rsidRDefault="00671C30" w:rsidP="004B53CC">
            <w:pPr>
              <w:spacing w:before="0" w:after="0"/>
              <w:jc w:val="right"/>
              <w:rPr>
                <w:b/>
                <w:bCs/>
                <w:noProof/>
                <w:color w:val="000000"/>
                <w:sz w:val="20"/>
                <w:szCs w:val="20"/>
              </w:rPr>
            </w:pPr>
            <w:r w:rsidRPr="00C754CA">
              <w:rPr>
                <w:b/>
                <w:noProof/>
                <w:color w:val="000000" w:themeColor="text1"/>
                <w:sz w:val="20"/>
              </w:rPr>
              <w:t>[-</w:t>
            </w:r>
            <w:r w:rsidRPr="00E2773D">
              <w:rPr>
                <w:b/>
                <w:noProof/>
                <w:color w:val="000000" w:themeColor="text1"/>
                <w:sz w:val="20"/>
              </w:rPr>
              <w:t>3</w:t>
            </w:r>
            <w:r w:rsidRPr="00C754CA">
              <w:rPr>
                <w:b/>
                <w:noProof/>
                <w:color w:val="000000" w:themeColor="text1"/>
                <w:sz w:val="20"/>
              </w:rPr>
              <w:t> </w:t>
            </w:r>
            <w:r w:rsidRPr="00E2773D">
              <w:rPr>
                <w:b/>
                <w:noProof/>
                <w:color w:val="000000" w:themeColor="text1"/>
                <w:sz w:val="20"/>
              </w:rPr>
              <w:t>600</w:t>
            </w:r>
            <w:r w:rsidRPr="00C754CA">
              <w:rPr>
                <w:b/>
                <w:noProof/>
                <w:color w:val="000000" w:themeColor="text1"/>
                <w:sz w:val="20"/>
              </w:rPr>
              <w:t> </w:t>
            </w:r>
            <w:r w:rsidRPr="00E2773D">
              <w:rPr>
                <w:b/>
                <w:noProof/>
                <w:color w:val="000000" w:themeColor="text1"/>
                <w:sz w:val="20"/>
              </w:rPr>
              <w:t>000</w:t>
            </w:r>
            <w:r w:rsidRPr="00C754CA">
              <w:rPr>
                <w:b/>
                <w:noProof/>
                <w:color w:val="000000" w:themeColor="text1"/>
                <w:sz w:val="20"/>
              </w:rPr>
              <w:t>]</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60F206B"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1877BF61" w14:textId="77777777" w:rsidTr="5735739A">
        <w:trPr>
          <w:trHeight w:val="288"/>
        </w:trPr>
        <w:tc>
          <w:tcPr>
            <w:tcW w:w="1522" w:type="pct"/>
            <w:gridSpan w:val="3"/>
            <w:tcBorders>
              <w:top w:val="nil"/>
              <w:left w:val="nil"/>
              <w:bottom w:val="nil"/>
              <w:right w:val="nil"/>
            </w:tcBorders>
            <w:shd w:val="clear" w:color="auto" w:fill="auto"/>
            <w:noWrap/>
            <w:vAlign w:val="bottom"/>
            <w:hideMark/>
          </w:tcPr>
          <w:p w14:paraId="5AE60F76" w14:textId="77777777" w:rsidR="00A56747" w:rsidRPr="00C754CA" w:rsidRDefault="00A56747" w:rsidP="004B53CC">
            <w:pPr>
              <w:spacing w:before="0" w:after="0"/>
              <w:jc w:val="left"/>
              <w:rPr>
                <w:noProof/>
                <w:sz w:val="20"/>
                <w:szCs w:val="24"/>
                <w:lang w:eastAsia="en-IE"/>
              </w:rPr>
            </w:pPr>
          </w:p>
        </w:tc>
        <w:tc>
          <w:tcPr>
            <w:tcW w:w="471" w:type="pct"/>
            <w:gridSpan w:val="3"/>
            <w:tcBorders>
              <w:top w:val="nil"/>
              <w:left w:val="nil"/>
              <w:bottom w:val="nil"/>
              <w:right w:val="nil"/>
            </w:tcBorders>
            <w:shd w:val="clear" w:color="auto" w:fill="auto"/>
            <w:noWrap/>
            <w:vAlign w:val="bottom"/>
            <w:hideMark/>
          </w:tcPr>
          <w:p w14:paraId="46EBFDCE" w14:textId="77777777" w:rsidR="00A56747" w:rsidRPr="00C754CA" w:rsidRDefault="00A56747" w:rsidP="004B53CC">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66749CCD" w14:textId="77777777" w:rsidR="00A56747" w:rsidRPr="00C754CA" w:rsidRDefault="00A56747" w:rsidP="004B53CC">
            <w:pPr>
              <w:spacing w:before="0" w:after="0"/>
              <w:jc w:val="left"/>
              <w:rPr>
                <w:noProof/>
                <w:sz w:val="20"/>
                <w:szCs w:val="20"/>
                <w:lang w:eastAsia="en-IE"/>
              </w:rPr>
            </w:pPr>
          </w:p>
        </w:tc>
        <w:tc>
          <w:tcPr>
            <w:tcW w:w="365" w:type="pct"/>
            <w:gridSpan w:val="3"/>
            <w:tcBorders>
              <w:top w:val="nil"/>
              <w:left w:val="nil"/>
              <w:bottom w:val="nil"/>
              <w:right w:val="single" w:sz="4" w:space="0" w:color="auto"/>
            </w:tcBorders>
            <w:shd w:val="clear" w:color="auto" w:fill="auto"/>
            <w:noWrap/>
            <w:vAlign w:val="bottom"/>
            <w:hideMark/>
          </w:tcPr>
          <w:p w14:paraId="22B063EE" w14:textId="77777777" w:rsidR="00A56747" w:rsidRPr="00C754CA" w:rsidRDefault="00A56747" w:rsidP="004B53CC">
            <w:pPr>
              <w:spacing w:before="0" w:after="0"/>
              <w:jc w:val="left"/>
              <w:rPr>
                <w:noProof/>
                <w:sz w:val="20"/>
                <w:szCs w:val="20"/>
                <w:lang w:eastAsia="en-IE"/>
              </w:rPr>
            </w:pPr>
          </w:p>
        </w:tc>
        <w:tc>
          <w:tcPr>
            <w:tcW w:w="437" w:type="pct"/>
            <w:gridSpan w:val="3"/>
            <w:tcBorders>
              <w:top w:val="single" w:sz="8" w:space="0" w:color="auto"/>
              <w:left w:val="single" w:sz="4" w:space="0" w:color="auto"/>
              <w:bottom w:val="nil"/>
              <w:right w:val="single" w:sz="8" w:space="0" w:color="auto"/>
            </w:tcBorders>
            <w:shd w:val="clear" w:color="auto" w:fill="auto"/>
            <w:vAlign w:val="center"/>
            <w:hideMark/>
          </w:tcPr>
          <w:p w14:paraId="63F653D0"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37" w:type="pct"/>
            <w:gridSpan w:val="3"/>
            <w:tcBorders>
              <w:top w:val="single" w:sz="8" w:space="0" w:color="auto"/>
              <w:left w:val="nil"/>
              <w:bottom w:val="nil"/>
              <w:right w:val="single" w:sz="8" w:space="0" w:color="auto"/>
            </w:tcBorders>
            <w:shd w:val="clear" w:color="auto" w:fill="auto"/>
            <w:vAlign w:val="center"/>
            <w:hideMark/>
          </w:tcPr>
          <w:p w14:paraId="7BFA2ECC"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37" w:type="pct"/>
            <w:gridSpan w:val="3"/>
            <w:tcBorders>
              <w:top w:val="single" w:sz="8" w:space="0" w:color="auto"/>
              <w:left w:val="nil"/>
              <w:bottom w:val="nil"/>
              <w:right w:val="single" w:sz="8" w:space="0" w:color="auto"/>
            </w:tcBorders>
            <w:shd w:val="clear" w:color="auto" w:fill="auto"/>
            <w:vAlign w:val="center"/>
            <w:hideMark/>
          </w:tcPr>
          <w:p w14:paraId="47E238F4"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37" w:type="pct"/>
            <w:gridSpan w:val="3"/>
            <w:tcBorders>
              <w:top w:val="single" w:sz="8" w:space="0" w:color="auto"/>
              <w:left w:val="nil"/>
              <w:bottom w:val="nil"/>
              <w:right w:val="single" w:sz="8" w:space="0" w:color="auto"/>
            </w:tcBorders>
            <w:shd w:val="clear" w:color="auto" w:fill="auto"/>
            <w:vAlign w:val="center"/>
            <w:hideMark/>
          </w:tcPr>
          <w:p w14:paraId="4CAFB165"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29" w:type="pct"/>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0B3557D8"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2021</w:t>
            </w:r>
            <w:r w:rsidRPr="00C754CA">
              <w:rPr>
                <w:b/>
                <w:noProof/>
                <w:color w:val="000000"/>
                <w:sz w:val="20"/>
              </w:rPr>
              <w:t>-</w:t>
            </w:r>
            <w:r w:rsidRPr="00E2773D">
              <w:rPr>
                <w:b/>
                <w:noProof/>
                <w:color w:val="000000"/>
                <w:sz w:val="20"/>
              </w:rPr>
              <w:t>2027</w:t>
            </w:r>
            <w:r w:rsidRPr="00C754CA">
              <w:rPr>
                <w:b/>
                <w:noProof/>
                <w:color w:val="000000"/>
                <w:sz w:val="20"/>
              </w:rPr>
              <w:t xml:space="preserve"> INSGESAMT</w:t>
            </w:r>
          </w:p>
        </w:tc>
      </w:tr>
      <w:tr w:rsidR="003100E7" w:rsidRPr="00C754CA" w14:paraId="5B36C7CE" w14:textId="77777777" w:rsidTr="5735739A">
        <w:trPr>
          <w:trHeight w:val="300"/>
        </w:trPr>
        <w:tc>
          <w:tcPr>
            <w:tcW w:w="1522" w:type="pct"/>
            <w:gridSpan w:val="3"/>
            <w:tcBorders>
              <w:top w:val="nil"/>
              <w:left w:val="nil"/>
              <w:bottom w:val="nil"/>
              <w:right w:val="nil"/>
            </w:tcBorders>
            <w:shd w:val="clear" w:color="auto" w:fill="auto"/>
            <w:noWrap/>
            <w:vAlign w:val="bottom"/>
            <w:hideMark/>
          </w:tcPr>
          <w:p w14:paraId="44F5B1C6" w14:textId="77777777" w:rsidR="00A56747" w:rsidRPr="00C754CA" w:rsidRDefault="00A56747" w:rsidP="004B53CC">
            <w:pPr>
              <w:spacing w:before="0" w:after="0"/>
              <w:jc w:val="center"/>
              <w:rPr>
                <w:b/>
                <w:bCs/>
                <w:noProof/>
                <w:color w:val="000000"/>
                <w:sz w:val="20"/>
                <w:szCs w:val="20"/>
                <w:lang w:eastAsia="en-IE"/>
              </w:rPr>
            </w:pPr>
          </w:p>
        </w:tc>
        <w:tc>
          <w:tcPr>
            <w:tcW w:w="471" w:type="pct"/>
            <w:gridSpan w:val="3"/>
            <w:tcBorders>
              <w:top w:val="nil"/>
              <w:left w:val="nil"/>
              <w:bottom w:val="nil"/>
              <w:right w:val="nil"/>
            </w:tcBorders>
            <w:shd w:val="clear" w:color="auto" w:fill="auto"/>
            <w:noWrap/>
            <w:vAlign w:val="bottom"/>
            <w:hideMark/>
          </w:tcPr>
          <w:p w14:paraId="20B1C1FD" w14:textId="77777777" w:rsidR="00A56747" w:rsidRPr="00C754CA" w:rsidRDefault="00A56747" w:rsidP="004B53CC">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5E6BBE35" w14:textId="77777777" w:rsidR="00A56747" w:rsidRPr="00C754CA" w:rsidRDefault="00A56747" w:rsidP="004B53CC">
            <w:pPr>
              <w:spacing w:before="0" w:after="0"/>
              <w:jc w:val="left"/>
              <w:rPr>
                <w:noProof/>
                <w:sz w:val="20"/>
                <w:szCs w:val="20"/>
                <w:lang w:eastAsia="en-IE"/>
              </w:rPr>
            </w:pPr>
          </w:p>
        </w:tc>
        <w:tc>
          <w:tcPr>
            <w:tcW w:w="365" w:type="pct"/>
            <w:gridSpan w:val="3"/>
            <w:tcBorders>
              <w:top w:val="nil"/>
              <w:left w:val="nil"/>
              <w:bottom w:val="nil"/>
              <w:right w:val="single" w:sz="4" w:space="0" w:color="auto"/>
            </w:tcBorders>
            <w:shd w:val="clear" w:color="auto" w:fill="auto"/>
            <w:noWrap/>
            <w:vAlign w:val="bottom"/>
            <w:hideMark/>
          </w:tcPr>
          <w:p w14:paraId="666CD30A" w14:textId="77777777" w:rsidR="00A56747" w:rsidRPr="00C754CA" w:rsidRDefault="00A56747" w:rsidP="004B53CC">
            <w:pPr>
              <w:spacing w:before="0" w:after="0"/>
              <w:jc w:val="left"/>
              <w:rPr>
                <w:noProof/>
                <w:sz w:val="20"/>
                <w:szCs w:val="20"/>
                <w:lang w:eastAsia="en-IE"/>
              </w:rPr>
            </w:pPr>
          </w:p>
        </w:tc>
        <w:tc>
          <w:tcPr>
            <w:tcW w:w="437" w:type="pct"/>
            <w:gridSpan w:val="3"/>
            <w:tcBorders>
              <w:top w:val="nil"/>
              <w:left w:val="single" w:sz="4" w:space="0" w:color="auto"/>
              <w:bottom w:val="single" w:sz="8" w:space="0" w:color="auto"/>
              <w:right w:val="single" w:sz="8" w:space="0" w:color="auto"/>
            </w:tcBorders>
            <w:shd w:val="clear" w:color="auto" w:fill="auto"/>
            <w:vAlign w:val="center"/>
            <w:hideMark/>
          </w:tcPr>
          <w:p w14:paraId="77E91406"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2024</w:t>
            </w:r>
          </w:p>
        </w:tc>
        <w:tc>
          <w:tcPr>
            <w:tcW w:w="437" w:type="pct"/>
            <w:gridSpan w:val="3"/>
            <w:tcBorders>
              <w:top w:val="nil"/>
              <w:left w:val="nil"/>
              <w:bottom w:val="single" w:sz="8" w:space="0" w:color="auto"/>
              <w:right w:val="single" w:sz="8" w:space="0" w:color="auto"/>
            </w:tcBorders>
            <w:shd w:val="clear" w:color="auto" w:fill="auto"/>
            <w:vAlign w:val="center"/>
            <w:hideMark/>
          </w:tcPr>
          <w:p w14:paraId="43B231E0"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2025</w:t>
            </w:r>
          </w:p>
        </w:tc>
        <w:tc>
          <w:tcPr>
            <w:tcW w:w="437" w:type="pct"/>
            <w:gridSpan w:val="3"/>
            <w:tcBorders>
              <w:top w:val="nil"/>
              <w:left w:val="nil"/>
              <w:bottom w:val="single" w:sz="8" w:space="0" w:color="auto"/>
              <w:right w:val="single" w:sz="8" w:space="0" w:color="auto"/>
            </w:tcBorders>
            <w:shd w:val="clear" w:color="auto" w:fill="auto"/>
            <w:vAlign w:val="center"/>
            <w:hideMark/>
          </w:tcPr>
          <w:p w14:paraId="2630366B"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2026</w:t>
            </w:r>
          </w:p>
        </w:tc>
        <w:tc>
          <w:tcPr>
            <w:tcW w:w="437" w:type="pct"/>
            <w:gridSpan w:val="3"/>
            <w:tcBorders>
              <w:top w:val="nil"/>
              <w:left w:val="nil"/>
              <w:bottom w:val="single" w:sz="8" w:space="0" w:color="auto"/>
              <w:right w:val="single" w:sz="8" w:space="0" w:color="auto"/>
            </w:tcBorders>
            <w:shd w:val="clear" w:color="auto" w:fill="auto"/>
            <w:vAlign w:val="center"/>
            <w:hideMark/>
          </w:tcPr>
          <w:p w14:paraId="22A46AC2"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2027</w:t>
            </w:r>
          </w:p>
        </w:tc>
        <w:tc>
          <w:tcPr>
            <w:tcW w:w="529" w:type="pct"/>
            <w:vMerge/>
            <w:vAlign w:val="center"/>
            <w:hideMark/>
          </w:tcPr>
          <w:p w14:paraId="18A05DAF" w14:textId="77777777" w:rsidR="00A56747" w:rsidRPr="00C754CA" w:rsidRDefault="00A56747" w:rsidP="004B53CC">
            <w:pPr>
              <w:spacing w:before="0" w:after="0"/>
              <w:jc w:val="left"/>
              <w:rPr>
                <w:b/>
                <w:bCs/>
                <w:noProof/>
                <w:color w:val="000000"/>
                <w:sz w:val="20"/>
                <w:szCs w:val="20"/>
                <w:lang w:eastAsia="en-IE"/>
              </w:rPr>
            </w:pPr>
          </w:p>
        </w:tc>
      </w:tr>
      <w:tr w:rsidR="003100E7" w:rsidRPr="00C754CA" w14:paraId="27BB1D91" w14:textId="77777777" w:rsidTr="5735739A">
        <w:trPr>
          <w:trHeight w:val="300"/>
        </w:trPr>
        <w:tc>
          <w:tcPr>
            <w:tcW w:w="1522"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F9C23BE" w14:textId="77777777" w:rsidR="00A56747" w:rsidRPr="00C754CA" w:rsidRDefault="00A56747" w:rsidP="004B53CC">
            <w:pPr>
              <w:spacing w:before="0" w:after="0"/>
              <w:rPr>
                <w:noProof/>
                <w:color w:val="000000"/>
                <w:sz w:val="21"/>
                <w:szCs w:val="21"/>
              </w:rPr>
            </w:pPr>
            <w:r w:rsidRPr="00C754CA">
              <w:rPr>
                <w:noProof/>
                <w:color w:val="000000"/>
                <w:sz w:val="21"/>
              </w:rPr>
              <w:t>• Operative Mittel INSGESAMT (alle operativen Rubriken)</w:t>
            </w:r>
          </w:p>
        </w:tc>
        <w:tc>
          <w:tcPr>
            <w:tcW w:w="471" w:type="pct"/>
            <w:gridSpan w:val="3"/>
            <w:tcBorders>
              <w:top w:val="single" w:sz="8" w:space="0" w:color="auto"/>
              <w:left w:val="nil"/>
              <w:bottom w:val="single" w:sz="8" w:space="0" w:color="auto"/>
              <w:right w:val="single" w:sz="8" w:space="0" w:color="auto"/>
            </w:tcBorders>
            <w:shd w:val="clear" w:color="auto" w:fill="auto"/>
            <w:vAlign w:val="center"/>
            <w:hideMark/>
          </w:tcPr>
          <w:p w14:paraId="04141E2C" w14:textId="77777777" w:rsidR="00A56747" w:rsidRPr="00C754CA" w:rsidRDefault="00A56747" w:rsidP="004B53CC">
            <w:pPr>
              <w:spacing w:before="0" w:after="0"/>
              <w:rPr>
                <w:noProof/>
                <w:color w:val="000000"/>
                <w:sz w:val="18"/>
                <w:szCs w:val="18"/>
              </w:rPr>
            </w:pPr>
            <w:r w:rsidRPr="00C754CA">
              <w:rPr>
                <w:noProof/>
                <w:color w:val="000000"/>
                <w:sz w:val="18"/>
              </w:rPr>
              <w:t>Verpflichtungen</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12D631EA"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4</w:t>
            </w:r>
            <w:r w:rsidRPr="00C754CA">
              <w:rPr>
                <w:noProof/>
                <w:color w:val="000000"/>
                <w:sz w:val="14"/>
              </w:rPr>
              <w:t>)</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E458CC3"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D35FBDF"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B0C441E"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09E363F"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6093F8C2"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4892B471" w14:textId="77777777" w:rsidTr="5735739A">
        <w:trPr>
          <w:trHeight w:val="300"/>
        </w:trPr>
        <w:tc>
          <w:tcPr>
            <w:tcW w:w="1522" w:type="pct"/>
            <w:gridSpan w:val="3"/>
            <w:vMerge/>
            <w:vAlign w:val="center"/>
            <w:hideMark/>
          </w:tcPr>
          <w:p w14:paraId="506A1D84" w14:textId="77777777" w:rsidR="00A56747" w:rsidRPr="00C754CA" w:rsidRDefault="00A56747" w:rsidP="004B53CC">
            <w:pPr>
              <w:spacing w:before="0" w:after="0"/>
              <w:jc w:val="left"/>
              <w:rPr>
                <w:noProof/>
                <w:color w:val="000000"/>
                <w:sz w:val="21"/>
                <w:szCs w:val="21"/>
                <w:lang w:eastAsia="en-IE"/>
              </w:rPr>
            </w:pPr>
          </w:p>
        </w:tc>
        <w:tc>
          <w:tcPr>
            <w:tcW w:w="471" w:type="pct"/>
            <w:gridSpan w:val="3"/>
            <w:tcBorders>
              <w:top w:val="nil"/>
              <w:left w:val="nil"/>
              <w:bottom w:val="single" w:sz="8" w:space="0" w:color="auto"/>
              <w:right w:val="single" w:sz="8" w:space="0" w:color="auto"/>
            </w:tcBorders>
            <w:shd w:val="clear" w:color="auto" w:fill="auto"/>
            <w:vAlign w:val="center"/>
            <w:hideMark/>
          </w:tcPr>
          <w:p w14:paraId="11FB22A1" w14:textId="77777777" w:rsidR="00A56747" w:rsidRPr="00C754CA" w:rsidRDefault="00A56747" w:rsidP="004B53CC">
            <w:pPr>
              <w:spacing w:before="0" w:after="0"/>
              <w:rPr>
                <w:noProof/>
                <w:color w:val="000000"/>
                <w:sz w:val="18"/>
                <w:szCs w:val="18"/>
              </w:rPr>
            </w:pPr>
            <w:r w:rsidRPr="00C754CA">
              <w:rPr>
                <w:noProof/>
                <w:color w:val="000000"/>
                <w:sz w:val="18"/>
              </w:rPr>
              <w:t>Zahlungen</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A6C2D83"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5</w:t>
            </w:r>
            <w:r w:rsidRPr="00C754CA">
              <w:rPr>
                <w:noProof/>
                <w:color w:val="000000"/>
                <w:sz w:val="14"/>
              </w:rPr>
              <w:t>)</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31AEF2D"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B568377"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0FE3835" w14:textId="77777777" w:rsidR="00A56747" w:rsidRPr="00C754CA" w:rsidRDefault="00A3606D" w:rsidP="004B53CC">
            <w:pPr>
              <w:spacing w:before="0" w:after="0"/>
              <w:jc w:val="right"/>
              <w:rPr>
                <w:noProof/>
                <w:color w:val="000000"/>
                <w:sz w:val="20"/>
                <w:szCs w:val="20"/>
              </w:rPr>
            </w:pPr>
            <w:r w:rsidRPr="00C754CA">
              <w:rPr>
                <w:noProof/>
                <w:color w:val="000000" w:themeColor="text1"/>
                <w:sz w:val="20"/>
              </w:rPr>
              <w:t>[</w:t>
            </w:r>
            <w:r w:rsidRPr="00E2773D">
              <w:rPr>
                <w:noProof/>
                <w:color w:val="000000" w:themeColor="text1"/>
                <w:sz w:val="20"/>
              </w:rPr>
              <w:t>3</w:t>
            </w:r>
            <w:r w:rsidRPr="00C754CA">
              <w:rPr>
                <w:noProof/>
                <w:color w:val="000000" w:themeColor="text1"/>
                <w:sz w:val="20"/>
              </w:rPr>
              <w:t> </w:t>
            </w:r>
            <w:r w:rsidRPr="00E2773D">
              <w:rPr>
                <w:noProof/>
                <w:color w:val="000000" w:themeColor="text1"/>
                <w:sz w:val="20"/>
              </w:rPr>
              <w:t>600</w:t>
            </w:r>
            <w:r w:rsidRPr="00C754CA">
              <w:rPr>
                <w:noProof/>
                <w:color w:val="000000" w:themeColor="text1"/>
                <w:sz w:val="20"/>
              </w:rPr>
              <w:t> </w:t>
            </w:r>
            <w:r w:rsidRPr="00E2773D">
              <w:rPr>
                <w:noProof/>
                <w:color w:val="000000" w:themeColor="text1"/>
                <w:sz w:val="20"/>
              </w:rPr>
              <w:t>000</w:t>
            </w:r>
            <w:r w:rsidRPr="00C754CA">
              <w:rPr>
                <w:noProof/>
                <w:color w:val="000000" w:themeColor="text1"/>
                <w:sz w:val="20"/>
              </w:rPr>
              <w:t>]</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3BF2A23" w14:textId="77777777" w:rsidR="00A56747" w:rsidRPr="00C754CA" w:rsidRDefault="00A3606D" w:rsidP="004B53CC">
            <w:pPr>
              <w:spacing w:before="0" w:after="0"/>
              <w:jc w:val="right"/>
              <w:rPr>
                <w:noProof/>
                <w:color w:val="000000"/>
                <w:sz w:val="20"/>
                <w:szCs w:val="20"/>
              </w:rPr>
            </w:pPr>
            <w:r w:rsidRPr="00C754CA">
              <w:rPr>
                <w:noProof/>
                <w:color w:val="000000" w:themeColor="text1"/>
                <w:sz w:val="20"/>
              </w:rPr>
              <w:t>[-</w:t>
            </w:r>
            <w:r w:rsidRPr="00E2773D">
              <w:rPr>
                <w:noProof/>
                <w:color w:val="000000" w:themeColor="text1"/>
                <w:sz w:val="20"/>
              </w:rPr>
              <w:t>3</w:t>
            </w:r>
            <w:r w:rsidRPr="00C754CA">
              <w:rPr>
                <w:noProof/>
                <w:color w:val="000000" w:themeColor="text1"/>
                <w:sz w:val="20"/>
              </w:rPr>
              <w:t> </w:t>
            </w:r>
            <w:r w:rsidRPr="00E2773D">
              <w:rPr>
                <w:noProof/>
                <w:color w:val="000000" w:themeColor="text1"/>
                <w:sz w:val="20"/>
              </w:rPr>
              <w:t>600</w:t>
            </w:r>
            <w:r w:rsidRPr="00C754CA">
              <w:rPr>
                <w:noProof/>
                <w:color w:val="000000" w:themeColor="text1"/>
                <w:sz w:val="20"/>
              </w:rPr>
              <w:t> </w:t>
            </w:r>
            <w:r w:rsidRPr="00E2773D">
              <w:rPr>
                <w:noProof/>
                <w:color w:val="000000" w:themeColor="text1"/>
                <w:sz w:val="20"/>
              </w:rPr>
              <w:t>000</w:t>
            </w:r>
            <w:r w:rsidRPr="00C754CA">
              <w:rPr>
                <w:noProof/>
                <w:color w:val="000000" w:themeColor="text1"/>
                <w:sz w:val="20"/>
              </w:rPr>
              <w:t>]</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17C0553D"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7ABF7675" w14:textId="77777777" w:rsidTr="5735739A">
        <w:trPr>
          <w:trHeight w:val="990"/>
        </w:trPr>
        <w:tc>
          <w:tcPr>
            <w:tcW w:w="1993" w:type="pct"/>
            <w:gridSpan w:val="6"/>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3F211E21" w14:textId="77777777" w:rsidR="00A56747" w:rsidRPr="00C754CA" w:rsidRDefault="00A56747" w:rsidP="004B53CC">
            <w:pPr>
              <w:spacing w:before="0" w:after="0"/>
              <w:rPr>
                <w:noProof/>
                <w:color w:val="000000"/>
                <w:sz w:val="21"/>
                <w:szCs w:val="21"/>
              </w:rPr>
            </w:pPr>
            <w:r w:rsidRPr="00C754CA">
              <w:rPr>
                <w:noProof/>
                <w:color w:val="000000"/>
                <w:sz w:val="21"/>
              </w:rPr>
              <w:t>• Aus der Dotation bestimmter spezifischer Programme finanzierte Verwaltungsmittel INSGESAMT (alle operativen Rubriken)</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48DB1F9" w14:textId="77777777" w:rsidR="00A56747" w:rsidRPr="00C754CA" w:rsidRDefault="00A56747" w:rsidP="004B53CC">
            <w:pPr>
              <w:spacing w:before="0" w:after="0"/>
              <w:jc w:val="center"/>
              <w:rPr>
                <w:noProof/>
                <w:color w:val="000000"/>
                <w:sz w:val="14"/>
                <w:szCs w:val="14"/>
              </w:rPr>
            </w:pPr>
            <w:r w:rsidRPr="00C754CA">
              <w:rPr>
                <w:noProof/>
                <w:color w:val="000000"/>
                <w:sz w:val="14"/>
              </w:rPr>
              <w:t>(</w:t>
            </w:r>
            <w:r w:rsidRPr="00E2773D">
              <w:rPr>
                <w:noProof/>
                <w:color w:val="000000"/>
                <w:sz w:val="14"/>
              </w:rPr>
              <w:t>6</w:t>
            </w:r>
            <w:r w:rsidRPr="00C754CA">
              <w:rPr>
                <w:noProof/>
                <w:color w:val="000000"/>
                <w:sz w:val="14"/>
              </w:rPr>
              <w:t>)</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AF1A36D"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317841C"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833F538"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C535762"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044C35FA"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5ED2F26F" w14:textId="77777777" w:rsidTr="5735739A">
        <w:trPr>
          <w:trHeight w:val="564"/>
        </w:trPr>
        <w:tc>
          <w:tcPr>
            <w:tcW w:w="1522" w:type="pct"/>
            <w:gridSpan w:val="3"/>
            <w:tcBorders>
              <w:top w:val="nil"/>
              <w:left w:val="single" w:sz="8" w:space="0" w:color="auto"/>
              <w:bottom w:val="nil"/>
              <w:right w:val="single" w:sz="8" w:space="0" w:color="auto"/>
            </w:tcBorders>
            <w:shd w:val="clear" w:color="auto" w:fill="F1F1F1"/>
            <w:vAlign w:val="center"/>
            <w:hideMark/>
          </w:tcPr>
          <w:p w14:paraId="1E306104" w14:textId="77777777" w:rsidR="00A56747" w:rsidRPr="00C754CA" w:rsidRDefault="00A56747" w:rsidP="004B53CC">
            <w:pPr>
              <w:spacing w:before="0" w:after="0"/>
              <w:jc w:val="center"/>
              <w:rPr>
                <w:b/>
                <w:bCs/>
                <w:noProof/>
                <w:color w:val="000000"/>
                <w:sz w:val="22"/>
              </w:rPr>
            </w:pPr>
            <w:r w:rsidRPr="00C754CA">
              <w:rPr>
                <w:b/>
                <w:noProof/>
                <w:color w:val="000000"/>
                <w:sz w:val="22"/>
              </w:rPr>
              <w:t>Mittel INSGESAMT unter den RUBRIKEN </w:t>
            </w:r>
            <w:r w:rsidRPr="00E2773D">
              <w:rPr>
                <w:b/>
                <w:noProof/>
                <w:color w:val="000000"/>
                <w:sz w:val="22"/>
              </w:rPr>
              <w:t>1</w:t>
            </w:r>
            <w:r w:rsidRPr="00C754CA">
              <w:rPr>
                <w:b/>
                <w:noProof/>
                <w:color w:val="000000"/>
                <w:sz w:val="22"/>
              </w:rPr>
              <w:t xml:space="preserve"> bis </w:t>
            </w:r>
            <w:r w:rsidRPr="00E2773D">
              <w:rPr>
                <w:b/>
                <w:noProof/>
                <w:color w:val="000000"/>
                <w:sz w:val="22"/>
              </w:rPr>
              <w:t>6</w:t>
            </w:r>
          </w:p>
        </w:tc>
        <w:tc>
          <w:tcPr>
            <w:tcW w:w="471" w:type="pct"/>
            <w:gridSpan w:val="3"/>
            <w:tcBorders>
              <w:top w:val="nil"/>
              <w:left w:val="nil"/>
              <w:bottom w:val="nil"/>
              <w:right w:val="single" w:sz="8" w:space="0" w:color="auto"/>
            </w:tcBorders>
            <w:shd w:val="clear" w:color="auto" w:fill="auto"/>
            <w:vAlign w:val="center"/>
            <w:hideMark/>
          </w:tcPr>
          <w:p w14:paraId="41068954" w14:textId="77777777" w:rsidR="00A56747" w:rsidRPr="00C754CA" w:rsidRDefault="00A56747" w:rsidP="004B53CC">
            <w:pPr>
              <w:spacing w:before="0" w:after="0"/>
              <w:rPr>
                <w:noProof/>
                <w:color w:val="000000"/>
                <w:sz w:val="18"/>
                <w:szCs w:val="18"/>
              </w:rPr>
            </w:pPr>
            <w:r w:rsidRPr="00C754CA">
              <w:rPr>
                <w:noProof/>
                <w:color w:val="000000"/>
                <w:sz w:val="18"/>
              </w:rPr>
              <w:t>Verpflichtungen</w:t>
            </w:r>
          </w:p>
        </w:tc>
        <w:tc>
          <w:tcPr>
            <w:tcW w:w="731" w:type="pct"/>
            <w:gridSpan w:val="4"/>
            <w:tcBorders>
              <w:top w:val="single" w:sz="8" w:space="0" w:color="auto"/>
              <w:left w:val="nil"/>
              <w:bottom w:val="nil"/>
              <w:right w:val="single" w:sz="8" w:space="0" w:color="000000" w:themeColor="text1"/>
            </w:tcBorders>
            <w:shd w:val="clear" w:color="auto" w:fill="auto"/>
            <w:vAlign w:val="center"/>
            <w:hideMark/>
          </w:tcPr>
          <w:p w14:paraId="32CF422B" w14:textId="77777777" w:rsidR="00A56747" w:rsidRPr="00C754CA" w:rsidRDefault="00A56747" w:rsidP="004B53CC">
            <w:pPr>
              <w:spacing w:before="0" w:after="0"/>
              <w:jc w:val="center"/>
              <w:rPr>
                <w:noProof/>
                <w:color w:val="000000"/>
                <w:sz w:val="14"/>
                <w:szCs w:val="14"/>
              </w:rPr>
            </w:pPr>
            <w:r w:rsidRPr="00C754CA">
              <w:rPr>
                <w:noProof/>
                <w:color w:val="000000"/>
                <w:sz w:val="14"/>
              </w:rPr>
              <w:t>= </w:t>
            </w:r>
            <w:r w:rsidRPr="00E2773D">
              <w:rPr>
                <w:noProof/>
                <w:color w:val="000000"/>
                <w:sz w:val="14"/>
              </w:rPr>
              <w:t>4</w:t>
            </w:r>
            <w:r w:rsidRPr="00C754CA">
              <w:rPr>
                <w:noProof/>
                <w:color w:val="000000"/>
                <w:sz w:val="14"/>
              </w:rPr>
              <w:t>+</w:t>
            </w:r>
            <w:r w:rsidRPr="00E2773D">
              <w:rPr>
                <w:noProof/>
                <w:color w:val="000000"/>
                <w:sz w:val="14"/>
              </w:rPr>
              <w:t>6</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42A3F9D"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3D75BA0"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7E2F10D" w14:textId="77777777" w:rsidR="00A56747" w:rsidRPr="00C754CA" w:rsidRDefault="00262E62" w:rsidP="004B53CC">
            <w:pPr>
              <w:spacing w:before="0" w:after="0"/>
              <w:jc w:val="right"/>
              <w:rPr>
                <w:b/>
                <w:bCs/>
                <w:noProof/>
                <w:color w:val="000000"/>
                <w:sz w:val="20"/>
                <w:szCs w:val="20"/>
              </w:rPr>
            </w:pPr>
            <w:r w:rsidRPr="00C754CA">
              <w:rPr>
                <w:b/>
                <w:noProof/>
                <w:color w:val="000000"/>
                <w:sz w:val="20"/>
              </w:rPr>
              <w:t xml:space="preserve"> </w:t>
            </w:r>
            <w:r w:rsidRPr="00E2773D">
              <w:rPr>
                <w:b/>
                <w:noProof/>
                <w:color w:val="000000"/>
                <w:sz w:val="20"/>
              </w:rPr>
              <w:t>0</w:t>
            </w:r>
            <w:r w:rsidRPr="00C754CA">
              <w:rPr>
                <w:b/>
                <w:noProof/>
                <w:color w:val="000000"/>
                <w:sz w:val="20"/>
              </w:rPr>
              <w:t>,</w:t>
            </w:r>
            <w:r w:rsidRPr="00E2773D">
              <w:rPr>
                <w:b/>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846572A"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4D8ABF1F"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3D66B4E7" w14:textId="77777777" w:rsidTr="5735739A">
        <w:trPr>
          <w:trHeight w:val="588"/>
        </w:trPr>
        <w:tc>
          <w:tcPr>
            <w:tcW w:w="1522" w:type="pct"/>
            <w:gridSpan w:val="3"/>
            <w:tcBorders>
              <w:top w:val="nil"/>
              <w:left w:val="single" w:sz="8" w:space="0" w:color="auto"/>
              <w:bottom w:val="single" w:sz="8" w:space="0" w:color="auto"/>
              <w:right w:val="single" w:sz="8" w:space="0" w:color="auto"/>
            </w:tcBorders>
            <w:shd w:val="clear" w:color="auto" w:fill="F1F1F1"/>
            <w:vAlign w:val="center"/>
            <w:hideMark/>
          </w:tcPr>
          <w:p w14:paraId="5DAB74EC" w14:textId="77777777" w:rsidR="00A56747" w:rsidRPr="00C754CA" w:rsidRDefault="00A56747" w:rsidP="004B53CC">
            <w:pPr>
              <w:spacing w:before="0" w:after="0"/>
              <w:jc w:val="center"/>
              <w:rPr>
                <w:noProof/>
                <w:color w:val="000000"/>
                <w:sz w:val="20"/>
                <w:szCs w:val="20"/>
              </w:rPr>
            </w:pPr>
            <w:r w:rsidRPr="00C754CA">
              <w:rPr>
                <w:noProof/>
                <w:color w:val="000000"/>
                <w:sz w:val="20"/>
              </w:rPr>
              <w:t>des Mehrjährigen Finanzrahmens</w:t>
            </w:r>
            <w:r w:rsidRPr="00C754CA">
              <w:rPr>
                <w:noProof/>
                <w:color w:val="000000"/>
                <w:sz w:val="20"/>
              </w:rPr>
              <w:br/>
              <w:t>(Referenzbetrag)</w:t>
            </w:r>
          </w:p>
        </w:tc>
        <w:tc>
          <w:tcPr>
            <w:tcW w:w="471" w:type="pct"/>
            <w:gridSpan w:val="3"/>
            <w:tcBorders>
              <w:top w:val="nil"/>
              <w:left w:val="nil"/>
              <w:bottom w:val="single" w:sz="8" w:space="0" w:color="auto"/>
              <w:right w:val="single" w:sz="8" w:space="0" w:color="auto"/>
            </w:tcBorders>
            <w:shd w:val="clear" w:color="auto" w:fill="auto"/>
            <w:vAlign w:val="center"/>
            <w:hideMark/>
          </w:tcPr>
          <w:p w14:paraId="15B17175" w14:textId="77777777" w:rsidR="00A56747" w:rsidRPr="00C754CA" w:rsidRDefault="00A56747" w:rsidP="004B53CC">
            <w:pPr>
              <w:spacing w:before="0" w:after="0"/>
              <w:rPr>
                <w:noProof/>
                <w:color w:val="000000"/>
                <w:sz w:val="18"/>
                <w:szCs w:val="18"/>
              </w:rPr>
            </w:pPr>
            <w:r w:rsidRPr="00C754CA">
              <w:rPr>
                <w:noProof/>
                <w:color w:val="000000"/>
                <w:sz w:val="18"/>
              </w:rPr>
              <w:t>Zahlungen</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535A424F" w14:textId="77777777" w:rsidR="00A56747" w:rsidRPr="00C754CA" w:rsidRDefault="00A56747" w:rsidP="004B53CC">
            <w:pPr>
              <w:spacing w:before="0" w:after="0"/>
              <w:jc w:val="center"/>
              <w:rPr>
                <w:noProof/>
                <w:color w:val="000000"/>
                <w:sz w:val="14"/>
                <w:szCs w:val="14"/>
              </w:rPr>
            </w:pPr>
            <w:r w:rsidRPr="00C754CA">
              <w:rPr>
                <w:noProof/>
                <w:color w:val="000000"/>
                <w:sz w:val="14"/>
              </w:rPr>
              <w:t>= </w:t>
            </w:r>
            <w:r w:rsidRPr="00E2773D">
              <w:rPr>
                <w:noProof/>
                <w:color w:val="000000"/>
                <w:sz w:val="14"/>
              </w:rPr>
              <w:t>5</w:t>
            </w:r>
            <w:r w:rsidRPr="00C754CA">
              <w:rPr>
                <w:noProof/>
                <w:color w:val="000000"/>
                <w:sz w:val="14"/>
              </w:rPr>
              <w:t>+</w:t>
            </w:r>
            <w:r w:rsidRPr="00E2773D">
              <w:rPr>
                <w:noProof/>
                <w:color w:val="000000"/>
                <w:sz w:val="14"/>
              </w:rPr>
              <w:t>6</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8AEC25D"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36358AD"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54DDE75" w14:textId="77777777" w:rsidR="00A56747" w:rsidRPr="00C754CA" w:rsidRDefault="55575D98" w:rsidP="004B53CC">
            <w:pPr>
              <w:spacing w:before="0" w:after="0"/>
              <w:jc w:val="right"/>
              <w:rPr>
                <w:b/>
                <w:bCs/>
                <w:noProof/>
                <w:color w:val="000000"/>
                <w:sz w:val="20"/>
                <w:szCs w:val="20"/>
              </w:rPr>
            </w:pPr>
            <w:r w:rsidRPr="00C754CA">
              <w:rPr>
                <w:b/>
                <w:noProof/>
                <w:color w:val="000000" w:themeColor="text1"/>
                <w:sz w:val="20"/>
              </w:rPr>
              <w:t>[</w:t>
            </w:r>
            <w:r w:rsidRPr="00E2773D">
              <w:rPr>
                <w:b/>
                <w:noProof/>
                <w:color w:val="000000" w:themeColor="text1"/>
                <w:sz w:val="20"/>
              </w:rPr>
              <w:t>3</w:t>
            </w:r>
            <w:r w:rsidRPr="00C754CA">
              <w:rPr>
                <w:b/>
                <w:noProof/>
                <w:color w:val="000000" w:themeColor="text1"/>
                <w:sz w:val="20"/>
              </w:rPr>
              <w:t> </w:t>
            </w:r>
            <w:r w:rsidRPr="00E2773D">
              <w:rPr>
                <w:b/>
                <w:noProof/>
                <w:color w:val="000000" w:themeColor="text1"/>
                <w:sz w:val="20"/>
              </w:rPr>
              <w:t>600</w:t>
            </w:r>
            <w:r w:rsidRPr="00C754CA">
              <w:rPr>
                <w:b/>
                <w:noProof/>
                <w:color w:val="000000" w:themeColor="text1"/>
                <w:sz w:val="20"/>
              </w:rPr>
              <w:t> </w:t>
            </w:r>
            <w:r w:rsidRPr="00E2773D">
              <w:rPr>
                <w:b/>
                <w:noProof/>
                <w:color w:val="000000" w:themeColor="text1"/>
                <w:sz w:val="20"/>
              </w:rPr>
              <w:t>000</w:t>
            </w:r>
            <w:r w:rsidRPr="00C754CA">
              <w:rPr>
                <w:b/>
                <w:noProof/>
                <w:color w:val="000000" w:themeColor="text1"/>
                <w:sz w:val="20"/>
              </w:rPr>
              <w:t>]</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75C00D9" w14:textId="77777777" w:rsidR="00A56747" w:rsidRPr="00C754CA" w:rsidRDefault="00991ABF" w:rsidP="004B53CC">
            <w:pPr>
              <w:spacing w:before="0" w:after="0"/>
              <w:jc w:val="right"/>
              <w:rPr>
                <w:b/>
                <w:bCs/>
                <w:noProof/>
                <w:color w:val="000000"/>
                <w:sz w:val="20"/>
                <w:szCs w:val="20"/>
              </w:rPr>
            </w:pPr>
            <w:r w:rsidRPr="00C754CA">
              <w:rPr>
                <w:b/>
                <w:noProof/>
                <w:color w:val="000000" w:themeColor="text1"/>
                <w:sz w:val="20"/>
              </w:rPr>
              <w:t>[-</w:t>
            </w:r>
            <w:r w:rsidRPr="00E2773D">
              <w:rPr>
                <w:b/>
                <w:noProof/>
                <w:color w:val="000000" w:themeColor="text1"/>
                <w:sz w:val="20"/>
              </w:rPr>
              <w:t>3</w:t>
            </w:r>
            <w:r w:rsidRPr="00C754CA">
              <w:rPr>
                <w:b/>
                <w:noProof/>
                <w:color w:val="000000" w:themeColor="text1"/>
                <w:sz w:val="20"/>
              </w:rPr>
              <w:t> </w:t>
            </w:r>
            <w:r w:rsidRPr="00E2773D">
              <w:rPr>
                <w:b/>
                <w:noProof/>
                <w:color w:val="000000" w:themeColor="text1"/>
                <w:sz w:val="20"/>
              </w:rPr>
              <w:t>600</w:t>
            </w:r>
            <w:r w:rsidRPr="00C754CA">
              <w:rPr>
                <w:b/>
                <w:noProof/>
                <w:color w:val="000000" w:themeColor="text1"/>
                <w:sz w:val="20"/>
              </w:rPr>
              <w:t> </w:t>
            </w:r>
            <w:r w:rsidRPr="00E2773D">
              <w:rPr>
                <w:b/>
                <w:noProof/>
                <w:color w:val="000000" w:themeColor="text1"/>
                <w:sz w:val="20"/>
              </w:rPr>
              <w:t>000</w:t>
            </w:r>
            <w:r w:rsidRPr="00C754CA">
              <w:rPr>
                <w:b/>
                <w:noProof/>
                <w:color w:val="000000" w:themeColor="text1"/>
                <w:sz w:val="20"/>
              </w:rPr>
              <w:t>]</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7F997692"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bl>
    <w:p w14:paraId="2836D11E" w14:textId="77777777" w:rsidR="00A56747" w:rsidRPr="00C754CA" w:rsidRDefault="009345A5" w:rsidP="00A56747">
      <w:pPr>
        <w:rPr>
          <w:noProof/>
        </w:rPr>
      </w:pPr>
      <w:r w:rsidRPr="00C754CA">
        <w:rPr>
          <w:noProof/>
        </w:rPr>
        <w:t xml:space="preserve">Ausgehend von der geschätzten Inanspruchnahme der in dem Vorschlag vorgesehenen Möglichkeiten beläuft sich die zusätzliche Vorfinanzierung für </w:t>
      </w:r>
      <w:r w:rsidRPr="00E2773D">
        <w:rPr>
          <w:noProof/>
        </w:rPr>
        <w:t>2026</w:t>
      </w:r>
      <w:r w:rsidRPr="00C754CA">
        <w:rPr>
          <w:noProof/>
        </w:rPr>
        <w:t xml:space="preserve"> auf</w:t>
      </w:r>
      <w:r w:rsidRPr="00C754CA">
        <w:rPr>
          <w:b/>
          <w:bCs/>
          <w:noProof/>
        </w:rPr>
        <w:t xml:space="preserve"> [</w:t>
      </w:r>
      <w:r w:rsidRPr="00E2773D">
        <w:rPr>
          <w:b/>
          <w:bCs/>
          <w:noProof/>
        </w:rPr>
        <w:t>16</w:t>
      </w:r>
      <w:r w:rsidRPr="00C754CA">
        <w:rPr>
          <w:b/>
          <w:bCs/>
          <w:noProof/>
        </w:rPr>
        <w:t>,</w:t>
      </w:r>
      <w:r w:rsidRPr="00E2773D">
        <w:rPr>
          <w:b/>
          <w:bCs/>
          <w:noProof/>
        </w:rPr>
        <w:t>1</w:t>
      </w:r>
      <w:r w:rsidRPr="00C754CA">
        <w:rPr>
          <w:b/>
          <w:bCs/>
          <w:noProof/>
        </w:rPr>
        <w:t> Mrd.] EUR</w:t>
      </w:r>
      <w:r w:rsidRPr="00C754CA">
        <w:rPr>
          <w:noProof/>
        </w:rPr>
        <w:t>. Unter Berücksichtigung der Zahlungsvorausschätzungen und Mittelumschichtungen werden die Nettoauswirkungen auf den Haushalt auf [</w:t>
      </w:r>
      <w:r w:rsidRPr="00E2773D">
        <w:rPr>
          <w:noProof/>
        </w:rPr>
        <w:t>3</w:t>
      </w:r>
      <w:r w:rsidRPr="00C754CA">
        <w:rPr>
          <w:noProof/>
        </w:rPr>
        <w:t>,</w:t>
      </w:r>
      <w:r w:rsidRPr="00E2773D">
        <w:rPr>
          <w:noProof/>
        </w:rPr>
        <w:t>6</w:t>
      </w:r>
      <w:r w:rsidRPr="00C754CA">
        <w:rPr>
          <w:noProof/>
        </w:rPr>
        <w:t> Mrd.] EUR geschätzt, die in den Entwurf des Haushaltsplans </w:t>
      </w:r>
      <w:r w:rsidRPr="00E2773D">
        <w:rPr>
          <w:noProof/>
        </w:rPr>
        <w:t>2026</w:t>
      </w:r>
      <w:r w:rsidRPr="00C754CA">
        <w:rPr>
          <w:noProof/>
        </w:rPr>
        <w:t xml:space="preserve"> aufgenommen werden. Die Auswirkungen auf den Haushalt sind während der Laufzeit des MFR haushaltsneutral. </w:t>
      </w:r>
    </w:p>
    <w:p w14:paraId="5A014583" w14:textId="77777777" w:rsidR="00A56747" w:rsidRPr="00C754CA" w:rsidRDefault="00A56747" w:rsidP="00A56747">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210"/>
        <w:gridCol w:w="1091"/>
        <w:gridCol w:w="1240"/>
        <w:gridCol w:w="727"/>
        <w:gridCol w:w="729"/>
        <w:gridCol w:w="1035"/>
        <w:gridCol w:w="1035"/>
        <w:gridCol w:w="1035"/>
        <w:gridCol w:w="1035"/>
        <w:gridCol w:w="1417"/>
      </w:tblGrid>
      <w:tr w:rsidR="00A56747" w:rsidRPr="00C754CA" w14:paraId="58B082A2" w14:textId="77777777" w:rsidTr="00FF1EF4">
        <w:trPr>
          <w:jc w:val="center"/>
        </w:trPr>
        <w:tc>
          <w:tcPr>
            <w:tcW w:w="1739" w:type="pct"/>
            <w:gridSpan w:val="2"/>
            <w:shd w:val="clear" w:color="auto" w:fill="auto"/>
            <w:vAlign w:val="center"/>
          </w:tcPr>
          <w:p w14:paraId="7DD495B7" w14:textId="77777777" w:rsidR="00A56747" w:rsidRPr="00C754CA" w:rsidRDefault="00A56747" w:rsidP="004B53CC">
            <w:pPr>
              <w:spacing w:before="60" w:after="60"/>
              <w:jc w:val="center"/>
              <w:rPr>
                <w:b/>
                <w:noProof/>
              </w:rPr>
            </w:pPr>
            <w:r w:rsidRPr="00C754CA">
              <w:rPr>
                <w:noProof/>
              </w:rPr>
              <w:br w:type="page"/>
            </w:r>
            <w:r w:rsidRPr="00C754CA">
              <w:rPr>
                <w:b/>
                <w:noProof/>
                <w:sz w:val="22"/>
              </w:rPr>
              <w:t xml:space="preserve">Rubrik des Mehrjährigen Finanzrahmens </w:t>
            </w:r>
          </w:p>
        </w:tc>
        <w:tc>
          <w:tcPr>
            <w:tcW w:w="396" w:type="pct"/>
            <w:shd w:val="clear" w:color="auto" w:fill="auto"/>
            <w:vAlign w:val="center"/>
          </w:tcPr>
          <w:p w14:paraId="5F809998" w14:textId="77777777" w:rsidR="00A56747" w:rsidRPr="00C754CA" w:rsidRDefault="00A56747" w:rsidP="004B53CC">
            <w:pPr>
              <w:spacing w:before="60" w:after="60"/>
              <w:jc w:val="center"/>
              <w:rPr>
                <w:noProof/>
              </w:rPr>
            </w:pPr>
            <w:r w:rsidRPr="00E2773D">
              <w:rPr>
                <w:b/>
                <w:noProof/>
                <w:sz w:val="22"/>
              </w:rPr>
              <w:t>7</w:t>
            </w:r>
          </w:p>
        </w:tc>
        <w:tc>
          <w:tcPr>
            <w:tcW w:w="2865" w:type="pct"/>
            <w:gridSpan w:val="8"/>
            <w:vAlign w:val="center"/>
          </w:tcPr>
          <w:p w14:paraId="63914FD5" w14:textId="77777777" w:rsidR="00A56747" w:rsidRPr="00C754CA" w:rsidRDefault="00A56747" w:rsidP="004B53CC">
            <w:pPr>
              <w:spacing w:before="60" w:after="60"/>
              <w:rPr>
                <w:noProof/>
              </w:rPr>
            </w:pPr>
            <w:r w:rsidRPr="00C754CA">
              <w:rPr>
                <w:noProof/>
                <w:sz w:val="22"/>
              </w:rPr>
              <w:t>„Verwaltungsausgaben“</w:t>
            </w:r>
            <w:r w:rsidRPr="00C754CA">
              <w:rPr>
                <w:rStyle w:val="FootnoteReference"/>
                <w:noProof/>
                <w:sz w:val="22"/>
              </w:rPr>
              <w:footnoteReference w:id="15"/>
            </w:r>
          </w:p>
        </w:tc>
      </w:tr>
      <w:tr w:rsidR="003100E7" w:rsidRPr="00C754CA" w14:paraId="5C98F067" w14:textId="77777777" w:rsidTr="004B5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6905C0B" w14:textId="77777777" w:rsidR="00A56747" w:rsidRPr="00C754CA" w:rsidRDefault="00A56747" w:rsidP="004B53CC">
            <w:pPr>
              <w:spacing w:before="0" w:after="0"/>
              <w:jc w:val="center"/>
              <w:rPr>
                <w:noProof/>
                <w:color w:val="000000"/>
                <w:szCs w:val="24"/>
              </w:rPr>
            </w:pPr>
            <w:r w:rsidRPr="00C754CA">
              <w:rPr>
                <w:noProof/>
                <w:color w:val="000000"/>
              </w:rPr>
              <w:t>GD: &lt;…….&gt;</w:t>
            </w:r>
          </w:p>
        </w:tc>
        <w:tc>
          <w:tcPr>
            <w:tcW w:w="376" w:type="pct"/>
            <w:tcBorders>
              <w:top w:val="single" w:sz="8" w:space="0" w:color="auto"/>
              <w:left w:val="nil"/>
              <w:bottom w:val="nil"/>
              <w:right w:val="single" w:sz="8" w:space="0" w:color="auto"/>
            </w:tcBorders>
            <w:shd w:val="clear" w:color="auto" w:fill="auto"/>
            <w:vAlign w:val="center"/>
            <w:hideMark/>
          </w:tcPr>
          <w:p w14:paraId="6B27C7A4"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376" w:type="pct"/>
            <w:tcBorders>
              <w:top w:val="single" w:sz="8" w:space="0" w:color="auto"/>
              <w:left w:val="nil"/>
              <w:bottom w:val="nil"/>
              <w:right w:val="single" w:sz="8" w:space="0" w:color="auto"/>
            </w:tcBorders>
            <w:shd w:val="clear" w:color="auto" w:fill="auto"/>
            <w:vAlign w:val="center"/>
            <w:hideMark/>
          </w:tcPr>
          <w:p w14:paraId="7022E0E0"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376" w:type="pct"/>
            <w:tcBorders>
              <w:top w:val="single" w:sz="8" w:space="0" w:color="auto"/>
              <w:left w:val="nil"/>
              <w:bottom w:val="nil"/>
              <w:right w:val="single" w:sz="8" w:space="0" w:color="auto"/>
            </w:tcBorders>
            <w:shd w:val="clear" w:color="auto" w:fill="auto"/>
            <w:vAlign w:val="center"/>
            <w:hideMark/>
          </w:tcPr>
          <w:p w14:paraId="0519ECC9"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376" w:type="pct"/>
            <w:tcBorders>
              <w:top w:val="single" w:sz="8" w:space="0" w:color="auto"/>
              <w:left w:val="nil"/>
              <w:bottom w:val="nil"/>
              <w:right w:val="single" w:sz="8" w:space="0" w:color="auto"/>
            </w:tcBorders>
            <w:shd w:val="clear" w:color="auto" w:fill="auto"/>
            <w:vAlign w:val="center"/>
            <w:hideMark/>
          </w:tcPr>
          <w:p w14:paraId="4E9D94CA"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61E4F3"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2021</w:t>
            </w:r>
            <w:r w:rsidRPr="00C754CA">
              <w:rPr>
                <w:b/>
                <w:noProof/>
                <w:color w:val="000000"/>
                <w:sz w:val="20"/>
              </w:rPr>
              <w:t>-</w:t>
            </w:r>
            <w:r w:rsidRPr="00E2773D">
              <w:rPr>
                <w:b/>
                <w:noProof/>
                <w:color w:val="000000"/>
                <w:sz w:val="20"/>
              </w:rPr>
              <w:t>2027</w:t>
            </w:r>
            <w:r w:rsidRPr="00C754CA">
              <w:rPr>
                <w:b/>
                <w:noProof/>
                <w:color w:val="000000"/>
                <w:sz w:val="20"/>
              </w:rPr>
              <w:t xml:space="preserve"> INSGESAMT</w:t>
            </w:r>
          </w:p>
        </w:tc>
      </w:tr>
      <w:tr w:rsidR="00A56747" w:rsidRPr="00C754CA" w14:paraId="2E201FDD" w14:textId="77777777" w:rsidTr="00FF1EF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14:paraId="724B8D1C" w14:textId="77777777" w:rsidR="00A56747" w:rsidRPr="00C754CA" w:rsidRDefault="00A56747" w:rsidP="004B53CC">
            <w:pPr>
              <w:spacing w:before="0" w:after="0"/>
              <w:jc w:val="left"/>
              <w:rPr>
                <w:noProof/>
                <w:color w:val="000000"/>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14:paraId="57716860"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2024</w:t>
            </w:r>
          </w:p>
        </w:tc>
        <w:tc>
          <w:tcPr>
            <w:tcW w:w="376" w:type="pct"/>
            <w:tcBorders>
              <w:top w:val="nil"/>
              <w:left w:val="nil"/>
              <w:bottom w:val="single" w:sz="8" w:space="0" w:color="auto"/>
              <w:right w:val="single" w:sz="8" w:space="0" w:color="auto"/>
            </w:tcBorders>
            <w:shd w:val="clear" w:color="auto" w:fill="auto"/>
            <w:vAlign w:val="center"/>
            <w:hideMark/>
          </w:tcPr>
          <w:p w14:paraId="34BE18CC"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2025</w:t>
            </w:r>
          </w:p>
        </w:tc>
        <w:tc>
          <w:tcPr>
            <w:tcW w:w="376" w:type="pct"/>
            <w:tcBorders>
              <w:top w:val="nil"/>
              <w:left w:val="nil"/>
              <w:bottom w:val="single" w:sz="8" w:space="0" w:color="auto"/>
              <w:right w:val="single" w:sz="8" w:space="0" w:color="auto"/>
            </w:tcBorders>
            <w:shd w:val="clear" w:color="auto" w:fill="auto"/>
            <w:vAlign w:val="center"/>
            <w:hideMark/>
          </w:tcPr>
          <w:p w14:paraId="7BCA0F7D"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2026</w:t>
            </w:r>
          </w:p>
        </w:tc>
        <w:tc>
          <w:tcPr>
            <w:tcW w:w="376" w:type="pct"/>
            <w:tcBorders>
              <w:top w:val="nil"/>
              <w:left w:val="nil"/>
              <w:bottom w:val="single" w:sz="8" w:space="0" w:color="auto"/>
              <w:right w:val="single" w:sz="8" w:space="0" w:color="auto"/>
            </w:tcBorders>
            <w:shd w:val="clear" w:color="auto" w:fill="auto"/>
            <w:vAlign w:val="center"/>
            <w:hideMark/>
          </w:tcPr>
          <w:p w14:paraId="11C13642"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14:paraId="3C4B4197" w14:textId="77777777" w:rsidR="00A56747" w:rsidRPr="00C754CA" w:rsidRDefault="00A56747" w:rsidP="004B53CC">
            <w:pPr>
              <w:spacing w:before="0" w:after="0"/>
              <w:jc w:val="left"/>
              <w:rPr>
                <w:b/>
                <w:bCs/>
                <w:noProof/>
                <w:color w:val="000000"/>
                <w:sz w:val="20"/>
                <w:szCs w:val="20"/>
                <w:lang w:eastAsia="en-IE"/>
              </w:rPr>
            </w:pPr>
          </w:p>
        </w:tc>
      </w:tr>
      <w:tr w:rsidR="003100E7" w:rsidRPr="00C754CA" w14:paraId="5A8EADA0" w14:textId="77777777" w:rsidTr="004B5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1732B3E" w14:textId="77777777" w:rsidR="00A56747" w:rsidRPr="00C754CA" w:rsidRDefault="00A56747" w:rsidP="004B53CC">
            <w:pPr>
              <w:spacing w:before="0" w:after="0"/>
              <w:jc w:val="left"/>
              <w:rPr>
                <w:rFonts w:ascii="Wingdings" w:hAnsi="Wingdings" w:cs="Calibri"/>
                <w:noProof/>
                <w:color w:val="000000"/>
                <w:sz w:val="22"/>
              </w:rPr>
            </w:pPr>
            <w:r w:rsidRPr="00C754CA">
              <w:rPr>
                <w:rFonts w:ascii="Wingdings" w:hAnsi="Wingdings"/>
                <w:noProof/>
                <w:color w:val="000000"/>
                <w:sz w:val="22"/>
              </w:rPr>
              <w:t></w:t>
            </w:r>
            <w:r w:rsidRPr="00C754CA">
              <w:rPr>
                <w:noProof/>
                <w:color w:val="000000"/>
                <w:sz w:val="22"/>
              </w:rPr>
              <w:t xml:space="preserve"> </w:t>
            </w:r>
            <w:r w:rsidRPr="00C754CA">
              <w:rPr>
                <w:noProof/>
              </w:rPr>
              <w:t>Personalausgaben</w:t>
            </w:r>
            <w:r w:rsidRPr="00C754CA">
              <w:rPr>
                <w:noProof/>
                <w:color w:val="000000"/>
                <w:sz w:val="22"/>
              </w:rPr>
              <w:t xml:space="preserve"> </w:t>
            </w:r>
          </w:p>
        </w:tc>
        <w:tc>
          <w:tcPr>
            <w:tcW w:w="376" w:type="pct"/>
            <w:tcBorders>
              <w:top w:val="nil"/>
              <w:left w:val="nil"/>
              <w:bottom w:val="single" w:sz="8" w:space="0" w:color="auto"/>
              <w:right w:val="single" w:sz="8" w:space="0" w:color="auto"/>
            </w:tcBorders>
            <w:shd w:val="clear" w:color="000000" w:fill="D9D9D9"/>
            <w:vAlign w:val="center"/>
            <w:hideMark/>
          </w:tcPr>
          <w:p w14:paraId="5A4EA7B6"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1684E82E"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03CBF83E"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42FF1999"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14:paraId="4F85C977"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0B90C9A5" w14:textId="77777777" w:rsidTr="004B5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EA7B356" w14:textId="77777777" w:rsidR="00A56747" w:rsidRPr="00C754CA" w:rsidRDefault="00A56747" w:rsidP="004B53CC">
            <w:pPr>
              <w:spacing w:before="0" w:after="0"/>
              <w:jc w:val="left"/>
              <w:rPr>
                <w:rFonts w:ascii="Wingdings" w:hAnsi="Wingdings" w:cs="Calibri"/>
                <w:noProof/>
                <w:color w:val="000000"/>
                <w:sz w:val="22"/>
              </w:rPr>
            </w:pPr>
            <w:r w:rsidRPr="00C754CA">
              <w:rPr>
                <w:rFonts w:ascii="Wingdings" w:hAnsi="Wingdings"/>
                <w:noProof/>
                <w:color w:val="000000"/>
                <w:sz w:val="22"/>
              </w:rPr>
              <w:t></w:t>
            </w:r>
            <w:r w:rsidRPr="00C754CA">
              <w:rPr>
                <w:noProof/>
                <w:color w:val="000000"/>
                <w:sz w:val="22"/>
              </w:rPr>
              <w:t xml:space="preserve"> </w:t>
            </w:r>
            <w:r w:rsidRPr="00C754CA">
              <w:rPr>
                <w:noProof/>
              </w:rPr>
              <w:t>Sonstige Verwaltungsausgaben</w:t>
            </w:r>
            <w:r w:rsidRPr="00C754CA">
              <w:rPr>
                <w:noProof/>
                <w:color w:val="000000"/>
                <w:sz w:val="22"/>
              </w:rPr>
              <w:t xml:space="preserve"> </w:t>
            </w:r>
          </w:p>
        </w:tc>
        <w:tc>
          <w:tcPr>
            <w:tcW w:w="376" w:type="pct"/>
            <w:tcBorders>
              <w:top w:val="nil"/>
              <w:left w:val="nil"/>
              <w:bottom w:val="single" w:sz="8" w:space="0" w:color="auto"/>
              <w:right w:val="single" w:sz="8" w:space="0" w:color="auto"/>
            </w:tcBorders>
            <w:shd w:val="clear" w:color="000000" w:fill="D9D9D9"/>
            <w:vAlign w:val="center"/>
            <w:hideMark/>
          </w:tcPr>
          <w:p w14:paraId="7297A668"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3ED7DE84"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7A8035CE"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239D2775"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14:paraId="5EFF84A6"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40A2C8DE" w14:textId="77777777" w:rsidTr="004B5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14:paraId="4C9483A6" w14:textId="77777777" w:rsidR="00A56747" w:rsidRPr="00C754CA" w:rsidRDefault="00A56747" w:rsidP="004B53CC">
            <w:pPr>
              <w:spacing w:before="0" w:after="0"/>
              <w:jc w:val="center"/>
              <w:rPr>
                <w:b/>
                <w:bCs/>
                <w:noProof/>
                <w:color w:val="000000"/>
                <w:sz w:val="22"/>
              </w:rPr>
            </w:pPr>
            <w:r w:rsidRPr="00C754CA">
              <w:rPr>
                <w:b/>
                <w:noProof/>
                <w:color w:val="000000"/>
                <w:sz w:val="22"/>
              </w:rPr>
              <w:t xml:space="preserve">GD </w:t>
            </w:r>
            <w:r w:rsidRPr="00C754CA">
              <w:rPr>
                <w:noProof/>
                <w:color w:val="000000"/>
                <w:sz w:val="22"/>
              </w:rPr>
              <w:t xml:space="preserve">&lt;…….&gt; </w:t>
            </w:r>
            <w:r w:rsidRPr="00C754CA">
              <w:rPr>
                <w:b/>
                <w:noProof/>
                <w:color w:val="000000"/>
                <w:sz w:val="22"/>
              </w:rPr>
              <w:t>INSGESAMT</w:t>
            </w:r>
          </w:p>
        </w:tc>
        <w:tc>
          <w:tcPr>
            <w:tcW w:w="1378" w:type="pct"/>
            <w:gridSpan w:val="5"/>
            <w:tcBorders>
              <w:top w:val="single" w:sz="8" w:space="0" w:color="auto"/>
              <w:left w:val="nil"/>
              <w:bottom w:val="single" w:sz="8" w:space="0" w:color="auto"/>
              <w:right w:val="single" w:sz="8" w:space="0" w:color="auto"/>
            </w:tcBorders>
            <w:shd w:val="clear" w:color="auto" w:fill="auto"/>
            <w:vAlign w:val="center"/>
            <w:hideMark/>
          </w:tcPr>
          <w:p w14:paraId="788B66CB" w14:textId="77777777" w:rsidR="00A56747" w:rsidRPr="00C754CA" w:rsidRDefault="00A56747" w:rsidP="004B53CC">
            <w:pPr>
              <w:spacing w:before="0" w:after="0"/>
              <w:jc w:val="left"/>
              <w:rPr>
                <w:noProof/>
                <w:color w:val="000000"/>
                <w:sz w:val="18"/>
                <w:szCs w:val="18"/>
              </w:rPr>
            </w:pPr>
            <w:r w:rsidRPr="00C754CA">
              <w:rPr>
                <w:noProof/>
                <w:color w:val="000000"/>
                <w:sz w:val="18"/>
              </w:rPr>
              <w:t xml:space="preserve">Mittel </w:t>
            </w:r>
          </w:p>
        </w:tc>
        <w:tc>
          <w:tcPr>
            <w:tcW w:w="376" w:type="pct"/>
            <w:tcBorders>
              <w:top w:val="nil"/>
              <w:left w:val="nil"/>
              <w:bottom w:val="single" w:sz="8" w:space="0" w:color="auto"/>
              <w:right w:val="single" w:sz="8" w:space="0" w:color="auto"/>
            </w:tcBorders>
            <w:shd w:val="clear" w:color="000000" w:fill="D9D9D9"/>
            <w:vAlign w:val="center"/>
            <w:hideMark/>
          </w:tcPr>
          <w:p w14:paraId="16F384BE"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17381E67"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5EF323CB"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30B0FC70"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14:paraId="10D1186D"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01D08D25" w14:textId="77777777" w:rsidTr="00FF1EF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14:paraId="4000BA20" w14:textId="77777777" w:rsidR="00A56747" w:rsidRPr="00C754CA" w:rsidRDefault="00A56747" w:rsidP="004B53CC">
            <w:pPr>
              <w:spacing w:before="0" w:after="0"/>
              <w:jc w:val="right"/>
              <w:rPr>
                <w:b/>
                <w:bCs/>
                <w:noProof/>
                <w:color w:val="000000"/>
                <w:sz w:val="20"/>
                <w:szCs w:val="20"/>
                <w:lang w:eastAsia="en-IE"/>
              </w:rPr>
            </w:pPr>
          </w:p>
        </w:tc>
        <w:tc>
          <w:tcPr>
            <w:tcW w:w="929" w:type="pct"/>
            <w:gridSpan w:val="3"/>
            <w:tcBorders>
              <w:top w:val="nil"/>
              <w:left w:val="nil"/>
              <w:bottom w:val="nil"/>
              <w:right w:val="nil"/>
            </w:tcBorders>
            <w:shd w:val="clear" w:color="auto" w:fill="auto"/>
            <w:noWrap/>
            <w:vAlign w:val="bottom"/>
            <w:hideMark/>
          </w:tcPr>
          <w:p w14:paraId="76F1306B" w14:textId="77777777" w:rsidR="00A56747" w:rsidRPr="00C754CA" w:rsidRDefault="00A56747" w:rsidP="004B53CC">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14:paraId="1DDB6E10" w14:textId="77777777" w:rsidR="00A56747" w:rsidRPr="00C754CA" w:rsidRDefault="00A56747" w:rsidP="004B53CC">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14:paraId="061A1297" w14:textId="77777777" w:rsidR="00A56747" w:rsidRPr="00C754CA" w:rsidRDefault="00A56747" w:rsidP="004B53CC">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3147D5DE" w14:textId="77777777" w:rsidR="00A56747" w:rsidRPr="00C754CA" w:rsidRDefault="00A56747" w:rsidP="004B53CC">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2BE4632B" w14:textId="77777777" w:rsidR="00A56747" w:rsidRPr="00C754CA" w:rsidRDefault="00A56747" w:rsidP="004B53CC">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73BD20F7" w14:textId="77777777" w:rsidR="00A56747" w:rsidRPr="00C754CA" w:rsidRDefault="00A56747" w:rsidP="004B53CC">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39A69459" w14:textId="77777777" w:rsidR="00A56747" w:rsidRPr="00C754CA" w:rsidRDefault="00A56747" w:rsidP="004B53CC">
            <w:pPr>
              <w:spacing w:before="0" w:after="0"/>
              <w:jc w:val="left"/>
              <w:rPr>
                <w:noProof/>
                <w:sz w:val="20"/>
                <w:szCs w:val="20"/>
                <w:lang w:eastAsia="en-IE"/>
              </w:rPr>
            </w:pPr>
          </w:p>
        </w:tc>
        <w:tc>
          <w:tcPr>
            <w:tcW w:w="465" w:type="pct"/>
            <w:tcBorders>
              <w:top w:val="nil"/>
              <w:left w:val="nil"/>
              <w:bottom w:val="nil"/>
              <w:right w:val="nil"/>
            </w:tcBorders>
            <w:shd w:val="clear" w:color="auto" w:fill="auto"/>
            <w:noWrap/>
            <w:vAlign w:val="bottom"/>
            <w:hideMark/>
          </w:tcPr>
          <w:p w14:paraId="4695F478" w14:textId="77777777" w:rsidR="00A56747" w:rsidRPr="00C754CA" w:rsidRDefault="00A56747" w:rsidP="004B53CC">
            <w:pPr>
              <w:spacing w:before="0" w:after="0"/>
              <w:jc w:val="left"/>
              <w:rPr>
                <w:noProof/>
                <w:sz w:val="20"/>
                <w:szCs w:val="20"/>
                <w:lang w:eastAsia="en-IE"/>
              </w:rPr>
            </w:pPr>
          </w:p>
        </w:tc>
      </w:tr>
      <w:tr w:rsidR="003100E7" w:rsidRPr="00C754CA" w14:paraId="5246BB76" w14:textId="77777777" w:rsidTr="004B5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8C366FC" w14:textId="77777777" w:rsidR="00A56747" w:rsidRPr="00C754CA" w:rsidRDefault="00A56747" w:rsidP="004B53CC">
            <w:pPr>
              <w:spacing w:before="0" w:after="0"/>
              <w:jc w:val="center"/>
              <w:rPr>
                <w:noProof/>
                <w:color w:val="000000"/>
                <w:szCs w:val="24"/>
              </w:rPr>
            </w:pPr>
            <w:r w:rsidRPr="00C754CA">
              <w:rPr>
                <w:noProof/>
                <w:color w:val="000000"/>
              </w:rPr>
              <w:t>GD &lt;…….&gt;</w:t>
            </w:r>
          </w:p>
        </w:tc>
        <w:tc>
          <w:tcPr>
            <w:tcW w:w="376" w:type="pct"/>
            <w:tcBorders>
              <w:top w:val="single" w:sz="8" w:space="0" w:color="auto"/>
              <w:left w:val="nil"/>
              <w:bottom w:val="nil"/>
              <w:right w:val="single" w:sz="8" w:space="0" w:color="auto"/>
            </w:tcBorders>
            <w:shd w:val="clear" w:color="auto" w:fill="auto"/>
            <w:vAlign w:val="center"/>
            <w:hideMark/>
          </w:tcPr>
          <w:p w14:paraId="3B52A146"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376" w:type="pct"/>
            <w:tcBorders>
              <w:top w:val="single" w:sz="8" w:space="0" w:color="auto"/>
              <w:left w:val="nil"/>
              <w:bottom w:val="nil"/>
              <w:right w:val="single" w:sz="8" w:space="0" w:color="auto"/>
            </w:tcBorders>
            <w:shd w:val="clear" w:color="auto" w:fill="auto"/>
            <w:vAlign w:val="center"/>
            <w:hideMark/>
          </w:tcPr>
          <w:p w14:paraId="6C01CF19"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376" w:type="pct"/>
            <w:tcBorders>
              <w:top w:val="single" w:sz="8" w:space="0" w:color="auto"/>
              <w:left w:val="nil"/>
              <w:bottom w:val="nil"/>
              <w:right w:val="single" w:sz="8" w:space="0" w:color="auto"/>
            </w:tcBorders>
            <w:shd w:val="clear" w:color="auto" w:fill="auto"/>
            <w:vAlign w:val="center"/>
            <w:hideMark/>
          </w:tcPr>
          <w:p w14:paraId="1C72D5AA"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376" w:type="pct"/>
            <w:tcBorders>
              <w:top w:val="single" w:sz="8" w:space="0" w:color="auto"/>
              <w:left w:val="nil"/>
              <w:bottom w:val="nil"/>
              <w:right w:val="single" w:sz="8" w:space="0" w:color="auto"/>
            </w:tcBorders>
            <w:shd w:val="clear" w:color="auto" w:fill="auto"/>
            <w:vAlign w:val="center"/>
            <w:hideMark/>
          </w:tcPr>
          <w:p w14:paraId="7C7B9DAA"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5C8AD4"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2021</w:t>
            </w:r>
            <w:r w:rsidRPr="00C754CA">
              <w:rPr>
                <w:b/>
                <w:noProof/>
                <w:color w:val="000000"/>
                <w:sz w:val="20"/>
              </w:rPr>
              <w:t>-</w:t>
            </w:r>
            <w:r w:rsidRPr="00E2773D">
              <w:rPr>
                <w:b/>
                <w:noProof/>
                <w:color w:val="000000"/>
                <w:sz w:val="20"/>
              </w:rPr>
              <w:t>2027</w:t>
            </w:r>
            <w:r w:rsidRPr="00C754CA">
              <w:rPr>
                <w:b/>
                <w:noProof/>
                <w:color w:val="000000"/>
                <w:sz w:val="20"/>
              </w:rPr>
              <w:t xml:space="preserve"> INSGESAMT</w:t>
            </w:r>
          </w:p>
        </w:tc>
      </w:tr>
      <w:tr w:rsidR="00A56747" w:rsidRPr="00C754CA" w14:paraId="5D6C4192" w14:textId="77777777" w:rsidTr="00FF1EF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14:paraId="7E926C8A" w14:textId="77777777" w:rsidR="00A56747" w:rsidRPr="00C754CA" w:rsidRDefault="00A56747" w:rsidP="004B53CC">
            <w:pPr>
              <w:spacing w:before="0" w:after="0"/>
              <w:jc w:val="left"/>
              <w:rPr>
                <w:noProof/>
                <w:color w:val="000000"/>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14:paraId="525ADFB2"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2024</w:t>
            </w:r>
          </w:p>
        </w:tc>
        <w:tc>
          <w:tcPr>
            <w:tcW w:w="376" w:type="pct"/>
            <w:tcBorders>
              <w:top w:val="nil"/>
              <w:left w:val="nil"/>
              <w:bottom w:val="single" w:sz="8" w:space="0" w:color="auto"/>
              <w:right w:val="single" w:sz="8" w:space="0" w:color="auto"/>
            </w:tcBorders>
            <w:shd w:val="clear" w:color="auto" w:fill="auto"/>
            <w:vAlign w:val="center"/>
            <w:hideMark/>
          </w:tcPr>
          <w:p w14:paraId="0344895B"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2025</w:t>
            </w:r>
          </w:p>
        </w:tc>
        <w:tc>
          <w:tcPr>
            <w:tcW w:w="376" w:type="pct"/>
            <w:tcBorders>
              <w:top w:val="nil"/>
              <w:left w:val="nil"/>
              <w:bottom w:val="single" w:sz="8" w:space="0" w:color="auto"/>
              <w:right w:val="single" w:sz="8" w:space="0" w:color="auto"/>
            </w:tcBorders>
            <w:shd w:val="clear" w:color="auto" w:fill="auto"/>
            <w:vAlign w:val="center"/>
            <w:hideMark/>
          </w:tcPr>
          <w:p w14:paraId="77562BCA"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2026</w:t>
            </w:r>
          </w:p>
        </w:tc>
        <w:tc>
          <w:tcPr>
            <w:tcW w:w="376" w:type="pct"/>
            <w:tcBorders>
              <w:top w:val="nil"/>
              <w:left w:val="nil"/>
              <w:bottom w:val="single" w:sz="8" w:space="0" w:color="auto"/>
              <w:right w:val="single" w:sz="8" w:space="0" w:color="auto"/>
            </w:tcBorders>
            <w:shd w:val="clear" w:color="auto" w:fill="auto"/>
            <w:vAlign w:val="center"/>
            <w:hideMark/>
          </w:tcPr>
          <w:p w14:paraId="3FDAEC61"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14:paraId="4CAB29B7" w14:textId="77777777" w:rsidR="00A56747" w:rsidRPr="00C754CA" w:rsidRDefault="00A56747" w:rsidP="004B53CC">
            <w:pPr>
              <w:spacing w:before="0" w:after="0"/>
              <w:jc w:val="left"/>
              <w:rPr>
                <w:b/>
                <w:bCs/>
                <w:noProof/>
                <w:color w:val="000000"/>
                <w:sz w:val="20"/>
                <w:szCs w:val="20"/>
                <w:lang w:eastAsia="en-IE"/>
              </w:rPr>
            </w:pPr>
          </w:p>
        </w:tc>
      </w:tr>
      <w:tr w:rsidR="003100E7" w:rsidRPr="00C754CA" w14:paraId="455DA74B" w14:textId="77777777" w:rsidTr="004B5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1D1C740E" w14:textId="77777777" w:rsidR="00A56747" w:rsidRPr="00C754CA" w:rsidRDefault="00A56747" w:rsidP="004B53CC">
            <w:pPr>
              <w:spacing w:before="0" w:after="0"/>
              <w:jc w:val="left"/>
              <w:rPr>
                <w:rFonts w:ascii="Wingdings" w:hAnsi="Wingdings" w:cs="Calibri"/>
                <w:noProof/>
                <w:color w:val="000000"/>
                <w:sz w:val="22"/>
              </w:rPr>
            </w:pPr>
            <w:r w:rsidRPr="00C754CA">
              <w:rPr>
                <w:rFonts w:ascii="Wingdings" w:hAnsi="Wingdings"/>
                <w:noProof/>
                <w:color w:val="000000"/>
                <w:sz w:val="22"/>
              </w:rPr>
              <w:t></w:t>
            </w:r>
            <w:r w:rsidRPr="00C754CA">
              <w:rPr>
                <w:noProof/>
                <w:color w:val="000000"/>
                <w:sz w:val="22"/>
              </w:rPr>
              <w:t xml:space="preserve"> </w:t>
            </w:r>
            <w:r w:rsidRPr="00C754CA">
              <w:rPr>
                <w:noProof/>
              </w:rPr>
              <w:t>Personalausgaben</w:t>
            </w:r>
            <w:r w:rsidRPr="00C754CA">
              <w:rPr>
                <w:noProof/>
                <w:color w:val="000000"/>
                <w:sz w:val="22"/>
              </w:rPr>
              <w:t xml:space="preserve"> </w:t>
            </w:r>
          </w:p>
        </w:tc>
        <w:tc>
          <w:tcPr>
            <w:tcW w:w="376" w:type="pct"/>
            <w:tcBorders>
              <w:top w:val="nil"/>
              <w:left w:val="nil"/>
              <w:bottom w:val="single" w:sz="8" w:space="0" w:color="auto"/>
              <w:right w:val="single" w:sz="8" w:space="0" w:color="auto"/>
            </w:tcBorders>
            <w:shd w:val="clear" w:color="000000" w:fill="D9D9D9"/>
            <w:vAlign w:val="center"/>
            <w:hideMark/>
          </w:tcPr>
          <w:p w14:paraId="679CF3C8"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0B41306D"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5EEB873C"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0CAFE723"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14:paraId="5342D120"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3855B2CB" w14:textId="77777777" w:rsidTr="004B5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34E7CCF3" w14:textId="77777777" w:rsidR="00A56747" w:rsidRPr="00C754CA" w:rsidRDefault="00A56747" w:rsidP="004B53CC">
            <w:pPr>
              <w:spacing w:before="0" w:after="0"/>
              <w:jc w:val="left"/>
              <w:rPr>
                <w:rFonts w:ascii="Wingdings" w:hAnsi="Wingdings" w:cs="Calibri"/>
                <w:noProof/>
                <w:color w:val="000000"/>
                <w:sz w:val="22"/>
              </w:rPr>
            </w:pPr>
            <w:r w:rsidRPr="00C754CA">
              <w:rPr>
                <w:rFonts w:ascii="Wingdings" w:hAnsi="Wingdings"/>
                <w:noProof/>
                <w:color w:val="000000"/>
                <w:sz w:val="22"/>
              </w:rPr>
              <w:t></w:t>
            </w:r>
            <w:r w:rsidRPr="00C754CA">
              <w:rPr>
                <w:noProof/>
                <w:color w:val="000000"/>
                <w:sz w:val="22"/>
              </w:rPr>
              <w:t xml:space="preserve"> </w:t>
            </w:r>
            <w:r w:rsidRPr="00C754CA">
              <w:rPr>
                <w:noProof/>
              </w:rPr>
              <w:t>Sonstige Verwaltungsausgaben</w:t>
            </w:r>
            <w:r w:rsidRPr="00C754CA">
              <w:rPr>
                <w:noProof/>
                <w:color w:val="000000"/>
                <w:sz w:val="22"/>
              </w:rPr>
              <w:t xml:space="preserve"> </w:t>
            </w:r>
          </w:p>
        </w:tc>
        <w:tc>
          <w:tcPr>
            <w:tcW w:w="376" w:type="pct"/>
            <w:tcBorders>
              <w:top w:val="nil"/>
              <w:left w:val="nil"/>
              <w:bottom w:val="single" w:sz="8" w:space="0" w:color="auto"/>
              <w:right w:val="single" w:sz="8" w:space="0" w:color="auto"/>
            </w:tcBorders>
            <w:shd w:val="clear" w:color="000000" w:fill="D9D9D9"/>
            <w:vAlign w:val="center"/>
            <w:hideMark/>
          </w:tcPr>
          <w:p w14:paraId="3BAE64EA"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2C62284C"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4CB0A36E"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2F7A992A" w14:textId="77777777" w:rsidR="00A56747" w:rsidRPr="00C754CA" w:rsidRDefault="00A56747" w:rsidP="004B53CC">
            <w:pPr>
              <w:spacing w:before="0" w:after="0"/>
              <w:jc w:val="right"/>
              <w:rPr>
                <w:noProof/>
                <w:color w:val="000000"/>
                <w:sz w:val="20"/>
                <w:szCs w:val="20"/>
              </w:rPr>
            </w:pPr>
            <w:r w:rsidRPr="00E2773D">
              <w:rPr>
                <w:noProof/>
                <w:color w:val="000000"/>
                <w:sz w:val="20"/>
              </w:rPr>
              <w:t>0</w:t>
            </w:r>
            <w:r w:rsidRPr="00C754CA">
              <w:rPr>
                <w:noProof/>
                <w:color w:val="000000"/>
                <w:sz w:val="20"/>
              </w:rPr>
              <w:t>,</w:t>
            </w:r>
            <w:r w:rsidRPr="00E2773D">
              <w:rPr>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14:paraId="0D52B0CF"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3100E7" w:rsidRPr="00C754CA" w14:paraId="125DFFEF" w14:textId="77777777" w:rsidTr="004B5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14:paraId="4AB8D50F" w14:textId="77777777" w:rsidR="00A56747" w:rsidRPr="00C754CA" w:rsidRDefault="00A56747" w:rsidP="004B53CC">
            <w:pPr>
              <w:spacing w:before="0" w:after="0"/>
              <w:jc w:val="center"/>
              <w:rPr>
                <w:b/>
                <w:bCs/>
                <w:noProof/>
                <w:color w:val="000000"/>
                <w:sz w:val="22"/>
              </w:rPr>
            </w:pPr>
            <w:r w:rsidRPr="00C754CA">
              <w:rPr>
                <w:b/>
                <w:noProof/>
                <w:color w:val="000000"/>
                <w:sz w:val="22"/>
              </w:rPr>
              <w:t xml:space="preserve">GD </w:t>
            </w:r>
            <w:r w:rsidRPr="00C754CA">
              <w:rPr>
                <w:noProof/>
                <w:color w:val="000000"/>
                <w:sz w:val="22"/>
              </w:rPr>
              <w:t xml:space="preserve">&lt;…….&gt; </w:t>
            </w:r>
            <w:r w:rsidRPr="00C754CA">
              <w:rPr>
                <w:b/>
                <w:noProof/>
                <w:color w:val="000000"/>
                <w:sz w:val="22"/>
              </w:rPr>
              <w:t>INSGESAMT</w:t>
            </w:r>
          </w:p>
        </w:tc>
        <w:tc>
          <w:tcPr>
            <w:tcW w:w="1378" w:type="pct"/>
            <w:gridSpan w:val="5"/>
            <w:tcBorders>
              <w:top w:val="single" w:sz="8" w:space="0" w:color="auto"/>
              <w:left w:val="nil"/>
              <w:bottom w:val="single" w:sz="8" w:space="0" w:color="auto"/>
              <w:right w:val="single" w:sz="8" w:space="0" w:color="auto"/>
            </w:tcBorders>
            <w:shd w:val="clear" w:color="auto" w:fill="auto"/>
            <w:vAlign w:val="center"/>
            <w:hideMark/>
          </w:tcPr>
          <w:p w14:paraId="2FD28CF2" w14:textId="77777777" w:rsidR="00A56747" w:rsidRPr="00C754CA" w:rsidRDefault="00A56747" w:rsidP="004B53CC">
            <w:pPr>
              <w:spacing w:before="0" w:after="0"/>
              <w:jc w:val="left"/>
              <w:rPr>
                <w:noProof/>
                <w:color w:val="000000"/>
                <w:sz w:val="18"/>
                <w:szCs w:val="18"/>
              </w:rPr>
            </w:pPr>
            <w:r w:rsidRPr="00C754CA">
              <w:rPr>
                <w:noProof/>
                <w:color w:val="000000"/>
                <w:sz w:val="18"/>
              </w:rPr>
              <w:t xml:space="preserve">Mittel </w:t>
            </w:r>
          </w:p>
        </w:tc>
        <w:tc>
          <w:tcPr>
            <w:tcW w:w="376" w:type="pct"/>
            <w:tcBorders>
              <w:top w:val="nil"/>
              <w:left w:val="nil"/>
              <w:bottom w:val="single" w:sz="8" w:space="0" w:color="auto"/>
              <w:right w:val="single" w:sz="8" w:space="0" w:color="auto"/>
            </w:tcBorders>
            <w:shd w:val="clear" w:color="000000" w:fill="D9D9D9"/>
            <w:vAlign w:val="center"/>
            <w:hideMark/>
          </w:tcPr>
          <w:p w14:paraId="3B75FA5A"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381231C0"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2D0B7189"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2B0F65FE"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14:paraId="08C89738"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r w:rsidR="00A56747" w:rsidRPr="00C754CA" w14:paraId="17B97AF0" w14:textId="77777777" w:rsidTr="00FF1EF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14:paraId="3B303D54" w14:textId="77777777" w:rsidR="00A56747" w:rsidRPr="00C754CA" w:rsidRDefault="00A56747" w:rsidP="004B53CC">
            <w:pPr>
              <w:spacing w:before="0" w:after="0"/>
              <w:jc w:val="right"/>
              <w:rPr>
                <w:b/>
                <w:bCs/>
                <w:noProof/>
                <w:color w:val="000000"/>
                <w:sz w:val="20"/>
                <w:szCs w:val="20"/>
                <w:lang w:eastAsia="en-IE"/>
              </w:rPr>
            </w:pPr>
          </w:p>
        </w:tc>
        <w:tc>
          <w:tcPr>
            <w:tcW w:w="929" w:type="pct"/>
            <w:gridSpan w:val="3"/>
            <w:tcBorders>
              <w:top w:val="nil"/>
              <w:left w:val="nil"/>
              <w:bottom w:val="nil"/>
              <w:right w:val="nil"/>
            </w:tcBorders>
            <w:shd w:val="clear" w:color="auto" w:fill="auto"/>
            <w:noWrap/>
            <w:vAlign w:val="bottom"/>
            <w:hideMark/>
          </w:tcPr>
          <w:p w14:paraId="44ADA09F" w14:textId="77777777" w:rsidR="00A56747" w:rsidRPr="00C754CA" w:rsidRDefault="00A56747" w:rsidP="004B53CC">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14:paraId="53F7DD2F" w14:textId="77777777" w:rsidR="00A56747" w:rsidRPr="00C754CA" w:rsidRDefault="00A56747" w:rsidP="004B53CC">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14:paraId="66ED43B7" w14:textId="77777777" w:rsidR="00A56747" w:rsidRPr="00C754CA" w:rsidRDefault="00A56747" w:rsidP="004B53CC">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374BB60C" w14:textId="77777777" w:rsidR="00A56747" w:rsidRPr="00C754CA" w:rsidRDefault="00A56747" w:rsidP="004B53CC">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6E93B9C8" w14:textId="77777777" w:rsidR="00A56747" w:rsidRPr="00C754CA" w:rsidRDefault="00A56747" w:rsidP="004B53CC">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344B1C2D" w14:textId="77777777" w:rsidR="00A56747" w:rsidRPr="00C754CA" w:rsidRDefault="00A56747" w:rsidP="004B53CC">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4084C131" w14:textId="77777777" w:rsidR="00A56747" w:rsidRPr="00C754CA" w:rsidRDefault="00A56747" w:rsidP="004B53CC">
            <w:pPr>
              <w:spacing w:before="0" w:after="0"/>
              <w:jc w:val="left"/>
              <w:rPr>
                <w:noProof/>
                <w:sz w:val="20"/>
                <w:szCs w:val="20"/>
                <w:lang w:eastAsia="en-IE"/>
              </w:rPr>
            </w:pPr>
          </w:p>
        </w:tc>
        <w:tc>
          <w:tcPr>
            <w:tcW w:w="465" w:type="pct"/>
            <w:tcBorders>
              <w:top w:val="nil"/>
              <w:left w:val="nil"/>
              <w:bottom w:val="nil"/>
              <w:right w:val="nil"/>
            </w:tcBorders>
            <w:shd w:val="clear" w:color="auto" w:fill="auto"/>
            <w:noWrap/>
            <w:vAlign w:val="bottom"/>
            <w:hideMark/>
          </w:tcPr>
          <w:p w14:paraId="3FF43C48" w14:textId="77777777" w:rsidR="00A56747" w:rsidRPr="00C754CA" w:rsidRDefault="00A56747" w:rsidP="004B53CC">
            <w:pPr>
              <w:spacing w:before="0" w:after="0"/>
              <w:jc w:val="left"/>
              <w:rPr>
                <w:noProof/>
                <w:sz w:val="20"/>
                <w:szCs w:val="20"/>
                <w:lang w:eastAsia="en-IE"/>
              </w:rPr>
            </w:pPr>
          </w:p>
        </w:tc>
      </w:tr>
      <w:tr w:rsidR="003100E7" w:rsidRPr="00C754CA" w14:paraId="05CB6A48" w14:textId="77777777" w:rsidTr="004B5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2583" w:type="pct"/>
            <w:gridSpan w:val="4"/>
            <w:tcBorders>
              <w:top w:val="single" w:sz="8" w:space="0" w:color="auto"/>
              <w:left w:val="single" w:sz="8" w:space="0" w:color="auto"/>
              <w:bottom w:val="single" w:sz="8" w:space="0" w:color="auto"/>
              <w:right w:val="single" w:sz="8" w:space="0" w:color="auto"/>
            </w:tcBorders>
            <w:shd w:val="thinDiagStripe" w:color="C0C0C0" w:fill="F1F1F1"/>
            <w:vAlign w:val="center"/>
            <w:hideMark/>
          </w:tcPr>
          <w:p w14:paraId="41AE086D" w14:textId="77777777" w:rsidR="00A56747" w:rsidRPr="00C754CA" w:rsidRDefault="00A56747" w:rsidP="004B53CC">
            <w:pPr>
              <w:spacing w:before="0" w:after="0"/>
              <w:jc w:val="center"/>
              <w:rPr>
                <w:b/>
                <w:bCs/>
                <w:noProof/>
                <w:color w:val="000000"/>
                <w:sz w:val="22"/>
              </w:rPr>
            </w:pPr>
            <w:r w:rsidRPr="00C754CA">
              <w:rPr>
                <w:b/>
                <w:noProof/>
                <w:color w:val="000000"/>
                <w:sz w:val="22"/>
              </w:rPr>
              <w:t>Mittel INSGESAMT unter der RUBRIK </w:t>
            </w:r>
            <w:r w:rsidRPr="00E2773D">
              <w:rPr>
                <w:b/>
                <w:noProof/>
                <w:color w:val="000000"/>
                <w:sz w:val="22"/>
              </w:rPr>
              <w:t>7</w:t>
            </w:r>
            <w:r w:rsidRPr="00C754CA">
              <w:rPr>
                <w:b/>
                <w:noProof/>
                <w:color w:val="000000"/>
                <w:sz w:val="22"/>
              </w:rPr>
              <w:t xml:space="preserve"> des Mehrjährigen Finanzrahmens </w:t>
            </w:r>
          </w:p>
        </w:tc>
        <w:tc>
          <w:tcPr>
            <w:tcW w:w="449" w:type="pct"/>
            <w:gridSpan w:val="2"/>
            <w:tcBorders>
              <w:top w:val="single" w:sz="8" w:space="0" w:color="auto"/>
              <w:left w:val="nil"/>
              <w:bottom w:val="single" w:sz="8" w:space="0" w:color="auto"/>
              <w:right w:val="single" w:sz="8" w:space="0" w:color="auto"/>
            </w:tcBorders>
            <w:shd w:val="clear" w:color="auto" w:fill="auto"/>
            <w:vAlign w:val="center"/>
            <w:hideMark/>
          </w:tcPr>
          <w:p w14:paraId="4C862320" w14:textId="77777777" w:rsidR="00A56747" w:rsidRPr="00C754CA" w:rsidRDefault="00A56747" w:rsidP="004B53CC">
            <w:pPr>
              <w:spacing w:before="0" w:after="0"/>
              <w:jc w:val="center"/>
              <w:rPr>
                <w:noProof/>
                <w:color w:val="000000"/>
                <w:sz w:val="18"/>
                <w:szCs w:val="18"/>
              </w:rPr>
            </w:pPr>
            <w:r w:rsidRPr="00C754CA">
              <w:rPr>
                <w:noProof/>
                <w:color w:val="000000"/>
                <w:sz w:val="18"/>
              </w:rPr>
              <w:t>(Verpflichtungen insges. = Zahlungen insges.)</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50FE612F"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49E32AC1"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2AEC106C"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3D3EBEB3"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14:paraId="2B26AD19" w14:textId="77777777" w:rsidR="00A56747" w:rsidRPr="00C754CA" w:rsidRDefault="00A56747" w:rsidP="004B53CC">
            <w:pPr>
              <w:spacing w:before="0" w:after="0"/>
              <w:jc w:val="right"/>
              <w:rPr>
                <w:b/>
                <w:bCs/>
                <w:noProof/>
                <w:color w:val="000000"/>
                <w:sz w:val="20"/>
                <w:szCs w:val="20"/>
              </w:rPr>
            </w:pPr>
            <w:r w:rsidRPr="00E2773D">
              <w:rPr>
                <w:b/>
                <w:noProof/>
                <w:color w:val="000000"/>
                <w:sz w:val="20"/>
              </w:rPr>
              <w:t>0</w:t>
            </w:r>
            <w:r w:rsidRPr="00C754CA">
              <w:rPr>
                <w:b/>
                <w:noProof/>
                <w:color w:val="000000"/>
                <w:sz w:val="20"/>
              </w:rPr>
              <w:t>,</w:t>
            </w:r>
            <w:r w:rsidRPr="00E2773D">
              <w:rPr>
                <w:b/>
                <w:noProof/>
                <w:color w:val="000000"/>
                <w:sz w:val="20"/>
              </w:rPr>
              <w:t>000</w:t>
            </w:r>
          </w:p>
        </w:tc>
      </w:tr>
    </w:tbl>
    <w:p w14:paraId="67B90998" w14:textId="77777777" w:rsidR="00A56747" w:rsidRPr="00C754CA" w:rsidRDefault="00A56747" w:rsidP="00A56747">
      <w:pPr>
        <w:jc w:val="right"/>
        <w:rPr>
          <w:noProof/>
          <w:sz w:val="20"/>
        </w:rPr>
      </w:pPr>
      <w:r w:rsidRPr="00C754CA">
        <w:rPr>
          <w:noProof/>
          <w:sz w:val="20"/>
        </w:rPr>
        <w:t>in Mio. EUR (</w:t>
      </w:r>
      <w:r w:rsidRPr="00E2773D">
        <w:rPr>
          <w:noProof/>
          <w:sz w:val="20"/>
        </w:rPr>
        <w:t>3</w:t>
      </w:r>
      <w:r w:rsidRPr="00C754CA">
        <w:rPr>
          <w:noProof/>
          <w:sz w:val="20"/>
        </w:rPr>
        <w:t> Dezimalstellen)</w:t>
      </w:r>
    </w:p>
    <w:tbl>
      <w:tblPr>
        <w:tblW w:w="5000" w:type="pct"/>
        <w:tblLook w:val="04A0" w:firstRow="1" w:lastRow="0" w:firstColumn="1" w:lastColumn="0" w:noHBand="0" w:noVBand="1"/>
      </w:tblPr>
      <w:tblGrid>
        <w:gridCol w:w="5589"/>
        <w:gridCol w:w="2063"/>
        <w:gridCol w:w="1238"/>
        <w:gridCol w:w="1238"/>
        <w:gridCol w:w="1336"/>
        <w:gridCol w:w="1256"/>
        <w:gridCol w:w="1500"/>
      </w:tblGrid>
      <w:tr w:rsidR="003100E7" w:rsidRPr="00C754CA" w14:paraId="3524FA78" w14:textId="77777777" w:rsidTr="24923FD7">
        <w:trPr>
          <w:cantSplit/>
          <w:trHeight w:val="288"/>
        </w:trPr>
        <w:tc>
          <w:tcPr>
            <w:tcW w:w="270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0B20A53" w14:textId="77777777" w:rsidR="00A56747" w:rsidRPr="00C754CA" w:rsidRDefault="00A56747" w:rsidP="004B53CC">
            <w:pPr>
              <w:spacing w:before="0" w:after="0"/>
              <w:jc w:val="center"/>
              <w:rPr>
                <w:noProof/>
                <w:color w:val="000000"/>
                <w:szCs w:val="24"/>
              </w:rPr>
            </w:pPr>
            <w:r w:rsidRPr="00C754CA">
              <w:rPr>
                <w:noProof/>
                <w:color w:val="000000"/>
              </w:rPr>
              <w:t> </w:t>
            </w:r>
          </w:p>
        </w:tc>
        <w:tc>
          <w:tcPr>
            <w:tcW w:w="441" w:type="pct"/>
            <w:tcBorders>
              <w:top w:val="single" w:sz="8" w:space="0" w:color="auto"/>
              <w:left w:val="nil"/>
              <w:bottom w:val="nil"/>
              <w:right w:val="single" w:sz="8" w:space="0" w:color="auto"/>
            </w:tcBorders>
            <w:shd w:val="clear" w:color="auto" w:fill="auto"/>
            <w:vAlign w:val="center"/>
            <w:hideMark/>
          </w:tcPr>
          <w:p w14:paraId="0942E088"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41" w:type="pct"/>
            <w:tcBorders>
              <w:top w:val="single" w:sz="8" w:space="0" w:color="auto"/>
              <w:left w:val="nil"/>
              <w:bottom w:val="nil"/>
              <w:right w:val="single" w:sz="8" w:space="0" w:color="auto"/>
            </w:tcBorders>
            <w:shd w:val="clear" w:color="auto" w:fill="auto"/>
            <w:vAlign w:val="center"/>
            <w:hideMark/>
          </w:tcPr>
          <w:p w14:paraId="65AC74BB"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41" w:type="pct"/>
            <w:tcBorders>
              <w:top w:val="single" w:sz="8" w:space="0" w:color="auto"/>
              <w:left w:val="nil"/>
              <w:bottom w:val="nil"/>
              <w:right w:val="single" w:sz="8" w:space="0" w:color="auto"/>
            </w:tcBorders>
            <w:shd w:val="clear" w:color="auto" w:fill="auto"/>
            <w:vAlign w:val="center"/>
            <w:hideMark/>
          </w:tcPr>
          <w:p w14:paraId="24071409"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441" w:type="pct"/>
            <w:tcBorders>
              <w:top w:val="single" w:sz="8" w:space="0" w:color="auto"/>
              <w:left w:val="nil"/>
              <w:bottom w:val="nil"/>
              <w:right w:val="single" w:sz="8" w:space="0" w:color="auto"/>
            </w:tcBorders>
            <w:shd w:val="clear" w:color="auto" w:fill="auto"/>
            <w:vAlign w:val="center"/>
            <w:hideMark/>
          </w:tcPr>
          <w:p w14:paraId="3E98588A"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33" w:type="pct"/>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7589739B"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2021</w:t>
            </w:r>
            <w:r w:rsidRPr="00C754CA">
              <w:rPr>
                <w:b/>
                <w:noProof/>
                <w:color w:val="000000"/>
                <w:sz w:val="20"/>
              </w:rPr>
              <w:t>-</w:t>
            </w:r>
            <w:r w:rsidRPr="00E2773D">
              <w:rPr>
                <w:b/>
                <w:noProof/>
                <w:color w:val="000000"/>
                <w:sz w:val="20"/>
              </w:rPr>
              <w:t>2027</w:t>
            </w:r>
            <w:r w:rsidRPr="00C754CA">
              <w:rPr>
                <w:b/>
                <w:noProof/>
                <w:color w:val="000000"/>
                <w:sz w:val="20"/>
              </w:rPr>
              <w:t xml:space="preserve"> INSGESAMT</w:t>
            </w:r>
          </w:p>
        </w:tc>
      </w:tr>
      <w:tr w:rsidR="00A56747" w:rsidRPr="00C754CA" w14:paraId="4943FB89" w14:textId="77777777" w:rsidTr="00FF1EF4">
        <w:trPr>
          <w:cantSplit/>
          <w:trHeight w:val="300"/>
        </w:trPr>
        <w:tc>
          <w:tcPr>
            <w:tcW w:w="2702" w:type="pct"/>
            <w:gridSpan w:val="2"/>
            <w:vMerge/>
            <w:vAlign w:val="center"/>
            <w:hideMark/>
          </w:tcPr>
          <w:p w14:paraId="66A99C7E" w14:textId="77777777" w:rsidR="00A56747" w:rsidRPr="00C754CA" w:rsidRDefault="00A56747" w:rsidP="004B53CC">
            <w:pPr>
              <w:spacing w:before="0" w:after="0"/>
              <w:jc w:val="left"/>
              <w:rPr>
                <w:noProof/>
                <w:color w:val="000000"/>
                <w:szCs w:val="24"/>
                <w:lang w:eastAsia="en-IE"/>
              </w:rPr>
            </w:pPr>
          </w:p>
        </w:tc>
        <w:tc>
          <w:tcPr>
            <w:tcW w:w="441" w:type="pct"/>
            <w:tcBorders>
              <w:top w:val="nil"/>
              <w:left w:val="nil"/>
              <w:bottom w:val="single" w:sz="8" w:space="0" w:color="auto"/>
              <w:right w:val="single" w:sz="8" w:space="0" w:color="auto"/>
            </w:tcBorders>
            <w:shd w:val="clear" w:color="auto" w:fill="auto"/>
            <w:vAlign w:val="center"/>
            <w:hideMark/>
          </w:tcPr>
          <w:p w14:paraId="13E571E1"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2024</w:t>
            </w:r>
          </w:p>
        </w:tc>
        <w:tc>
          <w:tcPr>
            <w:tcW w:w="441" w:type="pct"/>
            <w:tcBorders>
              <w:top w:val="nil"/>
              <w:left w:val="nil"/>
              <w:bottom w:val="single" w:sz="8" w:space="0" w:color="auto"/>
              <w:right w:val="single" w:sz="8" w:space="0" w:color="auto"/>
            </w:tcBorders>
            <w:shd w:val="clear" w:color="auto" w:fill="auto"/>
            <w:vAlign w:val="center"/>
            <w:hideMark/>
          </w:tcPr>
          <w:p w14:paraId="644E91FD"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2025</w:t>
            </w:r>
          </w:p>
        </w:tc>
        <w:tc>
          <w:tcPr>
            <w:tcW w:w="441" w:type="pct"/>
            <w:tcBorders>
              <w:top w:val="nil"/>
              <w:left w:val="nil"/>
              <w:bottom w:val="single" w:sz="8" w:space="0" w:color="auto"/>
              <w:right w:val="single" w:sz="8" w:space="0" w:color="auto"/>
            </w:tcBorders>
            <w:shd w:val="clear" w:color="auto" w:fill="auto"/>
            <w:vAlign w:val="center"/>
            <w:hideMark/>
          </w:tcPr>
          <w:p w14:paraId="35437B2A"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2026</w:t>
            </w:r>
          </w:p>
        </w:tc>
        <w:tc>
          <w:tcPr>
            <w:tcW w:w="441" w:type="pct"/>
            <w:tcBorders>
              <w:top w:val="nil"/>
              <w:left w:val="nil"/>
              <w:bottom w:val="single" w:sz="8" w:space="0" w:color="auto"/>
              <w:right w:val="single" w:sz="8" w:space="0" w:color="auto"/>
            </w:tcBorders>
            <w:shd w:val="clear" w:color="auto" w:fill="auto"/>
            <w:vAlign w:val="center"/>
            <w:hideMark/>
          </w:tcPr>
          <w:p w14:paraId="78D8D571"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2027</w:t>
            </w:r>
          </w:p>
        </w:tc>
        <w:tc>
          <w:tcPr>
            <w:tcW w:w="533" w:type="pct"/>
            <w:vMerge/>
            <w:vAlign w:val="center"/>
            <w:hideMark/>
          </w:tcPr>
          <w:p w14:paraId="3181526D" w14:textId="77777777" w:rsidR="00A56747" w:rsidRPr="00C754CA" w:rsidRDefault="00A56747" w:rsidP="004B53CC">
            <w:pPr>
              <w:spacing w:before="0" w:after="0"/>
              <w:jc w:val="left"/>
              <w:rPr>
                <w:b/>
                <w:bCs/>
                <w:noProof/>
                <w:color w:val="000000"/>
                <w:sz w:val="20"/>
                <w:szCs w:val="20"/>
                <w:lang w:eastAsia="en-IE"/>
              </w:rPr>
            </w:pPr>
          </w:p>
        </w:tc>
      </w:tr>
      <w:tr w:rsidR="003100E7" w:rsidRPr="00C754CA" w14:paraId="4E5A5D34" w14:textId="77777777" w:rsidTr="24923FD7">
        <w:trPr>
          <w:cantSplit/>
          <w:trHeight w:val="564"/>
        </w:trPr>
        <w:tc>
          <w:tcPr>
            <w:tcW w:w="1971" w:type="pct"/>
            <w:tcBorders>
              <w:top w:val="single" w:sz="8" w:space="0" w:color="auto"/>
              <w:left w:val="single" w:sz="8" w:space="0" w:color="auto"/>
              <w:bottom w:val="single" w:sz="8" w:space="0" w:color="auto"/>
              <w:right w:val="single" w:sz="8" w:space="0" w:color="000000" w:themeColor="text1"/>
            </w:tcBorders>
            <w:shd w:val="clear" w:color="auto" w:fill="C0C0C0"/>
            <w:vAlign w:val="center"/>
            <w:hideMark/>
          </w:tcPr>
          <w:p w14:paraId="50158BBD" w14:textId="77777777" w:rsidR="00A56747" w:rsidRPr="00C754CA" w:rsidRDefault="00A56747" w:rsidP="004B53CC">
            <w:pPr>
              <w:spacing w:before="0" w:after="0"/>
              <w:jc w:val="center"/>
              <w:rPr>
                <w:b/>
                <w:bCs/>
                <w:noProof/>
                <w:color w:val="000000"/>
                <w:sz w:val="22"/>
              </w:rPr>
            </w:pPr>
            <w:r w:rsidRPr="00C754CA">
              <w:rPr>
                <w:b/>
                <w:noProof/>
                <w:color w:val="000000"/>
                <w:sz w:val="22"/>
              </w:rPr>
              <w:t>Mittel INSGESAMT unter den RUBRIKEN </w:t>
            </w:r>
            <w:r w:rsidRPr="00E2773D">
              <w:rPr>
                <w:b/>
                <w:noProof/>
                <w:color w:val="000000"/>
                <w:sz w:val="22"/>
              </w:rPr>
              <w:t>1</w:t>
            </w:r>
            <w:r w:rsidRPr="00C754CA">
              <w:rPr>
                <w:b/>
                <w:noProof/>
                <w:color w:val="000000"/>
                <w:sz w:val="22"/>
              </w:rPr>
              <w:t xml:space="preserve"> bis </w:t>
            </w:r>
            <w:r w:rsidRPr="00E2773D">
              <w:rPr>
                <w:b/>
                <w:noProof/>
                <w:color w:val="000000"/>
                <w:sz w:val="22"/>
              </w:rPr>
              <w:t>7</w:t>
            </w:r>
          </w:p>
        </w:tc>
        <w:tc>
          <w:tcPr>
            <w:tcW w:w="731" w:type="pct"/>
            <w:tcBorders>
              <w:top w:val="single" w:sz="8" w:space="0" w:color="auto"/>
              <w:left w:val="nil"/>
              <w:bottom w:val="single" w:sz="8" w:space="0" w:color="auto"/>
              <w:right w:val="single" w:sz="8" w:space="0" w:color="auto"/>
            </w:tcBorders>
            <w:shd w:val="clear" w:color="auto" w:fill="auto"/>
            <w:vAlign w:val="center"/>
            <w:hideMark/>
          </w:tcPr>
          <w:p w14:paraId="659EAABF" w14:textId="77777777" w:rsidR="00A56747" w:rsidRPr="00C754CA" w:rsidRDefault="00A56747" w:rsidP="004B53CC">
            <w:pPr>
              <w:spacing w:before="0" w:after="0"/>
              <w:rPr>
                <w:noProof/>
                <w:color w:val="000000"/>
                <w:sz w:val="18"/>
                <w:szCs w:val="18"/>
              </w:rPr>
            </w:pPr>
            <w:r w:rsidRPr="00C754CA">
              <w:rPr>
                <w:noProof/>
                <w:color w:val="000000"/>
                <w:sz w:val="18"/>
              </w:rPr>
              <w:t>Verpflichtungen</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14:paraId="13096078" w14:textId="77777777" w:rsidR="00A56747" w:rsidRPr="00C754CA" w:rsidRDefault="00A56747" w:rsidP="004B53CC">
            <w:pPr>
              <w:spacing w:before="0" w:after="0"/>
              <w:jc w:val="right"/>
              <w:rPr>
                <w:b/>
                <w:bCs/>
                <w:noProof/>
                <w:color w:val="000000"/>
                <w:szCs w:val="24"/>
              </w:rPr>
            </w:pPr>
            <w:r w:rsidRPr="00E2773D">
              <w:rPr>
                <w:b/>
                <w:noProof/>
                <w:color w:val="000000"/>
              </w:rPr>
              <w:t>0</w:t>
            </w:r>
            <w:r w:rsidRPr="00C754CA">
              <w:rPr>
                <w:b/>
                <w:noProof/>
                <w:color w:val="000000"/>
              </w:rPr>
              <w:t>,</w:t>
            </w:r>
            <w:r w:rsidRPr="00E2773D">
              <w:rPr>
                <w:b/>
                <w:noProof/>
                <w:color w:val="000000"/>
              </w:rPr>
              <w:t>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14:paraId="69C69177" w14:textId="77777777" w:rsidR="00A56747" w:rsidRPr="00C754CA" w:rsidRDefault="00A56747" w:rsidP="004B53CC">
            <w:pPr>
              <w:spacing w:before="0" w:after="0"/>
              <w:jc w:val="right"/>
              <w:rPr>
                <w:b/>
                <w:bCs/>
                <w:noProof/>
                <w:color w:val="000000"/>
                <w:szCs w:val="24"/>
              </w:rPr>
            </w:pPr>
            <w:r w:rsidRPr="00E2773D">
              <w:rPr>
                <w:b/>
                <w:noProof/>
                <w:color w:val="000000"/>
              </w:rPr>
              <w:t>0</w:t>
            </w:r>
            <w:r w:rsidRPr="00C754CA">
              <w:rPr>
                <w:b/>
                <w:noProof/>
                <w:color w:val="000000"/>
              </w:rPr>
              <w:t>,</w:t>
            </w:r>
            <w:r w:rsidRPr="00E2773D">
              <w:rPr>
                <w:b/>
                <w:noProof/>
                <w:color w:val="000000"/>
              </w:rPr>
              <w:t>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14:paraId="01C77314" w14:textId="77777777" w:rsidR="00A56747" w:rsidRPr="00C754CA" w:rsidRDefault="00A56747" w:rsidP="004B53CC">
            <w:pPr>
              <w:spacing w:before="0" w:after="0"/>
              <w:jc w:val="right"/>
              <w:rPr>
                <w:b/>
                <w:bCs/>
                <w:noProof/>
                <w:color w:val="000000"/>
                <w:szCs w:val="24"/>
              </w:rPr>
            </w:pPr>
            <w:r w:rsidRPr="00E2773D">
              <w:rPr>
                <w:b/>
                <w:noProof/>
                <w:color w:val="000000"/>
              </w:rPr>
              <w:t>0</w:t>
            </w:r>
            <w:r w:rsidRPr="00C754CA">
              <w:rPr>
                <w:b/>
                <w:noProof/>
                <w:color w:val="000000"/>
              </w:rPr>
              <w:t>,</w:t>
            </w:r>
            <w:r w:rsidRPr="00E2773D">
              <w:rPr>
                <w:b/>
                <w:noProof/>
                <w:color w:val="000000"/>
              </w:rPr>
              <w:t>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14:paraId="5B966882" w14:textId="77777777" w:rsidR="00A56747" w:rsidRPr="00C754CA" w:rsidRDefault="00A56747" w:rsidP="004B53CC">
            <w:pPr>
              <w:spacing w:before="0" w:after="0"/>
              <w:jc w:val="right"/>
              <w:rPr>
                <w:b/>
                <w:bCs/>
                <w:noProof/>
                <w:color w:val="000000"/>
                <w:szCs w:val="24"/>
              </w:rPr>
            </w:pPr>
            <w:r w:rsidRPr="00E2773D">
              <w:rPr>
                <w:b/>
                <w:noProof/>
                <w:color w:val="000000"/>
              </w:rPr>
              <w:t>0</w:t>
            </w:r>
            <w:r w:rsidRPr="00C754CA">
              <w:rPr>
                <w:b/>
                <w:noProof/>
                <w:color w:val="000000"/>
              </w:rPr>
              <w:t>,</w:t>
            </w:r>
            <w:r w:rsidRPr="00E2773D">
              <w:rPr>
                <w:b/>
                <w:noProof/>
                <w:color w:val="000000"/>
              </w:rPr>
              <w:t>000</w:t>
            </w:r>
          </w:p>
        </w:tc>
        <w:tc>
          <w:tcPr>
            <w:tcW w:w="533" w:type="pct"/>
            <w:tcBorders>
              <w:top w:val="nil"/>
              <w:left w:val="nil"/>
              <w:bottom w:val="single" w:sz="8" w:space="0" w:color="auto"/>
              <w:right w:val="single" w:sz="8" w:space="0" w:color="auto"/>
            </w:tcBorders>
            <w:shd w:val="clear" w:color="auto" w:fill="D9D9D9" w:themeFill="background1" w:themeFillShade="D9"/>
            <w:vAlign w:val="center"/>
            <w:hideMark/>
          </w:tcPr>
          <w:p w14:paraId="34341D72" w14:textId="77777777" w:rsidR="00A56747" w:rsidRPr="00C754CA" w:rsidRDefault="00A56747" w:rsidP="004B53CC">
            <w:pPr>
              <w:spacing w:before="0" w:after="0"/>
              <w:jc w:val="right"/>
              <w:rPr>
                <w:b/>
                <w:bCs/>
                <w:noProof/>
                <w:color w:val="000000"/>
                <w:szCs w:val="24"/>
              </w:rPr>
            </w:pPr>
            <w:r w:rsidRPr="00E2773D">
              <w:rPr>
                <w:b/>
                <w:noProof/>
                <w:color w:val="000000"/>
              </w:rPr>
              <w:t>0</w:t>
            </w:r>
            <w:r w:rsidRPr="00C754CA">
              <w:rPr>
                <w:b/>
                <w:noProof/>
                <w:color w:val="000000"/>
              </w:rPr>
              <w:t>,</w:t>
            </w:r>
            <w:r w:rsidRPr="00E2773D">
              <w:rPr>
                <w:b/>
                <w:noProof/>
                <w:color w:val="000000"/>
              </w:rPr>
              <w:t>000</w:t>
            </w:r>
          </w:p>
        </w:tc>
      </w:tr>
      <w:tr w:rsidR="00A56747" w:rsidRPr="00C754CA" w14:paraId="5D003049" w14:textId="77777777" w:rsidTr="24923FD7">
        <w:trPr>
          <w:cantSplit/>
          <w:trHeight w:val="540"/>
        </w:trPr>
        <w:tc>
          <w:tcPr>
            <w:tcW w:w="1971" w:type="pct"/>
            <w:tcBorders>
              <w:top w:val="single" w:sz="8" w:space="0" w:color="auto"/>
              <w:left w:val="single" w:sz="8" w:space="0" w:color="auto"/>
              <w:bottom w:val="single" w:sz="8" w:space="0" w:color="auto"/>
              <w:right w:val="single" w:sz="8" w:space="0" w:color="000000" w:themeColor="text1"/>
            </w:tcBorders>
            <w:shd w:val="clear" w:color="auto" w:fill="C0C0C0"/>
            <w:vAlign w:val="center"/>
            <w:hideMark/>
          </w:tcPr>
          <w:p w14:paraId="7BB675F8" w14:textId="77777777" w:rsidR="00A56747" w:rsidRPr="00C754CA" w:rsidRDefault="00A56747" w:rsidP="004B53CC">
            <w:pPr>
              <w:spacing w:before="0" w:after="0"/>
              <w:jc w:val="center"/>
              <w:rPr>
                <w:noProof/>
                <w:color w:val="000000"/>
                <w:sz w:val="22"/>
              </w:rPr>
            </w:pPr>
            <w:r w:rsidRPr="00C754CA">
              <w:rPr>
                <w:noProof/>
                <w:color w:val="000000"/>
                <w:sz w:val="22"/>
              </w:rPr>
              <w:t>des Mehrjährigen Finanzrahmens</w:t>
            </w:r>
            <w:r w:rsidRPr="00C754CA">
              <w:rPr>
                <w:b/>
                <w:noProof/>
                <w:color w:val="000000"/>
                <w:sz w:val="22"/>
              </w:rPr>
              <w:t xml:space="preserve"> </w:t>
            </w:r>
          </w:p>
        </w:tc>
        <w:tc>
          <w:tcPr>
            <w:tcW w:w="731" w:type="pct"/>
            <w:tcBorders>
              <w:top w:val="single" w:sz="8" w:space="0" w:color="auto"/>
              <w:left w:val="nil"/>
              <w:bottom w:val="single" w:sz="8" w:space="0" w:color="auto"/>
              <w:right w:val="single" w:sz="8" w:space="0" w:color="auto"/>
            </w:tcBorders>
            <w:shd w:val="clear" w:color="auto" w:fill="auto"/>
            <w:vAlign w:val="center"/>
            <w:hideMark/>
          </w:tcPr>
          <w:p w14:paraId="21D8A262" w14:textId="77777777" w:rsidR="00A56747" w:rsidRPr="00C754CA" w:rsidRDefault="00A56747" w:rsidP="004B53CC">
            <w:pPr>
              <w:spacing w:before="0" w:after="0"/>
              <w:rPr>
                <w:noProof/>
                <w:color w:val="000000"/>
                <w:sz w:val="18"/>
                <w:szCs w:val="18"/>
              </w:rPr>
            </w:pPr>
            <w:r w:rsidRPr="00C754CA">
              <w:rPr>
                <w:noProof/>
                <w:color w:val="000000"/>
                <w:sz w:val="18"/>
              </w:rPr>
              <w:t>Zahlungen</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14:paraId="0EDA43AD" w14:textId="77777777" w:rsidR="00A56747" w:rsidRPr="00C754CA" w:rsidRDefault="00A56747" w:rsidP="004B53CC">
            <w:pPr>
              <w:spacing w:before="0" w:after="0"/>
              <w:jc w:val="right"/>
              <w:rPr>
                <w:b/>
                <w:bCs/>
                <w:noProof/>
                <w:color w:val="000000"/>
                <w:szCs w:val="24"/>
              </w:rPr>
            </w:pPr>
            <w:r w:rsidRPr="00E2773D">
              <w:rPr>
                <w:b/>
                <w:noProof/>
                <w:color w:val="000000"/>
              </w:rPr>
              <w:t>0</w:t>
            </w:r>
            <w:r w:rsidRPr="00C754CA">
              <w:rPr>
                <w:b/>
                <w:noProof/>
                <w:color w:val="000000"/>
              </w:rPr>
              <w:t>,</w:t>
            </w:r>
            <w:r w:rsidRPr="00E2773D">
              <w:rPr>
                <w:b/>
                <w:noProof/>
                <w:color w:val="000000"/>
              </w:rPr>
              <w:t>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14:paraId="6662EE8E" w14:textId="77777777" w:rsidR="00A56747" w:rsidRPr="00C754CA" w:rsidRDefault="00A56747" w:rsidP="004B53CC">
            <w:pPr>
              <w:spacing w:before="0" w:after="0"/>
              <w:jc w:val="right"/>
              <w:rPr>
                <w:b/>
                <w:bCs/>
                <w:noProof/>
                <w:color w:val="000000"/>
                <w:szCs w:val="24"/>
              </w:rPr>
            </w:pPr>
            <w:r w:rsidRPr="00E2773D">
              <w:rPr>
                <w:b/>
                <w:noProof/>
                <w:color w:val="000000"/>
              </w:rPr>
              <w:t>0</w:t>
            </w:r>
            <w:r w:rsidRPr="00C754CA">
              <w:rPr>
                <w:b/>
                <w:noProof/>
                <w:color w:val="000000"/>
              </w:rPr>
              <w:t>,</w:t>
            </w:r>
            <w:r w:rsidRPr="00E2773D">
              <w:rPr>
                <w:b/>
                <w:noProof/>
                <w:color w:val="000000"/>
              </w:rPr>
              <w:t>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14:paraId="7C66ABF4" w14:textId="77777777" w:rsidR="00A56747" w:rsidRPr="00C754CA" w:rsidRDefault="00A3606D" w:rsidP="24923FD7">
            <w:pPr>
              <w:spacing w:before="0" w:after="0"/>
              <w:jc w:val="right"/>
              <w:rPr>
                <w:b/>
                <w:bCs/>
                <w:noProof/>
                <w:color w:val="000000"/>
              </w:rPr>
            </w:pPr>
            <w:r w:rsidRPr="00C754CA">
              <w:rPr>
                <w:b/>
                <w:noProof/>
                <w:color w:val="000000" w:themeColor="text1"/>
              </w:rPr>
              <w:t>[</w:t>
            </w:r>
            <w:r w:rsidRPr="00E2773D">
              <w:rPr>
                <w:b/>
                <w:noProof/>
                <w:color w:val="000000" w:themeColor="text1"/>
              </w:rPr>
              <w:t>3</w:t>
            </w:r>
            <w:r w:rsidRPr="00C754CA">
              <w:rPr>
                <w:b/>
                <w:noProof/>
                <w:color w:val="000000" w:themeColor="text1"/>
              </w:rPr>
              <w:t> </w:t>
            </w:r>
            <w:r w:rsidRPr="00E2773D">
              <w:rPr>
                <w:b/>
                <w:noProof/>
                <w:color w:val="000000" w:themeColor="text1"/>
              </w:rPr>
              <w:t>600</w:t>
            </w:r>
            <w:r w:rsidRPr="00C754CA">
              <w:rPr>
                <w:b/>
                <w:noProof/>
                <w:color w:val="000000" w:themeColor="text1"/>
              </w:rPr>
              <w:t> </w:t>
            </w:r>
            <w:r w:rsidRPr="00E2773D">
              <w:rPr>
                <w:b/>
                <w:noProof/>
                <w:color w:val="000000" w:themeColor="text1"/>
              </w:rPr>
              <w:t>000</w:t>
            </w:r>
            <w:r w:rsidRPr="00C754CA">
              <w:rPr>
                <w:b/>
                <w:noProof/>
                <w:color w:val="000000" w:themeColor="text1"/>
              </w:rPr>
              <w:t>]</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14:paraId="09DF9ED6" w14:textId="77777777" w:rsidR="00A56747" w:rsidRPr="00C754CA" w:rsidRDefault="00A3606D" w:rsidP="24923FD7">
            <w:pPr>
              <w:spacing w:before="0" w:after="0"/>
              <w:jc w:val="right"/>
              <w:rPr>
                <w:b/>
                <w:bCs/>
                <w:noProof/>
                <w:color w:val="000000"/>
              </w:rPr>
            </w:pPr>
            <w:r w:rsidRPr="00C754CA">
              <w:rPr>
                <w:b/>
                <w:noProof/>
                <w:color w:val="000000" w:themeColor="text1"/>
              </w:rPr>
              <w:t>[-</w:t>
            </w:r>
            <w:r w:rsidRPr="00E2773D">
              <w:rPr>
                <w:b/>
                <w:noProof/>
                <w:color w:val="000000" w:themeColor="text1"/>
              </w:rPr>
              <w:t>3</w:t>
            </w:r>
            <w:r w:rsidRPr="00C754CA">
              <w:rPr>
                <w:b/>
                <w:noProof/>
                <w:color w:val="000000" w:themeColor="text1"/>
              </w:rPr>
              <w:t> </w:t>
            </w:r>
            <w:r w:rsidRPr="00E2773D">
              <w:rPr>
                <w:b/>
                <w:noProof/>
                <w:color w:val="000000" w:themeColor="text1"/>
              </w:rPr>
              <w:t>600</w:t>
            </w:r>
            <w:r w:rsidRPr="00C754CA">
              <w:rPr>
                <w:b/>
                <w:noProof/>
                <w:color w:val="000000" w:themeColor="text1"/>
              </w:rPr>
              <w:t> </w:t>
            </w:r>
            <w:r w:rsidRPr="00E2773D">
              <w:rPr>
                <w:b/>
                <w:noProof/>
                <w:color w:val="000000" w:themeColor="text1"/>
              </w:rPr>
              <w:t>000</w:t>
            </w:r>
            <w:r w:rsidRPr="00C754CA">
              <w:rPr>
                <w:b/>
                <w:noProof/>
                <w:color w:val="000000" w:themeColor="text1"/>
              </w:rPr>
              <w:t>]</w:t>
            </w:r>
          </w:p>
        </w:tc>
        <w:tc>
          <w:tcPr>
            <w:tcW w:w="533" w:type="pct"/>
            <w:tcBorders>
              <w:top w:val="nil"/>
              <w:left w:val="nil"/>
              <w:bottom w:val="single" w:sz="8" w:space="0" w:color="auto"/>
              <w:right w:val="single" w:sz="8" w:space="0" w:color="auto"/>
            </w:tcBorders>
            <w:shd w:val="clear" w:color="auto" w:fill="D9D9D9" w:themeFill="background1" w:themeFillShade="D9"/>
            <w:vAlign w:val="center"/>
            <w:hideMark/>
          </w:tcPr>
          <w:p w14:paraId="62DD407F" w14:textId="77777777" w:rsidR="00A56747" w:rsidRPr="00C754CA" w:rsidRDefault="00A56747" w:rsidP="004B53CC">
            <w:pPr>
              <w:spacing w:before="0" w:after="0"/>
              <w:jc w:val="right"/>
              <w:rPr>
                <w:b/>
                <w:bCs/>
                <w:noProof/>
                <w:color w:val="000000"/>
                <w:szCs w:val="24"/>
              </w:rPr>
            </w:pPr>
            <w:r w:rsidRPr="00E2773D">
              <w:rPr>
                <w:b/>
                <w:noProof/>
                <w:color w:val="000000"/>
              </w:rPr>
              <w:t>0</w:t>
            </w:r>
            <w:r w:rsidRPr="00C754CA">
              <w:rPr>
                <w:b/>
                <w:noProof/>
                <w:color w:val="000000"/>
              </w:rPr>
              <w:t>,</w:t>
            </w:r>
            <w:r w:rsidRPr="00E2773D">
              <w:rPr>
                <w:b/>
                <w:noProof/>
                <w:color w:val="000000"/>
              </w:rPr>
              <w:t>000</w:t>
            </w:r>
          </w:p>
        </w:tc>
      </w:tr>
    </w:tbl>
    <w:p w14:paraId="6B494CCA" w14:textId="77777777" w:rsidR="00A56747" w:rsidRPr="00C754CA" w:rsidRDefault="00A56747" w:rsidP="00A56747">
      <w:pPr>
        <w:pStyle w:val="ManualHeading3"/>
        <w:rPr>
          <w:bCs/>
          <w:noProof/>
          <w:szCs w:val="24"/>
        </w:rPr>
      </w:pPr>
      <w:bookmarkStart w:id="204" w:name="_Toc514938054"/>
      <w:bookmarkStart w:id="205" w:name="_Toc520485053"/>
      <w:bookmarkStart w:id="206" w:name="_Toc160804597"/>
      <w:bookmarkStart w:id="207" w:name="_Toc167220289"/>
      <w:bookmarkStart w:id="208" w:name="_Toc177549022"/>
      <w:r w:rsidRPr="00E2773D">
        <w:rPr>
          <w:noProof/>
        </w:rPr>
        <w:t>3</w:t>
      </w:r>
      <w:r w:rsidRPr="00C754CA">
        <w:rPr>
          <w:noProof/>
        </w:rPr>
        <w:t>.</w:t>
      </w:r>
      <w:r w:rsidRPr="00E2773D">
        <w:rPr>
          <w:noProof/>
        </w:rPr>
        <w:t>2</w:t>
      </w:r>
      <w:r w:rsidRPr="00C754CA">
        <w:rPr>
          <w:noProof/>
        </w:rPr>
        <w:t>.</w:t>
      </w:r>
      <w:r w:rsidRPr="00E2773D">
        <w:rPr>
          <w:noProof/>
        </w:rPr>
        <w:t>2</w:t>
      </w:r>
      <w:r w:rsidRPr="00C754CA">
        <w:rPr>
          <w:noProof/>
        </w:rPr>
        <w:tab/>
        <w:t>Geschätzte Ergebnisse, die mit operativen Mitteln finanziert werden</w:t>
      </w:r>
      <w:bookmarkEnd w:id="204"/>
      <w:bookmarkEnd w:id="205"/>
      <w:r w:rsidRPr="00C754CA">
        <w:rPr>
          <w:noProof/>
        </w:rPr>
        <w:t xml:space="preserve"> (nicht auszufüllen im Fall dezentraler Agenturen)</w:t>
      </w:r>
      <w:bookmarkEnd w:id="206"/>
      <w:bookmarkEnd w:id="207"/>
      <w:bookmarkEnd w:id="208"/>
    </w:p>
    <w:p w14:paraId="7613CD47" w14:textId="77777777" w:rsidR="00A56747" w:rsidRPr="00C754CA" w:rsidRDefault="00A56747" w:rsidP="00A56747">
      <w:pPr>
        <w:jc w:val="right"/>
        <w:rPr>
          <w:noProof/>
          <w:sz w:val="20"/>
        </w:rPr>
      </w:pPr>
      <w:r w:rsidRPr="00C754CA">
        <w:rPr>
          <w:noProof/>
          <w:sz w:val="20"/>
        </w:rPr>
        <w:t>Mittel für Verpflichtungen, in Mio. EUR (</w:t>
      </w:r>
      <w:r w:rsidRPr="00E2773D">
        <w:rPr>
          <w:noProof/>
          <w:sz w:val="20"/>
        </w:rPr>
        <w:t>3</w:t>
      </w:r>
      <w:r w:rsidRPr="00C754CA">
        <w:rPr>
          <w:noProof/>
          <w:sz w:val="20"/>
        </w:rPr>
        <w:t> Dezimalstellen)</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56747" w:rsidRPr="00C754CA" w14:paraId="6D886C92" w14:textId="77777777" w:rsidTr="00FF1EF4">
        <w:trPr>
          <w:jc w:val="center"/>
        </w:trPr>
        <w:tc>
          <w:tcPr>
            <w:tcW w:w="1423" w:type="dxa"/>
            <w:vMerge w:val="restart"/>
            <w:vAlign w:val="center"/>
          </w:tcPr>
          <w:p w14:paraId="70B70C35" w14:textId="77777777" w:rsidR="00A56747" w:rsidRPr="00C754CA" w:rsidRDefault="00A56747" w:rsidP="004B53CC">
            <w:pPr>
              <w:ind w:right="-29"/>
              <w:jc w:val="center"/>
              <w:rPr>
                <w:b/>
                <w:noProof/>
                <w:sz w:val="18"/>
                <w:szCs w:val="18"/>
              </w:rPr>
            </w:pPr>
            <w:r w:rsidRPr="00C754CA">
              <w:rPr>
                <w:b/>
                <w:noProof/>
                <w:sz w:val="18"/>
              </w:rPr>
              <w:t xml:space="preserve">Ziele und Ergebnisse angeben </w:t>
            </w:r>
          </w:p>
          <w:p w14:paraId="395C515A" w14:textId="77777777" w:rsidR="00A56747" w:rsidRPr="00C754CA" w:rsidRDefault="00A56747" w:rsidP="004B53CC">
            <w:pPr>
              <w:ind w:right="-29"/>
              <w:jc w:val="center"/>
              <w:rPr>
                <w:b/>
                <w:noProof/>
                <w:sz w:val="18"/>
                <w:szCs w:val="18"/>
              </w:rPr>
            </w:pPr>
          </w:p>
          <w:p w14:paraId="25A9CC87" w14:textId="77777777" w:rsidR="00A56747" w:rsidRPr="00C754CA" w:rsidRDefault="00A56747" w:rsidP="004B53CC">
            <w:pPr>
              <w:ind w:right="-29"/>
              <w:jc w:val="center"/>
              <w:rPr>
                <w:noProof/>
                <w:sz w:val="18"/>
                <w:szCs w:val="18"/>
              </w:rPr>
            </w:pPr>
            <w:r w:rsidRPr="00C754CA">
              <w:rPr>
                <w:rFonts w:ascii="Wingdings" w:hAnsi="Wingdings"/>
                <w:noProof/>
                <w:sz w:val="18"/>
              </w:rPr>
              <w:t></w:t>
            </w:r>
          </w:p>
        </w:tc>
        <w:tc>
          <w:tcPr>
            <w:tcW w:w="720" w:type="dxa"/>
            <w:vAlign w:val="center"/>
          </w:tcPr>
          <w:p w14:paraId="7E1820EB" w14:textId="77777777" w:rsidR="00A56747" w:rsidRPr="00C754CA" w:rsidRDefault="00A56747" w:rsidP="004B53CC">
            <w:pPr>
              <w:ind w:right="-29"/>
              <w:jc w:val="center"/>
              <w:rPr>
                <w:noProof/>
                <w:sz w:val="18"/>
                <w:szCs w:val="18"/>
              </w:rPr>
            </w:pPr>
          </w:p>
        </w:tc>
        <w:tc>
          <w:tcPr>
            <w:tcW w:w="701" w:type="dxa"/>
            <w:vAlign w:val="center"/>
          </w:tcPr>
          <w:p w14:paraId="7EB3DB51" w14:textId="77777777" w:rsidR="00A56747" w:rsidRPr="00C754CA" w:rsidRDefault="00A56747" w:rsidP="004B53CC">
            <w:pPr>
              <w:ind w:right="-29"/>
              <w:jc w:val="center"/>
              <w:rPr>
                <w:noProof/>
                <w:sz w:val="18"/>
                <w:szCs w:val="18"/>
              </w:rPr>
            </w:pPr>
          </w:p>
        </w:tc>
        <w:tc>
          <w:tcPr>
            <w:tcW w:w="1224" w:type="dxa"/>
            <w:gridSpan w:val="2"/>
            <w:tcBorders>
              <w:left w:val="nil"/>
            </w:tcBorders>
            <w:vAlign w:val="center"/>
          </w:tcPr>
          <w:p w14:paraId="54F1ADAF" w14:textId="77777777" w:rsidR="00A56747" w:rsidRPr="00C754CA" w:rsidRDefault="00A56747" w:rsidP="004B53CC">
            <w:pPr>
              <w:ind w:right="-29"/>
              <w:jc w:val="center"/>
              <w:rPr>
                <w:noProof/>
                <w:sz w:val="18"/>
                <w:szCs w:val="18"/>
              </w:rPr>
            </w:pPr>
            <w:r w:rsidRPr="00C754CA">
              <w:rPr>
                <w:noProof/>
              </w:rPr>
              <w:t>Jahr</w:t>
            </w:r>
            <w:r w:rsidRPr="00C754CA">
              <w:rPr>
                <w:noProof/>
                <w:sz w:val="22"/>
              </w:rPr>
              <w:br/>
            </w:r>
            <w:r w:rsidRPr="00E2773D">
              <w:rPr>
                <w:b/>
                <w:noProof/>
                <w:sz w:val="18"/>
              </w:rPr>
              <w:t>2024</w:t>
            </w:r>
          </w:p>
        </w:tc>
        <w:tc>
          <w:tcPr>
            <w:tcW w:w="1260" w:type="dxa"/>
            <w:gridSpan w:val="2"/>
            <w:vAlign w:val="center"/>
          </w:tcPr>
          <w:p w14:paraId="56A0E4C5" w14:textId="77777777" w:rsidR="00A56747" w:rsidRPr="00C754CA" w:rsidRDefault="00A56747" w:rsidP="004B53CC">
            <w:pPr>
              <w:ind w:right="-29"/>
              <w:jc w:val="center"/>
              <w:rPr>
                <w:noProof/>
                <w:sz w:val="18"/>
                <w:szCs w:val="18"/>
              </w:rPr>
            </w:pPr>
            <w:r w:rsidRPr="00C754CA">
              <w:rPr>
                <w:noProof/>
              </w:rPr>
              <w:t>Jahr</w:t>
            </w:r>
            <w:r w:rsidRPr="00C754CA">
              <w:rPr>
                <w:noProof/>
                <w:sz w:val="22"/>
              </w:rPr>
              <w:br/>
            </w:r>
            <w:r w:rsidRPr="00E2773D">
              <w:rPr>
                <w:b/>
                <w:noProof/>
                <w:sz w:val="18"/>
              </w:rPr>
              <w:t>2025</w:t>
            </w:r>
          </w:p>
        </w:tc>
        <w:tc>
          <w:tcPr>
            <w:tcW w:w="1440" w:type="dxa"/>
            <w:gridSpan w:val="2"/>
            <w:vAlign w:val="center"/>
          </w:tcPr>
          <w:p w14:paraId="75753D5E" w14:textId="77777777" w:rsidR="00A56747" w:rsidRPr="00C754CA" w:rsidRDefault="00A56747" w:rsidP="004B53CC">
            <w:pPr>
              <w:ind w:right="-29"/>
              <w:jc w:val="center"/>
              <w:rPr>
                <w:noProof/>
                <w:sz w:val="18"/>
                <w:szCs w:val="18"/>
              </w:rPr>
            </w:pPr>
            <w:r w:rsidRPr="00C754CA">
              <w:rPr>
                <w:noProof/>
              </w:rPr>
              <w:t>Jahr</w:t>
            </w:r>
            <w:r w:rsidRPr="00C754CA">
              <w:rPr>
                <w:noProof/>
                <w:sz w:val="22"/>
              </w:rPr>
              <w:br/>
            </w:r>
            <w:r w:rsidRPr="00E2773D">
              <w:rPr>
                <w:b/>
                <w:noProof/>
                <w:sz w:val="18"/>
              </w:rPr>
              <w:t>2026</w:t>
            </w:r>
          </w:p>
        </w:tc>
        <w:tc>
          <w:tcPr>
            <w:tcW w:w="1620" w:type="dxa"/>
            <w:gridSpan w:val="3"/>
            <w:vAlign w:val="center"/>
          </w:tcPr>
          <w:p w14:paraId="2DC03D41" w14:textId="77777777" w:rsidR="00A56747" w:rsidRPr="00C754CA" w:rsidRDefault="00A56747" w:rsidP="004B53CC">
            <w:pPr>
              <w:ind w:right="-29"/>
              <w:jc w:val="center"/>
              <w:rPr>
                <w:noProof/>
                <w:sz w:val="18"/>
                <w:szCs w:val="18"/>
              </w:rPr>
            </w:pPr>
            <w:r w:rsidRPr="00C754CA">
              <w:rPr>
                <w:noProof/>
              </w:rPr>
              <w:t>Jahr</w:t>
            </w:r>
            <w:r w:rsidRPr="00C754CA">
              <w:rPr>
                <w:noProof/>
                <w:sz w:val="22"/>
              </w:rPr>
              <w:br/>
            </w:r>
            <w:r w:rsidRPr="00E2773D">
              <w:rPr>
                <w:b/>
                <w:noProof/>
                <w:sz w:val="18"/>
              </w:rPr>
              <w:t>2027</w:t>
            </w:r>
          </w:p>
        </w:tc>
        <w:tc>
          <w:tcPr>
            <w:tcW w:w="3600" w:type="dxa"/>
            <w:gridSpan w:val="6"/>
            <w:vAlign w:val="center"/>
          </w:tcPr>
          <w:p w14:paraId="42FAB510" w14:textId="77777777" w:rsidR="00A56747" w:rsidRPr="00C754CA" w:rsidRDefault="00A56747" w:rsidP="004B53CC">
            <w:pPr>
              <w:jc w:val="center"/>
              <w:rPr>
                <w:noProof/>
                <w:sz w:val="18"/>
                <w:szCs w:val="18"/>
              </w:rPr>
            </w:pPr>
            <w:r w:rsidRPr="00C754CA">
              <w:rPr>
                <w:noProof/>
                <w:sz w:val="18"/>
              </w:rPr>
              <w:t>Bei länger andauernden Auswirkungen bitte weitere Spalten einfügen (siehe </w:t>
            </w:r>
            <w:r w:rsidRPr="00E2773D">
              <w:rPr>
                <w:noProof/>
                <w:sz w:val="18"/>
              </w:rPr>
              <w:t>1</w:t>
            </w:r>
            <w:r w:rsidRPr="00C754CA">
              <w:rPr>
                <w:noProof/>
                <w:sz w:val="18"/>
              </w:rPr>
              <w:t>.</w:t>
            </w:r>
            <w:r w:rsidRPr="00E2773D">
              <w:rPr>
                <w:noProof/>
                <w:sz w:val="18"/>
              </w:rPr>
              <w:t>6</w:t>
            </w:r>
            <w:r w:rsidRPr="00C754CA">
              <w:rPr>
                <w:noProof/>
                <w:sz w:val="18"/>
              </w:rPr>
              <w:t>)</w:t>
            </w:r>
          </w:p>
        </w:tc>
        <w:tc>
          <w:tcPr>
            <w:tcW w:w="1620" w:type="dxa"/>
            <w:gridSpan w:val="2"/>
            <w:tcBorders>
              <w:left w:val="nil"/>
              <w:bottom w:val="nil"/>
            </w:tcBorders>
            <w:vAlign w:val="center"/>
          </w:tcPr>
          <w:p w14:paraId="27010779" w14:textId="77777777" w:rsidR="00A56747" w:rsidRPr="00C754CA" w:rsidRDefault="00A56747" w:rsidP="004B53CC">
            <w:pPr>
              <w:ind w:right="-29"/>
              <w:jc w:val="center"/>
              <w:rPr>
                <w:noProof/>
                <w:sz w:val="18"/>
                <w:szCs w:val="18"/>
              </w:rPr>
            </w:pPr>
            <w:r w:rsidRPr="00C754CA">
              <w:rPr>
                <w:b/>
                <w:noProof/>
                <w:sz w:val="18"/>
              </w:rPr>
              <w:t>INSGESAMT</w:t>
            </w:r>
          </w:p>
        </w:tc>
      </w:tr>
      <w:tr w:rsidR="00A56747" w:rsidRPr="00C754CA" w14:paraId="4AF5969E" w14:textId="77777777" w:rsidTr="00FF1EF4">
        <w:trPr>
          <w:jc w:val="center"/>
        </w:trPr>
        <w:tc>
          <w:tcPr>
            <w:tcW w:w="1423" w:type="dxa"/>
            <w:vMerge/>
            <w:vAlign w:val="center"/>
          </w:tcPr>
          <w:p w14:paraId="25B9FF0C" w14:textId="77777777" w:rsidR="00A56747" w:rsidRPr="00C754CA" w:rsidRDefault="00A56747" w:rsidP="004B53CC">
            <w:pPr>
              <w:ind w:right="-29"/>
              <w:jc w:val="center"/>
              <w:rPr>
                <w:noProof/>
                <w:sz w:val="18"/>
                <w:szCs w:val="18"/>
              </w:rPr>
            </w:pPr>
          </w:p>
        </w:tc>
        <w:tc>
          <w:tcPr>
            <w:tcW w:w="12185" w:type="dxa"/>
            <w:gridSpan w:val="19"/>
            <w:vAlign w:val="center"/>
          </w:tcPr>
          <w:p w14:paraId="6B7A3950" w14:textId="77777777" w:rsidR="00A56747" w:rsidRPr="00C754CA" w:rsidRDefault="00A56747" w:rsidP="004B53CC">
            <w:pPr>
              <w:spacing w:before="60" w:after="60"/>
              <w:ind w:right="-29"/>
              <w:jc w:val="center"/>
              <w:rPr>
                <w:noProof/>
                <w:sz w:val="18"/>
                <w:szCs w:val="18"/>
              </w:rPr>
            </w:pPr>
            <w:r w:rsidRPr="00C754CA">
              <w:rPr>
                <w:b/>
                <w:noProof/>
                <w:sz w:val="18"/>
              </w:rPr>
              <w:t>ERGEBNISSE</w:t>
            </w:r>
          </w:p>
        </w:tc>
      </w:tr>
      <w:tr w:rsidR="003100E7" w:rsidRPr="00C754CA" w14:paraId="152F692A" w14:textId="77777777" w:rsidTr="4D8CB314">
        <w:trPr>
          <w:cantSplit/>
          <w:trHeight w:val="1134"/>
          <w:jc w:val="center"/>
        </w:trPr>
        <w:tc>
          <w:tcPr>
            <w:tcW w:w="1423" w:type="dxa"/>
            <w:vMerge/>
            <w:vAlign w:val="center"/>
          </w:tcPr>
          <w:p w14:paraId="4A9FFC3F" w14:textId="77777777" w:rsidR="00A56747" w:rsidRPr="00C754CA" w:rsidRDefault="00A56747" w:rsidP="004B53CC">
            <w:pPr>
              <w:rPr>
                <w:noProof/>
                <w:sz w:val="18"/>
                <w:szCs w:val="18"/>
              </w:rPr>
            </w:pPr>
          </w:p>
        </w:tc>
        <w:tc>
          <w:tcPr>
            <w:tcW w:w="720" w:type="dxa"/>
            <w:vAlign w:val="center"/>
          </w:tcPr>
          <w:p w14:paraId="769CD659" w14:textId="77777777" w:rsidR="00A56747" w:rsidRPr="00C754CA" w:rsidRDefault="00A56747" w:rsidP="004B53CC">
            <w:pPr>
              <w:jc w:val="center"/>
              <w:rPr>
                <w:noProof/>
                <w:sz w:val="18"/>
                <w:szCs w:val="18"/>
              </w:rPr>
            </w:pPr>
            <w:r w:rsidRPr="00C754CA">
              <w:rPr>
                <w:noProof/>
                <w:sz w:val="18"/>
              </w:rPr>
              <w:t>Art</w:t>
            </w:r>
            <w:r w:rsidRPr="00C754CA">
              <w:rPr>
                <w:rStyle w:val="FootnoteReference"/>
                <w:noProof/>
                <w:sz w:val="18"/>
                <w:szCs w:val="18"/>
              </w:rPr>
              <w:footnoteReference w:id="16"/>
            </w:r>
          </w:p>
          <w:p w14:paraId="79D80FE3" w14:textId="77777777" w:rsidR="00A56747" w:rsidRPr="00C754CA" w:rsidRDefault="00A56747" w:rsidP="004B53CC">
            <w:pPr>
              <w:spacing w:before="0" w:after="0"/>
              <w:jc w:val="center"/>
              <w:rPr>
                <w:noProof/>
                <w:sz w:val="18"/>
                <w:szCs w:val="18"/>
              </w:rPr>
            </w:pPr>
          </w:p>
        </w:tc>
        <w:tc>
          <w:tcPr>
            <w:tcW w:w="701" w:type="dxa"/>
            <w:vAlign w:val="center"/>
          </w:tcPr>
          <w:p w14:paraId="70E66588" w14:textId="77777777" w:rsidR="00A56747" w:rsidRPr="00C754CA" w:rsidRDefault="00A56747" w:rsidP="004B53CC">
            <w:pPr>
              <w:jc w:val="center"/>
              <w:rPr>
                <w:noProof/>
                <w:sz w:val="18"/>
                <w:szCs w:val="18"/>
              </w:rPr>
            </w:pPr>
            <w:r w:rsidRPr="00C754CA">
              <w:rPr>
                <w:noProof/>
                <w:sz w:val="18"/>
              </w:rPr>
              <w:t>Durchschnittskosten</w:t>
            </w:r>
          </w:p>
        </w:tc>
        <w:tc>
          <w:tcPr>
            <w:tcW w:w="504" w:type="dxa"/>
            <w:tcBorders>
              <w:left w:val="nil"/>
              <w:right w:val="dashSmallGap" w:sz="4" w:space="0" w:color="auto"/>
            </w:tcBorders>
            <w:shd w:val="clear" w:color="auto" w:fill="auto"/>
            <w:textDirection w:val="btLr"/>
            <w:vAlign w:val="center"/>
          </w:tcPr>
          <w:p w14:paraId="51D20C2A" w14:textId="77777777" w:rsidR="00A56747" w:rsidRPr="00C754CA" w:rsidRDefault="00A56747" w:rsidP="004B53CC">
            <w:pPr>
              <w:ind w:left="113" w:right="113"/>
              <w:jc w:val="center"/>
              <w:rPr>
                <w:noProof/>
                <w:sz w:val="18"/>
                <w:szCs w:val="18"/>
              </w:rPr>
            </w:pPr>
            <w:r w:rsidRPr="00C754CA">
              <w:rPr>
                <w:noProof/>
                <w:sz w:val="18"/>
              </w:rPr>
              <w:t>Anzahl</w:t>
            </w:r>
          </w:p>
        </w:tc>
        <w:tc>
          <w:tcPr>
            <w:tcW w:w="720" w:type="dxa"/>
            <w:tcBorders>
              <w:left w:val="dashSmallGap" w:sz="4" w:space="0" w:color="auto"/>
            </w:tcBorders>
            <w:shd w:val="clear" w:color="auto" w:fill="auto"/>
            <w:vAlign w:val="center"/>
          </w:tcPr>
          <w:p w14:paraId="0229878B" w14:textId="77777777" w:rsidR="00A56747" w:rsidRPr="00C754CA" w:rsidRDefault="00A56747" w:rsidP="004B53CC">
            <w:pPr>
              <w:jc w:val="center"/>
              <w:rPr>
                <w:noProof/>
                <w:sz w:val="18"/>
                <w:szCs w:val="18"/>
              </w:rPr>
            </w:pPr>
            <w:r w:rsidRPr="00C754CA">
              <w:rPr>
                <w:noProof/>
                <w:sz w:val="18"/>
              </w:rPr>
              <w:t>Kosten</w:t>
            </w:r>
          </w:p>
        </w:tc>
        <w:tc>
          <w:tcPr>
            <w:tcW w:w="540" w:type="dxa"/>
            <w:tcBorders>
              <w:right w:val="dashSmallGap" w:sz="4" w:space="0" w:color="auto"/>
            </w:tcBorders>
            <w:shd w:val="clear" w:color="auto" w:fill="auto"/>
            <w:textDirection w:val="btLr"/>
            <w:vAlign w:val="center"/>
          </w:tcPr>
          <w:p w14:paraId="0E41A2A3" w14:textId="77777777" w:rsidR="00A56747" w:rsidRPr="00C754CA" w:rsidRDefault="00A56747" w:rsidP="004B53CC">
            <w:pPr>
              <w:ind w:left="113" w:right="113"/>
              <w:jc w:val="center"/>
              <w:rPr>
                <w:noProof/>
                <w:sz w:val="18"/>
                <w:szCs w:val="18"/>
              </w:rPr>
            </w:pPr>
            <w:r w:rsidRPr="00C754CA">
              <w:rPr>
                <w:noProof/>
                <w:sz w:val="18"/>
              </w:rPr>
              <w:t>Anzahl</w:t>
            </w:r>
          </w:p>
        </w:tc>
        <w:tc>
          <w:tcPr>
            <w:tcW w:w="720" w:type="dxa"/>
            <w:tcBorders>
              <w:left w:val="dashSmallGap" w:sz="4" w:space="0" w:color="auto"/>
            </w:tcBorders>
            <w:shd w:val="clear" w:color="auto" w:fill="auto"/>
            <w:vAlign w:val="center"/>
          </w:tcPr>
          <w:p w14:paraId="0708F11B" w14:textId="77777777" w:rsidR="00A56747" w:rsidRPr="00C754CA" w:rsidRDefault="00A56747" w:rsidP="004B53CC">
            <w:pPr>
              <w:jc w:val="center"/>
              <w:rPr>
                <w:noProof/>
                <w:sz w:val="18"/>
                <w:szCs w:val="18"/>
              </w:rPr>
            </w:pPr>
            <w:r w:rsidRPr="00C754CA">
              <w:rPr>
                <w:noProof/>
                <w:sz w:val="18"/>
              </w:rPr>
              <w:t>Kosten</w:t>
            </w:r>
          </w:p>
        </w:tc>
        <w:tc>
          <w:tcPr>
            <w:tcW w:w="720" w:type="dxa"/>
            <w:tcBorders>
              <w:right w:val="dashSmallGap" w:sz="4" w:space="0" w:color="auto"/>
            </w:tcBorders>
            <w:shd w:val="clear" w:color="auto" w:fill="auto"/>
            <w:textDirection w:val="btLr"/>
            <w:vAlign w:val="center"/>
          </w:tcPr>
          <w:p w14:paraId="7D165187" w14:textId="77777777" w:rsidR="00A56747" w:rsidRPr="00C754CA" w:rsidRDefault="00A56747" w:rsidP="004B53CC">
            <w:pPr>
              <w:ind w:left="113" w:right="113"/>
              <w:jc w:val="center"/>
              <w:rPr>
                <w:noProof/>
                <w:sz w:val="18"/>
                <w:szCs w:val="18"/>
              </w:rPr>
            </w:pPr>
            <w:r w:rsidRPr="00C754CA">
              <w:rPr>
                <w:noProof/>
                <w:sz w:val="18"/>
              </w:rPr>
              <w:t>Anzahl</w:t>
            </w:r>
          </w:p>
        </w:tc>
        <w:tc>
          <w:tcPr>
            <w:tcW w:w="720" w:type="dxa"/>
            <w:tcBorders>
              <w:left w:val="dashSmallGap" w:sz="4" w:space="0" w:color="auto"/>
            </w:tcBorders>
            <w:shd w:val="clear" w:color="auto" w:fill="auto"/>
            <w:vAlign w:val="center"/>
          </w:tcPr>
          <w:p w14:paraId="5C429523" w14:textId="77777777" w:rsidR="00A56747" w:rsidRPr="00C754CA" w:rsidRDefault="00A56747" w:rsidP="004B53CC">
            <w:pPr>
              <w:jc w:val="center"/>
              <w:rPr>
                <w:noProof/>
                <w:sz w:val="18"/>
                <w:szCs w:val="18"/>
              </w:rPr>
            </w:pPr>
            <w:r w:rsidRPr="00C754CA">
              <w:rPr>
                <w:noProof/>
                <w:sz w:val="18"/>
              </w:rPr>
              <w:t>Kosten</w:t>
            </w:r>
          </w:p>
        </w:tc>
        <w:tc>
          <w:tcPr>
            <w:tcW w:w="900" w:type="dxa"/>
            <w:tcBorders>
              <w:right w:val="dashSmallGap" w:sz="4" w:space="0" w:color="auto"/>
            </w:tcBorders>
            <w:shd w:val="clear" w:color="auto" w:fill="auto"/>
            <w:textDirection w:val="btLr"/>
            <w:vAlign w:val="center"/>
          </w:tcPr>
          <w:p w14:paraId="01604B8A" w14:textId="77777777" w:rsidR="00A56747" w:rsidRPr="00C754CA" w:rsidRDefault="00A56747" w:rsidP="004B53CC">
            <w:pPr>
              <w:ind w:left="113" w:right="113"/>
              <w:jc w:val="center"/>
              <w:rPr>
                <w:noProof/>
                <w:sz w:val="18"/>
                <w:szCs w:val="18"/>
              </w:rPr>
            </w:pPr>
            <w:r w:rsidRPr="00C754CA">
              <w:rPr>
                <w:noProof/>
                <w:sz w:val="18"/>
              </w:rPr>
              <w:t>Anzahl</w:t>
            </w:r>
          </w:p>
        </w:tc>
        <w:tc>
          <w:tcPr>
            <w:tcW w:w="720" w:type="dxa"/>
            <w:gridSpan w:val="2"/>
            <w:tcBorders>
              <w:left w:val="dashSmallGap" w:sz="4" w:space="0" w:color="auto"/>
            </w:tcBorders>
            <w:shd w:val="clear" w:color="auto" w:fill="auto"/>
            <w:vAlign w:val="center"/>
          </w:tcPr>
          <w:p w14:paraId="663EAF38" w14:textId="77777777" w:rsidR="00A56747" w:rsidRPr="00C754CA" w:rsidRDefault="00A56747" w:rsidP="004B53CC">
            <w:pPr>
              <w:jc w:val="center"/>
              <w:rPr>
                <w:noProof/>
                <w:sz w:val="18"/>
                <w:szCs w:val="18"/>
              </w:rPr>
            </w:pPr>
            <w:r w:rsidRPr="00C754CA">
              <w:rPr>
                <w:noProof/>
                <w:sz w:val="18"/>
              </w:rPr>
              <w:t>Kosten</w:t>
            </w:r>
          </w:p>
        </w:tc>
        <w:tc>
          <w:tcPr>
            <w:tcW w:w="540" w:type="dxa"/>
            <w:tcBorders>
              <w:right w:val="dashSmallGap" w:sz="4" w:space="0" w:color="auto"/>
            </w:tcBorders>
            <w:shd w:val="clear" w:color="auto" w:fill="auto"/>
            <w:textDirection w:val="btLr"/>
            <w:vAlign w:val="center"/>
          </w:tcPr>
          <w:p w14:paraId="0DD4D921" w14:textId="77777777" w:rsidR="00A56747" w:rsidRPr="00C754CA" w:rsidRDefault="00A56747" w:rsidP="004B53CC">
            <w:pPr>
              <w:ind w:left="113" w:right="113"/>
              <w:jc w:val="center"/>
              <w:rPr>
                <w:noProof/>
                <w:sz w:val="18"/>
                <w:szCs w:val="18"/>
              </w:rPr>
            </w:pPr>
            <w:r w:rsidRPr="00C754CA">
              <w:rPr>
                <w:noProof/>
                <w:sz w:val="18"/>
              </w:rPr>
              <w:t>Anzahl</w:t>
            </w:r>
          </w:p>
        </w:tc>
        <w:tc>
          <w:tcPr>
            <w:tcW w:w="648" w:type="dxa"/>
            <w:tcBorders>
              <w:left w:val="dashSmallGap" w:sz="4" w:space="0" w:color="auto"/>
            </w:tcBorders>
            <w:shd w:val="clear" w:color="auto" w:fill="auto"/>
            <w:vAlign w:val="center"/>
          </w:tcPr>
          <w:p w14:paraId="399A8781" w14:textId="77777777" w:rsidR="00A56747" w:rsidRPr="00C754CA" w:rsidRDefault="00A56747" w:rsidP="004B53CC">
            <w:pPr>
              <w:jc w:val="center"/>
              <w:rPr>
                <w:noProof/>
                <w:sz w:val="18"/>
                <w:szCs w:val="18"/>
              </w:rPr>
            </w:pPr>
            <w:r w:rsidRPr="00C754CA">
              <w:rPr>
                <w:noProof/>
                <w:sz w:val="18"/>
              </w:rPr>
              <w:t>Kosten</w:t>
            </w:r>
          </w:p>
        </w:tc>
        <w:tc>
          <w:tcPr>
            <w:tcW w:w="432" w:type="dxa"/>
            <w:tcBorders>
              <w:right w:val="dashSmallGap" w:sz="4" w:space="0" w:color="auto"/>
            </w:tcBorders>
            <w:shd w:val="clear" w:color="auto" w:fill="auto"/>
            <w:textDirection w:val="btLr"/>
            <w:vAlign w:val="center"/>
          </w:tcPr>
          <w:p w14:paraId="784D2266" w14:textId="77777777" w:rsidR="00A56747" w:rsidRPr="00C754CA" w:rsidRDefault="00A56747" w:rsidP="004B53CC">
            <w:pPr>
              <w:ind w:left="113" w:right="113"/>
              <w:jc w:val="center"/>
              <w:rPr>
                <w:noProof/>
                <w:sz w:val="18"/>
                <w:szCs w:val="18"/>
              </w:rPr>
            </w:pPr>
            <w:r w:rsidRPr="00C754CA">
              <w:rPr>
                <w:noProof/>
                <w:sz w:val="18"/>
              </w:rPr>
              <w:t>Anzahl</w:t>
            </w:r>
          </w:p>
        </w:tc>
        <w:tc>
          <w:tcPr>
            <w:tcW w:w="720" w:type="dxa"/>
            <w:tcBorders>
              <w:left w:val="dashSmallGap" w:sz="4" w:space="0" w:color="auto"/>
            </w:tcBorders>
            <w:shd w:val="clear" w:color="auto" w:fill="auto"/>
            <w:vAlign w:val="center"/>
          </w:tcPr>
          <w:p w14:paraId="422D8848" w14:textId="77777777" w:rsidR="00A56747" w:rsidRPr="00C754CA" w:rsidRDefault="00A56747" w:rsidP="004B53CC">
            <w:pPr>
              <w:jc w:val="center"/>
              <w:rPr>
                <w:noProof/>
                <w:sz w:val="18"/>
                <w:szCs w:val="18"/>
              </w:rPr>
            </w:pPr>
            <w:r w:rsidRPr="00C754CA">
              <w:rPr>
                <w:noProof/>
                <w:sz w:val="18"/>
              </w:rPr>
              <w:t>Kosten</w:t>
            </w:r>
          </w:p>
        </w:tc>
        <w:tc>
          <w:tcPr>
            <w:tcW w:w="540" w:type="dxa"/>
            <w:tcBorders>
              <w:right w:val="dashSmallGap" w:sz="4" w:space="0" w:color="auto"/>
            </w:tcBorders>
            <w:shd w:val="clear" w:color="auto" w:fill="auto"/>
            <w:textDirection w:val="btLr"/>
            <w:vAlign w:val="center"/>
          </w:tcPr>
          <w:p w14:paraId="67D21B47" w14:textId="77777777" w:rsidR="00A56747" w:rsidRPr="00C754CA" w:rsidRDefault="00A56747" w:rsidP="004B53CC">
            <w:pPr>
              <w:ind w:left="113" w:right="113"/>
              <w:jc w:val="center"/>
              <w:rPr>
                <w:noProof/>
                <w:sz w:val="18"/>
                <w:szCs w:val="18"/>
              </w:rPr>
            </w:pPr>
            <w:r w:rsidRPr="00C754CA">
              <w:rPr>
                <w:noProof/>
                <w:sz w:val="18"/>
              </w:rPr>
              <w:t>Anzahl</w:t>
            </w:r>
          </w:p>
        </w:tc>
        <w:tc>
          <w:tcPr>
            <w:tcW w:w="720" w:type="dxa"/>
            <w:tcBorders>
              <w:left w:val="dashSmallGap" w:sz="4" w:space="0" w:color="auto"/>
            </w:tcBorders>
            <w:shd w:val="clear" w:color="auto" w:fill="auto"/>
            <w:vAlign w:val="center"/>
          </w:tcPr>
          <w:p w14:paraId="026D6CEE" w14:textId="77777777" w:rsidR="00A56747" w:rsidRPr="00C754CA" w:rsidRDefault="00A56747" w:rsidP="004B53CC">
            <w:pPr>
              <w:jc w:val="center"/>
              <w:rPr>
                <w:noProof/>
                <w:sz w:val="18"/>
                <w:szCs w:val="18"/>
              </w:rPr>
            </w:pPr>
            <w:r w:rsidRPr="00C754CA">
              <w:rPr>
                <w:noProof/>
                <w:sz w:val="18"/>
              </w:rPr>
              <w:t>Kosten</w:t>
            </w:r>
          </w:p>
        </w:tc>
        <w:tc>
          <w:tcPr>
            <w:tcW w:w="720" w:type="dxa"/>
            <w:tcBorders>
              <w:right w:val="dashSmallGap" w:sz="4" w:space="0" w:color="auto"/>
            </w:tcBorders>
            <w:shd w:val="clear" w:color="auto" w:fill="auto"/>
            <w:vAlign w:val="center"/>
          </w:tcPr>
          <w:p w14:paraId="3AF89CC9" w14:textId="77777777" w:rsidR="00A56747" w:rsidRPr="00C754CA" w:rsidRDefault="00A56747" w:rsidP="004B53CC">
            <w:pPr>
              <w:jc w:val="center"/>
              <w:rPr>
                <w:noProof/>
                <w:sz w:val="18"/>
                <w:szCs w:val="18"/>
              </w:rPr>
            </w:pPr>
            <w:r w:rsidRPr="00C754CA">
              <w:rPr>
                <w:noProof/>
                <w:sz w:val="18"/>
              </w:rPr>
              <w:t>Gesamtzahl</w:t>
            </w:r>
          </w:p>
        </w:tc>
        <w:tc>
          <w:tcPr>
            <w:tcW w:w="900" w:type="dxa"/>
            <w:tcBorders>
              <w:left w:val="dashSmallGap" w:sz="4" w:space="0" w:color="auto"/>
            </w:tcBorders>
            <w:shd w:val="clear" w:color="auto" w:fill="auto"/>
            <w:vAlign w:val="center"/>
          </w:tcPr>
          <w:p w14:paraId="6EA398F2" w14:textId="77777777" w:rsidR="00A56747" w:rsidRPr="00C754CA" w:rsidRDefault="00A56747" w:rsidP="004B53CC">
            <w:pPr>
              <w:jc w:val="center"/>
              <w:rPr>
                <w:noProof/>
                <w:sz w:val="18"/>
                <w:szCs w:val="18"/>
              </w:rPr>
            </w:pPr>
            <w:r w:rsidRPr="00C754CA">
              <w:rPr>
                <w:noProof/>
                <w:sz w:val="18"/>
              </w:rPr>
              <w:t>Gesamtkosten</w:t>
            </w:r>
          </w:p>
        </w:tc>
      </w:tr>
      <w:tr w:rsidR="00A56747" w:rsidRPr="00C754CA" w14:paraId="108E2944" w14:textId="77777777" w:rsidTr="00FF1EF4">
        <w:trPr>
          <w:jc w:val="center"/>
        </w:trPr>
        <w:tc>
          <w:tcPr>
            <w:tcW w:w="2844" w:type="dxa"/>
            <w:gridSpan w:val="3"/>
            <w:vAlign w:val="center"/>
          </w:tcPr>
          <w:p w14:paraId="56E21D70" w14:textId="77777777" w:rsidR="00A56747" w:rsidRPr="00C754CA" w:rsidRDefault="00A56747" w:rsidP="004B53CC">
            <w:pPr>
              <w:spacing w:before="60" w:after="60"/>
              <w:ind w:right="-29"/>
              <w:jc w:val="center"/>
              <w:rPr>
                <w:noProof/>
                <w:sz w:val="18"/>
                <w:szCs w:val="18"/>
              </w:rPr>
            </w:pPr>
            <w:r w:rsidRPr="00C754CA">
              <w:rPr>
                <w:noProof/>
                <w:sz w:val="18"/>
              </w:rPr>
              <w:t>SPEZIFISCHES ZIEL Nr. </w:t>
            </w:r>
            <w:r w:rsidRPr="00E2773D">
              <w:rPr>
                <w:noProof/>
                <w:sz w:val="18"/>
              </w:rPr>
              <w:t>1</w:t>
            </w:r>
            <w:r w:rsidRPr="00C754CA">
              <w:rPr>
                <w:rStyle w:val="FootnoteReference"/>
                <w:noProof/>
                <w:sz w:val="18"/>
                <w:szCs w:val="18"/>
              </w:rPr>
              <w:footnoteReference w:id="17"/>
            </w:r>
            <w:r w:rsidRPr="00C754CA">
              <w:rPr>
                <w:noProof/>
                <w:sz w:val="18"/>
              </w:rPr>
              <w:t>…</w:t>
            </w:r>
          </w:p>
        </w:tc>
        <w:tc>
          <w:tcPr>
            <w:tcW w:w="504" w:type="dxa"/>
            <w:tcBorders>
              <w:top w:val="nil"/>
              <w:left w:val="nil"/>
              <w:bottom w:val="nil"/>
              <w:right w:val="nil"/>
            </w:tcBorders>
          </w:tcPr>
          <w:p w14:paraId="3B903FD5"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27EDA8AB" w14:textId="77777777" w:rsidR="00A56747" w:rsidRPr="00C754CA" w:rsidRDefault="00A56747" w:rsidP="004B53CC">
            <w:pPr>
              <w:spacing w:before="60" w:after="60"/>
              <w:ind w:right="-29"/>
              <w:jc w:val="center"/>
              <w:rPr>
                <w:noProof/>
                <w:sz w:val="18"/>
                <w:szCs w:val="18"/>
              </w:rPr>
            </w:pPr>
          </w:p>
        </w:tc>
        <w:tc>
          <w:tcPr>
            <w:tcW w:w="540" w:type="dxa"/>
            <w:tcBorders>
              <w:top w:val="nil"/>
              <w:left w:val="nil"/>
              <w:bottom w:val="nil"/>
              <w:right w:val="nil"/>
            </w:tcBorders>
          </w:tcPr>
          <w:p w14:paraId="636C7D3D"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540D7430"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232F25EA"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62CE38A1" w14:textId="77777777" w:rsidR="00A56747" w:rsidRPr="00C754CA" w:rsidRDefault="00A56747" w:rsidP="004B53CC">
            <w:pPr>
              <w:spacing w:before="60" w:after="60"/>
              <w:ind w:right="-29"/>
              <w:jc w:val="center"/>
              <w:rPr>
                <w:noProof/>
                <w:sz w:val="18"/>
                <w:szCs w:val="18"/>
              </w:rPr>
            </w:pPr>
          </w:p>
        </w:tc>
        <w:tc>
          <w:tcPr>
            <w:tcW w:w="900" w:type="dxa"/>
            <w:tcBorders>
              <w:top w:val="nil"/>
              <w:left w:val="nil"/>
              <w:bottom w:val="nil"/>
              <w:right w:val="nil"/>
            </w:tcBorders>
          </w:tcPr>
          <w:p w14:paraId="1C5F624A" w14:textId="77777777" w:rsidR="00A56747" w:rsidRPr="00C754CA" w:rsidRDefault="00A56747" w:rsidP="004B53CC">
            <w:pPr>
              <w:spacing w:before="60" w:after="60"/>
              <w:ind w:right="-29"/>
              <w:jc w:val="center"/>
              <w:rPr>
                <w:noProof/>
                <w:sz w:val="18"/>
                <w:szCs w:val="18"/>
              </w:rPr>
            </w:pPr>
          </w:p>
        </w:tc>
        <w:tc>
          <w:tcPr>
            <w:tcW w:w="720" w:type="dxa"/>
            <w:gridSpan w:val="2"/>
            <w:tcBorders>
              <w:top w:val="nil"/>
              <w:left w:val="nil"/>
              <w:bottom w:val="nil"/>
              <w:right w:val="nil"/>
            </w:tcBorders>
          </w:tcPr>
          <w:p w14:paraId="124A76A5" w14:textId="77777777" w:rsidR="00A56747" w:rsidRPr="00C754CA" w:rsidRDefault="00A56747" w:rsidP="004B53CC">
            <w:pPr>
              <w:spacing w:before="60" w:after="60"/>
              <w:ind w:right="-29"/>
              <w:jc w:val="center"/>
              <w:rPr>
                <w:noProof/>
                <w:sz w:val="18"/>
                <w:szCs w:val="18"/>
              </w:rPr>
            </w:pPr>
          </w:p>
        </w:tc>
        <w:tc>
          <w:tcPr>
            <w:tcW w:w="540" w:type="dxa"/>
            <w:tcBorders>
              <w:top w:val="nil"/>
              <w:left w:val="nil"/>
              <w:bottom w:val="nil"/>
              <w:right w:val="nil"/>
            </w:tcBorders>
          </w:tcPr>
          <w:p w14:paraId="4DB64F8A" w14:textId="77777777" w:rsidR="00A56747" w:rsidRPr="00C754CA" w:rsidRDefault="00A56747" w:rsidP="004B53CC">
            <w:pPr>
              <w:spacing w:before="60" w:after="60"/>
              <w:ind w:right="-29"/>
              <w:jc w:val="center"/>
              <w:rPr>
                <w:noProof/>
                <w:sz w:val="18"/>
                <w:szCs w:val="18"/>
              </w:rPr>
            </w:pPr>
          </w:p>
        </w:tc>
        <w:tc>
          <w:tcPr>
            <w:tcW w:w="648" w:type="dxa"/>
            <w:tcBorders>
              <w:top w:val="nil"/>
              <w:left w:val="nil"/>
              <w:bottom w:val="nil"/>
              <w:right w:val="nil"/>
            </w:tcBorders>
          </w:tcPr>
          <w:p w14:paraId="6616326E" w14:textId="77777777" w:rsidR="00A56747" w:rsidRPr="00C754CA" w:rsidRDefault="00A56747" w:rsidP="004B53CC">
            <w:pPr>
              <w:spacing w:before="60" w:after="60"/>
              <w:ind w:right="-29"/>
              <w:jc w:val="center"/>
              <w:rPr>
                <w:noProof/>
                <w:sz w:val="18"/>
                <w:szCs w:val="18"/>
              </w:rPr>
            </w:pPr>
          </w:p>
        </w:tc>
        <w:tc>
          <w:tcPr>
            <w:tcW w:w="432" w:type="dxa"/>
            <w:tcBorders>
              <w:top w:val="nil"/>
              <w:left w:val="nil"/>
              <w:bottom w:val="nil"/>
              <w:right w:val="nil"/>
            </w:tcBorders>
          </w:tcPr>
          <w:p w14:paraId="7C9982DE"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283E87D8" w14:textId="77777777" w:rsidR="00A56747" w:rsidRPr="00C754CA" w:rsidRDefault="00A56747" w:rsidP="004B53CC">
            <w:pPr>
              <w:spacing w:before="60" w:after="60"/>
              <w:ind w:right="-29"/>
              <w:jc w:val="center"/>
              <w:rPr>
                <w:noProof/>
                <w:sz w:val="18"/>
                <w:szCs w:val="18"/>
              </w:rPr>
            </w:pPr>
          </w:p>
        </w:tc>
        <w:tc>
          <w:tcPr>
            <w:tcW w:w="540" w:type="dxa"/>
            <w:tcBorders>
              <w:top w:val="nil"/>
              <w:left w:val="nil"/>
              <w:bottom w:val="nil"/>
              <w:right w:val="nil"/>
            </w:tcBorders>
          </w:tcPr>
          <w:p w14:paraId="01EE336D"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2A379ACA"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323A0816" w14:textId="77777777" w:rsidR="00A56747" w:rsidRPr="00C754CA" w:rsidRDefault="00A56747" w:rsidP="004B53CC">
            <w:pPr>
              <w:spacing w:before="60" w:after="60"/>
              <w:ind w:right="-29"/>
              <w:jc w:val="center"/>
              <w:rPr>
                <w:noProof/>
                <w:sz w:val="18"/>
                <w:szCs w:val="18"/>
              </w:rPr>
            </w:pPr>
          </w:p>
        </w:tc>
        <w:tc>
          <w:tcPr>
            <w:tcW w:w="900" w:type="dxa"/>
            <w:tcBorders>
              <w:top w:val="nil"/>
              <w:left w:val="nil"/>
              <w:bottom w:val="nil"/>
              <w:right w:val="nil"/>
            </w:tcBorders>
          </w:tcPr>
          <w:p w14:paraId="7754F028" w14:textId="77777777" w:rsidR="00A56747" w:rsidRPr="00C754CA" w:rsidRDefault="00A56747" w:rsidP="004B53CC">
            <w:pPr>
              <w:spacing w:before="60" w:after="60"/>
              <w:ind w:right="-29"/>
              <w:jc w:val="center"/>
              <w:rPr>
                <w:noProof/>
                <w:sz w:val="18"/>
                <w:szCs w:val="18"/>
              </w:rPr>
            </w:pPr>
          </w:p>
        </w:tc>
      </w:tr>
      <w:tr w:rsidR="003100E7" w:rsidRPr="00C754CA" w14:paraId="592ADA55" w14:textId="77777777" w:rsidTr="4D8CB314">
        <w:trPr>
          <w:trHeight w:hRule="exact" w:val="369"/>
          <w:jc w:val="center"/>
        </w:trPr>
        <w:tc>
          <w:tcPr>
            <w:tcW w:w="1423" w:type="dxa"/>
          </w:tcPr>
          <w:p w14:paraId="38D1DD8F" w14:textId="77777777" w:rsidR="00A56747" w:rsidRPr="00C754CA" w:rsidRDefault="00A56747" w:rsidP="004B53CC">
            <w:pPr>
              <w:ind w:right="-29"/>
              <w:jc w:val="center"/>
              <w:rPr>
                <w:noProof/>
                <w:sz w:val="18"/>
                <w:szCs w:val="18"/>
              </w:rPr>
            </w:pPr>
            <w:r w:rsidRPr="00C754CA">
              <w:rPr>
                <w:noProof/>
                <w:sz w:val="18"/>
              </w:rPr>
              <w:t>- Ergebnis</w:t>
            </w:r>
          </w:p>
        </w:tc>
        <w:tc>
          <w:tcPr>
            <w:tcW w:w="720" w:type="dxa"/>
          </w:tcPr>
          <w:p w14:paraId="662D9834" w14:textId="77777777" w:rsidR="00A56747" w:rsidRPr="00C754CA" w:rsidRDefault="00A56747" w:rsidP="004B53CC">
            <w:pPr>
              <w:ind w:right="-29"/>
              <w:jc w:val="center"/>
              <w:rPr>
                <w:noProof/>
                <w:sz w:val="18"/>
                <w:szCs w:val="18"/>
              </w:rPr>
            </w:pPr>
          </w:p>
        </w:tc>
        <w:tc>
          <w:tcPr>
            <w:tcW w:w="701" w:type="dxa"/>
          </w:tcPr>
          <w:p w14:paraId="7E34FA3F" w14:textId="77777777" w:rsidR="00A56747" w:rsidRPr="00C754CA" w:rsidRDefault="00A56747" w:rsidP="004B53CC">
            <w:pPr>
              <w:ind w:right="-29"/>
              <w:jc w:val="center"/>
              <w:rPr>
                <w:noProof/>
                <w:sz w:val="18"/>
                <w:szCs w:val="18"/>
              </w:rPr>
            </w:pPr>
          </w:p>
        </w:tc>
        <w:tc>
          <w:tcPr>
            <w:tcW w:w="504" w:type="dxa"/>
            <w:tcBorders>
              <w:right w:val="dashSmallGap" w:sz="4" w:space="0" w:color="auto"/>
            </w:tcBorders>
          </w:tcPr>
          <w:p w14:paraId="517150A6"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032FE3A0" w14:textId="77777777" w:rsidR="00A56747" w:rsidRPr="00C754CA" w:rsidRDefault="00A56747" w:rsidP="004B53CC">
            <w:pPr>
              <w:ind w:right="-29"/>
              <w:jc w:val="center"/>
              <w:rPr>
                <w:noProof/>
                <w:sz w:val="18"/>
                <w:szCs w:val="18"/>
              </w:rPr>
            </w:pPr>
          </w:p>
        </w:tc>
        <w:tc>
          <w:tcPr>
            <w:tcW w:w="540" w:type="dxa"/>
            <w:tcBorders>
              <w:right w:val="dashSmallGap" w:sz="4" w:space="0" w:color="auto"/>
            </w:tcBorders>
          </w:tcPr>
          <w:p w14:paraId="5F3C1324"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1EB737C1" w14:textId="77777777" w:rsidR="00A56747" w:rsidRPr="00C754CA" w:rsidRDefault="00A56747" w:rsidP="004B53CC">
            <w:pPr>
              <w:ind w:right="-29"/>
              <w:jc w:val="center"/>
              <w:rPr>
                <w:noProof/>
                <w:sz w:val="18"/>
                <w:szCs w:val="18"/>
              </w:rPr>
            </w:pPr>
          </w:p>
        </w:tc>
        <w:tc>
          <w:tcPr>
            <w:tcW w:w="720" w:type="dxa"/>
            <w:tcBorders>
              <w:right w:val="dashSmallGap" w:sz="4" w:space="0" w:color="auto"/>
            </w:tcBorders>
          </w:tcPr>
          <w:p w14:paraId="75E2B243"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14DDBBAA" w14:textId="77777777" w:rsidR="00A56747" w:rsidRPr="00C754CA" w:rsidRDefault="00A56747" w:rsidP="004B53CC">
            <w:pPr>
              <w:ind w:right="-29"/>
              <w:jc w:val="center"/>
              <w:rPr>
                <w:noProof/>
                <w:sz w:val="18"/>
                <w:szCs w:val="18"/>
              </w:rPr>
            </w:pPr>
          </w:p>
        </w:tc>
        <w:tc>
          <w:tcPr>
            <w:tcW w:w="900" w:type="dxa"/>
            <w:tcBorders>
              <w:right w:val="dashSmallGap" w:sz="4" w:space="0" w:color="auto"/>
            </w:tcBorders>
          </w:tcPr>
          <w:p w14:paraId="19751E09" w14:textId="77777777" w:rsidR="00A56747" w:rsidRPr="00C754CA" w:rsidRDefault="00A56747" w:rsidP="004B53CC">
            <w:pPr>
              <w:ind w:right="-29"/>
              <w:jc w:val="center"/>
              <w:rPr>
                <w:noProof/>
                <w:sz w:val="18"/>
                <w:szCs w:val="18"/>
              </w:rPr>
            </w:pPr>
          </w:p>
        </w:tc>
        <w:tc>
          <w:tcPr>
            <w:tcW w:w="720" w:type="dxa"/>
            <w:gridSpan w:val="2"/>
            <w:tcBorders>
              <w:left w:val="dashSmallGap" w:sz="4" w:space="0" w:color="auto"/>
            </w:tcBorders>
          </w:tcPr>
          <w:p w14:paraId="3D0DF85E" w14:textId="77777777" w:rsidR="00A56747" w:rsidRPr="00C754CA" w:rsidRDefault="00A56747" w:rsidP="004B53CC">
            <w:pPr>
              <w:ind w:right="-29"/>
              <w:jc w:val="center"/>
              <w:rPr>
                <w:noProof/>
                <w:sz w:val="18"/>
                <w:szCs w:val="18"/>
              </w:rPr>
            </w:pPr>
          </w:p>
        </w:tc>
        <w:tc>
          <w:tcPr>
            <w:tcW w:w="540" w:type="dxa"/>
            <w:tcBorders>
              <w:right w:val="dashSmallGap" w:sz="4" w:space="0" w:color="auto"/>
            </w:tcBorders>
          </w:tcPr>
          <w:p w14:paraId="5BFDF15C" w14:textId="77777777" w:rsidR="00A56747" w:rsidRPr="00C754CA" w:rsidRDefault="00A56747" w:rsidP="004B53CC">
            <w:pPr>
              <w:ind w:right="-29"/>
              <w:jc w:val="center"/>
              <w:rPr>
                <w:noProof/>
                <w:sz w:val="18"/>
                <w:szCs w:val="18"/>
              </w:rPr>
            </w:pPr>
          </w:p>
        </w:tc>
        <w:tc>
          <w:tcPr>
            <w:tcW w:w="648" w:type="dxa"/>
            <w:tcBorders>
              <w:left w:val="dashSmallGap" w:sz="4" w:space="0" w:color="auto"/>
            </w:tcBorders>
          </w:tcPr>
          <w:p w14:paraId="38212DA4" w14:textId="77777777" w:rsidR="00A56747" w:rsidRPr="00C754CA" w:rsidRDefault="00A56747" w:rsidP="004B53CC">
            <w:pPr>
              <w:ind w:right="-29"/>
              <w:jc w:val="center"/>
              <w:rPr>
                <w:noProof/>
                <w:sz w:val="18"/>
                <w:szCs w:val="18"/>
              </w:rPr>
            </w:pPr>
          </w:p>
        </w:tc>
        <w:tc>
          <w:tcPr>
            <w:tcW w:w="432" w:type="dxa"/>
            <w:tcBorders>
              <w:right w:val="dashSmallGap" w:sz="4" w:space="0" w:color="auto"/>
            </w:tcBorders>
          </w:tcPr>
          <w:p w14:paraId="6BE0B089"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25E16E4F" w14:textId="77777777" w:rsidR="00A56747" w:rsidRPr="00C754CA" w:rsidRDefault="00A56747" w:rsidP="004B53CC">
            <w:pPr>
              <w:ind w:right="-29"/>
              <w:jc w:val="center"/>
              <w:rPr>
                <w:noProof/>
                <w:sz w:val="18"/>
                <w:szCs w:val="18"/>
              </w:rPr>
            </w:pPr>
          </w:p>
        </w:tc>
        <w:tc>
          <w:tcPr>
            <w:tcW w:w="540" w:type="dxa"/>
            <w:tcBorders>
              <w:right w:val="dashSmallGap" w:sz="4" w:space="0" w:color="auto"/>
            </w:tcBorders>
          </w:tcPr>
          <w:p w14:paraId="54518DF6"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57BFF839" w14:textId="77777777" w:rsidR="00A56747" w:rsidRPr="00C754CA" w:rsidRDefault="00A56747" w:rsidP="004B53CC">
            <w:pPr>
              <w:ind w:right="-29"/>
              <w:jc w:val="center"/>
              <w:rPr>
                <w:noProof/>
                <w:sz w:val="18"/>
                <w:szCs w:val="18"/>
              </w:rPr>
            </w:pPr>
          </w:p>
        </w:tc>
        <w:tc>
          <w:tcPr>
            <w:tcW w:w="720" w:type="dxa"/>
          </w:tcPr>
          <w:p w14:paraId="7AA28516" w14:textId="77777777" w:rsidR="00A56747" w:rsidRPr="00C754CA" w:rsidRDefault="00A56747" w:rsidP="004B53CC">
            <w:pPr>
              <w:ind w:right="-29"/>
              <w:jc w:val="center"/>
              <w:rPr>
                <w:noProof/>
                <w:sz w:val="18"/>
                <w:szCs w:val="18"/>
              </w:rPr>
            </w:pPr>
          </w:p>
        </w:tc>
        <w:tc>
          <w:tcPr>
            <w:tcW w:w="900" w:type="dxa"/>
          </w:tcPr>
          <w:p w14:paraId="47D889CA" w14:textId="77777777" w:rsidR="00A56747" w:rsidRPr="00C754CA" w:rsidRDefault="00A56747" w:rsidP="004B53CC">
            <w:pPr>
              <w:ind w:right="-29"/>
              <w:jc w:val="center"/>
              <w:rPr>
                <w:noProof/>
                <w:sz w:val="18"/>
                <w:szCs w:val="18"/>
              </w:rPr>
            </w:pPr>
          </w:p>
        </w:tc>
      </w:tr>
      <w:tr w:rsidR="003100E7" w:rsidRPr="00C754CA" w14:paraId="2E510F7B" w14:textId="77777777" w:rsidTr="4D8CB314">
        <w:trPr>
          <w:trHeight w:hRule="exact" w:val="369"/>
          <w:jc w:val="center"/>
        </w:trPr>
        <w:tc>
          <w:tcPr>
            <w:tcW w:w="1423" w:type="dxa"/>
          </w:tcPr>
          <w:p w14:paraId="5C06C173" w14:textId="77777777" w:rsidR="00A56747" w:rsidRPr="00C754CA" w:rsidRDefault="00A56747" w:rsidP="004B53CC">
            <w:pPr>
              <w:ind w:right="-29"/>
              <w:jc w:val="center"/>
              <w:rPr>
                <w:noProof/>
                <w:sz w:val="18"/>
                <w:szCs w:val="18"/>
              </w:rPr>
            </w:pPr>
            <w:r w:rsidRPr="00C754CA">
              <w:rPr>
                <w:noProof/>
                <w:sz w:val="18"/>
              </w:rPr>
              <w:t>- Ergebnis</w:t>
            </w:r>
          </w:p>
        </w:tc>
        <w:tc>
          <w:tcPr>
            <w:tcW w:w="720" w:type="dxa"/>
          </w:tcPr>
          <w:p w14:paraId="0A383910" w14:textId="77777777" w:rsidR="00A56747" w:rsidRPr="00C754CA" w:rsidRDefault="00A56747" w:rsidP="004B53CC">
            <w:pPr>
              <w:ind w:right="-29"/>
              <w:jc w:val="center"/>
              <w:rPr>
                <w:noProof/>
                <w:sz w:val="18"/>
                <w:szCs w:val="18"/>
              </w:rPr>
            </w:pPr>
          </w:p>
        </w:tc>
        <w:tc>
          <w:tcPr>
            <w:tcW w:w="701" w:type="dxa"/>
          </w:tcPr>
          <w:p w14:paraId="29F1DDF3" w14:textId="77777777" w:rsidR="00A56747" w:rsidRPr="00C754CA" w:rsidRDefault="00A56747" w:rsidP="004B53CC">
            <w:pPr>
              <w:ind w:right="-29"/>
              <w:jc w:val="center"/>
              <w:rPr>
                <w:noProof/>
                <w:sz w:val="18"/>
                <w:szCs w:val="18"/>
              </w:rPr>
            </w:pPr>
          </w:p>
        </w:tc>
        <w:tc>
          <w:tcPr>
            <w:tcW w:w="504" w:type="dxa"/>
            <w:tcBorders>
              <w:right w:val="dashSmallGap" w:sz="4" w:space="0" w:color="auto"/>
            </w:tcBorders>
          </w:tcPr>
          <w:p w14:paraId="3EDC8387"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2CAE9A20" w14:textId="77777777" w:rsidR="00A56747" w:rsidRPr="00C754CA" w:rsidRDefault="00A56747" w:rsidP="004B53CC">
            <w:pPr>
              <w:ind w:right="-29"/>
              <w:jc w:val="center"/>
              <w:rPr>
                <w:noProof/>
                <w:sz w:val="18"/>
                <w:szCs w:val="18"/>
              </w:rPr>
            </w:pPr>
          </w:p>
        </w:tc>
        <w:tc>
          <w:tcPr>
            <w:tcW w:w="540" w:type="dxa"/>
            <w:tcBorders>
              <w:right w:val="dashSmallGap" w:sz="4" w:space="0" w:color="auto"/>
            </w:tcBorders>
          </w:tcPr>
          <w:p w14:paraId="415B8D6D"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704D533B" w14:textId="77777777" w:rsidR="00A56747" w:rsidRPr="00C754CA" w:rsidRDefault="00A56747" w:rsidP="004B53CC">
            <w:pPr>
              <w:ind w:right="-29"/>
              <w:jc w:val="center"/>
              <w:rPr>
                <w:noProof/>
                <w:sz w:val="18"/>
                <w:szCs w:val="18"/>
              </w:rPr>
            </w:pPr>
          </w:p>
        </w:tc>
        <w:tc>
          <w:tcPr>
            <w:tcW w:w="720" w:type="dxa"/>
            <w:tcBorders>
              <w:right w:val="dashSmallGap" w:sz="4" w:space="0" w:color="auto"/>
            </w:tcBorders>
          </w:tcPr>
          <w:p w14:paraId="617EE6F5"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5C6F2DD4" w14:textId="77777777" w:rsidR="00A56747" w:rsidRPr="00C754CA" w:rsidRDefault="00A56747" w:rsidP="004B53CC">
            <w:pPr>
              <w:ind w:right="-29"/>
              <w:jc w:val="center"/>
              <w:rPr>
                <w:noProof/>
                <w:sz w:val="18"/>
                <w:szCs w:val="18"/>
              </w:rPr>
            </w:pPr>
          </w:p>
        </w:tc>
        <w:tc>
          <w:tcPr>
            <w:tcW w:w="900" w:type="dxa"/>
            <w:tcBorders>
              <w:right w:val="dashSmallGap" w:sz="4" w:space="0" w:color="auto"/>
            </w:tcBorders>
          </w:tcPr>
          <w:p w14:paraId="303DFC47" w14:textId="77777777" w:rsidR="00A56747" w:rsidRPr="00C754CA" w:rsidRDefault="00A56747" w:rsidP="004B53CC">
            <w:pPr>
              <w:ind w:right="-29"/>
              <w:jc w:val="center"/>
              <w:rPr>
                <w:noProof/>
                <w:sz w:val="18"/>
                <w:szCs w:val="18"/>
              </w:rPr>
            </w:pPr>
          </w:p>
        </w:tc>
        <w:tc>
          <w:tcPr>
            <w:tcW w:w="720" w:type="dxa"/>
            <w:gridSpan w:val="2"/>
            <w:tcBorders>
              <w:left w:val="dashSmallGap" w:sz="4" w:space="0" w:color="auto"/>
            </w:tcBorders>
          </w:tcPr>
          <w:p w14:paraId="5503F699" w14:textId="77777777" w:rsidR="00A56747" w:rsidRPr="00C754CA" w:rsidRDefault="00A56747" w:rsidP="004B53CC">
            <w:pPr>
              <w:ind w:right="-29"/>
              <w:jc w:val="center"/>
              <w:rPr>
                <w:noProof/>
                <w:sz w:val="18"/>
                <w:szCs w:val="18"/>
              </w:rPr>
            </w:pPr>
          </w:p>
        </w:tc>
        <w:tc>
          <w:tcPr>
            <w:tcW w:w="540" w:type="dxa"/>
            <w:tcBorders>
              <w:right w:val="dashSmallGap" w:sz="4" w:space="0" w:color="auto"/>
            </w:tcBorders>
          </w:tcPr>
          <w:p w14:paraId="14183E60" w14:textId="77777777" w:rsidR="00A56747" w:rsidRPr="00C754CA" w:rsidRDefault="00A56747" w:rsidP="004B53CC">
            <w:pPr>
              <w:ind w:right="-29"/>
              <w:jc w:val="center"/>
              <w:rPr>
                <w:noProof/>
                <w:sz w:val="18"/>
                <w:szCs w:val="18"/>
              </w:rPr>
            </w:pPr>
          </w:p>
        </w:tc>
        <w:tc>
          <w:tcPr>
            <w:tcW w:w="648" w:type="dxa"/>
            <w:tcBorders>
              <w:left w:val="dashSmallGap" w:sz="4" w:space="0" w:color="auto"/>
            </w:tcBorders>
          </w:tcPr>
          <w:p w14:paraId="011DA6D8" w14:textId="77777777" w:rsidR="00A56747" w:rsidRPr="00C754CA" w:rsidRDefault="00A56747" w:rsidP="004B53CC">
            <w:pPr>
              <w:ind w:right="-29"/>
              <w:jc w:val="center"/>
              <w:rPr>
                <w:noProof/>
                <w:sz w:val="18"/>
                <w:szCs w:val="18"/>
              </w:rPr>
            </w:pPr>
          </w:p>
        </w:tc>
        <w:tc>
          <w:tcPr>
            <w:tcW w:w="432" w:type="dxa"/>
            <w:tcBorders>
              <w:right w:val="dashSmallGap" w:sz="4" w:space="0" w:color="auto"/>
            </w:tcBorders>
          </w:tcPr>
          <w:p w14:paraId="69966842"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4A2AAA3B" w14:textId="77777777" w:rsidR="00A56747" w:rsidRPr="00C754CA" w:rsidRDefault="00A56747" w:rsidP="004B53CC">
            <w:pPr>
              <w:ind w:right="-29"/>
              <w:jc w:val="center"/>
              <w:rPr>
                <w:noProof/>
                <w:sz w:val="18"/>
                <w:szCs w:val="18"/>
              </w:rPr>
            </w:pPr>
          </w:p>
        </w:tc>
        <w:tc>
          <w:tcPr>
            <w:tcW w:w="540" w:type="dxa"/>
            <w:tcBorders>
              <w:right w:val="dashSmallGap" w:sz="4" w:space="0" w:color="auto"/>
            </w:tcBorders>
          </w:tcPr>
          <w:p w14:paraId="61D18135" w14:textId="77777777" w:rsidR="00A56747" w:rsidRPr="00C754CA" w:rsidRDefault="00A56747" w:rsidP="004B53CC">
            <w:pPr>
              <w:ind w:right="-29"/>
              <w:jc w:val="center"/>
              <w:rPr>
                <w:noProof/>
                <w:sz w:val="18"/>
                <w:szCs w:val="18"/>
              </w:rPr>
            </w:pPr>
          </w:p>
        </w:tc>
        <w:tc>
          <w:tcPr>
            <w:tcW w:w="720" w:type="dxa"/>
            <w:tcBorders>
              <w:left w:val="dashSmallGap" w:sz="4" w:space="0" w:color="auto"/>
            </w:tcBorders>
          </w:tcPr>
          <w:p w14:paraId="3D56BE0C" w14:textId="77777777" w:rsidR="00A56747" w:rsidRPr="00C754CA" w:rsidRDefault="00A56747" w:rsidP="004B53CC">
            <w:pPr>
              <w:ind w:right="-29"/>
              <w:jc w:val="center"/>
              <w:rPr>
                <w:noProof/>
                <w:sz w:val="18"/>
                <w:szCs w:val="18"/>
              </w:rPr>
            </w:pPr>
          </w:p>
        </w:tc>
        <w:tc>
          <w:tcPr>
            <w:tcW w:w="720" w:type="dxa"/>
          </w:tcPr>
          <w:p w14:paraId="43C5AC80" w14:textId="77777777" w:rsidR="00A56747" w:rsidRPr="00C754CA" w:rsidRDefault="00A56747" w:rsidP="004B53CC">
            <w:pPr>
              <w:ind w:right="-29"/>
              <w:jc w:val="center"/>
              <w:rPr>
                <w:noProof/>
                <w:sz w:val="18"/>
                <w:szCs w:val="18"/>
              </w:rPr>
            </w:pPr>
          </w:p>
        </w:tc>
        <w:tc>
          <w:tcPr>
            <w:tcW w:w="900" w:type="dxa"/>
          </w:tcPr>
          <w:p w14:paraId="117771AF" w14:textId="77777777" w:rsidR="00A56747" w:rsidRPr="00C754CA" w:rsidRDefault="00A56747" w:rsidP="004B53CC">
            <w:pPr>
              <w:ind w:right="-29"/>
              <w:jc w:val="center"/>
              <w:rPr>
                <w:noProof/>
                <w:sz w:val="18"/>
                <w:szCs w:val="18"/>
              </w:rPr>
            </w:pPr>
          </w:p>
        </w:tc>
      </w:tr>
      <w:tr w:rsidR="00A56747" w:rsidRPr="00C754CA" w14:paraId="0F464113" w14:textId="77777777" w:rsidTr="00FF1EF4">
        <w:trPr>
          <w:trHeight w:hRule="exact" w:val="369"/>
          <w:jc w:val="center"/>
        </w:trPr>
        <w:tc>
          <w:tcPr>
            <w:tcW w:w="1423" w:type="dxa"/>
          </w:tcPr>
          <w:p w14:paraId="76CBB167" w14:textId="77777777" w:rsidR="00A56747" w:rsidRPr="00C754CA" w:rsidRDefault="00A56747" w:rsidP="004B53CC">
            <w:pPr>
              <w:ind w:right="-29"/>
              <w:jc w:val="center"/>
              <w:rPr>
                <w:noProof/>
                <w:sz w:val="18"/>
                <w:szCs w:val="18"/>
              </w:rPr>
            </w:pPr>
            <w:r w:rsidRPr="00C754CA">
              <w:rPr>
                <w:noProof/>
                <w:sz w:val="18"/>
              </w:rPr>
              <w:t>- Ergebnis</w:t>
            </w:r>
          </w:p>
        </w:tc>
        <w:tc>
          <w:tcPr>
            <w:tcW w:w="720" w:type="dxa"/>
          </w:tcPr>
          <w:p w14:paraId="7F61C6CF" w14:textId="77777777" w:rsidR="00A56747" w:rsidRPr="00C754CA" w:rsidRDefault="00A56747" w:rsidP="004B53CC">
            <w:pPr>
              <w:ind w:right="-29"/>
              <w:jc w:val="center"/>
              <w:rPr>
                <w:noProof/>
                <w:sz w:val="18"/>
                <w:szCs w:val="18"/>
              </w:rPr>
            </w:pPr>
          </w:p>
        </w:tc>
        <w:tc>
          <w:tcPr>
            <w:tcW w:w="701" w:type="dxa"/>
          </w:tcPr>
          <w:p w14:paraId="6514DFEB" w14:textId="77777777" w:rsidR="00A56747" w:rsidRPr="00C754CA" w:rsidRDefault="00A56747" w:rsidP="004B53CC">
            <w:pPr>
              <w:ind w:right="-29"/>
              <w:jc w:val="center"/>
              <w:rPr>
                <w:noProof/>
                <w:sz w:val="18"/>
                <w:szCs w:val="18"/>
              </w:rPr>
            </w:pPr>
          </w:p>
        </w:tc>
        <w:tc>
          <w:tcPr>
            <w:tcW w:w="504" w:type="dxa"/>
          </w:tcPr>
          <w:p w14:paraId="6CDF29C9" w14:textId="77777777" w:rsidR="00A56747" w:rsidRPr="00C754CA" w:rsidRDefault="00A56747" w:rsidP="004B53CC">
            <w:pPr>
              <w:ind w:right="-29"/>
              <w:jc w:val="center"/>
              <w:rPr>
                <w:noProof/>
                <w:sz w:val="18"/>
                <w:szCs w:val="18"/>
              </w:rPr>
            </w:pPr>
          </w:p>
        </w:tc>
        <w:tc>
          <w:tcPr>
            <w:tcW w:w="720" w:type="dxa"/>
          </w:tcPr>
          <w:p w14:paraId="4853080B" w14:textId="77777777" w:rsidR="00A56747" w:rsidRPr="00C754CA" w:rsidRDefault="00A56747" w:rsidP="004B53CC">
            <w:pPr>
              <w:ind w:right="-29"/>
              <w:jc w:val="center"/>
              <w:rPr>
                <w:noProof/>
                <w:sz w:val="18"/>
                <w:szCs w:val="18"/>
              </w:rPr>
            </w:pPr>
          </w:p>
        </w:tc>
        <w:tc>
          <w:tcPr>
            <w:tcW w:w="540" w:type="dxa"/>
          </w:tcPr>
          <w:p w14:paraId="346869EF" w14:textId="77777777" w:rsidR="00A56747" w:rsidRPr="00C754CA" w:rsidRDefault="00A56747" w:rsidP="004B53CC">
            <w:pPr>
              <w:ind w:right="-29"/>
              <w:jc w:val="center"/>
              <w:rPr>
                <w:noProof/>
                <w:sz w:val="18"/>
                <w:szCs w:val="18"/>
              </w:rPr>
            </w:pPr>
          </w:p>
        </w:tc>
        <w:tc>
          <w:tcPr>
            <w:tcW w:w="720" w:type="dxa"/>
          </w:tcPr>
          <w:p w14:paraId="24B4CACB" w14:textId="77777777" w:rsidR="00A56747" w:rsidRPr="00C754CA" w:rsidRDefault="00A56747" w:rsidP="004B53CC">
            <w:pPr>
              <w:ind w:right="-29"/>
              <w:jc w:val="center"/>
              <w:rPr>
                <w:noProof/>
                <w:sz w:val="18"/>
                <w:szCs w:val="18"/>
              </w:rPr>
            </w:pPr>
          </w:p>
        </w:tc>
        <w:tc>
          <w:tcPr>
            <w:tcW w:w="720" w:type="dxa"/>
          </w:tcPr>
          <w:p w14:paraId="46D4A6D6" w14:textId="77777777" w:rsidR="00A56747" w:rsidRPr="00C754CA" w:rsidRDefault="00A56747" w:rsidP="004B53CC">
            <w:pPr>
              <w:ind w:right="-29"/>
              <w:jc w:val="center"/>
              <w:rPr>
                <w:noProof/>
                <w:sz w:val="18"/>
                <w:szCs w:val="18"/>
              </w:rPr>
            </w:pPr>
          </w:p>
        </w:tc>
        <w:tc>
          <w:tcPr>
            <w:tcW w:w="720" w:type="dxa"/>
          </w:tcPr>
          <w:p w14:paraId="67113875" w14:textId="77777777" w:rsidR="00A56747" w:rsidRPr="00C754CA" w:rsidRDefault="00A56747" w:rsidP="004B53CC">
            <w:pPr>
              <w:ind w:right="-29"/>
              <w:jc w:val="center"/>
              <w:rPr>
                <w:noProof/>
                <w:sz w:val="18"/>
                <w:szCs w:val="18"/>
              </w:rPr>
            </w:pPr>
          </w:p>
        </w:tc>
        <w:tc>
          <w:tcPr>
            <w:tcW w:w="900" w:type="dxa"/>
          </w:tcPr>
          <w:p w14:paraId="1AAFBCBE" w14:textId="77777777" w:rsidR="00A56747" w:rsidRPr="00C754CA" w:rsidRDefault="00A56747" w:rsidP="004B53CC">
            <w:pPr>
              <w:ind w:right="-29"/>
              <w:jc w:val="center"/>
              <w:rPr>
                <w:noProof/>
                <w:sz w:val="18"/>
                <w:szCs w:val="18"/>
              </w:rPr>
            </w:pPr>
          </w:p>
        </w:tc>
        <w:tc>
          <w:tcPr>
            <w:tcW w:w="720" w:type="dxa"/>
            <w:gridSpan w:val="2"/>
          </w:tcPr>
          <w:p w14:paraId="62E88F80" w14:textId="77777777" w:rsidR="00A56747" w:rsidRPr="00C754CA" w:rsidRDefault="00A56747" w:rsidP="004B53CC">
            <w:pPr>
              <w:ind w:right="-29"/>
              <w:jc w:val="center"/>
              <w:rPr>
                <w:noProof/>
                <w:sz w:val="18"/>
                <w:szCs w:val="18"/>
              </w:rPr>
            </w:pPr>
          </w:p>
        </w:tc>
        <w:tc>
          <w:tcPr>
            <w:tcW w:w="540" w:type="dxa"/>
          </w:tcPr>
          <w:p w14:paraId="0ED61079" w14:textId="77777777" w:rsidR="00A56747" w:rsidRPr="00C754CA" w:rsidRDefault="00A56747" w:rsidP="004B53CC">
            <w:pPr>
              <w:ind w:right="-29"/>
              <w:jc w:val="center"/>
              <w:rPr>
                <w:noProof/>
                <w:sz w:val="18"/>
                <w:szCs w:val="18"/>
              </w:rPr>
            </w:pPr>
          </w:p>
        </w:tc>
        <w:tc>
          <w:tcPr>
            <w:tcW w:w="648" w:type="dxa"/>
          </w:tcPr>
          <w:p w14:paraId="4542A5CF" w14:textId="77777777" w:rsidR="00A56747" w:rsidRPr="00C754CA" w:rsidRDefault="00A56747" w:rsidP="004B53CC">
            <w:pPr>
              <w:ind w:right="-29"/>
              <w:jc w:val="center"/>
              <w:rPr>
                <w:noProof/>
                <w:sz w:val="18"/>
                <w:szCs w:val="18"/>
              </w:rPr>
            </w:pPr>
          </w:p>
        </w:tc>
        <w:tc>
          <w:tcPr>
            <w:tcW w:w="432" w:type="dxa"/>
          </w:tcPr>
          <w:p w14:paraId="28DFC45A" w14:textId="77777777" w:rsidR="00A56747" w:rsidRPr="00C754CA" w:rsidRDefault="00A56747" w:rsidP="004B53CC">
            <w:pPr>
              <w:ind w:right="-29"/>
              <w:jc w:val="center"/>
              <w:rPr>
                <w:noProof/>
                <w:sz w:val="18"/>
                <w:szCs w:val="18"/>
              </w:rPr>
            </w:pPr>
          </w:p>
        </w:tc>
        <w:tc>
          <w:tcPr>
            <w:tcW w:w="720" w:type="dxa"/>
          </w:tcPr>
          <w:p w14:paraId="2B7C757B" w14:textId="77777777" w:rsidR="00A56747" w:rsidRPr="00C754CA" w:rsidRDefault="00A56747" w:rsidP="004B53CC">
            <w:pPr>
              <w:ind w:right="-29"/>
              <w:jc w:val="center"/>
              <w:rPr>
                <w:noProof/>
                <w:sz w:val="18"/>
                <w:szCs w:val="18"/>
              </w:rPr>
            </w:pPr>
          </w:p>
        </w:tc>
        <w:tc>
          <w:tcPr>
            <w:tcW w:w="540" w:type="dxa"/>
          </w:tcPr>
          <w:p w14:paraId="60B3BFC8" w14:textId="77777777" w:rsidR="00A56747" w:rsidRPr="00C754CA" w:rsidRDefault="00A56747" w:rsidP="004B53CC">
            <w:pPr>
              <w:ind w:right="-29"/>
              <w:jc w:val="center"/>
              <w:rPr>
                <w:noProof/>
                <w:sz w:val="18"/>
                <w:szCs w:val="18"/>
              </w:rPr>
            </w:pPr>
          </w:p>
        </w:tc>
        <w:tc>
          <w:tcPr>
            <w:tcW w:w="720" w:type="dxa"/>
          </w:tcPr>
          <w:p w14:paraId="6AD13C29" w14:textId="77777777" w:rsidR="00A56747" w:rsidRPr="00C754CA" w:rsidRDefault="00A56747" w:rsidP="004B53CC">
            <w:pPr>
              <w:ind w:right="-29"/>
              <w:jc w:val="center"/>
              <w:rPr>
                <w:noProof/>
                <w:sz w:val="18"/>
                <w:szCs w:val="18"/>
              </w:rPr>
            </w:pPr>
          </w:p>
        </w:tc>
        <w:tc>
          <w:tcPr>
            <w:tcW w:w="720" w:type="dxa"/>
          </w:tcPr>
          <w:p w14:paraId="77FDEF4C" w14:textId="77777777" w:rsidR="00A56747" w:rsidRPr="00C754CA" w:rsidRDefault="00A56747" w:rsidP="004B53CC">
            <w:pPr>
              <w:ind w:right="-29"/>
              <w:jc w:val="center"/>
              <w:rPr>
                <w:noProof/>
                <w:sz w:val="18"/>
                <w:szCs w:val="18"/>
              </w:rPr>
            </w:pPr>
          </w:p>
        </w:tc>
        <w:tc>
          <w:tcPr>
            <w:tcW w:w="900" w:type="dxa"/>
          </w:tcPr>
          <w:p w14:paraId="63D220EE" w14:textId="77777777" w:rsidR="00A56747" w:rsidRPr="00C754CA" w:rsidRDefault="00A56747" w:rsidP="004B53CC">
            <w:pPr>
              <w:ind w:right="-29"/>
              <w:jc w:val="center"/>
              <w:rPr>
                <w:noProof/>
                <w:sz w:val="18"/>
                <w:szCs w:val="18"/>
              </w:rPr>
            </w:pPr>
          </w:p>
        </w:tc>
      </w:tr>
      <w:tr w:rsidR="00A56747" w:rsidRPr="00C754CA" w14:paraId="5286FE50" w14:textId="77777777" w:rsidTr="00FF1EF4">
        <w:trPr>
          <w:trHeight w:val="77"/>
          <w:jc w:val="center"/>
        </w:trPr>
        <w:tc>
          <w:tcPr>
            <w:tcW w:w="2844" w:type="dxa"/>
            <w:gridSpan w:val="3"/>
            <w:tcBorders>
              <w:bottom w:val="single" w:sz="12" w:space="0" w:color="auto"/>
            </w:tcBorders>
            <w:vAlign w:val="center"/>
          </w:tcPr>
          <w:p w14:paraId="153B3DFC" w14:textId="77777777" w:rsidR="00A56747" w:rsidRPr="00C754CA" w:rsidRDefault="00A56747" w:rsidP="004B53CC">
            <w:pPr>
              <w:ind w:right="-29"/>
              <w:jc w:val="center"/>
              <w:rPr>
                <w:noProof/>
                <w:sz w:val="18"/>
                <w:szCs w:val="18"/>
              </w:rPr>
            </w:pPr>
            <w:r w:rsidRPr="00C754CA">
              <w:rPr>
                <w:noProof/>
                <w:sz w:val="18"/>
              </w:rPr>
              <w:t>Zwischensumme für Einzelziel Nr. </w:t>
            </w:r>
            <w:r w:rsidRPr="00E2773D">
              <w:rPr>
                <w:noProof/>
                <w:sz w:val="18"/>
              </w:rPr>
              <w:t>1</w:t>
            </w:r>
          </w:p>
        </w:tc>
        <w:tc>
          <w:tcPr>
            <w:tcW w:w="504" w:type="dxa"/>
            <w:tcBorders>
              <w:bottom w:val="single" w:sz="12" w:space="0" w:color="auto"/>
            </w:tcBorders>
          </w:tcPr>
          <w:p w14:paraId="1CC5BC59"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68D766F7" w14:textId="77777777" w:rsidR="00A56747" w:rsidRPr="00C754CA" w:rsidRDefault="00A56747" w:rsidP="004B53CC">
            <w:pPr>
              <w:ind w:right="-29"/>
              <w:jc w:val="center"/>
              <w:rPr>
                <w:noProof/>
                <w:sz w:val="18"/>
                <w:szCs w:val="18"/>
              </w:rPr>
            </w:pPr>
          </w:p>
        </w:tc>
        <w:tc>
          <w:tcPr>
            <w:tcW w:w="540" w:type="dxa"/>
            <w:tcBorders>
              <w:bottom w:val="single" w:sz="12" w:space="0" w:color="auto"/>
            </w:tcBorders>
          </w:tcPr>
          <w:p w14:paraId="2A95FA42"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56AE785D"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7E4C5F13"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52E84D31" w14:textId="77777777" w:rsidR="00A56747" w:rsidRPr="00C754CA" w:rsidRDefault="00A56747" w:rsidP="004B53CC">
            <w:pPr>
              <w:ind w:right="-29"/>
              <w:jc w:val="center"/>
              <w:rPr>
                <w:noProof/>
                <w:sz w:val="18"/>
                <w:szCs w:val="18"/>
              </w:rPr>
            </w:pPr>
          </w:p>
        </w:tc>
        <w:tc>
          <w:tcPr>
            <w:tcW w:w="900" w:type="dxa"/>
            <w:tcBorders>
              <w:bottom w:val="single" w:sz="12" w:space="0" w:color="auto"/>
            </w:tcBorders>
          </w:tcPr>
          <w:p w14:paraId="34E64338" w14:textId="77777777" w:rsidR="00A56747" w:rsidRPr="00C754CA" w:rsidRDefault="00A56747" w:rsidP="004B53CC">
            <w:pPr>
              <w:ind w:right="-29"/>
              <w:jc w:val="center"/>
              <w:rPr>
                <w:noProof/>
                <w:sz w:val="18"/>
                <w:szCs w:val="18"/>
              </w:rPr>
            </w:pPr>
          </w:p>
        </w:tc>
        <w:tc>
          <w:tcPr>
            <w:tcW w:w="720" w:type="dxa"/>
            <w:gridSpan w:val="2"/>
            <w:tcBorders>
              <w:bottom w:val="single" w:sz="12" w:space="0" w:color="auto"/>
            </w:tcBorders>
          </w:tcPr>
          <w:p w14:paraId="00AD7CD6" w14:textId="77777777" w:rsidR="00A56747" w:rsidRPr="00C754CA" w:rsidRDefault="00A56747" w:rsidP="004B53CC">
            <w:pPr>
              <w:ind w:right="-29"/>
              <w:jc w:val="center"/>
              <w:rPr>
                <w:noProof/>
                <w:sz w:val="18"/>
                <w:szCs w:val="18"/>
              </w:rPr>
            </w:pPr>
          </w:p>
        </w:tc>
        <w:tc>
          <w:tcPr>
            <w:tcW w:w="540" w:type="dxa"/>
            <w:tcBorders>
              <w:bottom w:val="single" w:sz="12" w:space="0" w:color="auto"/>
            </w:tcBorders>
          </w:tcPr>
          <w:p w14:paraId="1A9AC7C8" w14:textId="77777777" w:rsidR="00A56747" w:rsidRPr="00C754CA" w:rsidRDefault="00A56747" w:rsidP="004B53CC">
            <w:pPr>
              <w:ind w:right="-29"/>
              <w:jc w:val="center"/>
              <w:rPr>
                <w:noProof/>
                <w:sz w:val="18"/>
                <w:szCs w:val="18"/>
              </w:rPr>
            </w:pPr>
          </w:p>
        </w:tc>
        <w:tc>
          <w:tcPr>
            <w:tcW w:w="648" w:type="dxa"/>
            <w:tcBorders>
              <w:bottom w:val="single" w:sz="12" w:space="0" w:color="auto"/>
            </w:tcBorders>
          </w:tcPr>
          <w:p w14:paraId="3EEEF350" w14:textId="77777777" w:rsidR="00A56747" w:rsidRPr="00C754CA" w:rsidRDefault="00A56747" w:rsidP="004B53CC">
            <w:pPr>
              <w:ind w:right="-29"/>
              <w:jc w:val="center"/>
              <w:rPr>
                <w:noProof/>
                <w:sz w:val="18"/>
                <w:szCs w:val="18"/>
              </w:rPr>
            </w:pPr>
          </w:p>
        </w:tc>
        <w:tc>
          <w:tcPr>
            <w:tcW w:w="432" w:type="dxa"/>
            <w:tcBorders>
              <w:bottom w:val="single" w:sz="12" w:space="0" w:color="auto"/>
            </w:tcBorders>
          </w:tcPr>
          <w:p w14:paraId="6FF9171E"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41F8D455" w14:textId="77777777" w:rsidR="00A56747" w:rsidRPr="00C754CA" w:rsidRDefault="00A56747" w:rsidP="004B53CC">
            <w:pPr>
              <w:ind w:right="-29"/>
              <w:jc w:val="center"/>
              <w:rPr>
                <w:noProof/>
                <w:sz w:val="18"/>
                <w:szCs w:val="18"/>
              </w:rPr>
            </w:pPr>
          </w:p>
        </w:tc>
        <w:tc>
          <w:tcPr>
            <w:tcW w:w="540" w:type="dxa"/>
            <w:tcBorders>
              <w:bottom w:val="single" w:sz="12" w:space="0" w:color="auto"/>
            </w:tcBorders>
          </w:tcPr>
          <w:p w14:paraId="01F6933B"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6B7AE372"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64748247" w14:textId="77777777" w:rsidR="00A56747" w:rsidRPr="00C754CA" w:rsidRDefault="00A56747" w:rsidP="004B53CC">
            <w:pPr>
              <w:ind w:right="-29"/>
              <w:jc w:val="center"/>
              <w:rPr>
                <w:noProof/>
                <w:sz w:val="18"/>
                <w:szCs w:val="18"/>
              </w:rPr>
            </w:pPr>
          </w:p>
        </w:tc>
        <w:tc>
          <w:tcPr>
            <w:tcW w:w="900" w:type="dxa"/>
            <w:tcBorders>
              <w:bottom w:val="single" w:sz="12" w:space="0" w:color="auto"/>
            </w:tcBorders>
          </w:tcPr>
          <w:p w14:paraId="64B6C3EB" w14:textId="77777777" w:rsidR="00A56747" w:rsidRPr="00C754CA" w:rsidRDefault="00A56747" w:rsidP="004B53CC">
            <w:pPr>
              <w:ind w:right="-29"/>
              <w:jc w:val="center"/>
              <w:rPr>
                <w:noProof/>
                <w:sz w:val="18"/>
                <w:szCs w:val="18"/>
              </w:rPr>
            </w:pPr>
          </w:p>
        </w:tc>
      </w:tr>
      <w:tr w:rsidR="00A56747" w:rsidRPr="00C754CA" w14:paraId="275402EA" w14:textId="77777777" w:rsidTr="00FF1EF4">
        <w:trPr>
          <w:jc w:val="center"/>
        </w:trPr>
        <w:tc>
          <w:tcPr>
            <w:tcW w:w="2844" w:type="dxa"/>
            <w:gridSpan w:val="3"/>
            <w:vAlign w:val="center"/>
          </w:tcPr>
          <w:p w14:paraId="1FD72B24" w14:textId="77777777" w:rsidR="00A56747" w:rsidRPr="00C754CA" w:rsidRDefault="00A56747" w:rsidP="004B53CC">
            <w:pPr>
              <w:spacing w:before="60" w:after="60"/>
              <w:ind w:right="-29"/>
              <w:jc w:val="center"/>
              <w:rPr>
                <w:noProof/>
                <w:sz w:val="18"/>
                <w:szCs w:val="18"/>
              </w:rPr>
            </w:pPr>
            <w:r w:rsidRPr="00C754CA">
              <w:rPr>
                <w:noProof/>
                <w:sz w:val="18"/>
              </w:rPr>
              <w:t>EINZELZIEL Nr. </w:t>
            </w:r>
            <w:r w:rsidRPr="00E2773D">
              <w:rPr>
                <w:noProof/>
                <w:sz w:val="18"/>
              </w:rPr>
              <w:t>2</w:t>
            </w:r>
            <w:r w:rsidRPr="00C754CA">
              <w:rPr>
                <w:noProof/>
                <w:sz w:val="18"/>
              </w:rPr>
              <w:t> ...</w:t>
            </w:r>
          </w:p>
        </w:tc>
        <w:tc>
          <w:tcPr>
            <w:tcW w:w="504" w:type="dxa"/>
            <w:tcBorders>
              <w:top w:val="nil"/>
              <w:left w:val="nil"/>
              <w:bottom w:val="nil"/>
              <w:right w:val="nil"/>
            </w:tcBorders>
          </w:tcPr>
          <w:p w14:paraId="1C9EC305"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11AC6079" w14:textId="77777777" w:rsidR="00A56747" w:rsidRPr="00C754CA" w:rsidRDefault="00A56747" w:rsidP="004B53CC">
            <w:pPr>
              <w:spacing w:before="60" w:after="60"/>
              <w:ind w:right="-29"/>
              <w:jc w:val="center"/>
              <w:rPr>
                <w:noProof/>
                <w:sz w:val="18"/>
                <w:szCs w:val="18"/>
              </w:rPr>
            </w:pPr>
          </w:p>
        </w:tc>
        <w:tc>
          <w:tcPr>
            <w:tcW w:w="540" w:type="dxa"/>
            <w:tcBorders>
              <w:top w:val="nil"/>
              <w:left w:val="nil"/>
              <w:bottom w:val="nil"/>
              <w:right w:val="nil"/>
            </w:tcBorders>
          </w:tcPr>
          <w:p w14:paraId="1CFDCAA4"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4F53B065"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58A30315"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00BA2828" w14:textId="77777777" w:rsidR="00A56747" w:rsidRPr="00C754CA" w:rsidRDefault="00A56747" w:rsidP="004B53CC">
            <w:pPr>
              <w:spacing w:before="60" w:after="60"/>
              <w:ind w:right="-29"/>
              <w:jc w:val="center"/>
              <w:rPr>
                <w:noProof/>
                <w:sz w:val="18"/>
                <w:szCs w:val="18"/>
              </w:rPr>
            </w:pPr>
          </w:p>
        </w:tc>
        <w:tc>
          <w:tcPr>
            <w:tcW w:w="900" w:type="dxa"/>
            <w:tcBorders>
              <w:top w:val="nil"/>
              <w:left w:val="nil"/>
              <w:bottom w:val="nil"/>
              <w:right w:val="nil"/>
            </w:tcBorders>
          </w:tcPr>
          <w:p w14:paraId="00A32CC0" w14:textId="77777777" w:rsidR="00A56747" w:rsidRPr="00C754CA" w:rsidRDefault="00A56747" w:rsidP="004B53CC">
            <w:pPr>
              <w:spacing w:before="60" w:after="60"/>
              <w:ind w:right="-29"/>
              <w:jc w:val="center"/>
              <w:rPr>
                <w:noProof/>
                <w:sz w:val="18"/>
                <w:szCs w:val="18"/>
              </w:rPr>
            </w:pPr>
          </w:p>
        </w:tc>
        <w:tc>
          <w:tcPr>
            <w:tcW w:w="720" w:type="dxa"/>
            <w:gridSpan w:val="2"/>
            <w:tcBorders>
              <w:top w:val="nil"/>
              <w:left w:val="nil"/>
              <w:bottom w:val="nil"/>
              <w:right w:val="nil"/>
            </w:tcBorders>
          </w:tcPr>
          <w:p w14:paraId="0EF8674B" w14:textId="77777777" w:rsidR="00A56747" w:rsidRPr="00C754CA" w:rsidRDefault="00A56747" w:rsidP="004B53CC">
            <w:pPr>
              <w:spacing w:before="60" w:after="60"/>
              <w:ind w:right="-29"/>
              <w:jc w:val="center"/>
              <w:rPr>
                <w:noProof/>
                <w:sz w:val="18"/>
                <w:szCs w:val="18"/>
              </w:rPr>
            </w:pPr>
          </w:p>
        </w:tc>
        <w:tc>
          <w:tcPr>
            <w:tcW w:w="540" w:type="dxa"/>
            <w:tcBorders>
              <w:top w:val="nil"/>
              <w:left w:val="nil"/>
              <w:bottom w:val="nil"/>
              <w:right w:val="nil"/>
            </w:tcBorders>
          </w:tcPr>
          <w:p w14:paraId="6A9F674B" w14:textId="77777777" w:rsidR="00A56747" w:rsidRPr="00C754CA" w:rsidRDefault="00A56747" w:rsidP="004B53CC">
            <w:pPr>
              <w:spacing w:before="60" w:after="60"/>
              <w:ind w:right="-29"/>
              <w:jc w:val="center"/>
              <w:rPr>
                <w:noProof/>
                <w:sz w:val="18"/>
                <w:szCs w:val="18"/>
              </w:rPr>
            </w:pPr>
          </w:p>
        </w:tc>
        <w:tc>
          <w:tcPr>
            <w:tcW w:w="648" w:type="dxa"/>
            <w:tcBorders>
              <w:top w:val="nil"/>
              <w:left w:val="nil"/>
              <w:bottom w:val="nil"/>
              <w:right w:val="nil"/>
            </w:tcBorders>
          </w:tcPr>
          <w:p w14:paraId="004A9EE6" w14:textId="77777777" w:rsidR="00A56747" w:rsidRPr="00C754CA" w:rsidRDefault="00A56747" w:rsidP="004B53CC">
            <w:pPr>
              <w:spacing w:before="60" w:after="60"/>
              <w:ind w:right="-29"/>
              <w:jc w:val="center"/>
              <w:rPr>
                <w:noProof/>
                <w:sz w:val="18"/>
                <w:szCs w:val="18"/>
              </w:rPr>
            </w:pPr>
          </w:p>
        </w:tc>
        <w:tc>
          <w:tcPr>
            <w:tcW w:w="432" w:type="dxa"/>
            <w:tcBorders>
              <w:top w:val="nil"/>
              <w:left w:val="nil"/>
              <w:bottom w:val="nil"/>
              <w:right w:val="nil"/>
            </w:tcBorders>
          </w:tcPr>
          <w:p w14:paraId="49BE95E7"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2F89892D" w14:textId="77777777" w:rsidR="00A56747" w:rsidRPr="00C754CA" w:rsidRDefault="00A56747" w:rsidP="004B53CC">
            <w:pPr>
              <w:spacing w:before="60" w:after="60"/>
              <w:ind w:right="-29"/>
              <w:jc w:val="center"/>
              <w:rPr>
                <w:noProof/>
                <w:sz w:val="18"/>
                <w:szCs w:val="18"/>
              </w:rPr>
            </w:pPr>
          </w:p>
        </w:tc>
        <w:tc>
          <w:tcPr>
            <w:tcW w:w="540" w:type="dxa"/>
            <w:tcBorders>
              <w:top w:val="nil"/>
              <w:left w:val="nil"/>
              <w:bottom w:val="nil"/>
              <w:right w:val="nil"/>
            </w:tcBorders>
          </w:tcPr>
          <w:p w14:paraId="4A60456F"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6A54951A" w14:textId="77777777" w:rsidR="00A56747" w:rsidRPr="00C754CA" w:rsidRDefault="00A56747" w:rsidP="004B53CC">
            <w:pPr>
              <w:spacing w:before="60" w:after="60"/>
              <w:ind w:right="-29"/>
              <w:jc w:val="center"/>
              <w:rPr>
                <w:noProof/>
                <w:sz w:val="18"/>
                <w:szCs w:val="18"/>
              </w:rPr>
            </w:pPr>
          </w:p>
        </w:tc>
        <w:tc>
          <w:tcPr>
            <w:tcW w:w="720" w:type="dxa"/>
            <w:tcBorders>
              <w:top w:val="nil"/>
              <w:left w:val="nil"/>
              <w:bottom w:val="nil"/>
              <w:right w:val="nil"/>
            </w:tcBorders>
          </w:tcPr>
          <w:p w14:paraId="49E90839" w14:textId="77777777" w:rsidR="00A56747" w:rsidRPr="00C754CA" w:rsidRDefault="00A56747" w:rsidP="004B53CC">
            <w:pPr>
              <w:spacing w:before="60" w:after="60"/>
              <w:ind w:right="-29"/>
              <w:jc w:val="center"/>
              <w:rPr>
                <w:noProof/>
                <w:sz w:val="18"/>
                <w:szCs w:val="18"/>
              </w:rPr>
            </w:pPr>
          </w:p>
        </w:tc>
        <w:tc>
          <w:tcPr>
            <w:tcW w:w="900" w:type="dxa"/>
            <w:tcBorders>
              <w:top w:val="nil"/>
              <w:left w:val="nil"/>
              <w:bottom w:val="nil"/>
              <w:right w:val="nil"/>
            </w:tcBorders>
          </w:tcPr>
          <w:p w14:paraId="0BED3D44" w14:textId="77777777" w:rsidR="00A56747" w:rsidRPr="00C754CA" w:rsidRDefault="00A56747" w:rsidP="004B53CC">
            <w:pPr>
              <w:spacing w:before="60" w:after="60"/>
              <w:ind w:right="-29"/>
              <w:jc w:val="center"/>
              <w:rPr>
                <w:noProof/>
                <w:sz w:val="18"/>
                <w:szCs w:val="18"/>
              </w:rPr>
            </w:pPr>
          </w:p>
        </w:tc>
      </w:tr>
      <w:tr w:rsidR="00A56747" w:rsidRPr="00C754CA" w14:paraId="626BD889" w14:textId="77777777" w:rsidTr="00FF1EF4">
        <w:trPr>
          <w:trHeight w:hRule="exact" w:val="369"/>
          <w:jc w:val="center"/>
        </w:trPr>
        <w:tc>
          <w:tcPr>
            <w:tcW w:w="1423" w:type="dxa"/>
          </w:tcPr>
          <w:p w14:paraId="5D00A119" w14:textId="77777777" w:rsidR="00A56747" w:rsidRPr="00C754CA" w:rsidRDefault="00A56747" w:rsidP="004B53CC">
            <w:pPr>
              <w:ind w:right="-29"/>
              <w:jc w:val="center"/>
              <w:rPr>
                <w:noProof/>
                <w:sz w:val="18"/>
                <w:szCs w:val="18"/>
              </w:rPr>
            </w:pPr>
            <w:r w:rsidRPr="00C754CA">
              <w:rPr>
                <w:noProof/>
                <w:sz w:val="18"/>
              </w:rPr>
              <w:t>- Ergebnis</w:t>
            </w:r>
          </w:p>
        </w:tc>
        <w:tc>
          <w:tcPr>
            <w:tcW w:w="720" w:type="dxa"/>
          </w:tcPr>
          <w:p w14:paraId="7C3130F8" w14:textId="77777777" w:rsidR="00A56747" w:rsidRPr="00C754CA" w:rsidRDefault="00A56747" w:rsidP="004B53CC">
            <w:pPr>
              <w:ind w:right="-29"/>
              <w:jc w:val="center"/>
              <w:rPr>
                <w:noProof/>
                <w:sz w:val="18"/>
                <w:szCs w:val="18"/>
              </w:rPr>
            </w:pPr>
          </w:p>
        </w:tc>
        <w:tc>
          <w:tcPr>
            <w:tcW w:w="701" w:type="dxa"/>
          </w:tcPr>
          <w:p w14:paraId="063081B9" w14:textId="77777777" w:rsidR="00A56747" w:rsidRPr="00C754CA" w:rsidRDefault="00A56747" w:rsidP="004B53CC">
            <w:pPr>
              <w:ind w:right="-29"/>
              <w:jc w:val="center"/>
              <w:rPr>
                <w:noProof/>
                <w:sz w:val="18"/>
                <w:szCs w:val="18"/>
              </w:rPr>
            </w:pPr>
          </w:p>
        </w:tc>
        <w:tc>
          <w:tcPr>
            <w:tcW w:w="504" w:type="dxa"/>
          </w:tcPr>
          <w:p w14:paraId="0DED51C7" w14:textId="77777777" w:rsidR="00A56747" w:rsidRPr="00C754CA" w:rsidRDefault="00A56747" w:rsidP="004B53CC">
            <w:pPr>
              <w:ind w:right="-29"/>
              <w:jc w:val="center"/>
              <w:rPr>
                <w:noProof/>
                <w:sz w:val="18"/>
                <w:szCs w:val="18"/>
              </w:rPr>
            </w:pPr>
          </w:p>
        </w:tc>
        <w:tc>
          <w:tcPr>
            <w:tcW w:w="720" w:type="dxa"/>
          </w:tcPr>
          <w:p w14:paraId="64670247" w14:textId="77777777" w:rsidR="00A56747" w:rsidRPr="00C754CA" w:rsidRDefault="00A56747" w:rsidP="004B53CC">
            <w:pPr>
              <w:ind w:right="-29"/>
              <w:jc w:val="center"/>
              <w:rPr>
                <w:noProof/>
                <w:sz w:val="18"/>
                <w:szCs w:val="18"/>
              </w:rPr>
            </w:pPr>
          </w:p>
        </w:tc>
        <w:tc>
          <w:tcPr>
            <w:tcW w:w="540" w:type="dxa"/>
          </w:tcPr>
          <w:p w14:paraId="5ECF4677" w14:textId="77777777" w:rsidR="00A56747" w:rsidRPr="00C754CA" w:rsidRDefault="00A56747" w:rsidP="004B53CC">
            <w:pPr>
              <w:ind w:right="-29"/>
              <w:jc w:val="center"/>
              <w:rPr>
                <w:noProof/>
                <w:sz w:val="18"/>
                <w:szCs w:val="18"/>
              </w:rPr>
            </w:pPr>
          </w:p>
        </w:tc>
        <w:tc>
          <w:tcPr>
            <w:tcW w:w="720" w:type="dxa"/>
          </w:tcPr>
          <w:p w14:paraId="50CF39EB" w14:textId="77777777" w:rsidR="00A56747" w:rsidRPr="00C754CA" w:rsidRDefault="00A56747" w:rsidP="004B53CC">
            <w:pPr>
              <w:ind w:right="-29"/>
              <w:jc w:val="center"/>
              <w:rPr>
                <w:noProof/>
                <w:sz w:val="18"/>
                <w:szCs w:val="18"/>
              </w:rPr>
            </w:pPr>
          </w:p>
        </w:tc>
        <w:tc>
          <w:tcPr>
            <w:tcW w:w="720" w:type="dxa"/>
          </w:tcPr>
          <w:p w14:paraId="38EDBB6C" w14:textId="77777777" w:rsidR="00A56747" w:rsidRPr="00C754CA" w:rsidRDefault="00A56747" w:rsidP="004B53CC">
            <w:pPr>
              <w:ind w:right="-29"/>
              <w:jc w:val="center"/>
              <w:rPr>
                <w:noProof/>
                <w:sz w:val="18"/>
                <w:szCs w:val="18"/>
              </w:rPr>
            </w:pPr>
          </w:p>
        </w:tc>
        <w:tc>
          <w:tcPr>
            <w:tcW w:w="720" w:type="dxa"/>
          </w:tcPr>
          <w:p w14:paraId="133BE9EA" w14:textId="77777777" w:rsidR="00A56747" w:rsidRPr="00C754CA" w:rsidRDefault="00A56747" w:rsidP="004B53CC">
            <w:pPr>
              <w:ind w:right="-29"/>
              <w:jc w:val="center"/>
              <w:rPr>
                <w:noProof/>
                <w:sz w:val="18"/>
                <w:szCs w:val="18"/>
              </w:rPr>
            </w:pPr>
          </w:p>
        </w:tc>
        <w:tc>
          <w:tcPr>
            <w:tcW w:w="900" w:type="dxa"/>
          </w:tcPr>
          <w:p w14:paraId="7C897B03" w14:textId="77777777" w:rsidR="00A56747" w:rsidRPr="00C754CA" w:rsidRDefault="00A56747" w:rsidP="004B53CC">
            <w:pPr>
              <w:ind w:right="-29"/>
              <w:jc w:val="center"/>
              <w:rPr>
                <w:noProof/>
                <w:sz w:val="18"/>
                <w:szCs w:val="18"/>
              </w:rPr>
            </w:pPr>
          </w:p>
        </w:tc>
        <w:tc>
          <w:tcPr>
            <w:tcW w:w="720" w:type="dxa"/>
            <w:gridSpan w:val="2"/>
          </w:tcPr>
          <w:p w14:paraId="41412D75" w14:textId="77777777" w:rsidR="00A56747" w:rsidRPr="00C754CA" w:rsidRDefault="00A56747" w:rsidP="004B53CC">
            <w:pPr>
              <w:ind w:right="-29"/>
              <w:jc w:val="center"/>
              <w:rPr>
                <w:noProof/>
                <w:sz w:val="18"/>
                <w:szCs w:val="18"/>
              </w:rPr>
            </w:pPr>
          </w:p>
        </w:tc>
        <w:tc>
          <w:tcPr>
            <w:tcW w:w="540" w:type="dxa"/>
          </w:tcPr>
          <w:p w14:paraId="7C79B5A5" w14:textId="77777777" w:rsidR="00A56747" w:rsidRPr="00C754CA" w:rsidRDefault="00A56747" w:rsidP="004B53CC">
            <w:pPr>
              <w:ind w:right="-29"/>
              <w:jc w:val="center"/>
              <w:rPr>
                <w:noProof/>
                <w:sz w:val="18"/>
                <w:szCs w:val="18"/>
              </w:rPr>
            </w:pPr>
          </w:p>
        </w:tc>
        <w:tc>
          <w:tcPr>
            <w:tcW w:w="648" w:type="dxa"/>
          </w:tcPr>
          <w:p w14:paraId="643A7A78" w14:textId="77777777" w:rsidR="00A56747" w:rsidRPr="00C754CA" w:rsidRDefault="00A56747" w:rsidP="004B53CC">
            <w:pPr>
              <w:ind w:right="-29"/>
              <w:jc w:val="center"/>
              <w:rPr>
                <w:noProof/>
                <w:sz w:val="18"/>
                <w:szCs w:val="18"/>
              </w:rPr>
            </w:pPr>
          </w:p>
        </w:tc>
        <w:tc>
          <w:tcPr>
            <w:tcW w:w="432" w:type="dxa"/>
          </w:tcPr>
          <w:p w14:paraId="32792D6E" w14:textId="77777777" w:rsidR="00A56747" w:rsidRPr="00C754CA" w:rsidRDefault="00A56747" w:rsidP="004B53CC">
            <w:pPr>
              <w:ind w:right="-29"/>
              <w:jc w:val="center"/>
              <w:rPr>
                <w:noProof/>
                <w:sz w:val="18"/>
                <w:szCs w:val="18"/>
              </w:rPr>
            </w:pPr>
          </w:p>
        </w:tc>
        <w:tc>
          <w:tcPr>
            <w:tcW w:w="720" w:type="dxa"/>
          </w:tcPr>
          <w:p w14:paraId="6DD094A6" w14:textId="77777777" w:rsidR="00A56747" w:rsidRPr="00C754CA" w:rsidRDefault="00A56747" w:rsidP="004B53CC">
            <w:pPr>
              <w:ind w:right="-29"/>
              <w:jc w:val="center"/>
              <w:rPr>
                <w:noProof/>
                <w:sz w:val="18"/>
                <w:szCs w:val="18"/>
              </w:rPr>
            </w:pPr>
          </w:p>
        </w:tc>
        <w:tc>
          <w:tcPr>
            <w:tcW w:w="540" w:type="dxa"/>
          </w:tcPr>
          <w:p w14:paraId="75E38D47" w14:textId="77777777" w:rsidR="00A56747" w:rsidRPr="00C754CA" w:rsidRDefault="00A56747" w:rsidP="004B53CC">
            <w:pPr>
              <w:ind w:right="-29"/>
              <w:jc w:val="center"/>
              <w:rPr>
                <w:noProof/>
                <w:sz w:val="18"/>
                <w:szCs w:val="18"/>
              </w:rPr>
            </w:pPr>
          </w:p>
        </w:tc>
        <w:tc>
          <w:tcPr>
            <w:tcW w:w="720" w:type="dxa"/>
          </w:tcPr>
          <w:p w14:paraId="35AFC911" w14:textId="77777777" w:rsidR="00A56747" w:rsidRPr="00C754CA" w:rsidRDefault="00A56747" w:rsidP="004B53CC">
            <w:pPr>
              <w:ind w:right="-29"/>
              <w:jc w:val="center"/>
              <w:rPr>
                <w:noProof/>
                <w:sz w:val="18"/>
                <w:szCs w:val="18"/>
              </w:rPr>
            </w:pPr>
          </w:p>
        </w:tc>
        <w:tc>
          <w:tcPr>
            <w:tcW w:w="720" w:type="dxa"/>
          </w:tcPr>
          <w:p w14:paraId="33C156C9" w14:textId="77777777" w:rsidR="00A56747" w:rsidRPr="00C754CA" w:rsidRDefault="00A56747" w:rsidP="004B53CC">
            <w:pPr>
              <w:ind w:right="-29"/>
              <w:jc w:val="center"/>
              <w:rPr>
                <w:noProof/>
                <w:sz w:val="18"/>
                <w:szCs w:val="18"/>
              </w:rPr>
            </w:pPr>
          </w:p>
        </w:tc>
        <w:tc>
          <w:tcPr>
            <w:tcW w:w="900" w:type="dxa"/>
          </w:tcPr>
          <w:p w14:paraId="1B2B2D0C" w14:textId="77777777" w:rsidR="00A56747" w:rsidRPr="00C754CA" w:rsidRDefault="00A56747" w:rsidP="004B53CC">
            <w:pPr>
              <w:ind w:right="-29"/>
              <w:jc w:val="center"/>
              <w:rPr>
                <w:noProof/>
                <w:sz w:val="18"/>
                <w:szCs w:val="18"/>
              </w:rPr>
            </w:pPr>
          </w:p>
        </w:tc>
      </w:tr>
      <w:tr w:rsidR="00A56747" w:rsidRPr="00C754CA" w14:paraId="56950493" w14:textId="77777777" w:rsidTr="00FF1EF4">
        <w:trPr>
          <w:jc w:val="center"/>
        </w:trPr>
        <w:tc>
          <w:tcPr>
            <w:tcW w:w="2844" w:type="dxa"/>
            <w:gridSpan w:val="3"/>
            <w:tcBorders>
              <w:bottom w:val="single" w:sz="12" w:space="0" w:color="auto"/>
            </w:tcBorders>
            <w:vAlign w:val="center"/>
          </w:tcPr>
          <w:p w14:paraId="5E5EDBEE" w14:textId="77777777" w:rsidR="00A56747" w:rsidRPr="00C754CA" w:rsidRDefault="00A56747" w:rsidP="004B53CC">
            <w:pPr>
              <w:jc w:val="center"/>
              <w:rPr>
                <w:noProof/>
                <w:sz w:val="18"/>
                <w:szCs w:val="18"/>
              </w:rPr>
            </w:pPr>
            <w:r w:rsidRPr="00C754CA">
              <w:rPr>
                <w:noProof/>
                <w:sz w:val="18"/>
              </w:rPr>
              <w:t>Zwischensumme für Einzelziel Nr. </w:t>
            </w:r>
            <w:r w:rsidRPr="00E2773D">
              <w:rPr>
                <w:noProof/>
                <w:sz w:val="18"/>
              </w:rPr>
              <w:t>2</w:t>
            </w:r>
          </w:p>
        </w:tc>
        <w:tc>
          <w:tcPr>
            <w:tcW w:w="504" w:type="dxa"/>
            <w:tcBorders>
              <w:bottom w:val="single" w:sz="12" w:space="0" w:color="auto"/>
            </w:tcBorders>
          </w:tcPr>
          <w:p w14:paraId="78282355"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36E066F8" w14:textId="77777777" w:rsidR="00A56747" w:rsidRPr="00C754CA" w:rsidRDefault="00A56747" w:rsidP="004B53CC">
            <w:pPr>
              <w:ind w:right="-29"/>
              <w:jc w:val="center"/>
              <w:rPr>
                <w:noProof/>
                <w:sz w:val="18"/>
                <w:szCs w:val="18"/>
              </w:rPr>
            </w:pPr>
          </w:p>
        </w:tc>
        <w:tc>
          <w:tcPr>
            <w:tcW w:w="540" w:type="dxa"/>
            <w:tcBorders>
              <w:bottom w:val="single" w:sz="12" w:space="0" w:color="auto"/>
            </w:tcBorders>
          </w:tcPr>
          <w:p w14:paraId="59DB11EE"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444BCF7F"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2B641487"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39744D45" w14:textId="77777777" w:rsidR="00A56747" w:rsidRPr="00C754CA" w:rsidRDefault="00A56747" w:rsidP="004B53CC">
            <w:pPr>
              <w:ind w:right="-29"/>
              <w:jc w:val="center"/>
              <w:rPr>
                <w:noProof/>
                <w:sz w:val="18"/>
                <w:szCs w:val="18"/>
              </w:rPr>
            </w:pPr>
          </w:p>
        </w:tc>
        <w:tc>
          <w:tcPr>
            <w:tcW w:w="951" w:type="dxa"/>
            <w:gridSpan w:val="2"/>
            <w:tcBorders>
              <w:bottom w:val="single" w:sz="12" w:space="0" w:color="auto"/>
            </w:tcBorders>
          </w:tcPr>
          <w:p w14:paraId="3DC51BD2" w14:textId="77777777" w:rsidR="00A56747" w:rsidRPr="00C754CA" w:rsidRDefault="00A56747" w:rsidP="004B53CC">
            <w:pPr>
              <w:ind w:right="-29"/>
              <w:jc w:val="center"/>
              <w:rPr>
                <w:noProof/>
                <w:sz w:val="18"/>
                <w:szCs w:val="18"/>
              </w:rPr>
            </w:pPr>
          </w:p>
        </w:tc>
        <w:tc>
          <w:tcPr>
            <w:tcW w:w="669" w:type="dxa"/>
            <w:tcBorders>
              <w:bottom w:val="single" w:sz="12" w:space="0" w:color="auto"/>
            </w:tcBorders>
          </w:tcPr>
          <w:p w14:paraId="4DC91344" w14:textId="77777777" w:rsidR="00A56747" w:rsidRPr="00C754CA" w:rsidRDefault="00A56747" w:rsidP="004B53CC">
            <w:pPr>
              <w:ind w:right="-29"/>
              <w:jc w:val="center"/>
              <w:rPr>
                <w:noProof/>
                <w:sz w:val="18"/>
                <w:szCs w:val="18"/>
              </w:rPr>
            </w:pPr>
          </w:p>
        </w:tc>
        <w:tc>
          <w:tcPr>
            <w:tcW w:w="540" w:type="dxa"/>
            <w:tcBorders>
              <w:bottom w:val="single" w:sz="12" w:space="0" w:color="auto"/>
            </w:tcBorders>
          </w:tcPr>
          <w:p w14:paraId="35F4F896" w14:textId="77777777" w:rsidR="00A56747" w:rsidRPr="00C754CA" w:rsidRDefault="00A56747" w:rsidP="004B53CC">
            <w:pPr>
              <w:ind w:right="-29"/>
              <w:jc w:val="center"/>
              <w:rPr>
                <w:noProof/>
                <w:sz w:val="18"/>
                <w:szCs w:val="18"/>
              </w:rPr>
            </w:pPr>
          </w:p>
        </w:tc>
        <w:tc>
          <w:tcPr>
            <w:tcW w:w="648" w:type="dxa"/>
            <w:tcBorders>
              <w:bottom w:val="single" w:sz="12" w:space="0" w:color="auto"/>
            </w:tcBorders>
          </w:tcPr>
          <w:p w14:paraId="11F16704" w14:textId="77777777" w:rsidR="00A56747" w:rsidRPr="00C754CA" w:rsidRDefault="00A56747" w:rsidP="004B53CC">
            <w:pPr>
              <w:ind w:right="-29"/>
              <w:jc w:val="center"/>
              <w:rPr>
                <w:noProof/>
                <w:sz w:val="18"/>
                <w:szCs w:val="18"/>
              </w:rPr>
            </w:pPr>
          </w:p>
        </w:tc>
        <w:tc>
          <w:tcPr>
            <w:tcW w:w="432" w:type="dxa"/>
            <w:tcBorders>
              <w:bottom w:val="single" w:sz="12" w:space="0" w:color="auto"/>
            </w:tcBorders>
          </w:tcPr>
          <w:p w14:paraId="7509B3BB"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1040FE61" w14:textId="77777777" w:rsidR="00A56747" w:rsidRPr="00C754CA" w:rsidRDefault="00A56747" w:rsidP="004B53CC">
            <w:pPr>
              <w:ind w:right="-29"/>
              <w:jc w:val="center"/>
              <w:rPr>
                <w:noProof/>
                <w:sz w:val="18"/>
                <w:szCs w:val="18"/>
              </w:rPr>
            </w:pPr>
          </w:p>
        </w:tc>
        <w:tc>
          <w:tcPr>
            <w:tcW w:w="540" w:type="dxa"/>
            <w:tcBorders>
              <w:bottom w:val="single" w:sz="12" w:space="0" w:color="auto"/>
            </w:tcBorders>
          </w:tcPr>
          <w:p w14:paraId="286B8304"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3F8DF7A3" w14:textId="77777777" w:rsidR="00A56747" w:rsidRPr="00C754CA" w:rsidRDefault="00A56747" w:rsidP="004B53CC">
            <w:pPr>
              <w:ind w:right="-29"/>
              <w:jc w:val="center"/>
              <w:rPr>
                <w:noProof/>
                <w:sz w:val="18"/>
                <w:szCs w:val="18"/>
              </w:rPr>
            </w:pPr>
          </w:p>
        </w:tc>
        <w:tc>
          <w:tcPr>
            <w:tcW w:w="720" w:type="dxa"/>
            <w:tcBorders>
              <w:bottom w:val="single" w:sz="12" w:space="0" w:color="auto"/>
            </w:tcBorders>
          </w:tcPr>
          <w:p w14:paraId="4461F11F" w14:textId="77777777" w:rsidR="00A56747" w:rsidRPr="00C754CA" w:rsidRDefault="00A56747" w:rsidP="004B53CC">
            <w:pPr>
              <w:ind w:right="-29"/>
              <w:jc w:val="center"/>
              <w:rPr>
                <w:noProof/>
                <w:sz w:val="18"/>
                <w:szCs w:val="18"/>
              </w:rPr>
            </w:pPr>
          </w:p>
        </w:tc>
        <w:tc>
          <w:tcPr>
            <w:tcW w:w="900" w:type="dxa"/>
            <w:tcBorders>
              <w:bottom w:val="single" w:sz="12" w:space="0" w:color="auto"/>
            </w:tcBorders>
          </w:tcPr>
          <w:p w14:paraId="7C6C01FB" w14:textId="77777777" w:rsidR="00A56747" w:rsidRPr="00C754CA" w:rsidRDefault="00A56747" w:rsidP="004B53CC">
            <w:pPr>
              <w:ind w:right="-29"/>
              <w:jc w:val="center"/>
              <w:rPr>
                <w:noProof/>
                <w:sz w:val="18"/>
                <w:szCs w:val="18"/>
              </w:rPr>
            </w:pPr>
          </w:p>
        </w:tc>
      </w:tr>
      <w:tr w:rsidR="00A56747" w:rsidRPr="00C754CA" w14:paraId="004C33E2" w14:textId="77777777" w:rsidTr="00FF1EF4">
        <w:trPr>
          <w:jc w:val="center"/>
        </w:trPr>
        <w:tc>
          <w:tcPr>
            <w:tcW w:w="2844" w:type="dxa"/>
            <w:gridSpan w:val="3"/>
            <w:tcBorders>
              <w:top w:val="single" w:sz="12" w:space="0" w:color="auto"/>
              <w:left w:val="single" w:sz="12" w:space="0" w:color="auto"/>
              <w:bottom w:val="single" w:sz="12" w:space="0" w:color="auto"/>
            </w:tcBorders>
            <w:vAlign w:val="center"/>
          </w:tcPr>
          <w:p w14:paraId="2DDD6820" w14:textId="77777777" w:rsidR="00A56747" w:rsidRPr="00C754CA" w:rsidRDefault="00A56747" w:rsidP="004B53CC">
            <w:pPr>
              <w:ind w:right="-29"/>
              <w:jc w:val="center"/>
              <w:rPr>
                <w:noProof/>
                <w:sz w:val="18"/>
                <w:szCs w:val="18"/>
              </w:rPr>
            </w:pPr>
            <w:r w:rsidRPr="00C754CA">
              <w:rPr>
                <w:b/>
                <w:noProof/>
                <w:sz w:val="18"/>
              </w:rPr>
              <w:t>INSGESAMT</w:t>
            </w:r>
          </w:p>
        </w:tc>
        <w:tc>
          <w:tcPr>
            <w:tcW w:w="504" w:type="dxa"/>
            <w:tcBorders>
              <w:top w:val="single" w:sz="12" w:space="0" w:color="auto"/>
              <w:bottom w:val="single" w:sz="12" w:space="0" w:color="auto"/>
            </w:tcBorders>
          </w:tcPr>
          <w:p w14:paraId="21F05C9B" w14:textId="77777777" w:rsidR="00A56747" w:rsidRPr="00C754CA" w:rsidRDefault="00A56747" w:rsidP="004B53CC">
            <w:pPr>
              <w:spacing w:before="180" w:after="180"/>
              <w:ind w:right="-29"/>
              <w:jc w:val="center"/>
              <w:rPr>
                <w:noProof/>
                <w:sz w:val="18"/>
                <w:szCs w:val="18"/>
              </w:rPr>
            </w:pPr>
          </w:p>
        </w:tc>
        <w:tc>
          <w:tcPr>
            <w:tcW w:w="720" w:type="dxa"/>
            <w:tcBorders>
              <w:top w:val="single" w:sz="12" w:space="0" w:color="auto"/>
              <w:bottom w:val="single" w:sz="12" w:space="0" w:color="auto"/>
            </w:tcBorders>
          </w:tcPr>
          <w:p w14:paraId="1D1D7D01" w14:textId="77777777" w:rsidR="00A56747" w:rsidRPr="00C754CA" w:rsidRDefault="00A56747" w:rsidP="004B53CC">
            <w:pPr>
              <w:spacing w:before="180" w:after="180"/>
              <w:ind w:right="-29"/>
              <w:jc w:val="center"/>
              <w:rPr>
                <w:noProof/>
                <w:sz w:val="18"/>
                <w:szCs w:val="18"/>
              </w:rPr>
            </w:pPr>
          </w:p>
        </w:tc>
        <w:tc>
          <w:tcPr>
            <w:tcW w:w="540" w:type="dxa"/>
            <w:tcBorders>
              <w:top w:val="single" w:sz="12" w:space="0" w:color="auto"/>
              <w:bottom w:val="single" w:sz="12" w:space="0" w:color="auto"/>
            </w:tcBorders>
          </w:tcPr>
          <w:p w14:paraId="0F5148E9" w14:textId="77777777" w:rsidR="00A56747" w:rsidRPr="00C754CA" w:rsidRDefault="00A56747" w:rsidP="004B53CC">
            <w:pPr>
              <w:spacing w:before="180" w:after="180"/>
              <w:ind w:right="-29"/>
              <w:jc w:val="center"/>
              <w:rPr>
                <w:noProof/>
                <w:sz w:val="18"/>
                <w:szCs w:val="18"/>
              </w:rPr>
            </w:pPr>
          </w:p>
        </w:tc>
        <w:tc>
          <w:tcPr>
            <w:tcW w:w="720" w:type="dxa"/>
            <w:tcBorders>
              <w:top w:val="single" w:sz="12" w:space="0" w:color="auto"/>
              <w:bottom w:val="single" w:sz="12" w:space="0" w:color="auto"/>
            </w:tcBorders>
          </w:tcPr>
          <w:p w14:paraId="3C66D94D" w14:textId="77777777" w:rsidR="00A56747" w:rsidRPr="00C754CA" w:rsidRDefault="00A56747" w:rsidP="004B53CC">
            <w:pPr>
              <w:spacing w:before="180" w:after="180"/>
              <w:ind w:right="-29"/>
              <w:jc w:val="center"/>
              <w:rPr>
                <w:noProof/>
                <w:sz w:val="18"/>
                <w:szCs w:val="18"/>
              </w:rPr>
            </w:pPr>
          </w:p>
        </w:tc>
        <w:tc>
          <w:tcPr>
            <w:tcW w:w="720" w:type="dxa"/>
            <w:tcBorders>
              <w:top w:val="single" w:sz="12" w:space="0" w:color="auto"/>
              <w:bottom w:val="single" w:sz="12" w:space="0" w:color="auto"/>
            </w:tcBorders>
          </w:tcPr>
          <w:p w14:paraId="50AB43D3" w14:textId="77777777" w:rsidR="00A56747" w:rsidRPr="00C754CA" w:rsidRDefault="00A56747" w:rsidP="004B53CC">
            <w:pPr>
              <w:spacing w:before="180" w:after="180"/>
              <w:ind w:right="-29"/>
              <w:jc w:val="center"/>
              <w:rPr>
                <w:noProof/>
                <w:sz w:val="18"/>
                <w:szCs w:val="18"/>
              </w:rPr>
            </w:pPr>
          </w:p>
        </w:tc>
        <w:tc>
          <w:tcPr>
            <w:tcW w:w="720" w:type="dxa"/>
            <w:tcBorders>
              <w:top w:val="single" w:sz="12" w:space="0" w:color="auto"/>
              <w:bottom w:val="single" w:sz="12" w:space="0" w:color="auto"/>
            </w:tcBorders>
          </w:tcPr>
          <w:p w14:paraId="5555E239" w14:textId="77777777" w:rsidR="00A56747" w:rsidRPr="00C754CA" w:rsidRDefault="00A56747" w:rsidP="004B53CC">
            <w:pPr>
              <w:spacing w:before="180" w:after="180"/>
              <w:ind w:right="-29"/>
              <w:jc w:val="center"/>
              <w:rPr>
                <w:noProof/>
                <w:sz w:val="18"/>
                <w:szCs w:val="18"/>
              </w:rPr>
            </w:pPr>
          </w:p>
        </w:tc>
        <w:tc>
          <w:tcPr>
            <w:tcW w:w="900" w:type="dxa"/>
            <w:tcBorders>
              <w:top w:val="single" w:sz="12" w:space="0" w:color="auto"/>
              <w:bottom w:val="single" w:sz="12" w:space="0" w:color="auto"/>
            </w:tcBorders>
          </w:tcPr>
          <w:p w14:paraId="5AD4861D" w14:textId="77777777" w:rsidR="00A56747" w:rsidRPr="00C754CA" w:rsidRDefault="00A56747" w:rsidP="004B53CC">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2629E579" w14:textId="77777777" w:rsidR="00A56747" w:rsidRPr="00C754CA" w:rsidRDefault="00A56747" w:rsidP="004B53CC">
            <w:pPr>
              <w:spacing w:before="180" w:after="180"/>
              <w:ind w:right="-29"/>
              <w:jc w:val="center"/>
              <w:rPr>
                <w:noProof/>
                <w:sz w:val="18"/>
                <w:szCs w:val="18"/>
              </w:rPr>
            </w:pPr>
          </w:p>
        </w:tc>
        <w:tc>
          <w:tcPr>
            <w:tcW w:w="540" w:type="dxa"/>
            <w:tcBorders>
              <w:top w:val="single" w:sz="12" w:space="0" w:color="auto"/>
              <w:bottom w:val="single" w:sz="12" w:space="0" w:color="auto"/>
            </w:tcBorders>
          </w:tcPr>
          <w:p w14:paraId="30550BC1" w14:textId="77777777" w:rsidR="00A56747" w:rsidRPr="00C754CA" w:rsidRDefault="00A56747" w:rsidP="004B53CC">
            <w:pPr>
              <w:spacing w:before="180" w:after="180"/>
              <w:ind w:right="-29"/>
              <w:jc w:val="center"/>
              <w:rPr>
                <w:noProof/>
                <w:sz w:val="18"/>
                <w:szCs w:val="18"/>
              </w:rPr>
            </w:pPr>
          </w:p>
        </w:tc>
        <w:tc>
          <w:tcPr>
            <w:tcW w:w="648" w:type="dxa"/>
            <w:tcBorders>
              <w:top w:val="single" w:sz="12" w:space="0" w:color="auto"/>
              <w:bottom w:val="single" w:sz="12" w:space="0" w:color="auto"/>
            </w:tcBorders>
          </w:tcPr>
          <w:p w14:paraId="49B0B8D0" w14:textId="77777777" w:rsidR="00A56747" w:rsidRPr="00C754CA" w:rsidRDefault="00A56747" w:rsidP="004B53CC">
            <w:pPr>
              <w:spacing w:before="180" w:after="180"/>
              <w:ind w:right="-29"/>
              <w:jc w:val="center"/>
              <w:rPr>
                <w:noProof/>
                <w:sz w:val="18"/>
                <w:szCs w:val="18"/>
              </w:rPr>
            </w:pPr>
          </w:p>
        </w:tc>
        <w:tc>
          <w:tcPr>
            <w:tcW w:w="432" w:type="dxa"/>
            <w:tcBorders>
              <w:top w:val="single" w:sz="12" w:space="0" w:color="auto"/>
              <w:bottom w:val="single" w:sz="12" w:space="0" w:color="auto"/>
            </w:tcBorders>
          </w:tcPr>
          <w:p w14:paraId="1BAEEB44" w14:textId="77777777" w:rsidR="00A56747" w:rsidRPr="00C754CA" w:rsidRDefault="00A56747" w:rsidP="004B53CC">
            <w:pPr>
              <w:spacing w:before="180" w:after="180"/>
              <w:ind w:right="-29"/>
              <w:jc w:val="center"/>
              <w:rPr>
                <w:noProof/>
                <w:sz w:val="18"/>
                <w:szCs w:val="18"/>
              </w:rPr>
            </w:pPr>
          </w:p>
        </w:tc>
        <w:tc>
          <w:tcPr>
            <w:tcW w:w="720" w:type="dxa"/>
            <w:tcBorders>
              <w:top w:val="single" w:sz="12" w:space="0" w:color="auto"/>
              <w:bottom w:val="single" w:sz="12" w:space="0" w:color="auto"/>
            </w:tcBorders>
          </w:tcPr>
          <w:p w14:paraId="2084522B" w14:textId="77777777" w:rsidR="00A56747" w:rsidRPr="00C754CA" w:rsidRDefault="00A56747" w:rsidP="004B53CC">
            <w:pPr>
              <w:spacing w:before="180" w:after="180"/>
              <w:ind w:right="-29"/>
              <w:jc w:val="center"/>
              <w:rPr>
                <w:noProof/>
                <w:sz w:val="18"/>
                <w:szCs w:val="18"/>
              </w:rPr>
            </w:pPr>
          </w:p>
        </w:tc>
        <w:tc>
          <w:tcPr>
            <w:tcW w:w="540" w:type="dxa"/>
            <w:tcBorders>
              <w:top w:val="single" w:sz="12" w:space="0" w:color="auto"/>
              <w:bottom w:val="single" w:sz="12" w:space="0" w:color="auto"/>
            </w:tcBorders>
          </w:tcPr>
          <w:p w14:paraId="0F50F385" w14:textId="77777777" w:rsidR="00A56747" w:rsidRPr="00C754CA" w:rsidRDefault="00A56747" w:rsidP="004B53CC">
            <w:pPr>
              <w:spacing w:before="180" w:after="180"/>
              <w:ind w:right="-29"/>
              <w:jc w:val="center"/>
              <w:rPr>
                <w:noProof/>
                <w:sz w:val="18"/>
                <w:szCs w:val="18"/>
              </w:rPr>
            </w:pPr>
          </w:p>
        </w:tc>
        <w:tc>
          <w:tcPr>
            <w:tcW w:w="720" w:type="dxa"/>
            <w:tcBorders>
              <w:top w:val="single" w:sz="12" w:space="0" w:color="auto"/>
              <w:bottom w:val="single" w:sz="12" w:space="0" w:color="auto"/>
            </w:tcBorders>
          </w:tcPr>
          <w:p w14:paraId="2F9AFC20" w14:textId="77777777" w:rsidR="00A56747" w:rsidRPr="00C754CA" w:rsidRDefault="00A56747" w:rsidP="004B53CC">
            <w:pPr>
              <w:spacing w:before="180" w:after="180"/>
              <w:ind w:right="-29"/>
              <w:jc w:val="center"/>
              <w:rPr>
                <w:noProof/>
                <w:sz w:val="18"/>
                <w:szCs w:val="18"/>
              </w:rPr>
            </w:pPr>
          </w:p>
        </w:tc>
        <w:tc>
          <w:tcPr>
            <w:tcW w:w="720" w:type="dxa"/>
            <w:tcBorders>
              <w:top w:val="single" w:sz="12" w:space="0" w:color="auto"/>
              <w:bottom w:val="single" w:sz="12" w:space="0" w:color="auto"/>
            </w:tcBorders>
          </w:tcPr>
          <w:p w14:paraId="67C7240D" w14:textId="77777777" w:rsidR="00A56747" w:rsidRPr="00C754CA" w:rsidRDefault="00A56747" w:rsidP="004B53CC">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5DBEEB0D" w14:textId="77777777" w:rsidR="00A56747" w:rsidRPr="00C754CA" w:rsidRDefault="00A56747" w:rsidP="004B53CC">
            <w:pPr>
              <w:spacing w:before="180" w:after="180"/>
              <w:ind w:right="-29"/>
              <w:jc w:val="center"/>
              <w:rPr>
                <w:noProof/>
                <w:sz w:val="18"/>
                <w:szCs w:val="18"/>
              </w:rPr>
            </w:pPr>
          </w:p>
        </w:tc>
      </w:tr>
    </w:tbl>
    <w:p w14:paraId="066F16A2" w14:textId="77777777" w:rsidR="00A56747" w:rsidRPr="00C754CA" w:rsidRDefault="00A56747" w:rsidP="00A56747">
      <w:pPr>
        <w:rPr>
          <w:noProof/>
        </w:rPr>
        <w:sectPr w:rsidR="00A56747" w:rsidRPr="00C754CA" w:rsidSect="008E2EBB">
          <w:headerReference w:type="default" r:id="rId19"/>
          <w:footerReference w:type="default" r:id="rId20"/>
          <w:pgSz w:w="16840" w:h="11907" w:orient="landscape" w:code="9"/>
          <w:pgMar w:top="1134" w:right="1418" w:bottom="567" w:left="1418" w:header="709" w:footer="709" w:gutter="0"/>
          <w:cols w:space="708"/>
          <w:docGrid w:linePitch="360"/>
        </w:sectPr>
      </w:pPr>
    </w:p>
    <w:p w14:paraId="6EC3FACD" w14:textId="77777777" w:rsidR="00A56747" w:rsidRPr="00C754CA" w:rsidRDefault="00A56747" w:rsidP="00A56747">
      <w:pPr>
        <w:pStyle w:val="ManualHeading3"/>
        <w:rPr>
          <w:bCs/>
          <w:noProof/>
          <w:szCs w:val="24"/>
        </w:rPr>
      </w:pPr>
      <w:bookmarkStart w:id="209" w:name="_Toc514938055"/>
      <w:bookmarkStart w:id="210" w:name="_Toc520485054"/>
      <w:bookmarkStart w:id="211" w:name="_Toc160804598"/>
      <w:bookmarkStart w:id="212" w:name="_Toc167220290"/>
      <w:bookmarkStart w:id="213" w:name="_Toc177549023"/>
      <w:r w:rsidRPr="00E2773D">
        <w:rPr>
          <w:noProof/>
        </w:rPr>
        <w:t>3</w:t>
      </w:r>
      <w:r w:rsidRPr="00C754CA">
        <w:rPr>
          <w:noProof/>
        </w:rPr>
        <w:t>.</w:t>
      </w:r>
      <w:r w:rsidRPr="00E2773D">
        <w:rPr>
          <w:noProof/>
        </w:rPr>
        <w:t>2</w:t>
      </w:r>
      <w:r w:rsidRPr="00C754CA">
        <w:rPr>
          <w:noProof/>
        </w:rPr>
        <w:t>.</w:t>
      </w:r>
      <w:r w:rsidRPr="00E2773D">
        <w:rPr>
          <w:noProof/>
        </w:rPr>
        <w:t>3</w:t>
      </w:r>
      <w:r w:rsidRPr="00C754CA">
        <w:rPr>
          <w:noProof/>
        </w:rPr>
        <w:tab/>
        <w:t>Übersicht über die geschätzten Auswirkungen auf die Verwaltungsmittel</w:t>
      </w:r>
      <w:bookmarkEnd w:id="209"/>
      <w:bookmarkEnd w:id="210"/>
      <w:bookmarkEnd w:id="211"/>
      <w:bookmarkEnd w:id="212"/>
      <w:bookmarkEnd w:id="213"/>
      <w:r w:rsidRPr="00C754CA">
        <w:rPr>
          <w:noProof/>
        </w:rPr>
        <w:t xml:space="preserve"> </w:t>
      </w:r>
    </w:p>
    <w:p w14:paraId="6F796A4A" w14:textId="77777777" w:rsidR="00A56747" w:rsidRPr="00C754CA" w:rsidRDefault="00A56747" w:rsidP="00A56747">
      <w:pPr>
        <w:pStyle w:val="ListDash1"/>
        <w:tabs>
          <w:tab w:val="clear" w:pos="3523"/>
          <w:tab w:val="num" w:pos="1134"/>
        </w:tabs>
        <w:ind w:left="1134"/>
        <w:rPr>
          <w:noProof/>
        </w:rPr>
      </w:pPr>
      <w:r w:rsidRPr="00C754CA">
        <w:rPr>
          <w:rFonts w:ascii="Wingdings" w:hAnsi="Wingdings"/>
          <w:noProof/>
        </w:rPr>
        <w:t></w:t>
      </w:r>
      <w:r w:rsidRPr="00C754CA">
        <w:rPr>
          <w:noProof/>
        </w:rPr>
        <w:t xml:space="preserve">Für den Vorschlag/die Initiative werden keine Verwaltungsmittel benötigt. </w:t>
      </w:r>
    </w:p>
    <w:p w14:paraId="1FEF8E73" w14:textId="77777777" w:rsidR="00A56747" w:rsidRPr="00C754CA" w:rsidRDefault="00A56747" w:rsidP="00A56747">
      <w:pPr>
        <w:pStyle w:val="ListDash1"/>
        <w:tabs>
          <w:tab w:val="clear" w:pos="3523"/>
          <w:tab w:val="num" w:pos="1134"/>
        </w:tabs>
        <w:ind w:left="1134"/>
        <w:rPr>
          <w:noProof/>
        </w:rPr>
      </w:pPr>
      <w:r w:rsidRPr="00C754CA">
        <w:rPr>
          <w:rFonts w:ascii="Wingdings" w:hAnsi="Wingdings"/>
          <w:noProof/>
        </w:rPr>
        <w:t></w:t>
      </w:r>
      <w:r w:rsidRPr="00C754CA">
        <w:rPr>
          <w:noProof/>
        </w:rPr>
        <w:t>Für den Vorschlag/die Initiative werden die folgenden Verwaltungsmittel benötigt:</w:t>
      </w:r>
    </w:p>
    <w:p w14:paraId="4438851A" w14:textId="77777777" w:rsidR="00A56747" w:rsidRPr="00C754CA" w:rsidRDefault="00A56747" w:rsidP="00A56747">
      <w:pPr>
        <w:pStyle w:val="ManualHeading3"/>
        <w:rPr>
          <w:noProof/>
        </w:rPr>
      </w:pPr>
      <w:bookmarkStart w:id="214" w:name="_Toc167220291"/>
      <w:bookmarkStart w:id="215" w:name="_Toc177549024"/>
      <w:r w:rsidRPr="00E2773D">
        <w:rPr>
          <w:noProof/>
        </w:rPr>
        <w:t>3</w:t>
      </w:r>
      <w:r w:rsidRPr="00C754CA">
        <w:rPr>
          <w:noProof/>
        </w:rPr>
        <w:t>.</w:t>
      </w:r>
      <w:r w:rsidRPr="00E2773D">
        <w:rPr>
          <w:noProof/>
        </w:rPr>
        <w:t>2</w:t>
      </w:r>
      <w:r w:rsidRPr="00C754CA">
        <w:rPr>
          <w:noProof/>
        </w:rPr>
        <w:t>.</w:t>
      </w:r>
      <w:r w:rsidRPr="00E2773D">
        <w:rPr>
          <w:noProof/>
        </w:rPr>
        <w:t>3</w:t>
      </w:r>
      <w:r w:rsidRPr="00C754CA">
        <w:rPr>
          <w:noProof/>
        </w:rPr>
        <w:t>.</w:t>
      </w:r>
      <w:r w:rsidRPr="00E2773D">
        <w:rPr>
          <w:noProof/>
        </w:rPr>
        <w:t>1</w:t>
      </w:r>
      <w:r w:rsidRPr="00C754CA">
        <w:rPr>
          <w:noProof/>
        </w:rPr>
        <w:t xml:space="preserve"> Mittel aus dem verabschiedeten Haushaltsplan</w:t>
      </w:r>
      <w:bookmarkEnd w:id="214"/>
      <w:bookmarkEnd w:id="215"/>
    </w:p>
    <w:tbl>
      <w:tblPr>
        <w:tblW w:w="5000" w:type="pct"/>
        <w:tblLook w:val="04A0" w:firstRow="1" w:lastRow="0" w:firstColumn="1" w:lastColumn="0" w:noHBand="0" w:noVBand="1"/>
      </w:tblPr>
      <w:tblGrid>
        <w:gridCol w:w="3997"/>
        <w:gridCol w:w="998"/>
        <w:gridCol w:w="999"/>
        <w:gridCol w:w="999"/>
        <w:gridCol w:w="999"/>
        <w:gridCol w:w="1297"/>
      </w:tblGrid>
      <w:tr w:rsidR="003100E7" w:rsidRPr="00C754CA" w14:paraId="5DAB714C" w14:textId="77777777" w:rsidTr="004B53CC">
        <w:trPr>
          <w:trHeight w:val="300"/>
        </w:trPr>
        <w:tc>
          <w:tcPr>
            <w:tcW w:w="216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757208B" w14:textId="77777777" w:rsidR="00A56747" w:rsidRPr="00C754CA" w:rsidRDefault="00A56747" w:rsidP="004B53CC">
            <w:pPr>
              <w:spacing w:before="0" w:after="0"/>
              <w:jc w:val="center"/>
              <w:rPr>
                <w:b/>
                <w:bCs/>
                <w:noProof/>
                <w:color w:val="000000"/>
                <w:sz w:val="18"/>
                <w:szCs w:val="18"/>
              </w:rPr>
            </w:pPr>
            <w:r w:rsidRPr="00C754CA">
              <w:rPr>
                <w:b/>
                <w:noProof/>
                <w:color w:val="000000"/>
                <w:sz w:val="18"/>
              </w:rPr>
              <w:t>BEWILLIGTE MITTEL</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74885620" w14:textId="77777777" w:rsidR="00A56747" w:rsidRPr="00C754CA" w:rsidRDefault="00A56747" w:rsidP="004B53CC">
            <w:pPr>
              <w:spacing w:before="0" w:after="0"/>
              <w:jc w:val="center"/>
              <w:rPr>
                <w:noProof/>
                <w:color w:val="000000"/>
                <w:sz w:val="18"/>
                <w:szCs w:val="18"/>
              </w:rPr>
            </w:pPr>
            <w:r w:rsidRPr="00C754CA">
              <w:rPr>
                <w:noProof/>
                <w:color w:val="000000"/>
                <w:sz w:val="18"/>
              </w:rPr>
              <w:t>Jahr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2D5CFD77" w14:textId="77777777" w:rsidR="00A56747" w:rsidRPr="00C754CA" w:rsidRDefault="00A56747" w:rsidP="004B53CC">
            <w:pPr>
              <w:spacing w:before="0" w:after="0"/>
              <w:jc w:val="center"/>
              <w:rPr>
                <w:noProof/>
                <w:color w:val="000000"/>
                <w:sz w:val="18"/>
                <w:szCs w:val="18"/>
              </w:rPr>
            </w:pPr>
            <w:r w:rsidRPr="00C754CA">
              <w:rPr>
                <w:noProof/>
                <w:color w:val="000000"/>
                <w:sz w:val="18"/>
              </w:rPr>
              <w:t>Jahr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6374912D" w14:textId="77777777" w:rsidR="00A56747" w:rsidRPr="00C754CA" w:rsidRDefault="00A56747" w:rsidP="004B53CC">
            <w:pPr>
              <w:spacing w:before="0" w:after="0"/>
              <w:jc w:val="center"/>
              <w:rPr>
                <w:noProof/>
                <w:color w:val="000000"/>
                <w:sz w:val="18"/>
                <w:szCs w:val="18"/>
              </w:rPr>
            </w:pPr>
            <w:r w:rsidRPr="00C754CA">
              <w:rPr>
                <w:noProof/>
                <w:color w:val="000000"/>
                <w:sz w:val="18"/>
              </w:rPr>
              <w:t>Jahr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09F2481D" w14:textId="77777777" w:rsidR="00A56747" w:rsidRPr="00C754CA" w:rsidRDefault="00A56747" w:rsidP="004B53CC">
            <w:pPr>
              <w:spacing w:before="0" w:after="0"/>
              <w:jc w:val="center"/>
              <w:rPr>
                <w:noProof/>
                <w:color w:val="000000"/>
                <w:sz w:val="18"/>
                <w:szCs w:val="18"/>
              </w:rPr>
            </w:pPr>
            <w:r w:rsidRPr="00C754CA">
              <w:rPr>
                <w:noProof/>
                <w:color w:val="000000"/>
                <w:sz w:val="18"/>
              </w:rPr>
              <w:t>Jahr</w:t>
            </w:r>
          </w:p>
        </w:tc>
        <w:tc>
          <w:tcPr>
            <w:tcW w:w="6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EC52F11" w14:textId="77777777" w:rsidR="00A56747" w:rsidRPr="00C754CA" w:rsidRDefault="00A56747" w:rsidP="004B53CC">
            <w:pPr>
              <w:spacing w:before="0" w:after="0"/>
              <w:jc w:val="center"/>
              <w:rPr>
                <w:b/>
                <w:bCs/>
                <w:noProof/>
                <w:color w:val="000000"/>
                <w:sz w:val="18"/>
                <w:szCs w:val="18"/>
              </w:rPr>
            </w:pPr>
            <w:r w:rsidRPr="00E2773D">
              <w:rPr>
                <w:b/>
                <w:noProof/>
                <w:color w:val="000000"/>
                <w:sz w:val="18"/>
              </w:rPr>
              <w:t>2021</w:t>
            </w:r>
            <w:r w:rsidRPr="00C754CA">
              <w:rPr>
                <w:b/>
                <w:noProof/>
                <w:color w:val="000000"/>
                <w:sz w:val="18"/>
              </w:rPr>
              <w:t>-</w:t>
            </w:r>
            <w:r w:rsidRPr="00E2773D">
              <w:rPr>
                <w:b/>
                <w:noProof/>
                <w:color w:val="000000"/>
                <w:sz w:val="18"/>
              </w:rPr>
              <w:t>2027</w:t>
            </w:r>
            <w:r w:rsidRPr="00C754CA">
              <w:rPr>
                <w:b/>
                <w:noProof/>
                <w:color w:val="000000"/>
                <w:sz w:val="18"/>
              </w:rPr>
              <w:t xml:space="preserve"> INSGESAMT</w:t>
            </w:r>
          </w:p>
        </w:tc>
      </w:tr>
      <w:tr w:rsidR="00A56747" w:rsidRPr="00C754CA" w14:paraId="695713DB" w14:textId="77777777" w:rsidTr="00FF1EF4">
        <w:trPr>
          <w:trHeight w:val="300"/>
        </w:trPr>
        <w:tc>
          <w:tcPr>
            <w:tcW w:w="2167" w:type="pct"/>
            <w:vMerge/>
            <w:tcBorders>
              <w:top w:val="single" w:sz="8" w:space="0" w:color="auto"/>
              <w:left w:val="single" w:sz="8" w:space="0" w:color="auto"/>
              <w:bottom w:val="single" w:sz="8" w:space="0" w:color="auto"/>
              <w:right w:val="single" w:sz="8" w:space="0" w:color="auto"/>
            </w:tcBorders>
            <w:vAlign w:val="center"/>
            <w:hideMark/>
          </w:tcPr>
          <w:p w14:paraId="15264D73" w14:textId="77777777" w:rsidR="00A56747" w:rsidRPr="00C754CA" w:rsidRDefault="00A56747" w:rsidP="004B53CC">
            <w:pPr>
              <w:spacing w:before="0" w:after="0"/>
              <w:jc w:val="left"/>
              <w:rPr>
                <w:b/>
                <w:bCs/>
                <w:noProof/>
                <w:color w:val="000000"/>
                <w:sz w:val="18"/>
                <w:szCs w:val="18"/>
                <w:lang w:eastAsia="en-IE"/>
              </w:rPr>
            </w:pPr>
          </w:p>
        </w:tc>
        <w:tc>
          <w:tcPr>
            <w:tcW w:w="553" w:type="pct"/>
            <w:tcBorders>
              <w:top w:val="nil"/>
              <w:left w:val="nil"/>
              <w:bottom w:val="single" w:sz="8" w:space="0" w:color="auto"/>
              <w:right w:val="single" w:sz="8" w:space="0" w:color="auto"/>
            </w:tcBorders>
            <w:shd w:val="clear" w:color="auto" w:fill="auto"/>
            <w:vAlign w:val="center"/>
            <w:hideMark/>
          </w:tcPr>
          <w:p w14:paraId="7975EA46" w14:textId="77777777" w:rsidR="00A56747" w:rsidRPr="00C754CA" w:rsidRDefault="00A56747" w:rsidP="004B53CC">
            <w:pPr>
              <w:spacing w:before="0" w:after="0"/>
              <w:jc w:val="center"/>
              <w:rPr>
                <w:b/>
                <w:bCs/>
                <w:noProof/>
                <w:color w:val="000000"/>
                <w:sz w:val="18"/>
                <w:szCs w:val="18"/>
              </w:rPr>
            </w:pPr>
            <w:r w:rsidRPr="00E2773D">
              <w:rPr>
                <w:b/>
                <w:noProof/>
                <w:color w:val="000000"/>
                <w:sz w:val="18"/>
              </w:rPr>
              <w:t>2024</w:t>
            </w:r>
          </w:p>
        </w:tc>
        <w:tc>
          <w:tcPr>
            <w:tcW w:w="553" w:type="pct"/>
            <w:tcBorders>
              <w:top w:val="nil"/>
              <w:left w:val="nil"/>
              <w:bottom w:val="single" w:sz="8" w:space="0" w:color="auto"/>
              <w:right w:val="single" w:sz="8" w:space="0" w:color="auto"/>
            </w:tcBorders>
            <w:shd w:val="clear" w:color="auto" w:fill="auto"/>
            <w:vAlign w:val="center"/>
            <w:hideMark/>
          </w:tcPr>
          <w:p w14:paraId="3BA973CB" w14:textId="77777777" w:rsidR="00A56747" w:rsidRPr="00C754CA" w:rsidRDefault="00A56747" w:rsidP="004B53CC">
            <w:pPr>
              <w:spacing w:before="0" w:after="0"/>
              <w:jc w:val="center"/>
              <w:rPr>
                <w:b/>
                <w:bCs/>
                <w:noProof/>
                <w:color w:val="000000"/>
                <w:sz w:val="18"/>
                <w:szCs w:val="18"/>
              </w:rPr>
            </w:pPr>
            <w:r w:rsidRPr="00E2773D">
              <w:rPr>
                <w:b/>
                <w:noProof/>
                <w:color w:val="000000"/>
                <w:sz w:val="18"/>
              </w:rPr>
              <w:t>2025</w:t>
            </w:r>
          </w:p>
        </w:tc>
        <w:tc>
          <w:tcPr>
            <w:tcW w:w="553" w:type="pct"/>
            <w:tcBorders>
              <w:top w:val="nil"/>
              <w:left w:val="nil"/>
              <w:bottom w:val="single" w:sz="8" w:space="0" w:color="auto"/>
              <w:right w:val="single" w:sz="8" w:space="0" w:color="auto"/>
            </w:tcBorders>
            <w:shd w:val="clear" w:color="auto" w:fill="auto"/>
            <w:vAlign w:val="center"/>
            <w:hideMark/>
          </w:tcPr>
          <w:p w14:paraId="6ECC1007" w14:textId="77777777" w:rsidR="00A56747" w:rsidRPr="00C754CA" w:rsidRDefault="00A56747" w:rsidP="004B53CC">
            <w:pPr>
              <w:spacing w:before="0" w:after="0"/>
              <w:jc w:val="center"/>
              <w:rPr>
                <w:b/>
                <w:bCs/>
                <w:noProof/>
                <w:color w:val="000000"/>
                <w:sz w:val="18"/>
                <w:szCs w:val="18"/>
              </w:rPr>
            </w:pPr>
            <w:r w:rsidRPr="00E2773D">
              <w:rPr>
                <w:b/>
                <w:noProof/>
                <w:color w:val="000000"/>
                <w:sz w:val="18"/>
              </w:rPr>
              <w:t>2026</w:t>
            </w:r>
          </w:p>
        </w:tc>
        <w:tc>
          <w:tcPr>
            <w:tcW w:w="553" w:type="pct"/>
            <w:tcBorders>
              <w:top w:val="nil"/>
              <w:left w:val="nil"/>
              <w:bottom w:val="single" w:sz="8" w:space="0" w:color="auto"/>
              <w:right w:val="single" w:sz="8" w:space="0" w:color="auto"/>
            </w:tcBorders>
            <w:shd w:val="clear" w:color="auto" w:fill="auto"/>
            <w:vAlign w:val="center"/>
            <w:hideMark/>
          </w:tcPr>
          <w:p w14:paraId="258FE238" w14:textId="77777777" w:rsidR="00A56747" w:rsidRPr="00C754CA" w:rsidRDefault="00A56747" w:rsidP="004B53CC">
            <w:pPr>
              <w:spacing w:before="0" w:after="0"/>
              <w:jc w:val="center"/>
              <w:rPr>
                <w:b/>
                <w:bCs/>
                <w:noProof/>
                <w:color w:val="000000"/>
                <w:sz w:val="18"/>
                <w:szCs w:val="18"/>
              </w:rPr>
            </w:pPr>
            <w:r w:rsidRPr="00E2773D">
              <w:rPr>
                <w:b/>
                <w:noProof/>
                <w:color w:val="000000"/>
                <w:sz w:val="18"/>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14:paraId="1BE6339F" w14:textId="77777777" w:rsidR="00A56747" w:rsidRPr="00C754CA" w:rsidRDefault="00A56747" w:rsidP="004B53CC">
            <w:pPr>
              <w:spacing w:before="0" w:after="0"/>
              <w:jc w:val="left"/>
              <w:rPr>
                <w:b/>
                <w:bCs/>
                <w:noProof/>
                <w:color w:val="000000"/>
                <w:sz w:val="18"/>
                <w:szCs w:val="18"/>
                <w:lang w:eastAsia="en-IE"/>
              </w:rPr>
            </w:pPr>
          </w:p>
        </w:tc>
      </w:tr>
      <w:tr w:rsidR="00A56747" w:rsidRPr="00C754CA" w14:paraId="6FD5C991" w14:textId="77777777" w:rsidTr="00FF1EF4">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CA1A222" w14:textId="77777777" w:rsidR="00A56747" w:rsidRPr="00C754CA" w:rsidRDefault="00A56747" w:rsidP="004B53CC">
            <w:pPr>
              <w:spacing w:before="0" w:after="0"/>
              <w:jc w:val="left"/>
              <w:rPr>
                <w:b/>
                <w:bCs/>
                <w:noProof/>
                <w:sz w:val="16"/>
                <w:szCs w:val="16"/>
              </w:rPr>
            </w:pPr>
            <w:r w:rsidRPr="00C754CA">
              <w:rPr>
                <w:b/>
                <w:noProof/>
                <w:sz w:val="16"/>
              </w:rPr>
              <w:t>RUBRIK </w:t>
            </w:r>
            <w:r w:rsidRPr="00E2773D">
              <w:rPr>
                <w:b/>
                <w:noProof/>
                <w:sz w:val="16"/>
              </w:rPr>
              <w:t>7</w:t>
            </w:r>
          </w:p>
        </w:tc>
      </w:tr>
      <w:tr w:rsidR="003100E7" w:rsidRPr="00C754CA" w14:paraId="7DDF8264" w14:textId="77777777" w:rsidTr="004B53CC">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77A2A9FF" w14:textId="77777777" w:rsidR="00A56747" w:rsidRPr="00C754CA" w:rsidRDefault="00A56747" w:rsidP="004B53CC">
            <w:pPr>
              <w:spacing w:before="0" w:after="0"/>
              <w:jc w:val="left"/>
              <w:rPr>
                <w:noProof/>
                <w:color w:val="000000"/>
                <w:sz w:val="16"/>
                <w:szCs w:val="16"/>
              </w:rPr>
            </w:pPr>
            <w:r w:rsidRPr="00C754CA">
              <w:rPr>
                <w:noProof/>
                <w:color w:val="000000"/>
                <w:sz w:val="16"/>
              </w:rPr>
              <w:t xml:space="preserve">Personalausgaben </w:t>
            </w:r>
          </w:p>
        </w:tc>
        <w:tc>
          <w:tcPr>
            <w:tcW w:w="553" w:type="pct"/>
            <w:tcBorders>
              <w:top w:val="nil"/>
              <w:left w:val="nil"/>
              <w:bottom w:val="single" w:sz="8" w:space="0" w:color="auto"/>
              <w:right w:val="single" w:sz="8" w:space="0" w:color="auto"/>
            </w:tcBorders>
            <w:shd w:val="clear" w:color="000000" w:fill="D9D9D9"/>
            <w:vAlign w:val="center"/>
            <w:hideMark/>
          </w:tcPr>
          <w:p w14:paraId="36609240"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31D76968"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2FF3918D"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2E238EBD"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2527AB33"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r>
      <w:tr w:rsidR="003100E7" w:rsidRPr="00C754CA" w14:paraId="54B059F4" w14:textId="77777777" w:rsidTr="004B53CC">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029A1F62" w14:textId="77777777" w:rsidR="00A56747" w:rsidRPr="00C754CA" w:rsidRDefault="00A56747" w:rsidP="004B53CC">
            <w:pPr>
              <w:spacing w:before="0" w:after="0"/>
              <w:jc w:val="left"/>
              <w:rPr>
                <w:noProof/>
                <w:color w:val="000000"/>
                <w:sz w:val="16"/>
                <w:szCs w:val="16"/>
              </w:rPr>
            </w:pPr>
            <w:r w:rsidRPr="00C754CA">
              <w:rPr>
                <w:noProof/>
                <w:color w:val="000000"/>
                <w:sz w:val="16"/>
              </w:rPr>
              <w:t xml:space="preserve">Sonstige Verwaltungsausgaben </w:t>
            </w:r>
          </w:p>
        </w:tc>
        <w:tc>
          <w:tcPr>
            <w:tcW w:w="553" w:type="pct"/>
            <w:tcBorders>
              <w:top w:val="nil"/>
              <w:left w:val="nil"/>
              <w:bottom w:val="single" w:sz="8" w:space="0" w:color="auto"/>
              <w:right w:val="single" w:sz="8" w:space="0" w:color="auto"/>
            </w:tcBorders>
            <w:shd w:val="clear" w:color="000000" w:fill="D9D9D9"/>
            <w:vAlign w:val="center"/>
            <w:hideMark/>
          </w:tcPr>
          <w:p w14:paraId="6DB29930"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77ABB52E"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1152A877"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2B158F5C"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752983C0"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r>
      <w:tr w:rsidR="003100E7" w:rsidRPr="00C754CA" w14:paraId="0B0524DC" w14:textId="77777777" w:rsidTr="004B53CC">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14:paraId="0C77D390" w14:textId="77777777" w:rsidR="00A56747" w:rsidRPr="00C754CA" w:rsidRDefault="00A56747" w:rsidP="004B53CC">
            <w:pPr>
              <w:spacing w:before="0" w:after="0"/>
              <w:jc w:val="center"/>
              <w:rPr>
                <w:b/>
                <w:bCs/>
                <w:noProof/>
                <w:color w:val="000000"/>
                <w:sz w:val="16"/>
                <w:szCs w:val="16"/>
              </w:rPr>
            </w:pPr>
            <w:r w:rsidRPr="00C754CA">
              <w:rPr>
                <w:b/>
                <w:noProof/>
                <w:color w:val="000000"/>
                <w:sz w:val="16"/>
              </w:rPr>
              <w:t>Zwischensumme RUBRIK </w:t>
            </w:r>
            <w:r w:rsidRPr="00E2773D">
              <w:rPr>
                <w:b/>
                <w:noProof/>
                <w:color w:val="000000"/>
                <w:sz w:val="16"/>
              </w:rPr>
              <w:t>7</w:t>
            </w:r>
          </w:p>
        </w:tc>
        <w:tc>
          <w:tcPr>
            <w:tcW w:w="553" w:type="pct"/>
            <w:tcBorders>
              <w:top w:val="nil"/>
              <w:left w:val="nil"/>
              <w:bottom w:val="single" w:sz="8" w:space="0" w:color="auto"/>
              <w:right w:val="single" w:sz="8" w:space="0" w:color="auto"/>
            </w:tcBorders>
            <w:shd w:val="clear" w:color="000000" w:fill="D9D9D9"/>
            <w:vAlign w:val="center"/>
            <w:hideMark/>
          </w:tcPr>
          <w:p w14:paraId="6BFC00B2"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3DB38E25"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2C61076C"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216675E1"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72C502B1"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r>
      <w:tr w:rsidR="00A56747" w:rsidRPr="00C754CA" w14:paraId="0F598D40" w14:textId="77777777" w:rsidTr="00FF1EF4">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5F63B668" w14:textId="77777777" w:rsidR="00A56747" w:rsidRPr="00C754CA" w:rsidRDefault="00A56747" w:rsidP="004B53CC">
            <w:pPr>
              <w:spacing w:before="0" w:after="0"/>
              <w:jc w:val="left"/>
              <w:rPr>
                <w:b/>
                <w:bCs/>
                <w:noProof/>
                <w:sz w:val="16"/>
                <w:szCs w:val="16"/>
              </w:rPr>
            </w:pPr>
            <w:r w:rsidRPr="00C754CA">
              <w:rPr>
                <w:b/>
                <w:noProof/>
                <w:sz w:val="16"/>
              </w:rPr>
              <w:t>Außerhalb der RUBRIK </w:t>
            </w:r>
            <w:r w:rsidRPr="00E2773D">
              <w:rPr>
                <w:b/>
                <w:noProof/>
                <w:sz w:val="16"/>
              </w:rPr>
              <w:t>7</w:t>
            </w:r>
          </w:p>
        </w:tc>
      </w:tr>
      <w:tr w:rsidR="003100E7" w:rsidRPr="00C754CA" w14:paraId="0E315BB5" w14:textId="77777777" w:rsidTr="004B53CC">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798C7F14" w14:textId="77777777" w:rsidR="00A56747" w:rsidRPr="00C754CA" w:rsidRDefault="00A56747" w:rsidP="004B53CC">
            <w:pPr>
              <w:spacing w:before="0" w:after="0"/>
              <w:jc w:val="left"/>
              <w:rPr>
                <w:noProof/>
                <w:color w:val="000000"/>
                <w:sz w:val="16"/>
                <w:szCs w:val="16"/>
              </w:rPr>
            </w:pPr>
            <w:r w:rsidRPr="00C754CA">
              <w:rPr>
                <w:noProof/>
                <w:color w:val="000000"/>
                <w:sz w:val="16"/>
              </w:rPr>
              <w:t xml:space="preserve">Personalausgaben </w:t>
            </w:r>
          </w:p>
        </w:tc>
        <w:tc>
          <w:tcPr>
            <w:tcW w:w="553" w:type="pct"/>
            <w:tcBorders>
              <w:top w:val="nil"/>
              <w:left w:val="nil"/>
              <w:bottom w:val="single" w:sz="8" w:space="0" w:color="auto"/>
              <w:right w:val="single" w:sz="8" w:space="0" w:color="auto"/>
            </w:tcBorders>
            <w:shd w:val="clear" w:color="000000" w:fill="D9D9D9"/>
            <w:vAlign w:val="center"/>
            <w:hideMark/>
          </w:tcPr>
          <w:p w14:paraId="1DF41043"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3720A6B1"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7AA7B1A8"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0E5786AD"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4ED64C13"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r>
      <w:tr w:rsidR="003100E7" w:rsidRPr="00C754CA" w14:paraId="41E020B0" w14:textId="77777777" w:rsidTr="004B53CC">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1697EA53" w14:textId="77777777" w:rsidR="00A56747" w:rsidRPr="00C754CA" w:rsidRDefault="00A56747" w:rsidP="004B53CC">
            <w:pPr>
              <w:spacing w:before="0" w:after="0"/>
              <w:jc w:val="left"/>
              <w:rPr>
                <w:noProof/>
                <w:color w:val="000000"/>
                <w:sz w:val="16"/>
                <w:szCs w:val="16"/>
              </w:rPr>
            </w:pPr>
            <w:r w:rsidRPr="00C754CA">
              <w:rPr>
                <w:noProof/>
                <w:color w:val="000000"/>
                <w:sz w:val="16"/>
              </w:rPr>
              <w:t>Sonstige Verwaltungsausgaben</w:t>
            </w:r>
          </w:p>
        </w:tc>
        <w:tc>
          <w:tcPr>
            <w:tcW w:w="553" w:type="pct"/>
            <w:tcBorders>
              <w:top w:val="nil"/>
              <w:left w:val="nil"/>
              <w:bottom w:val="single" w:sz="8" w:space="0" w:color="auto"/>
              <w:right w:val="single" w:sz="8" w:space="0" w:color="auto"/>
            </w:tcBorders>
            <w:shd w:val="clear" w:color="000000" w:fill="D9D9D9"/>
            <w:vAlign w:val="center"/>
            <w:hideMark/>
          </w:tcPr>
          <w:p w14:paraId="5D053523"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2BD46864"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0EB594A8"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671499B7" w14:textId="77777777" w:rsidR="00A56747" w:rsidRPr="00C754CA" w:rsidRDefault="00A56747" w:rsidP="004B53CC">
            <w:pPr>
              <w:spacing w:before="0" w:after="0"/>
              <w:jc w:val="right"/>
              <w:rPr>
                <w:noProof/>
                <w:color w:val="000000"/>
                <w:sz w:val="16"/>
                <w:szCs w:val="16"/>
              </w:rPr>
            </w:pPr>
            <w:r w:rsidRPr="00E2773D">
              <w:rPr>
                <w:noProof/>
                <w:color w:val="000000"/>
                <w:sz w:val="16"/>
              </w:rPr>
              <w:t>0</w:t>
            </w:r>
            <w:r w:rsidRPr="00C754CA">
              <w:rPr>
                <w:noProof/>
                <w:color w:val="000000"/>
                <w:sz w:val="16"/>
              </w:rPr>
              <w:t>,</w:t>
            </w:r>
            <w:r w:rsidRPr="00E2773D">
              <w:rPr>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1C59F386"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r>
      <w:tr w:rsidR="003100E7" w:rsidRPr="00C754CA" w14:paraId="7E52D3B1" w14:textId="77777777" w:rsidTr="004B53CC">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14:paraId="4E52E4F1" w14:textId="77777777" w:rsidR="00A56747" w:rsidRPr="00C754CA" w:rsidRDefault="00A56747" w:rsidP="004B53CC">
            <w:pPr>
              <w:spacing w:before="0" w:after="0"/>
              <w:jc w:val="center"/>
              <w:rPr>
                <w:b/>
                <w:bCs/>
                <w:noProof/>
                <w:color w:val="000000"/>
                <w:sz w:val="16"/>
                <w:szCs w:val="16"/>
              </w:rPr>
            </w:pPr>
            <w:r w:rsidRPr="00C754CA">
              <w:rPr>
                <w:b/>
                <w:noProof/>
                <w:color w:val="000000"/>
                <w:sz w:val="16"/>
              </w:rPr>
              <w:t>Zwischensumme außerhalb der RUBRIK </w:t>
            </w:r>
            <w:r w:rsidRPr="00E2773D">
              <w:rPr>
                <w:b/>
                <w:noProof/>
                <w:color w:val="000000"/>
                <w:sz w:val="16"/>
              </w:rPr>
              <w:t>7</w:t>
            </w:r>
          </w:p>
        </w:tc>
        <w:tc>
          <w:tcPr>
            <w:tcW w:w="553" w:type="pct"/>
            <w:tcBorders>
              <w:top w:val="nil"/>
              <w:left w:val="nil"/>
              <w:bottom w:val="single" w:sz="8" w:space="0" w:color="auto"/>
              <w:right w:val="single" w:sz="8" w:space="0" w:color="auto"/>
            </w:tcBorders>
            <w:shd w:val="clear" w:color="000000" w:fill="D9D9D9"/>
            <w:vAlign w:val="center"/>
            <w:hideMark/>
          </w:tcPr>
          <w:p w14:paraId="5D25C5B2"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0D1E16D5"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565EA2B3"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07948526"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67C4A74B"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r>
      <w:tr w:rsidR="00A56747" w:rsidRPr="00C754CA" w14:paraId="15266288" w14:textId="77777777" w:rsidTr="00FF1EF4">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901946" w14:textId="77777777" w:rsidR="00A56747" w:rsidRPr="00C754CA" w:rsidRDefault="00A56747" w:rsidP="004B53CC">
            <w:pPr>
              <w:spacing w:before="0" w:after="0"/>
              <w:jc w:val="center"/>
              <w:rPr>
                <w:noProof/>
                <w:color w:val="000000"/>
                <w:sz w:val="16"/>
                <w:szCs w:val="16"/>
              </w:rPr>
            </w:pPr>
            <w:r w:rsidRPr="00C754CA">
              <w:rPr>
                <w:noProof/>
                <w:color w:val="000000"/>
                <w:sz w:val="16"/>
              </w:rPr>
              <w:t> </w:t>
            </w:r>
          </w:p>
        </w:tc>
      </w:tr>
      <w:tr w:rsidR="003100E7" w:rsidRPr="00C754CA" w14:paraId="0CF7B1B6" w14:textId="77777777" w:rsidTr="004B53CC">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7C9EB58C" w14:textId="77777777" w:rsidR="00A56747" w:rsidRPr="00C754CA" w:rsidRDefault="00A56747" w:rsidP="004B53CC">
            <w:pPr>
              <w:spacing w:before="0" w:after="0"/>
              <w:jc w:val="center"/>
              <w:rPr>
                <w:b/>
                <w:bCs/>
                <w:noProof/>
                <w:color w:val="000000"/>
                <w:sz w:val="16"/>
                <w:szCs w:val="16"/>
              </w:rPr>
            </w:pPr>
            <w:r w:rsidRPr="00C754CA">
              <w:rPr>
                <w:b/>
                <w:noProof/>
                <w:color w:val="000000"/>
                <w:sz w:val="16"/>
              </w:rPr>
              <w:t>INSGESAMT</w:t>
            </w:r>
          </w:p>
        </w:tc>
        <w:tc>
          <w:tcPr>
            <w:tcW w:w="553" w:type="pct"/>
            <w:tcBorders>
              <w:top w:val="nil"/>
              <w:left w:val="nil"/>
              <w:bottom w:val="single" w:sz="8" w:space="0" w:color="auto"/>
              <w:right w:val="single" w:sz="8" w:space="0" w:color="auto"/>
            </w:tcBorders>
            <w:shd w:val="clear" w:color="000000" w:fill="D9D9D9"/>
            <w:vAlign w:val="center"/>
            <w:hideMark/>
          </w:tcPr>
          <w:p w14:paraId="6FA7BA43"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10A186AB"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1FB7F802"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6FB22CCE"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216DD100" w14:textId="77777777" w:rsidR="00A56747" w:rsidRPr="00C754CA" w:rsidRDefault="00A56747" w:rsidP="004B53CC">
            <w:pPr>
              <w:spacing w:before="0" w:after="0"/>
              <w:jc w:val="right"/>
              <w:rPr>
                <w:b/>
                <w:bCs/>
                <w:noProof/>
                <w:color w:val="000000"/>
                <w:sz w:val="16"/>
                <w:szCs w:val="16"/>
              </w:rPr>
            </w:pPr>
            <w:r w:rsidRPr="00E2773D">
              <w:rPr>
                <w:b/>
                <w:noProof/>
                <w:color w:val="000000"/>
                <w:sz w:val="16"/>
              </w:rPr>
              <w:t>0</w:t>
            </w:r>
            <w:r w:rsidRPr="00C754CA">
              <w:rPr>
                <w:b/>
                <w:noProof/>
                <w:color w:val="000000"/>
                <w:sz w:val="16"/>
              </w:rPr>
              <w:t>,</w:t>
            </w:r>
            <w:r w:rsidRPr="00E2773D">
              <w:rPr>
                <w:b/>
                <w:noProof/>
                <w:color w:val="000000"/>
                <w:sz w:val="16"/>
              </w:rPr>
              <w:t>000</w:t>
            </w:r>
          </w:p>
        </w:tc>
      </w:tr>
    </w:tbl>
    <w:p w14:paraId="15695C40" w14:textId="77777777" w:rsidR="00A56747" w:rsidRPr="00C754CA" w:rsidRDefault="00A56747" w:rsidP="00A56747">
      <w:pPr>
        <w:rPr>
          <w:noProof/>
          <w:sz w:val="22"/>
          <w:szCs w:val="28"/>
        </w:rPr>
      </w:pPr>
      <w:r w:rsidRPr="00C754CA">
        <w:rPr>
          <w:noProof/>
          <w:sz w:val="22"/>
        </w:rPr>
        <w:t>Der Mittelbedarf für Personal- und sonstige Verwaltungsausgaben wird durch der Verwaltung der Maßnahme zugeordnete Mittel der GD oder/oder durch eine Umschichtung innerhalb der GD gedeckt. Hinzu kommen etwaige zusätzliche Mittel, die der für die Verwaltung der Maßnahme zuständigen GD nach Maßgabe der verfügbaren Mittel im Rahmen der jährlichen Mittelzuweisung zugeteilt werden.</w:t>
      </w:r>
    </w:p>
    <w:p w14:paraId="0604C185" w14:textId="77777777" w:rsidR="00A56747" w:rsidRPr="00C754CA" w:rsidRDefault="00A56747" w:rsidP="00A56747">
      <w:pPr>
        <w:pStyle w:val="ManualHeading3"/>
        <w:rPr>
          <w:bCs/>
          <w:noProof/>
          <w:szCs w:val="24"/>
        </w:rPr>
      </w:pPr>
      <w:bookmarkStart w:id="216" w:name="_Toc167220294"/>
      <w:bookmarkStart w:id="217" w:name="_Toc177549027"/>
      <w:r w:rsidRPr="00E2773D">
        <w:rPr>
          <w:noProof/>
        </w:rPr>
        <w:t>3</w:t>
      </w:r>
      <w:r w:rsidRPr="00C754CA">
        <w:rPr>
          <w:noProof/>
        </w:rPr>
        <w:t>.</w:t>
      </w:r>
      <w:r w:rsidRPr="00E2773D">
        <w:rPr>
          <w:noProof/>
        </w:rPr>
        <w:t>2</w:t>
      </w:r>
      <w:r w:rsidRPr="00C754CA">
        <w:rPr>
          <w:noProof/>
        </w:rPr>
        <w:t>.</w:t>
      </w:r>
      <w:r w:rsidRPr="00E2773D">
        <w:rPr>
          <w:noProof/>
        </w:rPr>
        <w:t>4</w:t>
      </w:r>
      <w:r w:rsidRPr="00C754CA">
        <w:rPr>
          <w:noProof/>
        </w:rPr>
        <w:tab/>
        <w:t>Geschätzter Personalbedarf</w:t>
      </w:r>
      <w:bookmarkEnd w:id="216"/>
      <w:bookmarkEnd w:id="217"/>
      <w:r w:rsidRPr="00C754CA">
        <w:rPr>
          <w:noProof/>
        </w:rPr>
        <w:t xml:space="preserve"> </w:t>
      </w:r>
    </w:p>
    <w:p w14:paraId="7F80BC9E" w14:textId="77777777" w:rsidR="00A56747" w:rsidRPr="00C754CA" w:rsidRDefault="7B911141" w:rsidP="00A56747">
      <w:pPr>
        <w:pStyle w:val="ListDash1"/>
        <w:tabs>
          <w:tab w:val="clear" w:pos="3523"/>
          <w:tab w:val="num" w:pos="1134"/>
        </w:tabs>
        <w:ind w:left="1134"/>
        <w:rPr>
          <w:noProof/>
        </w:rPr>
      </w:pPr>
      <w:r w:rsidRPr="00C754CA">
        <w:rPr>
          <w:rFonts w:ascii="Segoe UI Symbol" w:hAnsi="Segoe UI Symbol"/>
          <w:noProof/>
          <w:color w:val="001E62"/>
        </w:rPr>
        <w:t xml:space="preserve">☑ </w:t>
      </w:r>
      <w:r w:rsidRPr="00C754CA">
        <w:rPr>
          <w:noProof/>
        </w:rPr>
        <w:t xml:space="preserve">Für den Vorschlag/die Initiative wird kein Personal benötigt. </w:t>
      </w:r>
    </w:p>
    <w:p w14:paraId="08D0E72C" w14:textId="77777777" w:rsidR="00A56747" w:rsidRPr="00C754CA" w:rsidRDefault="32668CB4" w:rsidP="3BBA3D08">
      <w:pPr>
        <w:pStyle w:val="ListDash1"/>
        <w:tabs>
          <w:tab w:val="clear" w:pos="3523"/>
          <w:tab w:val="num" w:pos="1134"/>
        </w:tabs>
        <w:ind w:left="1134"/>
        <w:rPr>
          <w:noProof/>
        </w:rPr>
      </w:pPr>
      <w:r w:rsidRPr="00C754CA">
        <w:rPr>
          <w:rFonts w:ascii="Wingdings" w:hAnsi="Wingdings"/>
          <w:noProof/>
        </w:rPr>
        <w:t></w:t>
      </w:r>
      <w:r w:rsidRPr="00C754CA">
        <w:rPr>
          <w:i/>
          <w:noProof/>
        </w:rPr>
        <w:t xml:space="preserve"> </w:t>
      </w:r>
      <w:r w:rsidRPr="00C754CA">
        <w:rPr>
          <w:i/>
          <w:iCs/>
          <w:noProof/>
        </w:rPr>
        <w:t>Für den Vorschlag/die Initiative wird das folgende Personal benötigt:</w:t>
      </w:r>
      <w:r w:rsidRPr="00C754CA">
        <w:rPr>
          <w:noProof/>
        </w:rPr>
        <w:br/>
      </w:r>
      <w:r w:rsidRPr="00C754CA">
        <w:rPr>
          <w:noProof/>
        </w:rPr>
        <w:br/>
      </w:r>
    </w:p>
    <w:p w14:paraId="51413A81" w14:textId="77777777" w:rsidR="00A56747" w:rsidRPr="00C754CA" w:rsidRDefault="00A56747" w:rsidP="00A56747">
      <w:pPr>
        <w:pStyle w:val="ManualHeading3"/>
        <w:rPr>
          <w:noProof/>
        </w:rPr>
      </w:pPr>
      <w:bookmarkStart w:id="218" w:name="_Toc167220295"/>
      <w:bookmarkStart w:id="219" w:name="_Toc177549028"/>
      <w:r w:rsidRPr="00E2773D">
        <w:rPr>
          <w:noProof/>
        </w:rPr>
        <w:t>3</w:t>
      </w:r>
      <w:r w:rsidRPr="00C754CA">
        <w:rPr>
          <w:noProof/>
        </w:rPr>
        <w:t>.</w:t>
      </w:r>
      <w:r w:rsidRPr="00E2773D">
        <w:rPr>
          <w:noProof/>
        </w:rPr>
        <w:t>2</w:t>
      </w:r>
      <w:r w:rsidRPr="00C754CA">
        <w:rPr>
          <w:noProof/>
        </w:rPr>
        <w:t>.</w:t>
      </w:r>
      <w:r w:rsidRPr="00E2773D">
        <w:rPr>
          <w:noProof/>
        </w:rPr>
        <w:t>4</w:t>
      </w:r>
      <w:r w:rsidRPr="00C754CA">
        <w:rPr>
          <w:noProof/>
        </w:rPr>
        <w:t>.</w:t>
      </w:r>
      <w:r w:rsidRPr="00E2773D">
        <w:rPr>
          <w:noProof/>
        </w:rPr>
        <w:t>1</w:t>
      </w:r>
      <w:r w:rsidRPr="00C754CA">
        <w:rPr>
          <w:noProof/>
        </w:rPr>
        <w:tab/>
        <w:t>Finanziert aus dem verabschiedeten Haushalt</w:t>
      </w:r>
      <w:bookmarkEnd w:id="218"/>
      <w:bookmarkEnd w:id="219"/>
    </w:p>
    <w:p w14:paraId="4E6E578E" w14:textId="77777777" w:rsidR="00A56747" w:rsidRPr="00C754CA" w:rsidRDefault="00A56747" w:rsidP="00A56747">
      <w:pPr>
        <w:spacing w:after="60"/>
        <w:jc w:val="right"/>
        <w:rPr>
          <w:i/>
          <w:noProof/>
          <w:sz w:val="20"/>
        </w:rPr>
      </w:pPr>
      <w:r w:rsidRPr="00C754CA">
        <w:rPr>
          <w:i/>
          <w:noProof/>
          <w:sz w:val="20"/>
        </w:rPr>
        <w:t>Schätzung in Vollzeitäquivalenten (VZÄ)</w:t>
      </w:r>
      <w:r w:rsidRPr="00C754CA">
        <w:rPr>
          <w:rStyle w:val="FootnoteReference"/>
          <w:i/>
          <w:iCs/>
          <w:noProof/>
          <w:sz w:val="20"/>
          <w:szCs w:val="20"/>
        </w:rPr>
        <w:footnoteReference w:id="18"/>
      </w:r>
    </w:p>
    <w:p w14:paraId="7A21C39D" w14:textId="77777777" w:rsidR="00A56747" w:rsidRPr="00C754CA" w:rsidRDefault="00A56747" w:rsidP="00A56747">
      <w:pPr>
        <w:pStyle w:val="Text1"/>
        <w:spacing w:before="60" w:after="60"/>
        <w:ind w:left="-426" w:right="-427"/>
        <w:rPr>
          <w:b/>
          <w:noProof/>
          <w:sz w:val="18"/>
          <w:szCs w:val="18"/>
        </w:rPr>
      </w:pPr>
      <w:bookmarkStart w:id="220" w:name="_Hlk156979231"/>
    </w:p>
    <w:tbl>
      <w:tblPr>
        <w:tblW w:w="5000" w:type="pct"/>
        <w:tblLook w:val="04A0" w:firstRow="1" w:lastRow="0" w:firstColumn="1" w:lastColumn="0" w:noHBand="0" w:noVBand="1"/>
      </w:tblPr>
      <w:tblGrid>
        <w:gridCol w:w="1513"/>
        <w:gridCol w:w="3898"/>
        <w:gridCol w:w="970"/>
        <w:gridCol w:w="970"/>
        <w:gridCol w:w="970"/>
        <w:gridCol w:w="968"/>
      </w:tblGrid>
      <w:tr w:rsidR="00A56747" w:rsidRPr="00C754CA" w14:paraId="7B2E0CA8" w14:textId="77777777" w:rsidTr="00FF1EF4">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5A66DA" w14:textId="77777777" w:rsidR="00A56747" w:rsidRPr="00C754CA" w:rsidRDefault="00A56747" w:rsidP="004B53CC">
            <w:pPr>
              <w:spacing w:before="0" w:after="0"/>
              <w:jc w:val="center"/>
              <w:rPr>
                <w:b/>
                <w:bCs/>
                <w:noProof/>
                <w:color w:val="000000"/>
                <w:sz w:val="18"/>
                <w:szCs w:val="18"/>
              </w:rPr>
            </w:pPr>
            <w:r w:rsidRPr="00C754CA">
              <w:rPr>
                <w:b/>
                <w:noProof/>
                <w:color w:val="000000"/>
                <w:sz w:val="18"/>
              </w:rPr>
              <w:t>BEWILLIGTE MITTEL</w:t>
            </w:r>
          </w:p>
        </w:tc>
        <w:tc>
          <w:tcPr>
            <w:tcW w:w="522" w:type="pct"/>
            <w:tcBorders>
              <w:top w:val="single" w:sz="8" w:space="0" w:color="auto"/>
              <w:left w:val="nil"/>
              <w:bottom w:val="nil"/>
              <w:right w:val="single" w:sz="8" w:space="0" w:color="auto"/>
            </w:tcBorders>
            <w:shd w:val="clear" w:color="auto" w:fill="auto"/>
            <w:vAlign w:val="center"/>
            <w:hideMark/>
          </w:tcPr>
          <w:p w14:paraId="3328AD1C"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22" w:type="pct"/>
            <w:tcBorders>
              <w:top w:val="single" w:sz="8" w:space="0" w:color="auto"/>
              <w:left w:val="nil"/>
              <w:bottom w:val="nil"/>
              <w:right w:val="single" w:sz="8" w:space="0" w:color="auto"/>
            </w:tcBorders>
            <w:shd w:val="clear" w:color="auto" w:fill="auto"/>
            <w:vAlign w:val="center"/>
            <w:hideMark/>
          </w:tcPr>
          <w:p w14:paraId="3A85E503"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22" w:type="pct"/>
            <w:tcBorders>
              <w:top w:val="single" w:sz="8" w:space="0" w:color="auto"/>
              <w:left w:val="nil"/>
              <w:bottom w:val="nil"/>
              <w:right w:val="single" w:sz="8" w:space="0" w:color="auto"/>
            </w:tcBorders>
            <w:shd w:val="clear" w:color="auto" w:fill="auto"/>
            <w:vAlign w:val="center"/>
            <w:hideMark/>
          </w:tcPr>
          <w:p w14:paraId="3DAF75C3"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22" w:type="pct"/>
            <w:tcBorders>
              <w:top w:val="single" w:sz="8" w:space="0" w:color="auto"/>
              <w:left w:val="nil"/>
              <w:bottom w:val="nil"/>
              <w:right w:val="single" w:sz="8" w:space="0" w:color="auto"/>
            </w:tcBorders>
            <w:shd w:val="clear" w:color="auto" w:fill="auto"/>
            <w:vAlign w:val="center"/>
            <w:hideMark/>
          </w:tcPr>
          <w:p w14:paraId="0F45933C"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r>
      <w:tr w:rsidR="00A56747" w:rsidRPr="00C754CA" w14:paraId="0C7AC683" w14:textId="77777777" w:rsidTr="00FF1EF4">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14:paraId="30A87B26" w14:textId="77777777" w:rsidR="00A56747" w:rsidRPr="00C754CA" w:rsidRDefault="00A56747" w:rsidP="004B53CC">
            <w:pPr>
              <w:spacing w:before="0" w:after="0"/>
              <w:jc w:val="left"/>
              <w:rPr>
                <w:b/>
                <w:bCs/>
                <w:noProof/>
                <w:color w:val="000000"/>
                <w:sz w:val="18"/>
                <w:szCs w:val="18"/>
                <w:lang w:eastAsia="en-IE"/>
              </w:rPr>
            </w:pPr>
          </w:p>
        </w:tc>
        <w:tc>
          <w:tcPr>
            <w:tcW w:w="522" w:type="pct"/>
            <w:tcBorders>
              <w:top w:val="nil"/>
              <w:left w:val="nil"/>
              <w:bottom w:val="single" w:sz="8" w:space="0" w:color="auto"/>
              <w:right w:val="single" w:sz="8" w:space="0" w:color="auto"/>
            </w:tcBorders>
            <w:shd w:val="clear" w:color="auto" w:fill="auto"/>
            <w:vAlign w:val="center"/>
            <w:hideMark/>
          </w:tcPr>
          <w:p w14:paraId="4A892CDB"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2024</w:t>
            </w:r>
          </w:p>
        </w:tc>
        <w:tc>
          <w:tcPr>
            <w:tcW w:w="522" w:type="pct"/>
            <w:tcBorders>
              <w:top w:val="nil"/>
              <w:left w:val="nil"/>
              <w:bottom w:val="single" w:sz="8" w:space="0" w:color="auto"/>
              <w:right w:val="single" w:sz="8" w:space="0" w:color="auto"/>
            </w:tcBorders>
            <w:shd w:val="clear" w:color="auto" w:fill="auto"/>
            <w:vAlign w:val="center"/>
            <w:hideMark/>
          </w:tcPr>
          <w:p w14:paraId="0B8AB56A"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2025</w:t>
            </w:r>
          </w:p>
        </w:tc>
        <w:tc>
          <w:tcPr>
            <w:tcW w:w="522" w:type="pct"/>
            <w:tcBorders>
              <w:top w:val="nil"/>
              <w:left w:val="nil"/>
              <w:bottom w:val="single" w:sz="8" w:space="0" w:color="auto"/>
              <w:right w:val="single" w:sz="8" w:space="0" w:color="auto"/>
            </w:tcBorders>
            <w:shd w:val="clear" w:color="auto" w:fill="auto"/>
            <w:vAlign w:val="center"/>
            <w:hideMark/>
          </w:tcPr>
          <w:p w14:paraId="635E4D8A"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2026</w:t>
            </w:r>
          </w:p>
        </w:tc>
        <w:tc>
          <w:tcPr>
            <w:tcW w:w="522" w:type="pct"/>
            <w:tcBorders>
              <w:top w:val="nil"/>
              <w:left w:val="nil"/>
              <w:bottom w:val="single" w:sz="8" w:space="0" w:color="auto"/>
              <w:right w:val="single" w:sz="8" w:space="0" w:color="auto"/>
            </w:tcBorders>
            <w:shd w:val="clear" w:color="auto" w:fill="auto"/>
            <w:vAlign w:val="center"/>
            <w:hideMark/>
          </w:tcPr>
          <w:p w14:paraId="33D1A384"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2027</w:t>
            </w:r>
          </w:p>
        </w:tc>
      </w:tr>
      <w:tr w:rsidR="00A56747" w:rsidRPr="00C754CA" w14:paraId="6FAEB5F0" w14:textId="77777777" w:rsidTr="00FF1EF4">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5D1E54F9" w14:textId="77777777" w:rsidR="00A56747" w:rsidRPr="00C754CA" w:rsidRDefault="00A56747" w:rsidP="004B53CC">
            <w:pPr>
              <w:spacing w:before="0" w:after="0"/>
              <w:jc w:val="left"/>
              <w:rPr>
                <w:rFonts w:ascii="Wingdings" w:hAnsi="Wingdings" w:cs="Calibri"/>
                <w:b/>
                <w:bCs/>
                <w:noProof/>
                <w:color w:val="000000"/>
                <w:sz w:val="16"/>
                <w:szCs w:val="16"/>
              </w:rPr>
            </w:pPr>
            <w:r w:rsidRPr="00C754CA">
              <w:rPr>
                <w:rFonts w:ascii="Wingdings" w:hAnsi="Wingdings"/>
                <w:b/>
                <w:noProof/>
                <w:color w:val="000000"/>
                <w:sz w:val="16"/>
              </w:rPr>
              <w:t></w:t>
            </w:r>
            <w:r w:rsidRPr="00C754CA">
              <w:rPr>
                <w:b/>
                <w:noProof/>
                <w:color w:val="000000"/>
                <w:sz w:val="16"/>
              </w:rPr>
              <w:t xml:space="preserve"> </w:t>
            </w:r>
            <w:r w:rsidRPr="00C754CA">
              <w:rPr>
                <w:b/>
                <w:bCs/>
                <w:noProof/>
              </w:rPr>
              <w:t>Planstellen (Beamte und Bedienstete auf Zeit)</w:t>
            </w:r>
          </w:p>
        </w:tc>
      </w:tr>
      <w:tr w:rsidR="003100E7" w:rsidRPr="00C754CA" w14:paraId="05CD3135"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C869E18"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01</w:t>
            </w:r>
            <w:r w:rsidRPr="00C754CA">
              <w:rPr>
                <w:rFonts w:ascii="Arial Narrow" w:hAnsi="Arial Narrow"/>
                <w:noProof/>
                <w:color w:val="000000"/>
                <w:sz w:val="20"/>
              </w:rPr>
              <w:t xml:space="preserve"> </w:t>
            </w:r>
            <w:r w:rsidRPr="00C754CA">
              <w:rPr>
                <w:noProof/>
                <w:color w:val="000000"/>
                <w:sz w:val="16"/>
              </w:rPr>
              <w:t>(Zentrale Dienststellen und Vertretungen der Kommission)</w:t>
            </w:r>
          </w:p>
        </w:tc>
        <w:tc>
          <w:tcPr>
            <w:tcW w:w="522" w:type="pct"/>
            <w:tcBorders>
              <w:top w:val="nil"/>
              <w:left w:val="nil"/>
              <w:bottom w:val="single" w:sz="8" w:space="0" w:color="auto"/>
              <w:right w:val="single" w:sz="8" w:space="0" w:color="auto"/>
            </w:tcBorders>
            <w:shd w:val="clear" w:color="000000" w:fill="D9D9D9"/>
            <w:vAlign w:val="center"/>
            <w:hideMark/>
          </w:tcPr>
          <w:p w14:paraId="736BB36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5CDF7C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9A6FE8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67F8990"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1D94330A"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BE57434"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03</w:t>
            </w:r>
            <w:r w:rsidRPr="00C754CA">
              <w:rPr>
                <w:noProof/>
                <w:color w:val="000000"/>
                <w:sz w:val="16"/>
              </w:rPr>
              <w:t xml:space="preserve"> (EU-Delegationen)</w:t>
            </w:r>
          </w:p>
        </w:tc>
        <w:tc>
          <w:tcPr>
            <w:tcW w:w="522" w:type="pct"/>
            <w:tcBorders>
              <w:top w:val="nil"/>
              <w:left w:val="nil"/>
              <w:bottom w:val="single" w:sz="8" w:space="0" w:color="auto"/>
              <w:right w:val="single" w:sz="8" w:space="0" w:color="auto"/>
            </w:tcBorders>
            <w:shd w:val="clear" w:color="000000" w:fill="D9D9D9"/>
            <w:vAlign w:val="center"/>
            <w:hideMark/>
          </w:tcPr>
          <w:p w14:paraId="1CA7C057"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A8A8E16"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079E2F1"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F04288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16920FB9"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976D89A"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rFonts w:ascii="Arial Narrow" w:hAnsi="Arial Narrow"/>
                <w:noProof/>
                <w:color w:val="000000"/>
                <w:sz w:val="20"/>
              </w:rPr>
              <w:t xml:space="preserve"> </w:t>
            </w:r>
            <w:r w:rsidRPr="00C754CA">
              <w:rPr>
                <w:noProof/>
                <w:color w:val="000000"/>
                <w:sz w:val="16"/>
              </w:rPr>
              <w:t>(Indirekte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3F60813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449B25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A4C40A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A59EAD0"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509BC286"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C71DDBB"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11</w:t>
            </w:r>
            <w:r w:rsidRPr="00C754CA">
              <w:rPr>
                <w:noProof/>
                <w:color w:val="000000"/>
                <w:sz w:val="16"/>
              </w:rPr>
              <w:t xml:space="preserve"> (Direkte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3754519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8CB9F1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6A42CB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35575FA"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5E422EFB"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2826C32"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Sonstige Haushaltslinien (bitte angeben)</w:t>
            </w:r>
          </w:p>
        </w:tc>
        <w:tc>
          <w:tcPr>
            <w:tcW w:w="522" w:type="pct"/>
            <w:tcBorders>
              <w:top w:val="nil"/>
              <w:left w:val="nil"/>
              <w:bottom w:val="single" w:sz="8" w:space="0" w:color="auto"/>
              <w:right w:val="single" w:sz="8" w:space="0" w:color="auto"/>
            </w:tcBorders>
            <w:shd w:val="clear" w:color="000000" w:fill="D9D9D9"/>
            <w:vAlign w:val="center"/>
            <w:hideMark/>
          </w:tcPr>
          <w:p w14:paraId="607D61A6"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51812F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79B9F23"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834D7A9"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A56747" w:rsidRPr="00C754CA" w14:paraId="2D462AD5" w14:textId="77777777" w:rsidTr="00FF1EF4">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2C11430E" w14:textId="77777777" w:rsidR="00A56747" w:rsidRPr="00C754CA" w:rsidRDefault="00A56747" w:rsidP="004B53CC">
            <w:pPr>
              <w:spacing w:before="0" w:after="0"/>
              <w:jc w:val="left"/>
              <w:rPr>
                <w:rFonts w:ascii="Wingdings" w:hAnsi="Wingdings" w:cs="Calibri"/>
                <w:b/>
                <w:bCs/>
                <w:noProof/>
                <w:color w:val="000000"/>
                <w:sz w:val="16"/>
                <w:szCs w:val="16"/>
              </w:rPr>
            </w:pPr>
            <w:r w:rsidRPr="00C754CA">
              <w:rPr>
                <w:rFonts w:ascii="Calibri" w:hAnsi="Calibri"/>
                <w:b/>
                <w:noProof/>
                <w:color w:val="000000"/>
                <w:sz w:val="16"/>
              </w:rPr>
              <w:t>•</w:t>
            </w:r>
            <w:r w:rsidRPr="00C754CA">
              <w:rPr>
                <w:b/>
                <w:noProof/>
                <w:color w:val="000000"/>
                <w:sz w:val="16"/>
              </w:rPr>
              <w:t xml:space="preserve"> Externes Personal (in VZÄ)</w:t>
            </w:r>
          </w:p>
        </w:tc>
      </w:tr>
      <w:tr w:rsidR="003100E7" w:rsidRPr="00C754CA" w14:paraId="77D6F0B1"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7E5F070"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01</w:t>
            </w:r>
            <w:r w:rsidRPr="00C754CA">
              <w:rPr>
                <w:noProof/>
                <w:color w:val="000000"/>
                <w:sz w:val="16"/>
              </w:rPr>
              <w:t xml:space="preserve"> (VB und ANS der Globaldotation)</w:t>
            </w:r>
          </w:p>
        </w:tc>
        <w:tc>
          <w:tcPr>
            <w:tcW w:w="522" w:type="pct"/>
            <w:tcBorders>
              <w:top w:val="nil"/>
              <w:left w:val="nil"/>
              <w:bottom w:val="single" w:sz="8" w:space="0" w:color="auto"/>
              <w:right w:val="single" w:sz="8" w:space="0" w:color="auto"/>
            </w:tcBorders>
            <w:shd w:val="clear" w:color="000000" w:fill="D9D9D9"/>
            <w:vAlign w:val="center"/>
            <w:hideMark/>
          </w:tcPr>
          <w:p w14:paraId="4B45E85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3EED13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BDDA1C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094CF06"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61FB6650"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BDCBC80"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03</w:t>
            </w:r>
            <w:r w:rsidRPr="00C754CA">
              <w:rPr>
                <w:noProof/>
                <w:color w:val="000000"/>
                <w:sz w:val="16"/>
              </w:rPr>
              <w:t xml:space="preserve"> (VB, ÖB, ANS und JPD in den EU-Delegationen)</w:t>
            </w:r>
          </w:p>
        </w:tc>
        <w:tc>
          <w:tcPr>
            <w:tcW w:w="522" w:type="pct"/>
            <w:tcBorders>
              <w:top w:val="nil"/>
              <w:left w:val="nil"/>
              <w:bottom w:val="single" w:sz="8" w:space="0" w:color="auto"/>
              <w:right w:val="single" w:sz="8" w:space="0" w:color="auto"/>
            </w:tcBorders>
            <w:shd w:val="clear" w:color="000000" w:fill="D9D9D9"/>
            <w:vAlign w:val="center"/>
            <w:hideMark/>
          </w:tcPr>
          <w:p w14:paraId="2E383A4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E200C4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E840E3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B22D2B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67E87E83" w14:textId="77777777" w:rsidTr="004B53CC">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14:paraId="0490FA1C" w14:textId="77777777" w:rsidR="00A56747" w:rsidRPr="00C754CA" w:rsidRDefault="00A56747" w:rsidP="004B53CC">
            <w:pPr>
              <w:spacing w:before="0" w:after="0"/>
              <w:jc w:val="center"/>
              <w:rPr>
                <w:noProof/>
                <w:color w:val="000000"/>
                <w:sz w:val="16"/>
                <w:szCs w:val="16"/>
              </w:rPr>
            </w:pPr>
            <w:r w:rsidRPr="00C754CA">
              <w:rPr>
                <w:noProof/>
                <w:color w:val="000000"/>
                <w:sz w:val="16"/>
              </w:rPr>
              <w:t>Haushaltslinie administr. Unterstützung</w:t>
            </w:r>
            <w:r w:rsidRPr="00C754CA">
              <w:rPr>
                <w:noProof/>
                <w:color w:val="000000"/>
                <w:sz w:val="16"/>
              </w:rPr>
              <w:br/>
              <w:t>[XX.</w:t>
            </w:r>
            <w:r w:rsidRPr="00E2773D">
              <w:rPr>
                <w:noProof/>
                <w:color w:val="000000"/>
                <w:sz w:val="16"/>
              </w:rPr>
              <w:t>01</w:t>
            </w:r>
            <w:r w:rsidRPr="00C754CA">
              <w:rPr>
                <w:noProof/>
                <w:color w:val="000000"/>
                <w:sz w:val="16"/>
              </w:rPr>
              <w:t>.YY.YY]</w:t>
            </w:r>
          </w:p>
        </w:tc>
        <w:tc>
          <w:tcPr>
            <w:tcW w:w="2098" w:type="pct"/>
            <w:tcBorders>
              <w:top w:val="nil"/>
              <w:left w:val="nil"/>
              <w:bottom w:val="single" w:sz="8" w:space="0" w:color="auto"/>
              <w:right w:val="single" w:sz="8" w:space="0" w:color="auto"/>
            </w:tcBorders>
            <w:shd w:val="clear" w:color="auto" w:fill="auto"/>
            <w:vAlign w:val="center"/>
            <w:hideMark/>
          </w:tcPr>
          <w:p w14:paraId="48D7BEFE"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 in den zentralen Dienststellen</w:t>
            </w:r>
          </w:p>
        </w:tc>
        <w:tc>
          <w:tcPr>
            <w:tcW w:w="522" w:type="pct"/>
            <w:tcBorders>
              <w:top w:val="nil"/>
              <w:left w:val="nil"/>
              <w:bottom w:val="single" w:sz="8" w:space="0" w:color="auto"/>
              <w:right w:val="single" w:sz="8" w:space="0" w:color="auto"/>
            </w:tcBorders>
            <w:shd w:val="clear" w:color="000000" w:fill="D9D9D9"/>
            <w:vAlign w:val="center"/>
            <w:hideMark/>
          </w:tcPr>
          <w:p w14:paraId="17C6E04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397D57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2E635B7"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4A7796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3B971899" w14:textId="77777777" w:rsidTr="004B53CC">
        <w:trPr>
          <w:trHeight w:val="300"/>
        </w:trPr>
        <w:tc>
          <w:tcPr>
            <w:tcW w:w="815" w:type="pct"/>
            <w:vMerge/>
            <w:tcBorders>
              <w:top w:val="nil"/>
              <w:left w:val="single" w:sz="8" w:space="0" w:color="auto"/>
              <w:bottom w:val="single" w:sz="8" w:space="0" w:color="auto"/>
              <w:right w:val="single" w:sz="8" w:space="0" w:color="auto"/>
            </w:tcBorders>
            <w:vAlign w:val="center"/>
            <w:hideMark/>
          </w:tcPr>
          <w:p w14:paraId="5D4A6698" w14:textId="77777777" w:rsidR="00A56747" w:rsidRPr="00C754CA" w:rsidRDefault="00A56747" w:rsidP="004B53CC">
            <w:pPr>
              <w:spacing w:before="0" w:after="0"/>
              <w:jc w:val="left"/>
              <w:rPr>
                <w:noProof/>
                <w:color w:val="000000"/>
                <w:sz w:val="16"/>
                <w:szCs w:val="16"/>
                <w:lang w:eastAsia="en-IE"/>
              </w:rPr>
            </w:pPr>
          </w:p>
        </w:tc>
        <w:tc>
          <w:tcPr>
            <w:tcW w:w="2098" w:type="pct"/>
            <w:tcBorders>
              <w:top w:val="nil"/>
              <w:left w:val="nil"/>
              <w:bottom w:val="single" w:sz="8" w:space="0" w:color="auto"/>
              <w:right w:val="single" w:sz="8" w:space="0" w:color="auto"/>
            </w:tcBorders>
            <w:shd w:val="clear" w:color="auto" w:fill="auto"/>
            <w:vAlign w:val="center"/>
            <w:hideMark/>
          </w:tcPr>
          <w:p w14:paraId="0A4EAA7E"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 xml:space="preserve">- in den EU-Delegationen </w:t>
            </w:r>
          </w:p>
        </w:tc>
        <w:tc>
          <w:tcPr>
            <w:tcW w:w="522" w:type="pct"/>
            <w:tcBorders>
              <w:top w:val="nil"/>
              <w:left w:val="nil"/>
              <w:bottom w:val="single" w:sz="8" w:space="0" w:color="auto"/>
              <w:right w:val="single" w:sz="8" w:space="0" w:color="auto"/>
            </w:tcBorders>
            <w:shd w:val="clear" w:color="000000" w:fill="D9D9D9"/>
            <w:vAlign w:val="center"/>
            <w:hideMark/>
          </w:tcPr>
          <w:p w14:paraId="06EF4C0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543D753"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6A84286"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00CF16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42EFF012"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E97875D"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02</w:t>
            </w:r>
            <w:r w:rsidRPr="00C754CA">
              <w:rPr>
                <w:noProof/>
                <w:color w:val="000000"/>
                <w:sz w:val="16"/>
              </w:rPr>
              <w:t xml:space="preserve"> (VB und ANS – indirekte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0630D63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A962D1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E4C4E3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060F6F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1A26C9E1"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9D9CA2B"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 xml:space="preserve">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12</w:t>
            </w:r>
            <w:r w:rsidRPr="00C754CA">
              <w:rPr>
                <w:noProof/>
                <w:color w:val="000000"/>
                <w:sz w:val="16"/>
              </w:rPr>
              <w:t xml:space="preserve"> (VB und ANS – 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032D8F1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5D82DE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16656C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E1D03C7"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77D510AD"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D1B7562"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Sonstige Haushaltslinien (bitte angeben) – Rubrik </w:t>
            </w:r>
            <w:r w:rsidRPr="00E2773D">
              <w:rPr>
                <w:noProof/>
                <w:color w:val="000000"/>
                <w:sz w:val="16"/>
              </w:rPr>
              <w:t>7</w:t>
            </w:r>
          </w:p>
        </w:tc>
        <w:tc>
          <w:tcPr>
            <w:tcW w:w="522" w:type="pct"/>
            <w:tcBorders>
              <w:top w:val="nil"/>
              <w:left w:val="nil"/>
              <w:bottom w:val="single" w:sz="8" w:space="0" w:color="auto"/>
              <w:right w:val="single" w:sz="8" w:space="0" w:color="auto"/>
            </w:tcBorders>
            <w:shd w:val="clear" w:color="000000" w:fill="D9D9D9"/>
            <w:vAlign w:val="center"/>
            <w:hideMark/>
          </w:tcPr>
          <w:p w14:paraId="017316B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73BCD8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C4802A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19B2486"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21B80BCC"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3EDC18C"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Sonstige Haushaltslinien (bitte angeben) – außerhalb der Rubrik </w:t>
            </w:r>
            <w:r w:rsidRPr="00E2773D">
              <w:rPr>
                <w:noProof/>
                <w:color w:val="000000"/>
                <w:sz w:val="16"/>
              </w:rPr>
              <w:t>7</w:t>
            </w:r>
          </w:p>
        </w:tc>
        <w:tc>
          <w:tcPr>
            <w:tcW w:w="522" w:type="pct"/>
            <w:tcBorders>
              <w:top w:val="nil"/>
              <w:left w:val="nil"/>
              <w:bottom w:val="single" w:sz="8" w:space="0" w:color="auto"/>
              <w:right w:val="single" w:sz="8" w:space="0" w:color="auto"/>
            </w:tcBorders>
            <w:shd w:val="clear" w:color="000000" w:fill="D9D9D9"/>
            <w:vAlign w:val="center"/>
            <w:hideMark/>
          </w:tcPr>
          <w:p w14:paraId="1326E5B7"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647466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7644AEA"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D9AABA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2639B546"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A95AB1" w14:textId="77777777" w:rsidR="00A56747" w:rsidRPr="00C754CA" w:rsidRDefault="00A56747" w:rsidP="004B53CC">
            <w:pPr>
              <w:spacing w:before="0" w:after="0"/>
              <w:ind w:firstLineChars="100" w:firstLine="160"/>
              <w:jc w:val="left"/>
              <w:rPr>
                <w:b/>
                <w:bCs/>
                <w:noProof/>
                <w:color w:val="000000"/>
                <w:sz w:val="16"/>
                <w:szCs w:val="16"/>
              </w:rPr>
            </w:pPr>
            <w:r w:rsidRPr="00C754CA">
              <w:rPr>
                <w:b/>
                <w:noProof/>
                <w:color w:val="000000"/>
                <w:sz w:val="16"/>
              </w:rPr>
              <w:t>INSGESAMT</w:t>
            </w:r>
          </w:p>
        </w:tc>
        <w:tc>
          <w:tcPr>
            <w:tcW w:w="522" w:type="pct"/>
            <w:tcBorders>
              <w:top w:val="nil"/>
              <w:left w:val="nil"/>
              <w:bottom w:val="single" w:sz="8" w:space="0" w:color="auto"/>
              <w:right w:val="single" w:sz="8" w:space="0" w:color="auto"/>
            </w:tcBorders>
            <w:shd w:val="clear" w:color="000000" w:fill="D9D9D9"/>
            <w:vAlign w:val="center"/>
            <w:hideMark/>
          </w:tcPr>
          <w:p w14:paraId="7808FA03"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B6C2A65"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FA32E58"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235D503"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r>
    </w:tbl>
    <w:p w14:paraId="0EEC0876" w14:textId="77777777" w:rsidR="00A56747" w:rsidRPr="00C754CA" w:rsidRDefault="00A56747" w:rsidP="00A56747">
      <w:pPr>
        <w:pStyle w:val="ManualHeading3"/>
        <w:rPr>
          <w:noProof/>
        </w:rPr>
      </w:pPr>
      <w:bookmarkStart w:id="221" w:name="_Toc167220296"/>
      <w:bookmarkStart w:id="222" w:name="_Toc177549029"/>
      <w:r w:rsidRPr="00E2773D">
        <w:rPr>
          <w:noProof/>
        </w:rPr>
        <w:t>3</w:t>
      </w:r>
      <w:r w:rsidRPr="00C754CA">
        <w:rPr>
          <w:noProof/>
        </w:rPr>
        <w:t>.</w:t>
      </w:r>
      <w:r w:rsidRPr="00E2773D">
        <w:rPr>
          <w:noProof/>
        </w:rPr>
        <w:t>2</w:t>
      </w:r>
      <w:r w:rsidRPr="00C754CA">
        <w:rPr>
          <w:noProof/>
        </w:rPr>
        <w:t>.</w:t>
      </w:r>
      <w:r w:rsidRPr="00E2773D">
        <w:rPr>
          <w:noProof/>
        </w:rPr>
        <w:t>4</w:t>
      </w:r>
      <w:r w:rsidRPr="00C754CA">
        <w:rPr>
          <w:noProof/>
        </w:rPr>
        <w:t>.</w:t>
      </w:r>
      <w:r w:rsidRPr="00E2773D">
        <w:rPr>
          <w:noProof/>
        </w:rPr>
        <w:t>2</w:t>
      </w:r>
      <w:r w:rsidRPr="00C754CA">
        <w:rPr>
          <w:noProof/>
        </w:rPr>
        <w:tab/>
        <w:t>Finanziert aus externen zweckgebundenen Einnahmen</w:t>
      </w:r>
      <w:bookmarkEnd w:id="221"/>
      <w:bookmarkEnd w:id="222"/>
    </w:p>
    <w:tbl>
      <w:tblPr>
        <w:tblW w:w="5000" w:type="pct"/>
        <w:tblLook w:val="04A0" w:firstRow="1" w:lastRow="0" w:firstColumn="1" w:lastColumn="0" w:noHBand="0" w:noVBand="1"/>
      </w:tblPr>
      <w:tblGrid>
        <w:gridCol w:w="1513"/>
        <w:gridCol w:w="3898"/>
        <w:gridCol w:w="970"/>
        <w:gridCol w:w="970"/>
        <w:gridCol w:w="970"/>
        <w:gridCol w:w="968"/>
      </w:tblGrid>
      <w:tr w:rsidR="00A56747" w:rsidRPr="00C754CA" w14:paraId="089E804A" w14:textId="77777777" w:rsidTr="00FF1EF4">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0D5C07" w14:textId="77777777" w:rsidR="00A56747" w:rsidRPr="00C754CA" w:rsidRDefault="00A56747" w:rsidP="004B53CC">
            <w:pPr>
              <w:spacing w:before="0" w:after="0"/>
              <w:jc w:val="center"/>
              <w:rPr>
                <w:b/>
                <w:bCs/>
                <w:noProof/>
                <w:color w:val="000000"/>
                <w:sz w:val="18"/>
                <w:szCs w:val="18"/>
              </w:rPr>
            </w:pPr>
            <w:r w:rsidRPr="00C754CA">
              <w:rPr>
                <w:b/>
                <w:noProof/>
                <w:color w:val="000000"/>
                <w:sz w:val="18"/>
              </w:rPr>
              <w:t>EXTERNE ZWECKGEBUNDENE EINNAHMEN</w:t>
            </w:r>
          </w:p>
        </w:tc>
        <w:tc>
          <w:tcPr>
            <w:tcW w:w="522" w:type="pct"/>
            <w:tcBorders>
              <w:top w:val="single" w:sz="8" w:space="0" w:color="auto"/>
              <w:left w:val="nil"/>
              <w:bottom w:val="nil"/>
              <w:right w:val="single" w:sz="8" w:space="0" w:color="auto"/>
            </w:tcBorders>
            <w:shd w:val="clear" w:color="auto" w:fill="auto"/>
            <w:vAlign w:val="center"/>
            <w:hideMark/>
          </w:tcPr>
          <w:p w14:paraId="6B90451E"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22" w:type="pct"/>
            <w:tcBorders>
              <w:top w:val="single" w:sz="8" w:space="0" w:color="auto"/>
              <w:left w:val="nil"/>
              <w:bottom w:val="nil"/>
              <w:right w:val="single" w:sz="8" w:space="0" w:color="auto"/>
            </w:tcBorders>
            <w:shd w:val="clear" w:color="auto" w:fill="auto"/>
            <w:vAlign w:val="center"/>
            <w:hideMark/>
          </w:tcPr>
          <w:p w14:paraId="18B8822B"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22" w:type="pct"/>
            <w:tcBorders>
              <w:top w:val="single" w:sz="8" w:space="0" w:color="auto"/>
              <w:left w:val="nil"/>
              <w:bottom w:val="nil"/>
              <w:right w:val="single" w:sz="8" w:space="0" w:color="auto"/>
            </w:tcBorders>
            <w:shd w:val="clear" w:color="auto" w:fill="auto"/>
            <w:vAlign w:val="center"/>
            <w:hideMark/>
          </w:tcPr>
          <w:p w14:paraId="79665F3E"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522" w:type="pct"/>
            <w:tcBorders>
              <w:top w:val="single" w:sz="8" w:space="0" w:color="auto"/>
              <w:left w:val="nil"/>
              <w:bottom w:val="nil"/>
              <w:right w:val="single" w:sz="8" w:space="0" w:color="auto"/>
            </w:tcBorders>
            <w:shd w:val="clear" w:color="auto" w:fill="auto"/>
            <w:vAlign w:val="center"/>
            <w:hideMark/>
          </w:tcPr>
          <w:p w14:paraId="6760D37E"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r>
      <w:tr w:rsidR="00A56747" w:rsidRPr="00C754CA" w14:paraId="6F1756B0" w14:textId="77777777" w:rsidTr="00FF1EF4">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14:paraId="43AC3F7E" w14:textId="77777777" w:rsidR="00A56747" w:rsidRPr="00C754CA" w:rsidRDefault="00A56747" w:rsidP="004B53CC">
            <w:pPr>
              <w:spacing w:before="0" w:after="0"/>
              <w:jc w:val="left"/>
              <w:rPr>
                <w:b/>
                <w:bCs/>
                <w:noProof/>
                <w:color w:val="000000"/>
                <w:sz w:val="18"/>
                <w:szCs w:val="18"/>
                <w:lang w:eastAsia="en-IE"/>
              </w:rPr>
            </w:pPr>
          </w:p>
        </w:tc>
        <w:tc>
          <w:tcPr>
            <w:tcW w:w="522" w:type="pct"/>
            <w:tcBorders>
              <w:top w:val="nil"/>
              <w:left w:val="nil"/>
              <w:bottom w:val="single" w:sz="8" w:space="0" w:color="auto"/>
              <w:right w:val="single" w:sz="8" w:space="0" w:color="auto"/>
            </w:tcBorders>
            <w:shd w:val="clear" w:color="auto" w:fill="auto"/>
            <w:vAlign w:val="center"/>
            <w:hideMark/>
          </w:tcPr>
          <w:p w14:paraId="420CAFD9"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2024</w:t>
            </w:r>
          </w:p>
        </w:tc>
        <w:tc>
          <w:tcPr>
            <w:tcW w:w="522" w:type="pct"/>
            <w:tcBorders>
              <w:top w:val="nil"/>
              <w:left w:val="nil"/>
              <w:bottom w:val="single" w:sz="8" w:space="0" w:color="auto"/>
              <w:right w:val="single" w:sz="8" w:space="0" w:color="auto"/>
            </w:tcBorders>
            <w:shd w:val="clear" w:color="auto" w:fill="auto"/>
            <w:vAlign w:val="center"/>
            <w:hideMark/>
          </w:tcPr>
          <w:p w14:paraId="7BC2E0F5"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2025</w:t>
            </w:r>
          </w:p>
        </w:tc>
        <w:tc>
          <w:tcPr>
            <w:tcW w:w="522" w:type="pct"/>
            <w:tcBorders>
              <w:top w:val="nil"/>
              <w:left w:val="nil"/>
              <w:bottom w:val="single" w:sz="8" w:space="0" w:color="auto"/>
              <w:right w:val="single" w:sz="8" w:space="0" w:color="auto"/>
            </w:tcBorders>
            <w:shd w:val="clear" w:color="auto" w:fill="auto"/>
            <w:vAlign w:val="center"/>
            <w:hideMark/>
          </w:tcPr>
          <w:p w14:paraId="7E3D21FE"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2026</w:t>
            </w:r>
          </w:p>
        </w:tc>
        <w:tc>
          <w:tcPr>
            <w:tcW w:w="522" w:type="pct"/>
            <w:tcBorders>
              <w:top w:val="nil"/>
              <w:left w:val="nil"/>
              <w:bottom w:val="single" w:sz="8" w:space="0" w:color="auto"/>
              <w:right w:val="single" w:sz="8" w:space="0" w:color="auto"/>
            </w:tcBorders>
            <w:shd w:val="clear" w:color="auto" w:fill="auto"/>
            <w:vAlign w:val="center"/>
            <w:hideMark/>
          </w:tcPr>
          <w:p w14:paraId="0A4E0B62"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2027</w:t>
            </w:r>
          </w:p>
        </w:tc>
      </w:tr>
      <w:tr w:rsidR="00A56747" w:rsidRPr="00C754CA" w14:paraId="69B67358" w14:textId="77777777" w:rsidTr="00FF1EF4">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6D657E98" w14:textId="77777777" w:rsidR="00A56747" w:rsidRPr="00C754CA" w:rsidRDefault="00A56747" w:rsidP="004B53CC">
            <w:pPr>
              <w:spacing w:before="0" w:after="0"/>
              <w:jc w:val="left"/>
              <w:rPr>
                <w:rFonts w:ascii="Wingdings" w:hAnsi="Wingdings" w:cs="Calibri"/>
                <w:b/>
                <w:bCs/>
                <w:noProof/>
                <w:color w:val="000000"/>
                <w:sz w:val="16"/>
                <w:szCs w:val="16"/>
              </w:rPr>
            </w:pPr>
            <w:r w:rsidRPr="00C754CA">
              <w:rPr>
                <w:rFonts w:ascii="Wingdings" w:hAnsi="Wingdings"/>
                <w:b/>
                <w:noProof/>
                <w:color w:val="000000"/>
                <w:sz w:val="16"/>
              </w:rPr>
              <w:t></w:t>
            </w:r>
            <w:r w:rsidRPr="00C754CA">
              <w:rPr>
                <w:b/>
                <w:noProof/>
                <w:color w:val="000000"/>
                <w:sz w:val="16"/>
              </w:rPr>
              <w:t xml:space="preserve"> </w:t>
            </w:r>
            <w:r w:rsidRPr="00C754CA">
              <w:rPr>
                <w:b/>
                <w:bCs/>
                <w:noProof/>
              </w:rPr>
              <w:t>Planstellen (Beamte und Bedienstete auf Zeit)</w:t>
            </w:r>
          </w:p>
        </w:tc>
      </w:tr>
      <w:tr w:rsidR="003100E7" w:rsidRPr="00C754CA" w14:paraId="52DBA4F2"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773E6FD"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01</w:t>
            </w:r>
            <w:r w:rsidRPr="00C754CA">
              <w:rPr>
                <w:rFonts w:ascii="Arial Narrow" w:hAnsi="Arial Narrow"/>
                <w:noProof/>
                <w:color w:val="000000"/>
                <w:sz w:val="20"/>
              </w:rPr>
              <w:t xml:space="preserve"> </w:t>
            </w:r>
            <w:r w:rsidRPr="00C754CA">
              <w:rPr>
                <w:noProof/>
                <w:color w:val="000000"/>
                <w:sz w:val="16"/>
              </w:rPr>
              <w:t>(Zentrale Dienststellen und Vertretungen der Kommission)</w:t>
            </w:r>
          </w:p>
        </w:tc>
        <w:tc>
          <w:tcPr>
            <w:tcW w:w="522" w:type="pct"/>
            <w:tcBorders>
              <w:top w:val="nil"/>
              <w:left w:val="nil"/>
              <w:bottom w:val="single" w:sz="8" w:space="0" w:color="auto"/>
              <w:right w:val="single" w:sz="8" w:space="0" w:color="auto"/>
            </w:tcBorders>
            <w:shd w:val="clear" w:color="000000" w:fill="D9D9D9"/>
            <w:vAlign w:val="center"/>
            <w:hideMark/>
          </w:tcPr>
          <w:p w14:paraId="54714097"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7C7C20A"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56BC3A9"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23E15EA"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5994F9FE"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F53CA54"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03</w:t>
            </w:r>
            <w:r w:rsidRPr="00C754CA">
              <w:rPr>
                <w:noProof/>
                <w:color w:val="000000"/>
                <w:sz w:val="16"/>
              </w:rPr>
              <w:t xml:space="preserve"> (EU-Delegationen)</w:t>
            </w:r>
          </w:p>
        </w:tc>
        <w:tc>
          <w:tcPr>
            <w:tcW w:w="522" w:type="pct"/>
            <w:tcBorders>
              <w:top w:val="nil"/>
              <w:left w:val="nil"/>
              <w:bottom w:val="single" w:sz="8" w:space="0" w:color="auto"/>
              <w:right w:val="single" w:sz="8" w:space="0" w:color="auto"/>
            </w:tcBorders>
            <w:shd w:val="clear" w:color="000000" w:fill="D9D9D9"/>
            <w:vAlign w:val="center"/>
            <w:hideMark/>
          </w:tcPr>
          <w:p w14:paraId="5C85E05D"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6FD468D"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D883EE1"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EE1054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6BBCF762"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34766C1"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xml:space="preserve"> (Indirekte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253DE00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1C7D47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A2FB3D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313700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16FC63D8"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6B51B4"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11</w:t>
            </w:r>
            <w:r w:rsidRPr="00C754CA">
              <w:rPr>
                <w:noProof/>
                <w:color w:val="000000"/>
                <w:sz w:val="16"/>
              </w:rPr>
              <w:t xml:space="preserve"> (Direkte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6F2A3DD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292ED3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9A44DD9"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F4B4E01"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2D929FA4"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B8F0306"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Sonstige Haushaltslinien (bitte angeben)</w:t>
            </w:r>
          </w:p>
        </w:tc>
        <w:tc>
          <w:tcPr>
            <w:tcW w:w="522" w:type="pct"/>
            <w:tcBorders>
              <w:top w:val="nil"/>
              <w:left w:val="nil"/>
              <w:bottom w:val="single" w:sz="8" w:space="0" w:color="auto"/>
              <w:right w:val="single" w:sz="8" w:space="0" w:color="auto"/>
            </w:tcBorders>
            <w:shd w:val="clear" w:color="000000" w:fill="D9D9D9"/>
            <w:vAlign w:val="center"/>
            <w:hideMark/>
          </w:tcPr>
          <w:p w14:paraId="6873E7CD"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1908F9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1E1982D"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697EE03"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A56747" w:rsidRPr="00C754CA" w14:paraId="29FE7D3E" w14:textId="77777777" w:rsidTr="00FF1EF4">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6D03130B" w14:textId="77777777" w:rsidR="00A56747" w:rsidRPr="00C754CA" w:rsidRDefault="00A56747" w:rsidP="004B53CC">
            <w:pPr>
              <w:spacing w:before="0" w:after="0"/>
              <w:jc w:val="left"/>
              <w:rPr>
                <w:rFonts w:ascii="Wingdings" w:hAnsi="Wingdings" w:cs="Calibri"/>
                <w:b/>
                <w:bCs/>
                <w:noProof/>
                <w:color w:val="000000"/>
                <w:sz w:val="16"/>
                <w:szCs w:val="16"/>
              </w:rPr>
            </w:pPr>
            <w:r w:rsidRPr="00C754CA">
              <w:rPr>
                <w:rFonts w:ascii="Calibri" w:hAnsi="Calibri"/>
                <w:b/>
                <w:noProof/>
                <w:color w:val="000000"/>
                <w:sz w:val="16"/>
              </w:rPr>
              <w:t>•</w:t>
            </w:r>
            <w:r w:rsidRPr="00C754CA">
              <w:rPr>
                <w:b/>
                <w:noProof/>
                <w:color w:val="000000"/>
                <w:sz w:val="16"/>
              </w:rPr>
              <w:t xml:space="preserve"> Externes Personal (in Vollzeitäquivalenten)</w:t>
            </w:r>
          </w:p>
        </w:tc>
      </w:tr>
      <w:tr w:rsidR="003100E7" w:rsidRPr="00C754CA" w14:paraId="406FE724"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3176AE6"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01</w:t>
            </w:r>
            <w:r w:rsidRPr="00C754CA">
              <w:rPr>
                <w:noProof/>
                <w:color w:val="000000"/>
                <w:sz w:val="16"/>
              </w:rPr>
              <w:t xml:space="preserve"> (VB und ANS der Globaldotation)</w:t>
            </w:r>
          </w:p>
        </w:tc>
        <w:tc>
          <w:tcPr>
            <w:tcW w:w="522" w:type="pct"/>
            <w:tcBorders>
              <w:top w:val="nil"/>
              <w:left w:val="nil"/>
              <w:bottom w:val="single" w:sz="8" w:space="0" w:color="auto"/>
              <w:right w:val="single" w:sz="8" w:space="0" w:color="auto"/>
            </w:tcBorders>
            <w:shd w:val="clear" w:color="000000" w:fill="D9D9D9"/>
            <w:vAlign w:val="center"/>
            <w:hideMark/>
          </w:tcPr>
          <w:p w14:paraId="546CB5F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98CEE30"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E9A892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98C24E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53134659"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031F48"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03</w:t>
            </w:r>
            <w:r w:rsidRPr="00C754CA">
              <w:rPr>
                <w:noProof/>
                <w:color w:val="000000"/>
                <w:sz w:val="16"/>
              </w:rPr>
              <w:t xml:space="preserve"> (VB, ÖB, ANS und JPD in den EU-Delegationen)</w:t>
            </w:r>
          </w:p>
        </w:tc>
        <w:tc>
          <w:tcPr>
            <w:tcW w:w="522" w:type="pct"/>
            <w:tcBorders>
              <w:top w:val="nil"/>
              <w:left w:val="nil"/>
              <w:bottom w:val="single" w:sz="8" w:space="0" w:color="auto"/>
              <w:right w:val="single" w:sz="8" w:space="0" w:color="auto"/>
            </w:tcBorders>
            <w:shd w:val="clear" w:color="000000" w:fill="D9D9D9"/>
            <w:vAlign w:val="center"/>
            <w:hideMark/>
          </w:tcPr>
          <w:p w14:paraId="32D3C069"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08938EA"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B592866"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66F9E29"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7C0901BE" w14:textId="77777777" w:rsidTr="004B53CC">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14:paraId="257EB66A" w14:textId="77777777" w:rsidR="00A56747" w:rsidRPr="00C754CA" w:rsidRDefault="00A56747" w:rsidP="004B53CC">
            <w:pPr>
              <w:spacing w:before="0" w:after="0"/>
              <w:jc w:val="center"/>
              <w:rPr>
                <w:noProof/>
                <w:color w:val="000000"/>
                <w:sz w:val="16"/>
                <w:szCs w:val="16"/>
              </w:rPr>
            </w:pPr>
            <w:r w:rsidRPr="00C754CA">
              <w:rPr>
                <w:noProof/>
                <w:color w:val="000000"/>
                <w:sz w:val="16"/>
              </w:rPr>
              <w:t xml:space="preserve">Haushaltslinie administr. Unterstützung </w:t>
            </w:r>
            <w:r w:rsidRPr="00C754CA">
              <w:rPr>
                <w:noProof/>
                <w:color w:val="000000"/>
                <w:sz w:val="16"/>
              </w:rPr>
              <w:br/>
              <w:t>[XX.</w:t>
            </w:r>
            <w:r w:rsidRPr="00E2773D">
              <w:rPr>
                <w:noProof/>
                <w:color w:val="000000"/>
                <w:sz w:val="16"/>
              </w:rPr>
              <w:t>01</w:t>
            </w:r>
            <w:r w:rsidRPr="00C754CA">
              <w:rPr>
                <w:noProof/>
                <w:color w:val="000000"/>
                <w:sz w:val="16"/>
              </w:rPr>
              <w:t>.YY.YY]</w:t>
            </w:r>
          </w:p>
        </w:tc>
        <w:tc>
          <w:tcPr>
            <w:tcW w:w="2098" w:type="pct"/>
            <w:tcBorders>
              <w:top w:val="nil"/>
              <w:left w:val="nil"/>
              <w:bottom w:val="single" w:sz="8" w:space="0" w:color="auto"/>
              <w:right w:val="single" w:sz="8" w:space="0" w:color="auto"/>
            </w:tcBorders>
            <w:shd w:val="clear" w:color="auto" w:fill="auto"/>
            <w:vAlign w:val="center"/>
            <w:hideMark/>
          </w:tcPr>
          <w:p w14:paraId="0928B5DC"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 in den zentralen Dienststellen</w:t>
            </w:r>
          </w:p>
        </w:tc>
        <w:tc>
          <w:tcPr>
            <w:tcW w:w="522" w:type="pct"/>
            <w:tcBorders>
              <w:top w:val="nil"/>
              <w:left w:val="nil"/>
              <w:bottom w:val="single" w:sz="8" w:space="0" w:color="auto"/>
              <w:right w:val="single" w:sz="8" w:space="0" w:color="auto"/>
            </w:tcBorders>
            <w:shd w:val="clear" w:color="000000" w:fill="D9D9D9"/>
            <w:vAlign w:val="center"/>
            <w:hideMark/>
          </w:tcPr>
          <w:p w14:paraId="79D578F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D8F4101"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BBD74B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E346B66"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503F955E" w14:textId="77777777" w:rsidTr="004B53CC">
        <w:trPr>
          <w:trHeight w:val="300"/>
        </w:trPr>
        <w:tc>
          <w:tcPr>
            <w:tcW w:w="815" w:type="pct"/>
            <w:vMerge/>
            <w:tcBorders>
              <w:top w:val="nil"/>
              <w:left w:val="single" w:sz="8" w:space="0" w:color="auto"/>
              <w:bottom w:val="single" w:sz="8" w:space="0" w:color="auto"/>
              <w:right w:val="single" w:sz="8" w:space="0" w:color="auto"/>
            </w:tcBorders>
            <w:vAlign w:val="center"/>
            <w:hideMark/>
          </w:tcPr>
          <w:p w14:paraId="0094C020" w14:textId="77777777" w:rsidR="00A56747" w:rsidRPr="00C754CA" w:rsidRDefault="00A56747" w:rsidP="004B53CC">
            <w:pPr>
              <w:spacing w:before="0" w:after="0"/>
              <w:jc w:val="left"/>
              <w:rPr>
                <w:noProof/>
                <w:color w:val="000000"/>
                <w:sz w:val="16"/>
                <w:szCs w:val="16"/>
                <w:lang w:eastAsia="en-IE"/>
              </w:rPr>
            </w:pPr>
          </w:p>
        </w:tc>
        <w:tc>
          <w:tcPr>
            <w:tcW w:w="2098" w:type="pct"/>
            <w:tcBorders>
              <w:top w:val="nil"/>
              <w:left w:val="nil"/>
              <w:bottom w:val="single" w:sz="8" w:space="0" w:color="auto"/>
              <w:right w:val="single" w:sz="8" w:space="0" w:color="auto"/>
            </w:tcBorders>
            <w:shd w:val="clear" w:color="auto" w:fill="auto"/>
            <w:vAlign w:val="center"/>
            <w:hideMark/>
          </w:tcPr>
          <w:p w14:paraId="659B46E4"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 xml:space="preserve">- in den EU-Delegationen </w:t>
            </w:r>
          </w:p>
        </w:tc>
        <w:tc>
          <w:tcPr>
            <w:tcW w:w="522" w:type="pct"/>
            <w:tcBorders>
              <w:top w:val="nil"/>
              <w:left w:val="nil"/>
              <w:bottom w:val="single" w:sz="8" w:space="0" w:color="auto"/>
              <w:right w:val="single" w:sz="8" w:space="0" w:color="auto"/>
            </w:tcBorders>
            <w:shd w:val="clear" w:color="000000" w:fill="D9D9D9"/>
            <w:vAlign w:val="center"/>
            <w:hideMark/>
          </w:tcPr>
          <w:p w14:paraId="10FB8CA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D505A6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EA82869"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4231093"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651C7DD7"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252194E"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02</w:t>
            </w:r>
            <w:r w:rsidRPr="00C754CA">
              <w:rPr>
                <w:noProof/>
                <w:color w:val="000000"/>
                <w:sz w:val="16"/>
              </w:rPr>
              <w:t xml:space="preserve"> (VB und ANS – indirekte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12A19D3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D199661"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9AAFF0D"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0075A3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65EC840A"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114922D"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 xml:space="preserve">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12</w:t>
            </w:r>
            <w:r w:rsidRPr="00C754CA">
              <w:rPr>
                <w:noProof/>
                <w:color w:val="000000"/>
                <w:sz w:val="16"/>
              </w:rPr>
              <w:t xml:space="preserve"> (VB und ANS – 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5D387F7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B7FF8F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77FD12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D88D8A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11737525"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9259C3"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Sonstige Haushaltslinien (bitte angeben) – Rubrik </w:t>
            </w:r>
            <w:r w:rsidRPr="00E2773D">
              <w:rPr>
                <w:noProof/>
                <w:color w:val="000000"/>
                <w:sz w:val="16"/>
              </w:rPr>
              <w:t>7</w:t>
            </w:r>
          </w:p>
        </w:tc>
        <w:tc>
          <w:tcPr>
            <w:tcW w:w="522" w:type="pct"/>
            <w:tcBorders>
              <w:top w:val="nil"/>
              <w:left w:val="nil"/>
              <w:bottom w:val="single" w:sz="8" w:space="0" w:color="auto"/>
              <w:right w:val="single" w:sz="8" w:space="0" w:color="auto"/>
            </w:tcBorders>
            <w:shd w:val="clear" w:color="000000" w:fill="D9D9D9"/>
            <w:vAlign w:val="center"/>
            <w:hideMark/>
          </w:tcPr>
          <w:p w14:paraId="328A576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0488BF3"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A2DA837"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49B3600"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794066D4"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561C970"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Sonstige Haushaltslinien (bitte angeben) – außerhalb der Rubrik </w:t>
            </w:r>
            <w:r w:rsidRPr="00E2773D">
              <w:rPr>
                <w:noProof/>
                <w:color w:val="000000"/>
                <w:sz w:val="16"/>
              </w:rPr>
              <w:t>7</w:t>
            </w:r>
          </w:p>
        </w:tc>
        <w:tc>
          <w:tcPr>
            <w:tcW w:w="522" w:type="pct"/>
            <w:tcBorders>
              <w:top w:val="nil"/>
              <w:left w:val="nil"/>
              <w:bottom w:val="single" w:sz="8" w:space="0" w:color="auto"/>
              <w:right w:val="single" w:sz="8" w:space="0" w:color="auto"/>
            </w:tcBorders>
            <w:shd w:val="clear" w:color="000000" w:fill="D9D9D9"/>
            <w:vAlign w:val="center"/>
            <w:hideMark/>
          </w:tcPr>
          <w:p w14:paraId="63797B9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6884380"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4925CF0"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E04626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41246B70" w14:textId="77777777" w:rsidTr="004B53CC">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6B5C98E" w14:textId="77777777" w:rsidR="00A56747" w:rsidRPr="00C754CA" w:rsidRDefault="00A56747" w:rsidP="004B53CC">
            <w:pPr>
              <w:spacing w:before="0" w:after="0"/>
              <w:ind w:firstLineChars="100" w:firstLine="160"/>
              <w:jc w:val="left"/>
              <w:rPr>
                <w:b/>
                <w:bCs/>
                <w:noProof/>
                <w:color w:val="000000"/>
                <w:sz w:val="16"/>
                <w:szCs w:val="16"/>
              </w:rPr>
            </w:pPr>
            <w:r w:rsidRPr="00C754CA">
              <w:rPr>
                <w:b/>
                <w:noProof/>
                <w:color w:val="000000"/>
                <w:sz w:val="16"/>
              </w:rPr>
              <w:t>INSGESAMT</w:t>
            </w:r>
          </w:p>
        </w:tc>
        <w:tc>
          <w:tcPr>
            <w:tcW w:w="522" w:type="pct"/>
            <w:tcBorders>
              <w:top w:val="nil"/>
              <w:left w:val="nil"/>
              <w:bottom w:val="single" w:sz="8" w:space="0" w:color="auto"/>
              <w:right w:val="single" w:sz="8" w:space="0" w:color="auto"/>
            </w:tcBorders>
            <w:shd w:val="clear" w:color="000000" w:fill="D9D9D9"/>
            <w:vAlign w:val="center"/>
            <w:hideMark/>
          </w:tcPr>
          <w:p w14:paraId="77020DD8"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4DA1FB1"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EFE8577"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55320F6"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r>
    </w:tbl>
    <w:p w14:paraId="2D3A7B02" w14:textId="77777777" w:rsidR="00A56747" w:rsidRPr="00C754CA" w:rsidRDefault="00A56747" w:rsidP="00A56747">
      <w:pPr>
        <w:pStyle w:val="ManualHeading3"/>
        <w:rPr>
          <w:noProof/>
        </w:rPr>
      </w:pPr>
      <w:bookmarkStart w:id="223" w:name="_Toc167220297"/>
      <w:bookmarkStart w:id="224" w:name="_Toc177549030"/>
      <w:r w:rsidRPr="00E2773D">
        <w:rPr>
          <w:noProof/>
        </w:rPr>
        <w:t>3</w:t>
      </w:r>
      <w:r w:rsidRPr="00C754CA">
        <w:rPr>
          <w:noProof/>
        </w:rPr>
        <w:t>.</w:t>
      </w:r>
      <w:r w:rsidRPr="00E2773D">
        <w:rPr>
          <w:noProof/>
        </w:rPr>
        <w:t>2</w:t>
      </w:r>
      <w:r w:rsidRPr="00C754CA">
        <w:rPr>
          <w:noProof/>
        </w:rPr>
        <w:t>.</w:t>
      </w:r>
      <w:r w:rsidRPr="00E2773D">
        <w:rPr>
          <w:noProof/>
        </w:rPr>
        <w:t>4</w:t>
      </w:r>
      <w:r w:rsidRPr="00C754CA">
        <w:rPr>
          <w:noProof/>
        </w:rPr>
        <w:t>.</w:t>
      </w:r>
      <w:r w:rsidRPr="00E2773D">
        <w:rPr>
          <w:noProof/>
        </w:rPr>
        <w:t>3</w:t>
      </w:r>
      <w:r w:rsidRPr="00C754CA">
        <w:rPr>
          <w:noProof/>
        </w:rPr>
        <w:tab/>
        <w:t>Geschätzter Personalbedarf insgesamt</w:t>
      </w:r>
      <w:bookmarkEnd w:id="223"/>
      <w:bookmarkEnd w:id="224"/>
    </w:p>
    <w:tbl>
      <w:tblPr>
        <w:tblW w:w="9200" w:type="dxa"/>
        <w:tblLook w:val="04A0" w:firstRow="1" w:lastRow="0" w:firstColumn="1" w:lastColumn="0" w:noHBand="0" w:noVBand="1"/>
      </w:tblPr>
      <w:tblGrid>
        <w:gridCol w:w="1500"/>
        <w:gridCol w:w="3860"/>
        <w:gridCol w:w="960"/>
        <w:gridCol w:w="960"/>
        <w:gridCol w:w="960"/>
        <w:gridCol w:w="960"/>
      </w:tblGrid>
      <w:tr w:rsidR="00A56747" w:rsidRPr="00C754CA" w14:paraId="2ADD1111" w14:textId="77777777" w:rsidTr="00FF1EF4">
        <w:trPr>
          <w:trHeight w:val="492"/>
        </w:trPr>
        <w:tc>
          <w:tcPr>
            <w:tcW w:w="53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8DD4F8" w14:textId="2FA7750B" w:rsidR="00A56747" w:rsidRPr="00C754CA" w:rsidRDefault="00A56747" w:rsidP="004B53CC">
            <w:pPr>
              <w:spacing w:before="0" w:after="0"/>
              <w:jc w:val="center"/>
              <w:rPr>
                <w:b/>
                <w:bCs/>
                <w:noProof/>
                <w:color w:val="000000"/>
                <w:sz w:val="18"/>
                <w:szCs w:val="18"/>
              </w:rPr>
            </w:pPr>
            <w:r w:rsidRPr="00C754CA">
              <w:rPr>
                <w:b/>
                <w:noProof/>
                <w:color w:val="000000"/>
                <w:sz w:val="18"/>
              </w:rPr>
              <w:t>SUMME DER BEWILLIGTEN MITTEL                                               +                                                                                               EXTERNEN ZWECKGEBUNDENEN EINNAHMEN</w:t>
            </w:r>
          </w:p>
        </w:tc>
        <w:tc>
          <w:tcPr>
            <w:tcW w:w="960" w:type="dxa"/>
            <w:tcBorders>
              <w:top w:val="single" w:sz="8" w:space="0" w:color="auto"/>
              <w:left w:val="nil"/>
              <w:bottom w:val="nil"/>
              <w:right w:val="single" w:sz="8" w:space="0" w:color="auto"/>
            </w:tcBorders>
            <w:shd w:val="clear" w:color="auto" w:fill="auto"/>
            <w:vAlign w:val="center"/>
            <w:hideMark/>
          </w:tcPr>
          <w:p w14:paraId="572FEE62"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960" w:type="dxa"/>
            <w:tcBorders>
              <w:top w:val="single" w:sz="8" w:space="0" w:color="auto"/>
              <w:left w:val="nil"/>
              <w:bottom w:val="nil"/>
              <w:right w:val="single" w:sz="8" w:space="0" w:color="auto"/>
            </w:tcBorders>
            <w:shd w:val="clear" w:color="auto" w:fill="auto"/>
            <w:vAlign w:val="center"/>
            <w:hideMark/>
          </w:tcPr>
          <w:p w14:paraId="64D8F998"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960" w:type="dxa"/>
            <w:tcBorders>
              <w:top w:val="single" w:sz="8" w:space="0" w:color="auto"/>
              <w:left w:val="nil"/>
              <w:bottom w:val="nil"/>
              <w:right w:val="single" w:sz="8" w:space="0" w:color="auto"/>
            </w:tcBorders>
            <w:shd w:val="clear" w:color="auto" w:fill="auto"/>
            <w:vAlign w:val="center"/>
            <w:hideMark/>
          </w:tcPr>
          <w:p w14:paraId="72EC2DCF"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c>
          <w:tcPr>
            <w:tcW w:w="960" w:type="dxa"/>
            <w:tcBorders>
              <w:top w:val="single" w:sz="8" w:space="0" w:color="auto"/>
              <w:left w:val="nil"/>
              <w:bottom w:val="nil"/>
              <w:right w:val="single" w:sz="8" w:space="0" w:color="auto"/>
            </w:tcBorders>
            <w:shd w:val="clear" w:color="auto" w:fill="auto"/>
            <w:vAlign w:val="center"/>
            <w:hideMark/>
          </w:tcPr>
          <w:p w14:paraId="69A6461F" w14:textId="77777777" w:rsidR="00A56747" w:rsidRPr="00C754CA" w:rsidRDefault="00A56747" w:rsidP="004B53CC">
            <w:pPr>
              <w:spacing w:before="0" w:after="0"/>
              <w:jc w:val="center"/>
              <w:rPr>
                <w:noProof/>
                <w:color w:val="000000"/>
                <w:sz w:val="20"/>
                <w:szCs w:val="20"/>
              </w:rPr>
            </w:pPr>
            <w:r w:rsidRPr="00C754CA">
              <w:rPr>
                <w:noProof/>
                <w:color w:val="000000"/>
                <w:sz w:val="20"/>
              </w:rPr>
              <w:t>Jahr</w:t>
            </w:r>
          </w:p>
        </w:tc>
      </w:tr>
      <w:tr w:rsidR="00A56747" w:rsidRPr="00C754CA" w14:paraId="0CC1EA21" w14:textId="77777777" w:rsidTr="00FF1EF4">
        <w:trPr>
          <w:trHeight w:val="492"/>
        </w:trPr>
        <w:tc>
          <w:tcPr>
            <w:tcW w:w="5360" w:type="dxa"/>
            <w:gridSpan w:val="2"/>
            <w:vMerge/>
            <w:tcBorders>
              <w:top w:val="single" w:sz="8" w:space="0" w:color="auto"/>
              <w:left w:val="single" w:sz="8" w:space="0" w:color="auto"/>
              <w:bottom w:val="single" w:sz="8" w:space="0" w:color="auto"/>
              <w:right w:val="single" w:sz="8" w:space="0" w:color="000000"/>
            </w:tcBorders>
            <w:vAlign w:val="center"/>
            <w:hideMark/>
          </w:tcPr>
          <w:p w14:paraId="7DE4920A" w14:textId="77777777" w:rsidR="00A56747" w:rsidRPr="00C754CA" w:rsidRDefault="00A56747" w:rsidP="004B53CC">
            <w:pPr>
              <w:spacing w:before="0" w:after="0"/>
              <w:jc w:val="left"/>
              <w:rPr>
                <w:b/>
                <w:bCs/>
                <w:noProof/>
                <w:color w:val="000000"/>
                <w:sz w:val="18"/>
                <w:szCs w:val="18"/>
                <w:lang w:eastAsia="en-IE"/>
              </w:rPr>
            </w:pPr>
          </w:p>
        </w:tc>
        <w:tc>
          <w:tcPr>
            <w:tcW w:w="960" w:type="dxa"/>
            <w:tcBorders>
              <w:top w:val="nil"/>
              <w:left w:val="nil"/>
              <w:bottom w:val="single" w:sz="8" w:space="0" w:color="auto"/>
              <w:right w:val="single" w:sz="8" w:space="0" w:color="auto"/>
            </w:tcBorders>
            <w:shd w:val="clear" w:color="auto" w:fill="auto"/>
            <w:vAlign w:val="center"/>
            <w:hideMark/>
          </w:tcPr>
          <w:p w14:paraId="44C373CE"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2024</w:t>
            </w:r>
          </w:p>
        </w:tc>
        <w:tc>
          <w:tcPr>
            <w:tcW w:w="960" w:type="dxa"/>
            <w:tcBorders>
              <w:top w:val="nil"/>
              <w:left w:val="nil"/>
              <w:bottom w:val="single" w:sz="8" w:space="0" w:color="auto"/>
              <w:right w:val="single" w:sz="8" w:space="0" w:color="auto"/>
            </w:tcBorders>
            <w:shd w:val="clear" w:color="auto" w:fill="auto"/>
            <w:vAlign w:val="center"/>
            <w:hideMark/>
          </w:tcPr>
          <w:p w14:paraId="193E8E83"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2025</w:t>
            </w:r>
          </w:p>
        </w:tc>
        <w:tc>
          <w:tcPr>
            <w:tcW w:w="960" w:type="dxa"/>
            <w:tcBorders>
              <w:top w:val="nil"/>
              <w:left w:val="nil"/>
              <w:bottom w:val="single" w:sz="8" w:space="0" w:color="auto"/>
              <w:right w:val="single" w:sz="8" w:space="0" w:color="auto"/>
            </w:tcBorders>
            <w:shd w:val="clear" w:color="auto" w:fill="auto"/>
            <w:vAlign w:val="center"/>
            <w:hideMark/>
          </w:tcPr>
          <w:p w14:paraId="0FEE07EB"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2026</w:t>
            </w:r>
          </w:p>
        </w:tc>
        <w:tc>
          <w:tcPr>
            <w:tcW w:w="960" w:type="dxa"/>
            <w:tcBorders>
              <w:top w:val="nil"/>
              <w:left w:val="nil"/>
              <w:bottom w:val="single" w:sz="8" w:space="0" w:color="auto"/>
              <w:right w:val="single" w:sz="8" w:space="0" w:color="auto"/>
            </w:tcBorders>
            <w:shd w:val="clear" w:color="auto" w:fill="auto"/>
            <w:vAlign w:val="center"/>
            <w:hideMark/>
          </w:tcPr>
          <w:p w14:paraId="39B26B0F" w14:textId="77777777" w:rsidR="00A56747" w:rsidRPr="00C754CA" w:rsidRDefault="00A56747" w:rsidP="004B53CC">
            <w:pPr>
              <w:spacing w:before="0" w:after="0"/>
              <w:jc w:val="center"/>
              <w:rPr>
                <w:b/>
                <w:bCs/>
                <w:noProof/>
                <w:color w:val="000000"/>
                <w:sz w:val="20"/>
                <w:szCs w:val="20"/>
              </w:rPr>
            </w:pPr>
            <w:r w:rsidRPr="00E2773D">
              <w:rPr>
                <w:b/>
                <w:noProof/>
                <w:color w:val="000000"/>
                <w:sz w:val="20"/>
              </w:rPr>
              <w:t>2027</w:t>
            </w:r>
          </w:p>
        </w:tc>
      </w:tr>
      <w:tr w:rsidR="00A56747" w:rsidRPr="00C754CA" w14:paraId="55A8F3A4" w14:textId="77777777" w:rsidTr="00FF1EF4">
        <w:trPr>
          <w:trHeight w:val="300"/>
        </w:trPr>
        <w:tc>
          <w:tcPr>
            <w:tcW w:w="920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063FB900" w14:textId="77777777" w:rsidR="00A56747" w:rsidRPr="00C754CA" w:rsidRDefault="00A56747" w:rsidP="004B53CC">
            <w:pPr>
              <w:spacing w:before="0" w:after="0"/>
              <w:jc w:val="left"/>
              <w:rPr>
                <w:rFonts w:ascii="Wingdings" w:hAnsi="Wingdings" w:cs="Calibri"/>
                <w:b/>
                <w:bCs/>
                <w:noProof/>
                <w:color w:val="000000"/>
                <w:sz w:val="16"/>
                <w:szCs w:val="16"/>
              </w:rPr>
            </w:pPr>
            <w:r w:rsidRPr="00C754CA">
              <w:rPr>
                <w:rFonts w:ascii="Wingdings" w:hAnsi="Wingdings"/>
                <w:b/>
                <w:noProof/>
                <w:color w:val="000000"/>
                <w:sz w:val="16"/>
              </w:rPr>
              <w:t></w:t>
            </w:r>
            <w:r w:rsidRPr="00C754CA">
              <w:rPr>
                <w:b/>
                <w:noProof/>
                <w:color w:val="000000"/>
                <w:sz w:val="16"/>
              </w:rPr>
              <w:t xml:space="preserve"> </w:t>
            </w:r>
            <w:r w:rsidRPr="00C754CA">
              <w:rPr>
                <w:b/>
                <w:bCs/>
                <w:noProof/>
              </w:rPr>
              <w:t>Planstellen (Beamte und Bedienstete auf Zeit)</w:t>
            </w:r>
          </w:p>
        </w:tc>
      </w:tr>
      <w:tr w:rsidR="003100E7" w:rsidRPr="00C754CA" w14:paraId="68AAB32C"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D97AEB9"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01</w:t>
            </w:r>
            <w:r w:rsidRPr="00C754CA">
              <w:rPr>
                <w:rFonts w:ascii="Arial Narrow" w:hAnsi="Arial Narrow"/>
                <w:noProof/>
                <w:color w:val="000000"/>
                <w:sz w:val="20"/>
              </w:rPr>
              <w:t xml:space="preserve"> </w:t>
            </w:r>
            <w:r w:rsidRPr="00C754CA">
              <w:rPr>
                <w:noProof/>
                <w:color w:val="000000"/>
                <w:sz w:val="16"/>
              </w:rPr>
              <w:t>(Zentrale Dienststellen und Vertretungen der Kommission)</w:t>
            </w:r>
          </w:p>
        </w:tc>
        <w:tc>
          <w:tcPr>
            <w:tcW w:w="960" w:type="dxa"/>
            <w:tcBorders>
              <w:top w:val="nil"/>
              <w:left w:val="nil"/>
              <w:bottom w:val="single" w:sz="8" w:space="0" w:color="auto"/>
              <w:right w:val="single" w:sz="8" w:space="0" w:color="auto"/>
            </w:tcBorders>
            <w:shd w:val="clear" w:color="000000" w:fill="D9D9D9"/>
            <w:vAlign w:val="center"/>
            <w:hideMark/>
          </w:tcPr>
          <w:p w14:paraId="4F16C85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3811C43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1CA08A4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55E5B70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002403B5"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7A88AF4"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03</w:t>
            </w:r>
            <w:r w:rsidRPr="00C754CA">
              <w:rPr>
                <w:noProof/>
                <w:color w:val="000000"/>
                <w:sz w:val="16"/>
              </w:rPr>
              <w:t xml:space="preserve"> (EU-Delegationen)</w:t>
            </w:r>
          </w:p>
        </w:tc>
        <w:tc>
          <w:tcPr>
            <w:tcW w:w="960" w:type="dxa"/>
            <w:tcBorders>
              <w:top w:val="nil"/>
              <w:left w:val="nil"/>
              <w:bottom w:val="single" w:sz="8" w:space="0" w:color="auto"/>
              <w:right w:val="single" w:sz="8" w:space="0" w:color="auto"/>
            </w:tcBorders>
            <w:shd w:val="clear" w:color="000000" w:fill="D9D9D9"/>
            <w:vAlign w:val="center"/>
            <w:hideMark/>
          </w:tcPr>
          <w:p w14:paraId="17E7A90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2D4C4B1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62E940CA"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29676F4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7B5A111D"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0AEEA3C"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rFonts w:ascii="Arial Narrow" w:hAnsi="Arial Narrow"/>
                <w:noProof/>
                <w:color w:val="000000"/>
                <w:sz w:val="20"/>
              </w:rPr>
              <w:t xml:space="preserve"> </w:t>
            </w:r>
            <w:r w:rsidRPr="00C754CA">
              <w:rPr>
                <w:noProof/>
                <w:color w:val="000000"/>
                <w:sz w:val="16"/>
              </w:rPr>
              <w:t>(Indirekte Forschung)</w:t>
            </w:r>
          </w:p>
        </w:tc>
        <w:tc>
          <w:tcPr>
            <w:tcW w:w="960" w:type="dxa"/>
            <w:tcBorders>
              <w:top w:val="nil"/>
              <w:left w:val="nil"/>
              <w:bottom w:val="single" w:sz="8" w:space="0" w:color="auto"/>
              <w:right w:val="single" w:sz="8" w:space="0" w:color="auto"/>
            </w:tcBorders>
            <w:shd w:val="clear" w:color="000000" w:fill="D9D9D9"/>
            <w:vAlign w:val="center"/>
            <w:hideMark/>
          </w:tcPr>
          <w:p w14:paraId="515CAB1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6B1D129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555E4F71"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1E1A8B2D"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4B7936A9"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94F8896"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11</w:t>
            </w:r>
            <w:r w:rsidRPr="00C754CA">
              <w:rPr>
                <w:noProof/>
                <w:color w:val="000000"/>
                <w:sz w:val="16"/>
              </w:rPr>
              <w:t xml:space="preserve"> (Direkte Forschung)</w:t>
            </w:r>
          </w:p>
        </w:tc>
        <w:tc>
          <w:tcPr>
            <w:tcW w:w="960" w:type="dxa"/>
            <w:tcBorders>
              <w:top w:val="nil"/>
              <w:left w:val="nil"/>
              <w:bottom w:val="single" w:sz="8" w:space="0" w:color="auto"/>
              <w:right w:val="single" w:sz="8" w:space="0" w:color="auto"/>
            </w:tcBorders>
            <w:shd w:val="clear" w:color="000000" w:fill="D9D9D9"/>
            <w:vAlign w:val="center"/>
            <w:hideMark/>
          </w:tcPr>
          <w:p w14:paraId="0B37B07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727AAEF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6797D1E3"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465BD14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0D20B666"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432DA5F"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Sonstige Haushaltslinien (bitte angeben)</w:t>
            </w:r>
          </w:p>
        </w:tc>
        <w:tc>
          <w:tcPr>
            <w:tcW w:w="960" w:type="dxa"/>
            <w:tcBorders>
              <w:top w:val="nil"/>
              <w:left w:val="nil"/>
              <w:bottom w:val="single" w:sz="8" w:space="0" w:color="auto"/>
              <w:right w:val="single" w:sz="8" w:space="0" w:color="auto"/>
            </w:tcBorders>
            <w:shd w:val="clear" w:color="000000" w:fill="D9D9D9"/>
            <w:vAlign w:val="center"/>
            <w:hideMark/>
          </w:tcPr>
          <w:p w14:paraId="2DF03459"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7314F8E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069D5CB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5DFB4F5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A56747" w:rsidRPr="00C754CA" w14:paraId="59C97033" w14:textId="77777777" w:rsidTr="00FF1EF4">
        <w:trPr>
          <w:trHeight w:val="300"/>
        </w:trPr>
        <w:tc>
          <w:tcPr>
            <w:tcW w:w="920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3B021416" w14:textId="77777777" w:rsidR="00A56747" w:rsidRPr="00C754CA" w:rsidRDefault="00A56747" w:rsidP="004B53CC">
            <w:pPr>
              <w:spacing w:before="0" w:after="0"/>
              <w:jc w:val="left"/>
              <w:rPr>
                <w:rFonts w:ascii="Wingdings" w:hAnsi="Wingdings" w:cs="Calibri"/>
                <w:b/>
                <w:bCs/>
                <w:noProof/>
                <w:color w:val="000000"/>
                <w:sz w:val="16"/>
                <w:szCs w:val="16"/>
              </w:rPr>
            </w:pPr>
            <w:r w:rsidRPr="00C754CA">
              <w:rPr>
                <w:rFonts w:ascii="Calibri" w:hAnsi="Calibri"/>
                <w:b/>
                <w:noProof/>
                <w:color w:val="000000"/>
                <w:sz w:val="16"/>
              </w:rPr>
              <w:t>•</w:t>
            </w:r>
            <w:r w:rsidRPr="00C754CA">
              <w:rPr>
                <w:b/>
                <w:noProof/>
                <w:color w:val="000000"/>
                <w:sz w:val="16"/>
              </w:rPr>
              <w:t xml:space="preserve"> Externes Personal (in Vollzeitäquivalenten)</w:t>
            </w:r>
          </w:p>
        </w:tc>
      </w:tr>
      <w:tr w:rsidR="003100E7" w:rsidRPr="00C754CA" w14:paraId="2C083B2D"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FE2370F"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01</w:t>
            </w:r>
            <w:r w:rsidRPr="00C754CA">
              <w:rPr>
                <w:noProof/>
                <w:color w:val="000000"/>
                <w:sz w:val="16"/>
              </w:rPr>
              <w:t xml:space="preserve"> (VB und ANS der Globaldotation)</w:t>
            </w:r>
          </w:p>
        </w:tc>
        <w:tc>
          <w:tcPr>
            <w:tcW w:w="960" w:type="dxa"/>
            <w:tcBorders>
              <w:top w:val="nil"/>
              <w:left w:val="nil"/>
              <w:bottom w:val="single" w:sz="8" w:space="0" w:color="auto"/>
              <w:right w:val="single" w:sz="8" w:space="0" w:color="auto"/>
            </w:tcBorders>
            <w:shd w:val="clear" w:color="000000" w:fill="D9D9D9"/>
            <w:vAlign w:val="center"/>
            <w:hideMark/>
          </w:tcPr>
          <w:p w14:paraId="44670ED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40B055F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47DFEAF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7445923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1844FF8E"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2D3017E"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20</w:t>
            </w:r>
            <w:r w:rsidRPr="00C754CA">
              <w:rPr>
                <w:noProof/>
                <w:color w:val="000000"/>
                <w:sz w:val="16"/>
              </w:rPr>
              <w:t> </w:t>
            </w:r>
            <w:r w:rsidRPr="00E2773D">
              <w:rPr>
                <w:noProof/>
                <w:color w:val="000000"/>
                <w:sz w:val="16"/>
              </w:rPr>
              <w:t>02</w:t>
            </w:r>
            <w:r w:rsidRPr="00C754CA">
              <w:rPr>
                <w:noProof/>
                <w:color w:val="000000"/>
                <w:sz w:val="16"/>
              </w:rPr>
              <w:t> </w:t>
            </w:r>
            <w:r w:rsidRPr="00E2773D">
              <w:rPr>
                <w:noProof/>
                <w:color w:val="000000"/>
                <w:sz w:val="16"/>
              </w:rPr>
              <w:t>03</w:t>
            </w:r>
            <w:r w:rsidRPr="00C754CA">
              <w:rPr>
                <w:noProof/>
                <w:color w:val="000000"/>
                <w:sz w:val="16"/>
              </w:rPr>
              <w:t xml:space="preserve"> (VB, ÖB, ANS und JPD in den EU-Delegationen)</w:t>
            </w:r>
          </w:p>
        </w:tc>
        <w:tc>
          <w:tcPr>
            <w:tcW w:w="960" w:type="dxa"/>
            <w:tcBorders>
              <w:top w:val="nil"/>
              <w:left w:val="nil"/>
              <w:bottom w:val="single" w:sz="8" w:space="0" w:color="auto"/>
              <w:right w:val="single" w:sz="8" w:space="0" w:color="auto"/>
            </w:tcBorders>
            <w:shd w:val="clear" w:color="000000" w:fill="D9D9D9"/>
            <w:vAlign w:val="center"/>
            <w:hideMark/>
          </w:tcPr>
          <w:p w14:paraId="03ED17F1"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39BC31D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03D2102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2CC18CD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3F691D30" w14:textId="77777777" w:rsidTr="004B53CC">
        <w:trPr>
          <w:trHeight w:val="300"/>
        </w:trPr>
        <w:tc>
          <w:tcPr>
            <w:tcW w:w="1500" w:type="dxa"/>
            <w:vMerge w:val="restart"/>
            <w:tcBorders>
              <w:top w:val="nil"/>
              <w:left w:val="single" w:sz="8" w:space="0" w:color="auto"/>
              <w:bottom w:val="single" w:sz="8" w:space="0" w:color="auto"/>
              <w:right w:val="single" w:sz="8" w:space="0" w:color="auto"/>
            </w:tcBorders>
            <w:shd w:val="clear" w:color="auto" w:fill="auto"/>
            <w:vAlign w:val="center"/>
            <w:hideMark/>
          </w:tcPr>
          <w:p w14:paraId="2A0CB032" w14:textId="77777777" w:rsidR="00A56747" w:rsidRPr="00C754CA" w:rsidRDefault="00A56747" w:rsidP="004B53CC">
            <w:pPr>
              <w:spacing w:before="0" w:after="0"/>
              <w:jc w:val="center"/>
              <w:rPr>
                <w:noProof/>
                <w:color w:val="000000"/>
                <w:sz w:val="16"/>
                <w:szCs w:val="16"/>
              </w:rPr>
            </w:pPr>
            <w:r w:rsidRPr="00C754CA">
              <w:rPr>
                <w:noProof/>
                <w:color w:val="000000"/>
                <w:sz w:val="16"/>
              </w:rPr>
              <w:t xml:space="preserve">Haushaltslinie administr. Unterstützung </w:t>
            </w:r>
            <w:r w:rsidRPr="00C754CA">
              <w:rPr>
                <w:noProof/>
                <w:color w:val="000000"/>
                <w:sz w:val="16"/>
              </w:rPr>
              <w:br/>
              <w:t>[XX.</w:t>
            </w:r>
            <w:r w:rsidRPr="00E2773D">
              <w:rPr>
                <w:noProof/>
                <w:color w:val="000000"/>
                <w:sz w:val="16"/>
              </w:rPr>
              <w:t>01</w:t>
            </w:r>
            <w:r w:rsidRPr="00C754CA">
              <w:rPr>
                <w:noProof/>
                <w:color w:val="000000"/>
                <w:sz w:val="16"/>
              </w:rPr>
              <w:t>.YY.YY]</w:t>
            </w:r>
          </w:p>
        </w:tc>
        <w:tc>
          <w:tcPr>
            <w:tcW w:w="3860" w:type="dxa"/>
            <w:tcBorders>
              <w:top w:val="nil"/>
              <w:left w:val="nil"/>
              <w:bottom w:val="single" w:sz="8" w:space="0" w:color="auto"/>
              <w:right w:val="single" w:sz="8" w:space="0" w:color="auto"/>
            </w:tcBorders>
            <w:shd w:val="clear" w:color="auto" w:fill="auto"/>
            <w:vAlign w:val="center"/>
            <w:hideMark/>
          </w:tcPr>
          <w:p w14:paraId="43D03E30"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 in den zentralen Dienststellen</w:t>
            </w:r>
          </w:p>
        </w:tc>
        <w:tc>
          <w:tcPr>
            <w:tcW w:w="960" w:type="dxa"/>
            <w:tcBorders>
              <w:top w:val="nil"/>
              <w:left w:val="nil"/>
              <w:bottom w:val="single" w:sz="8" w:space="0" w:color="auto"/>
              <w:right w:val="single" w:sz="8" w:space="0" w:color="auto"/>
            </w:tcBorders>
            <w:shd w:val="clear" w:color="000000" w:fill="D9D9D9"/>
            <w:vAlign w:val="center"/>
            <w:hideMark/>
          </w:tcPr>
          <w:p w14:paraId="26EE90FB"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293CA2F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1645610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7EA9492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323BBC77" w14:textId="77777777" w:rsidTr="004B53CC">
        <w:trPr>
          <w:trHeight w:val="300"/>
        </w:trPr>
        <w:tc>
          <w:tcPr>
            <w:tcW w:w="1500" w:type="dxa"/>
            <w:vMerge/>
            <w:tcBorders>
              <w:top w:val="nil"/>
              <w:left w:val="single" w:sz="8" w:space="0" w:color="auto"/>
              <w:bottom w:val="single" w:sz="8" w:space="0" w:color="auto"/>
              <w:right w:val="single" w:sz="8" w:space="0" w:color="auto"/>
            </w:tcBorders>
            <w:vAlign w:val="center"/>
            <w:hideMark/>
          </w:tcPr>
          <w:p w14:paraId="3E918C2F" w14:textId="77777777" w:rsidR="00A56747" w:rsidRPr="00C754CA" w:rsidRDefault="00A56747" w:rsidP="004B53CC">
            <w:pPr>
              <w:spacing w:before="0" w:after="0"/>
              <w:jc w:val="left"/>
              <w:rPr>
                <w:noProof/>
                <w:color w:val="000000"/>
                <w:sz w:val="16"/>
                <w:szCs w:val="16"/>
                <w:lang w:eastAsia="en-IE"/>
              </w:rPr>
            </w:pPr>
          </w:p>
        </w:tc>
        <w:tc>
          <w:tcPr>
            <w:tcW w:w="3860" w:type="dxa"/>
            <w:tcBorders>
              <w:top w:val="nil"/>
              <w:left w:val="nil"/>
              <w:bottom w:val="single" w:sz="8" w:space="0" w:color="auto"/>
              <w:right w:val="single" w:sz="8" w:space="0" w:color="auto"/>
            </w:tcBorders>
            <w:shd w:val="clear" w:color="auto" w:fill="auto"/>
            <w:vAlign w:val="center"/>
            <w:hideMark/>
          </w:tcPr>
          <w:p w14:paraId="70BBC76E"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 xml:space="preserve">- in den EU-Delegationen </w:t>
            </w:r>
          </w:p>
        </w:tc>
        <w:tc>
          <w:tcPr>
            <w:tcW w:w="960" w:type="dxa"/>
            <w:tcBorders>
              <w:top w:val="nil"/>
              <w:left w:val="nil"/>
              <w:bottom w:val="single" w:sz="8" w:space="0" w:color="auto"/>
              <w:right w:val="single" w:sz="8" w:space="0" w:color="auto"/>
            </w:tcBorders>
            <w:shd w:val="clear" w:color="000000" w:fill="D9D9D9"/>
            <w:vAlign w:val="center"/>
            <w:hideMark/>
          </w:tcPr>
          <w:p w14:paraId="6EDEB76D"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712FC329"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505EF1C2"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656D6EA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732934F8"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8B9DE00" w14:textId="77777777" w:rsidR="00A56747" w:rsidRPr="00C754CA" w:rsidRDefault="00A56747" w:rsidP="004B53CC">
            <w:pPr>
              <w:spacing w:before="0" w:after="0"/>
              <w:ind w:firstLineChars="100" w:firstLine="160"/>
              <w:jc w:val="left"/>
              <w:rPr>
                <w:noProof/>
                <w:color w:val="000000"/>
                <w:sz w:val="16"/>
                <w:szCs w:val="16"/>
              </w:rPr>
            </w:pP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02</w:t>
            </w:r>
            <w:r w:rsidRPr="00C754CA">
              <w:rPr>
                <w:noProof/>
                <w:color w:val="000000"/>
                <w:sz w:val="16"/>
              </w:rPr>
              <w:t xml:space="preserve"> (VB und ANS – indirekte Forschung)</w:t>
            </w:r>
          </w:p>
        </w:tc>
        <w:tc>
          <w:tcPr>
            <w:tcW w:w="960" w:type="dxa"/>
            <w:tcBorders>
              <w:top w:val="nil"/>
              <w:left w:val="nil"/>
              <w:bottom w:val="single" w:sz="8" w:space="0" w:color="auto"/>
              <w:right w:val="single" w:sz="8" w:space="0" w:color="auto"/>
            </w:tcBorders>
            <w:shd w:val="clear" w:color="000000" w:fill="D9D9D9"/>
            <w:vAlign w:val="center"/>
            <w:hideMark/>
          </w:tcPr>
          <w:p w14:paraId="4D866564"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37EC7A6E"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0621A44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53A81B39"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65A1EB5E"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E1F114"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 xml:space="preserve">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01</w:t>
            </w:r>
            <w:r w:rsidRPr="00C754CA">
              <w:rPr>
                <w:noProof/>
                <w:color w:val="000000"/>
                <w:sz w:val="16"/>
              </w:rPr>
              <w:t> </w:t>
            </w:r>
            <w:r w:rsidRPr="00E2773D">
              <w:rPr>
                <w:noProof/>
                <w:color w:val="000000"/>
                <w:sz w:val="16"/>
              </w:rPr>
              <w:t>12</w:t>
            </w:r>
            <w:r w:rsidRPr="00C754CA">
              <w:rPr>
                <w:noProof/>
                <w:color w:val="000000"/>
                <w:sz w:val="16"/>
              </w:rPr>
              <w:t xml:space="preserve"> (VB und ANS – direkte Forschung)</w:t>
            </w:r>
          </w:p>
        </w:tc>
        <w:tc>
          <w:tcPr>
            <w:tcW w:w="960" w:type="dxa"/>
            <w:tcBorders>
              <w:top w:val="nil"/>
              <w:left w:val="nil"/>
              <w:bottom w:val="single" w:sz="8" w:space="0" w:color="auto"/>
              <w:right w:val="single" w:sz="8" w:space="0" w:color="auto"/>
            </w:tcBorders>
            <w:shd w:val="clear" w:color="000000" w:fill="D9D9D9"/>
            <w:vAlign w:val="center"/>
            <w:hideMark/>
          </w:tcPr>
          <w:p w14:paraId="0CEA3DCC"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11517110"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7C6B1DE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3466C50A"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28FB4011"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FCF7415"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Sonstige Haushaltslinien (bitte angeben) – Rubrik </w:t>
            </w:r>
            <w:r w:rsidRPr="00E2773D">
              <w:rPr>
                <w:noProof/>
                <w:color w:val="000000"/>
                <w:sz w:val="16"/>
              </w:rPr>
              <w:t>7</w:t>
            </w:r>
          </w:p>
        </w:tc>
        <w:tc>
          <w:tcPr>
            <w:tcW w:w="960" w:type="dxa"/>
            <w:tcBorders>
              <w:top w:val="nil"/>
              <w:left w:val="nil"/>
              <w:bottom w:val="single" w:sz="8" w:space="0" w:color="auto"/>
              <w:right w:val="single" w:sz="8" w:space="0" w:color="auto"/>
            </w:tcBorders>
            <w:shd w:val="clear" w:color="000000" w:fill="D9D9D9"/>
            <w:vAlign w:val="center"/>
            <w:hideMark/>
          </w:tcPr>
          <w:p w14:paraId="24A4F191"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66D41A65"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720582E8"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587C05E6"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76DDB145"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9D59B26" w14:textId="77777777" w:rsidR="00A56747" w:rsidRPr="00C754CA" w:rsidRDefault="00A56747" w:rsidP="004B53CC">
            <w:pPr>
              <w:spacing w:before="0" w:after="0"/>
              <w:ind w:firstLineChars="100" w:firstLine="160"/>
              <w:jc w:val="left"/>
              <w:rPr>
                <w:noProof/>
                <w:color w:val="000000"/>
                <w:sz w:val="16"/>
                <w:szCs w:val="16"/>
              </w:rPr>
            </w:pPr>
            <w:r w:rsidRPr="00C754CA">
              <w:rPr>
                <w:noProof/>
                <w:color w:val="000000"/>
                <w:sz w:val="16"/>
              </w:rPr>
              <w:t>Sonstige Haushaltslinien (bitte angeben) – außerhalb der Rubrik </w:t>
            </w:r>
            <w:r w:rsidRPr="00E2773D">
              <w:rPr>
                <w:noProof/>
                <w:color w:val="000000"/>
                <w:sz w:val="16"/>
              </w:rPr>
              <w:t>7</w:t>
            </w:r>
          </w:p>
        </w:tc>
        <w:tc>
          <w:tcPr>
            <w:tcW w:w="960" w:type="dxa"/>
            <w:tcBorders>
              <w:top w:val="nil"/>
              <w:left w:val="nil"/>
              <w:bottom w:val="single" w:sz="8" w:space="0" w:color="auto"/>
              <w:right w:val="single" w:sz="8" w:space="0" w:color="auto"/>
            </w:tcBorders>
            <w:shd w:val="clear" w:color="000000" w:fill="D9D9D9"/>
            <w:vAlign w:val="center"/>
            <w:hideMark/>
          </w:tcPr>
          <w:p w14:paraId="22ADEBE1"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053EDFDF"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581F2C47"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3EF27776" w14:textId="77777777" w:rsidR="00A56747" w:rsidRPr="00C754CA" w:rsidRDefault="00A56747" w:rsidP="004B53CC">
            <w:pPr>
              <w:spacing w:before="0" w:after="0"/>
              <w:jc w:val="center"/>
              <w:rPr>
                <w:noProof/>
                <w:color w:val="000000"/>
                <w:sz w:val="16"/>
                <w:szCs w:val="16"/>
              </w:rPr>
            </w:pPr>
            <w:r w:rsidRPr="00E2773D">
              <w:rPr>
                <w:noProof/>
                <w:color w:val="000000"/>
                <w:sz w:val="16"/>
              </w:rPr>
              <w:t>0</w:t>
            </w:r>
          </w:p>
        </w:tc>
      </w:tr>
      <w:tr w:rsidR="003100E7" w:rsidRPr="00C754CA" w14:paraId="762362B4" w14:textId="77777777" w:rsidTr="004B53CC">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1E6A83E" w14:textId="77777777" w:rsidR="00A56747" w:rsidRPr="00C754CA" w:rsidRDefault="00A56747" w:rsidP="004B53CC">
            <w:pPr>
              <w:spacing w:before="0" w:after="0"/>
              <w:ind w:firstLineChars="100" w:firstLine="160"/>
              <w:jc w:val="left"/>
              <w:rPr>
                <w:b/>
                <w:bCs/>
                <w:noProof/>
                <w:color w:val="000000"/>
                <w:sz w:val="16"/>
                <w:szCs w:val="16"/>
              </w:rPr>
            </w:pPr>
            <w:r w:rsidRPr="00C754CA">
              <w:rPr>
                <w:b/>
                <w:noProof/>
                <w:color w:val="000000"/>
                <w:sz w:val="16"/>
              </w:rPr>
              <w:t>INSGESAMT</w:t>
            </w:r>
          </w:p>
        </w:tc>
        <w:tc>
          <w:tcPr>
            <w:tcW w:w="960" w:type="dxa"/>
            <w:tcBorders>
              <w:top w:val="nil"/>
              <w:left w:val="nil"/>
              <w:bottom w:val="single" w:sz="8" w:space="0" w:color="auto"/>
              <w:right w:val="single" w:sz="8" w:space="0" w:color="auto"/>
            </w:tcBorders>
            <w:shd w:val="clear" w:color="000000" w:fill="D9D9D9"/>
            <w:vAlign w:val="center"/>
            <w:hideMark/>
          </w:tcPr>
          <w:p w14:paraId="78D115E1"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08416442"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4FAFF3D8"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c>
          <w:tcPr>
            <w:tcW w:w="960" w:type="dxa"/>
            <w:tcBorders>
              <w:top w:val="nil"/>
              <w:left w:val="nil"/>
              <w:bottom w:val="single" w:sz="8" w:space="0" w:color="auto"/>
              <w:right w:val="single" w:sz="8" w:space="0" w:color="auto"/>
            </w:tcBorders>
            <w:shd w:val="clear" w:color="000000" w:fill="D9D9D9"/>
            <w:vAlign w:val="center"/>
            <w:hideMark/>
          </w:tcPr>
          <w:p w14:paraId="2C2A8454" w14:textId="77777777" w:rsidR="00A56747" w:rsidRPr="00C754CA" w:rsidRDefault="00A56747" w:rsidP="004B53CC">
            <w:pPr>
              <w:spacing w:before="0" w:after="0"/>
              <w:jc w:val="center"/>
              <w:rPr>
                <w:b/>
                <w:bCs/>
                <w:noProof/>
                <w:color w:val="000000"/>
                <w:sz w:val="16"/>
                <w:szCs w:val="16"/>
              </w:rPr>
            </w:pPr>
            <w:r w:rsidRPr="00E2773D">
              <w:rPr>
                <w:b/>
                <w:noProof/>
                <w:color w:val="000000"/>
                <w:sz w:val="16"/>
              </w:rPr>
              <w:t>0</w:t>
            </w:r>
          </w:p>
        </w:tc>
      </w:tr>
    </w:tbl>
    <w:p w14:paraId="468E8B93" w14:textId="77777777" w:rsidR="00A56747" w:rsidRPr="00C754CA" w:rsidRDefault="00A56747" w:rsidP="00A56747">
      <w:pPr>
        <w:rPr>
          <w:noProof/>
          <w:color w:val="000000" w:themeColor="text1"/>
        </w:rPr>
      </w:pPr>
      <w:bookmarkStart w:id="225" w:name="_Hlk167692843"/>
      <w:bookmarkEnd w:id="220"/>
      <w:r w:rsidRPr="00C754CA">
        <w:rPr>
          <w:noProof/>
          <w:color w:val="000000" w:themeColor="text1"/>
        </w:rPr>
        <w:t xml:space="preserve">Für die Durchführung des Vorschlags benötigtes Personal (in VZÄ): </w:t>
      </w:r>
    </w:p>
    <w:tbl>
      <w:tblPr>
        <w:tblStyle w:val="TableGrid"/>
        <w:tblW w:w="9487" w:type="dxa"/>
        <w:tblInd w:w="-426" w:type="dxa"/>
        <w:tblLook w:val="04A0" w:firstRow="1" w:lastRow="0" w:firstColumn="1" w:lastColumn="0" w:noHBand="0" w:noVBand="1"/>
      </w:tblPr>
      <w:tblGrid>
        <w:gridCol w:w="1845"/>
        <w:gridCol w:w="2031"/>
        <w:gridCol w:w="1925"/>
        <w:gridCol w:w="1938"/>
        <w:gridCol w:w="1748"/>
      </w:tblGrid>
      <w:tr w:rsidR="001A0915" w:rsidRPr="00C754CA" w14:paraId="51E2F162" w14:textId="77777777" w:rsidTr="00FF1EF4">
        <w:trPr>
          <w:trHeight w:val="300"/>
        </w:trPr>
        <w:tc>
          <w:tcPr>
            <w:tcW w:w="1845" w:type="dxa"/>
          </w:tcPr>
          <w:p w14:paraId="658D6DBA" w14:textId="77777777" w:rsidR="00A56747" w:rsidRPr="00C754CA" w:rsidRDefault="00A56747" w:rsidP="004B53CC">
            <w:pPr>
              <w:pStyle w:val="Text1"/>
              <w:ind w:left="0"/>
              <w:jc w:val="center"/>
              <w:rPr>
                <w:b/>
                <w:bCs/>
                <w:noProof/>
                <w:sz w:val="22"/>
                <w:szCs w:val="28"/>
              </w:rPr>
            </w:pPr>
          </w:p>
        </w:tc>
        <w:tc>
          <w:tcPr>
            <w:tcW w:w="2031" w:type="dxa"/>
          </w:tcPr>
          <w:p w14:paraId="7DB764EA" w14:textId="77777777" w:rsidR="00A56747" w:rsidRPr="00C754CA" w:rsidRDefault="00A56747" w:rsidP="004B53CC">
            <w:pPr>
              <w:pStyle w:val="Text1"/>
              <w:ind w:left="0"/>
              <w:jc w:val="center"/>
              <w:rPr>
                <w:b/>
                <w:bCs/>
                <w:noProof/>
                <w:sz w:val="22"/>
              </w:rPr>
            </w:pPr>
            <w:r w:rsidRPr="00C754CA">
              <w:rPr>
                <w:b/>
                <w:noProof/>
                <w:sz w:val="22"/>
              </w:rPr>
              <w:t xml:space="preserve">Personal aus den Dienststellen der Kommission </w:t>
            </w:r>
          </w:p>
        </w:tc>
        <w:tc>
          <w:tcPr>
            <w:tcW w:w="5611" w:type="dxa"/>
            <w:gridSpan w:val="3"/>
          </w:tcPr>
          <w:p w14:paraId="7FA757DF" w14:textId="77777777" w:rsidR="00A56747" w:rsidRPr="00C754CA" w:rsidRDefault="00A56747" w:rsidP="004B53CC">
            <w:pPr>
              <w:pStyle w:val="Text1"/>
              <w:ind w:left="0"/>
              <w:jc w:val="center"/>
              <w:rPr>
                <w:b/>
                <w:bCs/>
                <w:noProof/>
                <w:sz w:val="22"/>
              </w:rPr>
            </w:pPr>
            <w:r w:rsidRPr="00C754CA">
              <w:rPr>
                <w:b/>
                <w:noProof/>
                <w:sz w:val="22"/>
              </w:rPr>
              <w:t>Zusatzpersonal (ausnahmsweise)*</w:t>
            </w:r>
          </w:p>
        </w:tc>
      </w:tr>
      <w:tr w:rsidR="001A0915" w:rsidRPr="00C754CA" w14:paraId="4E7BEB95" w14:textId="77777777" w:rsidTr="00FF1EF4">
        <w:trPr>
          <w:trHeight w:val="300"/>
        </w:trPr>
        <w:tc>
          <w:tcPr>
            <w:tcW w:w="1845" w:type="dxa"/>
          </w:tcPr>
          <w:p w14:paraId="0A5321AF" w14:textId="77777777" w:rsidR="00A56747" w:rsidRPr="00C754CA" w:rsidRDefault="00A56747" w:rsidP="004B53CC">
            <w:pPr>
              <w:pStyle w:val="Text1"/>
              <w:ind w:left="0"/>
              <w:jc w:val="center"/>
              <w:rPr>
                <w:b/>
                <w:bCs/>
                <w:noProof/>
                <w:sz w:val="22"/>
                <w:szCs w:val="28"/>
              </w:rPr>
            </w:pPr>
          </w:p>
        </w:tc>
        <w:tc>
          <w:tcPr>
            <w:tcW w:w="2031" w:type="dxa"/>
          </w:tcPr>
          <w:p w14:paraId="323FEB53" w14:textId="77777777" w:rsidR="00A56747" w:rsidRPr="00C754CA" w:rsidRDefault="00A56747" w:rsidP="004B53CC">
            <w:pPr>
              <w:pStyle w:val="Text1"/>
              <w:ind w:left="0"/>
              <w:jc w:val="center"/>
              <w:rPr>
                <w:b/>
                <w:bCs/>
                <w:noProof/>
                <w:sz w:val="22"/>
                <w:szCs w:val="28"/>
              </w:rPr>
            </w:pPr>
          </w:p>
        </w:tc>
        <w:tc>
          <w:tcPr>
            <w:tcW w:w="1925" w:type="dxa"/>
          </w:tcPr>
          <w:p w14:paraId="5933A432" w14:textId="77777777" w:rsidR="00A56747" w:rsidRPr="00C754CA" w:rsidRDefault="00A56747" w:rsidP="004B53CC">
            <w:pPr>
              <w:pStyle w:val="Text1"/>
              <w:ind w:left="0"/>
              <w:jc w:val="center"/>
              <w:rPr>
                <w:b/>
                <w:bCs/>
                <w:noProof/>
                <w:sz w:val="22"/>
              </w:rPr>
            </w:pPr>
            <w:r w:rsidRPr="00C754CA">
              <w:rPr>
                <w:b/>
                <w:noProof/>
                <w:sz w:val="22"/>
              </w:rPr>
              <w:t>Zu finanzieren aus Rubrik </w:t>
            </w:r>
            <w:r w:rsidRPr="00E2773D">
              <w:rPr>
                <w:b/>
                <w:noProof/>
                <w:sz w:val="22"/>
              </w:rPr>
              <w:t>7</w:t>
            </w:r>
            <w:r w:rsidRPr="00C754CA">
              <w:rPr>
                <w:b/>
                <w:noProof/>
                <w:sz w:val="22"/>
              </w:rPr>
              <w:t xml:space="preserve"> oder Forschung</w:t>
            </w:r>
          </w:p>
        </w:tc>
        <w:tc>
          <w:tcPr>
            <w:tcW w:w="1938" w:type="dxa"/>
          </w:tcPr>
          <w:p w14:paraId="2D2EF239" w14:textId="77777777" w:rsidR="00A56747" w:rsidRPr="00C754CA" w:rsidRDefault="00A56747" w:rsidP="004B53CC">
            <w:pPr>
              <w:pStyle w:val="Text1"/>
              <w:ind w:left="0"/>
              <w:jc w:val="center"/>
              <w:rPr>
                <w:b/>
                <w:bCs/>
                <w:noProof/>
                <w:sz w:val="22"/>
                <w:szCs w:val="28"/>
              </w:rPr>
            </w:pPr>
            <w:r w:rsidRPr="00C754CA">
              <w:rPr>
                <w:b/>
                <w:noProof/>
                <w:sz w:val="22"/>
              </w:rPr>
              <w:t>Zu finanzieren aus einer Haushaltslinie für administrative Unterstützung</w:t>
            </w:r>
          </w:p>
        </w:tc>
        <w:tc>
          <w:tcPr>
            <w:tcW w:w="1748" w:type="dxa"/>
          </w:tcPr>
          <w:p w14:paraId="7D0F494C" w14:textId="77777777" w:rsidR="00A56747" w:rsidRPr="00C754CA" w:rsidRDefault="00A56747" w:rsidP="004B53CC">
            <w:pPr>
              <w:pStyle w:val="Text1"/>
              <w:ind w:left="0"/>
              <w:jc w:val="center"/>
              <w:rPr>
                <w:b/>
                <w:bCs/>
                <w:noProof/>
                <w:sz w:val="22"/>
                <w:szCs w:val="28"/>
              </w:rPr>
            </w:pPr>
            <w:r w:rsidRPr="00C754CA">
              <w:rPr>
                <w:b/>
                <w:noProof/>
                <w:sz w:val="22"/>
              </w:rPr>
              <w:t>Zu finanzieren aus Gebühren</w:t>
            </w:r>
          </w:p>
        </w:tc>
      </w:tr>
      <w:tr w:rsidR="001A0915" w:rsidRPr="00C754CA" w14:paraId="3F9686B5" w14:textId="77777777" w:rsidTr="00FF1EF4">
        <w:trPr>
          <w:trHeight w:val="300"/>
        </w:trPr>
        <w:tc>
          <w:tcPr>
            <w:tcW w:w="1845" w:type="dxa"/>
          </w:tcPr>
          <w:p w14:paraId="0309A074" w14:textId="77777777" w:rsidR="00A56747" w:rsidRPr="00C754CA" w:rsidRDefault="00A56747" w:rsidP="004B53CC">
            <w:pPr>
              <w:pStyle w:val="Text1"/>
              <w:ind w:left="0"/>
              <w:rPr>
                <w:noProof/>
                <w:sz w:val="22"/>
                <w:szCs w:val="28"/>
              </w:rPr>
            </w:pPr>
            <w:r w:rsidRPr="00C754CA">
              <w:rPr>
                <w:noProof/>
                <w:sz w:val="22"/>
              </w:rPr>
              <w:t>Planstellen</w:t>
            </w:r>
          </w:p>
        </w:tc>
        <w:tc>
          <w:tcPr>
            <w:tcW w:w="2031" w:type="dxa"/>
          </w:tcPr>
          <w:p w14:paraId="235D3625" w14:textId="77777777" w:rsidR="00A56747" w:rsidRPr="00C754CA" w:rsidRDefault="00A56747" w:rsidP="004B53CC">
            <w:pPr>
              <w:pStyle w:val="Text1"/>
              <w:ind w:left="0"/>
              <w:rPr>
                <w:noProof/>
                <w:sz w:val="22"/>
                <w:szCs w:val="28"/>
              </w:rPr>
            </w:pPr>
          </w:p>
        </w:tc>
        <w:tc>
          <w:tcPr>
            <w:tcW w:w="1925" w:type="dxa"/>
          </w:tcPr>
          <w:p w14:paraId="49F2DF2B" w14:textId="77777777" w:rsidR="00A56747" w:rsidRPr="00C754CA" w:rsidRDefault="00A56747" w:rsidP="004B53CC">
            <w:pPr>
              <w:pStyle w:val="Text1"/>
              <w:ind w:left="0"/>
              <w:rPr>
                <w:noProof/>
                <w:sz w:val="22"/>
                <w:szCs w:val="28"/>
              </w:rPr>
            </w:pPr>
          </w:p>
        </w:tc>
        <w:tc>
          <w:tcPr>
            <w:tcW w:w="1938" w:type="dxa"/>
          </w:tcPr>
          <w:p w14:paraId="0568482C" w14:textId="77777777" w:rsidR="00A56747" w:rsidRPr="00C754CA" w:rsidRDefault="00A56747" w:rsidP="004B53CC">
            <w:pPr>
              <w:pStyle w:val="Text1"/>
              <w:ind w:left="0"/>
              <w:rPr>
                <w:noProof/>
                <w:sz w:val="22"/>
                <w:szCs w:val="28"/>
              </w:rPr>
            </w:pPr>
            <w:r w:rsidRPr="00C754CA">
              <w:rPr>
                <w:noProof/>
                <w:sz w:val="22"/>
              </w:rPr>
              <w:t>Nicht zutreffend</w:t>
            </w:r>
          </w:p>
        </w:tc>
        <w:tc>
          <w:tcPr>
            <w:tcW w:w="1748" w:type="dxa"/>
          </w:tcPr>
          <w:p w14:paraId="0CA56168" w14:textId="77777777" w:rsidR="00A56747" w:rsidRPr="00C754CA" w:rsidRDefault="00A56747" w:rsidP="004B53CC">
            <w:pPr>
              <w:pStyle w:val="Text1"/>
              <w:ind w:left="0"/>
              <w:rPr>
                <w:noProof/>
                <w:sz w:val="22"/>
                <w:szCs w:val="28"/>
              </w:rPr>
            </w:pPr>
          </w:p>
        </w:tc>
      </w:tr>
      <w:tr w:rsidR="001A0915" w:rsidRPr="00C72F83" w14:paraId="45EF24DD" w14:textId="77777777" w:rsidTr="00FF1EF4">
        <w:trPr>
          <w:trHeight w:val="300"/>
        </w:trPr>
        <w:tc>
          <w:tcPr>
            <w:tcW w:w="1845" w:type="dxa"/>
          </w:tcPr>
          <w:p w14:paraId="0CBAA2E0" w14:textId="77777777" w:rsidR="00A56747" w:rsidRPr="00C72F83" w:rsidRDefault="00A56747" w:rsidP="004B53CC">
            <w:pPr>
              <w:pStyle w:val="Text1"/>
              <w:ind w:left="0"/>
              <w:rPr>
                <w:noProof/>
                <w:sz w:val="22"/>
                <w:szCs w:val="28"/>
                <w:lang w:val="en-IE"/>
              </w:rPr>
            </w:pPr>
            <w:r w:rsidRPr="00C72F83">
              <w:rPr>
                <w:noProof/>
                <w:sz w:val="22"/>
                <w:lang w:val="en-IE"/>
              </w:rPr>
              <w:t>Externes Personal (VB, ANS, LAK)</w:t>
            </w:r>
          </w:p>
        </w:tc>
        <w:tc>
          <w:tcPr>
            <w:tcW w:w="2031" w:type="dxa"/>
          </w:tcPr>
          <w:p w14:paraId="6F072C09" w14:textId="77777777" w:rsidR="00A56747" w:rsidRPr="00C72F83" w:rsidRDefault="00A56747" w:rsidP="004B53CC">
            <w:pPr>
              <w:pStyle w:val="Text1"/>
              <w:ind w:left="0"/>
              <w:rPr>
                <w:noProof/>
                <w:sz w:val="22"/>
                <w:szCs w:val="28"/>
                <w:lang w:val="en-IE"/>
              </w:rPr>
            </w:pPr>
          </w:p>
        </w:tc>
        <w:tc>
          <w:tcPr>
            <w:tcW w:w="1925" w:type="dxa"/>
          </w:tcPr>
          <w:p w14:paraId="01314C1C" w14:textId="77777777" w:rsidR="00A56747" w:rsidRPr="00C72F83" w:rsidRDefault="00A56747" w:rsidP="004B53CC">
            <w:pPr>
              <w:pStyle w:val="Text1"/>
              <w:ind w:left="0"/>
              <w:rPr>
                <w:noProof/>
                <w:sz w:val="22"/>
                <w:szCs w:val="28"/>
                <w:lang w:val="en-IE"/>
              </w:rPr>
            </w:pPr>
          </w:p>
        </w:tc>
        <w:tc>
          <w:tcPr>
            <w:tcW w:w="1938" w:type="dxa"/>
          </w:tcPr>
          <w:p w14:paraId="5B4184F1" w14:textId="77777777" w:rsidR="00A56747" w:rsidRPr="00C72F83" w:rsidRDefault="00A56747" w:rsidP="004B53CC">
            <w:pPr>
              <w:pStyle w:val="Text1"/>
              <w:ind w:left="0"/>
              <w:rPr>
                <w:noProof/>
                <w:sz w:val="22"/>
                <w:szCs w:val="28"/>
                <w:lang w:val="en-IE"/>
              </w:rPr>
            </w:pPr>
          </w:p>
        </w:tc>
        <w:tc>
          <w:tcPr>
            <w:tcW w:w="1748" w:type="dxa"/>
          </w:tcPr>
          <w:p w14:paraId="7B960949" w14:textId="77777777" w:rsidR="00A56747" w:rsidRPr="00C72F83" w:rsidRDefault="00A56747" w:rsidP="004B53CC">
            <w:pPr>
              <w:pStyle w:val="Text1"/>
              <w:ind w:left="0"/>
              <w:rPr>
                <w:noProof/>
                <w:sz w:val="22"/>
                <w:szCs w:val="28"/>
                <w:lang w:val="en-IE"/>
              </w:rPr>
            </w:pPr>
          </w:p>
        </w:tc>
      </w:tr>
    </w:tbl>
    <w:p w14:paraId="02660922" w14:textId="77777777" w:rsidR="00A56747" w:rsidRPr="00C754CA" w:rsidRDefault="00A56747" w:rsidP="00A56747">
      <w:pPr>
        <w:pStyle w:val="Text1"/>
        <w:rPr>
          <w:noProof/>
        </w:rPr>
      </w:pPr>
      <w:r w:rsidRPr="00C754CA">
        <w:rPr>
          <w:noProof/>
        </w:rPr>
        <w:t>Beschreibung der Aufgaben, die ausgeführt werden sollen durch:</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16350" w:rsidRPr="00C754CA" w14:paraId="1618071F" w14:textId="77777777" w:rsidTr="00FF1EF4">
        <w:tc>
          <w:tcPr>
            <w:tcW w:w="3240" w:type="dxa"/>
          </w:tcPr>
          <w:p w14:paraId="1F78FE79" w14:textId="77777777" w:rsidR="00A56747" w:rsidRPr="00C754CA" w:rsidRDefault="00A56747" w:rsidP="004B53CC">
            <w:pPr>
              <w:rPr>
                <w:noProof/>
                <w:sz w:val="20"/>
              </w:rPr>
            </w:pPr>
            <w:r w:rsidRPr="00C754CA">
              <w:rPr>
                <w:noProof/>
                <w:sz w:val="20"/>
              </w:rPr>
              <w:t>Beamte und Zeitbedienstete</w:t>
            </w:r>
          </w:p>
        </w:tc>
        <w:tc>
          <w:tcPr>
            <w:tcW w:w="7200" w:type="dxa"/>
          </w:tcPr>
          <w:p w14:paraId="7FC7265F" w14:textId="77777777" w:rsidR="00A56747" w:rsidRPr="00C754CA" w:rsidRDefault="00A56747" w:rsidP="004B53CC">
            <w:pPr>
              <w:rPr>
                <w:noProof/>
                <w:sz w:val="20"/>
              </w:rPr>
            </w:pPr>
          </w:p>
        </w:tc>
      </w:tr>
      <w:tr w:rsidR="00816350" w:rsidRPr="00C754CA" w14:paraId="45D0C955" w14:textId="77777777" w:rsidTr="00FF1EF4">
        <w:tc>
          <w:tcPr>
            <w:tcW w:w="3240" w:type="dxa"/>
          </w:tcPr>
          <w:p w14:paraId="32D5E670" w14:textId="77777777" w:rsidR="00A56747" w:rsidRPr="00C754CA" w:rsidRDefault="00A56747" w:rsidP="004B53CC">
            <w:pPr>
              <w:spacing w:before="60" w:after="60"/>
              <w:rPr>
                <w:noProof/>
                <w:sz w:val="20"/>
              </w:rPr>
            </w:pPr>
            <w:r w:rsidRPr="00C754CA">
              <w:rPr>
                <w:noProof/>
                <w:sz w:val="20"/>
              </w:rPr>
              <w:t>Externes Personal</w:t>
            </w:r>
          </w:p>
        </w:tc>
        <w:tc>
          <w:tcPr>
            <w:tcW w:w="7200" w:type="dxa"/>
          </w:tcPr>
          <w:p w14:paraId="52F616AD" w14:textId="77777777" w:rsidR="00A56747" w:rsidRPr="00C754CA" w:rsidRDefault="00A56747" w:rsidP="004B53CC">
            <w:pPr>
              <w:rPr>
                <w:noProof/>
                <w:sz w:val="20"/>
              </w:rPr>
            </w:pPr>
          </w:p>
        </w:tc>
      </w:tr>
    </w:tbl>
    <w:p w14:paraId="75C89D97" w14:textId="77777777" w:rsidR="00A56747" w:rsidRPr="00C754CA" w:rsidRDefault="00A56747" w:rsidP="00A56747">
      <w:pPr>
        <w:pStyle w:val="ManualHeading3"/>
        <w:rPr>
          <w:noProof/>
        </w:rPr>
      </w:pPr>
      <w:bookmarkStart w:id="226" w:name="_Toc177549031"/>
      <w:r w:rsidRPr="00E2773D">
        <w:rPr>
          <w:noProof/>
        </w:rPr>
        <w:t>3</w:t>
      </w:r>
      <w:r w:rsidRPr="00C754CA">
        <w:rPr>
          <w:noProof/>
        </w:rPr>
        <w:t>.</w:t>
      </w:r>
      <w:r w:rsidRPr="00E2773D">
        <w:rPr>
          <w:noProof/>
        </w:rPr>
        <w:t>2</w:t>
      </w:r>
      <w:r w:rsidRPr="00C754CA">
        <w:rPr>
          <w:noProof/>
        </w:rPr>
        <w:t>.</w:t>
      </w:r>
      <w:r w:rsidRPr="00E2773D">
        <w:rPr>
          <w:noProof/>
        </w:rPr>
        <w:t>5</w:t>
      </w:r>
      <w:r w:rsidRPr="00C754CA">
        <w:rPr>
          <w:noProof/>
        </w:rPr>
        <w:tab/>
        <w:t>Einschätzung der Auswirkungen auf die Investitionen im Zusammenhang mit digitalen Technologien</w:t>
      </w:r>
      <w:bookmarkEnd w:id="226"/>
    </w:p>
    <w:p w14:paraId="2C529049" w14:textId="77777777" w:rsidR="00A56747" w:rsidRPr="00C754CA" w:rsidRDefault="00A56747" w:rsidP="00A56747">
      <w:pPr>
        <w:pStyle w:val="Text1"/>
        <w:spacing w:line="259" w:lineRule="auto"/>
        <w:rPr>
          <w:noProof/>
        </w:rPr>
      </w:pPr>
      <w:r w:rsidRPr="00C754CA">
        <w:rPr>
          <w:noProof/>
        </w:rPr>
        <w:t xml:space="preserve">Obligatorisch: In die Tabelle unten ist die bestmögliche Einschätzung der für den Vorschlag/die Initiative erforderlichen Investitionen in digitale Technologien einzutragen. </w:t>
      </w:r>
    </w:p>
    <w:p w14:paraId="7675FFAE" w14:textId="77777777" w:rsidR="00A56747" w:rsidRPr="00C754CA" w:rsidRDefault="00A56747" w:rsidP="00A56747">
      <w:pPr>
        <w:pStyle w:val="Text1"/>
        <w:spacing w:line="259" w:lineRule="auto"/>
        <w:rPr>
          <w:noProof/>
        </w:rPr>
      </w:pPr>
      <w:r w:rsidRPr="00C754CA">
        <w:rPr>
          <w:noProof/>
        </w:rPr>
        <w:t>Wenn dies für die Durchführung des Vorschlags/der Initiative erforderlich ist, sollten die Mittel der Rubrik </w:t>
      </w:r>
      <w:r w:rsidRPr="00E2773D">
        <w:rPr>
          <w:noProof/>
        </w:rPr>
        <w:t>7</w:t>
      </w:r>
      <w:r w:rsidRPr="00C754CA">
        <w:rPr>
          <w:noProof/>
        </w:rPr>
        <w:t xml:space="preserve"> ausnahmsweise in der dafür vorgesehenen Haushaltslinie ausgewiesen werden. </w:t>
      </w:r>
    </w:p>
    <w:p w14:paraId="27DEBB23" w14:textId="77777777" w:rsidR="00A56747" w:rsidRPr="00C754CA" w:rsidRDefault="00A56747" w:rsidP="00A56747">
      <w:pPr>
        <w:pStyle w:val="Text1"/>
        <w:spacing w:line="259" w:lineRule="auto"/>
        <w:rPr>
          <w:noProof/>
        </w:rPr>
      </w:pPr>
      <w:r w:rsidRPr="00C754CA">
        <w:rPr>
          <w:noProof/>
        </w:rPr>
        <w:t>Die unter die Rubriken </w:t>
      </w:r>
      <w:r w:rsidRPr="00E2773D">
        <w:rPr>
          <w:noProof/>
        </w:rPr>
        <w:t>1</w:t>
      </w:r>
      <w:r w:rsidRPr="00C754CA">
        <w:rPr>
          <w:noProof/>
        </w:rPr>
        <w:t>-</w:t>
      </w:r>
      <w:r w:rsidRPr="00E2773D">
        <w:rPr>
          <w:noProof/>
        </w:rPr>
        <w:t>6</w:t>
      </w:r>
      <w:r w:rsidRPr="00C754CA">
        <w:rPr>
          <w:noProof/>
        </w:rPr>
        <w:t xml:space="preserve"> fallenden Mittel sollten als „IT-Ausgaben zur Politikunterstützung für operationelle Programme“ aufgeführt werden. Diese Ausgaben beziehen sich auf die operativen Mittel, die für die Wiederverwendung/den Erwerb/die Entwicklung von IT-Plattformen/Instrumenten verwendet werden, die in direktem Zusammenhang mit der Durchführung der Initiative und den damit verbundenen Investitionen stehen (z. B. Lizenzen, Studien, Datenspeicherung usw.). Die Angaben in dieser Tabelle sollten mit denen in Abschnitt </w:t>
      </w:r>
      <w:r w:rsidRPr="00E2773D">
        <w:rPr>
          <w:noProof/>
        </w:rPr>
        <w:t>4</w:t>
      </w:r>
      <w:r w:rsidRPr="00C754CA">
        <w:rPr>
          <w:noProof/>
        </w:rPr>
        <w:t xml:space="preserve"> „Digitale Aspekte“ in Einklang stehen.</w:t>
      </w:r>
    </w:p>
    <w:p w14:paraId="26BDEA2F" w14:textId="77777777" w:rsidR="00A56747" w:rsidRPr="00C754CA" w:rsidRDefault="00A56747" w:rsidP="00A56747">
      <w:pPr>
        <w:pStyle w:val="Text1"/>
        <w:spacing w:line="259" w:lineRule="auto"/>
        <w:rPr>
          <w:noProof/>
        </w:rPr>
      </w:pPr>
    </w:p>
    <w:tbl>
      <w:tblPr>
        <w:tblW w:w="0" w:type="auto"/>
        <w:tblLayout w:type="fixed"/>
        <w:tblLook w:val="04A0" w:firstRow="1" w:lastRow="0" w:firstColumn="1" w:lastColumn="0" w:noHBand="0" w:noVBand="1"/>
      </w:tblPr>
      <w:tblGrid>
        <w:gridCol w:w="3214"/>
        <w:gridCol w:w="835"/>
        <w:gridCol w:w="835"/>
        <w:gridCol w:w="835"/>
        <w:gridCol w:w="835"/>
        <w:gridCol w:w="981"/>
      </w:tblGrid>
      <w:tr w:rsidR="00A56747" w:rsidRPr="00C754CA" w14:paraId="40DAD433" w14:textId="77777777" w:rsidTr="00FF1EF4">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14:paraId="5ECDD6F4" w14:textId="77777777" w:rsidR="00A56747" w:rsidRPr="00C754CA" w:rsidRDefault="00A56747" w:rsidP="004B53CC">
            <w:pPr>
              <w:spacing w:before="0" w:after="0"/>
              <w:jc w:val="center"/>
              <w:rPr>
                <w:b/>
                <w:bCs/>
                <w:noProof/>
                <w:color w:val="000000" w:themeColor="text1"/>
                <w:sz w:val="18"/>
                <w:szCs w:val="18"/>
              </w:rPr>
            </w:pPr>
            <w:r w:rsidRPr="00C754CA">
              <w:rPr>
                <w:b/>
                <w:noProof/>
                <w:color w:val="000000" w:themeColor="text1"/>
                <w:sz w:val="18"/>
              </w:rPr>
              <w:t>Mittel INSGESAMT für Digitales und IT</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14:paraId="19BC2C3B" w14:textId="77777777" w:rsidR="00A56747" w:rsidRPr="00C754CA" w:rsidRDefault="00A56747" w:rsidP="004B53CC">
            <w:pPr>
              <w:spacing w:before="0" w:after="0"/>
              <w:jc w:val="center"/>
              <w:rPr>
                <w:noProof/>
                <w:color w:val="000000" w:themeColor="text1"/>
                <w:sz w:val="18"/>
                <w:szCs w:val="18"/>
              </w:rPr>
            </w:pPr>
            <w:r w:rsidRPr="00C754CA">
              <w:rPr>
                <w:noProof/>
                <w:color w:val="000000" w:themeColor="text1"/>
                <w:sz w:val="18"/>
              </w:rPr>
              <w:t>Jahr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62F981E3" w14:textId="77777777" w:rsidR="00A56747" w:rsidRPr="00C754CA" w:rsidRDefault="00A56747" w:rsidP="004B53CC">
            <w:pPr>
              <w:spacing w:before="0" w:after="0"/>
              <w:jc w:val="center"/>
              <w:rPr>
                <w:noProof/>
                <w:color w:val="000000" w:themeColor="text1"/>
                <w:sz w:val="18"/>
                <w:szCs w:val="18"/>
              </w:rPr>
            </w:pPr>
            <w:r w:rsidRPr="00C754CA">
              <w:rPr>
                <w:noProof/>
                <w:color w:val="000000" w:themeColor="text1"/>
                <w:sz w:val="18"/>
              </w:rPr>
              <w:t>Jahr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18F8D2FC" w14:textId="77777777" w:rsidR="00A56747" w:rsidRPr="00C754CA" w:rsidRDefault="00A56747" w:rsidP="004B53CC">
            <w:pPr>
              <w:spacing w:before="0" w:after="0"/>
              <w:jc w:val="center"/>
              <w:rPr>
                <w:noProof/>
                <w:color w:val="000000" w:themeColor="text1"/>
                <w:sz w:val="18"/>
                <w:szCs w:val="18"/>
              </w:rPr>
            </w:pPr>
            <w:r w:rsidRPr="00C754CA">
              <w:rPr>
                <w:noProof/>
                <w:color w:val="000000" w:themeColor="text1"/>
                <w:sz w:val="18"/>
              </w:rPr>
              <w:t>Jahr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1CC2C825" w14:textId="77777777" w:rsidR="00A56747" w:rsidRPr="00C754CA" w:rsidRDefault="00A56747" w:rsidP="004B53CC">
            <w:pPr>
              <w:spacing w:before="0" w:after="0"/>
              <w:jc w:val="center"/>
              <w:rPr>
                <w:noProof/>
                <w:color w:val="000000" w:themeColor="text1"/>
                <w:sz w:val="18"/>
                <w:szCs w:val="18"/>
              </w:rPr>
            </w:pPr>
            <w:r w:rsidRPr="00C754CA">
              <w:rPr>
                <w:noProof/>
                <w:color w:val="000000" w:themeColor="text1"/>
                <w:sz w:val="18"/>
              </w:rPr>
              <w:t>Jahr</w:t>
            </w:r>
          </w:p>
        </w:tc>
        <w:tc>
          <w:tcPr>
            <w:tcW w:w="981"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7784E890" w14:textId="77777777" w:rsidR="00A56747" w:rsidRPr="00C754CA" w:rsidRDefault="00A56747" w:rsidP="004B53CC">
            <w:pPr>
              <w:spacing w:before="0" w:after="0"/>
              <w:jc w:val="center"/>
              <w:rPr>
                <w:b/>
                <w:bCs/>
                <w:noProof/>
                <w:color w:val="000000" w:themeColor="text1"/>
                <w:sz w:val="18"/>
                <w:szCs w:val="18"/>
              </w:rPr>
            </w:pPr>
            <w:r w:rsidRPr="00C754CA">
              <w:rPr>
                <w:b/>
                <w:noProof/>
                <w:color w:val="000000" w:themeColor="text1"/>
                <w:sz w:val="18"/>
              </w:rPr>
              <w:t xml:space="preserve">MFF </w:t>
            </w:r>
            <w:r w:rsidRPr="00E2773D">
              <w:rPr>
                <w:b/>
                <w:noProof/>
                <w:color w:val="000000" w:themeColor="text1"/>
                <w:sz w:val="18"/>
              </w:rPr>
              <w:t>2021</w:t>
            </w:r>
            <w:r w:rsidRPr="00C754CA">
              <w:rPr>
                <w:b/>
                <w:noProof/>
                <w:color w:val="000000" w:themeColor="text1"/>
                <w:sz w:val="18"/>
              </w:rPr>
              <w:t xml:space="preserve"> - </w:t>
            </w:r>
            <w:r w:rsidRPr="00E2773D">
              <w:rPr>
                <w:b/>
                <w:noProof/>
                <w:color w:val="000000" w:themeColor="text1"/>
                <w:sz w:val="18"/>
              </w:rPr>
              <w:t>2027</w:t>
            </w:r>
            <w:r w:rsidRPr="00C754CA">
              <w:rPr>
                <w:b/>
                <w:noProof/>
                <w:color w:val="000000" w:themeColor="text1"/>
                <w:sz w:val="18"/>
              </w:rPr>
              <w:t xml:space="preserve"> INSGESAMT</w:t>
            </w:r>
          </w:p>
        </w:tc>
      </w:tr>
      <w:tr w:rsidR="00A56747" w:rsidRPr="00C754CA" w14:paraId="1027E5A5" w14:textId="77777777" w:rsidTr="00FF1EF4">
        <w:trPr>
          <w:trHeight w:val="525"/>
        </w:trPr>
        <w:tc>
          <w:tcPr>
            <w:tcW w:w="3214" w:type="dxa"/>
            <w:vMerge/>
            <w:tcBorders>
              <w:top w:val="single" w:sz="8" w:space="0" w:color="auto"/>
              <w:left w:val="single" w:sz="4" w:space="0" w:color="auto"/>
              <w:right w:val="single" w:sz="4" w:space="0" w:color="auto"/>
            </w:tcBorders>
            <w:vAlign w:val="center"/>
          </w:tcPr>
          <w:p w14:paraId="260B73FB" w14:textId="77777777" w:rsidR="00A56747" w:rsidRPr="00C754CA" w:rsidRDefault="00A56747" w:rsidP="004B53CC">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14:paraId="206D3AA7" w14:textId="77777777" w:rsidR="00A56747" w:rsidRPr="00C754CA" w:rsidRDefault="00A56747" w:rsidP="004B53CC">
            <w:pPr>
              <w:spacing w:before="0" w:after="0"/>
              <w:jc w:val="center"/>
              <w:rPr>
                <w:b/>
                <w:bCs/>
                <w:noProof/>
                <w:color w:val="000000" w:themeColor="text1"/>
                <w:sz w:val="18"/>
                <w:szCs w:val="18"/>
              </w:rPr>
            </w:pPr>
            <w:r w:rsidRPr="00E2773D">
              <w:rPr>
                <w:b/>
                <w:noProof/>
                <w:color w:val="000000" w:themeColor="text1"/>
                <w:sz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196FE3AD" w14:textId="77777777" w:rsidR="00A56747" w:rsidRPr="00C754CA" w:rsidRDefault="00A56747" w:rsidP="004B53CC">
            <w:pPr>
              <w:spacing w:before="0" w:after="0"/>
              <w:jc w:val="center"/>
              <w:rPr>
                <w:b/>
                <w:bCs/>
                <w:noProof/>
                <w:color w:val="000000" w:themeColor="text1"/>
                <w:sz w:val="18"/>
                <w:szCs w:val="18"/>
              </w:rPr>
            </w:pPr>
            <w:r w:rsidRPr="00E2773D">
              <w:rPr>
                <w:b/>
                <w:noProof/>
                <w:color w:val="000000" w:themeColor="text1"/>
                <w:sz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747E1081" w14:textId="77777777" w:rsidR="00A56747" w:rsidRPr="00C754CA" w:rsidRDefault="00A56747" w:rsidP="004B53CC">
            <w:pPr>
              <w:spacing w:before="0" w:after="0"/>
              <w:jc w:val="center"/>
              <w:rPr>
                <w:b/>
                <w:bCs/>
                <w:noProof/>
                <w:color w:val="000000" w:themeColor="text1"/>
                <w:sz w:val="18"/>
                <w:szCs w:val="18"/>
              </w:rPr>
            </w:pPr>
            <w:r w:rsidRPr="00E2773D">
              <w:rPr>
                <w:b/>
                <w:noProof/>
                <w:color w:val="000000" w:themeColor="text1"/>
                <w:sz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234C0898" w14:textId="77777777" w:rsidR="00A56747" w:rsidRPr="00C754CA" w:rsidRDefault="00A56747" w:rsidP="004B53CC">
            <w:pPr>
              <w:spacing w:before="0" w:after="0"/>
              <w:jc w:val="center"/>
              <w:rPr>
                <w:b/>
                <w:bCs/>
                <w:noProof/>
                <w:color w:val="000000" w:themeColor="text1"/>
                <w:sz w:val="18"/>
                <w:szCs w:val="18"/>
              </w:rPr>
            </w:pPr>
            <w:r w:rsidRPr="00E2773D">
              <w:rPr>
                <w:b/>
                <w:noProof/>
                <w:color w:val="000000" w:themeColor="text1"/>
                <w:sz w:val="18"/>
              </w:rPr>
              <w:t>2027</w:t>
            </w:r>
          </w:p>
        </w:tc>
        <w:tc>
          <w:tcPr>
            <w:tcW w:w="981" w:type="dxa"/>
            <w:vMerge/>
            <w:tcBorders>
              <w:bottom w:val="single" w:sz="4" w:space="0" w:color="auto"/>
              <w:right w:val="single" w:sz="4" w:space="0" w:color="auto"/>
            </w:tcBorders>
            <w:vAlign w:val="center"/>
          </w:tcPr>
          <w:p w14:paraId="36F28011" w14:textId="77777777" w:rsidR="00A56747" w:rsidRPr="00C754CA" w:rsidRDefault="00A56747" w:rsidP="004B53CC">
            <w:pPr>
              <w:rPr>
                <w:noProof/>
              </w:rPr>
            </w:pPr>
          </w:p>
        </w:tc>
      </w:tr>
      <w:tr w:rsidR="00A56747" w:rsidRPr="00C754CA" w14:paraId="03950891" w14:textId="77777777" w:rsidTr="00FF1EF4">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14:paraId="65A199C5" w14:textId="77777777" w:rsidR="00A56747" w:rsidRPr="00C754CA" w:rsidRDefault="00A56747" w:rsidP="004B53CC">
            <w:pPr>
              <w:spacing w:before="0" w:after="0"/>
              <w:jc w:val="left"/>
              <w:rPr>
                <w:b/>
                <w:bCs/>
                <w:noProof/>
                <w:sz w:val="16"/>
                <w:szCs w:val="16"/>
              </w:rPr>
            </w:pPr>
            <w:r w:rsidRPr="00C754CA">
              <w:rPr>
                <w:b/>
                <w:noProof/>
                <w:sz w:val="16"/>
              </w:rPr>
              <w:t>RUBRIK </w:t>
            </w:r>
            <w:r w:rsidRPr="00E2773D">
              <w:rPr>
                <w:b/>
                <w:noProof/>
                <w:sz w:val="16"/>
              </w:rPr>
              <w:t>7</w:t>
            </w:r>
          </w:p>
        </w:tc>
      </w:tr>
      <w:tr w:rsidR="003100E7" w:rsidRPr="00C754CA" w14:paraId="580FE61F" w14:textId="77777777" w:rsidTr="004B53CC">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7648AB" w14:textId="77777777" w:rsidR="00A56747" w:rsidRPr="00C754CA" w:rsidRDefault="00A56747" w:rsidP="004B53CC">
            <w:pPr>
              <w:spacing w:before="0" w:after="0"/>
              <w:jc w:val="left"/>
              <w:rPr>
                <w:noProof/>
                <w:color w:val="000000" w:themeColor="text1"/>
                <w:sz w:val="16"/>
                <w:szCs w:val="16"/>
              </w:rPr>
            </w:pPr>
            <w:r w:rsidRPr="00C754CA">
              <w:rPr>
                <w:rFonts w:ascii="Arial Narrow" w:hAnsi="Arial Narrow"/>
                <w:noProof/>
                <w:color w:val="000000" w:themeColor="text1"/>
                <w:sz w:val="20"/>
              </w:rPr>
              <w:t>IT-Ausgaben (intern)</w:t>
            </w:r>
            <w:r w:rsidRPr="00C754CA">
              <w:rPr>
                <w:noProof/>
                <w:color w:val="000000" w:themeColor="text1"/>
                <w:sz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CE7F1E" w14:textId="77777777" w:rsidR="00A56747" w:rsidRPr="00C754CA" w:rsidRDefault="00A56747" w:rsidP="004B53CC">
            <w:pPr>
              <w:spacing w:before="0" w:after="0"/>
              <w:jc w:val="right"/>
              <w:rPr>
                <w:noProof/>
                <w:color w:val="000000" w:themeColor="text1"/>
                <w:sz w:val="16"/>
                <w:szCs w:val="16"/>
              </w:rPr>
            </w:pPr>
            <w:r w:rsidRPr="00E2773D">
              <w:rPr>
                <w:noProof/>
                <w:color w:val="000000" w:themeColor="text1"/>
                <w:sz w:val="16"/>
              </w:rPr>
              <w:t>0</w:t>
            </w:r>
            <w:r w:rsidRPr="00C754CA">
              <w:rPr>
                <w:noProof/>
                <w:color w:val="000000" w:themeColor="text1"/>
                <w:sz w:val="16"/>
              </w:rPr>
              <w:t>,</w:t>
            </w:r>
            <w:r w:rsidRPr="00E2773D">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FEF882E" w14:textId="77777777" w:rsidR="00A56747" w:rsidRPr="00C754CA" w:rsidRDefault="00A56747" w:rsidP="004B53CC">
            <w:pPr>
              <w:spacing w:before="0" w:after="0"/>
              <w:jc w:val="right"/>
              <w:rPr>
                <w:noProof/>
                <w:color w:val="000000" w:themeColor="text1"/>
                <w:sz w:val="16"/>
                <w:szCs w:val="16"/>
              </w:rPr>
            </w:pPr>
            <w:r w:rsidRPr="00E2773D">
              <w:rPr>
                <w:noProof/>
                <w:color w:val="000000" w:themeColor="text1"/>
                <w:sz w:val="16"/>
              </w:rPr>
              <w:t>0</w:t>
            </w:r>
            <w:r w:rsidRPr="00C754CA">
              <w:rPr>
                <w:noProof/>
                <w:color w:val="000000" w:themeColor="text1"/>
                <w:sz w:val="16"/>
              </w:rPr>
              <w:t>,</w:t>
            </w:r>
            <w:r w:rsidRPr="00E2773D">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347FDDC" w14:textId="77777777" w:rsidR="00A56747" w:rsidRPr="00C754CA" w:rsidRDefault="00A56747" w:rsidP="004B53CC">
            <w:pPr>
              <w:spacing w:before="0" w:after="0"/>
              <w:jc w:val="right"/>
              <w:rPr>
                <w:noProof/>
                <w:color w:val="000000" w:themeColor="text1"/>
                <w:sz w:val="16"/>
                <w:szCs w:val="16"/>
              </w:rPr>
            </w:pPr>
            <w:r w:rsidRPr="00E2773D">
              <w:rPr>
                <w:noProof/>
                <w:color w:val="000000" w:themeColor="text1"/>
                <w:sz w:val="16"/>
              </w:rPr>
              <w:t>0</w:t>
            </w:r>
            <w:r w:rsidRPr="00C754CA">
              <w:rPr>
                <w:noProof/>
                <w:color w:val="000000" w:themeColor="text1"/>
                <w:sz w:val="16"/>
              </w:rPr>
              <w:t>,</w:t>
            </w:r>
            <w:r w:rsidRPr="00E2773D">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BE2E71F" w14:textId="77777777" w:rsidR="00A56747" w:rsidRPr="00C754CA" w:rsidRDefault="00A56747" w:rsidP="004B53CC">
            <w:pPr>
              <w:spacing w:before="0" w:after="0"/>
              <w:jc w:val="right"/>
              <w:rPr>
                <w:noProof/>
                <w:color w:val="000000" w:themeColor="text1"/>
                <w:sz w:val="16"/>
                <w:szCs w:val="16"/>
              </w:rPr>
            </w:pPr>
            <w:r w:rsidRPr="00E2773D">
              <w:rPr>
                <w:noProof/>
                <w:color w:val="000000" w:themeColor="text1"/>
                <w:sz w:val="16"/>
              </w:rPr>
              <w:t>0</w:t>
            </w:r>
            <w:r w:rsidRPr="00C754CA">
              <w:rPr>
                <w:noProof/>
                <w:color w:val="000000" w:themeColor="text1"/>
                <w:sz w:val="16"/>
              </w:rPr>
              <w:t>,</w:t>
            </w:r>
            <w:r w:rsidRPr="00E2773D">
              <w:rPr>
                <w:noProof/>
                <w:color w:val="000000" w:themeColor="text1"/>
                <w:sz w:val="16"/>
              </w:rPr>
              <w:t>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AC95007"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r>
      <w:tr w:rsidR="003100E7" w:rsidRPr="00C754CA" w14:paraId="42FE1B80" w14:textId="77777777" w:rsidTr="004B53CC">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74FC1B56" w14:textId="77777777" w:rsidR="00A56747" w:rsidRPr="00C754CA" w:rsidRDefault="00A56747" w:rsidP="004B53CC">
            <w:pPr>
              <w:spacing w:before="0" w:after="0"/>
              <w:jc w:val="center"/>
              <w:rPr>
                <w:b/>
                <w:bCs/>
                <w:noProof/>
                <w:color w:val="000000" w:themeColor="text1"/>
                <w:sz w:val="16"/>
                <w:szCs w:val="16"/>
              </w:rPr>
            </w:pPr>
            <w:r w:rsidRPr="00C754CA">
              <w:rPr>
                <w:b/>
                <w:noProof/>
                <w:color w:val="000000" w:themeColor="text1"/>
                <w:sz w:val="16"/>
              </w:rPr>
              <w:t>Zwischensumme RUBRIK </w:t>
            </w:r>
            <w:r w:rsidRPr="00E2773D">
              <w:rPr>
                <w:b/>
                <w:noProof/>
                <w:color w:val="000000" w:themeColor="text1"/>
                <w:sz w:val="16"/>
              </w:rPr>
              <w:t>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6B1978D"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60F9F83"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06753A3"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7004F09"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1E4D64E"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r>
      <w:tr w:rsidR="00A56747" w:rsidRPr="00C754CA" w14:paraId="0DD766EC" w14:textId="77777777" w:rsidTr="00FF1EF4">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1CD22" w14:textId="77777777" w:rsidR="00A56747" w:rsidRPr="00C754CA" w:rsidRDefault="00A56747" w:rsidP="004B53CC">
            <w:pPr>
              <w:spacing w:before="0" w:after="0"/>
              <w:jc w:val="left"/>
              <w:rPr>
                <w:b/>
                <w:bCs/>
                <w:noProof/>
                <w:sz w:val="16"/>
                <w:szCs w:val="16"/>
              </w:rPr>
            </w:pPr>
            <w:r w:rsidRPr="00C754CA">
              <w:rPr>
                <w:b/>
                <w:noProof/>
                <w:sz w:val="16"/>
              </w:rPr>
              <w:t>Außerhalb der RUBRIK </w:t>
            </w:r>
            <w:r w:rsidRPr="00E2773D">
              <w:rPr>
                <w:b/>
                <w:noProof/>
                <w:sz w:val="16"/>
              </w:rPr>
              <w:t>7</w:t>
            </w:r>
          </w:p>
        </w:tc>
      </w:tr>
      <w:tr w:rsidR="003100E7" w:rsidRPr="00C754CA" w14:paraId="31B296CF" w14:textId="77777777" w:rsidTr="004B53CC">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942FD9" w14:textId="77777777" w:rsidR="00A56747" w:rsidRPr="00C754CA" w:rsidRDefault="00A56747" w:rsidP="004B53CC">
            <w:pPr>
              <w:spacing w:before="0" w:after="0"/>
              <w:jc w:val="left"/>
              <w:rPr>
                <w:rFonts w:ascii="Arial Narrow" w:eastAsia="Arial Narrow" w:hAnsi="Arial Narrow" w:cs="Arial Narrow"/>
                <w:noProof/>
                <w:color w:val="000000" w:themeColor="text1"/>
                <w:sz w:val="20"/>
                <w:szCs w:val="20"/>
              </w:rPr>
            </w:pPr>
            <w:r w:rsidRPr="00C754CA">
              <w:rPr>
                <w:rFonts w:ascii="Arial Narrow" w:hAnsi="Arial Narrow"/>
                <w:noProof/>
                <w:color w:val="000000" w:themeColor="text1"/>
                <w:sz w:val="20"/>
              </w:rPr>
              <w:t>IT-Ausgaben zur Politikunterstützung für operationelle Programme</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EFC4F95" w14:textId="77777777" w:rsidR="00A56747" w:rsidRPr="00C754CA" w:rsidRDefault="00A56747" w:rsidP="004B53CC">
            <w:pPr>
              <w:spacing w:before="0" w:after="0"/>
              <w:jc w:val="right"/>
              <w:rPr>
                <w:noProof/>
                <w:color w:val="000000" w:themeColor="text1"/>
                <w:sz w:val="16"/>
                <w:szCs w:val="16"/>
              </w:rPr>
            </w:pPr>
            <w:r w:rsidRPr="00E2773D">
              <w:rPr>
                <w:noProof/>
                <w:color w:val="000000" w:themeColor="text1"/>
                <w:sz w:val="16"/>
              </w:rPr>
              <w:t>0</w:t>
            </w:r>
            <w:r w:rsidRPr="00C754CA">
              <w:rPr>
                <w:noProof/>
                <w:color w:val="000000" w:themeColor="text1"/>
                <w:sz w:val="16"/>
              </w:rPr>
              <w:t>,</w:t>
            </w:r>
            <w:r w:rsidRPr="00E2773D">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085C000" w14:textId="77777777" w:rsidR="00A56747" w:rsidRPr="00C754CA" w:rsidRDefault="00A56747" w:rsidP="004B53CC">
            <w:pPr>
              <w:spacing w:before="0" w:after="0"/>
              <w:jc w:val="right"/>
              <w:rPr>
                <w:noProof/>
                <w:color w:val="000000" w:themeColor="text1"/>
                <w:sz w:val="16"/>
                <w:szCs w:val="16"/>
              </w:rPr>
            </w:pPr>
            <w:r w:rsidRPr="00E2773D">
              <w:rPr>
                <w:noProof/>
                <w:color w:val="000000" w:themeColor="text1"/>
                <w:sz w:val="16"/>
              </w:rPr>
              <w:t>0</w:t>
            </w:r>
            <w:r w:rsidRPr="00C754CA">
              <w:rPr>
                <w:noProof/>
                <w:color w:val="000000" w:themeColor="text1"/>
                <w:sz w:val="16"/>
              </w:rPr>
              <w:t>,</w:t>
            </w:r>
            <w:r w:rsidRPr="00E2773D">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2394AB" w14:textId="77777777" w:rsidR="00A56747" w:rsidRPr="00C754CA" w:rsidRDefault="00A56747" w:rsidP="004B53CC">
            <w:pPr>
              <w:spacing w:before="0" w:after="0"/>
              <w:jc w:val="right"/>
              <w:rPr>
                <w:noProof/>
                <w:color w:val="000000" w:themeColor="text1"/>
                <w:sz w:val="16"/>
                <w:szCs w:val="16"/>
              </w:rPr>
            </w:pPr>
            <w:r w:rsidRPr="00E2773D">
              <w:rPr>
                <w:noProof/>
                <w:color w:val="000000" w:themeColor="text1"/>
                <w:sz w:val="16"/>
              </w:rPr>
              <w:t>0</w:t>
            </w:r>
            <w:r w:rsidRPr="00C754CA">
              <w:rPr>
                <w:noProof/>
                <w:color w:val="000000" w:themeColor="text1"/>
                <w:sz w:val="16"/>
              </w:rPr>
              <w:t>,</w:t>
            </w:r>
            <w:r w:rsidRPr="00E2773D">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E0B47B4" w14:textId="77777777" w:rsidR="00A56747" w:rsidRPr="00C754CA" w:rsidRDefault="00A56747" w:rsidP="004B53CC">
            <w:pPr>
              <w:spacing w:before="0" w:after="0"/>
              <w:jc w:val="right"/>
              <w:rPr>
                <w:noProof/>
                <w:color w:val="000000" w:themeColor="text1"/>
                <w:sz w:val="16"/>
                <w:szCs w:val="16"/>
              </w:rPr>
            </w:pPr>
            <w:r w:rsidRPr="00E2773D">
              <w:rPr>
                <w:noProof/>
                <w:color w:val="000000" w:themeColor="text1"/>
                <w:sz w:val="16"/>
              </w:rPr>
              <w:t>0</w:t>
            </w:r>
            <w:r w:rsidRPr="00C754CA">
              <w:rPr>
                <w:noProof/>
                <w:color w:val="000000" w:themeColor="text1"/>
                <w:sz w:val="16"/>
              </w:rPr>
              <w:t>,</w:t>
            </w:r>
            <w:r w:rsidRPr="00E2773D">
              <w:rPr>
                <w:noProof/>
                <w:color w:val="000000" w:themeColor="text1"/>
                <w:sz w:val="16"/>
              </w:rPr>
              <w:t>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1CA873A"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r>
      <w:tr w:rsidR="003100E7" w:rsidRPr="00C754CA" w14:paraId="425BE5A3" w14:textId="77777777" w:rsidTr="004B53CC">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2B505BC4" w14:textId="77777777" w:rsidR="00A56747" w:rsidRPr="00C754CA" w:rsidRDefault="00A56747" w:rsidP="004B53CC">
            <w:pPr>
              <w:spacing w:before="0" w:after="0"/>
              <w:jc w:val="center"/>
              <w:rPr>
                <w:b/>
                <w:bCs/>
                <w:noProof/>
                <w:color w:val="000000" w:themeColor="text1"/>
                <w:sz w:val="16"/>
                <w:szCs w:val="16"/>
              </w:rPr>
            </w:pPr>
            <w:r w:rsidRPr="00C754CA">
              <w:rPr>
                <w:b/>
                <w:noProof/>
                <w:color w:val="000000" w:themeColor="text1"/>
                <w:sz w:val="16"/>
              </w:rPr>
              <w:t>Zwischensumme außerhalb der RUBRIK </w:t>
            </w:r>
            <w:r w:rsidRPr="00E2773D">
              <w:rPr>
                <w:b/>
                <w:noProof/>
                <w:color w:val="000000" w:themeColor="text1"/>
                <w:sz w:val="16"/>
              </w:rPr>
              <w:t>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4DD3C81"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66F395"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69B8959"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F0FCA9"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319DDB9"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r>
      <w:tr w:rsidR="00A56747" w:rsidRPr="00C754CA" w14:paraId="4D95002C" w14:textId="77777777" w:rsidTr="00FF1EF4">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85798D" w14:textId="77777777" w:rsidR="00A56747" w:rsidRPr="00C754CA" w:rsidRDefault="00A56747" w:rsidP="004B53CC">
            <w:pPr>
              <w:spacing w:before="0" w:after="0"/>
              <w:jc w:val="center"/>
              <w:rPr>
                <w:noProof/>
                <w:color w:val="000000" w:themeColor="text1"/>
                <w:sz w:val="16"/>
                <w:szCs w:val="16"/>
              </w:rPr>
            </w:pPr>
            <w:r w:rsidRPr="00C754CA">
              <w:rPr>
                <w:noProof/>
                <w:color w:val="000000" w:themeColor="text1"/>
                <w:sz w:val="16"/>
              </w:rPr>
              <w:t xml:space="preserve"> </w:t>
            </w:r>
          </w:p>
        </w:tc>
      </w:tr>
      <w:tr w:rsidR="003100E7" w:rsidRPr="00C754CA" w14:paraId="4F69E90E" w14:textId="77777777" w:rsidTr="004B53CC">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14:paraId="68346BAD" w14:textId="77777777" w:rsidR="00A56747" w:rsidRPr="00C754CA" w:rsidRDefault="00A56747" w:rsidP="004B53CC">
            <w:pPr>
              <w:spacing w:before="0" w:after="0"/>
              <w:jc w:val="center"/>
              <w:rPr>
                <w:b/>
                <w:bCs/>
                <w:noProof/>
                <w:color w:val="000000" w:themeColor="text1"/>
                <w:sz w:val="16"/>
                <w:szCs w:val="16"/>
              </w:rPr>
            </w:pPr>
            <w:r w:rsidRPr="00C754CA">
              <w:rPr>
                <w:b/>
                <w:noProof/>
                <w:color w:val="000000" w:themeColor="text1"/>
                <w:sz w:val="16"/>
              </w:rPr>
              <w:t>INSGESAMT</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3E13C7EE"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17E9C783"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7E979C17"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194C24B4"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1928DB18" w14:textId="77777777" w:rsidR="00A56747" w:rsidRPr="00C754CA" w:rsidRDefault="00A56747" w:rsidP="004B53CC">
            <w:pPr>
              <w:spacing w:before="0" w:after="0"/>
              <w:jc w:val="right"/>
              <w:rPr>
                <w:b/>
                <w:bCs/>
                <w:noProof/>
                <w:color w:val="000000" w:themeColor="text1"/>
                <w:sz w:val="16"/>
                <w:szCs w:val="16"/>
              </w:rPr>
            </w:pPr>
            <w:r w:rsidRPr="00E2773D">
              <w:rPr>
                <w:b/>
                <w:noProof/>
                <w:color w:val="000000" w:themeColor="text1"/>
                <w:sz w:val="16"/>
              </w:rPr>
              <w:t>0</w:t>
            </w:r>
            <w:r w:rsidRPr="00C754CA">
              <w:rPr>
                <w:b/>
                <w:noProof/>
                <w:color w:val="000000" w:themeColor="text1"/>
                <w:sz w:val="16"/>
              </w:rPr>
              <w:t>,</w:t>
            </w:r>
            <w:r w:rsidRPr="00E2773D">
              <w:rPr>
                <w:b/>
                <w:noProof/>
                <w:color w:val="000000" w:themeColor="text1"/>
                <w:sz w:val="16"/>
              </w:rPr>
              <w:t>000</w:t>
            </w:r>
          </w:p>
        </w:tc>
      </w:tr>
    </w:tbl>
    <w:p w14:paraId="2D1EA6E9" w14:textId="77777777" w:rsidR="00A56747" w:rsidRPr="00C754CA" w:rsidRDefault="00A56747" w:rsidP="00A56747">
      <w:pPr>
        <w:pStyle w:val="ManualHeading3"/>
        <w:rPr>
          <w:noProof/>
        </w:rPr>
      </w:pPr>
      <w:bookmarkStart w:id="227" w:name="_Toc514938056"/>
      <w:bookmarkStart w:id="228" w:name="_Toc520485055"/>
      <w:bookmarkStart w:id="229" w:name="_Toc160804599"/>
      <w:bookmarkStart w:id="230" w:name="_Toc167220298"/>
      <w:bookmarkStart w:id="231" w:name="_Toc177549032"/>
      <w:bookmarkEnd w:id="225"/>
      <w:r w:rsidRPr="00E2773D">
        <w:rPr>
          <w:noProof/>
        </w:rPr>
        <w:t>3</w:t>
      </w:r>
      <w:r w:rsidRPr="00C754CA">
        <w:rPr>
          <w:noProof/>
        </w:rPr>
        <w:t>.</w:t>
      </w:r>
      <w:r w:rsidRPr="00E2773D">
        <w:rPr>
          <w:noProof/>
        </w:rPr>
        <w:t>2</w:t>
      </w:r>
      <w:r w:rsidRPr="00C754CA">
        <w:rPr>
          <w:noProof/>
        </w:rPr>
        <w:t>.</w:t>
      </w:r>
      <w:r w:rsidRPr="00E2773D">
        <w:rPr>
          <w:noProof/>
        </w:rPr>
        <w:t>6</w:t>
      </w:r>
      <w:r w:rsidRPr="00C754CA">
        <w:rPr>
          <w:noProof/>
        </w:rPr>
        <w:tab/>
        <w:t>Vereinbarkeit mit dem derzeitigen Mehrjährigen Finanzrahmen</w:t>
      </w:r>
      <w:bookmarkEnd w:id="227"/>
      <w:bookmarkEnd w:id="228"/>
      <w:bookmarkEnd w:id="229"/>
      <w:bookmarkEnd w:id="230"/>
      <w:bookmarkEnd w:id="231"/>
      <w:r w:rsidRPr="00C754CA">
        <w:rPr>
          <w:noProof/>
        </w:rPr>
        <w:t xml:space="preserve"> </w:t>
      </w:r>
    </w:p>
    <w:p w14:paraId="0BF616E8" w14:textId="77777777" w:rsidR="00A56747" w:rsidRPr="00C754CA" w:rsidRDefault="00A56747" w:rsidP="00A56747">
      <w:pPr>
        <w:pStyle w:val="Text1"/>
        <w:rPr>
          <w:noProof/>
        </w:rPr>
      </w:pPr>
      <w:r w:rsidRPr="00C754CA">
        <w:rPr>
          <w:noProof/>
        </w:rPr>
        <w:t>Der Vorschlag/Die Initiative</w:t>
      </w:r>
    </w:p>
    <w:p w14:paraId="7AD98916" w14:textId="77777777" w:rsidR="00A56747" w:rsidRPr="00C754CA" w:rsidRDefault="00A56747" w:rsidP="00A56747">
      <w:pPr>
        <w:pStyle w:val="ListDash1"/>
        <w:tabs>
          <w:tab w:val="clear" w:pos="3523"/>
          <w:tab w:val="num" w:pos="1134"/>
        </w:tabs>
        <w:ind w:left="1134"/>
        <w:rPr>
          <w:noProof/>
        </w:rPr>
      </w:pPr>
      <w:r w:rsidRPr="00C754CA">
        <w:rPr>
          <w:noProof/>
          <w:color w:val="001E62"/>
        </w:rPr>
        <w:t>☑</w:t>
      </w:r>
      <w:r w:rsidRPr="00C754CA">
        <w:rPr>
          <w:noProof/>
        </w:rPr>
        <w:t>kann durch Umschichtungen innerhalb der entsprechenden Rubrik des Mehrjährigen Finanzrahmens (MFR) in voller Höhe finanziert werden.</w:t>
      </w:r>
    </w:p>
    <w:p w14:paraId="066D03C9" w14:textId="77777777" w:rsidR="00A56747" w:rsidRPr="00C754CA" w:rsidRDefault="00A56747" w:rsidP="00A56747">
      <w:pPr>
        <w:pStyle w:val="ManualHeading3"/>
        <w:rPr>
          <w:noProof/>
        </w:rPr>
      </w:pPr>
      <w:bookmarkStart w:id="232" w:name="_Toc514938058"/>
      <w:bookmarkStart w:id="233" w:name="_Toc520485056"/>
      <w:bookmarkStart w:id="234" w:name="_Toc160804600"/>
      <w:bookmarkStart w:id="235" w:name="_Toc167220299"/>
      <w:bookmarkStart w:id="236" w:name="_Toc177549033"/>
      <w:r w:rsidRPr="00E2773D">
        <w:rPr>
          <w:noProof/>
        </w:rPr>
        <w:t>3</w:t>
      </w:r>
      <w:r w:rsidRPr="00C754CA">
        <w:rPr>
          <w:noProof/>
        </w:rPr>
        <w:t>.</w:t>
      </w:r>
      <w:r w:rsidRPr="00E2773D">
        <w:rPr>
          <w:noProof/>
        </w:rPr>
        <w:t>2</w:t>
      </w:r>
      <w:r w:rsidRPr="00C754CA">
        <w:rPr>
          <w:noProof/>
        </w:rPr>
        <w:t>.</w:t>
      </w:r>
      <w:r w:rsidRPr="00E2773D">
        <w:rPr>
          <w:noProof/>
        </w:rPr>
        <w:t>7</w:t>
      </w:r>
      <w:r w:rsidRPr="00C754CA">
        <w:rPr>
          <w:noProof/>
        </w:rPr>
        <w:tab/>
        <w:t>Finanzierungsbeteiligung Dritter</w:t>
      </w:r>
      <w:bookmarkEnd w:id="232"/>
      <w:bookmarkEnd w:id="233"/>
      <w:bookmarkEnd w:id="234"/>
      <w:bookmarkEnd w:id="235"/>
      <w:bookmarkEnd w:id="236"/>
      <w:r w:rsidRPr="00C754CA">
        <w:rPr>
          <w:noProof/>
        </w:rPr>
        <w:t xml:space="preserve"> </w:t>
      </w:r>
    </w:p>
    <w:p w14:paraId="1F36F3FD" w14:textId="77777777" w:rsidR="00A56747" w:rsidRPr="00C754CA" w:rsidRDefault="00A56747" w:rsidP="00A56747">
      <w:pPr>
        <w:pStyle w:val="Text1"/>
        <w:rPr>
          <w:noProof/>
        </w:rPr>
      </w:pPr>
      <w:r w:rsidRPr="00C754CA">
        <w:rPr>
          <w:noProof/>
        </w:rPr>
        <w:t>Der Vorschlag/Die Initiative</w:t>
      </w:r>
    </w:p>
    <w:p w14:paraId="1A3AECB5" w14:textId="77777777" w:rsidR="00A56747" w:rsidRPr="00C754CA" w:rsidRDefault="00A56747" w:rsidP="00A56747">
      <w:pPr>
        <w:pStyle w:val="ListDash1"/>
        <w:tabs>
          <w:tab w:val="clear" w:pos="3523"/>
          <w:tab w:val="num" w:pos="1134"/>
        </w:tabs>
        <w:ind w:left="1134"/>
        <w:rPr>
          <w:noProof/>
        </w:rPr>
      </w:pPr>
      <w:r w:rsidRPr="00C754CA">
        <w:rPr>
          <w:rFonts w:ascii="Wingdings" w:hAnsi="Wingdings"/>
          <w:noProof/>
        </w:rPr>
        <w:t></w:t>
      </w:r>
      <w:r w:rsidRPr="00C754CA">
        <w:rPr>
          <w:noProof/>
        </w:rPr>
        <w:tab/>
        <w:t>sieht keine Kofinanzierung durch Dritte vor.</w:t>
      </w:r>
    </w:p>
    <w:p w14:paraId="61978D48" w14:textId="77777777" w:rsidR="00A56747" w:rsidRPr="00C754CA" w:rsidRDefault="00A56747" w:rsidP="00A56747">
      <w:pPr>
        <w:pStyle w:val="ListDash1"/>
        <w:tabs>
          <w:tab w:val="clear" w:pos="3523"/>
          <w:tab w:val="num" w:pos="1134"/>
        </w:tabs>
        <w:ind w:left="1134"/>
        <w:rPr>
          <w:noProof/>
        </w:rPr>
      </w:pPr>
      <w:r w:rsidRPr="00C754CA">
        <w:rPr>
          <w:rFonts w:ascii="Wingdings" w:hAnsi="Wingdings"/>
          <w:noProof/>
        </w:rPr>
        <w:t></w:t>
      </w:r>
      <w:r w:rsidRPr="00C754CA">
        <w:rPr>
          <w:noProof/>
        </w:rPr>
        <w:tab/>
        <w:t>sieht folgende Kofinanzierung durch Dritte vor:</w:t>
      </w:r>
    </w:p>
    <w:p w14:paraId="0E13DF79" w14:textId="77777777" w:rsidR="00A56747" w:rsidRPr="00C754CA" w:rsidRDefault="00A56747" w:rsidP="00A56747">
      <w:pPr>
        <w:jc w:val="right"/>
        <w:rPr>
          <w:noProof/>
          <w:sz w:val="20"/>
        </w:rPr>
      </w:pPr>
      <w:r w:rsidRPr="00C754CA">
        <w:rPr>
          <w:noProof/>
          <w:sz w:val="20"/>
        </w:rPr>
        <w:t>Mittel in Mio. EUR (</w:t>
      </w:r>
      <w:r w:rsidRPr="00E2773D">
        <w:rPr>
          <w:noProof/>
          <w:sz w:val="20"/>
        </w:rPr>
        <w:t>3</w:t>
      </w:r>
      <w:r w:rsidRPr="00C754CA">
        <w:rPr>
          <w:noProof/>
          <w:sz w:val="20"/>
        </w:rPr>
        <w:t> Dezimalstellen)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9"/>
        <w:gridCol w:w="1217"/>
        <w:gridCol w:w="1217"/>
        <w:gridCol w:w="1217"/>
        <w:gridCol w:w="1217"/>
        <w:gridCol w:w="1462"/>
      </w:tblGrid>
      <w:tr w:rsidR="00A56747" w:rsidRPr="00C754CA" w14:paraId="264C29A9" w14:textId="77777777" w:rsidTr="00FF1EF4">
        <w:trPr>
          <w:cantSplit/>
        </w:trPr>
        <w:tc>
          <w:tcPr>
            <w:tcW w:w="1591" w:type="pct"/>
          </w:tcPr>
          <w:p w14:paraId="2B70D00B" w14:textId="77777777" w:rsidR="00A56747" w:rsidRPr="00C754CA" w:rsidRDefault="00A56747" w:rsidP="004B53CC">
            <w:pPr>
              <w:spacing w:before="60" w:after="60"/>
              <w:rPr>
                <w:noProof/>
                <w:sz w:val="20"/>
              </w:rPr>
            </w:pPr>
          </w:p>
        </w:tc>
        <w:tc>
          <w:tcPr>
            <w:tcW w:w="655" w:type="pct"/>
            <w:vAlign w:val="center"/>
          </w:tcPr>
          <w:p w14:paraId="21E9FA7C" w14:textId="77777777" w:rsidR="00A56747" w:rsidRPr="00C754CA" w:rsidRDefault="00A56747" w:rsidP="004B53CC">
            <w:pPr>
              <w:jc w:val="center"/>
              <w:rPr>
                <w:noProof/>
                <w:sz w:val="20"/>
              </w:rPr>
            </w:pPr>
            <w:r w:rsidRPr="00C754CA">
              <w:rPr>
                <w:noProof/>
              </w:rPr>
              <w:t>Jahr</w:t>
            </w:r>
            <w:r w:rsidRPr="00C754CA">
              <w:rPr>
                <w:noProof/>
                <w:sz w:val="22"/>
              </w:rPr>
              <w:br/>
            </w:r>
            <w:r w:rsidRPr="00E2773D">
              <w:rPr>
                <w:b/>
                <w:noProof/>
                <w:sz w:val="20"/>
              </w:rPr>
              <w:t>2024</w:t>
            </w:r>
          </w:p>
        </w:tc>
        <w:tc>
          <w:tcPr>
            <w:tcW w:w="655" w:type="pct"/>
            <w:vAlign w:val="center"/>
          </w:tcPr>
          <w:p w14:paraId="283B1B46" w14:textId="77777777" w:rsidR="00A56747" w:rsidRPr="00C754CA" w:rsidRDefault="00A56747" w:rsidP="004B53CC">
            <w:pPr>
              <w:jc w:val="center"/>
              <w:rPr>
                <w:noProof/>
                <w:sz w:val="20"/>
              </w:rPr>
            </w:pPr>
            <w:r w:rsidRPr="00C754CA">
              <w:rPr>
                <w:noProof/>
              </w:rPr>
              <w:t>Jahr</w:t>
            </w:r>
            <w:r w:rsidRPr="00C754CA">
              <w:rPr>
                <w:noProof/>
                <w:sz w:val="22"/>
              </w:rPr>
              <w:br/>
            </w:r>
            <w:r w:rsidRPr="00E2773D">
              <w:rPr>
                <w:b/>
                <w:noProof/>
                <w:sz w:val="20"/>
              </w:rPr>
              <w:t>2025</w:t>
            </w:r>
          </w:p>
        </w:tc>
        <w:tc>
          <w:tcPr>
            <w:tcW w:w="655" w:type="pct"/>
            <w:vAlign w:val="center"/>
          </w:tcPr>
          <w:p w14:paraId="7E92170E" w14:textId="77777777" w:rsidR="00A56747" w:rsidRPr="00C754CA" w:rsidRDefault="00A56747" w:rsidP="004B53CC">
            <w:pPr>
              <w:jc w:val="center"/>
              <w:rPr>
                <w:noProof/>
                <w:sz w:val="20"/>
              </w:rPr>
            </w:pPr>
            <w:r w:rsidRPr="00C754CA">
              <w:rPr>
                <w:noProof/>
              </w:rPr>
              <w:t>Jahr</w:t>
            </w:r>
            <w:r w:rsidRPr="00C754CA">
              <w:rPr>
                <w:noProof/>
                <w:sz w:val="22"/>
              </w:rPr>
              <w:br/>
            </w:r>
            <w:r w:rsidRPr="00E2773D">
              <w:rPr>
                <w:b/>
                <w:noProof/>
                <w:sz w:val="20"/>
              </w:rPr>
              <w:t>2026</w:t>
            </w:r>
          </w:p>
        </w:tc>
        <w:tc>
          <w:tcPr>
            <w:tcW w:w="655" w:type="pct"/>
            <w:vAlign w:val="center"/>
          </w:tcPr>
          <w:p w14:paraId="458B70FE" w14:textId="77777777" w:rsidR="00A56747" w:rsidRPr="00C754CA" w:rsidRDefault="00A56747" w:rsidP="004B53CC">
            <w:pPr>
              <w:jc w:val="center"/>
              <w:rPr>
                <w:noProof/>
                <w:sz w:val="20"/>
              </w:rPr>
            </w:pPr>
            <w:r w:rsidRPr="00C754CA">
              <w:rPr>
                <w:noProof/>
              </w:rPr>
              <w:t>Jahr</w:t>
            </w:r>
            <w:r w:rsidRPr="00C754CA">
              <w:rPr>
                <w:noProof/>
                <w:sz w:val="22"/>
              </w:rPr>
              <w:br/>
            </w:r>
            <w:r w:rsidRPr="00E2773D">
              <w:rPr>
                <w:b/>
                <w:noProof/>
                <w:sz w:val="20"/>
              </w:rPr>
              <w:t>2027</w:t>
            </w:r>
          </w:p>
        </w:tc>
        <w:tc>
          <w:tcPr>
            <w:tcW w:w="787" w:type="pct"/>
            <w:vAlign w:val="center"/>
          </w:tcPr>
          <w:p w14:paraId="117A9253" w14:textId="77777777" w:rsidR="00A56747" w:rsidRPr="00C754CA" w:rsidRDefault="00A56747" w:rsidP="004B53CC">
            <w:pPr>
              <w:spacing w:before="60" w:after="60"/>
              <w:jc w:val="center"/>
              <w:rPr>
                <w:noProof/>
                <w:sz w:val="20"/>
              </w:rPr>
            </w:pPr>
            <w:r w:rsidRPr="00C754CA">
              <w:rPr>
                <w:noProof/>
                <w:sz w:val="20"/>
              </w:rPr>
              <w:t>Insgesamt</w:t>
            </w:r>
          </w:p>
        </w:tc>
      </w:tr>
      <w:tr w:rsidR="00A56747" w:rsidRPr="00C754CA" w14:paraId="2EBFBBD8" w14:textId="77777777" w:rsidTr="00FF1EF4">
        <w:trPr>
          <w:cantSplit/>
        </w:trPr>
        <w:tc>
          <w:tcPr>
            <w:tcW w:w="1591" w:type="pct"/>
          </w:tcPr>
          <w:p w14:paraId="52E6F203" w14:textId="77777777" w:rsidR="00A56747" w:rsidRPr="00C754CA" w:rsidRDefault="00A56747" w:rsidP="004B53CC">
            <w:pPr>
              <w:rPr>
                <w:noProof/>
              </w:rPr>
            </w:pPr>
            <w:r w:rsidRPr="00C754CA">
              <w:rPr>
                <w:noProof/>
                <w:sz w:val="20"/>
              </w:rPr>
              <w:t>Kofinanzierende Einrichtung</w:t>
            </w:r>
            <w:r w:rsidRPr="00C754CA">
              <w:rPr>
                <w:i/>
                <w:noProof/>
                <w:sz w:val="20"/>
              </w:rPr>
              <w:t xml:space="preserve"> </w:t>
            </w:r>
          </w:p>
        </w:tc>
        <w:tc>
          <w:tcPr>
            <w:tcW w:w="655" w:type="pct"/>
            <w:vAlign w:val="center"/>
          </w:tcPr>
          <w:p w14:paraId="00DF5115" w14:textId="77777777" w:rsidR="00A56747" w:rsidRPr="00C754CA" w:rsidRDefault="00A56747" w:rsidP="004B53CC">
            <w:pPr>
              <w:spacing w:before="60" w:after="60"/>
              <w:jc w:val="center"/>
              <w:rPr>
                <w:noProof/>
                <w:sz w:val="20"/>
              </w:rPr>
            </w:pPr>
          </w:p>
        </w:tc>
        <w:tc>
          <w:tcPr>
            <w:tcW w:w="655" w:type="pct"/>
            <w:vAlign w:val="center"/>
          </w:tcPr>
          <w:p w14:paraId="12364D00" w14:textId="77777777" w:rsidR="00A56747" w:rsidRPr="00C754CA" w:rsidRDefault="00A56747" w:rsidP="004B53CC">
            <w:pPr>
              <w:spacing w:before="60" w:after="60"/>
              <w:jc w:val="center"/>
              <w:rPr>
                <w:noProof/>
                <w:sz w:val="20"/>
              </w:rPr>
            </w:pPr>
          </w:p>
        </w:tc>
        <w:tc>
          <w:tcPr>
            <w:tcW w:w="655" w:type="pct"/>
            <w:vAlign w:val="center"/>
          </w:tcPr>
          <w:p w14:paraId="4834BF95" w14:textId="77777777" w:rsidR="00A56747" w:rsidRPr="00C754CA" w:rsidRDefault="00A56747" w:rsidP="004B53CC">
            <w:pPr>
              <w:spacing w:before="60" w:after="60"/>
              <w:jc w:val="center"/>
              <w:rPr>
                <w:noProof/>
                <w:sz w:val="20"/>
              </w:rPr>
            </w:pPr>
          </w:p>
        </w:tc>
        <w:tc>
          <w:tcPr>
            <w:tcW w:w="655" w:type="pct"/>
            <w:vAlign w:val="center"/>
          </w:tcPr>
          <w:p w14:paraId="2AA6A084" w14:textId="77777777" w:rsidR="00A56747" w:rsidRPr="00C754CA" w:rsidRDefault="00A56747" w:rsidP="004B53CC">
            <w:pPr>
              <w:spacing w:before="60" w:after="60"/>
              <w:jc w:val="center"/>
              <w:rPr>
                <w:noProof/>
                <w:sz w:val="20"/>
              </w:rPr>
            </w:pPr>
          </w:p>
        </w:tc>
        <w:tc>
          <w:tcPr>
            <w:tcW w:w="787" w:type="pct"/>
            <w:vAlign w:val="center"/>
          </w:tcPr>
          <w:p w14:paraId="5568C0F8" w14:textId="77777777" w:rsidR="00A56747" w:rsidRPr="00C754CA" w:rsidRDefault="00A56747" w:rsidP="004B53CC">
            <w:pPr>
              <w:spacing w:before="60" w:after="60"/>
              <w:jc w:val="center"/>
              <w:rPr>
                <w:noProof/>
                <w:sz w:val="20"/>
              </w:rPr>
            </w:pPr>
          </w:p>
        </w:tc>
      </w:tr>
      <w:tr w:rsidR="00A56747" w:rsidRPr="00C754CA" w14:paraId="71050D50" w14:textId="77777777" w:rsidTr="00FF1EF4">
        <w:trPr>
          <w:cantSplit/>
        </w:trPr>
        <w:tc>
          <w:tcPr>
            <w:tcW w:w="1591" w:type="pct"/>
          </w:tcPr>
          <w:p w14:paraId="0C960777" w14:textId="77777777" w:rsidR="00A56747" w:rsidRPr="00C754CA" w:rsidRDefault="00A56747" w:rsidP="004B53CC">
            <w:pPr>
              <w:spacing w:before="60" w:after="60"/>
              <w:jc w:val="left"/>
              <w:rPr>
                <w:noProof/>
                <w:sz w:val="20"/>
              </w:rPr>
            </w:pPr>
            <w:r w:rsidRPr="00C754CA">
              <w:rPr>
                <w:noProof/>
                <w:sz w:val="20"/>
              </w:rPr>
              <w:t xml:space="preserve">Kofinanzierung INSGESAMT </w:t>
            </w:r>
          </w:p>
        </w:tc>
        <w:tc>
          <w:tcPr>
            <w:tcW w:w="655" w:type="pct"/>
            <w:vAlign w:val="center"/>
          </w:tcPr>
          <w:p w14:paraId="72A92A55" w14:textId="77777777" w:rsidR="00A56747" w:rsidRPr="00C754CA" w:rsidRDefault="00A56747" w:rsidP="004B53CC">
            <w:pPr>
              <w:spacing w:before="60" w:after="60"/>
              <w:jc w:val="center"/>
              <w:rPr>
                <w:noProof/>
                <w:sz w:val="20"/>
              </w:rPr>
            </w:pPr>
          </w:p>
        </w:tc>
        <w:tc>
          <w:tcPr>
            <w:tcW w:w="655" w:type="pct"/>
            <w:vAlign w:val="center"/>
          </w:tcPr>
          <w:p w14:paraId="5EC9F15E" w14:textId="77777777" w:rsidR="00A56747" w:rsidRPr="00C754CA" w:rsidRDefault="00A56747" w:rsidP="004B53CC">
            <w:pPr>
              <w:spacing w:before="60" w:after="60"/>
              <w:jc w:val="center"/>
              <w:rPr>
                <w:noProof/>
                <w:sz w:val="20"/>
              </w:rPr>
            </w:pPr>
          </w:p>
        </w:tc>
        <w:tc>
          <w:tcPr>
            <w:tcW w:w="655" w:type="pct"/>
            <w:vAlign w:val="center"/>
          </w:tcPr>
          <w:p w14:paraId="043D91F9" w14:textId="77777777" w:rsidR="00A56747" w:rsidRPr="00C754CA" w:rsidRDefault="00A56747" w:rsidP="004B53CC">
            <w:pPr>
              <w:spacing w:before="60" w:after="60"/>
              <w:jc w:val="center"/>
              <w:rPr>
                <w:noProof/>
                <w:sz w:val="20"/>
              </w:rPr>
            </w:pPr>
          </w:p>
        </w:tc>
        <w:tc>
          <w:tcPr>
            <w:tcW w:w="655" w:type="pct"/>
            <w:vAlign w:val="center"/>
          </w:tcPr>
          <w:p w14:paraId="4915A35F" w14:textId="77777777" w:rsidR="00A56747" w:rsidRPr="00C754CA" w:rsidRDefault="00A56747" w:rsidP="004B53CC">
            <w:pPr>
              <w:spacing w:before="60" w:after="60"/>
              <w:jc w:val="center"/>
              <w:rPr>
                <w:noProof/>
                <w:sz w:val="20"/>
              </w:rPr>
            </w:pPr>
          </w:p>
        </w:tc>
        <w:tc>
          <w:tcPr>
            <w:tcW w:w="787" w:type="pct"/>
            <w:vAlign w:val="center"/>
          </w:tcPr>
          <w:p w14:paraId="5E2949E7" w14:textId="77777777" w:rsidR="00A56747" w:rsidRPr="00C754CA" w:rsidRDefault="00A56747" w:rsidP="004B53CC">
            <w:pPr>
              <w:spacing w:before="60" w:after="60"/>
              <w:jc w:val="center"/>
              <w:rPr>
                <w:noProof/>
                <w:sz w:val="20"/>
              </w:rPr>
            </w:pPr>
          </w:p>
        </w:tc>
      </w:tr>
    </w:tbl>
    <w:p w14:paraId="69DCB391" w14:textId="77777777" w:rsidR="00A56747" w:rsidRPr="00C754CA" w:rsidRDefault="00A56747" w:rsidP="00A56747">
      <w:pPr>
        <w:outlineLvl w:val="1"/>
        <w:rPr>
          <w:noProof/>
          <w:szCs w:val="24"/>
        </w:rPr>
      </w:pPr>
      <w:r w:rsidRPr="00C754CA">
        <w:rPr>
          <w:noProof/>
        </w:rPr>
        <w:br/>
      </w:r>
      <w:bookmarkStart w:id="237" w:name="_Toc514938059"/>
      <w:bookmarkStart w:id="238" w:name="_Toc520485057"/>
      <w:bookmarkStart w:id="239" w:name="_Toc160804602"/>
      <w:bookmarkStart w:id="240" w:name="_Toc167220300"/>
      <w:bookmarkStart w:id="241" w:name="_Toc177549034"/>
      <w:bookmarkStart w:id="242" w:name="_Hlk166860179"/>
      <w:r w:rsidRPr="00E2773D">
        <w:rPr>
          <w:noProof/>
        </w:rPr>
        <w:t>3</w:t>
      </w:r>
      <w:r w:rsidRPr="00C754CA">
        <w:rPr>
          <w:noProof/>
        </w:rPr>
        <w:t>.</w:t>
      </w:r>
      <w:r w:rsidRPr="00E2773D">
        <w:rPr>
          <w:noProof/>
        </w:rPr>
        <w:t>3</w:t>
      </w:r>
      <w:r w:rsidRPr="00C754CA">
        <w:rPr>
          <w:noProof/>
        </w:rPr>
        <w:tab/>
        <w:t>Geschätzte Auswirkungen auf die Einnahmen</w:t>
      </w:r>
      <w:bookmarkEnd w:id="237"/>
      <w:bookmarkEnd w:id="238"/>
      <w:bookmarkEnd w:id="239"/>
      <w:bookmarkEnd w:id="240"/>
      <w:bookmarkEnd w:id="241"/>
      <w:r w:rsidRPr="00C754CA">
        <w:rPr>
          <w:noProof/>
        </w:rPr>
        <w:t xml:space="preserve"> </w:t>
      </w:r>
    </w:p>
    <w:bookmarkEnd w:id="242"/>
    <w:p w14:paraId="52E1A51B" w14:textId="77777777" w:rsidR="00A56747" w:rsidRPr="00C754CA" w:rsidRDefault="00A56747" w:rsidP="00A56747">
      <w:pPr>
        <w:pStyle w:val="ListDash1"/>
        <w:tabs>
          <w:tab w:val="clear" w:pos="3523"/>
          <w:tab w:val="num" w:pos="1134"/>
        </w:tabs>
        <w:ind w:left="1134"/>
        <w:rPr>
          <w:noProof/>
        </w:rPr>
      </w:pPr>
      <w:r w:rsidRPr="00C754CA">
        <w:rPr>
          <w:rFonts w:ascii="Wingdings" w:hAnsi="Wingdings"/>
          <w:noProof/>
        </w:rPr>
        <w:t></w:t>
      </w:r>
      <w:r w:rsidRPr="00C754CA">
        <w:rPr>
          <w:noProof/>
        </w:rPr>
        <w:tab/>
        <w:t>Der Vorschlag/Die Initiative wirkt sich nicht auf die Einnahmen aus.</w:t>
      </w:r>
    </w:p>
    <w:p w14:paraId="3587D812" w14:textId="77777777" w:rsidR="00A56747" w:rsidRPr="00C754CA" w:rsidRDefault="00A56747" w:rsidP="00A56747">
      <w:pPr>
        <w:pStyle w:val="ListDash1"/>
        <w:tabs>
          <w:tab w:val="clear" w:pos="3523"/>
          <w:tab w:val="num" w:pos="1134"/>
        </w:tabs>
        <w:ind w:left="1134"/>
        <w:rPr>
          <w:noProof/>
        </w:rPr>
      </w:pPr>
      <w:r w:rsidRPr="00C754CA">
        <w:rPr>
          <w:rFonts w:ascii="Wingdings" w:hAnsi="Wingdings"/>
          <w:noProof/>
        </w:rPr>
        <w:t></w:t>
      </w:r>
      <w:r w:rsidRPr="00C754CA">
        <w:rPr>
          <w:noProof/>
        </w:rPr>
        <w:tab/>
        <w:t>Der Vorschlag/Die Initiative wirkt sich auf die Einnahmen aus, und zwar</w:t>
      </w:r>
    </w:p>
    <w:p w14:paraId="37790D85" w14:textId="77777777" w:rsidR="00A56747" w:rsidRPr="00C754CA" w:rsidRDefault="00A56747" w:rsidP="00A56747">
      <w:pPr>
        <w:pStyle w:val="ListNumberLevel3"/>
        <w:tabs>
          <w:tab w:val="clear" w:pos="2126"/>
          <w:tab w:val="num" w:pos="1843"/>
        </w:tabs>
        <w:rPr>
          <w:noProof/>
        </w:rPr>
      </w:pPr>
      <w:r w:rsidRPr="00C754CA">
        <w:rPr>
          <w:rFonts w:ascii="Wingdings" w:hAnsi="Wingdings"/>
          <w:noProof/>
        </w:rPr>
        <w:t></w:t>
      </w:r>
      <w:r w:rsidRPr="00C754CA">
        <w:rPr>
          <w:noProof/>
        </w:rPr>
        <w:tab/>
        <w:t xml:space="preserve">auf die Eigenmittel </w:t>
      </w:r>
    </w:p>
    <w:p w14:paraId="3A087F22" w14:textId="77777777" w:rsidR="00A56747" w:rsidRPr="00C754CA" w:rsidRDefault="00A56747" w:rsidP="00A56747">
      <w:pPr>
        <w:pStyle w:val="ListNumberLevel3"/>
        <w:tabs>
          <w:tab w:val="clear" w:pos="2126"/>
          <w:tab w:val="num" w:pos="1843"/>
        </w:tabs>
        <w:rPr>
          <w:noProof/>
        </w:rPr>
      </w:pPr>
      <w:r w:rsidRPr="00C754CA">
        <w:rPr>
          <w:rFonts w:ascii="Wingdings" w:hAnsi="Wingdings"/>
          <w:noProof/>
        </w:rPr>
        <w:t></w:t>
      </w:r>
      <w:r w:rsidRPr="00C754CA">
        <w:rPr>
          <w:noProof/>
        </w:rPr>
        <w:tab/>
        <w:t>auf die übrigen Einnahmen</w:t>
      </w:r>
    </w:p>
    <w:p w14:paraId="730210B1" w14:textId="77777777" w:rsidR="00A56747" w:rsidRPr="00C754CA" w:rsidRDefault="00A56747" w:rsidP="00A56747">
      <w:pPr>
        <w:pStyle w:val="ListNumberLevel3"/>
        <w:tabs>
          <w:tab w:val="clear" w:pos="2126"/>
          <w:tab w:val="num" w:pos="1843"/>
        </w:tabs>
        <w:rPr>
          <w:noProof/>
        </w:rPr>
      </w:pPr>
      <w:r w:rsidRPr="00C754CA">
        <w:rPr>
          <w:rFonts w:ascii="Wingdings" w:hAnsi="Wingdings"/>
          <w:noProof/>
        </w:rPr>
        <w:t></w:t>
      </w:r>
      <w:r w:rsidRPr="00C754CA">
        <w:rPr>
          <w:rFonts w:ascii="Wingdings" w:hAnsi="Wingdings"/>
          <w:noProof/>
        </w:rPr>
        <w:tab/>
      </w:r>
      <w:r w:rsidRPr="00C754CA">
        <w:rPr>
          <w:noProof/>
        </w:rPr>
        <w:t>Bitte geben Sie an, ob die Einnahmen bestimmten Ausgabenlinien zugeordnet sind.</w:t>
      </w:r>
    </w:p>
    <w:p w14:paraId="3147523C" w14:textId="77777777" w:rsidR="00A56747" w:rsidRPr="00C754CA" w:rsidRDefault="00A56747" w:rsidP="00A56747">
      <w:pPr>
        <w:jc w:val="right"/>
        <w:rPr>
          <w:noProof/>
          <w:sz w:val="20"/>
        </w:rPr>
      </w:pPr>
      <w:r w:rsidRPr="00C754CA">
        <w:rPr>
          <w:noProof/>
          <w:sz w:val="20"/>
        </w:rPr>
        <w:t xml:space="preserve">     in Mio. EUR (</w:t>
      </w:r>
      <w:r w:rsidRPr="00E2773D">
        <w:rPr>
          <w:noProof/>
          <w:sz w:val="20"/>
        </w:rPr>
        <w:t>3</w:t>
      </w:r>
      <w:r w:rsidRPr="00C754CA">
        <w:rPr>
          <w:noProof/>
          <w:sz w:val="20"/>
        </w:rPr>
        <w:t> Dezimalstellen)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614"/>
        <w:gridCol w:w="1692"/>
        <w:gridCol w:w="1044"/>
        <w:gridCol w:w="1035"/>
        <w:gridCol w:w="1260"/>
      </w:tblGrid>
      <w:tr w:rsidR="00A56747" w:rsidRPr="00C754CA" w14:paraId="44C88163" w14:textId="77777777" w:rsidTr="00FF1EF4">
        <w:trPr>
          <w:trHeight w:val="388"/>
        </w:trPr>
        <w:tc>
          <w:tcPr>
            <w:tcW w:w="1423" w:type="pct"/>
            <w:vMerge w:val="restart"/>
            <w:vAlign w:val="center"/>
          </w:tcPr>
          <w:p w14:paraId="182A8C0F" w14:textId="77777777" w:rsidR="00A56747" w:rsidRPr="00C754CA" w:rsidRDefault="00A56747" w:rsidP="004B53CC">
            <w:pPr>
              <w:spacing w:before="40" w:after="40"/>
              <w:rPr>
                <w:noProof/>
                <w:sz w:val="18"/>
              </w:rPr>
            </w:pPr>
            <w:r w:rsidRPr="00C754CA">
              <w:rPr>
                <w:noProof/>
                <w:sz w:val="18"/>
              </w:rPr>
              <w:t>Einnahmenlinie:</w:t>
            </w:r>
          </w:p>
        </w:tc>
        <w:tc>
          <w:tcPr>
            <w:tcW w:w="869" w:type="pct"/>
            <w:vMerge w:val="restart"/>
            <w:vAlign w:val="center"/>
          </w:tcPr>
          <w:p w14:paraId="334BE122" w14:textId="77777777" w:rsidR="00A56747" w:rsidRPr="00C754CA" w:rsidRDefault="00A56747" w:rsidP="004B53CC">
            <w:pPr>
              <w:jc w:val="center"/>
              <w:rPr>
                <w:noProof/>
                <w:sz w:val="18"/>
              </w:rPr>
            </w:pPr>
            <w:r w:rsidRPr="00C754CA">
              <w:rPr>
                <w:noProof/>
                <w:sz w:val="18"/>
              </w:rPr>
              <w:t>Für das laufende Haushaltsjahr zur Verfügung stehende Mittel</w:t>
            </w:r>
          </w:p>
        </w:tc>
        <w:tc>
          <w:tcPr>
            <w:tcW w:w="2709" w:type="pct"/>
            <w:gridSpan w:val="4"/>
            <w:vAlign w:val="center"/>
          </w:tcPr>
          <w:p w14:paraId="0108AC59" w14:textId="77777777" w:rsidR="00A56747" w:rsidRPr="00C754CA" w:rsidRDefault="00A56747" w:rsidP="004B53CC">
            <w:pPr>
              <w:jc w:val="center"/>
              <w:rPr>
                <w:noProof/>
                <w:sz w:val="18"/>
              </w:rPr>
            </w:pPr>
            <w:r w:rsidRPr="00C754CA">
              <w:rPr>
                <w:noProof/>
                <w:sz w:val="18"/>
              </w:rPr>
              <w:t>Auswirkungen des Vorschlags/der Initiative</w:t>
            </w:r>
            <w:r w:rsidRPr="00C754CA">
              <w:rPr>
                <w:rStyle w:val="FootnoteReference"/>
                <w:noProof/>
                <w:sz w:val="18"/>
                <w:szCs w:val="18"/>
              </w:rPr>
              <w:footnoteReference w:id="19"/>
            </w:r>
          </w:p>
        </w:tc>
      </w:tr>
      <w:tr w:rsidR="00A56747" w:rsidRPr="00C754CA" w14:paraId="66AF2A9B" w14:textId="77777777" w:rsidTr="00FF1EF4">
        <w:trPr>
          <w:trHeight w:val="388"/>
        </w:trPr>
        <w:tc>
          <w:tcPr>
            <w:tcW w:w="1423" w:type="pct"/>
            <w:vMerge/>
          </w:tcPr>
          <w:p w14:paraId="5B188F80" w14:textId="77777777" w:rsidR="00A56747" w:rsidRPr="00C754CA" w:rsidRDefault="00A56747" w:rsidP="004B53CC">
            <w:pPr>
              <w:spacing w:before="40" w:after="40"/>
              <w:rPr>
                <w:noProof/>
                <w:sz w:val="18"/>
              </w:rPr>
            </w:pPr>
          </w:p>
        </w:tc>
        <w:tc>
          <w:tcPr>
            <w:tcW w:w="869" w:type="pct"/>
            <w:vMerge/>
          </w:tcPr>
          <w:p w14:paraId="58461351" w14:textId="77777777" w:rsidR="00A56747" w:rsidRPr="00C754CA" w:rsidRDefault="00A56747" w:rsidP="004B53CC">
            <w:pPr>
              <w:spacing w:beforeLines="40" w:before="96" w:afterLines="40" w:after="96"/>
              <w:rPr>
                <w:i/>
                <w:noProof/>
                <w:sz w:val="18"/>
              </w:rPr>
            </w:pPr>
          </w:p>
        </w:tc>
        <w:tc>
          <w:tcPr>
            <w:tcW w:w="911" w:type="pct"/>
            <w:vAlign w:val="center"/>
          </w:tcPr>
          <w:p w14:paraId="135FE0E5" w14:textId="77777777" w:rsidR="00A56747" w:rsidRPr="00C754CA" w:rsidRDefault="00A56747" w:rsidP="004B53CC">
            <w:pPr>
              <w:jc w:val="center"/>
              <w:rPr>
                <w:noProof/>
                <w:sz w:val="18"/>
              </w:rPr>
            </w:pPr>
            <w:r w:rsidRPr="00C754CA">
              <w:rPr>
                <w:noProof/>
                <w:sz w:val="18"/>
              </w:rPr>
              <w:t xml:space="preserve">Jahr </w:t>
            </w:r>
            <w:r w:rsidRPr="00E2773D">
              <w:rPr>
                <w:noProof/>
                <w:sz w:val="18"/>
              </w:rPr>
              <w:t>2024</w:t>
            </w:r>
          </w:p>
        </w:tc>
        <w:tc>
          <w:tcPr>
            <w:tcW w:w="562" w:type="pct"/>
            <w:vAlign w:val="center"/>
          </w:tcPr>
          <w:p w14:paraId="60437C31" w14:textId="77777777" w:rsidR="00A56747" w:rsidRPr="00C754CA" w:rsidRDefault="00A56747" w:rsidP="004B53CC">
            <w:pPr>
              <w:jc w:val="center"/>
              <w:rPr>
                <w:noProof/>
                <w:sz w:val="18"/>
              </w:rPr>
            </w:pPr>
            <w:r w:rsidRPr="00C754CA">
              <w:rPr>
                <w:noProof/>
                <w:sz w:val="18"/>
              </w:rPr>
              <w:t xml:space="preserve">Jahr </w:t>
            </w:r>
            <w:r w:rsidRPr="00E2773D">
              <w:rPr>
                <w:noProof/>
                <w:sz w:val="18"/>
              </w:rPr>
              <w:t>2025</w:t>
            </w:r>
          </w:p>
        </w:tc>
        <w:tc>
          <w:tcPr>
            <w:tcW w:w="557" w:type="pct"/>
            <w:vAlign w:val="center"/>
          </w:tcPr>
          <w:p w14:paraId="18005D30" w14:textId="77777777" w:rsidR="00A56747" w:rsidRPr="00C754CA" w:rsidRDefault="00A56747" w:rsidP="004B53CC">
            <w:pPr>
              <w:jc w:val="center"/>
              <w:rPr>
                <w:noProof/>
                <w:sz w:val="18"/>
              </w:rPr>
            </w:pPr>
            <w:r w:rsidRPr="00C754CA">
              <w:rPr>
                <w:noProof/>
                <w:sz w:val="18"/>
              </w:rPr>
              <w:t xml:space="preserve">Jahr </w:t>
            </w:r>
            <w:r w:rsidRPr="00E2773D">
              <w:rPr>
                <w:noProof/>
                <w:sz w:val="18"/>
              </w:rPr>
              <w:t>2026</w:t>
            </w:r>
          </w:p>
        </w:tc>
        <w:tc>
          <w:tcPr>
            <w:tcW w:w="679" w:type="pct"/>
            <w:vAlign w:val="center"/>
          </w:tcPr>
          <w:p w14:paraId="6103B7CD" w14:textId="77777777" w:rsidR="00A56747" w:rsidRPr="00C754CA" w:rsidRDefault="00A56747" w:rsidP="004B53CC">
            <w:pPr>
              <w:jc w:val="center"/>
              <w:rPr>
                <w:noProof/>
                <w:sz w:val="18"/>
              </w:rPr>
            </w:pPr>
            <w:r w:rsidRPr="00C754CA">
              <w:rPr>
                <w:noProof/>
                <w:sz w:val="18"/>
              </w:rPr>
              <w:t xml:space="preserve">Jahr </w:t>
            </w:r>
            <w:r w:rsidRPr="00E2773D">
              <w:rPr>
                <w:noProof/>
                <w:sz w:val="18"/>
              </w:rPr>
              <w:t>2027</w:t>
            </w:r>
          </w:p>
        </w:tc>
      </w:tr>
      <w:tr w:rsidR="00A56747" w:rsidRPr="00C754CA" w14:paraId="685911E6" w14:textId="77777777" w:rsidTr="00FF1EF4">
        <w:trPr>
          <w:trHeight w:val="388"/>
        </w:trPr>
        <w:tc>
          <w:tcPr>
            <w:tcW w:w="1423" w:type="pct"/>
            <w:vAlign w:val="center"/>
          </w:tcPr>
          <w:p w14:paraId="6902752A" w14:textId="77777777" w:rsidR="00A56747" w:rsidRPr="00C754CA" w:rsidRDefault="00A56747" w:rsidP="004B53CC">
            <w:pPr>
              <w:spacing w:before="40" w:after="40"/>
              <w:rPr>
                <w:noProof/>
                <w:sz w:val="18"/>
              </w:rPr>
            </w:pPr>
            <w:r w:rsidRPr="00C754CA">
              <w:rPr>
                <w:noProof/>
                <w:sz w:val="18"/>
              </w:rPr>
              <w:t>Artikel ….</w:t>
            </w:r>
          </w:p>
        </w:tc>
        <w:tc>
          <w:tcPr>
            <w:tcW w:w="869" w:type="pct"/>
          </w:tcPr>
          <w:p w14:paraId="1E55CBF0" w14:textId="77777777" w:rsidR="00A56747" w:rsidRPr="00C754CA" w:rsidRDefault="00A56747" w:rsidP="004B53CC">
            <w:pPr>
              <w:spacing w:beforeLines="40" w:before="96" w:afterLines="40" w:after="96"/>
              <w:jc w:val="center"/>
              <w:rPr>
                <w:i/>
                <w:noProof/>
                <w:sz w:val="18"/>
              </w:rPr>
            </w:pPr>
          </w:p>
        </w:tc>
        <w:tc>
          <w:tcPr>
            <w:tcW w:w="911" w:type="pct"/>
          </w:tcPr>
          <w:p w14:paraId="5C7D7D71" w14:textId="77777777" w:rsidR="00A56747" w:rsidRPr="00C754CA" w:rsidRDefault="00A56747" w:rsidP="004B53CC">
            <w:pPr>
              <w:spacing w:beforeLines="40" w:before="96" w:afterLines="40" w:after="96"/>
              <w:jc w:val="center"/>
              <w:rPr>
                <w:noProof/>
                <w:sz w:val="18"/>
              </w:rPr>
            </w:pPr>
          </w:p>
        </w:tc>
        <w:tc>
          <w:tcPr>
            <w:tcW w:w="562" w:type="pct"/>
          </w:tcPr>
          <w:p w14:paraId="55424E49" w14:textId="77777777" w:rsidR="00A56747" w:rsidRPr="00C754CA" w:rsidRDefault="00A56747" w:rsidP="004B53CC">
            <w:pPr>
              <w:spacing w:beforeLines="40" w:before="96" w:afterLines="40" w:after="96"/>
              <w:jc w:val="center"/>
              <w:rPr>
                <w:noProof/>
                <w:sz w:val="18"/>
              </w:rPr>
            </w:pPr>
          </w:p>
        </w:tc>
        <w:tc>
          <w:tcPr>
            <w:tcW w:w="557" w:type="pct"/>
          </w:tcPr>
          <w:p w14:paraId="6BC2387C" w14:textId="77777777" w:rsidR="00A56747" w:rsidRPr="00C754CA" w:rsidRDefault="00A56747" w:rsidP="004B53CC">
            <w:pPr>
              <w:spacing w:beforeLines="40" w:before="96" w:afterLines="40" w:after="96"/>
              <w:jc w:val="center"/>
              <w:rPr>
                <w:noProof/>
                <w:sz w:val="18"/>
              </w:rPr>
            </w:pPr>
          </w:p>
        </w:tc>
        <w:tc>
          <w:tcPr>
            <w:tcW w:w="679" w:type="pct"/>
          </w:tcPr>
          <w:p w14:paraId="14FDD174" w14:textId="77777777" w:rsidR="00A56747" w:rsidRPr="00C754CA" w:rsidRDefault="00A56747" w:rsidP="004B53CC">
            <w:pPr>
              <w:spacing w:beforeLines="40" w:before="96" w:afterLines="40" w:after="96"/>
              <w:jc w:val="center"/>
              <w:rPr>
                <w:noProof/>
                <w:sz w:val="18"/>
              </w:rPr>
            </w:pPr>
          </w:p>
        </w:tc>
      </w:tr>
    </w:tbl>
    <w:p w14:paraId="3C109EB0" w14:textId="77777777" w:rsidR="00A56747" w:rsidRPr="00C754CA" w:rsidRDefault="00A56747" w:rsidP="00A56747">
      <w:pPr>
        <w:pStyle w:val="Text1"/>
        <w:rPr>
          <w:noProof/>
          <w:szCs w:val="24"/>
        </w:rPr>
      </w:pPr>
      <w:r w:rsidRPr="00C754CA">
        <w:rPr>
          <w:noProof/>
        </w:rPr>
        <w:t>Bitte geben Sie für die sonstigen zweckgebundenen Einnahmen die betreffende(n) Ausgabenlinie(n) im Haushaltsplan an.</w:t>
      </w:r>
    </w:p>
    <w:p w14:paraId="64A4A29F"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p>
    <w:p w14:paraId="1AFFA20E" w14:textId="77777777" w:rsidR="00A56747" w:rsidRPr="00C754CA" w:rsidRDefault="00A56747" w:rsidP="00A56747">
      <w:pPr>
        <w:pStyle w:val="Text1"/>
        <w:rPr>
          <w:noProof/>
          <w:szCs w:val="24"/>
        </w:rPr>
      </w:pPr>
      <w:r w:rsidRPr="00C754CA">
        <w:rPr>
          <w:noProof/>
        </w:rPr>
        <w:t>Sonstige Anmerkungen (bei der Ermittlung der Auswirkungen auf die Einnahmen verwendete Methode/Formel oder weitere Informationen).</w:t>
      </w:r>
    </w:p>
    <w:p w14:paraId="5BF8A2F7" w14:textId="77777777" w:rsidR="00A56747" w:rsidRPr="00C754CA" w:rsidRDefault="00A56747" w:rsidP="00A56747">
      <w:pPr>
        <w:pStyle w:val="Text1"/>
        <w:pBdr>
          <w:top w:val="single" w:sz="4" w:space="1" w:color="auto"/>
          <w:left w:val="single" w:sz="4" w:space="4" w:color="auto"/>
          <w:bottom w:val="single" w:sz="4" w:space="1" w:color="auto"/>
          <w:right w:val="single" w:sz="4" w:space="4" w:color="auto"/>
        </w:pBdr>
        <w:rPr>
          <w:noProof/>
        </w:rPr>
      </w:pPr>
    </w:p>
    <w:p w14:paraId="6C90BA31" w14:textId="77777777" w:rsidR="00A56747" w:rsidRPr="00C754CA" w:rsidRDefault="00A56747" w:rsidP="00A56747">
      <w:pPr>
        <w:pStyle w:val="ManualHeading1"/>
        <w:rPr>
          <w:caps/>
          <w:noProof/>
        </w:rPr>
      </w:pPr>
      <w:bookmarkStart w:id="243" w:name="_Toc167220301"/>
      <w:bookmarkStart w:id="244" w:name="_Toc177549035"/>
      <w:r w:rsidRPr="00E2773D">
        <w:rPr>
          <w:noProof/>
        </w:rPr>
        <w:t>4</w:t>
      </w:r>
      <w:r w:rsidRPr="00C754CA">
        <w:rPr>
          <w:noProof/>
        </w:rPr>
        <w:t>.</w:t>
      </w:r>
      <w:r w:rsidRPr="00C754CA">
        <w:rPr>
          <w:noProof/>
        </w:rPr>
        <w:tab/>
      </w:r>
      <w:bookmarkStart w:id="245" w:name="_Hlk167692977"/>
      <w:r w:rsidRPr="00C754CA">
        <w:rPr>
          <w:caps/>
          <w:noProof/>
        </w:rPr>
        <w:t>Digitale Aspekte</w:t>
      </w:r>
      <w:bookmarkEnd w:id="243"/>
      <w:bookmarkEnd w:id="244"/>
    </w:p>
    <w:p w14:paraId="0743C930" w14:textId="77777777" w:rsidR="00A56747" w:rsidRPr="00C754CA" w:rsidRDefault="00A56747" w:rsidP="00A56747">
      <w:pPr>
        <w:pStyle w:val="ManualHeading2"/>
        <w:pBdr>
          <w:top w:val="single" w:sz="4" w:space="1" w:color="000000"/>
          <w:left w:val="single" w:sz="4" w:space="4" w:color="000000"/>
          <w:bottom w:val="single" w:sz="4" w:space="1" w:color="000000"/>
          <w:right w:val="single" w:sz="4" w:space="4" w:color="000000"/>
        </w:pBdr>
        <w:spacing w:line="259" w:lineRule="auto"/>
        <w:rPr>
          <w:noProof/>
        </w:rPr>
      </w:pPr>
      <w:bookmarkStart w:id="246" w:name="_Toc167220302"/>
      <w:bookmarkStart w:id="247" w:name="_Toc177549037"/>
      <w:r w:rsidRPr="00E2773D">
        <w:rPr>
          <w:noProof/>
        </w:rPr>
        <w:t>4</w:t>
      </w:r>
      <w:r w:rsidRPr="00C754CA">
        <w:rPr>
          <w:noProof/>
        </w:rPr>
        <w:t>.</w:t>
      </w:r>
      <w:r w:rsidRPr="00E2773D">
        <w:rPr>
          <w:noProof/>
        </w:rPr>
        <w:t>1</w:t>
      </w:r>
      <w:r w:rsidRPr="00C754CA">
        <w:rPr>
          <w:noProof/>
        </w:rPr>
        <w:tab/>
        <w:t>Anforderungen von digitaler Relevanz</w:t>
      </w:r>
      <w:bookmarkEnd w:id="246"/>
      <w:bookmarkEnd w:id="247"/>
    </w:p>
    <w:tbl>
      <w:tblPr>
        <w:tblStyle w:val="TableGrid"/>
        <w:tblW w:w="9072" w:type="dxa"/>
        <w:tblInd w:w="-5" w:type="dxa"/>
        <w:tblLayout w:type="fixed"/>
        <w:tblLook w:val="06A0" w:firstRow="1" w:lastRow="0" w:firstColumn="1" w:lastColumn="0" w:noHBand="1" w:noVBand="1"/>
      </w:tblPr>
      <w:tblGrid>
        <w:gridCol w:w="9072"/>
      </w:tblGrid>
      <w:tr w:rsidR="001A0915" w:rsidRPr="00C754CA" w14:paraId="1D32B86C" w14:textId="77777777" w:rsidTr="00FF1EF4">
        <w:trPr>
          <w:trHeight w:val="300"/>
        </w:trPr>
        <w:tc>
          <w:tcPr>
            <w:tcW w:w="9072" w:type="dxa"/>
          </w:tcPr>
          <w:p w14:paraId="4E89F2C1" w14:textId="77777777" w:rsidR="00A56747" w:rsidRPr="00C754CA" w:rsidRDefault="00A56747" w:rsidP="004B53CC">
            <w:pPr>
              <w:rPr>
                <w:noProof/>
              </w:rPr>
            </w:pPr>
            <w:r w:rsidRPr="00C754CA">
              <w:rPr>
                <w:noProof/>
              </w:rPr>
              <w:t>Die digitalen Anforderungen beschränken sich auf die Anpassung und Erweiterung bereits umgesetzter Lösungen oder Programme mit geteilter Mittelverwaltung (SFC</w:t>
            </w:r>
            <w:r w:rsidRPr="00E2773D">
              <w:rPr>
                <w:noProof/>
              </w:rPr>
              <w:t>2021</w:t>
            </w:r>
            <w:r w:rsidRPr="00C754CA">
              <w:rPr>
                <w:noProof/>
              </w:rPr>
              <w:t xml:space="preserve">). Die Anpassungen tragen der Festlegung und Aufnahme spezieller Prioritäten in geänderten Programmen Rechnung. </w:t>
            </w:r>
          </w:p>
        </w:tc>
      </w:tr>
    </w:tbl>
    <w:p w14:paraId="3DD9C6B3" w14:textId="77777777" w:rsidR="00A56747" w:rsidRPr="00C754CA" w:rsidRDefault="00A56747" w:rsidP="00A56747">
      <w:pPr>
        <w:pStyle w:val="ManualHeading2"/>
        <w:rPr>
          <w:noProof/>
        </w:rPr>
      </w:pPr>
      <w:bookmarkStart w:id="248" w:name="_Toc167220303"/>
      <w:bookmarkStart w:id="249" w:name="_Toc177549038"/>
      <w:r w:rsidRPr="00E2773D">
        <w:rPr>
          <w:noProof/>
        </w:rPr>
        <w:t>4</w:t>
      </w:r>
      <w:r w:rsidRPr="00C754CA">
        <w:rPr>
          <w:noProof/>
        </w:rPr>
        <w:t>.</w:t>
      </w:r>
      <w:r w:rsidRPr="00E2773D">
        <w:rPr>
          <w:noProof/>
        </w:rPr>
        <w:t>2</w:t>
      </w:r>
      <w:r w:rsidRPr="00C754CA">
        <w:rPr>
          <w:noProof/>
        </w:rPr>
        <w:tab/>
        <w:t>Daten</w:t>
      </w:r>
      <w:bookmarkEnd w:id="248"/>
      <w:bookmarkEnd w:id="249"/>
    </w:p>
    <w:tbl>
      <w:tblPr>
        <w:tblStyle w:val="TableGrid"/>
        <w:tblW w:w="0" w:type="auto"/>
        <w:tblLook w:val="04A0" w:firstRow="1" w:lastRow="0" w:firstColumn="1" w:lastColumn="0" w:noHBand="0" w:noVBand="1"/>
      </w:tblPr>
      <w:tblGrid>
        <w:gridCol w:w="9063"/>
      </w:tblGrid>
      <w:tr w:rsidR="00A56747" w:rsidRPr="00C754CA" w14:paraId="6C6CB247" w14:textId="77777777" w:rsidTr="00FF1EF4">
        <w:tc>
          <w:tcPr>
            <w:tcW w:w="9063" w:type="dxa"/>
          </w:tcPr>
          <w:p w14:paraId="66A89518" w14:textId="77777777" w:rsidR="00A56747" w:rsidRPr="00C754CA" w:rsidRDefault="00A56747" w:rsidP="004B53CC">
            <w:pPr>
              <w:rPr>
                <w:noProof/>
              </w:rPr>
            </w:pPr>
            <w:r w:rsidRPr="00C754CA">
              <w:rPr>
                <w:noProof/>
              </w:rPr>
              <w:t>Bei den erforderlichen Daten handelt es sich um eine Erweiterung und Anpassung des bereits für die Programme mit geteilter Mittelverwaltung implementierten Datenmodells. Da es sich um eine Erweiterung einer bestehenden Lösung handelt, ist die vollständige Wiederverwendung der vorhandenen Daten gewährleistet.</w:t>
            </w:r>
          </w:p>
        </w:tc>
      </w:tr>
    </w:tbl>
    <w:p w14:paraId="2100319A" w14:textId="77777777" w:rsidR="00A56747" w:rsidRPr="00C754CA" w:rsidRDefault="00A56747" w:rsidP="00A56747">
      <w:pPr>
        <w:pStyle w:val="ManualHeading2"/>
        <w:rPr>
          <w:noProof/>
        </w:rPr>
      </w:pPr>
      <w:bookmarkStart w:id="250" w:name="_Toc167220305"/>
      <w:bookmarkStart w:id="251" w:name="_Toc177549039"/>
      <w:r w:rsidRPr="00E2773D">
        <w:rPr>
          <w:noProof/>
        </w:rPr>
        <w:t>4</w:t>
      </w:r>
      <w:r w:rsidRPr="00C754CA">
        <w:rPr>
          <w:noProof/>
        </w:rPr>
        <w:t>.</w:t>
      </w:r>
      <w:r w:rsidRPr="00E2773D">
        <w:rPr>
          <w:noProof/>
        </w:rPr>
        <w:t>3</w:t>
      </w:r>
      <w:r w:rsidRPr="00C754CA">
        <w:rPr>
          <w:noProof/>
        </w:rPr>
        <w:tab/>
        <w:t>Digitale Lösungen</w:t>
      </w:r>
      <w:bookmarkEnd w:id="250"/>
      <w:bookmarkEnd w:id="251"/>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A56747" w:rsidRPr="00C754CA" w14:paraId="62A94887" w14:textId="77777777" w:rsidTr="00FF1EF4">
        <w:tc>
          <w:tcPr>
            <w:tcW w:w="9067" w:type="dxa"/>
          </w:tcPr>
          <w:p w14:paraId="1F7B9253" w14:textId="77777777" w:rsidR="00A56747" w:rsidRPr="00C754CA" w:rsidRDefault="00A56747" w:rsidP="004B53CC">
            <w:pPr>
              <w:rPr>
                <w:noProof/>
              </w:rPr>
            </w:pPr>
            <w:r w:rsidRPr="00C754CA">
              <w:rPr>
                <w:noProof/>
              </w:rPr>
              <w:t>Bei der digitalen Lösung handelt es sich um eine geringfügige Anpassung der Plattform SFC</w:t>
            </w:r>
            <w:r w:rsidRPr="00E2773D">
              <w:rPr>
                <w:noProof/>
              </w:rPr>
              <w:t>2021</w:t>
            </w:r>
            <w:r w:rsidRPr="00C754CA">
              <w:rPr>
                <w:noProof/>
              </w:rPr>
              <w:t xml:space="preserve">, die für alle Programme mit geteilter Mittelverwaltung verwendet wird. </w:t>
            </w:r>
          </w:p>
        </w:tc>
      </w:tr>
    </w:tbl>
    <w:p w14:paraId="13503CBC" w14:textId="77777777" w:rsidR="00A56747" w:rsidRPr="00C754CA" w:rsidRDefault="00A56747" w:rsidP="00A56747">
      <w:pPr>
        <w:pStyle w:val="ManualHeading2"/>
        <w:rPr>
          <w:rStyle w:val="Emphasis"/>
          <w:b w:val="0"/>
          <w:i w:val="0"/>
          <w:iCs w:val="0"/>
          <w:noProof/>
        </w:rPr>
      </w:pPr>
      <w:bookmarkStart w:id="252" w:name="_Toc167220304"/>
      <w:bookmarkStart w:id="253" w:name="_Toc177549040"/>
      <w:r w:rsidRPr="00E2773D">
        <w:rPr>
          <w:rStyle w:val="Emphasis"/>
          <w:noProof/>
        </w:rPr>
        <w:t>4</w:t>
      </w:r>
      <w:r w:rsidRPr="00C754CA">
        <w:rPr>
          <w:rStyle w:val="Emphasis"/>
          <w:noProof/>
        </w:rPr>
        <w:t>.</w:t>
      </w:r>
      <w:r w:rsidRPr="00E2773D">
        <w:rPr>
          <w:rStyle w:val="Emphasis"/>
          <w:noProof/>
        </w:rPr>
        <w:t>4</w:t>
      </w:r>
      <w:r w:rsidRPr="00C754CA">
        <w:rPr>
          <w:noProof/>
        </w:rPr>
        <w:tab/>
      </w:r>
      <w:r w:rsidRPr="00C754CA">
        <w:rPr>
          <w:rStyle w:val="Emphasis"/>
          <w:noProof/>
        </w:rPr>
        <w:t>Interoperabilitätsbewertung</w:t>
      </w:r>
      <w:bookmarkEnd w:id="252"/>
      <w:bookmarkEnd w:id="253"/>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A56747" w:rsidRPr="00C754CA" w14:paraId="36D8608A" w14:textId="77777777" w:rsidTr="00FF1EF4">
        <w:trPr>
          <w:trHeight w:val="300"/>
        </w:trPr>
        <w:tc>
          <w:tcPr>
            <w:tcW w:w="9067" w:type="dxa"/>
          </w:tcPr>
          <w:p w14:paraId="0836BC09" w14:textId="77777777" w:rsidR="00A56747" w:rsidRPr="00C754CA" w:rsidRDefault="00A56747" w:rsidP="004B53CC">
            <w:pPr>
              <w:rPr>
                <w:noProof/>
              </w:rPr>
            </w:pPr>
            <w:r w:rsidRPr="00C754CA">
              <w:rPr>
                <w:noProof/>
              </w:rPr>
              <w:t>SFC</w:t>
            </w:r>
            <w:r w:rsidRPr="00E2773D">
              <w:rPr>
                <w:noProof/>
              </w:rPr>
              <w:t>2021</w:t>
            </w:r>
            <w:r w:rsidRPr="00C754CA">
              <w:rPr>
                <w:noProof/>
              </w:rPr>
              <w:t xml:space="preserve"> ist bereits vorhanden und wird von allen Parteien genutzt. Das Instrument ist mit anderen Systemen interoperabel und verwendet Standardtechniken für den Informationsaustausch.</w:t>
            </w:r>
          </w:p>
        </w:tc>
      </w:tr>
    </w:tbl>
    <w:p w14:paraId="25FC5B9C" w14:textId="77777777" w:rsidR="00A56747" w:rsidRPr="00C754CA" w:rsidRDefault="00A56747" w:rsidP="00A56747">
      <w:pPr>
        <w:pStyle w:val="ManualHeading2"/>
        <w:rPr>
          <w:noProof/>
        </w:rPr>
      </w:pPr>
      <w:bookmarkStart w:id="254" w:name="_Toc167220306"/>
      <w:bookmarkStart w:id="255" w:name="_Toc177549041"/>
      <w:r w:rsidRPr="00E2773D">
        <w:rPr>
          <w:noProof/>
        </w:rPr>
        <w:t>4</w:t>
      </w:r>
      <w:r w:rsidRPr="00C754CA">
        <w:rPr>
          <w:noProof/>
        </w:rPr>
        <w:t>.</w:t>
      </w:r>
      <w:r w:rsidRPr="00E2773D">
        <w:rPr>
          <w:noProof/>
        </w:rPr>
        <w:t>5</w:t>
      </w:r>
      <w:r w:rsidRPr="00C754CA">
        <w:rPr>
          <w:noProof/>
        </w:rPr>
        <w:tab/>
        <w:t>Unterstützungsmaßnahmen für die digitale Umsetzung</w:t>
      </w:r>
      <w:bookmarkEnd w:id="254"/>
      <w:bookmarkEnd w:id="255"/>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A56747" w:rsidRPr="00C754CA" w14:paraId="5E29C46B" w14:textId="77777777" w:rsidTr="00FF1EF4">
        <w:tc>
          <w:tcPr>
            <w:tcW w:w="9067" w:type="dxa"/>
          </w:tcPr>
          <w:p w14:paraId="5D534277" w14:textId="77777777" w:rsidR="00A56747" w:rsidRPr="00C754CA" w:rsidRDefault="00A56747" w:rsidP="004B53CC">
            <w:pPr>
              <w:rPr>
                <w:noProof/>
              </w:rPr>
            </w:pPr>
            <w:r w:rsidRPr="00C754CA">
              <w:rPr>
                <w:noProof/>
              </w:rPr>
              <w:t>Die erforderlichen Änderungen an SFC</w:t>
            </w:r>
            <w:r w:rsidRPr="00E2773D">
              <w:rPr>
                <w:noProof/>
              </w:rPr>
              <w:t>2021</w:t>
            </w:r>
            <w:r w:rsidRPr="00C754CA">
              <w:rPr>
                <w:noProof/>
              </w:rPr>
              <w:t xml:space="preserve"> werden so geplant und umgesetzt, dass die neuen Anforderungen zum Zeitpunkt der Annahme und des Inkrafttretens der endgültigen Verordnung erfüllt sind.</w:t>
            </w:r>
          </w:p>
        </w:tc>
      </w:tr>
      <w:bookmarkEnd w:id="245"/>
    </w:tbl>
    <w:p w14:paraId="03611A03" w14:textId="77777777" w:rsidR="000852D5" w:rsidRPr="00C754CA" w:rsidRDefault="000852D5">
      <w:pPr>
        <w:rPr>
          <w:noProof/>
          <w:color w:val="008000"/>
        </w:rPr>
      </w:pPr>
    </w:p>
    <w:sectPr w:rsidR="000852D5" w:rsidRPr="00C754CA" w:rsidSect="008E2EBB">
      <w:headerReference w:type="default" r:id="rId21"/>
      <w:footerReference w:type="defaul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A181" w14:textId="77777777" w:rsidR="003100E7" w:rsidRDefault="003100E7" w:rsidP="000852D5">
      <w:pPr>
        <w:spacing w:before="0" w:after="0"/>
      </w:pPr>
      <w:r>
        <w:separator/>
      </w:r>
    </w:p>
  </w:endnote>
  <w:endnote w:type="continuationSeparator" w:id="0">
    <w:p w14:paraId="367D2958" w14:textId="77777777" w:rsidR="003100E7" w:rsidRDefault="003100E7" w:rsidP="000852D5">
      <w:pPr>
        <w:spacing w:before="0" w:after="0"/>
      </w:pPr>
      <w:r>
        <w:continuationSeparator/>
      </w:r>
    </w:p>
  </w:endnote>
  <w:endnote w:type="continuationNotice" w:id="1">
    <w:p w14:paraId="166A796B" w14:textId="77777777" w:rsidR="003100E7" w:rsidRDefault="003100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2F99" w14:textId="7BF47EFC" w:rsidR="008E2EBB" w:rsidRPr="008E2EBB" w:rsidRDefault="008E2EBB" w:rsidP="008E2EBB">
    <w:pPr>
      <w:pStyle w:val="Footer"/>
      <w:rPr>
        <w:rFonts w:ascii="Arial" w:hAnsi="Arial" w:cs="Arial"/>
        <w:b/>
        <w:sz w:val="48"/>
      </w:rPr>
    </w:pPr>
    <w:r w:rsidRPr="008E2EBB">
      <w:rPr>
        <w:rFonts w:ascii="Arial" w:hAnsi="Arial" w:cs="Arial"/>
        <w:b/>
        <w:sz w:val="48"/>
      </w:rPr>
      <w:t>DE</w:t>
    </w:r>
    <w:r w:rsidRPr="008E2EBB">
      <w:rPr>
        <w:rFonts w:ascii="Arial" w:hAnsi="Arial" w:cs="Arial"/>
        <w:b/>
        <w:sz w:val="48"/>
      </w:rPr>
      <w:tab/>
    </w:r>
    <w:r w:rsidRPr="008E2EBB">
      <w:rPr>
        <w:rFonts w:ascii="Arial" w:hAnsi="Arial" w:cs="Arial"/>
        <w:b/>
        <w:sz w:val="48"/>
      </w:rPr>
      <w:tab/>
    </w:r>
    <w:r w:rsidRPr="008E2EBB">
      <w:tab/>
    </w:r>
    <w:r w:rsidRPr="008E2EBB">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2B9B" w14:textId="1243E6E0" w:rsidR="008E2EBB" w:rsidRPr="008E2EBB" w:rsidRDefault="008E2EBB" w:rsidP="008E2EBB">
    <w:pPr>
      <w:pStyle w:val="Footer"/>
      <w:rPr>
        <w:rFonts w:ascii="Arial" w:hAnsi="Arial" w:cs="Arial"/>
        <w:b/>
        <w:sz w:val="48"/>
      </w:rPr>
    </w:pPr>
    <w:r w:rsidRPr="008E2EBB">
      <w:rPr>
        <w:rFonts w:ascii="Arial" w:hAnsi="Arial" w:cs="Arial"/>
        <w:b/>
        <w:sz w:val="48"/>
      </w:rPr>
      <w:t>DE</w:t>
    </w:r>
    <w:r w:rsidRPr="008E2EBB">
      <w:rPr>
        <w:rFonts w:ascii="Arial" w:hAnsi="Arial" w:cs="Arial"/>
        <w:b/>
        <w:sz w:val="48"/>
      </w:rPr>
      <w:tab/>
    </w:r>
    <w:r w:rsidRPr="008E2EBB">
      <w:rPr>
        <w:rFonts w:ascii="Arial" w:hAnsi="Arial" w:cs="Arial"/>
        <w:b/>
        <w:sz w:val="48"/>
      </w:rPr>
      <w:tab/>
    </w:r>
    <w:r w:rsidRPr="008E2EBB">
      <w:tab/>
    </w:r>
    <w:r w:rsidRPr="008E2EB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04E7" w14:textId="77777777" w:rsidR="008E2EBB" w:rsidRDefault="008E2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96291" w14:textId="26BAE072" w:rsidR="008E2EBB" w:rsidRPr="008E2EBB" w:rsidRDefault="008E2EBB" w:rsidP="008E2EBB">
    <w:pPr>
      <w:pStyle w:val="Footer"/>
      <w:rPr>
        <w:rFonts w:ascii="Arial" w:hAnsi="Arial" w:cs="Arial"/>
        <w:b/>
        <w:sz w:val="48"/>
      </w:rPr>
    </w:pPr>
    <w:r w:rsidRPr="008E2EBB">
      <w:rPr>
        <w:rFonts w:ascii="Arial" w:hAnsi="Arial" w:cs="Arial"/>
        <w:b/>
        <w:sz w:val="48"/>
      </w:rPr>
      <w:t>DE</w:t>
    </w:r>
    <w:r w:rsidRPr="008E2EBB">
      <w:rPr>
        <w:rFonts w:ascii="Arial" w:hAnsi="Arial" w:cs="Arial"/>
        <w:b/>
        <w:sz w:val="48"/>
      </w:rPr>
      <w:tab/>
    </w:r>
    <w:r>
      <w:fldChar w:fldCharType="begin"/>
    </w:r>
    <w:r>
      <w:instrText xml:space="preserve"> PAGE  \* MERGEFORMAT </w:instrText>
    </w:r>
    <w:r>
      <w:fldChar w:fldCharType="separate"/>
    </w:r>
    <w:r w:rsidR="004461EE">
      <w:rPr>
        <w:noProof/>
      </w:rPr>
      <w:t>1</w:t>
    </w:r>
    <w:r>
      <w:fldChar w:fldCharType="end"/>
    </w:r>
    <w:r>
      <w:tab/>
    </w:r>
    <w:r w:rsidRPr="008E2EBB">
      <w:tab/>
    </w:r>
    <w:r w:rsidRPr="008E2EBB">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1A54" w14:textId="77777777" w:rsidR="008E2EBB" w:rsidRDefault="008E2EBB" w:rsidP="008E2E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BC87" w14:textId="39421A41" w:rsidR="008E2EBB" w:rsidRPr="008E2EBB" w:rsidRDefault="008E2EBB" w:rsidP="008E2EBB">
    <w:pPr>
      <w:pStyle w:val="FooterLandscape"/>
      <w:rPr>
        <w:rFonts w:ascii="Arial" w:hAnsi="Arial" w:cs="Arial"/>
        <w:b/>
        <w:sz w:val="48"/>
      </w:rPr>
    </w:pPr>
    <w:r w:rsidRPr="008E2EBB">
      <w:rPr>
        <w:rFonts w:ascii="Arial" w:hAnsi="Arial" w:cs="Arial"/>
        <w:b/>
        <w:sz w:val="48"/>
      </w:rPr>
      <w:t>DE</w:t>
    </w:r>
    <w:r w:rsidRPr="008E2EB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E2EBB">
      <w:tab/>
    </w:r>
    <w:r w:rsidRPr="008E2EBB">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4F4A" w14:textId="678762D3" w:rsidR="008E2EBB" w:rsidRPr="008E2EBB" w:rsidRDefault="008E2EBB" w:rsidP="008E2EBB">
    <w:pPr>
      <w:pStyle w:val="Footer"/>
      <w:rPr>
        <w:rFonts w:ascii="Arial" w:hAnsi="Arial" w:cs="Arial"/>
        <w:b/>
        <w:sz w:val="48"/>
      </w:rPr>
    </w:pPr>
    <w:r w:rsidRPr="008E2EBB">
      <w:rPr>
        <w:rFonts w:ascii="Arial" w:hAnsi="Arial" w:cs="Arial"/>
        <w:b/>
        <w:sz w:val="48"/>
      </w:rPr>
      <w:t>DE</w:t>
    </w:r>
    <w:r w:rsidRPr="008E2EB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E2EBB">
      <w:tab/>
    </w:r>
    <w:r w:rsidRPr="008E2EBB">
      <w:rPr>
        <w:rFonts w:ascii="Arial" w:hAnsi="Arial" w:cs="Arial"/>
        <w:b/>
        <w:sz w:val="48"/>
      </w:rPr>
      <w: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32361" w14:textId="77777777" w:rsidR="003100E7" w:rsidRDefault="003100E7" w:rsidP="000852D5">
      <w:pPr>
        <w:spacing w:before="0" w:after="0"/>
      </w:pPr>
      <w:r>
        <w:separator/>
      </w:r>
    </w:p>
  </w:footnote>
  <w:footnote w:type="continuationSeparator" w:id="0">
    <w:p w14:paraId="7E9AECF3" w14:textId="77777777" w:rsidR="003100E7" w:rsidRDefault="003100E7" w:rsidP="000852D5">
      <w:pPr>
        <w:spacing w:before="0" w:after="0"/>
      </w:pPr>
      <w:r>
        <w:continuationSeparator/>
      </w:r>
    </w:p>
  </w:footnote>
  <w:footnote w:type="continuationNotice" w:id="1">
    <w:p w14:paraId="2C1BA08A" w14:textId="77777777" w:rsidR="003100E7" w:rsidRDefault="003100E7">
      <w:pPr>
        <w:spacing w:before="0" w:after="0"/>
      </w:pPr>
    </w:p>
  </w:footnote>
  <w:footnote w:id="2">
    <w:p w14:paraId="043E0F7D" w14:textId="77777777" w:rsidR="008F0722" w:rsidRPr="00C754CA" w:rsidRDefault="008F0722">
      <w:pPr>
        <w:pStyle w:val="FootnoteText"/>
      </w:pPr>
      <w:r>
        <w:rPr>
          <w:rStyle w:val="FootnoteReference"/>
        </w:rPr>
        <w:footnoteRef/>
      </w:r>
      <w:r w:rsidRPr="00C754CA">
        <w:tab/>
      </w:r>
      <w:hyperlink w:history="1">
        <w:hyperlink r:id="rId1" w:history="1">
          <w:r w:rsidRPr="00C754CA">
            <w:rPr>
              <w:rStyle w:val="Hyperlink"/>
              <w:color w:val="auto"/>
            </w:rPr>
            <w:t>Mitteilung der Kommission, Kriterien für die Würdigung der Vereinbarkeit von staatlichen Beihilfen zur Förderung wichtiger Vorhaben von gemeinsamem europäischem Interesse mit dem Binnenmarkt</w:t>
          </w:r>
        </w:hyperlink>
      </w:hyperlink>
      <w:r w:rsidRPr="00C754CA">
        <w:t xml:space="preserve"> (ABl. C </w:t>
      </w:r>
      <w:r w:rsidRPr="00E2773D">
        <w:t>528</w:t>
      </w:r>
      <w:r w:rsidRPr="00C754CA">
        <w:t xml:space="preserve"> vom </w:t>
      </w:r>
      <w:r w:rsidRPr="00E2773D">
        <w:t>30</w:t>
      </w:r>
      <w:r w:rsidRPr="00C754CA">
        <w:t>.</w:t>
      </w:r>
      <w:r w:rsidRPr="00E2773D">
        <w:t>12</w:t>
      </w:r>
      <w:r w:rsidRPr="00C754CA">
        <w:t>.</w:t>
      </w:r>
      <w:r w:rsidRPr="00E2773D">
        <w:t>2021</w:t>
      </w:r>
      <w:r w:rsidRPr="00C754CA">
        <w:t>, S. </w:t>
      </w:r>
      <w:r w:rsidRPr="00E2773D">
        <w:t>10</w:t>
      </w:r>
      <w:r w:rsidRPr="00C754CA">
        <w:t>).</w:t>
      </w:r>
    </w:p>
  </w:footnote>
  <w:footnote w:id="3">
    <w:p w14:paraId="5BE4DC1D" w14:textId="77777777" w:rsidR="000852D5" w:rsidRPr="00C754CA" w:rsidRDefault="000852D5">
      <w:pPr>
        <w:pStyle w:val="FootnoteText"/>
      </w:pPr>
      <w:r>
        <w:rPr>
          <w:rStyle w:val="FootnoteReference"/>
          <w:lang w:val="en-IE"/>
        </w:rPr>
        <w:footnoteRef/>
      </w:r>
      <w:r w:rsidRPr="00C754CA">
        <w:tab/>
        <w:t>ABl. C , , S. .</w:t>
      </w:r>
    </w:p>
  </w:footnote>
  <w:footnote w:id="4">
    <w:p w14:paraId="75DD3D18" w14:textId="77777777" w:rsidR="000852D5" w:rsidRPr="00C754CA" w:rsidRDefault="000852D5">
      <w:pPr>
        <w:pStyle w:val="FootnoteText"/>
      </w:pPr>
      <w:r>
        <w:rPr>
          <w:rStyle w:val="FootnoteReference"/>
          <w:lang w:val="en-IE"/>
        </w:rPr>
        <w:footnoteRef/>
      </w:r>
      <w:r w:rsidRPr="00C754CA">
        <w:tab/>
        <w:t>ABl. C , , S. .</w:t>
      </w:r>
    </w:p>
  </w:footnote>
  <w:footnote w:id="5">
    <w:p w14:paraId="437DA586" w14:textId="77777777" w:rsidR="00324945" w:rsidRPr="00C754CA" w:rsidRDefault="00324945">
      <w:pPr>
        <w:pStyle w:val="FootnoteText"/>
      </w:pPr>
      <w:r>
        <w:rPr>
          <w:rStyle w:val="FootnoteReference"/>
        </w:rPr>
        <w:footnoteRef/>
      </w:r>
      <w:r w:rsidRPr="00C754CA">
        <w:tab/>
        <w:t>ABl. L </w:t>
      </w:r>
      <w:r w:rsidRPr="00E2773D">
        <w:t>231</w:t>
      </w:r>
      <w:r w:rsidRPr="00C754CA">
        <w:t xml:space="preserve"> vom </w:t>
      </w:r>
      <w:r w:rsidRPr="00E2773D">
        <w:t>30</w:t>
      </w:r>
      <w:r w:rsidRPr="00C754CA">
        <w:t>.</w:t>
      </w:r>
      <w:r w:rsidRPr="00E2773D">
        <w:t>6</w:t>
      </w:r>
      <w:r w:rsidRPr="00C754CA">
        <w:t>.</w:t>
      </w:r>
      <w:r w:rsidRPr="00E2773D">
        <w:t>2021</w:t>
      </w:r>
      <w:r w:rsidRPr="00C754CA">
        <w:t>, S. </w:t>
      </w:r>
      <w:r w:rsidRPr="00E2773D">
        <w:t>60</w:t>
      </w:r>
      <w:r w:rsidRPr="00C754CA">
        <w:t>.</w:t>
      </w:r>
    </w:p>
  </w:footnote>
  <w:footnote w:id="6">
    <w:p w14:paraId="4643DD6C" w14:textId="77777777" w:rsidR="00324945" w:rsidRPr="00C754CA" w:rsidRDefault="00324945">
      <w:pPr>
        <w:pStyle w:val="FootnoteText"/>
      </w:pPr>
      <w:r>
        <w:rPr>
          <w:rStyle w:val="FootnoteReference"/>
        </w:rPr>
        <w:footnoteRef/>
      </w:r>
      <w:r w:rsidRPr="00C754CA">
        <w:tab/>
        <w:t>ABl. L </w:t>
      </w:r>
      <w:r w:rsidRPr="00E2773D">
        <w:t>231</w:t>
      </w:r>
      <w:r w:rsidRPr="00C754CA">
        <w:t xml:space="preserve"> vom </w:t>
      </w:r>
      <w:r w:rsidRPr="00E2773D">
        <w:t>30</w:t>
      </w:r>
      <w:r w:rsidRPr="00C754CA">
        <w:t>.</w:t>
      </w:r>
      <w:r w:rsidRPr="00E2773D">
        <w:t>6</w:t>
      </w:r>
      <w:r w:rsidRPr="00C754CA">
        <w:t>.</w:t>
      </w:r>
      <w:r w:rsidRPr="00E2773D">
        <w:t>2021</w:t>
      </w:r>
      <w:r w:rsidRPr="00C754CA">
        <w:t>, S. </w:t>
      </w:r>
      <w:r w:rsidRPr="00E2773D">
        <w:t>1</w:t>
      </w:r>
      <w:r w:rsidRPr="00C754CA">
        <w:t>.</w:t>
      </w:r>
    </w:p>
  </w:footnote>
  <w:footnote w:id="7">
    <w:p w14:paraId="3492469C" w14:textId="77777777" w:rsidR="00AF1DE2" w:rsidRPr="00C754CA" w:rsidRDefault="00AF1DE2">
      <w:pPr>
        <w:pStyle w:val="FootnoteText"/>
      </w:pPr>
      <w:r>
        <w:rPr>
          <w:rStyle w:val="FootnoteReference"/>
        </w:rPr>
        <w:footnoteRef/>
      </w:r>
      <w:r w:rsidRPr="00C754CA">
        <w:tab/>
        <w:t>Richtlinie </w:t>
      </w:r>
      <w:r w:rsidRPr="00E2773D">
        <w:t>2003</w:t>
      </w:r>
      <w:r w:rsidRPr="00C754CA">
        <w:t>/</w:t>
      </w:r>
      <w:r w:rsidRPr="00E2773D">
        <w:t>87</w:t>
      </w:r>
      <w:r w:rsidRPr="00C754CA">
        <w:t xml:space="preserve">/EG des Europäischen Parlaments und des Rates vom </w:t>
      </w:r>
      <w:r w:rsidRPr="00E2773D">
        <w:t>13</w:t>
      </w:r>
      <w:r w:rsidRPr="00C754CA">
        <w:t xml:space="preserve">. Oktober </w:t>
      </w:r>
      <w:r w:rsidRPr="00E2773D">
        <w:t>2003</w:t>
      </w:r>
      <w:r w:rsidRPr="00C754CA">
        <w:t xml:space="preserve"> über ein System für den Handel mit Treibhausgasemissionszertifikaten in der Union und zur Änderung der Richtlinie </w:t>
      </w:r>
      <w:r w:rsidRPr="00E2773D">
        <w:t>96</w:t>
      </w:r>
      <w:r w:rsidRPr="00C754CA">
        <w:t>/</w:t>
      </w:r>
      <w:r w:rsidRPr="00E2773D">
        <w:t>61</w:t>
      </w:r>
      <w:r w:rsidRPr="00C754CA">
        <w:t>/EG des Rates (ABl. L </w:t>
      </w:r>
      <w:r w:rsidRPr="00E2773D">
        <w:t>275</w:t>
      </w:r>
      <w:r w:rsidRPr="00C754CA">
        <w:t xml:space="preserve"> vom </w:t>
      </w:r>
      <w:r w:rsidRPr="00E2773D">
        <w:t>25</w:t>
      </w:r>
      <w:r w:rsidRPr="00C754CA">
        <w:t>.</w:t>
      </w:r>
      <w:r w:rsidRPr="00E2773D">
        <w:t>10</w:t>
      </w:r>
      <w:r w:rsidRPr="00C754CA">
        <w:t>.</w:t>
      </w:r>
      <w:r w:rsidRPr="00E2773D">
        <w:t>2003</w:t>
      </w:r>
      <w:r w:rsidRPr="00C754CA">
        <w:t>, S. </w:t>
      </w:r>
      <w:r w:rsidRPr="00E2773D">
        <w:t>32</w:t>
      </w:r>
      <w:r w:rsidRPr="00C754CA">
        <w:t>, ELI: http://data.europa.eu/eli/dir/</w:t>
      </w:r>
      <w:r w:rsidRPr="00E2773D">
        <w:t>2003</w:t>
      </w:r>
      <w:r w:rsidRPr="00C754CA">
        <w:t>/</w:t>
      </w:r>
      <w:r w:rsidRPr="00E2773D">
        <w:t>87</w:t>
      </w:r>
      <w:r w:rsidRPr="00C754CA">
        <w:t>/oj).</w:t>
      </w:r>
    </w:p>
  </w:footnote>
  <w:footnote w:id="8">
    <w:p w14:paraId="6AABA85C" w14:textId="77777777" w:rsidR="00AF1DE2" w:rsidRPr="00C754CA" w:rsidRDefault="00AF1DE2">
      <w:pPr>
        <w:pStyle w:val="FootnoteText"/>
      </w:pPr>
      <w:r>
        <w:rPr>
          <w:rStyle w:val="FootnoteReference"/>
        </w:rPr>
        <w:footnoteRef/>
      </w:r>
      <w:r w:rsidRPr="00C754CA">
        <w:tab/>
        <w:t xml:space="preserve">Verordnung (EU) </w:t>
      </w:r>
      <w:r w:rsidRPr="00E2773D">
        <w:t>2021</w:t>
      </w:r>
      <w:r w:rsidRPr="00C754CA">
        <w:t>/</w:t>
      </w:r>
      <w:r w:rsidRPr="00E2773D">
        <w:t>523</w:t>
      </w:r>
      <w:r w:rsidRPr="00C754CA">
        <w:t xml:space="preserve"> des Europäischen Parlaments und des Rates vom </w:t>
      </w:r>
      <w:r w:rsidRPr="00E2773D">
        <w:t>24</w:t>
      </w:r>
      <w:r w:rsidRPr="00C754CA">
        <w:t xml:space="preserve">. März </w:t>
      </w:r>
      <w:r w:rsidRPr="00E2773D">
        <w:t>2021</w:t>
      </w:r>
      <w:r w:rsidRPr="00C754CA">
        <w:t xml:space="preserve"> zur Aufstellung des Programms „InvestEU“ und zur Änderung der Verordnung (EU) </w:t>
      </w:r>
      <w:r w:rsidRPr="00E2773D">
        <w:t>2015</w:t>
      </w:r>
      <w:r w:rsidRPr="00C754CA">
        <w:t>/</w:t>
      </w:r>
      <w:r w:rsidRPr="00E2773D">
        <w:t>1017</w:t>
      </w:r>
      <w:r w:rsidRPr="00C754CA">
        <w:t xml:space="preserve"> (ABl. L </w:t>
      </w:r>
      <w:r w:rsidRPr="00E2773D">
        <w:t>107</w:t>
      </w:r>
      <w:r w:rsidRPr="00C754CA">
        <w:t xml:space="preserve"> vom </w:t>
      </w:r>
      <w:r w:rsidRPr="00E2773D">
        <w:t>26</w:t>
      </w:r>
      <w:r w:rsidRPr="00C754CA">
        <w:t>.</w:t>
      </w:r>
      <w:r w:rsidRPr="00E2773D">
        <w:t>3</w:t>
      </w:r>
      <w:r w:rsidRPr="00C754CA">
        <w:t>.</w:t>
      </w:r>
      <w:r w:rsidRPr="00E2773D">
        <w:t>2021</w:t>
      </w:r>
      <w:r w:rsidRPr="00C754CA">
        <w:t>, S. </w:t>
      </w:r>
      <w:r w:rsidRPr="00E2773D">
        <w:t>30</w:t>
      </w:r>
      <w:r w:rsidRPr="00C754CA">
        <w:t>, ELI: http://data.europa.eu/eli/reg/</w:t>
      </w:r>
      <w:r w:rsidRPr="00E2773D">
        <w:t>2021</w:t>
      </w:r>
      <w:r w:rsidRPr="00C754CA">
        <w:t>/</w:t>
      </w:r>
      <w:r w:rsidRPr="00E2773D">
        <w:t>523</w:t>
      </w:r>
      <w:r w:rsidRPr="00C754CA">
        <w:t>/oj).</w:t>
      </w:r>
    </w:p>
  </w:footnote>
  <w:footnote w:id="9">
    <w:p w14:paraId="5666BB85" w14:textId="77777777" w:rsidR="00A56747" w:rsidRPr="00C754CA" w:rsidRDefault="00A56747" w:rsidP="00A56747">
      <w:pPr>
        <w:pStyle w:val="FootnoteText"/>
      </w:pPr>
      <w:r>
        <w:rPr>
          <w:rStyle w:val="FootnoteReference"/>
          <w:lang w:val="en-IE"/>
        </w:rPr>
        <w:footnoteRef/>
      </w:r>
      <w:r w:rsidRPr="00C754CA">
        <w:tab/>
        <w:t>Im Sinne des Artikels </w:t>
      </w:r>
      <w:r w:rsidRPr="00E2773D">
        <w:t>58</w:t>
      </w:r>
      <w:r w:rsidRPr="00C754CA">
        <w:t xml:space="preserve"> Absatz </w:t>
      </w:r>
      <w:r w:rsidRPr="00E2773D">
        <w:t>2</w:t>
      </w:r>
      <w:r w:rsidRPr="00C754CA">
        <w:t xml:space="preserve"> Buchstabe a oder b der Haushaltsordnung.</w:t>
      </w:r>
    </w:p>
  </w:footnote>
  <w:footnote w:id="10">
    <w:p w14:paraId="3E34BEF3" w14:textId="77777777" w:rsidR="00A56747" w:rsidRPr="00C754CA" w:rsidRDefault="00A56747" w:rsidP="00A56747">
      <w:pPr>
        <w:pStyle w:val="FootnoteText"/>
        <w:jc w:val="left"/>
        <w:rPr>
          <w:szCs w:val="24"/>
        </w:rPr>
      </w:pPr>
      <w:r>
        <w:rPr>
          <w:rStyle w:val="FootnoteReference"/>
          <w:lang w:val="en-IE"/>
        </w:rPr>
        <w:footnoteRef/>
      </w:r>
      <w:r w:rsidRPr="00C754CA">
        <w:tab/>
        <w:t xml:space="preserve">Erläuterungen zu den Haushaltsvollzugsarten und Verweise auf die Haushaltsordnung finden sich auf der Website BUDGpedia (in englischer Sprache): </w:t>
      </w:r>
      <w:hyperlink r:id="rId2" w:history="1">
        <w:r w:rsidRPr="00C754CA">
          <w:rPr>
            <w:rStyle w:val="Hyperlink"/>
          </w:rPr>
          <w:t>https://myintracomm.ec.europa.eu/corp/budget/financial-rules/budget-implementation/Pages/implementation-methods.aspx</w:t>
        </w:r>
      </w:hyperlink>
      <w:r w:rsidRPr="00C754CA">
        <w:rPr>
          <w:rStyle w:val="Hyperlink"/>
        </w:rPr>
        <w:t>.</w:t>
      </w:r>
    </w:p>
  </w:footnote>
  <w:footnote w:id="11">
    <w:p w14:paraId="088E3DC2" w14:textId="77777777" w:rsidR="00A56747" w:rsidRPr="00C754CA" w:rsidRDefault="00A56747" w:rsidP="00A56747">
      <w:pPr>
        <w:pStyle w:val="FootnoteText"/>
        <w:rPr>
          <w:szCs w:val="24"/>
        </w:rPr>
      </w:pPr>
      <w:r>
        <w:rPr>
          <w:rStyle w:val="FootnoteReference"/>
          <w:lang w:val="en-IE"/>
        </w:rPr>
        <w:footnoteRef/>
      </w:r>
      <w:r w:rsidRPr="00C754CA">
        <w:tab/>
        <w:t>GM = Getrennte Mittel/NGM = Nichtgetrennte Mittel.</w:t>
      </w:r>
    </w:p>
  </w:footnote>
  <w:footnote w:id="12">
    <w:p w14:paraId="53E3E7E8" w14:textId="77777777" w:rsidR="00A56747" w:rsidRPr="00C754CA" w:rsidRDefault="00A56747" w:rsidP="00A56747">
      <w:pPr>
        <w:pStyle w:val="FootnoteText"/>
        <w:rPr>
          <w:szCs w:val="24"/>
        </w:rPr>
      </w:pPr>
      <w:r>
        <w:rPr>
          <w:rStyle w:val="FootnoteReference"/>
          <w:lang w:val="en-IE"/>
        </w:rPr>
        <w:footnoteRef/>
      </w:r>
      <w:r w:rsidRPr="00C754CA">
        <w:tab/>
        <w:t xml:space="preserve">EFTA: Europäische Freihandelsassoziation. </w:t>
      </w:r>
    </w:p>
  </w:footnote>
  <w:footnote w:id="13">
    <w:p w14:paraId="6944A478" w14:textId="77777777" w:rsidR="00A56747" w:rsidRPr="00C754CA" w:rsidRDefault="00A56747" w:rsidP="00A56747">
      <w:pPr>
        <w:pStyle w:val="FootnoteText"/>
        <w:rPr>
          <w:szCs w:val="24"/>
        </w:rPr>
      </w:pPr>
      <w:r>
        <w:rPr>
          <w:rStyle w:val="FootnoteReference"/>
          <w:lang w:val="en-IE"/>
        </w:rPr>
        <w:footnoteRef/>
      </w:r>
      <w:r w:rsidRPr="00C754CA">
        <w:tab/>
        <w:t>Kandidatenländer und gegebenenfalls potenzielle Kandidaten des Westbalkans.</w:t>
      </w:r>
    </w:p>
  </w:footnote>
  <w:footnote w:id="14">
    <w:p w14:paraId="09666CBC" w14:textId="77777777" w:rsidR="00A56747" w:rsidRPr="00C754CA" w:rsidRDefault="00A56747" w:rsidP="00A56747">
      <w:pPr>
        <w:pStyle w:val="FootnoteText"/>
      </w:pPr>
      <w:r>
        <w:rPr>
          <w:rStyle w:val="FootnoteReference"/>
          <w:lang w:val="en-IE"/>
        </w:rPr>
        <w:footnoteRef/>
      </w:r>
      <w:r w:rsidRPr="00C754CA">
        <w:tab/>
      </w:r>
      <w:r w:rsidRPr="00C754CA">
        <w:rPr>
          <w:sz w:val="18"/>
        </w:rPr>
        <w:t>Technische und/oder administrative Hilfe und Ausgaben zur Unterstützung der Durchführung von Programmen bzw. Maßnahmen der EU (vormalige BA-Linien), indirekte Forschung, direkte Forschung.</w:t>
      </w:r>
    </w:p>
  </w:footnote>
  <w:footnote w:id="15">
    <w:p w14:paraId="3966134E" w14:textId="77777777" w:rsidR="00A56747" w:rsidRPr="00C754CA" w:rsidRDefault="00A56747" w:rsidP="00A56747">
      <w:pPr>
        <w:pStyle w:val="FootnoteText"/>
      </w:pPr>
      <w:r>
        <w:rPr>
          <w:rStyle w:val="FootnoteReference"/>
          <w:lang w:val="en-IE"/>
        </w:rPr>
        <w:footnoteRef/>
      </w:r>
      <w:r w:rsidRPr="00C754CA">
        <w:tab/>
        <w:t>Der Mittelbedarf sollte auf der Grundlage der Angaben zu den Durchschnittskosten veranschlagt werden, die auf der einschlägigen BUDGpedia-Seite verfügbar sind.</w:t>
      </w:r>
    </w:p>
  </w:footnote>
  <w:footnote w:id="16">
    <w:p w14:paraId="1BFF7B38" w14:textId="77777777" w:rsidR="00A56747" w:rsidRPr="00C754CA" w:rsidRDefault="00A56747" w:rsidP="00A56747">
      <w:pPr>
        <w:pStyle w:val="FootnoteText"/>
        <w:rPr>
          <w:szCs w:val="24"/>
        </w:rPr>
      </w:pPr>
      <w:r>
        <w:rPr>
          <w:rStyle w:val="FootnoteReference"/>
          <w:lang w:val="en-IE"/>
        </w:rPr>
        <w:footnoteRef/>
      </w:r>
      <w:r w:rsidRPr="00C754CA">
        <w:tab/>
        <w:t>Ergebnisse sind Produkte, die geliefert, und Dienstleistungen, die erbracht werden (z. B. Zahl der Austauschstudenten, gebaute Straßenkilometer usw.).</w:t>
      </w:r>
    </w:p>
  </w:footnote>
  <w:footnote w:id="17">
    <w:p w14:paraId="3326CBB1" w14:textId="77777777" w:rsidR="00A56747" w:rsidRPr="00C754CA" w:rsidRDefault="00A56747" w:rsidP="00A56747">
      <w:pPr>
        <w:pStyle w:val="FootnoteText"/>
        <w:rPr>
          <w:szCs w:val="24"/>
        </w:rPr>
      </w:pPr>
      <w:r>
        <w:rPr>
          <w:rStyle w:val="FootnoteReference"/>
          <w:lang w:val="en-IE"/>
        </w:rPr>
        <w:footnoteRef/>
      </w:r>
      <w:r w:rsidRPr="00C754CA">
        <w:tab/>
        <w:t xml:space="preserve">Wie in Abschnitt </w:t>
      </w:r>
      <w:r w:rsidRPr="00E2773D">
        <w:t>1</w:t>
      </w:r>
      <w:r w:rsidRPr="00C754CA">
        <w:t>.</w:t>
      </w:r>
      <w:r w:rsidRPr="00E2773D">
        <w:t>3</w:t>
      </w:r>
      <w:r w:rsidRPr="00C754CA">
        <w:t>.</w:t>
      </w:r>
      <w:r w:rsidRPr="00E2773D">
        <w:t>2</w:t>
      </w:r>
      <w:r w:rsidRPr="00C754CA">
        <w:t xml:space="preserve"> „Spezifische(s) Ziel(e)“ beschrieben. </w:t>
      </w:r>
    </w:p>
  </w:footnote>
  <w:footnote w:id="18">
    <w:p w14:paraId="72610F8D" w14:textId="77777777" w:rsidR="00A56747" w:rsidRPr="00C754CA" w:rsidRDefault="00A56747" w:rsidP="00A56747">
      <w:pPr>
        <w:pStyle w:val="FootnoteText"/>
      </w:pPr>
      <w:r>
        <w:rPr>
          <w:rStyle w:val="FootnoteReference"/>
          <w:lang w:val="en-IE"/>
        </w:rPr>
        <w:footnoteRef/>
      </w:r>
      <w:r w:rsidRPr="00C754CA">
        <w:tab/>
        <w:t>Bitte unter der Tabelle angeben, wie viele der aufgeführten VZÄ bereits der Verwaltung der Maßnahme zugeordnet sind und/oder durch Personalumschichtung innerhalb der GD dieser Aufgabe zugeteilt werden können. Den Nettobedarf beziffern.</w:t>
      </w:r>
    </w:p>
  </w:footnote>
  <w:footnote w:id="19">
    <w:p w14:paraId="109E94A7" w14:textId="77777777" w:rsidR="00A56747" w:rsidRPr="00C754CA" w:rsidRDefault="00A56747" w:rsidP="00A56747">
      <w:pPr>
        <w:pStyle w:val="FootnoteText"/>
        <w:rPr>
          <w:szCs w:val="24"/>
        </w:rPr>
      </w:pPr>
      <w:r>
        <w:rPr>
          <w:rStyle w:val="FootnoteReference"/>
          <w:lang w:val="en-IE"/>
        </w:rPr>
        <w:footnoteRef/>
      </w:r>
      <w:r w:rsidRPr="00C754CA">
        <w:tab/>
        <w:t xml:space="preserve">Bei den traditionellen Eigenmitteln (Zölle, Zuckerabgaben) sind die Beträge netto, d. h. abzüglich </w:t>
      </w:r>
      <w:r w:rsidRPr="00E2773D">
        <w:t>20</w:t>
      </w:r>
      <w:r w:rsidRPr="00C754CA">
        <w:t>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02CC" w14:textId="77777777" w:rsidR="008E2EBB" w:rsidRDefault="008E2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3C2E" w14:textId="77777777" w:rsidR="008E2EBB" w:rsidRDefault="008E2EBB" w:rsidP="008E2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A90E" w14:textId="77777777" w:rsidR="008E2EBB" w:rsidRPr="008E2EBB" w:rsidRDefault="008E2EBB" w:rsidP="008E2EBB">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9CF4" w14:textId="77777777" w:rsidR="008E2EBB" w:rsidRPr="008E2EBB" w:rsidRDefault="008E2EBB" w:rsidP="008E2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F06B74"/>
    <w:multiLevelType w:val="hybridMultilevel"/>
    <w:tmpl w:val="EB26B522"/>
    <w:lvl w:ilvl="0" w:tplc="1AE6318A">
      <w:start w:val="4"/>
      <w:numFmt w:val="bullet"/>
      <w:lvlText w:val="-"/>
      <w:lvlJc w:val="left"/>
      <w:pPr>
        <w:ind w:left="1210" w:hanging="360"/>
      </w:pPr>
      <w:rPr>
        <w:rFonts w:ascii="Times New Roman" w:hAnsi="Times New Roman" w:hint="default"/>
      </w:rPr>
    </w:lvl>
    <w:lvl w:ilvl="1" w:tplc="E85EEFDE" w:tentative="1">
      <w:start w:val="1"/>
      <w:numFmt w:val="bullet"/>
      <w:lvlText w:val="o"/>
      <w:lvlJc w:val="left"/>
      <w:pPr>
        <w:ind w:left="1930" w:hanging="360"/>
      </w:pPr>
      <w:rPr>
        <w:rFonts w:ascii="Courier New" w:hAnsi="Courier New" w:hint="default"/>
      </w:rPr>
    </w:lvl>
    <w:lvl w:ilvl="2" w:tplc="96DA8D0A" w:tentative="1">
      <w:start w:val="1"/>
      <w:numFmt w:val="bullet"/>
      <w:lvlText w:val=""/>
      <w:lvlJc w:val="left"/>
      <w:pPr>
        <w:ind w:left="2650" w:hanging="360"/>
      </w:pPr>
      <w:rPr>
        <w:rFonts w:ascii="Wingdings" w:hAnsi="Wingdings" w:hint="default"/>
      </w:rPr>
    </w:lvl>
    <w:lvl w:ilvl="3" w:tplc="374EF6BE" w:tentative="1">
      <w:start w:val="1"/>
      <w:numFmt w:val="bullet"/>
      <w:lvlText w:val=""/>
      <w:lvlJc w:val="left"/>
      <w:pPr>
        <w:ind w:left="3370" w:hanging="360"/>
      </w:pPr>
      <w:rPr>
        <w:rFonts w:ascii="Symbol" w:hAnsi="Symbol" w:hint="default"/>
      </w:rPr>
    </w:lvl>
    <w:lvl w:ilvl="4" w:tplc="58ECCE76" w:tentative="1">
      <w:start w:val="1"/>
      <w:numFmt w:val="bullet"/>
      <w:lvlText w:val="o"/>
      <w:lvlJc w:val="left"/>
      <w:pPr>
        <w:ind w:left="4090" w:hanging="360"/>
      </w:pPr>
      <w:rPr>
        <w:rFonts w:ascii="Courier New" w:hAnsi="Courier New" w:hint="default"/>
      </w:rPr>
    </w:lvl>
    <w:lvl w:ilvl="5" w:tplc="FEAA59BC" w:tentative="1">
      <w:start w:val="1"/>
      <w:numFmt w:val="bullet"/>
      <w:lvlText w:val=""/>
      <w:lvlJc w:val="left"/>
      <w:pPr>
        <w:ind w:left="4810" w:hanging="360"/>
      </w:pPr>
      <w:rPr>
        <w:rFonts w:ascii="Wingdings" w:hAnsi="Wingdings" w:hint="default"/>
      </w:rPr>
    </w:lvl>
    <w:lvl w:ilvl="6" w:tplc="F04AECEC" w:tentative="1">
      <w:start w:val="1"/>
      <w:numFmt w:val="bullet"/>
      <w:lvlText w:val=""/>
      <w:lvlJc w:val="left"/>
      <w:pPr>
        <w:ind w:left="5530" w:hanging="360"/>
      </w:pPr>
      <w:rPr>
        <w:rFonts w:ascii="Symbol" w:hAnsi="Symbol" w:hint="default"/>
      </w:rPr>
    </w:lvl>
    <w:lvl w:ilvl="7" w:tplc="A7D05560" w:tentative="1">
      <w:start w:val="1"/>
      <w:numFmt w:val="bullet"/>
      <w:lvlText w:val="o"/>
      <w:lvlJc w:val="left"/>
      <w:pPr>
        <w:ind w:left="6250" w:hanging="360"/>
      </w:pPr>
      <w:rPr>
        <w:rFonts w:ascii="Courier New" w:hAnsi="Courier New" w:hint="default"/>
      </w:rPr>
    </w:lvl>
    <w:lvl w:ilvl="8" w:tplc="CA14E1F8" w:tentative="1">
      <w:start w:val="1"/>
      <w:numFmt w:val="bullet"/>
      <w:lvlText w:val=""/>
      <w:lvlJc w:val="left"/>
      <w:pPr>
        <w:ind w:left="6970" w:hanging="360"/>
      </w:pPr>
      <w:rPr>
        <w:rFonts w:ascii="Wingdings" w:hAnsi="Wingdings" w:hint="default"/>
      </w:r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3523"/>
        </w:tabs>
        <w:ind w:left="3523"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num>
  <w:num w:numId="3">
    <w:abstractNumId w:val="9"/>
  </w:num>
  <w:num w:numId="4">
    <w:abstractNumId w:val="18"/>
  </w:num>
  <w:num w:numId="5">
    <w:abstractNumId w:val="17"/>
  </w:num>
  <w:num w:numId="6">
    <w:abstractNumId w:val="28"/>
  </w:num>
  <w:num w:numId="7">
    <w:abstractNumId w:val="25"/>
  </w:num>
  <w:num w:numId="8">
    <w:abstractNumId w:val="29"/>
  </w:num>
  <w:num w:numId="9">
    <w:abstractNumId w:val="30"/>
  </w:num>
  <w:num w:numId="10">
    <w:abstractNumId w:val="1"/>
  </w:num>
  <w:num w:numId="11">
    <w:abstractNumId w:val="11"/>
  </w:num>
  <w:num w:numId="12">
    <w:abstractNumId w:val="2"/>
  </w:num>
  <w:num w:numId="13">
    <w:abstractNumId w:val="12"/>
  </w:num>
  <w:num w:numId="14">
    <w:abstractNumId w:val="10"/>
  </w:num>
  <w:num w:numId="15">
    <w:abstractNumId w:val="19"/>
  </w:num>
  <w:num w:numId="16">
    <w:abstractNumId w:val="8"/>
  </w:num>
  <w:num w:numId="17">
    <w:abstractNumId w:val="5"/>
  </w:num>
  <w:num w:numId="18">
    <w:abstractNumId w:val="24"/>
    <w:lvlOverride w:ilvl="0">
      <w:startOverride w:val="1"/>
    </w:lvlOverride>
  </w:num>
  <w:num w:numId="19">
    <w:abstractNumId w:val="24"/>
  </w:num>
  <w:num w:numId="20">
    <w:abstractNumId w:val="13"/>
  </w:num>
  <w:num w:numId="21">
    <w:abstractNumId w:val="27"/>
  </w:num>
  <w:num w:numId="22">
    <w:abstractNumId w:val="7"/>
  </w:num>
  <w:num w:numId="23">
    <w:abstractNumId w:val="14"/>
  </w:num>
  <w:num w:numId="24">
    <w:abstractNumId w:val="15"/>
  </w:num>
  <w:num w:numId="25">
    <w:abstractNumId w:val="4"/>
  </w:num>
  <w:num w:numId="26">
    <w:abstractNumId w:val="26"/>
  </w:num>
  <w:num w:numId="27">
    <w:abstractNumId w:val="3"/>
  </w:num>
  <w:num w:numId="28">
    <w:abstractNumId w:val="16"/>
  </w:num>
  <w:num w:numId="29">
    <w:abstractNumId w:val="22"/>
  </w:num>
  <w:num w:numId="30">
    <w:abstractNumId w:val="23"/>
  </w:num>
  <w:num w:numId="31">
    <w:abstractNumId w:val="6"/>
  </w:num>
  <w:num w:numId="32">
    <w:abstractNumId w:val="20"/>
  </w:num>
  <w:num w:numId="33">
    <w:abstractNumId w:val="31"/>
  </w:num>
  <w:num w:numId="34">
    <w:abstractNumId w:val="24"/>
  </w:num>
  <w:num w:numId="35">
    <w:abstractNumId w:val="13"/>
  </w:num>
  <w:num w:numId="36">
    <w:abstractNumId w:val="27"/>
  </w:num>
  <w:num w:numId="37">
    <w:abstractNumId w:val="7"/>
  </w:num>
  <w:num w:numId="38">
    <w:abstractNumId w:val="14"/>
  </w:num>
  <w:num w:numId="39">
    <w:abstractNumId w:val="15"/>
  </w:num>
  <w:num w:numId="40">
    <w:abstractNumId w:val="4"/>
  </w:num>
  <w:num w:numId="41">
    <w:abstractNumId w:val="26"/>
  </w:num>
  <w:num w:numId="42">
    <w:abstractNumId w:val="3"/>
  </w:num>
  <w:num w:numId="43">
    <w:abstractNumId w:val="16"/>
  </w:num>
  <w:num w:numId="44">
    <w:abstractNumId w:val="22"/>
  </w:num>
  <w:num w:numId="45">
    <w:abstractNumId w:val="23"/>
  </w:num>
  <w:num w:numId="46">
    <w:abstractNumId w:val="6"/>
  </w:num>
  <w:num w:numId="47">
    <w:abstractNumId w:val="20"/>
  </w:num>
  <w:num w:numId="48">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4-30 10:07:4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EPKit_DocumentHasBeenSaved" w:val="true"/>
    <w:docVar w:name="LW_CORRIGENDUM" w:val="&lt;UNUSED&gt;"/>
    <w:docVar w:name="LW_COVERPAGE_EXISTS" w:val="True"/>
    <w:docVar w:name="LW_COVERPAGE_GUID" w:val="ED1836C6-9DF4-49C1-957E-C62B86006488"/>
    <w:docVar w:name="LW_COVERPAGE_TYPE" w:val="1"/>
    <w:docVar w:name="LW_CreatedUtc" w:val="2025-03-12T07:50:45.9127408Z"/>
    <w:docVar w:name="LW_CROSSREFERENCE" w:val="&lt;UNUSED&gt;"/>
    <w:docVar w:name="LW_DocType" w:val="COM"/>
    <w:docVar w:name="LW_EMISSION" w:val="1.4.2025"/>
    <w:docVar w:name="LW_EMISSION_ISODATE" w:val="2025-04-01"/>
    <w:docVar w:name="LW_EMISSION_LOCATION" w:val="STR"/>
    <w:docVar w:name="LW_EMISSION_PREFIX" w:val="Straßburg,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84"/>
    <w:docVar w:name="LW_REF.II.NEW.CP_YEAR" w:val="2025"/>
    <w:docVar w:name="LW_REF.INST.NEW" w:val="COM"/>
    <w:docVar w:name="LW_REF.INST.NEW_ADOPTED" w:val="final"/>
    <w:docVar w:name="LW_REF.INST.NEW_TEXT" w:val="(2025)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en (EU) 2021/1058 und (EU) 2021/1056 in Bezug auf spezifische Maßnahmen zur Bewältigung strategischer Herausforderungen im Rahmen der Halbzeitüberprüfung"/>
    <w:docVar w:name="LW_TYPE.DOC.CP" w:val="VERORDNUNG DES EUROPÄISCHEN PARLAMENTS UND DES RATES"/>
    <w:docVar w:name="LwApiVersions" w:val="LW4CoDe 1.24.5.0; LW 9.0, Build 20240221"/>
  </w:docVars>
  <w:rsids>
    <w:rsidRoot w:val="000852D5"/>
    <w:rsid w:val="00000607"/>
    <w:rsid w:val="00001D33"/>
    <w:rsid w:val="00001E07"/>
    <w:rsid w:val="00002605"/>
    <w:rsid w:val="00002A9F"/>
    <w:rsid w:val="00002FA1"/>
    <w:rsid w:val="000031B2"/>
    <w:rsid w:val="00003490"/>
    <w:rsid w:val="000039C2"/>
    <w:rsid w:val="00003A40"/>
    <w:rsid w:val="00004B8E"/>
    <w:rsid w:val="00006943"/>
    <w:rsid w:val="00006FE3"/>
    <w:rsid w:val="00007482"/>
    <w:rsid w:val="0000754E"/>
    <w:rsid w:val="000078F6"/>
    <w:rsid w:val="0001089A"/>
    <w:rsid w:val="00011AA8"/>
    <w:rsid w:val="00012813"/>
    <w:rsid w:val="00012D8E"/>
    <w:rsid w:val="0001332A"/>
    <w:rsid w:val="0001347C"/>
    <w:rsid w:val="00013623"/>
    <w:rsid w:val="00013665"/>
    <w:rsid w:val="0001385B"/>
    <w:rsid w:val="000139BC"/>
    <w:rsid w:val="00013ED9"/>
    <w:rsid w:val="000142DB"/>
    <w:rsid w:val="00014613"/>
    <w:rsid w:val="00014F86"/>
    <w:rsid w:val="000153E2"/>
    <w:rsid w:val="00015873"/>
    <w:rsid w:val="00016BA1"/>
    <w:rsid w:val="00016C86"/>
    <w:rsid w:val="00016D6E"/>
    <w:rsid w:val="0001727E"/>
    <w:rsid w:val="000174DB"/>
    <w:rsid w:val="00017F77"/>
    <w:rsid w:val="0002011E"/>
    <w:rsid w:val="000212F4"/>
    <w:rsid w:val="00021305"/>
    <w:rsid w:val="00021906"/>
    <w:rsid w:val="00021B19"/>
    <w:rsid w:val="00023E1A"/>
    <w:rsid w:val="0002438D"/>
    <w:rsid w:val="00024CDF"/>
    <w:rsid w:val="000256C7"/>
    <w:rsid w:val="000258AE"/>
    <w:rsid w:val="000277FC"/>
    <w:rsid w:val="00027D8C"/>
    <w:rsid w:val="00027F2A"/>
    <w:rsid w:val="00027F81"/>
    <w:rsid w:val="00030D3A"/>
    <w:rsid w:val="00030E2D"/>
    <w:rsid w:val="00032A6C"/>
    <w:rsid w:val="00032AC3"/>
    <w:rsid w:val="00033F51"/>
    <w:rsid w:val="000349D5"/>
    <w:rsid w:val="00035320"/>
    <w:rsid w:val="0003636F"/>
    <w:rsid w:val="00036584"/>
    <w:rsid w:val="00036D53"/>
    <w:rsid w:val="00037033"/>
    <w:rsid w:val="000373A1"/>
    <w:rsid w:val="00037D9D"/>
    <w:rsid w:val="00040039"/>
    <w:rsid w:val="00040786"/>
    <w:rsid w:val="00040D51"/>
    <w:rsid w:val="0004107F"/>
    <w:rsid w:val="00041485"/>
    <w:rsid w:val="00041550"/>
    <w:rsid w:val="00043036"/>
    <w:rsid w:val="0004343C"/>
    <w:rsid w:val="00043EE1"/>
    <w:rsid w:val="000443DD"/>
    <w:rsid w:val="00044414"/>
    <w:rsid w:val="00044E4D"/>
    <w:rsid w:val="0004628F"/>
    <w:rsid w:val="000467F4"/>
    <w:rsid w:val="00046848"/>
    <w:rsid w:val="00047D87"/>
    <w:rsid w:val="000517E5"/>
    <w:rsid w:val="000518E5"/>
    <w:rsid w:val="000526A6"/>
    <w:rsid w:val="00052C16"/>
    <w:rsid w:val="00052C1C"/>
    <w:rsid w:val="00052D96"/>
    <w:rsid w:val="000541CD"/>
    <w:rsid w:val="000544E6"/>
    <w:rsid w:val="00054FF3"/>
    <w:rsid w:val="00055598"/>
    <w:rsid w:val="00055873"/>
    <w:rsid w:val="00060144"/>
    <w:rsid w:val="00060A71"/>
    <w:rsid w:val="00060F9A"/>
    <w:rsid w:val="000614DE"/>
    <w:rsid w:val="00061925"/>
    <w:rsid w:val="00061B7D"/>
    <w:rsid w:val="00061D69"/>
    <w:rsid w:val="000626AC"/>
    <w:rsid w:val="00062DEF"/>
    <w:rsid w:val="000635E9"/>
    <w:rsid w:val="00063A3E"/>
    <w:rsid w:val="00064069"/>
    <w:rsid w:val="00064234"/>
    <w:rsid w:val="00064485"/>
    <w:rsid w:val="0006518C"/>
    <w:rsid w:val="000659E6"/>
    <w:rsid w:val="00065F58"/>
    <w:rsid w:val="0006603C"/>
    <w:rsid w:val="000669D2"/>
    <w:rsid w:val="000673F7"/>
    <w:rsid w:val="000718E7"/>
    <w:rsid w:val="0007229F"/>
    <w:rsid w:val="00072BB9"/>
    <w:rsid w:val="00073068"/>
    <w:rsid w:val="00073A7D"/>
    <w:rsid w:val="00073DF6"/>
    <w:rsid w:val="0007429F"/>
    <w:rsid w:val="00074B09"/>
    <w:rsid w:val="00075A19"/>
    <w:rsid w:val="00075C40"/>
    <w:rsid w:val="00076962"/>
    <w:rsid w:val="00076A45"/>
    <w:rsid w:val="00077360"/>
    <w:rsid w:val="000774D6"/>
    <w:rsid w:val="000808A2"/>
    <w:rsid w:val="000808F9"/>
    <w:rsid w:val="000817D3"/>
    <w:rsid w:val="000821BB"/>
    <w:rsid w:val="00082566"/>
    <w:rsid w:val="000848A7"/>
    <w:rsid w:val="000852D5"/>
    <w:rsid w:val="00085F57"/>
    <w:rsid w:val="000861FA"/>
    <w:rsid w:val="0008689F"/>
    <w:rsid w:val="00086F1B"/>
    <w:rsid w:val="000874AA"/>
    <w:rsid w:val="00087AC9"/>
    <w:rsid w:val="00090645"/>
    <w:rsid w:val="000912EE"/>
    <w:rsid w:val="00091321"/>
    <w:rsid w:val="00091F92"/>
    <w:rsid w:val="00092134"/>
    <w:rsid w:val="000924F4"/>
    <w:rsid w:val="00092D39"/>
    <w:rsid w:val="00093870"/>
    <w:rsid w:val="00093E9D"/>
    <w:rsid w:val="000959EB"/>
    <w:rsid w:val="00096187"/>
    <w:rsid w:val="000967A7"/>
    <w:rsid w:val="00096ED5"/>
    <w:rsid w:val="000A0867"/>
    <w:rsid w:val="000A0998"/>
    <w:rsid w:val="000A0A6A"/>
    <w:rsid w:val="000A1E0E"/>
    <w:rsid w:val="000A2840"/>
    <w:rsid w:val="000A2C75"/>
    <w:rsid w:val="000A2D0C"/>
    <w:rsid w:val="000A49B7"/>
    <w:rsid w:val="000A4AC9"/>
    <w:rsid w:val="000A513C"/>
    <w:rsid w:val="000A5C83"/>
    <w:rsid w:val="000A69AB"/>
    <w:rsid w:val="000A71DE"/>
    <w:rsid w:val="000A78E9"/>
    <w:rsid w:val="000B0828"/>
    <w:rsid w:val="000B085F"/>
    <w:rsid w:val="000B1089"/>
    <w:rsid w:val="000B1372"/>
    <w:rsid w:val="000B1A30"/>
    <w:rsid w:val="000B2375"/>
    <w:rsid w:val="000B268B"/>
    <w:rsid w:val="000B2E8F"/>
    <w:rsid w:val="000B32CE"/>
    <w:rsid w:val="000B52F8"/>
    <w:rsid w:val="000B5E06"/>
    <w:rsid w:val="000B6698"/>
    <w:rsid w:val="000B6B8C"/>
    <w:rsid w:val="000B6DBB"/>
    <w:rsid w:val="000B7D90"/>
    <w:rsid w:val="000B7F6C"/>
    <w:rsid w:val="000C0511"/>
    <w:rsid w:val="000C0C94"/>
    <w:rsid w:val="000C0DCF"/>
    <w:rsid w:val="000C1588"/>
    <w:rsid w:val="000C250C"/>
    <w:rsid w:val="000C370F"/>
    <w:rsid w:val="000C41B1"/>
    <w:rsid w:val="000C45E0"/>
    <w:rsid w:val="000C467C"/>
    <w:rsid w:val="000C62F7"/>
    <w:rsid w:val="000C6584"/>
    <w:rsid w:val="000C6F46"/>
    <w:rsid w:val="000C7264"/>
    <w:rsid w:val="000C75A6"/>
    <w:rsid w:val="000C7902"/>
    <w:rsid w:val="000C79AB"/>
    <w:rsid w:val="000C7F05"/>
    <w:rsid w:val="000D1FE7"/>
    <w:rsid w:val="000D4586"/>
    <w:rsid w:val="000D488B"/>
    <w:rsid w:val="000D4F0F"/>
    <w:rsid w:val="000D5360"/>
    <w:rsid w:val="000D5B8C"/>
    <w:rsid w:val="000D6138"/>
    <w:rsid w:val="000D6644"/>
    <w:rsid w:val="000D6862"/>
    <w:rsid w:val="000D715E"/>
    <w:rsid w:val="000D75D5"/>
    <w:rsid w:val="000D7999"/>
    <w:rsid w:val="000D7B3C"/>
    <w:rsid w:val="000D7C4C"/>
    <w:rsid w:val="000E0103"/>
    <w:rsid w:val="000E03EF"/>
    <w:rsid w:val="000E0496"/>
    <w:rsid w:val="000E07C4"/>
    <w:rsid w:val="000E0947"/>
    <w:rsid w:val="000E0E0F"/>
    <w:rsid w:val="000E192B"/>
    <w:rsid w:val="000E1DF8"/>
    <w:rsid w:val="000E25B4"/>
    <w:rsid w:val="000E3456"/>
    <w:rsid w:val="000E365B"/>
    <w:rsid w:val="000E36C0"/>
    <w:rsid w:val="000E3A1B"/>
    <w:rsid w:val="000E3C8F"/>
    <w:rsid w:val="000E4102"/>
    <w:rsid w:val="000E42F9"/>
    <w:rsid w:val="000E49B7"/>
    <w:rsid w:val="000E54BB"/>
    <w:rsid w:val="000E7027"/>
    <w:rsid w:val="000E7183"/>
    <w:rsid w:val="000E7561"/>
    <w:rsid w:val="000F01B4"/>
    <w:rsid w:val="000F03D2"/>
    <w:rsid w:val="000F2ED0"/>
    <w:rsid w:val="000F376A"/>
    <w:rsid w:val="000F40B9"/>
    <w:rsid w:val="00100C5B"/>
    <w:rsid w:val="00100D26"/>
    <w:rsid w:val="00101A17"/>
    <w:rsid w:val="00101D9A"/>
    <w:rsid w:val="00102FF4"/>
    <w:rsid w:val="001031B6"/>
    <w:rsid w:val="00103228"/>
    <w:rsid w:val="001036F5"/>
    <w:rsid w:val="00103909"/>
    <w:rsid w:val="00103B2F"/>
    <w:rsid w:val="00104E6C"/>
    <w:rsid w:val="001054AC"/>
    <w:rsid w:val="00105EE3"/>
    <w:rsid w:val="001065F5"/>
    <w:rsid w:val="0010674B"/>
    <w:rsid w:val="0010784E"/>
    <w:rsid w:val="00107B56"/>
    <w:rsid w:val="00110674"/>
    <w:rsid w:val="00110B04"/>
    <w:rsid w:val="00110D83"/>
    <w:rsid w:val="00111CEE"/>
    <w:rsid w:val="001127EF"/>
    <w:rsid w:val="00112847"/>
    <w:rsid w:val="00112AF0"/>
    <w:rsid w:val="00112C76"/>
    <w:rsid w:val="00112C97"/>
    <w:rsid w:val="00113793"/>
    <w:rsid w:val="00113BEE"/>
    <w:rsid w:val="001141DE"/>
    <w:rsid w:val="00114B91"/>
    <w:rsid w:val="00115374"/>
    <w:rsid w:val="00115660"/>
    <w:rsid w:val="0011580C"/>
    <w:rsid w:val="00116635"/>
    <w:rsid w:val="001179E4"/>
    <w:rsid w:val="00117F2F"/>
    <w:rsid w:val="0011AEF5"/>
    <w:rsid w:val="00120899"/>
    <w:rsid w:val="00120960"/>
    <w:rsid w:val="00120A4A"/>
    <w:rsid w:val="00120B18"/>
    <w:rsid w:val="00121459"/>
    <w:rsid w:val="00121AE5"/>
    <w:rsid w:val="00121E46"/>
    <w:rsid w:val="00123577"/>
    <w:rsid w:val="001238A2"/>
    <w:rsid w:val="001238EF"/>
    <w:rsid w:val="001245E3"/>
    <w:rsid w:val="00125620"/>
    <w:rsid w:val="001259DB"/>
    <w:rsid w:val="00126E06"/>
    <w:rsid w:val="00127938"/>
    <w:rsid w:val="001301D4"/>
    <w:rsid w:val="00130F9B"/>
    <w:rsid w:val="00132B0C"/>
    <w:rsid w:val="00133B2F"/>
    <w:rsid w:val="00134644"/>
    <w:rsid w:val="001347F0"/>
    <w:rsid w:val="00135808"/>
    <w:rsid w:val="00136B2C"/>
    <w:rsid w:val="00137411"/>
    <w:rsid w:val="0013A634"/>
    <w:rsid w:val="0014040E"/>
    <w:rsid w:val="0014172E"/>
    <w:rsid w:val="00143529"/>
    <w:rsid w:val="00143E50"/>
    <w:rsid w:val="001448E9"/>
    <w:rsid w:val="00144989"/>
    <w:rsid w:val="00144C9F"/>
    <w:rsid w:val="00145FCD"/>
    <w:rsid w:val="00147708"/>
    <w:rsid w:val="00150034"/>
    <w:rsid w:val="001504E4"/>
    <w:rsid w:val="00150883"/>
    <w:rsid w:val="00150A54"/>
    <w:rsid w:val="00150DF5"/>
    <w:rsid w:val="00151148"/>
    <w:rsid w:val="00151318"/>
    <w:rsid w:val="001514A5"/>
    <w:rsid w:val="00151609"/>
    <w:rsid w:val="00151B47"/>
    <w:rsid w:val="0015234D"/>
    <w:rsid w:val="00152364"/>
    <w:rsid w:val="00153475"/>
    <w:rsid w:val="00153C61"/>
    <w:rsid w:val="00153FAC"/>
    <w:rsid w:val="00154051"/>
    <w:rsid w:val="001548DA"/>
    <w:rsid w:val="00155FB9"/>
    <w:rsid w:val="00156008"/>
    <w:rsid w:val="001565D0"/>
    <w:rsid w:val="00156CAD"/>
    <w:rsid w:val="0016073A"/>
    <w:rsid w:val="001607D6"/>
    <w:rsid w:val="0016101C"/>
    <w:rsid w:val="00161829"/>
    <w:rsid w:val="00161F15"/>
    <w:rsid w:val="00162850"/>
    <w:rsid w:val="0016313B"/>
    <w:rsid w:val="001633A8"/>
    <w:rsid w:val="001646C9"/>
    <w:rsid w:val="00164ED0"/>
    <w:rsid w:val="0016553F"/>
    <w:rsid w:val="001655E7"/>
    <w:rsid w:val="001659A8"/>
    <w:rsid w:val="00165F1F"/>
    <w:rsid w:val="00166762"/>
    <w:rsid w:val="00166892"/>
    <w:rsid w:val="00166A94"/>
    <w:rsid w:val="00166B10"/>
    <w:rsid w:val="00167C94"/>
    <w:rsid w:val="00167EFF"/>
    <w:rsid w:val="00167F5C"/>
    <w:rsid w:val="0017016F"/>
    <w:rsid w:val="001705AB"/>
    <w:rsid w:val="0017085D"/>
    <w:rsid w:val="00170AF9"/>
    <w:rsid w:val="0017137F"/>
    <w:rsid w:val="00173506"/>
    <w:rsid w:val="00173628"/>
    <w:rsid w:val="00174156"/>
    <w:rsid w:val="001751BD"/>
    <w:rsid w:val="0017526C"/>
    <w:rsid w:val="00175C8B"/>
    <w:rsid w:val="00176539"/>
    <w:rsid w:val="00176A98"/>
    <w:rsid w:val="00177EA8"/>
    <w:rsid w:val="00177F91"/>
    <w:rsid w:val="0018070E"/>
    <w:rsid w:val="00180AEC"/>
    <w:rsid w:val="001816D7"/>
    <w:rsid w:val="001818DA"/>
    <w:rsid w:val="001824CC"/>
    <w:rsid w:val="001825B5"/>
    <w:rsid w:val="001825CE"/>
    <w:rsid w:val="00183A9E"/>
    <w:rsid w:val="001843CA"/>
    <w:rsid w:val="001845DB"/>
    <w:rsid w:val="00184F45"/>
    <w:rsid w:val="00190071"/>
    <w:rsid w:val="001900EE"/>
    <w:rsid w:val="001907D9"/>
    <w:rsid w:val="001912B5"/>
    <w:rsid w:val="00192517"/>
    <w:rsid w:val="001925B1"/>
    <w:rsid w:val="00192995"/>
    <w:rsid w:val="00192B1A"/>
    <w:rsid w:val="00192F48"/>
    <w:rsid w:val="00192F8F"/>
    <w:rsid w:val="00193083"/>
    <w:rsid w:val="001938CF"/>
    <w:rsid w:val="00193A8B"/>
    <w:rsid w:val="00193E64"/>
    <w:rsid w:val="001940CE"/>
    <w:rsid w:val="00194399"/>
    <w:rsid w:val="00194479"/>
    <w:rsid w:val="00194A7E"/>
    <w:rsid w:val="00194B1C"/>
    <w:rsid w:val="00194D75"/>
    <w:rsid w:val="00195A44"/>
    <w:rsid w:val="0019740E"/>
    <w:rsid w:val="00197613"/>
    <w:rsid w:val="00197BC1"/>
    <w:rsid w:val="001A0915"/>
    <w:rsid w:val="001A0D59"/>
    <w:rsid w:val="001A0FE3"/>
    <w:rsid w:val="001A2313"/>
    <w:rsid w:val="001A2493"/>
    <w:rsid w:val="001A257C"/>
    <w:rsid w:val="001A25EC"/>
    <w:rsid w:val="001A333A"/>
    <w:rsid w:val="001A3BBE"/>
    <w:rsid w:val="001A3FB9"/>
    <w:rsid w:val="001A6653"/>
    <w:rsid w:val="001A6872"/>
    <w:rsid w:val="001A71A9"/>
    <w:rsid w:val="001A7A90"/>
    <w:rsid w:val="001B1DF0"/>
    <w:rsid w:val="001B20B8"/>
    <w:rsid w:val="001B2888"/>
    <w:rsid w:val="001B2C4E"/>
    <w:rsid w:val="001B35D8"/>
    <w:rsid w:val="001B3A34"/>
    <w:rsid w:val="001B3FA3"/>
    <w:rsid w:val="001B4049"/>
    <w:rsid w:val="001B46D0"/>
    <w:rsid w:val="001B489F"/>
    <w:rsid w:val="001B67AC"/>
    <w:rsid w:val="001B6C6C"/>
    <w:rsid w:val="001B7593"/>
    <w:rsid w:val="001B7622"/>
    <w:rsid w:val="001B786D"/>
    <w:rsid w:val="001C0159"/>
    <w:rsid w:val="001C0263"/>
    <w:rsid w:val="001C0496"/>
    <w:rsid w:val="001C13C0"/>
    <w:rsid w:val="001C1B4D"/>
    <w:rsid w:val="001C1C88"/>
    <w:rsid w:val="001C3C95"/>
    <w:rsid w:val="001C4774"/>
    <w:rsid w:val="001C47F8"/>
    <w:rsid w:val="001C49F9"/>
    <w:rsid w:val="001C5518"/>
    <w:rsid w:val="001C5CFD"/>
    <w:rsid w:val="001C68F4"/>
    <w:rsid w:val="001C71B4"/>
    <w:rsid w:val="001C7701"/>
    <w:rsid w:val="001C78AC"/>
    <w:rsid w:val="001D0CDD"/>
    <w:rsid w:val="001D14DA"/>
    <w:rsid w:val="001D186F"/>
    <w:rsid w:val="001D1950"/>
    <w:rsid w:val="001D1D83"/>
    <w:rsid w:val="001D1E9B"/>
    <w:rsid w:val="001D2390"/>
    <w:rsid w:val="001D32E6"/>
    <w:rsid w:val="001D3BC5"/>
    <w:rsid w:val="001D3C17"/>
    <w:rsid w:val="001D4374"/>
    <w:rsid w:val="001D451E"/>
    <w:rsid w:val="001D4C91"/>
    <w:rsid w:val="001D4CB0"/>
    <w:rsid w:val="001D5252"/>
    <w:rsid w:val="001D531A"/>
    <w:rsid w:val="001D57B4"/>
    <w:rsid w:val="001D5D32"/>
    <w:rsid w:val="001D6095"/>
    <w:rsid w:val="001D64BE"/>
    <w:rsid w:val="001D6D56"/>
    <w:rsid w:val="001E04BD"/>
    <w:rsid w:val="001E0E3F"/>
    <w:rsid w:val="001E1FCB"/>
    <w:rsid w:val="001E2609"/>
    <w:rsid w:val="001E2C3B"/>
    <w:rsid w:val="001E3513"/>
    <w:rsid w:val="001E46F2"/>
    <w:rsid w:val="001E5FA0"/>
    <w:rsid w:val="001E6740"/>
    <w:rsid w:val="001E682B"/>
    <w:rsid w:val="001E7380"/>
    <w:rsid w:val="001F044D"/>
    <w:rsid w:val="001F17F0"/>
    <w:rsid w:val="001F22D3"/>
    <w:rsid w:val="001F342A"/>
    <w:rsid w:val="001F3869"/>
    <w:rsid w:val="001F4536"/>
    <w:rsid w:val="001F5D38"/>
    <w:rsid w:val="001F6023"/>
    <w:rsid w:val="001F6C05"/>
    <w:rsid w:val="001F6EA5"/>
    <w:rsid w:val="001F7DF4"/>
    <w:rsid w:val="00201DC1"/>
    <w:rsid w:val="0020232A"/>
    <w:rsid w:val="002027EF"/>
    <w:rsid w:val="00202D3C"/>
    <w:rsid w:val="00202F2D"/>
    <w:rsid w:val="002037B2"/>
    <w:rsid w:val="00203914"/>
    <w:rsid w:val="00203F56"/>
    <w:rsid w:val="00204514"/>
    <w:rsid w:val="00204E65"/>
    <w:rsid w:val="002062B0"/>
    <w:rsid w:val="00206C58"/>
    <w:rsid w:val="00207EB0"/>
    <w:rsid w:val="00210DD3"/>
    <w:rsid w:val="00210EA6"/>
    <w:rsid w:val="00211730"/>
    <w:rsid w:val="00211E79"/>
    <w:rsid w:val="00212AE4"/>
    <w:rsid w:val="00213748"/>
    <w:rsid w:val="0021379F"/>
    <w:rsid w:val="00213926"/>
    <w:rsid w:val="00213F2E"/>
    <w:rsid w:val="0021470B"/>
    <w:rsid w:val="00214775"/>
    <w:rsid w:val="002149AB"/>
    <w:rsid w:val="00214D09"/>
    <w:rsid w:val="0021508C"/>
    <w:rsid w:val="00215F6A"/>
    <w:rsid w:val="00216845"/>
    <w:rsid w:val="00220C28"/>
    <w:rsid w:val="00221129"/>
    <w:rsid w:val="002219EA"/>
    <w:rsid w:val="00222896"/>
    <w:rsid w:val="00222F80"/>
    <w:rsid w:val="0022339C"/>
    <w:rsid w:val="00224479"/>
    <w:rsid w:val="00224C2B"/>
    <w:rsid w:val="00224F88"/>
    <w:rsid w:val="00225702"/>
    <w:rsid w:val="00225799"/>
    <w:rsid w:val="002258CF"/>
    <w:rsid w:val="00225928"/>
    <w:rsid w:val="00225CD6"/>
    <w:rsid w:val="0022647F"/>
    <w:rsid w:val="002265E4"/>
    <w:rsid w:val="00226E16"/>
    <w:rsid w:val="00227848"/>
    <w:rsid w:val="00230C55"/>
    <w:rsid w:val="00230D13"/>
    <w:rsid w:val="0023102A"/>
    <w:rsid w:val="00231CF0"/>
    <w:rsid w:val="00233602"/>
    <w:rsid w:val="00233DC7"/>
    <w:rsid w:val="00234C7B"/>
    <w:rsid w:val="00235526"/>
    <w:rsid w:val="00235D0A"/>
    <w:rsid w:val="002365AF"/>
    <w:rsid w:val="00236A79"/>
    <w:rsid w:val="002372C8"/>
    <w:rsid w:val="002410A0"/>
    <w:rsid w:val="0024214D"/>
    <w:rsid w:val="00242B38"/>
    <w:rsid w:val="002449D6"/>
    <w:rsid w:val="00244F37"/>
    <w:rsid w:val="00246AAC"/>
    <w:rsid w:val="00246E2C"/>
    <w:rsid w:val="00246F52"/>
    <w:rsid w:val="00247152"/>
    <w:rsid w:val="00247779"/>
    <w:rsid w:val="00247A7B"/>
    <w:rsid w:val="0025052C"/>
    <w:rsid w:val="002506B8"/>
    <w:rsid w:val="00250BC8"/>
    <w:rsid w:val="002518F4"/>
    <w:rsid w:val="00252EF8"/>
    <w:rsid w:val="00254898"/>
    <w:rsid w:val="00254987"/>
    <w:rsid w:val="00254B72"/>
    <w:rsid w:val="002553E4"/>
    <w:rsid w:val="0025563B"/>
    <w:rsid w:val="00256027"/>
    <w:rsid w:val="00256039"/>
    <w:rsid w:val="002572CC"/>
    <w:rsid w:val="0025749B"/>
    <w:rsid w:val="00261AD4"/>
    <w:rsid w:val="00262E62"/>
    <w:rsid w:val="00262F92"/>
    <w:rsid w:val="00263612"/>
    <w:rsid w:val="00263AD9"/>
    <w:rsid w:val="002652EB"/>
    <w:rsid w:val="00265ECE"/>
    <w:rsid w:val="00266352"/>
    <w:rsid w:val="002670E4"/>
    <w:rsid w:val="00267305"/>
    <w:rsid w:val="00267750"/>
    <w:rsid w:val="00267B78"/>
    <w:rsid w:val="00268263"/>
    <w:rsid w:val="002706F2"/>
    <w:rsid w:val="00270C51"/>
    <w:rsid w:val="00271480"/>
    <w:rsid w:val="002715F3"/>
    <w:rsid w:val="002719BC"/>
    <w:rsid w:val="00272666"/>
    <w:rsid w:val="00272E70"/>
    <w:rsid w:val="0027327E"/>
    <w:rsid w:val="00273BF0"/>
    <w:rsid w:val="00273F32"/>
    <w:rsid w:val="00275464"/>
    <w:rsid w:val="00276A87"/>
    <w:rsid w:val="00277502"/>
    <w:rsid w:val="0028005E"/>
    <w:rsid w:val="00282879"/>
    <w:rsid w:val="002829F9"/>
    <w:rsid w:val="00282C31"/>
    <w:rsid w:val="00282D7C"/>
    <w:rsid w:val="00283037"/>
    <w:rsid w:val="00283686"/>
    <w:rsid w:val="00283CFE"/>
    <w:rsid w:val="00283EC8"/>
    <w:rsid w:val="002843B3"/>
    <w:rsid w:val="00284832"/>
    <w:rsid w:val="00284FA0"/>
    <w:rsid w:val="00285350"/>
    <w:rsid w:val="00285B8D"/>
    <w:rsid w:val="00285BEE"/>
    <w:rsid w:val="0028738F"/>
    <w:rsid w:val="00287465"/>
    <w:rsid w:val="0028756E"/>
    <w:rsid w:val="002878BA"/>
    <w:rsid w:val="00287E69"/>
    <w:rsid w:val="00290316"/>
    <w:rsid w:val="002908B9"/>
    <w:rsid w:val="0029137E"/>
    <w:rsid w:val="00291FC5"/>
    <w:rsid w:val="002932BB"/>
    <w:rsid w:val="0029374D"/>
    <w:rsid w:val="00294EB9"/>
    <w:rsid w:val="0029528F"/>
    <w:rsid w:val="0029533F"/>
    <w:rsid w:val="0029692B"/>
    <w:rsid w:val="00296949"/>
    <w:rsid w:val="00296F9E"/>
    <w:rsid w:val="002A0005"/>
    <w:rsid w:val="002A173C"/>
    <w:rsid w:val="002A17FC"/>
    <w:rsid w:val="002A1B90"/>
    <w:rsid w:val="002A2140"/>
    <w:rsid w:val="002A4880"/>
    <w:rsid w:val="002A4EDC"/>
    <w:rsid w:val="002A52C0"/>
    <w:rsid w:val="002A5C71"/>
    <w:rsid w:val="002A6B75"/>
    <w:rsid w:val="002A6C29"/>
    <w:rsid w:val="002A6E50"/>
    <w:rsid w:val="002A71DD"/>
    <w:rsid w:val="002A7262"/>
    <w:rsid w:val="002A7D49"/>
    <w:rsid w:val="002B019F"/>
    <w:rsid w:val="002B050C"/>
    <w:rsid w:val="002B08E5"/>
    <w:rsid w:val="002B0BC5"/>
    <w:rsid w:val="002B0E96"/>
    <w:rsid w:val="002B2261"/>
    <w:rsid w:val="002B27F2"/>
    <w:rsid w:val="002B2D52"/>
    <w:rsid w:val="002B30AF"/>
    <w:rsid w:val="002B3490"/>
    <w:rsid w:val="002B3C65"/>
    <w:rsid w:val="002B4678"/>
    <w:rsid w:val="002B4BB7"/>
    <w:rsid w:val="002B4CFC"/>
    <w:rsid w:val="002B54E6"/>
    <w:rsid w:val="002B6A31"/>
    <w:rsid w:val="002B719C"/>
    <w:rsid w:val="002C00A4"/>
    <w:rsid w:val="002C054F"/>
    <w:rsid w:val="002C0970"/>
    <w:rsid w:val="002C1299"/>
    <w:rsid w:val="002C1699"/>
    <w:rsid w:val="002C2529"/>
    <w:rsid w:val="002C253A"/>
    <w:rsid w:val="002C2693"/>
    <w:rsid w:val="002C3311"/>
    <w:rsid w:val="002C3515"/>
    <w:rsid w:val="002C3568"/>
    <w:rsid w:val="002C3ADC"/>
    <w:rsid w:val="002C3CF9"/>
    <w:rsid w:val="002C3E6C"/>
    <w:rsid w:val="002C4BE8"/>
    <w:rsid w:val="002C4CAE"/>
    <w:rsid w:val="002C4D9C"/>
    <w:rsid w:val="002C4E00"/>
    <w:rsid w:val="002D05E4"/>
    <w:rsid w:val="002D0747"/>
    <w:rsid w:val="002D0B57"/>
    <w:rsid w:val="002D0C16"/>
    <w:rsid w:val="002D207B"/>
    <w:rsid w:val="002D26B2"/>
    <w:rsid w:val="002D37EC"/>
    <w:rsid w:val="002D4801"/>
    <w:rsid w:val="002D4910"/>
    <w:rsid w:val="002D4B58"/>
    <w:rsid w:val="002D4E6D"/>
    <w:rsid w:val="002D4F7A"/>
    <w:rsid w:val="002D5ADB"/>
    <w:rsid w:val="002D6592"/>
    <w:rsid w:val="002D79FC"/>
    <w:rsid w:val="002E185D"/>
    <w:rsid w:val="002E1BA0"/>
    <w:rsid w:val="002E1EC5"/>
    <w:rsid w:val="002E2608"/>
    <w:rsid w:val="002E2694"/>
    <w:rsid w:val="002E2B3A"/>
    <w:rsid w:val="002E2C2C"/>
    <w:rsid w:val="002E2C8D"/>
    <w:rsid w:val="002E32F0"/>
    <w:rsid w:val="002E33D7"/>
    <w:rsid w:val="002E4906"/>
    <w:rsid w:val="002E4CD3"/>
    <w:rsid w:val="002E4E53"/>
    <w:rsid w:val="002E581D"/>
    <w:rsid w:val="002E64D0"/>
    <w:rsid w:val="002E7728"/>
    <w:rsid w:val="002E7824"/>
    <w:rsid w:val="002E7BE9"/>
    <w:rsid w:val="002F0582"/>
    <w:rsid w:val="002F13CA"/>
    <w:rsid w:val="002F14B2"/>
    <w:rsid w:val="002F17B6"/>
    <w:rsid w:val="002F1B5C"/>
    <w:rsid w:val="002F21AC"/>
    <w:rsid w:val="002F3402"/>
    <w:rsid w:val="002F3E9F"/>
    <w:rsid w:val="002F447D"/>
    <w:rsid w:val="002F482E"/>
    <w:rsid w:val="002F4997"/>
    <w:rsid w:val="002F4B73"/>
    <w:rsid w:val="002F6E3B"/>
    <w:rsid w:val="002F7C41"/>
    <w:rsid w:val="003006AC"/>
    <w:rsid w:val="00300A4E"/>
    <w:rsid w:val="00301CD8"/>
    <w:rsid w:val="00302483"/>
    <w:rsid w:val="00302EAA"/>
    <w:rsid w:val="00303585"/>
    <w:rsid w:val="00303689"/>
    <w:rsid w:val="003037AC"/>
    <w:rsid w:val="00303A26"/>
    <w:rsid w:val="00303D64"/>
    <w:rsid w:val="003043E1"/>
    <w:rsid w:val="0030479D"/>
    <w:rsid w:val="00304AB1"/>
    <w:rsid w:val="00305076"/>
    <w:rsid w:val="00305392"/>
    <w:rsid w:val="003053A0"/>
    <w:rsid w:val="003054DA"/>
    <w:rsid w:val="00305787"/>
    <w:rsid w:val="0030691E"/>
    <w:rsid w:val="00306971"/>
    <w:rsid w:val="003070CD"/>
    <w:rsid w:val="00307214"/>
    <w:rsid w:val="003074BB"/>
    <w:rsid w:val="003100E7"/>
    <w:rsid w:val="0031123E"/>
    <w:rsid w:val="003114ED"/>
    <w:rsid w:val="003119C8"/>
    <w:rsid w:val="00311E53"/>
    <w:rsid w:val="00312126"/>
    <w:rsid w:val="00312495"/>
    <w:rsid w:val="003127B0"/>
    <w:rsid w:val="003135CF"/>
    <w:rsid w:val="00314364"/>
    <w:rsid w:val="0031459E"/>
    <w:rsid w:val="00321488"/>
    <w:rsid w:val="00321DB0"/>
    <w:rsid w:val="00321F51"/>
    <w:rsid w:val="003221DD"/>
    <w:rsid w:val="0032250E"/>
    <w:rsid w:val="0032263A"/>
    <w:rsid w:val="003230C2"/>
    <w:rsid w:val="003232C8"/>
    <w:rsid w:val="00324945"/>
    <w:rsid w:val="00324980"/>
    <w:rsid w:val="003253A5"/>
    <w:rsid w:val="0032574F"/>
    <w:rsid w:val="00325F5F"/>
    <w:rsid w:val="00326993"/>
    <w:rsid w:val="00326A5C"/>
    <w:rsid w:val="0033012F"/>
    <w:rsid w:val="00330729"/>
    <w:rsid w:val="00330CA2"/>
    <w:rsid w:val="0033117C"/>
    <w:rsid w:val="003319E8"/>
    <w:rsid w:val="003326AE"/>
    <w:rsid w:val="00332914"/>
    <w:rsid w:val="00332D56"/>
    <w:rsid w:val="0033344A"/>
    <w:rsid w:val="00333568"/>
    <w:rsid w:val="00333BE9"/>
    <w:rsid w:val="00334A2F"/>
    <w:rsid w:val="00335C8B"/>
    <w:rsid w:val="003360E3"/>
    <w:rsid w:val="003364AC"/>
    <w:rsid w:val="00336E9C"/>
    <w:rsid w:val="0033764D"/>
    <w:rsid w:val="00337BA1"/>
    <w:rsid w:val="00337C85"/>
    <w:rsid w:val="00337F33"/>
    <w:rsid w:val="00340CAD"/>
    <w:rsid w:val="00341232"/>
    <w:rsid w:val="00341908"/>
    <w:rsid w:val="00342A3B"/>
    <w:rsid w:val="00344215"/>
    <w:rsid w:val="00344308"/>
    <w:rsid w:val="003444BB"/>
    <w:rsid w:val="00344576"/>
    <w:rsid w:val="00344A2B"/>
    <w:rsid w:val="00345087"/>
    <w:rsid w:val="00345E04"/>
    <w:rsid w:val="00346014"/>
    <w:rsid w:val="00347918"/>
    <w:rsid w:val="0035015D"/>
    <w:rsid w:val="0035042A"/>
    <w:rsid w:val="00350A29"/>
    <w:rsid w:val="00350DC3"/>
    <w:rsid w:val="00351889"/>
    <w:rsid w:val="00352661"/>
    <w:rsid w:val="0035420D"/>
    <w:rsid w:val="0035433E"/>
    <w:rsid w:val="00355566"/>
    <w:rsid w:val="00355F49"/>
    <w:rsid w:val="00356179"/>
    <w:rsid w:val="00356485"/>
    <w:rsid w:val="00356628"/>
    <w:rsid w:val="00356F0D"/>
    <w:rsid w:val="003574E7"/>
    <w:rsid w:val="003577AC"/>
    <w:rsid w:val="00361449"/>
    <w:rsid w:val="00361D05"/>
    <w:rsid w:val="00363ECA"/>
    <w:rsid w:val="003658A7"/>
    <w:rsid w:val="00365AD8"/>
    <w:rsid w:val="00365B87"/>
    <w:rsid w:val="0036610D"/>
    <w:rsid w:val="00366974"/>
    <w:rsid w:val="00367894"/>
    <w:rsid w:val="0037159D"/>
    <w:rsid w:val="003725D6"/>
    <w:rsid w:val="00373C16"/>
    <w:rsid w:val="003745AC"/>
    <w:rsid w:val="00374835"/>
    <w:rsid w:val="00374AB6"/>
    <w:rsid w:val="00374B7B"/>
    <w:rsid w:val="00374FE5"/>
    <w:rsid w:val="00377EC2"/>
    <w:rsid w:val="00377FE8"/>
    <w:rsid w:val="003807F9"/>
    <w:rsid w:val="00380E9C"/>
    <w:rsid w:val="003811FC"/>
    <w:rsid w:val="00381415"/>
    <w:rsid w:val="00381CE0"/>
    <w:rsid w:val="00381DAB"/>
    <w:rsid w:val="003824FF"/>
    <w:rsid w:val="00382860"/>
    <w:rsid w:val="00383723"/>
    <w:rsid w:val="003838E9"/>
    <w:rsid w:val="00383D68"/>
    <w:rsid w:val="00384D88"/>
    <w:rsid w:val="003850D6"/>
    <w:rsid w:val="00385379"/>
    <w:rsid w:val="003853D4"/>
    <w:rsid w:val="00385A70"/>
    <w:rsid w:val="00385A96"/>
    <w:rsid w:val="00385D1E"/>
    <w:rsid w:val="00386160"/>
    <w:rsid w:val="00390C6B"/>
    <w:rsid w:val="00391462"/>
    <w:rsid w:val="00391701"/>
    <w:rsid w:val="0039190D"/>
    <w:rsid w:val="00391B94"/>
    <w:rsid w:val="003931ED"/>
    <w:rsid w:val="00394613"/>
    <w:rsid w:val="00394DEF"/>
    <w:rsid w:val="00394F9E"/>
    <w:rsid w:val="0039596F"/>
    <w:rsid w:val="0039682D"/>
    <w:rsid w:val="0039712F"/>
    <w:rsid w:val="00397549"/>
    <w:rsid w:val="003978FE"/>
    <w:rsid w:val="003A02D7"/>
    <w:rsid w:val="003A1472"/>
    <w:rsid w:val="003A18B0"/>
    <w:rsid w:val="003A2454"/>
    <w:rsid w:val="003A3AF5"/>
    <w:rsid w:val="003A51BE"/>
    <w:rsid w:val="003A5937"/>
    <w:rsid w:val="003A649F"/>
    <w:rsid w:val="003A6902"/>
    <w:rsid w:val="003A6BCB"/>
    <w:rsid w:val="003A783B"/>
    <w:rsid w:val="003A7A51"/>
    <w:rsid w:val="003A7E4E"/>
    <w:rsid w:val="003B0101"/>
    <w:rsid w:val="003B011C"/>
    <w:rsid w:val="003B041E"/>
    <w:rsid w:val="003B0991"/>
    <w:rsid w:val="003B184C"/>
    <w:rsid w:val="003B4146"/>
    <w:rsid w:val="003B419B"/>
    <w:rsid w:val="003B5131"/>
    <w:rsid w:val="003B5800"/>
    <w:rsid w:val="003B66FD"/>
    <w:rsid w:val="003B707D"/>
    <w:rsid w:val="003B7961"/>
    <w:rsid w:val="003C0BA3"/>
    <w:rsid w:val="003C28E5"/>
    <w:rsid w:val="003C398F"/>
    <w:rsid w:val="003C4593"/>
    <w:rsid w:val="003C532E"/>
    <w:rsid w:val="003C54BE"/>
    <w:rsid w:val="003C6301"/>
    <w:rsid w:val="003C68E5"/>
    <w:rsid w:val="003C6A77"/>
    <w:rsid w:val="003C7A51"/>
    <w:rsid w:val="003C7B33"/>
    <w:rsid w:val="003C7BE5"/>
    <w:rsid w:val="003C7C19"/>
    <w:rsid w:val="003C7F3B"/>
    <w:rsid w:val="003D06EF"/>
    <w:rsid w:val="003D10AA"/>
    <w:rsid w:val="003D1290"/>
    <w:rsid w:val="003D1EDA"/>
    <w:rsid w:val="003D2272"/>
    <w:rsid w:val="003D2C4C"/>
    <w:rsid w:val="003D323C"/>
    <w:rsid w:val="003D3564"/>
    <w:rsid w:val="003D3EF6"/>
    <w:rsid w:val="003D4B0A"/>
    <w:rsid w:val="003D4E11"/>
    <w:rsid w:val="003D5799"/>
    <w:rsid w:val="003D5AA2"/>
    <w:rsid w:val="003D5D3F"/>
    <w:rsid w:val="003D7FCB"/>
    <w:rsid w:val="003E01DF"/>
    <w:rsid w:val="003E056B"/>
    <w:rsid w:val="003E0B5F"/>
    <w:rsid w:val="003E0C44"/>
    <w:rsid w:val="003E0C4A"/>
    <w:rsid w:val="003E0DD1"/>
    <w:rsid w:val="003E0EFE"/>
    <w:rsid w:val="003E239F"/>
    <w:rsid w:val="003E25A0"/>
    <w:rsid w:val="003E2771"/>
    <w:rsid w:val="003E2AEB"/>
    <w:rsid w:val="003E2F70"/>
    <w:rsid w:val="003E3257"/>
    <w:rsid w:val="003E3326"/>
    <w:rsid w:val="003E3BD3"/>
    <w:rsid w:val="003E3D5E"/>
    <w:rsid w:val="003E3E47"/>
    <w:rsid w:val="003E5B4A"/>
    <w:rsid w:val="003E5EF6"/>
    <w:rsid w:val="003E606D"/>
    <w:rsid w:val="003E7862"/>
    <w:rsid w:val="003E7997"/>
    <w:rsid w:val="003F04AB"/>
    <w:rsid w:val="003F062D"/>
    <w:rsid w:val="003F0871"/>
    <w:rsid w:val="003F16D6"/>
    <w:rsid w:val="003F272B"/>
    <w:rsid w:val="003F3CC5"/>
    <w:rsid w:val="003F44B3"/>
    <w:rsid w:val="003F47A6"/>
    <w:rsid w:val="003F5DBC"/>
    <w:rsid w:val="003F698E"/>
    <w:rsid w:val="003F6ABD"/>
    <w:rsid w:val="003F6C18"/>
    <w:rsid w:val="003F7C09"/>
    <w:rsid w:val="003F7DB6"/>
    <w:rsid w:val="00400653"/>
    <w:rsid w:val="004012EA"/>
    <w:rsid w:val="00401E8E"/>
    <w:rsid w:val="004034BA"/>
    <w:rsid w:val="004041D3"/>
    <w:rsid w:val="00404B6A"/>
    <w:rsid w:val="00405064"/>
    <w:rsid w:val="004105E4"/>
    <w:rsid w:val="00410E0D"/>
    <w:rsid w:val="004117A8"/>
    <w:rsid w:val="00411AF4"/>
    <w:rsid w:val="00411E54"/>
    <w:rsid w:val="004121FB"/>
    <w:rsid w:val="0041244B"/>
    <w:rsid w:val="004124DA"/>
    <w:rsid w:val="00412880"/>
    <w:rsid w:val="00412A25"/>
    <w:rsid w:val="00412B52"/>
    <w:rsid w:val="00413EEE"/>
    <w:rsid w:val="00414520"/>
    <w:rsid w:val="00414606"/>
    <w:rsid w:val="00416116"/>
    <w:rsid w:val="00416420"/>
    <w:rsid w:val="00416851"/>
    <w:rsid w:val="004169D6"/>
    <w:rsid w:val="00416F74"/>
    <w:rsid w:val="004177DA"/>
    <w:rsid w:val="00417BDF"/>
    <w:rsid w:val="004203F4"/>
    <w:rsid w:val="00420B20"/>
    <w:rsid w:val="00421323"/>
    <w:rsid w:val="004218F0"/>
    <w:rsid w:val="00422C84"/>
    <w:rsid w:val="00424B86"/>
    <w:rsid w:val="00425DB7"/>
    <w:rsid w:val="00425EF9"/>
    <w:rsid w:val="0042648E"/>
    <w:rsid w:val="004265DD"/>
    <w:rsid w:val="004269DF"/>
    <w:rsid w:val="00426CDB"/>
    <w:rsid w:val="00426EAE"/>
    <w:rsid w:val="0042CA7E"/>
    <w:rsid w:val="00430186"/>
    <w:rsid w:val="00430B2C"/>
    <w:rsid w:val="00430CAA"/>
    <w:rsid w:val="00431895"/>
    <w:rsid w:val="00431C8F"/>
    <w:rsid w:val="00432112"/>
    <w:rsid w:val="00432298"/>
    <w:rsid w:val="0043328D"/>
    <w:rsid w:val="00433BD1"/>
    <w:rsid w:val="004354CC"/>
    <w:rsid w:val="00436BCF"/>
    <w:rsid w:val="00436DD9"/>
    <w:rsid w:val="00437C49"/>
    <w:rsid w:val="00437E04"/>
    <w:rsid w:val="0044060A"/>
    <w:rsid w:val="00441670"/>
    <w:rsid w:val="00441767"/>
    <w:rsid w:val="004418C1"/>
    <w:rsid w:val="00441DF0"/>
    <w:rsid w:val="00443400"/>
    <w:rsid w:val="00443842"/>
    <w:rsid w:val="004438DA"/>
    <w:rsid w:val="00444680"/>
    <w:rsid w:val="00444E1D"/>
    <w:rsid w:val="00444E33"/>
    <w:rsid w:val="004450DE"/>
    <w:rsid w:val="0044563A"/>
    <w:rsid w:val="00445B6C"/>
    <w:rsid w:val="00445B78"/>
    <w:rsid w:val="00445FEC"/>
    <w:rsid w:val="004460C1"/>
    <w:rsid w:val="004461EE"/>
    <w:rsid w:val="00446326"/>
    <w:rsid w:val="00446530"/>
    <w:rsid w:val="00446AE7"/>
    <w:rsid w:val="004509E6"/>
    <w:rsid w:val="00450A0A"/>
    <w:rsid w:val="00450E54"/>
    <w:rsid w:val="004512AF"/>
    <w:rsid w:val="00451C02"/>
    <w:rsid w:val="00454785"/>
    <w:rsid w:val="004565AA"/>
    <w:rsid w:val="0045666D"/>
    <w:rsid w:val="0045711F"/>
    <w:rsid w:val="00457DF0"/>
    <w:rsid w:val="004601FF"/>
    <w:rsid w:val="0046051F"/>
    <w:rsid w:val="004610A1"/>
    <w:rsid w:val="00461841"/>
    <w:rsid w:val="00461AEA"/>
    <w:rsid w:val="004628F1"/>
    <w:rsid w:val="004658CF"/>
    <w:rsid w:val="0046607E"/>
    <w:rsid w:val="0046678E"/>
    <w:rsid w:val="00466EB7"/>
    <w:rsid w:val="004702C2"/>
    <w:rsid w:val="004709D5"/>
    <w:rsid w:val="00470F44"/>
    <w:rsid w:val="004717F0"/>
    <w:rsid w:val="0047223E"/>
    <w:rsid w:val="00472795"/>
    <w:rsid w:val="00472999"/>
    <w:rsid w:val="004730B4"/>
    <w:rsid w:val="004746CF"/>
    <w:rsid w:val="004753FE"/>
    <w:rsid w:val="00476691"/>
    <w:rsid w:val="0047685C"/>
    <w:rsid w:val="00476925"/>
    <w:rsid w:val="0047713E"/>
    <w:rsid w:val="00477D3C"/>
    <w:rsid w:val="004803F4"/>
    <w:rsid w:val="00480520"/>
    <w:rsid w:val="00480A6E"/>
    <w:rsid w:val="004818EA"/>
    <w:rsid w:val="00481C26"/>
    <w:rsid w:val="00482048"/>
    <w:rsid w:val="00482923"/>
    <w:rsid w:val="00482FBD"/>
    <w:rsid w:val="004843D4"/>
    <w:rsid w:val="0048462F"/>
    <w:rsid w:val="0048471F"/>
    <w:rsid w:val="004848DA"/>
    <w:rsid w:val="004850D8"/>
    <w:rsid w:val="004851D6"/>
    <w:rsid w:val="00485952"/>
    <w:rsid w:val="004867DC"/>
    <w:rsid w:val="004869DA"/>
    <w:rsid w:val="00486B40"/>
    <w:rsid w:val="00490392"/>
    <w:rsid w:val="00490E13"/>
    <w:rsid w:val="0049152B"/>
    <w:rsid w:val="00491C80"/>
    <w:rsid w:val="00492D41"/>
    <w:rsid w:val="004936D2"/>
    <w:rsid w:val="00493A9B"/>
    <w:rsid w:val="00493F27"/>
    <w:rsid w:val="004944A6"/>
    <w:rsid w:val="004944B8"/>
    <w:rsid w:val="004945D5"/>
    <w:rsid w:val="00494C5D"/>
    <w:rsid w:val="0049656D"/>
    <w:rsid w:val="0049726B"/>
    <w:rsid w:val="004A0803"/>
    <w:rsid w:val="004A0A96"/>
    <w:rsid w:val="004A0D47"/>
    <w:rsid w:val="004A1E06"/>
    <w:rsid w:val="004A28B5"/>
    <w:rsid w:val="004A3294"/>
    <w:rsid w:val="004A4D05"/>
    <w:rsid w:val="004A54C3"/>
    <w:rsid w:val="004A55EE"/>
    <w:rsid w:val="004A5683"/>
    <w:rsid w:val="004A5BE3"/>
    <w:rsid w:val="004A5F4C"/>
    <w:rsid w:val="004A66DA"/>
    <w:rsid w:val="004A75AC"/>
    <w:rsid w:val="004A7B2D"/>
    <w:rsid w:val="004B045F"/>
    <w:rsid w:val="004B0B86"/>
    <w:rsid w:val="004B0F35"/>
    <w:rsid w:val="004B1309"/>
    <w:rsid w:val="004B1F48"/>
    <w:rsid w:val="004B26D0"/>
    <w:rsid w:val="004B2944"/>
    <w:rsid w:val="004B2AEB"/>
    <w:rsid w:val="004B30EF"/>
    <w:rsid w:val="004B3942"/>
    <w:rsid w:val="004B4233"/>
    <w:rsid w:val="004B48F5"/>
    <w:rsid w:val="004B4B67"/>
    <w:rsid w:val="004B53CC"/>
    <w:rsid w:val="004B54FD"/>
    <w:rsid w:val="004B599A"/>
    <w:rsid w:val="004B660E"/>
    <w:rsid w:val="004B6F1E"/>
    <w:rsid w:val="004B7257"/>
    <w:rsid w:val="004B734E"/>
    <w:rsid w:val="004B788D"/>
    <w:rsid w:val="004B7E90"/>
    <w:rsid w:val="004C005D"/>
    <w:rsid w:val="004C0779"/>
    <w:rsid w:val="004C0804"/>
    <w:rsid w:val="004C19A4"/>
    <w:rsid w:val="004C19C0"/>
    <w:rsid w:val="004C2077"/>
    <w:rsid w:val="004C235A"/>
    <w:rsid w:val="004C246A"/>
    <w:rsid w:val="004C24E3"/>
    <w:rsid w:val="004C2C7A"/>
    <w:rsid w:val="004C3182"/>
    <w:rsid w:val="004C3471"/>
    <w:rsid w:val="004C3D35"/>
    <w:rsid w:val="004C4FE1"/>
    <w:rsid w:val="004C5191"/>
    <w:rsid w:val="004C5867"/>
    <w:rsid w:val="004C5D83"/>
    <w:rsid w:val="004C6588"/>
    <w:rsid w:val="004C7A2A"/>
    <w:rsid w:val="004D0139"/>
    <w:rsid w:val="004D0474"/>
    <w:rsid w:val="004D103C"/>
    <w:rsid w:val="004D11FD"/>
    <w:rsid w:val="004D1334"/>
    <w:rsid w:val="004D1703"/>
    <w:rsid w:val="004D2362"/>
    <w:rsid w:val="004D2CDC"/>
    <w:rsid w:val="004D3E4A"/>
    <w:rsid w:val="004D3E7F"/>
    <w:rsid w:val="004D4085"/>
    <w:rsid w:val="004D51F9"/>
    <w:rsid w:val="004D57E7"/>
    <w:rsid w:val="004D64F8"/>
    <w:rsid w:val="004D6BDF"/>
    <w:rsid w:val="004D7770"/>
    <w:rsid w:val="004D7BF1"/>
    <w:rsid w:val="004E0846"/>
    <w:rsid w:val="004E0BE3"/>
    <w:rsid w:val="004E0EF6"/>
    <w:rsid w:val="004E17EB"/>
    <w:rsid w:val="004E1E73"/>
    <w:rsid w:val="004E37D2"/>
    <w:rsid w:val="004E3AB1"/>
    <w:rsid w:val="004E3D3D"/>
    <w:rsid w:val="004E3E81"/>
    <w:rsid w:val="004E41A7"/>
    <w:rsid w:val="004E469B"/>
    <w:rsid w:val="004E48B9"/>
    <w:rsid w:val="004E55A8"/>
    <w:rsid w:val="004E578C"/>
    <w:rsid w:val="004E6038"/>
    <w:rsid w:val="004E68C1"/>
    <w:rsid w:val="004E78EE"/>
    <w:rsid w:val="004E7A26"/>
    <w:rsid w:val="004F0105"/>
    <w:rsid w:val="004F0B3B"/>
    <w:rsid w:val="004F0B7C"/>
    <w:rsid w:val="004F1076"/>
    <w:rsid w:val="004F1E36"/>
    <w:rsid w:val="004F383D"/>
    <w:rsid w:val="004F433B"/>
    <w:rsid w:val="004F4B2B"/>
    <w:rsid w:val="004F4FD7"/>
    <w:rsid w:val="004F51E8"/>
    <w:rsid w:val="004F57BA"/>
    <w:rsid w:val="004F5A25"/>
    <w:rsid w:val="004F613C"/>
    <w:rsid w:val="004F6368"/>
    <w:rsid w:val="004F692A"/>
    <w:rsid w:val="004F7351"/>
    <w:rsid w:val="005005B9"/>
    <w:rsid w:val="00500641"/>
    <w:rsid w:val="005012C1"/>
    <w:rsid w:val="00501D56"/>
    <w:rsid w:val="005030C8"/>
    <w:rsid w:val="00503A65"/>
    <w:rsid w:val="00505109"/>
    <w:rsid w:val="0050515D"/>
    <w:rsid w:val="00505550"/>
    <w:rsid w:val="00505593"/>
    <w:rsid w:val="00505E6F"/>
    <w:rsid w:val="005066E6"/>
    <w:rsid w:val="005070F5"/>
    <w:rsid w:val="00507A6B"/>
    <w:rsid w:val="00510FCF"/>
    <w:rsid w:val="005120B5"/>
    <w:rsid w:val="00512422"/>
    <w:rsid w:val="005127D8"/>
    <w:rsid w:val="00512B49"/>
    <w:rsid w:val="00513962"/>
    <w:rsid w:val="00514168"/>
    <w:rsid w:val="0051474C"/>
    <w:rsid w:val="00514A77"/>
    <w:rsid w:val="0051596F"/>
    <w:rsid w:val="0051603F"/>
    <w:rsid w:val="00516079"/>
    <w:rsid w:val="00516F07"/>
    <w:rsid w:val="005175F0"/>
    <w:rsid w:val="00517FD5"/>
    <w:rsid w:val="00520203"/>
    <w:rsid w:val="00520A83"/>
    <w:rsid w:val="005218F8"/>
    <w:rsid w:val="0052192C"/>
    <w:rsid w:val="00522775"/>
    <w:rsid w:val="00523075"/>
    <w:rsid w:val="005233AE"/>
    <w:rsid w:val="00523C72"/>
    <w:rsid w:val="00523D5F"/>
    <w:rsid w:val="00523DFB"/>
    <w:rsid w:val="005240D0"/>
    <w:rsid w:val="00525214"/>
    <w:rsid w:val="005256E7"/>
    <w:rsid w:val="0052661B"/>
    <w:rsid w:val="00526E7C"/>
    <w:rsid w:val="005308CB"/>
    <w:rsid w:val="00530D5E"/>
    <w:rsid w:val="0053110D"/>
    <w:rsid w:val="00532164"/>
    <w:rsid w:val="0053242C"/>
    <w:rsid w:val="005325D7"/>
    <w:rsid w:val="00533220"/>
    <w:rsid w:val="00533889"/>
    <w:rsid w:val="005347FF"/>
    <w:rsid w:val="0053484B"/>
    <w:rsid w:val="005349CF"/>
    <w:rsid w:val="00534BB8"/>
    <w:rsid w:val="005355D3"/>
    <w:rsid w:val="00535D7D"/>
    <w:rsid w:val="005361AA"/>
    <w:rsid w:val="0053625C"/>
    <w:rsid w:val="00536288"/>
    <w:rsid w:val="005366AA"/>
    <w:rsid w:val="00536EDB"/>
    <w:rsid w:val="0053777C"/>
    <w:rsid w:val="00537A67"/>
    <w:rsid w:val="0054161F"/>
    <w:rsid w:val="00541D32"/>
    <w:rsid w:val="00542FFD"/>
    <w:rsid w:val="005433C9"/>
    <w:rsid w:val="005438F6"/>
    <w:rsid w:val="00543C56"/>
    <w:rsid w:val="0054445B"/>
    <w:rsid w:val="005444A8"/>
    <w:rsid w:val="00545EE6"/>
    <w:rsid w:val="00546110"/>
    <w:rsid w:val="00546870"/>
    <w:rsid w:val="00550123"/>
    <w:rsid w:val="0055012F"/>
    <w:rsid w:val="005502FE"/>
    <w:rsid w:val="005513C4"/>
    <w:rsid w:val="00552670"/>
    <w:rsid w:val="00552712"/>
    <w:rsid w:val="00553480"/>
    <w:rsid w:val="005534E2"/>
    <w:rsid w:val="0055354B"/>
    <w:rsid w:val="00554A5C"/>
    <w:rsid w:val="00554E6B"/>
    <w:rsid w:val="0055520E"/>
    <w:rsid w:val="00555E80"/>
    <w:rsid w:val="00555E9D"/>
    <w:rsid w:val="00557D7B"/>
    <w:rsid w:val="00557F5D"/>
    <w:rsid w:val="00557F68"/>
    <w:rsid w:val="00560976"/>
    <w:rsid w:val="00560E55"/>
    <w:rsid w:val="00560E95"/>
    <w:rsid w:val="00561EFA"/>
    <w:rsid w:val="005623BB"/>
    <w:rsid w:val="00563024"/>
    <w:rsid w:val="005636A3"/>
    <w:rsid w:val="0056392F"/>
    <w:rsid w:val="005649D2"/>
    <w:rsid w:val="00564C83"/>
    <w:rsid w:val="00566708"/>
    <w:rsid w:val="00566902"/>
    <w:rsid w:val="0056699C"/>
    <w:rsid w:val="00566B9D"/>
    <w:rsid w:val="00566D84"/>
    <w:rsid w:val="00567A23"/>
    <w:rsid w:val="00567B74"/>
    <w:rsid w:val="005701D6"/>
    <w:rsid w:val="005704F1"/>
    <w:rsid w:val="00570CE2"/>
    <w:rsid w:val="00571B3A"/>
    <w:rsid w:val="005729A1"/>
    <w:rsid w:val="00574A12"/>
    <w:rsid w:val="00574C34"/>
    <w:rsid w:val="00574D9E"/>
    <w:rsid w:val="00577DA6"/>
    <w:rsid w:val="005801B1"/>
    <w:rsid w:val="00580EA7"/>
    <w:rsid w:val="005839DF"/>
    <w:rsid w:val="00583EF8"/>
    <w:rsid w:val="005842D1"/>
    <w:rsid w:val="0058438D"/>
    <w:rsid w:val="005846C1"/>
    <w:rsid w:val="00584AE8"/>
    <w:rsid w:val="005855C3"/>
    <w:rsid w:val="00585646"/>
    <w:rsid w:val="00585AAF"/>
    <w:rsid w:val="00585C0D"/>
    <w:rsid w:val="00585DA2"/>
    <w:rsid w:val="00586038"/>
    <w:rsid w:val="005878DB"/>
    <w:rsid w:val="00587E5B"/>
    <w:rsid w:val="00590349"/>
    <w:rsid w:val="00590C5A"/>
    <w:rsid w:val="0059168E"/>
    <w:rsid w:val="00591EC1"/>
    <w:rsid w:val="005924B4"/>
    <w:rsid w:val="005926F0"/>
    <w:rsid w:val="00592852"/>
    <w:rsid w:val="0059328A"/>
    <w:rsid w:val="00594C03"/>
    <w:rsid w:val="00595477"/>
    <w:rsid w:val="00595D1D"/>
    <w:rsid w:val="00595F7C"/>
    <w:rsid w:val="00596F03"/>
    <w:rsid w:val="005A0C42"/>
    <w:rsid w:val="005A1184"/>
    <w:rsid w:val="005A1631"/>
    <w:rsid w:val="005A17EE"/>
    <w:rsid w:val="005A1D56"/>
    <w:rsid w:val="005A249A"/>
    <w:rsid w:val="005A29FE"/>
    <w:rsid w:val="005A321E"/>
    <w:rsid w:val="005A3641"/>
    <w:rsid w:val="005A3EA0"/>
    <w:rsid w:val="005A48B7"/>
    <w:rsid w:val="005A5A1C"/>
    <w:rsid w:val="005A6514"/>
    <w:rsid w:val="005A73A5"/>
    <w:rsid w:val="005A746E"/>
    <w:rsid w:val="005A7859"/>
    <w:rsid w:val="005A7E32"/>
    <w:rsid w:val="005B0079"/>
    <w:rsid w:val="005B0A47"/>
    <w:rsid w:val="005B1101"/>
    <w:rsid w:val="005B1CDF"/>
    <w:rsid w:val="005B1EB6"/>
    <w:rsid w:val="005B2606"/>
    <w:rsid w:val="005B383D"/>
    <w:rsid w:val="005B3EE2"/>
    <w:rsid w:val="005B40EA"/>
    <w:rsid w:val="005B45DF"/>
    <w:rsid w:val="005B47C2"/>
    <w:rsid w:val="005B4E32"/>
    <w:rsid w:val="005B58F4"/>
    <w:rsid w:val="005B59A2"/>
    <w:rsid w:val="005B65AF"/>
    <w:rsid w:val="005B7ADB"/>
    <w:rsid w:val="005B7E29"/>
    <w:rsid w:val="005C0AE4"/>
    <w:rsid w:val="005C0EE2"/>
    <w:rsid w:val="005C138D"/>
    <w:rsid w:val="005C2C4C"/>
    <w:rsid w:val="005C2D06"/>
    <w:rsid w:val="005C370E"/>
    <w:rsid w:val="005C38C0"/>
    <w:rsid w:val="005C393A"/>
    <w:rsid w:val="005C438A"/>
    <w:rsid w:val="005C4F73"/>
    <w:rsid w:val="005C561A"/>
    <w:rsid w:val="005C6171"/>
    <w:rsid w:val="005C6493"/>
    <w:rsid w:val="005C7987"/>
    <w:rsid w:val="005D00C2"/>
    <w:rsid w:val="005D0B35"/>
    <w:rsid w:val="005D1946"/>
    <w:rsid w:val="005D1CDF"/>
    <w:rsid w:val="005D1DA9"/>
    <w:rsid w:val="005D2322"/>
    <w:rsid w:val="005D28AC"/>
    <w:rsid w:val="005D3305"/>
    <w:rsid w:val="005D42E4"/>
    <w:rsid w:val="005D4519"/>
    <w:rsid w:val="005D4FA4"/>
    <w:rsid w:val="005D5586"/>
    <w:rsid w:val="005D564F"/>
    <w:rsid w:val="005D5D87"/>
    <w:rsid w:val="005D63E2"/>
    <w:rsid w:val="005D7487"/>
    <w:rsid w:val="005E02CB"/>
    <w:rsid w:val="005E02D7"/>
    <w:rsid w:val="005E05B1"/>
    <w:rsid w:val="005E15E9"/>
    <w:rsid w:val="005E25B6"/>
    <w:rsid w:val="005E2A69"/>
    <w:rsid w:val="005E3039"/>
    <w:rsid w:val="005E387A"/>
    <w:rsid w:val="005E38DA"/>
    <w:rsid w:val="005E4EB2"/>
    <w:rsid w:val="005E5D63"/>
    <w:rsid w:val="005E7259"/>
    <w:rsid w:val="005F020F"/>
    <w:rsid w:val="005F1A60"/>
    <w:rsid w:val="005F2E09"/>
    <w:rsid w:val="005F327F"/>
    <w:rsid w:val="005F3CFF"/>
    <w:rsid w:val="005F3D68"/>
    <w:rsid w:val="005F4EF3"/>
    <w:rsid w:val="005F5009"/>
    <w:rsid w:val="005F51F8"/>
    <w:rsid w:val="005F549E"/>
    <w:rsid w:val="005F61EA"/>
    <w:rsid w:val="005F696C"/>
    <w:rsid w:val="005F72E9"/>
    <w:rsid w:val="005F73B1"/>
    <w:rsid w:val="00600111"/>
    <w:rsid w:val="006001D4"/>
    <w:rsid w:val="00600B30"/>
    <w:rsid w:val="0060117F"/>
    <w:rsid w:val="00601B62"/>
    <w:rsid w:val="0060237C"/>
    <w:rsid w:val="00603167"/>
    <w:rsid w:val="0060379E"/>
    <w:rsid w:val="0060441E"/>
    <w:rsid w:val="006050B6"/>
    <w:rsid w:val="0060536B"/>
    <w:rsid w:val="00606136"/>
    <w:rsid w:val="0060618C"/>
    <w:rsid w:val="00606712"/>
    <w:rsid w:val="00606F42"/>
    <w:rsid w:val="006071A1"/>
    <w:rsid w:val="0060720F"/>
    <w:rsid w:val="00607F85"/>
    <w:rsid w:val="0061019A"/>
    <w:rsid w:val="006105C0"/>
    <w:rsid w:val="006114A2"/>
    <w:rsid w:val="00611521"/>
    <w:rsid w:val="00611705"/>
    <w:rsid w:val="00611BD1"/>
    <w:rsid w:val="00612990"/>
    <w:rsid w:val="0061363B"/>
    <w:rsid w:val="00613D75"/>
    <w:rsid w:val="00613EEC"/>
    <w:rsid w:val="006148B5"/>
    <w:rsid w:val="00614B31"/>
    <w:rsid w:val="00615382"/>
    <w:rsid w:val="006154E6"/>
    <w:rsid w:val="006173F9"/>
    <w:rsid w:val="0061777F"/>
    <w:rsid w:val="006204B7"/>
    <w:rsid w:val="00621135"/>
    <w:rsid w:val="00621353"/>
    <w:rsid w:val="00622506"/>
    <w:rsid w:val="00622B3A"/>
    <w:rsid w:val="00622C8C"/>
    <w:rsid w:val="00623858"/>
    <w:rsid w:val="00623DCC"/>
    <w:rsid w:val="00623DCF"/>
    <w:rsid w:val="0062529A"/>
    <w:rsid w:val="006255BE"/>
    <w:rsid w:val="00625A0D"/>
    <w:rsid w:val="00625C41"/>
    <w:rsid w:val="006268FB"/>
    <w:rsid w:val="00626ED9"/>
    <w:rsid w:val="006271BF"/>
    <w:rsid w:val="006274DF"/>
    <w:rsid w:val="00627EC5"/>
    <w:rsid w:val="006300E6"/>
    <w:rsid w:val="00630739"/>
    <w:rsid w:val="00630C5B"/>
    <w:rsid w:val="006312F0"/>
    <w:rsid w:val="00631795"/>
    <w:rsid w:val="00631AC7"/>
    <w:rsid w:val="00632263"/>
    <w:rsid w:val="006322CA"/>
    <w:rsid w:val="00632954"/>
    <w:rsid w:val="00633316"/>
    <w:rsid w:val="00633366"/>
    <w:rsid w:val="00633886"/>
    <w:rsid w:val="00633A6D"/>
    <w:rsid w:val="006340EB"/>
    <w:rsid w:val="006344B1"/>
    <w:rsid w:val="0063488B"/>
    <w:rsid w:val="006349E1"/>
    <w:rsid w:val="00634AA2"/>
    <w:rsid w:val="00634BAE"/>
    <w:rsid w:val="00635090"/>
    <w:rsid w:val="0063528E"/>
    <w:rsid w:val="0063664F"/>
    <w:rsid w:val="00636B66"/>
    <w:rsid w:val="00640256"/>
    <w:rsid w:val="006402B7"/>
    <w:rsid w:val="006412D3"/>
    <w:rsid w:val="00642AD9"/>
    <w:rsid w:val="00642BEE"/>
    <w:rsid w:val="0064305A"/>
    <w:rsid w:val="006441AB"/>
    <w:rsid w:val="00644421"/>
    <w:rsid w:val="00645619"/>
    <w:rsid w:val="00645659"/>
    <w:rsid w:val="006456E3"/>
    <w:rsid w:val="0064592C"/>
    <w:rsid w:val="006459F9"/>
    <w:rsid w:val="00645A9D"/>
    <w:rsid w:val="0064747C"/>
    <w:rsid w:val="006501A0"/>
    <w:rsid w:val="00650475"/>
    <w:rsid w:val="0065060B"/>
    <w:rsid w:val="006516DE"/>
    <w:rsid w:val="00651E67"/>
    <w:rsid w:val="00651F61"/>
    <w:rsid w:val="0065212E"/>
    <w:rsid w:val="00652535"/>
    <w:rsid w:val="00653127"/>
    <w:rsid w:val="00653B02"/>
    <w:rsid w:val="00653E83"/>
    <w:rsid w:val="006545CD"/>
    <w:rsid w:val="00654619"/>
    <w:rsid w:val="00654E61"/>
    <w:rsid w:val="0065636C"/>
    <w:rsid w:val="0065681F"/>
    <w:rsid w:val="00656A1D"/>
    <w:rsid w:val="00656C81"/>
    <w:rsid w:val="00656CFE"/>
    <w:rsid w:val="006608EA"/>
    <w:rsid w:val="00661237"/>
    <w:rsid w:val="00661F9D"/>
    <w:rsid w:val="00662AFB"/>
    <w:rsid w:val="00663221"/>
    <w:rsid w:val="00663ABA"/>
    <w:rsid w:val="00664434"/>
    <w:rsid w:val="006649B0"/>
    <w:rsid w:val="00665127"/>
    <w:rsid w:val="0066589A"/>
    <w:rsid w:val="00665CDD"/>
    <w:rsid w:val="0066661F"/>
    <w:rsid w:val="00666845"/>
    <w:rsid w:val="006671E2"/>
    <w:rsid w:val="0066769E"/>
    <w:rsid w:val="006700A8"/>
    <w:rsid w:val="006707E2"/>
    <w:rsid w:val="00671571"/>
    <w:rsid w:val="00671B5F"/>
    <w:rsid w:val="00671C30"/>
    <w:rsid w:val="0067214F"/>
    <w:rsid w:val="00672BAD"/>
    <w:rsid w:val="006736C0"/>
    <w:rsid w:val="0067389A"/>
    <w:rsid w:val="00673DCC"/>
    <w:rsid w:val="0067412D"/>
    <w:rsid w:val="00674239"/>
    <w:rsid w:val="00674DEC"/>
    <w:rsid w:val="00676260"/>
    <w:rsid w:val="00676537"/>
    <w:rsid w:val="006769C7"/>
    <w:rsid w:val="00676B5C"/>
    <w:rsid w:val="00676DBE"/>
    <w:rsid w:val="00676E49"/>
    <w:rsid w:val="006772E4"/>
    <w:rsid w:val="0067736A"/>
    <w:rsid w:val="006775A5"/>
    <w:rsid w:val="00680FD0"/>
    <w:rsid w:val="00681548"/>
    <w:rsid w:val="006816F5"/>
    <w:rsid w:val="00681FB4"/>
    <w:rsid w:val="00682920"/>
    <w:rsid w:val="00683511"/>
    <w:rsid w:val="00683B44"/>
    <w:rsid w:val="00684B4E"/>
    <w:rsid w:val="00684FD5"/>
    <w:rsid w:val="0068503D"/>
    <w:rsid w:val="00685102"/>
    <w:rsid w:val="0068591F"/>
    <w:rsid w:val="00685FF3"/>
    <w:rsid w:val="00686335"/>
    <w:rsid w:val="0068685A"/>
    <w:rsid w:val="006900A8"/>
    <w:rsid w:val="00691F56"/>
    <w:rsid w:val="0069224B"/>
    <w:rsid w:val="006929FC"/>
    <w:rsid w:val="006953BC"/>
    <w:rsid w:val="00695BF8"/>
    <w:rsid w:val="00696FE1"/>
    <w:rsid w:val="00697A6F"/>
    <w:rsid w:val="006A01E0"/>
    <w:rsid w:val="006A0202"/>
    <w:rsid w:val="006A10FF"/>
    <w:rsid w:val="006A1A74"/>
    <w:rsid w:val="006A1A76"/>
    <w:rsid w:val="006A395F"/>
    <w:rsid w:val="006A3AAB"/>
    <w:rsid w:val="006A4049"/>
    <w:rsid w:val="006A4419"/>
    <w:rsid w:val="006A4D48"/>
    <w:rsid w:val="006A66D5"/>
    <w:rsid w:val="006A6BA2"/>
    <w:rsid w:val="006A7A4E"/>
    <w:rsid w:val="006B03D1"/>
    <w:rsid w:val="006B03FA"/>
    <w:rsid w:val="006B0878"/>
    <w:rsid w:val="006B0BE0"/>
    <w:rsid w:val="006B0F09"/>
    <w:rsid w:val="006B1024"/>
    <w:rsid w:val="006B1221"/>
    <w:rsid w:val="006B19E1"/>
    <w:rsid w:val="006B1BC1"/>
    <w:rsid w:val="006B22F6"/>
    <w:rsid w:val="006B2AA0"/>
    <w:rsid w:val="006B2E91"/>
    <w:rsid w:val="006B2EB9"/>
    <w:rsid w:val="006B4E8C"/>
    <w:rsid w:val="006B4F7E"/>
    <w:rsid w:val="006B5219"/>
    <w:rsid w:val="006B5D17"/>
    <w:rsid w:val="006B5E54"/>
    <w:rsid w:val="006B60D6"/>
    <w:rsid w:val="006B687E"/>
    <w:rsid w:val="006C0566"/>
    <w:rsid w:val="006C3F70"/>
    <w:rsid w:val="006C4BBD"/>
    <w:rsid w:val="006C4C2F"/>
    <w:rsid w:val="006C5755"/>
    <w:rsid w:val="006C5939"/>
    <w:rsid w:val="006C5D29"/>
    <w:rsid w:val="006C6039"/>
    <w:rsid w:val="006C6750"/>
    <w:rsid w:val="006C6965"/>
    <w:rsid w:val="006C6994"/>
    <w:rsid w:val="006C6A89"/>
    <w:rsid w:val="006C6AFC"/>
    <w:rsid w:val="006C7241"/>
    <w:rsid w:val="006C78BF"/>
    <w:rsid w:val="006C7FDF"/>
    <w:rsid w:val="006D0EFB"/>
    <w:rsid w:val="006D125D"/>
    <w:rsid w:val="006D1624"/>
    <w:rsid w:val="006D1A3F"/>
    <w:rsid w:val="006D35FE"/>
    <w:rsid w:val="006D3BD9"/>
    <w:rsid w:val="006D3C5D"/>
    <w:rsid w:val="006D4809"/>
    <w:rsid w:val="006D4EED"/>
    <w:rsid w:val="006D5106"/>
    <w:rsid w:val="006D526B"/>
    <w:rsid w:val="006D660A"/>
    <w:rsid w:val="006D73F0"/>
    <w:rsid w:val="006D7604"/>
    <w:rsid w:val="006E07A7"/>
    <w:rsid w:val="006E23C9"/>
    <w:rsid w:val="006E27B9"/>
    <w:rsid w:val="006E2FC4"/>
    <w:rsid w:val="006E32DA"/>
    <w:rsid w:val="006E32F0"/>
    <w:rsid w:val="006E3985"/>
    <w:rsid w:val="006E4036"/>
    <w:rsid w:val="006E4EF7"/>
    <w:rsid w:val="006E5770"/>
    <w:rsid w:val="006E63C6"/>
    <w:rsid w:val="006E6851"/>
    <w:rsid w:val="006E6E74"/>
    <w:rsid w:val="006E7F70"/>
    <w:rsid w:val="006F0A60"/>
    <w:rsid w:val="006F159C"/>
    <w:rsid w:val="006F2EF8"/>
    <w:rsid w:val="006F3F3D"/>
    <w:rsid w:val="006F4044"/>
    <w:rsid w:val="006F5820"/>
    <w:rsid w:val="006F5DE7"/>
    <w:rsid w:val="006F6639"/>
    <w:rsid w:val="006F71BF"/>
    <w:rsid w:val="006F7203"/>
    <w:rsid w:val="00700C40"/>
    <w:rsid w:val="00700D42"/>
    <w:rsid w:val="00700E27"/>
    <w:rsid w:val="007013B5"/>
    <w:rsid w:val="0070252F"/>
    <w:rsid w:val="00703196"/>
    <w:rsid w:val="00703536"/>
    <w:rsid w:val="00704F2E"/>
    <w:rsid w:val="00705026"/>
    <w:rsid w:val="00705CB4"/>
    <w:rsid w:val="00705F65"/>
    <w:rsid w:val="00706037"/>
    <w:rsid w:val="0070603E"/>
    <w:rsid w:val="007060A0"/>
    <w:rsid w:val="007065A4"/>
    <w:rsid w:val="00706D7B"/>
    <w:rsid w:val="0070718B"/>
    <w:rsid w:val="0071004E"/>
    <w:rsid w:val="007104ED"/>
    <w:rsid w:val="00710B08"/>
    <w:rsid w:val="00710E41"/>
    <w:rsid w:val="0071117E"/>
    <w:rsid w:val="0071215D"/>
    <w:rsid w:val="0071249B"/>
    <w:rsid w:val="00712A20"/>
    <w:rsid w:val="00712C22"/>
    <w:rsid w:val="007130E8"/>
    <w:rsid w:val="007132A3"/>
    <w:rsid w:val="007143A9"/>
    <w:rsid w:val="007143AB"/>
    <w:rsid w:val="0071542B"/>
    <w:rsid w:val="00715436"/>
    <w:rsid w:val="007163FA"/>
    <w:rsid w:val="00716EF3"/>
    <w:rsid w:val="0071715D"/>
    <w:rsid w:val="00717407"/>
    <w:rsid w:val="0071776D"/>
    <w:rsid w:val="007178E1"/>
    <w:rsid w:val="00720133"/>
    <w:rsid w:val="00721647"/>
    <w:rsid w:val="00722525"/>
    <w:rsid w:val="0072314E"/>
    <w:rsid w:val="007235CC"/>
    <w:rsid w:val="0072393C"/>
    <w:rsid w:val="00724250"/>
    <w:rsid w:val="007246E3"/>
    <w:rsid w:val="00724C20"/>
    <w:rsid w:val="0072665D"/>
    <w:rsid w:val="00727520"/>
    <w:rsid w:val="007276F3"/>
    <w:rsid w:val="00727C44"/>
    <w:rsid w:val="0072F422"/>
    <w:rsid w:val="007307C1"/>
    <w:rsid w:val="00731162"/>
    <w:rsid w:val="00731ACB"/>
    <w:rsid w:val="00731AEE"/>
    <w:rsid w:val="00732DFF"/>
    <w:rsid w:val="0073337A"/>
    <w:rsid w:val="0073350E"/>
    <w:rsid w:val="0073388A"/>
    <w:rsid w:val="00734D9B"/>
    <w:rsid w:val="0073515C"/>
    <w:rsid w:val="00735292"/>
    <w:rsid w:val="00735E9F"/>
    <w:rsid w:val="00736307"/>
    <w:rsid w:val="007369D2"/>
    <w:rsid w:val="00736A8B"/>
    <w:rsid w:val="00737000"/>
    <w:rsid w:val="00737CFC"/>
    <w:rsid w:val="0074052D"/>
    <w:rsid w:val="00740867"/>
    <w:rsid w:val="007412D0"/>
    <w:rsid w:val="00742316"/>
    <w:rsid w:val="00742413"/>
    <w:rsid w:val="00742E26"/>
    <w:rsid w:val="00743741"/>
    <w:rsid w:val="007441A6"/>
    <w:rsid w:val="0074444D"/>
    <w:rsid w:val="0074479E"/>
    <w:rsid w:val="00744E09"/>
    <w:rsid w:val="007450A2"/>
    <w:rsid w:val="00745235"/>
    <w:rsid w:val="007458E6"/>
    <w:rsid w:val="007458F4"/>
    <w:rsid w:val="00746011"/>
    <w:rsid w:val="0074631A"/>
    <w:rsid w:val="0074631D"/>
    <w:rsid w:val="0074693B"/>
    <w:rsid w:val="00750516"/>
    <w:rsid w:val="00750604"/>
    <w:rsid w:val="007512EF"/>
    <w:rsid w:val="00751940"/>
    <w:rsid w:val="00751EE0"/>
    <w:rsid w:val="00752445"/>
    <w:rsid w:val="0075289A"/>
    <w:rsid w:val="00752F79"/>
    <w:rsid w:val="00753540"/>
    <w:rsid w:val="00753673"/>
    <w:rsid w:val="00754116"/>
    <w:rsid w:val="00754794"/>
    <w:rsid w:val="00754EDD"/>
    <w:rsid w:val="007551B5"/>
    <w:rsid w:val="00755D3C"/>
    <w:rsid w:val="0075621E"/>
    <w:rsid w:val="00756EF9"/>
    <w:rsid w:val="0075771D"/>
    <w:rsid w:val="0075799F"/>
    <w:rsid w:val="00757C44"/>
    <w:rsid w:val="00757ED6"/>
    <w:rsid w:val="00760F23"/>
    <w:rsid w:val="0076254D"/>
    <w:rsid w:val="007632D2"/>
    <w:rsid w:val="00763643"/>
    <w:rsid w:val="00764300"/>
    <w:rsid w:val="007649B2"/>
    <w:rsid w:val="00764B4C"/>
    <w:rsid w:val="00764BC6"/>
    <w:rsid w:val="00765E22"/>
    <w:rsid w:val="0076609E"/>
    <w:rsid w:val="00766F28"/>
    <w:rsid w:val="0077027B"/>
    <w:rsid w:val="00770B7F"/>
    <w:rsid w:val="00770FC4"/>
    <w:rsid w:val="00771777"/>
    <w:rsid w:val="007719A8"/>
    <w:rsid w:val="00771EF0"/>
    <w:rsid w:val="0077216F"/>
    <w:rsid w:val="00772479"/>
    <w:rsid w:val="00772EA3"/>
    <w:rsid w:val="00773331"/>
    <w:rsid w:val="007734F8"/>
    <w:rsid w:val="00773F73"/>
    <w:rsid w:val="0077435A"/>
    <w:rsid w:val="007749FF"/>
    <w:rsid w:val="00775681"/>
    <w:rsid w:val="00775EFD"/>
    <w:rsid w:val="00776A69"/>
    <w:rsid w:val="007810AA"/>
    <w:rsid w:val="00781277"/>
    <w:rsid w:val="007818CF"/>
    <w:rsid w:val="00781967"/>
    <w:rsid w:val="00781DC4"/>
    <w:rsid w:val="00782320"/>
    <w:rsid w:val="00782DB9"/>
    <w:rsid w:val="007833AA"/>
    <w:rsid w:val="007841CC"/>
    <w:rsid w:val="00784753"/>
    <w:rsid w:val="007852D1"/>
    <w:rsid w:val="00785603"/>
    <w:rsid w:val="00785797"/>
    <w:rsid w:val="007871F0"/>
    <w:rsid w:val="00787302"/>
    <w:rsid w:val="00787D69"/>
    <w:rsid w:val="007906E8"/>
    <w:rsid w:val="007915CF"/>
    <w:rsid w:val="00791959"/>
    <w:rsid w:val="00791BB2"/>
    <w:rsid w:val="00791C9E"/>
    <w:rsid w:val="00791FAB"/>
    <w:rsid w:val="00792166"/>
    <w:rsid w:val="00792361"/>
    <w:rsid w:val="00792E43"/>
    <w:rsid w:val="00792FB3"/>
    <w:rsid w:val="007932EF"/>
    <w:rsid w:val="00793440"/>
    <w:rsid w:val="0079363F"/>
    <w:rsid w:val="00793C0C"/>
    <w:rsid w:val="00793DB2"/>
    <w:rsid w:val="0079477E"/>
    <w:rsid w:val="00795AA8"/>
    <w:rsid w:val="00795F60"/>
    <w:rsid w:val="007962BB"/>
    <w:rsid w:val="00796712"/>
    <w:rsid w:val="0079677E"/>
    <w:rsid w:val="00796C90"/>
    <w:rsid w:val="0079708F"/>
    <w:rsid w:val="00797C58"/>
    <w:rsid w:val="007A0842"/>
    <w:rsid w:val="007A14AC"/>
    <w:rsid w:val="007A1630"/>
    <w:rsid w:val="007A21A3"/>
    <w:rsid w:val="007A2258"/>
    <w:rsid w:val="007A22C0"/>
    <w:rsid w:val="007A484E"/>
    <w:rsid w:val="007A485D"/>
    <w:rsid w:val="007A4B9E"/>
    <w:rsid w:val="007A560E"/>
    <w:rsid w:val="007A57AB"/>
    <w:rsid w:val="007A5DDD"/>
    <w:rsid w:val="007A64B6"/>
    <w:rsid w:val="007A653B"/>
    <w:rsid w:val="007A7124"/>
    <w:rsid w:val="007A7C5C"/>
    <w:rsid w:val="007B0315"/>
    <w:rsid w:val="007B1818"/>
    <w:rsid w:val="007B1977"/>
    <w:rsid w:val="007B1AD2"/>
    <w:rsid w:val="007B21C6"/>
    <w:rsid w:val="007B336A"/>
    <w:rsid w:val="007B3499"/>
    <w:rsid w:val="007B3D34"/>
    <w:rsid w:val="007B49B6"/>
    <w:rsid w:val="007B56BE"/>
    <w:rsid w:val="007B693F"/>
    <w:rsid w:val="007B74A9"/>
    <w:rsid w:val="007B75A2"/>
    <w:rsid w:val="007B79FD"/>
    <w:rsid w:val="007C0C14"/>
    <w:rsid w:val="007C116F"/>
    <w:rsid w:val="007C264E"/>
    <w:rsid w:val="007C2E26"/>
    <w:rsid w:val="007C3600"/>
    <w:rsid w:val="007C3B13"/>
    <w:rsid w:val="007C3E90"/>
    <w:rsid w:val="007C3F25"/>
    <w:rsid w:val="007C6E5B"/>
    <w:rsid w:val="007C7E34"/>
    <w:rsid w:val="007D0080"/>
    <w:rsid w:val="007D0B7E"/>
    <w:rsid w:val="007D147E"/>
    <w:rsid w:val="007D155A"/>
    <w:rsid w:val="007D1821"/>
    <w:rsid w:val="007D2AED"/>
    <w:rsid w:val="007D3B8C"/>
    <w:rsid w:val="007D4087"/>
    <w:rsid w:val="007D4228"/>
    <w:rsid w:val="007D4666"/>
    <w:rsid w:val="007D72EC"/>
    <w:rsid w:val="007D76C1"/>
    <w:rsid w:val="007E05B0"/>
    <w:rsid w:val="007E0A3D"/>
    <w:rsid w:val="007E0F3A"/>
    <w:rsid w:val="007E109F"/>
    <w:rsid w:val="007E1FC6"/>
    <w:rsid w:val="007E2200"/>
    <w:rsid w:val="007E2AE3"/>
    <w:rsid w:val="007E3DC3"/>
    <w:rsid w:val="007E5589"/>
    <w:rsid w:val="007E5B13"/>
    <w:rsid w:val="007E623D"/>
    <w:rsid w:val="007E64BC"/>
    <w:rsid w:val="007E6B82"/>
    <w:rsid w:val="007F05C6"/>
    <w:rsid w:val="007F13C7"/>
    <w:rsid w:val="007F19CB"/>
    <w:rsid w:val="007F2092"/>
    <w:rsid w:val="007F2613"/>
    <w:rsid w:val="007F2C34"/>
    <w:rsid w:val="007F2D4F"/>
    <w:rsid w:val="007F306F"/>
    <w:rsid w:val="007F30DD"/>
    <w:rsid w:val="007F360B"/>
    <w:rsid w:val="007F38E5"/>
    <w:rsid w:val="007F3B0B"/>
    <w:rsid w:val="007F3E9B"/>
    <w:rsid w:val="007F439F"/>
    <w:rsid w:val="007F4EB6"/>
    <w:rsid w:val="007F5015"/>
    <w:rsid w:val="007F70ED"/>
    <w:rsid w:val="007F7474"/>
    <w:rsid w:val="007F778D"/>
    <w:rsid w:val="007F783B"/>
    <w:rsid w:val="007F79B1"/>
    <w:rsid w:val="007F7B1D"/>
    <w:rsid w:val="007F7D13"/>
    <w:rsid w:val="007F7ECE"/>
    <w:rsid w:val="008007FC"/>
    <w:rsid w:val="008018EF"/>
    <w:rsid w:val="00802891"/>
    <w:rsid w:val="00802EDF"/>
    <w:rsid w:val="0080389D"/>
    <w:rsid w:val="008040E8"/>
    <w:rsid w:val="008044D7"/>
    <w:rsid w:val="00805276"/>
    <w:rsid w:val="00805552"/>
    <w:rsid w:val="00805719"/>
    <w:rsid w:val="0080591A"/>
    <w:rsid w:val="00805BBA"/>
    <w:rsid w:val="00806FE6"/>
    <w:rsid w:val="00807F7A"/>
    <w:rsid w:val="0080E1B3"/>
    <w:rsid w:val="00811BBC"/>
    <w:rsid w:val="0081243F"/>
    <w:rsid w:val="00812611"/>
    <w:rsid w:val="0081270C"/>
    <w:rsid w:val="008129DB"/>
    <w:rsid w:val="00812A31"/>
    <w:rsid w:val="00812B91"/>
    <w:rsid w:val="008144BC"/>
    <w:rsid w:val="0081573E"/>
    <w:rsid w:val="00815971"/>
    <w:rsid w:val="008159A3"/>
    <w:rsid w:val="00816350"/>
    <w:rsid w:val="0081642C"/>
    <w:rsid w:val="008168B7"/>
    <w:rsid w:val="008171B0"/>
    <w:rsid w:val="008173AF"/>
    <w:rsid w:val="008174E4"/>
    <w:rsid w:val="00817505"/>
    <w:rsid w:val="00817F7A"/>
    <w:rsid w:val="00821384"/>
    <w:rsid w:val="0082178E"/>
    <w:rsid w:val="00823258"/>
    <w:rsid w:val="00823C4B"/>
    <w:rsid w:val="008243F9"/>
    <w:rsid w:val="00824504"/>
    <w:rsid w:val="008249E3"/>
    <w:rsid w:val="00825067"/>
    <w:rsid w:val="0082557B"/>
    <w:rsid w:val="0082559B"/>
    <w:rsid w:val="00826239"/>
    <w:rsid w:val="00827BD0"/>
    <w:rsid w:val="008301E2"/>
    <w:rsid w:val="008307EC"/>
    <w:rsid w:val="008320F5"/>
    <w:rsid w:val="0083251D"/>
    <w:rsid w:val="008339FA"/>
    <w:rsid w:val="00833BEC"/>
    <w:rsid w:val="00834261"/>
    <w:rsid w:val="00834B75"/>
    <w:rsid w:val="00834B7E"/>
    <w:rsid w:val="00834FE3"/>
    <w:rsid w:val="008353A5"/>
    <w:rsid w:val="00835DDC"/>
    <w:rsid w:val="008365D2"/>
    <w:rsid w:val="00837962"/>
    <w:rsid w:val="00837A83"/>
    <w:rsid w:val="00837AF8"/>
    <w:rsid w:val="00837BBA"/>
    <w:rsid w:val="008408DA"/>
    <w:rsid w:val="00840D6E"/>
    <w:rsid w:val="00841216"/>
    <w:rsid w:val="00841CC4"/>
    <w:rsid w:val="0084292A"/>
    <w:rsid w:val="00842C8E"/>
    <w:rsid w:val="00843802"/>
    <w:rsid w:val="0084444D"/>
    <w:rsid w:val="008449B4"/>
    <w:rsid w:val="00844CEB"/>
    <w:rsid w:val="00844DDC"/>
    <w:rsid w:val="00844F5D"/>
    <w:rsid w:val="008450C6"/>
    <w:rsid w:val="00845221"/>
    <w:rsid w:val="008454DC"/>
    <w:rsid w:val="00845ED2"/>
    <w:rsid w:val="008463AE"/>
    <w:rsid w:val="0084663D"/>
    <w:rsid w:val="00846A2C"/>
    <w:rsid w:val="00846C1A"/>
    <w:rsid w:val="00846F78"/>
    <w:rsid w:val="008477CB"/>
    <w:rsid w:val="00847F29"/>
    <w:rsid w:val="008500C6"/>
    <w:rsid w:val="00850345"/>
    <w:rsid w:val="00850C5A"/>
    <w:rsid w:val="00851420"/>
    <w:rsid w:val="00851550"/>
    <w:rsid w:val="00851928"/>
    <w:rsid w:val="00851EC0"/>
    <w:rsid w:val="00851FBC"/>
    <w:rsid w:val="00852CBF"/>
    <w:rsid w:val="00852E44"/>
    <w:rsid w:val="00853315"/>
    <w:rsid w:val="00854051"/>
    <w:rsid w:val="00854387"/>
    <w:rsid w:val="008551F9"/>
    <w:rsid w:val="00855C29"/>
    <w:rsid w:val="0085E9B1"/>
    <w:rsid w:val="008610E8"/>
    <w:rsid w:val="008615F8"/>
    <w:rsid w:val="00861727"/>
    <w:rsid w:val="00862038"/>
    <w:rsid w:val="00862A3C"/>
    <w:rsid w:val="008630D1"/>
    <w:rsid w:val="008634BC"/>
    <w:rsid w:val="00864E9D"/>
    <w:rsid w:val="00865823"/>
    <w:rsid w:val="00866A4B"/>
    <w:rsid w:val="00866C23"/>
    <w:rsid w:val="00866CB4"/>
    <w:rsid w:val="008672BE"/>
    <w:rsid w:val="00867594"/>
    <w:rsid w:val="00867664"/>
    <w:rsid w:val="00867831"/>
    <w:rsid w:val="008678D5"/>
    <w:rsid w:val="00867DB3"/>
    <w:rsid w:val="00870368"/>
    <w:rsid w:val="00870488"/>
    <w:rsid w:val="0087084E"/>
    <w:rsid w:val="00870933"/>
    <w:rsid w:val="00871000"/>
    <w:rsid w:val="00871B36"/>
    <w:rsid w:val="0087232B"/>
    <w:rsid w:val="0087269C"/>
    <w:rsid w:val="008728CA"/>
    <w:rsid w:val="008733FB"/>
    <w:rsid w:val="0087346E"/>
    <w:rsid w:val="008734D4"/>
    <w:rsid w:val="00874924"/>
    <w:rsid w:val="00874D22"/>
    <w:rsid w:val="00875353"/>
    <w:rsid w:val="00876D1D"/>
    <w:rsid w:val="00877079"/>
    <w:rsid w:val="00877B3D"/>
    <w:rsid w:val="00880E6C"/>
    <w:rsid w:val="00881C6E"/>
    <w:rsid w:val="008838B1"/>
    <w:rsid w:val="008839DA"/>
    <w:rsid w:val="008843E9"/>
    <w:rsid w:val="008843FE"/>
    <w:rsid w:val="008848BC"/>
    <w:rsid w:val="008849A3"/>
    <w:rsid w:val="00884FE4"/>
    <w:rsid w:val="008857CD"/>
    <w:rsid w:val="00886312"/>
    <w:rsid w:val="00886528"/>
    <w:rsid w:val="008869C6"/>
    <w:rsid w:val="00887281"/>
    <w:rsid w:val="00887370"/>
    <w:rsid w:val="00887774"/>
    <w:rsid w:val="00887B53"/>
    <w:rsid w:val="0089016F"/>
    <w:rsid w:val="00890855"/>
    <w:rsid w:val="00891694"/>
    <w:rsid w:val="00891C14"/>
    <w:rsid w:val="00891EB7"/>
    <w:rsid w:val="00892747"/>
    <w:rsid w:val="008931BE"/>
    <w:rsid w:val="00893556"/>
    <w:rsid w:val="00893CF5"/>
    <w:rsid w:val="00894317"/>
    <w:rsid w:val="00895595"/>
    <w:rsid w:val="00895F43"/>
    <w:rsid w:val="00897A6D"/>
    <w:rsid w:val="00897AF7"/>
    <w:rsid w:val="00897C57"/>
    <w:rsid w:val="008A0F60"/>
    <w:rsid w:val="008A0F69"/>
    <w:rsid w:val="008A10E6"/>
    <w:rsid w:val="008A111F"/>
    <w:rsid w:val="008A16BB"/>
    <w:rsid w:val="008A16E6"/>
    <w:rsid w:val="008A186D"/>
    <w:rsid w:val="008A2053"/>
    <w:rsid w:val="008A2914"/>
    <w:rsid w:val="008A2AE8"/>
    <w:rsid w:val="008A3A67"/>
    <w:rsid w:val="008A3F6F"/>
    <w:rsid w:val="008A4A4A"/>
    <w:rsid w:val="008A4F6C"/>
    <w:rsid w:val="008A53E2"/>
    <w:rsid w:val="008A615C"/>
    <w:rsid w:val="008A615E"/>
    <w:rsid w:val="008A72DA"/>
    <w:rsid w:val="008B0605"/>
    <w:rsid w:val="008B1D6D"/>
    <w:rsid w:val="008B1E08"/>
    <w:rsid w:val="008B26D5"/>
    <w:rsid w:val="008B30EC"/>
    <w:rsid w:val="008B3538"/>
    <w:rsid w:val="008B3BFA"/>
    <w:rsid w:val="008B4681"/>
    <w:rsid w:val="008B5A5E"/>
    <w:rsid w:val="008B614B"/>
    <w:rsid w:val="008B63D9"/>
    <w:rsid w:val="008B68A7"/>
    <w:rsid w:val="008B6D9E"/>
    <w:rsid w:val="008B6E94"/>
    <w:rsid w:val="008B7628"/>
    <w:rsid w:val="008B7675"/>
    <w:rsid w:val="008B781E"/>
    <w:rsid w:val="008BC9EA"/>
    <w:rsid w:val="008C0197"/>
    <w:rsid w:val="008C127D"/>
    <w:rsid w:val="008C211A"/>
    <w:rsid w:val="008C3929"/>
    <w:rsid w:val="008C499E"/>
    <w:rsid w:val="008C4E59"/>
    <w:rsid w:val="008C50E0"/>
    <w:rsid w:val="008C5D4C"/>
    <w:rsid w:val="008C5E38"/>
    <w:rsid w:val="008C5ECD"/>
    <w:rsid w:val="008C6218"/>
    <w:rsid w:val="008C6BB3"/>
    <w:rsid w:val="008C6CCE"/>
    <w:rsid w:val="008C764D"/>
    <w:rsid w:val="008C7F66"/>
    <w:rsid w:val="008D0E40"/>
    <w:rsid w:val="008D10DB"/>
    <w:rsid w:val="008D1D44"/>
    <w:rsid w:val="008D2C08"/>
    <w:rsid w:val="008D2F60"/>
    <w:rsid w:val="008D3823"/>
    <w:rsid w:val="008D39BE"/>
    <w:rsid w:val="008D3E72"/>
    <w:rsid w:val="008D3EBB"/>
    <w:rsid w:val="008D455D"/>
    <w:rsid w:val="008D4735"/>
    <w:rsid w:val="008D5100"/>
    <w:rsid w:val="008D5310"/>
    <w:rsid w:val="008D5A09"/>
    <w:rsid w:val="008D6910"/>
    <w:rsid w:val="008D7565"/>
    <w:rsid w:val="008D7BA9"/>
    <w:rsid w:val="008D7C54"/>
    <w:rsid w:val="008D7CCA"/>
    <w:rsid w:val="008E009C"/>
    <w:rsid w:val="008E02C3"/>
    <w:rsid w:val="008E0F35"/>
    <w:rsid w:val="008E1411"/>
    <w:rsid w:val="008E1602"/>
    <w:rsid w:val="008E1C26"/>
    <w:rsid w:val="008E20ED"/>
    <w:rsid w:val="008E2EBB"/>
    <w:rsid w:val="008E3461"/>
    <w:rsid w:val="008E34F2"/>
    <w:rsid w:val="008E3879"/>
    <w:rsid w:val="008E3BB2"/>
    <w:rsid w:val="008E3C7B"/>
    <w:rsid w:val="008E4AED"/>
    <w:rsid w:val="008E4D1F"/>
    <w:rsid w:val="008E4D8E"/>
    <w:rsid w:val="008E611A"/>
    <w:rsid w:val="008E7541"/>
    <w:rsid w:val="008E7E5B"/>
    <w:rsid w:val="008F0686"/>
    <w:rsid w:val="008F0722"/>
    <w:rsid w:val="008F1934"/>
    <w:rsid w:val="008F25EF"/>
    <w:rsid w:val="008F31F8"/>
    <w:rsid w:val="008F5DF5"/>
    <w:rsid w:val="008F5F19"/>
    <w:rsid w:val="008F602C"/>
    <w:rsid w:val="008F6978"/>
    <w:rsid w:val="008F6D82"/>
    <w:rsid w:val="008F6ED2"/>
    <w:rsid w:val="008F797F"/>
    <w:rsid w:val="00901037"/>
    <w:rsid w:val="00901414"/>
    <w:rsid w:val="00902757"/>
    <w:rsid w:val="009031A7"/>
    <w:rsid w:val="00903590"/>
    <w:rsid w:val="009037D6"/>
    <w:rsid w:val="009038AE"/>
    <w:rsid w:val="00904471"/>
    <w:rsid w:val="00904B33"/>
    <w:rsid w:val="00904F61"/>
    <w:rsid w:val="0090552F"/>
    <w:rsid w:val="00905F71"/>
    <w:rsid w:val="009067DC"/>
    <w:rsid w:val="0090686C"/>
    <w:rsid w:val="00907CA7"/>
    <w:rsid w:val="00910221"/>
    <w:rsid w:val="00911575"/>
    <w:rsid w:val="00911999"/>
    <w:rsid w:val="009124B9"/>
    <w:rsid w:val="00912BAC"/>
    <w:rsid w:val="00912EF5"/>
    <w:rsid w:val="00912F4F"/>
    <w:rsid w:val="00912F6E"/>
    <w:rsid w:val="00912FBA"/>
    <w:rsid w:val="009141A8"/>
    <w:rsid w:val="00914531"/>
    <w:rsid w:val="0091517E"/>
    <w:rsid w:val="00915BFC"/>
    <w:rsid w:val="0091607E"/>
    <w:rsid w:val="009164C0"/>
    <w:rsid w:val="009200B1"/>
    <w:rsid w:val="009204D0"/>
    <w:rsid w:val="00920D4B"/>
    <w:rsid w:val="00921072"/>
    <w:rsid w:val="00921467"/>
    <w:rsid w:val="00921A82"/>
    <w:rsid w:val="00921A9D"/>
    <w:rsid w:val="00922F56"/>
    <w:rsid w:val="00923D8E"/>
    <w:rsid w:val="00923ED0"/>
    <w:rsid w:val="00924AAE"/>
    <w:rsid w:val="00925656"/>
    <w:rsid w:val="009261BB"/>
    <w:rsid w:val="009278C8"/>
    <w:rsid w:val="00927910"/>
    <w:rsid w:val="00931007"/>
    <w:rsid w:val="009310F3"/>
    <w:rsid w:val="009314AA"/>
    <w:rsid w:val="009325C5"/>
    <w:rsid w:val="00932F78"/>
    <w:rsid w:val="009333E8"/>
    <w:rsid w:val="009334F1"/>
    <w:rsid w:val="00933FA7"/>
    <w:rsid w:val="009345A5"/>
    <w:rsid w:val="0093480D"/>
    <w:rsid w:val="00934CAA"/>
    <w:rsid w:val="009351DF"/>
    <w:rsid w:val="00935B0E"/>
    <w:rsid w:val="009361E1"/>
    <w:rsid w:val="0093623E"/>
    <w:rsid w:val="0093631B"/>
    <w:rsid w:val="009368A5"/>
    <w:rsid w:val="00937038"/>
    <w:rsid w:val="0093722C"/>
    <w:rsid w:val="0093735D"/>
    <w:rsid w:val="009373BC"/>
    <w:rsid w:val="0093741C"/>
    <w:rsid w:val="00937552"/>
    <w:rsid w:val="009379F0"/>
    <w:rsid w:val="00940530"/>
    <w:rsid w:val="009405C0"/>
    <w:rsid w:val="00940684"/>
    <w:rsid w:val="00941006"/>
    <w:rsid w:val="00941685"/>
    <w:rsid w:val="009417EF"/>
    <w:rsid w:val="00941A3C"/>
    <w:rsid w:val="00942072"/>
    <w:rsid w:val="009422D5"/>
    <w:rsid w:val="0094254A"/>
    <w:rsid w:val="009425E3"/>
    <w:rsid w:val="00942CFB"/>
    <w:rsid w:val="00942FBB"/>
    <w:rsid w:val="00943045"/>
    <w:rsid w:val="009436A9"/>
    <w:rsid w:val="00943E6B"/>
    <w:rsid w:val="009452BE"/>
    <w:rsid w:val="00946697"/>
    <w:rsid w:val="009468FB"/>
    <w:rsid w:val="00947508"/>
    <w:rsid w:val="009514B4"/>
    <w:rsid w:val="00951854"/>
    <w:rsid w:val="009518E5"/>
    <w:rsid w:val="00951ABA"/>
    <w:rsid w:val="00952FB1"/>
    <w:rsid w:val="0095396F"/>
    <w:rsid w:val="00953A9C"/>
    <w:rsid w:val="00953D9F"/>
    <w:rsid w:val="00955513"/>
    <w:rsid w:val="009557CC"/>
    <w:rsid w:val="0095598B"/>
    <w:rsid w:val="00955B09"/>
    <w:rsid w:val="009561C2"/>
    <w:rsid w:val="009563AB"/>
    <w:rsid w:val="00956A11"/>
    <w:rsid w:val="00956E0A"/>
    <w:rsid w:val="009572F3"/>
    <w:rsid w:val="009574C3"/>
    <w:rsid w:val="009579BE"/>
    <w:rsid w:val="009604D9"/>
    <w:rsid w:val="00960DF7"/>
    <w:rsid w:val="009639CD"/>
    <w:rsid w:val="00964414"/>
    <w:rsid w:val="0096521F"/>
    <w:rsid w:val="009653E8"/>
    <w:rsid w:val="00966025"/>
    <w:rsid w:val="0096675D"/>
    <w:rsid w:val="009670FF"/>
    <w:rsid w:val="009675AB"/>
    <w:rsid w:val="00967996"/>
    <w:rsid w:val="00967C5F"/>
    <w:rsid w:val="00967DD4"/>
    <w:rsid w:val="00970229"/>
    <w:rsid w:val="0097092E"/>
    <w:rsid w:val="00970D94"/>
    <w:rsid w:val="009710CD"/>
    <w:rsid w:val="00972151"/>
    <w:rsid w:val="009728FC"/>
    <w:rsid w:val="009730EE"/>
    <w:rsid w:val="00973D63"/>
    <w:rsid w:val="00973DD5"/>
    <w:rsid w:val="00974025"/>
    <w:rsid w:val="0097516D"/>
    <w:rsid w:val="00975A67"/>
    <w:rsid w:val="00976607"/>
    <w:rsid w:val="0097725D"/>
    <w:rsid w:val="00977EA8"/>
    <w:rsid w:val="009801E2"/>
    <w:rsid w:val="0098023F"/>
    <w:rsid w:val="00980406"/>
    <w:rsid w:val="00981934"/>
    <w:rsid w:val="00981FAF"/>
    <w:rsid w:val="009820FA"/>
    <w:rsid w:val="00983218"/>
    <w:rsid w:val="00983287"/>
    <w:rsid w:val="00984AF9"/>
    <w:rsid w:val="00984D62"/>
    <w:rsid w:val="0098574E"/>
    <w:rsid w:val="00990146"/>
    <w:rsid w:val="009904D1"/>
    <w:rsid w:val="009908D9"/>
    <w:rsid w:val="00991ABF"/>
    <w:rsid w:val="00991EBD"/>
    <w:rsid w:val="0099227F"/>
    <w:rsid w:val="00993769"/>
    <w:rsid w:val="009938FB"/>
    <w:rsid w:val="009939F8"/>
    <w:rsid w:val="00993B0F"/>
    <w:rsid w:val="00993F1F"/>
    <w:rsid w:val="009941CF"/>
    <w:rsid w:val="0099503E"/>
    <w:rsid w:val="0099504A"/>
    <w:rsid w:val="00995741"/>
    <w:rsid w:val="00995858"/>
    <w:rsid w:val="00996E93"/>
    <w:rsid w:val="0099780A"/>
    <w:rsid w:val="009A1767"/>
    <w:rsid w:val="009A2591"/>
    <w:rsid w:val="009A2D67"/>
    <w:rsid w:val="009A3045"/>
    <w:rsid w:val="009A3126"/>
    <w:rsid w:val="009A3A11"/>
    <w:rsid w:val="009A3FFD"/>
    <w:rsid w:val="009A4034"/>
    <w:rsid w:val="009A659E"/>
    <w:rsid w:val="009A6EE1"/>
    <w:rsid w:val="009A7305"/>
    <w:rsid w:val="009A7E6C"/>
    <w:rsid w:val="009B0873"/>
    <w:rsid w:val="009B0FA8"/>
    <w:rsid w:val="009B148C"/>
    <w:rsid w:val="009B1502"/>
    <w:rsid w:val="009B1535"/>
    <w:rsid w:val="009B1988"/>
    <w:rsid w:val="009B2003"/>
    <w:rsid w:val="009B289A"/>
    <w:rsid w:val="009B414F"/>
    <w:rsid w:val="009B41BD"/>
    <w:rsid w:val="009B4253"/>
    <w:rsid w:val="009B4915"/>
    <w:rsid w:val="009B4CA3"/>
    <w:rsid w:val="009B4FA4"/>
    <w:rsid w:val="009B5213"/>
    <w:rsid w:val="009B5ACC"/>
    <w:rsid w:val="009B5C54"/>
    <w:rsid w:val="009B60AE"/>
    <w:rsid w:val="009B60F5"/>
    <w:rsid w:val="009B6BAD"/>
    <w:rsid w:val="009B6D73"/>
    <w:rsid w:val="009C0317"/>
    <w:rsid w:val="009C0C20"/>
    <w:rsid w:val="009C17E8"/>
    <w:rsid w:val="009C225E"/>
    <w:rsid w:val="009C2F92"/>
    <w:rsid w:val="009C3C83"/>
    <w:rsid w:val="009C4016"/>
    <w:rsid w:val="009C40D9"/>
    <w:rsid w:val="009C45BC"/>
    <w:rsid w:val="009C487E"/>
    <w:rsid w:val="009C49AE"/>
    <w:rsid w:val="009C4BB6"/>
    <w:rsid w:val="009C4ECC"/>
    <w:rsid w:val="009C574E"/>
    <w:rsid w:val="009C5CCA"/>
    <w:rsid w:val="009C6B59"/>
    <w:rsid w:val="009D0793"/>
    <w:rsid w:val="009D2357"/>
    <w:rsid w:val="009D39B5"/>
    <w:rsid w:val="009D4B25"/>
    <w:rsid w:val="009D5391"/>
    <w:rsid w:val="009D592D"/>
    <w:rsid w:val="009D5DED"/>
    <w:rsid w:val="009D6542"/>
    <w:rsid w:val="009D71CF"/>
    <w:rsid w:val="009D78AB"/>
    <w:rsid w:val="009D7E40"/>
    <w:rsid w:val="009E011F"/>
    <w:rsid w:val="009E0335"/>
    <w:rsid w:val="009E0611"/>
    <w:rsid w:val="009E08C5"/>
    <w:rsid w:val="009E18D2"/>
    <w:rsid w:val="009E1B79"/>
    <w:rsid w:val="009E2736"/>
    <w:rsid w:val="009E2905"/>
    <w:rsid w:val="009E2F83"/>
    <w:rsid w:val="009E36A5"/>
    <w:rsid w:val="009E37CA"/>
    <w:rsid w:val="009E3C8A"/>
    <w:rsid w:val="009E5323"/>
    <w:rsid w:val="009E54C9"/>
    <w:rsid w:val="009E59D1"/>
    <w:rsid w:val="009E6435"/>
    <w:rsid w:val="009E66B7"/>
    <w:rsid w:val="009E6A3D"/>
    <w:rsid w:val="009E771D"/>
    <w:rsid w:val="009E77F7"/>
    <w:rsid w:val="009E7C66"/>
    <w:rsid w:val="009F1623"/>
    <w:rsid w:val="009F1C9C"/>
    <w:rsid w:val="009F2519"/>
    <w:rsid w:val="009F29D4"/>
    <w:rsid w:val="009F36A6"/>
    <w:rsid w:val="009F4D05"/>
    <w:rsid w:val="009F518A"/>
    <w:rsid w:val="009F5853"/>
    <w:rsid w:val="009F6347"/>
    <w:rsid w:val="009F707B"/>
    <w:rsid w:val="009F779C"/>
    <w:rsid w:val="009F797B"/>
    <w:rsid w:val="00A01902"/>
    <w:rsid w:val="00A019D7"/>
    <w:rsid w:val="00A03F8F"/>
    <w:rsid w:val="00A041C1"/>
    <w:rsid w:val="00A049D0"/>
    <w:rsid w:val="00A0545B"/>
    <w:rsid w:val="00A05F7B"/>
    <w:rsid w:val="00A0619E"/>
    <w:rsid w:val="00A065EF"/>
    <w:rsid w:val="00A065F1"/>
    <w:rsid w:val="00A066AD"/>
    <w:rsid w:val="00A066FD"/>
    <w:rsid w:val="00A06DF4"/>
    <w:rsid w:val="00A06E3D"/>
    <w:rsid w:val="00A07037"/>
    <w:rsid w:val="00A1027B"/>
    <w:rsid w:val="00A103F3"/>
    <w:rsid w:val="00A1133D"/>
    <w:rsid w:val="00A12408"/>
    <w:rsid w:val="00A12AFC"/>
    <w:rsid w:val="00A12ED2"/>
    <w:rsid w:val="00A145F7"/>
    <w:rsid w:val="00A147FD"/>
    <w:rsid w:val="00A15047"/>
    <w:rsid w:val="00A160B5"/>
    <w:rsid w:val="00A16167"/>
    <w:rsid w:val="00A16E84"/>
    <w:rsid w:val="00A17FAB"/>
    <w:rsid w:val="00A21114"/>
    <w:rsid w:val="00A2121E"/>
    <w:rsid w:val="00A215BA"/>
    <w:rsid w:val="00A2171D"/>
    <w:rsid w:val="00A230E3"/>
    <w:rsid w:val="00A2317D"/>
    <w:rsid w:val="00A23931"/>
    <w:rsid w:val="00A23E44"/>
    <w:rsid w:val="00A23F4B"/>
    <w:rsid w:val="00A2410B"/>
    <w:rsid w:val="00A2430F"/>
    <w:rsid w:val="00A24A2E"/>
    <w:rsid w:val="00A24EF5"/>
    <w:rsid w:val="00A259FA"/>
    <w:rsid w:val="00A25FB8"/>
    <w:rsid w:val="00A26F6B"/>
    <w:rsid w:val="00A275D3"/>
    <w:rsid w:val="00A27D9F"/>
    <w:rsid w:val="00A3061D"/>
    <w:rsid w:val="00A3177E"/>
    <w:rsid w:val="00A31BE3"/>
    <w:rsid w:val="00A32C00"/>
    <w:rsid w:val="00A3409B"/>
    <w:rsid w:val="00A347A9"/>
    <w:rsid w:val="00A35307"/>
    <w:rsid w:val="00A35647"/>
    <w:rsid w:val="00A356AB"/>
    <w:rsid w:val="00A35D30"/>
    <w:rsid w:val="00A3606D"/>
    <w:rsid w:val="00A362D4"/>
    <w:rsid w:val="00A36930"/>
    <w:rsid w:val="00A36960"/>
    <w:rsid w:val="00A36A02"/>
    <w:rsid w:val="00A37D04"/>
    <w:rsid w:val="00A411DB"/>
    <w:rsid w:val="00A41D62"/>
    <w:rsid w:val="00A42082"/>
    <w:rsid w:val="00A42176"/>
    <w:rsid w:val="00A42EB2"/>
    <w:rsid w:val="00A430B9"/>
    <w:rsid w:val="00A44C98"/>
    <w:rsid w:val="00A45B39"/>
    <w:rsid w:val="00A45BAB"/>
    <w:rsid w:val="00A47E39"/>
    <w:rsid w:val="00A51005"/>
    <w:rsid w:val="00A51106"/>
    <w:rsid w:val="00A512E1"/>
    <w:rsid w:val="00A51803"/>
    <w:rsid w:val="00A51F44"/>
    <w:rsid w:val="00A51FC7"/>
    <w:rsid w:val="00A52AEF"/>
    <w:rsid w:val="00A52D43"/>
    <w:rsid w:val="00A536FD"/>
    <w:rsid w:val="00A53929"/>
    <w:rsid w:val="00A53D92"/>
    <w:rsid w:val="00A54AE1"/>
    <w:rsid w:val="00A54C90"/>
    <w:rsid w:val="00A550F7"/>
    <w:rsid w:val="00A55277"/>
    <w:rsid w:val="00A5582E"/>
    <w:rsid w:val="00A55851"/>
    <w:rsid w:val="00A55E90"/>
    <w:rsid w:val="00A56747"/>
    <w:rsid w:val="00A56AF7"/>
    <w:rsid w:val="00A56CF4"/>
    <w:rsid w:val="00A56DDF"/>
    <w:rsid w:val="00A57469"/>
    <w:rsid w:val="00A605F6"/>
    <w:rsid w:val="00A612CC"/>
    <w:rsid w:val="00A61A49"/>
    <w:rsid w:val="00A62640"/>
    <w:rsid w:val="00A62D2C"/>
    <w:rsid w:val="00A654EE"/>
    <w:rsid w:val="00A65BDF"/>
    <w:rsid w:val="00A66167"/>
    <w:rsid w:val="00A66A27"/>
    <w:rsid w:val="00A66A95"/>
    <w:rsid w:val="00A6702C"/>
    <w:rsid w:val="00A6733A"/>
    <w:rsid w:val="00A67416"/>
    <w:rsid w:val="00A67C00"/>
    <w:rsid w:val="00A70028"/>
    <w:rsid w:val="00A708D6"/>
    <w:rsid w:val="00A70C78"/>
    <w:rsid w:val="00A70C81"/>
    <w:rsid w:val="00A7110D"/>
    <w:rsid w:val="00A7217F"/>
    <w:rsid w:val="00A72234"/>
    <w:rsid w:val="00A732EE"/>
    <w:rsid w:val="00A73496"/>
    <w:rsid w:val="00A74123"/>
    <w:rsid w:val="00A74AAD"/>
    <w:rsid w:val="00A750BF"/>
    <w:rsid w:val="00A76621"/>
    <w:rsid w:val="00A77319"/>
    <w:rsid w:val="00A77DC4"/>
    <w:rsid w:val="00A80662"/>
    <w:rsid w:val="00A81A93"/>
    <w:rsid w:val="00A82582"/>
    <w:rsid w:val="00A83A0E"/>
    <w:rsid w:val="00A83D40"/>
    <w:rsid w:val="00A849C8"/>
    <w:rsid w:val="00A849F1"/>
    <w:rsid w:val="00A84F6B"/>
    <w:rsid w:val="00A85C87"/>
    <w:rsid w:val="00A868FE"/>
    <w:rsid w:val="00A87754"/>
    <w:rsid w:val="00A877F0"/>
    <w:rsid w:val="00A87DFC"/>
    <w:rsid w:val="00A924D9"/>
    <w:rsid w:val="00A92760"/>
    <w:rsid w:val="00A9327C"/>
    <w:rsid w:val="00A944ED"/>
    <w:rsid w:val="00A944F3"/>
    <w:rsid w:val="00A95AD8"/>
    <w:rsid w:val="00A95E57"/>
    <w:rsid w:val="00A95EC1"/>
    <w:rsid w:val="00A9665B"/>
    <w:rsid w:val="00A97E68"/>
    <w:rsid w:val="00AA07E4"/>
    <w:rsid w:val="00AA1930"/>
    <w:rsid w:val="00AA1FC2"/>
    <w:rsid w:val="00AA260D"/>
    <w:rsid w:val="00AA2804"/>
    <w:rsid w:val="00AA2B76"/>
    <w:rsid w:val="00AA38D7"/>
    <w:rsid w:val="00AA38E8"/>
    <w:rsid w:val="00AA483B"/>
    <w:rsid w:val="00AA5B13"/>
    <w:rsid w:val="00AA65A1"/>
    <w:rsid w:val="00AA68D5"/>
    <w:rsid w:val="00AA6F05"/>
    <w:rsid w:val="00AA7002"/>
    <w:rsid w:val="00AA7190"/>
    <w:rsid w:val="00AA7299"/>
    <w:rsid w:val="00AA7316"/>
    <w:rsid w:val="00AA7332"/>
    <w:rsid w:val="00AB0B3C"/>
    <w:rsid w:val="00AB1241"/>
    <w:rsid w:val="00AB19E8"/>
    <w:rsid w:val="00AB1F8B"/>
    <w:rsid w:val="00AB23F0"/>
    <w:rsid w:val="00AB266E"/>
    <w:rsid w:val="00AB2A51"/>
    <w:rsid w:val="00AB332F"/>
    <w:rsid w:val="00AB3774"/>
    <w:rsid w:val="00AB409B"/>
    <w:rsid w:val="00AB475C"/>
    <w:rsid w:val="00AB5401"/>
    <w:rsid w:val="00AB608E"/>
    <w:rsid w:val="00AB60EC"/>
    <w:rsid w:val="00AB63C3"/>
    <w:rsid w:val="00AB6559"/>
    <w:rsid w:val="00AB6ACD"/>
    <w:rsid w:val="00AB6AE9"/>
    <w:rsid w:val="00AB7060"/>
    <w:rsid w:val="00AC0254"/>
    <w:rsid w:val="00AC1264"/>
    <w:rsid w:val="00AC16BC"/>
    <w:rsid w:val="00AC1B60"/>
    <w:rsid w:val="00AC2305"/>
    <w:rsid w:val="00AC24DD"/>
    <w:rsid w:val="00AC2E7C"/>
    <w:rsid w:val="00AC3078"/>
    <w:rsid w:val="00AC380E"/>
    <w:rsid w:val="00AC5421"/>
    <w:rsid w:val="00AC54E0"/>
    <w:rsid w:val="00AC5602"/>
    <w:rsid w:val="00AC78BC"/>
    <w:rsid w:val="00AC7B42"/>
    <w:rsid w:val="00AC7FBA"/>
    <w:rsid w:val="00AD0237"/>
    <w:rsid w:val="00AD04AC"/>
    <w:rsid w:val="00AD05A1"/>
    <w:rsid w:val="00AD096B"/>
    <w:rsid w:val="00AD0C48"/>
    <w:rsid w:val="00AD183F"/>
    <w:rsid w:val="00AD1C25"/>
    <w:rsid w:val="00AD246B"/>
    <w:rsid w:val="00AD28CD"/>
    <w:rsid w:val="00AD2B54"/>
    <w:rsid w:val="00AD2C37"/>
    <w:rsid w:val="00AD3AD8"/>
    <w:rsid w:val="00AD5B53"/>
    <w:rsid w:val="00AD5D43"/>
    <w:rsid w:val="00AD66E5"/>
    <w:rsid w:val="00AD7876"/>
    <w:rsid w:val="00AD7F36"/>
    <w:rsid w:val="00AE0052"/>
    <w:rsid w:val="00AE044A"/>
    <w:rsid w:val="00AE0504"/>
    <w:rsid w:val="00AE1AC5"/>
    <w:rsid w:val="00AE2E9E"/>
    <w:rsid w:val="00AE3566"/>
    <w:rsid w:val="00AE386C"/>
    <w:rsid w:val="00AE4CE6"/>
    <w:rsid w:val="00AE52D6"/>
    <w:rsid w:val="00AE64CC"/>
    <w:rsid w:val="00AE654B"/>
    <w:rsid w:val="00AE6936"/>
    <w:rsid w:val="00AE7390"/>
    <w:rsid w:val="00AF0915"/>
    <w:rsid w:val="00AF1DE2"/>
    <w:rsid w:val="00AF2406"/>
    <w:rsid w:val="00AF333B"/>
    <w:rsid w:val="00AF3E31"/>
    <w:rsid w:val="00AF3F67"/>
    <w:rsid w:val="00AF461E"/>
    <w:rsid w:val="00AF4B01"/>
    <w:rsid w:val="00AF5D9F"/>
    <w:rsid w:val="00AF6363"/>
    <w:rsid w:val="00AF6E2B"/>
    <w:rsid w:val="00AF6ECE"/>
    <w:rsid w:val="00AF772F"/>
    <w:rsid w:val="00AF7E35"/>
    <w:rsid w:val="00B0017C"/>
    <w:rsid w:val="00B0068B"/>
    <w:rsid w:val="00B007F2"/>
    <w:rsid w:val="00B00966"/>
    <w:rsid w:val="00B01519"/>
    <w:rsid w:val="00B017F1"/>
    <w:rsid w:val="00B030AF"/>
    <w:rsid w:val="00B031DC"/>
    <w:rsid w:val="00B038BC"/>
    <w:rsid w:val="00B0441B"/>
    <w:rsid w:val="00B044DF"/>
    <w:rsid w:val="00B0500F"/>
    <w:rsid w:val="00B05356"/>
    <w:rsid w:val="00B054FD"/>
    <w:rsid w:val="00B05A12"/>
    <w:rsid w:val="00B05C91"/>
    <w:rsid w:val="00B05DF9"/>
    <w:rsid w:val="00B06136"/>
    <w:rsid w:val="00B061D7"/>
    <w:rsid w:val="00B063A2"/>
    <w:rsid w:val="00B06528"/>
    <w:rsid w:val="00B068E4"/>
    <w:rsid w:val="00B06F3F"/>
    <w:rsid w:val="00B07308"/>
    <w:rsid w:val="00B07ED3"/>
    <w:rsid w:val="00B07FC9"/>
    <w:rsid w:val="00B10231"/>
    <w:rsid w:val="00B1047F"/>
    <w:rsid w:val="00B105C5"/>
    <w:rsid w:val="00B11B29"/>
    <w:rsid w:val="00B124D0"/>
    <w:rsid w:val="00B13018"/>
    <w:rsid w:val="00B1352C"/>
    <w:rsid w:val="00B13801"/>
    <w:rsid w:val="00B13F69"/>
    <w:rsid w:val="00B158BE"/>
    <w:rsid w:val="00B174DF"/>
    <w:rsid w:val="00B1765B"/>
    <w:rsid w:val="00B20EDE"/>
    <w:rsid w:val="00B214CA"/>
    <w:rsid w:val="00B2179D"/>
    <w:rsid w:val="00B22212"/>
    <w:rsid w:val="00B22AA9"/>
    <w:rsid w:val="00B22C9E"/>
    <w:rsid w:val="00B240A1"/>
    <w:rsid w:val="00B25E9F"/>
    <w:rsid w:val="00B263F7"/>
    <w:rsid w:val="00B2714D"/>
    <w:rsid w:val="00B2796D"/>
    <w:rsid w:val="00B303EE"/>
    <w:rsid w:val="00B30532"/>
    <w:rsid w:val="00B30ABF"/>
    <w:rsid w:val="00B31460"/>
    <w:rsid w:val="00B3181E"/>
    <w:rsid w:val="00B31D84"/>
    <w:rsid w:val="00B32851"/>
    <w:rsid w:val="00B33205"/>
    <w:rsid w:val="00B335B8"/>
    <w:rsid w:val="00B33FAF"/>
    <w:rsid w:val="00B34CBA"/>
    <w:rsid w:val="00B35724"/>
    <w:rsid w:val="00B35BEB"/>
    <w:rsid w:val="00B35FCD"/>
    <w:rsid w:val="00B36FCA"/>
    <w:rsid w:val="00B373BC"/>
    <w:rsid w:val="00B41E23"/>
    <w:rsid w:val="00B426EC"/>
    <w:rsid w:val="00B42F00"/>
    <w:rsid w:val="00B4324F"/>
    <w:rsid w:val="00B43317"/>
    <w:rsid w:val="00B45AF3"/>
    <w:rsid w:val="00B46539"/>
    <w:rsid w:val="00B47D7A"/>
    <w:rsid w:val="00B50B32"/>
    <w:rsid w:val="00B53C0E"/>
    <w:rsid w:val="00B5447C"/>
    <w:rsid w:val="00B54F2A"/>
    <w:rsid w:val="00B566EF"/>
    <w:rsid w:val="00B56DDA"/>
    <w:rsid w:val="00B57DCE"/>
    <w:rsid w:val="00B57E5B"/>
    <w:rsid w:val="00B608F7"/>
    <w:rsid w:val="00B60D34"/>
    <w:rsid w:val="00B61596"/>
    <w:rsid w:val="00B626A6"/>
    <w:rsid w:val="00B63623"/>
    <w:rsid w:val="00B637A8"/>
    <w:rsid w:val="00B63AF9"/>
    <w:rsid w:val="00B63B47"/>
    <w:rsid w:val="00B63C6A"/>
    <w:rsid w:val="00B64087"/>
    <w:rsid w:val="00B640BA"/>
    <w:rsid w:val="00B64134"/>
    <w:rsid w:val="00B643F1"/>
    <w:rsid w:val="00B6585C"/>
    <w:rsid w:val="00B6616D"/>
    <w:rsid w:val="00B66821"/>
    <w:rsid w:val="00B66B25"/>
    <w:rsid w:val="00B674F9"/>
    <w:rsid w:val="00B675FD"/>
    <w:rsid w:val="00B67FA9"/>
    <w:rsid w:val="00B7009A"/>
    <w:rsid w:val="00B701A7"/>
    <w:rsid w:val="00B70ACB"/>
    <w:rsid w:val="00B70BB4"/>
    <w:rsid w:val="00B71686"/>
    <w:rsid w:val="00B720AE"/>
    <w:rsid w:val="00B72965"/>
    <w:rsid w:val="00B73857"/>
    <w:rsid w:val="00B73EE1"/>
    <w:rsid w:val="00B761D2"/>
    <w:rsid w:val="00B767E9"/>
    <w:rsid w:val="00B76B8E"/>
    <w:rsid w:val="00B80103"/>
    <w:rsid w:val="00B8011E"/>
    <w:rsid w:val="00B806EA"/>
    <w:rsid w:val="00B80C9C"/>
    <w:rsid w:val="00B80D2A"/>
    <w:rsid w:val="00B81488"/>
    <w:rsid w:val="00B8163D"/>
    <w:rsid w:val="00B81F3F"/>
    <w:rsid w:val="00B8370B"/>
    <w:rsid w:val="00B83E9E"/>
    <w:rsid w:val="00B83FC5"/>
    <w:rsid w:val="00B84054"/>
    <w:rsid w:val="00B84EDD"/>
    <w:rsid w:val="00B854A1"/>
    <w:rsid w:val="00B86025"/>
    <w:rsid w:val="00B8610D"/>
    <w:rsid w:val="00B86CCF"/>
    <w:rsid w:val="00B86E68"/>
    <w:rsid w:val="00B86EC2"/>
    <w:rsid w:val="00B87098"/>
    <w:rsid w:val="00B879A9"/>
    <w:rsid w:val="00B87C10"/>
    <w:rsid w:val="00B87DA4"/>
    <w:rsid w:val="00B903B5"/>
    <w:rsid w:val="00B905F9"/>
    <w:rsid w:val="00B908FD"/>
    <w:rsid w:val="00B91AA7"/>
    <w:rsid w:val="00B9252E"/>
    <w:rsid w:val="00B925B0"/>
    <w:rsid w:val="00B9307A"/>
    <w:rsid w:val="00B93236"/>
    <w:rsid w:val="00B9399C"/>
    <w:rsid w:val="00B93A44"/>
    <w:rsid w:val="00B93BE6"/>
    <w:rsid w:val="00B93EEA"/>
    <w:rsid w:val="00B957A7"/>
    <w:rsid w:val="00B95B5D"/>
    <w:rsid w:val="00B96B22"/>
    <w:rsid w:val="00B96F88"/>
    <w:rsid w:val="00B972C5"/>
    <w:rsid w:val="00B976BF"/>
    <w:rsid w:val="00BA0167"/>
    <w:rsid w:val="00BA1048"/>
    <w:rsid w:val="00BA1227"/>
    <w:rsid w:val="00BA1458"/>
    <w:rsid w:val="00BA1ADC"/>
    <w:rsid w:val="00BA2E90"/>
    <w:rsid w:val="00BA2EBD"/>
    <w:rsid w:val="00BA32CE"/>
    <w:rsid w:val="00BA3957"/>
    <w:rsid w:val="00BA435E"/>
    <w:rsid w:val="00BA4D26"/>
    <w:rsid w:val="00BA5FF4"/>
    <w:rsid w:val="00BA607E"/>
    <w:rsid w:val="00BA6736"/>
    <w:rsid w:val="00BB03DF"/>
    <w:rsid w:val="00BB07D4"/>
    <w:rsid w:val="00BB0D62"/>
    <w:rsid w:val="00BB0D77"/>
    <w:rsid w:val="00BB0F40"/>
    <w:rsid w:val="00BB105C"/>
    <w:rsid w:val="00BB12FA"/>
    <w:rsid w:val="00BB1F2D"/>
    <w:rsid w:val="00BB216D"/>
    <w:rsid w:val="00BB2F7D"/>
    <w:rsid w:val="00BB40C8"/>
    <w:rsid w:val="00BB4104"/>
    <w:rsid w:val="00BB5438"/>
    <w:rsid w:val="00BB59CD"/>
    <w:rsid w:val="00BC0753"/>
    <w:rsid w:val="00BC0CD0"/>
    <w:rsid w:val="00BC1F5E"/>
    <w:rsid w:val="00BC2258"/>
    <w:rsid w:val="00BC2F6E"/>
    <w:rsid w:val="00BC2F92"/>
    <w:rsid w:val="00BC3A79"/>
    <w:rsid w:val="00BC4530"/>
    <w:rsid w:val="00BC4813"/>
    <w:rsid w:val="00BC54CB"/>
    <w:rsid w:val="00BC59A6"/>
    <w:rsid w:val="00BC5F4C"/>
    <w:rsid w:val="00BC5FDA"/>
    <w:rsid w:val="00BC6330"/>
    <w:rsid w:val="00BC69CD"/>
    <w:rsid w:val="00BC71C9"/>
    <w:rsid w:val="00BC7458"/>
    <w:rsid w:val="00BC7C1C"/>
    <w:rsid w:val="00BD0093"/>
    <w:rsid w:val="00BD30DE"/>
    <w:rsid w:val="00BD3A6D"/>
    <w:rsid w:val="00BD3D16"/>
    <w:rsid w:val="00BD522A"/>
    <w:rsid w:val="00BD5C9C"/>
    <w:rsid w:val="00BD699A"/>
    <w:rsid w:val="00BD72EE"/>
    <w:rsid w:val="00BD773C"/>
    <w:rsid w:val="00BE03C9"/>
    <w:rsid w:val="00BE150E"/>
    <w:rsid w:val="00BE171B"/>
    <w:rsid w:val="00BE1BC9"/>
    <w:rsid w:val="00BE2738"/>
    <w:rsid w:val="00BE2BA5"/>
    <w:rsid w:val="00BE58D7"/>
    <w:rsid w:val="00BE6834"/>
    <w:rsid w:val="00BE6894"/>
    <w:rsid w:val="00BE6F0E"/>
    <w:rsid w:val="00BE702A"/>
    <w:rsid w:val="00BE72F4"/>
    <w:rsid w:val="00BE76F8"/>
    <w:rsid w:val="00BE77BF"/>
    <w:rsid w:val="00BF0803"/>
    <w:rsid w:val="00BF0F81"/>
    <w:rsid w:val="00BF12B0"/>
    <w:rsid w:val="00BF2405"/>
    <w:rsid w:val="00BF244C"/>
    <w:rsid w:val="00BF2A92"/>
    <w:rsid w:val="00BF2D3E"/>
    <w:rsid w:val="00BF2D8C"/>
    <w:rsid w:val="00BF33EE"/>
    <w:rsid w:val="00BF3945"/>
    <w:rsid w:val="00BF499D"/>
    <w:rsid w:val="00BF4A37"/>
    <w:rsid w:val="00BF4D24"/>
    <w:rsid w:val="00BF6FB9"/>
    <w:rsid w:val="00BF7625"/>
    <w:rsid w:val="00BF7BFC"/>
    <w:rsid w:val="00BF7D6B"/>
    <w:rsid w:val="00C00593"/>
    <w:rsid w:val="00C014FC"/>
    <w:rsid w:val="00C018BD"/>
    <w:rsid w:val="00C0343A"/>
    <w:rsid w:val="00C03732"/>
    <w:rsid w:val="00C0423E"/>
    <w:rsid w:val="00C057C7"/>
    <w:rsid w:val="00C05D72"/>
    <w:rsid w:val="00C06E8B"/>
    <w:rsid w:val="00C06F2D"/>
    <w:rsid w:val="00C071D0"/>
    <w:rsid w:val="00C079EC"/>
    <w:rsid w:val="00C07D14"/>
    <w:rsid w:val="00C07DE2"/>
    <w:rsid w:val="00C1022E"/>
    <w:rsid w:val="00C102C2"/>
    <w:rsid w:val="00C107AB"/>
    <w:rsid w:val="00C10C16"/>
    <w:rsid w:val="00C114C4"/>
    <w:rsid w:val="00C116CD"/>
    <w:rsid w:val="00C1197D"/>
    <w:rsid w:val="00C12301"/>
    <w:rsid w:val="00C123F5"/>
    <w:rsid w:val="00C13336"/>
    <w:rsid w:val="00C1336B"/>
    <w:rsid w:val="00C14088"/>
    <w:rsid w:val="00C14BE4"/>
    <w:rsid w:val="00C14C0C"/>
    <w:rsid w:val="00C1566F"/>
    <w:rsid w:val="00C1621D"/>
    <w:rsid w:val="00C1636A"/>
    <w:rsid w:val="00C16574"/>
    <w:rsid w:val="00C16B93"/>
    <w:rsid w:val="00C16F12"/>
    <w:rsid w:val="00C16F7E"/>
    <w:rsid w:val="00C17061"/>
    <w:rsid w:val="00C1721C"/>
    <w:rsid w:val="00C177F6"/>
    <w:rsid w:val="00C17996"/>
    <w:rsid w:val="00C216BF"/>
    <w:rsid w:val="00C21A1C"/>
    <w:rsid w:val="00C21DF8"/>
    <w:rsid w:val="00C21F8F"/>
    <w:rsid w:val="00C220DD"/>
    <w:rsid w:val="00C22A94"/>
    <w:rsid w:val="00C22EDD"/>
    <w:rsid w:val="00C2303A"/>
    <w:rsid w:val="00C23558"/>
    <w:rsid w:val="00C23FB3"/>
    <w:rsid w:val="00C24097"/>
    <w:rsid w:val="00C242CD"/>
    <w:rsid w:val="00C256C5"/>
    <w:rsid w:val="00C258CF"/>
    <w:rsid w:val="00C26D75"/>
    <w:rsid w:val="00C2720B"/>
    <w:rsid w:val="00C27A29"/>
    <w:rsid w:val="00C30D0D"/>
    <w:rsid w:val="00C3104D"/>
    <w:rsid w:val="00C310F1"/>
    <w:rsid w:val="00C31336"/>
    <w:rsid w:val="00C320D6"/>
    <w:rsid w:val="00C328E3"/>
    <w:rsid w:val="00C32FE7"/>
    <w:rsid w:val="00C336A8"/>
    <w:rsid w:val="00C339AB"/>
    <w:rsid w:val="00C341C9"/>
    <w:rsid w:val="00C3466E"/>
    <w:rsid w:val="00C373B4"/>
    <w:rsid w:val="00C37E5D"/>
    <w:rsid w:val="00C39189"/>
    <w:rsid w:val="00C40089"/>
    <w:rsid w:val="00C4083A"/>
    <w:rsid w:val="00C40E7C"/>
    <w:rsid w:val="00C424A8"/>
    <w:rsid w:val="00C428BD"/>
    <w:rsid w:val="00C42BA5"/>
    <w:rsid w:val="00C42F2F"/>
    <w:rsid w:val="00C43115"/>
    <w:rsid w:val="00C4321F"/>
    <w:rsid w:val="00C441FE"/>
    <w:rsid w:val="00C44417"/>
    <w:rsid w:val="00C4586C"/>
    <w:rsid w:val="00C45873"/>
    <w:rsid w:val="00C45D17"/>
    <w:rsid w:val="00C4618A"/>
    <w:rsid w:val="00C46272"/>
    <w:rsid w:val="00C47600"/>
    <w:rsid w:val="00C47675"/>
    <w:rsid w:val="00C504DC"/>
    <w:rsid w:val="00C509AF"/>
    <w:rsid w:val="00C50E1D"/>
    <w:rsid w:val="00C51F57"/>
    <w:rsid w:val="00C52857"/>
    <w:rsid w:val="00C52BB9"/>
    <w:rsid w:val="00C547B1"/>
    <w:rsid w:val="00C54ABD"/>
    <w:rsid w:val="00C55EED"/>
    <w:rsid w:val="00C56108"/>
    <w:rsid w:val="00C56207"/>
    <w:rsid w:val="00C57731"/>
    <w:rsid w:val="00C579CF"/>
    <w:rsid w:val="00C57E59"/>
    <w:rsid w:val="00C60317"/>
    <w:rsid w:val="00C60E98"/>
    <w:rsid w:val="00C61041"/>
    <w:rsid w:val="00C61427"/>
    <w:rsid w:val="00C61589"/>
    <w:rsid w:val="00C615A9"/>
    <w:rsid w:val="00C615BD"/>
    <w:rsid w:val="00C62613"/>
    <w:rsid w:val="00C63AEE"/>
    <w:rsid w:val="00C64875"/>
    <w:rsid w:val="00C65D81"/>
    <w:rsid w:val="00C67407"/>
    <w:rsid w:val="00C6754A"/>
    <w:rsid w:val="00C675CE"/>
    <w:rsid w:val="00C67C79"/>
    <w:rsid w:val="00C67EA7"/>
    <w:rsid w:val="00C7037B"/>
    <w:rsid w:val="00C7072E"/>
    <w:rsid w:val="00C70A48"/>
    <w:rsid w:val="00C70D7D"/>
    <w:rsid w:val="00C7117B"/>
    <w:rsid w:val="00C7247A"/>
    <w:rsid w:val="00C727F3"/>
    <w:rsid w:val="00C72D92"/>
    <w:rsid w:val="00C72E6C"/>
    <w:rsid w:val="00C72F83"/>
    <w:rsid w:val="00C73BED"/>
    <w:rsid w:val="00C743D2"/>
    <w:rsid w:val="00C7481F"/>
    <w:rsid w:val="00C74940"/>
    <w:rsid w:val="00C75241"/>
    <w:rsid w:val="00C75369"/>
    <w:rsid w:val="00C753BA"/>
    <w:rsid w:val="00C754CA"/>
    <w:rsid w:val="00C821BC"/>
    <w:rsid w:val="00C8235A"/>
    <w:rsid w:val="00C82389"/>
    <w:rsid w:val="00C825DE"/>
    <w:rsid w:val="00C8324A"/>
    <w:rsid w:val="00C8354F"/>
    <w:rsid w:val="00C84E5E"/>
    <w:rsid w:val="00C84EBA"/>
    <w:rsid w:val="00C85234"/>
    <w:rsid w:val="00C8531B"/>
    <w:rsid w:val="00C85469"/>
    <w:rsid w:val="00C86259"/>
    <w:rsid w:val="00C86D7F"/>
    <w:rsid w:val="00C87918"/>
    <w:rsid w:val="00C87D22"/>
    <w:rsid w:val="00C90500"/>
    <w:rsid w:val="00C909D0"/>
    <w:rsid w:val="00C9276A"/>
    <w:rsid w:val="00C92830"/>
    <w:rsid w:val="00C92EA3"/>
    <w:rsid w:val="00C930DD"/>
    <w:rsid w:val="00C9316C"/>
    <w:rsid w:val="00C94F9E"/>
    <w:rsid w:val="00C95775"/>
    <w:rsid w:val="00C95783"/>
    <w:rsid w:val="00C9580B"/>
    <w:rsid w:val="00C96EAD"/>
    <w:rsid w:val="00C972A6"/>
    <w:rsid w:val="00C973FD"/>
    <w:rsid w:val="00C974C5"/>
    <w:rsid w:val="00C9768A"/>
    <w:rsid w:val="00C97F9B"/>
    <w:rsid w:val="00CA094D"/>
    <w:rsid w:val="00CA0A9A"/>
    <w:rsid w:val="00CA13F7"/>
    <w:rsid w:val="00CA1B28"/>
    <w:rsid w:val="00CA2915"/>
    <w:rsid w:val="00CA30BB"/>
    <w:rsid w:val="00CA38EC"/>
    <w:rsid w:val="00CA3B46"/>
    <w:rsid w:val="00CA3BF7"/>
    <w:rsid w:val="00CA4DB7"/>
    <w:rsid w:val="00CA57C1"/>
    <w:rsid w:val="00CA59AD"/>
    <w:rsid w:val="00CA6755"/>
    <w:rsid w:val="00CA6C09"/>
    <w:rsid w:val="00CA6EB5"/>
    <w:rsid w:val="00CA7686"/>
    <w:rsid w:val="00CA7B69"/>
    <w:rsid w:val="00CA7C5A"/>
    <w:rsid w:val="00CB007D"/>
    <w:rsid w:val="00CB0813"/>
    <w:rsid w:val="00CB3ACE"/>
    <w:rsid w:val="00CB3D5A"/>
    <w:rsid w:val="00CB3F91"/>
    <w:rsid w:val="00CB3FB9"/>
    <w:rsid w:val="00CB40C7"/>
    <w:rsid w:val="00CB4138"/>
    <w:rsid w:val="00CB4D16"/>
    <w:rsid w:val="00CB588D"/>
    <w:rsid w:val="00CB61C2"/>
    <w:rsid w:val="00CB6D43"/>
    <w:rsid w:val="00CB7D14"/>
    <w:rsid w:val="00CC042B"/>
    <w:rsid w:val="00CC1073"/>
    <w:rsid w:val="00CC251C"/>
    <w:rsid w:val="00CC29E1"/>
    <w:rsid w:val="00CC39E4"/>
    <w:rsid w:val="00CC3B98"/>
    <w:rsid w:val="00CC40E9"/>
    <w:rsid w:val="00CC4457"/>
    <w:rsid w:val="00CC4859"/>
    <w:rsid w:val="00CC49EA"/>
    <w:rsid w:val="00CC4A93"/>
    <w:rsid w:val="00CC4F6C"/>
    <w:rsid w:val="00CC541D"/>
    <w:rsid w:val="00CC6273"/>
    <w:rsid w:val="00CC6762"/>
    <w:rsid w:val="00CC692C"/>
    <w:rsid w:val="00CC7FB9"/>
    <w:rsid w:val="00CD078C"/>
    <w:rsid w:val="00CD0D3E"/>
    <w:rsid w:val="00CD13F1"/>
    <w:rsid w:val="00CD1DE7"/>
    <w:rsid w:val="00CD1EEE"/>
    <w:rsid w:val="00CD2E67"/>
    <w:rsid w:val="00CD2F1C"/>
    <w:rsid w:val="00CD3073"/>
    <w:rsid w:val="00CD37B8"/>
    <w:rsid w:val="00CD3F2F"/>
    <w:rsid w:val="00CD40B5"/>
    <w:rsid w:val="00CD410D"/>
    <w:rsid w:val="00CD50D3"/>
    <w:rsid w:val="00CD53C9"/>
    <w:rsid w:val="00CD553E"/>
    <w:rsid w:val="00CD77DB"/>
    <w:rsid w:val="00CE0149"/>
    <w:rsid w:val="00CE0377"/>
    <w:rsid w:val="00CE127F"/>
    <w:rsid w:val="00CE15BC"/>
    <w:rsid w:val="00CE1ECF"/>
    <w:rsid w:val="00CE2420"/>
    <w:rsid w:val="00CE3567"/>
    <w:rsid w:val="00CE397E"/>
    <w:rsid w:val="00CE3D46"/>
    <w:rsid w:val="00CE3ECC"/>
    <w:rsid w:val="00CE4996"/>
    <w:rsid w:val="00CE6638"/>
    <w:rsid w:val="00CE6E04"/>
    <w:rsid w:val="00CE6FF0"/>
    <w:rsid w:val="00CE703E"/>
    <w:rsid w:val="00CE729B"/>
    <w:rsid w:val="00CF0004"/>
    <w:rsid w:val="00CF1FEE"/>
    <w:rsid w:val="00CF22C9"/>
    <w:rsid w:val="00CF2375"/>
    <w:rsid w:val="00CF316F"/>
    <w:rsid w:val="00CF3839"/>
    <w:rsid w:val="00CF4000"/>
    <w:rsid w:val="00CF444C"/>
    <w:rsid w:val="00CF45A1"/>
    <w:rsid w:val="00CF4EA0"/>
    <w:rsid w:val="00CF5419"/>
    <w:rsid w:val="00CF5920"/>
    <w:rsid w:val="00CF59FC"/>
    <w:rsid w:val="00CF6C01"/>
    <w:rsid w:val="00CF7283"/>
    <w:rsid w:val="00CF7494"/>
    <w:rsid w:val="00CF7662"/>
    <w:rsid w:val="00CF7F5A"/>
    <w:rsid w:val="00D00283"/>
    <w:rsid w:val="00D004A1"/>
    <w:rsid w:val="00D00DEA"/>
    <w:rsid w:val="00D01610"/>
    <w:rsid w:val="00D01754"/>
    <w:rsid w:val="00D01F44"/>
    <w:rsid w:val="00D02BA4"/>
    <w:rsid w:val="00D05137"/>
    <w:rsid w:val="00D05999"/>
    <w:rsid w:val="00D0641D"/>
    <w:rsid w:val="00D06857"/>
    <w:rsid w:val="00D07335"/>
    <w:rsid w:val="00D07CCB"/>
    <w:rsid w:val="00D106F0"/>
    <w:rsid w:val="00D10997"/>
    <w:rsid w:val="00D1490C"/>
    <w:rsid w:val="00D149EB"/>
    <w:rsid w:val="00D14CE6"/>
    <w:rsid w:val="00D15520"/>
    <w:rsid w:val="00D15FC9"/>
    <w:rsid w:val="00D16163"/>
    <w:rsid w:val="00D176AB"/>
    <w:rsid w:val="00D17AA2"/>
    <w:rsid w:val="00D2019E"/>
    <w:rsid w:val="00D20381"/>
    <w:rsid w:val="00D204ED"/>
    <w:rsid w:val="00D2087A"/>
    <w:rsid w:val="00D2141B"/>
    <w:rsid w:val="00D21758"/>
    <w:rsid w:val="00D21D97"/>
    <w:rsid w:val="00D222C4"/>
    <w:rsid w:val="00D23C40"/>
    <w:rsid w:val="00D24048"/>
    <w:rsid w:val="00D2447E"/>
    <w:rsid w:val="00D25353"/>
    <w:rsid w:val="00D25894"/>
    <w:rsid w:val="00D258FF"/>
    <w:rsid w:val="00D25D04"/>
    <w:rsid w:val="00D26AB5"/>
    <w:rsid w:val="00D26ABB"/>
    <w:rsid w:val="00D2771A"/>
    <w:rsid w:val="00D27FBB"/>
    <w:rsid w:val="00D30116"/>
    <w:rsid w:val="00D32F29"/>
    <w:rsid w:val="00D33D2F"/>
    <w:rsid w:val="00D348FE"/>
    <w:rsid w:val="00D35096"/>
    <w:rsid w:val="00D35A3C"/>
    <w:rsid w:val="00D35DD7"/>
    <w:rsid w:val="00D3614A"/>
    <w:rsid w:val="00D3664D"/>
    <w:rsid w:val="00D368D8"/>
    <w:rsid w:val="00D368DE"/>
    <w:rsid w:val="00D36E21"/>
    <w:rsid w:val="00D374FD"/>
    <w:rsid w:val="00D37CE0"/>
    <w:rsid w:val="00D40065"/>
    <w:rsid w:val="00D403D9"/>
    <w:rsid w:val="00D410CC"/>
    <w:rsid w:val="00D417A1"/>
    <w:rsid w:val="00D41CC7"/>
    <w:rsid w:val="00D41D4D"/>
    <w:rsid w:val="00D41FF2"/>
    <w:rsid w:val="00D42527"/>
    <w:rsid w:val="00D43AAE"/>
    <w:rsid w:val="00D4463E"/>
    <w:rsid w:val="00D44A91"/>
    <w:rsid w:val="00D4501F"/>
    <w:rsid w:val="00D47044"/>
    <w:rsid w:val="00D500A7"/>
    <w:rsid w:val="00D5131B"/>
    <w:rsid w:val="00D531FC"/>
    <w:rsid w:val="00D538B7"/>
    <w:rsid w:val="00D53C08"/>
    <w:rsid w:val="00D574EF"/>
    <w:rsid w:val="00D57D46"/>
    <w:rsid w:val="00D60EA2"/>
    <w:rsid w:val="00D614BE"/>
    <w:rsid w:val="00D61C5E"/>
    <w:rsid w:val="00D6294A"/>
    <w:rsid w:val="00D62AFE"/>
    <w:rsid w:val="00D62C42"/>
    <w:rsid w:val="00D63377"/>
    <w:rsid w:val="00D63625"/>
    <w:rsid w:val="00D63A0C"/>
    <w:rsid w:val="00D652A5"/>
    <w:rsid w:val="00D65618"/>
    <w:rsid w:val="00D664DE"/>
    <w:rsid w:val="00D66BDC"/>
    <w:rsid w:val="00D67578"/>
    <w:rsid w:val="00D6781D"/>
    <w:rsid w:val="00D67B55"/>
    <w:rsid w:val="00D70F43"/>
    <w:rsid w:val="00D71F0A"/>
    <w:rsid w:val="00D727FE"/>
    <w:rsid w:val="00D72A06"/>
    <w:rsid w:val="00D72E3A"/>
    <w:rsid w:val="00D744ED"/>
    <w:rsid w:val="00D75005"/>
    <w:rsid w:val="00D7524E"/>
    <w:rsid w:val="00D7560B"/>
    <w:rsid w:val="00D75F08"/>
    <w:rsid w:val="00D760D5"/>
    <w:rsid w:val="00D801B9"/>
    <w:rsid w:val="00D80780"/>
    <w:rsid w:val="00D8112F"/>
    <w:rsid w:val="00D8190F"/>
    <w:rsid w:val="00D81FBA"/>
    <w:rsid w:val="00D8268D"/>
    <w:rsid w:val="00D828D9"/>
    <w:rsid w:val="00D8353B"/>
    <w:rsid w:val="00D83903"/>
    <w:rsid w:val="00D85038"/>
    <w:rsid w:val="00D85842"/>
    <w:rsid w:val="00D8700E"/>
    <w:rsid w:val="00D87219"/>
    <w:rsid w:val="00D90552"/>
    <w:rsid w:val="00D90998"/>
    <w:rsid w:val="00D91DA1"/>
    <w:rsid w:val="00D92868"/>
    <w:rsid w:val="00D936CF"/>
    <w:rsid w:val="00D9596A"/>
    <w:rsid w:val="00D95CDF"/>
    <w:rsid w:val="00D9602E"/>
    <w:rsid w:val="00D9603D"/>
    <w:rsid w:val="00D96259"/>
    <w:rsid w:val="00D9645A"/>
    <w:rsid w:val="00D96597"/>
    <w:rsid w:val="00D970F3"/>
    <w:rsid w:val="00D97677"/>
    <w:rsid w:val="00D97ABE"/>
    <w:rsid w:val="00DA140A"/>
    <w:rsid w:val="00DA230D"/>
    <w:rsid w:val="00DA2390"/>
    <w:rsid w:val="00DA2428"/>
    <w:rsid w:val="00DA3080"/>
    <w:rsid w:val="00DA34CC"/>
    <w:rsid w:val="00DA35DA"/>
    <w:rsid w:val="00DA35DD"/>
    <w:rsid w:val="00DA3A2E"/>
    <w:rsid w:val="00DA3E4A"/>
    <w:rsid w:val="00DA425D"/>
    <w:rsid w:val="00DA4706"/>
    <w:rsid w:val="00DA5DCF"/>
    <w:rsid w:val="00DA5FFF"/>
    <w:rsid w:val="00DA6701"/>
    <w:rsid w:val="00DA703E"/>
    <w:rsid w:val="00DA713B"/>
    <w:rsid w:val="00DA7345"/>
    <w:rsid w:val="00DA7AC2"/>
    <w:rsid w:val="00DB089C"/>
    <w:rsid w:val="00DB096A"/>
    <w:rsid w:val="00DB1415"/>
    <w:rsid w:val="00DB1986"/>
    <w:rsid w:val="00DB337E"/>
    <w:rsid w:val="00DB3D01"/>
    <w:rsid w:val="00DB3D31"/>
    <w:rsid w:val="00DB45DE"/>
    <w:rsid w:val="00DB4A43"/>
    <w:rsid w:val="00DB4DF1"/>
    <w:rsid w:val="00DB5CD6"/>
    <w:rsid w:val="00DB5DCC"/>
    <w:rsid w:val="00DB7391"/>
    <w:rsid w:val="00DC080F"/>
    <w:rsid w:val="00DC0E25"/>
    <w:rsid w:val="00DC117A"/>
    <w:rsid w:val="00DC137E"/>
    <w:rsid w:val="00DC13CB"/>
    <w:rsid w:val="00DC1F02"/>
    <w:rsid w:val="00DC265F"/>
    <w:rsid w:val="00DC2967"/>
    <w:rsid w:val="00DC40E7"/>
    <w:rsid w:val="00DC54C7"/>
    <w:rsid w:val="00DC5DD6"/>
    <w:rsid w:val="00DC5FF2"/>
    <w:rsid w:val="00DC6436"/>
    <w:rsid w:val="00DC6DE3"/>
    <w:rsid w:val="00DC7262"/>
    <w:rsid w:val="00DC7332"/>
    <w:rsid w:val="00DC75E4"/>
    <w:rsid w:val="00DC7C2A"/>
    <w:rsid w:val="00DC7E8C"/>
    <w:rsid w:val="00DD0391"/>
    <w:rsid w:val="00DD0E08"/>
    <w:rsid w:val="00DD13B0"/>
    <w:rsid w:val="00DD1505"/>
    <w:rsid w:val="00DD1E46"/>
    <w:rsid w:val="00DD238E"/>
    <w:rsid w:val="00DD29D7"/>
    <w:rsid w:val="00DD315C"/>
    <w:rsid w:val="00DD344D"/>
    <w:rsid w:val="00DD380A"/>
    <w:rsid w:val="00DD4468"/>
    <w:rsid w:val="00DD63F9"/>
    <w:rsid w:val="00DD65D6"/>
    <w:rsid w:val="00DD788A"/>
    <w:rsid w:val="00DD7E8F"/>
    <w:rsid w:val="00DD7F05"/>
    <w:rsid w:val="00DE11D4"/>
    <w:rsid w:val="00DE176C"/>
    <w:rsid w:val="00DE1C9D"/>
    <w:rsid w:val="00DE1E8B"/>
    <w:rsid w:val="00DE28B2"/>
    <w:rsid w:val="00DE2924"/>
    <w:rsid w:val="00DE2E36"/>
    <w:rsid w:val="00DE2F6C"/>
    <w:rsid w:val="00DE30BF"/>
    <w:rsid w:val="00DE3595"/>
    <w:rsid w:val="00DE3637"/>
    <w:rsid w:val="00DE4444"/>
    <w:rsid w:val="00DE4569"/>
    <w:rsid w:val="00DE463C"/>
    <w:rsid w:val="00DE4D44"/>
    <w:rsid w:val="00DE529C"/>
    <w:rsid w:val="00DE5C8D"/>
    <w:rsid w:val="00DE5FBB"/>
    <w:rsid w:val="00DE63B7"/>
    <w:rsid w:val="00DE6507"/>
    <w:rsid w:val="00DE73DF"/>
    <w:rsid w:val="00DF0A4E"/>
    <w:rsid w:val="00DF0AC3"/>
    <w:rsid w:val="00DF0B0E"/>
    <w:rsid w:val="00DF235D"/>
    <w:rsid w:val="00DF322A"/>
    <w:rsid w:val="00DF36E8"/>
    <w:rsid w:val="00DF4D09"/>
    <w:rsid w:val="00DF6BAE"/>
    <w:rsid w:val="00DF75A6"/>
    <w:rsid w:val="00E00ACC"/>
    <w:rsid w:val="00E01458"/>
    <w:rsid w:val="00E015E9"/>
    <w:rsid w:val="00E01A65"/>
    <w:rsid w:val="00E02AE7"/>
    <w:rsid w:val="00E03B6C"/>
    <w:rsid w:val="00E0400A"/>
    <w:rsid w:val="00E04D59"/>
    <w:rsid w:val="00E050F0"/>
    <w:rsid w:val="00E10856"/>
    <w:rsid w:val="00E10923"/>
    <w:rsid w:val="00E114F5"/>
    <w:rsid w:val="00E116E4"/>
    <w:rsid w:val="00E120A5"/>
    <w:rsid w:val="00E12A48"/>
    <w:rsid w:val="00E12BB6"/>
    <w:rsid w:val="00E131DE"/>
    <w:rsid w:val="00E14007"/>
    <w:rsid w:val="00E162FE"/>
    <w:rsid w:val="00E171C2"/>
    <w:rsid w:val="00E17EFA"/>
    <w:rsid w:val="00E208AD"/>
    <w:rsid w:val="00E2136C"/>
    <w:rsid w:val="00E22505"/>
    <w:rsid w:val="00E22688"/>
    <w:rsid w:val="00E22778"/>
    <w:rsid w:val="00E22AA0"/>
    <w:rsid w:val="00E23168"/>
    <w:rsid w:val="00E23757"/>
    <w:rsid w:val="00E241BC"/>
    <w:rsid w:val="00E24590"/>
    <w:rsid w:val="00E25A02"/>
    <w:rsid w:val="00E26794"/>
    <w:rsid w:val="00E268AD"/>
    <w:rsid w:val="00E2773D"/>
    <w:rsid w:val="00E27E9E"/>
    <w:rsid w:val="00E27FE5"/>
    <w:rsid w:val="00E304A2"/>
    <w:rsid w:val="00E30844"/>
    <w:rsid w:val="00E3092C"/>
    <w:rsid w:val="00E315E9"/>
    <w:rsid w:val="00E31A4C"/>
    <w:rsid w:val="00E32255"/>
    <w:rsid w:val="00E32B93"/>
    <w:rsid w:val="00E32BFC"/>
    <w:rsid w:val="00E33C81"/>
    <w:rsid w:val="00E3596C"/>
    <w:rsid w:val="00E3613A"/>
    <w:rsid w:val="00E366FA"/>
    <w:rsid w:val="00E37147"/>
    <w:rsid w:val="00E37B6C"/>
    <w:rsid w:val="00E407F8"/>
    <w:rsid w:val="00E42B37"/>
    <w:rsid w:val="00E43038"/>
    <w:rsid w:val="00E4308E"/>
    <w:rsid w:val="00E43194"/>
    <w:rsid w:val="00E431C8"/>
    <w:rsid w:val="00E43B01"/>
    <w:rsid w:val="00E442FE"/>
    <w:rsid w:val="00E4433C"/>
    <w:rsid w:val="00E4442A"/>
    <w:rsid w:val="00E46782"/>
    <w:rsid w:val="00E46F7E"/>
    <w:rsid w:val="00E475A3"/>
    <w:rsid w:val="00E50403"/>
    <w:rsid w:val="00E507B6"/>
    <w:rsid w:val="00E51AB5"/>
    <w:rsid w:val="00E5257C"/>
    <w:rsid w:val="00E52B59"/>
    <w:rsid w:val="00E52F62"/>
    <w:rsid w:val="00E52F9B"/>
    <w:rsid w:val="00E532A3"/>
    <w:rsid w:val="00E53AE9"/>
    <w:rsid w:val="00E54495"/>
    <w:rsid w:val="00E54546"/>
    <w:rsid w:val="00E54A06"/>
    <w:rsid w:val="00E54D56"/>
    <w:rsid w:val="00E553F8"/>
    <w:rsid w:val="00E556D6"/>
    <w:rsid w:val="00E55C23"/>
    <w:rsid w:val="00E56BBE"/>
    <w:rsid w:val="00E57BBF"/>
    <w:rsid w:val="00E57BFE"/>
    <w:rsid w:val="00E57C52"/>
    <w:rsid w:val="00E57DA8"/>
    <w:rsid w:val="00E57EF4"/>
    <w:rsid w:val="00E604CD"/>
    <w:rsid w:val="00E60508"/>
    <w:rsid w:val="00E60625"/>
    <w:rsid w:val="00E60A2E"/>
    <w:rsid w:val="00E60B78"/>
    <w:rsid w:val="00E6107B"/>
    <w:rsid w:val="00E611DF"/>
    <w:rsid w:val="00E619A1"/>
    <w:rsid w:val="00E61BE7"/>
    <w:rsid w:val="00E6233F"/>
    <w:rsid w:val="00E62DCC"/>
    <w:rsid w:val="00E645A0"/>
    <w:rsid w:val="00E646CD"/>
    <w:rsid w:val="00E64A8B"/>
    <w:rsid w:val="00E64C20"/>
    <w:rsid w:val="00E64FF5"/>
    <w:rsid w:val="00E656F3"/>
    <w:rsid w:val="00E6617C"/>
    <w:rsid w:val="00E661FE"/>
    <w:rsid w:val="00E67341"/>
    <w:rsid w:val="00E67BA0"/>
    <w:rsid w:val="00E67E7E"/>
    <w:rsid w:val="00E70FF0"/>
    <w:rsid w:val="00E71162"/>
    <w:rsid w:val="00E715ED"/>
    <w:rsid w:val="00E719C1"/>
    <w:rsid w:val="00E71CCD"/>
    <w:rsid w:val="00E71FC9"/>
    <w:rsid w:val="00E723A2"/>
    <w:rsid w:val="00E7276C"/>
    <w:rsid w:val="00E72928"/>
    <w:rsid w:val="00E72E3B"/>
    <w:rsid w:val="00E7318D"/>
    <w:rsid w:val="00E73DB3"/>
    <w:rsid w:val="00E745CC"/>
    <w:rsid w:val="00E7484B"/>
    <w:rsid w:val="00E74D9A"/>
    <w:rsid w:val="00E75653"/>
    <w:rsid w:val="00E75E7A"/>
    <w:rsid w:val="00E76C3E"/>
    <w:rsid w:val="00E77700"/>
    <w:rsid w:val="00E77C9D"/>
    <w:rsid w:val="00E77D1C"/>
    <w:rsid w:val="00E80605"/>
    <w:rsid w:val="00E80855"/>
    <w:rsid w:val="00E8097E"/>
    <w:rsid w:val="00E80EB2"/>
    <w:rsid w:val="00E810F6"/>
    <w:rsid w:val="00E81DDB"/>
    <w:rsid w:val="00E82888"/>
    <w:rsid w:val="00E82FF9"/>
    <w:rsid w:val="00E8351F"/>
    <w:rsid w:val="00E83A10"/>
    <w:rsid w:val="00E83E13"/>
    <w:rsid w:val="00E83F71"/>
    <w:rsid w:val="00E86FA2"/>
    <w:rsid w:val="00E87698"/>
    <w:rsid w:val="00E905AC"/>
    <w:rsid w:val="00E90C92"/>
    <w:rsid w:val="00E90CC6"/>
    <w:rsid w:val="00E90E2E"/>
    <w:rsid w:val="00E911B2"/>
    <w:rsid w:val="00E91C82"/>
    <w:rsid w:val="00E922C1"/>
    <w:rsid w:val="00E92E33"/>
    <w:rsid w:val="00E92F20"/>
    <w:rsid w:val="00E93345"/>
    <w:rsid w:val="00E93C2A"/>
    <w:rsid w:val="00E9419C"/>
    <w:rsid w:val="00E941C4"/>
    <w:rsid w:val="00E945DE"/>
    <w:rsid w:val="00E94804"/>
    <w:rsid w:val="00E9563C"/>
    <w:rsid w:val="00E959E9"/>
    <w:rsid w:val="00E9603E"/>
    <w:rsid w:val="00E9644C"/>
    <w:rsid w:val="00E96617"/>
    <w:rsid w:val="00E97690"/>
    <w:rsid w:val="00EA1235"/>
    <w:rsid w:val="00EA1824"/>
    <w:rsid w:val="00EA23C3"/>
    <w:rsid w:val="00EA2D99"/>
    <w:rsid w:val="00EA3032"/>
    <w:rsid w:val="00EA3A2A"/>
    <w:rsid w:val="00EA3C5B"/>
    <w:rsid w:val="00EA477C"/>
    <w:rsid w:val="00EA4807"/>
    <w:rsid w:val="00EA4B2D"/>
    <w:rsid w:val="00EA53B8"/>
    <w:rsid w:val="00EA5E0E"/>
    <w:rsid w:val="00EA5F14"/>
    <w:rsid w:val="00EA616A"/>
    <w:rsid w:val="00EA6287"/>
    <w:rsid w:val="00EA76B4"/>
    <w:rsid w:val="00EB11E0"/>
    <w:rsid w:val="00EB120B"/>
    <w:rsid w:val="00EB262D"/>
    <w:rsid w:val="00EB2D2A"/>
    <w:rsid w:val="00EB2DDA"/>
    <w:rsid w:val="00EB2F83"/>
    <w:rsid w:val="00EB3BBE"/>
    <w:rsid w:val="00EB3F5A"/>
    <w:rsid w:val="00EB42A3"/>
    <w:rsid w:val="00EB7385"/>
    <w:rsid w:val="00EC0806"/>
    <w:rsid w:val="00EC16EC"/>
    <w:rsid w:val="00EC18DF"/>
    <w:rsid w:val="00EC1AF8"/>
    <w:rsid w:val="00EC2CFD"/>
    <w:rsid w:val="00EC2DD1"/>
    <w:rsid w:val="00EC3218"/>
    <w:rsid w:val="00EC324F"/>
    <w:rsid w:val="00EC365A"/>
    <w:rsid w:val="00EC3FE2"/>
    <w:rsid w:val="00EC41DA"/>
    <w:rsid w:val="00EC4574"/>
    <w:rsid w:val="00EC578A"/>
    <w:rsid w:val="00EC5A27"/>
    <w:rsid w:val="00EC5B73"/>
    <w:rsid w:val="00EC6AFA"/>
    <w:rsid w:val="00EC734D"/>
    <w:rsid w:val="00EC7A6E"/>
    <w:rsid w:val="00ED0984"/>
    <w:rsid w:val="00ED09AE"/>
    <w:rsid w:val="00ED100A"/>
    <w:rsid w:val="00ED13D3"/>
    <w:rsid w:val="00ED1C49"/>
    <w:rsid w:val="00ED1EDF"/>
    <w:rsid w:val="00ED21D1"/>
    <w:rsid w:val="00ED2BF5"/>
    <w:rsid w:val="00ED2EBA"/>
    <w:rsid w:val="00ED4886"/>
    <w:rsid w:val="00ED4968"/>
    <w:rsid w:val="00ED50B6"/>
    <w:rsid w:val="00ED574A"/>
    <w:rsid w:val="00ED5F70"/>
    <w:rsid w:val="00ED64E0"/>
    <w:rsid w:val="00ED68D5"/>
    <w:rsid w:val="00ED7138"/>
    <w:rsid w:val="00ED749E"/>
    <w:rsid w:val="00ED7C06"/>
    <w:rsid w:val="00ED7C56"/>
    <w:rsid w:val="00ED7C76"/>
    <w:rsid w:val="00EE0040"/>
    <w:rsid w:val="00EE14B9"/>
    <w:rsid w:val="00EE177B"/>
    <w:rsid w:val="00EE18E7"/>
    <w:rsid w:val="00EE22F3"/>
    <w:rsid w:val="00EE362B"/>
    <w:rsid w:val="00EE45B2"/>
    <w:rsid w:val="00EE4A49"/>
    <w:rsid w:val="00EE5553"/>
    <w:rsid w:val="00EE5D7A"/>
    <w:rsid w:val="00EE607D"/>
    <w:rsid w:val="00EE6C9D"/>
    <w:rsid w:val="00EE714C"/>
    <w:rsid w:val="00EF0795"/>
    <w:rsid w:val="00EF0DD3"/>
    <w:rsid w:val="00EF144E"/>
    <w:rsid w:val="00EF1A9B"/>
    <w:rsid w:val="00EF1C97"/>
    <w:rsid w:val="00EF231D"/>
    <w:rsid w:val="00EF2EB8"/>
    <w:rsid w:val="00EF2F14"/>
    <w:rsid w:val="00EF3691"/>
    <w:rsid w:val="00EF3702"/>
    <w:rsid w:val="00EF3D01"/>
    <w:rsid w:val="00EF3DDE"/>
    <w:rsid w:val="00EF3E14"/>
    <w:rsid w:val="00EF4394"/>
    <w:rsid w:val="00EF4F0F"/>
    <w:rsid w:val="00EF7381"/>
    <w:rsid w:val="00EF7D49"/>
    <w:rsid w:val="00F00028"/>
    <w:rsid w:val="00F0018C"/>
    <w:rsid w:val="00F00436"/>
    <w:rsid w:val="00F00704"/>
    <w:rsid w:val="00F007EB"/>
    <w:rsid w:val="00F00D86"/>
    <w:rsid w:val="00F00EA4"/>
    <w:rsid w:val="00F02649"/>
    <w:rsid w:val="00F02D90"/>
    <w:rsid w:val="00F03060"/>
    <w:rsid w:val="00F03675"/>
    <w:rsid w:val="00F03C24"/>
    <w:rsid w:val="00F0468F"/>
    <w:rsid w:val="00F057E4"/>
    <w:rsid w:val="00F06360"/>
    <w:rsid w:val="00F06655"/>
    <w:rsid w:val="00F06696"/>
    <w:rsid w:val="00F06A29"/>
    <w:rsid w:val="00F06AB4"/>
    <w:rsid w:val="00F11373"/>
    <w:rsid w:val="00F1286D"/>
    <w:rsid w:val="00F12948"/>
    <w:rsid w:val="00F13717"/>
    <w:rsid w:val="00F13D94"/>
    <w:rsid w:val="00F14050"/>
    <w:rsid w:val="00F14437"/>
    <w:rsid w:val="00F145F6"/>
    <w:rsid w:val="00F14973"/>
    <w:rsid w:val="00F157E3"/>
    <w:rsid w:val="00F15C60"/>
    <w:rsid w:val="00F16193"/>
    <w:rsid w:val="00F17A46"/>
    <w:rsid w:val="00F20A4A"/>
    <w:rsid w:val="00F20BDE"/>
    <w:rsid w:val="00F218C6"/>
    <w:rsid w:val="00F22BAE"/>
    <w:rsid w:val="00F22D07"/>
    <w:rsid w:val="00F2312C"/>
    <w:rsid w:val="00F23532"/>
    <w:rsid w:val="00F246BD"/>
    <w:rsid w:val="00F24B21"/>
    <w:rsid w:val="00F24D56"/>
    <w:rsid w:val="00F25CEB"/>
    <w:rsid w:val="00F27F6B"/>
    <w:rsid w:val="00F307C6"/>
    <w:rsid w:val="00F30C0F"/>
    <w:rsid w:val="00F314E5"/>
    <w:rsid w:val="00F31C68"/>
    <w:rsid w:val="00F326CA"/>
    <w:rsid w:val="00F33543"/>
    <w:rsid w:val="00F33655"/>
    <w:rsid w:val="00F341D9"/>
    <w:rsid w:val="00F3551D"/>
    <w:rsid w:val="00F357E5"/>
    <w:rsid w:val="00F361CA"/>
    <w:rsid w:val="00F36426"/>
    <w:rsid w:val="00F369E0"/>
    <w:rsid w:val="00F37528"/>
    <w:rsid w:val="00F4067C"/>
    <w:rsid w:val="00F417D1"/>
    <w:rsid w:val="00F41E2C"/>
    <w:rsid w:val="00F4268C"/>
    <w:rsid w:val="00F4292A"/>
    <w:rsid w:val="00F43CFC"/>
    <w:rsid w:val="00F43DF6"/>
    <w:rsid w:val="00F43E95"/>
    <w:rsid w:val="00F448DF"/>
    <w:rsid w:val="00F44B17"/>
    <w:rsid w:val="00F44BB6"/>
    <w:rsid w:val="00F4537D"/>
    <w:rsid w:val="00F457C4"/>
    <w:rsid w:val="00F46277"/>
    <w:rsid w:val="00F47195"/>
    <w:rsid w:val="00F5031B"/>
    <w:rsid w:val="00F505DA"/>
    <w:rsid w:val="00F50866"/>
    <w:rsid w:val="00F51227"/>
    <w:rsid w:val="00F52265"/>
    <w:rsid w:val="00F5252E"/>
    <w:rsid w:val="00F5301A"/>
    <w:rsid w:val="00F53050"/>
    <w:rsid w:val="00F53338"/>
    <w:rsid w:val="00F5394A"/>
    <w:rsid w:val="00F54302"/>
    <w:rsid w:val="00F557C9"/>
    <w:rsid w:val="00F57151"/>
    <w:rsid w:val="00F60087"/>
    <w:rsid w:val="00F600A2"/>
    <w:rsid w:val="00F604ED"/>
    <w:rsid w:val="00F61181"/>
    <w:rsid w:val="00F62943"/>
    <w:rsid w:val="00F64C36"/>
    <w:rsid w:val="00F66B2E"/>
    <w:rsid w:val="00F67259"/>
    <w:rsid w:val="00F679C4"/>
    <w:rsid w:val="00F70E21"/>
    <w:rsid w:val="00F712E8"/>
    <w:rsid w:val="00F71339"/>
    <w:rsid w:val="00F71B5E"/>
    <w:rsid w:val="00F72F89"/>
    <w:rsid w:val="00F7403D"/>
    <w:rsid w:val="00F749C4"/>
    <w:rsid w:val="00F75494"/>
    <w:rsid w:val="00F7593E"/>
    <w:rsid w:val="00F75BB7"/>
    <w:rsid w:val="00F7657C"/>
    <w:rsid w:val="00F768C8"/>
    <w:rsid w:val="00F76EA9"/>
    <w:rsid w:val="00F76FD2"/>
    <w:rsid w:val="00F80C57"/>
    <w:rsid w:val="00F80DA7"/>
    <w:rsid w:val="00F81B13"/>
    <w:rsid w:val="00F81EAB"/>
    <w:rsid w:val="00F82E5E"/>
    <w:rsid w:val="00F84723"/>
    <w:rsid w:val="00F849A9"/>
    <w:rsid w:val="00F84E92"/>
    <w:rsid w:val="00F85583"/>
    <w:rsid w:val="00F86723"/>
    <w:rsid w:val="00F86BAB"/>
    <w:rsid w:val="00F90E57"/>
    <w:rsid w:val="00F91397"/>
    <w:rsid w:val="00F91AF8"/>
    <w:rsid w:val="00F92AFC"/>
    <w:rsid w:val="00F93451"/>
    <w:rsid w:val="00F94B2F"/>
    <w:rsid w:val="00F94D05"/>
    <w:rsid w:val="00F94F64"/>
    <w:rsid w:val="00F952B3"/>
    <w:rsid w:val="00F95617"/>
    <w:rsid w:val="00FA2002"/>
    <w:rsid w:val="00FA213C"/>
    <w:rsid w:val="00FA2169"/>
    <w:rsid w:val="00FA248E"/>
    <w:rsid w:val="00FA3254"/>
    <w:rsid w:val="00FA34FB"/>
    <w:rsid w:val="00FA3B86"/>
    <w:rsid w:val="00FA4FDA"/>
    <w:rsid w:val="00FA5410"/>
    <w:rsid w:val="00FA5534"/>
    <w:rsid w:val="00FA5E44"/>
    <w:rsid w:val="00FA65D1"/>
    <w:rsid w:val="00FA67E3"/>
    <w:rsid w:val="00FA7673"/>
    <w:rsid w:val="00FA7D91"/>
    <w:rsid w:val="00FB0DA5"/>
    <w:rsid w:val="00FB0F40"/>
    <w:rsid w:val="00FB1868"/>
    <w:rsid w:val="00FB22B8"/>
    <w:rsid w:val="00FB2308"/>
    <w:rsid w:val="00FB2DB4"/>
    <w:rsid w:val="00FB4677"/>
    <w:rsid w:val="00FB4D56"/>
    <w:rsid w:val="00FB4F54"/>
    <w:rsid w:val="00FB4F9D"/>
    <w:rsid w:val="00FB6204"/>
    <w:rsid w:val="00FB647C"/>
    <w:rsid w:val="00FB7B90"/>
    <w:rsid w:val="00FB7FD2"/>
    <w:rsid w:val="00FC01F2"/>
    <w:rsid w:val="00FC04A3"/>
    <w:rsid w:val="00FC07AC"/>
    <w:rsid w:val="00FC0FBC"/>
    <w:rsid w:val="00FC1987"/>
    <w:rsid w:val="00FC19EE"/>
    <w:rsid w:val="00FC1B6A"/>
    <w:rsid w:val="00FC1D5A"/>
    <w:rsid w:val="00FC31D2"/>
    <w:rsid w:val="00FC38F8"/>
    <w:rsid w:val="00FC4039"/>
    <w:rsid w:val="00FC419C"/>
    <w:rsid w:val="00FC4645"/>
    <w:rsid w:val="00FC48D4"/>
    <w:rsid w:val="00FC4A4A"/>
    <w:rsid w:val="00FC559C"/>
    <w:rsid w:val="00FC568D"/>
    <w:rsid w:val="00FC6EA8"/>
    <w:rsid w:val="00FC77DF"/>
    <w:rsid w:val="00FC78BC"/>
    <w:rsid w:val="00FC7ABD"/>
    <w:rsid w:val="00FD0E11"/>
    <w:rsid w:val="00FD1094"/>
    <w:rsid w:val="00FD14EF"/>
    <w:rsid w:val="00FD17E3"/>
    <w:rsid w:val="00FD1CF6"/>
    <w:rsid w:val="00FD1F75"/>
    <w:rsid w:val="00FD222C"/>
    <w:rsid w:val="00FD26D4"/>
    <w:rsid w:val="00FD386B"/>
    <w:rsid w:val="00FD3957"/>
    <w:rsid w:val="00FD39F1"/>
    <w:rsid w:val="00FD5EAA"/>
    <w:rsid w:val="00FD7774"/>
    <w:rsid w:val="00FD7EAF"/>
    <w:rsid w:val="00FE00DD"/>
    <w:rsid w:val="00FE0606"/>
    <w:rsid w:val="00FE0D22"/>
    <w:rsid w:val="00FE0DFC"/>
    <w:rsid w:val="00FE1907"/>
    <w:rsid w:val="00FE190A"/>
    <w:rsid w:val="00FE22CA"/>
    <w:rsid w:val="00FE274E"/>
    <w:rsid w:val="00FE2B67"/>
    <w:rsid w:val="00FE4423"/>
    <w:rsid w:val="00FE508D"/>
    <w:rsid w:val="00FE51C3"/>
    <w:rsid w:val="00FE54C2"/>
    <w:rsid w:val="00FE5AEF"/>
    <w:rsid w:val="00FE6901"/>
    <w:rsid w:val="00FE6C6F"/>
    <w:rsid w:val="00FE6E8F"/>
    <w:rsid w:val="00FE70C5"/>
    <w:rsid w:val="00FF0008"/>
    <w:rsid w:val="00FF0D57"/>
    <w:rsid w:val="00FF10C4"/>
    <w:rsid w:val="00FF1A5D"/>
    <w:rsid w:val="00FF1EF4"/>
    <w:rsid w:val="00FF1F8C"/>
    <w:rsid w:val="00FF2195"/>
    <w:rsid w:val="00FF247A"/>
    <w:rsid w:val="00FF2EF6"/>
    <w:rsid w:val="00FF3E49"/>
    <w:rsid w:val="00FF41B9"/>
    <w:rsid w:val="00FF4935"/>
    <w:rsid w:val="00FF4E37"/>
    <w:rsid w:val="00FF5964"/>
    <w:rsid w:val="00FF5B0A"/>
    <w:rsid w:val="00FF609A"/>
    <w:rsid w:val="00FF63A7"/>
    <w:rsid w:val="00FF69AC"/>
    <w:rsid w:val="00FF701C"/>
    <w:rsid w:val="00FF7570"/>
    <w:rsid w:val="01226A22"/>
    <w:rsid w:val="013B7EB4"/>
    <w:rsid w:val="013D4448"/>
    <w:rsid w:val="014E16B6"/>
    <w:rsid w:val="015B2D23"/>
    <w:rsid w:val="015BB5A4"/>
    <w:rsid w:val="0164438F"/>
    <w:rsid w:val="01723BC4"/>
    <w:rsid w:val="0188CB5E"/>
    <w:rsid w:val="0194343A"/>
    <w:rsid w:val="019912F1"/>
    <w:rsid w:val="01B71715"/>
    <w:rsid w:val="01C8E38D"/>
    <w:rsid w:val="01C9E2A7"/>
    <w:rsid w:val="01CBF142"/>
    <w:rsid w:val="01CC41FB"/>
    <w:rsid w:val="01D4914E"/>
    <w:rsid w:val="01D6950F"/>
    <w:rsid w:val="01D7AEB8"/>
    <w:rsid w:val="01E0EA54"/>
    <w:rsid w:val="01E12982"/>
    <w:rsid w:val="01ECB2BE"/>
    <w:rsid w:val="01F46A27"/>
    <w:rsid w:val="01F8982D"/>
    <w:rsid w:val="021258B7"/>
    <w:rsid w:val="021D7A0E"/>
    <w:rsid w:val="0228281C"/>
    <w:rsid w:val="0228DF05"/>
    <w:rsid w:val="022A71C0"/>
    <w:rsid w:val="0242EA98"/>
    <w:rsid w:val="02476CB5"/>
    <w:rsid w:val="02497D41"/>
    <w:rsid w:val="026DC6B9"/>
    <w:rsid w:val="0270CC9E"/>
    <w:rsid w:val="02746525"/>
    <w:rsid w:val="027A075B"/>
    <w:rsid w:val="02882082"/>
    <w:rsid w:val="028CD0B7"/>
    <w:rsid w:val="02B1947D"/>
    <w:rsid w:val="02BAB66B"/>
    <w:rsid w:val="02BE769C"/>
    <w:rsid w:val="02CD95DC"/>
    <w:rsid w:val="02D95953"/>
    <w:rsid w:val="02E60931"/>
    <w:rsid w:val="02F3C44D"/>
    <w:rsid w:val="030D7E36"/>
    <w:rsid w:val="03132D3B"/>
    <w:rsid w:val="0319F496"/>
    <w:rsid w:val="0329DF02"/>
    <w:rsid w:val="0340C97B"/>
    <w:rsid w:val="03460342"/>
    <w:rsid w:val="03517370"/>
    <w:rsid w:val="03595E73"/>
    <w:rsid w:val="0359EE01"/>
    <w:rsid w:val="036544CF"/>
    <w:rsid w:val="0377C1FE"/>
    <w:rsid w:val="037BC4B1"/>
    <w:rsid w:val="037C8D9C"/>
    <w:rsid w:val="0383B673"/>
    <w:rsid w:val="0393DE20"/>
    <w:rsid w:val="03958425"/>
    <w:rsid w:val="03BAAAB1"/>
    <w:rsid w:val="03BC82FA"/>
    <w:rsid w:val="03CB6841"/>
    <w:rsid w:val="03E2152F"/>
    <w:rsid w:val="03EBF2A8"/>
    <w:rsid w:val="03F350EF"/>
    <w:rsid w:val="0403B304"/>
    <w:rsid w:val="040E41E7"/>
    <w:rsid w:val="0441AD1C"/>
    <w:rsid w:val="044CDF44"/>
    <w:rsid w:val="04521F3B"/>
    <w:rsid w:val="0453AE07"/>
    <w:rsid w:val="04649035"/>
    <w:rsid w:val="04703F3F"/>
    <w:rsid w:val="04756D54"/>
    <w:rsid w:val="04764D30"/>
    <w:rsid w:val="047669A8"/>
    <w:rsid w:val="04769F61"/>
    <w:rsid w:val="0495EC50"/>
    <w:rsid w:val="0497DAA9"/>
    <w:rsid w:val="04999648"/>
    <w:rsid w:val="04C3E6C2"/>
    <w:rsid w:val="04DCC638"/>
    <w:rsid w:val="04DF8633"/>
    <w:rsid w:val="04E39766"/>
    <w:rsid w:val="04F9ECD4"/>
    <w:rsid w:val="0502B514"/>
    <w:rsid w:val="05173EDE"/>
    <w:rsid w:val="05252978"/>
    <w:rsid w:val="0526B6E5"/>
    <w:rsid w:val="0530EF8B"/>
    <w:rsid w:val="0532B198"/>
    <w:rsid w:val="05348D31"/>
    <w:rsid w:val="053703D5"/>
    <w:rsid w:val="053B5344"/>
    <w:rsid w:val="054D2B5A"/>
    <w:rsid w:val="0557F461"/>
    <w:rsid w:val="05642191"/>
    <w:rsid w:val="056F7A7F"/>
    <w:rsid w:val="05714B7F"/>
    <w:rsid w:val="05732F09"/>
    <w:rsid w:val="05753DB5"/>
    <w:rsid w:val="057875D1"/>
    <w:rsid w:val="0579173E"/>
    <w:rsid w:val="05812344"/>
    <w:rsid w:val="0582867F"/>
    <w:rsid w:val="05870A20"/>
    <w:rsid w:val="058A31B9"/>
    <w:rsid w:val="058D3771"/>
    <w:rsid w:val="058DA596"/>
    <w:rsid w:val="058E0813"/>
    <w:rsid w:val="05AADBD9"/>
    <w:rsid w:val="05AB274E"/>
    <w:rsid w:val="05C4CB36"/>
    <w:rsid w:val="060467F4"/>
    <w:rsid w:val="060703AD"/>
    <w:rsid w:val="060D3F44"/>
    <w:rsid w:val="06113B0B"/>
    <w:rsid w:val="0613FA0F"/>
    <w:rsid w:val="061C8D72"/>
    <w:rsid w:val="0622A874"/>
    <w:rsid w:val="06433A2F"/>
    <w:rsid w:val="0658EE4F"/>
    <w:rsid w:val="066EDFF5"/>
    <w:rsid w:val="0675791C"/>
    <w:rsid w:val="068208DF"/>
    <w:rsid w:val="068984FF"/>
    <w:rsid w:val="06BBB63C"/>
    <w:rsid w:val="06BDF868"/>
    <w:rsid w:val="06C5EA20"/>
    <w:rsid w:val="06CEE349"/>
    <w:rsid w:val="06DAA4BA"/>
    <w:rsid w:val="06F8E6BB"/>
    <w:rsid w:val="06FE67CF"/>
    <w:rsid w:val="070A075F"/>
    <w:rsid w:val="070B1D88"/>
    <w:rsid w:val="0714779B"/>
    <w:rsid w:val="07176653"/>
    <w:rsid w:val="071E18AD"/>
    <w:rsid w:val="072137D4"/>
    <w:rsid w:val="072267DA"/>
    <w:rsid w:val="07379783"/>
    <w:rsid w:val="0758BC66"/>
    <w:rsid w:val="0763903C"/>
    <w:rsid w:val="076C167E"/>
    <w:rsid w:val="076E1867"/>
    <w:rsid w:val="0772922E"/>
    <w:rsid w:val="07779EAA"/>
    <w:rsid w:val="0777F34E"/>
    <w:rsid w:val="07785672"/>
    <w:rsid w:val="0785401C"/>
    <w:rsid w:val="078BB3AC"/>
    <w:rsid w:val="0794973A"/>
    <w:rsid w:val="07A0EFC8"/>
    <w:rsid w:val="07A0F8F3"/>
    <w:rsid w:val="07A39ED9"/>
    <w:rsid w:val="07C276EB"/>
    <w:rsid w:val="07C83B0E"/>
    <w:rsid w:val="07D32116"/>
    <w:rsid w:val="07E01454"/>
    <w:rsid w:val="07E83051"/>
    <w:rsid w:val="07F39047"/>
    <w:rsid w:val="07FE5601"/>
    <w:rsid w:val="0811B77F"/>
    <w:rsid w:val="082389FE"/>
    <w:rsid w:val="0829A975"/>
    <w:rsid w:val="082C592F"/>
    <w:rsid w:val="082FD161"/>
    <w:rsid w:val="08343302"/>
    <w:rsid w:val="0840C0EE"/>
    <w:rsid w:val="08616ED3"/>
    <w:rsid w:val="0863C1CF"/>
    <w:rsid w:val="086C7ACF"/>
    <w:rsid w:val="086F083E"/>
    <w:rsid w:val="0874AFA7"/>
    <w:rsid w:val="0876E604"/>
    <w:rsid w:val="087FFC93"/>
    <w:rsid w:val="08860833"/>
    <w:rsid w:val="08875448"/>
    <w:rsid w:val="0896F012"/>
    <w:rsid w:val="08AAB9FE"/>
    <w:rsid w:val="08AD636D"/>
    <w:rsid w:val="08B05D00"/>
    <w:rsid w:val="08BAB444"/>
    <w:rsid w:val="08CAD914"/>
    <w:rsid w:val="08CDE417"/>
    <w:rsid w:val="08DB1CCF"/>
    <w:rsid w:val="08DF15A1"/>
    <w:rsid w:val="08E9C710"/>
    <w:rsid w:val="08EA531C"/>
    <w:rsid w:val="09042785"/>
    <w:rsid w:val="0910D0C2"/>
    <w:rsid w:val="091C4BF7"/>
    <w:rsid w:val="091CF9BA"/>
    <w:rsid w:val="092FFCC1"/>
    <w:rsid w:val="094E0CA9"/>
    <w:rsid w:val="09808477"/>
    <w:rsid w:val="0985DE58"/>
    <w:rsid w:val="09980059"/>
    <w:rsid w:val="099BEFF1"/>
    <w:rsid w:val="09A11AEF"/>
    <w:rsid w:val="09A1F126"/>
    <w:rsid w:val="09B163F7"/>
    <w:rsid w:val="09B9399C"/>
    <w:rsid w:val="09D2F65C"/>
    <w:rsid w:val="09E3F270"/>
    <w:rsid w:val="09E7E12A"/>
    <w:rsid w:val="09E908B6"/>
    <w:rsid w:val="09F9D197"/>
    <w:rsid w:val="09FBE2C5"/>
    <w:rsid w:val="09FF8632"/>
    <w:rsid w:val="0A045DBF"/>
    <w:rsid w:val="0A07029C"/>
    <w:rsid w:val="0A21F762"/>
    <w:rsid w:val="0A7EA4BD"/>
    <w:rsid w:val="0A860593"/>
    <w:rsid w:val="0A8C52A1"/>
    <w:rsid w:val="0AB01EFB"/>
    <w:rsid w:val="0ABA12FC"/>
    <w:rsid w:val="0AC39996"/>
    <w:rsid w:val="0AC39A24"/>
    <w:rsid w:val="0ACDF1A1"/>
    <w:rsid w:val="0AD12721"/>
    <w:rsid w:val="0AD6228E"/>
    <w:rsid w:val="0ADFED69"/>
    <w:rsid w:val="0AE1B21D"/>
    <w:rsid w:val="0AE4E9AF"/>
    <w:rsid w:val="0AE67BED"/>
    <w:rsid w:val="0AE7B189"/>
    <w:rsid w:val="0AEED936"/>
    <w:rsid w:val="0AF8931B"/>
    <w:rsid w:val="0B056F69"/>
    <w:rsid w:val="0B181DAA"/>
    <w:rsid w:val="0B229885"/>
    <w:rsid w:val="0B4320D9"/>
    <w:rsid w:val="0B4638BF"/>
    <w:rsid w:val="0B61B2B2"/>
    <w:rsid w:val="0B6CFC0B"/>
    <w:rsid w:val="0B73F9B2"/>
    <w:rsid w:val="0B7FB97F"/>
    <w:rsid w:val="0B88853C"/>
    <w:rsid w:val="0B97C75A"/>
    <w:rsid w:val="0B9BEC30"/>
    <w:rsid w:val="0BA9CB3A"/>
    <w:rsid w:val="0BAD55AF"/>
    <w:rsid w:val="0BB0DA44"/>
    <w:rsid w:val="0BB363F1"/>
    <w:rsid w:val="0BB6F7A5"/>
    <w:rsid w:val="0BB7BE29"/>
    <w:rsid w:val="0BC253DA"/>
    <w:rsid w:val="0BC671CC"/>
    <w:rsid w:val="0BE1DBB0"/>
    <w:rsid w:val="0BE492AF"/>
    <w:rsid w:val="0BEADE05"/>
    <w:rsid w:val="0BEF6959"/>
    <w:rsid w:val="0BF36DC8"/>
    <w:rsid w:val="0BFB4ECB"/>
    <w:rsid w:val="0C0D325C"/>
    <w:rsid w:val="0C0DE398"/>
    <w:rsid w:val="0C1A1267"/>
    <w:rsid w:val="0C1DCEBB"/>
    <w:rsid w:val="0C283BA7"/>
    <w:rsid w:val="0C3C7505"/>
    <w:rsid w:val="0C3D1D90"/>
    <w:rsid w:val="0C471FA2"/>
    <w:rsid w:val="0C4C172E"/>
    <w:rsid w:val="0C6AEDF3"/>
    <w:rsid w:val="0C6EB84C"/>
    <w:rsid w:val="0C6FB62C"/>
    <w:rsid w:val="0C757682"/>
    <w:rsid w:val="0C7FE19E"/>
    <w:rsid w:val="0C828F44"/>
    <w:rsid w:val="0C8A7945"/>
    <w:rsid w:val="0C90B4A7"/>
    <w:rsid w:val="0C91A439"/>
    <w:rsid w:val="0C946284"/>
    <w:rsid w:val="0C969E14"/>
    <w:rsid w:val="0CA32B41"/>
    <w:rsid w:val="0CA4AC6E"/>
    <w:rsid w:val="0CA73F1A"/>
    <w:rsid w:val="0CAA3444"/>
    <w:rsid w:val="0CB89EAD"/>
    <w:rsid w:val="0CBD0FCE"/>
    <w:rsid w:val="0CBFBBE8"/>
    <w:rsid w:val="0CC98048"/>
    <w:rsid w:val="0CDCC37F"/>
    <w:rsid w:val="0CF39CF3"/>
    <w:rsid w:val="0CFFA6AD"/>
    <w:rsid w:val="0D0005FF"/>
    <w:rsid w:val="0D132082"/>
    <w:rsid w:val="0D19A12D"/>
    <w:rsid w:val="0D2BE162"/>
    <w:rsid w:val="0D300D93"/>
    <w:rsid w:val="0D345842"/>
    <w:rsid w:val="0D3E1894"/>
    <w:rsid w:val="0D462AD0"/>
    <w:rsid w:val="0D471312"/>
    <w:rsid w:val="0D537125"/>
    <w:rsid w:val="0D550949"/>
    <w:rsid w:val="0D5C5D61"/>
    <w:rsid w:val="0D667957"/>
    <w:rsid w:val="0D7F601C"/>
    <w:rsid w:val="0D82BEA8"/>
    <w:rsid w:val="0D90CFAF"/>
    <w:rsid w:val="0D98849A"/>
    <w:rsid w:val="0D9CDB72"/>
    <w:rsid w:val="0D9E9CFF"/>
    <w:rsid w:val="0DA06864"/>
    <w:rsid w:val="0DC0506B"/>
    <w:rsid w:val="0DC2BB86"/>
    <w:rsid w:val="0DCE8CF0"/>
    <w:rsid w:val="0DD36AB9"/>
    <w:rsid w:val="0DDD1A7F"/>
    <w:rsid w:val="0DDD967D"/>
    <w:rsid w:val="0DE62688"/>
    <w:rsid w:val="0DF7AE2D"/>
    <w:rsid w:val="0E038659"/>
    <w:rsid w:val="0E0BEEE5"/>
    <w:rsid w:val="0E0C0FAF"/>
    <w:rsid w:val="0E160697"/>
    <w:rsid w:val="0E475AB5"/>
    <w:rsid w:val="0E50D1A9"/>
    <w:rsid w:val="0E5FA471"/>
    <w:rsid w:val="0E6E1E94"/>
    <w:rsid w:val="0E812B60"/>
    <w:rsid w:val="0E9AFF11"/>
    <w:rsid w:val="0E9E9D09"/>
    <w:rsid w:val="0EAD2ADA"/>
    <w:rsid w:val="0EB5A7A5"/>
    <w:rsid w:val="0EC25A09"/>
    <w:rsid w:val="0ECDBF66"/>
    <w:rsid w:val="0ED8D381"/>
    <w:rsid w:val="0EE5CED5"/>
    <w:rsid w:val="0EF940A5"/>
    <w:rsid w:val="0F1D108F"/>
    <w:rsid w:val="0F36102D"/>
    <w:rsid w:val="0F386940"/>
    <w:rsid w:val="0F5E55F5"/>
    <w:rsid w:val="0F6D0F3D"/>
    <w:rsid w:val="0F778266"/>
    <w:rsid w:val="0F7F370A"/>
    <w:rsid w:val="0F80856A"/>
    <w:rsid w:val="0F808FE4"/>
    <w:rsid w:val="0F8ED7F2"/>
    <w:rsid w:val="0F9F90F1"/>
    <w:rsid w:val="0FA43B68"/>
    <w:rsid w:val="0FA8FD29"/>
    <w:rsid w:val="0FC052AF"/>
    <w:rsid w:val="0FC756BC"/>
    <w:rsid w:val="0FE23508"/>
    <w:rsid w:val="0FFBDF0E"/>
    <w:rsid w:val="0FFF840E"/>
    <w:rsid w:val="1005758D"/>
    <w:rsid w:val="100739D8"/>
    <w:rsid w:val="100B5318"/>
    <w:rsid w:val="10241DB2"/>
    <w:rsid w:val="1027E986"/>
    <w:rsid w:val="102A2A71"/>
    <w:rsid w:val="10343FFF"/>
    <w:rsid w:val="10393F6D"/>
    <w:rsid w:val="103F03A7"/>
    <w:rsid w:val="105D3C38"/>
    <w:rsid w:val="10679E7D"/>
    <w:rsid w:val="107CC7B9"/>
    <w:rsid w:val="1081FAFB"/>
    <w:rsid w:val="1088509A"/>
    <w:rsid w:val="10963757"/>
    <w:rsid w:val="10A7302A"/>
    <w:rsid w:val="10AF32C6"/>
    <w:rsid w:val="10B029F4"/>
    <w:rsid w:val="10BAF3C6"/>
    <w:rsid w:val="10CAD80C"/>
    <w:rsid w:val="10D6932D"/>
    <w:rsid w:val="10DFC79B"/>
    <w:rsid w:val="1100F59E"/>
    <w:rsid w:val="1104A605"/>
    <w:rsid w:val="111C5364"/>
    <w:rsid w:val="1128DDF3"/>
    <w:rsid w:val="113FEE3C"/>
    <w:rsid w:val="11490330"/>
    <w:rsid w:val="114CCD68"/>
    <w:rsid w:val="114E3303"/>
    <w:rsid w:val="11523F0A"/>
    <w:rsid w:val="1157FCB8"/>
    <w:rsid w:val="115DDB68"/>
    <w:rsid w:val="11657788"/>
    <w:rsid w:val="1169A964"/>
    <w:rsid w:val="117702E8"/>
    <w:rsid w:val="117CDE80"/>
    <w:rsid w:val="1182E2B4"/>
    <w:rsid w:val="118839FC"/>
    <w:rsid w:val="119A52BC"/>
    <w:rsid w:val="119A7C67"/>
    <w:rsid w:val="119DBD3D"/>
    <w:rsid w:val="11C8F032"/>
    <w:rsid w:val="11D009E0"/>
    <w:rsid w:val="11D45D89"/>
    <w:rsid w:val="11DDAC64"/>
    <w:rsid w:val="11E2C18A"/>
    <w:rsid w:val="11F0F22F"/>
    <w:rsid w:val="11F61B2E"/>
    <w:rsid w:val="11FB7D4C"/>
    <w:rsid w:val="11FE6131"/>
    <w:rsid w:val="11FE6B44"/>
    <w:rsid w:val="120A5365"/>
    <w:rsid w:val="1216C258"/>
    <w:rsid w:val="121A3537"/>
    <w:rsid w:val="121B3777"/>
    <w:rsid w:val="12205EE1"/>
    <w:rsid w:val="12360060"/>
    <w:rsid w:val="123FEE89"/>
    <w:rsid w:val="123FF26A"/>
    <w:rsid w:val="1251632E"/>
    <w:rsid w:val="12589009"/>
    <w:rsid w:val="125CE1E4"/>
    <w:rsid w:val="126CE69F"/>
    <w:rsid w:val="126E60E4"/>
    <w:rsid w:val="1273E47E"/>
    <w:rsid w:val="127E94EE"/>
    <w:rsid w:val="1285F095"/>
    <w:rsid w:val="12964CB5"/>
    <w:rsid w:val="12AAA179"/>
    <w:rsid w:val="12B2AD66"/>
    <w:rsid w:val="12C6FFA7"/>
    <w:rsid w:val="12CC24BB"/>
    <w:rsid w:val="12D2763A"/>
    <w:rsid w:val="12EFFFD4"/>
    <w:rsid w:val="12F0D891"/>
    <w:rsid w:val="12FE9011"/>
    <w:rsid w:val="130DE293"/>
    <w:rsid w:val="13139DD6"/>
    <w:rsid w:val="131D4F2B"/>
    <w:rsid w:val="13254EE5"/>
    <w:rsid w:val="133522A9"/>
    <w:rsid w:val="133AAAF4"/>
    <w:rsid w:val="134109EF"/>
    <w:rsid w:val="13415A41"/>
    <w:rsid w:val="13420834"/>
    <w:rsid w:val="13495913"/>
    <w:rsid w:val="13603D0A"/>
    <w:rsid w:val="13720A3D"/>
    <w:rsid w:val="13984EB3"/>
    <w:rsid w:val="139A069E"/>
    <w:rsid w:val="139F1F4C"/>
    <w:rsid w:val="13C741C9"/>
    <w:rsid w:val="13C8B0CD"/>
    <w:rsid w:val="13CC759C"/>
    <w:rsid w:val="13D58EFA"/>
    <w:rsid w:val="13D82E2B"/>
    <w:rsid w:val="13DF0030"/>
    <w:rsid w:val="13E2F0C3"/>
    <w:rsid w:val="13F753BD"/>
    <w:rsid w:val="140B2D49"/>
    <w:rsid w:val="14143AA3"/>
    <w:rsid w:val="1416669B"/>
    <w:rsid w:val="141B195D"/>
    <w:rsid w:val="14255C7B"/>
    <w:rsid w:val="142C471F"/>
    <w:rsid w:val="142F223E"/>
    <w:rsid w:val="1434468F"/>
    <w:rsid w:val="14562EF7"/>
    <w:rsid w:val="1461102E"/>
    <w:rsid w:val="1479FFAB"/>
    <w:rsid w:val="147A014E"/>
    <w:rsid w:val="148E9CF9"/>
    <w:rsid w:val="148FBBD8"/>
    <w:rsid w:val="1494594E"/>
    <w:rsid w:val="1496C5F4"/>
    <w:rsid w:val="149DE81E"/>
    <w:rsid w:val="14A33A1B"/>
    <w:rsid w:val="14B0D813"/>
    <w:rsid w:val="14B829E5"/>
    <w:rsid w:val="14CD175A"/>
    <w:rsid w:val="14D820BF"/>
    <w:rsid w:val="14DF94B4"/>
    <w:rsid w:val="14EB2701"/>
    <w:rsid w:val="14F28DB4"/>
    <w:rsid w:val="14F7DA24"/>
    <w:rsid w:val="1506101C"/>
    <w:rsid w:val="1516A954"/>
    <w:rsid w:val="15330401"/>
    <w:rsid w:val="1547145E"/>
    <w:rsid w:val="156F5B7F"/>
    <w:rsid w:val="15728A19"/>
    <w:rsid w:val="15729A01"/>
    <w:rsid w:val="1582384A"/>
    <w:rsid w:val="15882FAC"/>
    <w:rsid w:val="158FE414"/>
    <w:rsid w:val="1594A37D"/>
    <w:rsid w:val="15A63541"/>
    <w:rsid w:val="15DDFA23"/>
    <w:rsid w:val="15DF7220"/>
    <w:rsid w:val="15DFF825"/>
    <w:rsid w:val="15E2B735"/>
    <w:rsid w:val="15F2E7C7"/>
    <w:rsid w:val="15FEDF7D"/>
    <w:rsid w:val="1613B695"/>
    <w:rsid w:val="161D832B"/>
    <w:rsid w:val="163D07B7"/>
    <w:rsid w:val="164398B4"/>
    <w:rsid w:val="16570C2D"/>
    <w:rsid w:val="165B8E89"/>
    <w:rsid w:val="166C35C2"/>
    <w:rsid w:val="167B702F"/>
    <w:rsid w:val="1683AE17"/>
    <w:rsid w:val="16846223"/>
    <w:rsid w:val="1689CEC9"/>
    <w:rsid w:val="16A1930F"/>
    <w:rsid w:val="16D36E8C"/>
    <w:rsid w:val="16E3DD6D"/>
    <w:rsid w:val="16F3F973"/>
    <w:rsid w:val="17033246"/>
    <w:rsid w:val="171AD131"/>
    <w:rsid w:val="171D8B42"/>
    <w:rsid w:val="1720E56B"/>
    <w:rsid w:val="17289841"/>
    <w:rsid w:val="173165CD"/>
    <w:rsid w:val="174138C7"/>
    <w:rsid w:val="17504A78"/>
    <w:rsid w:val="175193B7"/>
    <w:rsid w:val="175742AC"/>
    <w:rsid w:val="17804F35"/>
    <w:rsid w:val="178FAFA2"/>
    <w:rsid w:val="17AA11A1"/>
    <w:rsid w:val="17BF7910"/>
    <w:rsid w:val="17C0D68F"/>
    <w:rsid w:val="17CDBEFD"/>
    <w:rsid w:val="17D2472E"/>
    <w:rsid w:val="17E016B5"/>
    <w:rsid w:val="17E4EF5A"/>
    <w:rsid w:val="17EFEA2E"/>
    <w:rsid w:val="17FFDF48"/>
    <w:rsid w:val="1806DE1C"/>
    <w:rsid w:val="18194BFA"/>
    <w:rsid w:val="182555B8"/>
    <w:rsid w:val="182A6CFF"/>
    <w:rsid w:val="182F1EE7"/>
    <w:rsid w:val="182FA196"/>
    <w:rsid w:val="1847A3CA"/>
    <w:rsid w:val="184A3555"/>
    <w:rsid w:val="185150E6"/>
    <w:rsid w:val="185929A8"/>
    <w:rsid w:val="185B4FD4"/>
    <w:rsid w:val="18932EB2"/>
    <w:rsid w:val="18A587BF"/>
    <w:rsid w:val="18B0485F"/>
    <w:rsid w:val="18B46546"/>
    <w:rsid w:val="18B57488"/>
    <w:rsid w:val="18B9E3CA"/>
    <w:rsid w:val="18C22D32"/>
    <w:rsid w:val="18D97067"/>
    <w:rsid w:val="18E6420D"/>
    <w:rsid w:val="18E87DDD"/>
    <w:rsid w:val="18F3B3C7"/>
    <w:rsid w:val="18F58ED6"/>
    <w:rsid w:val="19020A7B"/>
    <w:rsid w:val="19190A75"/>
    <w:rsid w:val="1936FD08"/>
    <w:rsid w:val="193A0A5F"/>
    <w:rsid w:val="193CD86D"/>
    <w:rsid w:val="193DBD0E"/>
    <w:rsid w:val="194655AB"/>
    <w:rsid w:val="195346B6"/>
    <w:rsid w:val="195485D3"/>
    <w:rsid w:val="19571054"/>
    <w:rsid w:val="1959A5CB"/>
    <w:rsid w:val="1977B1A3"/>
    <w:rsid w:val="198D111C"/>
    <w:rsid w:val="19A2952E"/>
    <w:rsid w:val="19A8E4C2"/>
    <w:rsid w:val="19BF50CB"/>
    <w:rsid w:val="19CC797F"/>
    <w:rsid w:val="19CE8155"/>
    <w:rsid w:val="19F14819"/>
    <w:rsid w:val="19F9BBD3"/>
    <w:rsid w:val="19FD3EDC"/>
    <w:rsid w:val="1A1BE122"/>
    <w:rsid w:val="1A240BCF"/>
    <w:rsid w:val="1A24FB8E"/>
    <w:rsid w:val="1A32BFBA"/>
    <w:rsid w:val="1A3587BD"/>
    <w:rsid w:val="1A3F32CC"/>
    <w:rsid w:val="1A4D73F9"/>
    <w:rsid w:val="1A514785"/>
    <w:rsid w:val="1A51E5F3"/>
    <w:rsid w:val="1A58A572"/>
    <w:rsid w:val="1A7DE0CB"/>
    <w:rsid w:val="1A7F14AF"/>
    <w:rsid w:val="1A8702D5"/>
    <w:rsid w:val="1A9753E9"/>
    <w:rsid w:val="1A9D157C"/>
    <w:rsid w:val="1A9F14A2"/>
    <w:rsid w:val="1A9FBBB5"/>
    <w:rsid w:val="1AA018C4"/>
    <w:rsid w:val="1AA3060B"/>
    <w:rsid w:val="1AB43E5D"/>
    <w:rsid w:val="1AB9C7DE"/>
    <w:rsid w:val="1ACABF3F"/>
    <w:rsid w:val="1AD0C87E"/>
    <w:rsid w:val="1AE51E68"/>
    <w:rsid w:val="1B03E153"/>
    <w:rsid w:val="1B1067E3"/>
    <w:rsid w:val="1B14D038"/>
    <w:rsid w:val="1B2AED49"/>
    <w:rsid w:val="1B37B6E7"/>
    <w:rsid w:val="1B607856"/>
    <w:rsid w:val="1B6D5DFD"/>
    <w:rsid w:val="1B8D2873"/>
    <w:rsid w:val="1B964F9D"/>
    <w:rsid w:val="1B9F1C3B"/>
    <w:rsid w:val="1BB67AEB"/>
    <w:rsid w:val="1BBA8EE0"/>
    <w:rsid w:val="1BBCDE0F"/>
    <w:rsid w:val="1BCB0C93"/>
    <w:rsid w:val="1BDBEA1F"/>
    <w:rsid w:val="1BE70FBE"/>
    <w:rsid w:val="1BEFBDD8"/>
    <w:rsid w:val="1C1832E2"/>
    <w:rsid w:val="1C1FFA90"/>
    <w:rsid w:val="1C3E12B0"/>
    <w:rsid w:val="1C4281E1"/>
    <w:rsid w:val="1C4B46E7"/>
    <w:rsid w:val="1C5FC7EA"/>
    <w:rsid w:val="1C6B38E9"/>
    <w:rsid w:val="1C8609BB"/>
    <w:rsid w:val="1C919C9B"/>
    <w:rsid w:val="1C963BA0"/>
    <w:rsid w:val="1C9C80F7"/>
    <w:rsid w:val="1CAA34CB"/>
    <w:rsid w:val="1CBA7DF7"/>
    <w:rsid w:val="1CC0CCE5"/>
    <w:rsid w:val="1CCF2FA5"/>
    <w:rsid w:val="1CCF3D89"/>
    <w:rsid w:val="1CEAFBF4"/>
    <w:rsid w:val="1CEB1CF2"/>
    <w:rsid w:val="1CFF17D3"/>
    <w:rsid w:val="1D14CA26"/>
    <w:rsid w:val="1D15C9B4"/>
    <w:rsid w:val="1D260C6E"/>
    <w:rsid w:val="1D3DF5E2"/>
    <w:rsid w:val="1D488CC0"/>
    <w:rsid w:val="1D60D2BC"/>
    <w:rsid w:val="1D62FA2F"/>
    <w:rsid w:val="1D68FEF5"/>
    <w:rsid w:val="1D9BD087"/>
    <w:rsid w:val="1DA3EDD6"/>
    <w:rsid w:val="1DBE36B1"/>
    <w:rsid w:val="1DC4D998"/>
    <w:rsid w:val="1DDD4751"/>
    <w:rsid w:val="1DDDD55B"/>
    <w:rsid w:val="1DFC1D06"/>
    <w:rsid w:val="1E034D84"/>
    <w:rsid w:val="1E085BF6"/>
    <w:rsid w:val="1E088971"/>
    <w:rsid w:val="1E0B2EFB"/>
    <w:rsid w:val="1E0E91A1"/>
    <w:rsid w:val="1E14C40D"/>
    <w:rsid w:val="1E2B639B"/>
    <w:rsid w:val="1E36BF0A"/>
    <w:rsid w:val="1E3F4226"/>
    <w:rsid w:val="1E3F4F80"/>
    <w:rsid w:val="1E4ACBF8"/>
    <w:rsid w:val="1E4EDD98"/>
    <w:rsid w:val="1E530BE8"/>
    <w:rsid w:val="1E547E25"/>
    <w:rsid w:val="1E563A20"/>
    <w:rsid w:val="1E576FB6"/>
    <w:rsid w:val="1E7129F3"/>
    <w:rsid w:val="1E77E0E3"/>
    <w:rsid w:val="1E7BBA66"/>
    <w:rsid w:val="1E823232"/>
    <w:rsid w:val="1E9EF466"/>
    <w:rsid w:val="1EA943E1"/>
    <w:rsid w:val="1EBF391E"/>
    <w:rsid w:val="1EBFFBBC"/>
    <w:rsid w:val="1EC1ACA8"/>
    <w:rsid w:val="1EC3C613"/>
    <w:rsid w:val="1EC7B26E"/>
    <w:rsid w:val="1ED2E66F"/>
    <w:rsid w:val="1EFB8841"/>
    <w:rsid w:val="1F1363EA"/>
    <w:rsid w:val="1F2A063C"/>
    <w:rsid w:val="1F30BFF3"/>
    <w:rsid w:val="1F41BFBD"/>
    <w:rsid w:val="1F4DDBD5"/>
    <w:rsid w:val="1F4EF9C1"/>
    <w:rsid w:val="1F50FEF2"/>
    <w:rsid w:val="1F5EBA50"/>
    <w:rsid w:val="1F64798E"/>
    <w:rsid w:val="1F69ED01"/>
    <w:rsid w:val="1F756BD6"/>
    <w:rsid w:val="1F7E09CE"/>
    <w:rsid w:val="1F961EC6"/>
    <w:rsid w:val="1F974114"/>
    <w:rsid w:val="1FA46252"/>
    <w:rsid w:val="1FACCEF8"/>
    <w:rsid w:val="1FAE112A"/>
    <w:rsid w:val="1FD6D0EE"/>
    <w:rsid w:val="1FE02A56"/>
    <w:rsid w:val="1FF0D086"/>
    <w:rsid w:val="1FF9CD15"/>
    <w:rsid w:val="20000371"/>
    <w:rsid w:val="2001C79B"/>
    <w:rsid w:val="2013F7CC"/>
    <w:rsid w:val="2030008C"/>
    <w:rsid w:val="20360F14"/>
    <w:rsid w:val="203DD814"/>
    <w:rsid w:val="20475409"/>
    <w:rsid w:val="204C8ADA"/>
    <w:rsid w:val="204E6606"/>
    <w:rsid w:val="205BDC25"/>
    <w:rsid w:val="205ED410"/>
    <w:rsid w:val="2086456D"/>
    <w:rsid w:val="208D1287"/>
    <w:rsid w:val="209044B9"/>
    <w:rsid w:val="209616AB"/>
    <w:rsid w:val="20A257B2"/>
    <w:rsid w:val="20A75B45"/>
    <w:rsid w:val="20B0A81F"/>
    <w:rsid w:val="20BB1A67"/>
    <w:rsid w:val="20C615F3"/>
    <w:rsid w:val="20CC45FC"/>
    <w:rsid w:val="20F70206"/>
    <w:rsid w:val="20F8D7EF"/>
    <w:rsid w:val="20F8E85F"/>
    <w:rsid w:val="20F9CA8D"/>
    <w:rsid w:val="20FFDC6A"/>
    <w:rsid w:val="21000914"/>
    <w:rsid w:val="21053F2A"/>
    <w:rsid w:val="210680C7"/>
    <w:rsid w:val="2113DB9F"/>
    <w:rsid w:val="21144CCA"/>
    <w:rsid w:val="21186191"/>
    <w:rsid w:val="2129F43C"/>
    <w:rsid w:val="21312E0E"/>
    <w:rsid w:val="213246A7"/>
    <w:rsid w:val="2138D82B"/>
    <w:rsid w:val="2139E2FD"/>
    <w:rsid w:val="2141F194"/>
    <w:rsid w:val="21458D36"/>
    <w:rsid w:val="214B00F9"/>
    <w:rsid w:val="214EBED6"/>
    <w:rsid w:val="215E84C0"/>
    <w:rsid w:val="215FA24F"/>
    <w:rsid w:val="2160E9DD"/>
    <w:rsid w:val="21670731"/>
    <w:rsid w:val="217EF938"/>
    <w:rsid w:val="217FF5CC"/>
    <w:rsid w:val="218D2C57"/>
    <w:rsid w:val="21948C62"/>
    <w:rsid w:val="219C7F70"/>
    <w:rsid w:val="21B3DCD3"/>
    <w:rsid w:val="21B6E953"/>
    <w:rsid w:val="21BBCB6F"/>
    <w:rsid w:val="21BC6A72"/>
    <w:rsid w:val="21CFB6CA"/>
    <w:rsid w:val="21D0BA00"/>
    <w:rsid w:val="21EFB2EB"/>
    <w:rsid w:val="21F05AD4"/>
    <w:rsid w:val="220112E6"/>
    <w:rsid w:val="220B3D53"/>
    <w:rsid w:val="2214E931"/>
    <w:rsid w:val="22206B81"/>
    <w:rsid w:val="222ADDD2"/>
    <w:rsid w:val="222EE0FA"/>
    <w:rsid w:val="223479D0"/>
    <w:rsid w:val="223CAC2B"/>
    <w:rsid w:val="2267C476"/>
    <w:rsid w:val="227870B0"/>
    <w:rsid w:val="2284E26E"/>
    <w:rsid w:val="22860930"/>
    <w:rsid w:val="22B37633"/>
    <w:rsid w:val="22BF268C"/>
    <w:rsid w:val="22BF695B"/>
    <w:rsid w:val="22C4EA10"/>
    <w:rsid w:val="22CA2B0B"/>
    <w:rsid w:val="22D35AB9"/>
    <w:rsid w:val="22D4C549"/>
    <w:rsid w:val="22D72807"/>
    <w:rsid w:val="22E0DF13"/>
    <w:rsid w:val="22E3F1A3"/>
    <w:rsid w:val="22E412C2"/>
    <w:rsid w:val="22E9D3FF"/>
    <w:rsid w:val="22F6F7F4"/>
    <w:rsid w:val="231F92DB"/>
    <w:rsid w:val="232179BE"/>
    <w:rsid w:val="232E8A06"/>
    <w:rsid w:val="233D000E"/>
    <w:rsid w:val="2341D916"/>
    <w:rsid w:val="234713C0"/>
    <w:rsid w:val="23541E25"/>
    <w:rsid w:val="23603565"/>
    <w:rsid w:val="236ABB28"/>
    <w:rsid w:val="236C1D28"/>
    <w:rsid w:val="237C1BBE"/>
    <w:rsid w:val="239A0042"/>
    <w:rsid w:val="23B1AE45"/>
    <w:rsid w:val="23B9B5BF"/>
    <w:rsid w:val="23BE22F3"/>
    <w:rsid w:val="23C8B5BE"/>
    <w:rsid w:val="23CDE749"/>
    <w:rsid w:val="23D79301"/>
    <w:rsid w:val="23DAEB64"/>
    <w:rsid w:val="23E315B0"/>
    <w:rsid w:val="23E47464"/>
    <w:rsid w:val="23E70D81"/>
    <w:rsid w:val="23FE2906"/>
    <w:rsid w:val="2400DFDD"/>
    <w:rsid w:val="24023AAA"/>
    <w:rsid w:val="2405CF3E"/>
    <w:rsid w:val="2407EAC5"/>
    <w:rsid w:val="24189FC7"/>
    <w:rsid w:val="24206A45"/>
    <w:rsid w:val="24208823"/>
    <w:rsid w:val="2427C214"/>
    <w:rsid w:val="242D071A"/>
    <w:rsid w:val="242E5EDF"/>
    <w:rsid w:val="2432014F"/>
    <w:rsid w:val="244540D1"/>
    <w:rsid w:val="24530013"/>
    <w:rsid w:val="2470D140"/>
    <w:rsid w:val="247E06A7"/>
    <w:rsid w:val="248773D6"/>
    <w:rsid w:val="24923FD7"/>
    <w:rsid w:val="2492FAB0"/>
    <w:rsid w:val="24971BF9"/>
    <w:rsid w:val="24A25753"/>
    <w:rsid w:val="24A25897"/>
    <w:rsid w:val="24A84ED6"/>
    <w:rsid w:val="24A9AC86"/>
    <w:rsid w:val="24B6B339"/>
    <w:rsid w:val="24BAA287"/>
    <w:rsid w:val="24DFB7A1"/>
    <w:rsid w:val="24E7A47D"/>
    <w:rsid w:val="24FF1F13"/>
    <w:rsid w:val="25012669"/>
    <w:rsid w:val="251F1AFB"/>
    <w:rsid w:val="252DCC29"/>
    <w:rsid w:val="2532D723"/>
    <w:rsid w:val="253B94FF"/>
    <w:rsid w:val="254A111B"/>
    <w:rsid w:val="2551C628"/>
    <w:rsid w:val="2593D93A"/>
    <w:rsid w:val="25980045"/>
    <w:rsid w:val="2599236B"/>
    <w:rsid w:val="259EC05E"/>
    <w:rsid w:val="25A1ECCD"/>
    <w:rsid w:val="25C906AF"/>
    <w:rsid w:val="25CF1563"/>
    <w:rsid w:val="25FDAC8E"/>
    <w:rsid w:val="2601968A"/>
    <w:rsid w:val="2602CB01"/>
    <w:rsid w:val="26158C63"/>
    <w:rsid w:val="2618532F"/>
    <w:rsid w:val="263BF0B1"/>
    <w:rsid w:val="263ECF64"/>
    <w:rsid w:val="263F88DB"/>
    <w:rsid w:val="2649D71F"/>
    <w:rsid w:val="2657CBFB"/>
    <w:rsid w:val="2668475E"/>
    <w:rsid w:val="26839709"/>
    <w:rsid w:val="268E3F68"/>
    <w:rsid w:val="268FA9AD"/>
    <w:rsid w:val="26909277"/>
    <w:rsid w:val="2693C798"/>
    <w:rsid w:val="26956547"/>
    <w:rsid w:val="269DB0E7"/>
    <w:rsid w:val="26AA1992"/>
    <w:rsid w:val="26C1141D"/>
    <w:rsid w:val="26C5D240"/>
    <w:rsid w:val="26CC3EA6"/>
    <w:rsid w:val="26DE53D3"/>
    <w:rsid w:val="26EC9CFA"/>
    <w:rsid w:val="26F55A47"/>
    <w:rsid w:val="2710DF88"/>
    <w:rsid w:val="27292645"/>
    <w:rsid w:val="272C50C8"/>
    <w:rsid w:val="27360D36"/>
    <w:rsid w:val="2737F78E"/>
    <w:rsid w:val="27444C4C"/>
    <w:rsid w:val="274931DE"/>
    <w:rsid w:val="274CDC84"/>
    <w:rsid w:val="2757A66E"/>
    <w:rsid w:val="27613263"/>
    <w:rsid w:val="2764C096"/>
    <w:rsid w:val="276A2A6C"/>
    <w:rsid w:val="279645F3"/>
    <w:rsid w:val="279A73E9"/>
    <w:rsid w:val="279AE172"/>
    <w:rsid w:val="279D2FC2"/>
    <w:rsid w:val="27B2675A"/>
    <w:rsid w:val="27B43D40"/>
    <w:rsid w:val="27BAD323"/>
    <w:rsid w:val="27C0ACFA"/>
    <w:rsid w:val="27C57A69"/>
    <w:rsid w:val="27CB5594"/>
    <w:rsid w:val="27CC6603"/>
    <w:rsid w:val="27D0F0CF"/>
    <w:rsid w:val="27ED5763"/>
    <w:rsid w:val="28090887"/>
    <w:rsid w:val="280E5084"/>
    <w:rsid w:val="28137339"/>
    <w:rsid w:val="2828B1DB"/>
    <w:rsid w:val="2835EB85"/>
    <w:rsid w:val="283DF073"/>
    <w:rsid w:val="2846E532"/>
    <w:rsid w:val="284B5CB7"/>
    <w:rsid w:val="28597F8F"/>
    <w:rsid w:val="286A7CF9"/>
    <w:rsid w:val="286CEC3C"/>
    <w:rsid w:val="2876845F"/>
    <w:rsid w:val="289AA0FF"/>
    <w:rsid w:val="289D8D68"/>
    <w:rsid w:val="28BC7B66"/>
    <w:rsid w:val="28DBC750"/>
    <w:rsid w:val="28E6163D"/>
    <w:rsid w:val="290D1D5B"/>
    <w:rsid w:val="2925540E"/>
    <w:rsid w:val="292A30AC"/>
    <w:rsid w:val="2935A1A3"/>
    <w:rsid w:val="29459679"/>
    <w:rsid w:val="295F44A8"/>
    <w:rsid w:val="296DCC8A"/>
    <w:rsid w:val="296F06F0"/>
    <w:rsid w:val="2989D5C3"/>
    <w:rsid w:val="299A103E"/>
    <w:rsid w:val="299CFA49"/>
    <w:rsid w:val="299F8C03"/>
    <w:rsid w:val="299F8F68"/>
    <w:rsid w:val="29A1B43F"/>
    <w:rsid w:val="29BF76F6"/>
    <w:rsid w:val="29C434AF"/>
    <w:rsid w:val="29CBB4E2"/>
    <w:rsid w:val="29D2FC16"/>
    <w:rsid w:val="29D44C44"/>
    <w:rsid w:val="29E5054E"/>
    <w:rsid w:val="29F765AE"/>
    <w:rsid w:val="2A002EB8"/>
    <w:rsid w:val="2A0C65DD"/>
    <w:rsid w:val="2A1705FD"/>
    <w:rsid w:val="2A204E1D"/>
    <w:rsid w:val="2A2095E9"/>
    <w:rsid w:val="2A29E346"/>
    <w:rsid w:val="2A327E14"/>
    <w:rsid w:val="2A38BB6A"/>
    <w:rsid w:val="2A3CC8CA"/>
    <w:rsid w:val="2A569E06"/>
    <w:rsid w:val="2A5A28CB"/>
    <w:rsid w:val="2A6C2C3A"/>
    <w:rsid w:val="2A71A3A5"/>
    <w:rsid w:val="2A71D228"/>
    <w:rsid w:val="2A7A775F"/>
    <w:rsid w:val="2A7F5AAF"/>
    <w:rsid w:val="2A82470B"/>
    <w:rsid w:val="2A871077"/>
    <w:rsid w:val="2A9B7056"/>
    <w:rsid w:val="2A9DC2D8"/>
    <w:rsid w:val="2A9E78F7"/>
    <w:rsid w:val="2AA39E17"/>
    <w:rsid w:val="2AB6CD49"/>
    <w:rsid w:val="2AB7F956"/>
    <w:rsid w:val="2ABA20A3"/>
    <w:rsid w:val="2AD06C77"/>
    <w:rsid w:val="2AE10F83"/>
    <w:rsid w:val="2AEAF614"/>
    <w:rsid w:val="2AEBD5CF"/>
    <w:rsid w:val="2AECE320"/>
    <w:rsid w:val="2AF5287D"/>
    <w:rsid w:val="2AF7E793"/>
    <w:rsid w:val="2AF91014"/>
    <w:rsid w:val="2AFA0125"/>
    <w:rsid w:val="2AFE182F"/>
    <w:rsid w:val="2B059DCA"/>
    <w:rsid w:val="2B08C70D"/>
    <w:rsid w:val="2B280664"/>
    <w:rsid w:val="2B33C933"/>
    <w:rsid w:val="2B36E552"/>
    <w:rsid w:val="2B39F957"/>
    <w:rsid w:val="2B515DC1"/>
    <w:rsid w:val="2B51800C"/>
    <w:rsid w:val="2B587BBE"/>
    <w:rsid w:val="2B5D84B6"/>
    <w:rsid w:val="2B5FCAE6"/>
    <w:rsid w:val="2B800F79"/>
    <w:rsid w:val="2B8C3982"/>
    <w:rsid w:val="2B922195"/>
    <w:rsid w:val="2BA329B5"/>
    <w:rsid w:val="2BA6A28A"/>
    <w:rsid w:val="2BAC6C1E"/>
    <w:rsid w:val="2BB153AB"/>
    <w:rsid w:val="2BB1D902"/>
    <w:rsid w:val="2BBC1F17"/>
    <w:rsid w:val="2BC34FC9"/>
    <w:rsid w:val="2BD6286D"/>
    <w:rsid w:val="2BE94038"/>
    <w:rsid w:val="2BEAA068"/>
    <w:rsid w:val="2C12FC07"/>
    <w:rsid w:val="2C25D4D7"/>
    <w:rsid w:val="2C31B2C8"/>
    <w:rsid w:val="2C322981"/>
    <w:rsid w:val="2C3E883B"/>
    <w:rsid w:val="2C43EF7F"/>
    <w:rsid w:val="2C45AA08"/>
    <w:rsid w:val="2C5957EE"/>
    <w:rsid w:val="2C6B7DA2"/>
    <w:rsid w:val="2C82D66B"/>
    <w:rsid w:val="2C85AF69"/>
    <w:rsid w:val="2C921606"/>
    <w:rsid w:val="2C9AA80E"/>
    <w:rsid w:val="2CA4154F"/>
    <w:rsid w:val="2CA778CB"/>
    <w:rsid w:val="2CB2F9AE"/>
    <w:rsid w:val="2CC779C9"/>
    <w:rsid w:val="2CD4027B"/>
    <w:rsid w:val="2CD473F5"/>
    <w:rsid w:val="2CD625E6"/>
    <w:rsid w:val="2CD884FA"/>
    <w:rsid w:val="2CE219F6"/>
    <w:rsid w:val="2CFD0AC4"/>
    <w:rsid w:val="2D00F885"/>
    <w:rsid w:val="2D0AC353"/>
    <w:rsid w:val="2D16FFB5"/>
    <w:rsid w:val="2D20ACCE"/>
    <w:rsid w:val="2D24DC3E"/>
    <w:rsid w:val="2D31A472"/>
    <w:rsid w:val="2D4FCB8C"/>
    <w:rsid w:val="2D5ED6D1"/>
    <w:rsid w:val="2D617C01"/>
    <w:rsid w:val="2D7A9F7F"/>
    <w:rsid w:val="2D9B94B4"/>
    <w:rsid w:val="2D9EFDC1"/>
    <w:rsid w:val="2DAD3A40"/>
    <w:rsid w:val="2DB5D0CF"/>
    <w:rsid w:val="2DB6D6EB"/>
    <w:rsid w:val="2DB85563"/>
    <w:rsid w:val="2DC6A6C3"/>
    <w:rsid w:val="2DC86428"/>
    <w:rsid w:val="2DCA7CFD"/>
    <w:rsid w:val="2DD4ABB3"/>
    <w:rsid w:val="2DF091EC"/>
    <w:rsid w:val="2DF2FCEC"/>
    <w:rsid w:val="2DF5F738"/>
    <w:rsid w:val="2E07E122"/>
    <w:rsid w:val="2E0B3397"/>
    <w:rsid w:val="2E11BFDA"/>
    <w:rsid w:val="2E166B79"/>
    <w:rsid w:val="2E1B6AC3"/>
    <w:rsid w:val="2E1C503E"/>
    <w:rsid w:val="2E2998E7"/>
    <w:rsid w:val="2E4EB10F"/>
    <w:rsid w:val="2E606757"/>
    <w:rsid w:val="2E672504"/>
    <w:rsid w:val="2E711F5E"/>
    <w:rsid w:val="2E7ED240"/>
    <w:rsid w:val="2E811829"/>
    <w:rsid w:val="2E86DC86"/>
    <w:rsid w:val="2E902759"/>
    <w:rsid w:val="2E91707F"/>
    <w:rsid w:val="2EB861EF"/>
    <w:rsid w:val="2ED1B296"/>
    <w:rsid w:val="2EE6D04F"/>
    <w:rsid w:val="2F052A66"/>
    <w:rsid w:val="2F18D0C5"/>
    <w:rsid w:val="2F2813E6"/>
    <w:rsid w:val="2F3EBD1C"/>
    <w:rsid w:val="2F457E84"/>
    <w:rsid w:val="2F550A03"/>
    <w:rsid w:val="2F71F705"/>
    <w:rsid w:val="2F7FC8D4"/>
    <w:rsid w:val="2F8721FF"/>
    <w:rsid w:val="2F894092"/>
    <w:rsid w:val="2F89E999"/>
    <w:rsid w:val="2F90254A"/>
    <w:rsid w:val="2F950622"/>
    <w:rsid w:val="2F973016"/>
    <w:rsid w:val="2F99E5D2"/>
    <w:rsid w:val="2FAC7181"/>
    <w:rsid w:val="2FB84BEC"/>
    <w:rsid w:val="2FD473AC"/>
    <w:rsid w:val="2FD69F75"/>
    <w:rsid w:val="2FE0DC54"/>
    <w:rsid w:val="2FEBEFBE"/>
    <w:rsid w:val="2FF40987"/>
    <w:rsid w:val="2FF455BD"/>
    <w:rsid w:val="2FF67F9D"/>
    <w:rsid w:val="2FFC73BD"/>
    <w:rsid w:val="30004A9E"/>
    <w:rsid w:val="3000FC9B"/>
    <w:rsid w:val="30013CE1"/>
    <w:rsid w:val="30016A53"/>
    <w:rsid w:val="300E1F89"/>
    <w:rsid w:val="301C9A43"/>
    <w:rsid w:val="303FE550"/>
    <w:rsid w:val="3044222C"/>
    <w:rsid w:val="305A0771"/>
    <w:rsid w:val="306067C6"/>
    <w:rsid w:val="306EBD9D"/>
    <w:rsid w:val="30760854"/>
    <w:rsid w:val="3088304B"/>
    <w:rsid w:val="3099767E"/>
    <w:rsid w:val="30A63DCC"/>
    <w:rsid w:val="30BD4AB7"/>
    <w:rsid w:val="30BEAEF1"/>
    <w:rsid w:val="30D32E39"/>
    <w:rsid w:val="30D5413F"/>
    <w:rsid w:val="30D78C33"/>
    <w:rsid w:val="30DD6424"/>
    <w:rsid w:val="30F06F1E"/>
    <w:rsid w:val="30F5A8BE"/>
    <w:rsid w:val="310F7DDB"/>
    <w:rsid w:val="312B016F"/>
    <w:rsid w:val="313D32BF"/>
    <w:rsid w:val="31437A89"/>
    <w:rsid w:val="3146BD2F"/>
    <w:rsid w:val="3147BABB"/>
    <w:rsid w:val="315E0622"/>
    <w:rsid w:val="31703C14"/>
    <w:rsid w:val="317FFE82"/>
    <w:rsid w:val="318EB0B2"/>
    <w:rsid w:val="31948489"/>
    <w:rsid w:val="319932F0"/>
    <w:rsid w:val="31B0EA5B"/>
    <w:rsid w:val="31B5C0C0"/>
    <w:rsid w:val="31B6D543"/>
    <w:rsid w:val="31BA7048"/>
    <w:rsid w:val="31C1D303"/>
    <w:rsid w:val="31C304F7"/>
    <w:rsid w:val="31D3A206"/>
    <w:rsid w:val="31D3DB68"/>
    <w:rsid w:val="31DA4658"/>
    <w:rsid w:val="31F2AA05"/>
    <w:rsid w:val="31F7DD59"/>
    <w:rsid w:val="32083723"/>
    <w:rsid w:val="320BE7A2"/>
    <w:rsid w:val="320C658D"/>
    <w:rsid w:val="3218191B"/>
    <w:rsid w:val="321A57F9"/>
    <w:rsid w:val="321CFF24"/>
    <w:rsid w:val="3224C627"/>
    <w:rsid w:val="322ABB76"/>
    <w:rsid w:val="323D0211"/>
    <w:rsid w:val="324698D3"/>
    <w:rsid w:val="325C0FE8"/>
    <w:rsid w:val="32668CB4"/>
    <w:rsid w:val="3268B370"/>
    <w:rsid w:val="32737F92"/>
    <w:rsid w:val="3279867C"/>
    <w:rsid w:val="328455F0"/>
    <w:rsid w:val="32895AB4"/>
    <w:rsid w:val="32944B67"/>
    <w:rsid w:val="32987A6C"/>
    <w:rsid w:val="32BF4A88"/>
    <w:rsid w:val="32C5C063"/>
    <w:rsid w:val="32C8BB25"/>
    <w:rsid w:val="32D05C65"/>
    <w:rsid w:val="32D9280B"/>
    <w:rsid w:val="32E26322"/>
    <w:rsid w:val="32E47F00"/>
    <w:rsid w:val="330001F4"/>
    <w:rsid w:val="330B7354"/>
    <w:rsid w:val="33108004"/>
    <w:rsid w:val="331BDC26"/>
    <w:rsid w:val="33308138"/>
    <w:rsid w:val="33382C1A"/>
    <w:rsid w:val="333C9A34"/>
    <w:rsid w:val="334EFA70"/>
    <w:rsid w:val="3354528F"/>
    <w:rsid w:val="335AB279"/>
    <w:rsid w:val="3372A97E"/>
    <w:rsid w:val="338F2651"/>
    <w:rsid w:val="338FC442"/>
    <w:rsid w:val="33948531"/>
    <w:rsid w:val="339671FD"/>
    <w:rsid w:val="339EC575"/>
    <w:rsid w:val="33A4C8EC"/>
    <w:rsid w:val="33A94044"/>
    <w:rsid w:val="33B64F0A"/>
    <w:rsid w:val="33BC6647"/>
    <w:rsid w:val="33BCBB44"/>
    <w:rsid w:val="33C4D558"/>
    <w:rsid w:val="33C72C11"/>
    <w:rsid w:val="33C9279A"/>
    <w:rsid w:val="33D428D2"/>
    <w:rsid w:val="33E0B288"/>
    <w:rsid w:val="33F0885A"/>
    <w:rsid w:val="33FC1265"/>
    <w:rsid w:val="34035877"/>
    <w:rsid w:val="341089B3"/>
    <w:rsid w:val="341683D7"/>
    <w:rsid w:val="342BFCBC"/>
    <w:rsid w:val="34339966"/>
    <w:rsid w:val="343DE59E"/>
    <w:rsid w:val="34665268"/>
    <w:rsid w:val="346E7366"/>
    <w:rsid w:val="346F377D"/>
    <w:rsid w:val="34787385"/>
    <w:rsid w:val="3492683D"/>
    <w:rsid w:val="34A09D7B"/>
    <w:rsid w:val="34A23B93"/>
    <w:rsid w:val="34A3C433"/>
    <w:rsid w:val="34A5FC85"/>
    <w:rsid w:val="34D3D0BF"/>
    <w:rsid w:val="34DEDA32"/>
    <w:rsid w:val="34E71C5B"/>
    <w:rsid w:val="34EAA02D"/>
    <w:rsid w:val="34EE1493"/>
    <w:rsid w:val="34F1DD46"/>
    <w:rsid w:val="34F27BCF"/>
    <w:rsid w:val="34F613CE"/>
    <w:rsid w:val="34F706E7"/>
    <w:rsid w:val="34FB4326"/>
    <w:rsid w:val="350AC2EF"/>
    <w:rsid w:val="35174FB7"/>
    <w:rsid w:val="35175A36"/>
    <w:rsid w:val="3542A9E8"/>
    <w:rsid w:val="3548D3B9"/>
    <w:rsid w:val="3548EFB7"/>
    <w:rsid w:val="3550685C"/>
    <w:rsid w:val="3552583F"/>
    <w:rsid w:val="355FD8AE"/>
    <w:rsid w:val="356013A2"/>
    <w:rsid w:val="3585C351"/>
    <w:rsid w:val="35917501"/>
    <w:rsid w:val="35AD7ADC"/>
    <w:rsid w:val="35B84432"/>
    <w:rsid w:val="35B9BD01"/>
    <w:rsid w:val="35BE9B1B"/>
    <w:rsid w:val="35E52F97"/>
    <w:rsid w:val="35F055D1"/>
    <w:rsid w:val="35F1090E"/>
    <w:rsid w:val="35F3B7CC"/>
    <w:rsid w:val="35FAAE32"/>
    <w:rsid w:val="3614B39A"/>
    <w:rsid w:val="361E6C92"/>
    <w:rsid w:val="3640962A"/>
    <w:rsid w:val="36460DC9"/>
    <w:rsid w:val="364A7094"/>
    <w:rsid w:val="3650305E"/>
    <w:rsid w:val="366308CB"/>
    <w:rsid w:val="3671A9DC"/>
    <w:rsid w:val="36876206"/>
    <w:rsid w:val="36C61179"/>
    <w:rsid w:val="36CBE18D"/>
    <w:rsid w:val="36DCC710"/>
    <w:rsid w:val="36E40497"/>
    <w:rsid w:val="36FA33BA"/>
    <w:rsid w:val="36FD431F"/>
    <w:rsid w:val="371BF8F9"/>
    <w:rsid w:val="372286D4"/>
    <w:rsid w:val="372387EA"/>
    <w:rsid w:val="372A7273"/>
    <w:rsid w:val="372D8681"/>
    <w:rsid w:val="3743436C"/>
    <w:rsid w:val="375C77E2"/>
    <w:rsid w:val="376BB682"/>
    <w:rsid w:val="3770ACAE"/>
    <w:rsid w:val="37732FBB"/>
    <w:rsid w:val="377A7089"/>
    <w:rsid w:val="377EE7B7"/>
    <w:rsid w:val="3790D736"/>
    <w:rsid w:val="379B3239"/>
    <w:rsid w:val="37AC6D54"/>
    <w:rsid w:val="37AEB8F0"/>
    <w:rsid w:val="37BCAC76"/>
    <w:rsid w:val="37C21E1E"/>
    <w:rsid w:val="37D9C337"/>
    <w:rsid w:val="37DE6E55"/>
    <w:rsid w:val="37E10239"/>
    <w:rsid w:val="37F49886"/>
    <w:rsid w:val="37FA7E9B"/>
    <w:rsid w:val="3805EE2E"/>
    <w:rsid w:val="38073FD4"/>
    <w:rsid w:val="380DEE7B"/>
    <w:rsid w:val="382A849F"/>
    <w:rsid w:val="38359330"/>
    <w:rsid w:val="3836DE6B"/>
    <w:rsid w:val="3837E30E"/>
    <w:rsid w:val="383BFCAE"/>
    <w:rsid w:val="383D0EEB"/>
    <w:rsid w:val="384AE9A7"/>
    <w:rsid w:val="385C5F11"/>
    <w:rsid w:val="38667EC6"/>
    <w:rsid w:val="3870E381"/>
    <w:rsid w:val="38753383"/>
    <w:rsid w:val="387670FF"/>
    <w:rsid w:val="387FE783"/>
    <w:rsid w:val="3883E138"/>
    <w:rsid w:val="38AB427E"/>
    <w:rsid w:val="38AF30AC"/>
    <w:rsid w:val="38BE72B2"/>
    <w:rsid w:val="38CFB766"/>
    <w:rsid w:val="38D62758"/>
    <w:rsid w:val="38E0BAB8"/>
    <w:rsid w:val="38F41241"/>
    <w:rsid w:val="38FEFC48"/>
    <w:rsid w:val="3902519C"/>
    <w:rsid w:val="3927DD4C"/>
    <w:rsid w:val="392F2DDB"/>
    <w:rsid w:val="39317860"/>
    <w:rsid w:val="393797BC"/>
    <w:rsid w:val="3948115A"/>
    <w:rsid w:val="394F499B"/>
    <w:rsid w:val="394F9EC0"/>
    <w:rsid w:val="39549563"/>
    <w:rsid w:val="39728626"/>
    <w:rsid w:val="397EDA30"/>
    <w:rsid w:val="398AF40A"/>
    <w:rsid w:val="399B449F"/>
    <w:rsid w:val="39A07C8E"/>
    <w:rsid w:val="39A3FB23"/>
    <w:rsid w:val="39AABA51"/>
    <w:rsid w:val="39B971C5"/>
    <w:rsid w:val="39C59341"/>
    <w:rsid w:val="39CD7757"/>
    <w:rsid w:val="39E5B97B"/>
    <w:rsid w:val="39EFF756"/>
    <w:rsid w:val="39F1C277"/>
    <w:rsid w:val="39F4D9AB"/>
    <w:rsid w:val="39FFDC5F"/>
    <w:rsid w:val="3A015CC1"/>
    <w:rsid w:val="3A07F5B4"/>
    <w:rsid w:val="3A08E119"/>
    <w:rsid w:val="3A23A3ED"/>
    <w:rsid w:val="3A56FC0C"/>
    <w:rsid w:val="3A64DB0C"/>
    <w:rsid w:val="3A695E9F"/>
    <w:rsid w:val="3A887EE9"/>
    <w:rsid w:val="3A8B4652"/>
    <w:rsid w:val="3A8F7BFF"/>
    <w:rsid w:val="3AAB4EF4"/>
    <w:rsid w:val="3AC3A4A5"/>
    <w:rsid w:val="3AD4DE56"/>
    <w:rsid w:val="3AECEA7D"/>
    <w:rsid w:val="3AFA8F20"/>
    <w:rsid w:val="3B0FAFDA"/>
    <w:rsid w:val="3B1F627E"/>
    <w:rsid w:val="3B28ABE8"/>
    <w:rsid w:val="3B291245"/>
    <w:rsid w:val="3B2EE61D"/>
    <w:rsid w:val="3B3A6182"/>
    <w:rsid w:val="3B75F1C7"/>
    <w:rsid w:val="3B94B95B"/>
    <w:rsid w:val="3B94F4AF"/>
    <w:rsid w:val="3BA4FBAB"/>
    <w:rsid w:val="3BA7996C"/>
    <w:rsid w:val="3BAC0527"/>
    <w:rsid w:val="3BB111D1"/>
    <w:rsid w:val="3BB41CB4"/>
    <w:rsid w:val="3BBA3D08"/>
    <w:rsid w:val="3BBAE73C"/>
    <w:rsid w:val="3BBE795E"/>
    <w:rsid w:val="3BCEB761"/>
    <w:rsid w:val="3BE15900"/>
    <w:rsid w:val="3BE52923"/>
    <w:rsid w:val="3BEDD21A"/>
    <w:rsid w:val="3BF272DF"/>
    <w:rsid w:val="3BFB5972"/>
    <w:rsid w:val="3C0246AC"/>
    <w:rsid w:val="3C127A19"/>
    <w:rsid w:val="3C1E0F07"/>
    <w:rsid w:val="3C1E4690"/>
    <w:rsid w:val="3C28BFC5"/>
    <w:rsid w:val="3C367CE1"/>
    <w:rsid w:val="3C3BA292"/>
    <w:rsid w:val="3C41E257"/>
    <w:rsid w:val="3C4656F5"/>
    <w:rsid w:val="3C5B0371"/>
    <w:rsid w:val="3C6318A0"/>
    <w:rsid w:val="3C652992"/>
    <w:rsid w:val="3C7656D7"/>
    <w:rsid w:val="3C8F71BB"/>
    <w:rsid w:val="3C921D2E"/>
    <w:rsid w:val="3CB222C9"/>
    <w:rsid w:val="3CBAA2E0"/>
    <w:rsid w:val="3CBCEA9C"/>
    <w:rsid w:val="3CDE2B9F"/>
    <w:rsid w:val="3CE9B78F"/>
    <w:rsid w:val="3CF7CE53"/>
    <w:rsid w:val="3D017987"/>
    <w:rsid w:val="3D01F387"/>
    <w:rsid w:val="3D1BC6E4"/>
    <w:rsid w:val="3D225E74"/>
    <w:rsid w:val="3D339652"/>
    <w:rsid w:val="3D3A7625"/>
    <w:rsid w:val="3D3EC63A"/>
    <w:rsid w:val="3D42F699"/>
    <w:rsid w:val="3D544BE5"/>
    <w:rsid w:val="3D6258DB"/>
    <w:rsid w:val="3D69FEBE"/>
    <w:rsid w:val="3D7A243E"/>
    <w:rsid w:val="3D7F976B"/>
    <w:rsid w:val="3DBB411B"/>
    <w:rsid w:val="3DDB3B39"/>
    <w:rsid w:val="3DE60E6E"/>
    <w:rsid w:val="3DEA11BB"/>
    <w:rsid w:val="3DEDC2A2"/>
    <w:rsid w:val="3E062166"/>
    <w:rsid w:val="3E0C2F98"/>
    <w:rsid w:val="3E4F806C"/>
    <w:rsid w:val="3E529423"/>
    <w:rsid w:val="3E651502"/>
    <w:rsid w:val="3E69D458"/>
    <w:rsid w:val="3E7593DA"/>
    <w:rsid w:val="3E7D029C"/>
    <w:rsid w:val="3E7EC9CD"/>
    <w:rsid w:val="3E9DBA04"/>
    <w:rsid w:val="3EA5042E"/>
    <w:rsid w:val="3EA82F98"/>
    <w:rsid w:val="3EBB30F0"/>
    <w:rsid w:val="3EC7B19C"/>
    <w:rsid w:val="3EDB3399"/>
    <w:rsid w:val="3EE9714F"/>
    <w:rsid w:val="3EF4D23E"/>
    <w:rsid w:val="3EFDA568"/>
    <w:rsid w:val="3EFF6427"/>
    <w:rsid w:val="3F068224"/>
    <w:rsid w:val="3F296B9D"/>
    <w:rsid w:val="3F2C4DE3"/>
    <w:rsid w:val="3F2FD4FA"/>
    <w:rsid w:val="3F4187BD"/>
    <w:rsid w:val="3F4FB862"/>
    <w:rsid w:val="3F539E98"/>
    <w:rsid w:val="3F57753B"/>
    <w:rsid w:val="3F69B176"/>
    <w:rsid w:val="3F6F1BFC"/>
    <w:rsid w:val="3F7ABC09"/>
    <w:rsid w:val="3F9DA7DB"/>
    <w:rsid w:val="3FA09E26"/>
    <w:rsid w:val="3FA26AFC"/>
    <w:rsid w:val="3FA86151"/>
    <w:rsid w:val="3FAE4C05"/>
    <w:rsid w:val="3FB7EE90"/>
    <w:rsid w:val="3FB891DF"/>
    <w:rsid w:val="3FBAEDA7"/>
    <w:rsid w:val="3FBF1D05"/>
    <w:rsid w:val="3FC8B001"/>
    <w:rsid w:val="3FC92CD7"/>
    <w:rsid w:val="3FDA3EAE"/>
    <w:rsid w:val="3FE2D632"/>
    <w:rsid w:val="3FE493CD"/>
    <w:rsid w:val="3FE548AD"/>
    <w:rsid w:val="3FF793B8"/>
    <w:rsid w:val="3FF89573"/>
    <w:rsid w:val="40080557"/>
    <w:rsid w:val="402C8E3E"/>
    <w:rsid w:val="403074D4"/>
    <w:rsid w:val="4034F74C"/>
    <w:rsid w:val="4035BACA"/>
    <w:rsid w:val="4044A217"/>
    <w:rsid w:val="4047FC00"/>
    <w:rsid w:val="404B3ED8"/>
    <w:rsid w:val="404D2A7D"/>
    <w:rsid w:val="40517A23"/>
    <w:rsid w:val="4056764D"/>
    <w:rsid w:val="40586A60"/>
    <w:rsid w:val="4066C28E"/>
    <w:rsid w:val="407481BF"/>
    <w:rsid w:val="407745B7"/>
    <w:rsid w:val="407745E8"/>
    <w:rsid w:val="40833681"/>
    <w:rsid w:val="40840364"/>
    <w:rsid w:val="408CDFCF"/>
    <w:rsid w:val="409DDF46"/>
    <w:rsid w:val="409FE98E"/>
    <w:rsid w:val="40A8D6B3"/>
    <w:rsid w:val="40AE8FA0"/>
    <w:rsid w:val="40AF4DF7"/>
    <w:rsid w:val="40B03943"/>
    <w:rsid w:val="40D3B2EB"/>
    <w:rsid w:val="40DEDF8E"/>
    <w:rsid w:val="40F31F6E"/>
    <w:rsid w:val="40FCD137"/>
    <w:rsid w:val="4100AD32"/>
    <w:rsid w:val="4119E1A5"/>
    <w:rsid w:val="412786E2"/>
    <w:rsid w:val="413A332A"/>
    <w:rsid w:val="4142E3B5"/>
    <w:rsid w:val="41784965"/>
    <w:rsid w:val="417C8B15"/>
    <w:rsid w:val="41854C48"/>
    <w:rsid w:val="4187B7AB"/>
    <w:rsid w:val="41964BE4"/>
    <w:rsid w:val="41A8D673"/>
    <w:rsid w:val="41B88717"/>
    <w:rsid w:val="41C1C87E"/>
    <w:rsid w:val="41C69D36"/>
    <w:rsid w:val="41CD17C5"/>
    <w:rsid w:val="41D383BE"/>
    <w:rsid w:val="41D8FF63"/>
    <w:rsid w:val="41DF5FEF"/>
    <w:rsid w:val="41F11BF7"/>
    <w:rsid w:val="41F21959"/>
    <w:rsid w:val="41FAFD08"/>
    <w:rsid w:val="41FD1353"/>
    <w:rsid w:val="4200270D"/>
    <w:rsid w:val="421C823D"/>
    <w:rsid w:val="421E9692"/>
    <w:rsid w:val="423B009F"/>
    <w:rsid w:val="4244E46B"/>
    <w:rsid w:val="424A3F7E"/>
    <w:rsid w:val="424A7174"/>
    <w:rsid w:val="425C0011"/>
    <w:rsid w:val="425CF2BD"/>
    <w:rsid w:val="4264E3A7"/>
    <w:rsid w:val="4269B4D2"/>
    <w:rsid w:val="4289D3DA"/>
    <w:rsid w:val="428AE1D4"/>
    <w:rsid w:val="42918C10"/>
    <w:rsid w:val="4299342D"/>
    <w:rsid w:val="42AC1DCC"/>
    <w:rsid w:val="42B61D10"/>
    <w:rsid w:val="42B96B70"/>
    <w:rsid w:val="42C31E1A"/>
    <w:rsid w:val="42C74586"/>
    <w:rsid w:val="42EBE0EB"/>
    <w:rsid w:val="42F154D6"/>
    <w:rsid w:val="42FBFE33"/>
    <w:rsid w:val="42FE6A60"/>
    <w:rsid w:val="431BCF30"/>
    <w:rsid w:val="432A71E7"/>
    <w:rsid w:val="432B8C9F"/>
    <w:rsid w:val="4338403A"/>
    <w:rsid w:val="4339AD51"/>
    <w:rsid w:val="434BD8CC"/>
    <w:rsid w:val="435141C3"/>
    <w:rsid w:val="435F6EF9"/>
    <w:rsid w:val="437D5B0D"/>
    <w:rsid w:val="439B0B86"/>
    <w:rsid w:val="43A0EC62"/>
    <w:rsid w:val="43A69A20"/>
    <w:rsid w:val="43AD54E1"/>
    <w:rsid w:val="43B936A7"/>
    <w:rsid w:val="43BA242B"/>
    <w:rsid w:val="43C46AA8"/>
    <w:rsid w:val="43D42DF5"/>
    <w:rsid w:val="43D478BD"/>
    <w:rsid w:val="43DC6681"/>
    <w:rsid w:val="43DF7918"/>
    <w:rsid w:val="43E09015"/>
    <w:rsid w:val="43FB8B1A"/>
    <w:rsid w:val="43FC160A"/>
    <w:rsid w:val="43FE7395"/>
    <w:rsid w:val="43FF4EBE"/>
    <w:rsid w:val="440D1F88"/>
    <w:rsid w:val="4425CE5E"/>
    <w:rsid w:val="4439A7C9"/>
    <w:rsid w:val="445063BD"/>
    <w:rsid w:val="44560AC5"/>
    <w:rsid w:val="4461064A"/>
    <w:rsid w:val="44708D84"/>
    <w:rsid w:val="44728C43"/>
    <w:rsid w:val="44752786"/>
    <w:rsid w:val="448D1F37"/>
    <w:rsid w:val="448D8F08"/>
    <w:rsid w:val="448DC21D"/>
    <w:rsid w:val="448EA90B"/>
    <w:rsid w:val="44965AB4"/>
    <w:rsid w:val="44AB616D"/>
    <w:rsid w:val="44C87A8C"/>
    <w:rsid w:val="44CA8B3A"/>
    <w:rsid w:val="44DF2BFE"/>
    <w:rsid w:val="44E0B909"/>
    <w:rsid w:val="44E82A25"/>
    <w:rsid w:val="44F1D87A"/>
    <w:rsid w:val="44F6C31B"/>
    <w:rsid w:val="44FE39FD"/>
    <w:rsid w:val="4517F1DE"/>
    <w:rsid w:val="451B5C45"/>
    <w:rsid w:val="452A4DB1"/>
    <w:rsid w:val="452CB7CA"/>
    <w:rsid w:val="4534F4AE"/>
    <w:rsid w:val="453E791F"/>
    <w:rsid w:val="455E41BE"/>
    <w:rsid w:val="455FBA94"/>
    <w:rsid w:val="45608B60"/>
    <w:rsid w:val="4569C0C9"/>
    <w:rsid w:val="4573128B"/>
    <w:rsid w:val="457F4B99"/>
    <w:rsid w:val="458183BE"/>
    <w:rsid w:val="459B487E"/>
    <w:rsid w:val="45A4EA65"/>
    <w:rsid w:val="45AC33FB"/>
    <w:rsid w:val="45B0A78A"/>
    <w:rsid w:val="45B65DC7"/>
    <w:rsid w:val="45D83E6F"/>
    <w:rsid w:val="45DE728A"/>
    <w:rsid w:val="45E9B193"/>
    <w:rsid w:val="45E9B33D"/>
    <w:rsid w:val="45FE9FEB"/>
    <w:rsid w:val="4603569D"/>
    <w:rsid w:val="46203CF4"/>
    <w:rsid w:val="4626A101"/>
    <w:rsid w:val="462B52BB"/>
    <w:rsid w:val="462BFD6D"/>
    <w:rsid w:val="462D6C91"/>
    <w:rsid w:val="46300B05"/>
    <w:rsid w:val="463230F3"/>
    <w:rsid w:val="463427B4"/>
    <w:rsid w:val="463CCF76"/>
    <w:rsid w:val="463F4431"/>
    <w:rsid w:val="464A7FE3"/>
    <w:rsid w:val="465F2307"/>
    <w:rsid w:val="46608A16"/>
    <w:rsid w:val="466FB673"/>
    <w:rsid w:val="4678B25E"/>
    <w:rsid w:val="468575EE"/>
    <w:rsid w:val="4689A6E9"/>
    <w:rsid w:val="468D6DAE"/>
    <w:rsid w:val="469AEC3F"/>
    <w:rsid w:val="469FE37A"/>
    <w:rsid w:val="46A941E2"/>
    <w:rsid w:val="46C73BB2"/>
    <w:rsid w:val="46CE6D7C"/>
    <w:rsid w:val="46D60F1F"/>
    <w:rsid w:val="46E26D94"/>
    <w:rsid w:val="46E5EE9D"/>
    <w:rsid w:val="46EDB158"/>
    <w:rsid w:val="46FBC4EC"/>
    <w:rsid w:val="4704E471"/>
    <w:rsid w:val="4709F77A"/>
    <w:rsid w:val="470CD831"/>
    <w:rsid w:val="470CD8D2"/>
    <w:rsid w:val="471CE5AE"/>
    <w:rsid w:val="472D879B"/>
    <w:rsid w:val="474A4468"/>
    <w:rsid w:val="474CBCF0"/>
    <w:rsid w:val="47500765"/>
    <w:rsid w:val="476728EC"/>
    <w:rsid w:val="4767C010"/>
    <w:rsid w:val="476D1ACF"/>
    <w:rsid w:val="4778ED62"/>
    <w:rsid w:val="478405F7"/>
    <w:rsid w:val="478CD99C"/>
    <w:rsid w:val="478FB8D6"/>
    <w:rsid w:val="479204BB"/>
    <w:rsid w:val="479C00E7"/>
    <w:rsid w:val="47A7755F"/>
    <w:rsid w:val="47AD1F41"/>
    <w:rsid w:val="47BD4B43"/>
    <w:rsid w:val="47C89B92"/>
    <w:rsid w:val="47CB12EE"/>
    <w:rsid w:val="47DC8844"/>
    <w:rsid w:val="47E00372"/>
    <w:rsid w:val="47E3599F"/>
    <w:rsid w:val="47EDE188"/>
    <w:rsid w:val="47F87870"/>
    <w:rsid w:val="48043863"/>
    <w:rsid w:val="4827AEDB"/>
    <w:rsid w:val="4830304B"/>
    <w:rsid w:val="48369470"/>
    <w:rsid w:val="4837E888"/>
    <w:rsid w:val="48654671"/>
    <w:rsid w:val="486968C1"/>
    <w:rsid w:val="48707D67"/>
    <w:rsid w:val="488EA349"/>
    <w:rsid w:val="489DD273"/>
    <w:rsid w:val="48B5E561"/>
    <w:rsid w:val="48B73227"/>
    <w:rsid w:val="48B84FB3"/>
    <w:rsid w:val="48C4F963"/>
    <w:rsid w:val="48C606CB"/>
    <w:rsid w:val="48CBD413"/>
    <w:rsid w:val="48D146AA"/>
    <w:rsid w:val="48EBBA0E"/>
    <w:rsid w:val="48EBFB18"/>
    <w:rsid w:val="48ED2534"/>
    <w:rsid w:val="490B33B7"/>
    <w:rsid w:val="491BB98F"/>
    <w:rsid w:val="492BAFE7"/>
    <w:rsid w:val="4941FA31"/>
    <w:rsid w:val="4955C867"/>
    <w:rsid w:val="497342F4"/>
    <w:rsid w:val="49899A17"/>
    <w:rsid w:val="4995BAFF"/>
    <w:rsid w:val="49AE3727"/>
    <w:rsid w:val="49BEEC86"/>
    <w:rsid w:val="49C5E754"/>
    <w:rsid w:val="49D4FF56"/>
    <w:rsid w:val="49D5F194"/>
    <w:rsid w:val="49DA9732"/>
    <w:rsid w:val="49EB7E23"/>
    <w:rsid w:val="49FE90FF"/>
    <w:rsid w:val="4A018AA5"/>
    <w:rsid w:val="4A08138B"/>
    <w:rsid w:val="4A124F5B"/>
    <w:rsid w:val="4A1C95DC"/>
    <w:rsid w:val="4A2B7DED"/>
    <w:rsid w:val="4A2D0FE5"/>
    <w:rsid w:val="4A3F7669"/>
    <w:rsid w:val="4A5E0C39"/>
    <w:rsid w:val="4A60D605"/>
    <w:rsid w:val="4A77BCE0"/>
    <w:rsid w:val="4A7B1379"/>
    <w:rsid w:val="4A867D58"/>
    <w:rsid w:val="4A903DA2"/>
    <w:rsid w:val="4A93F8A6"/>
    <w:rsid w:val="4AAD2B4C"/>
    <w:rsid w:val="4AC35B94"/>
    <w:rsid w:val="4AE339C0"/>
    <w:rsid w:val="4AE74249"/>
    <w:rsid w:val="4AE7C31B"/>
    <w:rsid w:val="4AF2EFD3"/>
    <w:rsid w:val="4B118F64"/>
    <w:rsid w:val="4B1D7FDA"/>
    <w:rsid w:val="4B1FCB49"/>
    <w:rsid w:val="4B2D98E6"/>
    <w:rsid w:val="4B311CCA"/>
    <w:rsid w:val="4B3F729C"/>
    <w:rsid w:val="4B4D70F0"/>
    <w:rsid w:val="4B743CAF"/>
    <w:rsid w:val="4B8FD976"/>
    <w:rsid w:val="4B9A9892"/>
    <w:rsid w:val="4B9EBADF"/>
    <w:rsid w:val="4BA59D19"/>
    <w:rsid w:val="4BACDF98"/>
    <w:rsid w:val="4BB984D0"/>
    <w:rsid w:val="4BBFE4EE"/>
    <w:rsid w:val="4BC12620"/>
    <w:rsid w:val="4BC1CD5F"/>
    <w:rsid w:val="4BCA091C"/>
    <w:rsid w:val="4BDAC650"/>
    <w:rsid w:val="4BE724A8"/>
    <w:rsid w:val="4BEA6D07"/>
    <w:rsid w:val="4BED2DD2"/>
    <w:rsid w:val="4C20B9A4"/>
    <w:rsid w:val="4C260452"/>
    <w:rsid w:val="4C386F24"/>
    <w:rsid w:val="4C53F247"/>
    <w:rsid w:val="4C75B8ED"/>
    <w:rsid w:val="4C7C606F"/>
    <w:rsid w:val="4C843B37"/>
    <w:rsid w:val="4C96C5D9"/>
    <w:rsid w:val="4C9C47AE"/>
    <w:rsid w:val="4CA0E85B"/>
    <w:rsid w:val="4CA3C12B"/>
    <w:rsid w:val="4CC232EF"/>
    <w:rsid w:val="4CCDE8C5"/>
    <w:rsid w:val="4CF829C0"/>
    <w:rsid w:val="4D14D7E9"/>
    <w:rsid w:val="4D2EA928"/>
    <w:rsid w:val="4D2FFEEA"/>
    <w:rsid w:val="4D3E78AF"/>
    <w:rsid w:val="4D40D3CF"/>
    <w:rsid w:val="4D4C02FE"/>
    <w:rsid w:val="4D613467"/>
    <w:rsid w:val="4D713C3A"/>
    <w:rsid w:val="4D727687"/>
    <w:rsid w:val="4D78D981"/>
    <w:rsid w:val="4D7EBF05"/>
    <w:rsid w:val="4D89AD37"/>
    <w:rsid w:val="4D8CB314"/>
    <w:rsid w:val="4D942194"/>
    <w:rsid w:val="4D9674E4"/>
    <w:rsid w:val="4DA85178"/>
    <w:rsid w:val="4DA99473"/>
    <w:rsid w:val="4DAE1FBD"/>
    <w:rsid w:val="4DB22BC2"/>
    <w:rsid w:val="4DB9735B"/>
    <w:rsid w:val="4DC04799"/>
    <w:rsid w:val="4DC4A24F"/>
    <w:rsid w:val="4DDCAC13"/>
    <w:rsid w:val="4DE337F8"/>
    <w:rsid w:val="4DEFE03C"/>
    <w:rsid w:val="4DF0FBF9"/>
    <w:rsid w:val="4DF572BB"/>
    <w:rsid w:val="4E195AAF"/>
    <w:rsid w:val="4E1AF469"/>
    <w:rsid w:val="4E39F732"/>
    <w:rsid w:val="4E484D8E"/>
    <w:rsid w:val="4E5309E8"/>
    <w:rsid w:val="4E593225"/>
    <w:rsid w:val="4E5E6A53"/>
    <w:rsid w:val="4E6A7A54"/>
    <w:rsid w:val="4E7058C2"/>
    <w:rsid w:val="4E7854B2"/>
    <w:rsid w:val="4E7CD948"/>
    <w:rsid w:val="4E844208"/>
    <w:rsid w:val="4E90A5CD"/>
    <w:rsid w:val="4E913AC5"/>
    <w:rsid w:val="4EA5ABC0"/>
    <w:rsid w:val="4EA7C1CC"/>
    <w:rsid w:val="4EA95BAE"/>
    <w:rsid w:val="4EB11F93"/>
    <w:rsid w:val="4EB463A9"/>
    <w:rsid w:val="4EC1DCD2"/>
    <w:rsid w:val="4EDF0EB9"/>
    <w:rsid w:val="4EE01AF5"/>
    <w:rsid w:val="4F1AB9AE"/>
    <w:rsid w:val="4F1F549F"/>
    <w:rsid w:val="4F23EB3D"/>
    <w:rsid w:val="4F2B4BEC"/>
    <w:rsid w:val="4F54B94D"/>
    <w:rsid w:val="4F55F4D7"/>
    <w:rsid w:val="4F566D4A"/>
    <w:rsid w:val="4F636CA3"/>
    <w:rsid w:val="4F649CC2"/>
    <w:rsid w:val="4F6CA982"/>
    <w:rsid w:val="4F716317"/>
    <w:rsid w:val="4F73FFAE"/>
    <w:rsid w:val="4F7496BF"/>
    <w:rsid w:val="4F7965E7"/>
    <w:rsid w:val="4F9B0B4A"/>
    <w:rsid w:val="4FAB7C3B"/>
    <w:rsid w:val="4FABF89B"/>
    <w:rsid w:val="4FAD9F0E"/>
    <w:rsid w:val="4FC6A2D0"/>
    <w:rsid w:val="4FC9BF02"/>
    <w:rsid w:val="4FDCDC77"/>
    <w:rsid w:val="4FE2A1AA"/>
    <w:rsid w:val="4FEFA018"/>
    <w:rsid w:val="4FFC7A2F"/>
    <w:rsid w:val="500EEBCC"/>
    <w:rsid w:val="50160473"/>
    <w:rsid w:val="502D1884"/>
    <w:rsid w:val="5049381B"/>
    <w:rsid w:val="5057F4B6"/>
    <w:rsid w:val="50602B6C"/>
    <w:rsid w:val="5060A258"/>
    <w:rsid w:val="5069DBAF"/>
    <w:rsid w:val="506E574E"/>
    <w:rsid w:val="5072F341"/>
    <w:rsid w:val="507565D1"/>
    <w:rsid w:val="50A8843D"/>
    <w:rsid w:val="50A9075B"/>
    <w:rsid w:val="50D60F51"/>
    <w:rsid w:val="50DA5362"/>
    <w:rsid w:val="50E8EEC4"/>
    <w:rsid w:val="50F6B6EF"/>
    <w:rsid w:val="5109385D"/>
    <w:rsid w:val="510B97B5"/>
    <w:rsid w:val="5117C967"/>
    <w:rsid w:val="512B4C62"/>
    <w:rsid w:val="512B9F02"/>
    <w:rsid w:val="51373C71"/>
    <w:rsid w:val="51390B02"/>
    <w:rsid w:val="5143E929"/>
    <w:rsid w:val="514BF5D6"/>
    <w:rsid w:val="516560D5"/>
    <w:rsid w:val="516C54B8"/>
    <w:rsid w:val="51898DB9"/>
    <w:rsid w:val="51BC2663"/>
    <w:rsid w:val="51C3EAAB"/>
    <w:rsid w:val="51C608CE"/>
    <w:rsid w:val="51CF82E5"/>
    <w:rsid w:val="51CFDC8D"/>
    <w:rsid w:val="51D2EF46"/>
    <w:rsid w:val="51D88632"/>
    <w:rsid w:val="51DC9C5C"/>
    <w:rsid w:val="51E128E7"/>
    <w:rsid w:val="51E560E5"/>
    <w:rsid w:val="51F1E454"/>
    <w:rsid w:val="51F73AF0"/>
    <w:rsid w:val="51F8E585"/>
    <w:rsid w:val="5201B2CA"/>
    <w:rsid w:val="520E0D90"/>
    <w:rsid w:val="5212A436"/>
    <w:rsid w:val="521B0C65"/>
    <w:rsid w:val="521F6AE4"/>
    <w:rsid w:val="526B71BC"/>
    <w:rsid w:val="527027D2"/>
    <w:rsid w:val="527A2BCE"/>
    <w:rsid w:val="52848967"/>
    <w:rsid w:val="528E2F47"/>
    <w:rsid w:val="5291DED4"/>
    <w:rsid w:val="529D2D78"/>
    <w:rsid w:val="52B3D8A9"/>
    <w:rsid w:val="52C8B7A5"/>
    <w:rsid w:val="52D3E231"/>
    <w:rsid w:val="52E2F3E5"/>
    <w:rsid w:val="52E87157"/>
    <w:rsid w:val="52EB7F16"/>
    <w:rsid w:val="52EE7DEA"/>
    <w:rsid w:val="52FA7363"/>
    <w:rsid w:val="53043B79"/>
    <w:rsid w:val="5315DDDF"/>
    <w:rsid w:val="531B4D51"/>
    <w:rsid w:val="531DD410"/>
    <w:rsid w:val="53247790"/>
    <w:rsid w:val="532803F4"/>
    <w:rsid w:val="53289F7A"/>
    <w:rsid w:val="534AF6D8"/>
    <w:rsid w:val="536A7D83"/>
    <w:rsid w:val="536C0BDC"/>
    <w:rsid w:val="536CD64D"/>
    <w:rsid w:val="53949732"/>
    <w:rsid w:val="539AEC6F"/>
    <w:rsid w:val="53AEF1ED"/>
    <w:rsid w:val="53B3253A"/>
    <w:rsid w:val="53B41809"/>
    <w:rsid w:val="53E166DE"/>
    <w:rsid w:val="53E76936"/>
    <w:rsid w:val="53E90CF6"/>
    <w:rsid w:val="53FF79EF"/>
    <w:rsid w:val="5402498E"/>
    <w:rsid w:val="54043444"/>
    <w:rsid w:val="541C0BC3"/>
    <w:rsid w:val="54266A67"/>
    <w:rsid w:val="54289505"/>
    <w:rsid w:val="54388C04"/>
    <w:rsid w:val="54455DEF"/>
    <w:rsid w:val="544C8403"/>
    <w:rsid w:val="544E9066"/>
    <w:rsid w:val="544EBE49"/>
    <w:rsid w:val="544FADBF"/>
    <w:rsid w:val="54501C0F"/>
    <w:rsid w:val="54539D57"/>
    <w:rsid w:val="5458C0C1"/>
    <w:rsid w:val="545F0F25"/>
    <w:rsid w:val="546F4CF9"/>
    <w:rsid w:val="547D265C"/>
    <w:rsid w:val="5481A4B2"/>
    <w:rsid w:val="5482B36A"/>
    <w:rsid w:val="5482F935"/>
    <w:rsid w:val="5485C5A3"/>
    <w:rsid w:val="5499064E"/>
    <w:rsid w:val="549A7551"/>
    <w:rsid w:val="549B5FEC"/>
    <w:rsid w:val="54CC56B6"/>
    <w:rsid w:val="54E55260"/>
    <w:rsid w:val="54F21A7C"/>
    <w:rsid w:val="54FCD202"/>
    <w:rsid w:val="550999E0"/>
    <w:rsid w:val="550DD227"/>
    <w:rsid w:val="5513DC9B"/>
    <w:rsid w:val="55147202"/>
    <w:rsid w:val="551E2313"/>
    <w:rsid w:val="552B4AFB"/>
    <w:rsid w:val="552D074B"/>
    <w:rsid w:val="5536D2A3"/>
    <w:rsid w:val="553E4E43"/>
    <w:rsid w:val="554092F3"/>
    <w:rsid w:val="554CD67D"/>
    <w:rsid w:val="554CF208"/>
    <w:rsid w:val="5557551C"/>
    <w:rsid w:val="55575D98"/>
    <w:rsid w:val="556F09CD"/>
    <w:rsid w:val="5591DE4D"/>
    <w:rsid w:val="55966C07"/>
    <w:rsid w:val="559AB91D"/>
    <w:rsid w:val="559F8B0E"/>
    <w:rsid w:val="55A3B9AD"/>
    <w:rsid w:val="55B1A034"/>
    <w:rsid w:val="55C09019"/>
    <w:rsid w:val="55DA1021"/>
    <w:rsid w:val="55DA89BB"/>
    <w:rsid w:val="55FCA610"/>
    <w:rsid w:val="560337A1"/>
    <w:rsid w:val="5620B630"/>
    <w:rsid w:val="5622B01C"/>
    <w:rsid w:val="56245599"/>
    <w:rsid w:val="5635EF9F"/>
    <w:rsid w:val="5639D9F4"/>
    <w:rsid w:val="563FD557"/>
    <w:rsid w:val="564E0F5F"/>
    <w:rsid w:val="5657E119"/>
    <w:rsid w:val="565C0225"/>
    <w:rsid w:val="566624D4"/>
    <w:rsid w:val="567ADD86"/>
    <w:rsid w:val="56909062"/>
    <w:rsid w:val="569E19DC"/>
    <w:rsid w:val="56A2AA0F"/>
    <w:rsid w:val="56B4AC35"/>
    <w:rsid w:val="56B8BE6A"/>
    <w:rsid w:val="56C7C5E5"/>
    <w:rsid w:val="56C7E76B"/>
    <w:rsid w:val="56D4B9DD"/>
    <w:rsid w:val="56DA745F"/>
    <w:rsid w:val="56DE0219"/>
    <w:rsid w:val="56ECB9E7"/>
    <w:rsid w:val="56F3BFCD"/>
    <w:rsid w:val="56F95201"/>
    <w:rsid w:val="57043271"/>
    <w:rsid w:val="5735739A"/>
    <w:rsid w:val="57468F7B"/>
    <w:rsid w:val="57526AEB"/>
    <w:rsid w:val="57576838"/>
    <w:rsid w:val="576149F0"/>
    <w:rsid w:val="576FC67D"/>
    <w:rsid w:val="57A61160"/>
    <w:rsid w:val="57AAC11D"/>
    <w:rsid w:val="57AF96C6"/>
    <w:rsid w:val="57CCB067"/>
    <w:rsid w:val="57D0A440"/>
    <w:rsid w:val="57DD61CA"/>
    <w:rsid w:val="57E2CC4A"/>
    <w:rsid w:val="5834D59F"/>
    <w:rsid w:val="583A7493"/>
    <w:rsid w:val="583EC740"/>
    <w:rsid w:val="5851365E"/>
    <w:rsid w:val="585EF098"/>
    <w:rsid w:val="58623797"/>
    <w:rsid w:val="58744DB9"/>
    <w:rsid w:val="587837EA"/>
    <w:rsid w:val="587B9410"/>
    <w:rsid w:val="588718D9"/>
    <w:rsid w:val="58940D34"/>
    <w:rsid w:val="589FD776"/>
    <w:rsid w:val="58A169D7"/>
    <w:rsid w:val="58C270B7"/>
    <w:rsid w:val="58C2FCE9"/>
    <w:rsid w:val="58D2A308"/>
    <w:rsid w:val="58E31812"/>
    <w:rsid w:val="58E36D9B"/>
    <w:rsid w:val="590E836B"/>
    <w:rsid w:val="5915303A"/>
    <w:rsid w:val="591CEF06"/>
    <w:rsid w:val="5920DE45"/>
    <w:rsid w:val="5923FEBA"/>
    <w:rsid w:val="592E0F72"/>
    <w:rsid w:val="593D8903"/>
    <w:rsid w:val="5951D92A"/>
    <w:rsid w:val="59555401"/>
    <w:rsid w:val="595789C7"/>
    <w:rsid w:val="595AE1C0"/>
    <w:rsid w:val="597D50E6"/>
    <w:rsid w:val="5995CE70"/>
    <w:rsid w:val="5995ED2F"/>
    <w:rsid w:val="59998488"/>
    <w:rsid w:val="59A39A4F"/>
    <w:rsid w:val="59AADFBB"/>
    <w:rsid w:val="59B2C6CF"/>
    <w:rsid w:val="59B49F0B"/>
    <w:rsid w:val="59B5BE45"/>
    <w:rsid w:val="59BD8249"/>
    <w:rsid w:val="59F06008"/>
    <w:rsid w:val="5A013A20"/>
    <w:rsid w:val="5A13AEE0"/>
    <w:rsid w:val="5A1807EA"/>
    <w:rsid w:val="5A1F0537"/>
    <w:rsid w:val="5A31DA6C"/>
    <w:rsid w:val="5A38B333"/>
    <w:rsid w:val="5A439815"/>
    <w:rsid w:val="5A4D4070"/>
    <w:rsid w:val="5A5F83C3"/>
    <w:rsid w:val="5A6A2E15"/>
    <w:rsid w:val="5A6FDEC5"/>
    <w:rsid w:val="5A7A3469"/>
    <w:rsid w:val="5A7C5631"/>
    <w:rsid w:val="5AA7E70B"/>
    <w:rsid w:val="5AC9A4C5"/>
    <w:rsid w:val="5AD6DD88"/>
    <w:rsid w:val="5AD8E47D"/>
    <w:rsid w:val="5AF8F8EC"/>
    <w:rsid w:val="5B0BFFFB"/>
    <w:rsid w:val="5B10C8BE"/>
    <w:rsid w:val="5B161A27"/>
    <w:rsid w:val="5B1D0F54"/>
    <w:rsid w:val="5B24BFA3"/>
    <w:rsid w:val="5B279519"/>
    <w:rsid w:val="5B3FA0E6"/>
    <w:rsid w:val="5B56079E"/>
    <w:rsid w:val="5B5AE784"/>
    <w:rsid w:val="5B5AF5B7"/>
    <w:rsid w:val="5B5BD00B"/>
    <w:rsid w:val="5B6580E8"/>
    <w:rsid w:val="5B6D0DA5"/>
    <w:rsid w:val="5B70BACC"/>
    <w:rsid w:val="5B7188FA"/>
    <w:rsid w:val="5B71C1D2"/>
    <w:rsid w:val="5B75A0C6"/>
    <w:rsid w:val="5B81AA9A"/>
    <w:rsid w:val="5B8BB6B2"/>
    <w:rsid w:val="5B9161E1"/>
    <w:rsid w:val="5B942372"/>
    <w:rsid w:val="5B9627E0"/>
    <w:rsid w:val="5BC3C4C8"/>
    <w:rsid w:val="5BC952DC"/>
    <w:rsid w:val="5BD6904E"/>
    <w:rsid w:val="5BDC508B"/>
    <w:rsid w:val="5BE1325C"/>
    <w:rsid w:val="5BE17AC7"/>
    <w:rsid w:val="5BF51BEE"/>
    <w:rsid w:val="5BF5F78F"/>
    <w:rsid w:val="5C08B37A"/>
    <w:rsid w:val="5C0B4D60"/>
    <w:rsid w:val="5C15E503"/>
    <w:rsid w:val="5C1DABBF"/>
    <w:rsid w:val="5C23776B"/>
    <w:rsid w:val="5C2CD0A4"/>
    <w:rsid w:val="5C5A769D"/>
    <w:rsid w:val="5C613AAA"/>
    <w:rsid w:val="5C683860"/>
    <w:rsid w:val="5C786600"/>
    <w:rsid w:val="5C87CC2A"/>
    <w:rsid w:val="5C913B18"/>
    <w:rsid w:val="5C959ADD"/>
    <w:rsid w:val="5C999B5D"/>
    <w:rsid w:val="5C9BC34D"/>
    <w:rsid w:val="5C9E621F"/>
    <w:rsid w:val="5CB76148"/>
    <w:rsid w:val="5CB779D6"/>
    <w:rsid w:val="5CC694B6"/>
    <w:rsid w:val="5CCB9B24"/>
    <w:rsid w:val="5CD5B968"/>
    <w:rsid w:val="5CE2B8B2"/>
    <w:rsid w:val="5CEDF742"/>
    <w:rsid w:val="5CF59BFA"/>
    <w:rsid w:val="5CFA94B6"/>
    <w:rsid w:val="5CFF184F"/>
    <w:rsid w:val="5D052824"/>
    <w:rsid w:val="5D074FB2"/>
    <w:rsid w:val="5D09A926"/>
    <w:rsid w:val="5D0E82BB"/>
    <w:rsid w:val="5D10F8AC"/>
    <w:rsid w:val="5D12219D"/>
    <w:rsid w:val="5D3C48A0"/>
    <w:rsid w:val="5D3EE629"/>
    <w:rsid w:val="5D409D2A"/>
    <w:rsid w:val="5D453934"/>
    <w:rsid w:val="5D4A1352"/>
    <w:rsid w:val="5D4CE911"/>
    <w:rsid w:val="5D5159A8"/>
    <w:rsid w:val="5D616F21"/>
    <w:rsid w:val="5D70CF41"/>
    <w:rsid w:val="5D7D5781"/>
    <w:rsid w:val="5D80369A"/>
    <w:rsid w:val="5D844F39"/>
    <w:rsid w:val="5D99C58F"/>
    <w:rsid w:val="5D9F8468"/>
    <w:rsid w:val="5DA61597"/>
    <w:rsid w:val="5DAB9367"/>
    <w:rsid w:val="5DB819E9"/>
    <w:rsid w:val="5DF10B73"/>
    <w:rsid w:val="5DF4F801"/>
    <w:rsid w:val="5DF9BCD0"/>
    <w:rsid w:val="5E133E29"/>
    <w:rsid w:val="5E1C7D09"/>
    <w:rsid w:val="5E21D5E6"/>
    <w:rsid w:val="5E3698E6"/>
    <w:rsid w:val="5E4FB1C2"/>
    <w:rsid w:val="5E5A2F96"/>
    <w:rsid w:val="5E6542AA"/>
    <w:rsid w:val="5E65B6C3"/>
    <w:rsid w:val="5E7424D6"/>
    <w:rsid w:val="5E7F8066"/>
    <w:rsid w:val="5E8D98CE"/>
    <w:rsid w:val="5E912F82"/>
    <w:rsid w:val="5E9A0E01"/>
    <w:rsid w:val="5EA09F4E"/>
    <w:rsid w:val="5EA49681"/>
    <w:rsid w:val="5EA7C1E2"/>
    <w:rsid w:val="5EC79CC0"/>
    <w:rsid w:val="5ED2B435"/>
    <w:rsid w:val="5EDA8D17"/>
    <w:rsid w:val="5EDD7C20"/>
    <w:rsid w:val="5EDE5860"/>
    <w:rsid w:val="5EE262FA"/>
    <w:rsid w:val="5EEF8808"/>
    <w:rsid w:val="5F1C5EE2"/>
    <w:rsid w:val="5F25DFBE"/>
    <w:rsid w:val="5F294683"/>
    <w:rsid w:val="5F3D45C2"/>
    <w:rsid w:val="5F40F8EB"/>
    <w:rsid w:val="5F426AF4"/>
    <w:rsid w:val="5F64FA8E"/>
    <w:rsid w:val="5F6623B2"/>
    <w:rsid w:val="5F6745C6"/>
    <w:rsid w:val="5F6D16CA"/>
    <w:rsid w:val="5F6DA514"/>
    <w:rsid w:val="5F80A3ED"/>
    <w:rsid w:val="5F82A0AD"/>
    <w:rsid w:val="5F8D58F4"/>
    <w:rsid w:val="5F926CB0"/>
    <w:rsid w:val="5F99D69A"/>
    <w:rsid w:val="5FC530D4"/>
    <w:rsid w:val="5FDC80D3"/>
    <w:rsid w:val="5FDDDC24"/>
    <w:rsid w:val="5FE1A121"/>
    <w:rsid w:val="6010B37E"/>
    <w:rsid w:val="60217912"/>
    <w:rsid w:val="602A0373"/>
    <w:rsid w:val="602CDBE4"/>
    <w:rsid w:val="603B78CD"/>
    <w:rsid w:val="603E9486"/>
    <w:rsid w:val="60408988"/>
    <w:rsid w:val="6041A7C8"/>
    <w:rsid w:val="604344E5"/>
    <w:rsid w:val="6045D54A"/>
    <w:rsid w:val="6054E14C"/>
    <w:rsid w:val="60570254"/>
    <w:rsid w:val="60611E3F"/>
    <w:rsid w:val="606412AD"/>
    <w:rsid w:val="60670F41"/>
    <w:rsid w:val="606C69A5"/>
    <w:rsid w:val="606E9009"/>
    <w:rsid w:val="60764710"/>
    <w:rsid w:val="6083260E"/>
    <w:rsid w:val="608C49D8"/>
    <w:rsid w:val="6091985A"/>
    <w:rsid w:val="60925F08"/>
    <w:rsid w:val="609E1F0C"/>
    <w:rsid w:val="609E3620"/>
    <w:rsid w:val="60A01145"/>
    <w:rsid w:val="60A7AAD6"/>
    <w:rsid w:val="60CA3D05"/>
    <w:rsid w:val="60D03B05"/>
    <w:rsid w:val="60D26C66"/>
    <w:rsid w:val="60DCA62B"/>
    <w:rsid w:val="60E9D22D"/>
    <w:rsid w:val="60EFB342"/>
    <w:rsid w:val="60F4D898"/>
    <w:rsid w:val="611B234D"/>
    <w:rsid w:val="6134C44B"/>
    <w:rsid w:val="614EB119"/>
    <w:rsid w:val="6153CD9C"/>
    <w:rsid w:val="617496E6"/>
    <w:rsid w:val="6176D32B"/>
    <w:rsid w:val="6178E0A8"/>
    <w:rsid w:val="617D73F9"/>
    <w:rsid w:val="618F1946"/>
    <w:rsid w:val="61965B88"/>
    <w:rsid w:val="61AE43D4"/>
    <w:rsid w:val="61B04E05"/>
    <w:rsid w:val="61BA8C96"/>
    <w:rsid w:val="61DD66DA"/>
    <w:rsid w:val="61E66956"/>
    <w:rsid w:val="61EE0236"/>
    <w:rsid w:val="61EE1C97"/>
    <w:rsid w:val="61F735FB"/>
    <w:rsid w:val="61FF5543"/>
    <w:rsid w:val="6200F693"/>
    <w:rsid w:val="6210B43B"/>
    <w:rsid w:val="62128DE8"/>
    <w:rsid w:val="6212F619"/>
    <w:rsid w:val="6218322A"/>
    <w:rsid w:val="621BCB4B"/>
    <w:rsid w:val="622893F5"/>
    <w:rsid w:val="62401EC2"/>
    <w:rsid w:val="62487418"/>
    <w:rsid w:val="6254BBBB"/>
    <w:rsid w:val="62596A39"/>
    <w:rsid w:val="626D447C"/>
    <w:rsid w:val="6275F269"/>
    <w:rsid w:val="6282A2E3"/>
    <w:rsid w:val="628C52DC"/>
    <w:rsid w:val="628FB4F2"/>
    <w:rsid w:val="629D9419"/>
    <w:rsid w:val="62A50C74"/>
    <w:rsid w:val="62AA588A"/>
    <w:rsid w:val="62D7A2EC"/>
    <w:rsid w:val="62ED8F63"/>
    <w:rsid w:val="62F63C21"/>
    <w:rsid w:val="631AA0AB"/>
    <w:rsid w:val="63279C18"/>
    <w:rsid w:val="6331642D"/>
    <w:rsid w:val="63323C9D"/>
    <w:rsid w:val="633261EF"/>
    <w:rsid w:val="63350102"/>
    <w:rsid w:val="635020C4"/>
    <w:rsid w:val="635176B8"/>
    <w:rsid w:val="6351E2A3"/>
    <w:rsid w:val="6355AA65"/>
    <w:rsid w:val="635D29D9"/>
    <w:rsid w:val="63728499"/>
    <w:rsid w:val="63771961"/>
    <w:rsid w:val="638C3FAD"/>
    <w:rsid w:val="63C5BF06"/>
    <w:rsid w:val="63C5FAB1"/>
    <w:rsid w:val="63C66EBF"/>
    <w:rsid w:val="63CCAE9A"/>
    <w:rsid w:val="63D68B70"/>
    <w:rsid w:val="63E3A6D8"/>
    <w:rsid w:val="63F896CC"/>
    <w:rsid w:val="63F8F9BA"/>
    <w:rsid w:val="64056539"/>
    <w:rsid w:val="6418D23E"/>
    <w:rsid w:val="64321A7F"/>
    <w:rsid w:val="64360C56"/>
    <w:rsid w:val="643C2A8B"/>
    <w:rsid w:val="643E4DC7"/>
    <w:rsid w:val="643F46B0"/>
    <w:rsid w:val="6442C320"/>
    <w:rsid w:val="6443DA02"/>
    <w:rsid w:val="646A02DD"/>
    <w:rsid w:val="646CB9D9"/>
    <w:rsid w:val="646E35B8"/>
    <w:rsid w:val="647877DA"/>
    <w:rsid w:val="6484A8CF"/>
    <w:rsid w:val="648B7ED1"/>
    <w:rsid w:val="649EE413"/>
    <w:rsid w:val="64AA0E4A"/>
    <w:rsid w:val="64D061D6"/>
    <w:rsid w:val="64D9385E"/>
    <w:rsid w:val="64DEA3DE"/>
    <w:rsid w:val="650501B0"/>
    <w:rsid w:val="6515E33D"/>
    <w:rsid w:val="651EFD32"/>
    <w:rsid w:val="6526A5FE"/>
    <w:rsid w:val="6533023A"/>
    <w:rsid w:val="653353E9"/>
    <w:rsid w:val="6541B861"/>
    <w:rsid w:val="657CB7CD"/>
    <w:rsid w:val="657DAB8F"/>
    <w:rsid w:val="658FA133"/>
    <w:rsid w:val="659328D6"/>
    <w:rsid w:val="65957490"/>
    <w:rsid w:val="6596D10D"/>
    <w:rsid w:val="65982035"/>
    <w:rsid w:val="65A2031E"/>
    <w:rsid w:val="65BCFDFC"/>
    <w:rsid w:val="65DAC1F0"/>
    <w:rsid w:val="65DF89B3"/>
    <w:rsid w:val="65EA8DF4"/>
    <w:rsid w:val="65F0E030"/>
    <w:rsid w:val="65F81012"/>
    <w:rsid w:val="660BAE0B"/>
    <w:rsid w:val="660D586D"/>
    <w:rsid w:val="66137281"/>
    <w:rsid w:val="6613EFDC"/>
    <w:rsid w:val="661884B4"/>
    <w:rsid w:val="66189C6E"/>
    <w:rsid w:val="6619F7B5"/>
    <w:rsid w:val="662957F8"/>
    <w:rsid w:val="6639852A"/>
    <w:rsid w:val="6648029D"/>
    <w:rsid w:val="664C1656"/>
    <w:rsid w:val="664CE68E"/>
    <w:rsid w:val="6666E6CF"/>
    <w:rsid w:val="666BE6D2"/>
    <w:rsid w:val="666D2E8A"/>
    <w:rsid w:val="667AD59E"/>
    <w:rsid w:val="667B4D26"/>
    <w:rsid w:val="66926A5A"/>
    <w:rsid w:val="669B9EEE"/>
    <w:rsid w:val="66C70779"/>
    <w:rsid w:val="66D7F60C"/>
    <w:rsid w:val="66E84728"/>
    <w:rsid w:val="66EF86BE"/>
    <w:rsid w:val="66FB665A"/>
    <w:rsid w:val="66FE127A"/>
    <w:rsid w:val="67024EC3"/>
    <w:rsid w:val="671C7D1B"/>
    <w:rsid w:val="672E5A2A"/>
    <w:rsid w:val="67341AF6"/>
    <w:rsid w:val="67355106"/>
    <w:rsid w:val="673F9351"/>
    <w:rsid w:val="6744DBE8"/>
    <w:rsid w:val="674F6316"/>
    <w:rsid w:val="67509899"/>
    <w:rsid w:val="676344A9"/>
    <w:rsid w:val="67663BE0"/>
    <w:rsid w:val="67705C1E"/>
    <w:rsid w:val="67779635"/>
    <w:rsid w:val="677C11CA"/>
    <w:rsid w:val="677F4D03"/>
    <w:rsid w:val="67812770"/>
    <w:rsid w:val="6790F593"/>
    <w:rsid w:val="679EDCB8"/>
    <w:rsid w:val="67A32B28"/>
    <w:rsid w:val="67A43CCC"/>
    <w:rsid w:val="67A56B46"/>
    <w:rsid w:val="67B52E23"/>
    <w:rsid w:val="67C4C381"/>
    <w:rsid w:val="67CF979D"/>
    <w:rsid w:val="67CFDD84"/>
    <w:rsid w:val="67DEB84C"/>
    <w:rsid w:val="681DE9CA"/>
    <w:rsid w:val="6838AD26"/>
    <w:rsid w:val="68398E37"/>
    <w:rsid w:val="683A17BB"/>
    <w:rsid w:val="684DBA99"/>
    <w:rsid w:val="6858DF11"/>
    <w:rsid w:val="6859EEB3"/>
    <w:rsid w:val="6868E442"/>
    <w:rsid w:val="686B1E56"/>
    <w:rsid w:val="6874BFB7"/>
    <w:rsid w:val="687CC56E"/>
    <w:rsid w:val="687EC3A5"/>
    <w:rsid w:val="6897DFC7"/>
    <w:rsid w:val="68ADF016"/>
    <w:rsid w:val="68AE8172"/>
    <w:rsid w:val="68C50DE7"/>
    <w:rsid w:val="68C5B82C"/>
    <w:rsid w:val="68D7096B"/>
    <w:rsid w:val="68D86B01"/>
    <w:rsid w:val="68DF2091"/>
    <w:rsid w:val="68E0C73E"/>
    <w:rsid w:val="68F9703A"/>
    <w:rsid w:val="68F982F3"/>
    <w:rsid w:val="692ACDEC"/>
    <w:rsid w:val="6930F19F"/>
    <w:rsid w:val="6934CCA2"/>
    <w:rsid w:val="69353660"/>
    <w:rsid w:val="69363631"/>
    <w:rsid w:val="69451C10"/>
    <w:rsid w:val="694B1468"/>
    <w:rsid w:val="694CED2A"/>
    <w:rsid w:val="69617E41"/>
    <w:rsid w:val="696DFC07"/>
    <w:rsid w:val="6976E53C"/>
    <w:rsid w:val="69778587"/>
    <w:rsid w:val="697AA931"/>
    <w:rsid w:val="697BB45B"/>
    <w:rsid w:val="697F14BF"/>
    <w:rsid w:val="697F54BB"/>
    <w:rsid w:val="6992498C"/>
    <w:rsid w:val="6999DA4E"/>
    <w:rsid w:val="69AE5EEA"/>
    <w:rsid w:val="69AF1760"/>
    <w:rsid w:val="69B51B86"/>
    <w:rsid w:val="69B6C51B"/>
    <w:rsid w:val="69BA4A94"/>
    <w:rsid w:val="69CBD5CB"/>
    <w:rsid w:val="69D7C1FC"/>
    <w:rsid w:val="69D9390A"/>
    <w:rsid w:val="69DD1C18"/>
    <w:rsid w:val="69DE835C"/>
    <w:rsid w:val="69E6FB6A"/>
    <w:rsid w:val="69EFFC1C"/>
    <w:rsid w:val="69F4500D"/>
    <w:rsid w:val="6A2311EF"/>
    <w:rsid w:val="6A2BE2D2"/>
    <w:rsid w:val="6A2E179F"/>
    <w:rsid w:val="6A379E12"/>
    <w:rsid w:val="6A3D5130"/>
    <w:rsid w:val="6A49B160"/>
    <w:rsid w:val="6A50E0FB"/>
    <w:rsid w:val="6A577011"/>
    <w:rsid w:val="6A600BB6"/>
    <w:rsid w:val="6A6626CF"/>
    <w:rsid w:val="6A70CF4A"/>
    <w:rsid w:val="6A74896A"/>
    <w:rsid w:val="6A881A60"/>
    <w:rsid w:val="6A8963BC"/>
    <w:rsid w:val="6A89AB93"/>
    <w:rsid w:val="6AA9809E"/>
    <w:rsid w:val="6AB7A8B6"/>
    <w:rsid w:val="6AC1DA93"/>
    <w:rsid w:val="6AC42BEF"/>
    <w:rsid w:val="6AD1CFB8"/>
    <w:rsid w:val="6AD6FB4D"/>
    <w:rsid w:val="6AE7AF83"/>
    <w:rsid w:val="6AF64FD7"/>
    <w:rsid w:val="6B1325B0"/>
    <w:rsid w:val="6B19273A"/>
    <w:rsid w:val="6B2A738D"/>
    <w:rsid w:val="6B2F7EA6"/>
    <w:rsid w:val="6B3F70E9"/>
    <w:rsid w:val="6B71E4F2"/>
    <w:rsid w:val="6B852C02"/>
    <w:rsid w:val="6B8BB578"/>
    <w:rsid w:val="6B9370D8"/>
    <w:rsid w:val="6B985C78"/>
    <w:rsid w:val="6BA40C7A"/>
    <w:rsid w:val="6BA48A14"/>
    <w:rsid w:val="6BA5315C"/>
    <w:rsid w:val="6BB14D10"/>
    <w:rsid w:val="6BBB9AD2"/>
    <w:rsid w:val="6BBE8B12"/>
    <w:rsid w:val="6BC830B5"/>
    <w:rsid w:val="6BD853C8"/>
    <w:rsid w:val="6BEDA750"/>
    <w:rsid w:val="6BEE240C"/>
    <w:rsid w:val="6BF7A972"/>
    <w:rsid w:val="6BFD3BB9"/>
    <w:rsid w:val="6C0F5978"/>
    <w:rsid w:val="6C15C20E"/>
    <w:rsid w:val="6C3865FB"/>
    <w:rsid w:val="6C3D52D7"/>
    <w:rsid w:val="6C61A806"/>
    <w:rsid w:val="6C64E9C5"/>
    <w:rsid w:val="6C932C17"/>
    <w:rsid w:val="6C963201"/>
    <w:rsid w:val="6C9B29E2"/>
    <w:rsid w:val="6CA76CF8"/>
    <w:rsid w:val="6CB80236"/>
    <w:rsid w:val="6CB9F634"/>
    <w:rsid w:val="6CC1B07D"/>
    <w:rsid w:val="6CCB5E22"/>
    <w:rsid w:val="6CD0D5A5"/>
    <w:rsid w:val="6CE8F1FA"/>
    <w:rsid w:val="6CEE70DA"/>
    <w:rsid w:val="6CF06F7C"/>
    <w:rsid w:val="6CF5C829"/>
    <w:rsid w:val="6CFCDA48"/>
    <w:rsid w:val="6CFD18ED"/>
    <w:rsid w:val="6D0072CC"/>
    <w:rsid w:val="6D0BBB76"/>
    <w:rsid w:val="6D10A5BD"/>
    <w:rsid w:val="6D136386"/>
    <w:rsid w:val="6D1BD80C"/>
    <w:rsid w:val="6D200793"/>
    <w:rsid w:val="6D47FC3D"/>
    <w:rsid w:val="6D4C82AE"/>
    <w:rsid w:val="6D5CCE4A"/>
    <w:rsid w:val="6D5EE242"/>
    <w:rsid w:val="6D8B7FA7"/>
    <w:rsid w:val="6D99986E"/>
    <w:rsid w:val="6DA740E7"/>
    <w:rsid w:val="6DA8F7E0"/>
    <w:rsid w:val="6DACBB5A"/>
    <w:rsid w:val="6DB4935D"/>
    <w:rsid w:val="6DB6AE00"/>
    <w:rsid w:val="6DB7C509"/>
    <w:rsid w:val="6DBEA88E"/>
    <w:rsid w:val="6DC0ECE3"/>
    <w:rsid w:val="6DC2D495"/>
    <w:rsid w:val="6DD243F6"/>
    <w:rsid w:val="6DD6E1F0"/>
    <w:rsid w:val="6DD8B8F9"/>
    <w:rsid w:val="6DDCF715"/>
    <w:rsid w:val="6DED2751"/>
    <w:rsid w:val="6DEFA206"/>
    <w:rsid w:val="6DF44639"/>
    <w:rsid w:val="6DF5EAB2"/>
    <w:rsid w:val="6DF629FC"/>
    <w:rsid w:val="6E09FD20"/>
    <w:rsid w:val="6E1C9ACD"/>
    <w:rsid w:val="6E1D2241"/>
    <w:rsid w:val="6E47B348"/>
    <w:rsid w:val="6E4CC3F3"/>
    <w:rsid w:val="6E6BB484"/>
    <w:rsid w:val="6E72C648"/>
    <w:rsid w:val="6E78B4A3"/>
    <w:rsid w:val="6E80BE5A"/>
    <w:rsid w:val="6EA8B677"/>
    <w:rsid w:val="6EB48071"/>
    <w:rsid w:val="6EBFA4C3"/>
    <w:rsid w:val="6ED70EE1"/>
    <w:rsid w:val="6EDEC543"/>
    <w:rsid w:val="6EDF13F0"/>
    <w:rsid w:val="6EF4D28C"/>
    <w:rsid w:val="6EF5DCDA"/>
    <w:rsid w:val="6EF7849A"/>
    <w:rsid w:val="6F09D085"/>
    <w:rsid w:val="6F11076D"/>
    <w:rsid w:val="6F2C9AA8"/>
    <w:rsid w:val="6F2DB7E1"/>
    <w:rsid w:val="6F2FB28A"/>
    <w:rsid w:val="6F56360C"/>
    <w:rsid w:val="6F5DA862"/>
    <w:rsid w:val="6F798FBF"/>
    <w:rsid w:val="6F7D2D5B"/>
    <w:rsid w:val="6F8D2A10"/>
    <w:rsid w:val="6F8E6101"/>
    <w:rsid w:val="6F9AB6BF"/>
    <w:rsid w:val="6FA8977F"/>
    <w:rsid w:val="6FBC6771"/>
    <w:rsid w:val="6FCA9019"/>
    <w:rsid w:val="6FD0F6EC"/>
    <w:rsid w:val="6FE1C3F5"/>
    <w:rsid w:val="6FFC328F"/>
    <w:rsid w:val="6FFD7584"/>
    <w:rsid w:val="700429D0"/>
    <w:rsid w:val="701103EA"/>
    <w:rsid w:val="702EB993"/>
    <w:rsid w:val="70309716"/>
    <w:rsid w:val="7032D55E"/>
    <w:rsid w:val="7046E19E"/>
    <w:rsid w:val="70473D4E"/>
    <w:rsid w:val="706E2FAC"/>
    <w:rsid w:val="707B4CC1"/>
    <w:rsid w:val="70900CC8"/>
    <w:rsid w:val="70A073EF"/>
    <w:rsid w:val="70D417D4"/>
    <w:rsid w:val="70D6BC24"/>
    <w:rsid w:val="70EA6013"/>
    <w:rsid w:val="70EA96A1"/>
    <w:rsid w:val="7119DC31"/>
    <w:rsid w:val="711A54BB"/>
    <w:rsid w:val="711A585F"/>
    <w:rsid w:val="711C6738"/>
    <w:rsid w:val="71297E1D"/>
    <w:rsid w:val="712CC6E9"/>
    <w:rsid w:val="713C8BDB"/>
    <w:rsid w:val="713D439A"/>
    <w:rsid w:val="717B0DE5"/>
    <w:rsid w:val="717CF226"/>
    <w:rsid w:val="7194D71D"/>
    <w:rsid w:val="7197B3A7"/>
    <w:rsid w:val="719B4B6F"/>
    <w:rsid w:val="719CC540"/>
    <w:rsid w:val="71B3AB3D"/>
    <w:rsid w:val="71C73012"/>
    <w:rsid w:val="71CCD892"/>
    <w:rsid w:val="71E11B1B"/>
    <w:rsid w:val="71E568BA"/>
    <w:rsid w:val="71E77254"/>
    <w:rsid w:val="71EEBF89"/>
    <w:rsid w:val="71F6F332"/>
    <w:rsid w:val="71FAE96F"/>
    <w:rsid w:val="71FE36AC"/>
    <w:rsid w:val="7215651C"/>
    <w:rsid w:val="72164353"/>
    <w:rsid w:val="721BA2CB"/>
    <w:rsid w:val="7230B487"/>
    <w:rsid w:val="7235B334"/>
    <w:rsid w:val="7259A6DB"/>
    <w:rsid w:val="725DB5D2"/>
    <w:rsid w:val="7265D57F"/>
    <w:rsid w:val="72730305"/>
    <w:rsid w:val="72893C13"/>
    <w:rsid w:val="728AE15A"/>
    <w:rsid w:val="72934441"/>
    <w:rsid w:val="72AE479B"/>
    <w:rsid w:val="72BC9610"/>
    <w:rsid w:val="72C7FCA1"/>
    <w:rsid w:val="72CF11A9"/>
    <w:rsid w:val="72D8BFA8"/>
    <w:rsid w:val="72DB4244"/>
    <w:rsid w:val="72E5294A"/>
    <w:rsid w:val="72EA176B"/>
    <w:rsid w:val="73107D14"/>
    <w:rsid w:val="73115D57"/>
    <w:rsid w:val="73123918"/>
    <w:rsid w:val="73180CCA"/>
    <w:rsid w:val="7323B94C"/>
    <w:rsid w:val="732A14A4"/>
    <w:rsid w:val="73418ED6"/>
    <w:rsid w:val="7362F8A7"/>
    <w:rsid w:val="737E847C"/>
    <w:rsid w:val="73AB461C"/>
    <w:rsid w:val="73BBB7B9"/>
    <w:rsid w:val="73CB75D5"/>
    <w:rsid w:val="73D36391"/>
    <w:rsid w:val="73D41856"/>
    <w:rsid w:val="73D98C67"/>
    <w:rsid w:val="73F0A1D3"/>
    <w:rsid w:val="73F5D1A4"/>
    <w:rsid w:val="740D7845"/>
    <w:rsid w:val="741E78CE"/>
    <w:rsid w:val="74209024"/>
    <w:rsid w:val="7429BB36"/>
    <w:rsid w:val="7429FBD3"/>
    <w:rsid w:val="743DE214"/>
    <w:rsid w:val="744D42DC"/>
    <w:rsid w:val="7484B18E"/>
    <w:rsid w:val="7498C724"/>
    <w:rsid w:val="749EF086"/>
    <w:rsid w:val="74C12B2E"/>
    <w:rsid w:val="74C57FC2"/>
    <w:rsid w:val="74CD6F01"/>
    <w:rsid w:val="74D02901"/>
    <w:rsid w:val="74D6B1C3"/>
    <w:rsid w:val="74D79D60"/>
    <w:rsid w:val="74E09058"/>
    <w:rsid w:val="74E4D4EA"/>
    <w:rsid w:val="74E87CFE"/>
    <w:rsid w:val="74EBA4B9"/>
    <w:rsid w:val="74ECDED5"/>
    <w:rsid w:val="74EE5EEA"/>
    <w:rsid w:val="74F4D376"/>
    <w:rsid w:val="74F720AD"/>
    <w:rsid w:val="74F9BA63"/>
    <w:rsid w:val="74FE0CDC"/>
    <w:rsid w:val="75042E0D"/>
    <w:rsid w:val="750B0F6B"/>
    <w:rsid w:val="7513B117"/>
    <w:rsid w:val="75397274"/>
    <w:rsid w:val="7561D900"/>
    <w:rsid w:val="7563C74A"/>
    <w:rsid w:val="756C00F9"/>
    <w:rsid w:val="757215CD"/>
    <w:rsid w:val="757EBBDA"/>
    <w:rsid w:val="757EC0C3"/>
    <w:rsid w:val="759B1D17"/>
    <w:rsid w:val="75AC8154"/>
    <w:rsid w:val="75B14099"/>
    <w:rsid w:val="75B35800"/>
    <w:rsid w:val="75B5A7B9"/>
    <w:rsid w:val="75BAF77B"/>
    <w:rsid w:val="75C5A7D9"/>
    <w:rsid w:val="75FCACA6"/>
    <w:rsid w:val="761B882A"/>
    <w:rsid w:val="762D42F0"/>
    <w:rsid w:val="762E1038"/>
    <w:rsid w:val="762EE158"/>
    <w:rsid w:val="7642DBBB"/>
    <w:rsid w:val="765431ED"/>
    <w:rsid w:val="76570AB5"/>
    <w:rsid w:val="76636687"/>
    <w:rsid w:val="7681FFCA"/>
    <w:rsid w:val="7685B7C6"/>
    <w:rsid w:val="76A31C82"/>
    <w:rsid w:val="76A75E84"/>
    <w:rsid w:val="76B473E7"/>
    <w:rsid w:val="76E0B706"/>
    <w:rsid w:val="76E1547E"/>
    <w:rsid w:val="76EB015D"/>
    <w:rsid w:val="76ED7E2A"/>
    <w:rsid w:val="76F773A5"/>
    <w:rsid w:val="770E3556"/>
    <w:rsid w:val="771048F0"/>
    <w:rsid w:val="771B891B"/>
    <w:rsid w:val="771CA544"/>
    <w:rsid w:val="77221CF0"/>
    <w:rsid w:val="77302721"/>
    <w:rsid w:val="773434F4"/>
    <w:rsid w:val="77436FD3"/>
    <w:rsid w:val="776010B2"/>
    <w:rsid w:val="776816D6"/>
    <w:rsid w:val="776DD348"/>
    <w:rsid w:val="7779CBC7"/>
    <w:rsid w:val="77860666"/>
    <w:rsid w:val="7786E0A0"/>
    <w:rsid w:val="778AD192"/>
    <w:rsid w:val="77B05CBB"/>
    <w:rsid w:val="77B11B9F"/>
    <w:rsid w:val="77B5F780"/>
    <w:rsid w:val="77B60651"/>
    <w:rsid w:val="77B6D493"/>
    <w:rsid w:val="77B88A4C"/>
    <w:rsid w:val="77CE1E85"/>
    <w:rsid w:val="77FB7F84"/>
    <w:rsid w:val="7807E5F2"/>
    <w:rsid w:val="780AD4C9"/>
    <w:rsid w:val="781030E6"/>
    <w:rsid w:val="78139F77"/>
    <w:rsid w:val="7816F8B0"/>
    <w:rsid w:val="781793CC"/>
    <w:rsid w:val="7819E622"/>
    <w:rsid w:val="782AECDB"/>
    <w:rsid w:val="7838234F"/>
    <w:rsid w:val="784E2FFD"/>
    <w:rsid w:val="785288B5"/>
    <w:rsid w:val="786C6956"/>
    <w:rsid w:val="78741D57"/>
    <w:rsid w:val="787B0D0D"/>
    <w:rsid w:val="788468F2"/>
    <w:rsid w:val="7889754F"/>
    <w:rsid w:val="789C42EB"/>
    <w:rsid w:val="78AE9F5C"/>
    <w:rsid w:val="78B1EAA0"/>
    <w:rsid w:val="78B8FBEE"/>
    <w:rsid w:val="78C05ACF"/>
    <w:rsid w:val="78D7BE9B"/>
    <w:rsid w:val="78E99963"/>
    <w:rsid w:val="78FA08E9"/>
    <w:rsid w:val="78FC8916"/>
    <w:rsid w:val="790C2BD3"/>
    <w:rsid w:val="790EF760"/>
    <w:rsid w:val="79186496"/>
    <w:rsid w:val="79189768"/>
    <w:rsid w:val="791C01B9"/>
    <w:rsid w:val="792EDA74"/>
    <w:rsid w:val="793F071D"/>
    <w:rsid w:val="7950B6B2"/>
    <w:rsid w:val="79615245"/>
    <w:rsid w:val="7961D156"/>
    <w:rsid w:val="79634365"/>
    <w:rsid w:val="797E7848"/>
    <w:rsid w:val="79A6B315"/>
    <w:rsid w:val="79AC9821"/>
    <w:rsid w:val="79AD3DAC"/>
    <w:rsid w:val="79B7DF15"/>
    <w:rsid w:val="79C3CC13"/>
    <w:rsid w:val="79F05721"/>
    <w:rsid w:val="7A273C43"/>
    <w:rsid w:val="7A2C0C61"/>
    <w:rsid w:val="7A2CA60D"/>
    <w:rsid w:val="7A3602CC"/>
    <w:rsid w:val="7A4434BD"/>
    <w:rsid w:val="7A4A72CC"/>
    <w:rsid w:val="7A56AE2D"/>
    <w:rsid w:val="7A82F099"/>
    <w:rsid w:val="7A97BB57"/>
    <w:rsid w:val="7A995CAF"/>
    <w:rsid w:val="7A9D9D14"/>
    <w:rsid w:val="7AA4942D"/>
    <w:rsid w:val="7AA8A3AA"/>
    <w:rsid w:val="7AA9C60F"/>
    <w:rsid w:val="7AA9E807"/>
    <w:rsid w:val="7ABFB5B2"/>
    <w:rsid w:val="7AC33E2D"/>
    <w:rsid w:val="7AD2C4E4"/>
    <w:rsid w:val="7AD9D7CA"/>
    <w:rsid w:val="7ADA400B"/>
    <w:rsid w:val="7AF9CCA7"/>
    <w:rsid w:val="7B2048F5"/>
    <w:rsid w:val="7B284BCD"/>
    <w:rsid w:val="7B2AE25C"/>
    <w:rsid w:val="7B46A8B7"/>
    <w:rsid w:val="7B48C7AD"/>
    <w:rsid w:val="7B4D0008"/>
    <w:rsid w:val="7B4F3D83"/>
    <w:rsid w:val="7B67ECB5"/>
    <w:rsid w:val="7B700E3D"/>
    <w:rsid w:val="7B7CC44C"/>
    <w:rsid w:val="7B8C28DD"/>
    <w:rsid w:val="7B8C7262"/>
    <w:rsid w:val="7B911141"/>
    <w:rsid w:val="7B95DD04"/>
    <w:rsid w:val="7B9BEB1A"/>
    <w:rsid w:val="7B9E3F86"/>
    <w:rsid w:val="7BA120FC"/>
    <w:rsid w:val="7BA6FD7F"/>
    <w:rsid w:val="7BB8C53B"/>
    <w:rsid w:val="7BB9FC5B"/>
    <w:rsid w:val="7BBA34A3"/>
    <w:rsid w:val="7BBF8E2F"/>
    <w:rsid w:val="7BC3CC9A"/>
    <w:rsid w:val="7BD3D435"/>
    <w:rsid w:val="7BDE07DE"/>
    <w:rsid w:val="7BEBA4CE"/>
    <w:rsid w:val="7BEDA464"/>
    <w:rsid w:val="7BF55B03"/>
    <w:rsid w:val="7BFA1A8E"/>
    <w:rsid w:val="7BFFC3EC"/>
    <w:rsid w:val="7C110345"/>
    <w:rsid w:val="7C196A94"/>
    <w:rsid w:val="7C1F6149"/>
    <w:rsid w:val="7C320E52"/>
    <w:rsid w:val="7C394CFE"/>
    <w:rsid w:val="7C4034D5"/>
    <w:rsid w:val="7C483A6E"/>
    <w:rsid w:val="7C64F226"/>
    <w:rsid w:val="7C69B1A8"/>
    <w:rsid w:val="7C7940CE"/>
    <w:rsid w:val="7C79E950"/>
    <w:rsid w:val="7C8C7101"/>
    <w:rsid w:val="7C972B0C"/>
    <w:rsid w:val="7C9E2FE9"/>
    <w:rsid w:val="7CA2D3F9"/>
    <w:rsid w:val="7CB65857"/>
    <w:rsid w:val="7CC6E607"/>
    <w:rsid w:val="7CD0F126"/>
    <w:rsid w:val="7CD1A832"/>
    <w:rsid w:val="7CD35AD0"/>
    <w:rsid w:val="7CE51E42"/>
    <w:rsid w:val="7CE8327C"/>
    <w:rsid w:val="7D027FCD"/>
    <w:rsid w:val="7D06AE9F"/>
    <w:rsid w:val="7D0DAC3D"/>
    <w:rsid w:val="7D10726B"/>
    <w:rsid w:val="7D199E2E"/>
    <w:rsid w:val="7D1AF365"/>
    <w:rsid w:val="7D1DD782"/>
    <w:rsid w:val="7D29A528"/>
    <w:rsid w:val="7D2F876F"/>
    <w:rsid w:val="7D300CFF"/>
    <w:rsid w:val="7D3248E1"/>
    <w:rsid w:val="7D32779F"/>
    <w:rsid w:val="7D34A5C8"/>
    <w:rsid w:val="7D3A9AC7"/>
    <w:rsid w:val="7D3C12DA"/>
    <w:rsid w:val="7D420799"/>
    <w:rsid w:val="7D69D012"/>
    <w:rsid w:val="7D6A9920"/>
    <w:rsid w:val="7D74FEB4"/>
    <w:rsid w:val="7D75345E"/>
    <w:rsid w:val="7D77B75E"/>
    <w:rsid w:val="7D79591A"/>
    <w:rsid w:val="7D7D10E5"/>
    <w:rsid w:val="7D823A1A"/>
    <w:rsid w:val="7D8C34D2"/>
    <w:rsid w:val="7D9EFF23"/>
    <w:rsid w:val="7DA22BA2"/>
    <w:rsid w:val="7DBDBDD0"/>
    <w:rsid w:val="7DC1D849"/>
    <w:rsid w:val="7DC70DDB"/>
    <w:rsid w:val="7DD53D46"/>
    <w:rsid w:val="7DE83F66"/>
    <w:rsid w:val="7DEC01B8"/>
    <w:rsid w:val="7DF7FD65"/>
    <w:rsid w:val="7DF82882"/>
    <w:rsid w:val="7DFDE8DB"/>
    <w:rsid w:val="7E01DDF4"/>
    <w:rsid w:val="7E0219C8"/>
    <w:rsid w:val="7E05555C"/>
    <w:rsid w:val="7E118BDF"/>
    <w:rsid w:val="7E183F2E"/>
    <w:rsid w:val="7E24786F"/>
    <w:rsid w:val="7E25151B"/>
    <w:rsid w:val="7E27F515"/>
    <w:rsid w:val="7E35EDAA"/>
    <w:rsid w:val="7E4C40C9"/>
    <w:rsid w:val="7E4D1865"/>
    <w:rsid w:val="7E4EAFB2"/>
    <w:rsid w:val="7E53B498"/>
    <w:rsid w:val="7E5CB252"/>
    <w:rsid w:val="7E6434E4"/>
    <w:rsid w:val="7E649017"/>
    <w:rsid w:val="7E6F6731"/>
    <w:rsid w:val="7E7366B9"/>
    <w:rsid w:val="7E73C5C8"/>
    <w:rsid w:val="7E838496"/>
    <w:rsid w:val="7E84BF90"/>
    <w:rsid w:val="7E93F62B"/>
    <w:rsid w:val="7E9A86C2"/>
    <w:rsid w:val="7E9CF229"/>
    <w:rsid w:val="7EAB6239"/>
    <w:rsid w:val="7ECE4002"/>
    <w:rsid w:val="7ECF2655"/>
    <w:rsid w:val="7ED8C4E4"/>
    <w:rsid w:val="7EF82E70"/>
    <w:rsid w:val="7EF90507"/>
    <w:rsid w:val="7F1FEAE6"/>
    <w:rsid w:val="7F2E29E1"/>
    <w:rsid w:val="7F3875A1"/>
    <w:rsid w:val="7F40F5E4"/>
    <w:rsid w:val="7F4314E9"/>
    <w:rsid w:val="7F485FCD"/>
    <w:rsid w:val="7F48B515"/>
    <w:rsid w:val="7F522795"/>
    <w:rsid w:val="7F616250"/>
    <w:rsid w:val="7F633128"/>
    <w:rsid w:val="7F665549"/>
    <w:rsid w:val="7F729C2F"/>
    <w:rsid w:val="7F74D100"/>
    <w:rsid w:val="7F78DA19"/>
    <w:rsid w:val="7F8F1598"/>
    <w:rsid w:val="7F8FC14F"/>
    <w:rsid w:val="7FA763EF"/>
    <w:rsid w:val="7FC10BD0"/>
    <w:rsid w:val="7FC38941"/>
    <w:rsid w:val="7FCAE1A7"/>
    <w:rsid w:val="7FCBEEED"/>
    <w:rsid w:val="7FD28269"/>
    <w:rsid w:val="7FD7AE9D"/>
    <w:rsid w:val="7FE6BC36"/>
    <w:rsid w:val="7FF251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1E7D34"/>
  <w15:docId w15:val="{4416B8EF-5BBB-4B03-B559-00BEA8B8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0852D5"/>
    <w:pPr>
      <w:numPr>
        <w:numId w:val="2"/>
      </w:numPr>
      <w:tabs>
        <w:tab w:val="num" w:pos="360"/>
      </w:tabs>
      <w:ind w:left="0" w:firstLine="0"/>
    </w:pPr>
    <w:rPr>
      <w:rFonts w:eastAsia="Times New Roman"/>
      <w:lang w:eastAsia="de-DE"/>
    </w:rPr>
  </w:style>
  <w:style w:type="paragraph" w:styleId="ListNumber">
    <w:name w:val="List Number"/>
    <w:basedOn w:val="Normal"/>
    <w:rsid w:val="000852D5"/>
    <w:pPr>
      <w:numPr>
        <w:numId w:val="6"/>
      </w:numPr>
    </w:pPr>
    <w:rPr>
      <w:rFonts w:eastAsia="Times New Roman"/>
      <w:lang w:eastAsia="de-DE"/>
    </w:rPr>
  </w:style>
  <w:style w:type="paragraph" w:customStyle="1" w:styleId="ListBullet1">
    <w:name w:val="List Bullet 1"/>
    <w:basedOn w:val="Normal"/>
    <w:rsid w:val="000852D5"/>
    <w:pPr>
      <w:numPr>
        <w:numId w:val="1"/>
      </w:numPr>
    </w:pPr>
    <w:rPr>
      <w:rFonts w:eastAsia="Times New Roman"/>
      <w:lang w:eastAsia="de-DE"/>
    </w:rPr>
  </w:style>
  <w:style w:type="paragraph" w:customStyle="1" w:styleId="ListDash">
    <w:name w:val="List Dash"/>
    <w:basedOn w:val="Normal"/>
    <w:rsid w:val="000852D5"/>
    <w:pPr>
      <w:numPr>
        <w:numId w:val="3"/>
      </w:numPr>
    </w:pPr>
    <w:rPr>
      <w:rFonts w:eastAsia="Times New Roman"/>
      <w:lang w:eastAsia="de-DE"/>
    </w:rPr>
  </w:style>
  <w:style w:type="paragraph" w:customStyle="1" w:styleId="ListDash1">
    <w:name w:val="List Dash 1"/>
    <w:basedOn w:val="Normal"/>
    <w:rsid w:val="000852D5"/>
    <w:pPr>
      <w:numPr>
        <w:numId w:val="4"/>
      </w:numPr>
    </w:pPr>
    <w:rPr>
      <w:rFonts w:eastAsia="Times New Roman"/>
      <w:lang w:eastAsia="de-DE"/>
    </w:rPr>
  </w:style>
  <w:style w:type="paragraph" w:customStyle="1" w:styleId="ListDash2">
    <w:name w:val="List Dash 2"/>
    <w:basedOn w:val="Normal"/>
    <w:rsid w:val="000852D5"/>
    <w:pPr>
      <w:numPr>
        <w:numId w:val="5"/>
      </w:numPr>
    </w:pPr>
    <w:rPr>
      <w:rFonts w:eastAsia="Times New Roman"/>
      <w:lang w:eastAsia="de-DE"/>
    </w:rPr>
  </w:style>
  <w:style w:type="paragraph" w:customStyle="1" w:styleId="ListNumberLevel2">
    <w:name w:val="List Number (Level 2)"/>
    <w:basedOn w:val="Normal"/>
    <w:rsid w:val="000852D5"/>
    <w:pPr>
      <w:numPr>
        <w:ilvl w:val="1"/>
        <w:numId w:val="6"/>
      </w:numPr>
    </w:pPr>
    <w:rPr>
      <w:rFonts w:eastAsia="Times New Roman"/>
      <w:lang w:eastAsia="de-DE"/>
    </w:rPr>
  </w:style>
  <w:style w:type="paragraph" w:customStyle="1" w:styleId="ListNumberLevel3">
    <w:name w:val="List Number (Level 3)"/>
    <w:basedOn w:val="Normal"/>
    <w:rsid w:val="000852D5"/>
    <w:pPr>
      <w:numPr>
        <w:ilvl w:val="2"/>
        <w:numId w:val="6"/>
      </w:numPr>
    </w:pPr>
    <w:rPr>
      <w:rFonts w:eastAsia="Times New Roman"/>
      <w:lang w:eastAsia="de-DE"/>
    </w:rPr>
  </w:style>
  <w:style w:type="paragraph" w:customStyle="1" w:styleId="ListNumberLevel4">
    <w:name w:val="List Number (Level 4)"/>
    <w:basedOn w:val="Normal"/>
    <w:rsid w:val="000852D5"/>
    <w:pPr>
      <w:numPr>
        <w:ilvl w:val="3"/>
        <w:numId w:val="6"/>
      </w:numPr>
    </w:pPr>
    <w:rPr>
      <w:rFonts w:eastAsia="Times New Roman"/>
      <w:lang w:eastAsia="de-DE"/>
    </w:rPr>
  </w:style>
  <w:style w:type="table" w:styleId="TableGrid">
    <w:name w:val="Table Grid"/>
    <w:basedOn w:val="TableNormal"/>
    <w:rsid w:val="000852D5"/>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852D5"/>
    <w:rPr>
      <w:color w:val="0000FF"/>
      <w:u w:val="single"/>
    </w:rPr>
  </w:style>
  <w:style w:type="paragraph" w:styleId="ListBullet">
    <w:name w:val="List Bullet"/>
    <w:basedOn w:val="Normal"/>
    <w:rsid w:val="000852D5"/>
    <w:pPr>
      <w:numPr>
        <w:numId w:val="7"/>
      </w:numPr>
    </w:pPr>
    <w:rPr>
      <w:rFonts w:eastAsia="Times New Roman"/>
      <w:lang w:eastAsia="en-GB"/>
    </w:rPr>
  </w:style>
  <w:style w:type="paragraph" w:styleId="ListBullet2">
    <w:name w:val="List Bullet 2"/>
    <w:basedOn w:val="Normal"/>
    <w:rsid w:val="000852D5"/>
    <w:pPr>
      <w:numPr>
        <w:numId w:val="8"/>
      </w:numPr>
    </w:pPr>
    <w:rPr>
      <w:rFonts w:eastAsia="Times New Roman"/>
      <w:lang w:eastAsia="en-GB"/>
    </w:rPr>
  </w:style>
  <w:style w:type="paragraph" w:styleId="ListBullet3">
    <w:name w:val="List Bullet 3"/>
    <w:basedOn w:val="Normal"/>
    <w:rsid w:val="000852D5"/>
    <w:pPr>
      <w:numPr>
        <w:numId w:val="9"/>
      </w:numPr>
    </w:pPr>
    <w:rPr>
      <w:rFonts w:eastAsia="Times New Roman"/>
      <w:lang w:eastAsia="en-GB"/>
    </w:rPr>
  </w:style>
  <w:style w:type="paragraph" w:styleId="ListNumber2">
    <w:name w:val="List Number 2"/>
    <w:basedOn w:val="Normal"/>
    <w:rsid w:val="000852D5"/>
    <w:pPr>
      <w:numPr>
        <w:numId w:val="13"/>
      </w:numPr>
      <w:tabs>
        <w:tab w:val="clear" w:pos="1560"/>
        <w:tab w:val="num" w:pos="850"/>
      </w:tabs>
      <w:ind w:left="850" w:hanging="850"/>
    </w:pPr>
    <w:rPr>
      <w:rFonts w:eastAsia="Times New Roman"/>
      <w:lang w:eastAsia="en-GB"/>
    </w:rPr>
  </w:style>
  <w:style w:type="paragraph" w:styleId="ListNumber3">
    <w:name w:val="List Number 3"/>
    <w:basedOn w:val="Normal"/>
    <w:rsid w:val="000852D5"/>
    <w:pPr>
      <w:numPr>
        <w:numId w:val="14"/>
      </w:numPr>
    </w:pPr>
    <w:rPr>
      <w:rFonts w:eastAsia="Times New Roman"/>
      <w:lang w:eastAsia="en-GB"/>
    </w:rPr>
  </w:style>
  <w:style w:type="paragraph" w:styleId="ListNumber4">
    <w:name w:val="List Number 4"/>
    <w:basedOn w:val="Normal"/>
    <w:rsid w:val="000852D5"/>
    <w:pPr>
      <w:numPr>
        <w:numId w:val="15"/>
      </w:numPr>
    </w:pPr>
    <w:rPr>
      <w:rFonts w:eastAsia="Times New Roman"/>
      <w:lang w:eastAsia="en-GB"/>
    </w:rPr>
  </w:style>
  <w:style w:type="paragraph" w:customStyle="1" w:styleId="ListDash3">
    <w:name w:val="List Dash 3"/>
    <w:basedOn w:val="Normal"/>
    <w:rsid w:val="000852D5"/>
    <w:pPr>
      <w:numPr>
        <w:numId w:val="10"/>
      </w:numPr>
    </w:pPr>
    <w:rPr>
      <w:rFonts w:eastAsia="Times New Roman"/>
      <w:lang w:eastAsia="en-GB"/>
    </w:rPr>
  </w:style>
  <w:style w:type="paragraph" w:customStyle="1" w:styleId="ListDash4">
    <w:name w:val="List Dash 4"/>
    <w:basedOn w:val="Normal"/>
    <w:rsid w:val="000852D5"/>
    <w:pPr>
      <w:numPr>
        <w:numId w:val="11"/>
      </w:numPr>
    </w:pPr>
    <w:rPr>
      <w:rFonts w:eastAsia="Times New Roman"/>
      <w:lang w:eastAsia="en-GB"/>
    </w:rPr>
  </w:style>
  <w:style w:type="paragraph" w:customStyle="1" w:styleId="ListNumber1">
    <w:name w:val="List Number 1"/>
    <w:basedOn w:val="Text1"/>
    <w:rsid w:val="000852D5"/>
    <w:pPr>
      <w:numPr>
        <w:numId w:val="12"/>
      </w:numPr>
    </w:pPr>
    <w:rPr>
      <w:rFonts w:eastAsia="Times New Roman"/>
      <w:lang w:eastAsia="en-GB"/>
    </w:rPr>
  </w:style>
  <w:style w:type="paragraph" w:customStyle="1" w:styleId="ListNumber1Level2">
    <w:name w:val="List Number 1 (Level 2)"/>
    <w:basedOn w:val="Text1"/>
    <w:rsid w:val="000852D5"/>
    <w:pPr>
      <w:numPr>
        <w:ilvl w:val="1"/>
        <w:numId w:val="12"/>
      </w:numPr>
    </w:pPr>
    <w:rPr>
      <w:rFonts w:eastAsia="Times New Roman"/>
      <w:lang w:eastAsia="en-GB"/>
    </w:rPr>
  </w:style>
  <w:style w:type="paragraph" w:customStyle="1" w:styleId="ListNumber2Level2">
    <w:name w:val="List Number 2 (Level 2)"/>
    <w:basedOn w:val="Text2"/>
    <w:rsid w:val="000852D5"/>
    <w:pPr>
      <w:numPr>
        <w:ilvl w:val="1"/>
        <w:numId w:val="13"/>
      </w:numPr>
      <w:tabs>
        <w:tab w:val="clear" w:pos="2268"/>
        <w:tab w:val="num" w:pos="850"/>
      </w:tabs>
      <w:ind w:left="850" w:hanging="850"/>
    </w:pPr>
    <w:rPr>
      <w:rFonts w:eastAsia="Times New Roman"/>
      <w:lang w:eastAsia="en-GB"/>
    </w:rPr>
  </w:style>
  <w:style w:type="paragraph" w:customStyle="1" w:styleId="ListNumber3Level2">
    <w:name w:val="List Number 3 (Level 2)"/>
    <w:basedOn w:val="Text3"/>
    <w:rsid w:val="000852D5"/>
    <w:pPr>
      <w:numPr>
        <w:ilvl w:val="1"/>
        <w:numId w:val="14"/>
      </w:numPr>
    </w:pPr>
    <w:rPr>
      <w:rFonts w:eastAsia="Times New Roman"/>
      <w:lang w:eastAsia="en-GB"/>
    </w:rPr>
  </w:style>
  <w:style w:type="paragraph" w:customStyle="1" w:styleId="ListNumber4Level2">
    <w:name w:val="List Number 4 (Level 2)"/>
    <w:basedOn w:val="Text4"/>
    <w:rsid w:val="000852D5"/>
    <w:pPr>
      <w:numPr>
        <w:ilvl w:val="1"/>
        <w:numId w:val="15"/>
      </w:numPr>
    </w:pPr>
    <w:rPr>
      <w:rFonts w:eastAsia="Times New Roman"/>
      <w:lang w:eastAsia="en-GB"/>
    </w:rPr>
  </w:style>
  <w:style w:type="paragraph" w:customStyle="1" w:styleId="ListNumber1Level3">
    <w:name w:val="List Number 1 (Level 3)"/>
    <w:basedOn w:val="Text1"/>
    <w:rsid w:val="000852D5"/>
    <w:pPr>
      <w:numPr>
        <w:ilvl w:val="2"/>
        <w:numId w:val="12"/>
      </w:numPr>
    </w:pPr>
    <w:rPr>
      <w:rFonts w:eastAsia="Times New Roman"/>
      <w:lang w:eastAsia="en-GB"/>
    </w:rPr>
  </w:style>
  <w:style w:type="paragraph" w:customStyle="1" w:styleId="ListNumber2Level3">
    <w:name w:val="List Number 2 (Level 3)"/>
    <w:basedOn w:val="Text2"/>
    <w:rsid w:val="000852D5"/>
    <w:pPr>
      <w:numPr>
        <w:ilvl w:val="2"/>
        <w:numId w:val="13"/>
      </w:numPr>
      <w:tabs>
        <w:tab w:val="clear" w:pos="2977"/>
        <w:tab w:val="num" w:pos="850"/>
      </w:tabs>
      <w:ind w:left="850" w:hanging="850"/>
    </w:pPr>
    <w:rPr>
      <w:rFonts w:eastAsia="Times New Roman"/>
      <w:lang w:eastAsia="en-GB"/>
    </w:rPr>
  </w:style>
  <w:style w:type="paragraph" w:customStyle="1" w:styleId="ListNumber3Level3">
    <w:name w:val="List Number 3 (Level 3)"/>
    <w:basedOn w:val="Text3"/>
    <w:rsid w:val="000852D5"/>
    <w:pPr>
      <w:numPr>
        <w:ilvl w:val="2"/>
        <w:numId w:val="14"/>
      </w:numPr>
    </w:pPr>
    <w:rPr>
      <w:rFonts w:eastAsia="Times New Roman"/>
      <w:lang w:eastAsia="en-GB"/>
    </w:rPr>
  </w:style>
  <w:style w:type="paragraph" w:customStyle="1" w:styleId="ListNumber4Level3">
    <w:name w:val="List Number 4 (Level 3)"/>
    <w:basedOn w:val="Text4"/>
    <w:rsid w:val="000852D5"/>
    <w:pPr>
      <w:numPr>
        <w:ilvl w:val="2"/>
        <w:numId w:val="15"/>
      </w:numPr>
    </w:pPr>
    <w:rPr>
      <w:rFonts w:eastAsia="Times New Roman"/>
      <w:lang w:eastAsia="en-GB"/>
    </w:rPr>
  </w:style>
  <w:style w:type="paragraph" w:customStyle="1" w:styleId="ListNumber1Level4">
    <w:name w:val="List Number 1 (Level 4)"/>
    <w:basedOn w:val="Text1"/>
    <w:rsid w:val="000852D5"/>
    <w:pPr>
      <w:numPr>
        <w:ilvl w:val="3"/>
        <w:numId w:val="12"/>
      </w:numPr>
    </w:pPr>
    <w:rPr>
      <w:rFonts w:eastAsia="Times New Roman"/>
      <w:lang w:eastAsia="en-GB"/>
    </w:rPr>
  </w:style>
  <w:style w:type="paragraph" w:customStyle="1" w:styleId="ListNumber2Level4">
    <w:name w:val="List Number 2 (Level 4)"/>
    <w:basedOn w:val="Text2"/>
    <w:rsid w:val="000852D5"/>
    <w:pPr>
      <w:numPr>
        <w:ilvl w:val="3"/>
        <w:numId w:val="13"/>
      </w:numPr>
      <w:tabs>
        <w:tab w:val="clear" w:pos="3686"/>
        <w:tab w:val="num" w:pos="850"/>
      </w:tabs>
      <w:ind w:left="850" w:hanging="850"/>
    </w:pPr>
    <w:rPr>
      <w:rFonts w:eastAsia="Times New Roman"/>
      <w:lang w:eastAsia="en-GB"/>
    </w:rPr>
  </w:style>
  <w:style w:type="paragraph" w:customStyle="1" w:styleId="ListNumber3Level4">
    <w:name w:val="List Number 3 (Level 4)"/>
    <w:basedOn w:val="Text3"/>
    <w:rsid w:val="000852D5"/>
    <w:pPr>
      <w:numPr>
        <w:ilvl w:val="3"/>
        <w:numId w:val="14"/>
      </w:numPr>
    </w:pPr>
    <w:rPr>
      <w:rFonts w:eastAsia="Times New Roman"/>
      <w:lang w:eastAsia="en-GB"/>
    </w:rPr>
  </w:style>
  <w:style w:type="paragraph" w:customStyle="1" w:styleId="ListNumber4Level4">
    <w:name w:val="List Number 4 (Level 4)"/>
    <w:basedOn w:val="Text4"/>
    <w:rsid w:val="000852D5"/>
    <w:pPr>
      <w:numPr>
        <w:ilvl w:val="3"/>
        <w:numId w:val="15"/>
      </w:numPr>
    </w:pPr>
    <w:rPr>
      <w:rFonts w:eastAsia="Times New Roman"/>
      <w:lang w:eastAsia="en-GB"/>
    </w:rPr>
  </w:style>
  <w:style w:type="paragraph" w:customStyle="1" w:styleId="Annexetitreacte">
    <w:name w:val="Annexe titre (acte)"/>
    <w:basedOn w:val="Normal"/>
    <w:next w:val="Normal"/>
    <w:rsid w:val="000852D5"/>
    <w:pPr>
      <w:jc w:val="center"/>
    </w:pPr>
    <w:rPr>
      <w:rFonts w:eastAsia="Times New Roman"/>
      <w:b/>
      <w:u w:val="single"/>
      <w:lang w:eastAsia="en-GB"/>
    </w:rPr>
  </w:style>
  <w:style w:type="paragraph" w:customStyle="1" w:styleId="Annexetitreexposglobal">
    <w:name w:val="Annexe titre (exposé global)"/>
    <w:basedOn w:val="Normal"/>
    <w:next w:val="Normal"/>
    <w:rsid w:val="000852D5"/>
    <w:pPr>
      <w:jc w:val="center"/>
    </w:pPr>
    <w:rPr>
      <w:rFonts w:eastAsia="Times New Roman"/>
      <w:b/>
      <w:u w:val="single"/>
      <w:lang w:eastAsia="en-GB"/>
    </w:rPr>
  </w:style>
  <w:style w:type="paragraph" w:customStyle="1" w:styleId="Annexetitrefichefinacte">
    <w:name w:val="Annexe titre (fiche fin. acte)"/>
    <w:basedOn w:val="Normal"/>
    <w:next w:val="Normal"/>
    <w:rsid w:val="000852D5"/>
    <w:pPr>
      <w:jc w:val="center"/>
    </w:pPr>
    <w:rPr>
      <w:rFonts w:eastAsia="Times New Roman"/>
      <w:b/>
      <w:u w:val="single"/>
      <w:lang w:eastAsia="en-GB"/>
    </w:rPr>
  </w:style>
  <w:style w:type="paragraph" w:customStyle="1" w:styleId="Annexetitrefichefinglobale">
    <w:name w:val="Annexe titre (fiche fin. globale)"/>
    <w:basedOn w:val="Normal"/>
    <w:next w:val="Normal"/>
    <w:rsid w:val="000852D5"/>
    <w:pPr>
      <w:jc w:val="center"/>
    </w:pPr>
    <w:rPr>
      <w:rFonts w:eastAsia="Times New Roman"/>
      <w:b/>
      <w:u w:val="single"/>
      <w:lang w:eastAsia="en-GB"/>
    </w:rPr>
  </w:style>
  <w:style w:type="paragraph" w:customStyle="1" w:styleId="Annexetitreglobale">
    <w:name w:val="Annexe titre (globale)"/>
    <w:basedOn w:val="Normal"/>
    <w:next w:val="Normal"/>
    <w:rsid w:val="000852D5"/>
    <w:pPr>
      <w:jc w:val="center"/>
    </w:pPr>
    <w:rPr>
      <w:rFonts w:eastAsia="Times New Roman"/>
      <w:b/>
      <w:u w:val="single"/>
      <w:lang w:eastAsia="en-GB"/>
    </w:rPr>
  </w:style>
  <w:style w:type="paragraph" w:customStyle="1" w:styleId="Exposdesmotifstitreglobal">
    <w:name w:val="Exposé des motifs titre (global)"/>
    <w:basedOn w:val="Normal"/>
    <w:next w:val="Normal"/>
    <w:rsid w:val="000852D5"/>
    <w:pPr>
      <w:jc w:val="center"/>
    </w:pPr>
    <w:rPr>
      <w:rFonts w:eastAsia="Times New Roman"/>
      <w:b/>
      <w:u w:val="single"/>
      <w:lang w:eastAsia="en-GB"/>
    </w:rPr>
  </w:style>
  <w:style w:type="paragraph" w:customStyle="1" w:styleId="Langueoriginale">
    <w:name w:val="Langue originale"/>
    <w:basedOn w:val="Normal"/>
    <w:rsid w:val="000852D5"/>
    <w:pPr>
      <w:spacing w:before="360"/>
      <w:jc w:val="center"/>
    </w:pPr>
    <w:rPr>
      <w:rFonts w:eastAsia="Times New Roman"/>
      <w:caps/>
      <w:lang w:eastAsia="en-GB"/>
    </w:rPr>
  </w:style>
  <w:style w:type="paragraph" w:customStyle="1" w:styleId="Phrasefinale">
    <w:name w:val="Phrase finale"/>
    <w:basedOn w:val="Normal"/>
    <w:next w:val="Normal"/>
    <w:rsid w:val="000852D5"/>
    <w:pPr>
      <w:spacing w:before="360" w:after="0"/>
      <w:jc w:val="center"/>
    </w:pPr>
    <w:rPr>
      <w:rFonts w:eastAsia="Times New Roman"/>
      <w:lang w:eastAsia="en-GB"/>
    </w:rPr>
  </w:style>
  <w:style w:type="paragraph" w:customStyle="1" w:styleId="Prliminairetitre">
    <w:name w:val="Préliminaire titre"/>
    <w:basedOn w:val="Normal"/>
    <w:next w:val="Normal"/>
    <w:rsid w:val="000852D5"/>
    <w:pPr>
      <w:spacing w:before="360" w:after="360"/>
      <w:jc w:val="center"/>
    </w:pPr>
    <w:rPr>
      <w:rFonts w:eastAsia="Times New Roman"/>
      <w:b/>
      <w:lang w:eastAsia="en-GB"/>
    </w:rPr>
  </w:style>
  <w:style w:type="paragraph" w:customStyle="1" w:styleId="Prliminairetype">
    <w:name w:val="Préliminaire type"/>
    <w:basedOn w:val="Normal"/>
    <w:next w:val="Normal"/>
    <w:rsid w:val="000852D5"/>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0852D5"/>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0852D5"/>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0852D5"/>
    <w:pPr>
      <w:spacing w:before="0" w:after="0"/>
      <w:ind w:left="5103"/>
      <w:jc w:val="left"/>
    </w:pPr>
    <w:rPr>
      <w:rFonts w:eastAsia="Times New Roman"/>
      <w:lang w:eastAsia="en-GB"/>
    </w:rPr>
  </w:style>
  <w:style w:type="paragraph" w:customStyle="1" w:styleId="Sous-titreobjetprliminaire">
    <w:name w:val="Sous-titre objet (préliminaire)"/>
    <w:basedOn w:val="Normal"/>
    <w:rsid w:val="000852D5"/>
    <w:pPr>
      <w:spacing w:before="0" w:after="0"/>
      <w:jc w:val="center"/>
    </w:pPr>
    <w:rPr>
      <w:rFonts w:eastAsia="Times New Roman"/>
      <w:b/>
      <w:lang w:eastAsia="en-GB"/>
    </w:rPr>
  </w:style>
  <w:style w:type="paragraph" w:customStyle="1" w:styleId="Statutprliminaire">
    <w:name w:val="Statut (préliminaire)"/>
    <w:basedOn w:val="Normal"/>
    <w:next w:val="Normal"/>
    <w:rsid w:val="000852D5"/>
    <w:pPr>
      <w:spacing w:before="360" w:after="0"/>
      <w:jc w:val="center"/>
    </w:pPr>
    <w:rPr>
      <w:rFonts w:eastAsia="Times New Roman"/>
      <w:lang w:eastAsia="en-GB"/>
    </w:rPr>
  </w:style>
  <w:style w:type="paragraph" w:customStyle="1" w:styleId="Titreobjetprliminaire">
    <w:name w:val="Titre objet (préliminaire)"/>
    <w:basedOn w:val="Normal"/>
    <w:next w:val="Normal"/>
    <w:rsid w:val="000852D5"/>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0852D5"/>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0852D5"/>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0852D5"/>
    <w:pPr>
      <w:jc w:val="center"/>
    </w:pPr>
    <w:rPr>
      <w:rFonts w:eastAsia="Times New Roman"/>
      <w:b/>
      <w:u w:val="single"/>
      <w:lang w:eastAsia="en-GB"/>
    </w:rPr>
  </w:style>
  <w:style w:type="paragraph" w:customStyle="1" w:styleId="Fichefinanciretravailtitre">
    <w:name w:val="Fiche financière (travail) titre"/>
    <w:basedOn w:val="Normal"/>
    <w:next w:val="Normal"/>
    <w:rsid w:val="000852D5"/>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0852D5"/>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0852D5"/>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0852D5"/>
    <w:pPr>
      <w:jc w:val="center"/>
    </w:pPr>
    <w:rPr>
      <w:rFonts w:eastAsia="Times New Roman"/>
      <w:b/>
      <w:u w:val="single"/>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0852D5"/>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rsid w:val="000852D5"/>
    <w:rPr>
      <w:b/>
      <w:bCs/>
    </w:rPr>
  </w:style>
  <w:style w:type="character" w:customStyle="1" w:styleId="CommentSubjectChar">
    <w:name w:val="Comment Subject Char"/>
    <w:basedOn w:val="CommentTextChar"/>
    <w:link w:val="CommentSubject"/>
    <w:rsid w:val="000852D5"/>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sid w:val="000852D5"/>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0852D5"/>
    <w:rPr>
      <w:rFonts w:ascii="Tahoma" w:eastAsia="Times New Roman" w:hAnsi="Tahoma" w:cs="Tahoma"/>
      <w:sz w:val="16"/>
      <w:szCs w:val="16"/>
      <w:lang w:val="de-DE" w:eastAsia="en-GB"/>
    </w:rPr>
  </w:style>
  <w:style w:type="paragraph" w:styleId="Caption">
    <w:name w:val="caption"/>
    <w:basedOn w:val="Normal"/>
    <w:next w:val="Normal"/>
    <w:qFormat/>
    <w:rsid w:val="000852D5"/>
    <w:rPr>
      <w:rFonts w:eastAsia="Times New Roman"/>
      <w:b/>
      <w:bCs/>
      <w:sz w:val="20"/>
      <w:szCs w:val="20"/>
      <w:lang w:eastAsia="en-GB"/>
    </w:rPr>
  </w:style>
  <w:style w:type="paragraph" w:styleId="TableofFigures">
    <w:name w:val="table of figures"/>
    <w:basedOn w:val="Normal"/>
    <w:next w:val="Normal"/>
    <w:rsid w:val="000852D5"/>
    <w:rPr>
      <w:rFonts w:eastAsia="Times New Roman"/>
      <w:lang w:eastAsia="en-GB"/>
    </w:rPr>
  </w:style>
  <w:style w:type="character" w:styleId="PageNumber">
    <w:name w:val="page number"/>
    <w:rsid w:val="000852D5"/>
  </w:style>
  <w:style w:type="character" w:customStyle="1" w:styleId="tw4winMark">
    <w:name w:val="tw4winMark"/>
    <w:rsid w:val="000852D5"/>
    <w:rPr>
      <w:vanish/>
      <w:color w:val="800080"/>
      <w:vertAlign w:val="subscript"/>
    </w:rPr>
  </w:style>
  <w:style w:type="character" w:styleId="FollowedHyperlink">
    <w:name w:val="FollowedHyperlink"/>
    <w:rsid w:val="000852D5"/>
    <w:rPr>
      <w:color w:val="800080"/>
      <w:u w:val="single"/>
    </w:rPr>
  </w:style>
  <w:style w:type="paragraph" w:customStyle="1" w:styleId="Sous-titreobjet">
    <w:name w:val="Sous-titre objet"/>
    <w:basedOn w:val="Normal"/>
    <w:rsid w:val="000852D5"/>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0852D5"/>
  </w:style>
  <w:style w:type="paragraph" w:styleId="Revision">
    <w:name w:val="Revision"/>
    <w:hidden/>
    <w:uiPriority w:val="99"/>
    <w:semiHidden/>
    <w:rsid w:val="000852D5"/>
    <w:rPr>
      <w:rFonts w:ascii="Calibri" w:eastAsia="Calibri" w:hAnsi="Calibri" w:cs="Times New Roman"/>
      <w:sz w:val="24"/>
      <w:lang w:eastAsia="en-GB"/>
    </w:rPr>
  </w:style>
  <w:style w:type="paragraph" w:customStyle="1" w:styleId="FooterCoverPage">
    <w:name w:val="Footer Cover Page"/>
    <w:basedOn w:val="Normal"/>
    <w:link w:val="FooterCoverPageChar"/>
    <w:rsid w:val="000852D5"/>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0852D5"/>
    <w:rPr>
      <w:rFonts w:ascii="Times New Roman" w:hAnsi="Times New Roman" w:cs="Times New Roman"/>
      <w:b/>
      <w:sz w:val="28"/>
      <w:lang w:val="de-DE"/>
    </w:rPr>
  </w:style>
  <w:style w:type="character" w:customStyle="1" w:styleId="FooterCoverPageChar">
    <w:name w:val="Footer Cover Page Char"/>
    <w:link w:val="FooterCoverPage"/>
    <w:rsid w:val="000852D5"/>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0852D5"/>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0852D5"/>
    <w:rPr>
      <w:rFonts w:ascii="Times New Roman" w:eastAsia="Calibri" w:hAnsi="Times New Roman" w:cs="Times New Roman"/>
      <w:sz w:val="24"/>
      <w:lang w:val="de-DE" w:eastAsia="en-GB"/>
    </w:rPr>
  </w:style>
  <w:style w:type="character" w:customStyle="1" w:styleId="FooterSensitivityChar">
    <w:name w:val="Footer Sensitivity Char"/>
    <w:rsid w:val="000852D5"/>
    <w:rPr>
      <w:rFonts w:ascii="Times New Roman" w:hAnsi="Times New Roman" w:cs="Times New Roman"/>
      <w:b/>
      <w:sz w:val="32"/>
      <w:lang w:val="de-DE"/>
    </w:rPr>
  </w:style>
  <w:style w:type="character" w:customStyle="1" w:styleId="HeaderSensitivityChar">
    <w:name w:val="Header Sensitivity Char"/>
    <w:rsid w:val="000852D5"/>
    <w:rPr>
      <w:rFonts w:ascii="Times New Roman" w:hAnsi="Times New Roman" w:cs="Times New Roman"/>
      <w:b/>
      <w:sz w:val="32"/>
      <w:lang w:val="de-DE"/>
    </w:rPr>
  </w:style>
  <w:style w:type="character" w:customStyle="1" w:styleId="HeaderSensitivityRightChar">
    <w:name w:val="Header Sensitivity Right Char"/>
    <w:rsid w:val="000852D5"/>
    <w:rPr>
      <w:rFonts w:ascii="Times New Roman" w:hAnsi="Times New Roman" w:cs="Times New Roman"/>
      <w:sz w:val="28"/>
      <w:lang w:val="de-DE"/>
    </w:rPr>
  </w:style>
  <w:style w:type="paragraph" w:customStyle="1" w:styleId="LegalNumPar">
    <w:name w:val="LegalNumPar"/>
    <w:basedOn w:val="Normal"/>
    <w:rsid w:val="000852D5"/>
    <w:pPr>
      <w:numPr>
        <w:numId w:val="16"/>
      </w:numPr>
      <w:tabs>
        <w:tab w:val="num" w:pos="2551"/>
      </w:tabs>
      <w:spacing w:line="360" w:lineRule="auto"/>
      <w:ind w:left="2551" w:hanging="567"/>
    </w:pPr>
    <w:rPr>
      <w:rFonts w:eastAsia="Times New Roman"/>
      <w:lang w:eastAsia="en-GB"/>
    </w:rPr>
  </w:style>
  <w:style w:type="paragraph" w:customStyle="1" w:styleId="LegalNumPar2">
    <w:name w:val="LegalNumPar2"/>
    <w:basedOn w:val="Normal"/>
    <w:rsid w:val="000852D5"/>
    <w:pPr>
      <w:numPr>
        <w:ilvl w:val="1"/>
        <w:numId w:val="16"/>
      </w:numPr>
      <w:tabs>
        <w:tab w:val="num" w:pos="2551"/>
      </w:tabs>
      <w:spacing w:line="360" w:lineRule="auto"/>
      <w:ind w:left="2551" w:hanging="567"/>
    </w:pPr>
    <w:rPr>
      <w:rFonts w:eastAsia="Times New Roman"/>
      <w:lang w:eastAsia="en-GB"/>
    </w:rPr>
  </w:style>
  <w:style w:type="paragraph" w:customStyle="1" w:styleId="LegalNumPar3">
    <w:name w:val="LegalNumPar3"/>
    <w:basedOn w:val="Normal"/>
    <w:rsid w:val="000852D5"/>
    <w:pPr>
      <w:numPr>
        <w:ilvl w:val="2"/>
        <w:numId w:val="16"/>
      </w:numPr>
      <w:tabs>
        <w:tab w:val="num" w:pos="2551"/>
      </w:tabs>
      <w:spacing w:line="360" w:lineRule="auto"/>
      <w:ind w:left="2551" w:hanging="567"/>
    </w:pPr>
    <w:rPr>
      <w:rFonts w:eastAsia="Times New Roman"/>
      <w:lang w:eastAsia="en-GB"/>
    </w:rPr>
  </w:style>
  <w:style w:type="paragraph" w:styleId="ListParagraph">
    <w:name w:val="List Paragraph"/>
    <w:basedOn w:val="Normal"/>
    <w:uiPriority w:val="34"/>
    <w:qFormat/>
    <w:rsid w:val="000852D5"/>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0852D5"/>
    <w:rPr>
      <w:color w:val="605E5C"/>
      <w:shd w:val="clear" w:color="auto" w:fill="E1DFDD"/>
    </w:rPr>
  </w:style>
  <w:style w:type="character" w:styleId="Strong">
    <w:name w:val="Strong"/>
    <w:basedOn w:val="DefaultParagraphFont"/>
    <w:qFormat/>
    <w:rsid w:val="000852D5"/>
    <w:rPr>
      <w:b/>
      <w:bCs/>
    </w:rPr>
  </w:style>
  <w:style w:type="character" w:styleId="Emphasis">
    <w:name w:val="Emphasis"/>
    <w:basedOn w:val="DefaultParagraphFont"/>
    <w:qFormat/>
    <w:rsid w:val="000852D5"/>
    <w:rPr>
      <w:i/>
      <w:iCs/>
    </w:rPr>
  </w:style>
  <w:style w:type="character" w:customStyle="1" w:styleId="Mention1">
    <w:name w:val="Mention1"/>
    <w:basedOn w:val="DefaultParagraphFont"/>
    <w:uiPriority w:val="99"/>
    <w:unhideWhenUsed/>
    <w:rsid w:val="000852D5"/>
    <w:rPr>
      <w:color w:val="2B579A"/>
      <w:shd w:val="clear" w:color="auto" w:fill="E1DFDD"/>
    </w:rPr>
  </w:style>
  <w:style w:type="character" w:customStyle="1" w:styleId="normaltextrun">
    <w:name w:val="normaltextrun"/>
    <w:basedOn w:val="DefaultParagraphFont"/>
    <w:rsid w:val="000852D5"/>
  </w:style>
  <w:style w:type="character" w:customStyle="1" w:styleId="eop">
    <w:name w:val="eop"/>
    <w:basedOn w:val="DefaultParagraphFont"/>
    <w:rsid w:val="000852D5"/>
  </w:style>
  <w:style w:type="paragraph" w:customStyle="1" w:styleId="paragraph">
    <w:name w:val="paragraph"/>
    <w:basedOn w:val="Normal"/>
    <w:rsid w:val="000852D5"/>
    <w:pPr>
      <w:spacing w:before="100" w:beforeAutospacing="1" w:after="100" w:afterAutospacing="1"/>
      <w:jc w:val="left"/>
    </w:pPr>
    <w:rPr>
      <w:rFonts w:eastAsia="Times New Roman"/>
      <w:szCs w:val="24"/>
      <w:lang w:eastAsia="en-IE"/>
    </w:rPr>
  </w:style>
  <w:style w:type="character" w:customStyle="1" w:styleId="cf01">
    <w:name w:val="cf01"/>
    <w:basedOn w:val="DefaultParagraphFont"/>
    <w:rsid w:val="00254B72"/>
    <w:rPr>
      <w:rFonts w:ascii="Segoe UI" w:hAnsi="Segoe UI" w:cs="Segoe UI" w:hint="default"/>
      <w:b/>
      <w:bCs/>
      <w:sz w:val="18"/>
      <w:szCs w:val="18"/>
    </w:rPr>
  </w:style>
  <w:style w:type="character" w:customStyle="1" w:styleId="HeaderChar">
    <w:name w:val="Header Char"/>
    <w:basedOn w:val="DefaultParagraphFont"/>
    <w:link w:val="Header"/>
    <w:uiPriority w:val="99"/>
    <w:rsid w:val="008E2EBB"/>
    <w:rPr>
      <w:rFonts w:ascii="Times New Roman" w:hAnsi="Times New Roman" w:cs="Times New Roman"/>
      <w:sz w:val="24"/>
      <w:lang w:val="de-DE"/>
    </w:rPr>
  </w:style>
  <w:style w:type="character" w:customStyle="1" w:styleId="FooterChar">
    <w:name w:val="Footer Char"/>
    <w:basedOn w:val="DefaultParagraphFont"/>
    <w:link w:val="Footer"/>
    <w:uiPriority w:val="99"/>
    <w:rsid w:val="008E2EBB"/>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E2EB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E2EBB"/>
    <w:pPr>
      <w:spacing w:before="0"/>
      <w:jc w:val="right"/>
    </w:pPr>
    <w:rPr>
      <w:sz w:val="28"/>
    </w:rPr>
  </w:style>
  <w:style w:type="paragraph" w:customStyle="1" w:styleId="FooterSensitivity">
    <w:name w:val="Footer Sensitivity"/>
    <w:basedOn w:val="Normal"/>
    <w:rsid w:val="008E2EB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8E2EBB"/>
    <w:pPr>
      <w:tabs>
        <w:tab w:val="center" w:pos="4535"/>
        <w:tab w:val="right" w:pos="9071"/>
      </w:tabs>
      <w:spacing w:before="0"/>
    </w:pPr>
  </w:style>
  <w:style w:type="paragraph" w:customStyle="1" w:styleId="HeaderLandscape">
    <w:name w:val="HeaderLandscape"/>
    <w:basedOn w:val="Normal"/>
    <w:rsid w:val="008E2EBB"/>
    <w:pPr>
      <w:tabs>
        <w:tab w:val="center" w:pos="7285"/>
        <w:tab w:val="right" w:pos="14003"/>
      </w:tabs>
      <w:spacing w:before="0"/>
    </w:pPr>
  </w:style>
  <w:style w:type="paragraph" w:styleId="Footer">
    <w:name w:val="footer"/>
    <w:basedOn w:val="Normal"/>
    <w:link w:val="FooterChar"/>
    <w:uiPriority w:val="99"/>
    <w:unhideWhenUsed/>
    <w:rsid w:val="008E2EB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8E2EB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s://eur-lex.europa.eu/legal-content/DE/TXT/?uri=uriserv%3AOJ.C_.2021.528.01.0010.01.ENG&amp;toc=OJ%3AC%3A2021%3A528%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2581F4C1-2CFD-48C9-A294-062E4A73344C}">
    <t:Anchor>
      <t:Comment id="63662938"/>
    </t:Anchor>
    <t:History>
      <t:Event id="{D27F1860-0E0B-4644-80F5-7BB223CF0B31}" time="2025-03-30T12:10:55.385Z">
        <t:Attribution userId="S::eveline.petrat@ec.europa.eu::8362ef1a-07ce-49df-8191-f00f4d3146ab" userProvider="AD" userName="PETRAT Eveline (REGIO)"/>
        <t:Anchor>
          <t:Comment id="1832760408"/>
        </t:Anchor>
        <t:Create/>
      </t:Event>
      <t:Event id="{B52CBACF-1C6E-48EA-9D5B-FECA12D1A33D}" time="2025-03-30T12:10:55.385Z">
        <t:Attribution userId="S::eveline.petrat@ec.europa.eu::8362ef1a-07ce-49df-8191-f00f4d3146ab" userProvider="AD" userName="PETRAT Eveline (REGIO)"/>
        <t:Anchor>
          <t:Comment id="1832760408"/>
        </t:Anchor>
        <t:Assign userId="S::Anna.WAGNER@ec.europa.eu::3e29d0cb-e875-4cd0-975c-c286b5cd5d22" userProvider="AD" userName="WAGNER Anna (REGIO)"/>
      </t:Event>
      <t:Event id="{59A3CD29-0A2F-4E26-8AF5-3803C270701E}" time="2025-03-30T12:10:55.385Z">
        <t:Attribution userId="S::eveline.petrat@ec.europa.eu::8362ef1a-07ce-49df-8191-f00f4d3146ab" userProvider="AD" userName="PETRAT Eveline (REGIO)"/>
        <t:Anchor>
          <t:Comment id="1832760408"/>
        </t:Anchor>
        <t:SetTitle title="@WAGNER Anna (REGIO)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108D5DB348340BE1DE2D053F79295" ma:contentTypeVersion="4" ma:contentTypeDescription="Create a new document." ma:contentTypeScope="" ma:versionID="8390bf40849dea6e6a3ad0257128a719">
  <xsd:schema xmlns:xsd="http://www.w3.org/2001/XMLSchema" xmlns:xs="http://www.w3.org/2001/XMLSchema" xmlns:p="http://schemas.microsoft.com/office/2006/metadata/properties" xmlns:ns2="bd6295de-9a7c-45ce-8351-755b46c141ee" targetNamespace="http://schemas.microsoft.com/office/2006/metadata/properties" ma:root="true" ma:fieldsID="45bdcc73e13ea26a35542d9587c0b2cd" ns2:_="">
    <xsd:import namespace="bd6295de-9a7c-45ce-8351-755b46c141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95de-9a7c-45ce-8351-755b46c14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7D55-FF55-4754-B518-5AEB5F79C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95de-9a7c-45ce-8351-755b46c14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CDB8F-E8ED-4237-B075-32E6139B1A91}">
  <ds:schemaRefs>
    <ds:schemaRef ds:uri="http://schemas.microsoft.com/sharepoint/v3/contenttype/forms"/>
  </ds:schemaRefs>
</ds:datastoreItem>
</file>

<file path=customXml/itemProps3.xml><?xml version="1.0" encoding="utf-8"?>
<ds:datastoreItem xmlns:ds="http://schemas.openxmlformats.org/officeDocument/2006/customXml" ds:itemID="{AB963628-30FE-41CD-A8A6-9F813AA260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BDBD1-B976-48A9-B4FE-F4C2502A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50</TotalTime>
  <Pages>17</Pages>
  <Words>19210</Words>
  <Characters>109503</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24</cp:revision>
  <cp:lastPrinted>2025-03-14T23:31:00Z</cp:lastPrinted>
  <dcterms:created xsi:type="dcterms:W3CDTF">2025-04-01T10:17:00Z</dcterms:created>
  <dcterms:modified xsi:type="dcterms:W3CDTF">2025-04-30T08:07:00Z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2025-03-12T07:58:37Z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cd9da401-b654-4d30-90ee-2314419ceda7</vt:lpwstr>
  </property>
  <property fmtid="{D5CDD505-2E9C-101B-9397-08002B2CF9AE}" pid="16" name="MSIP_Label_6bd9ddd1-4d20-43f6-abfa-fc3c07406f94_ContentBits">
    <vt:lpwstr>0</vt:lpwstr>
  </property>
  <property fmtid="{D5CDD505-2E9C-101B-9397-08002B2CF9AE}" pid="17" name="ContentTypeId">
    <vt:lpwstr>0x010100F2F108D5DB348340BE1DE2D053F79295</vt:lpwstr>
  </property>
  <property fmtid="{D5CDD505-2E9C-101B-9397-08002B2CF9AE}" pid="18" name="EC_TX_Corporate_x0020_Body">
    <vt:lpwstr/>
  </property>
  <property fmtid="{D5CDD505-2E9C-101B-9397-08002B2CF9AE}" pid="19" name="EC_TX_All_World_Countries">
    <vt:lpwstr/>
  </property>
  <property fmtid="{D5CDD505-2E9C-101B-9397-08002B2CF9AE}" pid="20" name="MediaServiceImageTags">
    <vt:lpwstr/>
  </property>
  <property fmtid="{D5CDD505-2E9C-101B-9397-08002B2CF9AE}" pid="21" name="i8c8ab8b63424c5d9f8c4a8434abf670">
    <vt:lpwstr/>
  </property>
  <property fmtid="{D5CDD505-2E9C-101B-9397-08002B2CF9AE}" pid="22" name="p26229aee9004b9f888149fd0449ec68">
    <vt:lpwstr/>
  </property>
  <property fmtid="{D5CDD505-2E9C-101B-9397-08002B2CF9AE}" pid="23" name="eff2cf69f10b4279bbb27215ca009b37">
    <vt:lpwstr/>
  </property>
  <property fmtid="{D5CDD505-2E9C-101B-9397-08002B2CF9AE}" pid="24" name="EC_TX_Resource_Type">
    <vt:lpwstr/>
  </property>
  <property fmtid="{D5CDD505-2E9C-101B-9397-08002B2CF9AE}" pid="25" name="EC_TX_EU_Member_State">
    <vt:lpwstr/>
  </property>
  <property fmtid="{D5CDD505-2E9C-101B-9397-08002B2CF9AE}" pid="26" name="j8309f8bc3e645d1a2f07391f8e5795a">
    <vt:lpwstr/>
  </property>
  <property fmtid="{D5CDD505-2E9C-101B-9397-08002B2CF9AE}" pid="27" name="g81cb4d17be94922847ce418ea81f55a">
    <vt:lpwstr/>
  </property>
  <property fmtid="{D5CDD505-2E9C-101B-9397-08002B2CF9AE}" pid="28" name="TaxCatchAll">
    <vt:lpwstr/>
  </property>
  <property fmtid="{D5CDD505-2E9C-101B-9397-08002B2CF9AE}" pid="29" name="k2c54712f93b47eb83e1835ba301b6c6">
    <vt:lpwstr/>
  </property>
  <property fmtid="{D5CDD505-2E9C-101B-9397-08002B2CF9AE}" pid="30" name="EC_TX_Strategic_Priority">
    <vt:lpwstr/>
  </property>
  <property fmtid="{D5CDD505-2E9C-101B-9397-08002B2CF9AE}" pid="31" name="EC_TX_EU_Political_Leader">
    <vt:lpwstr/>
  </property>
  <property fmtid="{D5CDD505-2E9C-101B-9397-08002B2CF9AE}" pid="32" name="EC_TX_Corporate Body">
    <vt:lpwstr/>
  </property>
  <property fmtid="{D5CDD505-2E9C-101B-9397-08002B2CF9AE}" pid="33" name="DQCStatus">
    <vt:lpwstr>Green (DQC version 03)</vt:lpwstr>
  </property>
</Properties>
</file>