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C5E8E" w14:textId="15E1E182" w:rsidR="000164CE" w:rsidRDefault="0085333F" w:rsidP="0085333F">
      <w:pPr>
        <w:pStyle w:val="Pagedecouverture"/>
        <w:rPr>
          <w:noProof/>
        </w:rPr>
      </w:pPr>
      <w:bookmarkStart w:id="0" w:name="LW_BM_COVERPAGE"/>
      <w:r>
        <w:rPr>
          <w:noProof/>
        </w:rPr>
        <w:pict w14:anchorId="00EC3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DEF2832-D107-4DDD-B980-DE0CA0469AC4" style="width:455.25pt;height:324pt">
            <v:imagedata r:id="rId8" o:title=""/>
          </v:shape>
        </w:pict>
      </w:r>
    </w:p>
    <w:bookmarkEnd w:id="0"/>
    <w:p w14:paraId="1DC9DF38" w14:textId="77777777" w:rsidR="000164CE" w:rsidRDefault="000164CE" w:rsidP="000164CE">
      <w:pPr>
        <w:rPr>
          <w:noProof/>
          <w:lang w:val="en-GB"/>
        </w:rPr>
        <w:sectPr w:rsidR="000164CE" w:rsidSect="0085333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3D9ACE6" w14:textId="54D51D92" w:rsidR="000164CE" w:rsidRPr="000A2ACC" w:rsidRDefault="000164CE" w:rsidP="000A2ACC">
      <w:pPr>
        <w:pStyle w:val="ListParagraph"/>
        <w:keepNext/>
        <w:keepLines/>
        <w:numPr>
          <w:ilvl w:val="0"/>
          <w:numId w:val="46"/>
        </w:numPr>
        <w:spacing w:after="120" w:line="240" w:lineRule="auto"/>
        <w:outlineLvl w:val="0"/>
        <w:rPr>
          <w:rFonts w:ascii="Times New Roman" w:eastAsia="Times New Roman" w:hAnsi="Times New Roman" w:cs="Times New Roman"/>
          <w:b/>
          <w:noProof/>
          <w:kern w:val="2"/>
          <w:sz w:val="24"/>
          <w:szCs w:val="40"/>
          <w14:ligatures w14:val="standardContextual"/>
        </w:rPr>
      </w:pPr>
      <w:bookmarkStart w:id="1" w:name="_GoBack"/>
      <w:bookmarkEnd w:id="1"/>
      <w:r>
        <w:rPr>
          <w:rFonts w:ascii="Times New Roman" w:hAnsi="Times New Roman"/>
          <w:b/>
          <w:i/>
          <w:iCs/>
          <w:noProof/>
          <w:sz w:val="24"/>
        </w:rPr>
        <w:lastRenderedPageBreak/>
        <w:t>ProtectEU</w:t>
      </w:r>
      <w:r>
        <w:rPr>
          <w:rFonts w:ascii="Times New Roman" w:hAnsi="Times New Roman"/>
          <w:b/>
          <w:noProof/>
          <w:sz w:val="24"/>
        </w:rPr>
        <w:t>: Eiropas iekšējās drošības stratēģija</w:t>
      </w:r>
    </w:p>
    <w:p w14:paraId="30CADE2E" w14:textId="6FEB2569"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bookmarkStart w:id="2" w:name="_Hlk193059250"/>
      <w:r>
        <w:rPr>
          <w:rFonts w:ascii="Times New Roman" w:hAnsi="Times New Roman"/>
          <w:noProof/>
          <w:sz w:val="24"/>
        </w:rPr>
        <w:t xml:space="preserve">Drošība ir pamats, uz kura balstās visas mūsu brīvības. Demokrātija, tiesiskums, pamattiesības, Eiropas iedzīvotāju  labbūtība, konkurētspēja un labklājība – tas viss ir atkarīgs no mūsu spējas garantēt pamatdrošību. Jaunajā drošības apdraudējumu laikmetā, kurā pašlaik dzīvojam, ES dalībvalstu spēja garantēt savu iedzīvotāju drošību vairāk nekā jebkad agrāk ir atkarīga no </w:t>
      </w:r>
      <w:r>
        <w:rPr>
          <w:rFonts w:ascii="Times New Roman" w:hAnsi="Times New Roman"/>
          <w:b/>
          <w:noProof/>
          <w:sz w:val="24"/>
        </w:rPr>
        <w:t>vienotas Eiropas pieejas mūsu iekšējās drošības aizsardzībai</w:t>
      </w:r>
      <w:r>
        <w:rPr>
          <w:rFonts w:ascii="Times New Roman" w:hAnsi="Times New Roman"/>
          <w:noProof/>
          <w:sz w:val="24"/>
        </w:rPr>
        <w:t xml:space="preserve">. Mainīgajā ģeopolitiskajā vidē Eiropai ir jāturpina pildīt savs pastāvīgais solījumu par mieru. </w:t>
      </w:r>
    </w:p>
    <w:p w14:paraId="71BA506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Jau ir sperti pirmie soļi ceļā uz Eiropas drošības aparāta izveidi. Pēdējā desmitgadē esam sagatavojuši Savienībai uzlabotus kolektīvos mehānismus, kas paredzēti rīcībai tiesībaizsardzības un tiesu iestāžu sadarbības, robežu drošības, smagās un organizētās noziedzības apkarošanas, terorisma un vardarbīga ekstrēmisma apkarošanas un ES fiziskās un digitālās kritiskās infrastruktūras aizsardzības jomā. Būtiska nozīme joprojām ir iepriekš pieņemto tiesību aktu un izstrādātās politikas pienācīgai īstenošanai.</w:t>
      </w:r>
    </w:p>
    <w:p w14:paraId="13AB09B0" w14:textId="2B071DFD"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Mūsdienu draudu raksturs un ciešā saikne starp ES iekšējo un ārējo drošību liek mums virzīties tālāk. </w:t>
      </w:r>
    </w:p>
    <w:bookmarkEnd w:id="2"/>
    <w:p w14:paraId="239F5412" w14:textId="35457DD4"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Draudu aina ir nomācoša. Robežas starp </w:t>
      </w:r>
      <w:r>
        <w:rPr>
          <w:rFonts w:ascii="Times New Roman" w:hAnsi="Times New Roman"/>
          <w:b/>
          <w:noProof/>
          <w:sz w:val="24"/>
        </w:rPr>
        <w:t>hibrīddraudiem</w:t>
      </w:r>
      <w:r>
        <w:rPr>
          <w:rFonts w:ascii="Times New Roman" w:hAnsi="Times New Roman"/>
          <w:noProof/>
          <w:sz w:val="24"/>
        </w:rPr>
        <w:t xml:space="preserve"> un atklātu karu ir neskaidras. Krievija īsteno tiešsaistes un bezsaistes hibrīdkampaņu pret ES un tās partneriem, lai izjauktu un grautu sabiedrības kohēziju un demokrātiskos procesus un pārbaudītu ES solidaritāti ar Ukrainu. Naidīgas ārvalstis un valsts sponsorēti aktori cenšas iekļūt mūsu kritiskajā infrastruktūrā un piegādes ķēdēs un sagraut tās, nozagt sensitīvus datus un pozicionēt sevi tā, lai panāktu maksimālus traucējumus nākotnē. Viņi izmanto noziedzību kā pakalpojumu, bet noziedzniekus kā starpniekus. Turklāt mūsu atkarība no trešām valstīm piegādes ķēžu ziņā mūs padara neaizsargātākus pret naidīgu valstu hibrīdkampaņām. </w:t>
      </w:r>
    </w:p>
    <w:p w14:paraId="3268F3AF" w14:textId="6112435F"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Kā uzsvērts ES smagās un organizētās noziedzības draudu novērtējumā (</w:t>
      </w:r>
      <w:r>
        <w:rPr>
          <w:rFonts w:ascii="Times New Roman" w:hAnsi="Times New Roman"/>
          <w:i/>
          <w:iCs/>
          <w:noProof/>
          <w:sz w:val="24"/>
        </w:rPr>
        <w:t>SOCTA</w:t>
      </w:r>
      <w:r>
        <w:rPr>
          <w:rFonts w:ascii="Times New Roman" w:hAnsi="Times New Roman"/>
          <w:noProof/>
          <w:sz w:val="24"/>
        </w:rPr>
        <w:t xml:space="preserve">), ar ko nesen iepazīstināja Eiropols, Eiropā izplatās spēcīgi </w:t>
      </w:r>
      <w:r>
        <w:rPr>
          <w:rFonts w:ascii="Times New Roman" w:hAnsi="Times New Roman"/>
          <w:b/>
          <w:noProof/>
          <w:sz w:val="24"/>
        </w:rPr>
        <w:t>organizētās noziedzības tīkli</w:t>
      </w:r>
      <w:r>
        <w:rPr>
          <w:rFonts w:ascii="Times New Roman" w:hAnsi="Times New Roman"/>
          <w:noProof/>
          <w:sz w:val="24"/>
        </w:rPr>
        <w:t>, kas, pateicoties internetam, kļūst azivien spēcīgāki un iefiltrējas mūsu ekonomikā un ietekmē mūsu sabiedrību</w:t>
      </w:r>
      <w:bookmarkStart w:id="3" w:name="_Ref194057166"/>
      <w:r w:rsidRPr="000164CE">
        <w:rPr>
          <w:rFonts w:ascii="Times New Roman" w:eastAsia="Times New Roman" w:hAnsi="Times New Roman" w:cs="Times New Roman"/>
          <w:noProof/>
          <w:kern w:val="2"/>
          <w:sz w:val="24"/>
          <w:szCs w:val="24"/>
          <w:vertAlign w:val="superscript"/>
          <w:lang w:val="en-GB"/>
        </w:rPr>
        <w:footnoteReference w:id="2"/>
      </w:r>
      <w:bookmarkEnd w:id="3"/>
      <w:r>
        <w:rPr>
          <w:rFonts w:ascii="Times New Roman" w:hAnsi="Times New Roman"/>
          <w:noProof/>
          <w:sz w:val="24"/>
        </w:rPr>
        <w:t>. Kad organizētā noziedzība ir iesakņojusies kopienā vai ekonomikas nozarē, tās izskaušana kļūst par smagu cīņu – viena trešdaļa no visvairāk apdraudošajiem noziedzīgajiem tīkliem darbojas jau vairāk nekā desmit gadus. Kriptovalūtas un paralēlas finanšu sistēmas palīdz tiem legalizēt un slēpt savus noziedzīgi iegūtos līdzekļus.</w:t>
      </w:r>
    </w:p>
    <w:p w14:paraId="7F593C70" w14:textId="14AF7778"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noProof/>
          <w:color w:val="000000"/>
          <w:sz w:val="24"/>
        </w:rPr>
        <w:t xml:space="preserve">Terorisma draudu līmenis </w:t>
      </w:r>
      <w:r>
        <w:rPr>
          <w:rFonts w:ascii="Times New Roman" w:hAnsi="Times New Roman"/>
          <w:b/>
          <w:noProof/>
          <w:sz w:val="24"/>
        </w:rPr>
        <w:t>Eiropā</w:t>
      </w:r>
      <w:r>
        <w:rPr>
          <w:rFonts w:ascii="Times New Roman" w:hAnsi="Times New Roman"/>
          <w:noProof/>
          <w:sz w:val="24"/>
        </w:rPr>
        <w:t xml:space="preserve"> </w:t>
      </w:r>
      <w:r>
        <w:rPr>
          <w:rFonts w:ascii="Times New Roman" w:hAnsi="Times New Roman"/>
          <w:b/>
          <w:noProof/>
          <w:color w:val="000000"/>
          <w:sz w:val="24"/>
        </w:rPr>
        <w:t xml:space="preserve">turpina pieaugt. </w:t>
      </w:r>
      <w:r>
        <w:rPr>
          <w:rFonts w:ascii="Times New Roman" w:hAnsi="Times New Roman"/>
          <w:noProof/>
          <w:color w:val="000000"/>
          <w:sz w:val="24"/>
        </w:rPr>
        <w:t>Reģionālas krīzes ārpus ES rada būtisku ietekmi, sniedzot jaunu motivāciju dažādas ideoloģijas pārstāvošām teroristu organizācijām vervēt un mobilizēt teroristus, vai palielināt to spējas. Tās savus radikalizācijas un vervēšanas centienus vērš tieši uz visneaizsargātākajām mūsu sabiedrības grupām un īpaši uz konkrētām jauniešu grupām. Tās iedvesmo vienatnē darbojošos aktoru uzbrukumus un pret sistēmu vērsta ekstrēmisma pieaugumu, kura mērķis ir sagraut demokrātisko tiesisko kārtību.</w:t>
      </w:r>
    </w:p>
    <w:p w14:paraId="1D7099EA" w14:textId="2A86F5E9"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Straujā un plašā </w:t>
      </w:r>
      <w:r>
        <w:rPr>
          <w:rFonts w:ascii="Times New Roman" w:hAnsi="Times New Roman"/>
          <w:b/>
          <w:noProof/>
          <w:sz w:val="24"/>
        </w:rPr>
        <w:t>tehnoloģiju attīstība</w:t>
      </w:r>
      <w:r>
        <w:rPr>
          <w:rFonts w:ascii="Times New Roman" w:hAnsi="Times New Roman"/>
          <w:noProof/>
          <w:sz w:val="24"/>
        </w:rPr>
        <w:t xml:space="preserve"> ir būtisks instruments mūsu drošības aparāta uzlabošanai. Taču arvien biežāk notiek kiberuzbrukumi un ārvalstu īstenota informācijas manipulācija, izmantojot jaunas tehnoloģijas, piemēram, mākslīgo intelektu. Bērni, jaunieši un vecāka gadagājuma cilvēki ir īpaši apdraudēti tiešsaistē, un naida izplatīšanās tiešsaistē apdraud vārda brīvību un sociālo kohēziju. </w:t>
      </w:r>
    </w:p>
    <w:p w14:paraId="03CD57FD" w14:textId="399B72D0" w:rsidR="000164CE" w:rsidRPr="000164CE" w:rsidRDefault="000164CE" w:rsidP="000164CE">
      <w:pPr>
        <w:spacing w:after="120" w:line="240" w:lineRule="auto"/>
        <w:jc w:val="both"/>
        <w:rPr>
          <w:rFonts w:ascii="Times New Roman" w:eastAsia="Calibri" w:hAnsi="Times New Roman" w:cs="Times New Roman"/>
          <w:noProof/>
          <w:kern w:val="2"/>
          <w:sz w:val="24"/>
          <w:szCs w:val="24"/>
          <w14:ligatures w14:val="standardContextual"/>
        </w:rPr>
      </w:pPr>
      <w:r>
        <w:rPr>
          <w:rFonts w:ascii="Times New Roman" w:hAnsi="Times New Roman"/>
          <w:noProof/>
          <w:sz w:val="24"/>
        </w:rPr>
        <w:t xml:space="preserve">Mūsu dzīve ir kļuvusi mazāk droša, un to arvien vairāk izjūt eiropieši, kuru </w:t>
      </w:r>
      <w:r>
        <w:rPr>
          <w:rFonts w:ascii="Times New Roman" w:hAnsi="Times New Roman"/>
          <w:b/>
          <w:noProof/>
          <w:sz w:val="24"/>
        </w:rPr>
        <w:t>priekšstats par drošumu un drošību ES</w:t>
      </w:r>
      <w:r>
        <w:rPr>
          <w:rFonts w:ascii="Times New Roman" w:hAnsi="Times New Roman"/>
          <w:noProof/>
          <w:sz w:val="24"/>
        </w:rPr>
        <w:t xml:space="preserve"> ir pasliktinājies tiktāl, ka uz jautājumu par nākotni 64 % no viņiem atbild, ka ir nobažījušies par ES drošību</w:t>
      </w:r>
      <w:r w:rsidR="000E2371">
        <w:rPr>
          <w:rStyle w:val="FootnoteReference"/>
          <w:rFonts w:ascii="Times New Roman" w:eastAsia="Calibri" w:hAnsi="Times New Roman" w:cs="Times New Roman"/>
          <w:noProof/>
          <w:kern w:val="2"/>
          <w:sz w:val="24"/>
          <w:szCs w:val="24"/>
          <w:lang w:val="en-GB"/>
        </w:rPr>
        <w:footnoteReference w:id="3"/>
      </w:r>
      <w:r>
        <w:rPr>
          <w:rFonts w:ascii="Times New Roman" w:hAnsi="Times New Roman"/>
          <w:noProof/>
          <w:sz w:val="24"/>
        </w:rPr>
        <w:t>. Arī uzņēmumu vidū pieaug bažas; maldinoša informācija un dezinformācija, noziedzība un nelikumīgas darbības, kā arī kiberspiegošana ir viens no desmit lielākajiem riskiem, kas apzināti Pasaules Ekonomikas foruma 2025. gada ziņojumā par globālajiem riskiem</w:t>
      </w:r>
      <w:r w:rsidR="002C4C92">
        <w:rPr>
          <w:rStyle w:val="FootnoteReference"/>
          <w:rFonts w:ascii="Times New Roman" w:hAnsi="Times New Roman" w:cs="Times New Roman"/>
          <w:noProof/>
          <w:sz w:val="24"/>
          <w:szCs w:val="24"/>
        </w:rPr>
        <w:footnoteReference w:id="4"/>
      </w:r>
      <w:r>
        <w:rPr>
          <w:rFonts w:ascii="Times New Roman" w:hAnsi="Times New Roman"/>
          <w:noProof/>
          <w:sz w:val="24"/>
        </w:rPr>
        <w:t xml:space="preserve">. </w:t>
      </w:r>
    </w:p>
    <w:p w14:paraId="77B53E4D" w14:textId="5F9D5DFD"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Eiropiešiem vajadzētu būt </w:t>
      </w:r>
      <w:r>
        <w:rPr>
          <w:rFonts w:ascii="Times New Roman" w:hAnsi="Times New Roman"/>
          <w:b/>
          <w:noProof/>
          <w:sz w:val="24"/>
        </w:rPr>
        <w:t>iespējai dzīvot bez bailēm</w:t>
      </w:r>
      <w:r>
        <w:rPr>
          <w:rFonts w:ascii="Times New Roman" w:hAnsi="Times New Roman"/>
          <w:noProof/>
          <w:sz w:val="24"/>
        </w:rPr>
        <w:t xml:space="preserve"> gan uz ielām, gan mājās, sabiedriskās vietās, metro vai internetā. ES drošības jomā veiktā darba centrā ir cilvēku aizsardzība, īpaši to cilvēku aizsardzība, kuri ir visneaizsargātākie pret uzbrukumiem, kas nesamērīgi skar bērnus, sievietes un minoritātes, arī ebreju un musulmaņu kopienas. Aizsardzība ir būtiska, lai veidotu noturīgu un saliedētu sabiedrību. </w:t>
      </w:r>
    </w:p>
    <w:p w14:paraId="7F24156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Komisija nāk klajā ar </w:t>
      </w:r>
      <w:r>
        <w:rPr>
          <w:rFonts w:ascii="Times New Roman" w:hAnsi="Times New Roman"/>
          <w:b/>
          <w:noProof/>
          <w:sz w:val="24"/>
        </w:rPr>
        <w:t>Eiropas iekšējās drošības stratēģiju</w:t>
      </w:r>
      <w:r>
        <w:rPr>
          <w:rFonts w:ascii="Times New Roman" w:hAnsi="Times New Roman"/>
          <w:noProof/>
          <w:sz w:val="24"/>
        </w:rPr>
        <w:t xml:space="preserve">, lai turpmākajos gados labāk novērstu apdraudējumus. Ar stingrāku juridisko instrumentu kopumu, ciešāku sadarbību un plašāku informācijas apmaiņu mēs uzlabosim mūsu noturību un kolektīvo spēju paredzēt, novērst, atklāt drošības apdraudējumus un efektīvi reaģēt uz tiem. Vienota pieeja iekšējai drošībai var palīdzēt dalībvalstīm izmantot tehnoloģiju potenciālu, lai stiprinātu, nevis vājinātu drošību, vienlaikus veicinot drošu digitālo telpu visiem. Turklāt tā atbalsta dalībvalstu kopīgu reakciju uz globālām politiskām un ekonomiskām pārmaiņām, kas ietekmē Savienības iekšējo drošību. </w:t>
      </w:r>
    </w:p>
    <w:p w14:paraId="2656970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Šīs stratēģijas pamatā ir </w:t>
      </w:r>
      <w:r>
        <w:rPr>
          <w:rFonts w:ascii="Times New Roman" w:hAnsi="Times New Roman"/>
          <w:b/>
          <w:noProof/>
          <w:sz w:val="24"/>
        </w:rPr>
        <w:t>trīs principi</w:t>
      </w:r>
      <w:r>
        <w:rPr>
          <w:rFonts w:ascii="Times New Roman" w:hAnsi="Times New Roman"/>
          <w:noProof/>
          <w:sz w:val="24"/>
        </w:rPr>
        <w:t xml:space="preserve"> un tiesiskuma un pamattiesību ievērošana.</w:t>
      </w:r>
    </w:p>
    <w:p w14:paraId="62ED4D7F"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Pirmkārt, tajā ir izvirzīta vērienīga iecere mainīt kultūru drošības jomā. Mums ir vajadzīga </w:t>
      </w:r>
      <w:r>
        <w:rPr>
          <w:rFonts w:ascii="Times New Roman" w:hAnsi="Times New Roman"/>
          <w:b/>
          <w:noProof/>
          <w:sz w:val="24"/>
        </w:rPr>
        <w:t>visu sabiedrību aptveroša pieeja</w:t>
      </w:r>
      <w:r>
        <w:rPr>
          <w:rFonts w:ascii="Times New Roman" w:hAnsi="Times New Roman"/>
          <w:noProof/>
          <w:sz w:val="24"/>
        </w:rPr>
        <w:t xml:space="preserve">, kurā iesaistīti visi iedzīvotāji un ieinteresētās personas, arī no pilsoniskās sabiedrības, pētniecības un akadēmiskajām aprindām un privātām struktūrām. Tāpēc stratēģijā paredzētajos pasākumos, kad vien iespējams, tiek izmantota integrēta daudzu ieinteresēto personu pieeja. </w:t>
      </w:r>
    </w:p>
    <w:p w14:paraId="44C2EC6F" w14:textId="37E9A8BC"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Otrkārt, </w:t>
      </w:r>
      <w:r>
        <w:rPr>
          <w:rFonts w:ascii="Times New Roman" w:hAnsi="Times New Roman"/>
          <w:b/>
          <w:noProof/>
          <w:sz w:val="24"/>
        </w:rPr>
        <w:t>drošības apsvērumi ir jāintegrē un jāiekļauj visos ES tiesību aktos, politikā un programmās</w:t>
      </w:r>
      <w:r>
        <w:rPr>
          <w:rFonts w:ascii="Times New Roman" w:hAnsi="Times New Roman"/>
          <w:noProof/>
          <w:sz w:val="24"/>
        </w:rPr>
        <w:t>, arī ES ārējā darbībā.</w:t>
      </w:r>
      <w:r>
        <w:rPr>
          <w:rFonts w:ascii="Times New Roman" w:hAnsi="Times New Roman"/>
          <w:b/>
          <w:noProof/>
          <w:sz w:val="24"/>
        </w:rPr>
        <w:t xml:space="preserve"> </w:t>
      </w:r>
      <w:r>
        <w:rPr>
          <w:rFonts w:ascii="Times New Roman" w:hAnsi="Times New Roman"/>
          <w:noProof/>
          <w:sz w:val="24"/>
        </w:rPr>
        <w:t xml:space="preserve">Tiesību akti, politika un programmas būs jāsagatavo, jāpārskata un jāīsteno, paturot prātā drošības perspektīvu, un jānodrošina, ka tiek ņemti vērā nepieciešamie drošības apsvērumi, lai veicinātu saskaņotu un visaptverošu pieeju drošībai. </w:t>
      </w:r>
    </w:p>
    <w:p w14:paraId="04F53C5D" w14:textId="01BCF238"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Visbeidzot, drošai un noturīgai Eiropai ir vajadzīgas </w:t>
      </w:r>
      <w:r>
        <w:rPr>
          <w:rFonts w:ascii="Times New Roman" w:hAnsi="Times New Roman"/>
          <w:b/>
          <w:noProof/>
          <w:sz w:val="24"/>
        </w:rPr>
        <w:t>būtiskas investīcijas no ES, tās dalībvalstīm un privātā sektora</w:t>
      </w:r>
      <w:r>
        <w:rPr>
          <w:rFonts w:ascii="Times New Roman" w:hAnsi="Times New Roman"/>
          <w:noProof/>
          <w:sz w:val="24"/>
        </w:rPr>
        <w:t>. Šajā stratēģijā izklāstītajām prioritātēm un darbībām ir vajadzīgi pietiekami cilvēkresursi un finanšu resursi, lai nodrošinātu to īstenošanu. Kā noteikts paziņojumā “Ceļā uz nākamo daudzgadu finanšu shēmu”</w:t>
      </w:r>
      <w:r w:rsidR="008E4273">
        <w:rPr>
          <w:rStyle w:val="FootnoteReference"/>
          <w:rFonts w:ascii="Times New Roman" w:eastAsia="Times New Roman" w:hAnsi="Times New Roman" w:cs="Times New Roman"/>
          <w:noProof/>
          <w:kern w:val="2"/>
          <w:sz w:val="24"/>
          <w:szCs w:val="24"/>
          <w:lang w:val="en-GB"/>
        </w:rPr>
        <w:footnoteReference w:id="5"/>
      </w:r>
      <w:r>
        <w:rPr>
          <w:rFonts w:ascii="Times New Roman" w:hAnsi="Times New Roman"/>
          <w:noProof/>
          <w:sz w:val="24"/>
        </w:rPr>
        <w:t>, Eiropai būs jāpalielina publiskie izdevumi drošībai un jāveicina pētniecība un investīcijas drošības jomā, tādējādi palielinot savu stratēģisko autonomiju.</w:t>
      </w:r>
    </w:p>
    <w:p w14:paraId="4F196DB0" w14:textId="76FC8E14" w:rsidR="000164CE" w:rsidRPr="000164CE" w:rsidRDefault="000164CE" w:rsidP="000164CE">
      <w:pPr>
        <w:spacing w:after="24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Šī stratēģija papildina </w:t>
      </w:r>
      <w:r>
        <w:rPr>
          <w:rFonts w:ascii="Times New Roman" w:hAnsi="Times New Roman"/>
          <w:b/>
          <w:noProof/>
          <w:sz w:val="24"/>
        </w:rPr>
        <w:t>Eiropas sagatavotības savienības stratēģiju</w:t>
      </w:r>
      <w:r w:rsidR="002C5A66" w:rsidRPr="007D1E7C">
        <w:rPr>
          <w:rStyle w:val="FootnoteReference"/>
          <w:rFonts w:ascii="Times New Roman" w:eastAsia="Times New Roman" w:hAnsi="Times New Roman" w:cs="Times New Roman"/>
          <w:bCs/>
          <w:noProof/>
          <w:kern w:val="2"/>
          <w:sz w:val="24"/>
          <w:szCs w:val="24"/>
          <w:lang w:val="en-GB"/>
        </w:rPr>
        <w:footnoteReference w:id="6"/>
      </w:r>
      <w:r>
        <w:rPr>
          <w:rFonts w:ascii="Times New Roman" w:hAnsi="Times New Roman"/>
          <w:noProof/>
          <w:sz w:val="24"/>
        </w:rPr>
        <w:t xml:space="preserve">, kurā izklāstīta integrēta visu apdraudējumu pieeja sagatavotībai konfliktiem, cilvēku izraisītām un dabas katastrofām, un krīzēm, un </w:t>
      </w:r>
      <w:r>
        <w:rPr>
          <w:rFonts w:ascii="Times New Roman" w:hAnsi="Times New Roman"/>
          <w:b/>
          <w:noProof/>
          <w:sz w:val="24"/>
        </w:rPr>
        <w:t>Balto grāmatu par Eiropas aizsardzības gatavību 2030. gadam</w:t>
      </w:r>
      <w:r w:rsidR="00343CAC" w:rsidRPr="007D1E7C">
        <w:rPr>
          <w:rStyle w:val="FootnoteReference"/>
          <w:rFonts w:ascii="Times New Roman" w:eastAsia="Times New Roman" w:hAnsi="Times New Roman" w:cs="Times New Roman"/>
          <w:bCs/>
          <w:noProof/>
          <w:kern w:val="2"/>
          <w:sz w:val="24"/>
          <w:szCs w:val="24"/>
          <w:lang w:val="en-GB"/>
        </w:rPr>
        <w:footnoteReference w:id="7"/>
      </w:r>
      <w:r>
        <w:rPr>
          <w:rFonts w:ascii="Times New Roman" w:hAnsi="Times New Roman"/>
          <w:noProof/>
          <w:sz w:val="24"/>
        </w:rPr>
        <w:t xml:space="preserve">, kas palīdz pastiprināt aizsardzības spēju attīstību un iegūšanu visā ES nolūkā atturēt ārvalstu pretiniekus. Komisija arī ierosinās izveidot </w:t>
      </w:r>
      <w:r>
        <w:rPr>
          <w:rFonts w:ascii="Times New Roman" w:hAnsi="Times New Roman"/>
          <w:b/>
          <w:noProof/>
          <w:sz w:val="24"/>
        </w:rPr>
        <w:t>Eiropas demokrātijas vairogu</w:t>
      </w:r>
      <w:r>
        <w:rPr>
          <w:rFonts w:ascii="Times New Roman" w:hAnsi="Times New Roman"/>
          <w:noProof/>
          <w:sz w:val="24"/>
        </w:rPr>
        <w:t>, lai stiprinātu demokrātisko noturību Eiropas Savienībā. Šajās iniciatīvās kopā ir formulēts redzējums par drošu, aizsargātu un noturīgu ES.</w:t>
      </w:r>
    </w:p>
    <w:p w14:paraId="55582B67" w14:textId="77777777" w:rsidR="000A2ACC" w:rsidRPr="00CF0D21" w:rsidRDefault="000A2ACC" w:rsidP="000A2ACC">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b/>
          <w:bCs/>
          <w:i/>
          <w:iCs/>
          <w:noProof/>
          <w:kern w:val="2"/>
          <w:sz w:val="24"/>
          <w:szCs w:val="24"/>
          <w14:ligatures w14:val="standardContextual"/>
        </w:rPr>
      </w:pPr>
      <w:r>
        <w:rPr>
          <w:rFonts w:ascii="Times New Roman" w:hAnsi="Times New Roman"/>
          <w:b/>
          <w:i/>
          <w:noProof/>
          <w:sz w:val="24"/>
        </w:rPr>
        <w:t xml:space="preserve">Jauna Eiropas iekšējās drošības pārvaldība </w:t>
      </w:r>
    </w:p>
    <w:p w14:paraId="3285EE8D" w14:textId="51E387D5" w:rsidR="000A2ACC" w:rsidRPr="00CF0D21" w:rsidRDefault="000A2ACC" w:rsidP="000A2ACC">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b/>
          <w:bCs/>
          <w:noProof/>
          <w:kern w:val="2"/>
          <w:sz w:val="24"/>
          <w:szCs w:val="24"/>
          <w14:ligatures w14:val="standardContextual"/>
        </w:rPr>
      </w:pPr>
      <w:r>
        <w:rPr>
          <w:rFonts w:ascii="Times New Roman" w:hAnsi="Times New Roman"/>
          <w:b/>
          <w:noProof/>
          <w:sz w:val="24"/>
        </w:rPr>
        <w:t>Komisija cieši sadarbosies ar dalībvalstīm un ES aģentūrām, lai uzlabotu ES pieeju iekšējai drošībai gan stratēģiskā, gan operatīvā līmenī.</w:t>
      </w:r>
    </w:p>
    <w:p w14:paraId="571D72C9" w14:textId="77777777" w:rsidR="000A2ACC" w:rsidRDefault="000A2ACC" w:rsidP="000A2ACC">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b/>
          <w:bCs/>
          <w:noProof/>
          <w:kern w:val="2"/>
          <w:sz w:val="24"/>
          <w:szCs w:val="24"/>
          <w14:ligatures w14:val="standardContextual"/>
        </w:rPr>
      </w:pPr>
      <w:r>
        <w:rPr>
          <w:rFonts w:ascii="Times New Roman" w:hAnsi="Times New Roman"/>
          <w:b/>
          <w:noProof/>
          <w:sz w:val="24"/>
        </w:rPr>
        <w:t>Šā mērķa sasniegšanai paredzēts:</w:t>
      </w:r>
    </w:p>
    <w:p w14:paraId="1FC96183" w14:textId="280CB5AC"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14:ligatures w14:val="standardContextual"/>
        </w:rPr>
      </w:pPr>
      <w:r>
        <w:rPr>
          <w:rFonts w:ascii="Times New Roman" w:hAnsi="Times New Roman"/>
          <w:b/>
          <w:noProof/>
          <w:sz w:val="24"/>
        </w:rPr>
        <w:t>konsekventi apzināt jauno un pārskatīto Komisijas iniciatīvu iespējamo ietekmi uz drošību un sagatavotību jau sarunu procesa sākumā un visā sarunu procesā;</w:t>
      </w:r>
    </w:p>
    <w:p w14:paraId="0BAEA5ED" w14:textId="0AA25B55"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14:ligatures w14:val="standardContextual"/>
        </w:rPr>
      </w:pPr>
      <w:r>
        <w:rPr>
          <w:rFonts w:ascii="Times New Roman" w:hAnsi="Times New Roman"/>
          <w:b/>
          <w:noProof/>
          <w:sz w:val="24"/>
        </w:rPr>
        <w:t>rīkot Komisijas projekta grupas Eiropas iekšējās drošības jautājumos regulāras sanāksmes, ko papildina stratēģiska pārnozaru sadarbība Komisijas ietvaros;</w:t>
      </w:r>
    </w:p>
    <w:p w14:paraId="46202594" w14:textId="1196892C" w:rsidR="000A2ACC" w:rsidRPr="00826735"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14:ligatures w14:val="standardContextual"/>
        </w:rPr>
      </w:pPr>
      <w:r>
        <w:rPr>
          <w:rFonts w:ascii="Times New Roman" w:hAnsi="Times New Roman"/>
          <w:b/>
          <w:noProof/>
          <w:sz w:val="24"/>
        </w:rPr>
        <w:t>iepazīstināt ar draudu analīzi saistībā ar iekšējo drošību, lai atbalstītu Drošības koledžas darbu;</w:t>
      </w:r>
    </w:p>
    <w:p w14:paraId="5A4E663F" w14:textId="571926CA"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14:ligatures w14:val="standardContextual"/>
        </w:rPr>
      </w:pPr>
      <w:r>
        <w:rPr>
          <w:rFonts w:ascii="Times New Roman" w:hAnsi="Times New Roman"/>
          <w:b/>
          <w:noProof/>
          <w:sz w:val="24"/>
        </w:rPr>
        <w:t>vest diskusijas ar dalībvalstīm Padomē par mainīgajām iekšējās drošības problēmām, pamatojoties uz draudu analīzi un viedokļu apmaiņu par galvenajām politikas prioritātēm;</w:t>
      </w:r>
    </w:p>
    <w:p w14:paraId="0CB563AB" w14:textId="7AF1E9FF"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14:ligatures w14:val="standardContextual"/>
        </w:rPr>
      </w:pPr>
      <w:r>
        <w:rPr>
          <w:rFonts w:ascii="Times New Roman" w:hAnsi="Times New Roman"/>
          <w:b/>
          <w:noProof/>
          <w:sz w:val="24"/>
        </w:rPr>
        <w:t>regulāri ziņot Eiropas Parlamentam un Padomei, lai sekotu līdzi un atbalstītu svarīgāko drošības iniciatīvu sistemātisku īstenošanu.</w:t>
      </w:r>
    </w:p>
    <w:p w14:paraId="25BD565D" w14:textId="77777777" w:rsidR="000A2ACC" w:rsidRPr="00756DFE" w:rsidRDefault="000A2ACC" w:rsidP="000A2ACC">
      <w:pPr>
        <w:rPr>
          <w:noProof/>
        </w:rPr>
      </w:pPr>
    </w:p>
    <w:p w14:paraId="525F5734"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14:ligatures w14:val="standardContextual"/>
        </w:rPr>
      </w:pPr>
      <w:r>
        <w:rPr>
          <w:rFonts w:ascii="Times New Roman" w:hAnsi="Times New Roman"/>
          <w:b/>
          <w:noProof/>
          <w:sz w:val="24"/>
        </w:rPr>
        <w:t>Integrētā situācijas apzināšanās un analīze</w:t>
      </w:r>
    </w:p>
    <w:p w14:paraId="2EA1499F" w14:textId="24524BEF" w:rsidR="000164CE" w:rsidRPr="000164CE" w:rsidRDefault="000164CE" w:rsidP="000164CE">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iCs/>
          <w:noProof/>
          <w:kern w:val="2"/>
          <w:sz w:val="24"/>
          <w:szCs w:val="24"/>
          <w14:ligatures w14:val="standardContextual"/>
        </w:rPr>
      </w:pPr>
      <w:r>
        <w:rPr>
          <w:rFonts w:ascii="Times New Roman" w:hAnsi="Times New Roman"/>
          <w:i/>
          <w:noProof/>
          <w:sz w:val="24"/>
        </w:rPr>
        <w:t xml:space="preserve">Mēs radīsim ES jaunus veidus, kā apmainīties ar informāciju un to apvienot, un nodrošināsim regulāru ES iekšējās drošības apdraudējumu analīzi, kas sekmēs visaptverošu risku un draudu novērtējumu. </w:t>
      </w:r>
    </w:p>
    <w:p w14:paraId="7C922988" w14:textId="0136EBB3" w:rsidR="000164CE" w:rsidRPr="000164CE" w:rsidRDefault="000164CE" w:rsidP="007D1E7C">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Drošība sākas ar </w:t>
      </w:r>
      <w:r>
        <w:rPr>
          <w:rFonts w:ascii="Times New Roman" w:hAnsi="Times New Roman"/>
          <w:b/>
          <w:noProof/>
          <w:sz w:val="24"/>
        </w:rPr>
        <w:t>efektīvu prognozēšanu</w:t>
      </w:r>
      <w:r>
        <w:rPr>
          <w:rFonts w:ascii="Times New Roman" w:hAnsi="Times New Roman"/>
          <w:noProof/>
          <w:sz w:val="24"/>
        </w:rPr>
        <w:t>. ES ir jāpaļaujas uz visaptverošu, pietiekami autonomu un atjauninātu situācijas apzināšanos un draudu analīzi. Praktiski izmantojami izlūkdati, kurus dalībvalstis tiek mudinātas vēl vairāk uzlabot, izmantojot vienoto izlūkdatu analīzes procedūru (</w:t>
      </w:r>
      <w:r>
        <w:rPr>
          <w:rFonts w:ascii="Times New Roman" w:hAnsi="Times New Roman"/>
          <w:i/>
          <w:iCs/>
          <w:noProof/>
          <w:sz w:val="24"/>
        </w:rPr>
        <w:t>SIAC)</w:t>
      </w:r>
      <w:r>
        <w:rPr>
          <w:rFonts w:ascii="Times New Roman" w:hAnsi="Times New Roman"/>
          <w:noProof/>
          <w:sz w:val="24"/>
        </w:rPr>
        <w:t xml:space="preserve"> kā vienotu piekļuves punktu dalībvalstu izlūkdatiem, ir ļoti svarīgi draudu novērtēšanai un apkarošanai un galu galā palīdz veidot politiskus un likumdošanas pasākumus</w:t>
      </w:r>
      <w:r w:rsidRPr="000164CE">
        <w:rPr>
          <w:rFonts w:ascii="Times New Roman" w:eastAsia="Times New Roman" w:hAnsi="Times New Roman" w:cs="Times New Roman"/>
          <w:noProof/>
          <w:kern w:val="2"/>
          <w:sz w:val="24"/>
          <w:szCs w:val="24"/>
          <w:vertAlign w:val="superscript"/>
          <w:lang w:val="en-GB"/>
        </w:rPr>
        <w:footnoteReference w:id="8"/>
      </w:r>
      <w:r>
        <w:rPr>
          <w:rFonts w:ascii="Times New Roman" w:hAnsi="Times New Roman"/>
          <w:noProof/>
          <w:sz w:val="24"/>
        </w:rPr>
        <w:t xml:space="preserve">. Mums ir efektīvāk un sadarbīgāk </w:t>
      </w:r>
      <w:r>
        <w:rPr>
          <w:rFonts w:ascii="Times New Roman" w:hAnsi="Times New Roman"/>
          <w:b/>
          <w:noProof/>
          <w:sz w:val="24"/>
        </w:rPr>
        <w:t>jāizmanto uz izlūkdatiem balstīta analīze</w:t>
      </w:r>
      <w:r>
        <w:rPr>
          <w:rFonts w:ascii="Times New Roman" w:hAnsi="Times New Roman"/>
          <w:noProof/>
          <w:sz w:val="24"/>
        </w:rPr>
        <w:t xml:space="preserve"> un </w:t>
      </w:r>
      <w:r>
        <w:rPr>
          <w:rFonts w:ascii="Times New Roman" w:hAnsi="Times New Roman"/>
          <w:b/>
          <w:noProof/>
          <w:sz w:val="24"/>
        </w:rPr>
        <w:t>draudu novērtējumi</w:t>
      </w:r>
      <w:r>
        <w:rPr>
          <w:rFonts w:ascii="Times New Roman" w:hAnsi="Times New Roman"/>
          <w:noProof/>
          <w:sz w:val="24"/>
        </w:rPr>
        <w:t xml:space="preserve"> ES līmenī. </w:t>
      </w:r>
    </w:p>
    <w:p w14:paraId="0E503F45"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color w:val="000000"/>
          <w:sz w:val="24"/>
        </w:rPr>
        <w:t xml:space="preserve">Pamatojoties uz dažādiem </w:t>
      </w:r>
      <w:r>
        <w:rPr>
          <w:rFonts w:ascii="Times New Roman" w:hAnsi="Times New Roman"/>
          <w:noProof/>
          <w:sz w:val="24"/>
        </w:rPr>
        <w:t>riska un draudu novērtējumiem, kas sagatavoti ES līmenī un konkrētās nozarēs</w:t>
      </w:r>
      <w:r w:rsidRPr="000164CE">
        <w:rPr>
          <w:rFonts w:ascii="Times New Roman" w:eastAsia="Times New Roman" w:hAnsi="Times New Roman" w:cs="Times New Roman"/>
          <w:noProof/>
          <w:kern w:val="2"/>
          <w:sz w:val="24"/>
          <w:szCs w:val="24"/>
          <w:vertAlign w:val="superscript"/>
          <w:lang w:val="en-GB"/>
        </w:rPr>
        <w:footnoteReference w:id="9"/>
      </w:r>
      <w:r>
        <w:rPr>
          <w:rFonts w:ascii="Times New Roman" w:hAnsi="Times New Roman"/>
          <w:noProof/>
          <w:sz w:val="24"/>
        </w:rPr>
        <w:t xml:space="preserve">, Komisija </w:t>
      </w:r>
      <w:r>
        <w:rPr>
          <w:rFonts w:ascii="Times New Roman" w:hAnsi="Times New Roman"/>
          <w:b/>
          <w:noProof/>
          <w:sz w:val="24"/>
        </w:rPr>
        <w:t>regulāri sagatavos ES iekšējās drošības apdraudējumu analīzi</w:t>
      </w:r>
      <w:r>
        <w:rPr>
          <w:rFonts w:ascii="Times New Roman" w:hAnsi="Times New Roman"/>
          <w:noProof/>
          <w:sz w:val="24"/>
        </w:rPr>
        <w:t>, lai apzinātu galvenās drošības problēmas nolūkā izgaismot politikas prioritātes. Tas palīdzēs izstrādāt elastīgu un reaģētspējīgu iekšējās drošības politiku, kas efektīvi novērš mainīgos apdraudējumus, labāk aizsargā cilvēkus un uzņēmumus pret uzbrukumiem un ļauj savlaicīgi veikt mērķtiecīgus politikas intervences pasākumus.</w:t>
      </w:r>
      <w:r>
        <w:rPr>
          <w:rFonts w:ascii="Times New Roman" w:hAnsi="Times New Roman"/>
          <w:noProof/>
          <w:color w:val="000000"/>
          <w:sz w:val="24"/>
        </w:rPr>
        <w:t xml:space="preserve"> Šī ES iekšējās drošības apdraudējuma analīze arī palīdzēs veikt </w:t>
      </w:r>
      <w:r>
        <w:rPr>
          <w:rFonts w:ascii="Times New Roman" w:hAnsi="Times New Roman"/>
          <w:b/>
          <w:noProof/>
          <w:color w:val="000000"/>
          <w:sz w:val="24"/>
        </w:rPr>
        <w:t>visaptverošu ES (pārnozaru, visu apdraudējumu) risku un draudu novērtējumu</w:t>
      </w:r>
      <w:r>
        <w:rPr>
          <w:rFonts w:ascii="Times New Roman" w:hAnsi="Times New Roman"/>
          <w:noProof/>
          <w:color w:val="000000"/>
          <w:sz w:val="24"/>
        </w:rPr>
        <w:t xml:space="preserve">, ko izstrādājusi Komisija un Augstais pārstāvis, kā izklāstīts Eiropas sagatavotības savienības stratēģijā.  </w:t>
      </w:r>
    </w:p>
    <w:p w14:paraId="3797ED1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Uzticamībai un drošai apstrādei ir būtiska nozīme informācijas apmaiņā, un tai ir vajadzīga uzticama un droša infrastruktūra. ES iestādēm, struktūrām un aģentūrām ir jānodrošina spēja izmantot </w:t>
      </w:r>
      <w:r>
        <w:rPr>
          <w:rFonts w:ascii="Times New Roman" w:hAnsi="Times New Roman"/>
          <w:b/>
          <w:noProof/>
          <w:sz w:val="24"/>
        </w:rPr>
        <w:t>drošus saziņas kanālus</w:t>
      </w:r>
      <w:r>
        <w:rPr>
          <w:rFonts w:ascii="Times New Roman" w:hAnsi="Times New Roman"/>
          <w:noProof/>
          <w:sz w:val="24"/>
        </w:rPr>
        <w:t xml:space="preserve"> sensitīvas un klasificētas informācijas apmaiņai savā starpā un ar dalībvalstīm. Investīcijas </w:t>
      </w:r>
      <w:r>
        <w:rPr>
          <w:rFonts w:ascii="Times New Roman" w:hAnsi="Times New Roman"/>
          <w:b/>
          <w:noProof/>
          <w:sz w:val="24"/>
        </w:rPr>
        <w:t>sadarbspējīgās drošās sistēmās</w:t>
      </w:r>
      <w:r>
        <w:rPr>
          <w:rFonts w:ascii="Times New Roman" w:hAnsi="Times New Roman"/>
          <w:noProof/>
          <w:sz w:val="24"/>
        </w:rPr>
        <w:t xml:space="preserve"> un uzticamās tehnoloģijās </w:t>
      </w:r>
      <w:r>
        <w:rPr>
          <w:rFonts w:ascii="Times New Roman" w:hAnsi="Times New Roman"/>
          <w:noProof/>
          <w:color w:val="000000"/>
          <w:sz w:val="24"/>
        </w:rPr>
        <w:t>stiprinās ES autonomiju un spēju pārvarēt krīzes un nodrošināt darbības noturību</w:t>
      </w:r>
      <w:r>
        <w:rPr>
          <w:rFonts w:ascii="Times New Roman" w:hAnsi="Times New Roman"/>
          <w:noProof/>
          <w:sz w:val="24"/>
        </w:rPr>
        <w:t xml:space="preserve">. Šajā sakarā Komisija mudina abus likumdevējus pabeigt sarunas par </w:t>
      </w:r>
      <w:r>
        <w:rPr>
          <w:rFonts w:ascii="Times New Roman" w:hAnsi="Times New Roman"/>
          <w:b/>
          <w:noProof/>
          <w:sz w:val="24"/>
        </w:rPr>
        <w:t>ierosināto regulu par informācijas drošību Savienības iestādēs, struktūrās, birojos un aģentūrās</w:t>
      </w:r>
      <w:r>
        <w:rPr>
          <w:rFonts w:ascii="Times New Roman" w:hAnsi="Times New Roman"/>
          <w:noProof/>
          <w:sz w:val="24"/>
        </w:rPr>
        <w:t>, īpaši, lai nodrošinātu vienotu sistēmu sensitīvas neklasificētas un klasificētas informācijas apstrādei</w:t>
      </w:r>
      <w:r w:rsidRPr="000164CE">
        <w:rPr>
          <w:rFonts w:ascii="Times New Roman" w:eastAsia="Times New Roman" w:hAnsi="Times New Roman" w:cs="Times New Roman"/>
          <w:noProof/>
          <w:kern w:val="2"/>
          <w:sz w:val="24"/>
          <w:szCs w:val="24"/>
          <w:vertAlign w:val="superscript"/>
          <w:lang w:val="en-GB"/>
        </w:rPr>
        <w:footnoteReference w:id="10"/>
      </w:r>
      <w:r>
        <w:rPr>
          <w:rFonts w:ascii="Times New Roman" w:hAnsi="Times New Roman"/>
          <w:noProof/>
          <w:sz w:val="24"/>
        </w:rPr>
        <w:t>.</w:t>
      </w:r>
    </w:p>
    <w:p w14:paraId="5A6F7FF1" w14:textId="17CBA885" w:rsidR="000164CE" w:rsidRPr="000164CE" w:rsidRDefault="000164CE" w:rsidP="000164CE">
      <w:pPr>
        <w:spacing w:after="24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Lai nodrošinātu savu darbības drošību un situācijas apzināšanos, Komisija pārskatīs savu korporatīvās drošības pārvaldības sistēmu un izveidos</w:t>
      </w:r>
      <w:r>
        <w:rPr>
          <w:rFonts w:ascii="Times New Roman" w:hAnsi="Times New Roman"/>
          <w:b/>
          <w:noProof/>
          <w:sz w:val="24"/>
        </w:rPr>
        <w:t xml:space="preserve"> Integrētu drošības operāciju centru (</w:t>
      </w:r>
      <w:r>
        <w:rPr>
          <w:rFonts w:ascii="Times New Roman" w:hAnsi="Times New Roman"/>
          <w:b/>
          <w:i/>
          <w:iCs/>
          <w:noProof/>
          <w:sz w:val="24"/>
        </w:rPr>
        <w:t>ISOC</w:t>
      </w:r>
      <w:r>
        <w:rPr>
          <w:rFonts w:ascii="Times New Roman" w:hAnsi="Times New Roman"/>
          <w:b/>
          <w:noProof/>
          <w:sz w:val="24"/>
        </w:rPr>
        <w:t>)</w:t>
      </w:r>
      <w:r>
        <w:rPr>
          <w:rFonts w:ascii="Times New Roman" w:hAnsi="Times New Roman"/>
          <w:noProof/>
          <w:sz w:val="24"/>
        </w:rPr>
        <w:t>, lai aizsargātu cilvēkus, fiziskos aktīvus un darbības visās Komisijas telpās. Komisija arī palielinās savas operatīvās un analītiskās spējas apzināt hibrīddraudus un mazināt tos.</w:t>
      </w:r>
    </w:p>
    <w:p w14:paraId="028C32AC" w14:textId="237BC7C3" w:rsidR="000164CE" w:rsidRPr="000164CE" w:rsidRDefault="006F0DCA" w:rsidP="000A2ACC">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Saskaņā ar Eiropas sagatavotības savienības stratēģiju sagatavotības un drošības apsvērumi tiks integrēti un iekļauti visos ES tiesību aktos, rīcībpolitikās un programmās. Komisija konsekventi noteiks vēlamā politikas risinājuma iespējamo ietekmi uz sagatavotību un drošību, kad tā gatavos vai pārskatīs tiesību aktus, politiku vai programmas, paturot prātā sagatavotības un drošības perspektīvu. Tas tiks nodrošināts ar regulāru apmācību politikas veidotājiem Komisijā.</w:t>
      </w:r>
    </w:p>
    <w:p w14:paraId="57809619" w14:textId="77777777" w:rsidR="000164CE" w:rsidRPr="000164CE" w:rsidRDefault="000164CE" w:rsidP="000A2ACC">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Lai palīdzētu dalībvalstīm, Komisija apspriedīs ar Padomi jaunās iekšējās drošības problēmas un galvenās politikas prioritātes un regulāri sniegs tai jaunāko informāciju par stratēģijas īstenošanu. Turklāt Komisija informēs Eiropas Parlamentu un attiecīgās ieinteresētās personas un iesaistīsies visās attiecīgajās darbībās. </w:t>
      </w:r>
    </w:p>
    <w:tbl>
      <w:tblPr>
        <w:tblStyle w:val="TableGrid"/>
        <w:tblW w:w="9060" w:type="dxa"/>
        <w:tblLayout w:type="fixed"/>
        <w:tblLook w:val="06A0" w:firstRow="1" w:lastRow="0" w:firstColumn="1" w:lastColumn="0" w:noHBand="1" w:noVBand="1"/>
      </w:tblPr>
      <w:tblGrid>
        <w:gridCol w:w="9060"/>
      </w:tblGrid>
      <w:tr w:rsidR="000164CE" w:rsidRPr="000164CE" w14:paraId="1896EB3C" w14:textId="77777777">
        <w:trPr>
          <w:trHeight w:val="1441"/>
        </w:trPr>
        <w:tc>
          <w:tcPr>
            <w:tcW w:w="9060" w:type="dxa"/>
          </w:tcPr>
          <w:p w14:paraId="7B0B1DF7" w14:textId="77777777" w:rsidR="000164CE" w:rsidRPr="000164CE" w:rsidRDefault="000164CE" w:rsidP="000164CE">
            <w:pPr>
              <w:spacing w:after="120"/>
              <w:rPr>
                <w:b/>
                <w:i/>
                <w:noProof/>
                <w:color w:val="000000"/>
              </w:rPr>
            </w:pPr>
            <w:bookmarkStart w:id="4" w:name="_Hlk194324293"/>
            <w:r>
              <w:rPr>
                <w:b/>
                <w:i/>
                <w:noProof/>
                <w:color w:val="000000"/>
              </w:rPr>
              <w:t>Pamatdarbības</w:t>
            </w:r>
          </w:p>
          <w:p w14:paraId="74897840" w14:textId="77777777" w:rsidR="000164CE" w:rsidRPr="000164CE" w:rsidRDefault="000164CE" w:rsidP="000164CE">
            <w:pPr>
              <w:spacing w:after="120"/>
              <w:rPr>
                <w:noProof/>
                <w:color w:val="000000"/>
              </w:rPr>
            </w:pPr>
            <w:r>
              <w:rPr>
                <w:b/>
                <w:noProof/>
                <w:color w:val="000000"/>
              </w:rPr>
              <w:t>Komisija:</w:t>
            </w:r>
          </w:p>
          <w:p w14:paraId="58D72244" w14:textId="6985DEAF" w:rsidR="000164CE" w:rsidRPr="000164CE" w:rsidRDefault="000164CE" w:rsidP="000164CE">
            <w:pPr>
              <w:numPr>
                <w:ilvl w:val="0"/>
                <w:numId w:val="17"/>
              </w:numPr>
              <w:spacing w:after="120"/>
              <w:ind w:left="357" w:hanging="357"/>
              <w:contextualSpacing/>
              <w:jc w:val="both"/>
              <w:rPr>
                <w:b/>
                <w:bCs/>
                <w:noProof/>
              </w:rPr>
            </w:pPr>
            <w:r>
              <w:rPr>
                <w:b/>
                <w:noProof/>
              </w:rPr>
              <w:t>izstrādās un regulāri sniegs draudu analīzi saistībā ar ES iekšējās drošības problēmām</w:t>
            </w:r>
          </w:p>
          <w:p w14:paraId="504A5DA6" w14:textId="77777777" w:rsidR="000164CE" w:rsidRPr="000164CE" w:rsidRDefault="000164CE" w:rsidP="007D1E7C">
            <w:pPr>
              <w:spacing w:before="240" w:after="120"/>
              <w:jc w:val="both"/>
              <w:rPr>
                <w:b/>
                <w:noProof/>
                <w:color w:val="000000"/>
              </w:rPr>
            </w:pPr>
            <w:r>
              <w:rPr>
                <w:b/>
                <w:noProof/>
                <w:color w:val="000000"/>
              </w:rPr>
              <w:t>Dalībvalstis tiek mudinātas:</w:t>
            </w:r>
          </w:p>
          <w:p w14:paraId="4FF78611" w14:textId="6F6F9DFC" w:rsidR="000164CE" w:rsidRPr="00541AFE" w:rsidRDefault="000164CE" w:rsidP="00541AFE">
            <w:pPr>
              <w:numPr>
                <w:ilvl w:val="0"/>
                <w:numId w:val="32"/>
              </w:numPr>
              <w:spacing w:after="120"/>
              <w:ind w:left="310" w:hanging="310"/>
              <w:contextualSpacing/>
              <w:jc w:val="both"/>
              <w:rPr>
                <w:b/>
                <w:noProof/>
                <w:color w:val="000000"/>
              </w:rPr>
            </w:pPr>
            <w:r>
              <w:rPr>
                <w:b/>
                <w:noProof/>
                <w:color w:val="000000"/>
              </w:rPr>
              <w:t xml:space="preserve">uzlabot izlūkdatu apmaiņu ar </w:t>
            </w:r>
            <w:r>
              <w:rPr>
                <w:b/>
                <w:i/>
                <w:iCs/>
                <w:noProof/>
                <w:color w:val="000000"/>
              </w:rPr>
              <w:t>SIAC</w:t>
            </w:r>
            <w:r>
              <w:rPr>
                <w:b/>
                <w:noProof/>
                <w:color w:val="000000"/>
              </w:rPr>
              <w:t xml:space="preserve"> un nodrošināt labāku informācijas apmaiņu ar ES aģentūrām un struktūrām</w:t>
            </w:r>
          </w:p>
          <w:p w14:paraId="65DF0F11" w14:textId="77777777" w:rsidR="000164CE" w:rsidRPr="000164CE" w:rsidRDefault="000164CE" w:rsidP="007D1E7C">
            <w:pPr>
              <w:spacing w:before="240" w:after="120"/>
              <w:jc w:val="both"/>
              <w:rPr>
                <w:b/>
                <w:bCs/>
                <w:noProof/>
                <w:color w:val="000000"/>
              </w:rPr>
            </w:pPr>
            <w:r>
              <w:rPr>
                <w:b/>
                <w:noProof/>
                <w:color w:val="000000"/>
              </w:rPr>
              <w:t xml:space="preserve">Eiropas Parlaments un Padome tiek aicināti: </w:t>
            </w:r>
          </w:p>
          <w:p w14:paraId="3951F7A9" w14:textId="77777777" w:rsidR="000164CE" w:rsidRPr="000164CE" w:rsidRDefault="000164CE" w:rsidP="00484D7A">
            <w:pPr>
              <w:numPr>
                <w:ilvl w:val="0"/>
                <w:numId w:val="17"/>
              </w:numPr>
              <w:spacing w:after="120"/>
              <w:ind w:left="357" w:hanging="357"/>
              <w:contextualSpacing/>
              <w:jc w:val="both"/>
              <w:rPr>
                <w:b/>
                <w:noProof/>
                <w:color w:val="000000"/>
              </w:rPr>
            </w:pPr>
            <w:r>
              <w:rPr>
                <w:b/>
                <w:noProof/>
                <w:color w:val="000000"/>
              </w:rPr>
              <w:t xml:space="preserve">pabeigt </w:t>
            </w:r>
            <w:r>
              <w:rPr>
                <w:b/>
                <w:noProof/>
              </w:rPr>
              <w:t>sarunas</w:t>
            </w:r>
            <w:r>
              <w:rPr>
                <w:b/>
                <w:noProof/>
                <w:color w:val="000000"/>
              </w:rPr>
              <w:t xml:space="preserve"> par ierosināto regulu par informācijas drošību Savienības iestādēs, struktūrās, birojos un aģentūrās</w:t>
            </w:r>
          </w:p>
        </w:tc>
      </w:tr>
    </w:tbl>
    <w:bookmarkEnd w:id="4"/>
    <w:p w14:paraId="70CB124B"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14:ligatures w14:val="standardContextual"/>
        </w:rPr>
      </w:pPr>
      <w:r>
        <w:rPr>
          <w:rFonts w:ascii="Times New Roman" w:hAnsi="Times New Roman"/>
          <w:b/>
          <w:noProof/>
          <w:sz w:val="24"/>
        </w:rPr>
        <w:t>Pastiprinātas ES drošības spējas</w:t>
      </w:r>
    </w:p>
    <w:p w14:paraId="3989BB9C" w14:textId="77777777" w:rsidR="000164CE" w:rsidRPr="000164CE" w:rsidRDefault="000164CE" w:rsidP="000164C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iCs/>
          <w:noProof/>
          <w:color w:val="000000"/>
          <w:kern w:val="2"/>
          <w:sz w:val="24"/>
          <w:szCs w:val="24"/>
          <w14:ligatures w14:val="standardContextual"/>
        </w:rPr>
      </w:pPr>
      <w:r>
        <w:rPr>
          <w:rFonts w:ascii="Times New Roman" w:hAnsi="Times New Roman"/>
          <w:i/>
          <w:noProof/>
          <w:color w:val="000000"/>
          <w:sz w:val="24"/>
        </w:rPr>
        <w:t xml:space="preserve">Mēs izstrādāsim jaunus tiesībaizsardzības instrumentus, piemēram, pārveidotu Eiropolu, un labākus līdzekļus, lai koordinētu un nodrošinātu drošu datu apmaiņu un likumīgu piekļuvi datiem. </w:t>
      </w:r>
    </w:p>
    <w:p w14:paraId="73EF2CF4" w14:textId="77777777" w:rsidR="000164CE" w:rsidRPr="000164CE" w:rsidRDefault="000164CE" w:rsidP="000164CE">
      <w:pPr>
        <w:spacing w:before="120"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Lai efektīvi vērstos pret jauniem apdraudējumiem, ES ir jāuzlabo savas drošības spējas un jāveicina inovācija. Tiesībaizsardzības un tiesu iestādēm kā galvenajiem dalībniekiem, kas vēršas pret iekšējās drošības apdraudējumiem, ir vajadzīgi pareizi operatīvie instrumenti un spējas, lai ātri un efektīvi rīkotos. Ir svarīgi, lai šīs iestādes varētu sazināties un koordinēt darbību pāri robežām un starp dienestiem, lai rezultatīvi novērstu, atklātu, izmeklētu un sauktu pie atbildības.</w:t>
      </w:r>
    </w:p>
    <w:p w14:paraId="399C9250"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ES iekšējās drošības aģentūras un struktūras</w:t>
      </w:r>
    </w:p>
    <w:p w14:paraId="46A5E2B3" w14:textId="77777777" w:rsidR="000164CE" w:rsidRPr="000164CE" w:rsidRDefault="000164CE" w:rsidP="000A2ACC">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ES aģentūrām un struktūrām tieslietu, iekšlietu un kiberdrošības jomā ir būtiska loma drošības arhitektūrā, un šī loma turpina palielināties, paplašinoties to pienākumiem.</w:t>
      </w:r>
    </w:p>
    <w:p w14:paraId="64F6CC7C" w14:textId="57CDCDB0" w:rsidR="000164CE" w:rsidRPr="000164CE" w:rsidRDefault="000164CE" w:rsidP="000A2ACC">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Tagad – 25 gadus pēc </w:t>
      </w:r>
      <w:r>
        <w:rPr>
          <w:rFonts w:ascii="Times New Roman" w:hAnsi="Times New Roman"/>
          <w:b/>
          <w:noProof/>
          <w:color w:val="000000"/>
          <w:sz w:val="24"/>
        </w:rPr>
        <w:t>Eiropola</w:t>
      </w:r>
      <w:r>
        <w:rPr>
          <w:rFonts w:ascii="Times New Roman" w:hAnsi="Times New Roman"/>
          <w:noProof/>
          <w:color w:val="000000"/>
          <w:sz w:val="24"/>
        </w:rPr>
        <w:t xml:space="preserve"> izveidošanas tas ir kļuvis par vēl svarīgāku ES drošības sistēmas daļu. Tas palīdz veikt sarežģītas pārrobežu izmeklēšanas, atvieglo informācijas apmaiņu, izstrādā inovatīvus policijas darbības rīkus un nodrošina padziļinātas speciālās zināšanas tiesībaizsardzības jomā. Tomēr vairāki faktori neļauj Eiropolam pilnībā izmantot savu operatīvo potenciālu, lai atbalstītu izmeklēšanas un operatīvās darbības pārrobežu noziedzības apkarošanai – to skaitā ir gan nepietiekams resursu līmenis, gan tas, ka Eiropola pašreizējās pilnvaras neattiecas uz jauniem drošības apdraudējumiem, piemēram, sabotāžu, hibrīddraudiem vai manipulācijām ar informāciju. Tāpēc Komisija ierosinās </w:t>
      </w:r>
      <w:r>
        <w:rPr>
          <w:rFonts w:ascii="Times New Roman" w:hAnsi="Times New Roman"/>
          <w:b/>
          <w:noProof/>
          <w:color w:val="000000"/>
          <w:sz w:val="24"/>
        </w:rPr>
        <w:t>vērienīgu Eiropola pilnvaru pārskatīšanu</w:t>
      </w:r>
      <w:r>
        <w:rPr>
          <w:rFonts w:ascii="Times New Roman" w:hAnsi="Times New Roman"/>
          <w:noProof/>
          <w:color w:val="000000"/>
          <w:sz w:val="24"/>
        </w:rPr>
        <w:t xml:space="preserve">, lai to pārveidotu par patiesi funkcionējošu policijas aģentūru, kas labāk atbalstītu dalībvalstis. Mērķis ir stiprināt Eiropola tehnoloģisko kompetenci un spējas atbalstīt valstu tiesībaizsardzības iestādes, uzlabot koordināciju ar citām aģentūrām un struktūrām, kā arī ar dalībvalstīm, stiprināt stratēģiskās partnerības ar partnervalstīm un privāto sektoru un nodrošināt pastiprinātu Eiropola pārraudzību.  </w:t>
      </w:r>
    </w:p>
    <w:p w14:paraId="6B0F9A9E" w14:textId="0D58CD61"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Turklāt Komisija strādās, lai vēl vairāk </w:t>
      </w:r>
      <w:r>
        <w:rPr>
          <w:rFonts w:ascii="Times New Roman" w:hAnsi="Times New Roman"/>
          <w:b/>
          <w:noProof/>
          <w:color w:val="000000"/>
          <w:sz w:val="24"/>
        </w:rPr>
        <w:t xml:space="preserve">uzlabotu ES iekšējās drošības aģentūru un struktūru efektivitāti un papildināmību un stiprinātu netraucētu sadarbību </w:t>
      </w:r>
      <w:r>
        <w:rPr>
          <w:rFonts w:ascii="Times New Roman" w:hAnsi="Times New Roman"/>
          <w:noProof/>
          <w:color w:val="000000"/>
          <w:sz w:val="24"/>
        </w:rPr>
        <w:t xml:space="preserve">starp tām. </w:t>
      </w:r>
    </w:p>
    <w:p w14:paraId="5E51DE38" w14:textId="22CBC00E" w:rsidR="00506156" w:rsidRPr="00506156" w:rsidRDefault="000164CE" w:rsidP="00506156">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i/>
          <w:iCs/>
          <w:noProof/>
          <w:color w:val="000000"/>
          <w:sz w:val="24"/>
        </w:rPr>
        <w:t>Eurojust</w:t>
      </w:r>
      <w:r>
        <w:rPr>
          <w:rFonts w:ascii="Times New Roman" w:hAnsi="Times New Roman"/>
          <w:noProof/>
          <w:color w:val="000000"/>
          <w:sz w:val="24"/>
        </w:rPr>
        <w:t xml:space="preserve"> pilnvaras tiks novērtētas un pastiprinātas rezultatīvākai tiesu iestāžu sadarbībai, lai uzlabotu papildināmību un sadarbību ar Eiropolu. Tas ietver </w:t>
      </w:r>
      <w:r>
        <w:rPr>
          <w:rFonts w:ascii="Times New Roman" w:hAnsi="Times New Roman"/>
          <w:i/>
          <w:iCs/>
          <w:noProof/>
          <w:color w:val="000000"/>
          <w:sz w:val="24"/>
        </w:rPr>
        <w:t>Eurojust</w:t>
      </w:r>
      <w:r>
        <w:rPr>
          <w:rFonts w:ascii="Times New Roman" w:hAnsi="Times New Roman"/>
          <w:noProof/>
          <w:color w:val="000000"/>
          <w:sz w:val="24"/>
        </w:rPr>
        <w:t xml:space="preserve"> efektivitātes uzlabošanu, kā arī tā spēju sniegt proaktīvu atbalstu un analīzi dalībvalstu tiesu iestādēm. Turklāt, ņemot vērā </w:t>
      </w:r>
      <w:r>
        <w:rPr>
          <w:rFonts w:ascii="Times New Roman" w:hAnsi="Times New Roman"/>
          <w:b/>
          <w:i/>
          <w:iCs/>
          <w:noProof/>
          <w:color w:val="000000"/>
          <w:sz w:val="24"/>
        </w:rPr>
        <w:t>EPPO</w:t>
      </w:r>
      <w:r>
        <w:rPr>
          <w:rFonts w:ascii="Times New Roman" w:hAnsi="Times New Roman"/>
          <w:noProof/>
          <w:color w:val="000000"/>
          <w:sz w:val="24"/>
        </w:rPr>
        <w:t xml:space="preserve"> unikālo kompetenci izmeklēt noziegumus, kas skar Savienības finanšu intereses, un saukt pie atbildības par tiem, Komisija apsvērs, kā vislabāk uzlabot </w:t>
      </w:r>
      <w:r>
        <w:rPr>
          <w:rFonts w:ascii="Times New Roman" w:hAnsi="Times New Roman"/>
          <w:i/>
          <w:iCs/>
          <w:noProof/>
          <w:color w:val="000000"/>
          <w:sz w:val="24"/>
        </w:rPr>
        <w:t>EPPO</w:t>
      </w:r>
      <w:r>
        <w:rPr>
          <w:rFonts w:ascii="Times New Roman" w:hAnsi="Times New Roman"/>
          <w:noProof/>
          <w:color w:val="000000"/>
          <w:sz w:val="24"/>
        </w:rPr>
        <w:t xml:space="preserve"> spēju aizsargāt Savienības līdzekļus. Tas ietvers </w:t>
      </w:r>
      <w:r>
        <w:rPr>
          <w:rFonts w:ascii="Times New Roman" w:hAnsi="Times New Roman"/>
          <w:i/>
          <w:iCs/>
          <w:noProof/>
          <w:color w:val="000000"/>
          <w:sz w:val="24"/>
        </w:rPr>
        <w:t>EPPO</w:t>
      </w:r>
      <w:r>
        <w:rPr>
          <w:rFonts w:ascii="Times New Roman" w:hAnsi="Times New Roman"/>
          <w:noProof/>
          <w:color w:val="000000"/>
          <w:sz w:val="24"/>
        </w:rPr>
        <w:t xml:space="preserve"> un Eiropola sadarbības stiprināšanu. </w:t>
      </w:r>
      <w:bookmarkStart w:id="5" w:name="_Hlk193895238"/>
    </w:p>
    <w:bookmarkEnd w:id="5"/>
    <w:p w14:paraId="62B20D24" w14:textId="49CE3E05" w:rsidR="000164CE" w:rsidRPr="000164CE" w:rsidRDefault="000164CE" w:rsidP="000164CE">
      <w:pPr>
        <w:spacing w:after="120" w:line="240" w:lineRule="auto"/>
        <w:jc w:val="both"/>
        <w:rPr>
          <w:rFonts w:ascii="Times New Roman" w:eastAsia="Calibri" w:hAnsi="Times New Roman" w:cs="Times New Roman"/>
          <w:noProof/>
          <w:kern w:val="2"/>
          <w14:ligatures w14:val="standardContextual"/>
        </w:rPr>
      </w:pPr>
      <w:r>
        <w:rPr>
          <w:rFonts w:ascii="Times New Roman" w:hAnsi="Times New Roman"/>
          <w:b/>
          <w:noProof/>
          <w:color w:val="000000"/>
          <w:sz w:val="24"/>
        </w:rPr>
        <w:t>Efektīvai un drošai informācijas apmaiņai starp aģentūrām</w:t>
      </w:r>
      <w:r>
        <w:rPr>
          <w:rFonts w:ascii="Times New Roman" w:hAnsi="Times New Roman"/>
          <w:noProof/>
          <w:color w:val="000000"/>
          <w:sz w:val="24"/>
        </w:rPr>
        <w:t xml:space="preserve"> ir izšķiroša nozīme sadarbībā. Eiropolam un </w:t>
      </w:r>
      <w:r>
        <w:rPr>
          <w:rFonts w:ascii="Times New Roman" w:hAnsi="Times New Roman"/>
          <w:i/>
          <w:iCs/>
          <w:noProof/>
          <w:color w:val="000000"/>
          <w:sz w:val="24"/>
        </w:rPr>
        <w:t>Frontex</w:t>
      </w:r>
      <w:r>
        <w:rPr>
          <w:rFonts w:ascii="Times New Roman" w:hAnsi="Times New Roman"/>
          <w:noProof/>
          <w:color w:val="000000"/>
          <w:sz w:val="24"/>
        </w:rPr>
        <w:t xml:space="preserve"> ir vajadzīga ātra savstarpēja informācijas apmaiņa, arī operatīvos nolūkos, pēc 2024. gada janvāra kopīgā paziņojuma</w:t>
      </w:r>
      <w:r w:rsidRPr="000164CE">
        <w:rPr>
          <w:rFonts w:ascii="Times New Roman" w:eastAsia="Times New Roman" w:hAnsi="Times New Roman" w:cs="Times New Roman"/>
          <w:noProof/>
          <w:color w:val="000000"/>
          <w:kern w:val="2"/>
          <w:sz w:val="24"/>
          <w:szCs w:val="24"/>
          <w:vertAlign w:val="superscript"/>
          <w:lang w:val="en-GB"/>
        </w:rPr>
        <w:footnoteReference w:id="11"/>
      </w:r>
      <w:r>
        <w:rPr>
          <w:rFonts w:ascii="Times New Roman" w:hAnsi="Times New Roman"/>
          <w:noProof/>
          <w:color w:val="000000"/>
          <w:sz w:val="24"/>
        </w:rPr>
        <w:t>. Aģentūrai</w:t>
      </w:r>
      <w:r>
        <w:rPr>
          <w:rFonts w:ascii="Times New Roman" w:hAnsi="Times New Roman"/>
          <w:b/>
          <w:noProof/>
          <w:color w:val="000000"/>
          <w:sz w:val="24"/>
        </w:rPr>
        <w:t xml:space="preserve"> </w:t>
      </w:r>
      <w:r>
        <w:rPr>
          <w:rFonts w:ascii="Times New Roman" w:hAnsi="Times New Roman"/>
          <w:b/>
          <w:i/>
          <w:iCs/>
          <w:noProof/>
          <w:color w:val="000000"/>
          <w:sz w:val="24"/>
        </w:rPr>
        <w:t>eu-LISA</w:t>
      </w:r>
      <w:r>
        <w:rPr>
          <w:rFonts w:ascii="Times New Roman" w:hAnsi="Times New Roman"/>
          <w:noProof/>
          <w:color w:val="000000"/>
          <w:sz w:val="24"/>
        </w:rPr>
        <w:t xml:space="preserve"> ir centrāla loma datu drošas glabāšanas un pieejamības nodrošināšanā, lai panāktu labāku koordināciju un efektīvāku informācijas apmaiņu starp aģentūrām. </w:t>
      </w:r>
      <w:r>
        <w:rPr>
          <w:rFonts w:ascii="Times New Roman" w:hAnsi="Times New Roman"/>
          <w:b/>
          <w:noProof/>
          <w:color w:val="000000"/>
          <w:sz w:val="24"/>
        </w:rPr>
        <w:t>ES Pamattiesību aģentūra</w:t>
      </w:r>
      <w:r>
        <w:rPr>
          <w:rFonts w:ascii="Times New Roman" w:hAnsi="Times New Roman"/>
          <w:noProof/>
          <w:color w:val="000000"/>
          <w:sz w:val="24"/>
        </w:rPr>
        <w:t xml:space="preserve"> sniedz speciālās zināšanas par pamattiesību aizsardzību drošības politikas izstrādē un īstenošanā.</w:t>
      </w:r>
    </w:p>
    <w:p w14:paraId="63AF149D"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noProof/>
          <w:color w:val="000000"/>
          <w:sz w:val="24"/>
        </w:rPr>
        <w:t>ES Iestādei nelikumīgi iegūtu līdzekļu legalizēšanas novēršanai (</w:t>
      </w:r>
      <w:r>
        <w:rPr>
          <w:rFonts w:ascii="Times New Roman" w:hAnsi="Times New Roman"/>
          <w:b/>
          <w:i/>
          <w:iCs/>
          <w:noProof/>
          <w:color w:val="000000"/>
          <w:sz w:val="24"/>
        </w:rPr>
        <w:t>AMLA</w:t>
      </w:r>
      <w:r>
        <w:rPr>
          <w:rFonts w:ascii="Times New Roman" w:hAnsi="Times New Roman"/>
          <w:b/>
          <w:noProof/>
          <w:color w:val="000000"/>
          <w:sz w:val="24"/>
        </w:rPr>
        <w:t>)</w:t>
      </w:r>
      <w:r>
        <w:rPr>
          <w:rFonts w:ascii="Times New Roman" w:hAnsi="Times New Roman"/>
          <w:noProof/>
          <w:color w:val="000000"/>
          <w:sz w:val="24"/>
        </w:rPr>
        <w:t xml:space="preserve"> ir piešķirtas pilnvaras salīdzināt informāciju, pamatojoties uz sakritības/nesakritības principu, ar to informāciju, ko ir sniedzis Eiropols, </w:t>
      </w:r>
      <w:r>
        <w:rPr>
          <w:rFonts w:ascii="Times New Roman" w:hAnsi="Times New Roman"/>
          <w:i/>
          <w:iCs/>
          <w:noProof/>
          <w:color w:val="000000"/>
          <w:sz w:val="24"/>
        </w:rPr>
        <w:t>EPPO</w:t>
      </w:r>
      <w:r>
        <w:rPr>
          <w:rFonts w:ascii="Times New Roman" w:hAnsi="Times New Roman"/>
          <w:noProof/>
          <w:color w:val="000000"/>
          <w:sz w:val="24"/>
        </w:rPr>
        <w:t xml:space="preserve">, </w:t>
      </w:r>
      <w:r>
        <w:rPr>
          <w:rFonts w:ascii="Times New Roman" w:hAnsi="Times New Roman"/>
          <w:i/>
          <w:iCs/>
          <w:noProof/>
          <w:color w:val="000000"/>
          <w:sz w:val="24"/>
        </w:rPr>
        <w:t>Eurojust</w:t>
      </w:r>
      <w:r>
        <w:rPr>
          <w:rFonts w:ascii="Times New Roman" w:hAnsi="Times New Roman"/>
          <w:noProof/>
          <w:color w:val="000000"/>
          <w:sz w:val="24"/>
        </w:rPr>
        <w:t xml:space="preserve"> un ES Birojs krāpšanas apkarošanai, lai veiktu pārrobežu lietu kopīgu analīzi. </w:t>
      </w:r>
    </w:p>
    <w:p w14:paraId="4EB6B283"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i/>
          <w:iCs/>
          <w:noProof/>
          <w:sz w:val="24"/>
        </w:rPr>
        <w:t>ENISA</w:t>
      </w:r>
      <w:r>
        <w:rPr>
          <w:rFonts w:ascii="Times New Roman" w:hAnsi="Times New Roman"/>
          <w:noProof/>
          <w:sz w:val="24"/>
        </w:rPr>
        <w:t xml:space="preserve"> ir centrāla loma Eiropas kiberdrošības tiesību aktu īstenošanā. Gaidāmajā </w:t>
      </w:r>
      <w:r>
        <w:rPr>
          <w:rFonts w:ascii="Times New Roman" w:hAnsi="Times New Roman"/>
          <w:b/>
          <w:noProof/>
          <w:sz w:val="24"/>
        </w:rPr>
        <w:t>Kiberdrošības akta</w:t>
      </w:r>
      <w:r>
        <w:rPr>
          <w:rFonts w:ascii="Times New Roman" w:hAnsi="Times New Roman"/>
          <w:noProof/>
          <w:sz w:val="24"/>
        </w:rPr>
        <w:t xml:space="preserve"> </w:t>
      </w:r>
      <w:r>
        <w:rPr>
          <w:rFonts w:ascii="Times New Roman" w:hAnsi="Times New Roman"/>
          <w:b/>
          <w:bCs/>
          <w:noProof/>
          <w:sz w:val="24"/>
        </w:rPr>
        <w:t>pārskatīšanā</w:t>
      </w:r>
      <w:r>
        <w:rPr>
          <w:rFonts w:ascii="Times New Roman" w:hAnsi="Times New Roman"/>
          <w:noProof/>
          <w:sz w:val="24"/>
        </w:rPr>
        <w:t xml:space="preserve"> Komisija izvērtēs savas pilnvaras un ierosinās to modernizēt, lai stiprinātu tā ES pievienoto vērtību. </w:t>
      </w:r>
    </w:p>
    <w:p w14:paraId="51EB1F82" w14:textId="704D3CA2" w:rsidR="000164CE" w:rsidRDefault="002F0B48"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Sadarbība starp muitu un citām tiesībaizsardzības iestādēm tiks pastiprināta, ES Muitas reformas paketes ietvaros ierosinot izveidot </w:t>
      </w:r>
      <w:r>
        <w:rPr>
          <w:rFonts w:ascii="Times New Roman" w:hAnsi="Times New Roman"/>
          <w:b/>
          <w:noProof/>
          <w:color w:val="000000"/>
          <w:sz w:val="24"/>
        </w:rPr>
        <w:t>ES Muitas dienestu</w:t>
      </w:r>
      <w:r>
        <w:rPr>
          <w:rFonts w:ascii="Times New Roman" w:hAnsi="Times New Roman"/>
          <w:noProof/>
          <w:color w:val="000000"/>
          <w:sz w:val="24"/>
        </w:rPr>
        <w:t xml:space="preserve"> un </w:t>
      </w:r>
      <w:r>
        <w:rPr>
          <w:rFonts w:ascii="Times New Roman" w:hAnsi="Times New Roman"/>
          <w:b/>
          <w:noProof/>
          <w:color w:val="000000"/>
          <w:sz w:val="24"/>
        </w:rPr>
        <w:t>ES muitas datu centru</w:t>
      </w:r>
      <w:r>
        <w:rPr>
          <w:rFonts w:ascii="Times New Roman" w:hAnsi="Times New Roman"/>
          <w:noProof/>
          <w:color w:val="000000"/>
          <w:sz w:val="24"/>
        </w:rPr>
        <w:t xml:space="preserve">. Informācija no topošā centra un saistītie dati no Eiropola, </w:t>
      </w:r>
      <w:r>
        <w:rPr>
          <w:rFonts w:ascii="Times New Roman" w:hAnsi="Times New Roman"/>
          <w:i/>
          <w:iCs/>
          <w:noProof/>
          <w:color w:val="000000"/>
          <w:sz w:val="24"/>
        </w:rPr>
        <w:t>Eurojust,</w:t>
      </w:r>
      <w:r>
        <w:rPr>
          <w:rFonts w:ascii="Times New Roman" w:hAnsi="Times New Roman"/>
          <w:noProof/>
          <w:color w:val="000000"/>
          <w:sz w:val="24"/>
        </w:rPr>
        <w:t xml:space="preserve"> </w:t>
      </w:r>
      <w:r>
        <w:rPr>
          <w:rFonts w:ascii="Times New Roman" w:hAnsi="Times New Roman"/>
          <w:i/>
          <w:iCs/>
          <w:noProof/>
          <w:color w:val="000000"/>
          <w:sz w:val="24"/>
        </w:rPr>
        <w:t>EPPO</w:t>
      </w:r>
      <w:r>
        <w:rPr>
          <w:rFonts w:ascii="Times New Roman" w:hAnsi="Times New Roman"/>
          <w:noProof/>
          <w:color w:val="000000"/>
          <w:sz w:val="24"/>
        </w:rPr>
        <w:t xml:space="preserve">, </w:t>
      </w:r>
      <w:r>
        <w:rPr>
          <w:rFonts w:ascii="Times New Roman" w:hAnsi="Times New Roman"/>
          <w:i/>
          <w:iCs/>
          <w:noProof/>
          <w:color w:val="000000"/>
          <w:sz w:val="24"/>
        </w:rPr>
        <w:t>OLAF</w:t>
      </w:r>
      <w:r>
        <w:rPr>
          <w:rFonts w:ascii="Times New Roman" w:hAnsi="Times New Roman"/>
          <w:noProof/>
          <w:color w:val="000000"/>
          <w:sz w:val="24"/>
        </w:rPr>
        <w:t xml:space="preserve">, </w:t>
      </w:r>
      <w:r>
        <w:rPr>
          <w:rFonts w:ascii="Times New Roman" w:hAnsi="Times New Roman"/>
          <w:i/>
          <w:iCs/>
          <w:noProof/>
          <w:color w:val="000000"/>
          <w:sz w:val="24"/>
        </w:rPr>
        <w:t>AMLA</w:t>
      </w:r>
      <w:r>
        <w:rPr>
          <w:rFonts w:ascii="Times New Roman" w:hAnsi="Times New Roman"/>
          <w:noProof/>
          <w:color w:val="000000"/>
          <w:sz w:val="24"/>
        </w:rPr>
        <w:t xml:space="preserve"> un </w:t>
      </w:r>
      <w:r>
        <w:rPr>
          <w:rFonts w:ascii="Times New Roman" w:hAnsi="Times New Roman"/>
          <w:i/>
          <w:iCs/>
          <w:noProof/>
          <w:color w:val="000000"/>
          <w:sz w:val="24"/>
        </w:rPr>
        <w:t>Frontex</w:t>
      </w:r>
      <w:r>
        <w:rPr>
          <w:rFonts w:ascii="Times New Roman" w:hAnsi="Times New Roman"/>
          <w:noProof/>
          <w:color w:val="000000"/>
          <w:sz w:val="24"/>
        </w:rPr>
        <w:t xml:space="preserve"> to attiecīgās kompetences ietvaros uzlabos kopīgu analīzi un veicinās saskaņotākas operatīvās darbības, īpaši pie ārējām robežām. Komisija mudina abus likumdevējus ātri pabeigt sarunas par ES muitas reformu un turpinās tiem palīdzēt šajā nolūkā.</w:t>
      </w:r>
    </w:p>
    <w:p w14:paraId="63EE5A7B" w14:textId="44C3482C" w:rsidR="00BA452C" w:rsidRPr="000164CE" w:rsidRDefault="00CA6FF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Papildināmības uzlabošana starp </w:t>
      </w:r>
      <w:r>
        <w:rPr>
          <w:rFonts w:ascii="Times New Roman" w:hAnsi="Times New Roman"/>
          <w:i/>
          <w:iCs/>
          <w:noProof/>
          <w:color w:val="000000"/>
          <w:sz w:val="24"/>
        </w:rPr>
        <w:t>EPPO</w:t>
      </w:r>
      <w:r>
        <w:rPr>
          <w:rFonts w:ascii="Times New Roman" w:hAnsi="Times New Roman"/>
          <w:noProof/>
          <w:color w:val="000000"/>
          <w:sz w:val="24"/>
        </w:rPr>
        <w:t xml:space="preserve">, </w:t>
      </w:r>
      <w:r>
        <w:rPr>
          <w:rFonts w:ascii="Times New Roman" w:hAnsi="Times New Roman"/>
          <w:i/>
          <w:iCs/>
          <w:noProof/>
          <w:color w:val="000000"/>
          <w:sz w:val="24"/>
        </w:rPr>
        <w:t>OLAF</w:t>
      </w:r>
      <w:r>
        <w:rPr>
          <w:rFonts w:ascii="Times New Roman" w:hAnsi="Times New Roman"/>
          <w:noProof/>
          <w:color w:val="000000"/>
          <w:sz w:val="24"/>
        </w:rPr>
        <w:t xml:space="preserve">, Eiropolu, </w:t>
      </w:r>
      <w:r>
        <w:rPr>
          <w:rFonts w:ascii="Times New Roman" w:hAnsi="Times New Roman"/>
          <w:i/>
          <w:iCs/>
          <w:noProof/>
          <w:color w:val="000000"/>
          <w:sz w:val="24"/>
        </w:rPr>
        <w:t>Eurojust</w:t>
      </w:r>
      <w:r>
        <w:rPr>
          <w:rFonts w:ascii="Times New Roman" w:hAnsi="Times New Roman"/>
          <w:noProof/>
          <w:color w:val="000000"/>
          <w:sz w:val="24"/>
        </w:rPr>
        <w:t xml:space="preserve">, </w:t>
      </w:r>
      <w:r>
        <w:rPr>
          <w:rFonts w:ascii="Times New Roman" w:hAnsi="Times New Roman"/>
          <w:i/>
          <w:iCs/>
          <w:noProof/>
          <w:color w:val="000000"/>
          <w:sz w:val="24"/>
        </w:rPr>
        <w:t>AMLA</w:t>
      </w:r>
      <w:r>
        <w:rPr>
          <w:rFonts w:ascii="Times New Roman" w:hAnsi="Times New Roman"/>
          <w:noProof/>
          <w:color w:val="000000"/>
          <w:sz w:val="24"/>
        </w:rPr>
        <w:t xml:space="preserve"> un ierosināto ES Muitas dienestu balstīsies arī uz pašlaik notiekošās </w:t>
      </w:r>
      <w:r>
        <w:rPr>
          <w:rFonts w:ascii="Times New Roman" w:hAnsi="Times New Roman"/>
          <w:b/>
          <w:noProof/>
          <w:color w:val="000000"/>
          <w:sz w:val="24"/>
        </w:rPr>
        <w:t>ES krāpšanas apkarošanas arhitektūras</w:t>
      </w:r>
      <w:r>
        <w:rPr>
          <w:rFonts w:ascii="Times New Roman" w:hAnsi="Times New Roman"/>
          <w:noProof/>
          <w:color w:val="000000"/>
          <w:sz w:val="24"/>
        </w:rPr>
        <w:t xml:space="preserve"> pārskatīšanas rezultātiem. Iekšējā drošība var gūt labumu no šīs holistiskās pieejas, ko var panākt, galveno uzmanību pievēršot gan krimināltiesību, gan administratīvo līdzekļu labākai izmantošanai, IT sistēmu sadarbspējai un uzlabotai sadarbībai.</w:t>
      </w:r>
    </w:p>
    <w:p w14:paraId="4424A8D9"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Kritisko sakaru sistēma </w:t>
      </w:r>
    </w:p>
    <w:p w14:paraId="4D6E78E1"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Mūsdienās </w:t>
      </w:r>
      <w:r>
        <w:rPr>
          <w:rFonts w:ascii="Times New Roman" w:hAnsi="Times New Roman"/>
          <w:b/>
          <w:noProof/>
          <w:color w:val="000000"/>
          <w:sz w:val="24"/>
        </w:rPr>
        <w:t>kritisko sakaru sistēmas</w:t>
      </w:r>
      <w:r w:rsidRPr="000164CE">
        <w:rPr>
          <w:rFonts w:ascii="Times New Roman" w:eastAsia="Times New Roman" w:hAnsi="Times New Roman" w:cs="Times New Roman"/>
          <w:noProof/>
          <w:color w:val="000000"/>
          <w:kern w:val="2"/>
          <w:sz w:val="24"/>
          <w:szCs w:val="24"/>
          <w:vertAlign w:val="superscript"/>
          <w:lang w:val="en-GB"/>
        </w:rPr>
        <w:footnoteReference w:id="12"/>
      </w:r>
      <w:r>
        <w:rPr>
          <w:rFonts w:ascii="Times New Roman" w:hAnsi="Times New Roman"/>
          <w:noProof/>
          <w:color w:val="000000"/>
          <w:sz w:val="24"/>
        </w:rPr>
        <w:t xml:space="preserve"> lielākoties tiek ekspluatētas izolēti valsts līmenī. Tas nozīmē, ka ātrās reaģēšanas dienestu pārstāvji bieži vien nevar sazināties ar saviem kolēģiem, ja šķērso robežu ar citām dalībvalstīm. Dažās dalībvalstīs pastāv arī ierobežojumi saziņai starp dažādiem ātrās reaģēšanas dienestu veidiem (piemēram, policijas un neatliekamās medicīniskās palīdzības dienestiem). Lielākās daļas sistēmu standarti </w:t>
      </w:r>
      <w:r>
        <w:rPr>
          <w:rFonts w:ascii="Times New Roman" w:hAnsi="Times New Roman"/>
          <w:noProof/>
          <w:sz w:val="24"/>
        </w:rPr>
        <w:t>neatbilst mūsdienu prasībām attiecībā uz funkcionalitāti un noturību</w:t>
      </w:r>
      <w:r>
        <w:rPr>
          <w:rFonts w:ascii="Times New Roman" w:hAnsi="Times New Roman"/>
          <w:noProof/>
          <w:color w:val="000000"/>
          <w:sz w:val="24"/>
        </w:rPr>
        <w:t xml:space="preserve">, un tas ievērojami ierobežo ātrās reaģēšanas dienestu reaģēšanas spējas, īpaši pāri robežām. </w:t>
      </w:r>
    </w:p>
    <w:p w14:paraId="222026BB" w14:textId="188C73D0"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Lai uzlabotu ES spēju reaģēt uz krīzēm, Komisija ierosinās tiesību aktus, lai izveidotu</w:t>
      </w:r>
      <w:r>
        <w:rPr>
          <w:rFonts w:ascii="Times New Roman" w:hAnsi="Times New Roman"/>
          <w:noProof/>
          <w:sz w:val="24"/>
        </w:rPr>
        <w:t xml:space="preserve"> </w:t>
      </w:r>
      <w:r>
        <w:rPr>
          <w:rFonts w:ascii="Times New Roman" w:hAnsi="Times New Roman"/>
          <w:b/>
          <w:noProof/>
          <w:color w:val="000000"/>
          <w:sz w:val="24"/>
        </w:rPr>
        <w:t>Eiropas kritisko sakaru sistēmu (</w:t>
      </w:r>
      <w:r>
        <w:rPr>
          <w:rFonts w:ascii="Times New Roman" w:hAnsi="Times New Roman"/>
          <w:b/>
          <w:i/>
          <w:iCs/>
          <w:noProof/>
          <w:color w:val="000000"/>
          <w:sz w:val="24"/>
        </w:rPr>
        <w:t>EUCCS</w:t>
      </w:r>
      <w:r>
        <w:rPr>
          <w:rFonts w:ascii="Times New Roman" w:hAnsi="Times New Roman"/>
          <w:b/>
          <w:noProof/>
          <w:color w:val="000000"/>
          <w:sz w:val="24"/>
        </w:rPr>
        <w:t>)</w:t>
      </w:r>
      <w:r>
        <w:rPr>
          <w:rFonts w:ascii="Times New Roman" w:hAnsi="Times New Roman"/>
          <w:noProof/>
          <w:color w:val="000000"/>
          <w:sz w:val="24"/>
        </w:rPr>
        <w:t>,</w:t>
      </w:r>
      <w:r>
        <w:rPr>
          <w:rFonts w:ascii="Times New Roman" w:hAnsi="Times New Roman"/>
          <w:noProof/>
          <w:sz w:val="24"/>
        </w:rPr>
        <w:t xml:space="preserve"> kas savienotu </w:t>
      </w:r>
      <w:r>
        <w:rPr>
          <w:rFonts w:ascii="Times New Roman" w:hAnsi="Times New Roman"/>
          <w:noProof/>
          <w:color w:val="000000"/>
          <w:sz w:val="24"/>
        </w:rPr>
        <w:t xml:space="preserve">dalībvalstu nākamās paaudzes kritisko sakaru sistēmas ES. Mērķis ir panākt, lai </w:t>
      </w:r>
      <w:r>
        <w:rPr>
          <w:rFonts w:ascii="Times New Roman" w:hAnsi="Times New Roman"/>
          <w:i/>
          <w:iCs/>
          <w:noProof/>
          <w:color w:val="000000"/>
          <w:sz w:val="24"/>
        </w:rPr>
        <w:t>EUCCS</w:t>
      </w:r>
      <w:r>
        <w:rPr>
          <w:rFonts w:ascii="Times New Roman" w:hAnsi="Times New Roman"/>
          <w:noProof/>
          <w:color w:val="000000"/>
          <w:sz w:val="24"/>
        </w:rPr>
        <w:t xml:space="preserve"> pamatā būtu trīs stratēģiskie pīlāri – operatīvā mobilitāte, spēcīga noturība un stratēģiskā autonomija. Ar </w:t>
      </w:r>
      <w:r>
        <w:rPr>
          <w:rFonts w:ascii="Times New Roman" w:hAnsi="Times New Roman"/>
          <w:i/>
          <w:iCs/>
          <w:noProof/>
          <w:color w:val="000000"/>
          <w:sz w:val="24"/>
        </w:rPr>
        <w:t>EUCCS</w:t>
      </w:r>
      <w:r>
        <w:rPr>
          <w:rFonts w:ascii="Times New Roman" w:hAnsi="Times New Roman"/>
          <w:noProof/>
          <w:color w:val="000000"/>
          <w:sz w:val="24"/>
        </w:rPr>
        <w:t xml:space="preserve"> iniciatīvu tiks noteiktas saskaņotas prasības un tas palīdzēs modernizēt dalībvalstu kritisko sakaru sistēmas tā, lai tās varētu netraucēti darboties. Tas arī paplašinās sistēmas pārklājumu, izmantojot topošo </w:t>
      </w:r>
      <w:r>
        <w:rPr>
          <w:rFonts w:ascii="Times New Roman" w:hAnsi="Times New Roman"/>
          <w:i/>
          <w:iCs/>
          <w:noProof/>
          <w:color w:val="000000"/>
          <w:sz w:val="24"/>
        </w:rPr>
        <w:t>IRIS</w:t>
      </w:r>
      <w:r>
        <w:rPr>
          <w:rFonts w:ascii="Times New Roman" w:hAnsi="Times New Roman"/>
          <w:noProof/>
          <w:color w:val="000000"/>
          <w:sz w:val="24"/>
          <w:vertAlign w:val="superscript"/>
        </w:rPr>
        <w:t xml:space="preserve">2 </w:t>
      </w:r>
      <w:r w:rsidRPr="000164CE">
        <w:rPr>
          <w:rFonts w:ascii="Times New Roman" w:eastAsia="Times New Roman" w:hAnsi="Times New Roman" w:cs="Times New Roman"/>
          <w:noProof/>
          <w:color w:val="000000"/>
          <w:kern w:val="2"/>
          <w:sz w:val="24"/>
          <w:szCs w:val="24"/>
          <w:vertAlign w:val="superscript"/>
          <w:lang w:val="en-GB"/>
        </w:rPr>
        <w:footnoteReference w:id="13"/>
      </w:r>
      <w:r>
        <w:rPr>
          <w:rFonts w:ascii="Times New Roman" w:hAnsi="Times New Roman"/>
          <w:noProof/>
          <w:color w:val="000000"/>
          <w:sz w:val="24"/>
        </w:rPr>
        <w:t xml:space="preserve"> multiorbitālo sistēmu. ES finansēti projekti veidos </w:t>
      </w:r>
      <w:r>
        <w:rPr>
          <w:rFonts w:ascii="Times New Roman" w:hAnsi="Times New Roman"/>
          <w:i/>
          <w:iCs/>
          <w:noProof/>
          <w:color w:val="000000"/>
          <w:sz w:val="24"/>
        </w:rPr>
        <w:t>EUCCS</w:t>
      </w:r>
      <w:r>
        <w:rPr>
          <w:rFonts w:ascii="Times New Roman" w:hAnsi="Times New Roman"/>
          <w:noProof/>
          <w:color w:val="000000"/>
          <w:sz w:val="24"/>
        </w:rPr>
        <w:t xml:space="preserve"> tehniskās spējas, galvenokārt paļaujoties uz Eiropas tehnoloģiju nodrošinātājiem, lai veicinātu</w:t>
      </w:r>
      <w:r>
        <w:rPr>
          <w:rFonts w:ascii="Times New Roman" w:hAnsi="Times New Roman"/>
          <w:noProof/>
          <w:sz w:val="24"/>
        </w:rPr>
        <w:t xml:space="preserve"> </w:t>
      </w:r>
      <w:r>
        <w:rPr>
          <w:rFonts w:ascii="Times New Roman" w:hAnsi="Times New Roman"/>
          <w:noProof/>
          <w:color w:val="000000"/>
          <w:sz w:val="24"/>
        </w:rPr>
        <w:t xml:space="preserve">ES stratēģisko autonomiju šajā jutīgajā nozarē. </w:t>
      </w:r>
    </w:p>
    <w:p w14:paraId="467AA95A"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Likumīga piekļuve datiem </w:t>
      </w:r>
    </w:p>
    <w:p w14:paraId="6ABFBE3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Tiesībaizsardzības un tiesu iestādēm ir jāspēj izmeklēt noziegumus un veikt pret tiem vērstus pasākumus. Mūsdienās gandrīz visiem smagās un organizētās noziedzības veidiem ir digitālā pēda</w:t>
      </w:r>
      <w:r w:rsidRPr="000164CE">
        <w:rPr>
          <w:rFonts w:ascii="Times New Roman" w:eastAsia="Times New Roman" w:hAnsi="Times New Roman" w:cs="Times New Roman"/>
          <w:noProof/>
          <w:kern w:val="2"/>
          <w:sz w:val="24"/>
          <w:szCs w:val="24"/>
          <w:vertAlign w:val="superscript"/>
          <w:lang w:val="en-GB"/>
        </w:rPr>
        <w:footnoteReference w:id="14"/>
      </w:r>
      <w:r>
        <w:rPr>
          <w:rFonts w:ascii="Times New Roman" w:hAnsi="Times New Roman"/>
          <w:noProof/>
          <w:sz w:val="24"/>
        </w:rPr>
        <w:t>. Aptuveni 85 % kriminālizmeklēšanu tagad ir atkarīgas no tiesībaizsardzības iestāžu spējas piekļūt digitālajai informācijai</w:t>
      </w:r>
      <w:r w:rsidRPr="000164CE">
        <w:rPr>
          <w:rFonts w:ascii="Times New Roman" w:eastAsia="Times New Roman" w:hAnsi="Times New Roman" w:cs="Times New Roman"/>
          <w:noProof/>
          <w:kern w:val="2"/>
          <w:sz w:val="24"/>
          <w:szCs w:val="24"/>
          <w:vertAlign w:val="superscript"/>
          <w:lang w:val="en-IE"/>
        </w:rPr>
        <w:footnoteReference w:id="15"/>
      </w:r>
      <w:r>
        <w:rPr>
          <w:rFonts w:ascii="Times New Roman" w:hAnsi="Times New Roman"/>
          <w:noProof/>
          <w:sz w:val="24"/>
        </w:rPr>
        <w:t xml:space="preserve">. </w:t>
      </w:r>
    </w:p>
    <w:p w14:paraId="58F1C3C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Augsta līmeņa grupa</w:t>
      </w:r>
      <w:r>
        <w:rPr>
          <w:rFonts w:ascii="Times New Roman" w:hAnsi="Times New Roman"/>
          <w:noProof/>
          <w:sz w:val="24"/>
        </w:rPr>
        <w:t xml:space="preserve"> </w:t>
      </w:r>
      <w:r>
        <w:rPr>
          <w:rFonts w:ascii="Times New Roman" w:hAnsi="Times New Roman"/>
          <w:b/>
          <w:noProof/>
          <w:sz w:val="24"/>
        </w:rPr>
        <w:t xml:space="preserve">jautājumos par piekļuvi datiem efektīvas tiesībaizsardzības nolūkos </w:t>
      </w:r>
      <w:r>
        <w:rPr>
          <w:rFonts w:ascii="Times New Roman" w:hAnsi="Times New Roman"/>
          <w:noProof/>
          <w:sz w:val="24"/>
        </w:rPr>
        <w:t>savā noslēguma ziņojumā</w:t>
      </w:r>
      <w:r w:rsidRPr="000164CE">
        <w:rPr>
          <w:rFonts w:ascii="Times New Roman" w:eastAsia="Times New Roman" w:hAnsi="Times New Roman" w:cs="Times New Roman"/>
          <w:noProof/>
          <w:kern w:val="2"/>
          <w:sz w:val="24"/>
          <w:szCs w:val="24"/>
          <w:vertAlign w:val="superscript"/>
          <w:lang w:val="en-GB"/>
        </w:rPr>
        <w:footnoteReference w:id="16"/>
      </w:r>
      <w:r>
        <w:rPr>
          <w:rFonts w:ascii="Times New Roman" w:hAnsi="Times New Roman"/>
          <w:noProof/>
          <w:sz w:val="24"/>
        </w:rPr>
        <w:t xml:space="preserve"> uzsvēra, ka tiesībaizsardzības un tiesu iestādes pēdējo desmit gadu laikā ir zaudējušas pozīcijas noziedzniekiem, jo noziedznieki izmanto rīkus un produktus, ko nodrošina citas jurisdikcijas un pakalpojumu sniedzēji, kuri ir ieviesuši pasākumus, kas atņem minētajām iestādēm līdzekļus sadarbībai ar iestādēm, kas iesniedz likumīgus pieprasījumus atsevišķās krimināllietās. Tāpēc sistemātiska sadarbība starp tiesībaizsardzības iestādēm un privātā sektora personām, tai skaitā pakalpojumu sniedzējiem, ir būtiska turpmākajiem centieniem sagraut visvairāk apdraudošos noziedzīgos tīklus un personas Savienībā un ārpus tās.  </w:t>
      </w:r>
    </w:p>
    <w:p w14:paraId="4DF0D481"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Tā kā digitalizācija kļūst arvien izplatītāka un nodrošina noziedzniekiem arvien plašāku jaunu instrumentu avotu, ir būtiski izveidot tādu regulējumu piekļuvei datiem, kas atbilst vajadzībām panākt mūsu tiesību aktu izpildi un aizsargāt mūsu vērtības. Tajā pašā laikā, lai saglabātu kiberdrošību un aizsargātu pret jauniem drošības apdraudējumiem, vienlīdz svarīgi ir nodrošināt digitālo sistēmu drošību pret neatļautu piekļuvi. Minētajos piekļuves regulējumos ir jāievēro arī pamattiesības, cita starpā nodrošinot, ka privātums un personas dati ir pienācīgi aizsargāti.</w:t>
      </w:r>
    </w:p>
    <w:p w14:paraId="2B15349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Pēdējo gadu laikā ES ir rīkojusies, lai apkarotu </w:t>
      </w:r>
      <w:r>
        <w:rPr>
          <w:rFonts w:ascii="Times New Roman" w:hAnsi="Times New Roman"/>
          <w:b/>
          <w:noProof/>
          <w:sz w:val="24"/>
        </w:rPr>
        <w:t>noziedzību tiešsaistē un atvieglotu piekļuvi digitālajiem pierādījumiem par visiem noziegumiem</w:t>
      </w:r>
      <w:r>
        <w:rPr>
          <w:rFonts w:ascii="Times New Roman" w:hAnsi="Times New Roman"/>
          <w:noProof/>
          <w:sz w:val="24"/>
        </w:rPr>
        <w:t>, šajā nolūkā pieņemot elektronisko pierādījumu noteikumus, kas pilnībā tiks piemēroti, sākot ar 2026. gada augustu</w:t>
      </w:r>
      <w:r w:rsidRPr="000164CE">
        <w:rPr>
          <w:rFonts w:ascii="Times New Roman" w:eastAsia="Times New Roman" w:hAnsi="Times New Roman" w:cs="Times New Roman"/>
          <w:noProof/>
          <w:kern w:val="2"/>
          <w:sz w:val="24"/>
          <w:szCs w:val="24"/>
          <w:vertAlign w:val="superscript"/>
          <w:lang w:val="en-GB"/>
        </w:rPr>
        <w:footnoteReference w:id="17"/>
      </w:r>
      <w:r>
        <w:rPr>
          <w:rFonts w:ascii="Times New Roman" w:hAnsi="Times New Roman"/>
          <w:noProof/>
          <w:sz w:val="24"/>
        </w:rPr>
        <w:t xml:space="preserve">. Tos papildinās starptautiski informācijas un pierādījumu apmaiņas instrumenti. Komisija drīzumā ierosinās parakstīt un noslēgt jauno </w:t>
      </w:r>
      <w:r>
        <w:rPr>
          <w:rFonts w:ascii="Times New Roman" w:hAnsi="Times New Roman"/>
          <w:b/>
          <w:noProof/>
          <w:sz w:val="24"/>
        </w:rPr>
        <w:t>ANO Konvenciju pret kibernoziegumiem</w:t>
      </w:r>
      <w:r>
        <w:rPr>
          <w:rFonts w:ascii="Times New Roman" w:hAnsi="Times New Roman"/>
          <w:noProof/>
          <w:sz w:val="24"/>
        </w:rPr>
        <w:t>.</w:t>
      </w:r>
    </w:p>
    <w:p w14:paraId="678ED1D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Lai izpildītu augsta līmeņa grupas ieteikumus</w:t>
      </w:r>
      <w:r w:rsidRPr="000164CE">
        <w:rPr>
          <w:rFonts w:ascii="Times New Roman" w:eastAsia="Calibri" w:hAnsi="Times New Roman" w:cs="Times New Roman"/>
          <w:noProof/>
          <w:kern w:val="2"/>
          <w:sz w:val="24"/>
          <w:szCs w:val="24"/>
          <w:vertAlign w:val="superscript"/>
          <w:lang w:val="en-GB"/>
        </w:rPr>
        <w:footnoteReference w:id="18"/>
      </w:r>
      <w:r>
        <w:rPr>
          <w:rFonts w:ascii="Times New Roman" w:hAnsi="Times New Roman"/>
          <w:noProof/>
          <w:sz w:val="24"/>
        </w:rPr>
        <w:t xml:space="preserve">, Komisija 2025. gada pirmajā pusē nāks klajā ar </w:t>
      </w:r>
      <w:r>
        <w:rPr>
          <w:rFonts w:ascii="Times New Roman" w:hAnsi="Times New Roman"/>
          <w:b/>
          <w:noProof/>
          <w:sz w:val="24"/>
        </w:rPr>
        <w:t>ceļvedi</w:t>
      </w:r>
      <w:r>
        <w:rPr>
          <w:rFonts w:ascii="Times New Roman" w:hAnsi="Times New Roman"/>
          <w:noProof/>
          <w:sz w:val="24"/>
        </w:rPr>
        <w:t xml:space="preserve">, </w:t>
      </w:r>
      <w:r>
        <w:rPr>
          <w:rFonts w:ascii="Times New Roman" w:hAnsi="Times New Roman"/>
          <w:b/>
          <w:noProof/>
          <w:sz w:val="24"/>
        </w:rPr>
        <w:t>kurā izklāstīti juridiskie un praktiskie pasākumi</w:t>
      </w:r>
      <w:r>
        <w:rPr>
          <w:rFonts w:ascii="Times New Roman" w:hAnsi="Times New Roman"/>
          <w:noProof/>
          <w:sz w:val="24"/>
        </w:rPr>
        <w:t xml:space="preserve">, ko tā ierosina veikt, </w:t>
      </w:r>
      <w:r>
        <w:rPr>
          <w:rFonts w:ascii="Times New Roman" w:hAnsi="Times New Roman"/>
          <w:b/>
          <w:noProof/>
          <w:sz w:val="24"/>
        </w:rPr>
        <w:t>lai nodrošinātu likumīgu un operatīvu piekļuvi datiem</w:t>
      </w:r>
      <w:r>
        <w:rPr>
          <w:rFonts w:ascii="Times New Roman" w:hAnsi="Times New Roman"/>
          <w:noProof/>
          <w:sz w:val="24"/>
        </w:rPr>
        <w:t xml:space="preserve">. Veicot turpmākus pasākumus saistībā ar šo ceļvedi, Komisija par prioritāti noteiks </w:t>
      </w:r>
      <w:r>
        <w:rPr>
          <w:rFonts w:ascii="Times New Roman" w:hAnsi="Times New Roman"/>
          <w:b/>
          <w:noProof/>
          <w:sz w:val="24"/>
        </w:rPr>
        <w:t xml:space="preserve">datu saglabāšanas noteikumu </w:t>
      </w:r>
      <w:r>
        <w:rPr>
          <w:rFonts w:ascii="Times New Roman" w:hAnsi="Times New Roman"/>
          <w:noProof/>
          <w:sz w:val="24"/>
        </w:rPr>
        <w:t xml:space="preserve">ietekmes novērtējumu ES līmenī un </w:t>
      </w:r>
      <w:r>
        <w:rPr>
          <w:rFonts w:ascii="Times New Roman" w:hAnsi="Times New Roman"/>
          <w:b/>
          <w:noProof/>
          <w:sz w:val="24"/>
        </w:rPr>
        <w:t>šifrēšanas tehnoloģiju ceļveža</w:t>
      </w:r>
      <w:r>
        <w:rPr>
          <w:rFonts w:ascii="Times New Roman" w:hAnsi="Times New Roman"/>
          <w:noProof/>
          <w:sz w:val="24"/>
        </w:rPr>
        <w:t xml:space="preserve"> sagatavošanu, lai apzinātu un novērtētu tehnoloģiskus risinājumus, kas ļautu tiesībaizsardzības iestādēm likumīgi piekļūt šifrētiem datiem un vienlaikus aizsargātu kiberdrošību un pamattiesības.  </w:t>
      </w:r>
    </w:p>
    <w:p w14:paraId="6D149777"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Operatīvā sadarbība </w:t>
      </w:r>
    </w:p>
    <w:p w14:paraId="4A03AE2F"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Komisija sadarbosies ar dalībvalstīm, ES aģentūrām un struktūrām un partnervalstīm, lai stiprinātu operatīvo sadarbību, kas ir būtiska rezultatīvākai pieejai cīņā pret transnacionālo organizēto noziedzību un terorismu. </w:t>
      </w:r>
    </w:p>
    <w:p w14:paraId="0A3E27F4"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Izmantojot </w:t>
      </w:r>
      <w:r>
        <w:rPr>
          <w:rFonts w:ascii="Times New Roman" w:hAnsi="Times New Roman"/>
          <w:b/>
          <w:noProof/>
          <w:color w:val="000000"/>
          <w:sz w:val="24"/>
        </w:rPr>
        <w:t>Eiropas daudzdisciplīnu platformu pret noziedzības draudiem (</w:t>
      </w:r>
      <w:r>
        <w:rPr>
          <w:rFonts w:ascii="Times New Roman" w:hAnsi="Times New Roman"/>
          <w:b/>
          <w:i/>
          <w:iCs/>
          <w:noProof/>
          <w:color w:val="000000"/>
          <w:sz w:val="24"/>
        </w:rPr>
        <w:t>EMPACT</w:t>
      </w:r>
      <w:r>
        <w:rPr>
          <w:rFonts w:ascii="Times New Roman" w:hAnsi="Times New Roman"/>
          <w:b/>
          <w:noProof/>
          <w:color w:val="000000"/>
          <w:sz w:val="24"/>
        </w:rPr>
        <w:t>)</w:t>
      </w:r>
      <w:r>
        <w:rPr>
          <w:rFonts w:ascii="Times New Roman" w:hAnsi="Times New Roman"/>
          <w:noProof/>
          <w:color w:val="000000"/>
          <w:sz w:val="24"/>
        </w:rPr>
        <w:t xml:space="preserve">, kas ir galvenais ES satvars kopīgai rīcībai pret smagu un organizētu noziedzību, ir sasniegti būtiski operatīvie rezultāti. Nākamais </w:t>
      </w:r>
      <w:r>
        <w:rPr>
          <w:rFonts w:ascii="Times New Roman" w:hAnsi="Times New Roman"/>
          <w:i/>
          <w:iCs/>
          <w:noProof/>
          <w:color w:val="000000"/>
          <w:sz w:val="24"/>
        </w:rPr>
        <w:t>EMPACT</w:t>
      </w:r>
      <w:r>
        <w:rPr>
          <w:rFonts w:ascii="Times New Roman" w:hAnsi="Times New Roman"/>
          <w:noProof/>
          <w:color w:val="000000"/>
          <w:sz w:val="24"/>
        </w:rPr>
        <w:t xml:space="preserve"> cikls 2026.–2029. gadam sniedz iespēju vēl vairāk stiprināt šo satvaru</w:t>
      </w:r>
      <w:r>
        <w:rPr>
          <w:rFonts w:ascii="Times New Roman" w:hAnsi="Times New Roman"/>
          <w:noProof/>
          <w:sz w:val="24"/>
        </w:rPr>
        <w:t xml:space="preserve">. </w:t>
      </w:r>
      <w:r>
        <w:rPr>
          <w:rFonts w:ascii="Times New Roman" w:hAnsi="Times New Roman"/>
          <w:noProof/>
          <w:color w:val="000000"/>
          <w:sz w:val="24"/>
        </w:rPr>
        <w:t>Lai sagrautu visvairāk apdraudošos noziedzīgos tīklus un personas, Savienībai ir jāracionalizē un jākoncentrē savi centieni uz vissteidzamāk īstenojamām prioritātēm, pastiprinot dalībvalstu saistības un nodrošinot resursu lietderīgu izmantošanu.</w:t>
      </w:r>
    </w:p>
    <w:p w14:paraId="0D8F7E2E"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Šajā nolūkā Komisija sadarbosies ar Padomes prezidentvalstīm un dalībvalstīm, lai </w:t>
      </w:r>
      <w:r>
        <w:rPr>
          <w:rFonts w:ascii="Times New Roman" w:hAnsi="Times New Roman"/>
          <w:b/>
          <w:noProof/>
          <w:color w:val="000000"/>
          <w:sz w:val="24"/>
        </w:rPr>
        <w:t xml:space="preserve">maksimāli palielinātu </w:t>
      </w:r>
      <w:r>
        <w:rPr>
          <w:rFonts w:ascii="Times New Roman" w:hAnsi="Times New Roman"/>
          <w:b/>
          <w:i/>
          <w:iCs/>
          <w:noProof/>
          <w:color w:val="000000"/>
          <w:sz w:val="24"/>
        </w:rPr>
        <w:t>EMPACT</w:t>
      </w:r>
      <w:r>
        <w:rPr>
          <w:rFonts w:ascii="Times New Roman" w:hAnsi="Times New Roman"/>
          <w:b/>
          <w:noProof/>
          <w:color w:val="000000"/>
          <w:sz w:val="24"/>
        </w:rPr>
        <w:t xml:space="preserve"> potenciālu un īstenotu galvenās prioritātes nākamajam </w:t>
      </w:r>
      <w:r>
        <w:rPr>
          <w:rFonts w:ascii="Times New Roman" w:hAnsi="Times New Roman"/>
          <w:b/>
          <w:i/>
          <w:iCs/>
          <w:noProof/>
          <w:color w:val="000000"/>
          <w:sz w:val="24"/>
        </w:rPr>
        <w:t>EMPACT</w:t>
      </w:r>
      <w:r>
        <w:rPr>
          <w:rFonts w:ascii="Times New Roman" w:hAnsi="Times New Roman"/>
          <w:b/>
          <w:noProof/>
          <w:color w:val="000000"/>
          <w:sz w:val="24"/>
        </w:rPr>
        <w:t xml:space="preserve"> ciklam 2026.–2029. gadam.</w:t>
      </w:r>
      <w:r>
        <w:rPr>
          <w:rFonts w:ascii="Times New Roman" w:hAnsi="Times New Roman"/>
          <w:noProof/>
          <w:color w:val="000000"/>
          <w:sz w:val="24"/>
          <w:vertAlign w:val="superscript"/>
        </w:rPr>
        <w:t xml:space="preserve"> </w:t>
      </w:r>
      <w:r>
        <w:rPr>
          <w:rFonts w:ascii="Times New Roman" w:hAnsi="Times New Roman"/>
          <w:noProof/>
          <w:color w:val="000000"/>
          <w:sz w:val="24"/>
        </w:rPr>
        <w:t>Visās šajās prioritārajās jomās ir vajadzīgi izlūkdati par visvairāk apdraudošajiem noziedzīgajiem tīkliem, kopīgas izmeklēšanas un operatīvās darba grupas, kā arī spēcīga tiesu iestāžu reakcija, ieskaitot pieeju “seko naudai”. Turklāt Savienībai ir jāvēršas pret noziedznieku īstenoto vervēšanu un iefiltrēšanos un jāstiprina daudzaģentūru un starptautiskā tiesībaizsardzības sadarbība un apmācība.</w:t>
      </w:r>
    </w:p>
    <w:p w14:paraId="54E86993" w14:textId="5E1BF71B"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Komisija atbalstīs arī citus </w:t>
      </w:r>
      <w:r>
        <w:rPr>
          <w:rFonts w:ascii="Times New Roman" w:hAnsi="Times New Roman"/>
          <w:b/>
          <w:noProof/>
          <w:color w:val="000000"/>
          <w:sz w:val="24"/>
        </w:rPr>
        <w:t>tiesībaizsardzības pārrobežu operatīvās sadarbības veidus starp dalībvalstīm un Šengenas asociētajām valstīm</w:t>
      </w:r>
      <w:r>
        <w:rPr>
          <w:rFonts w:ascii="Times New Roman" w:hAnsi="Times New Roman"/>
          <w:noProof/>
          <w:color w:val="000000"/>
          <w:sz w:val="24"/>
        </w:rPr>
        <w:t>. Šengenas zonai bez kontroles pie iekšējām robežām ir nepieciešama cieša sadarbība un informācijas apmaiņa starp dalībvalstu tiesībaizsardzības iestādēm, lai nodrošinātu augstu iekšējās drošības līmeni. Pašlaik tiesībaizsardzības iestāžu darbinieki joprojām saskaras ar problēmām, uzraugot vai veicot steidzamus pasākumus pāri robežām</w:t>
      </w:r>
      <w:r w:rsidRPr="000164CE">
        <w:rPr>
          <w:rFonts w:ascii="Times New Roman" w:eastAsia="Times New Roman" w:hAnsi="Times New Roman" w:cs="Times New Roman"/>
          <w:noProof/>
          <w:color w:val="000000"/>
          <w:kern w:val="2"/>
          <w:sz w:val="24"/>
          <w:szCs w:val="24"/>
          <w:vertAlign w:val="superscript"/>
          <w:lang w:val="en-GB"/>
        </w:rPr>
        <w:footnoteReference w:id="19"/>
      </w:r>
      <w:r>
        <w:rPr>
          <w:rFonts w:ascii="Times New Roman" w:hAnsi="Times New Roman"/>
          <w:noProof/>
          <w:color w:val="000000"/>
          <w:sz w:val="24"/>
        </w:rPr>
        <w:t xml:space="preserve">, un hibrīddraudu apkarošanai ir vajadzīga arī pastiprināta pārrobežu sadarbība. Būtu jāizveido </w:t>
      </w:r>
      <w:r>
        <w:rPr>
          <w:rFonts w:ascii="Times New Roman" w:hAnsi="Times New Roman"/>
          <w:b/>
          <w:noProof/>
          <w:color w:val="000000"/>
          <w:sz w:val="24"/>
        </w:rPr>
        <w:t>augsta līmeņa grupa jautājumos par tiesībaizsardzības operatīvās sadarbības nākotni</w:t>
      </w:r>
      <w:r>
        <w:rPr>
          <w:rFonts w:ascii="Times New Roman" w:hAnsi="Times New Roman"/>
          <w:noProof/>
          <w:color w:val="000000"/>
          <w:sz w:val="24"/>
        </w:rPr>
        <w:t>, lai izstrādātu kopīgu stratēģisku redzējumu.</w:t>
      </w:r>
    </w:p>
    <w:p w14:paraId="73271573"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Operatīva datu apmaiņa starp tiesībaizsardzības iestādēm ir arī būtiska rezultatīvai pārrobežu sadarbībai. Tiklīdz </w:t>
      </w:r>
      <w:r>
        <w:rPr>
          <w:rFonts w:ascii="Times New Roman" w:hAnsi="Times New Roman"/>
          <w:b/>
          <w:noProof/>
          <w:color w:val="000000"/>
          <w:sz w:val="24"/>
        </w:rPr>
        <w:t>sadarbspējas arhitektūra</w:t>
      </w:r>
      <w:r>
        <w:rPr>
          <w:rFonts w:ascii="Times New Roman" w:hAnsi="Times New Roman"/>
          <w:noProof/>
          <w:color w:val="000000"/>
          <w:sz w:val="24"/>
        </w:rPr>
        <w:t xml:space="preserve"> būs izveidota, tā nodrošinās tiesībaizsardzības iestādēm un Eiropolam operatīvu piekļuvi būtiskai informācijai. Tajā pašā laikā ES un tās dalībvalstīm būtu jāpiešķir prioritāte divpusējai un daudzpusējai informācijas apmaiņai, juridiski un tehniski īstenojot </w:t>
      </w:r>
      <w:r>
        <w:rPr>
          <w:rFonts w:ascii="Times New Roman" w:hAnsi="Times New Roman"/>
          <w:b/>
          <w:noProof/>
          <w:color w:val="000000"/>
          <w:sz w:val="24"/>
        </w:rPr>
        <w:t>Prīme II regulu</w:t>
      </w:r>
      <w:r w:rsidRPr="000164CE">
        <w:rPr>
          <w:rFonts w:ascii="Times New Roman" w:eastAsia="Times New Roman" w:hAnsi="Times New Roman" w:cs="Times New Roman"/>
          <w:noProof/>
          <w:color w:val="000000"/>
          <w:kern w:val="2"/>
          <w:sz w:val="24"/>
          <w:szCs w:val="24"/>
          <w:vertAlign w:val="superscript"/>
          <w:lang w:val="en-GB"/>
        </w:rPr>
        <w:footnoteReference w:id="20"/>
      </w:r>
      <w:r>
        <w:rPr>
          <w:rFonts w:ascii="Times New Roman" w:hAnsi="Times New Roman"/>
          <w:noProof/>
          <w:color w:val="000000"/>
          <w:sz w:val="24"/>
        </w:rPr>
        <w:t xml:space="preserve"> sadarbībā ar </w:t>
      </w:r>
      <w:r>
        <w:rPr>
          <w:rFonts w:ascii="Times New Roman" w:hAnsi="Times New Roman"/>
          <w:i/>
          <w:iCs/>
          <w:noProof/>
          <w:color w:val="000000"/>
          <w:sz w:val="24"/>
        </w:rPr>
        <w:t>eu-LISA</w:t>
      </w:r>
      <w:r>
        <w:rPr>
          <w:rFonts w:ascii="Times New Roman" w:hAnsi="Times New Roman"/>
          <w:noProof/>
          <w:color w:val="000000"/>
          <w:sz w:val="24"/>
        </w:rPr>
        <w:t xml:space="preserve"> un Eiropolu. Tas ļaus droši un automatizēti apmainīties ar pirkstu nospiedumiem, DNS profiliem, transportlīdzekļu reģistrācijas datiem, sejas attēliem un policijas reģistru informāciju, izmantojot ES maršrutētājus. Valstu līmenī dalībvalstīm ir jāīsteno </w:t>
      </w:r>
      <w:r>
        <w:rPr>
          <w:rFonts w:ascii="Times New Roman" w:hAnsi="Times New Roman"/>
          <w:b/>
          <w:noProof/>
          <w:color w:val="000000"/>
          <w:sz w:val="24"/>
        </w:rPr>
        <w:t>Informācijas apmaiņas direktīva</w:t>
      </w:r>
      <w:r w:rsidRPr="000164CE">
        <w:rPr>
          <w:rFonts w:ascii="Times New Roman" w:eastAsia="Times New Roman" w:hAnsi="Times New Roman" w:cs="Times New Roman"/>
          <w:noProof/>
          <w:color w:val="000000"/>
          <w:kern w:val="2"/>
          <w:sz w:val="24"/>
          <w:szCs w:val="24"/>
          <w:vertAlign w:val="superscript"/>
          <w:lang w:val="en-GB"/>
        </w:rPr>
        <w:footnoteReference w:id="21"/>
      </w:r>
      <w:r>
        <w:rPr>
          <w:rFonts w:ascii="Times New Roman" w:hAnsi="Times New Roman"/>
          <w:noProof/>
          <w:color w:val="000000"/>
          <w:sz w:val="24"/>
        </w:rPr>
        <w:t xml:space="preserve">, ar ko uzlabo informācijas apmaiņas kanālus netraucētai pārrobežu informācijas plūsmai, vienlaikus nodrošinot to integrāciju Savienības līmeņa sistēmās, piemēram, </w:t>
      </w:r>
      <w:r>
        <w:rPr>
          <w:rFonts w:ascii="Times New Roman" w:hAnsi="Times New Roman"/>
          <w:i/>
          <w:iCs/>
          <w:noProof/>
          <w:color w:val="000000"/>
          <w:sz w:val="24"/>
        </w:rPr>
        <w:t>SIENA</w:t>
      </w:r>
      <w:r w:rsidRPr="000164CE">
        <w:rPr>
          <w:rFonts w:ascii="Times New Roman" w:eastAsia="Times New Roman" w:hAnsi="Times New Roman" w:cs="Times New Roman"/>
          <w:noProof/>
          <w:color w:val="000000"/>
          <w:kern w:val="2"/>
          <w:sz w:val="24"/>
          <w:szCs w:val="24"/>
          <w:vertAlign w:val="superscript"/>
          <w:lang w:val="en-GB"/>
        </w:rPr>
        <w:footnoteReference w:id="22"/>
      </w:r>
      <w:r>
        <w:rPr>
          <w:rFonts w:ascii="Times New Roman" w:hAnsi="Times New Roman"/>
          <w:noProof/>
          <w:color w:val="000000"/>
          <w:sz w:val="24"/>
        </w:rPr>
        <w:t>.</w:t>
      </w:r>
    </w:p>
    <w:p w14:paraId="3D6ECFF1"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Rezultatīva pārrobežu sadarbība ir atkarīga arī no </w:t>
      </w:r>
      <w:r>
        <w:rPr>
          <w:rFonts w:ascii="Times New Roman" w:hAnsi="Times New Roman"/>
          <w:b/>
          <w:noProof/>
          <w:color w:val="000000"/>
          <w:sz w:val="24"/>
        </w:rPr>
        <w:t>vienotas ES tiesībaizsardzības kultūras</w:t>
      </w:r>
      <w:r>
        <w:rPr>
          <w:rFonts w:ascii="Times New Roman" w:hAnsi="Times New Roman"/>
          <w:noProof/>
          <w:color w:val="000000"/>
          <w:sz w:val="24"/>
        </w:rPr>
        <w:t xml:space="preserve"> veicināšanas. Lai sasniegtu šo mērķi, būtiska nozīme ir kopīgām mācībām, izcilības centriem un mobilitātes programmām. Komisija pētīs, kā ES var vislabāk palīdzēt dalībvalstīm veikt iestāžu darbinieku apmācību, šim nolūkam izmantojot </w:t>
      </w:r>
      <w:r>
        <w:rPr>
          <w:rFonts w:ascii="Times New Roman" w:hAnsi="Times New Roman"/>
          <w:b/>
          <w:i/>
          <w:iCs/>
          <w:noProof/>
          <w:color w:val="000000"/>
          <w:sz w:val="24"/>
        </w:rPr>
        <w:t>CEPOL</w:t>
      </w:r>
      <w:r>
        <w:rPr>
          <w:rFonts w:ascii="Times New Roman" w:hAnsi="Times New Roman"/>
          <w:noProof/>
          <w:color w:val="000000"/>
          <w:sz w:val="24"/>
        </w:rPr>
        <w:t xml:space="preserve"> kā ES tiesībaizsardzības apmācības aģentūru.</w:t>
      </w:r>
    </w:p>
    <w:p w14:paraId="5F2C316E"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Robežu drošības stiprināšana </w:t>
      </w:r>
    </w:p>
    <w:p w14:paraId="3D7143D8"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Ārējo robežu noturības un drošības stiprināšana ir būtiska, lai cīnītos pret hibrīddraudiem, piemēram, migrācijas izmantošanu par ieroci, kā arī novērstu to, ka apdraudētāji un preces nonāk ES, un rezultatīvi apkarotu pārrobežu noziedzību un terorismu. </w:t>
      </w:r>
      <w:r>
        <w:rPr>
          <w:rFonts w:ascii="Times New Roman" w:hAnsi="Times New Roman"/>
          <w:b/>
          <w:noProof/>
          <w:color w:val="000000"/>
          <w:sz w:val="24"/>
        </w:rPr>
        <w:t>Šengenas Informācijas sistēmu (</w:t>
      </w:r>
      <w:r>
        <w:rPr>
          <w:rFonts w:ascii="Times New Roman" w:hAnsi="Times New Roman"/>
          <w:b/>
          <w:i/>
          <w:iCs/>
          <w:noProof/>
          <w:color w:val="000000"/>
          <w:sz w:val="24"/>
        </w:rPr>
        <w:t>SIS</w:t>
      </w:r>
      <w:r>
        <w:rPr>
          <w:rFonts w:ascii="Times New Roman" w:hAnsi="Times New Roman"/>
          <w:b/>
          <w:noProof/>
          <w:color w:val="000000"/>
          <w:sz w:val="24"/>
        </w:rPr>
        <w:t>) ir plānots uzlabot</w:t>
      </w:r>
      <w:r>
        <w:rPr>
          <w:rFonts w:ascii="Times New Roman" w:hAnsi="Times New Roman"/>
          <w:noProof/>
          <w:color w:val="000000"/>
          <w:sz w:val="24"/>
        </w:rPr>
        <w:t xml:space="preserve"> 2026. gadā, </w:t>
      </w:r>
      <w:r>
        <w:rPr>
          <w:rFonts w:ascii="Times New Roman" w:hAnsi="Times New Roman"/>
          <w:b/>
          <w:noProof/>
          <w:color w:val="000000"/>
          <w:sz w:val="24"/>
        </w:rPr>
        <w:t xml:space="preserve"> </w:t>
      </w:r>
      <w:r>
        <w:rPr>
          <w:rFonts w:ascii="Times New Roman" w:hAnsi="Times New Roman"/>
          <w:noProof/>
          <w:color w:val="000000"/>
          <w:sz w:val="24"/>
        </w:rPr>
        <w:t xml:space="preserve">lai dalībvalstis, pamatojoties uz datiem, ko trešās valstis kopīgo ar Eiropolu, varētu ievadīt brīdinājumus par trešo valstu valstspiederīgajiem, arī ārvalstu kaujiniekiem teroristiem, kas iesaistīti terorismā un citos smagos noziegumos. </w:t>
      </w:r>
    </w:p>
    <w:p w14:paraId="3D448B1D" w14:textId="0091C6B5"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ES lielapjoma informācijas sistēmu uzlabota</w:t>
      </w:r>
      <w:r>
        <w:rPr>
          <w:rFonts w:ascii="Times New Roman" w:hAnsi="Times New Roman"/>
          <w:noProof/>
          <w:sz w:val="24"/>
        </w:rPr>
        <w:t xml:space="preserve"> </w:t>
      </w:r>
      <w:r>
        <w:rPr>
          <w:rFonts w:ascii="Times New Roman" w:hAnsi="Times New Roman"/>
          <w:b/>
          <w:noProof/>
          <w:color w:val="000000"/>
          <w:sz w:val="24"/>
        </w:rPr>
        <w:t>sadarbspēja</w:t>
      </w:r>
      <w:r>
        <w:rPr>
          <w:rFonts w:ascii="Times New Roman" w:hAnsi="Times New Roman"/>
          <w:noProof/>
          <w:color w:val="000000"/>
          <w:sz w:val="24"/>
        </w:rPr>
        <w:t xml:space="preserve"> nodrošinās dalībvalstīm būtisku informāciju par personām no trešām valstīm, kas šķērso vai plāno šķērsot ārējās robežas, un tas palīdzēs iestādēm izvērtēt nosacījumus, ar kādiem atļauj ieceļot dalībvalstu teritorijā</w:t>
      </w:r>
      <w:r w:rsidRPr="000164CE">
        <w:rPr>
          <w:rFonts w:ascii="Times New Roman" w:eastAsia="Times New Roman" w:hAnsi="Times New Roman" w:cs="Times New Roman"/>
          <w:noProof/>
          <w:color w:val="000000"/>
          <w:kern w:val="2"/>
          <w:sz w:val="24"/>
          <w:szCs w:val="24"/>
          <w:vertAlign w:val="superscript"/>
          <w:lang w:val="en-GB"/>
        </w:rPr>
        <w:footnoteReference w:id="23"/>
      </w:r>
      <w:r>
        <w:rPr>
          <w:rFonts w:ascii="Times New Roman" w:hAnsi="Times New Roman"/>
          <w:noProof/>
          <w:color w:val="000000"/>
          <w:sz w:val="24"/>
        </w:rPr>
        <w:t xml:space="preserve">. Komisija turpinās cieši sadarboties ar dalībvalstīm un </w:t>
      </w:r>
      <w:r>
        <w:rPr>
          <w:rFonts w:ascii="Times New Roman" w:hAnsi="Times New Roman"/>
          <w:i/>
          <w:iCs/>
          <w:noProof/>
          <w:color w:val="000000"/>
          <w:sz w:val="24"/>
        </w:rPr>
        <w:t>eu-LISA</w:t>
      </w:r>
      <w:r>
        <w:rPr>
          <w:rFonts w:ascii="Times New Roman" w:hAnsi="Times New Roman"/>
          <w:noProof/>
          <w:color w:val="000000"/>
          <w:sz w:val="24"/>
        </w:rPr>
        <w:t xml:space="preserve">, lai ātri īstenotu šīs sistēmas, īpaši </w:t>
      </w:r>
      <w:r>
        <w:rPr>
          <w:rFonts w:ascii="Times New Roman" w:hAnsi="Times New Roman"/>
          <w:b/>
          <w:noProof/>
          <w:color w:val="000000"/>
          <w:sz w:val="24"/>
        </w:rPr>
        <w:t>ieceļošanas/izceļošanas sistēmu (IIS), Eiropas ceļošanas informācijas un atļauju sistēmu (</w:t>
      </w:r>
      <w:r>
        <w:rPr>
          <w:rFonts w:ascii="Times New Roman" w:hAnsi="Times New Roman"/>
          <w:b/>
          <w:i/>
          <w:iCs/>
          <w:noProof/>
          <w:color w:val="000000"/>
          <w:sz w:val="24"/>
        </w:rPr>
        <w:t>ETIAS</w:t>
      </w:r>
      <w:r>
        <w:rPr>
          <w:rFonts w:ascii="Times New Roman" w:hAnsi="Times New Roman"/>
          <w:b/>
          <w:noProof/>
          <w:color w:val="000000"/>
          <w:sz w:val="24"/>
        </w:rPr>
        <w:t>) un pārskatīto Vīzu informācijas sistēmu (VIS)</w:t>
      </w:r>
      <w:r>
        <w:rPr>
          <w:rFonts w:ascii="Times New Roman" w:hAnsi="Times New Roman"/>
          <w:noProof/>
          <w:color w:val="000000"/>
          <w:sz w:val="24"/>
        </w:rPr>
        <w:t xml:space="preserve">, lai nodrošinātu to netraucētu darbību un ieguvumus drošības jomā. </w:t>
      </w:r>
    </w:p>
    <w:p w14:paraId="0999A29E" w14:textId="6DA1A2B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Lai vēl vairāk uzlabotu robežu drošību un stiprinātu ES sadarbību, ņemot vērā mainīgos apdraudējumus, </w:t>
      </w:r>
      <w:r>
        <w:rPr>
          <w:rFonts w:ascii="Times New Roman" w:hAnsi="Times New Roman"/>
          <w:b/>
          <w:noProof/>
          <w:color w:val="000000"/>
          <w:sz w:val="24"/>
        </w:rPr>
        <w:t>Komisija ierosinās pastiprināt</w:t>
      </w:r>
      <w:r>
        <w:rPr>
          <w:rFonts w:ascii="Times New Roman" w:hAnsi="Times New Roman"/>
          <w:noProof/>
          <w:color w:val="000000"/>
          <w:sz w:val="24"/>
        </w:rPr>
        <w:t xml:space="preserve"> </w:t>
      </w:r>
      <w:r>
        <w:rPr>
          <w:rFonts w:ascii="Times New Roman" w:hAnsi="Times New Roman"/>
          <w:b/>
          <w:i/>
          <w:iCs/>
          <w:noProof/>
          <w:color w:val="000000"/>
          <w:sz w:val="24"/>
        </w:rPr>
        <w:t>Frontex</w:t>
      </w:r>
      <w:r>
        <w:rPr>
          <w:rFonts w:ascii="Times New Roman" w:hAnsi="Times New Roman"/>
          <w:b/>
          <w:noProof/>
          <w:color w:val="000000"/>
          <w:sz w:val="24"/>
        </w:rPr>
        <w:t>.</w:t>
      </w:r>
      <w:r>
        <w:rPr>
          <w:rFonts w:ascii="Times New Roman" w:hAnsi="Times New Roman"/>
          <w:noProof/>
          <w:color w:val="000000"/>
          <w:sz w:val="24"/>
        </w:rPr>
        <w:t xml:space="preserve"> Eiropas robežu un krasta apsardzes darbinieku skaitam laika gaitā būtu jātrīskāršojas līdz 30 000. Aģentūrai vajadzētu būt aprīkotai ar progresīvām uzraudzības un situācijas apzināšanās tehnoloģijām, arī ar izlūkdatiem, kas ir būtiski Eiropas integrētajai robežu pārvaldībai un piekļuvei stabiliem ES valdības sniegtiem Zemes novērošanas pakalpojumiem robežkontroles vajadzībām, kas jāizvērš līdz 2027. gadam. Tam būtu vēl vairāk jāuzlabo spēja atklāt, novērst un apkarot pārrobežu noziedzību pie ārējām robežām, kā arī jāpastiprina atbalsts dalībvalstīm atgriešanas īstenošanā, īpaši attiecībā uz trešo valstu valstspiederīgajiem, kas rada drošības risku.</w:t>
      </w:r>
    </w:p>
    <w:p w14:paraId="66003B06"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noProof/>
          <w:sz w:val="24"/>
        </w:rPr>
        <w:t>Dokumentu un identitātes viltošana</w:t>
      </w:r>
      <w:r>
        <w:rPr>
          <w:rFonts w:ascii="Times New Roman" w:hAnsi="Times New Roman"/>
          <w:noProof/>
          <w:sz w:val="24"/>
        </w:rPr>
        <w:t xml:space="preserve"> veicina migrantu kontrabandu, cilvēku tirdzniecību, noziedznieku slepenu pārvietošanos un nelikumīgu preču tirdzniecību. </w:t>
      </w:r>
      <w:r>
        <w:rPr>
          <w:rFonts w:ascii="Times New Roman" w:hAnsi="Times New Roman"/>
          <w:b/>
          <w:noProof/>
          <w:sz w:val="24"/>
        </w:rPr>
        <w:t>Vairāku identitāšu detektors (</w:t>
      </w:r>
      <w:r>
        <w:rPr>
          <w:rFonts w:ascii="Times New Roman" w:hAnsi="Times New Roman"/>
          <w:b/>
          <w:i/>
          <w:iCs/>
          <w:noProof/>
          <w:sz w:val="24"/>
        </w:rPr>
        <w:t>MID</w:t>
      </w:r>
      <w:r>
        <w:rPr>
          <w:rFonts w:ascii="Times New Roman" w:hAnsi="Times New Roman"/>
          <w:b/>
          <w:noProof/>
          <w:sz w:val="24"/>
        </w:rPr>
        <w:t>)</w:t>
      </w:r>
      <w:r w:rsidRPr="000164CE">
        <w:rPr>
          <w:rFonts w:ascii="Times New Roman" w:eastAsia="Times New Roman" w:hAnsi="Times New Roman" w:cs="Times New Roman"/>
          <w:noProof/>
          <w:kern w:val="2"/>
          <w:sz w:val="24"/>
          <w:szCs w:val="24"/>
          <w:vertAlign w:val="superscript"/>
          <w:lang w:val="en-GB"/>
        </w:rPr>
        <w:footnoteReference w:id="24"/>
      </w:r>
      <w:r>
        <w:rPr>
          <w:rFonts w:ascii="Times New Roman" w:hAnsi="Times New Roman"/>
          <w:noProof/>
          <w:sz w:val="24"/>
        </w:rPr>
        <w:t xml:space="preserve"> pēc tā darbības sākšanas uzlabos valstu iestāžu spēju identificēt personas, kuras izmanto vairākas identitātes, un apkarot identitātes viltošanu. Komisija pētīs veidus, kā uzlabot ES pilsoņiem un trešo valstu valstspiederīgajiem izsniegto ceļošanas un uzturēšanās dokumentu drošību. Turklāt Komisija novērtēs, kā ES digitālās identitātes maki, kas saskaņā ar Eiropas digitālās identitātes satvaru jāievieš līdz 2026. gada beigām, var palīdzēt uzlabot ceļošanas dokumentu drošību un identitātes verifikāciju. Tas papildinās priekšlikumus par digitālajiem ceļotāja identifikatoriem un </w:t>
      </w:r>
      <w:r>
        <w:rPr>
          <w:rFonts w:ascii="Times New Roman" w:hAnsi="Times New Roman"/>
          <w:i/>
          <w:iCs/>
          <w:noProof/>
          <w:sz w:val="24"/>
        </w:rPr>
        <w:t>EU Digital Travel</w:t>
      </w:r>
      <w:r>
        <w:rPr>
          <w:rFonts w:ascii="Times New Roman" w:hAnsi="Times New Roman"/>
          <w:noProof/>
          <w:sz w:val="24"/>
        </w:rPr>
        <w:t xml:space="preserve"> lietotni</w:t>
      </w:r>
      <w:r w:rsidRPr="000164CE">
        <w:rPr>
          <w:rFonts w:ascii="Times New Roman" w:eastAsia="Times New Roman" w:hAnsi="Times New Roman" w:cs="Times New Roman"/>
          <w:noProof/>
          <w:kern w:val="2"/>
          <w:sz w:val="24"/>
          <w:szCs w:val="24"/>
          <w:vertAlign w:val="superscript"/>
          <w:lang w:val="en-GB"/>
        </w:rPr>
        <w:footnoteReference w:id="25"/>
      </w:r>
      <w:r>
        <w:rPr>
          <w:rFonts w:ascii="Times New Roman" w:hAnsi="Times New Roman"/>
          <w:noProof/>
          <w:sz w:val="24"/>
        </w:rPr>
        <w:t>.</w:t>
      </w:r>
    </w:p>
    <w:p w14:paraId="79EFF5F9" w14:textId="1F2D1B1F" w:rsidR="00300EC5"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noProof/>
          <w:color w:val="000000"/>
          <w:sz w:val="24"/>
        </w:rPr>
        <w:t>Ceļošanas informācija</w:t>
      </w:r>
      <w:r>
        <w:rPr>
          <w:rFonts w:ascii="Times New Roman" w:hAnsi="Times New Roman"/>
          <w:noProof/>
          <w:color w:val="000000"/>
          <w:sz w:val="24"/>
        </w:rPr>
        <w:t xml:space="preserve"> ir būtiska iestādēm, lai identificētu un izmeklētu noziedznieku, teroristu un citu personu, kas rada draudus drošībai, pārvietošanos. Lai gan pastāv ES regulējums attiecībā uz komerciālo gaisa pārvadājumu informāciju</w:t>
      </w:r>
      <w:r w:rsidRPr="784D9EF4">
        <w:rPr>
          <w:rFonts w:ascii="Times New Roman" w:eastAsia="Times New Roman" w:hAnsi="Times New Roman" w:cs="Times New Roman"/>
          <w:noProof/>
          <w:color w:val="000000"/>
          <w:kern w:val="2"/>
          <w:sz w:val="24"/>
          <w:szCs w:val="24"/>
          <w:vertAlign w:val="superscript"/>
        </w:rPr>
        <w:footnoteReference w:id="26"/>
      </w:r>
      <w:r>
        <w:rPr>
          <w:rFonts w:ascii="Times New Roman" w:hAnsi="Times New Roman"/>
          <w:noProof/>
          <w:color w:val="000000"/>
          <w:sz w:val="24"/>
        </w:rPr>
        <w:t xml:space="preserve">, par citiem transporta veidiem saņemto datu apstrāde tiesībaizsardzības nolūkos ir sadrumstalota. Līdz ar to noziedznieki un teroristi var slepeni izmantot dažādus transporta veidus nelikumīgām darbībām. Komisija sadarbosies ar dalībvalstīm un transporta nozari, lai </w:t>
      </w:r>
      <w:r>
        <w:rPr>
          <w:rFonts w:ascii="Times New Roman" w:hAnsi="Times New Roman"/>
          <w:b/>
          <w:noProof/>
          <w:color w:val="000000"/>
          <w:sz w:val="24"/>
        </w:rPr>
        <w:t>stiprinātu ceļošanas informācijas sistēmu</w:t>
      </w:r>
      <w:r>
        <w:rPr>
          <w:rFonts w:ascii="Times New Roman" w:hAnsi="Times New Roman"/>
          <w:noProof/>
          <w:color w:val="000000"/>
          <w:sz w:val="24"/>
        </w:rPr>
        <w:t xml:space="preserve">, kas tiks veikts, izpētot Savienības shēmu, saskaņā ar kuru privāto lidojumu operatoriem jāvāc un jānosūta pasažieru dati, kā arī izvērtējot pasažieru datu reģistra apstrādes noteikumus un veidus, kā racionalizēt jūras ceļojumu informācijas apstrādi. Attiecībā uz autotransportu Komisija izvērtēs </w:t>
      </w:r>
      <w:r>
        <w:rPr>
          <w:rFonts w:ascii="Times New Roman" w:hAnsi="Times New Roman"/>
          <w:b/>
          <w:noProof/>
          <w:color w:val="000000"/>
          <w:sz w:val="24"/>
        </w:rPr>
        <w:t>automātiskās numura zīmes atpazīšanas (</w:t>
      </w:r>
      <w:r>
        <w:rPr>
          <w:rFonts w:ascii="Times New Roman" w:hAnsi="Times New Roman"/>
          <w:b/>
          <w:i/>
          <w:iCs/>
          <w:noProof/>
          <w:color w:val="000000"/>
          <w:sz w:val="24"/>
        </w:rPr>
        <w:t>ANPR</w:t>
      </w:r>
      <w:r>
        <w:rPr>
          <w:rFonts w:ascii="Times New Roman" w:hAnsi="Times New Roman"/>
          <w:b/>
          <w:noProof/>
          <w:color w:val="000000"/>
          <w:sz w:val="24"/>
        </w:rPr>
        <w:t>) sistēmu</w:t>
      </w:r>
      <w:r>
        <w:rPr>
          <w:rFonts w:ascii="Times New Roman" w:hAnsi="Times New Roman"/>
          <w:noProof/>
          <w:color w:val="000000"/>
          <w:sz w:val="24"/>
        </w:rPr>
        <w:t xml:space="preserve"> plašāku izmantošanu un palielinās sinerģijas iespējas ar </w:t>
      </w:r>
      <w:r>
        <w:rPr>
          <w:rFonts w:ascii="Times New Roman" w:hAnsi="Times New Roman"/>
          <w:i/>
          <w:iCs/>
          <w:noProof/>
          <w:color w:val="000000"/>
          <w:sz w:val="24"/>
        </w:rPr>
        <w:t>SIS</w:t>
      </w:r>
      <w:r>
        <w:rPr>
          <w:rFonts w:ascii="Times New Roman" w:hAnsi="Times New Roman"/>
          <w:noProof/>
          <w:color w:val="000000"/>
          <w:sz w:val="24"/>
        </w:rPr>
        <w:t xml:space="preserve">. </w:t>
      </w:r>
    </w:p>
    <w:p w14:paraId="4126FA88"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color w:val="A4262C"/>
          <w:kern w:val="2"/>
          <w:sz w:val="24"/>
          <w:szCs w:val="24"/>
          <w:u w:val="single"/>
          <w14:ligatures w14:val="standardContextual"/>
        </w:rPr>
      </w:pPr>
      <w:r>
        <w:rPr>
          <w:rFonts w:ascii="Times New Roman" w:hAnsi="Times New Roman"/>
          <w:b/>
          <w:i/>
          <w:noProof/>
          <w:sz w:val="24"/>
        </w:rPr>
        <w:t>Prognozēšana, inovācija un uz spējām balstīta pieeja</w:t>
      </w:r>
    </w:p>
    <w:p w14:paraId="0F660262"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Komisija izstrādās </w:t>
      </w:r>
      <w:r>
        <w:rPr>
          <w:rFonts w:ascii="Times New Roman" w:hAnsi="Times New Roman"/>
          <w:b/>
          <w:noProof/>
          <w:sz w:val="24"/>
        </w:rPr>
        <w:t>visaptverošu prognozēšanas pieeju attiecībā uz iekšējo drošību ES līmenī</w:t>
      </w:r>
      <w:r>
        <w:rPr>
          <w:rFonts w:ascii="Times New Roman" w:hAnsi="Times New Roman"/>
          <w:noProof/>
          <w:sz w:val="24"/>
        </w:rPr>
        <w:t xml:space="preserve">, pamatojoties uz valstu līmenī apzināto paraugpraksi. Šī pieeja atbalstīs politikas veidošanu un virzīs investīcijas attiecīgajā ES finansētajā drošības izpētes un inovāciju jomā. </w:t>
      </w:r>
    </w:p>
    <w:p w14:paraId="57762E4F" w14:textId="45C4D199"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Pētniecībai un inovācijai ir izšķiroša nozīme iekšējā drošībā</w:t>
      </w:r>
      <w:r>
        <w:rPr>
          <w:rFonts w:ascii="Times New Roman" w:hAnsi="Times New Roman"/>
          <w:noProof/>
          <w:sz w:val="24"/>
        </w:rPr>
        <w:t>, jo tās rada risinājumus, lai novērstu jaunus apdraudējumus, kas rodas arī tehnoloģiju nepareizas izmantošanas dēļ</w:t>
      </w:r>
      <w:r w:rsidRPr="000164CE">
        <w:rPr>
          <w:rFonts w:ascii="Times New Roman" w:eastAsia="Times New Roman" w:hAnsi="Times New Roman" w:cs="Times New Roman"/>
          <w:noProof/>
          <w:kern w:val="2"/>
          <w:sz w:val="24"/>
          <w:szCs w:val="24"/>
          <w:vertAlign w:val="superscript"/>
          <w:lang w:val="en-GB"/>
        </w:rPr>
        <w:footnoteReference w:id="27"/>
      </w:r>
      <w:r>
        <w:rPr>
          <w:rFonts w:ascii="Times New Roman" w:hAnsi="Times New Roman"/>
          <w:noProof/>
          <w:sz w:val="24"/>
        </w:rPr>
        <w:t>. ES ir jāturpina investēt inovatīvu rīku izstrādē drošības apdraudējumu novēršanai, izmantojot no ES budžeta finansētus drošības pētniecības un inovāciju projektus</w:t>
      </w:r>
      <w:r w:rsidRPr="000164CE">
        <w:rPr>
          <w:rFonts w:ascii="Times New Roman" w:eastAsia="Times New Roman" w:hAnsi="Times New Roman" w:cs="Times New Roman"/>
          <w:noProof/>
          <w:kern w:val="2"/>
          <w:sz w:val="24"/>
          <w:szCs w:val="24"/>
          <w:vertAlign w:val="superscript"/>
          <w:lang w:val="en-GB"/>
        </w:rPr>
        <w:footnoteReference w:id="28"/>
      </w:r>
      <w:r>
        <w:rPr>
          <w:rFonts w:ascii="Times New Roman" w:hAnsi="Times New Roman"/>
          <w:noProof/>
          <w:sz w:val="24"/>
        </w:rPr>
        <w:t xml:space="preserve">, vienlaikus ievērojot ES noteikumus un pamattiesības. Komisijai būtu jāatbalsta pāreja no pētniecības uz izvēršanu, lai nodrošinātu šo mūsdienīgo spēju sekmīgu ieviešanu, prioritāti piešķirot tādām </w:t>
      </w:r>
      <w:r>
        <w:rPr>
          <w:rFonts w:ascii="Times New Roman" w:hAnsi="Times New Roman"/>
          <w:b/>
          <w:noProof/>
          <w:sz w:val="24"/>
        </w:rPr>
        <w:t xml:space="preserve">progresīvām tehnoloģijām </w:t>
      </w:r>
      <w:r>
        <w:rPr>
          <w:rFonts w:ascii="Times New Roman" w:hAnsi="Times New Roman"/>
          <w:noProof/>
          <w:sz w:val="24"/>
        </w:rPr>
        <w:t>kā</w:t>
      </w:r>
      <w:r>
        <w:rPr>
          <w:rFonts w:ascii="Times New Roman" w:hAnsi="Times New Roman"/>
          <w:noProof/>
          <w:color w:val="000000"/>
          <w:sz w:val="24"/>
        </w:rPr>
        <w:t xml:space="preserve"> mākslīgais intelekts. Šai pieejai būtu jāietver apmācība, lai uzlabotu mākslīgā intelekta sistēmu </w:t>
      </w:r>
      <w:r>
        <w:rPr>
          <w:rFonts w:ascii="Times New Roman" w:hAnsi="Times New Roman"/>
          <w:noProof/>
          <w:sz w:val="24"/>
        </w:rPr>
        <w:t xml:space="preserve">un citu </w:t>
      </w:r>
      <w:r>
        <w:rPr>
          <w:rFonts w:ascii="Times New Roman" w:hAnsi="Times New Roman"/>
          <w:noProof/>
          <w:color w:val="000000"/>
          <w:sz w:val="24"/>
        </w:rPr>
        <w:t>tehnisko spēju izmantošanu tiesībaizsardzības un tiesu iestādēs. Turklāt attiecīgā gadījumā tehnoloģiju divējāda lietojuma potenciāls būtu jāizmanto abos virzienos (civilo tehnoloģiju izmantošana aizsardzībā un otrādi)</w:t>
      </w:r>
      <w:r w:rsidRPr="000164CE">
        <w:rPr>
          <w:rFonts w:ascii="Times New Roman" w:eastAsia="Times New Roman" w:hAnsi="Times New Roman" w:cs="Times New Roman"/>
          <w:noProof/>
          <w:color w:val="000000"/>
          <w:kern w:val="2"/>
          <w:sz w:val="24"/>
          <w:szCs w:val="24"/>
          <w:vertAlign w:val="superscript"/>
          <w:lang w:val="en-GB"/>
        </w:rPr>
        <w:footnoteReference w:id="29"/>
      </w:r>
      <w:r>
        <w:rPr>
          <w:rFonts w:ascii="Times New Roman" w:hAnsi="Times New Roman"/>
          <w:noProof/>
          <w:color w:val="000000"/>
          <w:sz w:val="24"/>
        </w:rPr>
        <w:t xml:space="preserve">. </w:t>
      </w:r>
    </w:p>
    <w:p w14:paraId="6BDB7C31" w14:textId="09AAE763" w:rsidR="000164CE" w:rsidRDefault="000164CE" w:rsidP="000164CE">
      <w:pPr>
        <w:spacing w:after="24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noProof/>
          <w:sz w:val="24"/>
        </w:rPr>
        <w:t>ES Iekšējās drošības inovācijas centrs</w:t>
      </w:r>
      <w:r w:rsidRPr="000164CE">
        <w:rPr>
          <w:rFonts w:ascii="Times New Roman" w:eastAsia="Calibri" w:hAnsi="Times New Roman" w:cs="Arial"/>
          <w:noProof/>
          <w:kern w:val="2"/>
          <w:sz w:val="24"/>
          <w:vertAlign w:val="superscript"/>
          <w:lang w:val="en-GB"/>
        </w:rPr>
        <w:footnoteReference w:id="30"/>
      </w:r>
      <w:r>
        <w:rPr>
          <w:rFonts w:ascii="Times New Roman" w:hAnsi="Times New Roman"/>
          <w:noProof/>
          <w:sz w:val="24"/>
        </w:rPr>
        <w:t> – inovācijas laboratoriju tīkls, kas nodrošina jaunākos inovācijas atjauninājumus un iedarbīgus risinājumus iekšējās drošības dalībnieku darba atbalstam ES un dalībvalstīs – palīdzēs integrēt pētniecību praksē un politikā. Lai uzlabotu Eiropola darbības efektivitāti, ir jāstiprina tā rīku repozitorijs (</w:t>
      </w:r>
      <w:r>
        <w:rPr>
          <w:rFonts w:ascii="Times New Roman" w:hAnsi="Times New Roman"/>
          <w:i/>
          <w:iCs/>
          <w:noProof/>
          <w:sz w:val="24"/>
        </w:rPr>
        <w:t>ETR</w:t>
      </w:r>
      <w:r>
        <w:rPr>
          <w:rFonts w:ascii="Times New Roman" w:hAnsi="Times New Roman"/>
          <w:noProof/>
          <w:sz w:val="24"/>
        </w:rPr>
        <w:t xml:space="preserve">), kas Eiropolam dod iespēju identificēt, izstrādāt, kopīgi iepirkt un operatīvi izmantot progresīvas tehnoloģijas. Turklāt Komisija Kopīgajā pētniecības centrā izveidos </w:t>
      </w:r>
      <w:r>
        <w:rPr>
          <w:rFonts w:ascii="Times New Roman" w:hAnsi="Times New Roman"/>
          <w:b/>
          <w:noProof/>
          <w:sz w:val="24"/>
        </w:rPr>
        <w:t>drošības pētniecības un inovācijas centru</w:t>
      </w:r>
      <w:r>
        <w:rPr>
          <w:rFonts w:ascii="Times New Roman" w:hAnsi="Times New Roman"/>
          <w:noProof/>
          <w:sz w:val="24"/>
        </w:rPr>
        <w:t>, kas apvienos pētniekus, lai saīsinātu ciklu no pētniecības rezultātiem līdz inovācijai, izstrādei un sekmīgai īstenošanai, vienlaikus samazinot izstrādes, testēšanas un apstiprināšanas izmaksas</w:t>
      </w:r>
      <w:r>
        <w:rPr>
          <w:rFonts w:ascii="Times New Roman" w:hAnsi="Times New Roman"/>
          <w:noProof/>
          <w:color w:val="000000"/>
          <w:sz w:val="24"/>
        </w:rPr>
        <w:t>.</w:t>
      </w:r>
    </w:p>
    <w:p w14:paraId="6C0D4EBD" w14:textId="55929B86" w:rsidR="000A2ACC" w:rsidRPr="000164CE" w:rsidRDefault="000A2ACC" w:rsidP="000164CE">
      <w:pPr>
        <w:spacing w:after="24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Mūsu </w:t>
      </w:r>
      <w:r>
        <w:rPr>
          <w:rFonts w:ascii="Times New Roman" w:hAnsi="Times New Roman"/>
          <w:b/>
          <w:noProof/>
          <w:color w:val="000000"/>
          <w:sz w:val="24"/>
        </w:rPr>
        <w:t>Eiropas pētniecības telpa</w:t>
      </w:r>
      <w:r>
        <w:rPr>
          <w:rFonts w:ascii="Times New Roman" w:hAnsi="Times New Roman"/>
          <w:noProof/>
          <w:color w:val="000000"/>
          <w:sz w:val="24"/>
        </w:rPr>
        <w:t xml:space="preserve"> pēc savas būtības ir sadarbīga, un tāpēc tajā ir iespējama ārvalstu iejaukšanās un dezinformācija. Pēc tam, kad Padome būs pieņēmusi ieteikumu par pētniecības drošību</w:t>
      </w:r>
      <w:r>
        <w:rPr>
          <w:rStyle w:val="FootnoteReference"/>
          <w:rFonts w:ascii="Times New Roman" w:eastAsia="Times New Roman" w:hAnsi="Times New Roman" w:cs="Times New Roman"/>
          <w:noProof/>
          <w:color w:val="000000"/>
          <w:kern w:val="2"/>
          <w:sz w:val="24"/>
          <w:szCs w:val="24"/>
          <w:lang w:val="en-GB"/>
        </w:rPr>
        <w:footnoteReference w:id="31"/>
      </w:r>
      <w:r>
        <w:rPr>
          <w:rFonts w:ascii="Times New Roman" w:hAnsi="Times New Roman"/>
          <w:noProof/>
          <w:color w:val="000000"/>
          <w:sz w:val="24"/>
        </w:rPr>
        <w:t>, Komisija un dalībvalstis veiks pasākumus, lai palielinātu attiecīgo dalībnieku spējas, cita starpā izveidojot pētniecības drošības ekspertīzes centru</w:t>
      </w:r>
    </w:p>
    <w:tbl>
      <w:tblPr>
        <w:tblStyle w:val="TableGrid"/>
        <w:tblW w:w="0" w:type="auto"/>
        <w:tblLook w:val="04A0" w:firstRow="1" w:lastRow="0" w:firstColumn="1" w:lastColumn="0" w:noHBand="0" w:noVBand="1"/>
      </w:tblPr>
      <w:tblGrid>
        <w:gridCol w:w="9062"/>
      </w:tblGrid>
      <w:tr w:rsidR="000164CE" w:rsidRPr="000164CE" w14:paraId="24D944C0" w14:textId="77777777" w:rsidTr="00F254E9">
        <w:trPr>
          <w:trHeight w:val="416"/>
        </w:trPr>
        <w:tc>
          <w:tcPr>
            <w:tcW w:w="0" w:type="auto"/>
            <w:tcBorders>
              <w:top w:val="single" w:sz="4" w:space="0" w:color="auto"/>
              <w:left w:val="single" w:sz="4" w:space="0" w:color="auto"/>
              <w:bottom w:val="single" w:sz="4" w:space="0" w:color="auto"/>
              <w:right w:val="single" w:sz="4" w:space="0" w:color="auto"/>
            </w:tcBorders>
            <w:hideMark/>
          </w:tcPr>
          <w:p w14:paraId="5E38486E" w14:textId="1317A521" w:rsidR="000164CE" w:rsidRPr="000164CE" w:rsidRDefault="000164CE" w:rsidP="000164CE">
            <w:pPr>
              <w:spacing w:after="120"/>
              <w:jc w:val="both"/>
              <w:rPr>
                <w:b/>
                <w:bCs/>
                <w:i/>
                <w:iCs/>
                <w:noProof/>
              </w:rPr>
            </w:pPr>
            <w:r>
              <w:rPr>
                <w:b/>
                <w:i/>
                <w:noProof/>
              </w:rPr>
              <w:t>Pamatdarbības</w:t>
            </w:r>
          </w:p>
          <w:p w14:paraId="303F7BB4" w14:textId="77777777" w:rsidR="000164CE" w:rsidRPr="000164CE" w:rsidRDefault="000164CE" w:rsidP="000164CE">
            <w:pPr>
              <w:spacing w:after="120"/>
              <w:jc w:val="both"/>
              <w:rPr>
                <w:b/>
                <w:bCs/>
                <w:noProof/>
              </w:rPr>
            </w:pPr>
            <w:r>
              <w:rPr>
                <w:b/>
                <w:noProof/>
              </w:rPr>
              <w:t>Komisija 2026. gadā pieņems:</w:t>
            </w:r>
          </w:p>
          <w:p w14:paraId="0E7976C5" w14:textId="26B34A49" w:rsidR="000164CE" w:rsidRPr="000164CE" w:rsidRDefault="000164CE" w:rsidP="00D42D83">
            <w:pPr>
              <w:numPr>
                <w:ilvl w:val="0"/>
                <w:numId w:val="11"/>
              </w:numPr>
              <w:spacing w:after="120"/>
              <w:contextualSpacing/>
              <w:jc w:val="both"/>
              <w:rPr>
                <w:b/>
                <w:bCs/>
                <w:noProof/>
              </w:rPr>
            </w:pPr>
            <w:r>
              <w:rPr>
                <w:b/>
                <w:noProof/>
              </w:rPr>
              <w:t>tiesību akta priekšlikumu, lai pārveidotu Eiropolu par patiesi funkcionējošu tiesībaizsardzības aģentūru;</w:t>
            </w:r>
          </w:p>
          <w:p w14:paraId="64CE16E4" w14:textId="47359D5F" w:rsidR="000164CE" w:rsidRPr="000164CE" w:rsidRDefault="000164CE" w:rsidP="00D42D83">
            <w:pPr>
              <w:numPr>
                <w:ilvl w:val="0"/>
                <w:numId w:val="11"/>
              </w:numPr>
              <w:spacing w:after="120"/>
              <w:contextualSpacing/>
              <w:jc w:val="both"/>
              <w:rPr>
                <w:b/>
                <w:bCs/>
                <w:noProof/>
              </w:rPr>
            </w:pPr>
            <w:r>
              <w:rPr>
                <w:b/>
                <w:noProof/>
              </w:rPr>
              <w:t xml:space="preserve">tiesību akta priekšlikumu </w:t>
            </w:r>
            <w:r>
              <w:rPr>
                <w:b/>
                <w:i/>
                <w:iCs/>
                <w:noProof/>
              </w:rPr>
              <w:t>Eurojust</w:t>
            </w:r>
            <w:r>
              <w:rPr>
                <w:b/>
                <w:noProof/>
              </w:rPr>
              <w:t xml:space="preserve"> stiprināšanai;</w:t>
            </w:r>
          </w:p>
          <w:p w14:paraId="515112ED" w14:textId="6EE330F5" w:rsidR="000164CE" w:rsidRPr="000164CE" w:rsidDel="00306111" w:rsidRDefault="000164CE" w:rsidP="00D42D83">
            <w:pPr>
              <w:numPr>
                <w:ilvl w:val="0"/>
                <w:numId w:val="11"/>
              </w:numPr>
              <w:spacing w:after="120"/>
              <w:contextualSpacing/>
              <w:jc w:val="both"/>
              <w:rPr>
                <w:b/>
                <w:bCs/>
                <w:noProof/>
                <w:color w:val="000000"/>
              </w:rPr>
            </w:pPr>
            <w:r>
              <w:rPr>
                <w:b/>
                <w:noProof/>
                <w:color w:val="000000"/>
              </w:rPr>
              <w:t xml:space="preserve">tiesību akta priekšlikumu par </w:t>
            </w:r>
            <w:r>
              <w:rPr>
                <w:b/>
                <w:i/>
                <w:iCs/>
                <w:noProof/>
                <w:color w:val="000000"/>
              </w:rPr>
              <w:t>Frontex</w:t>
            </w:r>
            <w:r>
              <w:rPr>
                <w:b/>
                <w:noProof/>
                <w:color w:val="000000"/>
              </w:rPr>
              <w:t xml:space="preserve"> lomas un uzdevumu pastiprināšanu;</w:t>
            </w:r>
          </w:p>
          <w:p w14:paraId="2E4FEFBB" w14:textId="1CDA12FA" w:rsidR="000164CE" w:rsidRPr="000164CE" w:rsidRDefault="000164CE" w:rsidP="00D42D83">
            <w:pPr>
              <w:numPr>
                <w:ilvl w:val="0"/>
                <w:numId w:val="11"/>
              </w:numPr>
              <w:spacing w:after="120"/>
              <w:contextualSpacing/>
              <w:rPr>
                <w:b/>
                <w:bCs/>
                <w:noProof/>
              </w:rPr>
            </w:pPr>
            <w:r>
              <w:rPr>
                <w:b/>
                <w:noProof/>
              </w:rPr>
              <w:t>tiesību akta priekšlikumu par Eiropas kritisko sakaru sistēmas izveidi.</w:t>
            </w:r>
          </w:p>
          <w:p w14:paraId="4BACA669" w14:textId="77777777" w:rsidR="000164CE" w:rsidRPr="000164CE" w:rsidRDefault="000164CE" w:rsidP="007D1E7C">
            <w:pPr>
              <w:spacing w:before="240" w:after="120"/>
              <w:rPr>
                <w:b/>
                <w:bCs/>
                <w:noProof/>
              </w:rPr>
            </w:pPr>
            <w:r>
              <w:rPr>
                <w:b/>
                <w:noProof/>
              </w:rPr>
              <w:t>Komisija:</w:t>
            </w:r>
          </w:p>
          <w:p w14:paraId="3978DCF1" w14:textId="7516D0EA" w:rsidR="000164CE" w:rsidRPr="000164CE" w:rsidRDefault="000164CE" w:rsidP="00D42D83">
            <w:pPr>
              <w:numPr>
                <w:ilvl w:val="0"/>
                <w:numId w:val="11"/>
              </w:numPr>
              <w:spacing w:after="120"/>
              <w:contextualSpacing/>
              <w:jc w:val="both"/>
              <w:rPr>
                <w:b/>
                <w:bCs/>
                <w:noProof/>
              </w:rPr>
            </w:pPr>
            <w:r>
              <w:rPr>
                <w:b/>
                <w:noProof/>
              </w:rPr>
              <w:t>2025. gadā nāks klajā ar ceļvedi, kurā izklāstīta turpmākā virzība uz likumīgu un operatīvu piekļuvi datiem tiesībaizsardzības nolūkos;</w:t>
            </w:r>
          </w:p>
          <w:p w14:paraId="6CC0D85F" w14:textId="2DAADAF1" w:rsidR="000164CE" w:rsidRPr="000164CE" w:rsidRDefault="000164CE" w:rsidP="00D42D83">
            <w:pPr>
              <w:numPr>
                <w:ilvl w:val="0"/>
                <w:numId w:val="11"/>
              </w:numPr>
              <w:spacing w:after="120"/>
              <w:contextualSpacing/>
              <w:jc w:val="both"/>
              <w:rPr>
                <w:b/>
                <w:bCs/>
                <w:noProof/>
              </w:rPr>
            </w:pPr>
            <w:r>
              <w:rPr>
                <w:b/>
                <w:noProof/>
              </w:rPr>
              <w:t>2025. gadā sagatavos ietekmes novērtējumu, lai vajadzības gadījumā atjauninātu noteikumus par datu saglabāšanu ES līmenī;</w:t>
            </w:r>
          </w:p>
          <w:p w14:paraId="3D39B803" w14:textId="0759A7E2" w:rsidR="000164CE" w:rsidRPr="000164CE" w:rsidRDefault="000164CE" w:rsidP="00D42D83">
            <w:pPr>
              <w:numPr>
                <w:ilvl w:val="0"/>
                <w:numId w:val="11"/>
              </w:numPr>
              <w:spacing w:after="120"/>
              <w:contextualSpacing/>
              <w:jc w:val="both"/>
              <w:rPr>
                <w:b/>
                <w:bCs/>
                <w:noProof/>
              </w:rPr>
            </w:pPr>
            <w:r>
              <w:rPr>
                <w:b/>
                <w:noProof/>
              </w:rPr>
              <w:t xml:space="preserve">2026. gadā nāks klajā ar tehnoloģiju ceļvedi šifrēšanas jomā, lai apzinātu un novērtētu tehnoloģiskus risinājumus, kas ļautu tiesībaizsardzības iestādēm likumīgi piekļūt datiem; </w:t>
            </w:r>
          </w:p>
          <w:p w14:paraId="3B05A986" w14:textId="500885B3" w:rsidR="002B72F0" w:rsidRPr="002B72F0" w:rsidRDefault="00484116" w:rsidP="00D42D83">
            <w:pPr>
              <w:numPr>
                <w:ilvl w:val="0"/>
                <w:numId w:val="11"/>
              </w:numPr>
              <w:spacing w:after="120"/>
              <w:contextualSpacing/>
              <w:jc w:val="both"/>
              <w:rPr>
                <w:b/>
                <w:bCs/>
                <w:noProof/>
              </w:rPr>
            </w:pPr>
            <w:r>
              <w:rPr>
                <w:b/>
                <w:noProof/>
              </w:rPr>
              <w:t>strādās, lai izveidotu augsta līmeņa grupu nolūkā stiprināt operatīvo sadarbību tiesībaizsardzības jomā</w:t>
            </w:r>
          </w:p>
          <w:p w14:paraId="5E349E9E" w14:textId="0682DF4E" w:rsidR="000164CE" w:rsidRPr="005A3181" w:rsidRDefault="000164CE" w:rsidP="005A3181">
            <w:pPr>
              <w:numPr>
                <w:ilvl w:val="0"/>
                <w:numId w:val="11"/>
              </w:numPr>
              <w:spacing w:after="120"/>
              <w:contextualSpacing/>
              <w:jc w:val="both"/>
              <w:rPr>
                <w:b/>
                <w:bCs/>
                <w:noProof/>
                <w:color w:val="000000"/>
              </w:rPr>
            </w:pPr>
            <w:r>
              <w:rPr>
                <w:b/>
                <w:noProof/>
                <w:color w:val="000000"/>
              </w:rPr>
              <w:t>2026. gadā izveidos drošības pētniecības un inovācijas centru Kopīgajā pētniecības centrā.</w:t>
            </w:r>
          </w:p>
          <w:p w14:paraId="23B5EDFD" w14:textId="65BD6DA1" w:rsidR="000164CE" w:rsidRPr="000164CE" w:rsidRDefault="000164CE" w:rsidP="007D1E7C">
            <w:pPr>
              <w:spacing w:before="240" w:after="120"/>
              <w:rPr>
                <w:b/>
                <w:bCs/>
                <w:noProof/>
              </w:rPr>
            </w:pPr>
            <w:r>
              <w:rPr>
                <w:b/>
                <w:noProof/>
              </w:rPr>
              <w:t>Komisija sadarbībā ar dalībvalstīm un attiecīgajām ES aģentūrām:</w:t>
            </w:r>
          </w:p>
          <w:p w14:paraId="1577CD8B" w14:textId="2F239F78" w:rsidR="000164CE" w:rsidRPr="000164CE" w:rsidRDefault="000164CE" w:rsidP="00D42D83">
            <w:pPr>
              <w:numPr>
                <w:ilvl w:val="0"/>
                <w:numId w:val="11"/>
              </w:numPr>
              <w:spacing w:after="120"/>
              <w:contextualSpacing/>
              <w:jc w:val="both"/>
              <w:rPr>
                <w:b/>
                <w:bCs/>
                <w:noProof/>
              </w:rPr>
            </w:pPr>
            <w:r>
              <w:rPr>
                <w:b/>
                <w:noProof/>
              </w:rPr>
              <w:t xml:space="preserve">stiprinās </w:t>
            </w:r>
            <w:r>
              <w:rPr>
                <w:b/>
                <w:i/>
                <w:iCs/>
                <w:noProof/>
              </w:rPr>
              <w:t>EMPACT</w:t>
            </w:r>
            <w:r>
              <w:rPr>
                <w:b/>
                <w:noProof/>
              </w:rPr>
              <w:t xml:space="preserve"> arhitektūru;</w:t>
            </w:r>
          </w:p>
          <w:p w14:paraId="3014FDAD" w14:textId="77777777" w:rsidR="000164CE" w:rsidRPr="000164CE" w:rsidRDefault="000164CE" w:rsidP="00D42D83">
            <w:pPr>
              <w:numPr>
                <w:ilvl w:val="0"/>
                <w:numId w:val="11"/>
              </w:numPr>
              <w:spacing w:after="120"/>
              <w:contextualSpacing/>
              <w:jc w:val="both"/>
              <w:rPr>
                <w:b/>
                <w:bCs/>
                <w:noProof/>
              </w:rPr>
            </w:pPr>
            <w:r>
              <w:rPr>
                <w:b/>
                <w:noProof/>
              </w:rPr>
              <w:t xml:space="preserve">strādās, lai ātri ieviestu sadarbspējas arhitektūru un īstenotu Prīme II regulu; </w:t>
            </w:r>
          </w:p>
          <w:p w14:paraId="3054A7D2" w14:textId="04A97A3E" w:rsidR="000164CE" w:rsidRPr="000164CE" w:rsidRDefault="000164CE" w:rsidP="00D42D83">
            <w:pPr>
              <w:numPr>
                <w:ilvl w:val="0"/>
                <w:numId w:val="11"/>
              </w:numPr>
              <w:spacing w:after="120"/>
              <w:contextualSpacing/>
              <w:jc w:val="both"/>
              <w:rPr>
                <w:b/>
                <w:bCs/>
                <w:noProof/>
              </w:rPr>
            </w:pPr>
            <w:r>
              <w:rPr>
                <w:b/>
                <w:noProof/>
              </w:rPr>
              <w:t>stiprinās ceļošanas informācijas sistēmu.</w:t>
            </w:r>
          </w:p>
          <w:p w14:paraId="3AB6F230" w14:textId="77777777" w:rsidR="000164CE" w:rsidRPr="000164CE" w:rsidRDefault="000164CE" w:rsidP="007D1E7C">
            <w:pPr>
              <w:spacing w:before="240" w:after="120"/>
              <w:rPr>
                <w:b/>
                <w:bCs/>
                <w:noProof/>
              </w:rPr>
            </w:pPr>
            <w:r>
              <w:rPr>
                <w:b/>
                <w:noProof/>
              </w:rPr>
              <w:t xml:space="preserve">Dalībvalstis tiek mudinātas: </w:t>
            </w:r>
          </w:p>
          <w:p w14:paraId="1775FF8B" w14:textId="0E9E1A68" w:rsidR="000164CE" w:rsidRPr="000164CE" w:rsidRDefault="000164CE" w:rsidP="007D1E7C">
            <w:pPr>
              <w:numPr>
                <w:ilvl w:val="0"/>
                <w:numId w:val="11"/>
              </w:numPr>
              <w:spacing w:after="120"/>
              <w:ind w:left="357" w:hanging="357"/>
              <w:jc w:val="both"/>
              <w:rPr>
                <w:b/>
                <w:bCs/>
                <w:noProof/>
              </w:rPr>
            </w:pPr>
            <w:r>
              <w:rPr>
                <w:b/>
                <w:noProof/>
              </w:rPr>
              <w:t>transponēt un pilnībā īstenot Informācijas apmaiņas direktīvu</w:t>
            </w:r>
          </w:p>
        </w:tc>
      </w:tr>
    </w:tbl>
    <w:p w14:paraId="3E2F37A4"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14:ligatures w14:val="standardContextual"/>
        </w:rPr>
      </w:pPr>
      <w:r>
        <w:rPr>
          <w:rFonts w:ascii="Times New Roman" w:hAnsi="Times New Roman"/>
          <w:b/>
          <w:noProof/>
          <w:sz w:val="24"/>
        </w:rPr>
        <w:t>Noturība pret hibrīddraudiem un citām naidīgām darbībām</w:t>
      </w:r>
    </w:p>
    <w:p w14:paraId="347669C4" w14:textId="2B719E8E" w:rsidR="000164CE" w:rsidRPr="000164CE" w:rsidRDefault="000164CE" w:rsidP="000164CE">
      <w:pPr>
        <w:pBdr>
          <w:top w:val="single" w:sz="4" w:space="1" w:color="auto"/>
          <w:left w:val="single" w:sz="4" w:space="4" w:color="auto"/>
          <w:bottom w:val="single" w:sz="4" w:space="1" w:color="auto"/>
          <w:right w:val="single" w:sz="4" w:space="0" w:color="auto"/>
        </w:pBdr>
        <w:spacing w:after="120" w:line="240" w:lineRule="auto"/>
        <w:jc w:val="both"/>
        <w:rPr>
          <w:rFonts w:ascii="Times New Roman" w:eastAsia="Times New Roman" w:hAnsi="Times New Roman" w:cs="Times New Roman"/>
          <w:i/>
          <w:iCs/>
          <w:noProof/>
          <w:color w:val="000000"/>
          <w:kern w:val="2"/>
          <w:sz w:val="24"/>
          <w:szCs w:val="24"/>
          <w14:ligatures w14:val="standardContextual"/>
        </w:rPr>
      </w:pPr>
      <w:r>
        <w:rPr>
          <w:rFonts w:ascii="Times New Roman" w:hAnsi="Times New Roman"/>
          <w:i/>
          <w:noProof/>
          <w:color w:val="000000"/>
          <w:sz w:val="24"/>
        </w:rPr>
        <w:t>Mēs veidosim noturību pret hibrīddraudiem, uzlabojot kritiskās infrastruktūras aizsardzību, stiprinot kiberdrošību, uzlabojot transporta mezglu un ostu drošību un apkarojot draudus tiešsaistē.</w:t>
      </w:r>
    </w:p>
    <w:p w14:paraId="3DC46037" w14:textId="74C3401D"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Ir palielinājies tādu naidīgu darbību biežums un sarežģītība, kas apdraud ES drošību, un ļaunprātīgi aktori ir ievērojami paplašinājuši savu arsenālu. Ir pastiprinājušās hibrīdkampaņas, kas vērstas pret ES, tās dalībvalstīm un partneriem, un tās ietver sabotāžas aktus, kas vērsti pret kritisko infrastruktūru, dedzināšanu, kiberuzbrukumus, iejaukšanos vēlēšanās, ārvalstu iejaukšanos un manipulāciju ar informāciju (</w:t>
      </w:r>
      <w:r>
        <w:rPr>
          <w:rFonts w:ascii="Times New Roman" w:hAnsi="Times New Roman"/>
          <w:i/>
          <w:iCs/>
          <w:noProof/>
          <w:color w:val="000000"/>
          <w:sz w:val="24"/>
        </w:rPr>
        <w:t>FIMI</w:t>
      </w:r>
      <w:r>
        <w:rPr>
          <w:rFonts w:ascii="Times New Roman" w:hAnsi="Times New Roman"/>
          <w:noProof/>
          <w:color w:val="000000"/>
          <w:sz w:val="24"/>
        </w:rPr>
        <w:t xml:space="preserve">), arī dezinformāciju, un migrācijas izmantošana par ieroci. Ņemot vērā Savienības iestāžu, struktūru, biroju un aģentūru (“Savienības vienības”) politisko un operatīvo lomu un apstrādātās informācijas raksturu, tās nav pasargātas no šādām darbībām. </w:t>
      </w:r>
    </w:p>
    <w:p w14:paraId="31ABF9EB"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ES ir </w:t>
      </w:r>
      <w:r>
        <w:rPr>
          <w:rFonts w:ascii="Times New Roman" w:hAnsi="Times New Roman"/>
          <w:b/>
          <w:noProof/>
          <w:color w:val="000000"/>
          <w:sz w:val="24"/>
        </w:rPr>
        <w:t>jāuzlabo sava noturība</w:t>
      </w:r>
      <w:r>
        <w:rPr>
          <w:rFonts w:ascii="Times New Roman" w:hAnsi="Times New Roman"/>
          <w:noProof/>
          <w:color w:val="000000"/>
          <w:sz w:val="24"/>
        </w:rPr>
        <w:t xml:space="preserve">, efektīvi jāizmanto pašreizējie instrumenti un jāizstrādā jauni veidi, kā stāties pretī šiem mainīgajiem draudiem, ko rada valstiski un nevalstiski aktori gan tagad, gan nākotnē. </w:t>
      </w:r>
    </w:p>
    <w:p w14:paraId="2D9F8157"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Kritiskā infrastruktūra</w:t>
      </w:r>
    </w:p>
    <w:p w14:paraId="5B31BFB2" w14:textId="23F87DB1"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Draudi </w:t>
      </w:r>
      <w:r>
        <w:rPr>
          <w:rFonts w:ascii="Times New Roman" w:hAnsi="Times New Roman"/>
          <w:b/>
          <w:noProof/>
          <w:color w:val="000000"/>
          <w:sz w:val="24"/>
        </w:rPr>
        <w:t>kritiskajai infrastruktūrai</w:t>
      </w:r>
      <w:r>
        <w:rPr>
          <w:rFonts w:ascii="Times New Roman" w:hAnsi="Times New Roman"/>
          <w:noProof/>
          <w:color w:val="000000"/>
          <w:sz w:val="24"/>
        </w:rPr>
        <w:t xml:space="preserve">, tai skaitā hibrīddraudi, piemēram, sabotāža un ļaunprātīgas kiberdarbības, rada nopietnas bažas, īpaši attiecībā uz infrastruktūru, kas savieno dalībvalstis – neatkarīgi no tā, vai tie ir enerģētikas savienotāji, pārrobežu sakaru kabeļi vai transporta tīkli. Kopš Krievijas agresijas kara pret Ukrainu ir palielinājies sabotāžas gadījumu skaits, kas vērsti pret kritisko infrastruktūru, īpaši 2024. gadā, un tas skar daudzas dalībvalstis. Sadarbība starp tiesībaizsardzības, drošības un kiberdrošības dienestiem, militāro un civilo aizsardzību un privātajiem operatoriem ir būtiska, lai efektīvi prognozētu, atklātu, novērstu šādas darbības un reaģētu uz tām. </w:t>
      </w:r>
    </w:p>
    <w:p w14:paraId="1E93E862" w14:textId="70C16B59"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Kritisko vienību neaizsargātības mazināšana un noturības stiprināšana ir obligāta, lai nodrošinātu ekonomikai un sabiedrībai vitāli svarīgu pamatpakalpojumu nepārtrauktu sniegšanu. Tāpēc šajā sakarā ir ļoti svarīgi, lai visas dalībvalstis laikus transponētu un pareizi īstenotu </w:t>
      </w:r>
      <w:r>
        <w:rPr>
          <w:rFonts w:ascii="Times New Roman" w:hAnsi="Times New Roman"/>
          <w:b/>
          <w:noProof/>
          <w:color w:val="000000"/>
          <w:sz w:val="24"/>
        </w:rPr>
        <w:t>Kritisko vienību noturības (</w:t>
      </w:r>
      <w:r>
        <w:rPr>
          <w:rFonts w:ascii="Times New Roman" w:hAnsi="Times New Roman"/>
          <w:b/>
          <w:i/>
          <w:iCs/>
          <w:noProof/>
          <w:color w:val="000000"/>
          <w:sz w:val="24"/>
        </w:rPr>
        <w:t>CER</w:t>
      </w:r>
      <w:r>
        <w:rPr>
          <w:rFonts w:ascii="Times New Roman" w:hAnsi="Times New Roman"/>
          <w:b/>
          <w:noProof/>
          <w:color w:val="000000"/>
          <w:sz w:val="24"/>
        </w:rPr>
        <w:t>) direktīvu</w:t>
      </w:r>
      <w:r w:rsidRPr="000164CE">
        <w:rPr>
          <w:rFonts w:ascii="Times New Roman" w:eastAsia="Times New Roman" w:hAnsi="Times New Roman" w:cs="Times New Roman"/>
          <w:noProof/>
          <w:color w:val="000000"/>
          <w:kern w:val="2"/>
          <w:sz w:val="24"/>
          <w:szCs w:val="24"/>
          <w:vertAlign w:val="superscript"/>
          <w:lang w:val="en-GB"/>
        </w:rPr>
        <w:footnoteReference w:id="32"/>
      </w:r>
      <w:r>
        <w:rPr>
          <w:rFonts w:ascii="Calibri" w:hAnsi="Calibri"/>
          <w:noProof/>
          <w:vertAlign w:val="superscript"/>
        </w:rPr>
        <w:t xml:space="preserve"> </w:t>
      </w:r>
      <w:r>
        <w:rPr>
          <w:rFonts w:ascii="Times New Roman" w:hAnsi="Times New Roman"/>
          <w:noProof/>
          <w:color w:val="000000"/>
          <w:sz w:val="24"/>
        </w:rPr>
        <w:t xml:space="preserve">un </w:t>
      </w:r>
      <w:r>
        <w:rPr>
          <w:rFonts w:ascii="Times New Roman" w:hAnsi="Times New Roman"/>
          <w:b/>
          <w:noProof/>
          <w:color w:val="000000"/>
          <w:sz w:val="24"/>
        </w:rPr>
        <w:t>Direktīvu, ar ko paredz pasākumus nolūkā panākt vienādi augstu kiberdrošības līmeni visā Savienībā (TID 2)</w:t>
      </w:r>
      <w:r w:rsidR="009E12A5" w:rsidRPr="000164CE">
        <w:rPr>
          <w:rFonts w:ascii="Times New Roman" w:eastAsia="Times New Roman" w:hAnsi="Times New Roman" w:cs="Times New Roman"/>
          <w:noProof/>
          <w:kern w:val="2"/>
          <w:sz w:val="24"/>
          <w:szCs w:val="24"/>
          <w:vertAlign w:val="superscript"/>
          <w:lang w:val="en-GB"/>
        </w:rPr>
        <w:footnoteReference w:id="33"/>
      </w:r>
      <w:r>
        <w:rPr>
          <w:rFonts w:ascii="Times New Roman" w:hAnsi="Times New Roman"/>
          <w:noProof/>
          <w:color w:val="000000"/>
          <w:sz w:val="24"/>
        </w:rPr>
        <w:t xml:space="preserve">. </w:t>
      </w:r>
    </w:p>
    <w:p w14:paraId="2B46AD7A" w14:textId="4E045C77" w:rsidR="000164CE" w:rsidRPr="000164CE" w:rsidRDefault="000164CE" w:rsidP="00B52F42">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sz w:val="24"/>
        </w:rPr>
        <w:t xml:space="preserve">Lai nodrošinātu ātru virzību uz priekšu, </w:t>
      </w:r>
      <w:r>
        <w:rPr>
          <w:rFonts w:ascii="Times New Roman" w:hAnsi="Times New Roman"/>
          <w:noProof/>
          <w:color w:val="000000"/>
          <w:sz w:val="24"/>
        </w:rPr>
        <w:t xml:space="preserve">Komisija sadarbībā ar </w:t>
      </w:r>
      <w:r>
        <w:rPr>
          <w:rFonts w:ascii="Times New Roman" w:hAnsi="Times New Roman"/>
          <w:b/>
          <w:noProof/>
          <w:color w:val="000000"/>
          <w:sz w:val="24"/>
        </w:rPr>
        <w:t>Kritisko vienību noturības grupu un TID sadarbības grupu</w:t>
      </w:r>
      <w:r>
        <w:rPr>
          <w:rFonts w:ascii="Times New Roman" w:hAnsi="Times New Roman"/>
          <w:noProof/>
          <w:color w:val="000000"/>
          <w:sz w:val="24"/>
        </w:rPr>
        <w:t xml:space="preserve"> </w:t>
      </w:r>
      <w:r>
        <w:rPr>
          <w:rFonts w:ascii="Times New Roman" w:hAnsi="Times New Roman"/>
          <w:noProof/>
          <w:sz w:val="24"/>
        </w:rPr>
        <w:t>palīdzēs dalībvalstu kritisko vienību</w:t>
      </w:r>
      <w:r w:rsidRPr="000164CE">
        <w:rPr>
          <w:rFonts w:ascii="Times New Roman" w:eastAsia="Times New Roman" w:hAnsi="Times New Roman" w:cs="Times New Roman"/>
          <w:noProof/>
          <w:color w:val="000000"/>
          <w:kern w:val="2"/>
          <w:sz w:val="24"/>
          <w:szCs w:val="24"/>
          <w:vertAlign w:val="superscript"/>
          <w:lang w:val="en-IE"/>
        </w:rPr>
        <w:footnoteReference w:id="34"/>
      </w:r>
      <w:r>
        <w:rPr>
          <w:rFonts w:ascii="Times New Roman" w:hAnsi="Times New Roman"/>
          <w:noProof/>
          <w:sz w:val="24"/>
        </w:rPr>
        <w:t xml:space="preserve"> apzināšanā un labas prakses apmaiņā par valstu stratēģijām un riska novērtējumiem attiecībā uz pamatpakalpojumiem.</w:t>
      </w:r>
      <w:r>
        <w:rPr>
          <w:rFonts w:ascii="Times New Roman" w:hAnsi="Times New Roman"/>
          <w:noProof/>
          <w:color w:val="000000"/>
          <w:sz w:val="24"/>
        </w:rPr>
        <w:t xml:space="preserve"> Ja rastos kritiskās infrastruktūras traucējumi ar būtisku pārrobežu ietekmi, ES līmeņa reakcijas koordinēšanai tiks izmantots </w:t>
      </w:r>
      <w:r>
        <w:rPr>
          <w:rFonts w:ascii="Times New Roman" w:hAnsi="Times New Roman"/>
          <w:b/>
          <w:noProof/>
          <w:color w:val="000000"/>
          <w:sz w:val="24"/>
        </w:rPr>
        <w:t>ES kritiskās infrastruktūras plāns</w:t>
      </w:r>
      <w:r>
        <w:rPr>
          <w:rFonts w:ascii="Times New Roman" w:hAnsi="Times New Roman"/>
          <w:noProof/>
          <w:sz w:val="24"/>
        </w:rPr>
        <w:t xml:space="preserve">. Komisija mudina Padomi ātri pieņemt </w:t>
      </w:r>
      <w:r>
        <w:rPr>
          <w:rFonts w:ascii="Times New Roman" w:hAnsi="Times New Roman"/>
          <w:b/>
          <w:noProof/>
          <w:sz w:val="24"/>
        </w:rPr>
        <w:t>ES kiberdrošības plānu</w:t>
      </w:r>
      <w:r>
        <w:rPr>
          <w:rFonts w:ascii="Times New Roman" w:hAnsi="Times New Roman"/>
          <w:noProof/>
          <w:sz w:val="24"/>
        </w:rPr>
        <w:t>, kas vēl vairāk stiprinās koordināciju krīzes pārvarēšanas kontekstā, veicinot ciešāku sadarbību starp iestādēm fiziskās un digitālās noturības jomā.</w:t>
      </w:r>
      <w:r>
        <w:rPr>
          <w:rFonts w:ascii="Times New Roman" w:hAnsi="Times New Roman"/>
          <w:noProof/>
          <w:color w:val="000000"/>
          <w:sz w:val="24"/>
        </w:rPr>
        <w:t xml:space="preserve"> Pēc sekmīgiem enerģētikas nozares stresa testiem 2023. gadā Komisija veicinās </w:t>
      </w:r>
      <w:r>
        <w:rPr>
          <w:rFonts w:ascii="Times New Roman" w:hAnsi="Times New Roman"/>
          <w:b/>
          <w:noProof/>
          <w:color w:val="000000"/>
          <w:sz w:val="24"/>
        </w:rPr>
        <w:t xml:space="preserve">brīvprātīgus stresa testus </w:t>
      </w:r>
      <w:r>
        <w:rPr>
          <w:rFonts w:ascii="Times New Roman" w:hAnsi="Times New Roman"/>
          <w:noProof/>
          <w:color w:val="000000"/>
          <w:sz w:val="24"/>
        </w:rPr>
        <w:t xml:space="preserve">citās būtiskās iekšējās drošības nozarēs. Turklāt Komisija sniegs </w:t>
      </w:r>
      <w:r>
        <w:rPr>
          <w:rFonts w:ascii="Times New Roman" w:hAnsi="Times New Roman"/>
          <w:b/>
          <w:noProof/>
          <w:color w:val="000000"/>
          <w:sz w:val="24"/>
        </w:rPr>
        <w:t>Savienības līmeņa pārskatu par pārrobežu un pārnozaru riskiem</w:t>
      </w:r>
      <w:r>
        <w:rPr>
          <w:rFonts w:ascii="Times New Roman" w:hAnsi="Times New Roman"/>
          <w:noProof/>
          <w:color w:val="000000"/>
          <w:sz w:val="24"/>
        </w:rPr>
        <w:t xml:space="preserve"> pamatpakalpojumiem, lai atbalstītu dalībvalstu riska novērtējumus un sniegtu informāciju visaptverošam ES līmeņa riska novērtējumam. Saskaņā ar Eiropas sagatavotības savienības stratēģiju Komisija sadarbosies ar dalībvalstīm, lai apzinātu citas nozares un pakalpojumus, uz kuriem neattiecas spēkā esošie tiesību akti un attiecībā uz kuriem varētu būt nepieciešams rīkoties. </w:t>
      </w:r>
    </w:p>
    <w:p w14:paraId="5179EBCC" w14:textId="0A69E310"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noProof/>
          <w:color w:val="000000"/>
          <w:sz w:val="24"/>
        </w:rPr>
        <w:t>ES un NATO darba grupa kritiskās infrastruktūras noturības jautājumos</w:t>
      </w:r>
      <w:r>
        <w:rPr>
          <w:rFonts w:ascii="Times New Roman" w:hAnsi="Times New Roman"/>
          <w:noProof/>
          <w:sz w:val="24"/>
        </w:rPr>
        <w:t xml:space="preserve"> ir veicinājusi izcilu sadarbību paraugprakses apmaiņā un noturības uzlabošanā enerģētikas, transporta, digitālās infrastruktūras un kosmosa nozarēs</w:t>
      </w:r>
      <w:r>
        <w:rPr>
          <w:rFonts w:ascii="Times New Roman" w:hAnsi="Times New Roman"/>
          <w:noProof/>
          <w:color w:val="000000"/>
          <w:sz w:val="24"/>
        </w:rPr>
        <w:t xml:space="preserve">. Šis darbs turpināsies </w:t>
      </w:r>
      <w:r>
        <w:rPr>
          <w:rFonts w:ascii="Times New Roman" w:hAnsi="Times New Roman"/>
          <w:b/>
          <w:noProof/>
          <w:color w:val="000000"/>
          <w:sz w:val="24"/>
        </w:rPr>
        <w:t>ES un NATO strukturētā dialoga par noturību</w:t>
      </w:r>
      <w:r>
        <w:rPr>
          <w:rFonts w:ascii="Times New Roman" w:hAnsi="Times New Roman"/>
          <w:noProof/>
          <w:color w:val="000000"/>
          <w:sz w:val="24"/>
        </w:rPr>
        <w:t xml:space="preserve"> ietvaros. </w:t>
      </w:r>
      <w:r>
        <w:rPr>
          <w:rFonts w:ascii="Times New Roman" w:hAnsi="Times New Roman"/>
          <w:b/>
          <w:noProof/>
          <w:color w:val="000000"/>
          <w:sz w:val="24"/>
        </w:rPr>
        <w:t xml:space="preserve">ES hibrīddraudu novēršanas rīkkopa </w:t>
      </w:r>
      <w:r>
        <w:rPr>
          <w:rFonts w:ascii="Times New Roman" w:hAnsi="Times New Roman"/>
          <w:noProof/>
          <w:color w:val="000000"/>
          <w:sz w:val="24"/>
        </w:rPr>
        <w:t xml:space="preserve">piedāvā stabilu atbalstu dalībvalstīm un partneriem, ko tie var izmantot, gatavojoties hibrīddraudiem un tos apkarojot. </w:t>
      </w:r>
      <w:r>
        <w:rPr>
          <w:rFonts w:ascii="Times New Roman" w:hAnsi="Times New Roman"/>
          <w:b/>
          <w:noProof/>
          <w:color w:val="000000"/>
          <w:sz w:val="24"/>
        </w:rPr>
        <w:t>Hibrīddraudu novēršanas ātrās reaģēšanas vienības</w:t>
      </w:r>
      <w:r w:rsidR="00B5194E">
        <w:rPr>
          <w:rStyle w:val="FootnoteReference"/>
          <w:rFonts w:ascii="Times New Roman" w:eastAsia="Times New Roman" w:hAnsi="Times New Roman" w:cs="Times New Roman"/>
          <w:b/>
          <w:bCs/>
          <w:noProof/>
          <w:color w:val="000000"/>
          <w:kern w:val="2"/>
          <w:sz w:val="24"/>
          <w:szCs w:val="24"/>
          <w:lang w:val="en-GB"/>
        </w:rPr>
        <w:footnoteReference w:id="35"/>
      </w:r>
      <w:r>
        <w:rPr>
          <w:rFonts w:ascii="Times New Roman" w:hAnsi="Times New Roman"/>
          <w:noProof/>
          <w:color w:val="000000"/>
          <w:sz w:val="24"/>
        </w:rPr>
        <w:t xml:space="preserve"> pēc pieprasījuma sniedz pielāgotu īstermiņa palīdzību dalībvalstīm, dažādām ES misijām un partneriem. Turklāt Komisija turpinās ES sadarbību sabotāžas apkarošanā, izmantojot ekspertu darbības</w:t>
      </w:r>
      <w:r w:rsidRPr="000164CE">
        <w:rPr>
          <w:rFonts w:ascii="Times New Roman" w:eastAsia="Times New Roman" w:hAnsi="Times New Roman" w:cs="Times New Roman"/>
          <w:noProof/>
          <w:color w:val="000000"/>
          <w:kern w:val="2"/>
          <w:sz w:val="24"/>
          <w:szCs w:val="24"/>
          <w:vertAlign w:val="superscript"/>
          <w:lang w:val="en-GB"/>
        </w:rPr>
        <w:footnoteReference w:id="36"/>
      </w:r>
      <w:r>
        <w:rPr>
          <w:rFonts w:ascii="Times New Roman" w:hAnsi="Times New Roman"/>
          <w:noProof/>
          <w:color w:val="000000"/>
          <w:sz w:val="24"/>
        </w:rPr>
        <w:t xml:space="preserve">, arī </w:t>
      </w:r>
      <w:r>
        <w:rPr>
          <w:rFonts w:ascii="Times New Roman" w:hAnsi="Times New Roman"/>
          <w:b/>
          <w:noProof/>
          <w:color w:val="000000"/>
          <w:sz w:val="24"/>
        </w:rPr>
        <w:t>īpašu kopīgu darba programmu</w:t>
      </w:r>
      <w:r>
        <w:rPr>
          <w:rFonts w:ascii="Times New Roman" w:hAnsi="Times New Roman"/>
          <w:noProof/>
          <w:color w:val="000000"/>
          <w:sz w:val="24"/>
        </w:rPr>
        <w:t>, lai racionalizētu informācijas apmaiņu un apzinātu pretpasākumus.</w:t>
      </w:r>
    </w:p>
    <w:p w14:paraId="4D57E014"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sz w:val="24"/>
        </w:rPr>
        <w:t xml:space="preserve">Incidenti, kas ietekmē </w:t>
      </w:r>
      <w:r>
        <w:rPr>
          <w:rFonts w:ascii="Times New Roman" w:hAnsi="Times New Roman"/>
          <w:b/>
          <w:noProof/>
          <w:sz w:val="24"/>
        </w:rPr>
        <w:t>zemūdens kabeļus</w:t>
      </w:r>
      <w:r>
        <w:rPr>
          <w:rFonts w:ascii="Times New Roman" w:hAnsi="Times New Roman"/>
          <w:noProof/>
          <w:sz w:val="24"/>
        </w:rPr>
        <w:t xml:space="preserve"> Eiropā, liecina, ka ir vajadzīgi stingrāki pasākumi un skaidrāki risinājumi</w:t>
      </w:r>
      <w:r>
        <w:rPr>
          <w:rFonts w:ascii="Times New Roman" w:hAnsi="Times New Roman"/>
          <w:noProof/>
          <w:color w:val="000000"/>
          <w:sz w:val="24"/>
        </w:rPr>
        <w:t xml:space="preserve">. Kā izklāstīts </w:t>
      </w:r>
      <w:r>
        <w:rPr>
          <w:rFonts w:ascii="Times New Roman" w:hAnsi="Times New Roman"/>
          <w:b/>
          <w:noProof/>
          <w:color w:val="000000"/>
          <w:sz w:val="24"/>
        </w:rPr>
        <w:t>ES kabeļu drošības rīcības plānā</w:t>
      </w:r>
      <w:r w:rsidRPr="000164CE">
        <w:rPr>
          <w:rFonts w:ascii="Times New Roman" w:eastAsia="Times New Roman" w:hAnsi="Times New Roman" w:cs="Times New Roman"/>
          <w:noProof/>
          <w:color w:val="000000"/>
          <w:kern w:val="2"/>
          <w:sz w:val="24"/>
          <w:szCs w:val="24"/>
          <w:vertAlign w:val="superscript"/>
          <w:lang w:val="en-GB"/>
        </w:rPr>
        <w:footnoteReference w:id="37"/>
      </w:r>
      <w:r>
        <w:rPr>
          <w:rFonts w:ascii="Times New Roman" w:hAnsi="Times New Roman"/>
          <w:noProof/>
          <w:color w:val="000000"/>
          <w:sz w:val="24"/>
        </w:rPr>
        <w:t>, Komisija kopā ar Augsto pārstāvi sadarbosies ar dalībvalstīm, ES aģentūrām un tādiem partneriem kā NATO, lai novērstu un atklātu draudus zemūdens kabeļiem, reaģētu uz tiem un atturētu no tiem. Lai izstrādātu integrētu situācijas ainu par apdraudējumiem, Komisija sadarbosies ar dalībvalstīm, lai brīvprātīgi izstrādātu un ieviestu integrētu zemūdens kabeļu uzraudzības mehānismu katrā jūras baseinā, sākot ar Ziemeļvalstu/Baltijas reģionālo centru.</w:t>
      </w:r>
    </w:p>
    <w:p w14:paraId="3F3C397B"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Kiberdrošība </w:t>
      </w:r>
    </w:p>
    <w:p w14:paraId="0475F1D6" w14:textId="12EEAC35"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Ļaunprātīgas kiberdarbības</w:t>
      </w:r>
      <w:r>
        <w:rPr>
          <w:rFonts w:ascii="Times New Roman" w:hAnsi="Times New Roman"/>
          <w:noProof/>
          <w:sz w:val="24"/>
        </w:rPr>
        <w:t>, kas bieži vien ir daļa no plašāka daudzdimensionālu draudu un hibrīddraudu klāsta, pastāvīgais raksturs prasa pastāvīgu uzmanību un rīcību Eiropas līmenī. Pēdējos gados Savienība ir pieņēmusi virkni kiberdrošības tiesību aktu, kas stiprina ES kritiskajās nozarēs darbojošos TID 2 vienību, kā arī Savienības vienību</w:t>
      </w:r>
      <w:r w:rsidRPr="000164CE">
        <w:rPr>
          <w:rFonts w:ascii="Times New Roman" w:eastAsia="Times New Roman" w:hAnsi="Times New Roman" w:cs="Times New Roman"/>
          <w:noProof/>
          <w:kern w:val="2"/>
          <w:sz w:val="24"/>
          <w:szCs w:val="24"/>
          <w:vertAlign w:val="superscript"/>
          <w:lang w:val="en-GB"/>
        </w:rPr>
        <w:footnoteReference w:id="38"/>
      </w:r>
      <w:r>
        <w:rPr>
          <w:rFonts w:ascii="Times New Roman" w:hAnsi="Times New Roman"/>
          <w:noProof/>
          <w:sz w:val="24"/>
        </w:rPr>
        <w:t xml:space="preserve"> kibernoturību, uzlabo digitālo produktu drošību (Kibernoturības akts) un izveido satvaru sagatavotības un reaģēšanas uz incidentiem atbalstam (Kibersolidaritātes akts). 2025. gada janvārī Komisija pieņēma </w:t>
      </w:r>
      <w:r>
        <w:rPr>
          <w:rFonts w:ascii="Times New Roman" w:hAnsi="Times New Roman"/>
          <w:b/>
          <w:noProof/>
          <w:sz w:val="24"/>
        </w:rPr>
        <w:t>Eiropas rīcības plānu attiecībā uz slimnīcu un veselības aprūpes sniedzēju kiberdrošību</w:t>
      </w:r>
      <w:r w:rsidRPr="000164CE">
        <w:rPr>
          <w:rFonts w:ascii="Times New Roman" w:eastAsia="Times New Roman" w:hAnsi="Times New Roman" w:cs="Times New Roman"/>
          <w:noProof/>
          <w:kern w:val="2"/>
          <w:sz w:val="24"/>
          <w:szCs w:val="24"/>
          <w:vertAlign w:val="superscript"/>
          <w:lang w:val="en-GB"/>
        </w:rPr>
        <w:footnoteReference w:id="39"/>
      </w:r>
      <w:r>
        <w:rPr>
          <w:rFonts w:ascii="Times New Roman" w:hAnsi="Times New Roman"/>
          <w:noProof/>
          <w:sz w:val="24"/>
        </w:rPr>
        <w:t>, lai uzlabotu draudu atklāšanu, sagatavotību krīzēm un reaģēšanu uz tām. Būtiska nozīme ir tā pilnīgai īstenošanai. Tajā pašā laikā, lai vērstos pret jauniem apdraudējumiem un norisēm, mums ir jāpastiprina savas darbības, īpaši tādās jomās kā informācijas apmaiņa, piegādes ķēdes drošība, izspiedējprogrammatūra un kiberuzbrukumi, kā arī tehnoloģiskā suverenitāte.</w:t>
      </w:r>
    </w:p>
    <w:p w14:paraId="3BCB638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Turklāt īstenošanai ir jānovērš pašreizējais kiberdrošības prasmju trūkums 299 000 cilvēkiem. Komisija sadarbosies ar dalībvalstīm prasmju savienības ietvaros</w:t>
      </w:r>
      <w:r w:rsidRPr="000164CE">
        <w:rPr>
          <w:rFonts w:ascii="Times New Roman" w:eastAsia="Times New Roman" w:hAnsi="Times New Roman" w:cs="Times New Roman"/>
          <w:noProof/>
          <w:kern w:val="2"/>
          <w:sz w:val="24"/>
          <w:szCs w:val="24"/>
          <w:vertAlign w:val="superscript"/>
          <w:lang w:val="en-GB"/>
        </w:rPr>
        <w:footnoteReference w:id="40"/>
      </w:r>
      <w:r>
        <w:rPr>
          <w:rFonts w:ascii="Times New Roman" w:hAnsi="Times New Roman"/>
          <w:noProof/>
          <w:sz w:val="24"/>
        </w:rPr>
        <w:t xml:space="preserve">, lai paplašinātu kiberdrošības darbaspēku, jo īpaši, izmantojot jauno Kiberdrošības prasmju akadēmiju. </w:t>
      </w:r>
      <w:r>
        <w:rPr>
          <w:rFonts w:ascii="Times New Roman" w:hAnsi="Times New Roman"/>
          <w:i/>
          <w:iCs/>
          <w:noProof/>
          <w:sz w:val="24"/>
        </w:rPr>
        <w:t>STEM</w:t>
      </w:r>
      <w:r>
        <w:rPr>
          <w:rFonts w:ascii="Times New Roman" w:hAnsi="Times New Roman"/>
          <w:noProof/>
          <w:sz w:val="24"/>
        </w:rPr>
        <w:t xml:space="preserve"> izglītības stratēģiskais plāns</w:t>
      </w:r>
      <w:r w:rsidRPr="000164CE">
        <w:rPr>
          <w:rFonts w:ascii="Times New Roman" w:eastAsia="Times New Roman" w:hAnsi="Times New Roman" w:cs="Times New Roman"/>
          <w:noProof/>
          <w:kern w:val="2"/>
          <w:sz w:val="24"/>
          <w:szCs w:val="24"/>
          <w:vertAlign w:val="superscript"/>
          <w:lang w:val="en-GB"/>
        </w:rPr>
        <w:footnoteReference w:id="41"/>
      </w:r>
      <w:r>
        <w:rPr>
          <w:rFonts w:ascii="Times New Roman" w:hAnsi="Times New Roman"/>
          <w:noProof/>
          <w:sz w:val="24"/>
        </w:rPr>
        <w:t xml:space="preserve"> palīdz uzlabot talantu plūsmu un Eiropas reakciju uz kiberdrošības darba tirgus vajadzībām.   </w:t>
      </w:r>
    </w:p>
    <w:p w14:paraId="04B60225"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Līdztekus noturības uzlabošanai ES turpinās pilnībā izmantot satvaru vienotai ES diplomātiskajai reakcijai uz ļaunprātīgām kiberdarbībām (</w:t>
      </w:r>
      <w:r>
        <w:rPr>
          <w:rFonts w:ascii="Times New Roman" w:hAnsi="Times New Roman"/>
          <w:b/>
          <w:noProof/>
          <w:color w:val="000000"/>
          <w:sz w:val="24"/>
        </w:rPr>
        <w:t>Kiberdiplomātijas rīkkopa</w:t>
      </w:r>
      <w:r>
        <w:rPr>
          <w:rFonts w:ascii="Times New Roman" w:hAnsi="Times New Roman"/>
          <w:noProof/>
          <w:color w:val="000000"/>
          <w:sz w:val="24"/>
        </w:rPr>
        <w:t>), lai novērstu un nepieļautu kiberdraudus, ko rada valstiski un nevalstiski aktori, un reaģētu uz tiem.</w:t>
      </w:r>
    </w:p>
    <w:p w14:paraId="557CFF96" w14:textId="685323C0" w:rsidR="000164CE" w:rsidRPr="005125C8" w:rsidRDefault="00AA031C" w:rsidP="007D1E7C">
      <w:pPr>
        <w:shd w:val="clear" w:color="auto" w:fill="FFFFFF" w:themeFill="background1"/>
        <w:spacing w:after="120" w:line="240" w:lineRule="auto"/>
        <w:jc w:val="both"/>
        <w:rPr>
          <w:rFonts w:ascii="Times New Roman" w:eastAsia="Calibri" w:hAnsi="Times New Roman" w:cs="Times New Roman"/>
          <w:bCs/>
          <w:i/>
          <w:noProof/>
          <w:kern w:val="2"/>
          <w:sz w:val="24"/>
          <w14:ligatures w14:val="standardContextual"/>
        </w:rPr>
      </w:pPr>
      <w:r>
        <w:rPr>
          <w:rFonts w:ascii="Times New Roman" w:hAnsi="Times New Roman"/>
          <w:i/>
          <w:noProof/>
          <w:color w:val="000000"/>
          <w:sz w:val="24"/>
        </w:rPr>
        <w:t>IKT piegādes ķēžu drošība</w:t>
      </w:r>
    </w:p>
    <w:p w14:paraId="3765F58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5G kiberdrošības rīkkopa</w:t>
      </w:r>
      <w:r>
        <w:rPr>
          <w:rFonts w:ascii="Times New Roman" w:hAnsi="Times New Roman"/>
          <w:noProof/>
          <w:sz w:val="24"/>
        </w:rPr>
        <w:t xml:space="preserve"> nodrošina attiecīgo satvaru 5G tīklu aizsardzībai, taču dalībvalstis to pašlaik nepietiekami īsteno. Joprojām pastāv nepieņemami drošības riski, īpaši attiecībā uz augsta riska pakalpojumu sniedzēju aizstāšanu. Saskaņota pieeja IKT piegādes ķēdes drošībai var novērst pašreizējo iekšējā tirgus sadrumstalotību, ko rada dažādas pieejas valstu līmenī, novērst kritisko atkarību un mazināt augsta riska piegādātāju radīto risku mūsu IKT piegādes ķēdēm, tādējādi uzlabojot mūsu kritiskās infrastruktūras drošību. </w:t>
      </w:r>
    </w:p>
    <w:p w14:paraId="5D894CA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Saskaņā ar šo pieeju gaidāmajā </w:t>
      </w:r>
      <w:r>
        <w:rPr>
          <w:rFonts w:ascii="Times New Roman" w:hAnsi="Times New Roman"/>
          <w:b/>
          <w:noProof/>
          <w:sz w:val="24"/>
        </w:rPr>
        <w:t>Kiberdrošības akta pārskatīšanā</w:t>
      </w:r>
      <w:r>
        <w:rPr>
          <w:rFonts w:ascii="Times New Roman" w:hAnsi="Times New Roman"/>
          <w:noProof/>
          <w:sz w:val="24"/>
        </w:rPr>
        <w:t xml:space="preserve"> Komisija plašāk aplūkos IKT piegādes ķēžu un infrastruktūras drošību un noturību. Turklāt Komisija ierosinās uzlabot </w:t>
      </w:r>
      <w:r>
        <w:rPr>
          <w:rFonts w:ascii="Times New Roman" w:hAnsi="Times New Roman"/>
          <w:b/>
          <w:noProof/>
          <w:sz w:val="24"/>
        </w:rPr>
        <w:t>Eiropas kiberdrošības sertifikācijas satvaru</w:t>
      </w:r>
      <w:r>
        <w:rPr>
          <w:rFonts w:ascii="Times New Roman" w:hAnsi="Times New Roman"/>
          <w:noProof/>
          <w:sz w:val="24"/>
        </w:rPr>
        <w:t xml:space="preserve">, lai nodrošinātu, ka turpmākās sertifikācijas shēmas var pieņemt savlaicīgi un reaģēt uz politikas vajadzībām. </w:t>
      </w:r>
    </w:p>
    <w:p w14:paraId="774E923C" w14:textId="588F796E"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Pamatojoties uz esošajiem vai notiekošajiem nozaru novērtējumiem</w:t>
      </w:r>
      <w:r w:rsidRPr="000164CE">
        <w:rPr>
          <w:rFonts w:ascii="Times New Roman" w:eastAsia="Times New Roman" w:hAnsi="Times New Roman" w:cs="Times New Roman"/>
          <w:noProof/>
          <w:kern w:val="2"/>
          <w:sz w:val="24"/>
          <w:szCs w:val="24"/>
          <w:vertAlign w:val="superscript"/>
          <w:lang w:val="en-GB"/>
        </w:rPr>
        <w:footnoteReference w:id="42"/>
      </w:r>
      <w:r>
        <w:rPr>
          <w:rFonts w:ascii="Times New Roman" w:hAnsi="Times New Roman"/>
          <w:noProof/>
          <w:sz w:val="24"/>
        </w:rPr>
        <w:t xml:space="preserve">, Komisija kopā ar dalībvalstīm izstrādās </w:t>
      </w:r>
      <w:r>
        <w:rPr>
          <w:rFonts w:ascii="Times New Roman" w:hAnsi="Times New Roman"/>
          <w:b/>
          <w:noProof/>
          <w:sz w:val="24"/>
        </w:rPr>
        <w:t>koordinētu kiberdrošības riska novērtējumu stratēģisko plānošanu.</w:t>
      </w:r>
    </w:p>
    <w:p w14:paraId="1C4CF365"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Mākoņdatošanas un telesakaru pakalpojumi ir kļuvuši par pamatproduktu kritisko infrastruktūru, uzņēmumu un publisko iestāžu piegādes ķēdēs. Komisija rīkosies, lai mudinātu kritiskās vienības izvēlēties </w:t>
      </w:r>
      <w:r>
        <w:rPr>
          <w:rFonts w:ascii="Times New Roman" w:hAnsi="Times New Roman"/>
          <w:b/>
          <w:noProof/>
          <w:sz w:val="24"/>
        </w:rPr>
        <w:t>mākoņpakalpojumus un telesakaru pakalpojumus, kas nodrošina pienācīgu kiberdrošības līmeni</w:t>
      </w:r>
      <w:r>
        <w:rPr>
          <w:rFonts w:ascii="Times New Roman" w:hAnsi="Times New Roman"/>
          <w:noProof/>
          <w:sz w:val="24"/>
        </w:rPr>
        <w:t xml:space="preserve">, ņemot vērā ne tikai tehniskos, bet arī stratēģiskos riskus un atkarību. </w:t>
      </w:r>
    </w:p>
    <w:p w14:paraId="62D38C55" w14:textId="13325465" w:rsidR="000164CE" w:rsidRPr="007D1E7C" w:rsidRDefault="000164CE" w:rsidP="000164CE">
      <w:pPr>
        <w:keepNext/>
        <w:spacing w:after="120" w:line="240" w:lineRule="auto"/>
        <w:jc w:val="both"/>
        <w:rPr>
          <w:rFonts w:ascii="Times New Roman" w:eastAsia="Calibri" w:hAnsi="Times New Roman" w:cs="Arial"/>
          <w:bCs/>
          <w:i/>
          <w:noProof/>
          <w:kern w:val="2"/>
          <w:sz w:val="24"/>
          <w14:ligatures w14:val="standardContextual"/>
        </w:rPr>
      </w:pPr>
      <w:r>
        <w:rPr>
          <w:rFonts w:ascii="Times New Roman" w:hAnsi="Times New Roman"/>
          <w:i/>
          <w:noProof/>
          <w:sz w:val="24"/>
        </w:rPr>
        <w:t>Izspiedējprogrammatūra un kiberuzbrukumi</w:t>
      </w:r>
    </w:p>
    <w:p w14:paraId="6F9414F0"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Joprojām liela problēma ES un pasaulē ir </w:t>
      </w:r>
      <w:r>
        <w:rPr>
          <w:rFonts w:ascii="Times New Roman" w:hAnsi="Times New Roman"/>
          <w:b/>
          <w:noProof/>
          <w:sz w:val="24"/>
        </w:rPr>
        <w:t>izspiedējprogrammatūra</w:t>
      </w:r>
      <w:r>
        <w:rPr>
          <w:rFonts w:ascii="Times New Roman" w:hAnsi="Times New Roman"/>
          <w:noProof/>
          <w:sz w:val="24"/>
        </w:rPr>
        <w:t> – vienā ziņojumā tiek lēsts, ka ar tām saistītās globālās gada izmaksas līdz 2031. gadam pārsniegs 250 miljardus EUR</w:t>
      </w:r>
      <w:r w:rsidRPr="000164CE">
        <w:rPr>
          <w:rFonts w:ascii="Times New Roman" w:eastAsia="Times New Roman" w:hAnsi="Times New Roman" w:cs="Times New Roman"/>
          <w:noProof/>
          <w:kern w:val="2"/>
          <w:sz w:val="24"/>
          <w:szCs w:val="24"/>
          <w:vertAlign w:val="superscript"/>
          <w:lang w:val="en-GB"/>
        </w:rPr>
        <w:footnoteReference w:id="43"/>
      </w:r>
      <w:r>
        <w:rPr>
          <w:rFonts w:ascii="Times New Roman" w:hAnsi="Times New Roman"/>
          <w:noProof/>
          <w:sz w:val="24"/>
        </w:rPr>
        <w:t xml:space="preserve">. Gan </w:t>
      </w:r>
      <w:r>
        <w:rPr>
          <w:rFonts w:ascii="Times New Roman" w:hAnsi="Times New Roman"/>
          <w:b/>
          <w:noProof/>
          <w:sz w:val="24"/>
        </w:rPr>
        <w:t>TID2  direktīva</w:t>
      </w:r>
      <w:r>
        <w:rPr>
          <w:rFonts w:ascii="Times New Roman" w:hAnsi="Times New Roman"/>
          <w:noProof/>
          <w:sz w:val="24"/>
        </w:rPr>
        <w:t xml:space="preserve">, gan </w:t>
      </w:r>
      <w:r>
        <w:rPr>
          <w:rFonts w:ascii="Times New Roman" w:hAnsi="Times New Roman"/>
          <w:b/>
          <w:noProof/>
          <w:sz w:val="24"/>
        </w:rPr>
        <w:t>Kibernoturības akts</w:t>
      </w:r>
      <w:r>
        <w:rPr>
          <w:rFonts w:ascii="Times New Roman" w:hAnsi="Times New Roman"/>
          <w:noProof/>
          <w:sz w:val="24"/>
        </w:rPr>
        <w:t xml:space="preserve"> ievērojami uzlabos vienību drošības pozīciju, jo padarīs izspiedējprogrammatūras tīklu uzbrukumu veikšanu dārgāku. Turklāt Komisija cieši sadarbosies ar dalībvalstīm, lai nodrošinātu, ka tiesībaizsardzības iestādēm tiek vairāk ziņots par izspiedējprogrammatūras uzbrukumiem, īpaši progresīviem pastāvīgiem draudiem, un izpirkuma maksas maksājumiem, tādējādi atvieglojot izmeklēšanu.</w:t>
      </w:r>
    </w:p>
    <w:p w14:paraId="1EF43BD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Lai novērstu un apturētu kiberuzbrukumus, Eiropola un ES Kiberdrošības aģentūras (</w:t>
      </w:r>
      <w:r>
        <w:rPr>
          <w:rFonts w:ascii="Times New Roman" w:hAnsi="Times New Roman"/>
          <w:i/>
          <w:iCs/>
          <w:noProof/>
          <w:sz w:val="24"/>
        </w:rPr>
        <w:t>ENISA</w:t>
      </w:r>
      <w:r>
        <w:rPr>
          <w:rFonts w:ascii="Times New Roman" w:hAnsi="Times New Roman"/>
          <w:noProof/>
          <w:sz w:val="24"/>
        </w:rPr>
        <w:t xml:space="preserve">) aizgādībā ES ir jāstiprina informācijas apmaiņa starp tiesībaizsardzības iestādēm, kiberdrošības iestādēm un subjektiem, kā arī privāto sektoru. </w:t>
      </w:r>
    </w:p>
    <w:p w14:paraId="1AA87C4D"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Eiropolam un </w:t>
      </w:r>
      <w:r>
        <w:rPr>
          <w:rFonts w:ascii="Times New Roman" w:hAnsi="Times New Roman"/>
          <w:i/>
          <w:iCs/>
          <w:noProof/>
          <w:sz w:val="24"/>
        </w:rPr>
        <w:t>Eurojust</w:t>
      </w:r>
      <w:r>
        <w:rPr>
          <w:rFonts w:ascii="Times New Roman" w:hAnsi="Times New Roman"/>
          <w:noProof/>
          <w:sz w:val="24"/>
        </w:rPr>
        <w:t xml:space="preserve"> būtu jāturpina darbs, par pamatu izmantojot panākumus, ko šīs aģentūras ir guvušas izspiedējprogrammatūras operāciju apturēšanā, tādējādi atbalstot tiesībaizsardzības sadarbību. Šajā nolūkā tiesībaizsardzības iestādēm būtu maksimāli jāizmanto sadarbības mehānismi, arī </w:t>
      </w:r>
      <w:r>
        <w:rPr>
          <w:rFonts w:ascii="Times New Roman" w:hAnsi="Times New Roman"/>
          <w:b/>
          <w:noProof/>
          <w:sz w:val="24"/>
        </w:rPr>
        <w:t xml:space="preserve">Eiropola starptautiskais modelis reaģēšanai uz izspiedējprogrammatūru </w:t>
      </w:r>
      <w:r>
        <w:rPr>
          <w:rFonts w:ascii="Times New Roman" w:hAnsi="Times New Roman"/>
          <w:noProof/>
          <w:sz w:val="24"/>
        </w:rPr>
        <w:t xml:space="preserve">un </w:t>
      </w:r>
      <w:r>
        <w:rPr>
          <w:rFonts w:ascii="Times New Roman" w:hAnsi="Times New Roman"/>
          <w:b/>
          <w:noProof/>
          <w:sz w:val="24"/>
        </w:rPr>
        <w:t>starptautiskā izspiedējprogrammatūras apkarošanas iniciatīva (</w:t>
      </w:r>
      <w:r>
        <w:rPr>
          <w:rFonts w:ascii="Times New Roman" w:hAnsi="Times New Roman"/>
          <w:b/>
          <w:i/>
          <w:iCs/>
          <w:noProof/>
          <w:sz w:val="24"/>
        </w:rPr>
        <w:t>CRI</w:t>
      </w:r>
      <w:r>
        <w:rPr>
          <w:rFonts w:ascii="Times New Roman" w:hAnsi="Times New Roman"/>
          <w:b/>
          <w:noProof/>
          <w:sz w:val="24"/>
        </w:rPr>
        <w:t>)</w:t>
      </w:r>
      <w:r w:rsidRPr="000164CE">
        <w:rPr>
          <w:rFonts w:ascii="Times New Roman" w:eastAsia="Times New Roman" w:hAnsi="Times New Roman" w:cs="Times New Roman"/>
          <w:noProof/>
          <w:kern w:val="2"/>
          <w:sz w:val="24"/>
          <w:szCs w:val="24"/>
          <w:vertAlign w:val="superscript"/>
          <w:lang w:val="en-GB"/>
        </w:rPr>
        <w:footnoteReference w:id="44"/>
      </w:r>
      <w:r>
        <w:rPr>
          <w:rFonts w:ascii="Times New Roman" w:hAnsi="Times New Roman"/>
          <w:noProof/>
          <w:sz w:val="24"/>
        </w:rPr>
        <w:t xml:space="preserve">, un </w:t>
      </w:r>
      <w:r>
        <w:rPr>
          <w:rFonts w:ascii="Times New Roman" w:hAnsi="Times New Roman"/>
          <w:i/>
          <w:iCs/>
          <w:noProof/>
          <w:sz w:val="24"/>
        </w:rPr>
        <w:t>ENISA</w:t>
      </w:r>
      <w:r>
        <w:rPr>
          <w:rFonts w:ascii="Times New Roman" w:hAnsi="Times New Roman"/>
          <w:noProof/>
          <w:sz w:val="24"/>
        </w:rPr>
        <w:t xml:space="preserve"> un Eiropolam būtu jāsadarbojas, lai paplašinātu izspiedējprogrammatūras paveidu atšifrēšanas rīku repozitoriju</w:t>
      </w:r>
      <w:r w:rsidRPr="000164CE">
        <w:rPr>
          <w:rFonts w:ascii="Times New Roman" w:eastAsia="Times New Roman" w:hAnsi="Times New Roman" w:cs="Times New Roman"/>
          <w:noProof/>
          <w:kern w:val="2"/>
          <w:sz w:val="24"/>
          <w:szCs w:val="24"/>
          <w:vertAlign w:val="superscript"/>
          <w:lang w:val="en-GB"/>
        </w:rPr>
        <w:footnoteReference w:id="45"/>
      </w:r>
      <w:r>
        <w:rPr>
          <w:rFonts w:ascii="Times New Roman" w:hAnsi="Times New Roman"/>
          <w:noProof/>
          <w:sz w:val="24"/>
        </w:rPr>
        <w:t>.</w:t>
      </w:r>
    </w:p>
    <w:p w14:paraId="4CB55D9B" w14:textId="77777777" w:rsidR="000164CE" w:rsidRPr="007D1E7C" w:rsidRDefault="000164CE" w:rsidP="000164CE">
      <w:pPr>
        <w:spacing w:after="120" w:line="240" w:lineRule="auto"/>
        <w:jc w:val="both"/>
        <w:rPr>
          <w:rFonts w:ascii="Times New Roman" w:eastAsia="Calibri" w:hAnsi="Times New Roman" w:cs="Arial"/>
          <w:bCs/>
          <w:i/>
          <w:noProof/>
          <w:kern w:val="2"/>
          <w:sz w:val="24"/>
          <w14:ligatures w14:val="standardContextual"/>
        </w:rPr>
      </w:pPr>
      <w:r>
        <w:rPr>
          <w:rFonts w:ascii="Times New Roman" w:hAnsi="Times New Roman"/>
          <w:i/>
          <w:noProof/>
          <w:sz w:val="24"/>
        </w:rPr>
        <w:t>Tehnoloģiskā suverenitāte</w:t>
      </w:r>
    </w:p>
    <w:p w14:paraId="64D4CFA9" w14:textId="135FACF9"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Kiberdrošība un tehnoloģiskā suverenitāte ir cieši saistītas, un prioritārā kārtā ir jāpievēršas tehnoloģiskajai atkarībai. Savienībai ir </w:t>
      </w:r>
      <w:r>
        <w:rPr>
          <w:rFonts w:ascii="Times New Roman" w:hAnsi="Times New Roman"/>
          <w:b/>
          <w:noProof/>
          <w:sz w:val="24"/>
        </w:rPr>
        <w:t>jāvada jaunu tehnoloģiju izstrāde un ieviešana</w:t>
      </w:r>
      <w:r>
        <w:rPr>
          <w:rFonts w:ascii="Times New Roman" w:hAnsi="Times New Roman"/>
          <w:noProof/>
          <w:sz w:val="24"/>
        </w:rPr>
        <w:t xml:space="preserve">, un Komisijai jāstrādā, lai </w:t>
      </w:r>
      <w:r>
        <w:rPr>
          <w:rFonts w:ascii="Times New Roman" w:hAnsi="Times New Roman"/>
          <w:b/>
          <w:noProof/>
          <w:sz w:val="24"/>
        </w:rPr>
        <w:t>uzlabotu spējas tādās stratēģiskās tehnoloģijās</w:t>
      </w:r>
      <w:r>
        <w:rPr>
          <w:rFonts w:ascii="Times New Roman" w:hAnsi="Times New Roman"/>
          <w:noProof/>
          <w:sz w:val="24"/>
        </w:rPr>
        <w:t xml:space="preserve"> kā mākslīgais intelekts, kvantu sistēma, progresīva savienojamība, mākoņdatošana, perifērdatošana un lietu internets</w:t>
      </w:r>
      <w:r w:rsidRPr="000164CE">
        <w:rPr>
          <w:rFonts w:ascii="Times New Roman" w:eastAsia="Times New Roman" w:hAnsi="Times New Roman" w:cs="Times New Roman"/>
          <w:noProof/>
          <w:kern w:val="2"/>
          <w:sz w:val="24"/>
          <w:szCs w:val="24"/>
          <w:vertAlign w:val="superscript"/>
          <w:lang w:val="en-GB"/>
        </w:rPr>
        <w:footnoteReference w:id="46"/>
      </w:r>
      <w:r>
        <w:rPr>
          <w:rFonts w:ascii="Times New Roman" w:hAnsi="Times New Roman"/>
          <w:noProof/>
          <w:sz w:val="24"/>
        </w:rPr>
        <w:t>, izmantojot turpmākās iniciatīvas, piemēram, MI kontinenta rīcības plānu, Kvantu stratēģiju u. c.</w:t>
      </w:r>
      <w:r w:rsidRPr="000164CE">
        <w:rPr>
          <w:rFonts w:ascii="Times New Roman" w:eastAsia="Times New Roman" w:hAnsi="Times New Roman" w:cs="Times New Roman"/>
          <w:noProof/>
          <w:kern w:val="2"/>
          <w:sz w:val="24"/>
          <w:szCs w:val="24"/>
          <w:vertAlign w:val="superscript"/>
          <w:lang w:val="en-GB"/>
        </w:rPr>
        <w:footnoteReference w:id="47"/>
      </w:r>
      <w:r>
        <w:rPr>
          <w:rFonts w:ascii="Times New Roman" w:hAnsi="Times New Roman"/>
          <w:noProof/>
          <w:sz w:val="24"/>
        </w:rPr>
        <w:t xml:space="preserve">. Komisija turpinās atbalstīt jaunāko pieejamo starptautiski saskaņoto </w:t>
      </w:r>
      <w:r>
        <w:rPr>
          <w:rFonts w:ascii="Times New Roman" w:hAnsi="Times New Roman"/>
          <w:b/>
          <w:noProof/>
          <w:sz w:val="24"/>
        </w:rPr>
        <w:t>interneta protokolu</w:t>
      </w:r>
      <w:r>
        <w:rPr>
          <w:rFonts w:ascii="Times New Roman" w:hAnsi="Times New Roman"/>
          <w:noProof/>
          <w:sz w:val="24"/>
        </w:rPr>
        <w:t xml:space="preserve"> savlaicīgu izvēršanu, kas ir būtiski, lai uzturētu mērogojamu un efektīvu internetu ar paaugstinātu kiberdrošības līmeni. Ir vajadzīgas arī turpmākas darbības, lai</w:t>
      </w:r>
      <w:r>
        <w:rPr>
          <w:rFonts w:ascii="Times New Roman" w:hAnsi="Times New Roman"/>
          <w:b/>
          <w:noProof/>
          <w:sz w:val="24"/>
        </w:rPr>
        <w:t xml:space="preserve"> </w:t>
      </w:r>
      <w:r>
        <w:rPr>
          <w:rFonts w:ascii="Times New Roman" w:hAnsi="Times New Roman"/>
          <w:noProof/>
          <w:sz w:val="24"/>
        </w:rPr>
        <w:t xml:space="preserve">risinātu </w:t>
      </w:r>
      <w:r>
        <w:rPr>
          <w:rFonts w:ascii="Times New Roman" w:hAnsi="Times New Roman"/>
          <w:b/>
          <w:noProof/>
          <w:sz w:val="24"/>
        </w:rPr>
        <w:t>ar radiofrekvenču spektru saistītas problēmas</w:t>
      </w:r>
      <w:r>
        <w:rPr>
          <w:rFonts w:ascii="Times New Roman" w:hAnsi="Times New Roman"/>
          <w:noProof/>
          <w:sz w:val="24"/>
        </w:rPr>
        <w:t xml:space="preserve">, piemēram, saistībā ar </w:t>
      </w:r>
      <w:r>
        <w:rPr>
          <w:rFonts w:ascii="Times New Roman" w:hAnsi="Times New Roman"/>
          <w:i/>
          <w:iCs/>
          <w:noProof/>
          <w:sz w:val="24"/>
        </w:rPr>
        <w:t>GNSS</w:t>
      </w:r>
      <w:r>
        <w:rPr>
          <w:rFonts w:ascii="Times New Roman" w:hAnsi="Times New Roman"/>
          <w:noProof/>
          <w:sz w:val="24"/>
        </w:rPr>
        <w:t xml:space="preserve"> maldināšanu, traucēšanu, piegādes ķēdes riskiem un atkarību,</w:t>
      </w:r>
      <w:r>
        <w:rPr>
          <w:noProof/>
        </w:rPr>
        <w:t xml:space="preserve"> </w:t>
      </w:r>
      <w:r>
        <w:rPr>
          <w:rFonts w:ascii="Times New Roman" w:hAnsi="Times New Roman"/>
          <w:noProof/>
          <w:sz w:val="24"/>
        </w:rPr>
        <w:t xml:space="preserve">piemēram, kvantu sensoru tehnoloģiju izmantošanu un </w:t>
      </w:r>
      <w:r>
        <w:rPr>
          <w:rFonts w:ascii="Times New Roman" w:hAnsi="Times New Roman"/>
          <w:noProof/>
          <w:sz w:val="24"/>
          <w:u w:val="single"/>
        </w:rPr>
        <w:t>radiofrekvenču uzraudzības spēju</w:t>
      </w:r>
      <w:r>
        <w:rPr>
          <w:rFonts w:ascii="Times New Roman" w:hAnsi="Times New Roman"/>
          <w:noProof/>
          <w:sz w:val="24"/>
        </w:rPr>
        <w:t xml:space="preserve"> attīstības izpēti.  </w:t>
      </w:r>
    </w:p>
    <w:p w14:paraId="532F63C1" w14:textId="38EC7E4B"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Pēckvantu kriptogrāfijas</w:t>
      </w:r>
      <w:r>
        <w:rPr>
          <w:rFonts w:ascii="Times New Roman" w:hAnsi="Times New Roman"/>
          <w:noProof/>
          <w:sz w:val="24"/>
        </w:rPr>
        <w:t xml:space="preserve"> (</w:t>
      </w:r>
      <w:r>
        <w:rPr>
          <w:rFonts w:ascii="Times New Roman" w:hAnsi="Times New Roman"/>
          <w:i/>
          <w:iCs/>
          <w:noProof/>
          <w:sz w:val="24"/>
        </w:rPr>
        <w:t>PQC</w:t>
      </w:r>
      <w:r>
        <w:rPr>
          <w:rFonts w:ascii="Times New Roman" w:hAnsi="Times New Roman"/>
          <w:noProof/>
          <w:sz w:val="24"/>
        </w:rPr>
        <w:t xml:space="preserve">) risinājumu izvēršanai būs izšķiroša nozīme, lai aizsargātu sensitīvus sakarus, datus miera stāvoklī un aizsargātu digitālās identitātes jaunajā kvantu laikmetā. Pamatojoties uz 2024. gada Ieteikumu par koordinētu īstenošanas ceļvedi pārejai uz </w:t>
      </w:r>
      <w:r>
        <w:rPr>
          <w:rFonts w:ascii="Times New Roman" w:hAnsi="Times New Roman"/>
          <w:i/>
          <w:iCs/>
          <w:noProof/>
          <w:sz w:val="24"/>
        </w:rPr>
        <w:t>PQC</w:t>
      </w:r>
      <w:r w:rsidRPr="000164CE">
        <w:rPr>
          <w:rFonts w:ascii="Times New Roman" w:eastAsia="Times New Roman" w:hAnsi="Times New Roman" w:cs="Times New Roman"/>
          <w:noProof/>
          <w:kern w:val="2"/>
          <w:sz w:val="24"/>
          <w:szCs w:val="24"/>
          <w:vertAlign w:val="superscript"/>
          <w:lang w:val="en-GB"/>
        </w:rPr>
        <w:footnoteReference w:id="48"/>
      </w:r>
      <w:r>
        <w:rPr>
          <w:rFonts w:ascii="Times New Roman" w:hAnsi="Times New Roman"/>
          <w:noProof/>
          <w:sz w:val="24"/>
        </w:rPr>
        <w:t xml:space="preserve">, Komisija sadarbojas ar dalībvalstīm, lai veicinātu šo pāreju. Šajā sakarā dalībvalstīm būtu jāapzina augsta riska gadījumi kritiskajās vienībās un jānodrošina kvantu droša šifrēšana šiem augsta riska gadījumiem pēc iespējas drīzāk un ne vēlāk kā līdz 2030. gada beigām. Komisija arī sadarbojas ar dalībvalstīm un Eiropas Kosmosa aģentūru (EKA), lai Savienības drošas savienojamības programmas </w:t>
      </w:r>
      <w:hyperlink r:id="rId15" w:history="1">
        <w:r>
          <w:rPr>
            <w:rFonts w:ascii="Times New Roman" w:hAnsi="Times New Roman"/>
            <w:b/>
            <w:i/>
            <w:iCs/>
            <w:noProof/>
            <w:sz w:val="24"/>
          </w:rPr>
          <w:t>IRIS</w:t>
        </w:r>
        <w:r>
          <w:rPr>
            <w:rFonts w:ascii="Times New Roman" w:hAnsi="Times New Roman"/>
            <w:b/>
            <w:noProof/>
            <w:sz w:val="24"/>
          </w:rPr>
          <w:t>²</w:t>
        </w:r>
      </w:hyperlink>
      <w:r>
        <w:rPr>
          <w:rFonts w:ascii="Times New Roman" w:hAnsi="Times New Roman"/>
          <w:noProof/>
          <w:sz w:val="24"/>
        </w:rPr>
        <w:t xml:space="preserve"> ietvaros </w:t>
      </w:r>
      <w:r>
        <w:rPr>
          <w:rFonts w:ascii="Times New Roman" w:hAnsi="Times New Roman"/>
          <w:b/>
          <w:noProof/>
          <w:sz w:val="24"/>
        </w:rPr>
        <w:t>izstrādātu un izvērstu Eiropas kvantiskās komunikācijas infrastruktūru (</w:t>
      </w:r>
      <w:r>
        <w:rPr>
          <w:rFonts w:ascii="Times New Roman" w:hAnsi="Times New Roman"/>
          <w:b/>
          <w:i/>
          <w:iCs/>
          <w:noProof/>
          <w:sz w:val="24"/>
        </w:rPr>
        <w:t>EuroQCI</w:t>
      </w:r>
      <w:r>
        <w:rPr>
          <w:rFonts w:ascii="Times New Roman" w:hAnsi="Times New Roman"/>
          <w:b/>
          <w:noProof/>
          <w:sz w:val="24"/>
        </w:rPr>
        <w:t>)</w:t>
      </w:r>
      <w:r w:rsidRPr="000164CE">
        <w:rPr>
          <w:rFonts w:ascii="Times New Roman" w:eastAsia="Calibri" w:hAnsi="Times New Roman" w:cs="Arial"/>
          <w:noProof/>
          <w:kern w:val="2"/>
          <w:sz w:val="24"/>
          <w:vertAlign w:val="superscript"/>
          <w:lang w:val="en-GB"/>
        </w:rPr>
        <w:footnoteReference w:id="49"/>
      </w:r>
      <w:r>
        <w:rPr>
          <w:rFonts w:ascii="Times New Roman" w:hAnsi="Times New Roman"/>
          <w:noProof/>
          <w:sz w:val="24"/>
        </w:rPr>
        <w:t>, kuras pamatā ir kvantu atslēgu izdalīšana (</w:t>
      </w:r>
      <w:r>
        <w:rPr>
          <w:rFonts w:ascii="Times New Roman" w:hAnsi="Times New Roman"/>
          <w:i/>
          <w:iCs/>
          <w:noProof/>
          <w:sz w:val="24"/>
        </w:rPr>
        <w:t>QKD</w:t>
      </w:r>
      <w:r>
        <w:rPr>
          <w:rFonts w:ascii="Times New Roman" w:hAnsi="Times New Roman"/>
          <w:noProof/>
          <w:sz w:val="24"/>
        </w:rPr>
        <w:t xml:space="preserve">). Abas iniciatīvas galu galā ļaus vienībām droši nosūtīt datus un glabāt informāciju. </w:t>
      </w:r>
    </w:p>
    <w:p w14:paraId="5C12C96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Kvantu tehnoloģijām</w:t>
      </w:r>
      <w:r>
        <w:rPr>
          <w:rFonts w:ascii="Times New Roman" w:hAnsi="Times New Roman"/>
          <w:noProof/>
          <w:sz w:val="24"/>
        </w:rPr>
        <w:t xml:space="preserve"> būs arī būtiska nozīme drošības lietojumprogrammās: kā daļa no </w:t>
      </w:r>
      <w:r>
        <w:rPr>
          <w:rFonts w:ascii="Times New Roman" w:hAnsi="Times New Roman"/>
          <w:b/>
          <w:noProof/>
          <w:sz w:val="24"/>
        </w:rPr>
        <w:t>Kvantu stratēģijas</w:t>
      </w:r>
      <w:r>
        <w:rPr>
          <w:rFonts w:ascii="Times New Roman" w:hAnsi="Times New Roman"/>
          <w:noProof/>
          <w:sz w:val="24"/>
        </w:rPr>
        <w:t xml:space="preserve"> tiks izstrādāts </w:t>
      </w:r>
      <w:r>
        <w:rPr>
          <w:rFonts w:ascii="Times New Roman" w:hAnsi="Times New Roman"/>
          <w:b/>
          <w:noProof/>
          <w:sz w:val="24"/>
        </w:rPr>
        <w:t>ceļvedis kvantiskai detektēšanai drošības lietojumprogrammās</w:t>
      </w:r>
      <w:r>
        <w:rPr>
          <w:rFonts w:ascii="Times New Roman" w:hAnsi="Times New Roman"/>
          <w:noProof/>
          <w:sz w:val="24"/>
        </w:rPr>
        <w:t>. Tāpat Komisija strādā, lai nodrošinātu savu korporatīvo drošībai kritiski svarīgo sistēmu, tai skaitā klasificēto IT sistēmu, kvantizturību.</w:t>
      </w:r>
    </w:p>
    <w:p w14:paraId="57C4D8D8" w14:textId="77777777" w:rsidR="000164CE" w:rsidRPr="007D1E7C" w:rsidRDefault="000164CE" w:rsidP="000164CE">
      <w:pPr>
        <w:spacing w:after="120" w:line="240" w:lineRule="auto"/>
        <w:jc w:val="both"/>
        <w:rPr>
          <w:rFonts w:ascii="Times New Roman" w:eastAsia="Calibri" w:hAnsi="Times New Roman" w:cs="Times New Roman"/>
          <w:bCs/>
          <w:i/>
          <w:noProof/>
          <w:kern w:val="2"/>
          <w:sz w:val="24"/>
          <w14:ligatures w14:val="standardContextual"/>
        </w:rPr>
      </w:pPr>
      <w:r>
        <w:rPr>
          <w:rFonts w:ascii="Times New Roman" w:hAnsi="Times New Roman"/>
          <w:i/>
          <w:noProof/>
          <w:sz w:val="24"/>
        </w:rPr>
        <w:t>Uzņēmējdarbībai labvēlīgs kiberdrošības satvars</w:t>
      </w:r>
    </w:p>
    <w:p w14:paraId="35BFB64E"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Gaidāmā Kiberdrošības akta pārskatīšana ir iespēja </w:t>
      </w:r>
      <w:r>
        <w:rPr>
          <w:rFonts w:ascii="Times New Roman" w:hAnsi="Times New Roman"/>
          <w:b/>
          <w:noProof/>
          <w:sz w:val="24"/>
        </w:rPr>
        <w:t>vienkāršot ES kiberdrošības tiesību aktus</w:t>
      </w:r>
      <w:r>
        <w:rPr>
          <w:rFonts w:ascii="Times New Roman" w:hAnsi="Times New Roman"/>
          <w:noProof/>
          <w:sz w:val="24"/>
        </w:rPr>
        <w:t xml:space="preserve"> saskaņā ar Konkurētspējas kompasu. Komisija cieši sadarbosies ar dalībvalstīm, lai nodrošinātu TID 2 direktīvā, Kibernoturības aktā un Kibersolidaritātes aktā noteiktā horizontālā kiberdrošības satvara ātru, saskaņotu un uzņēmējdarbībai draudzīgu īstenošanu, veicinot vienkāršību un saskaņotību un izvairoties no kiberdrošības noteikumu sadrumstalotības vai dublēšanās ES un valstu tiesību aktos. </w:t>
      </w:r>
    </w:p>
    <w:p w14:paraId="16C18E0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Lai</w:t>
      </w:r>
      <w:r>
        <w:rPr>
          <w:rFonts w:ascii="Times New Roman" w:hAnsi="Times New Roman"/>
          <w:noProof/>
          <w:color w:val="000000"/>
          <w:sz w:val="24"/>
        </w:rPr>
        <w:t xml:space="preserve"> nodrošinātu drošu piekļuvi tiešsaistes pakalpojumiem un stiprinātu digitālo drošību visā ES</w:t>
      </w:r>
      <w:r>
        <w:rPr>
          <w:rFonts w:ascii="Times New Roman" w:hAnsi="Times New Roman"/>
          <w:noProof/>
          <w:sz w:val="24"/>
        </w:rPr>
        <w:t xml:space="preserve">, </w:t>
      </w:r>
      <w:r>
        <w:rPr>
          <w:rFonts w:ascii="Times New Roman" w:hAnsi="Times New Roman"/>
          <w:b/>
          <w:noProof/>
          <w:sz w:val="24"/>
        </w:rPr>
        <w:t>Eiropas digitālās identitātes regulējums</w:t>
      </w:r>
      <w:r>
        <w:rPr>
          <w:rFonts w:ascii="Times New Roman" w:hAnsi="Times New Roman"/>
          <w:noProof/>
          <w:sz w:val="24"/>
        </w:rPr>
        <w:t xml:space="preserve"> līdz 2026. gada beigām piedāvās visiem ES pilsoņiem un iedzīvotājiem uzticamus digitālās identitātes makus. Gaidāmais </w:t>
      </w:r>
      <w:r>
        <w:rPr>
          <w:rFonts w:ascii="Times New Roman" w:hAnsi="Times New Roman"/>
          <w:b/>
          <w:noProof/>
          <w:sz w:val="24"/>
        </w:rPr>
        <w:t>Eiropas darījumdarbības maks</w:t>
      </w:r>
      <w:r>
        <w:rPr>
          <w:rFonts w:ascii="Times New Roman" w:hAnsi="Times New Roman"/>
          <w:noProof/>
          <w:sz w:val="24"/>
        </w:rPr>
        <w:t xml:space="preserve"> veicinās drošu pārrobežu mijiedarbību starp uzņēmumiem un valsts pārvaldes iestādēm. Abi ir priekšnoteikumi uz datiem balstīta vienotā tirgus drošai un efektīvākai darbībai, kas tiks panākta, izmantojot tādus rīkus kā vienotā digitālā vārteja, e-rēķini, e-iepirkums un digitālā produkta pase.</w:t>
      </w:r>
    </w:p>
    <w:p w14:paraId="1A726528" w14:textId="77777777" w:rsidR="000164CE" w:rsidRPr="000A2ACC"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Drošība internetā</w:t>
      </w:r>
    </w:p>
    <w:p w14:paraId="319F755E" w14:textId="7CB292D5"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bookmarkStart w:id="6" w:name="_Hlk192497070"/>
      <w:r>
        <w:rPr>
          <w:rFonts w:ascii="Times New Roman" w:hAnsi="Times New Roman"/>
          <w:noProof/>
          <w:color w:val="000000"/>
          <w:sz w:val="24"/>
        </w:rPr>
        <w:t>Daži no nopietnākajiem hibrīddraudiem, kas apdraud cilvēku drošību un drošumu Eiropā un vēršas pret ES demokrātijas sfēru, notiek tiešsaistē. Šie draudi ietver nelikumīgas darbības un nelikumīgu saturu tiešsaistē, manipulācijas ar informāciju, kas ietver mākslīgu pastiprināšanu, maldinošu informāciju un ārvalstu īstenotu informācijas manipulāciju un iejaukšanos (</w:t>
      </w:r>
      <w:r>
        <w:rPr>
          <w:rFonts w:ascii="Times New Roman" w:hAnsi="Times New Roman"/>
          <w:i/>
          <w:iCs/>
          <w:noProof/>
          <w:color w:val="000000"/>
          <w:sz w:val="24"/>
        </w:rPr>
        <w:t>FIMI</w:t>
      </w:r>
      <w:r>
        <w:rPr>
          <w:rFonts w:ascii="Times New Roman" w:hAnsi="Times New Roman"/>
          <w:noProof/>
          <w:color w:val="000000"/>
          <w:sz w:val="24"/>
        </w:rPr>
        <w:t xml:space="preserve">). </w:t>
      </w:r>
    </w:p>
    <w:p w14:paraId="69F31AA8" w14:textId="41F37D46"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b/>
          <w:noProof/>
          <w:color w:val="000000"/>
          <w:sz w:val="24"/>
        </w:rPr>
        <w:t>Digitālo pakalpojumu akta (DPA)</w:t>
      </w:r>
      <w:r>
        <w:rPr>
          <w:rFonts w:ascii="Times New Roman" w:hAnsi="Times New Roman"/>
          <w:noProof/>
          <w:color w:val="000000"/>
          <w:sz w:val="24"/>
        </w:rPr>
        <w:t xml:space="preserve"> stingra izpilde ir ārkārtīgi svarīga, lai nodrošinātu drošu un pieejamu tiešsaistes vidi ar atbildīgiem dalībniekiem, kura ir noturīga arī pret hibrīddraudiem. DPA uzliek pienākumu ļoti lielu tiešsaistes platformu (</w:t>
      </w:r>
      <w:r>
        <w:rPr>
          <w:rFonts w:ascii="Times New Roman" w:hAnsi="Times New Roman"/>
          <w:i/>
          <w:iCs/>
          <w:noProof/>
          <w:color w:val="000000"/>
          <w:sz w:val="24"/>
        </w:rPr>
        <w:t>VLOP</w:t>
      </w:r>
      <w:r>
        <w:rPr>
          <w:rFonts w:ascii="Times New Roman" w:hAnsi="Times New Roman"/>
          <w:noProof/>
          <w:color w:val="000000"/>
          <w:sz w:val="24"/>
        </w:rPr>
        <w:t>) un ļoti lielu tiešsaistes meklētājprogrammu (</w:t>
      </w:r>
      <w:r>
        <w:rPr>
          <w:rFonts w:ascii="Times New Roman" w:hAnsi="Times New Roman"/>
          <w:i/>
          <w:iCs/>
          <w:noProof/>
          <w:color w:val="000000"/>
          <w:sz w:val="24"/>
        </w:rPr>
        <w:t>VLOSE)</w:t>
      </w:r>
      <w:r>
        <w:rPr>
          <w:rFonts w:ascii="Times New Roman" w:hAnsi="Times New Roman"/>
          <w:noProof/>
          <w:color w:val="000000"/>
          <w:sz w:val="24"/>
        </w:rPr>
        <w:t xml:space="preserve"> nodrošinātājiem veikt riska novērtējumus un ieviest riska mazināšanas pasākumus attiecībā uz sistēmiskiem riskiem, kas izriet no to pakalpojumu izstrādes, darbības vai izmantošanas. Šādi riski var ietvert negatīvu ietekmi uz pilsonisko diskursu un vēlēšanu procesiem, kā arī uz sabiedrisko drošību, piemēram, ļaunprātīgu ārvalstu valsts aktoru tālejošu iejaukšanos, piemēram, vēlēšanu procesos. Ir svarīgi apmācīt dalībvalstu kompetentās iestādes par juridisko instrumentu izmantošanu, lai nekavējoties izņemtu nelikumīgu saturu tiešsaistē, īpaši attiecībā uz ar dzimumu saistītu kibervardarbību. DPA paredz mehānismu reaģēšanai krīzes situācijās, ko var aktivizēt, ja ārkārtēji apstākļi rada nopietnu apdraudējumu sabiedrības drošībai vai sabiedrības veselībai Savienībā vai nozīmīgā tās daļā. Lai papildinātu šo mehānismu, Komisija un valstu kompetentās iestādes, kas izraudzītas par digitālo pakalpojumu koordinatoriem, ir izstrādājušas arī brīvprātīgu </w:t>
      </w:r>
      <w:r>
        <w:rPr>
          <w:rFonts w:ascii="Times New Roman" w:hAnsi="Times New Roman"/>
          <w:b/>
          <w:noProof/>
          <w:color w:val="000000"/>
          <w:sz w:val="24"/>
        </w:rPr>
        <w:t>satvaru reaģēšanai uz DPA incidentiem</w:t>
      </w:r>
      <w:r>
        <w:rPr>
          <w:rFonts w:ascii="Times New Roman" w:hAnsi="Times New Roman"/>
          <w:noProof/>
          <w:color w:val="000000"/>
          <w:sz w:val="24"/>
        </w:rPr>
        <w:t>. Digitālo pakalpojumu koordinatori ir arī veikuši pasākumus, lai palīdzētu aizsargāt vēlēšanu integritāti, piemēram, organizējot vēlēšanu apaļā galda sanāksmes un stresa testus</w:t>
      </w:r>
      <w:r w:rsidRPr="000164CE">
        <w:rPr>
          <w:rFonts w:ascii="Times New Roman" w:eastAsia="Times New Roman" w:hAnsi="Times New Roman" w:cs="Times New Roman"/>
          <w:noProof/>
          <w:color w:val="000000"/>
          <w:kern w:val="2"/>
          <w:sz w:val="24"/>
          <w:szCs w:val="24"/>
          <w:vertAlign w:val="superscript"/>
        </w:rPr>
        <w:footnoteReference w:id="50"/>
      </w:r>
      <w:r>
        <w:rPr>
          <w:rFonts w:ascii="Times New Roman" w:hAnsi="Times New Roman"/>
          <w:noProof/>
          <w:color w:val="000000"/>
          <w:sz w:val="24"/>
        </w:rPr>
        <w:t>. DPA kopā ar Politiskās reklāmas regulu</w:t>
      </w:r>
      <w:r w:rsidR="00CE3575" w:rsidRPr="00CE3575">
        <w:rPr>
          <w:rFonts w:ascii="Times New Roman" w:eastAsia="Times New Roman" w:hAnsi="Times New Roman" w:cs="Times New Roman"/>
          <w:noProof/>
          <w:color w:val="000000"/>
          <w:kern w:val="2"/>
          <w:sz w:val="24"/>
          <w:szCs w:val="24"/>
          <w:vertAlign w:val="superscript"/>
        </w:rPr>
        <w:footnoteReference w:id="51"/>
      </w:r>
      <w:r>
        <w:rPr>
          <w:rFonts w:ascii="Times New Roman" w:hAnsi="Times New Roman"/>
          <w:noProof/>
          <w:color w:val="000000"/>
          <w:sz w:val="24"/>
        </w:rPr>
        <w:t xml:space="preserve"> nodrošina vienu no vairākiem virzieniem, kas saistīti ar demokrātijas un demokrātisko procesu integritātes aizsardzību, kuri ir neaizsargāti pret naidīgu aktoru uzbrukumiem, arī izmantojot digitālos rīkus un sociālos medijus. </w:t>
      </w:r>
    </w:p>
    <w:p w14:paraId="2E527C52" w14:textId="0546F961"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Vēl viens svarīgs komponents, kas piedāvā būtisku atbalstu ES līmenī, ir </w:t>
      </w:r>
      <w:r>
        <w:rPr>
          <w:rFonts w:ascii="Times New Roman" w:hAnsi="Times New Roman"/>
          <w:b/>
          <w:i/>
          <w:iCs/>
          <w:noProof/>
          <w:color w:val="000000"/>
          <w:sz w:val="24"/>
        </w:rPr>
        <w:t>FIMI</w:t>
      </w:r>
      <w:r>
        <w:rPr>
          <w:rFonts w:ascii="Times New Roman" w:hAnsi="Times New Roman"/>
          <w:noProof/>
          <w:color w:val="000000"/>
          <w:sz w:val="24"/>
        </w:rPr>
        <w:t xml:space="preserve"> rīkkopas īstenošana. Šajos centienos būtiska nozīme ir arī digitālās un medijpratības un kritiskās domāšanas atbalstam</w:t>
      </w:r>
      <w:r w:rsidR="000231FB" w:rsidRPr="000231FB">
        <w:rPr>
          <w:rFonts w:ascii="Times New Roman" w:eastAsia="Times New Roman" w:hAnsi="Times New Roman" w:cs="Times New Roman"/>
          <w:noProof/>
          <w:color w:val="000000"/>
          <w:kern w:val="2"/>
          <w:sz w:val="24"/>
          <w:szCs w:val="24"/>
          <w:vertAlign w:val="superscript"/>
        </w:rPr>
        <w:footnoteReference w:id="52"/>
      </w:r>
      <w:r>
        <w:rPr>
          <w:rFonts w:ascii="Times New Roman" w:hAnsi="Times New Roman"/>
          <w:noProof/>
          <w:color w:val="000000"/>
          <w:sz w:val="24"/>
        </w:rPr>
        <w:t xml:space="preserve">. </w:t>
      </w:r>
    </w:p>
    <w:p w14:paraId="71DA1DEE" w14:textId="77777777" w:rsidR="000164CE" w:rsidRPr="000164CE" w:rsidRDefault="000164CE" w:rsidP="000164CE">
      <w:pPr>
        <w:keepNext/>
        <w:keepLines/>
        <w:spacing w:before="120" w:after="120" w:line="240" w:lineRule="auto"/>
        <w:outlineLvl w:val="1"/>
        <w:rPr>
          <w:rFonts w:ascii="Times New Roman" w:eastAsia="MS Mincho" w:hAnsi="Times New Roman" w:cs="Times New Roman"/>
          <w:b/>
          <w:bCs/>
          <w:i/>
          <w:noProof/>
          <w:kern w:val="2"/>
          <w:sz w:val="24"/>
          <w:szCs w:val="24"/>
          <w14:ligatures w14:val="standardContextual"/>
        </w:rPr>
      </w:pPr>
      <w:r>
        <w:rPr>
          <w:rFonts w:ascii="Times New Roman" w:hAnsi="Times New Roman"/>
          <w:b/>
          <w:i/>
          <w:noProof/>
          <w:sz w:val="24"/>
        </w:rPr>
        <w:t xml:space="preserve">Cīņa pret migrācijas izmantošanu par ieroci </w:t>
      </w:r>
    </w:p>
    <w:p w14:paraId="57BB3948" w14:textId="2D4FCAF6"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Krievija ar Baltkrievijas palīdzību un būtisku atbalstu ir mērķtiecīgi izmantojusi migrāciju par ieroci un nelikumīgi veicinājusi migrācijas plūsmas uz ES ārējām robežām, lai destabilizētu mūsu sabiedrību un grautu Eiropas Savienības vienotību. Tas apdraud ne tikai dalībvalstu drošību un suverenitāti, bet arī Šengenas zonas drošību un integritāti, kā arī visas Savienības drošību. 2024. gada oktobrī pieņemtajos secinājumos Eiropadome uzsvēra, ka ne Krievijai, ne Baltkrievijai, ne jebkurai citai valstij nedrīkst atļaut aizskart mūsu vērtības, tai skaitā tiesības uz patvērumu, un graut mūsu demokrātiju.</w:t>
      </w:r>
    </w:p>
    <w:p w14:paraId="449168E1" w14:textId="42B8B31D"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sz w:val="24"/>
        </w:rPr>
        <w:t>Kā norādīts Komisijas 2024. gada paziņojumā par migrācijas izmantošanu par ieroci, Savienība papildus spēcīgam politiskajam atbalstam ir veikusi finansiālus, operatīvus un diplomātiskus pasākumus, ieskaitot sadarbību ar izcelsmes un tranzīta valstīm, lai efektīvi novērstu šos draudus</w:t>
      </w:r>
      <w:r w:rsidRPr="000164CE">
        <w:rPr>
          <w:rFonts w:ascii="Times New Roman" w:eastAsia="Times New Roman" w:hAnsi="Times New Roman" w:cs="Times New Roman"/>
          <w:noProof/>
          <w:kern w:val="2"/>
          <w:sz w:val="24"/>
          <w:szCs w:val="24"/>
          <w:vertAlign w:val="superscript"/>
          <w:lang w:val="en-GB"/>
        </w:rPr>
        <w:footnoteReference w:id="53"/>
      </w:r>
      <w:r>
        <w:rPr>
          <w:rFonts w:ascii="Times New Roman" w:hAnsi="Times New Roman"/>
          <w:noProof/>
          <w:sz w:val="24"/>
        </w:rPr>
        <w:t>. Šī reakcija ietver Padomes izveidotā jaunā satvara izmantošanu, lai, nosakot aktīvu iesaldēšanu un ceļošanas aizliegumus, sodītu personas un organizācijas, kas iesaistītas tādās darbībās un politikā kā Krievijas veiktā migrācijas izmantošana par ieroci</w:t>
      </w:r>
      <w:r w:rsidRPr="000164CE">
        <w:rPr>
          <w:rFonts w:ascii="Times New Roman" w:eastAsia="Times New Roman" w:hAnsi="Times New Roman" w:cs="Times New Roman"/>
          <w:noProof/>
          <w:kern w:val="2"/>
          <w:sz w:val="24"/>
          <w:szCs w:val="24"/>
          <w:vertAlign w:val="superscript"/>
          <w:lang w:val="en-GB"/>
        </w:rPr>
        <w:footnoteReference w:id="54"/>
      </w:r>
      <w:r>
        <w:rPr>
          <w:rFonts w:ascii="Times New Roman" w:hAnsi="Times New Roman"/>
          <w:noProof/>
          <w:sz w:val="24"/>
        </w:rPr>
        <w:t xml:space="preserve">. </w:t>
      </w:r>
      <w:r>
        <w:rPr>
          <w:rFonts w:ascii="Times New Roman" w:hAnsi="Times New Roman"/>
          <w:noProof/>
          <w:color w:val="000000"/>
          <w:sz w:val="24"/>
        </w:rPr>
        <w:t xml:space="preserve">ES vajadzības gadījumā turpinās izmantot šo satvaru un atbalstīs dalībvalstis šā apdraudējuma novēršanā. </w:t>
      </w:r>
    </w:p>
    <w:bookmarkEnd w:id="6"/>
    <w:p w14:paraId="197164E5"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Transporta drošība </w:t>
      </w:r>
    </w:p>
    <w:p w14:paraId="2E3860E9" w14:textId="33BF33A8"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Jūras ostas, lidostas un sauszemes infrastruktūra ir izšķiroši svarīgi ieejas un izejas punkti. Tiem ir būtiska nozīme ES ekonomikā un sabiedrībā, kā arī militārajā mobilitātē. Tomēr šie transporta mezgli un līdzekļi ir arī vieni no galvenajiem mērķiem, pret kuriem vērsti  ārēji draudi un noziedzīgas darbības. Nesenie incidenti, tai skaitā aviācijas kravu drošības pārkāpumi un uzbrukumi dzelzceļa infrastruktūrai, liecina par nopietniem riskiem. </w:t>
      </w:r>
      <w:r>
        <w:rPr>
          <w:rFonts w:ascii="Times New Roman" w:hAnsi="Times New Roman"/>
          <w:b/>
          <w:noProof/>
          <w:color w:val="000000"/>
          <w:sz w:val="24"/>
        </w:rPr>
        <w:t>Pārvadātāji</w:t>
      </w:r>
      <w:r>
        <w:rPr>
          <w:rFonts w:ascii="Times New Roman" w:hAnsi="Times New Roman"/>
          <w:noProof/>
          <w:color w:val="000000"/>
          <w:sz w:val="24"/>
        </w:rPr>
        <w:t xml:space="preserve"> var būt gan mērķi, gan instrumenti ļaunprātīgiem aktoriem. Spēkā esošie ES juridiskie instrumenti ir uzlabojuši aviācijas drošību</w:t>
      </w:r>
      <w:r w:rsidRPr="000164CE">
        <w:rPr>
          <w:rFonts w:ascii="Times New Roman" w:eastAsia="Times New Roman" w:hAnsi="Times New Roman" w:cs="Times New Roman"/>
          <w:noProof/>
          <w:color w:val="000000"/>
          <w:kern w:val="2"/>
          <w:sz w:val="24"/>
          <w:szCs w:val="24"/>
          <w:vertAlign w:val="superscript"/>
          <w:lang w:val="en-GB"/>
        </w:rPr>
        <w:footnoteReference w:id="55"/>
      </w:r>
      <w:r>
        <w:rPr>
          <w:rFonts w:ascii="Times New Roman" w:hAnsi="Times New Roman"/>
          <w:noProof/>
          <w:color w:val="000000"/>
          <w:sz w:val="24"/>
        </w:rPr>
        <w:t xml:space="preserve">, tomēr augstais civilās aviācijas apdraudējuma līmenis prasa līdzekļus, kas ļautu paredzēt incidentus un ātri apspriesties ar attiecīgajām dalībvalstīm. Komisija sadarbosies ar dalībvalstīm, lai grozītu spēkā esošos īstenošanas tiesību aktus aviācijas drošības jomā nolūkā apmainīties ar klasificētu informāciju par </w:t>
      </w:r>
      <w:r>
        <w:rPr>
          <w:rFonts w:ascii="Times New Roman" w:hAnsi="Times New Roman"/>
          <w:b/>
          <w:noProof/>
          <w:color w:val="000000"/>
          <w:sz w:val="24"/>
        </w:rPr>
        <w:t>atgadījumiem aviācijas drošības jomā</w:t>
      </w:r>
      <w:r>
        <w:rPr>
          <w:rFonts w:ascii="Times New Roman" w:hAnsi="Times New Roman"/>
          <w:noProof/>
          <w:color w:val="000000"/>
          <w:sz w:val="24"/>
        </w:rPr>
        <w:t xml:space="preserve">. Turklāt Komisija apsvērs </w:t>
      </w:r>
      <w:r>
        <w:rPr>
          <w:rFonts w:ascii="Times New Roman" w:hAnsi="Times New Roman"/>
          <w:b/>
          <w:noProof/>
          <w:color w:val="000000"/>
          <w:sz w:val="24"/>
        </w:rPr>
        <w:t>regulatīvus pasākumus</w:t>
      </w:r>
      <w:r>
        <w:rPr>
          <w:rFonts w:ascii="Times New Roman" w:hAnsi="Times New Roman"/>
          <w:noProof/>
          <w:color w:val="000000"/>
          <w:sz w:val="24"/>
        </w:rPr>
        <w:t xml:space="preserve">, lai novērstu jaunus apdraudējumus, piemēram, </w:t>
      </w:r>
      <w:r>
        <w:rPr>
          <w:rFonts w:ascii="Times New Roman" w:hAnsi="Times New Roman"/>
          <w:b/>
          <w:noProof/>
          <w:color w:val="000000"/>
          <w:sz w:val="24"/>
        </w:rPr>
        <w:t>gaisa kravu incidentus</w:t>
      </w:r>
      <w:r>
        <w:rPr>
          <w:rFonts w:ascii="Times New Roman" w:hAnsi="Times New Roman"/>
          <w:noProof/>
          <w:color w:val="000000"/>
          <w:sz w:val="24"/>
        </w:rPr>
        <w:t>, un pastiprinātu aviācijas drošības standartus. Tas ietvers arī</w:t>
      </w:r>
      <w:r>
        <w:rPr>
          <w:rFonts w:ascii="Times New Roman" w:hAnsi="Times New Roman"/>
          <w:b/>
          <w:noProof/>
          <w:color w:val="000000"/>
          <w:sz w:val="24"/>
        </w:rPr>
        <w:t xml:space="preserve"> aviācijas drošības tiesību aktu (</w:t>
      </w:r>
      <w:r>
        <w:rPr>
          <w:rFonts w:ascii="Times New Roman" w:hAnsi="Times New Roman"/>
          <w:b/>
          <w:i/>
          <w:iCs/>
          <w:noProof/>
          <w:color w:val="000000"/>
          <w:sz w:val="24"/>
        </w:rPr>
        <w:t>AVSEC)</w:t>
      </w:r>
      <w:r>
        <w:rPr>
          <w:rFonts w:ascii="Times New Roman" w:hAnsi="Times New Roman"/>
          <w:noProof/>
          <w:color w:val="000000"/>
          <w:sz w:val="24"/>
        </w:rPr>
        <w:t xml:space="preserve">, lai nodrošinātu tūlītējus reaģēšanas pasākumus, vienlaikus saglabājot vienas pieturas drošības zonu ES lidostās. </w:t>
      </w:r>
    </w:p>
    <w:p w14:paraId="049862FE" w14:textId="77777777" w:rsidR="002C7DAC"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color w:val="000000"/>
          <w:sz w:val="24"/>
        </w:rPr>
        <w:t xml:space="preserve">Izstrādājot gaidāmo </w:t>
      </w:r>
      <w:r>
        <w:rPr>
          <w:rFonts w:ascii="Times New Roman" w:hAnsi="Times New Roman"/>
          <w:b/>
          <w:noProof/>
          <w:color w:val="000000"/>
          <w:sz w:val="24"/>
        </w:rPr>
        <w:t>ES ostu stratēģiju</w:t>
      </w:r>
      <w:r>
        <w:rPr>
          <w:rFonts w:ascii="Times New Roman" w:hAnsi="Times New Roman"/>
          <w:noProof/>
          <w:color w:val="000000"/>
          <w:sz w:val="24"/>
        </w:rPr>
        <w:t xml:space="preserve">, pamatojoties uz </w:t>
      </w:r>
      <w:r>
        <w:rPr>
          <w:rFonts w:ascii="Times New Roman" w:hAnsi="Times New Roman"/>
          <w:b/>
          <w:noProof/>
          <w:color w:val="000000"/>
          <w:sz w:val="24"/>
        </w:rPr>
        <w:t>ES Ostu aliansi</w:t>
      </w:r>
      <w:r>
        <w:rPr>
          <w:rFonts w:ascii="Times New Roman" w:hAnsi="Times New Roman"/>
          <w:noProof/>
          <w:color w:val="000000"/>
          <w:sz w:val="24"/>
        </w:rPr>
        <w:t>, Komisija pētīs veidus, kā vēl vairāk stiprināt jūras drošības tiesību aktus, lai efektīvi novērstu jaunus apdraudējumus, nodrošinātu ostas un uzlabotu ES piegādes ķēdes drošību. Šajā nolūkā Komisija nodrošinās tās stingru īstenošanu un strādās, lai saskaņotu valstu praksi un pastiprinātu iepriekšējās darbības pārbaudes ostās. Papildus gaisa kravu drošības protokoliem Komisija sadarbosies ar dalībvalstīm un privāto sektoru, lai paplašinātu šos protokolus nolūkā uzlabot jūras transporta ķēžu drošību.</w:t>
      </w:r>
      <w:r>
        <w:rPr>
          <w:rFonts w:ascii="Times New Roman" w:hAnsi="Times New Roman"/>
          <w:noProof/>
          <w:sz w:val="24"/>
        </w:rPr>
        <w:t xml:space="preserve"> </w:t>
      </w:r>
    </w:p>
    <w:p w14:paraId="43EA9B91" w14:textId="6B2CBDBE" w:rsidR="000164CE" w:rsidRPr="000164CE" w:rsidRDefault="00647280" w:rsidP="000164CE">
      <w:pPr>
        <w:spacing w:after="120" w:line="240" w:lineRule="auto"/>
        <w:jc w:val="both"/>
        <w:rPr>
          <w:rFonts w:ascii="Times New Roman" w:eastAsia="Times New Roman" w:hAnsi="Times New Roman" w:cs="Times New Roman"/>
          <w:b/>
          <w:noProof/>
          <w:kern w:val="2"/>
          <w:sz w:val="24"/>
          <w:szCs w:val="24"/>
          <w14:ligatures w14:val="standardContextual"/>
        </w:rPr>
      </w:pPr>
      <w:r>
        <w:rPr>
          <w:rFonts w:ascii="Times New Roman" w:hAnsi="Times New Roman"/>
          <w:noProof/>
          <w:sz w:val="24"/>
        </w:rPr>
        <w:t xml:space="preserve">Lai palīdzētu dalībvalstīm novērst to, ka ļaunprātīgi aktori izmanto starptautiskās piegādes ķēdes, ierosinātais ES Muitas dienests analizēs un novērtēs riskus, pamatojoties uz </w:t>
      </w:r>
      <w:r>
        <w:rPr>
          <w:rFonts w:ascii="Times New Roman" w:hAnsi="Times New Roman"/>
          <w:b/>
          <w:noProof/>
          <w:sz w:val="24"/>
        </w:rPr>
        <w:t>muitas informāciju</w:t>
      </w:r>
      <w:r>
        <w:rPr>
          <w:rFonts w:ascii="Times New Roman" w:hAnsi="Times New Roman"/>
          <w:noProof/>
          <w:sz w:val="24"/>
        </w:rPr>
        <w:t>, kas saistīta ar precēm, kuras ieved ES, izved no tās un ved tranzītā. Saskaņā ar ES Jūras drošības stratēģiju</w:t>
      </w:r>
      <w:r w:rsidR="00061CC0" w:rsidRPr="00061CC0">
        <w:rPr>
          <w:rFonts w:ascii="Times New Roman" w:eastAsia="Times New Roman" w:hAnsi="Times New Roman" w:cs="Times New Roman"/>
          <w:noProof/>
          <w:kern w:val="2"/>
          <w:sz w:val="24"/>
          <w:szCs w:val="24"/>
          <w:vertAlign w:val="superscript"/>
          <w:lang w:val="en-GB"/>
        </w:rPr>
        <w:footnoteReference w:id="56"/>
      </w:r>
      <w:r>
        <w:rPr>
          <w:rFonts w:ascii="Times New Roman" w:hAnsi="Times New Roman"/>
          <w:noProof/>
          <w:sz w:val="24"/>
        </w:rPr>
        <w:t xml:space="preserve"> gaidāmajam</w:t>
      </w:r>
      <w:r>
        <w:rPr>
          <w:rFonts w:ascii="Times New Roman" w:hAnsi="Times New Roman"/>
          <w:b/>
          <w:noProof/>
          <w:sz w:val="24"/>
        </w:rPr>
        <w:t xml:space="preserve"> Eiropas Okeānu paktam </w:t>
      </w:r>
      <w:r>
        <w:rPr>
          <w:rFonts w:ascii="Times New Roman" w:hAnsi="Times New Roman"/>
          <w:noProof/>
          <w:sz w:val="24"/>
        </w:rPr>
        <w:t>būs būtiska nozīme jūras drošības stiprināšanā jūras baseinos ap ES un ārpus tās, arī veicinot daudzfunkcionālu jūras operāciju un mācību izvēršanu.</w:t>
      </w:r>
    </w:p>
    <w:p w14:paraId="2AE73A2A" w14:textId="77777777" w:rsidR="005125C8" w:rsidRPr="00F254E9" w:rsidRDefault="005125C8" w:rsidP="005125C8">
      <w:pPr>
        <w:outlineLvl w:val="1"/>
        <w:rPr>
          <w:rFonts w:ascii="Times New Roman" w:hAnsi="Times New Roman" w:cs="Times New Roman"/>
          <w:b/>
          <w:bCs/>
          <w:i/>
          <w:iCs/>
          <w:noProof/>
          <w:sz w:val="24"/>
          <w:szCs w:val="24"/>
        </w:rPr>
      </w:pPr>
      <w:r>
        <w:rPr>
          <w:rFonts w:ascii="Times New Roman" w:hAnsi="Times New Roman"/>
          <w:b/>
          <w:i/>
          <w:noProof/>
          <w:sz w:val="24"/>
        </w:rPr>
        <w:t>Piegādes ķēžu noturība</w:t>
      </w:r>
    </w:p>
    <w:p w14:paraId="4648053F" w14:textId="18818813"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Eiropai ir jāsamazina atkarība no trešo valstu tehnoloģijām, kas var radīt atkarības un drošības riskus. Komisijas mērķis ir mazināt atkarību no atsevišķiem ārvalstu piegādātājiem, mazināt risku, ko augsta riska piegādātāji rada mūsu piegādes ķēdēm, un nodrošināt kritisko infrastruktūru un rūpnieciskās spējas ES teritorijā, kā norādīts </w:t>
      </w:r>
      <w:r>
        <w:rPr>
          <w:rFonts w:ascii="Times New Roman" w:hAnsi="Times New Roman"/>
          <w:b/>
          <w:noProof/>
          <w:sz w:val="24"/>
        </w:rPr>
        <w:t>Konkurētspējas kompasā</w:t>
      </w:r>
      <w:r w:rsidR="00B2153E">
        <w:rPr>
          <w:rStyle w:val="FootnoteReference"/>
          <w:rFonts w:ascii="Times New Roman" w:eastAsia="Times New Roman" w:hAnsi="Times New Roman" w:cs="Times New Roman"/>
          <w:b/>
          <w:bCs/>
          <w:noProof/>
          <w:kern w:val="2"/>
          <w:sz w:val="24"/>
          <w:szCs w:val="24"/>
          <w:lang w:val="en-GB"/>
        </w:rPr>
        <w:footnoteReference w:id="57"/>
      </w:r>
      <w:r>
        <w:rPr>
          <w:rFonts w:ascii="Times New Roman" w:hAnsi="Times New Roman"/>
          <w:b/>
          <w:noProof/>
          <w:sz w:val="24"/>
        </w:rPr>
        <w:t xml:space="preserve"> </w:t>
      </w:r>
      <w:r>
        <w:rPr>
          <w:rFonts w:ascii="Times New Roman" w:hAnsi="Times New Roman"/>
          <w:noProof/>
          <w:sz w:val="24"/>
        </w:rPr>
        <w:t>un</w:t>
      </w:r>
      <w:r>
        <w:rPr>
          <w:rFonts w:ascii="Times New Roman" w:hAnsi="Times New Roman"/>
          <w:b/>
          <w:noProof/>
          <w:sz w:val="24"/>
        </w:rPr>
        <w:t xml:space="preserve"> tīras rūpniecības kursā</w:t>
      </w:r>
      <w:r w:rsidR="00B2153E">
        <w:rPr>
          <w:rStyle w:val="FootnoteReference"/>
          <w:rFonts w:ascii="Times New Roman" w:eastAsia="Times New Roman" w:hAnsi="Times New Roman" w:cs="Times New Roman"/>
          <w:b/>
          <w:bCs/>
          <w:noProof/>
          <w:kern w:val="2"/>
          <w:sz w:val="24"/>
          <w:szCs w:val="24"/>
          <w:lang w:val="en-GB"/>
        </w:rPr>
        <w:footnoteReference w:id="58"/>
      </w:r>
      <w:r>
        <w:rPr>
          <w:rFonts w:ascii="Times New Roman" w:hAnsi="Times New Roman"/>
          <w:noProof/>
          <w:sz w:val="24"/>
        </w:rPr>
        <w:t xml:space="preserve">. Komisija veicinās </w:t>
      </w:r>
      <w:r>
        <w:rPr>
          <w:rFonts w:ascii="Times New Roman" w:hAnsi="Times New Roman"/>
          <w:b/>
          <w:noProof/>
          <w:sz w:val="24"/>
        </w:rPr>
        <w:t>rūpniecības politiku iekšējās drošības jomā</w:t>
      </w:r>
      <w:r>
        <w:rPr>
          <w:rFonts w:ascii="Times New Roman" w:hAnsi="Times New Roman"/>
          <w:noProof/>
          <w:sz w:val="24"/>
        </w:rPr>
        <w:t xml:space="preserve">, sadarbojoties ar ES rūpniecību galvenajās nozarēs (piemēram, transporta mezgli, kritiskā infrastruktūra), lai ražotu drošības risinājumus, piemēram, atklāšanas iekārtas, biometriskās tehnoloģijas un dronus, kuros iekļauti integrēti drošības elementi. </w:t>
      </w:r>
      <w:r>
        <w:rPr>
          <w:rFonts w:ascii="Times New Roman" w:hAnsi="Times New Roman"/>
          <w:b/>
          <w:noProof/>
          <w:sz w:val="24"/>
        </w:rPr>
        <w:t>Pārskatot ES iepirkuma noteikumus</w:t>
      </w:r>
      <w:r>
        <w:rPr>
          <w:rFonts w:ascii="Times New Roman" w:hAnsi="Times New Roman"/>
          <w:noProof/>
          <w:sz w:val="24"/>
        </w:rPr>
        <w:t>, Komisija novērtēs, vai 2009. gada Aizsardzības un drošības iepirkuma direktīvā</w:t>
      </w:r>
      <w:r w:rsidR="00296B48">
        <w:rPr>
          <w:rStyle w:val="FootnoteReference"/>
          <w:rFonts w:ascii="Times New Roman" w:eastAsia="Times New Roman" w:hAnsi="Times New Roman" w:cs="Times New Roman"/>
          <w:noProof/>
          <w:kern w:val="2"/>
          <w:sz w:val="24"/>
          <w:szCs w:val="24"/>
          <w:lang w:val="en-GB"/>
        </w:rPr>
        <w:footnoteReference w:id="59"/>
      </w:r>
      <w:r>
        <w:rPr>
          <w:rFonts w:ascii="Times New Roman" w:hAnsi="Times New Roman"/>
          <w:noProof/>
          <w:sz w:val="24"/>
        </w:rPr>
        <w:t xml:space="preserve"> paredzētie drošības apsvērumi ir pietiekami, lai apmierinātu tiesībaizsardzības un kritisko vienību noturības vajadzības. </w:t>
      </w:r>
    </w:p>
    <w:p w14:paraId="53FE09E4" w14:textId="17B288DF" w:rsidR="000164CE" w:rsidRPr="000164CE" w:rsidRDefault="000164CE" w:rsidP="000164CE">
      <w:pPr>
        <w:spacing w:after="120" w:line="240" w:lineRule="auto"/>
        <w:jc w:val="both"/>
        <w:rPr>
          <w:rFonts w:ascii="Times New Roman" w:eastAsia="Calibri" w:hAnsi="Times New Roman" w:cs="Arial"/>
          <w:noProof/>
          <w:kern w:val="2"/>
          <w:sz w:val="24"/>
          <w14:ligatures w14:val="standardContextual"/>
        </w:rPr>
      </w:pPr>
      <w:r>
        <w:rPr>
          <w:rFonts w:ascii="Times New Roman" w:hAnsi="Times New Roman"/>
          <w:noProof/>
          <w:sz w:val="24"/>
        </w:rPr>
        <w:t xml:space="preserve">Komisija atbalstīs dalībvalstis </w:t>
      </w:r>
      <w:r>
        <w:rPr>
          <w:rFonts w:ascii="Times New Roman" w:hAnsi="Times New Roman"/>
          <w:b/>
          <w:noProof/>
          <w:sz w:val="24"/>
        </w:rPr>
        <w:t>ārvalstu tiešo ieguldījumu (ĀTI)</w:t>
      </w:r>
      <w:r>
        <w:rPr>
          <w:rFonts w:ascii="Times New Roman" w:hAnsi="Times New Roman"/>
          <w:noProof/>
          <w:sz w:val="24"/>
        </w:rPr>
        <w:t xml:space="preserve"> un loģistikas centru aprīkojuma iepirkuma izvērtēšanā, lai nodrošinātu, ka kritiskā infrastruktūra un tehnoloģijas joprojām ir drošas. </w:t>
      </w:r>
    </w:p>
    <w:p w14:paraId="53CE5F05" w14:textId="57671D5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Kad </w:t>
      </w:r>
      <w:r>
        <w:rPr>
          <w:rFonts w:ascii="Times New Roman" w:hAnsi="Times New Roman"/>
          <w:b/>
          <w:noProof/>
          <w:sz w:val="24"/>
        </w:rPr>
        <w:t>Iekšējā tirgus ārkārtējā stāvokļa un noturības akts (ITĀSNA)</w:t>
      </w:r>
      <w:r>
        <w:rPr>
          <w:rFonts w:ascii="Times New Roman" w:hAnsi="Times New Roman"/>
          <w:noProof/>
          <w:sz w:val="24"/>
        </w:rPr>
        <w:t xml:space="preserve"> būs stājies spēkā, tas palīdzēs ES pārvarēt krīzes, kas traucē kritiski svarīgas piegādes ķēdes un preču un pakalpojumu brīvu apriti un personu brīvu pārvietošanos. Tas ļaus ātri koordinēt krīzi, identificēt krīzes gadījumā būtiskas preces un pakalpojumus un nodrošinās rīkkopu to pieejamības nodrošināšanai. Turklāt ciešā sadarbībā ar dalībvalstīm Komisija ierosinās izveidot </w:t>
      </w:r>
      <w:r>
        <w:rPr>
          <w:rFonts w:ascii="Times New Roman" w:hAnsi="Times New Roman"/>
          <w:b/>
          <w:noProof/>
          <w:sz w:val="24"/>
        </w:rPr>
        <w:t>daudzaģentūru transporta un piegādes ķēdes drošības brīdināšanas mehānismu</w:t>
      </w:r>
      <w:r>
        <w:rPr>
          <w:rFonts w:ascii="Times New Roman" w:hAnsi="Times New Roman"/>
          <w:noProof/>
          <w:sz w:val="24"/>
        </w:rPr>
        <w:t>, lai garantētu drošu un savlaicīgu apmaiņu ar attiecīgo informāciju, kas vajadzīga draudu prognozēšanai un novēršanai.</w:t>
      </w:r>
    </w:p>
    <w:p w14:paraId="2F2031F0"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Turklāt, īstenojot Kritiski svarīgo izejvielu aktu un Neto nulles emisiju industrijas aktu, ilgtspējas, noturības un Eiropas priekšrokas kritēriju plašāka izmantošana ES publiskajā iepirkumā veicinās pirmtirgu attīstību. Pastiprinātas tirdzniecības saites, piemēram, izmantojot izejvielu partnerības un tīras tirdzniecības un investīciju partnerības, palīdzēs dažādot piegādes ķēdes.</w:t>
      </w:r>
    </w:p>
    <w:p w14:paraId="6C91D807" w14:textId="77777777" w:rsidR="005125C8" w:rsidRDefault="005125C8" w:rsidP="005125C8">
      <w:pPr>
        <w:outlineLvl w:val="1"/>
        <w:rPr>
          <w:noProof/>
        </w:rPr>
      </w:pPr>
      <w:r>
        <w:rPr>
          <w:rFonts w:ascii="Times New Roman" w:hAnsi="Times New Roman"/>
          <w:b/>
          <w:i/>
          <w:noProof/>
          <w:sz w:val="24"/>
        </w:rPr>
        <w:t xml:space="preserve">Noturība un sagatavotība ķīmiskiem, bioloģiskiem, radioloģiskiem un nukleāriem draudiem </w:t>
      </w:r>
      <w:r>
        <w:rPr>
          <w:rFonts w:ascii="Times New Roman" w:hAnsi="Times New Roman"/>
          <w:b/>
          <w:i/>
          <w:noProof/>
          <w:color w:val="000000"/>
          <w:sz w:val="24"/>
        </w:rPr>
        <w:t xml:space="preserve"> </w:t>
      </w:r>
    </w:p>
    <w:p w14:paraId="0AA88DBB" w14:textId="37399446" w:rsid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Krievijas agresijas karš pret Ukrainu ir palielinājis </w:t>
      </w:r>
      <w:r>
        <w:rPr>
          <w:rFonts w:ascii="Times New Roman" w:hAnsi="Times New Roman"/>
          <w:b/>
          <w:noProof/>
          <w:color w:val="000000"/>
          <w:sz w:val="24"/>
        </w:rPr>
        <w:t>ķīmisko, bioloģisko, radioloģisko un nukleāro draudu (</w:t>
      </w:r>
      <w:r>
        <w:rPr>
          <w:rFonts w:ascii="Times New Roman" w:hAnsi="Times New Roman"/>
          <w:b/>
          <w:i/>
          <w:iCs/>
          <w:noProof/>
          <w:color w:val="000000"/>
          <w:sz w:val="24"/>
        </w:rPr>
        <w:t>CBRN</w:t>
      </w:r>
      <w:r>
        <w:rPr>
          <w:rFonts w:ascii="Times New Roman" w:hAnsi="Times New Roman"/>
          <w:b/>
          <w:noProof/>
          <w:color w:val="000000"/>
          <w:sz w:val="24"/>
        </w:rPr>
        <w:t>)</w:t>
      </w:r>
      <w:r>
        <w:rPr>
          <w:rFonts w:ascii="Times New Roman" w:hAnsi="Times New Roman"/>
          <w:noProof/>
          <w:color w:val="000000"/>
          <w:sz w:val="24"/>
        </w:rPr>
        <w:t xml:space="preserve"> risku. Lai risinātu jautājumu par </w:t>
      </w:r>
      <w:r>
        <w:rPr>
          <w:rFonts w:ascii="Times New Roman" w:hAnsi="Times New Roman"/>
          <w:i/>
          <w:iCs/>
          <w:noProof/>
          <w:color w:val="000000"/>
          <w:sz w:val="24"/>
        </w:rPr>
        <w:t>CBRN</w:t>
      </w:r>
      <w:r>
        <w:rPr>
          <w:rFonts w:ascii="Times New Roman" w:hAnsi="Times New Roman"/>
          <w:noProof/>
          <w:color w:val="000000"/>
          <w:sz w:val="24"/>
        </w:rPr>
        <w:t xml:space="preserve"> materiālu iespējamo iegādi un izmantošanu par ieroci, Komisija ar īpašu apmācību un mācībām atbalstīs dalībvalstis un partnervalstis. Komisija arī uzlabos </w:t>
      </w:r>
      <w:r>
        <w:rPr>
          <w:rFonts w:ascii="Times New Roman" w:hAnsi="Times New Roman"/>
          <w:i/>
          <w:iCs/>
          <w:noProof/>
          <w:color w:val="000000"/>
          <w:sz w:val="24"/>
        </w:rPr>
        <w:t>CBRN</w:t>
      </w:r>
      <w:r>
        <w:rPr>
          <w:rFonts w:ascii="Times New Roman" w:hAnsi="Times New Roman"/>
          <w:noProof/>
          <w:color w:val="000000"/>
          <w:sz w:val="24"/>
        </w:rPr>
        <w:t xml:space="preserve"> sagatavotību un reaģēšanas spējas, nosakot prioritāros apdraudējumus, inovācijas finansējumu pretpasākumiem, </w:t>
      </w:r>
      <w:r>
        <w:rPr>
          <w:rFonts w:ascii="Times New Roman" w:hAnsi="Times New Roman"/>
          <w:i/>
          <w:iCs/>
          <w:noProof/>
          <w:color w:val="000000"/>
          <w:sz w:val="24"/>
        </w:rPr>
        <w:t>rescEU</w:t>
      </w:r>
      <w:r>
        <w:rPr>
          <w:rFonts w:ascii="Times New Roman" w:hAnsi="Times New Roman"/>
          <w:noProof/>
          <w:color w:val="000000"/>
          <w:sz w:val="24"/>
        </w:rPr>
        <w:t xml:space="preserve"> spējas un medicīnisko pretlīdzekļu krājumu veidošanu saskaņā ar jaunu </w:t>
      </w:r>
      <w:r>
        <w:rPr>
          <w:rFonts w:ascii="Times New Roman" w:hAnsi="Times New Roman"/>
          <w:b/>
          <w:i/>
          <w:iCs/>
          <w:noProof/>
          <w:color w:val="000000"/>
          <w:sz w:val="24"/>
        </w:rPr>
        <w:t>CBRN</w:t>
      </w:r>
      <w:r>
        <w:rPr>
          <w:rFonts w:ascii="Times New Roman" w:hAnsi="Times New Roman"/>
          <w:b/>
          <w:noProof/>
          <w:color w:val="000000"/>
          <w:sz w:val="24"/>
        </w:rPr>
        <w:t xml:space="preserve"> sagatavotības un reaģēšanas rīcības plānu</w:t>
      </w:r>
      <w:r>
        <w:rPr>
          <w:rFonts w:ascii="Times New Roman" w:hAnsi="Times New Roman"/>
          <w:noProof/>
          <w:color w:val="000000"/>
          <w:sz w:val="24"/>
        </w:rPr>
        <w:t xml:space="preserve">. Turklāt </w:t>
      </w:r>
      <w:r>
        <w:rPr>
          <w:rFonts w:ascii="Times New Roman" w:hAnsi="Times New Roman"/>
          <w:b/>
          <w:noProof/>
          <w:color w:val="000000"/>
          <w:sz w:val="24"/>
        </w:rPr>
        <w:t>ES Medicīnisko pretpasākumu stratēģija</w:t>
      </w:r>
      <w:r>
        <w:rPr>
          <w:rFonts w:ascii="Times New Roman" w:hAnsi="Times New Roman"/>
          <w:noProof/>
          <w:color w:val="000000"/>
          <w:sz w:val="24"/>
        </w:rPr>
        <w:t xml:space="preserve"> atbalstīs medicīnisko pretlīdzekļu izstrādi no pētniecības līdz ražošanai un izplatīšanai, lai aizsargātu ES no pandēmijām un </w:t>
      </w:r>
      <w:r>
        <w:rPr>
          <w:rFonts w:ascii="Times New Roman" w:hAnsi="Times New Roman"/>
          <w:i/>
          <w:iCs/>
          <w:noProof/>
          <w:color w:val="000000"/>
          <w:sz w:val="24"/>
        </w:rPr>
        <w:t>CBRN</w:t>
      </w:r>
      <w:r>
        <w:rPr>
          <w:rFonts w:ascii="Times New Roman" w:hAnsi="Times New Roman"/>
          <w:noProof/>
          <w:color w:val="000000"/>
          <w:sz w:val="24"/>
        </w:rPr>
        <w:t xml:space="preserve"> apdraudējumiem.</w:t>
      </w:r>
    </w:p>
    <w:p w14:paraId="1F91794D" w14:textId="1A0EC986" w:rsidR="00D80BE0" w:rsidRPr="000164CE" w:rsidRDefault="00D80BE0"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Pamatojoties uz </w:t>
      </w:r>
      <w:r>
        <w:rPr>
          <w:rFonts w:ascii="Times New Roman" w:hAnsi="Times New Roman"/>
          <w:i/>
          <w:iCs/>
          <w:noProof/>
          <w:color w:val="000000"/>
          <w:sz w:val="24"/>
        </w:rPr>
        <w:t>Covid</w:t>
      </w:r>
      <w:r>
        <w:rPr>
          <w:rFonts w:ascii="Times New Roman" w:hAnsi="Times New Roman"/>
          <w:noProof/>
          <w:color w:val="000000"/>
          <w:sz w:val="24"/>
        </w:rPr>
        <w:t>-19 pandēmijas pieredzi, ES ir nostiprinājusi veselības drošības satvaru</w:t>
      </w:r>
      <w:r>
        <w:rPr>
          <w:rStyle w:val="FootnoteReference"/>
          <w:rFonts w:ascii="Times New Roman" w:eastAsia="Times New Roman" w:hAnsi="Times New Roman" w:cs="Times New Roman"/>
          <w:noProof/>
          <w:color w:val="000000"/>
          <w:kern w:val="2"/>
          <w:sz w:val="24"/>
          <w:szCs w:val="24"/>
          <w:lang w:val="en-IE"/>
        </w:rPr>
        <w:footnoteReference w:id="60"/>
      </w:r>
      <w:r>
        <w:rPr>
          <w:rFonts w:ascii="Times New Roman" w:hAnsi="Times New Roman"/>
          <w:noProof/>
          <w:color w:val="000000"/>
          <w:sz w:val="24"/>
        </w:rPr>
        <w:t>. Komisija izraugās ES references laboratorijas sabiedrības veselības jomā, lai stiprinātu ES un valstu uzraudzības un ātras atklāšanas spējas. 2025. gadā tiks publicēts Savienības plāns par sagatavotību, profilaksi un reaģēšanu veselības drošības jomā.</w:t>
      </w:r>
    </w:p>
    <w:tbl>
      <w:tblPr>
        <w:tblStyle w:val="TableGrid"/>
        <w:tblW w:w="0" w:type="auto"/>
        <w:tblLook w:val="04A0" w:firstRow="1" w:lastRow="0" w:firstColumn="1" w:lastColumn="0" w:noHBand="0" w:noVBand="1"/>
      </w:tblPr>
      <w:tblGrid>
        <w:gridCol w:w="9062"/>
      </w:tblGrid>
      <w:tr w:rsidR="000164CE" w:rsidRPr="000164CE" w14:paraId="1CB501F6" w14:textId="77777777" w:rsidTr="007D1E7C">
        <w:trPr>
          <w:trHeight w:val="425"/>
        </w:trPr>
        <w:tc>
          <w:tcPr>
            <w:tcW w:w="9062" w:type="dxa"/>
            <w:tcBorders>
              <w:top w:val="single" w:sz="4" w:space="0" w:color="auto"/>
              <w:left w:val="single" w:sz="4" w:space="0" w:color="auto"/>
              <w:bottom w:val="single" w:sz="4" w:space="0" w:color="auto"/>
              <w:right w:val="single" w:sz="4" w:space="0" w:color="auto"/>
            </w:tcBorders>
            <w:hideMark/>
          </w:tcPr>
          <w:p w14:paraId="7F520477" w14:textId="77777777" w:rsidR="000164CE" w:rsidRPr="000164CE" w:rsidRDefault="000164CE" w:rsidP="000164CE">
            <w:pPr>
              <w:spacing w:after="120"/>
              <w:rPr>
                <w:b/>
                <w:bCs/>
                <w:i/>
                <w:iCs/>
                <w:noProof/>
              </w:rPr>
            </w:pPr>
            <w:r>
              <w:rPr>
                <w:b/>
                <w:i/>
                <w:noProof/>
              </w:rPr>
              <w:t>Pamatdarbības</w:t>
            </w:r>
          </w:p>
          <w:p w14:paraId="08824427" w14:textId="77777777" w:rsidR="000164CE" w:rsidRPr="000164CE" w:rsidRDefault="000164CE" w:rsidP="000164CE">
            <w:pPr>
              <w:spacing w:after="120"/>
              <w:rPr>
                <w:b/>
                <w:bCs/>
                <w:noProof/>
              </w:rPr>
            </w:pPr>
            <w:r>
              <w:rPr>
                <w:b/>
                <w:noProof/>
              </w:rPr>
              <w:t>Komisija:</w:t>
            </w:r>
          </w:p>
          <w:p w14:paraId="087D523B" w14:textId="36FA2349" w:rsidR="000164CE" w:rsidRPr="000164CE" w:rsidRDefault="00E33A5A" w:rsidP="000164CE">
            <w:pPr>
              <w:numPr>
                <w:ilvl w:val="0"/>
                <w:numId w:val="15"/>
              </w:numPr>
              <w:spacing w:after="120"/>
              <w:ind w:left="357" w:hanging="357"/>
              <w:contextualSpacing/>
              <w:jc w:val="both"/>
              <w:rPr>
                <w:b/>
                <w:bCs/>
                <w:noProof/>
              </w:rPr>
            </w:pPr>
            <w:r>
              <w:rPr>
                <w:b/>
                <w:noProof/>
              </w:rPr>
              <w:t xml:space="preserve">2025. gadā pārskatīs un pārstrādās Kiberdrošības aktu; </w:t>
            </w:r>
          </w:p>
          <w:p w14:paraId="4AC84E8A" w14:textId="3365CCF7" w:rsidR="000164CE" w:rsidRPr="000164CE" w:rsidRDefault="00E33A5A" w:rsidP="000164CE">
            <w:pPr>
              <w:numPr>
                <w:ilvl w:val="0"/>
                <w:numId w:val="15"/>
              </w:numPr>
              <w:spacing w:after="120"/>
              <w:ind w:left="357" w:hanging="357"/>
              <w:contextualSpacing/>
              <w:jc w:val="both"/>
              <w:rPr>
                <w:b/>
                <w:bCs/>
                <w:noProof/>
              </w:rPr>
            </w:pPr>
            <w:r>
              <w:rPr>
                <w:b/>
                <w:noProof/>
              </w:rPr>
              <w:t xml:space="preserve">izstrādās pasākumus, lai nodrošinātu mākoņdatošanas pakalpojumu kiberdrošu izmantošanu; </w:t>
            </w:r>
          </w:p>
          <w:p w14:paraId="0179EB50" w14:textId="352889E7" w:rsidR="000164CE" w:rsidRPr="000164CE" w:rsidRDefault="00E33A5A" w:rsidP="000164CE">
            <w:pPr>
              <w:numPr>
                <w:ilvl w:val="0"/>
                <w:numId w:val="15"/>
              </w:numPr>
              <w:spacing w:after="120"/>
              <w:ind w:left="357" w:hanging="357"/>
              <w:contextualSpacing/>
              <w:jc w:val="both"/>
              <w:rPr>
                <w:b/>
                <w:bCs/>
                <w:noProof/>
              </w:rPr>
            </w:pPr>
            <w:r>
              <w:rPr>
                <w:b/>
                <w:noProof/>
              </w:rPr>
              <w:t>2025. gadā ierosinās ES ostu stratēģiju;</w:t>
            </w:r>
          </w:p>
          <w:p w14:paraId="3D45141C" w14:textId="6F3F2959" w:rsidR="000164CE" w:rsidRPr="000164CE" w:rsidRDefault="00E33A5A" w:rsidP="000164CE">
            <w:pPr>
              <w:numPr>
                <w:ilvl w:val="0"/>
                <w:numId w:val="15"/>
              </w:numPr>
              <w:spacing w:after="120"/>
              <w:ind w:left="357" w:hanging="357"/>
              <w:contextualSpacing/>
              <w:jc w:val="both"/>
              <w:rPr>
                <w:b/>
                <w:bCs/>
                <w:noProof/>
              </w:rPr>
            </w:pPr>
            <w:r>
              <w:rPr>
                <w:b/>
                <w:noProof/>
              </w:rPr>
              <w:t>2026. gadā pārskatīs ES iepirkuma noteikumus aizsardzības un drošības jomā;</w:t>
            </w:r>
          </w:p>
          <w:p w14:paraId="1E214AEB" w14:textId="652231A4" w:rsidR="000164CE" w:rsidRPr="000164CE" w:rsidRDefault="00E33A5A" w:rsidP="000164CE">
            <w:pPr>
              <w:numPr>
                <w:ilvl w:val="0"/>
                <w:numId w:val="15"/>
              </w:numPr>
              <w:spacing w:after="120"/>
              <w:ind w:left="357" w:hanging="357"/>
              <w:contextualSpacing/>
              <w:jc w:val="both"/>
              <w:rPr>
                <w:b/>
                <w:bCs/>
                <w:noProof/>
              </w:rPr>
            </w:pPr>
            <w:r>
              <w:rPr>
                <w:b/>
                <w:noProof/>
              </w:rPr>
              <w:t xml:space="preserve">2026. gadā nāks klajā ar jaunu </w:t>
            </w:r>
            <w:r>
              <w:rPr>
                <w:b/>
                <w:i/>
                <w:iCs/>
                <w:noProof/>
              </w:rPr>
              <w:t>CBRN</w:t>
            </w:r>
            <w:r>
              <w:rPr>
                <w:b/>
                <w:noProof/>
              </w:rPr>
              <w:t xml:space="preserve"> sagatavotības un reaģēšanas rīcības plānu.</w:t>
            </w:r>
          </w:p>
          <w:p w14:paraId="7E43E904" w14:textId="77777777" w:rsidR="000164CE" w:rsidRPr="000164CE" w:rsidRDefault="000164CE" w:rsidP="007D1E7C">
            <w:pPr>
              <w:spacing w:before="240" w:after="120"/>
              <w:jc w:val="both"/>
              <w:rPr>
                <w:b/>
                <w:bCs/>
                <w:noProof/>
              </w:rPr>
            </w:pPr>
            <w:r>
              <w:rPr>
                <w:b/>
                <w:noProof/>
              </w:rPr>
              <w:t>Komisija sadarbībā ar dalībvalstīm:</w:t>
            </w:r>
          </w:p>
          <w:p w14:paraId="0E4F41E1" w14:textId="6BD75996" w:rsidR="000164CE" w:rsidRPr="000164CE" w:rsidRDefault="00E33A5A" w:rsidP="00671238">
            <w:pPr>
              <w:numPr>
                <w:ilvl w:val="0"/>
                <w:numId w:val="15"/>
              </w:numPr>
              <w:spacing w:after="120"/>
              <w:ind w:left="357" w:hanging="357"/>
              <w:contextualSpacing/>
              <w:jc w:val="both"/>
              <w:rPr>
                <w:b/>
                <w:bCs/>
                <w:noProof/>
              </w:rPr>
            </w:pPr>
            <w:r>
              <w:rPr>
                <w:b/>
                <w:noProof/>
              </w:rPr>
              <w:t>izstrādās un izvērsīs Eiropas kvantiskās komunikācijas infrastruktūru (</w:t>
            </w:r>
            <w:r>
              <w:rPr>
                <w:b/>
                <w:i/>
                <w:iCs/>
                <w:noProof/>
              </w:rPr>
              <w:t>EuroQCI</w:t>
            </w:r>
            <w:r>
              <w:rPr>
                <w:b/>
                <w:noProof/>
              </w:rPr>
              <w:t>);</w:t>
            </w:r>
          </w:p>
          <w:p w14:paraId="119F1F4C" w14:textId="69D959D9" w:rsidR="000164CE" w:rsidRPr="000164CE" w:rsidRDefault="00E33A5A" w:rsidP="000164CE">
            <w:pPr>
              <w:numPr>
                <w:ilvl w:val="0"/>
                <w:numId w:val="15"/>
              </w:numPr>
              <w:spacing w:after="120"/>
              <w:ind w:left="357" w:hanging="357"/>
              <w:contextualSpacing/>
              <w:jc w:val="both"/>
              <w:rPr>
                <w:i/>
                <w:iCs/>
                <w:noProof/>
              </w:rPr>
            </w:pPr>
            <w:r>
              <w:rPr>
                <w:b/>
                <w:noProof/>
              </w:rPr>
              <w:t>nodrošinās Digitālo pakalpojumu akta rezultatīvu izpildi;</w:t>
            </w:r>
          </w:p>
          <w:p w14:paraId="20804FD2" w14:textId="7242CD16" w:rsidR="000164CE" w:rsidRPr="007D1E7C" w:rsidRDefault="00E33A5A" w:rsidP="000164CE">
            <w:pPr>
              <w:numPr>
                <w:ilvl w:val="0"/>
                <w:numId w:val="15"/>
              </w:numPr>
              <w:spacing w:after="120"/>
              <w:ind w:left="357" w:hanging="357"/>
              <w:contextualSpacing/>
              <w:jc w:val="both"/>
              <w:rPr>
                <w:b/>
                <w:noProof/>
              </w:rPr>
            </w:pPr>
            <w:r>
              <w:rPr>
                <w:b/>
                <w:noProof/>
              </w:rPr>
              <w:t>strādās, lai novērstu migrācijas izmantošanu par ieroci;</w:t>
            </w:r>
          </w:p>
          <w:p w14:paraId="75830161" w14:textId="1D3E0BC9" w:rsidR="000164CE" w:rsidRPr="00F254E9" w:rsidRDefault="00E33A5A" w:rsidP="000164CE">
            <w:pPr>
              <w:numPr>
                <w:ilvl w:val="0"/>
                <w:numId w:val="15"/>
              </w:numPr>
              <w:spacing w:after="120"/>
              <w:ind w:left="357" w:hanging="357"/>
              <w:contextualSpacing/>
              <w:jc w:val="both"/>
              <w:rPr>
                <w:b/>
                <w:bCs/>
                <w:noProof/>
              </w:rPr>
            </w:pPr>
            <w:r>
              <w:rPr>
                <w:b/>
                <w:noProof/>
              </w:rPr>
              <w:t>izveidos aviācijas drošības atgadījumu sistēmu;</w:t>
            </w:r>
          </w:p>
          <w:p w14:paraId="3DD8DB20" w14:textId="3FDF9BB0" w:rsidR="000164CE" w:rsidRPr="000164CE" w:rsidRDefault="00E33A5A" w:rsidP="000164CE">
            <w:pPr>
              <w:numPr>
                <w:ilvl w:val="0"/>
                <w:numId w:val="15"/>
              </w:numPr>
              <w:spacing w:after="120"/>
              <w:ind w:left="357" w:hanging="357"/>
              <w:contextualSpacing/>
              <w:jc w:val="both"/>
              <w:rPr>
                <w:b/>
                <w:bCs/>
                <w:noProof/>
              </w:rPr>
            </w:pPr>
            <w:r>
              <w:rPr>
                <w:b/>
                <w:noProof/>
              </w:rPr>
              <w:t>strādās, lai izveidotu daudzaģentūru transporta un piegādes ķēdes drošības brīdināšanas mehānismu.</w:t>
            </w:r>
          </w:p>
          <w:p w14:paraId="435B4240" w14:textId="77777777" w:rsidR="000164CE" w:rsidRPr="000164CE" w:rsidRDefault="000164CE" w:rsidP="007D1E7C">
            <w:pPr>
              <w:spacing w:before="240" w:after="120"/>
              <w:jc w:val="both"/>
              <w:rPr>
                <w:b/>
                <w:bCs/>
                <w:noProof/>
              </w:rPr>
            </w:pPr>
            <w:r>
              <w:rPr>
                <w:b/>
                <w:noProof/>
              </w:rPr>
              <w:t>Padome tiek mudināta:</w:t>
            </w:r>
          </w:p>
          <w:p w14:paraId="1F09731C" w14:textId="24D72644" w:rsidR="000164CE" w:rsidRPr="000164CE" w:rsidRDefault="00E33A5A" w:rsidP="000164CE">
            <w:pPr>
              <w:numPr>
                <w:ilvl w:val="0"/>
                <w:numId w:val="41"/>
              </w:numPr>
              <w:spacing w:after="120"/>
              <w:ind w:left="357" w:hanging="357"/>
              <w:contextualSpacing/>
              <w:jc w:val="both"/>
              <w:rPr>
                <w:b/>
                <w:bCs/>
                <w:noProof/>
              </w:rPr>
            </w:pPr>
            <w:r>
              <w:rPr>
                <w:b/>
                <w:noProof/>
              </w:rPr>
              <w:t xml:space="preserve">pieņemt Padomes ieteikumu par ES kiberdrošības plānu </w:t>
            </w:r>
          </w:p>
          <w:p w14:paraId="4891B530" w14:textId="77777777" w:rsidR="000164CE" w:rsidRPr="000164CE" w:rsidRDefault="000164CE" w:rsidP="007D1E7C">
            <w:pPr>
              <w:spacing w:before="240" w:after="120"/>
              <w:jc w:val="both"/>
              <w:rPr>
                <w:b/>
                <w:bCs/>
                <w:noProof/>
              </w:rPr>
            </w:pPr>
            <w:r>
              <w:rPr>
                <w:b/>
                <w:noProof/>
              </w:rPr>
              <w:t>Dalībvalstis tiek mudinātas:</w:t>
            </w:r>
          </w:p>
          <w:p w14:paraId="05E0D0C0" w14:textId="00648303" w:rsidR="000164CE" w:rsidRPr="000164CE" w:rsidRDefault="00E33A5A" w:rsidP="007D1E7C">
            <w:pPr>
              <w:numPr>
                <w:ilvl w:val="0"/>
                <w:numId w:val="15"/>
              </w:numPr>
              <w:spacing w:after="120"/>
              <w:ind w:left="357" w:hanging="357"/>
              <w:contextualSpacing/>
              <w:jc w:val="both"/>
              <w:rPr>
                <w:rFonts w:eastAsia="MS Gothic"/>
                <w:b/>
                <w:noProof/>
              </w:rPr>
            </w:pPr>
            <w:r>
              <w:rPr>
                <w:b/>
                <w:noProof/>
              </w:rPr>
              <w:t xml:space="preserve">transponēt un pilnībā īstenot </w:t>
            </w:r>
            <w:r>
              <w:rPr>
                <w:b/>
                <w:i/>
                <w:iCs/>
                <w:noProof/>
              </w:rPr>
              <w:t>CER</w:t>
            </w:r>
            <w:r>
              <w:rPr>
                <w:b/>
                <w:noProof/>
              </w:rPr>
              <w:t xml:space="preserve"> un TID 2 direktīvu </w:t>
            </w:r>
          </w:p>
        </w:tc>
      </w:tr>
    </w:tbl>
    <w:p w14:paraId="6718F449"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14:ligatures w14:val="standardContextual"/>
        </w:rPr>
      </w:pPr>
      <w:r>
        <w:rPr>
          <w:rFonts w:ascii="Times New Roman" w:hAnsi="Times New Roman"/>
          <w:b/>
          <w:noProof/>
          <w:sz w:val="24"/>
        </w:rPr>
        <w:t xml:space="preserve">Tīkla smagās un organizētas noziedzības apkarošanai stiprināšana </w:t>
      </w:r>
      <w:bookmarkStart w:id="7" w:name="_Toc190694643"/>
    </w:p>
    <w:bookmarkEnd w:id="7"/>
    <w:p w14:paraId="43607E05" w14:textId="77777777" w:rsidR="000164CE" w:rsidRPr="000164CE" w:rsidRDefault="000164CE" w:rsidP="000A2ACC">
      <w:pPr>
        <w:pBdr>
          <w:top w:val="single" w:sz="4" w:space="1" w:color="auto"/>
          <w:left w:val="single" w:sz="4" w:space="0" w:color="auto"/>
          <w:bottom w:val="single" w:sz="4" w:space="1" w:color="auto"/>
          <w:right w:val="single" w:sz="4" w:space="0" w:color="auto"/>
        </w:pBd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Mēs palīdzēsim izskaust organizēto noziedzību, ierosinot stingrākus noteikumus organizētās noziedzības grupējumu apkarošanai, arī attiecībā uz izmeklēšanām, lai padarītu jauniešus ES mazāk neaizsargātus pret vervēšanu noziedzībā, un pastiprināsim pasākumus, lai liegtu piekļuvi noziedzības rīkiem un līdzekļiem.</w:t>
      </w:r>
    </w:p>
    <w:p w14:paraId="67CF5610"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sz w:val="24"/>
        </w:rPr>
        <w:t xml:space="preserve">Organizētā noziedzība izmanto mainīgo vidi un eksponenciāli vairojas. Tā gūst labumu no progresīvām tehnoloģijām, darbojas vairākās jurisdikcijās un tai ir ciešas saiknes ārpus ES robežām. </w:t>
      </w:r>
      <w:r>
        <w:rPr>
          <w:rFonts w:ascii="Times New Roman" w:hAnsi="Times New Roman"/>
          <w:noProof/>
          <w:color w:val="000000"/>
          <w:sz w:val="24"/>
        </w:rPr>
        <w:t xml:space="preserve">Ņemot vērā šos sarežģītos un transnacionālos apdraudējumus, ļoti svarīga ir ES līmeņa koordinācija un atbalsts. </w:t>
      </w:r>
    </w:p>
    <w:p w14:paraId="18259242"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Noziedzības novēršana</w:t>
      </w:r>
    </w:p>
    <w:p w14:paraId="7468BDC6"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Jauniešu vervēšana organizētajā noziedzībā Eiropas Savienībā rada arvien lielākas bažas. Lai apkarotu organizēto noziedzību, ir jānovērš tās </w:t>
      </w:r>
      <w:r>
        <w:rPr>
          <w:rFonts w:ascii="Times New Roman" w:hAnsi="Times New Roman"/>
          <w:b/>
          <w:noProof/>
          <w:sz w:val="24"/>
        </w:rPr>
        <w:t>pamatcēloņi</w:t>
      </w:r>
      <w:r>
        <w:rPr>
          <w:rFonts w:ascii="Times New Roman" w:hAnsi="Times New Roman"/>
          <w:noProof/>
          <w:sz w:val="24"/>
        </w:rPr>
        <w:t xml:space="preserve">, piedāvājot izglītību un alternatīvas noziedzības dzīvei, izmantojot visas sabiedrības pieeju. Komisija atbalstīs drošības apsvērumu integrēšanu ES izglītības, sociālajā, nodarbinātības un reģionālajā politikā. ES </w:t>
      </w:r>
      <w:r>
        <w:rPr>
          <w:rFonts w:ascii="Times New Roman" w:hAnsi="Times New Roman"/>
          <w:b/>
          <w:noProof/>
          <w:sz w:val="24"/>
        </w:rPr>
        <w:t>veicinās uz pierādījumiem balstītu noziedzības novēršanas politiku</w:t>
      </w:r>
      <w:r w:rsidRPr="000164CE">
        <w:rPr>
          <w:rFonts w:ascii="Times New Roman" w:eastAsia="Times New Roman" w:hAnsi="Times New Roman" w:cs="Times New Roman"/>
          <w:noProof/>
          <w:kern w:val="2"/>
          <w:sz w:val="24"/>
          <w:szCs w:val="24"/>
          <w:vertAlign w:val="superscript"/>
          <w:lang w:val="en-GB"/>
        </w:rPr>
        <w:footnoteReference w:id="61"/>
      </w:r>
      <w:r>
        <w:rPr>
          <w:rFonts w:ascii="Times New Roman" w:hAnsi="Times New Roman"/>
          <w:noProof/>
          <w:sz w:val="24"/>
        </w:rPr>
        <w:t>, kas pielāgota vietējiem apstākļiem.</w:t>
      </w:r>
    </w:p>
    <w:p w14:paraId="71453FED" w14:textId="280A304E"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Lai aizsargātu tiešsaistes pakalpojumu saņēmējus, īpaši nepilngadīgos, cita starpā no seksuālas vardarbības pret bērniem, cilvēku tirgotājiem un vervēšanas tiešsaistē noziedzības vai vardarbīga ekstrēmisma nolūkā, pasākumi saskaņā ar </w:t>
      </w:r>
      <w:r>
        <w:rPr>
          <w:rFonts w:ascii="Times New Roman" w:hAnsi="Times New Roman"/>
          <w:b/>
          <w:noProof/>
          <w:sz w:val="24"/>
        </w:rPr>
        <w:t>Digitālo pakalpojumu aktu</w:t>
      </w:r>
      <w:r>
        <w:rPr>
          <w:rFonts w:ascii="Times New Roman" w:hAnsi="Times New Roman"/>
          <w:noProof/>
          <w:sz w:val="24"/>
        </w:rPr>
        <w:t xml:space="preserve"> paredz, ka nepilngadīgajiem pieejamu tiešsaistes platformu nodrošinātājiem ir jāpārvalda riski un jāreaģē uz nelikumīgu saturu, arī uz naida runu. Komisija plāno izdot </w:t>
      </w:r>
      <w:r>
        <w:rPr>
          <w:rFonts w:ascii="Times New Roman" w:hAnsi="Times New Roman"/>
          <w:b/>
          <w:noProof/>
          <w:sz w:val="24"/>
        </w:rPr>
        <w:t>pamatnostādnes par nepilngadīgo aizsardzību</w:t>
      </w:r>
      <w:r>
        <w:rPr>
          <w:rFonts w:ascii="Times New Roman" w:hAnsi="Times New Roman"/>
          <w:noProof/>
          <w:sz w:val="24"/>
        </w:rPr>
        <w:t xml:space="preserve">, lai palīdzētu tiešsaistes platformu nodrošinātājiem nodrošināt augsta līmeņa privātumu, drošumu un drošību nepilngadīgajiem tiešsaistē. Pamatnostādnes ietvers ieteikumu kopumu visiem digitālajiem pakalpojumiem, kas darbojas Savienībā, lai uzlabotu nepilngadīgo aizsardzību tiešsaistē. 2025. gadā Komisija plāno arī veicināt ES </w:t>
      </w:r>
      <w:r>
        <w:rPr>
          <w:rFonts w:ascii="Times New Roman" w:hAnsi="Times New Roman"/>
          <w:b/>
          <w:noProof/>
          <w:sz w:val="24"/>
        </w:rPr>
        <w:t xml:space="preserve">privātuma aizsardzības vecuma apstiprināšanas </w:t>
      </w:r>
      <w:r>
        <w:rPr>
          <w:rFonts w:ascii="Times New Roman" w:hAnsi="Times New Roman"/>
          <w:noProof/>
          <w:sz w:val="24"/>
        </w:rPr>
        <w:t xml:space="preserve">risinājumu, kas novērsīs šo trūkumu pirms </w:t>
      </w:r>
      <w:r>
        <w:rPr>
          <w:rFonts w:ascii="Times New Roman" w:hAnsi="Times New Roman"/>
          <w:i/>
          <w:iCs/>
          <w:noProof/>
          <w:sz w:val="24"/>
        </w:rPr>
        <w:t>EUDI</w:t>
      </w:r>
      <w:r>
        <w:rPr>
          <w:rFonts w:ascii="Times New Roman" w:hAnsi="Times New Roman"/>
          <w:noProof/>
          <w:sz w:val="24"/>
        </w:rPr>
        <w:t xml:space="preserve"> maka piedāvāšanas 2026. gada beigās. Komisija arī nāks klajā ar rīcības plānu cīņai pret iebiedēšanu tiešsaistē.</w:t>
      </w:r>
    </w:p>
    <w:p w14:paraId="08B24FA0" w14:textId="61A909F0"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Turklāt Komisija turpinās atbalstīt daudzu ieinteresēto personu brīvprātīgu iesaisti sadarbībā ar tiešsaistes platformām un citiem attiecīgiem dalībniekiem, arī izmantojot ES Interneta forumu un mērķtiecīgus rīcības kodeksus saskaņā ar Digitālo pakalpojumu aktu, piemēram, 2025. gada Rīcības kodeksu cīņai pret nelikumīgiem naidīgiem izteikumiem tiešsaistē. Mērķis ir palielināt informētību, kopīgi reaģēt uz pašreizējiem un jauniem apdraudējumiem, kā arī sagatavot labu praksi ietekmes mazināšanas pasākumu jomā un dalīties ar to. </w:t>
      </w:r>
    </w:p>
    <w:p w14:paraId="3BA56F96" w14:textId="77777777" w:rsidR="000164CE" w:rsidRPr="000164CE" w:rsidRDefault="000164CE" w:rsidP="000164CE">
      <w:pPr>
        <w:spacing w:after="120" w:line="240" w:lineRule="auto"/>
        <w:jc w:val="both"/>
        <w:rPr>
          <w:rFonts w:ascii="Times New Roman" w:eastAsia="Times New Roman" w:hAnsi="Times New Roman" w:cs="Times New Roman"/>
          <w:b/>
          <w:noProof/>
          <w:color w:val="000000"/>
          <w:kern w:val="2"/>
          <w:sz w:val="24"/>
          <w:szCs w:val="24"/>
          <w14:ligatures w14:val="standardContextual"/>
        </w:rPr>
      </w:pPr>
      <w:r>
        <w:rPr>
          <w:rFonts w:ascii="Times New Roman" w:hAnsi="Times New Roman"/>
          <w:noProof/>
          <w:color w:val="000000"/>
          <w:sz w:val="24"/>
        </w:rPr>
        <w:t>Vietējā līmenī organizētās noziedzības ietekme liecina, ka ir vajadzīgi reģionāli risinājumi,</w:t>
      </w:r>
      <w:r>
        <w:rPr>
          <w:rFonts w:ascii="Times New Roman" w:hAnsi="Times New Roman"/>
          <w:noProof/>
          <w:sz w:val="24"/>
        </w:rPr>
        <w:t xml:space="preserve"> lai mazinātu neaizsargātību un nelikumīgu darbību pievilcību. ES programma pilsētām</w:t>
      </w:r>
      <w:r>
        <w:rPr>
          <w:rFonts w:ascii="Times New Roman" w:hAnsi="Times New Roman"/>
          <w:noProof/>
          <w:color w:val="000000"/>
          <w:sz w:val="24"/>
        </w:rPr>
        <w:t xml:space="preserve"> pievērsīsies drošības problēmām pilsētās, pamatojoties uz iniciatīvu “ES pilsētas pret radikalizāciju”. Komisija atbalstīs dalībvalstis pilsētu un reģionālās drošības uzlabošanā, izmantojot Eiropas Reģionālās attīstības fondu.</w:t>
      </w:r>
      <w:r>
        <w:rPr>
          <w:rFonts w:ascii="Times New Roman" w:hAnsi="Times New Roman"/>
          <w:b/>
          <w:noProof/>
          <w:color w:val="000000"/>
          <w:sz w:val="24"/>
        </w:rPr>
        <w:t xml:space="preserve"> </w:t>
      </w:r>
    </w:p>
    <w:p w14:paraId="54B6ABC0"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color w:val="000000"/>
          <w:sz w:val="24"/>
        </w:rPr>
        <w:t xml:space="preserve">Spēcīgāki izglītības pamati un prasmes ir noturīgas un saliedētas sabiedrības pamatā. Izmantojot </w:t>
      </w:r>
      <w:r>
        <w:rPr>
          <w:rFonts w:ascii="Times New Roman" w:hAnsi="Times New Roman"/>
          <w:b/>
          <w:noProof/>
          <w:color w:val="000000"/>
          <w:sz w:val="24"/>
        </w:rPr>
        <w:t>prasmju savienību</w:t>
      </w:r>
      <w:r>
        <w:rPr>
          <w:rFonts w:ascii="Times New Roman" w:hAnsi="Times New Roman"/>
          <w:noProof/>
          <w:color w:val="000000"/>
          <w:sz w:val="24"/>
        </w:rPr>
        <w:t xml:space="preserve"> un </w:t>
      </w:r>
      <w:r>
        <w:rPr>
          <w:rFonts w:ascii="Times New Roman" w:hAnsi="Times New Roman"/>
          <w:b/>
          <w:noProof/>
          <w:color w:val="000000"/>
          <w:sz w:val="24"/>
        </w:rPr>
        <w:t>Integrācijas un iekļaušanas rīcības plānu</w:t>
      </w:r>
      <w:r>
        <w:rPr>
          <w:rFonts w:ascii="Times New Roman" w:hAnsi="Times New Roman"/>
          <w:noProof/>
          <w:color w:val="000000"/>
          <w:sz w:val="24"/>
        </w:rPr>
        <w:t xml:space="preserve">, Savienība strādās, lai palīdzētu cilvēkiem kļūt noturīgākiem pret maldinošu informāciju un dezinformāciju, radikalizāciju un vervēšanu noziedzībā. </w:t>
      </w:r>
    </w:p>
    <w:p w14:paraId="7EE7D1EB" w14:textId="518F5A38" w:rsidR="000164CE" w:rsidRPr="000164CE" w:rsidRDefault="003E1551" w:rsidP="000164CE">
      <w:pPr>
        <w:spacing w:after="120" w:line="240" w:lineRule="auto"/>
        <w:jc w:val="both"/>
        <w:rPr>
          <w:rFonts w:ascii="Times New Roman" w:eastAsia="Times New Roman" w:hAnsi="Times New Roman" w:cs="Times New Roman"/>
          <w:b/>
          <w:noProof/>
          <w:color w:val="000000"/>
          <w:kern w:val="2"/>
          <w:sz w:val="24"/>
          <w:szCs w:val="24"/>
          <w14:ligatures w14:val="standardContextual"/>
        </w:rPr>
      </w:pPr>
      <w:r>
        <w:rPr>
          <w:rFonts w:ascii="Times New Roman" w:hAnsi="Times New Roman"/>
          <w:noProof/>
          <w:color w:val="000000"/>
          <w:sz w:val="24"/>
        </w:rPr>
        <w:t xml:space="preserve">Bērnu aizsardzība pret visu veidu vardarbību, arī noziedzību, fizisku vai garīgu vardarbību, tiešsaistē tāpat kā bezsaistē, ir viens no ES pamatmērķiem. Lai risinātu īpašās vajadzības, kas ir īpaši neaizsargātām grupām, piemēram, bērniem, kuri arvien vairāk pakļauti vervēšanai un radikalizācijai, iedraudzināšanai un seksuālai vardarbībai pret bērniem, kiberiebiedēšanai, dezinformācijai un citiem draudiem, ES izstrādās </w:t>
      </w:r>
      <w:r>
        <w:rPr>
          <w:rFonts w:ascii="Times New Roman" w:hAnsi="Times New Roman"/>
          <w:b/>
          <w:noProof/>
          <w:color w:val="000000"/>
          <w:sz w:val="24"/>
        </w:rPr>
        <w:t>rīcības plānu</w:t>
      </w:r>
      <w:r>
        <w:rPr>
          <w:rFonts w:ascii="Times New Roman" w:hAnsi="Times New Roman"/>
          <w:noProof/>
          <w:color w:val="000000"/>
          <w:sz w:val="24"/>
        </w:rPr>
        <w:t xml:space="preserve"> </w:t>
      </w:r>
      <w:r>
        <w:rPr>
          <w:rFonts w:ascii="Times New Roman" w:hAnsi="Times New Roman"/>
          <w:b/>
          <w:noProof/>
          <w:color w:val="000000"/>
          <w:sz w:val="24"/>
        </w:rPr>
        <w:t>bērnu aizsardzībai pret noziedzību</w:t>
      </w:r>
      <w:r>
        <w:rPr>
          <w:rFonts w:ascii="Times New Roman" w:hAnsi="Times New Roman"/>
          <w:noProof/>
          <w:color w:val="000000"/>
          <w:sz w:val="24"/>
        </w:rPr>
        <w:t>, un tas aptvers tiešsaistes un bezsaistes dimensiju. Tajā tiks izklāstīta saskaņota un koordinēta pieeja, kuras pamatā ir pieejamie satvari un instrumenti, tai skaitā topošais ES centrs seksuālas vardarbības pret bērniem novēršanai un apkarošanai un citas ES struktūras un aģentūras, un tiks ierosināti veidi, kā virzīties uz priekšu jomās, kurās joprojām pastāv nepilnības.</w:t>
      </w:r>
    </w:p>
    <w:p w14:paraId="1E6D172A"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Noziedzīgo tīklu un to veicinātāju likvidēšana </w:t>
      </w:r>
    </w:p>
    <w:p w14:paraId="5A1E6439" w14:textId="6D8B702D"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Ir jāpastiprina cīņa pret augsta riska noziedzīgajiem tīkliem, vadoņiem un veicinātājiem. Lai gan nesenie panākumi ir ievērojami</w:t>
      </w:r>
      <w:r w:rsidR="00CD6BA2">
        <w:rPr>
          <w:rStyle w:val="FootnoteReference"/>
          <w:rFonts w:ascii="Times New Roman" w:eastAsia="Times New Roman" w:hAnsi="Times New Roman" w:cs="Times New Roman"/>
          <w:noProof/>
          <w:kern w:val="2"/>
          <w:sz w:val="24"/>
          <w:szCs w:val="24"/>
          <w:lang w:val="en-GB"/>
        </w:rPr>
        <w:footnoteReference w:id="62"/>
      </w:r>
      <w:r>
        <w:rPr>
          <w:rFonts w:ascii="Times New Roman" w:hAnsi="Times New Roman"/>
          <w:noProof/>
          <w:sz w:val="24"/>
        </w:rPr>
        <w:t xml:space="preserve">, novecojuši noteikumi un nekonsekventas noziedzīgu tīklu definīcijas kavē efektīvu krimināltiesisko reaģēšanu un pārrobežu sadarbību. Komisija pārskatīs novecojušus tiesību aktus šajā jomā un ierosinās atjauninātu </w:t>
      </w:r>
      <w:r>
        <w:rPr>
          <w:rFonts w:ascii="Times New Roman" w:hAnsi="Times New Roman"/>
          <w:b/>
          <w:noProof/>
          <w:sz w:val="24"/>
        </w:rPr>
        <w:t>regulējumu organizētās noziedzības jomā</w:t>
      </w:r>
      <w:r>
        <w:rPr>
          <w:rFonts w:ascii="Times New Roman" w:hAnsi="Times New Roman"/>
          <w:noProof/>
          <w:sz w:val="24"/>
        </w:rPr>
        <w:t xml:space="preserve">, lai stiprinātu reaģēšanu. </w:t>
      </w:r>
    </w:p>
    <w:p w14:paraId="5AF7C0DD" w14:textId="2CEF1F52"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Kā liecina </w:t>
      </w:r>
      <w:r>
        <w:rPr>
          <w:rFonts w:ascii="Times New Roman" w:hAnsi="Times New Roman"/>
          <w:i/>
          <w:iCs/>
          <w:noProof/>
          <w:sz w:val="24"/>
        </w:rPr>
        <w:t>EPPO</w:t>
      </w:r>
      <w:r>
        <w:rPr>
          <w:rFonts w:ascii="Times New Roman" w:hAnsi="Times New Roman"/>
          <w:noProof/>
          <w:sz w:val="24"/>
        </w:rPr>
        <w:t xml:space="preserve"> un Eiropas Birojs krāpšanas apkarošanai (</w:t>
      </w:r>
      <w:r>
        <w:rPr>
          <w:rFonts w:ascii="Times New Roman" w:hAnsi="Times New Roman"/>
          <w:i/>
          <w:iCs/>
          <w:noProof/>
          <w:sz w:val="24"/>
        </w:rPr>
        <w:t>OLAF</w:t>
      </w:r>
      <w:r>
        <w:rPr>
          <w:rFonts w:ascii="Times New Roman" w:hAnsi="Times New Roman"/>
          <w:noProof/>
          <w:sz w:val="24"/>
        </w:rPr>
        <w:t xml:space="preserve">), administratīvā izpilde var papildināt tiesībaizsardzību ātrāku rezultātu gūšanai, vēršoties pret </w:t>
      </w:r>
      <w:r>
        <w:rPr>
          <w:rFonts w:ascii="Times New Roman" w:hAnsi="Times New Roman"/>
          <w:b/>
          <w:noProof/>
          <w:sz w:val="24"/>
        </w:rPr>
        <w:t>pārrobežu krāpšanu un noziegumiem pret ES finanšu interesēm</w:t>
      </w:r>
      <w:r>
        <w:rPr>
          <w:rFonts w:ascii="Times New Roman" w:hAnsi="Times New Roman"/>
          <w:noProof/>
          <w:sz w:val="24"/>
        </w:rPr>
        <w:t>. Subsīdiju krāpnieki koncentrējas uz tādām nozarēm kā atjaunīgā enerģija, pētniecības programmas un lauksaimniecības nozare</w:t>
      </w:r>
      <w:r w:rsidRPr="000164CE">
        <w:rPr>
          <w:rFonts w:ascii="Times New Roman" w:eastAsia="Calibri" w:hAnsi="Times New Roman" w:cs="Times New Roman"/>
          <w:noProof/>
          <w:kern w:val="2"/>
          <w:sz w:val="24"/>
          <w:szCs w:val="24"/>
          <w:vertAlign w:val="superscript"/>
          <w:lang w:val="en-GB"/>
        </w:rPr>
        <w:footnoteReference w:id="63"/>
      </w:r>
      <w:r>
        <w:rPr>
          <w:rFonts w:ascii="Times New Roman" w:hAnsi="Times New Roman"/>
          <w:noProof/>
          <w:sz w:val="24"/>
        </w:rPr>
        <w:t xml:space="preserve">. Komisija pētīs veidus, kā koordinēt krimināltiesību un administratīvo instrumentu izmantošanu, uzlabojot sadarbību ar Eiropolu, </w:t>
      </w:r>
      <w:r>
        <w:rPr>
          <w:rFonts w:ascii="Times New Roman" w:hAnsi="Times New Roman"/>
          <w:i/>
          <w:iCs/>
          <w:noProof/>
          <w:sz w:val="24"/>
        </w:rPr>
        <w:t>Eurojust</w:t>
      </w:r>
      <w:r>
        <w:rPr>
          <w:rFonts w:ascii="Times New Roman" w:hAnsi="Times New Roman"/>
          <w:noProof/>
          <w:sz w:val="24"/>
        </w:rPr>
        <w:t xml:space="preserve"> un </w:t>
      </w:r>
      <w:r>
        <w:rPr>
          <w:rFonts w:ascii="Times New Roman" w:hAnsi="Times New Roman"/>
          <w:i/>
          <w:iCs/>
          <w:noProof/>
          <w:sz w:val="24"/>
        </w:rPr>
        <w:t>EPPO</w:t>
      </w:r>
      <w:r>
        <w:rPr>
          <w:rFonts w:ascii="Times New Roman" w:hAnsi="Times New Roman"/>
          <w:noProof/>
          <w:sz w:val="24"/>
        </w:rPr>
        <w:t xml:space="preserve">. Komisija arī turpinās atbalstīt </w:t>
      </w:r>
      <w:r>
        <w:rPr>
          <w:rFonts w:ascii="Times New Roman" w:hAnsi="Times New Roman"/>
          <w:b/>
          <w:noProof/>
          <w:sz w:val="24"/>
        </w:rPr>
        <w:t xml:space="preserve">administratīvās pieejas </w:t>
      </w:r>
      <w:r>
        <w:rPr>
          <w:rFonts w:ascii="Times New Roman" w:hAnsi="Times New Roman"/>
          <w:noProof/>
          <w:sz w:val="24"/>
        </w:rPr>
        <w:t>plašāku piemērošanu, lai vietējām un citām administratīvajām iestādēm dotu iespēju novērst noziedznieku iefiltrēšanos</w:t>
      </w:r>
      <w:r w:rsidRPr="000164CE">
        <w:rPr>
          <w:rFonts w:ascii="Times New Roman" w:eastAsia="Times New Roman" w:hAnsi="Times New Roman" w:cs="Times New Roman"/>
          <w:noProof/>
          <w:kern w:val="2"/>
          <w:sz w:val="24"/>
          <w:szCs w:val="24"/>
          <w:vertAlign w:val="superscript"/>
          <w:lang w:val="en-GB"/>
        </w:rPr>
        <w:footnoteReference w:id="64"/>
      </w:r>
      <w:r>
        <w:rPr>
          <w:rFonts w:ascii="Times New Roman" w:hAnsi="Times New Roman"/>
          <w:noProof/>
          <w:sz w:val="24"/>
        </w:rPr>
        <w:t xml:space="preserve">. </w:t>
      </w:r>
    </w:p>
    <w:p w14:paraId="6DAEB62C" w14:textId="77777777" w:rsidR="000164CE" w:rsidRPr="000164CE" w:rsidRDefault="000164CE" w:rsidP="000164CE">
      <w:pPr>
        <w:spacing w:after="120" w:line="240" w:lineRule="auto"/>
        <w:jc w:val="both"/>
        <w:rPr>
          <w:rFonts w:ascii="Times New Roman" w:eastAsia="Calibri" w:hAnsi="Times New Roman" w:cs="Arial"/>
          <w:noProof/>
          <w:kern w:val="2"/>
          <w14:ligatures w14:val="standardContextual"/>
        </w:rPr>
      </w:pPr>
      <w:r>
        <w:rPr>
          <w:rFonts w:ascii="Times New Roman" w:hAnsi="Times New Roman"/>
          <w:noProof/>
          <w:sz w:val="24"/>
        </w:rPr>
        <w:t xml:space="preserve">ES strādā, lai stiprinātu savu tiesisko regulējumu </w:t>
      </w:r>
      <w:r>
        <w:rPr>
          <w:rFonts w:ascii="Times New Roman" w:hAnsi="Times New Roman"/>
          <w:b/>
          <w:noProof/>
          <w:sz w:val="24"/>
        </w:rPr>
        <w:t>korupcijas</w:t>
      </w:r>
      <w:r w:rsidRPr="000164CE">
        <w:rPr>
          <w:rFonts w:ascii="Times New Roman" w:eastAsia="Times New Roman" w:hAnsi="Times New Roman" w:cs="Times New Roman"/>
          <w:noProof/>
          <w:kern w:val="2"/>
          <w:sz w:val="24"/>
          <w:szCs w:val="24"/>
          <w:vertAlign w:val="superscript"/>
          <w:lang w:val="en-GB"/>
        </w:rPr>
        <w:footnoteReference w:id="65"/>
      </w:r>
      <w:r>
        <w:rPr>
          <w:rFonts w:ascii="Times New Roman" w:hAnsi="Times New Roman"/>
          <w:noProof/>
          <w:sz w:val="24"/>
        </w:rPr>
        <w:t xml:space="preserve"> apkarošanai. Eiropas Parlamentam un Padomei būtu ātri jāpabeidz sarunas par Komisijas ierosināto atjaunināto pretkorupcijas regulējumu. Komisija nāks klajā ar ES pretkorupcijas stratēģiju, lai veicinātu integritāti un stiprinātu koordināciju starp visām attiecīgajām iestādēm un ieinteresētajām personām šajā jomā.</w:t>
      </w:r>
    </w:p>
    <w:p w14:paraId="628FB8A8"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Šaujamieroči ir viens no galvenajiem faktoriem, kas veicina organizētās noziedzības grupējumu pieaugošo vardarbību. Komisija ierosinās kopējus krimināltiesību standartus attiecībā uz šaujamieroču nelikumīgu tirdzniecību. Jaunajā </w:t>
      </w:r>
      <w:r>
        <w:rPr>
          <w:rFonts w:ascii="Times New Roman" w:hAnsi="Times New Roman"/>
          <w:b/>
          <w:noProof/>
          <w:sz w:val="24"/>
        </w:rPr>
        <w:t>ES rīcības plānā cīņai pret šaujamieroču nelikumīgu tirdzniecību</w:t>
      </w:r>
      <w:r>
        <w:rPr>
          <w:rFonts w:ascii="Times New Roman" w:hAnsi="Times New Roman"/>
          <w:noProof/>
          <w:sz w:val="24"/>
        </w:rPr>
        <w:t xml:space="preserve"> galvenā uzmanība tiks pievērsta likumīgā tirgus aizsardzībai, noziedzīgu darbību ierobežošanai, pamatojoties uz labākiem izlūkdatiem un starptautiskās sadarbības stiprināšanu, īpašu uzmanību pievēršot Ukrainai un Rietumbalkāniem.</w:t>
      </w:r>
    </w:p>
    <w:p w14:paraId="3EABFCD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Ir vajadzīgi pasākumi, lai uzlabotu profilaksi attiecībā uz nelikumīgi tirgotiem pirotehnikas izstrādājumiem, ko izmanto noziegumos, un to izsekojamību. Komisija pašlaik izvērtē pirotehnikas direktīvu un apsvērs arī </w:t>
      </w:r>
      <w:r>
        <w:rPr>
          <w:rFonts w:ascii="Times New Roman" w:hAnsi="Times New Roman"/>
          <w:b/>
          <w:noProof/>
          <w:sz w:val="24"/>
        </w:rPr>
        <w:t>kriminālsodus par pirotehnikas izstrādājumu nelikumīgu tirdzniecību</w:t>
      </w:r>
      <w:r>
        <w:rPr>
          <w:rFonts w:ascii="Times New Roman" w:hAnsi="Times New Roman"/>
          <w:noProof/>
          <w:sz w:val="24"/>
        </w:rPr>
        <w:t>.</w:t>
      </w:r>
    </w:p>
    <w:p w14:paraId="670FAEF3"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bookmarkStart w:id="8" w:name="_Toc190694647"/>
      <w:r>
        <w:rPr>
          <w:rFonts w:ascii="Times New Roman" w:hAnsi="Times New Roman"/>
          <w:b/>
          <w:i/>
          <w:noProof/>
          <w:sz w:val="24"/>
        </w:rPr>
        <w:t>Naudas plūsmas izsekošana</w:t>
      </w:r>
    </w:p>
    <w:p w14:paraId="72225078" w14:textId="77777777" w:rsidR="003A2CFF" w:rsidRDefault="000164CE" w:rsidP="000164CE">
      <w:pPr>
        <w:spacing w:after="120" w:line="240" w:lineRule="auto"/>
        <w:jc w:val="both"/>
        <w:rPr>
          <w:rFonts w:ascii="Times New Roman" w:eastAsia="Times New Roman" w:hAnsi="Times New Roman" w:cs="Times New Roman"/>
          <w:bCs/>
          <w:noProof/>
          <w:kern w:val="2"/>
          <w:sz w:val="24"/>
          <w:szCs w:val="24"/>
          <w14:ligatures w14:val="standardContextual"/>
        </w:rPr>
      </w:pPr>
      <w:r>
        <w:rPr>
          <w:rFonts w:ascii="Times New Roman" w:hAnsi="Times New Roman"/>
          <w:b/>
          <w:noProof/>
          <w:sz w:val="24"/>
        </w:rPr>
        <w:t>Naudas plūsmas izsekošanai</w:t>
      </w:r>
      <w:r>
        <w:rPr>
          <w:rFonts w:ascii="Times New Roman" w:hAnsi="Times New Roman"/>
          <w:noProof/>
          <w:sz w:val="24"/>
        </w:rPr>
        <w:t xml:space="preserve"> ir izšķiroša nozīme organizētās noziedzības un terorisma apkarošanā, tomēr tā joprojām ir ļoti sarežģīta. Saikne starp organizēto noziedzību un naudas plūsmām prasa intensīvus un apvienotus centienus, lai apturētu noziedzīgo tīklu piekļuvi finansējuma avotiem un labāk aizsargātu cilvēkus, uzņēmumus un publiskos budžetus. </w:t>
      </w:r>
    </w:p>
    <w:p w14:paraId="5FB7A13A" w14:textId="73E9F9D5"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ES ir pastiprinājusi savus centienus ar jaunajiem nelikumīgi iegūtu līdzekļu legalizēšanas novēršanas noteikumiem, arī izveidojot </w:t>
      </w:r>
      <w:r>
        <w:rPr>
          <w:rFonts w:ascii="Times New Roman" w:hAnsi="Times New Roman"/>
          <w:b/>
          <w:noProof/>
          <w:sz w:val="24"/>
        </w:rPr>
        <w:t>ES Iestādi nelikumīgi iegūtu līdzekļu legalizēšanas novēršanai (</w:t>
      </w:r>
      <w:r>
        <w:rPr>
          <w:rFonts w:ascii="Times New Roman" w:hAnsi="Times New Roman"/>
          <w:b/>
          <w:i/>
          <w:iCs/>
          <w:noProof/>
          <w:sz w:val="24"/>
        </w:rPr>
        <w:t>AMLA</w:t>
      </w:r>
      <w:r>
        <w:rPr>
          <w:rFonts w:ascii="Times New Roman" w:hAnsi="Times New Roman"/>
          <w:b/>
          <w:noProof/>
          <w:sz w:val="24"/>
        </w:rPr>
        <w:t>)</w:t>
      </w:r>
      <w:r w:rsidRPr="000164CE">
        <w:rPr>
          <w:rFonts w:ascii="Times New Roman" w:eastAsia="Times New Roman" w:hAnsi="Times New Roman" w:cs="Times New Roman"/>
          <w:noProof/>
          <w:kern w:val="2"/>
          <w:sz w:val="24"/>
          <w:szCs w:val="24"/>
          <w:vertAlign w:val="superscript"/>
          <w:lang w:val="en-GB"/>
        </w:rPr>
        <w:footnoteReference w:id="66"/>
      </w:r>
      <w:r>
        <w:rPr>
          <w:rFonts w:ascii="Times New Roman" w:hAnsi="Times New Roman"/>
          <w:noProof/>
          <w:sz w:val="24"/>
        </w:rPr>
        <w:t xml:space="preserve">. Sadarbība starp </w:t>
      </w:r>
      <w:r>
        <w:rPr>
          <w:rFonts w:ascii="Times New Roman" w:hAnsi="Times New Roman"/>
          <w:i/>
          <w:iCs/>
          <w:noProof/>
          <w:sz w:val="24"/>
        </w:rPr>
        <w:t>AMLA</w:t>
      </w:r>
      <w:r>
        <w:rPr>
          <w:rFonts w:ascii="Times New Roman" w:hAnsi="Times New Roman"/>
          <w:noProof/>
          <w:sz w:val="24"/>
        </w:rPr>
        <w:t xml:space="preserve">, </w:t>
      </w:r>
      <w:r>
        <w:rPr>
          <w:rFonts w:ascii="Times New Roman" w:hAnsi="Times New Roman"/>
          <w:i/>
          <w:iCs/>
          <w:noProof/>
          <w:sz w:val="24"/>
        </w:rPr>
        <w:t>OLAF</w:t>
      </w:r>
      <w:r>
        <w:rPr>
          <w:rFonts w:ascii="Times New Roman" w:hAnsi="Times New Roman"/>
          <w:noProof/>
          <w:sz w:val="24"/>
        </w:rPr>
        <w:t xml:space="preserve">, </w:t>
      </w:r>
      <w:r>
        <w:rPr>
          <w:rFonts w:ascii="Times New Roman" w:hAnsi="Times New Roman"/>
          <w:i/>
          <w:iCs/>
          <w:noProof/>
          <w:sz w:val="24"/>
        </w:rPr>
        <w:t>EPPO</w:t>
      </w:r>
      <w:r>
        <w:rPr>
          <w:rFonts w:ascii="Times New Roman" w:hAnsi="Times New Roman"/>
          <w:noProof/>
          <w:sz w:val="24"/>
        </w:rPr>
        <w:t xml:space="preserve">, </w:t>
      </w:r>
      <w:r>
        <w:rPr>
          <w:rFonts w:ascii="Times New Roman" w:hAnsi="Times New Roman"/>
          <w:i/>
          <w:iCs/>
          <w:noProof/>
          <w:sz w:val="24"/>
        </w:rPr>
        <w:t>Eurojust</w:t>
      </w:r>
      <w:r>
        <w:rPr>
          <w:rFonts w:ascii="Times New Roman" w:hAnsi="Times New Roman"/>
          <w:noProof/>
          <w:sz w:val="24"/>
        </w:rPr>
        <w:t xml:space="preserve"> un Eiropolu ir būtiska, lai īstenotu efektīvu finanšu izmeklēšanu. Komisija atbalstīs </w:t>
      </w:r>
      <w:r>
        <w:rPr>
          <w:rFonts w:ascii="Times New Roman" w:hAnsi="Times New Roman"/>
          <w:b/>
          <w:noProof/>
          <w:sz w:val="24"/>
        </w:rPr>
        <w:t>partnerību</w:t>
      </w:r>
      <w:r>
        <w:rPr>
          <w:rFonts w:ascii="Times New Roman" w:hAnsi="Times New Roman"/>
          <w:noProof/>
          <w:sz w:val="24"/>
        </w:rPr>
        <w:t xml:space="preserve"> izveidi – gan to, kuras veicina aģentūru sadarbību, gan to, kurās iesaistīts privātais sektors.  </w:t>
      </w:r>
      <w:r>
        <w:rPr>
          <w:rFonts w:ascii="Times New Roman" w:hAnsi="Times New Roman"/>
          <w:b/>
          <w:noProof/>
          <w:sz w:val="24"/>
        </w:rPr>
        <w:t xml:space="preserve"> </w:t>
      </w:r>
    </w:p>
    <w:p w14:paraId="22B11F10" w14:textId="6C914C2D"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Lai likvidētu organizētās noziedzības finansiālos motīvus, ir būtiski uzlikt arestu aktīviem un konfiscēt noziedzīgi iegūtus līdzekļus. Nesen pieņemtie stingrākie noteikumi par </w:t>
      </w:r>
      <w:r>
        <w:rPr>
          <w:rFonts w:ascii="Times New Roman" w:hAnsi="Times New Roman"/>
          <w:b/>
          <w:noProof/>
          <w:sz w:val="24"/>
        </w:rPr>
        <w:t>aktīvu atgūšanu un konfiskāciju</w:t>
      </w:r>
      <w:r w:rsidRPr="000164CE">
        <w:rPr>
          <w:rFonts w:ascii="Times New Roman" w:eastAsia="Times New Roman" w:hAnsi="Times New Roman" w:cs="Times New Roman"/>
          <w:noProof/>
          <w:kern w:val="2"/>
          <w:sz w:val="24"/>
          <w:szCs w:val="24"/>
          <w:vertAlign w:val="superscript"/>
          <w:lang w:val="en-GB"/>
        </w:rPr>
        <w:footnoteReference w:id="67"/>
      </w:r>
      <w:r>
        <w:rPr>
          <w:rFonts w:ascii="Times New Roman" w:hAnsi="Times New Roman"/>
          <w:noProof/>
          <w:sz w:val="24"/>
        </w:rPr>
        <w:t xml:space="preserve"> dalībvalstīm būtu nekavējoties jātransponē un pilnībā jāizmanto to potenciāls. Lai cīnītos pret paralēlām finanšu sistēmām, arī uz kriptogrāfiskām tehnoloģijām balstītām sistēmām, kas apiet ES nelikumīgi iegūtu līdzekļu legalizēšanas novēršanas regulējumu, ir vajadzīgas arī inovatīvas darbības, paraugprakses apmaiņa starp dalībvalstīm un lielāks Eiropola un </w:t>
      </w:r>
      <w:r>
        <w:rPr>
          <w:rFonts w:ascii="Times New Roman" w:hAnsi="Times New Roman"/>
          <w:i/>
          <w:iCs/>
          <w:noProof/>
          <w:sz w:val="24"/>
        </w:rPr>
        <w:t>Eurojust</w:t>
      </w:r>
      <w:r>
        <w:rPr>
          <w:rFonts w:ascii="Times New Roman" w:hAnsi="Times New Roman"/>
          <w:noProof/>
          <w:sz w:val="24"/>
        </w:rPr>
        <w:t xml:space="preserve"> atbalsts. Komisija izpētīs jaunas ES mēroga sistēmas iespējamību, lai izsekotu organizētās noziedzības gūto peļņu un teroristu finansēšanu, kā arī veicinās savlaicīgu un paplašinātu informācijas plūsmu no </w:t>
      </w:r>
      <w:r>
        <w:rPr>
          <w:rFonts w:ascii="Times New Roman" w:hAnsi="Times New Roman"/>
          <w:b/>
          <w:noProof/>
          <w:sz w:val="24"/>
        </w:rPr>
        <w:t>finanšu izlūkošanas vienībām</w:t>
      </w:r>
      <w:r>
        <w:rPr>
          <w:rFonts w:ascii="Times New Roman" w:hAnsi="Times New Roman"/>
          <w:noProof/>
          <w:sz w:val="24"/>
        </w:rPr>
        <w:t xml:space="preserve"> uz tiesībaizsardzības iestādēm. Komisija pētīs veidus, kā novērst nepilnības, atbalstīt dalībvalstis spēju veidošanā un turpinās darbu, lai stiprinātu sadarbību ar trešām valstīm, ko noziedznieki ļaunprātīgi izmanto pagrīdes banku operācijās.</w:t>
      </w:r>
      <w:r>
        <w:rPr>
          <w:rFonts w:ascii="Times New Roman" w:hAnsi="Times New Roman"/>
          <w:b/>
          <w:i/>
          <w:noProof/>
          <w:sz w:val="24"/>
        </w:rPr>
        <w:t> </w:t>
      </w:r>
    </w:p>
    <w:p w14:paraId="00017F5C"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Smagu noziegumu apkarošana</w:t>
      </w:r>
    </w:p>
    <w:p w14:paraId="547F9807" w14:textId="5E16044E" w:rsidR="000164CE" w:rsidRPr="000164CE" w:rsidRDefault="000164CE" w:rsidP="000164CE">
      <w:pPr>
        <w:spacing w:after="120" w:line="240" w:lineRule="auto"/>
        <w:jc w:val="both"/>
        <w:rPr>
          <w:rFonts w:ascii="Times New Roman" w:eastAsia="Times New Roman" w:hAnsi="Times New Roman" w:cs="Times New Roman"/>
          <w:b/>
          <w:noProof/>
          <w:kern w:val="2"/>
          <w:sz w:val="24"/>
          <w:szCs w:val="24"/>
          <w14:ligatures w14:val="standardContextual"/>
        </w:rPr>
      </w:pPr>
      <w:r>
        <w:rPr>
          <w:rFonts w:ascii="Times New Roman" w:hAnsi="Times New Roman"/>
          <w:noProof/>
          <w:sz w:val="24"/>
        </w:rPr>
        <w:t xml:space="preserve">Papildus noziedzīgo tīklu likvidēšanai smagu noziegumu apkarošanai ir vajadzīgi mērķtiecīgi centieni. Lai stiprinātu mūsu spēju apkarot </w:t>
      </w:r>
      <w:r>
        <w:rPr>
          <w:rFonts w:ascii="Times New Roman" w:hAnsi="Times New Roman"/>
          <w:b/>
          <w:noProof/>
          <w:sz w:val="24"/>
        </w:rPr>
        <w:t>krāpšanu tiešsaistē</w:t>
      </w:r>
      <w:r>
        <w:rPr>
          <w:rFonts w:ascii="Times New Roman" w:hAnsi="Times New Roman"/>
          <w:noProof/>
          <w:sz w:val="24"/>
        </w:rPr>
        <w:t>, kas rada ļoti būtisku finansiālu kaitējumu</w:t>
      </w:r>
      <w:r w:rsidRPr="000164CE">
        <w:rPr>
          <w:rFonts w:ascii="Times New Roman" w:eastAsia="Times New Roman" w:hAnsi="Times New Roman" w:cs="Times New Roman"/>
          <w:noProof/>
          <w:kern w:val="2"/>
          <w:sz w:val="24"/>
          <w:szCs w:val="24"/>
          <w:vertAlign w:val="superscript"/>
          <w:lang w:val="en-GB"/>
        </w:rPr>
        <w:footnoteReference w:id="68"/>
      </w:r>
      <w:r>
        <w:rPr>
          <w:rFonts w:ascii="Times New Roman" w:hAnsi="Times New Roman"/>
          <w:noProof/>
          <w:sz w:val="24"/>
        </w:rPr>
        <w:t xml:space="preserve">, Komisija atbalstīs preventīvus pasākumus un iedarbīgākus tiesībaizsardzības pasākumus un sadarbosies ar dalībvalstīm un ieinteresētajām personām, lai atbalstītu un aizsargātu cietušos, arī palīdzot atgūt viņu līdzekļus. Šie centieni tiks </w:t>
      </w:r>
      <w:r>
        <w:rPr>
          <w:rFonts w:ascii="Times New Roman" w:hAnsi="Times New Roman"/>
          <w:b/>
          <w:noProof/>
          <w:sz w:val="24"/>
        </w:rPr>
        <w:t xml:space="preserve">formalizēti rīcības plānā cīņai pret krāpšanu tiešsaistē. </w:t>
      </w:r>
    </w:p>
    <w:p w14:paraId="3DF839CF" w14:textId="5611BED0"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Pamatojoties uz ES 2020.–2025. gada stratēģiju </w:t>
      </w:r>
      <w:r>
        <w:rPr>
          <w:rFonts w:ascii="Times New Roman" w:hAnsi="Times New Roman"/>
          <w:b/>
          <w:noProof/>
          <w:sz w:val="24"/>
        </w:rPr>
        <w:t>seksuālas vardarbības pret bērniem</w:t>
      </w:r>
      <w:r w:rsidRPr="000164CE">
        <w:rPr>
          <w:rFonts w:ascii="Times New Roman" w:eastAsia="Times New Roman" w:hAnsi="Times New Roman" w:cs="Times New Roman"/>
          <w:noProof/>
          <w:kern w:val="2"/>
          <w:sz w:val="24"/>
          <w:szCs w:val="24"/>
          <w:vertAlign w:val="superscript"/>
          <w:lang w:val="en-GB"/>
        </w:rPr>
        <w:footnoteReference w:id="69"/>
      </w:r>
      <w:r>
        <w:rPr>
          <w:rFonts w:ascii="Times New Roman" w:hAnsi="Times New Roman"/>
          <w:noProof/>
          <w:sz w:val="24"/>
        </w:rPr>
        <w:t xml:space="preserve"> apkarošanai, Komisija atbalstīs likumdevējus abu tiesību aktu priekšlikumu</w:t>
      </w:r>
      <w:r w:rsidRPr="000164CE">
        <w:rPr>
          <w:rFonts w:ascii="Times New Roman" w:eastAsia="Times New Roman" w:hAnsi="Times New Roman" w:cs="Times New Roman"/>
          <w:noProof/>
          <w:kern w:val="2"/>
          <w:sz w:val="24"/>
          <w:szCs w:val="24"/>
          <w:vertAlign w:val="superscript"/>
          <w:lang w:val="en-GB"/>
        </w:rPr>
        <w:footnoteReference w:id="70"/>
      </w:r>
      <w:r>
        <w:rPr>
          <w:rFonts w:ascii="Times New Roman" w:hAnsi="Times New Roman"/>
          <w:noProof/>
          <w:sz w:val="24"/>
        </w:rPr>
        <w:t xml:space="preserve"> izstrādē, lai novērstu un apkarotu seksuālu vardarbību pret bērniem tiešsaistē un padarītu iedarbīgākus tiesībaizsardzības pasākumus pret seksuālu vardarbību pret bērniem un bērnu seksuālu izmantošanu. Tā kā pagaidu noteikumi ir spēkā līdz 2026. gada aprīlim, ir būtiski izveidot pastāvīgu tiesisko regulējumu, un Komisija mudina likumdevējus sākt sarunas par projektu regulai, ar ko paredz noteikumus seksuālas vardarbības pret bērniem novēršanai un apkarošanai. Likumdevēji tiek arī aicināti virzīties uz priekšu sarunās par Direktīvu par seksuālas vardarbības pret bērniem, bērnu seksuālas izmantošanas un materiālu, kuros atspoguļota seksuāla vardarbība pret bērniem, apkarošanu, ar kuru tiks noteikti minimālie noteikumi noziedzīgu nodarījumu un sodu definēšanai bērnu seksuālās izmantošanas jomā. </w:t>
      </w:r>
    </w:p>
    <w:p w14:paraId="76CE85CD" w14:textId="077E5BC6"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sz w:val="24"/>
        </w:rPr>
        <w:t xml:space="preserve">Puse no ES bīstamākajiem noziedzīgajiem tīkliem ir iesaistīta vardarbīgā </w:t>
      </w:r>
      <w:r>
        <w:rPr>
          <w:rFonts w:ascii="Times New Roman" w:hAnsi="Times New Roman"/>
          <w:b/>
          <w:noProof/>
          <w:sz w:val="24"/>
        </w:rPr>
        <w:t>narkotiku tirdzniecībā</w:t>
      </w:r>
      <w:r>
        <w:rPr>
          <w:rFonts w:ascii="Times New Roman" w:hAnsi="Times New Roman"/>
          <w:noProof/>
          <w:sz w:val="24"/>
        </w:rPr>
        <w:t>. Lai gan ES nesen ir pastiprinājusi cīņu pret šo noziegumu</w:t>
      </w:r>
      <w:r w:rsidRPr="000164CE">
        <w:rPr>
          <w:rFonts w:ascii="Times New Roman" w:eastAsia="Times New Roman" w:hAnsi="Times New Roman" w:cs="Times New Roman"/>
          <w:noProof/>
          <w:kern w:val="2"/>
          <w:sz w:val="24"/>
          <w:szCs w:val="24"/>
          <w:vertAlign w:val="superscript"/>
          <w:lang w:val="en-GB"/>
        </w:rPr>
        <w:footnoteReference w:id="71"/>
      </w:r>
      <w:r>
        <w:rPr>
          <w:rFonts w:ascii="Times New Roman" w:hAnsi="Times New Roman"/>
          <w:noProof/>
          <w:sz w:val="24"/>
        </w:rPr>
        <w:t xml:space="preserve">, jo īpaši, paplašinot </w:t>
      </w:r>
      <w:r>
        <w:rPr>
          <w:rFonts w:ascii="Times New Roman" w:hAnsi="Times New Roman"/>
          <w:b/>
          <w:noProof/>
          <w:sz w:val="24"/>
        </w:rPr>
        <w:t>ES Narkotiku aģentūras</w:t>
      </w:r>
      <w:r>
        <w:rPr>
          <w:rFonts w:ascii="Times New Roman" w:hAnsi="Times New Roman"/>
          <w:noProof/>
          <w:sz w:val="24"/>
        </w:rPr>
        <w:t xml:space="preserve"> pilnvaras, ir vajadzīgas turpmākas darbības. </w:t>
      </w:r>
      <w:r>
        <w:rPr>
          <w:rFonts w:ascii="Times New Roman" w:hAnsi="Times New Roman"/>
          <w:noProof/>
          <w:color w:val="000000"/>
          <w:sz w:val="24"/>
        </w:rPr>
        <w:t xml:space="preserve">Komisija cieši sadarbosies ar dalībvalstīm, lai </w:t>
      </w:r>
      <w:r>
        <w:rPr>
          <w:rFonts w:ascii="Times New Roman" w:hAnsi="Times New Roman"/>
          <w:noProof/>
          <w:sz w:val="24"/>
        </w:rPr>
        <w:t xml:space="preserve">ierosinātu jaunu </w:t>
      </w:r>
      <w:r>
        <w:rPr>
          <w:rFonts w:ascii="Times New Roman" w:hAnsi="Times New Roman"/>
          <w:b/>
          <w:noProof/>
          <w:sz w:val="24"/>
        </w:rPr>
        <w:t>ES stratēģiju narkotiku jomā</w:t>
      </w:r>
      <w:r>
        <w:rPr>
          <w:rFonts w:ascii="Times New Roman" w:hAnsi="Times New Roman"/>
          <w:noProof/>
          <w:sz w:val="24"/>
        </w:rPr>
        <w:t xml:space="preserve">. Tā arī pārskatīs </w:t>
      </w:r>
      <w:r>
        <w:rPr>
          <w:rFonts w:ascii="Times New Roman" w:hAnsi="Times New Roman"/>
          <w:b/>
          <w:noProof/>
          <w:sz w:val="24"/>
        </w:rPr>
        <w:t>tiesisko regulējumu par narkotisko vielu prekursoriem</w:t>
      </w:r>
      <w:r>
        <w:rPr>
          <w:rFonts w:ascii="Times New Roman" w:hAnsi="Times New Roman"/>
          <w:noProof/>
          <w:sz w:val="24"/>
        </w:rPr>
        <w:t xml:space="preserve"> un ierosinās </w:t>
      </w:r>
      <w:r>
        <w:rPr>
          <w:rFonts w:ascii="Times New Roman" w:hAnsi="Times New Roman"/>
          <w:b/>
          <w:noProof/>
          <w:sz w:val="24"/>
        </w:rPr>
        <w:t>ES rīcības plānu narkotiku tirdzniecības apkarošanai</w:t>
      </w:r>
      <w:r>
        <w:rPr>
          <w:rFonts w:ascii="Times New Roman" w:hAnsi="Times New Roman"/>
          <w:noProof/>
          <w:sz w:val="24"/>
        </w:rPr>
        <w:t xml:space="preserve">, lai sagrautu maršrutus un darbības modeļus. </w:t>
      </w:r>
      <w:r>
        <w:rPr>
          <w:rFonts w:ascii="Times New Roman" w:hAnsi="Times New Roman"/>
          <w:b/>
          <w:noProof/>
          <w:color w:val="000000"/>
          <w:sz w:val="24"/>
        </w:rPr>
        <w:t>ES Ostu alianses publiskā un privātā sektora partnerība</w:t>
      </w:r>
      <w:r>
        <w:rPr>
          <w:rFonts w:ascii="Times New Roman" w:hAnsi="Times New Roman"/>
          <w:noProof/>
          <w:color w:val="000000"/>
          <w:sz w:val="24"/>
        </w:rPr>
        <w:t xml:space="preserve"> ostu aizsardzības pastiprināšanas jomā tiks paplašināta, iekļaujot mazākas un iekšzemes ostas</w:t>
      </w:r>
      <w:r>
        <w:rPr>
          <w:rFonts w:ascii="Times New Roman" w:hAnsi="Times New Roman"/>
          <w:b/>
          <w:noProof/>
          <w:color w:val="000000"/>
          <w:sz w:val="24"/>
        </w:rPr>
        <w:t xml:space="preserve"> </w:t>
      </w:r>
      <w:r>
        <w:rPr>
          <w:rFonts w:ascii="Times New Roman" w:hAnsi="Times New Roman"/>
          <w:noProof/>
          <w:color w:val="000000"/>
          <w:sz w:val="24"/>
        </w:rPr>
        <w:t>un nodrošinot jūras drošības noteikumu izpildi. Atzīstot narkotiku tirdzniecības smago vietējo ietekmi, Komisija turpinās atbalstīt līdzsvarotu, uz pierādījumiem balstītu un daudzdisciplīnu narkotiku apkarošanas politiku, kas ir gatava narkotisko vielu, it īpaši sintētisko opioīdu, pēkšņam pieplūdumam.</w:t>
      </w:r>
    </w:p>
    <w:p w14:paraId="6BEFEDE0"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Lai apkarotu cilvēku ekspluatāciju, ES ir pieņēmusi jaunus noteikumus</w:t>
      </w:r>
      <w:r w:rsidRPr="000164CE">
        <w:rPr>
          <w:rFonts w:ascii="Times New Roman" w:eastAsia="Times New Roman" w:hAnsi="Times New Roman" w:cs="Times New Roman"/>
          <w:noProof/>
          <w:kern w:val="2"/>
          <w:sz w:val="24"/>
          <w:szCs w:val="24"/>
          <w:vertAlign w:val="superscript"/>
          <w:lang w:val="en-GB"/>
        </w:rPr>
        <w:footnoteReference w:id="72"/>
      </w:r>
      <w:r>
        <w:rPr>
          <w:rFonts w:ascii="Times New Roman" w:hAnsi="Times New Roman"/>
          <w:noProof/>
          <w:sz w:val="24"/>
        </w:rPr>
        <w:t xml:space="preserve"> un ieviesīs </w:t>
      </w:r>
      <w:r>
        <w:rPr>
          <w:rFonts w:ascii="Times New Roman" w:hAnsi="Times New Roman"/>
          <w:b/>
          <w:noProof/>
          <w:sz w:val="24"/>
        </w:rPr>
        <w:t>atjauninātu ES stratēģiju</w:t>
      </w:r>
      <w:r>
        <w:rPr>
          <w:rFonts w:ascii="Times New Roman" w:hAnsi="Times New Roman"/>
          <w:noProof/>
          <w:sz w:val="24"/>
        </w:rPr>
        <w:t xml:space="preserve"> </w:t>
      </w:r>
      <w:r>
        <w:rPr>
          <w:rFonts w:ascii="Times New Roman" w:hAnsi="Times New Roman"/>
          <w:b/>
          <w:noProof/>
          <w:sz w:val="24"/>
        </w:rPr>
        <w:t>cilvēku tirdzniecības apkarošanai</w:t>
      </w:r>
      <w:r>
        <w:rPr>
          <w:rFonts w:ascii="Times New Roman" w:hAnsi="Times New Roman"/>
          <w:noProof/>
          <w:sz w:val="24"/>
        </w:rPr>
        <w:t xml:space="preserve"> (2026.–2030. gadam), kas aptver visus posmus no novēršanas līdz kriminālvajāšanai, galveno uzmanību pievēršot cietušo atbalstam gan ES, gan starptautiskā līmenī. </w:t>
      </w:r>
    </w:p>
    <w:p w14:paraId="6E85937F"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sz w:val="24"/>
        </w:rPr>
        <w:t xml:space="preserve">Cīņā pret </w:t>
      </w:r>
      <w:r>
        <w:rPr>
          <w:rFonts w:ascii="Times New Roman" w:hAnsi="Times New Roman"/>
          <w:b/>
          <w:noProof/>
          <w:sz w:val="24"/>
        </w:rPr>
        <w:t>migrantu kontrabandu</w:t>
      </w:r>
      <w:r>
        <w:rPr>
          <w:rFonts w:ascii="Times New Roman" w:hAnsi="Times New Roman"/>
          <w:noProof/>
          <w:sz w:val="24"/>
        </w:rPr>
        <w:t xml:space="preserve"> Komisija vadīs centienus ar galvenajiem partneriem, izmantojot jauno Globālo aliansi migrantu kontrabandas apkarošanai sadarbībā ar Eiropolu, </w:t>
      </w:r>
      <w:r>
        <w:rPr>
          <w:rFonts w:ascii="Times New Roman" w:hAnsi="Times New Roman"/>
          <w:i/>
          <w:iCs/>
          <w:noProof/>
          <w:sz w:val="24"/>
        </w:rPr>
        <w:t>Eurojust</w:t>
      </w:r>
      <w:r>
        <w:rPr>
          <w:rFonts w:ascii="Times New Roman" w:hAnsi="Times New Roman"/>
          <w:noProof/>
          <w:sz w:val="24"/>
        </w:rPr>
        <w:t xml:space="preserve"> un </w:t>
      </w:r>
      <w:r>
        <w:rPr>
          <w:rFonts w:ascii="Times New Roman" w:hAnsi="Times New Roman"/>
          <w:i/>
          <w:iCs/>
          <w:noProof/>
          <w:sz w:val="24"/>
        </w:rPr>
        <w:t>Frontex</w:t>
      </w:r>
      <w:r>
        <w:rPr>
          <w:rFonts w:ascii="Times New Roman" w:hAnsi="Times New Roman"/>
          <w:noProof/>
          <w:sz w:val="24"/>
        </w:rPr>
        <w:t>, arī tiešsaistes dimensijā. Komisijas priekšlikumi par kontrabandas apkarošanu</w:t>
      </w:r>
      <w:r w:rsidRPr="000164CE">
        <w:rPr>
          <w:rFonts w:ascii="Times New Roman" w:eastAsia="Times New Roman" w:hAnsi="Times New Roman" w:cs="Times New Roman"/>
          <w:noProof/>
          <w:kern w:val="2"/>
          <w:sz w:val="24"/>
          <w:szCs w:val="24"/>
          <w:vertAlign w:val="superscript"/>
          <w:lang w:val="en-GB"/>
        </w:rPr>
        <w:footnoteReference w:id="73"/>
      </w:r>
      <w:r>
        <w:rPr>
          <w:rFonts w:ascii="Times New Roman" w:hAnsi="Times New Roman"/>
          <w:noProof/>
          <w:sz w:val="24"/>
        </w:rPr>
        <w:t xml:space="preserve"> būtu jāpieņem un jāīsteno nekavējoties. </w:t>
      </w:r>
      <w:r>
        <w:rPr>
          <w:rFonts w:ascii="Times New Roman" w:hAnsi="Times New Roman"/>
          <w:noProof/>
          <w:color w:val="000000"/>
          <w:sz w:val="24"/>
        </w:rPr>
        <w:t xml:space="preserve">Turklāt Komisija pēc </w:t>
      </w:r>
      <w:r>
        <w:rPr>
          <w:rFonts w:ascii="Times New Roman" w:hAnsi="Times New Roman"/>
          <w:b/>
          <w:noProof/>
          <w:color w:val="000000"/>
          <w:sz w:val="24"/>
        </w:rPr>
        <w:t>pārvadātāju rīkkopas</w:t>
      </w:r>
      <w:r w:rsidRPr="000164CE">
        <w:rPr>
          <w:rFonts w:ascii="Times New Roman" w:eastAsia="Times New Roman" w:hAnsi="Times New Roman" w:cs="Times New Roman"/>
          <w:noProof/>
          <w:color w:val="000000"/>
          <w:kern w:val="2"/>
          <w:sz w:val="24"/>
          <w:szCs w:val="24"/>
          <w:vertAlign w:val="superscript"/>
          <w:lang w:val="en-GB"/>
        </w:rPr>
        <w:footnoteReference w:id="74"/>
      </w:r>
      <w:r>
        <w:rPr>
          <w:rFonts w:ascii="Times New Roman" w:hAnsi="Times New Roman"/>
          <w:noProof/>
          <w:color w:val="000000"/>
          <w:sz w:val="24"/>
        </w:rPr>
        <w:t xml:space="preserve"> pieņemšanas ir palielinājusi saziņu ar ārvalstu iestādēm un ekspluatantiem un turpinās sadarboties ar aviācijas nozari un civilās aviācijas organizācijām</w:t>
      </w:r>
      <w:r w:rsidRPr="000164CE">
        <w:rPr>
          <w:rFonts w:ascii="Times New Roman" w:eastAsia="Times New Roman" w:hAnsi="Times New Roman" w:cs="Times New Roman"/>
          <w:noProof/>
          <w:color w:val="000000"/>
          <w:kern w:val="2"/>
          <w:sz w:val="24"/>
          <w:szCs w:val="24"/>
          <w:vertAlign w:val="superscript"/>
          <w:lang w:val="en-GB"/>
        </w:rPr>
        <w:footnoteReference w:id="75"/>
      </w:r>
      <w:r>
        <w:rPr>
          <w:rFonts w:ascii="Times New Roman" w:hAnsi="Times New Roman"/>
          <w:noProof/>
          <w:color w:val="000000"/>
          <w:sz w:val="24"/>
        </w:rPr>
        <w:t xml:space="preserve"> palielinātu informētību par migrantu kontrabandu pa gaisu.</w:t>
      </w:r>
      <w:r w:rsidRPr="000164CE">
        <w:rPr>
          <w:rFonts w:ascii="Times New Roman" w:eastAsia="Times New Roman" w:hAnsi="Times New Roman" w:cs="Times New Roman"/>
          <w:noProof/>
          <w:color w:val="000000"/>
          <w:kern w:val="2"/>
          <w:sz w:val="24"/>
          <w:szCs w:val="24"/>
          <w:vertAlign w:val="superscript"/>
          <w:lang w:val="en-GB"/>
        </w:rPr>
        <w:footnoteReference w:id="76"/>
      </w:r>
      <w:r>
        <w:rPr>
          <w:rFonts w:ascii="Times New Roman" w:hAnsi="Times New Roman"/>
          <w:noProof/>
          <w:color w:val="000000"/>
          <w:sz w:val="24"/>
        </w:rPr>
        <w:t>.</w:t>
      </w:r>
    </w:p>
    <w:p w14:paraId="15786959" w14:textId="344F2F2B" w:rsidR="000164CE" w:rsidRPr="000164CE" w:rsidRDefault="000A2ACC"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Noziegumi pret vidi</w:t>
      </w:r>
      <w:r>
        <w:rPr>
          <w:rFonts w:ascii="Times New Roman" w:hAnsi="Times New Roman"/>
          <w:noProof/>
          <w:sz w:val="24"/>
        </w:rPr>
        <w:t xml:space="preserve"> ilgtermiņā apdraud vidi, sabiedrības veselību un ekonomiku. Komisija atbalstīs dalībvalstis Direktīvas par vides krimināltiesisko aizsardzību</w:t>
      </w:r>
      <w:r w:rsidR="000164CE" w:rsidRPr="000164CE">
        <w:rPr>
          <w:rFonts w:ascii="Times New Roman" w:eastAsia="Times New Roman" w:hAnsi="Times New Roman" w:cs="Times New Roman"/>
          <w:noProof/>
          <w:kern w:val="2"/>
          <w:sz w:val="24"/>
          <w:szCs w:val="24"/>
          <w:vertAlign w:val="superscript"/>
          <w:lang w:val="en-GB"/>
        </w:rPr>
        <w:footnoteReference w:id="77"/>
      </w:r>
      <w:r>
        <w:rPr>
          <w:rFonts w:ascii="Times New Roman" w:hAnsi="Times New Roman"/>
          <w:noProof/>
          <w:sz w:val="24"/>
        </w:rPr>
        <w:t xml:space="preserve"> īstenošanā un stiprinās operatīvos tīklus un darbības šajā jomā</w:t>
      </w:r>
      <w:r w:rsidR="000164CE" w:rsidRPr="000164CE">
        <w:rPr>
          <w:rFonts w:ascii="Times New Roman" w:eastAsia="Times New Roman" w:hAnsi="Times New Roman" w:cs="Times New Roman"/>
          <w:noProof/>
          <w:kern w:val="2"/>
          <w:sz w:val="24"/>
          <w:szCs w:val="24"/>
          <w:vertAlign w:val="superscript"/>
          <w:lang w:val="en-GB"/>
        </w:rPr>
        <w:footnoteReference w:id="78"/>
      </w:r>
      <w:r>
        <w:rPr>
          <w:rFonts w:ascii="Times New Roman" w:hAnsi="Times New Roman"/>
          <w:noProof/>
          <w:sz w:val="24"/>
        </w:rPr>
        <w:t>. Būtiska ir stingra izpilde. Turklāt nesen pieņemtā Eiropas Padomes Konvencija par vides krimināltiesisko aizsardzību</w:t>
      </w:r>
      <w:r w:rsidR="000164CE" w:rsidRPr="000164CE">
        <w:rPr>
          <w:rFonts w:ascii="Times New Roman" w:eastAsia="Times New Roman" w:hAnsi="Times New Roman" w:cs="Times New Roman"/>
          <w:noProof/>
          <w:kern w:val="2"/>
          <w:sz w:val="24"/>
          <w:szCs w:val="24"/>
          <w:vertAlign w:val="superscript"/>
          <w:lang w:val="en-GB"/>
        </w:rPr>
        <w:footnoteReference w:id="79"/>
      </w:r>
      <w:r>
        <w:rPr>
          <w:rFonts w:ascii="Times New Roman" w:hAnsi="Times New Roman"/>
          <w:noProof/>
          <w:sz w:val="24"/>
        </w:rPr>
        <w:t xml:space="preserve"> palīdzēs nodrošināt spēcīgus un salīdzināmus centienus apkarot noziegumus pret vidi gan Eiropā, gan ārpus tās.</w:t>
      </w:r>
    </w:p>
    <w:p w14:paraId="476E38B3"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Krimināltiesiskā reakcija</w:t>
      </w:r>
    </w:p>
    <w:p w14:paraId="6A81FBCC"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Noziedzība un terorisms var ietekmēt ikvienu, tāpēc ir būtiski atbalstīt un aizsargāt </w:t>
      </w:r>
      <w:r>
        <w:rPr>
          <w:rFonts w:ascii="Times New Roman" w:hAnsi="Times New Roman"/>
          <w:b/>
          <w:noProof/>
          <w:sz w:val="24"/>
        </w:rPr>
        <w:t>cietušo</w:t>
      </w:r>
      <w:r>
        <w:rPr>
          <w:rFonts w:ascii="Times New Roman" w:hAnsi="Times New Roman"/>
          <w:noProof/>
          <w:sz w:val="24"/>
        </w:rPr>
        <w:t xml:space="preserve"> tiesības, lai samazinātu kaitējumu un palielinātu vispārējo drošību un uzticēšanos iestādēm. Pamatojoties uz Cietušo tiesību direktīvu, Komisija ieviesīs jaunu </w:t>
      </w:r>
      <w:r>
        <w:rPr>
          <w:rFonts w:ascii="Times New Roman" w:hAnsi="Times New Roman"/>
          <w:b/>
          <w:noProof/>
          <w:sz w:val="24"/>
        </w:rPr>
        <w:t>ES stratēģiju par cietušo tiesībām</w:t>
      </w:r>
      <w:r>
        <w:rPr>
          <w:rFonts w:ascii="Times New Roman" w:hAnsi="Times New Roman"/>
          <w:noProof/>
          <w:sz w:val="24"/>
        </w:rPr>
        <w:t>.</w:t>
      </w:r>
    </w:p>
    <w:p w14:paraId="17A5B9F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ES krimināltiesību sistēmām</w:t>
      </w:r>
      <w:r>
        <w:rPr>
          <w:rFonts w:ascii="Times New Roman" w:hAnsi="Times New Roman"/>
          <w:noProof/>
          <w:sz w:val="24"/>
        </w:rPr>
        <w:t xml:space="preserve"> ir vajadzīgi iedarbīgi instrumenti, lai novērstu jaunus apdraudējumus. Lai to panāktu, Komisija ir uzsākusi </w:t>
      </w:r>
      <w:r>
        <w:rPr>
          <w:rFonts w:ascii="Times New Roman" w:hAnsi="Times New Roman"/>
          <w:b/>
          <w:noProof/>
          <w:sz w:val="24"/>
        </w:rPr>
        <w:t>augsta līmeņa forumu par ES krimināltiesību nākotni</w:t>
      </w:r>
      <w:r>
        <w:rPr>
          <w:rFonts w:ascii="Times New Roman" w:hAnsi="Times New Roman"/>
          <w:noProof/>
          <w:sz w:val="24"/>
        </w:rPr>
        <w:t>. Šis forums pulcē dalībvalstis, Eiropas Parlamentu, ES aģentūras un struktūras un citas attiecīgās ieinteresētās personas. Tā mērķis ir apspriest veidus, kā nodrošināt, ka mūsu krimināltiesību sistēmas joprojām ir efektīvas, taisnīgas un noturīgas, ņemot vērā mainīgās problēmas, vienlaikus stiprinot tiesu iestāžu sadarbību un uzlabojot savstarpējo uzticēšanos, arī ar digitalizācijas palīdzību</w:t>
      </w:r>
      <w:r w:rsidRPr="000164CE">
        <w:rPr>
          <w:rFonts w:ascii="Times New Roman" w:eastAsia="Times New Roman" w:hAnsi="Times New Roman" w:cs="Times New Roman"/>
          <w:noProof/>
          <w:kern w:val="2"/>
          <w:sz w:val="24"/>
          <w:szCs w:val="24"/>
          <w:vertAlign w:val="superscript"/>
          <w:lang w:val="en-GB"/>
        </w:rPr>
        <w:footnoteReference w:id="80"/>
      </w:r>
      <w:r>
        <w:rPr>
          <w:rFonts w:ascii="Times New Roman" w:hAnsi="Times New Roman"/>
          <w:noProof/>
          <w:sz w:val="24"/>
        </w:rPr>
        <w:t xml:space="preserve">. </w:t>
      </w:r>
    </w:p>
    <w:tbl>
      <w:tblPr>
        <w:tblStyle w:val="TableGrid"/>
        <w:tblW w:w="0" w:type="auto"/>
        <w:tblLook w:val="04A0" w:firstRow="1" w:lastRow="0" w:firstColumn="1" w:lastColumn="0" w:noHBand="0" w:noVBand="1"/>
      </w:tblPr>
      <w:tblGrid>
        <w:gridCol w:w="9056"/>
      </w:tblGrid>
      <w:tr w:rsidR="000164CE" w:rsidRPr="000164CE" w14:paraId="79B03133" w14:textId="77777777">
        <w:trPr>
          <w:trHeight w:val="1270"/>
        </w:trPr>
        <w:tc>
          <w:tcPr>
            <w:tcW w:w="9056" w:type="dxa"/>
          </w:tcPr>
          <w:p w14:paraId="4BDC3868" w14:textId="77777777" w:rsidR="000164CE" w:rsidRPr="000164CE" w:rsidRDefault="000164CE" w:rsidP="000164CE">
            <w:pPr>
              <w:spacing w:after="120"/>
              <w:jc w:val="both"/>
              <w:rPr>
                <w:b/>
                <w:bCs/>
                <w:i/>
                <w:iCs/>
                <w:noProof/>
              </w:rPr>
            </w:pPr>
            <w:r>
              <w:rPr>
                <w:b/>
                <w:i/>
                <w:noProof/>
              </w:rPr>
              <w:t>Pamatdarbības</w:t>
            </w:r>
          </w:p>
          <w:p w14:paraId="5A6CDB66" w14:textId="77777777" w:rsidR="000164CE" w:rsidRPr="000164CE" w:rsidRDefault="000164CE" w:rsidP="000164CE">
            <w:pPr>
              <w:spacing w:after="120"/>
              <w:jc w:val="both"/>
              <w:rPr>
                <w:b/>
                <w:bCs/>
                <w:noProof/>
              </w:rPr>
            </w:pPr>
            <w:r>
              <w:rPr>
                <w:b/>
                <w:noProof/>
              </w:rPr>
              <w:t>Komisija:</w:t>
            </w:r>
          </w:p>
          <w:p w14:paraId="1D29CE4B" w14:textId="07F92C4A" w:rsidR="000164CE" w:rsidRPr="000164CE" w:rsidRDefault="00E82B5B" w:rsidP="000164CE">
            <w:pPr>
              <w:numPr>
                <w:ilvl w:val="0"/>
                <w:numId w:val="12"/>
              </w:numPr>
              <w:spacing w:after="120"/>
              <w:contextualSpacing/>
              <w:jc w:val="both"/>
              <w:rPr>
                <w:b/>
                <w:bCs/>
                <w:noProof/>
              </w:rPr>
            </w:pPr>
            <w:r>
              <w:rPr>
                <w:b/>
                <w:noProof/>
              </w:rPr>
              <w:t>2026. gadā nāks klajā ar tiesību akta priekšlikumu modernizētiem noteikumiem par organizēto noziedzību;</w:t>
            </w:r>
          </w:p>
          <w:p w14:paraId="67DBDED9" w14:textId="7D24C7B4" w:rsidR="000164CE" w:rsidRPr="000164CE" w:rsidRDefault="00E82B5B" w:rsidP="000164CE">
            <w:pPr>
              <w:numPr>
                <w:ilvl w:val="0"/>
                <w:numId w:val="12"/>
              </w:numPr>
              <w:spacing w:after="120"/>
              <w:contextualSpacing/>
              <w:jc w:val="both"/>
              <w:rPr>
                <w:b/>
                <w:bCs/>
                <w:noProof/>
              </w:rPr>
            </w:pPr>
            <w:r>
              <w:rPr>
                <w:b/>
                <w:noProof/>
              </w:rPr>
              <w:t>2025. gadā nāks klajā ar tiesību akta priekšlikumu, lai pārskatītu tiesisko regulējumu par narkotisko vielu prekursoriem;</w:t>
            </w:r>
          </w:p>
          <w:p w14:paraId="79010F3C" w14:textId="070E46C5" w:rsidR="000164CE" w:rsidRPr="000164CE" w:rsidRDefault="00E82B5B" w:rsidP="000164CE">
            <w:pPr>
              <w:numPr>
                <w:ilvl w:val="0"/>
                <w:numId w:val="12"/>
              </w:numPr>
              <w:spacing w:after="120"/>
              <w:contextualSpacing/>
              <w:jc w:val="both"/>
              <w:rPr>
                <w:b/>
                <w:bCs/>
                <w:noProof/>
              </w:rPr>
            </w:pPr>
            <w:r>
              <w:rPr>
                <w:b/>
                <w:noProof/>
              </w:rPr>
              <w:t>2025. gadā nāks klajā ar tiesību akta priekšlikumu par vienotiem krimināltiesību standartiem attiecībā uz šaujamieroču nelikumīgu tirdzniecību;</w:t>
            </w:r>
          </w:p>
          <w:p w14:paraId="38B259EC" w14:textId="49BDA924" w:rsidR="000164CE" w:rsidRPr="000164CE" w:rsidRDefault="00E82B5B" w:rsidP="000164CE">
            <w:pPr>
              <w:numPr>
                <w:ilvl w:val="0"/>
                <w:numId w:val="12"/>
              </w:numPr>
              <w:spacing w:after="120"/>
              <w:contextualSpacing/>
              <w:jc w:val="both"/>
              <w:rPr>
                <w:b/>
                <w:bCs/>
                <w:noProof/>
                <w:color w:val="000000"/>
              </w:rPr>
            </w:pPr>
            <w:r>
              <w:rPr>
                <w:b/>
                <w:noProof/>
              </w:rPr>
              <w:t>izvērtēs nepieciešamību pārskatīt direktīvas par pirotehniku un civilām vajadzībām paredzētām sprāgstvielām;</w:t>
            </w:r>
          </w:p>
          <w:p w14:paraId="2D308695" w14:textId="0C0E9F0D" w:rsidR="000164CE" w:rsidRPr="000164CE" w:rsidRDefault="00E82B5B" w:rsidP="000164CE">
            <w:pPr>
              <w:numPr>
                <w:ilvl w:val="0"/>
                <w:numId w:val="12"/>
              </w:numPr>
              <w:spacing w:after="120"/>
              <w:contextualSpacing/>
              <w:jc w:val="both"/>
              <w:rPr>
                <w:b/>
                <w:bCs/>
                <w:noProof/>
              </w:rPr>
            </w:pPr>
            <w:r>
              <w:rPr>
                <w:b/>
                <w:noProof/>
              </w:rPr>
              <w:t>izvērtēs nepieciešamību vēl vairāk stiprināt Eiropas izmeklēšanas rīkojumu un Eiropas apcietināšanas orderi;</w:t>
            </w:r>
          </w:p>
          <w:p w14:paraId="39A7BF6C" w14:textId="27F86873" w:rsidR="000164CE" w:rsidRPr="000164CE" w:rsidRDefault="00E82B5B" w:rsidP="000164CE">
            <w:pPr>
              <w:numPr>
                <w:ilvl w:val="0"/>
                <w:numId w:val="12"/>
              </w:numPr>
              <w:spacing w:after="120"/>
              <w:contextualSpacing/>
              <w:jc w:val="both"/>
              <w:rPr>
                <w:b/>
                <w:bCs/>
                <w:noProof/>
              </w:rPr>
            </w:pPr>
            <w:r>
              <w:rPr>
                <w:b/>
                <w:noProof/>
              </w:rPr>
              <w:t>2026. gadā nāks klajā ar jaunu ES stratēģiju cilvēku tirdzniecības apkarošanai;</w:t>
            </w:r>
          </w:p>
          <w:p w14:paraId="73675C09" w14:textId="7FCBDC7D" w:rsidR="000164CE" w:rsidRPr="000164CE" w:rsidRDefault="00E82B5B" w:rsidP="000164CE">
            <w:pPr>
              <w:numPr>
                <w:ilvl w:val="0"/>
                <w:numId w:val="12"/>
              </w:numPr>
              <w:spacing w:after="120"/>
              <w:contextualSpacing/>
              <w:jc w:val="both"/>
              <w:rPr>
                <w:b/>
                <w:bCs/>
                <w:noProof/>
                <w:color w:val="000000"/>
              </w:rPr>
            </w:pPr>
            <w:r>
              <w:rPr>
                <w:b/>
                <w:noProof/>
              </w:rPr>
              <w:t>2026. gadā nāks klajā ar jaunu ES stratēģiju par cietušo tiesībām;</w:t>
            </w:r>
          </w:p>
          <w:p w14:paraId="5F42C240" w14:textId="2844FFA5" w:rsidR="000164CE" w:rsidRPr="000164CE" w:rsidRDefault="00E82B5B" w:rsidP="000164CE">
            <w:pPr>
              <w:numPr>
                <w:ilvl w:val="0"/>
                <w:numId w:val="12"/>
              </w:numPr>
              <w:spacing w:after="120"/>
              <w:contextualSpacing/>
              <w:jc w:val="both"/>
              <w:rPr>
                <w:b/>
                <w:bCs/>
                <w:noProof/>
                <w:color w:val="000000"/>
              </w:rPr>
            </w:pPr>
            <w:r>
              <w:rPr>
                <w:b/>
                <w:noProof/>
                <w:color w:val="000000"/>
              </w:rPr>
              <w:t>līdz 2027. gadam nāks klajā ar ES rīcības plānu bērnu aizsardzībai pret noziedzību;</w:t>
            </w:r>
          </w:p>
          <w:p w14:paraId="1F22EA31" w14:textId="7A102C83" w:rsidR="000164CE" w:rsidRPr="000164CE" w:rsidRDefault="00E82B5B" w:rsidP="000164CE">
            <w:pPr>
              <w:numPr>
                <w:ilvl w:val="0"/>
                <w:numId w:val="12"/>
              </w:numPr>
              <w:spacing w:after="120"/>
              <w:contextualSpacing/>
              <w:jc w:val="both"/>
              <w:rPr>
                <w:b/>
                <w:bCs/>
                <w:noProof/>
              </w:rPr>
            </w:pPr>
            <w:r>
              <w:rPr>
                <w:b/>
                <w:noProof/>
              </w:rPr>
              <w:t>2025. gadā nāks klajā ar ES rīcības plānu narkotiku tirdzniecības apkarošanai;</w:t>
            </w:r>
          </w:p>
          <w:p w14:paraId="197F2495" w14:textId="59889A0B" w:rsidR="000164CE" w:rsidRPr="000164CE" w:rsidRDefault="00E82B5B" w:rsidP="000164CE">
            <w:pPr>
              <w:numPr>
                <w:ilvl w:val="0"/>
                <w:numId w:val="12"/>
              </w:numPr>
              <w:spacing w:after="120"/>
              <w:contextualSpacing/>
              <w:jc w:val="both"/>
              <w:rPr>
                <w:b/>
                <w:bCs/>
                <w:noProof/>
              </w:rPr>
            </w:pPr>
            <w:r>
              <w:rPr>
                <w:b/>
                <w:noProof/>
              </w:rPr>
              <w:t>2026. gadā nāks klajā ar ES rīcības plānu cīņai pret šaujamieroču nelikumīgu tirdzniecību;</w:t>
            </w:r>
          </w:p>
          <w:p w14:paraId="3DAB263F" w14:textId="264E819A" w:rsidR="000164CE" w:rsidRPr="000164CE" w:rsidRDefault="00117E89" w:rsidP="000164CE">
            <w:pPr>
              <w:numPr>
                <w:ilvl w:val="0"/>
                <w:numId w:val="12"/>
              </w:numPr>
              <w:spacing w:after="120"/>
              <w:contextualSpacing/>
              <w:jc w:val="both"/>
              <w:rPr>
                <w:b/>
                <w:bCs/>
                <w:noProof/>
              </w:rPr>
            </w:pPr>
            <w:r>
              <w:rPr>
                <w:b/>
                <w:noProof/>
              </w:rPr>
              <w:t>no 2025. gada pakāpeniski paplašinās ES Ostu aliansi;</w:t>
            </w:r>
          </w:p>
          <w:p w14:paraId="69E7089D" w14:textId="2CCEA852" w:rsidR="000164CE" w:rsidRPr="004141A3" w:rsidRDefault="00E82B5B" w:rsidP="000164CE">
            <w:pPr>
              <w:numPr>
                <w:ilvl w:val="0"/>
                <w:numId w:val="12"/>
              </w:numPr>
              <w:spacing w:after="120"/>
              <w:contextualSpacing/>
              <w:jc w:val="both"/>
              <w:rPr>
                <w:b/>
                <w:bCs/>
                <w:noProof/>
                <w:color w:val="000000"/>
              </w:rPr>
            </w:pPr>
            <w:r>
              <w:rPr>
                <w:b/>
                <w:noProof/>
                <w:color w:val="000000"/>
              </w:rPr>
              <w:t>2026. gadā</w:t>
            </w:r>
            <w:r>
              <w:rPr>
                <w:b/>
                <w:noProof/>
              </w:rPr>
              <w:t xml:space="preserve"> pieņems DPA pamatnostādnes par nepilngadīgo aizsardzību;</w:t>
            </w:r>
          </w:p>
          <w:p w14:paraId="61C3EE16" w14:textId="1D51D945" w:rsidR="004141A3" w:rsidRPr="004141A3" w:rsidRDefault="004141A3" w:rsidP="00BE54F7">
            <w:pPr>
              <w:numPr>
                <w:ilvl w:val="0"/>
                <w:numId w:val="12"/>
              </w:numPr>
              <w:spacing w:after="120" w:line="259" w:lineRule="auto"/>
              <w:contextualSpacing/>
              <w:jc w:val="both"/>
              <w:rPr>
                <w:b/>
                <w:bCs/>
                <w:noProof/>
                <w:color w:val="000000"/>
              </w:rPr>
            </w:pPr>
            <w:r>
              <w:rPr>
                <w:b/>
                <w:noProof/>
              </w:rPr>
              <w:t>2026. gadā nāks klajā ar ES rīcības plānu cīņai pret iebiedēšanu tiešsaistē.</w:t>
            </w:r>
          </w:p>
          <w:p w14:paraId="5F42650C" w14:textId="77777777" w:rsidR="000164CE" w:rsidRPr="000164CE" w:rsidRDefault="000164CE" w:rsidP="007D1E7C">
            <w:pPr>
              <w:spacing w:before="240" w:after="120"/>
              <w:jc w:val="both"/>
              <w:rPr>
                <w:b/>
                <w:bCs/>
                <w:noProof/>
                <w:color w:val="000000"/>
              </w:rPr>
            </w:pPr>
            <w:r>
              <w:rPr>
                <w:b/>
                <w:noProof/>
                <w:color w:val="000000"/>
              </w:rPr>
              <w:t>Dalībvalstis tiek mudinātas:</w:t>
            </w:r>
          </w:p>
          <w:p w14:paraId="112B5A6C" w14:textId="0F1C0E2F" w:rsidR="000164CE" w:rsidRPr="000164CE" w:rsidRDefault="00E82B5B" w:rsidP="000164CE">
            <w:pPr>
              <w:numPr>
                <w:ilvl w:val="0"/>
                <w:numId w:val="32"/>
              </w:numPr>
              <w:spacing w:after="120"/>
              <w:contextualSpacing/>
              <w:jc w:val="both"/>
              <w:rPr>
                <w:b/>
                <w:bCs/>
                <w:noProof/>
                <w:color w:val="000000"/>
              </w:rPr>
            </w:pPr>
            <w:r>
              <w:rPr>
                <w:b/>
                <w:noProof/>
                <w:color w:val="000000"/>
              </w:rPr>
              <w:t>līdz 2026. gada beigām pilnībā transponēt jaunos noteikumus par aktīvu atgūšanu un konfiskāciju un pilnībā izmantot to potenciālu;</w:t>
            </w:r>
          </w:p>
          <w:p w14:paraId="4EBF5DA4" w14:textId="4258E3FC" w:rsidR="00402CC9" w:rsidRPr="007D1E7C" w:rsidRDefault="00E82B5B" w:rsidP="000164CE">
            <w:pPr>
              <w:numPr>
                <w:ilvl w:val="0"/>
                <w:numId w:val="32"/>
              </w:numPr>
              <w:spacing w:after="120"/>
              <w:contextualSpacing/>
              <w:jc w:val="both"/>
              <w:rPr>
                <w:b/>
                <w:bCs/>
                <w:noProof/>
                <w:color w:val="000000"/>
              </w:rPr>
            </w:pPr>
            <w:r>
              <w:rPr>
                <w:b/>
                <w:noProof/>
                <w:color w:val="000000"/>
              </w:rPr>
              <w:t>īstenot administratīvo pieeju cīņā pret noziedznieku iefiltrēšanos;</w:t>
            </w:r>
          </w:p>
          <w:p w14:paraId="76A1E3F5" w14:textId="4B16E4BB" w:rsidR="000A65A2" w:rsidRDefault="004141A3" w:rsidP="007D1E7C">
            <w:pPr>
              <w:numPr>
                <w:ilvl w:val="0"/>
                <w:numId w:val="32"/>
              </w:numPr>
              <w:spacing w:after="120"/>
              <w:contextualSpacing/>
              <w:jc w:val="both"/>
              <w:rPr>
                <w:rFonts w:eastAsia="Calibri"/>
                <w:b/>
                <w:noProof/>
                <w:color w:val="000000"/>
              </w:rPr>
            </w:pPr>
            <w:r>
              <w:rPr>
                <w:b/>
                <w:noProof/>
                <w:color w:val="000000"/>
              </w:rPr>
              <w:t>izveidot publiskā un privātā sektora partnerību cīņai pret nelikumīgi iegūtu līdzekļu legalizēšanu;</w:t>
            </w:r>
          </w:p>
          <w:p w14:paraId="219ECDDC" w14:textId="41B8912F" w:rsidR="004141A3" w:rsidRPr="004141A3" w:rsidRDefault="004141A3" w:rsidP="004141A3">
            <w:pPr>
              <w:numPr>
                <w:ilvl w:val="0"/>
                <w:numId w:val="32"/>
              </w:numPr>
              <w:spacing w:after="120" w:line="259" w:lineRule="auto"/>
              <w:contextualSpacing/>
              <w:jc w:val="both"/>
              <w:rPr>
                <w:rFonts w:eastAsia="Calibri"/>
                <w:b/>
                <w:noProof/>
                <w:color w:val="000000"/>
              </w:rPr>
            </w:pPr>
            <w:r>
              <w:rPr>
                <w:b/>
                <w:noProof/>
                <w:color w:val="000000"/>
              </w:rPr>
              <w:t>transponēt un pilnībā īstenot direktīvu par vardarbības pret sievietēm un vardarbības ģimenē novēršanu un apkarošanu.</w:t>
            </w:r>
          </w:p>
          <w:p w14:paraId="641D7437" w14:textId="3A7A086C" w:rsidR="000164CE" w:rsidRPr="000164CE" w:rsidRDefault="000164CE" w:rsidP="007D1E7C">
            <w:pPr>
              <w:spacing w:before="240" w:after="120"/>
              <w:jc w:val="both"/>
              <w:rPr>
                <w:rFonts w:eastAsia="MS Gothic"/>
                <w:b/>
                <w:noProof/>
                <w:color w:val="000000"/>
              </w:rPr>
            </w:pPr>
            <w:r>
              <w:rPr>
                <w:b/>
                <w:noProof/>
                <w:color w:val="000000"/>
              </w:rPr>
              <w:t>Eiropas Parlaments un Padome tiek mudināti:</w:t>
            </w:r>
          </w:p>
          <w:p w14:paraId="0770A538" w14:textId="0CD01E58" w:rsidR="00832564" w:rsidRPr="00832564" w:rsidRDefault="008031D7" w:rsidP="00832564">
            <w:pPr>
              <w:numPr>
                <w:ilvl w:val="0"/>
                <w:numId w:val="32"/>
              </w:numPr>
              <w:spacing w:after="120"/>
              <w:contextualSpacing/>
              <w:jc w:val="both"/>
              <w:rPr>
                <w:noProof/>
              </w:rPr>
            </w:pPr>
            <w:r>
              <w:rPr>
                <w:b/>
                <w:noProof/>
                <w:color w:val="000000"/>
              </w:rPr>
              <w:t>virzīties uz priekšu sarunās par regulu, ar ko paredz noteikumus seksuālas vardarbības pret bērniem novēršanai un apkarošanai, un par direktīvu par seksuālas vardarbības pret bērniem, bērnu seksuālas izmantošanas un materiālu, kuros atspoguļota seksuāla vardarbība pret bērniem, apkarošanu;</w:t>
            </w:r>
          </w:p>
          <w:p w14:paraId="59004050" w14:textId="75545C6A" w:rsidR="000164CE" w:rsidRPr="000164CE" w:rsidRDefault="00832564" w:rsidP="007D1E7C">
            <w:pPr>
              <w:numPr>
                <w:ilvl w:val="0"/>
                <w:numId w:val="32"/>
              </w:numPr>
              <w:spacing w:after="120"/>
              <w:ind w:left="357" w:hanging="357"/>
              <w:jc w:val="both"/>
              <w:rPr>
                <w:noProof/>
              </w:rPr>
            </w:pPr>
            <w:r>
              <w:rPr>
                <w:b/>
                <w:noProof/>
              </w:rPr>
              <w:t>pabeigt sarunas attiecībā uz direktīvu par korupcijas apkarošanu.</w:t>
            </w:r>
          </w:p>
        </w:tc>
      </w:tr>
    </w:tbl>
    <w:p w14:paraId="775C6032"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14:ligatures w14:val="standardContextual"/>
        </w:rPr>
      </w:pPr>
      <w:r>
        <w:rPr>
          <w:rFonts w:ascii="Times New Roman" w:hAnsi="Times New Roman"/>
          <w:b/>
          <w:noProof/>
          <w:sz w:val="24"/>
        </w:rPr>
        <w:t>Terorisma un vardarbīga ekstrēmisma apkarošana</w:t>
      </w:r>
    </w:p>
    <w:p w14:paraId="2DE342F2" w14:textId="77777777" w:rsidR="000164CE" w:rsidRPr="000164CE" w:rsidRDefault="000164CE" w:rsidP="000164CE">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Mēs ieviesīsim visaptverošu pretterorisma programmu, lai novērstu radikalizāciju, nodrošinātu drošību tiešsaistē un sabiedriskās vietās, ierobežotu finansēšanas kanālus un reaģētu uz uzbrukumiem, kad tie notiek.</w:t>
      </w:r>
    </w:p>
    <w:p w14:paraId="028BFD3C" w14:textId="2728D9C8"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color w:val="000000"/>
          <w:sz w:val="24"/>
        </w:rPr>
        <w:t xml:space="preserve">ES joprojām ir augsts terorisma draudu līmenis. Tas ir cieši saistīts ar ģeopolitisko notikumu, jauno tehnoloģiju un jaunu terorisma finansēšanas līdzekļu plašāku ietekmi. Mums ir jānodrošina, ka ES ir labi sagatavota, lai prognozētu apdraudējumus, novērstu radikalizāciju (gan bezsaistē, gan tiešsaistē), aizsargātu iedzīvotājus un sabiedriskās vietas no uzbrukumiem un iedarbīgi reaģētu uz uzbrukumiem, kad tie notiek. </w:t>
      </w:r>
      <w:r>
        <w:rPr>
          <w:rFonts w:ascii="Times New Roman" w:hAnsi="Times New Roman"/>
          <w:b/>
          <w:noProof/>
          <w:color w:val="000000"/>
          <w:sz w:val="24"/>
        </w:rPr>
        <w:t>2025. gadā tiks iesniegta jauna ES programma terorisma un vardarbīga ekstrēmisma novēršanai un apkarošanai</w:t>
      </w:r>
      <w:r>
        <w:rPr>
          <w:rFonts w:ascii="Times New Roman" w:hAnsi="Times New Roman"/>
          <w:noProof/>
          <w:color w:val="000000"/>
          <w:sz w:val="24"/>
        </w:rPr>
        <w:t>, kurā izklāstīta ES turpmākā rīcība.</w:t>
      </w:r>
      <w:r>
        <w:rPr>
          <w:rFonts w:ascii="Times New Roman" w:hAnsi="Times New Roman"/>
          <w:noProof/>
        </w:rPr>
        <w:t xml:space="preserve"> </w:t>
      </w:r>
      <w:r>
        <w:rPr>
          <w:rFonts w:ascii="Times New Roman" w:hAnsi="Times New Roman"/>
          <w:noProof/>
          <w:sz w:val="24"/>
        </w:rPr>
        <w:t xml:space="preserve">Saskaņā ar jauno programmu </w:t>
      </w:r>
      <w:r>
        <w:rPr>
          <w:rFonts w:ascii="Times New Roman" w:hAnsi="Times New Roman"/>
          <w:noProof/>
          <w:color w:val="000000"/>
          <w:sz w:val="24"/>
        </w:rPr>
        <w:t xml:space="preserve">ES un Rietumbalkānu valstis 2025. gadā parakstīs jauno </w:t>
      </w:r>
      <w:r>
        <w:rPr>
          <w:rFonts w:ascii="Times New Roman" w:hAnsi="Times New Roman"/>
          <w:b/>
          <w:noProof/>
          <w:color w:val="000000"/>
          <w:sz w:val="24"/>
        </w:rPr>
        <w:t xml:space="preserve">kopīgo rīcības plānu </w:t>
      </w:r>
      <w:r>
        <w:rPr>
          <w:rFonts w:ascii="Times New Roman" w:hAnsi="Times New Roman"/>
          <w:noProof/>
          <w:color w:val="000000"/>
          <w:sz w:val="24"/>
        </w:rPr>
        <w:t>terorisma un vardarbīga ekstrēmisma novēršanai un apkarošanai</w:t>
      </w:r>
      <w:r>
        <w:rPr>
          <w:rFonts w:ascii="Times New Roman" w:hAnsi="Times New Roman"/>
          <w:noProof/>
          <w:sz w:val="24"/>
        </w:rPr>
        <w:t>.</w:t>
      </w:r>
    </w:p>
    <w:p w14:paraId="4F7E8691"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 xml:space="preserve">Radikalizācijas novēršana un cilvēku aizsardzība tiešsaistē </w:t>
      </w:r>
    </w:p>
    <w:p w14:paraId="43FD431E"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color w:val="000000"/>
          <w:sz w:val="24"/>
        </w:rPr>
        <w:t xml:space="preserve">Līdzīgi cīņai pret organizēto noziedzību arī terorisma un vardarbīga ekstrēmisma apkarošana sākas ar </w:t>
      </w:r>
      <w:r>
        <w:rPr>
          <w:rFonts w:ascii="Times New Roman" w:hAnsi="Times New Roman"/>
          <w:b/>
          <w:noProof/>
          <w:color w:val="000000"/>
          <w:sz w:val="24"/>
        </w:rPr>
        <w:t>to pamatcēloņu novēršanu</w:t>
      </w:r>
      <w:r>
        <w:rPr>
          <w:rFonts w:ascii="Times New Roman" w:hAnsi="Times New Roman"/>
          <w:noProof/>
          <w:color w:val="000000"/>
          <w:sz w:val="24"/>
        </w:rPr>
        <w:t xml:space="preserve">. </w:t>
      </w:r>
      <w:r>
        <w:rPr>
          <w:rFonts w:ascii="Times New Roman" w:hAnsi="Times New Roman"/>
          <w:b/>
          <w:noProof/>
          <w:sz w:val="24"/>
        </w:rPr>
        <w:t>ES Radikalizācijas novēršanas zināšanu centrs</w:t>
      </w:r>
      <w:r>
        <w:rPr>
          <w:rFonts w:ascii="Times New Roman" w:hAnsi="Times New Roman"/>
          <w:noProof/>
          <w:sz w:val="24"/>
        </w:rPr>
        <w:t xml:space="preserve"> pastiprinās atbalstu praktiķiem un politikas veidotājiem ar jaunu </w:t>
      </w:r>
      <w:r>
        <w:rPr>
          <w:rFonts w:ascii="Times New Roman" w:hAnsi="Times New Roman"/>
          <w:b/>
          <w:noProof/>
          <w:sz w:val="24"/>
        </w:rPr>
        <w:t>visaptverošu novēršanas instrumentu kopumu</w:t>
      </w:r>
      <w:r>
        <w:rPr>
          <w:rFonts w:ascii="Times New Roman" w:hAnsi="Times New Roman"/>
          <w:noProof/>
          <w:sz w:val="24"/>
        </w:rPr>
        <w:t>, kas ļaus agrīnā posmā identificēt neaizsargātas personas, īpaši nepilngadīgos, un veikt uz tiem vērstus intervences pasākumus. Radikalizācija bieži notiek cietumos, un, lai atbalstītu dalībvalstis šā jautājuma risināšanā, Komisija nāks klajā ar jauniem ieteikumiem.</w:t>
      </w:r>
    </w:p>
    <w:p w14:paraId="6604A99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color w:val="000000"/>
          <w:sz w:val="24"/>
        </w:rPr>
        <w:t>Teroristi un vardarbīgi ekstrēmisti izmanto tiešsaistes platformas, lai izplatītu teroristisku un kaitīgu saturu, vāktu līdzekļus un vervētu. Neaizsargāti lietotāji, īpaši nepilngadīgie, tiek radikalizēti tiešsaistē satraucošā ātrumā.</w:t>
      </w:r>
      <w:r>
        <w:rPr>
          <w:rFonts w:ascii="Times New Roman" w:hAnsi="Times New Roman"/>
          <w:noProof/>
          <w:sz w:val="24"/>
        </w:rPr>
        <w:t xml:space="preserve"> </w:t>
      </w:r>
      <w:r>
        <w:rPr>
          <w:rFonts w:ascii="Times New Roman" w:hAnsi="Times New Roman"/>
          <w:b/>
          <w:noProof/>
          <w:sz w:val="24"/>
        </w:rPr>
        <w:t>Regula par vēršanos pret teroristiska satura izplatīšanu tiešsaistē</w:t>
      </w:r>
      <w:r>
        <w:rPr>
          <w:rFonts w:ascii="Times New Roman" w:hAnsi="Times New Roman"/>
          <w:noProof/>
          <w:sz w:val="24"/>
        </w:rPr>
        <w:t xml:space="preserve"> ir palīdzējusi apkarot teroristiska satura izplatīšanu tiešsaistē un ļāvusi ātri izņemt šausminošāko un bīstamāko materiālu</w:t>
      </w:r>
      <w:r w:rsidRPr="000164CE">
        <w:rPr>
          <w:rFonts w:ascii="Times New Roman" w:eastAsia="Times New Roman" w:hAnsi="Times New Roman" w:cs="Times New Roman"/>
          <w:noProof/>
          <w:kern w:val="2"/>
          <w:sz w:val="24"/>
          <w:szCs w:val="24"/>
          <w:vertAlign w:val="superscript"/>
          <w:lang w:val="en-GB"/>
        </w:rPr>
        <w:footnoteReference w:id="81"/>
      </w:r>
      <w:r>
        <w:rPr>
          <w:rFonts w:ascii="Times New Roman" w:hAnsi="Times New Roman"/>
          <w:noProof/>
          <w:sz w:val="24"/>
        </w:rPr>
        <w:t xml:space="preserve">. Komisija pašlaik izvērtē tās darbību un novērtēs, kā vislabāk stiprināt šo sistēmu. </w:t>
      </w:r>
    </w:p>
    <w:p w14:paraId="5BEB01EF"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ES krīzes protokols</w:t>
      </w:r>
      <w:r>
        <w:rPr>
          <w:rFonts w:ascii="Times New Roman" w:hAnsi="Times New Roman"/>
          <w:noProof/>
          <w:sz w:val="24"/>
        </w:rPr>
        <w:t xml:space="preserve"> par kopīgu un ātru tiesībaizsardzības un tehnoloģiju nozares reakciju saistībā ar teroristu uzbrukumu tiks grozīts, lai nodrošinātu mērogojamību un elastību, reaģējot uz teroristu uzbrukumu pieaugošo tiešsaistes dimensiju. ES Interneta forums arī turpmāk būs galvenā iespēja brīvprātīgai sadarbībai ar tehnoloģiju nozari, lai apkarotu teroristisku un kaitīgu saturu tiešsaistē. Turklāt Komisija iesaistās starptautiskās iniciatīvās, piemēram, </w:t>
      </w:r>
      <w:r>
        <w:rPr>
          <w:rFonts w:ascii="Times New Roman" w:hAnsi="Times New Roman"/>
          <w:i/>
          <w:iCs/>
          <w:noProof/>
          <w:sz w:val="24"/>
        </w:rPr>
        <w:t>Christchurch Call Foundation</w:t>
      </w:r>
      <w:r>
        <w:rPr>
          <w:rFonts w:ascii="Times New Roman" w:hAnsi="Times New Roman"/>
          <w:noProof/>
          <w:sz w:val="24"/>
        </w:rPr>
        <w:t xml:space="preserve"> un Globālajā Interneta forumā terorisma apkarošanai (</w:t>
      </w:r>
      <w:r>
        <w:rPr>
          <w:rFonts w:ascii="Times New Roman" w:hAnsi="Times New Roman"/>
          <w:i/>
          <w:iCs/>
          <w:noProof/>
          <w:sz w:val="24"/>
        </w:rPr>
        <w:t>GIFCT</w:t>
      </w:r>
      <w:r>
        <w:rPr>
          <w:rFonts w:ascii="Times New Roman" w:hAnsi="Times New Roman"/>
          <w:noProof/>
          <w:sz w:val="24"/>
        </w:rPr>
        <w:t>).</w:t>
      </w:r>
    </w:p>
    <w:p w14:paraId="61B6263B"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Terorisma finansēšanas apkarošana</w:t>
      </w:r>
    </w:p>
    <w:p w14:paraId="23E5A1A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Teroristi savas darbības finansē ar kolektīvās finansēšanas kampaņām, kriptoaktīviem, neobankām vai tiešsaistes maksājumu platformām. </w:t>
      </w:r>
      <w:r>
        <w:rPr>
          <w:rFonts w:ascii="Times New Roman" w:hAnsi="Times New Roman"/>
          <w:noProof/>
          <w:color w:val="000000"/>
          <w:sz w:val="24"/>
        </w:rPr>
        <w:t>Tiesībaizsardzības iestādēm ir jāatklāj un jāizmeklē šīs finanšu plūsmas. Tam ir vajadzīgi līdzekļi, rīki un speciālās zināšanas.</w:t>
      </w:r>
      <w:r>
        <w:rPr>
          <w:rFonts w:ascii="Times New Roman" w:hAnsi="Times New Roman"/>
          <w:noProof/>
          <w:sz w:val="24"/>
        </w:rPr>
        <w:t xml:space="preserve"> Svarīga loma ir </w:t>
      </w:r>
      <w:r>
        <w:rPr>
          <w:rFonts w:ascii="Times New Roman" w:hAnsi="Times New Roman"/>
          <w:b/>
          <w:noProof/>
          <w:sz w:val="24"/>
        </w:rPr>
        <w:t>Terorisma apkarošanas finanšu izmeklētāju tīklam</w:t>
      </w:r>
      <w:r>
        <w:rPr>
          <w:rFonts w:ascii="Times New Roman" w:hAnsi="Times New Roman"/>
          <w:noProof/>
          <w:sz w:val="24"/>
        </w:rPr>
        <w:t xml:space="preserve">. Komisija izpētīs </w:t>
      </w:r>
      <w:r>
        <w:rPr>
          <w:rFonts w:ascii="Times New Roman" w:hAnsi="Times New Roman"/>
          <w:b/>
          <w:noProof/>
          <w:sz w:val="24"/>
        </w:rPr>
        <w:t>jaunas ES mēroga sistēmas izveidi, lai izsekotu teroristu finansēšanu</w:t>
      </w:r>
      <w:r>
        <w:rPr>
          <w:rFonts w:ascii="Times New Roman" w:hAnsi="Times New Roman"/>
          <w:noProof/>
          <w:sz w:val="24"/>
        </w:rPr>
        <w:t xml:space="preserve">, kas aptvers ES iekšējos un </w:t>
      </w:r>
      <w:r>
        <w:rPr>
          <w:rFonts w:ascii="Times New Roman" w:hAnsi="Times New Roman"/>
          <w:i/>
          <w:iCs/>
          <w:noProof/>
          <w:sz w:val="24"/>
        </w:rPr>
        <w:t>SEPA</w:t>
      </w:r>
      <w:r>
        <w:rPr>
          <w:rFonts w:ascii="Times New Roman" w:hAnsi="Times New Roman"/>
          <w:noProof/>
          <w:sz w:val="24"/>
        </w:rPr>
        <w:t xml:space="preserve"> darījumus, kriptoaktīvu pārvedumus, tiešsaistes un elektroniskos maksājumus un papildinās ES un ASV Teroristu finansēšanas izsekošanas programmas (</w:t>
      </w:r>
      <w:r>
        <w:rPr>
          <w:rFonts w:ascii="Times New Roman" w:hAnsi="Times New Roman"/>
          <w:i/>
          <w:iCs/>
          <w:noProof/>
          <w:sz w:val="24"/>
        </w:rPr>
        <w:t>TFTP</w:t>
      </w:r>
      <w:r>
        <w:rPr>
          <w:rFonts w:ascii="Times New Roman" w:hAnsi="Times New Roman"/>
          <w:noProof/>
          <w:sz w:val="24"/>
        </w:rPr>
        <w:t xml:space="preserve">) nolīgumu. </w:t>
      </w:r>
    </w:p>
    <w:p w14:paraId="3B77D6BE" w14:textId="274C8708"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bookmarkStart w:id="9" w:name="_Hlk193827194"/>
      <w:r>
        <w:rPr>
          <w:rFonts w:ascii="Times New Roman" w:hAnsi="Times New Roman"/>
          <w:noProof/>
          <w:sz w:val="24"/>
        </w:rPr>
        <w:t xml:space="preserve">ES budžets ir </w:t>
      </w:r>
      <w:r>
        <w:rPr>
          <w:rFonts w:ascii="Times New Roman" w:hAnsi="Times New Roman"/>
          <w:b/>
          <w:noProof/>
          <w:sz w:val="24"/>
        </w:rPr>
        <w:t>jāaizsargā pret ļaunprātīgu izmantošanu ar nolūku veicināt radikālu/ekstrēmistisku uzskatu veidošanos</w:t>
      </w:r>
      <w:r>
        <w:rPr>
          <w:rFonts w:ascii="Times New Roman" w:hAnsi="Times New Roman"/>
          <w:noProof/>
          <w:sz w:val="24"/>
        </w:rPr>
        <w:t xml:space="preserve"> dalībvalstīs. Pārskatītā </w:t>
      </w:r>
      <w:r>
        <w:rPr>
          <w:rFonts w:ascii="Times New Roman" w:hAnsi="Times New Roman"/>
          <w:b/>
          <w:noProof/>
          <w:sz w:val="24"/>
        </w:rPr>
        <w:t>Finanšu regula</w:t>
      </w:r>
      <w:r>
        <w:rPr>
          <w:rFonts w:ascii="Times New Roman" w:hAnsi="Times New Roman"/>
          <w:noProof/>
          <w:sz w:val="24"/>
        </w:rPr>
        <w:t xml:space="preserve"> tagad ietver notiesāšanu par “kūdīšanu uz diskrimināciju, naidu vai vardarbību” kā pamatu izslēgšanai no ES finansējuma. Komisija turpinās pētīt labāko veidu, kā pilnībā izmantot rīkkopu, arī tad, kad tiek atlasīti potenciālie saņēmēji. ES budžeta aizsardzība ir atkarīga arī no ciešas sadarbības un informācijas apmaiņas ar valstu iestādēm, ES aģentūrām un struktūrām.</w:t>
      </w:r>
    </w:p>
    <w:bookmarkEnd w:id="9"/>
    <w:p w14:paraId="7F7604A5"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Aizsardzība pret uzbrukumiem</w:t>
      </w:r>
      <w:bookmarkEnd w:id="8"/>
      <w:r>
        <w:rPr>
          <w:rFonts w:ascii="Times New Roman" w:hAnsi="Times New Roman"/>
          <w:b/>
          <w:i/>
          <w:noProof/>
          <w:sz w:val="24"/>
        </w:rPr>
        <w:t xml:space="preserve"> </w:t>
      </w:r>
    </w:p>
    <w:p w14:paraId="6D9D3509"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Papildus investīcijām radikalizācijas novēršanā būtiska pilsoņu aizsardzības sastāvdaļa ir līdzekļu ierobežošana teroristiem un noziedzniekiem uzbrukumu veikšanai. Ir jārīkojas gan attiecībā uz instrumentiem, ko izmanto teroristi, gan lai aizsargātu uzbrukuma riskam pakļautos mērķus. </w:t>
      </w:r>
    </w:p>
    <w:p w14:paraId="4308874A"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rPr>
      </w:pPr>
      <w:r>
        <w:rPr>
          <w:rFonts w:ascii="Times New Roman" w:hAnsi="Times New Roman"/>
          <w:noProof/>
          <w:color w:val="000000"/>
          <w:sz w:val="24"/>
        </w:rPr>
        <w:t xml:space="preserve">Papildus darbībām attiecībā uz šaujamieročiem </w:t>
      </w:r>
      <w:r>
        <w:rPr>
          <w:rFonts w:ascii="Times New Roman" w:hAnsi="Times New Roman"/>
          <w:noProof/>
          <w:sz w:val="24"/>
        </w:rPr>
        <w:t xml:space="preserve">Komisija arī </w:t>
      </w:r>
      <w:r>
        <w:rPr>
          <w:rFonts w:ascii="Times New Roman" w:hAnsi="Times New Roman"/>
          <w:b/>
          <w:noProof/>
          <w:sz w:val="24"/>
        </w:rPr>
        <w:t xml:space="preserve">pārskatīs noteikumus </w:t>
      </w:r>
      <w:r>
        <w:rPr>
          <w:rFonts w:ascii="Times New Roman" w:hAnsi="Times New Roman"/>
          <w:noProof/>
          <w:sz w:val="24"/>
        </w:rPr>
        <w:t xml:space="preserve">par </w:t>
      </w:r>
      <w:r>
        <w:rPr>
          <w:rFonts w:ascii="Times New Roman" w:hAnsi="Times New Roman"/>
          <w:b/>
          <w:noProof/>
          <w:sz w:val="24"/>
        </w:rPr>
        <w:t>sprāgstvielu prekursoriem</w:t>
      </w:r>
      <w:r>
        <w:rPr>
          <w:rFonts w:ascii="Times New Roman" w:hAnsi="Times New Roman"/>
          <w:noProof/>
          <w:sz w:val="24"/>
        </w:rPr>
        <w:t xml:space="preserve">, lai tajos iekļautu augsta riska ķīmiskās vielas. </w:t>
      </w:r>
      <w:r>
        <w:rPr>
          <w:rFonts w:ascii="Times New Roman" w:hAnsi="Times New Roman"/>
          <w:b/>
          <w:noProof/>
          <w:sz w:val="24"/>
        </w:rPr>
        <w:t>Sabiedriskas vietas</w:t>
      </w:r>
      <w:r>
        <w:rPr>
          <w:rFonts w:ascii="Times New Roman" w:hAnsi="Times New Roman"/>
          <w:noProof/>
          <w:sz w:val="24"/>
        </w:rPr>
        <w:t xml:space="preserve"> joprojām ir visbiežākie teroristu uzbrukumu mērķi, īpaši aktoriem, kas darbojas vienatnē. Lai aizsargātu iedzīvotājus no kaitējuma, tiks stiprināta </w:t>
      </w:r>
      <w:r>
        <w:rPr>
          <w:rFonts w:ascii="Times New Roman" w:hAnsi="Times New Roman"/>
          <w:b/>
          <w:noProof/>
          <w:sz w:val="24"/>
        </w:rPr>
        <w:t>ES Konsultatīvā programma aizsardzības drošības jautājumos</w:t>
      </w:r>
      <w:r>
        <w:rPr>
          <w:rFonts w:ascii="Times New Roman" w:hAnsi="Times New Roman"/>
          <w:noProof/>
          <w:sz w:val="24"/>
        </w:rPr>
        <w:t>, lai pēc dalībvalstu pieprasījuma veiktu sabiedrisko vietu, kritiskās infrastruktūras un augsta riska notikumu neaizsargātības novērtējumus, ko finansē no ES budžeta no Iekšējās drošības fonda. ES centīsies palielināt pieejamo finansējumu publiskās telpas aizsardzībai. Komisija piedāvā atbalstu dalībvalstu iestādēm un privātajiem operatoriem, šim nolūkam izmantojot īpašus norādījumus un rīkus, piemēram, sabiedrisko vietu aizsardzības zināšanu centru</w:t>
      </w:r>
      <w:r w:rsidRPr="000164CE">
        <w:rPr>
          <w:rFonts w:ascii="Times New Roman" w:eastAsia="Times New Roman" w:hAnsi="Times New Roman" w:cs="Times New Roman"/>
          <w:noProof/>
          <w:sz w:val="24"/>
          <w:szCs w:val="24"/>
          <w:vertAlign w:val="superscript"/>
          <w:lang w:val="en-GB"/>
        </w:rPr>
        <w:footnoteReference w:id="82"/>
      </w:r>
      <w:r>
        <w:rPr>
          <w:rFonts w:ascii="Times New Roman" w:hAnsi="Times New Roman"/>
          <w:noProof/>
          <w:sz w:val="24"/>
        </w:rPr>
        <w:t xml:space="preserve">, un kopš 2020. gada publiskās telpas aizsardzības atbalstam jau ir darīti pieejami 70 miljoni EUR. </w:t>
      </w:r>
    </w:p>
    <w:p w14:paraId="393B06D0"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Komisija arī izpētīs iespēju ieviest prasības organizācijām apsvērt vai izmantot drošības pasākumus publiski pieejamās vietās, sadarbojoties ar vietējām iestādēm un privātiem partneriem.</w:t>
      </w:r>
    </w:p>
    <w:p w14:paraId="288126BE"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Ņemot vērā acīmredzamo neaizsargātību, </w:t>
      </w:r>
      <w:r>
        <w:rPr>
          <w:rFonts w:ascii="Times New Roman" w:hAnsi="Times New Roman"/>
          <w:b/>
          <w:noProof/>
          <w:sz w:val="24"/>
        </w:rPr>
        <w:t>ES stratēģija antisemītisma apkarošanai un ebreju dzīvesvides atbalstam (2021.–2030. gadam)</w:t>
      </w:r>
      <w:r>
        <w:rPr>
          <w:rFonts w:ascii="Times New Roman" w:hAnsi="Times New Roman"/>
          <w:noProof/>
          <w:sz w:val="24"/>
        </w:rPr>
        <w:t xml:space="preserve"> turpinās virzīt Komisijas darbības ebreju kopienas aizsardzībai. Komisija arī nodrošinās, ka ir ieviesti piemēroti instrumenti, lai palīdzētu dalībvalstīm apkarot </w:t>
      </w:r>
      <w:r>
        <w:rPr>
          <w:rFonts w:ascii="Times New Roman" w:hAnsi="Times New Roman"/>
          <w:b/>
          <w:noProof/>
          <w:sz w:val="24"/>
        </w:rPr>
        <w:t>naidu pret musulmaņiem</w:t>
      </w:r>
      <w:r>
        <w:rPr>
          <w:rFonts w:ascii="Times New Roman" w:hAnsi="Times New Roman"/>
          <w:noProof/>
          <w:sz w:val="24"/>
        </w:rPr>
        <w:t>.</w:t>
      </w:r>
      <w:r>
        <w:rPr>
          <w:rFonts w:ascii="Times New Roman" w:hAnsi="Times New Roman"/>
          <w:b/>
          <w:noProof/>
          <w:sz w:val="24"/>
        </w:rPr>
        <w:t> </w:t>
      </w:r>
      <w:r>
        <w:rPr>
          <w:rFonts w:ascii="Times New Roman" w:hAnsi="Times New Roman"/>
          <w:noProof/>
          <w:sz w:val="24"/>
        </w:rPr>
        <w:t> </w:t>
      </w:r>
    </w:p>
    <w:p w14:paraId="7DB7FDF1"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Dronu</w:t>
      </w:r>
      <w:r>
        <w:rPr>
          <w:rFonts w:ascii="Times New Roman" w:hAnsi="Times New Roman"/>
          <w:noProof/>
          <w:sz w:val="24"/>
        </w:rPr>
        <w:t xml:space="preserve"> izmantošana spiegošanā un uzbrukumos rada arvien lielāku drošības problēmu. </w:t>
      </w:r>
      <w:r>
        <w:rPr>
          <w:rFonts w:ascii="Times New Roman" w:hAnsi="Times New Roman"/>
          <w:noProof/>
          <w:color w:val="000000"/>
          <w:sz w:val="24"/>
        </w:rPr>
        <w:t xml:space="preserve">Komisija izstrādās </w:t>
      </w:r>
      <w:r>
        <w:rPr>
          <w:rFonts w:ascii="Times New Roman" w:hAnsi="Times New Roman"/>
          <w:b/>
          <w:noProof/>
          <w:color w:val="000000"/>
          <w:sz w:val="24"/>
        </w:rPr>
        <w:t>saskaņotu testēšanas metodiku pretdronu sistēmām</w:t>
      </w:r>
      <w:r>
        <w:rPr>
          <w:rFonts w:ascii="Times New Roman" w:hAnsi="Times New Roman"/>
          <w:noProof/>
          <w:color w:val="000000"/>
          <w:sz w:val="24"/>
        </w:rPr>
        <w:t xml:space="preserve">, izveidos </w:t>
      </w:r>
      <w:r>
        <w:rPr>
          <w:rFonts w:ascii="Times New Roman" w:hAnsi="Times New Roman"/>
          <w:b/>
          <w:noProof/>
          <w:color w:val="000000"/>
          <w:sz w:val="24"/>
        </w:rPr>
        <w:t>pretdronu izcilības centru</w:t>
      </w:r>
      <w:r>
        <w:rPr>
          <w:rFonts w:ascii="Times New Roman" w:hAnsi="Times New Roman"/>
          <w:noProof/>
          <w:color w:val="000000"/>
          <w:sz w:val="24"/>
        </w:rPr>
        <w:t xml:space="preserve"> un izvērtēs nepieciešamību saskaņot dalībvalstu tiesību aktus un procedūras.</w:t>
      </w:r>
      <w:r w:rsidRPr="000164CE">
        <w:rPr>
          <w:rFonts w:ascii="Times New Roman" w:eastAsia="Times New Roman" w:hAnsi="Times New Roman" w:cs="Times New Roman"/>
          <w:noProof/>
          <w:color w:val="000000"/>
          <w:sz w:val="24"/>
          <w:szCs w:val="24"/>
          <w:vertAlign w:val="superscript"/>
          <w:lang w:val="en-GB"/>
        </w:rPr>
        <w:footnoteReference w:id="83"/>
      </w:r>
      <w:r>
        <w:rPr>
          <w:rFonts w:ascii="Times New Roman" w:hAnsi="Times New Roman"/>
          <w:noProof/>
          <w:color w:val="000000"/>
          <w:sz w:val="24"/>
        </w:rPr>
        <w:t xml:space="preserve">. </w:t>
      </w:r>
    </w:p>
    <w:p w14:paraId="16960C3A"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Ārvalstu kaujinieki teroristi</w:t>
      </w:r>
    </w:p>
    <w:p w14:paraId="155FC259" w14:textId="77777777" w:rsidR="000164CE" w:rsidRPr="000164CE" w:rsidRDefault="000164CE" w:rsidP="000164CE">
      <w:pPr>
        <w:spacing w:after="120" w:line="240" w:lineRule="auto"/>
        <w:jc w:val="both"/>
        <w:rPr>
          <w:rFonts w:ascii="Times New Roman" w:eastAsia="MS Gothic" w:hAnsi="Times New Roman" w:cs="Times New Roman"/>
          <w:noProof/>
          <w:kern w:val="2"/>
          <w:sz w:val="24"/>
          <w:szCs w:val="24"/>
          <w14:ligatures w14:val="standardContextual"/>
        </w:rPr>
      </w:pPr>
      <w:r>
        <w:rPr>
          <w:rFonts w:ascii="Times New Roman" w:hAnsi="Times New Roman"/>
          <w:noProof/>
          <w:sz w:val="24"/>
        </w:rPr>
        <w:t xml:space="preserve">Lai identificētu ārvalstu kaujiniekus teroristus, kas atgriežas vai ieceļo pie ES ārējām robežām, </w:t>
      </w:r>
      <w:r>
        <w:rPr>
          <w:rFonts w:ascii="Times New Roman" w:hAnsi="Times New Roman"/>
          <w:noProof/>
          <w:color w:val="000000"/>
          <w:sz w:val="24"/>
        </w:rPr>
        <w:t>ir vajadzīgi dati par personām, kas rada terorisma draudus</w:t>
      </w:r>
      <w:r>
        <w:rPr>
          <w:rFonts w:ascii="Times New Roman" w:hAnsi="Times New Roman"/>
          <w:noProof/>
          <w:sz w:val="24"/>
        </w:rPr>
        <w:t>.</w:t>
      </w:r>
      <w:r>
        <w:rPr>
          <w:rFonts w:ascii="Times New Roman" w:hAnsi="Times New Roman"/>
          <w:noProof/>
          <w:color w:val="000000"/>
          <w:sz w:val="24"/>
        </w:rPr>
        <w:t xml:space="preserve"> Šajā nolūkā Komisija kopā ar Eiropolu stiprinās </w:t>
      </w:r>
      <w:r>
        <w:rPr>
          <w:rFonts w:ascii="Times New Roman" w:hAnsi="Times New Roman"/>
          <w:b/>
          <w:noProof/>
          <w:color w:val="000000"/>
          <w:sz w:val="24"/>
        </w:rPr>
        <w:t>sadarbību ar galvenajām trešām valstīm, lai iegūtu biogrāfiskus un biometriskos datus par personām, kas varētu radīt terorisma draudus</w:t>
      </w:r>
      <w:r>
        <w:rPr>
          <w:rFonts w:ascii="Times New Roman" w:hAnsi="Times New Roman"/>
          <w:noProof/>
          <w:color w:val="000000"/>
          <w:sz w:val="24"/>
        </w:rPr>
        <w:t xml:space="preserve">, tai skaitā par ārvalstu kaujiniekiem teroristiem, kurus pēc tam var iekļaut Šengenas Informācijas sistēmā, pilnībā ievērojot piemērojamo ES un valstu tiesisko regulējumu. </w:t>
      </w:r>
      <w:r>
        <w:rPr>
          <w:rFonts w:ascii="Times New Roman" w:hAnsi="Times New Roman"/>
          <w:noProof/>
          <w:sz w:val="24"/>
        </w:rPr>
        <w:t xml:space="preserve">Tāpēc ir ļoti svarīgi, lai dalībvalstis izmantotu visus esošos instrumentus. Tas ietver visas attiecīgās informācijas ievadīšanu </w:t>
      </w:r>
      <w:r>
        <w:rPr>
          <w:rFonts w:ascii="Times New Roman" w:hAnsi="Times New Roman"/>
          <w:b/>
          <w:i/>
          <w:iCs/>
          <w:noProof/>
          <w:sz w:val="24"/>
        </w:rPr>
        <w:t>SIS</w:t>
      </w:r>
      <w:r>
        <w:rPr>
          <w:rFonts w:ascii="Times New Roman" w:hAnsi="Times New Roman"/>
          <w:noProof/>
          <w:sz w:val="24"/>
        </w:rPr>
        <w:t>, biometrisko pārbaužu uzlabošanu un obligātu sistemātisku pārbaužu veikšanu visām personām pie ES ārējām robežām</w:t>
      </w:r>
      <w:r w:rsidRPr="000164CE">
        <w:rPr>
          <w:rFonts w:ascii="Times New Roman" w:eastAsia="MS Gothic" w:hAnsi="Times New Roman" w:cs="Times New Roman"/>
          <w:noProof/>
          <w:kern w:val="2"/>
          <w:sz w:val="24"/>
          <w:szCs w:val="24"/>
          <w:vertAlign w:val="superscript"/>
          <w:lang w:val="en-GB"/>
        </w:rPr>
        <w:footnoteReference w:id="84"/>
      </w:r>
      <w:r>
        <w:rPr>
          <w:rFonts w:ascii="Times New Roman" w:hAnsi="Times New Roman"/>
          <w:noProof/>
          <w:sz w:val="24"/>
        </w:rPr>
        <w:t xml:space="preserve">. Turklāt </w:t>
      </w:r>
      <w:r>
        <w:rPr>
          <w:rFonts w:ascii="Times New Roman" w:hAnsi="Times New Roman"/>
          <w:i/>
          <w:iCs/>
          <w:noProof/>
          <w:sz w:val="24"/>
        </w:rPr>
        <w:t>Frontex</w:t>
      </w:r>
      <w:r>
        <w:rPr>
          <w:rFonts w:ascii="Times New Roman" w:hAnsi="Times New Roman"/>
          <w:noProof/>
          <w:sz w:val="24"/>
        </w:rPr>
        <w:t xml:space="preserve"> izstrādātie </w:t>
      </w:r>
      <w:r>
        <w:rPr>
          <w:rFonts w:ascii="Times New Roman" w:hAnsi="Times New Roman"/>
          <w:b/>
          <w:noProof/>
          <w:sz w:val="24"/>
        </w:rPr>
        <w:t>kopīgie riska rādītāji (KRR)</w:t>
      </w:r>
      <w:r>
        <w:rPr>
          <w:rFonts w:ascii="Times New Roman" w:hAnsi="Times New Roman"/>
          <w:noProof/>
          <w:sz w:val="24"/>
        </w:rPr>
        <w:t xml:space="preserve"> turpinās palīdzēt dalībvalstu robežkontroles iestādēm identificēt un novērtēt iespējamo ārvalstu kaujinieku teroristu aizdomīgas ceļošanas risku. </w:t>
      </w:r>
    </w:p>
    <w:p w14:paraId="15AF896E" w14:textId="77777777" w:rsidR="000164CE" w:rsidRPr="000164CE" w:rsidRDefault="000164CE" w:rsidP="000164CE">
      <w:pPr>
        <w:spacing w:after="24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Turklāt, lai nodrošinātu, ka dalībvalstis saglabā piekļuvi </w:t>
      </w:r>
      <w:r>
        <w:rPr>
          <w:rFonts w:ascii="Times New Roman" w:hAnsi="Times New Roman"/>
          <w:b/>
          <w:noProof/>
          <w:sz w:val="24"/>
        </w:rPr>
        <w:t>kaujas lauka pierādījumiem</w:t>
      </w:r>
      <w:r>
        <w:rPr>
          <w:rFonts w:ascii="Times New Roman" w:hAnsi="Times New Roman"/>
          <w:noProof/>
          <w:sz w:val="24"/>
        </w:rPr>
        <w:t xml:space="preserve">, ko savākusi ANO Izmeklēšanas grupa ar mērķi veicināt saukšanu pie atbildības par </w:t>
      </w:r>
      <w:r>
        <w:rPr>
          <w:rFonts w:ascii="Times New Roman" w:hAnsi="Times New Roman"/>
          <w:i/>
          <w:iCs/>
          <w:noProof/>
          <w:sz w:val="24"/>
        </w:rPr>
        <w:t>Da’esh/ISIL</w:t>
      </w:r>
      <w:r>
        <w:rPr>
          <w:rFonts w:ascii="Times New Roman" w:hAnsi="Times New Roman"/>
          <w:noProof/>
          <w:sz w:val="24"/>
        </w:rPr>
        <w:t xml:space="preserve"> pastrādātajiem noziegumiem (</w:t>
      </w:r>
      <w:r>
        <w:rPr>
          <w:rFonts w:ascii="Times New Roman" w:hAnsi="Times New Roman"/>
          <w:i/>
          <w:iCs/>
          <w:noProof/>
          <w:sz w:val="24"/>
        </w:rPr>
        <w:t>UNITAD</w:t>
      </w:r>
      <w:r>
        <w:rPr>
          <w:rFonts w:ascii="Times New Roman" w:hAnsi="Times New Roman"/>
          <w:noProof/>
          <w:sz w:val="24"/>
        </w:rPr>
        <w:t xml:space="preserve">) ārvalstu kaujinieku teroristu kriminālvajāšanai, Komisija kopā ar </w:t>
      </w:r>
      <w:r>
        <w:rPr>
          <w:rFonts w:ascii="Times New Roman" w:hAnsi="Times New Roman"/>
          <w:i/>
          <w:iCs/>
          <w:noProof/>
          <w:sz w:val="24"/>
        </w:rPr>
        <w:t>Eurojust</w:t>
      </w:r>
      <w:r>
        <w:rPr>
          <w:rFonts w:ascii="Times New Roman" w:hAnsi="Times New Roman"/>
          <w:noProof/>
          <w:sz w:val="24"/>
        </w:rPr>
        <w:t xml:space="preserve"> izvērtēs iespēju glabāt šos pierādījumus </w:t>
      </w:r>
      <w:r>
        <w:rPr>
          <w:rFonts w:ascii="Times New Roman" w:hAnsi="Times New Roman"/>
          <w:i/>
          <w:iCs/>
          <w:noProof/>
          <w:sz w:val="24"/>
        </w:rPr>
        <w:t>Eurojust</w:t>
      </w:r>
      <w:r>
        <w:rPr>
          <w:rFonts w:ascii="Times New Roman" w:hAnsi="Times New Roman"/>
          <w:noProof/>
          <w:sz w:val="24"/>
        </w:rPr>
        <w:t xml:space="preserve"> Galveno starptautisko noziegumu pierādījumu datubāzē. Turklāt </w:t>
      </w:r>
      <w:r>
        <w:rPr>
          <w:rFonts w:ascii="Times New Roman" w:hAnsi="Times New Roman"/>
          <w:noProof/>
          <w:color w:val="000000"/>
          <w:sz w:val="24"/>
        </w:rPr>
        <w:t xml:space="preserve">jaunais Eiropas </w:t>
      </w:r>
      <w:r>
        <w:rPr>
          <w:rFonts w:ascii="Times New Roman" w:hAnsi="Times New Roman"/>
          <w:b/>
          <w:noProof/>
          <w:color w:val="000000"/>
          <w:sz w:val="24"/>
        </w:rPr>
        <w:t xml:space="preserve">Tiesu iestāžu pretterorisma reģistrs </w:t>
      </w:r>
      <w:r>
        <w:rPr>
          <w:rFonts w:ascii="Times New Roman" w:hAnsi="Times New Roman"/>
          <w:noProof/>
          <w:color w:val="000000"/>
          <w:sz w:val="24"/>
        </w:rPr>
        <w:t>turpinās palīdzēt dalībvalstu tiesu iestādēm ātri identificēt pārrobežu saiknes terorisma lietās.</w:t>
      </w:r>
    </w:p>
    <w:tbl>
      <w:tblPr>
        <w:tblStyle w:val="TableGrid"/>
        <w:tblW w:w="0" w:type="auto"/>
        <w:tblLayout w:type="fixed"/>
        <w:tblLook w:val="06A0" w:firstRow="1" w:lastRow="0" w:firstColumn="1" w:lastColumn="0" w:noHBand="1" w:noVBand="1"/>
      </w:tblPr>
      <w:tblGrid>
        <w:gridCol w:w="9056"/>
      </w:tblGrid>
      <w:tr w:rsidR="000164CE" w:rsidRPr="000164CE" w14:paraId="254CA5BF" w14:textId="77777777">
        <w:trPr>
          <w:trHeight w:val="300"/>
        </w:trPr>
        <w:tc>
          <w:tcPr>
            <w:tcW w:w="9056" w:type="dxa"/>
          </w:tcPr>
          <w:p w14:paraId="0A38042D" w14:textId="77777777" w:rsidR="000164CE" w:rsidRPr="000164CE" w:rsidRDefault="000164CE" w:rsidP="000164CE">
            <w:pPr>
              <w:spacing w:after="120"/>
              <w:jc w:val="both"/>
              <w:rPr>
                <w:b/>
                <w:bCs/>
                <w:i/>
                <w:iCs/>
                <w:noProof/>
                <w:color w:val="000000"/>
              </w:rPr>
            </w:pPr>
            <w:r>
              <w:rPr>
                <w:b/>
                <w:i/>
                <w:noProof/>
                <w:color w:val="000000"/>
              </w:rPr>
              <w:t>Pamatdarbības</w:t>
            </w:r>
          </w:p>
          <w:p w14:paraId="2204E334" w14:textId="77777777" w:rsidR="000164CE" w:rsidRPr="000164CE" w:rsidRDefault="000164CE" w:rsidP="000164CE">
            <w:pPr>
              <w:spacing w:after="120"/>
              <w:jc w:val="both"/>
              <w:rPr>
                <w:noProof/>
                <w:color w:val="000000"/>
              </w:rPr>
            </w:pPr>
            <w:r>
              <w:rPr>
                <w:b/>
                <w:noProof/>
                <w:color w:val="000000"/>
              </w:rPr>
              <w:t>Komisija:</w:t>
            </w:r>
          </w:p>
          <w:p w14:paraId="308D05DA" w14:textId="18421777" w:rsidR="000164CE" w:rsidRPr="000164CE" w:rsidRDefault="00E82B5B" w:rsidP="000164CE">
            <w:pPr>
              <w:numPr>
                <w:ilvl w:val="0"/>
                <w:numId w:val="29"/>
              </w:numPr>
              <w:spacing w:after="120"/>
              <w:contextualSpacing/>
              <w:rPr>
                <w:b/>
                <w:bCs/>
                <w:noProof/>
                <w:color w:val="000000"/>
              </w:rPr>
            </w:pPr>
            <w:r>
              <w:rPr>
                <w:b/>
                <w:noProof/>
                <w:color w:val="000000"/>
              </w:rPr>
              <w:t>2025. gadā pieņems jaunu ES programmu terorisma un vardarbīga ekstrēmisma novēršanai un apkarošanai;</w:t>
            </w:r>
          </w:p>
          <w:p w14:paraId="2D264C5F" w14:textId="3A8AFC6F" w:rsidR="000164CE" w:rsidRPr="000164CE" w:rsidRDefault="00E82B5B" w:rsidP="000164CE">
            <w:pPr>
              <w:numPr>
                <w:ilvl w:val="0"/>
                <w:numId w:val="29"/>
              </w:numPr>
              <w:spacing w:after="120" w:line="276" w:lineRule="auto"/>
              <w:contextualSpacing/>
              <w:jc w:val="both"/>
              <w:rPr>
                <w:b/>
                <w:bCs/>
                <w:noProof/>
                <w:color w:val="000000"/>
              </w:rPr>
            </w:pPr>
            <w:r>
              <w:rPr>
                <w:b/>
                <w:noProof/>
              </w:rPr>
              <w:t>2025. gadā parakstīs ar Rietumbalkānu valstīm jaunu kopīgu rīcības plānu terorisma un vardarbīga ekstrēmisma novēršanai un apkarošanai;</w:t>
            </w:r>
          </w:p>
          <w:p w14:paraId="314C99A0" w14:textId="6ACD76E7" w:rsidR="000164CE" w:rsidRPr="000164CE" w:rsidRDefault="00E82B5B" w:rsidP="000164CE">
            <w:pPr>
              <w:numPr>
                <w:ilvl w:val="0"/>
                <w:numId w:val="29"/>
              </w:numPr>
              <w:spacing w:after="120"/>
              <w:contextualSpacing/>
              <w:rPr>
                <w:b/>
                <w:bCs/>
                <w:noProof/>
              </w:rPr>
            </w:pPr>
            <w:r>
              <w:rPr>
                <w:b/>
                <w:noProof/>
              </w:rPr>
              <w:t>kopā ar ES zināšanu centru izstrādās jaunu visaptverošu novēršanas instrumentu kopumu;</w:t>
            </w:r>
          </w:p>
          <w:p w14:paraId="62AE630B" w14:textId="6757790C" w:rsidR="000164CE" w:rsidRPr="000164CE" w:rsidRDefault="00E82B5B" w:rsidP="000164CE">
            <w:pPr>
              <w:numPr>
                <w:ilvl w:val="0"/>
                <w:numId w:val="29"/>
              </w:numPr>
              <w:spacing w:after="120"/>
              <w:contextualSpacing/>
              <w:rPr>
                <w:b/>
                <w:bCs/>
                <w:noProof/>
              </w:rPr>
            </w:pPr>
            <w:r>
              <w:rPr>
                <w:b/>
                <w:noProof/>
              </w:rPr>
              <w:t>2026. gadā izvērtēs Regulas par vēršanos pret teroristiska satura izplatīšanu tiešsaistē piemērošanu;</w:t>
            </w:r>
          </w:p>
          <w:p w14:paraId="571A879E" w14:textId="21CBB3C7" w:rsidR="000164CE" w:rsidRPr="000164CE" w:rsidRDefault="00E82B5B" w:rsidP="000164CE">
            <w:pPr>
              <w:numPr>
                <w:ilvl w:val="0"/>
                <w:numId w:val="29"/>
              </w:numPr>
              <w:spacing w:after="120"/>
              <w:contextualSpacing/>
              <w:rPr>
                <w:b/>
                <w:bCs/>
                <w:noProof/>
              </w:rPr>
            </w:pPr>
            <w:r>
              <w:rPr>
                <w:b/>
                <w:noProof/>
              </w:rPr>
              <w:t>2025. gadā grozīs ES krīzes protokolu;</w:t>
            </w:r>
          </w:p>
          <w:p w14:paraId="2FD1A472" w14:textId="1EBC9AC8" w:rsidR="000164CE" w:rsidRPr="000164CE" w:rsidRDefault="00E82B5B" w:rsidP="000164CE">
            <w:pPr>
              <w:numPr>
                <w:ilvl w:val="0"/>
                <w:numId w:val="29"/>
              </w:numPr>
              <w:spacing w:after="120"/>
              <w:contextualSpacing/>
              <w:rPr>
                <w:b/>
                <w:bCs/>
                <w:noProof/>
              </w:rPr>
            </w:pPr>
            <w:r>
              <w:rPr>
                <w:b/>
                <w:noProof/>
              </w:rPr>
              <w:t>2026. gadā nāks klajā ar tiesību akta priekšlikumu pārskatīt Regulu par sprāgstvielu prekursoru tirdzniecību un lietošanu;</w:t>
            </w:r>
          </w:p>
          <w:p w14:paraId="189E8069" w14:textId="448ABB0E" w:rsidR="000164CE" w:rsidRPr="000164CE" w:rsidRDefault="00E82B5B" w:rsidP="000164CE">
            <w:pPr>
              <w:numPr>
                <w:ilvl w:val="0"/>
                <w:numId w:val="29"/>
              </w:numPr>
              <w:spacing w:after="120"/>
              <w:contextualSpacing/>
              <w:rPr>
                <w:b/>
                <w:bCs/>
                <w:noProof/>
              </w:rPr>
            </w:pPr>
            <w:r>
              <w:rPr>
                <w:b/>
                <w:noProof/>
              </w:rPr>
              <w:t>izpētīs iespējas izveidot jaunu ES mēroga sistēmu teroristu finansēšanas izsekošanai.</w:t>
            </w:r>
          </w:p>
          <w:p w14:paraId="13B0EB34" w14:textId="77777777" w:rsidR="000164CE" w:rsidRPr="000164CE" w:rsidRDefault="000164CE" w:rsidP="007D1E7C">
            <w:pPr>
              <w:spacing w:before="240" w:after="120"/>
              <w:rPr>
                <w:b/>
                <w:bCs/>
                <w:noProof/>
              </w:rPr>
            </w:pPr>
            <w:r>
              <w:rPr>
                <w:b/>
                <w:noProof/>
              </w:rPr>
              <w:t>Dalībvalstis tiek mudinātas:</w:t>
            </w:r>
          </w:p>
          <w:p w14:paraId="053BE011" w14:textId="0D94CB43" w:rsidR="000164CE" w:rsidRPr="000164CE" w:rsidRDefault="00E82B5B" w:rsidP="000164CE">
            <w:pPr>
              <w:numPr>
                <w:ilvl w:val="0"/>
                <w:numId w:val="29"/>
              </w:numPr>
              <w:spacing w:after="120"/>
              <w:contextualSpacing/>
              <w:rPr>
                <w:b/>
                <w:bCs/>
                <w:noProof/>
              </w:rPr>
            </w:pPr>
            <w:r>
              <w:rPr>
                <w:b/>
                <w:noProof/>
              </w:rPr>
              <w:t>uzlabot biometriskās pārbaudes un veikt obligātas sistemātiskas pārbaudes pie ES ārējām robežām;</w:t>
            </w:r>
          </w:p>
          <w:p w14:paraId="650FAC2A" w14:textId="2DD5E44D" w:rsidR="000164CE" w:rsidRPr="000164CE" w:rsidRDefault="00E82B5B" w:rsidP="007D1E7C">
            <w:pPr>
              <w:numPr>
                <w:ilvl w:val="0"/>
                <w:numId w:val="29"/>
              </w:numPr>
              <w:spacing w:after="120"/>
              <w:ind w:left="357" w:hanging="357"/>
              <w:rPr>
                <w:b/>
                <w:bCs/>
                <w:noProof/>
              </w:rPr>
            </w:pPr>
            <w:r>
              <w:rPr>
                <w:b/>
                <w:noProof/>
              </w:rPr>
              <w:t>pilnībā izmantot Eiropas Tiesu iestāžu pretterorisma reģistru.</w:t>
            </w:r>
          </w:p>
        </w:tc>
      </w:tr>
    </w:tbl>
    <w:p w14:paraId="087F45BD"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14:ligatures w14:val="standardContextual"/>
        </w:rPr>
      </w:pPr>
      <w:r>
        <w:rPr>
          <w:rFonts w:ascii="Times New Roman" w:hAnsi="Times New Roman"/>
          <w:b/>
          <w:noProof/>
          <w:sz w:val="24"/>
        </w:rPr>
        <w:t xml:space="preserve">ES kā spēcīga pasaules mēroga dalībniece drošības jomā </w:t>
      </w:r>
    </w:p>
    <w:p w14:paraId="15A323BA" w14:textId="1936DE1B" w:rsidR="000164CE" w:rsidRPr="000164CE" w:rsidRDefault="000164CE" w:rsidP="000164CE">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noProof/>
          <w:sz w:val="24"/>
          <w:szCs w:val="24"/>
        </w:rPr>
      </w:pPr>
      <w:r>
        <w:rPr>
          <w:rFonts w:ascii="Times New Roman" w:hAnsi="Times New Roman"/>
          <w:i/>
          <w:noProof/>
          <w:sz w:val="24"/>
        </w:rPr>
        <w:t>Lai uzlabotu ES drošību, mēs veicināsim operatīvo sadarbību, izmantojot partnerības ar tādiem svarīgiem reģioniem kā paplašināšanās un kaimiņattiecību partneri, Latīņamerika un Vidusjūras reģions. Starptautiskajā sadarbībā tiks ņemtas vērā ES drošības intereses, arī izmantojot ES rīkus un instrumentus.</w:t>
      </w:r>
    </w:p>
    <w:p w14:paraId="2E9E55A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Pēdējie gadi ir apliecinājuši nesaraujamo saikni starp ES ārējo un iekšējo drošību. Krievijas agresijas karam pret Ukrainu, konfliktam Gazā, situācijai Sīrijā un jauniem konfliktiem visā pasaulē ir bijusi nopietna plašāka ietekme uz ES iekšējo drošību. </w:t>
      </w:r>
      <w:r>
        <w:rPr>
          <w:rFonts w:ascii="Times New Roman" w:hAnsi="Times New Roman"/>
          <w:b/>
          <w:noProof/>
          <w:sz w:val="24"/>
        </w:rPr>
        <w:t>ES ir aktīvi jāaizstāv savas drošības intereses</w:t>
      </w:r>
      <w:r>
        <w:rPr>
          <w:rFonts w:ascii="Times New Roman" w:hAnsi="Times New Roman"/>
          <w:noProof/>
          <w:sz w:val="24"/>
        </w:rPr>
        <w:t>, lai vērstos pret globālās nestabilitātes ietekmi uz tās iekšējo drošību, novēršot ārējos draudus, ko var veikt, pārtraucot nelikumīgas tirdzniecības maršrutus un aizsargājot stratēģisku interešu koridorus, piemēram, tirdzniecības maršrutus. Vienlaikus ES turpinās būt spēcīga sabiedrotā tās partnervalstīm un sadarbosies, lai uzlabotu globālo drošību un veidotu savstarpēju noturību pret apdraudējumiem.</w:t>
      </w:r>
    </w:p>
    <w:p w14:paraId="0B490BFD" w14:textId="13891A33"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Pēdējos gados ES ir veikusi nozīmīgus pasākumus, lai uzlabotu sadarbību drošības jomā</w:t>
      </w:r>
      <w:r>
        <w:rPr>
          <w:rFonts w:ascii="Times New Roman" w:hAnsi="Times New Roman"/>
          <w:noProof/>
          <w:sz w:val="24"/>
        </w:rPr>
        <w:t xml:space="preserve">. Tā ir noslēgusi operatīvas tiesībaizsardzības un tiesu iestāžu sadarbības nolīgumus, kā arī cita veida vienošanās ar partnervalstīm. Tā aktīvi īsteno papildu starptautiskus nolīgumus saskaņā ar Padomes sarunu norādēm un spēju veidošanas iniciatīvas, ko veicina ES aģentūras un struktūras. Sadarbības instrumentam </w:t>
      </w:r>
      <w:r>
        <w:rPr>
          <w:rFonts w:ascii="Times New Roman" w:hAnsi="Times New Roman"/>
          <w:i/>
          <w:iCs/>
          <w:noProof/>
          <w:sz w:val="24"/>
        </w:rPr>
        <w:t>NDICI</w:t>
      </w:r>
      <w:r>
        <w:rPr>
          <w:rFonts w:ascii="Times New Roman" w:hAnsi="Times New Roman"/>
          <w:noProof/>
          <w:sz w:val="24"/>
        </w:rPr>
        <w:t>-“Eiropa pasaulē” arī ir izšķiroša nozīme drošības stiprināšanā ar partnervalstīm.</w:t>
      </w:r>
    </w:p>
    <w:p w14:paraId="0C5DA95A" w14:textId="5EE3D2E3"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Uz noteikumiem balstīta daudzpusēja kārtība</w:t>
      </w:r>
      <w:r>
        <w:rPr>
          <w:rFonts w:ascii="Times New Roman" w:hAnsi="Times New Roman"/>
          <w:noProof/>
          <w:sz w:val="24"/>
        </w:rPr>
        <w:t xml:space="preserve"> ir stūrakmens globālās drošības stiprināšanai. Drošības dialogi, tai skaitā tematiski dialogi, ir būtiski šo centienu stiprināšanai. Lai izstrādātu rezultatīvus drošības risinājumus, izšķiroša nozīme ir </w:t>
      </w:r>
      <w:r>
        <w:rPr>
          <w:rFonts w:ascii="Times New Roman" w:hAnsi="Times New Roman"/>
          <w:b/>
          <w:noProof/>
          <w:sz w:val="24"/>
        </w:rPr>
        <w:t>Stratēģiskā kompasa drošībai un aizsardzībai</w:t>
      </w:r>
      <w:r>
        <w:rPr>
          <w:rFonts w:ascii="Times New Roman" w:hAnsi="Times New Roman"/>
          <w:noProof/>
          <w:sz w:val="24"/>
        </w:rPr>
        <w:t xml:space="preserve"> īstenošanai, kā arī divpusējiem un daudzpusējiem sadarbības satvariem, piemēram, stabilizācijas un asociācijas nolīgumiem un asociācijas nolīgumiem, un sadarbībai ar tādām organizācijām kā ANO un NATO. ES turpinās piedalīties daudzpusējos forumos</w:t>
      </w:r>
      <w:r w:rsidRPr="000164CE">
        <w:rPr>
          <w:rFonts w:ascii="Times New Roman" w:eastAsia="Times New Roman" w:hAnsi="Times New Roman" w:cs="Times New Roman"/>
          <w:noProof/>
          <w:kern w:val="2"/>
          <w:sz w:val="24"/>
          <w:szCs w:val="24"/>
          <w:vertAlign w:val="superscript"/>
          <w:lang w:val="en-GB"/>
        </w:rPr>
        <w:footnoteReference w:id="85"/>
      </w:r>
      <w:r>
        <w:rPr>
          <w:rFonts w:ascii="Times New Roman" w:hAnsi="Times New Roman"/>
          <w:noProof/>
          <w:sz w:val="24"/>
        </w:rPr>
        <w:t xml:space="preserve"> un pastiprinās sadarbību ar attiecīgām starptautiskām un reģionālām organizācijām un struktūrām, tai skaitā NATO, Apvienoto Nāciju Organizāciju, Eiropas Padomi, Interpolu, G7, EDSO un pilsonisko sabiedrību.</w:t>
      </w:r>
    </w:p>
    <w:p w14:paraId="00369D44"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Reģionālā sadarbība</w:t>
      </w:r>
    </w:p>
    <w:p w14:paraId="4A3BFCB0" w14:textId="150C7728"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Prioritārs uzdevums un politiska un ģeostratēģiska nepieciešamība ir turpināt ES nelokāmo atbalstu </w:t>
      </w:r>
      <w:r>
        <w:rPr>
          <w:rFonts w:ascii="Times New Roman" w:hAnsi="Times New Roman"/>
          <w:b/>
          <w:noProof/>
          <w:sz w:val="24"/>
        </w:rPr>
        <w:t>Ukrainai</w:t>
      </w:r>
      <w:r>
        <w:rPr>
          <w:rFonts w:ascii="Times New Roman" w:hAnsi="Times New Roman"/>
          <w:noProof/>
          <w:sz w:val="24"/>
        </w:rPr>
        <w:t xml:space="preserve"> un stiprināt </w:t>
      </w:r>
      <w:r>
        <w:rPr>
          <w:rFonts w:ascii="Times New Roman" w:hAnsi="Times New Roman"/>
          <w:b/>
          <w:noProof/>
          <w:sz w:val="24"/>
        </w:rPr>
        <w:t>ES paplašināšanās procesā iesaistīto valstu</w:t>
      </w:r>
      <w:r>
        <w:rPr>
          <w:rFonts w:ascii="Times New Roman" w:hAnsi="Times New Roman"/>
          <w:noProof/>
          <w:sz w:val="24"/>
        </w:rPr>
        <w:t xml:space="preserve"> drošību un noturību. ES drošības atbalstam būtu jāiet roku rokā ar </w:t>
      </w:r>
      <w:r>
        <w:rPr>
          <w:rFonts w:ascii="Times New Roman" w:hAnsi="Times New Roman"/>
          <w:b/>
          <w:noProof/>
          <w:sz w:val="24"/>
        </w:rPr>
        <w:t>kandidātvalstu paātrinātu integrāciju</w:t>
      </w:r>
      <w:r>
        <w:rPr>
          <w:rFonts w:ascii="Times New Roman" w:hAnsi="Times New Roman"/>
          <w:noProof/>
          <w:sz w:val="24"/>
        </w:rPr>
        <w:t xml:space="preserve"> </w:t>
      </w:r>
      <w:r>
        <w:rPr>
          <w:rFonts w:ascii="Times New Roman" w:hAnsi="Times New Roman"/>
          <w:b/>
          <w:noProof/>
          <w:sz w:val="24"/>
        </w:rPr>
        <w:t>ES drošības arhitektūrā</w:t>
      </w:r>
      <w:r>
        <w:rPr>
          <w:rFonts w:ascii="Times New Roman" w:hAnsi="Times New Roman"/>
          <w:noProof/>
          <w:sz w:val="24"/>
        </w:rPr>
        <w:t>, vienlaikus konsolidējot to reģionālo sadarbību. Komisija izmantos ES paplašināšanās politiku, lai atbalstītu ES kandidātvalstu un potenciālo kandidātvalstu spējas reaģēt uz apdraudējumiem, palielinātu operatīvo sadarbību un informācijas apmaiņu un nodrošinātu saskaņotību ar ES principiem, tiesību aktiem un instrumentiem. Pirmspievienošanās palīdzības instrumentam (</w:t>
      </w:r>
      <w:r>
        <w:rPr>
          <w:rFonts w:ascii="Times New Roman" w:hAnsi="Times New Roman"/>
          <w:i/>
          <w:iCs/>
          <w:noProof/>
          <w:sz w:val="24"/>
        </w:rPr>
        <w:t>IPA III</w:t>
      </w:r>
      <w:r>
        <w:rPr>
          <w:rFonts w:ascii="Times New Roman" w:hAnsi="Times New Roman"/>
          <w:noProof/>
          <w:sz w:val="24"/>
        </w:rPr>
        <w:t>), kā arī Ukrainas, Moldovas un Rietumbalkānu mehānismiem ir izšķiroša nozīme drošības stiprināšanā gan kandidātvalstīs, gan potenciālajās kandidātvalstīs.</w:t>
      </w:r>
    </w:p>
    <w:p w14:paraId="7A59D49C" w14:textId="52CBD52F"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ES arī turpinās integrēt </w:t>
      </w:r>
      <w:r>
        <w:rPr>
          <w:rFonts w:ascii="Times New Roman" w:hAnsi="Times New Roman"/>
          <w:b/>
          <w:noProof/>
          <w:sz w:val="24"/>
        </w:rPr>
        <w:t>kaimiņattiecību</w:t>
      </w:r>
      <w:r>
        <w:rPr>
          <w:rFonts w:ascii="Times New Roman" w:hAnsi="Times New Roman"/>
          <w:noProof/>
          <w:sz w:val="24"/>
        </w:rPr>
        <w:t xml:space="preserve"> </w:t>
      </w:r>
      <w:r>
        <w:rPr>
          <w:rFonts w:ascii="Times New Roman" w:hAnsi="Times New Roman"/>
          <w:b/>
          <w:noProof/>
          <w:sz w:val="24"/>
        </w:rPr>
        <w:t>partnerus</w:t>
      </w:r>
      <w:r>
        <w:rPr>
          <w:rFonts w:ascii="Times New Roman" w:hAnsi="Times New Roman"/>
          <w:noProof/>
          <w:sz w:val="24"/>
        </w:rPr>
        <w:t xml:space="preserve"> ES drošības arhitektūrā. Izmantojot</w:t>
      </w:r>
      <w:r>
        <w:rPr>
          <w:rFonts w:ascii="Times New Roman" w:hAnsi="Times New Roman"/>
          <w:b/>
          <w:noProof/>
          <w:sz w:val="24"/>
        </w:rPr>
        <w:t xml:space="preserve"> jauno</w:t>
      </w:r>
      <w:r>
        <w:rPr>
          <w:rFonts w:ascii="Times New Roman" w:hAnsi="Times New Roman"/>
          <w:noProof/>
          <w:sz w:val="24"/>
        </w:rPr>
        <w:t xml:space="preserve"> </w:t>
      </w:r>
      <w:r>
        <w:rPr>
          <w:rFonts w:ascii="Times New Roman" w:hAnsi="Times New Roman"/>
          <w:b/>
          <w:noProof/>
          <w:sz w:val="24"/>
        </w:rPr>
        <w:t>Vidusjūras reģiona paktu</w:t>
      </w:r>
      <w:r>
        <w:rPr>
          <w:rFonts w:ascii="Times New Roman" w:hAnsi="Times New Roman"/>
          <w:noProof/>
          <w:sz w:val="24"/>
        </w:rPr>
        <w:t xml:space="preserve"> un gaidāmo </w:t>
      </w:r>
      <w:r>
        <w:rPr>
          <w:rFonts w:ascii="Times New Roman" w:hAnsi="Times New Roman"/>
          <w:b/>
          <w:noProof/>
          <w:sz w:val="24"/>
        </w:rPr>
        <w:t>stratēģisko pieeju Melnajai jūrai</w:t>
      </w:r>
      <w:r>
        <w:rPr>
          <w:rFonts w:ascii="Times New Roman" w:hAnsi="Times New Roman"/>
          <w:noProof/>
          <w:sz w:val="24"/>
        </w:rPr>
        <w:t xml:space="preserve">, Savienība centīsies arī turpmāk veidot reģionālo sadarbību un divpusējas stratēģiskas visaptverošas partnerības ar drošības dimensiju, attiecīgā gadījumā regulāri rīkojot augsta līmeņa drošības dialogus. Tiks stiprināta operatīvā sadarbība ar Ziemeļāfriku, </w:t>
      </w:r>
      <w:r>
        <w:rPr>
          <w:rFonts w:ascii="Times New Roman" w:hAnsi="Times New Roman"/>
          <w:b/>
          <w:noProof/>
          <w:sz w:val="24"/>
        </w:rPr>
        <w:t>Tuvajiem Austrumiem un Persijas līča valstīm</w:t>
      </w:r>
      <w:bookmarkStart w:id="10" w:name="_Int_kd4mhwCM"/>
      <w:r>
        <w:rPr>
          <w:rFonts w:ascii="Times New Roman" w:hAnsi="Times New Roman"/>
          <w:noProof/>
          <w:sz w:val="24"/>
        </w:rPr>
        <w:t xml:space="preserve">, īpaši </w:t>
      </w:r>
      <w:bookmarkEnd w:id="10"/>
      <w:r>
        <w:rPr>
          <w:rFonts w:ascii="Times New Roman" w:hAnsi="Times New Roman"/>
          <w:noProof/>
          <w:sz w:val="24"/>
        </w:rPr>
        <w:t xml:space="preserve"> tādās jomās kā terorisma apkarošana, nelikumīgi iegūtu līdzekļu legalizēšanas novēršana, šaujamieroču nelikumīga tirdzniecība un narkotiku, īpaši kaptagona, tirdzniecība.</w:t>
      </w:r>
      <w:r>
        <w:rPr>
          <w:rFonts w:ascii="Times New Roman" w:hAnsi="Times New Roman"/>
          <w:b/>
          <w:noProof/>
          <w:sz w:val="24"/>
        </w:rPr>
        <w:t xml:space="preserve"> </w:t>
      </w:r>
    </w:p>
    <w:p w14:paraId="633E69BE" w14:textId="2407262C"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Lai pievērstos teroristu un noziedzīgu darbību pieaugumam un to iespējamai plašākai ietekmei </w:t>
      </w:r>
      <w:r>
        <w:rPr>
          <w:rFonts w:ascii="Times New Roman" w:hAnsi="Times New Roman"/>
          <w:b/>
          <w:noProof/>
          <w:sz w:val="24"/>
        </w:rPr>
        <w:t xml:space="preserve"> Subsahāras</w:t>
      </w:r>
      <w:r>
        <w:rPr>
          <w:rFonts w:ascii="Times New Roman" w:hAnsi="Times New Roman"/>
          <w:noProof/>
          <w:sz w:val="24"/>
        </w:rPr>
        <w:t xml:space="preserve"> </w:t>
      </w:r>
      <w:r>
        <w:rPr>
          <w:rFonts w:ascii="Times New Roman" w:hAnsi="Times New Roman"/>
          <w:b/>
          <w:noProof/>
          <w:sz w:val="24"/>
        </w:rPr>
        <w:t>Āfrikā, īpaši Sāhelā, Āfrikas ragā</w:t>
      </w:r>
      <w:r>
        <w:rPr>
          <w:rFonts w:ascii="Times New Roman" w:hAnsi="Times New Roman"/>
          <w:noProof/>
          <w:sz w:val="24"/>
        </w:rPr>
        <w:t>,</w:t>
      </w:r>
      <w:r>
        <w:rPr>
          <w:rFonts w:ascii="Times New Roman" w:hAnsi="Times New Roman"/>
          <w:b/>
          <w:noProof/>
          <w:sz w:val="24"/>
        </w:rPr>
        <w:t xml:space="preserve"> un Rietumāfrikā</w:t>
      </w:r>
      <w:r>
        <w:rPr>
          <w:rFonts w:ascii="Times New Roman" w:hAnsi="Times New Roman"/>
          <w:noProof/>
          <w:sz w:val="24"/>
        </w:rPr>
        <w:t>, ES pastiprinās atbalstu Āfrikas Savienībai, reģionālajām ekonomikas kopienām (</w:t>
      </w:r>
      <w:r>
        <w:rPr>
          <w:rFonts w:ascii="Times New Roman" w:hAnsi="Times New Roman"/>
          <w:i/>
          <w:iCs/>
          <w:noProof/>
          <w:sz w:val="24"/>
        </w:rPr>
        <w:t>REC</w:t>
      </w:r>
      <w:r>
        <w:rPr>
          <w:rFonts w:ascii="Times New Roman" w:hAnsi="Times New Roman"/>
          <w:noProof/>
          <w:sz w:val="24"/>
        </w:rPr>
        <w:t>) un reģiona valstīm. Saskaņā ar ES Jūras drošības stratēģiju</w:t>
      </w:r>
      <w:r w:rsidRPr="000164CE">
        <w:rPr>
          <w:rFonts w:ascii="Times New Roman" w:eastAsia="Times New Roman" w:hAnsi="Times New Roman" w:cs="Times New Roman"/>
          <w:noProof/>
          <w:kern w:val="2"/>
          <w:sz w:val="24"/>
          <w:szCs w:val="24"/>
          <w:vertAlign w:val="superscript"/>
          <w:lang w:val="en-GB"/>
        </w:rPr>
        <w:footnoteReference w:id="86"/>
      </w:r>
      <w:r>
        <w:rPr>
          <w:rFonts w:ascii="Times New Roman" w:hAnsi="Times New Roman"/>
          <w:noProof/>
          <w:sz w:val="24"/>
        </w:rPr>
        <w:t xml:space="preserve"> ES stiprinās sadarbību </w:t>
      </w:r>
      <w:r>
        <w:rPr>
          <w:rFonts w:ascii="Times New Roman" w:hAnsi="Times New Roman"/>
          <w:b/>
          <w:noProof/>
          <w:sz w:val="24"/>
        </w:rPr>
        <w:t>Gvinejas līcī, Sarkanajā jūrā un Indijas okeānā</w:t>
      </w:r>
      <w:r>
        <w:rPr>
          <w:rFonts w:ascii="Times New Roman" w:hAnsi="Times New Roman"/>
          <w:noProof/>
          <w:sz w:val="24"/>
        </w:rPr>
        <w:t>, lai apkarotu cilvēku tirdzniecību un pirātismu, atbalstot Āfrikas un reģionālo sadarbību un atbalstot ES koordinētu klātbūtni jūrā (</w:t>
      </w:r>
      <w:r>
        <w:rPr>
          <w:rFonts w:ascii="Times New Roman" w:hAnsi="Times New Roman"/>
          <w:i/>
          <w:iCs/>
          <w:noProof/>
          <w:sz w:val="24"/>
        </w:rPr>
        <w:t>CMP</w:t>
      </w:r>
      <w:r>
        <w:rPr>
          <w:rFonts w:ascii="Times New Roman" w:hAnsi="Times New Roman"/>
          <w:noProof/>
          <w:sz w:val="24"/>
        </w:rPr>
        <w:t>) un Narkotiku jūras ceļu izpētes un operatīvo centru (</w:t>
      </w:r>
      <w:r>
        <w:rPr>
          <w:rFonts w:ascii="Times New Roman" w:hAnsi="Times New Roman"/>
          <w:i/>
          <w:iCs/>
          <w:noProof/>
          <w:sz w:val="24"/>
        </w:rPr>
        <w:t>MAOC-N</w:t>
      </w:r>
      <w:r>
        <w:rPr>
          <w:rFonts w:ascii="Times New Roman" w:hAnsi="Times New Roman"/>
          <w:noProof/>
          <w:sz w:val="24"/>
        </w:rPr>
        <w:t>).</w:t>
      </w:r>
    </w:p>
    <w:p w14:paraId="6C6B8EA3" w14:textId="528965C5"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ES stiprinās operatīvo sadarbību ar </w:t>
      </w:r>
      <w:r>
        <w:rPr>
          <w:rFonts w:ascii="Times New Roman" w:hAnsi="Times New Roman"/>
          <w:b/>
          <w:noProof/>
          <w:sz w:val="24"/>
        </w:rPr>
        <w:t>Latīņameriku un Karību jūras reģionu</w:t>
      </w:r>
      <w:r>
        <w:rPr>
          <w:rFonts w:ascii="Times New Roman" w:hAnsi="Times New Roman"/>
          <w:noProof/>
          <w:sz w:val="24"/>
        </w:rPr>
        <w:t>, lai likvidētu augsta riska noziedzīgos tīklus un sauktu pie atbildības par tiem un izjauktu nelikumīgas darbības un tirdzniecības maršrutus,</w:t>
      </w:r>
      <w:r>
        <w:rPr>
          <w:rFonts w:ascii="Times New Roman" w:hAnsi="Times New Roman"/>
          <w:noProof/>
        </w:rPr>
        <w:t xml:space="preserve"> </w:t>
      </w:r>
      <w:r>
        <w:rPr>
          <w:rFonts w:ascii="Times New Roman" w:hAnsi="Times New Roman"/>
          <w:noProof/>
          <w:sz w:val="24"/>
        </w:rPr>
        <w:t xml:space="preserve">kas tiks panākts, uzlabojot sadarbības satvarus, piemēram, ES un </w:t>
      </w:r>
      <w:r>
        <w:rPr>
          <w:rFonts w:ascii="Times New Roman" w:hAnsi="Times New Roman"/>
          <w:i/>
          <w:iCs/>
          <w:noProof/>
          <w:sz w:val="24"/>
        </w:rPr>
        <w:t>CLASI</w:t>
      </w:r>
      <w:r>
        <w:rPr>
          <w:rFonts w:ascii="Times New Roman" w:hAnsi="Times New Roman"/>
          <w:noProof/>
          <w:sz w:val="24"/>
        </w:rPr>
        <w:t xml:space="preserve"> (Latīņamerikas Iekšējās drošības komiteja) un ES un </w:t>
      </w:r>
      <w:r>
        <w:rPr>
          <w:rFonts w:ascii="Times New Roman" w:hAnsi="Times New Roman"/>
          <w:i/>
          <w:iCs/>
          <w:noProof/>
          <w:sz w:val="24"/>
        </w:rPr>
        <w:t>CELAC</w:t>
      </w:r>
      <w:r>
        <w:rPr>
          <w:rFonts w:ascii="Times New Roman" w:hAnsi="Times New Roman"/>
          <w:noProof/>
          <w:sz w:val="24"/>
        </w:rPr>
        <w:t xml:space="preserve"> koordinācijas un sadarbības mehānismu narkotiku apkarošanas jomā. Viena no prioritātēm būs loģistikas centru noturība un partnerības, kā arī pieeja “seko naudai”. ES turpinās atbalstīt Ziemeļamerikas un Dienvidamerikas policijas savienības (</w:t>
      </w:r>
      <w:r>
        <w:rPr>
          <w:rFonts w:ascii="Times New Roman" w:hAnsi="Times New Roman"/>
          <w:i/>
          <w:iCs/>
          <w:noProof/>
          <w:sz w:val="24"/>
        </w:rPr>
        <w:t>AMERIPOL</w:t>
      </w:r>
      <w:r>
        <w:rPr>
          <w:rFonts w:ascii="Times New Roman" w:hAnsi="Times New Roman"/>
          <w:noProof/>
          <w:sz w:val="24"/>
        </w:rPr>
        <w:t xml:space="preserve">) attīstību, lai tā kļūtu par Eiropola reģionālo ekvivalentu un stiprinātu tiesu iestāžu sadarbību starp dalībvalstīm un reģionu. ES arī sadarbosies ar </w:t>
      </w:r>
      <w:r>
        <w:rPr>
          <w:rFonts w:ascii="Times New Roman" w:hAnsi="Times New Roman"/>
          <w:b/>
          <w:noProof/>
          <w:sz w:val="24"/>
        </w:rPr>
        <w:t>Dienvidāziju un Vidusāziju</w:t>
      </w:r>
      <w:r>
        <w:rPr>
          <w:rFonts w:ascii="Times New Roman" w:hAnsi="Times New Roman"/>
          <w:noProof/>
          <w:sz w:val="24"/>
        </w:rPr>
        <w:t xml:space="preserve">, lai risinātu kopīgas drošības problēmas, kas saistītas ar terorismu, nelikumīgu preču, arī narkotiku, tirdzniecību, cilvēku tirdzniecību un migrantu kontrabandu. </w:t>
      </w:r>
    </w:p>
    <w:p w14:paraId="754C03A4" w14:textId="7C120ADB"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Turklāt ES atbalstīs reģionālās sadarbības satvarus trešās valstīs, lai vēl vairāk palīdzētu tām apturēt nelikumīgu tirdzniecību izcelsmes vietā saskaņā ar kopīgas atbildības principu par visu noziedzīgo piegādes ķēdi. Turklāt ES sniegs savu ieguldījumu, lai palīdzētu stiprināt loģistikas centru drošību ārvalstīs, koordinējot </w:t>
      </w:r>
      <w:r>
        <w:rPr>
          <w:rFonts w:ascii="Times New Roman" w:hAnsi="Times New Roman"/>
          <w:b/>
          <w:noProof/>
          <w:sz w:val="24"/>
        </w:rPr>
        <w:t>kopīgas inspekcijas trešo valstu ostās</w:t>
      </w:r>
      <w:r>
        <w:rPr>
          <w:rFonts w:ascii="Times New Roman" w:hAnsi="Times New Roman"/>
          <w:noProof/>
          <w:sz w:val="24"/>
        </w:rPr>
        <w:t>.</w:t>
      </w:r>
    </w:p>
    <w:p w14:paraId="0034914F"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Operatīvā sadarbība</w:t>
      </w:r>
    </w:p>
    <w:p w14:paraId="7BB7385F" w14:textId="77777777" w:rsidR="000164CE" w:rsidRPr="000164CE" w:rsidDel="002B2339"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i/>
          <w:iCs/>
          <w:noProof/>
          <w:sz w:val="24"/>
        </w:rPr>
        <w:t>Global Gateway</w:t>
      </w:r>
      <w:r>
        <w:rPr>
          <w:rFonts w:ascii="Times New Roman" w:hAnsi="Times New Roman"/>
          <w:noProof/>
          <w:sz w:val="24"/>
        </w:rPr>
        <w:t xml:space="preserve"> atbalstīs ilgtspējīgus un kvalitatīvus infrastruktūras projektus digitālajā, klimata un enerģētikas, transporta, veselības aprūpes, izglītības un pētniecības nozarē. Komisija tagad attiecīgā gadījumā iekļaus drošības apsvērumus turpmākajās </w:t>
      </w:r>
      <w:r>
        <w:rPr>
          <w:rFonts w:ascii="Times New Roman" w:hAnsi="Times New Roman"/>
          <w:i/>
          <w:iCs/>
          <w:noProof/>
          <w:sz w:val="24"/>
        </w:rPr>
        <w:t>Global Gateway</w:t>
      </w:r>
      <w:r>
        <w:rPr>
          <w:rFonts w:ascii="Times New Roman" w:hAnsi="Times New Roman"/>
          <w:noProof/>
          <w:sz w:val="24"/>
        </w:rPr>
        <w:t xml:space="preserve"> investīcijās. Tas ietvers iniciatīvas, kas ir būtiskas ES un tās partnervalstu stratēģiskajai autonomijai, piemēram, infrastruktūras projektus, kas ietver drošības novērtējumus un riska mazināšanas pasākumus.</w:t>
      </w:r>
    </w:p>
    <w:p w14:paraId="3EFA88F4"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Pr>
          <w:rFonts w:ascii="Times New Roman" w:hAnsi="Times New Roman"/>
          <w:noProof/>
          <w:sz w:val="24"/>
        </w:rPr>
        <w:t xml:space="preserve">Komisija īstenos turpmākus </w:t>
      </w:r>
      <w:r>
        <w:rPr>
          <w:rFonts w:ascii="Times New Roman" w:hAnsi="Times New Roman"/>
          <w:b/>
          <w:noProof/>
          <w:sz w:val="24"/>
        </w:rPr>
        <w:t xml:space="preserve">nolīgumus starp ES un trešām valstīm par sadarbību ar Eiropolu un </w:t>
      </w:r>
      <w:r>
        <w:rPr>
          <w:rFonts w:ascii="Times New Roman" w:hAnsi="Times New Roman"/>
          <w:b/>
          <w:i/>
          <w:iCs/>
          <w:noProof/>
          <w:sz w:val="24"/>
        </w:rPr>
        <w:t>Eurojust</w:t>
      </w:r>
      <w:r>
        <w:rPr>
          <w:rFonts w:ascii="Times New Roman" w:hAnsi="Times New Roman"/>
          <w:noProof/>
          <w:sz w:val="24"/>
        </w:rPr>
        <w:t xml:space="preserve">, it īpaši ar Latīņamerikas valstīm. </w:t>
      </w:r>
    </w:p>
    <w:p w14:paraId="2C64C4D8" w14:textId="7B5D9A9E"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Turklāt trešo valstu proaktīva dalība </w:t>
      </w:r>
      <w:r>
        <w:rPr>
          <w:rFonts w:ascii="Times New Roman" w:hAnsi="Times New Roman"/>
          <w:b/>
          <w:i/>
          <w:iCs/>
          <w:noProof/>
          <w:sz w:val="24"/>
        </w:rPr>
        <w:t>EMPACT</w:t>
      </w:r>
      <w:r>
        <w:rPr>
          <w:rFonts w:ascii="Times New Roman" w:hAnsi="Times New Roman"/>
          <w:b/>
          <w:noProof/>
          <w:sz w:val="24"/>
        </w:rPr>
        <w:t xml:space="preserve"> </w:t>
      </w:r>
      <w:r>
        <w:rPr>
          <w:rFonts w:ascii="Times New Roman" w:hAnsi="Times New Roman"/>
          <w:noProof/>
          <w:sz w:val="24"/>
        </w:rPr>
        <w:t xml:space="preserve">ir viens no iedarbīgākajiem operatīvās sadarbības stiprināšanas līdzekļiem. ES arī turpmāk veicinās trešo valstu, īpaši Rietumbalkānu, austrumu kaimiņreģiona, Subsahāras Āfrikas, Ziemeļāfrikas, Tuvo Austrumu, Latīņamerikas un Karību jūras reģiona valstu iesaisti. Vēl viens instruments sadarbības stiprināšanai ar trešām valstīm noziedzības apkarošanas jomā ir operatīvās darba grupas starp dalībvalstīm, kuras koordinē Eiropols un kurās var piedalīties trešās valstis. </w:t>
      </w:r>
      <w:r>
        <w:rPr>
          <w:rFonts w:ascii="Times New Roman" w:hAnsi="Times New Roman"/>
          <w:noProof/>
          <w:color w:val="000000"/>
          <w:sz w:val="24"/>
        </w:rPr>
        <w:t xml:space="preserve">Komisijas mērķis ir arī pabeigt sarunas par </w:t>
      </w:r>
      <w:r>
        <w:rPr>
          <w:rFonts w:ascii="Times New Roman" w:hAnsi="Times New Roman"/>
          <w:b/>
          <w:noProof/>
          <w:color w:val="000000"/>
          <w:sz w:val="24"/>
        </w:rPr>
        <w:t>ES un Interpola</w:t>
      </w:r>
      <w:r>
        <w:rPr>
          <w:rFonts w:ascii="Times New Roman" w:hAnsi="Times New Roman"/>
          <w:noProof/>
          <w:color w:val="000000"/>
          <w:sz w:val="24"/>
        </w:rPr>
        <w:t xml:space="preserve"> starptautisko nolīgumu</w:t>
      </w:r>
      <w:r w:rsidRPr="000164CE">
        <w:rPr>
          <w:rFonts w:ascii="Times New Roman" w:eastAsia="Times New Roman" w:hAnsi="Times New Roman" w:cs="Times New Roman"/>
          <w:noProof/>
          <w:color w:val="000000"/>
          <w:kern w:val="2"/>
          <w:sz w:val="24"/>
          <w:szCs w:val="24"/>
          <w:vertAlign w:val="superscript"/>
          <w:lang w:val="en-GB"/>
        </w:rPr>
        <w:footnoteReference w:id="87"/>
      </w:r>
      <w:r>
        <w:rPr>
          <w:rFonts w:ascii="Times New Roman" w:hAnsi="Times New Roman"/>
          <w:noProof/>
          <w:color w:val="000000"/>
          <w:sz w:val="24"/>
        </w:rPr>
        <w:t xml:space="preserve">, tādējādi nodrošinot vienotāku pieeju globālajiem drošības apdraudējumiem un apkarojot transnacionālos noziegumus. </w:t>
      </w:r>
    </w:p>
    <w:p w14:paraId="30E061E5" w14:textId="462F4A73"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Eiropas komandas pieejā Savienībai ir jābūt pārstāvētai uz vietas</w:t>
      </w:r>
      <w:r>
        <w:rPr>
          <w:rFonts w:ascii="Times New Roman" w:hAnsi="Times New Roman"/>
          <w:noProof/>
          <w:sz w:val="24"/>
        </w:rPr>
        <w:t xml:space="preserve">. Specializētiem Savienības un dalībvalstu darbiniekiem ir izšķiroša nozīme, lai nodrošinātu, ka Savienības ārējā darbība ir labi informēta, koordinēta un reaģētspējīga. Lai šo pieeju paaugstinātu līdz nākamajam līmenim, Komisija ar Augstā pārstāvja ārlietās un drošības politikas jautājumos atbalstu stiprinās </w:t>
      </w:r>
      <w:r>
        <w:rPr>
          <w:rFonts w:ascii="Times New Roman" w:hAnsi="Times New Roman"/>
          <w:b/>
          <w:noProof/>
          <w:sz w:val="24"/>
        </w:rPr>
        <w:t>sadarbības tīklus</w:t>
      </w:r>
      <w:r>
        <w:rPr>
          <w:rFonts w:ascii="Times New Roman" w:hAnsi="Times New Roman"/>
          <w:noProof/>
          <w:sz w:val="24"/>
        </w:rPr>
        <w:t xml:space="preserve"> un veicinās reģionālo </w:t>
      </w:r>
      <w:r>
        <w:rPr>
          <w:rFonts w:ascii="Times New Roman" w:hAnsi="Times New Roman"/>
          <w:b/>
          <w:noProof/>
          <w:sz w:val="24"/>
        </w:rPr>
        <w:t xml:space="preserve">Eiropola un </w:t>
      </w:r>
      <w:r>
        <w:rPr>
          <w:rFonts w:ascii="Times New Roman" w:hAnsi="Times New Roman"/>
          <w:b/>
          <w:i/>
          <w:iCs/>
          <w:noProof/>
          <w:sz w:val="24"/>
        </w:rPr>
        <w:t>Eurojust</w:t>
      </w:r>
      <w:r>
        <w:rPr>
          <w:rFonts w:ascii="Times New Roman" w:hAnsi="Times New Roman"/>
          <w:b/>
          <w:noProof/>
          <w:sz w:val="24"/>
        </w:rPr>
        <w:t xml:space="preserve"> sadarbības koordinatoru</w:t>
      </w:r>
      <w:r>
        <w:rPr>
          <w:rFonts w:ascii="Times New Roman" w:hAnsi="Times New Roman"/>
          <w:noProof/>
          <w:sz w:val="24"/>
        </w:rPr>
        <w:t xml:space="preserve"> izvietošanu saskaņā ar dalībvalstu operatīvajām vajadzībām.</w:t>
      </w:r>
    </w:p>
    <w:p w14:paraId="2B18565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ES centīsies panākt ciešāku operatīvo tiesībaizsardzības un tiesu iestāžu sadarbību, veicinās reāllaika informācijas apmaiņu un kopīgas operācijas, izmantojot </w:t>
      </w:r>
      <w:r>
        <w:rPr>
          <w:rFonts w:ascii="Times New Roman" w:hAnsi="Times New Roman"/>
          <w:b/>
          <w:noProof/>
          <w:sz w:val="24"/>
        </w:rPr>
        <w:t>kopējas izmeklēšanas grupas</w:t>
      </w:r>
      <w:r>
        <w:rPr>
          <w:rFonts w:ascii="Times New Roman" w:hAnsi="Times New Roman"/>
          <w:noProof/>
          <w:sz w:val="24"/>
        </w:rPr>
        <w:t xml:space="preserve"> trešās valstīs ar Eiropola un </w:t>
      </w:r>
      <w:r>
        <w:rPr>
          <w:rFonts w:ascii="Times New Roman" w:hAnsi="Times New Roman"/>
          <w:i/>
          <w:iCs/>
          <w:noProof/>
          <w:sz w:val="24"/>
        </w:rPr>
        <w:t>Eurojust</w:t>
      </w:r>
      <w:r>
        <w:rPr>
          <w:rFonts w:ascii="Times New Roman" w:hAnsi="Times New Roman"/>
          <w:noProof/>
          <w:sz w:val="24"/>
        </w:rPr>
        <w:t xml:space="preserve"> atbalstu. Komisija arī atbalstīs dalībvalstis </w:t>
      </w:r>
      <w:r>
        <w:rPr>
          <w:rFonts w:ascii="Times New Roman" w:hAnsi="Times New Roman"/>
          <w:b/>
          <w:noProof/>
          <w:sz w:val="24"/>
        </w:rPr>
        <w:t>kopīgu informācijas apkopošanas centru</w:t>
      </w:r>
      <w:r>
        <w:rPr>
          <w:rFonts w:ascii="Times New Roman" w:hAnsi="Times New Roman"/>
          <w:noProof/>
          <w:sz w:val="24"/>
        </w:rPr>
        <w:t xml:space="preserve"> izveidē, apvienojot ekspertus un vietējās tiesībaizsardzības iestādes stratēģiskās trešās valstīs. </w:t>
      </w:r>
    </w:p>
    <w:p w14:paraId="5FB56B19"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Kopējās ārpolitikas un drošības politikas (KĀDP) instrumenti</w:t>
      </w:r>
    </w:p>
    <w:p w14:paraId="4DDA84F5" w14:textId="1D907C9A"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 xml:space="preserve">Kopējās drošības un aizsardzības politikas (KDAP) misijas </w:t>
      </w:r>
      <w:r>
        <w:rPr>
          <w:rFonts w:ascii="Times New Roman" w:hAnsi="Times New Roman"/>
          <w:noProof/>
          <w:sz w:val="24"/>
        </w:rPr>
        <w:t xml:space="preserve">arī tiks pilnībā izmantotas, lai labāk apzinātu un novērstu ārējos draudus ES iekšējai drošībai saskaņā ar to pilnvarām, ko tām noteikusi Padome. Lai veidotu trešo valstu spējas, Augstais pārstāvis ārlietās un drošības politikas jautājumos un Komisija atbalstīs KDAP darbības ar īpašiem finansēšanas instrumentiem un izpētīs visus piemērotos finansējuma veidus. </w:t>
      </w:r>
    </w:p>
    <w:p w14:paraId="532B93E7" w14:textId="77777777" w:rsidR="000164CE" w:rsidRPr="000164CE" w:rsidRDefault="000164CE" w:rsidP="000164CE">
      <w:pPr>
        <w:spacing w:after="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b/>
          <w:noProof/>
          <w:sz w:val="24"/>
        </w:rPr>
        <w:t>ES ierobežojošie pasākumi</w:t>
      </w:r>
      <w:r>
        <w:rPr>
          <w:rFonts w:ascii="Times New Roman" w:hAnsi="Times New Roman"/>
          <w:noProof/>
          <w:sz w:val="24"/>
        </w:rPr>
        <w:t xml:space="preserve"> ir vispāratzīts KĀDP instruments, ko izmanto arī cīņā pret terorismu. Pamatojoties uz Augstā pārstāvja ārlietās un drošības politikas jautājumos, dalībvalstu vai Komisijas ierosinājumiem, Padome varētu izvērtēt, kā ES spēkā esošos autonomos ierobežojošos pasākumus (ES teroristu sarakstu) varētu padarīt iedarbīgākus, operatīvākus un dinamiskākus. Turklāt saskaņā ar KĀDP mērķiem varētu apsvērt iespēju izpētīt papildu ierobežojošus pasākumus, kas vērsti pret noziedznieku tīkliem.</w:t>
      </w:r>
    </w:p>
    <w:p w14:paraId="49D5EA25"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14:ligatures w14:val="standardContextual"/>
        </w:rPr>
      </w:pPr>
      <w:r>
        <w:rPr>
          <w:rFonts w:ascii="Times New Roman" w:hAnsi="Times New Roman"/>
          <w:b/>
          <w:i/>
          <w:noProof/>
          <w:sz w:val="24"/>
        </w:rPr>
        <w:t>Vīzu politika un informācijas apmaiņa</w:t>
      </w:r>
    </w:p>
    <w:p w14:paraId="2E84767E"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ES vīzu politika ir svarīgs instruments sadarbībai ar trešām valstīm un mūsu robežu drošībai, kontrolējot ieceļošanu ES un paredzot tai nosacījumus. Komisija pilnībā integrēs </w:t>
      </w:r>
      <w:r>
        <w:rPr>
          <w:rFonts w:ascii="Times New Roman" w:hAnsi="Times New Roman"/>
          <w:b/>
          <w:noProof/>
          <w:sz w:val="24"/>
        </w:rPr>
        <w:t>drošības apsvērumus ES vīzu politikā</w:t>
      </w:r>
      <w:r>
        <w:rPr>
          <w:rFonts w:ascii="Times New Roman" w:hAnsi="Times New Roman"/>
          <w:noProof/>
          <w:sz w:val="24"/>
        </w:rPr>
        <w:t>, izmantojot gaidāmo ES vīzu politikas stratēģiju. Komisija sadarbosies ar abiem likumdevējiem, lai pieņemtu priekšlikumu pārskatīt un racionalizēt vīzu režīma atcelšanas apturēšanas mehānismu, īpaši konkrētos bezvīzu režīma ļaunprātīgas izmantošanas gadījumos</w:t>
      </w:r>
      <w:r w:rsidRPr="000164CE">
        <w:rPr>
          <w:rFonts w:ascii="Times New Roman" w:eastAsia="Times New Roman" w:hAnsi="Times New Roman" w:cs="Times New Roman"/>
          <w:noProof/>
          <w:kern w:val="2"/>
          <w:sz w:val="24"/>
          <w:szCs w:val="24"/>
          <w:vertAlign w:val="superscript"/>
          <w:lang w:val="en-GB"/>
        </w:rPr>
        <w:footnoteReference w:id="88"/>
      </w:r>
      <w:r>
        <w:rPr>
          <w:rFonts w:ascii="Times New Roman" w:hAnsi="Times New Roman"/>
          <w:noProof/>
          <w:sz w:val="24"/>
        </w:rPr>
        <w:t>. Trešās valstis tiks mudinātas apmainīties ar informāciju par personām, kuras var radīt drošības apdraudējumus, un šī informācija tiks ievadīta ES informācijas sistēmās un datubāzēs.</w:t>
      </w:r>
    </w:p>
    <w:p w14:paraId="2AC28C94" w14:textId="3E8DBD60" w:rsidR="000164CE" w:rsidRPr="000164CE" w:rsidRDefault="000164CE" w:rsidP="000164CE">
      <w:pPr>
        <w:spacing w:after="24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Lai panāktu politikas koordināciju un veiktu agrīnus preventīvus pasākumus, atraisot efektīvāku, ātrāku un raitāku sadarbību, Komisija strādās, lai izveidotu </w:t>
      </w:r>
      <w:r>
        <w:rPr>
          <w:rFonts w:ascii="Times New Roman" w:hAnsi="Times New Roman"/>
          <w:b/>
          <w:noProof/>
          <w:sz w:val="24"/>
        </w:rPr>
        <w:t>datu plūsmas kārtību</w:t>
      </w:r>
      <w:r>
        <w:rPr>
          <w:rFonts w:ascii="Times New Roman" w:hAnsi="Times New Roman"/>
          <w:noProof/>
          <w:sz w:val="24"/>
        </w:rPr>
        <w:t xml:space="preserve"> un izpētītu veidus, kā </w:t>
      </w:r>
      <w:r>
        <w:rPr>
          <w:rFonts w:ascii="Times New Roman" w:hAnsi="Times New Roman"/>
          <w:b/>
          <w:noProof/>
          <w:sz w:val="24"/>
        </w:rPr>
        <w:t xml:space="preserve">uzlabot informācijas apmaiņu </w:t>
      </w:r>
      <w:r>
        <w:rPr>
          <w:rFonts w:ascii="Times New Roman" w:hAnsi="Times New Roman"/>
          <w:noProof/>
          <w:sz w:val="24"/>
        </w:rPr>
        <w:t>tiesībaizsardzības un robežu pārvaldības nolūkos</w:t>
      </w:r>
      <w:r>
        <w:rPr>
          <w:rFonts w:ascii="Times New Roman" w:hAnsi="Times New Roman"/>
          <w:b/>
          <w:noProof/>
          <w:sz w:val="24"/>
        </w:rPr>
        <w:t xml:space="preserve"> </w:t>
      </w:r>
      <w:r>
        <w:rPr>
          <w:rFonts w:ascii="Times New Roman" w:hAnsi="Times New Roman"/>
          <w:noProof/>
          <w:sz w:val="24"/>
        </w:rPr>
        <w:t xml:space="preserve">ar uzticamām trešām valstīm, ievērojot pamattiesības un datu aizsardzības noteikumus. </w:t>
      </w:r>
    </w:p>
    <w:tbl>
      <w:tblPr>
        <w:tblStyle w:val="TableGrid"/>
        <w:tblW w:w="0" w:type="auto"/>
        <w:tblLook w:val="04A0" w:firstRow="1" w:lastRow="0" w:firstColumn="1" w:lastColumn="0" w:noHBand="0" w:noVBand="1"/>
      </w:tblPr>
      <w:tblGrid>
        <w:gridCol w:w="9062"/>
      </w:tblGrid>
      <w:tr w:rsidR="000164CE" w:rsidRPr="000164CE" w14:paraId="42025310" w14:textId="77777777">
        <w:trPr>
          <w:trHeight w:val="841"/>
        </w:trPr>
        <w:tc>
          <w:tcPr>
            <w:tcW w:w="9062" w:type="dxa"/>
            <w:tcBorders>
              <w:top w:val="single" w:sz="4" w:space="0" w:color="auto"/>
              <w:left w:val="single" w:sz="4" w:space="0" w:color="auto"/>
              <w:bottom w:val="single" w:sz="4" w:space="0" w:color="auto"/>
              <w:right w:val="single" w:sz="4" w:space="0" w:color="auto"/>
            </w:tcBorders>
            <w:hideMark/>
          </w:tcPr>
          <w:p w14:paraId="0497C437" w14:textId="77777777" w:rsidR="000164CE" w:rsidRPr="000164CE" w:rsidRDefault="000164CE" w:rsidP="000164CE">
            <w:pPr>
              <w:spacing w:after="120"/>
              <w:jc w:val="both"/>
              <w:rPr>
                <w:b/>
                <w:bCs/>
                <w:i/>
                <w:iCs/>
                <w:noProof/>
              </w:rPr>
            </w:pPr>
            <w:r>
              <w:rPr>
                <w:b/>
                <w:i/>
                <w:noProof/>
              </w:rPr>
              <w:t>Pamatdarbības</w:t>
            </w:r>
          </w:p>
          <w:p w14:paraId="4D4F192B" w14:textId="77777777" w:rsidR="000164CE" w:rsidRPr="000164CE" w:rsidRDefault="000164CE" w:rsidP="000164CE">
            <w:pPr>
              <w:spacing w:after="120"/>
              <w:ind w:left="357" w:hanging="357"/>
              <w:jc w:val="both"/>
              <w:rPr>
                <w:b/>
                <w:bCs/>
                <w:noProof/>
              </w:rPr>
            </w:pPr>
            <w:r>
              <w:rPr>
                <w:b/>
                <w:noProof/>
              </w:rPr>
              <w:t xml:space="preserve">Komisija: </w:t>
            </w:r>
          </w:p>
          <w:p w14:paraId="6E856062" w14:textId="1F47EDF4" w:rsidR="000164CE" w:rsidRPr="000164CE" w:rsidRDefault="00E82B5B" w:rsidP="000164CE">
            <w:pPr>
              <w:numPr>
                <w:ilvl w:val="0"/>
                <w:numId w:val="10"/>
              </w:numPr>
              <w:spacing w:after="120"/>
              <w:ind w:left="357" w:hanging="357"/>
              <w:contextualSpacing/>
              <w:jc w:val="both"/>
              <w:rPr>
                <w:b/>
                <w:bCs/>
                <w:noProof/>
              </w:rPr>
            </w:pPr>
            <w:r>
              <w:rPr>
                <w:b/>
                <w:noProof/>
              </w:rPr>
              <w:t xml:space="preserve">noslēgs starptautiskus nolīgumus starp ES un prioritārām trešām valstīm par sadarbību ar Eiropolu un </w:t>
            </w:r>
            <w:r>
              <w:rPr>
                <w:b/>
                <w:i/>
                <w:iCs/>
                <w:noProof/>
              </w:rPr>
              <w:t>Eurojust</w:t>
            </w:r>
            <w:r>
              <w:rPr>
                <w:b/>
                <w:noProof/>
              </w:rPr>
              <w:t>;</w:t>
            </w:r>
          </w:p>
          <w:p w14:paraId="0DCF80AC" w14:textId="6267CCDD" w:rsidR="000164CE" w:rsidRPr="000164CE" w:rsidRDefault="00E82B5B" w:rsidP="000164CE">
            <w:pPr>
              <w:numPr>
                <w:ilvl w:val="0"/>
                <w:numId w:val="10"/>
              </w:numPr>
              <w:spacing w:after="120"/>
              <w:ind w:left="357" w:hanging="357"/>
              <w:contextualSpacing/>
              <w:jc w:val="both"/>
              <w:rPr>
                <w:b/>
                <w:bCs/>
                <w:noProof/>
              </w:rPr>
            </w:pPr>
            <w:r>
              <w:rPr>
                <w:b/>
                <w:noProof/>
              </w:rPr>
              <w:t xml:space="preserve">mudinās partnervalstis piedalīties </w:t>
            </w:r>
            <w:r>
              <w:rPr>
                <w:b/>
                <w:i/>
                <w:iCs/>
                <w:noProof/>
              </w:rPr>
              <w:t>EMPACT</w:t>
            </w:r>
            <w:r>
              <w:rPr>
                <w:b/>
                <w:noProof/>
              </w:rPr>
              <w:t xml:space="preserve"> cīņā pret organizēto noziedzību un terorismu;</w:t>
            </w:r>
          </w:p>
          <w:p w14:paraId="6C87FDB4" w14:textId="49F6A065" w:rsidR="000164CE" w:rsidRPr="000164CE" w:rsidRDefault="00E82B5B" w:rsidP="000164CE">
            <w:pPr>
              <w:numPr>
                <w:ilvl w:val="0"/>
                <w:numId w:val="10"/>
              </w:numPr>
              <w:spacing w:after="120"/>
              <w:ind w:left="357" w:hanging="357"/>
              <w:contextualSpacing/>
              <w:jc w:val="both"/>
              <w:rPr>
                <w:b/>
                <w:bCs/>
                <w:noProof/>
              </w:rPr>
            </w:pPr>
            <w:r>
              <w:rPr>
                <w:b/>
                <w:noProof/>
              </w:rPr>
              <w:t>atbalstīs ES aģentūras un struktūras sadarbības mehānismu ar partnervalstīm izveidē un stiprināšanā;</w:t>
            </w:r>
          </w:p>
          <w:p w14:paraId="381CDD93" w14:textId="4A8C4208" w:rsidR="000164CE" w:rsidRPr="000164CE" w:rsidRDefault="00E82B5B" w:rsidP="000164CE">
            <w:pPr>
              <w:numPr>
                <w:ilvl w:val="0"/>
                <w:numId w:val="10"/>
              </w:numPr>
              <w:spacing w:after="120"/>
              <w:ind w:left="357" w:hanging="357"/>
              <w:contextualSpacing/>
              <w:jc w:val="both"/>
              <w:rPr>
                <w:b/>
                <w:bCs/>
                <w:noProof/>
              </w:rPr>
            </w:pPr>
            <w:r>
              <w:rPr>
                <w:b/>
                <w:noProof/>
              </w:rPr>
              <w:t>turpinās atspoguļot drošības apsvērumus ES vīzu politikā, šim mērķim izmantojot gaidāmo vīzu stratēģiju;</w:t>
            </w:r>
          </w:p>
          <w:p w14:paraId="7FE9244A" w14:textId="01CE1789" w:rsidR="00CD40B9" w:rsidRPr="007D1E7C" w:rsidRDefault="00E82B5B" w:rsidP="00B41288">
            <w:pPr>
              <w:numPr>
                <w:ilvl w:val="0"/>
                <w:numId w:val="10"/>
              </w:numPr>
              <w:spacing w:after="120"/>
              <w:ind w:left="357" w:hanging="357"/>
              <w:contextualSpacing/>
              <w:jc w:val="both"/>
              <w:rPr>
                <w:b/>
                <w:noProof/>
              </w:rPr>
            </w:pPr>
            <w:r>
              <w:rPr>
                <w:b/>
                <w:noProof/>
              </w:rPr>
              <w:t>stiprinās informācijas apmaiņu ar uzticamām trešām valstīm tiesībaizsardzības un robežu pārvaldības nolūkos.</w:t>
            </w:r>
          </w:p>
          <w:p w14:paraId="62C6F78B" w14:textId="77777777" w:rsidR="000164CE" w:rsidRPr="000164CE" w:rsidRDefault="000164CE" w:rsidP="007D1E7C">
            <w:pPr>
              <w:spacing w:before="240" w:after="120"/>
              <w:ind w:left="357" w:hanging="357"/>
              <w:jc w:val="both"/>
              <w:rPr>
                <w:noProof/>
              </w:rPr>
            </w:pPr>
            <w:r>
              <w:rPr>
                <w:b/>
                <w:noProof/>
              </w:rPr>
              <w:t>Komisija sadarbībā ar Augsto pārstāvi ārlietās:</w:t>
            </w:r>
          </w:p>
          <w:p w14:paraId="06136AFD" w14:textId="4669C77C" w:rsidR="000164CE" w:rsidRPr="000164CE" w:rsidRDefault="00E82B5B" w:rsidP="000164CE">
            <w:pPr>
              <w:numPr>
                <w:ilvl w:val="0"/>
                <w:numId w:val="10"/>
              </w:numPr>
              <w:spacing w:before="120"/>
              <w:ind w:left="357" w:hanging="357"/>
              <w:jc w:val="both"/>
              <w:rPr>
                <w:b/>
                <w:bCs/>
                <w:noProof/>
              </w:rPr>
            </w:pPr>
            <w:r>
              <w:rPr>
                <w:b/>
                <w:noProof/>
              </w:rPr>
              <w:t>pilnībā izmantos civilās kopējās drošības un aizsardzības politikas (KDAP) misijas;</w:t>
            </w:r>
          </w:p>
          <w:p w14:paraId="31FC1712" w14:textId="5A698217" w:rsidR="000164CE" w:rsidRPr="000164CE" w:rsidRDefault="00E82B5B" w:rsidP="000164CE">
            <w:pPr>
              <w:numPr>
                <w:ilvl w:val="0"/>
                <w:numId w:val="10"/>
              </w:numPr>
              <w:spacing w:after="120"/>
              <w:ind w:left="357" w:hanging="357"/>
              <w:contextualSpacing/>
              <w:jc w:val="both"/>
              <w:rPr>
                <w:b/>
                <w:bCs/>
                <w:noProof/>
              </w:rPr>
            </w:pPr>
            <w:r>
              <w:rPr>
                <w:b/>
                <w:noProof/>
              </w:rPr>
              <w:t>līdz 2027. gadam sāks koordinēt kopīgas inspekcijas trešo valstu ostās.</w:t>
            </w:r>
          </w:p>
          <w:p w14:paraId="2F0DD8FE" w14:textId="68A744EE" w:rsidR="000164CE" w:rsidRPr="000164CE" w:rsidRDefault="000164CE" w:rsidP="008F0A02">
            <w:pPr>
              <w:spacing w:before="240" w:after="120"/>
              <w:jc w:val="both"/>
              <w:rPr>
                <w:b/>
                <w:bCs/>
                <w:noProof/>
              </w:rPr>
            </w:pPr>
            <w:r>
              <w:rPr>
                <w:b/>
                <w:noProof/>
              </w:rPr>
              <w:t>Komisija sadarbībā ar Augsto pārstāvi ārlietās un dalībvalstu jautājumos:</w:t>
            </w:r>
          </w:p>
          <w:p w14:paraId="5D216A06" w14:textId="02C9FF4F" w:rsidR="000164CE" w:rsidRPr="00F34358" w:rsidRDefault="00E82B5B" w:rsidP="00F34358">
            <w:pPr>
              <w:numPr>
                <w:ilvl w:val="0"/>
                <w:numId w:val="10"/>
              </w:numPr>
              <w:spacing w:after="120"/>
              <w:ind w:left="357" w:hanging="357"/>
              <w:contextualSpacing/>
              <w:jc w:val="both"/>
              <w:rPr>
                <w:b/>
                <w:bCs/>
                <w:noProof/>
              </w:rPr>
            </w:pPr>
            <w:r>
              <w:rPr>
                <w:b/>
                <w:noProof/>
              </w:rPr>
              <w:t>stiprinās sadarbības tīklus un sadarbību, izmantojot Eiropas komandas pieeju;</w:t>
            </w:r>
          </w:p>
          <w:p w14:paraId="65ED6190" w14:textId="1A5431D3" w:rsidR="000164CE" w:rsidRPr="000164CE" w:rsidRDefault="00E82B5B" w:rsidP="000164CE">
            <w:pPr>
              <w:numPr>
                <w:ilvl w:val="0"/>
                <w:numId w:val="10"/>
              </w:numPr>
              <w:spacing w:after="120"/>
              <w:ind w:left="357" w:hanging="357"/>
              <w:contextualSpacing/>
              <w:jc w:val="both"/>
              <w:rPr>
                <w:b/>
                <w:bCs/>
                <w:noProof/>
              </w:rPr>
            </w:pPr>
            <w:r>
              <w:rPr>
                <w:b/>
                <w:noProof/>
              </w:rPr>
              <w:t>no 2025. gada izveidos kopīgas operatīvās vienības un informācijas apkopošanas centrus trešās valstīs.</w:t>
            </w:r>
          </w:p>
          <w:p w14:paraId="5EC4B50A" w14:textId="2B082101" w:rsidR="000164CE" w:rsidRPr="000164CE" w:rsidRDefault="000164CE" w:rsidP="007D1E7C">
            <w:pPr>
              <w:spacing w:before="240" w:after="120"/>
              <w:ind w:left="357" w:hanging="357"/>
              <w:jc w:val="both"/>
              <w:rPr>
                <w:b/>
                <w:bCs/>
                <w:noProof/>
              </w:rPr>
            </w:pPr>
            <w:r>
              <w:rPr>
                <w:b/>
                <w:noProof/>
              </w:rPr>
              <w:t>Eiropas Parlaments un Padome tiek mudināti:</w:t>
            </w:r>
          </w:p>
          <w:p w14:paraId="3B6237C5" w14:textId="4B46AFEB" w:rsidR="000164CE" w:rsidRPr="000164CE" w:rsidRDefault="00E82B5B" w:rsidP="007D1E7C">
            <w:pPr>
              <w:numPr>
                <w:ilvl w:val="0"/>
                <w:numId w:val="10"/>
              </w:numPr>
              <w:spacing w:after="120"/>
              <w:ind w:left="357" w:hanging="357"/>
              <w:jc w:val="both"/>
              <w:rPr>
                <w:b/>
                <w:bCs/>
                <w:noProof/>
              </w:rPr>
            </w:pPr>
            <w:r>
              <w:rPr>
                <w:b/>
                <w:noProof/>
              </w:rPr>
              <w:t>pabeigt sarunas par vīzu režīma atcelšanas apturēšanas mehānisma pārskatīšanu.</w:t>
            </w:r>
          </w:p>
        </w:tc>
      </w:tr>
    </w:tbl>
    <w:p w14:paraId="6E396620" w14:textId="77777777" w:rsidR="000164CE" w:rsidRPr="00756DFE" w:rsidRDefault="000164CE" w:rsidP="000164CE">
      <w:pPr>
        <w:spacing w:after="120" w:line="240" w:lineRule="auto"/>
        <w:jc w:val="both"/>
        <w:rPr>
          <w:rFonts w:ascii="Times New Roman" w:eastAsia="Times New Roman" w:hAnsi="Times New Roman" w:cs="Times New Roman"/>
          <w:i/>
          <w:noProof/>
          <w:kern w:val="2"/>
          <w:sz w:val="24"/>
          <w:szCs w:val="24"/>
          <w14:ligatures w14:val="standardContextual"/>
        </w:rPr>
      </w:pPr>
    </w:p>
    <w:p w14:paraId="2B0FC73F" w14:textId="77777777" w:rsidR="000164CE" w:rsidRPr="000A2ACC" w:rsidRDefault="000164CE" w:rsidP="000A2ACC">
      <w:pPr>
        <w:pStyle w:val="ListParagraph"/>
        <w:keepNext/>
        <w:keepLines/>
        <w:numPr>
          <w:ilvl w:val="0"/>
          <w:numId w:val="46"/>
        </w:numPr>
        <w:spacing w:before="120" w:after="120" w:line="240" w:lineRule="auto"/>
        <w:outlineLvl w:val="0"/>
        <w:rPr>
          <w:rFonts w:ascii="Times New Roman" w:eastAsia="Times New Roman" w:hAnsi="Times New Roman" w:cs="Times New Roman"/>
          <w:b/>
          <w:noProof/>
          <w:kern w:val="2"/>
          <w:sz w:val="24"/>
          <w:szCs w:val="40"/>
          <w14:ligatures w14:val="standardContextual"/>
        </w:rPr>
      </w:pPr>
      <w:r>
        <w:rPr>
          <w:rFonts w:ascii="Times New Roman" w:hAnsi="Times New Roman"/>
          <w:b/>
          <w:noProof/>
          <w:sz w:val="24"/>
        </w:rPr>
        <w:t>Nobeigums</w:t>
      </w:r>
    </w:p>
    <w:p w14:paraId="175B8BD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Nenoteiktības apstākļos ir jāuzlabo Savienības spēja paredzēt un novērst drošības apdraudējumus un reaģēt uz tiem. </w:t>
      </w:r>
    </w:p>
    <w:p w14:paraId="2E106351"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Nepietiek ar reaģēšanu uz krīzēm tikai tad, kad tās rodas. Mums ir jāuzlabo mūsu informētība, sniedzot pilnīgu priekšstatu par apdraudējumiem, kad tie attīstās. Tāpat jānodrošina, ka mūsu rīki un spējas atbilst uzdevumam.</w:t>
      </w:r>
    </w:p>
    <w:p w14:paraId="45BED45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Visaptverošais pasākumu kopums, kas sīki izklāstīts šajā stratēģijā, palīdzēs izveidot spēcīgāku Savienību pasaulē – Savienību, kas spēj paredzēt, plānot un rūpēties par savām drošības vajadzībām, kas var efektīvi reaģēt uz draudiem iekšējai drošībai un saukt vainīgos pie atbildības un kas aizsargā atvērtu, brīvu un pārticīgu sabiedrību un demokrātiju. </w:t>
      </w:r>
    </w:p>
    <w:p w14:paraId="44E51D7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Tāpēc ir jāmaina mūsu domāšanas veids attiecībā uz iekšējo drošību. Mēs strādāsim, lai palīdzētu veicināt jaunu ES drošības kultūru, kurā drošības apsvērumi tiek ņemti vērā visos mūsu tiesību aktos, politikā un programmās – no sākuma līdz īstenošanai. Un kur sadarbība starp politikas jomām mums ļauj pavērt jaunas iespējas. </w:t>
      </w:r>
    </w:p>
    <w:p w14:paraId="24A854D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Pr>
          <w:rFonts w:ascii="Times New Roman" w:hAnsi="Times New Roman"/>
          <w:noProof/>
          <w:sz w:val="24"/>
        </w:rPr>
        <w:t xml:space="preserve">Tas nav tikai vienas iestādes, valdības vai dalībnieka uzdevums. Tie ir Eiropas kopīgie centieni. </w:t>
      </w:r>
    </w:p>
    <w:p w14:paraId="6F37978B" w14:textId="77777777" w:rsidR="00CF1D25" w:rsidRDefault="00CF1D25">
      <w:pPr>
        <w:rPr>
          <w:noProof/>
        </w:rPr>
      </w:pPr>
    </w:p>
    <w:sectPr w:rsidR="00CF1D25" w:rsidSect="000164C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C8DB" w14:textId="77777777" w:rsidR="00FD094C" w:rsidRDefault="00FD094C" w:rsidP="000164CE">
      <w:pPr>
        <w:spacing w:after="0" w:line="240" w:lineRule="auto"/>
      </w:pPr>
      <w:r>
        <w:separator/>
      </w:r>
    </w:p>
  </w:endnote>
  <w:endnote w:type="continuationSeparator" w:id="0">
    <w:p w14:paraId="66DEBB00" w14:textId="77777777" w:rsidR="00FD094C" w:rsidRDefault="00FD094C" w:rsidP="000164CE">
      <w:pPr>
        <w:spacing w:after="0" w:line="240" w:lineRule="auto"/>
      </w:pPr>
      <w:r>
        <w:continuationSeparator/>
      </w:r>
    </w:p>
  </w:endnote>
  <w:endnote w:type="continuationNotice" w:id="1">
    <w:p w14:paraId="134DD724" w14:textId="77777777" w:rsidR="00FD094C" w:rsidRDefault="00FD0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C06E" w14:textId="054B05B4" w:rsidR="0085333F" w:rsidRPr="0085333F" w:rsidRDefault="0085333F" w:rsidP="0085333F">
    <w:pPr>
      <w:pStyle w:val="FooterCoverPage"/>
      <w:rPr>
        <w:rFonts w:ascii="Arial" w:hAnsi="Arial" w:cs="Arial"/>
        <w:b/>
        <w:sz w:val="48"/>
      </w:rPr>
    </w:pPr>
    <w:r w:rsidRPr="0085333F">
      <w:rPr>
        <w:rFonts w:ascii="Arial" w:hAnsi="Arial" w:cs="Arial"/>
        <w:b/>
        <w:sz w:val="48"/>
      </w:rPr>
      <w:t>LV</w:t>
    </w:r>
    <w:r w:rsidRPr="0085333F">
      <w:rPr>
        <w:rFonts w:ascii="Arial" w:hAnsi="Arial" w:cs="Arial"/>
        <w:b/>
        <w:sz w:val="48"/>
      </w:rPr>
      <w:tab/>
    </w:r>
    <w:r w:rsidRPr="0085333F">
      <w:rPr>
        <w:rFonts w:ascii="Arial" w:hAnsi="Arial" w:cs="Arial"/>
        <w:b/>
        <w:sz w:val="48"/>
      </w:rPr>
      <w:tab/>
    </w:r>
    <w:r w:rsidRPr="0085333F">
      <w:tab/>
    </w:r>
    <w:r w:rsidRPr="0085333F">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D72D" w14:textId="35ED893E" w:rsidR="0085333F" w:rsidRPr="0085333F" w:rsidRDefault="0085333F" w:rsidP="0085333F">
    <w:pPr>
      <w:pStyle w:val="FooterCoverPage"/>
      <w:rPr>
        <w:rFonts w:ascii="Arial" w:hAnsi="Arial" w:cs="Arial"/>
        <w:b/>
        <w:sz w:val="48"/>
      </w:rPr>
    </w:pPr>
    <w:r w:rsidRPr="0085333F">
      <w:rPr>
        <w:rFonts w:ascii="Arial" w:hAnsi="Arial" w:cs="Arial"/>
        <w:b/>
        <w:sz w:val="48"/>
      </w:rPr>
      <w:t>LV</w:t>
    </w:r>
    <w:r w:rsidRPr="0085333F">
      <w:rPr>
        <w:rFonts w:ascii="Arial" w:hAnsi="Arial" w:cs="Arial"/>
        <w:b/>
        <w:sz w:val="48"/>
      </w:rPr>
      <w:tab/>
    </w:r>
    <w:r w:rsidRPr="0085333F">
      <w:rPr>
        <w:rFonts w:ascii="Arial" w:hAnsi="Arial" w:cs="Arial"/>
        <w:b/>
        <w:sz w:val="48"/>
      </w:rPr>
      <w:tab/>
    </w:r>
    <w:r w:rsidRPr="0085333F">
      <w:tab/>
    </w:r>
    <w:r w:rsidRPr="0085333F">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B1C5" w14:textId="77777777" w:rsidR="0085333F" w:rsidRPr="0085333F" w:rsidRDefault="0085333F" w:rsidP="0085333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1706" w14:textId="77777777" w:rsidR="000164CE" w:rsidRDefault="000164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70644629"/>
      <w:docPartObj>
        <w:docPartGallery w:val="Page Numbers (Bottom of Page)"/>
        <w:docPartUnique/>
      </w:docPartObj>
    </w:sdtPr>
    <w:sdtEndPr>
      <w:rPr>
        <w:noProof/>
      </w:rPr>
    </w:sdtEndPr>
    <w:sdtContent>
      <w:p w14:paraId="7F4BFCB4" w14:textId="0C81152D" w:rsidR="000164CE" w:rsidRPr="000A2ACC" w:rsidRDefault="000164CE">
        <w:pPr>
          <w:pStyle w:val="Footer1"/>
          <w:jc w:val="right"/>
          <w:rPr>
            <w:rFonts w:ascii="Times New Roman" w:hAnsi="Times New Roman" w:cs="Times New Roman"/>
            <w:sz w:val="24"/>
            <w:szCs w:val="24"/>
          </w:rPr>
        </w:pPr>
        <w:r w:rsidRPr="000A2ACC">
          <w:rPr>
            <w:rFonts w:ascii="Times New Roman" w:hAnsi="Times New Roman" w:cs="Times New Roman"/>
            <w:sz w:val="24"/>
          </w:rPr>
          <w:fldChar w:fldCharType="begin"/>
        </w:r>
        <w:r w:rsidRPr="000A2ACC">
          <w:rPr>
            <w:rFonts w:ascii="Times New Roman" w:hAnsi="Times New Roman" w:cs="Times New Roman"/>
            <w:sz w:val="24"/>
          </w:rPr>
          <w:instrText xml:space="preserve"> PAGE   \* MERGEFORMAT </w:instrText>
        </w:r>
        <w:r w:rsidRPr="000A2ACC">
          <w:rPr>
            <w:rFonts w:ascii="Times New Roman" w:hAnsi="Times New Roman" w:cs="Times New Roman"/>
            <w:sz w:val="24"/>
          </w:rPr>
          <w:fldChar w:fldCharType="separate"/>
        </w:r>
        <w:r w:rsidR="0085333F">
          <w:rPr>
            <w:rFonts w:ascii="Times New Roman" w:hAnsi="Times New Roman" w:cs="Times New Roman"/>
            <w:noProof/>
            <w:sz w:val="24"/>
          </w:rPr>
          <w:t>1</w:t>
        </w:r>
        <w:r w:rsidRPr="000A2ACC">
          <w:rPr>
            <w:rFonts w:ascii="Times New Roman" w:hAnsi="Times New Roman" w:cs="Times New Roman"/>
            <w:sz w:val="24"/>
          </w:rPr>
          <w:fldChar w:fldCharType="end"/>
        </w:r>
      </w:p>
    </w:sdtContent>
  </w:sdt>
  <w:p w14:paraId="212A7FFA" w14:textId="77777777" w:rsidR="000164CE" w:rsidRPr="000A2ACC" w:rsidRDefault="000164CE">
    <w:pPr>
      <w:pStyle w:val="Footer1"/>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0DFD" w14:textId="77777777" w:rsidR="000164CE" w:rsidRDefault="0001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C91F" w14:textId="77777777" w:rsidR="00FD094C" w:rsidRDefault="00FD094C" w:rsidP="000164CE">
      <w:pPr>
        <w:spacing w:after="0" w:line="240" w:lineRule="auto"/>
      </w:pPr>
      <w:r>
        <w:separator/>
      </w:r>
    </w:p>
  </w:footnote>
  <w:footnote w:type="continuationSeparator" w:id="0">
    <w:p w14:paraId="356112BD" w14:textId="77777777" w:rsidR="00FD094C" w:rsidRDefault="00FD094C" w:rsidP="000164CE">
      <w:pPr>
        <w:spacing w:after="0" w:line="240" w:lineRule="auto"/>
      </w:pPr>
      <w:r>
        <w:continuationSeparator/>
      </w:r>
    </w:p>
  </w:footnote>
  <w:footnote w:type="continuationNotice" w:id="1">
    <w:p w14:paraId="16F0203E" w14:textId="77777777" w:rsidR="00FD094C" w:rsidRDefault="00FD094C">
      <w:pPr>
        <w:spacing w:after="0" w:line="240" w:lineRule="auto"/>
      </w:pPr>
    </w:p>
  </w:footnote>
  <w:footnote w:id="2">
    <w:p w14:paraId="68CBAA8C" w14:textId="2D5815FC"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1"/>
            <w:rFonts w:ascii="Times New Roman" w:hAnsi="Times New Roman"/>
            <w:color w:val="auto"/>
            <w:u w:val="none"/>
          </w:rPr>
          <w:t>https://www.europol.europa.eu/cms/sites/default/files/documents/EU-SOCTA-2025.pdf</w:t>
        </w:r>
      </w:hyperlink>
      <w:r>
        <w:t>.</w:t>
      </w:r>
      <w:r>
        <w:rPr>
          <w:rFonts w:ascii="Times New Roman" w:hAnsi="Times New Roman"/>
        </w:rPr>
        <w:t xml:space="preserve"> </w:t>
      </w:r>
    </w:p>
  </w:footnote>
  <w:footnote w:id="3">
    <w:p w14:paraId="7A977A91" w14:textId="5E34C874" w:rsidR="000E2371" w:rsidRPr="00B5194E" w:rsidRDefault="000E237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1"/>
            <w:rFonts w:ascii="Times New Roman" w:hAnsi="Times New Roman"/>
            <w:color w:val="auto"/>
            <w:u w:val="none"/>
          </w:rPr>
          <w:t>Eirobarometra zibensaptauja FL550</w:t>
        </w:r>
      </w:hyperlink>
      <w:r>
        <w:rPr>
          <w:rFonts w:ascii="Times New Roman" w:hAnsi="Times New Roman"/>
        </w:rPr>
        <w:t xml:space="preserve">: </w:t>
      </w:r>
      <w:r>
        <w:rPr>
          <w:rFonts w:ascii="Times New Roman" w:hAnsi="Times New Roman"/>
          <w:i/>
          <w:iCs/>
        </w:rPr>
        <w:t>EU Challenges and Priorities</w:t>
      </w:r>
      <w:r>
        <w:rPr>
          <w:rFonts w:ascii="Times New Roman" w:hAnsi="Times New Roman"/>
        </w:rPr>
        <w:t xml:space="preserve"> (ES uzdevumi un prioritātes).</w:t>
      </w:r>
    </w:p>
  </w:footnote>
  <w:footnote w:id="4">
    <w:p w14:paraId="4C298365" w14:textId="3CF9B6E9" w:rsidR="002C4C92" w:rsidRPr="00B5194E" w:rsidRDefault="002C4C9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1"/>
            <w:rFonts w:ascii="Times New Roman" w:hAnsi="Times New Roman"/>
            <w:color w:val="auto"/>
            <w:u w:val="none"/>
          </w:rPr>
          <w:t>https://reports.weforum.org/docs/WEF_Global_Risks_Report_2025.pdf</w:t>
        </w:r>
      </w:hyperlink>
      <w:r>
        <w:rPr>
          <w:rStyle w:val="Hyperlink1"/>
          <w:rFonts w:ascii="Times New Roman" w:hAnsi="Times New Roman"/>
          <w:color w:val="auto"/>
          <w:u w:val="none"/>
        </w:rPr>
        <w:t>,</w:t>
      </w:r>
      <w:r>
        <w:rPr>
          <w:rFonts w:ascii="Times New Roman" w:hAnsi="Times New Roman"/>
        </w:rPr>
        <w:t xml:space="preserve"> 17. lpp.</w:t>
      </w:r>
    </w:p>
  </w:footnote>
  <w:footnote w:id="5">
    <w:p w14:paraId="5D517E09" w14:textId="0CBBAD17" w:rsidR="008E4273" w:rsidRPr="00B5194E" w:rsidRDefault="008E427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1"/>
            <w:rFonts w:ascii="Times New Roman" w:hAnsi="Times New Roman"/>
            <w:color w:val="auto"/>
            <w:u w:val="none"/>
          </w:rPr>
          <w:t>COM (2025) 46 final</w:t>
        </w:r>
      </w:hyperlink>
      <w:r>
        <w:rPr>
          <w:rFonts w:ascii="Times New Roman" w:hAnsi="Times New Roman"/>
        </w:rPr>
        <w:t>.</w:t>
      </w:r>
    </w:p>
  </w:footnote>
  <w:footnote w:id="6">
    <w:p w14:paraId="0C60535A" w14:textId="41D819C3" w:rsidR="002C5A66" w:rsidRPr="00B5194E" w:rsidRDefault="002C5A6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1"/>
            <w:rFonts w:ascii="Times New Roman" w:hAnsi="Times New Roman"/>
            <w:color w:val="auto"/>
            <w:u w:val="none"/>
          </w:rPr>
          <w:t>JOIN (2025) 130 final</w:t>
        </w:r>
      </w:hyperlink>
      <w:r>
        <w:rPr>
          <w:rFonts w:ascii="Times New Roman" w:hAnsi="Times New Roman"/>
        </w:rPr>
        <w:t>.</w:t>
      </w:r>
    </w:p>
  </w:footnote>
  <w:footnote w:id="7">
    <w:p w14:paraId="370471E2" w14:textId="2BC18537" w:rsidR="00343CAC" w:rsidRPr="00B5194E" w:rsidRDefault="00343CA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1"/>
            <w:rFonts w:ascii="Times New Roman" w:hAnsi="Times New Roman"/>
            <w:color w:val="auto"/>
            <w:u w:val="none"/>
          </w:rPr>
          <w:t>JOIN (2025) 120 final</w:t>
        </w:r>
      </w:hyperlink>
      <w:r>
        <w:rPr>
          <w:rFonts w:ascii="Times New Roman" w:hAnsi="Times New Roman"/>
        </w:rPr>
        <w:t>.</w:t>
      </w:r>
    </w:p>
  </w:footnote>
  <w:footnote w:id="8">
    <w:p w14:paraId="68BC6116" w14:textId="27503B64"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1"/>
            <w:rFonts w:ascii="Times New Roman" w:hAnsi="Times New Roman"/>
            <w:i/>
            <w:iCs/>
            <w:color w:val="auto"/>
            <w:u w:val="none"/>
          </w:rPr>
          <w:t>Safer Together</w:t>
        </w:r>
      </w:hyperlink>
      <w:r>
        <w:rPr>
          <w:rFonts w:ascii="Times New Roman" w:hAnsi="Times New Roman"/>
        </w:rPr>
        <w:t xml:space="preserve"> – </w:t>
      </w:r>
      <w:r>
        <w:rPr>
          <w:rFonts w:ascii="Times New Roman" w:hAnsi="Times New Roman"/>
          <w:i/>
          <w:iCs/>
        </w:rPr>
        <w:t>Strengthening Europe’s Civilian and Military Preparedness and Readiness,</w:t>
      </w:r>
      <w:r>
        <w:rPr>
          <w:rFonts w:ascii="Times New Roman" w:hAnsi="Times New Roman"/>
        </w:rPr>
        <w:t xml:space="preserve"> (Drošāk kopā – Eiropas civilās un militārās sagatavotības un gatavības stiprināšana), 23. lpp. </w:t>
      </w:r>
    </w:p>
  </w:footnote>
  <w:footnote w:id="9">
    <w:p w14:paraId="1DE571D2" w14:textId="31C113FB"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Nozaru draudu novērtējumi, kas palīdzēs sagatavot šo draudu analīzi, ietver ES smagās un organizētās noziedzības draudu novērtējumu (</w:t>
      </w:r>
      <w:r>
        <w:rPr>
          <w:rFonts w:ascii="Times New Roman" w:hAnsi="Times New Roman"/>
          <w:i/>
          <w:iCs/>
        </w:rPr>
        <w:t>SOCTA</w:t>
      </w:r>
      <w:r>
        <w:rPr>
          <w:rFonts w:ascii="Times New Roman" w:hAnsi="Times New Roman"/>
        </w:rPr>
        <w:t>), ES ziņojumu par terorisma situāciju un tendencēm (</w:t>
      </w:r>
      <w:r>
        <w:rPr>
          <w:rFonts w:ascii="Times New Roman" w:hAnsi="Times New Roman"/>
          <w:i/>
          <w:iCs/>
        </w:rPr>
        <w:t>TE-SAT</w:t>
      </w:r>
      <w:r>
        <w:rPr>
          <w:rFonts w:ascii="Times New Roman" w:hAnsi="Times New Roman"/>
        </w:rPr>
        <w:t>), Kopīgo kibernovērtējuma ziņojumu (</w:t>
      </w:r>
      <w:r>
        <w:rPr>
          <w:rFonts w:ascii="Times New Roman" w:hAnsi="Times New Roman"/>
          <w:i/>
          <w:iCs/>
        </w:rPr>
        <w:t>JCAR</w:t>
      </w:r>
      <w:r>
        <w:rPr>
          <w:rFonts w:ascii="Times New Roman" w:hAnsi="Times New Roman"/>
        </w:rPr>
        <w:t>) un turpmākus nelikumīgi iegūtu līdzekļu legalizēšanas un teroristu finansēšanas draudu, risku un metožu novērtējumus, kas jāveic Komisijai un Iestādei nelikumīgi iegūtu līdzekļu legalizēšanas novēršanai.</w:t>
      </w:r>
    </w:p>
  </w:footnote>
  <w:footnote w:id="10">
    <w:p w14:paraId="064C3D30" w14:textId="3EAF6BC3"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1"/>
          <w:rFonts w:ascii="Times New Roman" w:hAnsi="Times New Roman"/>
          <w:color w:val="auto"/>
          <w:u w:val="none"/>
        </w:rPr>
        <w:t>COM(2022) 119 final.</w:t>
      </w:r>
    </w:p>
  </w:footnote>
  <w:footnote w:id="11">
    <w:p w14:paraId="35D4213F" w14:textId="05749DDB"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color w:val="auto"/>
            <w:u w:val="none"/>
          </w:rPr>
          <w:t>https://www.europol.europa.eu/cms/sites/default/files/documents/europol-frontex_joint_statement_signed_31.1.2024.pdf</w:t>
        </w:r>
      </w:hyperlink>
      <w:r>
        <w:rPr>
          <w:rFonts w:ascii="Times New Roman" w:hAnsi="Times New Roman"/>
        </w:rPr>
        <w:t>.</w:t>
      </w:r>
    </w:p>
  </w:footnote>
  <w:footnote w:id="12">
    <w:p w14:paraId="260C3A51" w14:textId="2F32A032"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ir, tīkli, ko izmanto tiesībaizsardzības iestādes, robežsargi, muitas dienesti, civilā aizsardzība, ugunsdzēsēji, neatliekamās medicīniskās palīdzības sniedzēji un citi svarīgi sabiedriskās drošības un drošuma dalībnieki.</w:t>
      </w:r>
    </w:p>
  </w:footnote>
  <w:footnote w:id="13">
    <w:p w14:paraId="3E25F364" w14:textId="77777777" w:rsidR="000164CE" w:rsidRPr="00B5194E" w:rsidRDefault="000164CE" w:rsidP="000164CE">
      <w:pPr>
        <w:pStyle w:val="FootnoteText1"/>
        <w:rPr>
          <w:rFonts w:ascii="Times New Roman" w:eastAsia="Segoe UI" w:hAnsi="Times New Roman" w:cs="Times New Roman"/>
        </w:rPr>
      </w:pPr>
      <w:r>
        <w:rPr>
          <w:rStyle w:val="FootnoteReference"/>
          <w:rFonts w:ascii="Times New Roman" w:hAnsi="Times New Roman" w:cs="Times New Roman"/>
        </w:rPr>
        <w:footnoteRef/>
      </w:r>
      <w:r>
        <w:rPr>
          <w:rFonts w:ascii="Times New Roman" w:hAnsi="Times New Roman"/>
        </w:rPr>
        <w:t xml:space="preserve"> ES infrastruktūra noturībai, savienojamībai un drošībai, izmantojot satelītu.</w:t>
      </w:r>
    </w:p>
  </w:footnote>
  <w:footnote w:id="14">
    <w:p w14:paraId="50F7257C" w14:textId="3B0F80A5"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Fonts w:ascii="Times New Roman" w:hAnsi="Times New Roman"/>
          </w:rPr>
          <w:t>https://www.europol.europa.eu/cms/sites/default/files/documents/EU-SOCTA-2025.pdf</w:t>
        </w:r>
      </w:hyperlink>
      <w:r>
        <w:t>.</w:t>
      </w:r>
    </w:p>
  </w:footnote>
  <w:footnote w:id="15">
    <w:p w14:paraId="3465DDF0"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1"/>
            <w:rFonts w:ascii="Times New Roman" w:hAnsi="Times New Roman"/>
            <w:color w:val="auto"/>
            <w:u w:val="none"/>
          </w:rPr>
          <w:t>https://eur-lex.europa.eu/legal-content/EN/TXT/?uri=CELEX:52019PC0070</w:t>
        </w:r>
      </w:hyperlink>
      <w:r>
        <w:rPr>
          <w:rFonts w:ascii="Times New Roman" w:hAnsi="Times New Roman"/>
        </w:rPr>
        <w:t xml:space="preserve">. </w:t>
      </w:r>
    </w:p>
  </w:footnote>
  <w:footnote w:id="16">
    <w:p w14:paraId="43001C80"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Augsta līmeņa grupas jautājumos par piekļuvi datiem efektīvas tiesībaizsardzības nolūkos noslēguma ziņojums, 15.11.2024., </w:t>
      </w:r>
      <w:hyperlink r:id="rId11" w:history="1">
        <w:r>
          <w:rPr>
            <w:rStyle w:val="Hyperlink1"/>
            <w:rFonts w:ascii="Times New Roman" w:hAnsi="Times New Roman"/>
            <w:color w:val="auto"/>
            <w:u w:val="none"/>
          </w:rPr>
          <w:t>4802e306-c364-4154-835b-e986a9a49281_en</w:t>
        </w:r>
      </w:hyperlink>
      <w:r>
        <w:rPr>
          <w:rFonts w:ascii="Times New Roman" w:hAnsi="Times New Roman"/>
        </w:rPr>
        <w:t>.</w:t>
      </w:r>
    </w:p>
  </w:footnote>
  <w:footnote w:id="17">
    <w:p w14:paraId="76522BF2"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(ES) 2023/1543 (2023. gada 12. jūlijs) par Eiropas e-pierādījumu sniegšanas rīkojumiem un Eiropas e-pierādījumu saglabāšanas rīkojumiem e-pierādījumu gūšanai kriminālprocesā un brīvības atņemšanas sodu izpildei pēc kriminālprocesa, OV L 191, 28.7.2023.</w:t>
      </w:r>
    </w:p>
  </w:footnote>
  <w:footnote w:id="18">
    <w:p w14:paraId="496CCDC3" w14:textId="5CC709E3" w:rsidR="000164CE" w:rsidRPr="00B5194E" w:rsidRDefault="000164CE" w:rsidP="000164CE">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2024. gada 12. decembra secinājumi par piekļuvi datiem efektīvas tiesībaizsardzības nolūkā </w:t>
      </w:r>
      <w:hyperlink r:id="rId12" w:history="1">
        <w:r>
          <w:rPr>
            <w:rStyle w:val="Hyperlink1"/>
            <w:rFonts w:ascii="Times New Roman" w:hAnsi="Times New Roman"/>
            <w:color w:val="auto"/>
            <w:u w:val="none"/>
          </w:rPr>
          <w:t>https://data.consilium.europa.eu/doc/document/ST-16448-2024-INIT/en/pdf</w:t>
        </w:r>
      </w:hyperlink>
      <w:r>
        <w:rPr>
          <w:rFonts w:ascii="Times New Roman" w:hAnsi="Times New Roman"/>
        </w:rPr>
        <w:t xml:space="preserve">. </w:t>
      </w:r>
    </w:p>
  </w:footnote>
  <w:footnote w:id="19">
    <w:p w14:paraId="6E1E8C93" w14:textId="75A72356"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ziņots Komisijas novērtējumā par dalībvalstu pasākumiem Padomes 2022. gada 9. jūnija Ieteikuma (ES) 2022/915 par operatīvo tiesībaizsardzības sadarbību īstenošanai (5909/25).</w:t>
      </w:r>
    </w:p>
  </w:footnote>
  <w:footnote w:id="20">
    <w:p w14:paraId="2503E255" w14:textId="280383BE"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(ES) 2024/982 (2024. gada 13. marts) par datu automatizētu meklēšanu un apmaiņu policijas sadarbībai un ar ko groza Padomes Lēmumus 2008/615/TI un 2008/616/TI un Eiropas Parlamenta un Padomes Regulas (ES) 2018/1726, (ES) 2019/817 un (ES) 2019/818 (Prīme II regula), OV L, 2024/982, 5.4.2024.</w:t>
      </w:r>
    </w:p>
  </w:footnote>
  <w:footnote w:id="21">
    <w:p w14:paraId="210EA555"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Direktīva (ES) 2023/977 (2023. gada 10. maijs) par informācijas apmaiņu starp dalībvalstu tiesībaizsardzības iestādēm un ar ko atceļ Padomes Pamatlēmumu 2006/960/TI, OV L 134, 22.5.2023., 1.–24. lpp.</w:t>
      </w:r>
    </w:p>
  </w:footnote>
  <w:footnote w:id="22">
    <w:p w14:paraId="49E9682C"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Drošas informācijas apmaiņas tīkla lietojumprogramma.</w:t>
      </w:r>
    </w:p>
  </w:footnote>
  <w:footnote w:id="23">
    <w:p w14:paraId="1A4E45F7"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Proti, ieceļošanas/izceļošanas sistēma (IIS) ļaus dalībvalstīm identificēt trešo valstu valstspiederīgos pie Šengenas zonas ārējām robežām un reģistrēt viņu ieceļošanu un izceļošanu, lai varētu sistemātiski identificēt personas, kuras pārsniedz atļauto uzturēšanās termiņu. Pirms trešās valsts valstspiederīgā ierašanās pie ārējām robežām Eiropas ceļošanas informācijas un atļauju sistēma (</w:t>
      </w:r>
      <w:r>
        <w:rPr>
          <w:rFonts w:ascii="Times New Roman" w:hAnsi="Times New Roman"/>
          <w:i/>
          <w:iCs/>
        </w:rPr>
        <w:t>ETIAS</w:t>
      </w:r>
      <w:r>
        <w:rPr>
          <w:rFonts w:ascii="Times New Roman" w:hAnsi="Times New Roman"/>
        </w:rPr>
        <w:t>) un Vīzu informācijas sistēma (VIS) ļaus dalībvalstīm iepriekš novērtēt, vai trešās valsts valstspiederīgā klātbūtne ES teritorijā radītu drošības risku.</w:t>
      </w:r>
    </w:p>
  </w:footnote>
  <w:footnote w:id="24">
    <w:p w14:paraId="47DED060"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MID</w:t>
      </w:r>
      <w:r>
        <w:rPr>
          <w:rFonts w:ascii="Times New Roman" w:hAnsi="Times New Roman"/>
        </w:rPr>
        <w:t xml:space="preserve"> ir viens no sadarbspējas komponentiem, kas ieviests ar Regulu (ES) 2019/818 un Regulu (ES) 2019/817.</w:t>
      </w:r>
    </w:p>
  </w:footnote>
  <w:footnote w:id="25">
    <w:p w14:paraId="49ECBCD4" w14:textId="3F53D782"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history="1">
        <w:r>
          <w:rPr>
            <w:rStyle w:val="Hyperlink1"/>
            <w:rFonts w:ascii="Times New Roman" w:hAnsi="Times New Roman"/>
            <w:color w:val="auto"/>
            <w:u w:val="none"/>
          </w:rPr>
          <w:t>https://ec.europa.eu/commission/presscorner/detail/en/ip_24_5047</w:t>
        </w:r>
      </w:hyperlink>
      <w:r>
        <w:rPr>
          <w:rStyle w:val="Hyperlink1"/>
          <w:rFonts w:ascii="Times New Roman" w:hAnsi="Times New Roman"/>
          <w:color w:val="auto"/>
          <w:u w:val="none"/>
        </w:rPr>
        <w:t>.</w:t>
      </w:r>
    </w:p>
  </w:footnote>
  <w:footnote w:id="26">
    <w:p w14:paraId="1A14F592" w14:textId="69F8A0C5"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Pasažieru datu reģistra (PDR) un iepriekšējas pasažieru informācijas (IPI) regulējums, kas izveidots ar Direktīvu (ES) 2016/681 (“PDR direktīva”) un Regulu (ES) 2025/12, Regulu (ES) 2025/13 (“IPI regulas”).</w:t>
      </w:r>
    </w:p>
  </w:footnote>
  <w:footnote w:id="27">
    <w:p w14:paraId="311DB2BD" w14:textId="77777777" w:rsidR="000164CE" w:rsidRPr="00B5194E" w:rsidRDefault="000164CE" w:rsidP="007D1E7C">
      <w:pPr>
        <w:pStyle w:val="FootnoteText1"/>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Sk. Komisijas Kopīgā pētniecības centra ziņojumu </w:t>
      </w:r>
      <w:r>
        <w:rPr>
          <w:rFonts w:ascii="Times New Roman" w:hAnsi="Times New Roman"/>
          <w:i/>
          <w:iCs/>
        </w:rPr>
        <w:t>“Emerging risks and opportunities for EU internal security stemming from new technologies”</w:t>
      </w:r>
      <w:hyperlink r:id="rId14" w:history="1">
        <w:r>
          <w:rPr>
            <w:rStyle w:val="Hyperlink1"/>
            <w:rFonts w:ascii="Times New Roman" w:hAnsi="Times New Roman"/>
            <w:color w:val="auto"/>
            <w:u w:val="none"/>
          </w:rPr>
          <w:t xml:space="preserve"> (Jauni riski un iespējas ES iekšējai drošībai, kas izriet no jaunajām tehnoloģijām) https://publications.jrc.ec.europa.eu/repository/handle/JRC139674</w:t>
        </w:r>
      </w:hyperlink>
      <w:r>
        <w:rPr>
          <w:rFonts w:ascii="Times New Roman" w:hAnsi="Times New Roman"/>
        </w:rPr>
        <w:t xml:space="preserve">.   </w:t>
      </w:r>
    </w:p>
  </w:footnote>
  <w:footnote w:id="28">
    <w:p w14:paraId="5B5EC830"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Study on strengthening EU-funded security research and innovation – 20 years of EU-Funded Civil Security Research and Innovation – 2025</w:t>
      </w:r>
      <w:r>
        <w:rPr>
          <w:rFonts w:ascii="Times New Roman" w:hAnsi="Times New Roman"/>
        </w:rPr>
        <w:t xml:space="preserve"> (Pētījums par ES finansētas drošības pētniecības un inovācijas stiprināšanu – ES finansētas civilās drošības pētniecības un inovācijas 20 gadi – 2025. gads) </w:t>
      </w:r>
      <w:hyperlink r:id="rId15" w:history="1">
        <w:r>
          <w:rPr>
            <w:rStyle w:val="Hyperlink1"/>
            <w:rFonts w:ascii="Times New Roman" w:hAnsi="Times New Roman"/>
            <w:color w:val="auto"/>
            <w:u w:val="none"/>
          </w:rPr>
          <w:t>https://data.europa.eu/doi/10.2837/0004501</w:t>
        </w:r>
      </w:hyperlink>
      <w:r>
        <w:rPr>
          <w:rFonts w:ascii="Times New Roman" w:hAnsi="Times New Roman"/>
        </w:rPr>
        <w:t xml:space="preserve">. </w:t>
      </w:r>
    </w:p>
  </w:footnote>
  <w:footnote w:id="29">
    <w:p w14:paraId="5E32B6DF"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noteikts </w:t>
      </w:r>
      <w:r>
        <w:rPr>
          <w:rFonts w:ascii="Times New Roman" w:hAnsi="Times New Roman"/>
          <w:i/>
          <w:iCs/>
        </w:rPr>
        <w:t>Niinistö</w:t>
      </w:r>
      <w:r>
        <w:rPr>
          <w:rFonts w:ascii="Times New Roman" w:hAnsi="Times New Roman"/>
        </w:rPr>
        <w:t xml:space="preserve"> ziņojumā.</w:t>
      </w:r>
    </w:p>
  </w:footnote>
  <w:footnote w:id="30">
    <w:p w14:paraId="5A9E7642" w14:textId="2CC25C71"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1"/>
            <w:rFonts w:ascii="Times New Roman" w:hAnsi="Times New Roman"/>
            <w:color w:val="auto"/>
            <w:u w:val="none"/>
          </w:rPr>
          <w:t>ES Iekšējās drošības inovācijas centrs |</w:t>
        </w:r>
      </w:hyperlink>
      <w:hyperlink r:id="rId17" w:history="1">
        <w:r>
          <w:rPr>
            <w:rStyle w:val="Hyperlink1"/>
            <w:rFonts w:ascii="Times New Roman" w:hAnsi="Times New Roman"/>
            <w:color w:val="auto"/>
            <w:u w:val="none"/>
          </w:rPr>
          <w:t xml:space="preserve"> Eiropols</w:t>
        </w:r>
      </w:hyperlink>
      <w:r>
        <w:rPr>
          <w:rFonts w:ascii="Times New Roman" w:hAnsi="Times New Roman"/>
        </w:rPr>
        <w:t xml:space="preserve">. </w:t>
      </w:r>
    </w:p>
  </w:footnote>
  <w:footnote w:id="31">
    <w:p w14:paraId="74654F0D" w14:textId="77777777" w:rsidR="000A2ACC" w:rsidRPr="00B5194E" w:rsidRDefault="000A2ACC" w:rsidP="000A2ACC">
      <w:pPr>
        <w:pStyle w:val="FootnoteText"/>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color w:val="auto"/>
            <w:u w:val="none"/>
          </w:rPr>
          <w:t>OV C, C/2024/3510</w:t>
        </w:r>
      </w:hyperlink>
      <w:r>
        <w:rPr>
          <w:rFonts w:ascii="Times New Roman" w:hAnsi="Times New Roman"/>
        </w:rPr>
        <w:t>, 30.5.2024.</w:t>
      </w:r>
    </w:p>
  </w:footnote>
  <w:footnote w:id="32">
    <w:p w14:paraId="0C2B9560" w14:textId="5E388C04" w:rsidR="000164CE" w:rsidRPr="00B5194E" w:rsidRDefault="000164CE" w:rsidP="007D1E7C">
      <w:pPr>
        <w:pStyle w:val="FootnoteText1"/>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9" w:history="1">
        <w:r>
          <w:rPr>
            <w:rStyle w:val="Hyperlink1"/>
            <w:rFonts w:ascii="Times New Roman" w:hAnsi="Times New Roman"/>
            <w:color w:val="auto"/>
            <w:u w:val="none"/>
          </w:rPr>
          <w:t>Eiropas Parlamenta un Padomes Direktīva (ES) 2022/2557 (2022. gada 14. decembris) par kritisko vienību noturību un Padomes Direktīvas 2008/114/EK atcelšanu</w:t>
        </w:r>
      </w:hyperlink>
      <w:r>
        <w:rPr>
          <w:rStyle w:val="Hyperlink1"/>
          <w:rFonts w:ascii="Times New Roman" w:hAnsi="Times New Roman"/>
          <w:color w:val="auto"/>
          <w:u w:val="none"/>
        </w:rPr>
        <w:t>.</w:t>
      </w:r>
      <w:r>
        <w:rPr>
          <w:rFonts w:ascii="Times New Roman" w:hAnsi="Times New Roman"/>
        </w:rPr>
        <w:t xml:space="preserve"> </w:t>
      </w:r>
    </w:p>
  </w:footnote>
  <w:footnote w:id="33">
    <w:p w14:paraId="5C404C20" w14:textId="77777777" w:rsidR="009E12A5" w:rsidRPr="00B5194E" w:rsidRDefault="009E12A5" w:rsidP="009E12A5">
      <w:pPr>
        <w:pStyle w:val="FootnoteText1"/>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20" w:history="1">
        <w:r>
          <w:rPr>
            <w:rStyle w:val="Hyperlink1"/>
            <w:rFonts w:ascii="Times New Roman" w:hAnsi="Times New Roman"/>
            <w:color w:val="auto"/>
            <w:u w:val="none"/>
          </w:rPr>
          <w:t xml:space="preserve">Eiropas Parlamenta un Padomes Direktīva (ES) 2022/2555 (2022. gada 14. decembris), ar ko paredz pasākumus nolūkā panākt vienādi augstu kiberdrošības līmeni visā Savienībā un ar ko groza Regulu (ES) Nr. 910/2014 un Direktīvu (ES) 2018/1972 un atceļ Direktīvu (ES) 2016/1148 (TID 2 direktīva) </w:t>
        </w:r>
      </w:hyperlink>
      <w:r>
        <w:rPr>
          <w:rStyle w:val="Hyperlink1"/>
          <w:rFonts w:ascii="Times New Roman" w:hAnsi="Times New Roman"/>
          <w:color w:val="auto"/>
          <w:u w:val="none"/>
        </w:rPr>
        <w:t>.</w:t>
      </w:r>
    </w:p>
  </w:footnote>
  <w:footnote w:id="34">
    <w:p w14:paraId="60629E5F" w14:textId="77777777" w:rsidR="000164CE" w:rsidRPr="00B5194E" w:rsidRDefault="000164CE" w:rsidP="007D1E7C">
      <w:pPr>
        <w:pStyle w:val="FootnoteText1"/>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 aptver šādas nozares: enerģētika, transports, banku nozare, finanšu tirgus infrastruktūra, veselība, dzeramais ūdens, notekūdeņi, digitālā infrastruktūra, valsts pārvalde, kosmoss, pārtikas ražošana, pārstrāde un izplatīšana. </w:t>
      </w:r>
    </w:p>
  </w:footnote>
  <w:footnote w:id="35">
    <w:p w14:paraId="1B38880C" w14:textId="0A852973" w:rsidR="00B5194E" w:rsidRPr="00B5194E" w:rsidRDefault="00B5194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1" w:tgtFrame="_blank" w:tooltip="https://www.consilium.europa.eu/en/press/press-releases/2022/03/21/a-strategic-compass-for-a-stronger-eu-security-and-defence-in-the-next-decade/" w:history="1">
        <w:r>
          <w:rPr>
            <w:rStyle w:val="Hyperlink"/>
            <w:rFonts w:ascii="Times New Roman" w:hAnsi="Times New Roman"/>
            <w:color w:val="auto"/>
            <w:u w:val="none"/>
          </w:rPr>
          <w:t>ES Stratēģiskais kompass drošībai un aizsardzībai (2022)</w:t>
        </w:r>
      </w:hyperlink>
      <w:r>
        <w:rPr>
          <w:rFonts w:ascii="Times New Roman" w:hAnsi="Times New Roman"/>
        </w:rPr>
        <w:t>, 22. lpp.</w:t>
      </w:r>
    </w:p>
  </w:footnote>
  <w:footnote w:id="36">
    <w:p w14:paraId="42629D52" w14:textId="77777777" w:rsidR="000164CE" w:rsidRPr="00B5194E" w:rsidRDefault="000164CE" w:rsidP="00D06E02">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aizsardzības drošības padomdevēji, Eiropas Sprādzienbīstamu priekšmetu iznīcināšanas tīkls (</w:t>
      </w:r>
      <w:r>
        <w:rPr>
          <w:rFonts w:ascii="Times New Roman" w:hAnsi="Times New Roman"/>
          <w:i/>
          <w:iCs/>
        </w:rPr>
        <w:t>EEODN</w:t>
      </w:r>
      <w:r>
        <w:rPr>
          <w:rFonts w:ascii="Times New Roman" w:hAnsi="Times New Roman"/>
        </w:rPr>
        <w:t xml:space="preserve">), </w:t>
      </w:r>
      <w:r>
        <w:rPr>
          <w:rFonts w:ascii="Times New Roman" w:hAnsi="Times New Roman"/>
          <w:i/>
          <w:iCs/>
        </w:rPr>
        <w:t>ATLAS</w:t>
      </w:r>
      <w:r>
        <w:rPr>
          <w:rFonts w:ascii="Times New Roman" w:hAnsi="Times New Roman"/>
        </w:rPr>
        <w:t xml:space="preserve"> tīkls, ES Augsta riska drošības tīkls (</w:t>
      </w:r>
      <w:r>
        <w:rPr>
          <w:rFonts w:ascii="Times New Roman" w:hAnsi="Times New Roman"/>
          <w:i/>
          <w:iCs/>
        </w:rPr>
        <w:t>EU HRSN</w:t>
      </w:r>
      <w:r>
        <w:rPr>
          <w:rFonts w:ascii="Times New Roman" w:hAnsi="Times New Roman"/>
        </w:rPr>
        <w:t xml:space="preserve">), </w:t>
      </w:r>
      <w:r>
        <w:rPr>
          <w:rFonts w:ascii="Times New Roman" w:hAnsi="Times New Roman"/>
          <w:i/>
          <w:iCs/>
        </w:rPr>
        <w:t>CBRN</w:t>
      </w:r>
      <w:r>
        <w:rPr>
          <w:rFonts w:ascii="Times New Roman" w:hAnsi="Times New Roman"/>
        </w:rPr>
        <w:t xml:space="preserve"> drošības padomdevēja grupa, Kritisko vienību noturības grupa (</w:t>
      </w:r>
      <w:r>
        <w:rPr>
          <w:rFonts w:ascii="Times New Roman" w:hAnsi="Times New Roman"/>
          <w:i/>
          <w:iCs/>
        </w:rPr>
        <w:t>CERG</w:t>
      </w:r>
      <w:r>
        <w:rPr>
          <w:rFonts w:ascii="Times New Roman" w:hAnsi="Times New Roman"/>
        </w:rPr>
        <w:t>).</w:t>
      </w:r>
    </w:p>
  </w:footnote>
  <w:footnote w:id="37">
    <w:p w14:paraId="5C3A2176" w14:textId="0663065C"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1"/>
            <w:rFonts w:ascii="Times New Roman" w:hAnsi="Times New Roman"/>
            <w:color w:val="auto"/>
            <w:u w:val="none"/>
          </w:rPr>
          <w:t>JOIN (2025) 9 final</w:t>
        </w:r>
      </w:hyperlink>
      <w:r>
        <w:rPr>
          <w:rFonts w:ascii="Times New Roman" w:hAnsi="Times New Roman"/>
        </w:rPr>
        <w:t>.</w:t>
      </w:r>
    </w:p>
  </w:footnote>
  <w:footnote w:id="38">
    <w:p w14:paraId="3D22A16E"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(ES, Euratom) 2023/2841 (2023. gada 13. decembris), kas paredz pasākumus nolūkā panākt vienādu augstu kiberdrošības līmeni Savienības iestādēs, struktūrās, birojos un aģentūrās, OV L, 2023/2841, 18.12.2023.</w:t>
      </w:r>
    </w:p>
  </w:footnote>
  <w:footnote w:id="39">
    <w:p w14:paraId="7497D293" w14:textId="29E1E046"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hyperlink r:id="rId23" w:history="1">
        <w:r>
          <w:rPr>
            <w:rStyle w:val="Hyperlink"/>
            <w:rFonts w:ascii="Times New Roman" w:hAnsi="Times New Roman"/>
          </w:rPr>
          <w:t>https://digital-strategy.ec.europa.eu/en/library/european-action-plan-cybersecurity-hospitals-and-healthcare-providers</w:t>
        </w:r>
      </w:hyperlink>
      <w:r>
        <w:rPr>
          <w:rFonts w:ascii="Times New Roman" w:hAnsi="Times New Roman"/>
        </w:rPr>
        <w:t>.</w:t>
      </w:r>
    </w:p>
  </w:footnote>
  <w:footnote w:id="40">
    <w:p w14:paraId="7F763487" w14:textId="2876E8B8"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1"/>
            <w:rFonts w:ascii="Times New Roman" w:hAnsi="Times New Roman"/>
            <w:color w:val="auto"/>
            <w:u w:val="none"/>
          </w:rPr>
          <w:t>COM (2025) 90 final</w:t>
        </w:r>
      </w:hyperlink>
      <w:r>
        <w:rPr>
          <w:rFonts w:ascii="Times New Roman" w:hAnsi="Times New Roman"/>
        </w:rPr>
        <w:t xml:space="preserve">. </w:t>
      </w:r>
    </w:p>
  </w:footnote>
  <w:footnote w:id="41">
    <w:p w14:paraId="74CA2B3B" w14:textId="16B09BFF"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 (2025) 89 final. </w:t>
      </w:r>
    </w:p>
  </w:footnote>
  <w:footnote w:id="42">
    <w:p w14:paraId="0AE970F2"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saistībā ar 5G tīkliem, telekomunikācijām, elektroenerģiju, atjaunīgo enerģiju un satīklotiem transportlīdzekļiem.</w:t>
      </w:r>
    </w:p>
  </w:footnote>
  <w:footnote w:id="43">
    <w:p w14:paraId="389EA6CB"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1"/>
            <w:rFonts w:ascii="Times New Roman" w:hAnsi="Times New Roman"/>
            <w:color w:val="auto"/>
            <w:u w:val="none"/>
          </w:rPr>
          <w:t>https://cybersecurityventures.com/global-ransomware-damage-costs-predicted-to-reach-250-billion-usd-by-2031/</w:t>
        </w:r>
      </w:hyperlink>
      <w:r>
        <w:rPr>
          <w:rFonts w:ascii="Times New Roman" w:hAnsi="Times New Roman"/>
        </w:rPr>
        <w:t>.</w:t>
      </w:r>
    </w:p>
  </w:footnote>
  <w:footnote w:id="44">
    <w:p w14:paraId="39717A09"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1"/>
            <w:rFonts w:ascii="Times New Roman" w:hAnsi="Times New Roman"/>
            <w:color w:val="auto"/>
            <w:u w:val="none"/>
          </w:rPr>
          <w:t>https://counter-ransomware.org/</w:t>
        </w:r>
      </w:hyperlink>
      <w:r>
        <w:rPr>
          <w:rFonts w:ascii="Times New Roman" w:hAnsi="Times New Roman"/>
        </w:rPr>
        <w:t>.</w:t>
      </w:r>
    </w:p>
  </w:footnote>
  <w:footnote w:id="45">
    <w:p w14:paraId="51637F43"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Pieejams projektā </w:t>
      </w:r>
      <w:r>
        <w:rPr>
          <w:rFonts w:ascii="Times New Roman" w:hAnsi="Times New Roman"/>
          <w:i/>
          <w:iCs/>
        </w:rPr>
        <w:t>No More Ransom</w:t>
      </w:r>
      <w:r>
        <w:rPr>
          <w:rFonts w:ascii="Times New Roman" w:hAnsi="Times New Roman"/>
        </w:rPr>
        <w:t xml:space="preserve"> </w:t>
      </w:r>
      <w:hyperlink r:id="rId27" w:history="1">
        <w:r>
          <w:rPr>
            <w:rStyle w:val="Hyperlink1"/>
            <w:rFonts w:ascii="Times New Roman" w:hAnsi="Times New Roman"/>
            <w:color w:val="auto"/>
            <w:u w:val="none"/>
          </w:rPr>
          <w:t>https://www.nomoreransom.org/en/index.html</w:t>
        </w:r>
      </w:hyperlink>
      <w:r>
        <w:rPr>
          <w:rFonts w:ascii="Times New Roman" w:hAnsi="Times New Roman"/>
        </w:rPr>
        <w:t>.</w:t>
      </w:r>
    </w:p>
  </w:footnote>
  <w:footnote w:id="46">
    <w:p w14:paraId="71161EEE"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anchor="step-scope" w:history="1">
        <w:r>
          <w:rPr>
            <w:rStyle w:val="Hyperlink1"/>
            <w:rFonts w:ascii="Times New Roman" w:hAnsi="Times New Roman"/>
            <w:color w:val="auto"/>
            <w:u w:val="none"/>
          </w:rPr>
          <w:t>https://strategic-technologies.europa.eu/about_en#step-scope</w:t>
        </w:r>
      </w:hyperlink>
      <w:r>
        <w:rPr>
          <w:rFonts w:ascii="Times New Roman" w:hAnsi="Times New Roman"/>
        </w:rPr>
        <w:t xml:space="preserve">. </w:t>
      </w:r>
    </w:p>
  </w:footnote>
  <w:footnote w:id="47">
    <w:p w14:paraId="78AD7862" w14:textId="2B8B6264"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kopuzņēmums </w:t>
      </w:r>
      <w:r>
        <w:rPr>
          <w:rFonts w:ascii="Times New Roman" w:hAnsi="Times New Roman"/>
          <w:i/>
          <w:iCs/>
        </w:rPr>
        <w:t>EuropHPC</w:t>
      </w:r>
      <w:r>
        <w:rPr>
          <w:rFonts w:ascii="Times New Roman" w:hAnsi="Times New Roman"/>
        </w:rPr>
        <w:t xml:space="preserve"> </w:t>
      </w:r>
      <w:hyperlink r:id="rId29" w:history="1">
        <w:r>
          <w:rPr>
            <w:rStyle w:val="Hyperlink1"/>
            <w:rFonts w:ascii="Times New Roman" w:hAnsi="Times New Roman"/>
            <w:color w:val="auto"/>
            <w:u w:val="none"/>
          </w:rPr>
          <w:t>https://eurohpc-ju.europa.eu/index_en</w:t>
        </w:r>
      </w:hyperlink>
      <w:r>
        <w:rPr>
          <w:rFonts w:ascii="Times New Roman" w:hAnsi="Times New Roman"/>
        </w:rPr>
        <w:t xml:space="preserve">, Kvantu pamatiniciatīva </w:t>
      </w:r>
      <w:hyperlink r:id="rId30" w:history="1">
        <w:r>
          <w:rPr>
            <w:rStyle w:val="Hyperlink1"/>
            <w:rFonts w:ascii="Times New Roman" w:hAnsi="Times New Roman"/>
            <w:color w:val="auto"/>
            <w:u w:val="none"/>
          </w:rPr>
          <w:t>Kvantu pamatiniciatīvas tīmekļa vietne |</w:t>
        </w:r>
      </w:hyperlink>
      <w:hyperlink r:id="rId31" w:history="1">
        <w:r>
          <w:rPr>
            <w:rStyle w:val="Hyperlink1"/>
            <w:rFonts w:ascii="Times New Roman" w:hAnsi="Times New Roman"/>
            <w:color w:val="auto"/>
            <w:u w:val="none"/>
          </w:rPr>
          <w:t xml:space="preserve"> Kvantu pamatiniciatīva</w:t>
        </w:r>
      </w:hyperlink>
      <w:r>
        <w:rPr>
          <w:rFonts w:ascii="Times New Roman" w:hAnsi="Times New Roman"/>
        </w:rPr>
        <w:t xml:space="preserve">, 3C tīkli (COM(2024) 81 final) un ES kabeļu rīcības drošības plāns (JOIN(2025) 9 final).  </w:t>
      </w:r>
    </w:p>
  </w:footnote>
  <w:footnote w:id="48">
    <w:p w14:paraId="31F04568"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1"/>
            <w:rFonts w:ascii="Times New Roman" w:hAnsi="Times New Roman"/>
            <w:color w:val="auto"/>
            <w:u w:val="none"/>
          </w:rPr>
          <w:t>Ieteikums par koordinētas īstenošanas ceļvedi pārejai uz kvantizturīgu šifrēšanu |</w:t>
        </w:r>
      </w:hyperlink>
      <w:hyperlink r:id="rId33" w:history="1">
        <w:r>
          <w:rPr>
            <w:rStyle w:val="Hyperlink1"/>
            <w:rFonts w:ascii="Times New Roman" w:hAnsi="Times New Roman"/>
            <w:color w:val="auto"/>
            <w:u w:val="none"/>
          </w:rPr>
          <w:t xml:space="preserve"> Eiropas digitālās nākotnes veidošana</w:t>
        </w:r>
      </w:hyperlink>
      <w:r>
        <w:rPr>
          <w:rFonts w:ascii="Times New Roman" w:hAnsi="Times New Roman"/>
        </w:rPr>
        <w:t>.</w:t>
      </w:r>
    </w:p>
  </w:footnote>
  <w:footnote w:id="49">
    <w:p w14:paraId="69A37FB8"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1"/>
            <w:rFonts w:ascii="Times New Roman" w:hAnsi="Times New Roman"/>
            <w:color w:val="auto"/>
            <w:u w:val="none"/>
          </w:rPr>
          <w:t>https://digital-strategy.ec.europa.eu/en/policies/european-quantum-communication-infrastructure-euroqci</w:t>
        </w:r>
      </w:hyperlink>
      <w:r>
        <w:rPr>
          <w:rFonts w:ascii="Times New Roman" w:hAnsi="Times New Roman"/>
        </w:rPr>
        <w:t xml:space="preserve">. </w:t>
      </w:r>
    </w:p>
  </w:footnote>
  <w:footnote w:id="50">
    <w:p w14:paraId="4067A6FC"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DPA vēlēšanu rīkkopa digitālo pakalpojumu koordinatoriem, 2025. gads</w:t>
      </w:r>
      <w:hyperlink r:id="rId35" w:history="1">
        <w:r>
          <w:rPr>
            <w:rStyle w:val="Hyperlink1"/>
            <w:rFonts w:ascii="Times New Roman" w:hAnsi="Times New Roman"/>
            <w:color w:val="auto"/>
            <w:u w:val="none"/>
          </w:rPr>
          <w:t>https://digital-strategy.ec.europa.eu/en/library/dsa-elections-toolkit-digital-services-coordinators</w:t>
        </w:r>
      </w:hyperlink>
      <w:r>
        <w:rPr>
          <w:rFonts w:ascii="Times New Roman" w:hAnsi="Times New Roman"/>
        </w:rPr>
        <w:t>.</w:t>
      </w:r>
    </w:p>
  </w:footnote>
  <w:footnote w:id="51">
    <w:p w14:paraId="0A66C54C" w14:textId="77777777" w:rsidR="00CE3575" w:rsidRPr="00B5194E" w:rsidRDefault="00CE3575"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(ES) 2024/900 (2024. gada 13. marts) par politiskās reklāmas pārredzamību un mērķorientēšanu, OV L, 2024/900, 20.3.2024.</w:t>
      </w:r>
    </w:p>
  </w:footnote>
  <w:footnote w:id="52">
    <w:p w14:paraId="5023DB1A" w14:textId="77777777" w:rsidR="000231FB" w:rsidRPr="00B5194E" w:rsidRDefault="000231FB"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6" w:history="1">
        <w:r>
          <w:rPr>
            <w:rStyle w:val="Hyperlink1"/>
            <w:rFonts w:ascii="Times New Roman" w:hAnsi="Times New Roman"/>
            <w:color w:val="auto"/>
            <w:u w:val="none"/>
          </w:rPr>
          <w:t>Digitālās izglītības rīcības plāns (2021–2027) – Eiropas izglītības telpa</w:t>
        </w:r>
      </w:hyperlink>
      <w:r>
        <w:rPr>
          <w:rFonts w:ascii="Times New Roman" w:hAnsi="Times New Roman"/>
        </w:rPr>
        <w:t>.</w:t>
      </w:r>
    </w:p>
  </w:footnote>
  <w:footnote w:id="53">
    <w:p w14:paraId="23663115" w14:textId="3519CB0F"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 (2024) 570 final.</w:t>
      </w:r>
    </w:p>
  </w:footnote>
  <w:footnote w:id="54">
    <w:p w14:paraId="2275A967" w14:textId="489077E4"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Regula (ES) 2024/2642 (2024. gada 8. oktobris) par ierobežojošiem pasākumiem saistībā ar Krievijas veiktajām destabilizējošajām darbībām, ST/8744/2024/INIT, OV L, 2024/2642, 9.10.2024.</w:t>
      </w:r>
    </w:p>
  </w:footnote>
  <w:footnote w:id="55">
    <w:p w14:paraId="16F0A5CB" w14:textId="7C796A39"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Regula (EK) Nr. 300/2008 (2008. gada 11. marts) par kopīgiem noteikumiem civilās aviācijas drošības jomā, OV L 97, 9.4.2008., 72.–84. lpp.</w:t>
      </w:r>
    </w:p>
  </w:footnote>
  <w:footnote w:id="56">
    <w:p w14:paraId="3FAF4579" w14:textId="22703B32" w:rsidR="00061CC0" w:rsidRPr="00B5194E" w:rsidRDefault="00061CC0" w:rsidP="00061CC0">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7" w:history="1">
        <w:r>
          <w:rPr>
            <w:rStyle w:val="Hyperlink1"/>
            <w:rFonts w:ascii="Times New Roman" w:hAnsi="Times New Roman"/>
            <w:color w:val="auto"/>
            <w:u w:val="none"/>
          </w:rPr>
          <w:t>JOIN (2023) 8 final</w:t>
        </w:r>
      </w:hyperlink>
      <w:r>
        <w:rPr>
          <w:rStyle w:val="Hyperlink1"/>
          <w:rFonts w:ascii="Times New Roman" w:hAnsi="Times New Roman"/>
          <w:color w:val="auto"/>
          <w:u w:val="none"/>
        </w:rPr>
        <w:t>.</w:t>
      </w:r>
    </w:p>
  </w:footnote>
  <w:footnote w:id="57">
    <w:p w14:paraId="41D95FCE" w14:textId="40CD2E07" w:rsidR="00B2153E" w:rsidRPr="00B5194E" w:rsidRDefault="00B2153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8" w:history="1">
        <w:r>
          <w:rPr>
            <w:rStyle w:val="Hyperlink1"/>
            <w:rFonts w:ascii="Times New Roman" w:hAnsi="Times New Roman"/>
            <w:color w:val="auto"/>
            <w:u w:val="none"/>
          </w:rPr>
          <w:t>COM (2025) 30 final</w:t>
        </w:r>
      </w:hyperlink>
      <w:r>
        <w:rPr>
          <w:rFonts w:ascii="Times New Roman" w:hAnsi="Times New Roman"/>
        </w:rPr>
        <w:t>.</w:t>
      </w:r>
    </w:p>
  </w:footnote>
  <w:footnote w:id="58">
    <w:p w14:paraId="5739C34B" w14:textId="38537973" w:rsidR="00B2153E" w:rsidRPr="00B5194E" w:rsidRDefault="00B2153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9" w:history="1">
        <w:r>
          <w:rPr>
            <w:rStyle w:val="Hyperlink1"/>
            <w:rFonts w:ascii="Times New Roman" w:hAnsi="Times New Roman"/>
            <w:color w:val="auto"/>
            <w:u w:val="none"/>
          </w:rPr>
          <w:t>COM (2025) 85 final</w:t>
        </w:r>
      </w:hyperlink>
      <w:r>
        <w:rPr>
          <w:rFonts w:ascii="Times New Roman" w:hAnsi="Times New Roman"/>
        </w:rPr>
        <w:t>.</w:t>
      </w:r>
    </w:p>
  </w:footnote>
  <w:footnote w:id="59">
    <w:p w14:paraId="3C4E114D" w14:textId="1A6593D7" w:rsidR="00296B48" w:rsidRPr="00710C7F" w:rsidRDefault="00296B4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 2009/81/EK, ar kuru koordinē procedūras attiecībā uz to, kā līgumslēdzējas iestādes vai subjekti, kas darbojas drošības un aizsardzības jomā, piešķir noteiktu būvdarbu, piegādes un pakalpojumu līgumu slēgšanas tiesības, OV L 216, 20.8.2009.</w:t>
      </w:r>
    </w:p>
  </w:footnote>
  <w:footnote w:id="60">
    <w:p w14:paraId="6B9D2744" w14:textId="723358E6" w:rsidR="006779A3" w:rsidRPr="00B5194E" w:rsidRDefault="00D80BE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Īpaši ar </w:t>
      </w:r>
      <w:hyperlink r:id="rId40" w:history="1">
        <w:r>
          <w:rPr>
            <w:rStyle w:val="Hyperlink"/>
            <w:rFonts w:ascii="Times New Roman" w:hAnsi="Times New Roman"/>
            <w:color w:val="auto"/>
            <w:u w:val="none"/>
          </w:rPr>
          <w:t>Regulu (ES) 2022/2371</w:t>
        </w:r>
      </w:hyperlink>
      <w:r>
        <w:rPr>
          <w:rFonts w:ascii="Times New Roman" w:hAnsi="Times New Roman"/>
        </w:rPr>
        <w:t xml:space="preserve"> par nopietniem pārrobežu veselības apdraudējumiem.</w:t>
      </w:r>
    </w:p>
  </w:footnote>
  <w:footnote w:id="61">
    <w:p w14:paraId="29151A44"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1"/>
            <w:rFonts w:ascii="Times New Roman" w:hAnsi="Times New Roman"/>
            <w:color w:val="auto"/>
            <w:u w:val="none"/>
          </w:rPr>
          <w:t>https://www.eucpn.org/</w:t>
        </w:r>
      </w:hyperlink>
      <w:r>
        <w:rPr>
          <w:rFonts w:ascii="Times New Roman" w:hAnsi="Times New Roman"/>
        </w:rPr>
        <w:t xml:space="preserve">. </w:t>
      </w:r>
    </w:p>
  </w:footnote>
  <w:footnote w:id="62">
    <w:p w14:paraId="1734F202" w14:textId="60F3D777" w:rsidR="00CD6BA2" w:rsidRPr="00B5194E" w:rsidRDefault="00CD6BA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Ieskaitot nesenās </w:t>
      </w:r>
      <w:r>
        <w:rPr>
          <w:rFonts w:ascii="Times New Roman" w:hAnsi="Times New Roman"/>
          <w:i/>
          <w:iCs/>
        </w:rPr>
        <w:t>EMPACT</w:t>
      </w:r>
      <w:r>
        <w:rPr>
          <w:rFonts w:ascii="Times New Roman" w:hAnsi="Times New Roman"/>
        </w:rPr>
        <w:t xml:space="preserve"> lietas.</w:t>
      </w:r>
    </w:p>
  </w:footnote>
  <w:footnote w:id="63">
    <w:p w14:paraId="299D5B0D" w14:textId="36A19598"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https://www.europol.europa.eu/cms/sites/default/files/documents/EU-SOCTA-2025.pdf.</w:t>
      </w:r>
    </w:p>
  </w:footnote>
  <w:footnote w:id="64">
    <w:p w14:paraId="14BACBFB" w14:textId="69544E93"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hyperlink r:id="rId42" w:history="1">
        <w:r>
          <w:rPr>
            <w:rStyle w:val="Hyperlink"/>
            <w:rFonts w:ascii="Times New Roman" w:hAnsi="Times New Roman"/>
            <w:color w:val="auto"/>
          </w:rPr>
          <w:t>https://administrativeapproach.eu/sites/default/files/page/files/eu-jha-council-9-10-june-conclusions-administrative-approach-org-crime.pdf</w:t>
        </w:r>
      </w:hyperlink>
      <w:r>
        <w:rPr>
          <w:rFonts w:ascii="Times New Roman" w:hAnsi="Times New Roman"/>
        </w:rPr>
        <w:t xml:space="preserve">. </w:t>
      </w:r>
    </w:p>
  </w:footnote>
  <w:footnote w:id="65">
    <w:p w14:paraId="5D300FE2" w14:textId="46829DBA" w:rsidR="000164CE" w:rsidRPr="00B5194E" w:rsidRDefault="000164CE" w:rsidP="007D1E7C">
      <w:pPr>
        <w:pStyle w:val="Timesnewroman"/>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Priekšlikums  – Eiropas Parlamenta un Padomes Direktīva par korupcijas apkarošanu, ar ko aizstāj Padomes Pamatlēmumu 2003/568/TI un Konvenciju par Eiropas Kopienu ierēdņu vai Eiropas Savienības dalībvalstu ierēdņu korumpētības apkarošanu un ar ko groza Eiropas Parlamenta un Padomes Direktīvu (ES) 2017/1371, </w:t>
      </w:r>
      <w:hyperlink r:id="rId43" w:history="1">
        <w:r>
          <w:rPr>
            <w:rStyle w:val="Hyperlink1"/>
            <w:rFonts w:ascii="Times New Roman" w:hAnsi="Times New Roman"/>
            <w:color w:val="auto"/>
            <w:u w:val="none"/>
          </w:rPr>
          <w:t>COM(2023) 234 final</w:t>
        </w:r>
      </w:hyperlink>
      <w:r>
        <w:rPr>
          <w:rFonts w:ascii="Times New Roman" w:hAnsi="Times New Roman"/>
        </w:rPr>
        <w:t>, Briselē, 3.5.2023.</w:t>
      </w:r>
    </w:p>
  </w:footnote>
  <w:footnote w:id="66">
    <w:p w14:paraId="17DE37AE" w14:textId="76C04A2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4" w:history="1">
        <w:r>
          <w:rPr>
            <w:rStyle w:val="Hyperlink1"/>
            <w:rFonts w:ascii="Times New Roman" w:hAnsi="Times New Roman"/>
            <w:color w:val="auto"/>
            <w:u w:val="none"/>
          </w:rPr>
          <w:t>https://www.amla.europa.eu/index_en</w:t>
        </w:r>
      </w:hyperlink>
      <w:r>
        <w:rPr>
          <w:rFonts w:ascii="Times New Roman" w:hAnsi="Times New Roman"/>
        </w:rPr>
        <w:t>.</w:t>
      </w:r>
    </w:p>
  </w:footnote>
  <w:footnote w:id="67">
    <w:p w14:paraId="430ADB3D" w14:textId="5A5508DC"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5" w:history="1">
        <w:r>
          <w:rPr>
            <w:rStyle w:val="Hyperlink1"/>
            <w:rFonts w:ascii="Times New Roman" w:hAnsi="Times New Roman"/>
            <w:color w:val="auto"/>
            <w:u w:val="none"/>
          </w:rPr>
          <w:t>Eiropas Parlamenta un Padomes Direktīva (ES) 2024/1260</w:t>
        </w:r>
      </w:hyperlink>
      <w:r>
        <w:rPr>
          <w:rFonts w:ascii="Times New Roman" w:hAnsi="Times New Roman"/>
        </w:rPr>
        <w:t xml:space="preserve"> (2024. gada 24. aprīlis) par aktīvu atgūšanu un konfiskāciju, OV L, 2024/1260, 2.5.2024.</w:t>
      </w:r>
    </w:p>
  </w:footnote>
  <w:footnote w:id="68">
    <w:p w14:paraId="3E4B2E0F" w14:textId="253DB216" w:rsidR="00BE54F7" w:rsidRPr="00653C89" w:rsidRDefault="000164CE" w:rsidP="004A6474">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1"/>
            <w:rFonts w:ascii="Times New Roman" w:hAnsi="Times New Roman"/>
            <w:i/>
            <w:iCs/>
            <w:color w:val="auto"/>
            <w:u w:val="none"/>
          </w:rPr>
          <w:t>Global Anti-Scam Report 2024</w:t>
        </w:r>
      </w:hyperlink>
      <w:r>
        <w:rPr>
          <w:rFonts w:ascii="Times New Roman" w:hAnsi="Times New Roman"/>
        </w:rPr>
        <w:t xml:space="preserve"> (2024. gada globālais krāpniecības apkarošanas ziņojums).</w:t>
      </w:r>
    </w:p>
  </w:footnote>
  <w:footnote w:id="69">
    <w:p w14:paraId="40609CC7" w14:textId="184BAEA2"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7" w:history="1">
        <w:r>
          <w:rPr>
            <w:rStyle w:val="Hyperlink1"/>
            <w:rFonts w:ascii="Times New Roman" w:hAnsi="Times New Roman"/>
            <w:color w:val="auto"/>
            <w:u w:val="none"/>
          </w:rPr>
          <w:t>COM (2020) 607 final</w:t>
        </w:r>
      </w:hyperlink>
    </w:p>
  </w:footnote>
  <w:footnote w:id="70">
    <w:p w14:paraId="556B592E" w14:textId="62575B0E"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1"/>
            <w:rFonts w:ascii="Times New Roman" w:hAnsi="Times New Roman"/>
            <w:color w:val="auto"/>
            <w:u w:val="none"/>
          </w:rPr>
          <w:t>COM (2022) 209 final</w:t>
        </w:r>
      </w:hyperlink>
      <w:r>
        <w:rPr>
          <w:rFonts w:ascii="Times New Roman" w:hAnsi="Times New Roman"/>
        </w:rPr>
        <w:t xml:space="preserve"> un </w:t>
      </w:r>
      <w:hyperlink r:id="rId49" w:history="1">
        <w:r>
          <w:rPr>
            <w:rStyle w:val="Hyperlink1"/>
            <w:rFonts w:ascii="Times New Roman" w:hAnsi="Times New Roman"/>
            <w:color w:val="auto"/>
            <w:u w:val="none"/>
          </w:rPr>
          <w:t>COM (2024) 60 final</w:t>
        </w:r>
      </w:hyperlink>
      <w:r>
        <w:rPr>
          <w:rFonts w:ascii="Times New Roman" w:hAnsi="Times New Roman"/>
        </w:rPr>
        <w:t xml:space="preserve">. </w:t>
      </w:r>
    </w:p>
  </w:footnote>
  <w:footnote w:id="71">
    <w:p w14:paraId="12492037" w14:textId="41F8DDF8"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0" w:history="1">
        <w:r>
          <w:rPr>
            <w:rStyle w:val="Hyperlink1"/>
            <w:rFonts w:ascii="Times New Roman" w:hAnsi="Times New Roman"/>
            <w:color w:val="auto"/>
            <w:u w:val="none"/>
          </w:rPr>
          <w:t>COM (2023) 641 final</w:t>
        </w:r>
      </w:hyperlink>
      <w:r>
        <w:rPr>
          <w:rFonts w:ascii="Times New Roman" w:hAnsi="Times New Roman"/>
        </w:rPr>
        <w:t>.</w:t>
      </w:r>
    </w:p>
  </w:footnote>
  <w:footnote w:id="72">
    <w:p w14:paraId="1A65A40B" w14:textId="20C94AB8"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1" w:history="1">
        <w:r>
          <w:rPr>
            <w:rStyle w:val="Hyperlink1"/>
            <w:rFonts w:ascii="Times New Roman" w:hAnsi="Times New Roman"/>
            <w:color w:val="auto"/>
            <w:u w:val="none"/>
          </w:rPr>
          <w:t>Direktīva (ES) 2024/1712</w:t>
        </w:r>
      </w:hyperlink>
      <w:r>
        <w:rPr>
          <w:rFonts w:ascii="Times New Roman" w:hAnsi="Times New Roman"/>
        </w:rPr>
        <w:t xml:space="preserve"> (2024. gada 13. jūnijs), ar ko groza Direktīvu 2011/36/ES par cilvēku tirdzniecības novēršanu un apkarošanu un cietušo aizsardzību (OV L, 2024/1712, 24.6.2024.)</w:t>
      </w:r>
    </w:p>
  </w:footnote>
  <w:footnote w:id="73">
    <w:p w14:paraId="4852E71A" w14:textId="177D97AA"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2" w:history="1">
        <w:r>
          <w:rPr>
            <w:rStyle w:val="Hyperlink1"/>
            <w:rFonts w:ascii="Times New Roman" w:hAnsi="Times New Roman"/>
            <w:color w:val="auto"/>
            <w:u w:val="none"/>
          </w:rPr>
          <w:t>COM (2023) 755 final</w:t>
        </w:r>
      </w:hyperlink>
      <w:r>
        <w:rPr>
          <w:rFonts w:ascii="Times New Roman" w:hAnsi="Times New Roman"/>
        </w:rPr>
        <w:t xml:space="preserve"> un </w:t>
      </w:r>
      <w:hyperlink r:id="rId53" w:history="1">
        <w:r>
          <w:rPr>
            <w:rStyle w:val="Hyperlink1"/>
            <w:rFonts w:ascii="Times New Roman" w:hAnsi="Times New Roman"/>
            <w:color w:val="auto"/>
            <w:u w:val="none"/>
          </w:rPr>
          <w:t>COM (2023) 754 final</w:t>
        </w:r>
      </w:hyperlink>
      <w:r>
        <w:rPr>
          <w:rFonts w:ascii="Times New Roman" w:hAnsi="Times New Roman"/>
        </w:rPr>
        <w:t xml:space="preserve">. </w:t>
      </w:r>
    </w:p>
  </w:footnote>
  <w:footnote w:id="74">
    <w:p w14:paraId="2F78B79F"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4">
        <w:r>
          <w:rPr>
            <w:rStyle w:val="Hyperlink1"/>
            <w:rFonts w:ascii="Times New Roman" w:hAnsi="Times New Roman"/>
            <w:color w:val="auto"/>
            <w:u w:val="none"/>
          </w:rPr>
          <w:t>Instrumentu kopums pret komercpārvadājumu ļaunprātīgu izmantošanu neatbilstīgai migrācijai uz ES</w:t>
        </w:r>
      </w:hyperlink>
      <w:r>
        <w:rPr>
          <w:rFonts w:ascii="Times New Roman" w:hAnsi="Times New Roman"/>
        </w:rPr>
        <w:t>.</w:t>
      </w:r>
    </w:p>
  </w:footnote>
  <w:footnote w:id="75">
    <w:p w14:paraId="45292D2C" w14:textId="37D47CB2"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Ieskaitot Starptautisko Civilās aviācijas organizāciju (</w:t>
      </w:r>
      <w:r>
        <w:rPr>
          <w:rFonts w:ascii="Times New Roman" w:hAnsi="Times New Roman"/>
          <w:i/>
          <w:iCs/>
        </w:rPr>
        <w:t>ICAO</w:t>
      </w:r>
      <w:r>
        <w:rPr>
          <w:rFonts w:ascii="Times New Roman" w:hAnsi="Times New Roman"/>
        </w:rPr>
        <w:t>).</w:t>
      </w:r>
    </w:p>
  </w:footnote>
  <w:footnote w:id="76">
    <w:p w14:paraId="57B6C5BA" w14:textId="0F317701"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arī atbalstīs to, ka tiek pabeigta Regula par pasākumiem pret pārvadātājiem, kuri sekmē cilvēku tirdzniecību vai migrantu kontrabandu vai iesaistās šajās darbībās (COM(2021) 753 final)</w:t>
      </w:r>
      <w:hyperlink r:id="rId55" w:history="1"/>
      <w:r>
        <w:rPr>
          <w:rFonts w:ascii="Times New Roman" w:hAnsi="Times New Roman"/>
        </w:rPr>
        <w:t>.</w:t>
      </w:r>
    </w:p>
  </w:footnote>
  <w:footnote w:id="77">
    <w:p w14:paraId="19CC5B1F" w14:textId="2E57EFDF"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6" w:history="1">
        <w:r>
          <w:rPr>
            <w:rStyle w:val="Hyperlink1"/>
            <w:rFonts w:ascii="Times New Roman" w:hAnsi="Times New Roman"/>
            <w:color w:val="auto"/>
            <w:u w:val="none"/>
          </w:rPr>
          <w:t>Eiropas Parlamenta un Padomes Direktīva (ES) 2024/1203</w:t>
        </w:r>
      </w:hyperlink>
      <w:r>
        <w:rPr>
          <w:rFonts w:ascii="Times New Roman" w:hAnsi="Times New Roman"/>
        </w:rPr>
        <w:t xml:space="preserve"> (2024. gada 11. aprīlis), kas paredz noteikumus par vides krimināltiesisko aizsardzību, OV L, 2024/1203, 30.4.2024.</w:t>
      </w:r>
    </w:p>
  </w:footnote>
  <w:footnote w:id="78">
    <w:p w14:paraId="4FD072FA"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Vides tiesību aktu īstenošanas un izpildes tīkls (</w:t>
      </w:r>
      <w:r>
        <w:rPr>
          <w:rFonts w:ascii="Times New Roman" w:hAnsi="Times New Roman"/>
          <w:i/>
          <w:iCs/>
        </w:rPr>
        <w:t>IMPEL</w:t>
      </w:r>
      <w:r>
        <w:rPr>
          <w:rFonts w:ascii="Times New Roman" w:hAnsi="Times New Roman"/>
        </w:rPr>
        <w:t>), Eiropas Prokuroru tīkls vides tiesībaizsardzībai (</w:t>
      </w:r>
      <w:r>
        <w:rPr>
          <w:rFonts w:ascii="Times New Roman" w:hAnsi="Times New Roman"/>
          <w:i/>
          <w:iCs/>
        </w:rPr>
        <w:t>ENPE</w:t>
      </w:r>
      <w:r>
        <w:rPr>
          <w:rFonts w:ascii="Times New Roman" w:hAnsi="Times New Roman"/>
        </w:rPr>
        <w:t xml:space="preserve">), </w:t>
      </w:r>
      <w:r>
        <w:rPr>
          <w:rFonts w:ascii="Times New Roman" w:hAnsi="Times New Roman"/>
          <w:i/>
          <w:iCs/>
        </w:rPr>
        <w:t>EnviCrimeNet</w:t>
      </w:r>
      <w:r>
        <w:rPr>
          <w:rFonts w:ascii="Times New Roman" w:hAnsi="Times New Roman"/>
        </w:rPr>
        <w:t xml:space="preserve"> un ES Tiesnešu forums vides tiesībaizsardzībai (</w:t>
      </w:r>
      <w:r>
        <w:rPr>
          <w:rFonts w:ascii="Times New Roman" w:hAnsi="Times New Roman"/>
          <w:i/>
          <w:iCs/>
        </w:rPr>
        <w:t>EUFJE</w:t>
      </w:r>
      <w:r>
        <w:rPr>
          <w:rFonts w:ascii="Times New Roman" w:hAnsi="Times New Roman"/>
        </w:rPr>
        <w:t>).</w:t>
      </w:r>
    </w:p>
  </w:footnote>
  <w:footnote w:id="79">
    <w:p w14:paraId="0AD7BBF0"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7" w:history="1">
        <w:r>
          <w:rPr>
            <w:rStyle w:val="Hyperlink1"/>
            <w:rFonts w:ascii="Times New Roman" w:hAnsi="Times New Roman"/>
            <w:color w:val="auto"/>
            <w:u w:val="none"/>
          </w:rPr>
          <w:t>Ekspertu komiteja vides krimināltiesiskās aizsardzības jautājumos (</w:t>
        </w:r>
        <w:r>
          <w:rPr>
            <w:rStyle w:val="Hyperlink1"/>
            <w:rFonts w:ascii="Times New Roman" w:hAnsi="Times New Roman"/>
            <w:i/>
            <w:iCs/>
            <w:color w:val="auto"/>
            <w:u w:val="none"/>
          </w:rPr>
          <w:t>PC-ENV</w:t>
        </w:r>
        <w:r>
          <w:rPr>
            <w:rStyle w:val="Hyperlink1"/>
            <w:rFonts w:ascii="Times New Roman" w:hAnsi="Times New Roman"/>
            <w:color w:val="auto"/>
            <w:u w:val="none"/>
          </w:rPr>
          <w:t>) – Eiropas Krimināltiesisko problēmu komiteja</w:t>
        </w:r>
      </w:hyperlink>
      <w:r>
        <w:rPr>
          <w:rFonts w:ascii="Times New Roman" w:hAnsi="Times New Roman"/>
        </w:rPr>
        <w:t>.</w:t>
      </w:r>
    </w:p>
  </w:footnote>
  <w:footnote w:id="80">
    <w:p w14:paraId="115194DF" w14:textId="77AF229F"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īpaši, izveidojot e-tiesiskuma paziņojumu, izmantojot tiešsaistes datu apmaiņu (</w:t>
      </w:r>
      <w:r>
        <w:rPr>
          <w:rFonts w:ascii="Times New Roman" w:hAnsi="Times New Roman"/>
          <w:i/>
          <w:iCs/>
        </w:rPr>
        <w:t>eCODEX</w:t>
      </w:r>
      <w:r>
        <w:rPr>
          <w:rFonts w:ascii="Times New Roman" w:hAnsi="Times New Roman"/>
        </w:rPr>
        <w:t>) un Eiropas Sodāmības reģistru informācijas sistēmu par trešo valstu valstspiederīgajiem (</w:t>
      </w:r>
      <w:r>
        <w:rPr>
          <w:rFonts w:ascii="Times New Roman" w:hAnsi="Times New Roman"/>
          <w:i/>
          <w:iCs/>
        </w:rPr>
        <w:t>ECRIS-TCN</w:t>
      </w:r>
      <w:r>
        <w:rPr>
          <w:rFonts w:ascii="Times New Roman" w:hAnsi="Times New Roman"/>
        </w:rPr>
        <w:t>).</w:t>
      </w:r>
    </w:p>
  </w:footnote>
  <w:footnote w:id="81">
    <w:p w14:paraId="01C8E8B6"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Līdz 2024. gada 31. decembrim ir izdoti 1426 izņemšanas rīkojumi, lai izņemtu teroristisku saturu vai bloķētu piekļuvi tam, un lielākā daļa no tiem ir vērsti uz džihādistu teroristisku saturu, bet daļa arī uz labējo teroristisko saturu.</w:t>
      </w:r>
    </w:p>
  </w:footnote>
  <w:footnote w:id="82">
    <w:p w14:paraId="13943C5A"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8" w:history="1">
        <w:r>
          <w:rPr>
            <w:rStyle w:val="Hyperlink1"/>
            <w:rFonts w:ascii="Times New Roman" w:hAnsi="Times New Roman"/>
            <w:color w:val="auto"/>
            <w:u w:val="none"/>
          </w:rPr>
          <w:t>Sabiedrisku vietu aizsardzības zināšanu centrs</w:t>
        </w:r>
      </w:hyperlink>
      <w:r>
        <w:rPr>
          <w:rFonts w:ascii="Times New Roman" w:hAnsi="Times New Roman"/>
        </w:rPr>
        <w:t xml:space="preserve">. </w:t>
      </w:r>
    </w:p>
  </w:footnote>
  <w:footnote w:id="83">
    <w:p w14:paraId="38DBFEF2" w14:textId="12B3C0B8"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pamatdarbību kopumu 2023. gada paziņojumā par dronu radīto potenciālo apdraudējumu novēršanu, </w:t>
      </w:r>
      <w:hyperlink r:id="rId59" w:history="1">
        <w:r>
          <w:rPr>
            <w:rStyle w:val="Hyperlink1"/>
            <w:rFonts w:ascii="Times New Roman" w:hAnsi="Times New Roman"/>
            <w:color w:val="auto"/>
            <w:u w:val="none"/>
          </w:rPr>
          <w:t>COM(2023) 659 final</w:t>
        </w:r>
      </w:hyperlink>
      <w:r>
        <w:rPr>
          <w:rFonts w:ascii="Times New Roman" w:hAnsi="Times New Roman"/>
        </w:rPr>
        <w:t>.</w:t>
      </w:r>
    </w:p>
  </w:footnote>
  <w:footnote w:id="84">
    <w:p w14:paraId="6AD067DF" w14:textId="77777777"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Pilnībā ievērojot Šengenas Robežu kodeksu un Skrīninga regulu.</w:t>
      </w:r>
    </w:p>
  </w:footnote>
  <w:footnote w:id="85">
    <w:p w14:paraId="582DCDAC" w14:textId="77777777" w:rsidR="000164CE" w:rsidRPr="00B5194E" w:rsidRDefault="000164CE" w:rsidP="007D1E7C">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Globālais terorisma apkarošanas forums, globālā koalīcija pret </w:t>
      </w:r>
      <w:r>
        <w:rPr>
          <w:rFonts w:ascii="Times New Roman" w:hAnsi="Times New Roman"/>
          <w:i/>
          <w:iCs/>
        </w:rPr>
        <w:t>Da’esh</w:t>
      </w:r>
      <w:r>
        <w:rPr>
          <w:rFonts w:ascii="Times New Roman" w:hAnsi="Times New Roman"/>
        </w:rPr>
        <w:t>, Globālais interneta forums terorisma apkarošanai (</w:t>
      </w:r>
      <w:r>
        <w:rPr>
          <w:rFonts w:ascii="Times New Roman" w:hAnsi="Times New Roman"/>
          <w:i/>
          <w:iCs/>
        </w:rPr>
        <w:t>GIFCT</w:t>
      </w:r>
      <w:r>
        <w:rPr>
          <w:rFonts w:ascii="Times New Roman" w:hAnsi="Times New Roman"/>
        </w:rPr>
        <w:t xml:space="preserve">), </w:t>
      </w:r>
      <w:r>
        <w:rPr>
          <w:rFonts w:ascii="Times New Roman" w:hAnsi="Times New Roman"/>
          <w:i/>
          <w:iCs/>
        </w:rPr>
        <w:t>Christchurch Call Foundation</w:t>
      </w:r>
      <w:r>
        <w:rPr>
          <w:rFonts w:ascii="Times New Roman" w:hAnsi="Times New Roman"/>
        </w:rPr>
        <w:t xml:space="preserve">, Globālā koalīcija sintētisko narkotiku radīto draudu novēršanai. </w:t>
      </w:r>
    </w:p>
  </w:footnote>
  <w:footnote w:id="86">
    <w:p w14:paraId="70381C78" w14:textId="5CD14369"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0" w:history="1">
        <w:r>
          <w:rPr>
            <w:rStyle w:val="Hyperlink1"/>
            <w:rFonts w:ascii="Times New Roman" w:hAnsi="Times New Roman"/>
            <w:color w:val="auto"/>
            <w:u w:val="none"/>
          </w:rPr>
          <w:t>JOIN (2023) 8 final</w:t>
        </w:r>
      </w:hyperlink>
      <w:r>
        <w:rPr>
          <w:rFonts w:ascii="Times New Roman" w:hAnsi="Times New Roman"/>
        </w:rPr>
        <w:t>.</w:t>
      </w:r>
    </w:p>
  </w:footnote>
  <w:footnote w:id="87">
    <w:p w14:paraId="28FCBABD" w14:textId="0EFADB3E"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2021. gada 19. jūlija Lēmums (ES) 2021/1312 un Padomes 2021. gada 19. jūlija Lēmums (ES) 2021/1313.</w:t>
      </w:r>
    </w:p>
  </w:footnote>
  <w:footnote w:id="88">
    <w:p w14:paraId="0294B61C" w14:textId="6313F539" w:rsidR="000164CE" w:rsidRPr="00B5194E" w:rsidRDefault="000164CE" w:rsidP="000164CE">
      <w:pPr>
        <w:pStyle w:val="FootnoteText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hyperlink r:id="rId61" w:history="1">
        <w:r>
          <w:rPr>
            <w:rStyle w:val="Hyperlink1"/>
            <w:rFonts w:ascii="Times New Roman" w:hAnsi="Times New Roman"/>
            <w:color w:val="auto"/>
            <w:u w:val="none"/>
          </w:rPr>
          <w:t>COM (2023) 642</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8862" w14:textId="77777777" w:rsidR="0085333F" w:rsidRPr="0085333F" w:rsidRDefault="0085333F" w:rsidP="0085333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88C0" w14:textId="77777777" w:rsidR="0085333F" w:rsidRPr="0085333F" w:rsidRDefault="0085333F" w:rsidP="0085333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8D9D" w14:textId="77777777" w:rsidR="0085333F" w:rsidRPr="0085333F" w:rsidRDefault="0085333F" w:rsidP="0085333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91B0" w14:textId="54EF3957" w:rsidR="000164CE" w:rsidRDefault="000164CE">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E5CE" w14:textId="7877A029" w:rsidR="000164CE" w:rsidRDefault="000164CE">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5C64F" w14:textId="60526B67" w:rsidR="000164CE" w:rsidRDefault="000164CE">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B375"/>
    <w:multiLevelType w:val="hybridMultilevel"/>
    <w:tmpl w:val="FFFFFFFF"/>
    <w:lvl w:ilvl="0" w:tplc="BD8C3D0C">
      <w:start w:val="1"/>
      <w:numFmt w:val="bullet"/>
      <w:lvlText w:val=""/>
      <w:lvlJc w:val="left"/>
      <w:pPr>
        <w:ind w:left="-436" w:hanging="360"/>
      </w:pPr>
      <w:rPr>
        <w:rFonts w:ascii="Symbol" w:hAnsi="Symbol" w:hint="default"/>
      </w:rPr>
    </w:lvl>
    <w:lvl w:ilvl="1" w:tplc="416E7ACA">
      <w:start w:val="1"/>
      <w:numFmt w:val="bullet"/>
      <w:lvlText w:val="o"/>
      <w:lvlJc w:val="left"/>
      <w:pPr>
        <w:ind w:left="284" w:hanging="360"/>
      </w:pPr>
      <w:rPr>
        <w:rFonts w:ascii="Courier New" w:hAnsi="Courier New" w:hint="default"/>
      </w:rPr>
    </w:lvl>
    <w:lvl w:ilvl="2" w:tplc="1A9C2DC2">
      <w:start w:val="1"/>
      <w:numFmt w:val="bullet"/>
      <w:lvlText w:val=""/>
      <w:lvlJc w:val="left"/>
      <w:pPr>
        <w:ind w:left="1004" w:hanging="360"/>
      </w:pPr>
      <w:rPr>
        <w:rFonts w:ascii="Wingdings" w:hAnsi="Wingdings" w:hint="default"/>
      </w:rPr>
    </w:lvl>
    <w:lvl w:ilvl="3" w:tplc="BEBCA93A">
      <w:start w:val="1"/>
      <w:numFmt w:val="bullet"/>
      <w:lvlText w:val=""/>
      <w:lvlJc w:val="left"/>
      <w:pPr>
        <w:ind w:left="1724" w:hanging="360"/>
      </w:pPr>
      <w:rPr>
        <w:rFonts w:ascii="Symbol" w:hAnsi="Symbol" w:hint="default"/>
      </w:rPr>
    </w:lvl>
    <w:lvl w:ilvl="4" w:tplc="A1B4EFF8">
      <w:start w:val="1"/>
      <w:numFmt w:val="bullet"/>
      <w:lvlText w:val="o"/>
      <w:lvlJc w:val="left"/>
      <w:pPr>
        <w:ind w:left="2444" w:hanging="360"/>
      </w:pPr>
      <w:rPr>
        <w:rFonts w:ascii="Courier New" w:hAnsi="Courier New" w:hint="default"/>
      </w:rPr>
    </w:lvl>
    <w:lvl w:ilvl="5" w:tplc="81B0A6DC">
      <w:start w:val="1"/>
      <w:numFmt w:val="bullet"/>
      <w:lvlText w:val=""/>
      <w:lvlJc w:val="left"/>
      <w:pPr>
        <w:ind w:left="3164" w:hanging="360"/>
      </w:pPr>
      <w:rPr>
        <w:rFonts w:ascii="Wingdings" w:hAnsi="Wingdings" w:hint="default"/>
      </w:rPr>
    </w:lvl>
    <w:lvl w:ilvl="6" w:tplc="DBB2B964">
      <w:start w:val="1"/>
      <w:numFmt w:val="bullet"/>
      <w:lvlText w:val=""/>
      <w:lvlJc w:val="left"/>
      <w:pPr>
        <w:ind w:left="3884" w:hanging="360"/>
      </w:pPr>
      <w:rPr>
        <w:rFonts w:ascii="Symbol" w:hAnsi="Symbol" w:hint="default"/>
      </w:rPr>
    </w:lvl>
    <w:lvl w:ilvl="7" w:tplc="BAE21DEE">
      <w:start w:val="1"/>
      <w:numFmt w:val="bullet"/>
      <w:lvlText w:val="o"/>
      <w:lvlJc w:val="left"/>
      <w:pPr>
        <w:ind w:left="4604" w:hanging="360"/>
      </w:pPr>
      <w:rPr>
        <w:rFonts w:ascii="Courier New" w:hAnsi="Courier New" w:hint="default"/>
      </w:rPr>
    </w:lvl>
    <w:lvl w:ilvl="8" w:tplc="BCFCCA96">
      <w:start w:val="1"/>
      <w:numFmt w:val="bullet"/>
      <w:lvlText w:val=""/>
      <w:lvlJc w:val="left"/>
      <w:pPr>
        <w:ind w:left="5324" w:hanging="360"/>
      </w:pPr>
      <w:rPr>
        <w:rFonts w:ascii="Wingdings" w:hAnsi="Wingdings" w:hint="default"/>
      </w:rPr>
    </w:lvl>
  </w:abstractNum>
  <w:abstractNum w:abstractNumId="1" w15:restartNumberingAfterBreak="0">
    <w:nsid w:val="015A809F"/>
    <w:multiLevelType w:val="hybridMultilevel"/>
    <w:tmpl w:val="6956831E"/>
    <w:lvl w:ilvl="0" w:tplc="BACA684C">
      <w:start w:val="1"/>
      <w:numFmt w:val="bullet"/>
      <w:lvlText w:val=""/>
      <w:lvlJc w:val="left"/>
      <w:pPr>
        <w:ind w:left="-1443" w:hanging="360"/>
      </w:pPr>
      <w:rPr>
        <w:rFonts w:ascii="Symbol" w:hAnsi="Symbol" w:hint="default"/>
      </w:rPr>
    </w:lvl>
    <w:lvl w:ilvl="1" w:tplc="A35449FA">
      <w:start w:val="1"/>
      <w:numFmt w:val="bullet"/>
      <w:lvlText w:val="o"/>
      <w:lvlJc w:val="left"/>
      <w:pPr>
        <w:ind w:left="-360" w:hanging="360"/>
      </w:pPr>
      <w:rPr>
        <w:rFonts w:ascii="Courier New" w:hAnsi="Courier New" w:hint="default"/>
      </w:rPr>
    </w:lvl>
    <w:lvl w:ilvl="2" w:tplc="6D06D94A">
      <w:start w:val="1"/>
      <w:numFmt w:val="bullet"/>
      <w:lvlText w:val=""/>
      <w:lvlJc w:val="left"/>
      <w:pPr>
        <w:ind w:left="360" w:hanging="360"/>
      </w:pPr>
      <w:rPr>
        <w:rFonts w:ascii="Wingdings" w:hAnsi="Wingdings" w:hint="default"/>
      </w:rPr>
    </w:lvl>
    <w:lvl w:ilvl="3" w:tplc="AA04C682">
      <w:start w:val="1"/>
      <w:numFmt w:val="bullet"/>
      <w:lvlText w:val=""/>
      <w:lvlJc w:val="left"/>
      <w:pPr>
        <w:ind w:left="1080" w:hanging="360"/>
      </w:pPr>
      <w:rPr>
        <w:rFonts w:ascii="Symbol" w:hAnsi="Symbol" w:hint="default"/>
      </w:rPr>
    </w:lvl>
    <w:lvl w:ilvl="4" w:tplc="0076156A">
      <w:start w:val="1"/>
      <w:numFmt w:val="bullet"/>
      <w:lvlText w:val="o"/>
      <w:lvlJc w:val="left"/>
      <w:pPr>
        <w:ind w:left="1800" w:hanging="360"/>
      </w:pPr>
      <w:rPr>
        <w:rFonts w:ascii="Courier New" w:hAnsi="Courier New" w:hint="default"/>
      </w:rPr>
    </w:lvl>
    <w:lvl w:ilvl="5" w:tplc="FAAE6830">
      <w:start w:val="1"/>
      <w:numFmt w:val="bullet"/>
      <w:lvlText w:val=""/>
      <w:lvlJc w:val="left"/>
      <w:pPr>
        <w:ind w:left="2520" w:hanging="360"/>
      </w:pPr>
      <w:rPr>
        <w:rFonts w:ascii="Wingdings" w:hAnsi="Wingdings" w:hint="default"/>
      </w:rPr>
    </w:lvl>
    <w:lvl w:ilvl="6" w:tplc="55DEAFF0">
      <w:start w:val="1"/>
      <w:numFmt w:val="bullet"/>
      <w:lvlText w:val=""/>
      <w:lvlJc w:val="left"/>
      <w:pPr>
        <w:ind w:left="3240" w:hanging="360"/>
      </w:pPr>
      <w:rPr>
        <w:rFonts w:ascii="Symbol" w:hAnsi="Symbol" w:hint="default"/>
      </w:rPr>
    </w:lvl>
    <w:lvl w:ilvl="7" w:tplc="32486B4E">
      <w:start w:val="1"/>
      <w:numFmt w:val="bullet"/>
      <w:lvlText w:val="o"/>
      <w:lvlJc w:val="left"/>
      <w:pPr>
        <w:ind w:left="3960" w:hanging="360"/>
      </w:pPr>
      <w:rPr>
        <w:rFonts w:ascii="Courier New" w:hAnsi="Courier New" w:hint="default"/>
      </w:rPr>
    </w:lvl>
    <w:lvl w:ilvl="8" w:tplc="30FC8AC0">
      <w:start w:val="1"/>
      <w:numFmt w:val="bullet"/>
      <w:lvlText w:val=""/>
      <w:lvlJc w:val="left"/>
      <w:pPr>
        <w:ind w:left="4680" w:hanging="360"/>
      </w:pPr>
      <w:rPr>
        <w:rFonts w:ascii="Wingdings" w:hAnsi="Wingdings" w:hint="default"/>
      </w:rPr>
    </w:lvl>
  </w:abstractNum>
  <w:abstractNum w:abstractNumId="2" w15:restartNumberingAfterBreak="0">
    <w:nsid w:val="09842CFB"/>
    <w:multiLevelType w:val="hybridMultilevel"/>
    <w:tmpl w:val="9662A0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900E12"/>
    <w:multiLevelType w:val="hybridMultilevel"/>
    <w:tmpl w:val="FBFC80DA"/>
    <w:lvl w:ilvl="0" w:tplc="8EC8345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884446"/>
    <w:multiLevelType w:val="hybridMultilevel"/>
    <w:tmpl w:val="D4DC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B386E"/>
    <w:multiLevelType w:val="hybridMultilevel"/>
    <w:tmpl w:val="FFFFFFFF"/>
    <w:lvl w:ilvl="0" w:tplc="07F83288">
      <w:start w:val="1"/>
      <w:numFmt w:val="bullet"/>
      <w:lvlText w:val=""/>
      <w:lvlJc w:val="left"/>
      <w:pPr>
        <w:ind w:left="141" w:hanging="360"/>
      </w:pPr>
      <w:rPr>
        <w:rFonts w:ascii="Symbol" w:hAnsi="Symbol" w:hint="default"/>
      </w:rPr>
    </w:lvl>
    <w:lvl w:ilvl="1" w:tplc="F0EC3F30">
      <w:start w:val="1"/>
      <w:numFmt w:val="bullet"/>
      <w:lvlText w:val="o"/>
      <w:lvlJc w:val="left"/>
      <w:pPr>
        <w:ind w:left="861" w:hanging="360"/>
      </w:pPr>
      <w:rPr>
        <w:rFonts w:ascii="Courier New" w:hAnsi="Courier New" w:hint="default"/>
      </w:rPr>
    </w:lvl>
    <w:lvl w:ilvl="2" w:tplc="98F8E3A2">
      <w:start w:val="1"/>
      <w:numFmt w:val="bullet"/>
      <w:lvlText w:val=""/>
      <w:lvlJc w:val="left"/>
      <w:pPr>
        <w:ind w:left="1581" w:hanging="360"/>
      </w:pPr>
      <w:rPr>
        <w:rFonts w:ascii="Wingdings" w:hAnsi="Wingdings" w:hint="default"/>
      </w:rPr>
    </w:lvl>
    <w:lvl w:ilvl="3" w:tplc="7270C370">
      <w:start w:val="1"/>
      <w:numFmt w:val="bullet"/>
      <w:lvlText w:val=""/>
      <w:lvlJc w:val="left"/>
      <w:pPr>
        <w:ind w:left="2301" w:hanging="360"/>
      </w:pPr>
      <w:rPr>
        <w:rFonts w:ascii="Symbol" w:hAnsi="Symbol" w:hint="default"/>
      </w:rPr>
    </w:lvl>
    <w:lvl w:ilvl="4" w:tplc="45C62298">
      <w:start w:val="1"/>
      <w:numFmt w:val="bullet"/>
      <w:lvlText w:val="o"/>
      <w:lvlJc w:val="left"/>
      <w:pPr>
        <w:ind w:left="3021" w:hanging="360"/>
      </w:pPr>
      <w:rPr>
        <w:rFonts w:ascii="Courier New" w:hAnsi="Courier New" w:hint="default"/>
      </w:rPr>
    </w:lvl>
    <w:lvl w:ilvl="5" w:tplc="A41C4AFA">
      <w:start w:val="1"/>
      <w:numFmt w:val="bullet"/>
      <w:lvlText w:val=""/>
      <w:lvlJc w:val="left"/>
      <w:pPr>
        <w:ind w:left="3741" w:hanging="360"/>
      </w:pPr>
      <w:rPr>
        <w:rFonts w:ascii="Wingdings" w:hAnsi="Wingdings" w:hint="default"/>
      </w:rPr>
    </w:lvl>
    <w:lvl w:ilvl="6" w:tplc="C180F85E">
      <w:start w:val="1"/>
      <w:numFmt w:val="bullet"/>
      <w:lvlText w:val=""/>
      <w:lvlJc w:val="left"/>
      <w:pPr>
        <w:ind w:left="4461" w:hanging="360"/>
      </w:pPr>
      <w:rPr>
        <w:rFonts w:ascii="Symbol" w:hAnsi="Symbol" w:hint="default"/>
      </w:rPr>
    </w:lvl>
    <w:lvl w:ilvl="7" w:tplc="C206036A">
      <w:start w:val="1"/>
      <w:numFmt w:val="bullet"/>
      <w:lvlText w:val="o"/>
      <w:lvlJc w:val="left"/>
      <w:pPr>
        <w:ind w:left="5181" w:hanging="360"/>
      </w:pPr>
      <w:rPr>
        <w:rFonts w:ascii="Courier New" w:hAnsi="Courier New" w:hint="default"/>
      </w:rPr>
    </w:lvl>
    <w:lvl w:ilvl="8" w:tplc="3C029446">
      <w:start w:val="1"/>
      <w:numFmt w:val="bullet"/>
      <w:lvlText w:val=""/>
      <w:lvlJc w:val="left"/>
      <w:pPr>
        <w:ind w:left="5901" w:hanging="360"/>
      </w:pPr>
      <w:rPr>
        <w:rFonts w:ascii="Wingdings" w:hAnsi="Wingdings" w:hint="default"/>
      </w:rPr>
    </w:lvl>
  </w:abstractNum>
  <w:abstractNum w:abstractNumId="6" w15:restartNumberingAfterBreak="0">
    <w:nsid w:val="0E0328DB"/>
    <w:multiLevelType w:val="hybridMultilevel"/>
    <w:tmpl w:val="A162B6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D0F3EA"/>
    <w:multiLevelType w:val="hybridMultilevel"/>
    <w:tmpl w:val="FFFFFFFF"/>
    <w:lvl w:ilvl="0" w:tplc="CFDE28A6">
      <w:start w:val="1"/>
      <w:numFmt w:val="bullet"/>
      <w:lvlText w:val=""/>
      <w:lvlJc w:val="left"/>
      <w:pPr>
        <w:ind w:left="357" w:hanging="360"/>
      </w:pPr>
      <w:rPr>
        <w:rFonts w:ascii="Symbol" w:hAnsi="Symbol" w:hint="default"/>
      </w:rPr>
    </w:lvl>
    <w:lvl w:ilvl="1" w:tplc="D47666BE">
      <w:start w:val="1"/>
      <w:numFmt w:val="bullet"/>
      <w:lvlText w:val="o"/>
      <w:lvlJc w:val="left"/>
      <w:pPr>
        <w:ind w:left="1440" w:hanging="360"/>
      </w:pPr>
      <w:rPr>
        <w:rFonts w:ascii="Courier New" w:hAnsi="Courier New" w:hint="default"/>
      </w:rPr>
    </w:lvl>
    <w:lvl w:ilvl="2" w:tplc="ECD41FEA">
      <w:start w:val="1"/>
      <w:numFmt w:val="bullet"/>
      <w:lvlText w:val=""/>
      <w:lvlJc w:val="left"/>
      <w:pPr>
        <w:ind w:left="2160" w:hanging="360"/>
      </w:pPr>
      <w:rPr>
        <w:rFonts w:ascii="Wingdings" w:hAnsi="Wingdings" w:hint="default"/>
      </w:rPr>
    </w:lvl>
    <w:lvl w:ilvl="3" w:tplc="DCCC30FE">
      <w:start w:val="1"/>
      <w:numFmt w:val="bullet"/>
      <w:lvlText w:val=""/>
      <w:lvlJc w:val="left"/>
      <w:pPr>
        <w:ind w:left="2880" w:hanging="360"/>
      </w:pPr>
      <w:rPr>
        <w:rFonts w:ascii="Symbol" w:hAnsi="Symbol" w:hint="default"/>
      </w:rPr>
    </w:lvl>
    <w:lvl w:ilvl="4" w:tplc="D2DCEB20">
      <w:start w:val="1"/>
      <w:numFmt w:val="bullet"/>
      <w:lvlText w:val="o"/>
      <w:lvlJc w:val="left"/>
      <w:pPr>
        <w:ind w:left="3600" w:hanging="360"/>
      </w:pPr>
      <w:rPr>
        <w:rFonts w:ascii="Courier New" w:hAnsi="Courier New" w:hint="default"/>
      </w:rPr>
    </w:lvl>
    <w:lvl w:ilvl="5" w:tplc="B0DC854A">
      <w:start w:val="1"/>
      <w:numFmt w:val="bullet"/>
      <w:lvlText w:val=""/>
      <w:lvlJc w:val="left"/>
      <w:pPr>
        <w:ind w:left="4320" w:hanging="360"/>
      </w:pPr>
      <w:rPr>
        <w:rFonts w:ascii="Wingdings" w:hAnsi="Wingdings" w:hint="default"/>
      </w:rPr>
    </w:lvl>
    <w:lvl w:ilvl="6" w:tplc="1186C8EA">
      <w:start w:val="1"/>
      <w:numFmt w:val="bullet"/>
      <w:lvlText w:val=""/>
      <w:lvlJc w:val="left"/>
      <w:pPr>
        <w:ind w:left="5040" w:hanging="360"/>
      </w:pPr>
      <w:rPr>
        <w:rFonts w:ascii="Symbol" w:hAnsi="Symbol" w:hint="default"/>
      </w:rPr>
    </w:lvl>
    <w:lvl w:ilvl="7" w:tplc="35880408">
      <w:start w:val="1"/>
      <w:numFmt w:val="bullet"/>
      <w:lvlText w:val="o"/>
      <w:lvlJc w:val="left"/>
      <w:pPr>
        <w:ind w:left="5760" w:hanging="360"/>
      </w:pPr>
      <w:rPr>
        <w:rFonts w:ascii="Courier New" w:hAnsi="Courier New" w:hint="default"/>
      </w:rPr>
    </w:lvl>
    <w:lvl w:ilvl="8" w:tplc="E7821796">
      <w:start w:val="1"/>
      <w:numFmt w:val="bullet"/>
      <w:lvlText w:val=""/>
      <w:lvlJc w:val="left"/>
      <w:pPr>
        <w:ind w:left="6480" w:hanging="360"/>
      </w:pPr>
      <w:rPr>
        <w:rFonts w:ascii="Wingdings" w:hAnsi="Wingdings" w:hint="default"/>
      </w:rPr>
    </w:lvl>
  </w:abstractNum>
  <w:abstractNum w:abstractNumId="8" w15:restartNumberingAfterBreak="0">
    <w:nsid w:val="16ED2DFE"/>
    <w:multiLevelType w:val="hybridMultilevel"/>
    <w:tmpl w:val="86E8059E"/>
    <w:lvl w:ilvl="0" w:tplc="8EC8345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4B4D0A"/>
    <w:multiLevelType w:val="hybridMultilevel"/>
    <w:tmpl w:val="86C24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97331F"/>
    <w:multiLevelType w:val="hybridMultilevel"/>
    <w:tmpl w:val="E5881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C46AB3"/>
    <w:multiLevelType w:val="hybridMultilevel"/>
    <w:tmpl w:val="4EB03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046C99"/>
    <w:multiLevelType w:val="hybridMultilevel"/>
    <w:tmpl w:val="F8CA1CCC"/>
    <w:lvl w:ilvl="0" w:tplc="293AF86A">
      <w:start w:val="1"/>
      <w:numFmt w:val="bullet"/>
      <w:lvlText w:val=""/>
      <w:lvlJc w:val="left"/>
      <w:pPr>
        <w:ind w:left="720" w:hanging="360"/>
      </w:pPr>
      <w:rPr>
        <w:rFonts w:ascii="Symbol" w:hAnsi="Symbol"/>
      </w:rPr>
    </w:lvl>
    <w:lvl w:ilvl="1" w:tplc="B7E0BFC8">
      <w:start w:val="1"/>
      <w:numFmt w:val="bullet"/>
      <w:lvlText w:val=""/>
      <w:lvlJc w:val="left"/>
      <w:pPr>
        <w:ind w:left="720" w:hanging="360"/>
      </w:pPr>
      <w:rPr>
        <w:rFonts w:ascii="Symbol" w:hAnsi="Symbol"/>
      </w:rPr>
    </w:lvl>
    <w:lvl w:ilvl="2" w:tplc="FE06F6FC">
      <w:start w:val="1"/>
      <w:numFmt w:val="bullet"/>
      <w:lvlText w:val=""/>
      <w:lvlJc w:val="left"/>
      <w:pPr>
        <w:ind w:left="720" w:hanging="360"/>
      </w:pPr>
      <w:rPr>
        <w:rFonts w:ascii="Symbol" w:hAnsi="Symbol"/>
      </w:rPr>
    </w:lvl>
    <w:lvl w:ilvl="3" w:tplc="A82AD2C6">
      <w:start w:val="1"/>
      <w:numFmt w:val="bullet"/>
      <w:lvlText w:val=""/>
      <w:lvlJc w:val="left"/>
      <w:pPr>
        <w:ind w:left="720" w:hanging="360"/>
      </w:pPr>
      <w:rPr>
        <w:rFonts w:ascii="Symbol" w:hAnsi="Symbol"/>
      </w:rPr>
    </w:lvl>
    <w:lvl w:ilvl="4" w:tplc="80B65E68">
      <w:start w:val="1"/>
      <w:numFmt w:val="bullet"/>
      <w:lvlText w:val=""/>
      <w:lvlJc w:val="left"/>
      <w:pPr>
        <w:ind w:left="720" w:hanging="360"/>
      </w:pPr>
      <w:rPr>
        <w:rFonts w:ascii="Symbol" w:hAnsi="Symbol"/>
      </w:rPr>
    </w:lvl>
    <w:lvl w:ilvl="5" w:tplc="28CC7BD0">
      <w:start w:val="1"/>
      <w:numFmt w:val="bullet"/>
      <w:lvlText w:val=""/>
      <w:lvlJc w:val="left"/>
      <w:pPr>
        <w:ind w:left="720" w:hanging="360"/>
      </w:pPr>
      <w:rPr>
        <w:rFonts w:ascii="Symbol" w:hAnsi="Symbol"/>
      </w:rPr>
    </w:lvl>
    <w:lvl w:ilvl="6" w:tplc="491E785E">
      <w:start w:val="1"/>
      <w:numFmt w:val="bullet"/>
      <w:lvlText w:val=""/>
      <w:lvlJc w:val="left"/>
      <w:pPr>
        <w:ind w:left="720" w:hanging="360"/>
      </w:pPr>
      <w:rPr>
        <w:rFonts w:ascii="Symbol" w:hAnsi="Symbol"/>
      </w:rPr>
    </w:lvl>
    <w:lvl w:ilvl="7" w:tplc="343C7368">
      <w:start w:val="1"/>
      <w:numFmt w:val="bullet"/>
      <w:lvlText w:val=""/>
      <w:lvlJc w:val="left"/>
      <w:pPr>
        <w:ind w:left="720" w:hanging="360"/>
      </w:pPr>
      <w:rPr>
        <w:rFonts w:ascii="Symbol" w:hAnsi="Symbol"/>
      </w:rPr>
    </w:lvl>
    <w:lvl w:ilvl="8" w:tplc="014C0D68">
      <w:start w:val="1"/>
      <w:numFmt w:val="bullet"/>
      <w:lvlText w:val=""/>
      <w:lvlJc w:val="left"/>
      <w:pPr>
        <w:ind w:left="720" w:hanging="360"/>
      </w:pPr>
      <w:rPr>
        <w:rFonts w:ascii="Symbol" w:hAnsi="Symbol"/>
      </w:rPr>
    </w:lvl>
  </w:abstractNum>
  <w:abstractNum w:abstractNumId="13" w15:restartNumberingAfterBreak="0">
    <w:nsid w:val="20C427AD"/>
    <w:multiLevelType w:val="hybridMultilevel"/>
    <w:tmpl w:val="9542A0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CC3F3E"/>
    <w:multiLevelType w:val="hybridMultilevel"/>
    <w:tmpl w:val="9CC6D6A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3FE0238"/>
    <w:multiLevelType w:val="multilevel"/>
    <w:tmpl w:val="BB6CC5A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EE77F3"/>
    <w:multiLevelType w:val="hybridMultilevel"/>
    <w:tmpl w:val="E35CEE58"/>
    <w:lvl w:ilvl="0" w:tplc="2468EB0E">
      <w:start w:val="1"/>
      <w:numFmt w:val="bullet"/>
      <w:lvlText w:val=""/>
      <w:lvlJc w:val="left"/>
      <w:pPr>
        <w:ind w:left="1440" w:hanging="360"/>
      </w:pPr>
      <w:rPr>
        <w:rFonts w:ascii="Symbol" w:hAnsi="Symbol"/>
      </w:rPr>
    </w:lvl>
    <w:lvl w:ilvl="1" w:tplc="2A8EDDBE">
      <w:start w:val="1"/>
      <w:numFmt w:val="bullet"/>
      <w:lvlText w:val=""/>
      <w:lvlJc w:val="left"/>
      <w:pPr>
        <w:ind w:left="1440" w:hanging="360"/>
      </w:pPr>
      <w:rPr>
        <w:rFonts w:ascii="Symbol" w:hAnsi="Symbol"/>
      </w:rPr>
    </w:lvl>
    <w:lvl w:ilvl="2" w:tplc="53962FEC">
      <w:start w:val="1"/>
      <w:numFmt w:val="bullet"/>
      <w:lvlText w:val=""/>
      <w:lvlJc w:val="left"/>
      <w:pPr>
        <w:ind w:left="1440" w:hanging="360"/>
      </w:pPr>
      <w:rPr>
        <w:rFonts w:ascii="Symbol" w:hAnsi="Symbol"/>
      </w:rPr>
    </w:lvl>
    <w:lvl w:ilvl="3" w:tplc="CF0CB09A">
      <w:start w:val="1"/>
      <w:numFmt w:val="bullet"/>
      <w:lvlText w:val=""/>
      <w:lvlJc w:val="left"/>
      <w:pPr>
        <w:ind w:left="1440" w:hanging="360"/>
      </w:pPr>
      <w:rPr>
        <w:rFonts w:ascii="Symbol" w:hAnsi="Symbol"/>
      </w:rPr>
    </w:lvl>
    <w:lvl w:ilvl="4" w:tplc="751AE14A">
      <w:start w:val="1"/>
      <w:numFmt w:val="bullet"/>
      <w:lvlText w:val=""/>
      <w:lvlJc w:val="left"/>
      <w:pPr>
        <w:ind w:left="1440" w:hanging="360"/>
      </w:pPr>
      <w:rPr>
        <w:rFonts w:ascii="Symbol" w:hAnsi="Symbol"/>
      </w:rPr>
    </w:lvl>
    <w:lvl w:ilvl="5" w:tplc="88024A58">
      <w:start w:val="1"/>
      <w:numFmt w:val="bullet"/>
      <w:lvlText w:val=""/>
      <w:lvlJc w:val="left"/>
      <w:pPr>
        <w:ind w:left="1440" w:hanging="360"/>
      </w:pPr>
      <w:rPr>
        <w:rFonts w:ascii="Symbol" w:hAnsi="Symbol"/>
      </w:rPr>
    </w:lvl>
    <w:lvl w:ilvl="6" w:tplc="72FA472A">
      <w:start w:val="1"/>
      <w:numFmt w:val="bullet"/>
      <w:lvlText w:val=""/>
      <w:lvlJc w:val="left"/>
      <w:pPr>
        <w:ind w:left="1440" w:hanging="360"/>
      </w:pPr>
      <w:rPr>
        <w:rFonts w:ascii="Symbol" w:hAnsi="Symbol"/>
      </w:rPr>
    </w:lvl>
    <w:lvl w:ilvl="7" w:tplc="9806855A">
      <w:start w:val="1"/>
      <w:numFmt w:val="bullet"/>
      <w:lvlText w:val=""/>
      <w:lvlJc w:val="left"/>
      <w:pPr>
        <w:ind w:left="1440" w:hanging="360"/>
      </w:pPr>
      <w:rPr>
        <w:rFonts w:ascii="Symbol" w:hAnsi="Symbol"/>
      </w:rPr>
    </w:lvl>
    <w:lvl w:ilvl="8" w:tplc="334EBF54">
      <w:start w:val="1"/>
      <w:numFmt w:val="bullet"/>
      <w:lvlText w:val=""/>
      <w:lvlJc w:val="left"/>
      <w:pPr>
        <w:ind w:left="1440" w:hanging="360"/>
      </w:pPr>
      <w:rPr>
        <w:rFonts w:ascii="Symbol" w:hAnsi="Symbol"/>
      </w:rPr>
    </w:lvl>
  </w:abstractNum>
  <w:abstractNum w:abstractNumId="17" w15:restartNumberingAfterBreak="0">
    <w:nsid w:val="2756C1DE"/>
    <w:multiLevelType w:val="hybridMultilevel"/>
    <w:tmpl w:val="FFFFFFFF"/>
    <w:lvl w:ilvl="0" w:tplc="EACE8D74">
      <w:start w:val="1"/>
      <w:numFmt w:val="bullet"/>
      <w:lvlText w:val=""/>
      <w:lvlJc w:val="left"/>
      <w:pPr>
        <w:ind w:left="1080" w:hanging="360"/>
      </w:pPr>
      <w:rPr>
        <w:rFonts w:ascii="Symbol" w:hAnsi="Symbol" w:hint="default"/>
      </w:rPr>
    </w:lvl>
    <w:lvl w:ilvl="1" w:tplc="1AE2B4D0">
      <w:start w:val="1"/>
      <w:numFmt w:val="bullet"/>
      <w:lvlText w:val="o"/>
      <w:lvlJc w:val="left"/>
      <w:pPr>
        <w:ind w:left="1800" w:hanging="360"/>
      </w:pPr>
      <w:rPr>
        <w:rFonts w:ascii="Courier New" w:hAnsi="Courier New" w:hint="default"/>
      </w:rPr>
    </w:lvl>
    <w:lvl w:ilvl="2" w:tplc="05866982">
      <w:start w:val="1"/>
      <w:numFmt w:val="bullet"/>
      <w:lvlText w:val=""/>
      <w:lvlJc w:val="left"/>
      <w:pPr>
        <w:ind w:left="2520" w:hanging="360"/>
      </w:pPr>
      <w:rPr>
        <w:rFonts w:ascii="Wingdings" w:hAnsi="Wingdings" w:hint="default"/>
      </w:rPr>
    </w:lvl>
    <w:lvl w:ilvl="3" w:tplc="15E658A8">
      <w:start w:val="1"/>
      <w:numFmt w:val="bullet"/>
      <w:lvlText w:val=""/>
      <w:lvlJc w:val="left"/>
      <w:pPr>
        <w:ind w:left="3240" w:hanging="360"/>
      </w:pPr>
      <w:rPr>
        <w:rFonts w:ascii="Symbol" w:hAnsi="Symbol" w:hint="default"/>
      </w:rPr>
    </w:lvl>
    <w:lvl w:ilvl="4" w:tplc="ABFA0702">
      <w:start w:val="1"/>
      <w:numFmt w:val="bullet"/>
      <w:lvlText w:val="o"/>
      <w:lvlJc w:val="left"/>
      <w:pPr>
        <w:ind w:left="3960" w:hanging="360"/>
      </w:pPr>
      <w:rPr>
        <w:rFonts w:ascii="Courier New" w:hAnsi="Courier New" w:hint="default"/>
      </w:rPr>
    </w:lvl>
    <w:lvl w:ilvl="5" w:tplc="38B86978">
      <w:start w:val="1"/>
      <w:numFmt w:val="bullet"/>
      <w:lvlText w:val=""/>
      <w:lvlJc w:val="left"/>
      <w:pPr>
        <w:ind w:left="4680" w:hanging="360"/>
      </w:pPr>
      <w:rPr>
        <w:rFonts w:ascii="Wingdings" w:hAnsi="Wingdings" w:hint="default"/>
      </w:rPr>
    </w:lvl>
    <w:lvl w:ilvl="6" w:tplc="9B20BCCE">
      <w:start w:val="1"/>
      <w:numFmt w:val="bullet"/>
      <w:lvlText w:val=""/>
      <w:lvlJc w:val="left"/>
      <w:pPr>
        <w:ind w:left="5400" w:hanging="360"/>
      </w:pPr>
      <w:rPr>
        <w:rFonts w:ascii="Symbol" w:hAnsi="Symbol" w:hint="default"/>
      </w:rPr>
    </w:lvl>
    <w:lvl w:ilvl="7" w:tplc="D8E2D88E">
      <w:start w:val="1"/>
      <w:numFmt w:val="bullet"/>
      <w:lvlText w:val="o"/>
      <w:lvlJc w:val="left"/>
      <w:pPr>
        <w:ind w:left="6120" w:hanging="360"/>
      </w:pPr>
      <w:rPr>
        <w:rFonts w:ascii="Courier New" w:hAnsi="Courier New" w:hint="default"/>
      </w:rPr>
    </w:lvl>
    <w:lvl w:ilvl="8" w:tplc="80DCDA86">
      <w:start w:val="1"/>
      <w:numFmt w:val="bullet"/>
      <w:lvlText w:val=""/>
      <w:lvlJc w:val="left"/>
      <w:pPr>
        <w:ind w:left="6840" w:hanging="360"/>
      </w:pPr>
      <w:rPr>
        <w:rFonts w:ascii="Wingdings" w:hAnsi="Wingdings" w:hint="default"/>
      </w:rPr>
    </w:lvl>
  </w:abstractNum>
  <w:abstractNum w:abstractNumId="18" w15:restartNumberingAfterBreak="0">
    <w:nsid w:val="295D016E"/>
    <w:multiLevelType w:val="hybridMultilevel"/>
    <w:tmpl w:val="D0C80D18"/>
    <w:lvl w:ilvl="0" w:tplc="DB78341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EC3B822"/>
    <w:multiLevelType w:val="hybridMultilevel"/>
    <w:tmpl w:val="FFFFFFFF"/>
    <w:lvl w:ilvl="0" w:tplc="F45E4B38">
      <w:start w:val="1"/>
      <w:numFmt w:val="bullet"/>
      <w:lvlText w:val=""/>
      <w:lvlJc w:val="left"/>
      <w:pPr>
        <w:ind w:left="720" w:hanging="360"/>
      </w:pPr>
      <w:rPr>
        <w:rFonts w:ascii="Symbol" w:hAnsi="Symbol" w:hint="default"/>
      </w:rPr>
    </w:lvl>
    <w:lvl w:ilvl="1" w:tplc="0CAC7320">
      <w:start w:val="1"/>
      <w:numFmt w:val="bullet"/>
      <w:lvlText w:val="o"/>
      <w:lvlJc w:val="left"/>
      <w:pPr>
        <w:ind w:left="1440" w:hanging="360"/>
      </w:pPr>
      <w:rPr>
        <w:rFonts w:ascii="Courier New" w:hAnsi="Courier New" w:hint="default"/>
      </w:rPr>
    </w:lvl>
    <w:lvl w:ilvl="2" w:tplc="22101DF8">
      <w:start w:val="1"/>
      <w:numFmt w:val="bullet"/>
      <w:lvlText w:val=""/>
      <w:lvlJc w:val="left"/>
      <w:pPr>
        <w:ind w:left="2160" w:hanging="360"/>
      </w:pPr>
      <w:rPr>
        <w:rFonts w:ascii="Wingdings" w:hAnsi="Wingdings" w:hint="default"/>
      </w:rPr>
    </w:lvl>
    <w:lvl w:ilvl="3" w:tplc="F8F0DB50">
      <w:start w:val="1"/>
      <w:numFmt w:val="bullet"/>
      <w:lvlText w:val=""/>
      <w:lvlJc w:val="left"/>
      <w:pPr>
        <w:ind w:left="2880" w:hanging="360"/>
      </w:pPr>
      <w:rPr>
        <w:rFonts w:ascii="Symbol" w:hAnsi="Symbol" w:hint="default"/>
      </w:rPr>
    </w:lvl>
    <w:lvl w:ilvl="4" w:tplc="2A4C0A58">
      <w:start w:val="1"/>
      <w:numFmt w:val="bullet"/>
      <w:lvlText w:val="o"/>
      <w:lvlJc w:val="left"/>
      <w:pPr>
        <w:ind w:left="3600" w:hanging="360"/>
      </w:pPr>
      <w:rPr>
        <w:rFonts w:ascii="Courier New" w:hAnsi="Courier New" w:hint="default"/>
      </w:rPr>
    </w:lvl>
    <w:lvl w:ilvl="5" w:tplc="1CFA0CD2">
      <w:start w:val="1"/>
      <w:numFmt w:val="bullet"/>
      <w:lvlText w:val=""/>
      <w:lvlJc w:val="left"/>
      <w:pPr>
        <w:ind w:left="4320" w:hanging="360"/>
      </w:pPr>
      <w:rPr>
        <w:rFonts w:ascii="Wingdings" w:hAnsi="Wingdings" w:hint="default"/>
      </w:rPr>
    </w:lvl>
    <w:lvl w:ilvl="6" w:tplc="21EE2DD6">
      <w:start w:val="1"/>
      <w:numFmt w:val="bullet"/>
      <w:lvlText w:val=""/>
      <w:lvlJc w:val="left"/>
      <w:pPr>
        <w:ind w:left="5040" w:hanging="360"/>
      </w:pPr>
      <w:rPr>
        <w:rFonts w:ascii="Symbol" w:hAnsi="Symbol" w:hint="default"/>
      </w:rPr>
    </w:lvl>
    <w:lvl w:ilvl="7" w:tplc="DB00215E">
      <w:start w:val="1"/>
      <w:numFmt w:val="bullet"/>
      <w:lvlText w:val="o"/>
      <w:lvlJc w:val="left"/>
      <w:pPr>
        <w:ind w:left="5760" w:hanging="360"/>
      </w:pPr>
      <w:rPr>
        <w:rFonts w:ascii="Courier New" w:hAnsi="Courier New" w:hint="default"/>
      </w:rPr>
    </w:lvl>
    <w:lvl w:ilvl="8" w:tplc="6456CD2A">
      <w:start w:val="1"/>
      <w:numFmt w:val="bullet"/>
      <w:lvlText w:val=""/>
      <w:lvlJc w:val="left"/>
      <w:pPr>
        <w:ind w:left="6480" w:hanging="360"/>
      </w:pPr>
      <w:rPr>
        <w:rFonts w:ascii="Wingdings" w:hAnsi="Wingdings" w:hint="default"/>
      </w:rPr>
    </w:lvl>
  </w:abstractNum>
  <w:abstractNum w:abstractNumId="20" w15:restartNumberingAfterBreak="0">
    <w:nsid w:val="31986803"/>
    <w:multiLevelType w:val="hybridMultilevel"/>
    <w:tmpl w:val="FFFFFFFF"/>
    <w:lvl w:ilvl="0" w:tplc="0B426838">
      <w:start w:val="1"/>
      <w:numFmt w:val="bullet"/>
      <w:lvlText w:val=""/>
      <w:lvlJc w:val="left"/>
      <w:pPr>
        <w:ind w:left="720" w:hanging="360"/>
      </w:pPr>
      <w:rPr>
        <w:rFonts w:ascii="Symbol" w:hAnsi="Symbol" w:hint="default"/>
      </w:rPr>
    </w:lvl>
    <w:lvl w:ilvl="1" w:tplc="A7B8D1AE">
      <w:start w:val="1"/>
      <w:numFmt w:val="bullet"/>
      <w:lvlText w:val="o"/>
      <w:lvlJc w:val="left"/>
      <w:pPr>
        <w:ind w:left="1440" w:hanging="360"/>
      </w:pPr>
      <w:rPr>
        <w:rFonts w:ascii="Courier New" w:hAnsi="Courier New" w:hint="default"/>
      </w:rPr>
    </w:lvl>
    <w:lvl w:ilvl="2" w:tplc="94923B14">
      <w:start w:val="1"/>
      <w:numFmt w:val="bullet"/>
      <w:lvlText w:val=""/>
      <w:lvlJc w:val="left"/>
      <w:pPr>
        <w:ind w:left="2160" w:hanging="360"/>
      </w:pPr>
      <w:rPr>
        <w:rFonts w:ascii="Wingdings" w:hAnsi="Wingdings" w:hint="default"/>
      </w:rPr>
    </w:lvl>
    <w:lvl w:ilvl="3" w:tplc="00226776">
      <w:start w:val="1"/>
      <w:numFmt w:val="bullet"/>
      <w:lvlText w:val=""/>
      <w:lvlJc w:val="left"/>
      <w:pPr>
        <w:ind w:left="2880" w:hanging="360"/>
      </w:pPr>
      <w:rPr>
        <w:rFonts w:ascii="Symbol" w:hAnsi="Symbol" w:hint="default"/>
      </w:rPr>
    </w:lvl>
    <w:lvl w:ilvl="4" w:tplc="A6FA6D92">
      <w:start w:val="1"/>
      <w:numFmt w:val="bullet"/>
      <w:lvlText w:val="o"/>
      <w:lvlJc w:val="left"/>
      <w:pPr>
        <w:ind w:left="3600" w:hanging="360"/>
      </w:pPr>
      <w:rPr>
        <w:rFonts w:ascii="Courier New" w:hAnsi="Courier New" w:hint="default"/>
      </w:rPr>
    </w:lvl>
    <w:lvl w:ilvl="5" w:tplc="00DC596C">
      <w:start w:val="1"/>
      <w:numFmt w:val="bullet"/>
      <w:lvlText w:val=""/>
      <w:lvlJc w:val="left"/>
      <w:pPr>
        <w:ind w:left="4320" w:hanging="360"/>
      </w:pPr>
      <w:rPr>
        <w:rFonts w:ascii="Wingdings" w:hAnsi="Wingdings" w:hint="default"/>
      </w:rPr>
    </w:lvl>
    <w:lvl w:ilvl="6" w:tplc="09321AA0">
      <w:start w:val="1"/>
      <w:numFmt w:val="bullet"/>
      <w:lvlText w:val=""/>
      <w:lvlJc w:val="left"/>
      <w:pPr>
        <w:ind w:left="5040" w:hanging="360"/>
      </w:pPr>
      <w:rPr>
        <w:rFonts w:ascii="Symbol" w:hAnsi="Symbol" w:hint="default"/>
      </w:rPr>
    </w:lvl>
    <w:lvl w:ilvl="7" w:tplc="E2521EE0">
      <w:start w:val="1"/>
      <w:numFmt w:val="bullet"/>
      <w:lvlText w:val="o"/>
      <w:lvlJc w:val="left"/>
      <w:pPr>
        <w:ind w:left="5760" w:hanging="360"/>
      </w:pPr>
      <w:rPr>
        <w:rFonts w:ascii="Courier New" w:hAnsi="Courier New" w:hint="default"/>
      </w:rPr>
    </w:lvl>
    <w:lvl w:ilvl="8" w:tplc="D34E0E82">
      <w:start w:val="1"/>
      <w:numFmt w:val="bullet"/>
      <w:lvlText w:val=""/>
      <w:lvlJc w:val="left"/>
      <w:pPr>
        <w:ind w:left="6480" w:hanging="360"/>
      </w:pPr>
      <w:rPr>
        <w:rFonts w:ascii="Wingdings" w:hAnsi="Wingdings" w:hint="default"/>
      </w:rPr>
    </w:lvl>
  </w:abstractNum>
  <w:abstractNum w:abstractNumId="21" w15:restartNumberingAfterBreak="0">
    <w:nsid w:val="360476A4"/>
    <w:multiLevelType w:val="hybridMultilevel"/>
    <w:tmpl w:val="82F43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EED49B6"/>
    <w:multiLevelType w:val="hybridMultilevel"/>
    <w:tmpl w:val="0AA26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AF1E19"/>
    <w:multiLevelType w:val="hybridMultilevel"/>
    <w:tmpl w:val="752E07C2"/>
    <w:lvl w:ilvl="0" w:tplc="18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C905E3"/>
    <w:multiLevelType w:val="hybridMultilevel"/>
    <w:tmpl w:val="112E8BCC"/>
    <w:lvl w:ilvl="0" w:tplc="32CAFBB8">
      <w:start w:val="1"/>
      <w:numFmt w:val="bullet"/>
      <w:lvlText w:val=""/>
      <w:lvlJc w:val="left"/>
      <w:pPr>
        <w:ind w:left="360" w:hanging="360"/>
      </w:pPr>
      <w:rPr>
        <w:rFonts w:ascii="Symbol" w:hAnsi="Symbol" w:hint="default"/>
      </w:rPr>
    </w:lvl>
    <w:lvl w:ilvl="1" w:tplc="68F26B06" w:tentative="1">
      <w:start w:val="1"/>
      <w:numFmt w:val="bullet"/>
      <w:lvlText w:val="o"/>
      <w:lvlJc w:val="left"/>
      <w:pPr>
        <w:ind w:left="1080" w:hanging="360"/>
      </w:pPr>
      <w:rPr>
        <w:rFonts w:ascii="Courier New" w:hAnsi="Courier New" w:hint="default"/>
      </w:rPr>
    </w:lvl>
    <w:lvl w:ilvl="2" w:tplc="2326C2B2" w:tentative="1">
      <w:start w:val="1"/>
      <w:numFmt w:val="bullet"/>
      <w:lvlText w:val=""/>
      <w:lvlJc w:val="left"/>
      <w:pPr>
        <w:ind w:left="1800" w:hanging="360"/>
      </w:pPr>
      <w:rPr>
        <w:rFonts w:ascii="Wingdings" w:hAnsi="Wingdings" w:hint="default"/>
      </w:rPr>
    </w:lvl>
    <w:lvl w:ilvl="3" w:tplc="B72EE5EC" w:tentative="1">
      <w:start w:val="1"/>
      <w:numFmt w:val="bullet"/>
      <w:lvlText w:val=""/>
      <w:lvlJc w:val="left"/>
      <w:pPr>
        <w:ind w:left="2520" w:hanging="360"/>
      </w:pPr>
      <w:rPr>
        <w:rFonts w:ascii="Symbol" w:hAnsi="Symbol" w:hint="default"/>
      </w:rPr>
    </w:lvl>
    <w:lvl w:ilvl="4" w:tplc="4A7626EE" w:tentative="1">
      <w:start w:val="1"/>
      <w:numFmt w:val="bullet"/>
      <w:lvlText w:val="o"/>
      <w:lvlJc w:val="left"/>
      <w:pPr>
        <w:ind w:left="3240" w:hanging="360"/>
      </w:pPr>
      <w:rPr>
        <w:rFonts w:ascii="Courier New" w:hAnsi="Courier New" w:hint="default"/>
      </w:rPr>
    </w:lvl>
    <w:lvl w:ilvl="5" w:tplc="E0DE5402" w:tentative="1">
      <w:start w:val="1"/>
      <w:numFmt w:val="bullet"/>
      <w:lvlText w:val=""/>
      <w:lvlJc w:val="left"/>
      <w:pPr>
        <w:ind w:left="3960" w:hanging="360"/>
      </w:pPr>
      <w:rPr>
        <w:rFonts w:ascii="Wingdings" w:hAnsi="Wingdings" w:hint="default"/>
      </w:rPr>
    </w:lvl>
    <w:lvl w:ilvl="6" w:tplc="6C9071E8" w:tentative="1">
      <w:start w:val="1"/>
      <w:numFmt w:val="bullet"/>
      <w:lvlText w:val=""/>
      <w:lvlJc w:val="left"/>
      <w:pPr>
        <w:ind w:left="4680" w:hanging="360"/>
      </w:pPr>
      <w:rPr>
        <w:rFonts w:ascii="Symbol" w:hAnsi="Symbol" w:hint="default"/>
      </w:rPr>
    </w:lvl>
    <w:lvl w:ilvl="7" w:tplc="56AEE602" w:tentative="1">
      <w:start w:val="1"/>
      <w:numFmt w:val="bullet"/>
      <w:lvlText w:val="o"/>
      <w:lvlJc w:val="left"/>
      <w:pPr>
        <w:ind w:left="5400" w:hanging="360"/>
      </w:pPr>
      <w:rPr>
        <w:rFonts w:ascii="Courier New" w:hAnsi="Courier New" w:hint="default"/>
      </w:rPr>
    </w:lvl>
    <w:lvl w:ilvl="8" w:tplc="6786025E" w:tentative="1">
      <w:start w:val="1"/>
      <w:numFmt w:val="bullet"/>
      <w:lvlText w:val=""/>
      <w:lvlJc w:val="left"/>
      <w:pPr>
        <w:ind w:left="6120" w:hanging="360"/>
      </w:pPr>
      <w:rPr>
        <w:rFonts w:ascii="Wingdings" w:hAnsi="Wingdings" w:hint="default"/>
      </w:rPr>
    </w:lvl>
  </w:abstractNum>
  <w:abstractNum w:abstractNumId="25" w15:restartNumberingAfterBreak="0">
    <w:nsid w:val="45285FC4"/>
    <w:multiLevelType w:val="hybridMultilevel"/>
    <w:tmpl w:val="61A092F6"/>
    <w:lvl w:ilvl="0" w:tplc="04070011">
      <w:start w:val="1"/>
      <w:numFmt w:val="decimal"/>
      <w:lvlText w:val="%1)"/>
      <w:lvlJc w:val="left"/>
      <w:pPr>
        <w:ind w:left="860" w:hanging="360"/>
      </w:pPr>
    </w:lvl>
    <w:lvl w:ilvl="1" w:tplc="04070019" w:tentative="1">
      <w:start w:val="1"/>
      <w:numFmt w:val="lowerLetter"/>
      <w:lvlText w:val="%2."/>
      <w:lvlJc w:val="left"/>
      <w:pPr>
        <w:ind w:left="1580" w:hanging="360"/>
      </w:pPr>
    </w:lvl>
    <w:lvl w:ilvl="2" w:tplc="0407001B" w:tentative="1">
      <w:start w:val="1"/>
      <w:numFmt w:val="lowerRoman"/>
      <w:lvlText w:val="%3."/>
      <w:lvlJc w:val="right"/>
      <w:pPr>
        <w:ind w:left="2300" w:hanging="180"/>
      </w:pPr>
    </w:lvl>
    <w:lvl w:ilvl="3" w:tplc="0407000F" w:tentative="1">
      <w:start w:val="1"/>
      <w:numFmt w:val="decimal"/>
      <w:lvlText w:val="%4."/>
      <w:lvlJc w:val="left"/>
      <w:pPr>
        <w:ind w:left="3020" w:hanging="360"/>
      </w:pPr>
    </w:lvl>
    <w:lvl w:ilvl="4" w:tplc="04070019" w:tentative="1">
      <w:start w:val="1"/>
      <w:numFmt w:val="lowerLetter"/>
      <w:lvlText w:val="%5."/>
      <w:lvlJc w:val="left"/>
      <w:pPr>
        <w:ind w:left="3740" w:hanging="360"/>
      </w:pPr>
    </w:lvl>
    <w:lvl w:ilvl="5" w:tplc="0407001B" w:tentative="1">
      <w:start w:val="1"/>
      <w:numFmt w:val="lowerRoman"/>
      <w:lvlText w:val="%6."/>
      <w:lvlJc w:val="right"/>
      <w:pPr>
        <w:ind w:left="4460" w:hanging="180"/>
      </w:pPr>
    </w:lvl>
    <w:lvl w:ilvl="6" w:tplc="0407000F" w:tentative="1">
      <w:start w:val="1"/>
      <w:numFmt w:val="decimal"/>
      <w:lvlText w:val="%7."/>
      <w:lvlJc w:val="left"/>
      <w:pPr>
        <w:ind w:left="5180" w:hanging="360"/>
      </w:pPr>
    </w:lvl>
    <w:lvl w:ilvl="7" w:tplc="04070019" w:tentative="1">
      <w:start w:val="1"/>
      <w:numFmt w:val="lowerLetter"/>
      <w:lvlText w:val="%8."/>
      <w:lvlJc w:val="left"/>
      <w:pPr>
        <w:ind w:left="5900" w:hanging="360"/>
      </w:pPr>
    </w:lvl>
    <w:lvl w:ilvl="8" w:tplc="0407001B" w:tentative="1">
      <w:start w:val="1"/>
      <w:numFmt w:val="lowerRoman"/>
      <w:lvlText w:val="%9."/>
      <w:lvlJc w:val="right"/>
      <w:pPr>
        <w:ind w:left="6620" w:hanging="180"/>
      </w:pPr>
    </w:lvl>
  </w:abstractNum>
  <w:abstractNum w:abstractNumId="26" w15:restartNumberingAfterBreak="0">
    <w:nsid w:val="47344E40"/>
    <w:multiLevelType w:val="hybridMultilevel"/>
    <w:tmpl w:val="E5881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7BDC69E"/>
    <w:multiLevelType w:val="hybridMultilevel"/>
    <w:tmpl w:val="FFFFFFFF"/>
    <w:lvl w:ilvl="0" w:tplc="CD2A7A24">
      <w:start w:val="1"/>
      <w:numFmt w:val="bullet"/>
      <w:lvlText w:val=""/>
      <w:lvlJc w:val="left"/>
      <w:pPr>
        <w:ind w:left="720" w:hanging="360"/>
      </w:pPr>
      <w:rPr>
        <w:rFonts w:ascii="Symbol" w:hAnsi="Symbol" w:hint="default"/>
      </w:rPr>
    </w:lvl>
    <w:lvl w:ilvl="1" w:tplc="34EA3DE2">
      <w:start w:val="1"/>
      <w:numFmt w:val="bullet"/>
      <w:lvlText w:val="o"/>
      <w:lvlJc w:val="left"/>
      <w:pPr>
        <w:ind w:left="1440" w:hanging="360"/>
      </w:pPr>
      <w:rPr>
        <w:rFonts w:ascii="Courier New" w:hAnsi="Courier New" w:hint="default"/>
      </w:rPr>
    </w:lvl>
    <w:lvl w:ilvl="2" w:tplc="7E8659CA">
      <w:start w:val="1"/>
      <w:numFmt w:val="bullet"/>
      <w:lvlText w:val=""/>
      <w:lvlJc w:val="left"/>
      <w:pPr>
        <w:ind w:left="2160" w:hanging="360"/>
      </w:pPr>
      <w:rPr>
        <w:rFonts w:ascii="Wingdings" w:hAnsi="Wingdings" w:hint="default"/>
      </w:rPr>
    </w:lvl>
    <w:lvl w:ilvl="3" w:tplc="F0FA562E">
      <w:start w:val="1"/>
      <w:numFmt w:val="bullet"/>
      <w:lvlText w:val=""/>
      <w:lvlJc w:val="left"/>
      <w:pPr>
        <w:ind w:left="2880" w:hanging="360"/>
      </w:pPr>
      <w:rPr>
        <w:rFonts w:ascii="Symbol" w:hAnsi="Symbol" w:hint="default"/>
      </w:rPr>
    </w:lvl>
    <w:lvl w:ilvl="4" w:tplc="90162444">
      <w:start w:val="1"/>
      <w:numFmt w:val="bullet"/>
      <w:lvlText w:val="o"/>
      <w:lvlJc w:val="left"/>
      <w:pPr>
        <w:ind w:left="3600" w:hanging="360"/>
      </w:pPr>
      <w:rPr>
        <w:rFonts w:ascii="Courier New" w:hAnsi="Courier New" w:hint="default"/>
      </w:rPr>
    </w:lvl>
    <w:lvl w:ilvl="5" w:tplc="9576357C">
      <w:start w:val="1"/>
      <w:numFmt w:val="bullet"/>
      <w:lvlText w:val=""/>
      <w:lvlJc w:val="left"/>
      <w:pPr>
        <w:ind w:left="4320" w:hanging="360"/>
      </w:pPr>
      <w:rPr>
        <w:rFonts w:ascii="Wingdings" w:hAnsi="Wingdings" w:hint="default"/>
      </w:rPr>
    </w:lvl>
    <w:lvl w:ilvl="6" w:tplc="680CEA72">
      <w:start w:val="1"/>
      <w:numFmt w:val="bullet"/>
      <w:lvlText w:val=""/>
      <w:lvlJc w:val="left"/>
      <w:pPr>
        <w:ind w:left="5040" w:hanging="360"/>
      </w:pPr>
      <w:rPr>
        <w:rFonts w:ascii="Symbol" w:hAnsi="Symbol" w:hint="default"/>
      </w:rPr>
    </w:lvl>
    <w:lvl w:ilvl="7" w:tplc="C162483E">
      <w:start w:val="1"/>
      <w:numFmt w:val="bullet"/>
      <w:lvlText w:val="o"/>
      <w:lvlJc w:val="left"/>
      <w:pPr>
        <w:ind w:left="5760" w:hanging="360"/>
      </w:pPr>
      <w:rPr>
        <w:rFonts w:ascii="Courier New" w:hAnsi="Courier New" w:hint="default"/>
      </w:rPr>
    </w:lvl>
    <w:lvl w:ilvl="8" w:tplc="FA1CA928">
      <w:start w:val="1"/>
      <w:numFmt w:val="bullet"/>
      <w:lvlText w:val=""/>
      <w:lvlJc w:val="left"/>
      <w:pPr>
        <w:ind w:left="6480" w:hanging="360"/>
      </w:pPr>
      <w:rPr>
        <w:rFonts w:ascii="Wingdings" w:hAnsi="Wingdings" w:hint="default"/>
      </w:rPr>
    </w:lvl>
  </w:abstractNum>
  <w:abstractNum w:abstractNumId="28" w15:restartNumberingAfterBreak="0">
    <w:nsid w:val="48356673"/>
    <w:multiLevelType w:val="hybridMultilevel"/>
    <w:tmpl w:val="98C66210"/>
    <w:lvl w:ilvl="0" w:tplc="4194297A">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4D161895"/>
    <w:multiLevelType w:val="multilevel"/>
    <w:tmpl w:val="6B8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A5EB9"/>
    <w:multiLevelType w:val="hybridMultilevel"/>
    <w:tmpl w:val="2C809222"/>
    <w:lvl w:ilvl="0" w:tplc="8EC8345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FC2706"/>
    <w:multiLevelType w:val="hybridMultilevel"/>
    <w:tmpl w:val="FFFFFFFF"/>
    <w:lvl w:ilvl="0" w:tplc="1076C946">
      <w:start w:val="1"/>
      <w:numFmt w:val="bullet"/>
      <w:lvlText w:val=""/>
      <w:lvlJc w:val="left"/>
      <w:pPr>
        <w:ind w:left="360" w:hanging="360"/>
      </w:pPr>
      <w:rPr>
        <w:rFonts w:ascii="Symbol" w:hAnsi="Symbol" w:hint="default"/>
      </w:rPr>
    </w:lvl>
    <w:lvl w:ilvl="1" w:tplc="220A2CB2">
      <w:start w:val="1"/>
      <w:numFmt w:val="bullet"/>
      <w:lvlText w:val="o"/>
      <w:lvlJc w:val="left"/>
      <w:pPr>
        <w:ind w:left="1080" w:hanging="360"/>
      </w:pPr>
      <w:rPr>
        <w:rFonts w:ascii="Courier New" w:hAnsi="Courier New" w:hint="default"/>
      </w:rPr>
    </w:lvl>
    <w:lvl w:ilvl="2" w:tplc="2CFC0FA0">
      <w:start w:val="1"/>
      <w:numFmt w:val="bullet"/>
      <w:lvlText w:val=""/>
      <w:lvlJc w:val="left"/>
      <w:pPr>
        <w:ind w:left="1800" w:hanging="360"/>
      </w:pPr>
      <w:rPr>
        <w:rFonts w:ascii="Wingdings" w:hAnsi="Wingdings" w:hint="default"/>
      </w:rPr>
    </w:lvl>
    <w:lvl w:ilvl="3" w:tplc="DBDE4F1E">
      <w:start w:val="1"/>
      <w:numFmt w:val="bullet"/>
      <w:lvlText w:val=""/>
      <w:lvlJc w:val="left"/>
      <w:pPr>
        <w:ind w:left="2520" w:hanging="360"/>
      </w:pPr>
      <w:rPr>
        <w:rFonts w:ascii="Symbol" w:hAnsi="Symbol" w:hint="default"/>
      </w:rPr>
    </w:lvl>
    <w:lvl w:ilvl="4" w:tplc="9E90A544">
      <w:start w:val="1"/>
      <w:numFmt w:val="bullet"/>
      <w:lvlText w:val="o"/>
      <w:lvlJc w:val="left"/>
      <w:pPr>
        <w:ind w:left="3240" w:hanging="360"/>
      </w:pPr>
      <w:rPr>
        <w:rFonts w:ascii="Courier New" w:hAnsi="Courier New" w:hint="default"/>
      </w:rPr>
    </w:lvl>
    <w:lvl w:ilvl="5" w:tplc="C1E4C228">
      <w:start w:val="1"/>
      <w:numFmt w:val="bullet"/>
      <w:lvlText w:val=""/>
      <w:lvlJc w:val="left"/>
      <w:pPr>
        <w:ind w:left="3960" w:hanging="360"/>
      </w:pPr>
      <w:rPr>
        <w:rFonts w:ascii="Wingdings" w:hAnsi="Wingdings" w:hint="default"/>
      </w:rPr>
    </w:lvl>
    <w:lvl w:ilvl="6" w:tplc="116A6430">
      <w:start w:val="1"/>
      <w:numFmt w:val="bullet"/>
      <w:lvlText w:val=""/>
      <w:lvlJc w:val="left"/>
      <w:pPr>
        <w:ind w:left="4680" w:hanging="360"/>
      </w:pPr>
      <w:rPr>
        <w:rFonts w:ascii="Symbol" w:hAnsi="Symbol" w:hint="default"/>
      </w:rPr>
    </w:lvl>
    <w:lvl w:ilvl="7" w:tplc="F07A34C6">
      <w:start w:val="1"/>
      <w:numFmt w:val="bullet"/>
      <w:lvlText w:val="o"/>
      <w:lvlJc w:val="left"/>
      <w:pPr>
        <w:ind w:left="5400" w:hanging="360"/>
      </w:pPr>
      <w:rPr>
        <w:rFonts w:ascii="Courier New" w:hAnsi="Courier New" w:hint="default"/>
      </w:rPr>
    </w:lvl>
    <w:lvl w:ilvl="8" w:tplc="D8EC4EBA">
      <w:start w:val="1"/>
      <w:numFmt w:val="bullet"/>
      <w:lvlText w:val=""/>
      <w:lvlJc w:val="left"/>
      <w:pPr>
        <w:ind w:left="6120" w:hanging="360"/>
      </w:pPr>
      <w:rPr>
        <w:rFonts w:ascii="Wingdings" w:hAnsi="Wingdings" w:hint="default"/>
      </w:rPr>
    </w:lvl>
  </w:abstractNum>
  <w:abstractNum w:abstractNumId="32" w15:restartNumberingAfterBreak="0">
    <w:nsid w:val="531D360D"/>
    <w:multiLevelType w:val="hybridMultilevel"/>
    <w:tmpl w:val="C916E7C6"/>
    <w:lvl w:ilvl="0" w:tplc="6354074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506CAD9"/>
    <w:multiLevelType w:val="hybridMultilevel"/>
    <w:tmpl w:val="FFFFFFFF"/>
    <w:lvl w:ilvl="0" w:tplc="325A2906">
      <w:start w:val="1"/>
      <w:numFmt w:val="bullet"/>
      <w:lvlText w:val=""/>
      <w:lvlJc w:val="left"/>
      <w:pPr>
        <w:ind w:left="360" w:hanging="360"/>
      </w:pPr>
      <w:rPr>
        <w:rFonts w:ascii="Symbol" w:hAnsi="Symbol" w:hint="default"/>
      </w:rPr>
    </w:lvl>
    <w:lvl w:ilvl="1" w:tplc="5686C4EA">
      <w:start w:val="1"/>
      <w:numFmt w:val="bullet"/>
      <w:lvlText w:val="o"/>
      <w:lvlJc w:val="left"/>
      <w:pPr>
        <w:ind w:left="1080" w:hanging="360"/>
      </w:pPr>
      <w:rPr>
        <w:rFonts w:ascii="Courier New" w:hAnsi="Courier New" w:hint="default"/>
      </w:rPr>
    </w:lvl>
    <w:lvl w:ilvl="2" w:tplc="FB9E67BA">
      <w:start w:val="1"/>
      <w:numFmt w:val="bullet"/>
      <w:lvlText w:val=""/>
      <w:lvlJc w:val="left"/>
      <w:pPr>
        <w:ind w:left="1800" w:hanging="360"/>
      </w:pPr>
      <w:rPr>
        <w:rFonts w:ascii="Wingdings" w:hAnsi="Wingdings" w:hint="default"/>
      </w:rPr>
    </w:lvl>
    <w:lvl w:ilvl="3" w:tplc="E44A9CD8">
      <w:start w:val="1"/>
      <w:numFmt w:val="bullet"/>
      <w:lvlText w:val=""/>
      <w:lvlJc w:val="left"/>
      <w:pPr>
        <w:ind w:left="2520" w:hanging="360"/>
      </w:pPr>
      <w:rPr>
        <w:rFonts w:ascii="Symbol" w:hAnsi="Symbol" w:hint="default"/>
      </w:rPr>
    </w:lvl>
    <w:lvl w:ilvl="4" w:tplc="7338BB24">
      <w:start w:val="1"/>
      <w:numFmt w:val="bullet"/>
      <w:lvlText w:val="o"/>
      <w:lvlJc w:val="left"/>
      <w:pPr>
        <w:ind w:left="3240" w:hanging="360"/>
      </w:pPr>
      <w:rPr>
        <w:rFonts w:ascii="Courier New" w:hAnsi="Courier New" w:hint="default"/>
      </w:rPr>
    </w:lvl>
    <w:lvl w:ilvl="5" w:tplc="FAC01EA8">
      <w:start w:val="1"/>
      <w:numFmt w:val="bullet"/>
      <w:lvlText w:val=""/>
      <w:lvlJc w:val="left"/>
      <w:pPr>
        <w:ind w:left="3960" w:hanging="360"/>
      </w:pPr>
      <w:rPr>
        <w:rFonts w:ascii="Wingdings" w:hAnsi="Wingdings" w:hint="default"/>
      </w:rPr>
    </w:lvl>
    <w:lvl w:ilvl="6" w:tplc="56D495F4">
      <w:start w:val="1"/>
      <w:numFmt w:val="bullet"/>
      <w:lvlText w:val=""/>
      <w:lvlJc w:val="left"/>
      <w:pPr>
        <w:ind w:left="4680" w:hanging="360"/>
      </w:pPr>
      <w:rPr>
        <w:rFonts w:ascii="Symbol" w:hAnsi="Symbol" w:hint="default"/>
      </w:rPr>
    </w:lvl>
    <w:lvl w:ilvl="7" w:tplc="294E05CA">
      <w:start w:val="1"/>
      <w:numFmt w:val="bullet"/>
      <w:lvlText w:val="o"/>
      <w:lvlJc w:val="left"/>
      <w:pPr>
        <w:ind w:left="5400" w:hanging="360"/>
      </w:pPr>
      <w:rPr>
        <w:rFonts w:ascii="Courier New" w:hAnsi="Courier New" w:hint="default"/>
      </w:rPr>
    </w:lvl>
    <w:lvl w:ilvl="8" w:tplc="72A6B3D2">
      <w:start w:val="1"/>
      <w:numFmt w:val="bullet"/>
      <w:lvlText w:val=""/>
      <w:lvlJc w:val="left"/>
      <w:pPr>
        <w:ind w:left="6120" w:hanging="360"/>
      </w:pPr>
      <w:rPr>
        <w:rFonts w:ascii="Wingdings" w:hAnsi="Wingdings" w:hint="default"/>
      </w:rPr>
    </w:lvl>
  </w:abstractNum>
  <w:abstractNum w:abstractNumId="34" w15:restartNumberingAfterBreak="0">
    <w:nsid w:val="562D4C56"/>
    <w:multiLevelType w:val="hybridMultilevel"/>
    <w:tmpl w:val="87F435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6DF7B65"/>
    <w:multiLevelType w:val="hybridMultilevel"/>
    <w:tmpl w:val="9804565A"/>
    <w:lvl w:ilvl="0" w:tplc="1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FA497E"/>
    <w:multiLevelType w:val="multilevel"/>
    <w:tmpl w:val="420C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BC7093"/>
    <w:multiLevelType w:val="hybridMultilevel"/>
    <w:tmpl w:val="D3842A4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8E7583D"/>
    <w:multiLevelType w:val="hybridMultilevel"/>
    <w:tmpl w:val="D4488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99C76F7"/>
    <w:multiLevelType w:val="hybridMultilevel"/>
    <w:tmpl w:val="7F38E8A6"/>
    <w:lvl w:ilvl="0" w:tplc="BACA68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D9537F"/>
    <w:multiLevelType w:val="hybridMultilevel"/>
    <w:tmpl w:val="FFFFFFFF"/>
    <w:lvl w:ilvl="0" w:tplc="50D2FBA4">
      <w:start w:val="1"/>
      <w:numFmt w:val="bullet"/>
      <w:lvlText w:val=""/>
      <w:lvlJc w:val="left"/>
      <w:pPr>
        <w:ind w:left="720" w:hanging="360"/>
      </w:pPr>
      <w:rPr>
        <w:rFonts w:ascii="Symbol" w:hAnsi="Symbol" w:hint="default"/>
      </w:rPr>
    </w:lvl>
    <w:lvl w:ilvl="1" w:tplc="8D3E2A36">
      <w:start w:val="1"/>
      <w:numFmt w:val="bullet"/>
      <w:lvlText w:val="o"/>
      <w:lvlJc w:val="left"/>
      <w:pPr>
        <w:ind w:left="1440" w:hanging="360"/>
      </w:pPr>
      <w:rPr>
        <w:rFonts w:ascii="Courier New" w:hAnsi="Courier New" w:hint="default"/>
      </w:rPr>
    </w:lvl>
    <w:lvl w:ilvl="2" w:tplc="9D6E2D0C">
      <w:start w:val="1"/>
      <w:numFmt w:val="bullet"/>
      <w:lvlText w:val=""/>
      <w:lvlJc w:val="left"/>
      <w:pPr>
        <w:ind w:left="2160" w:hanging="360"/>
      </w:pPr>
      <w:rPr>
        <w:rFonts w:ascii="Wingdings" w:hAnsi="Wingdings" w:hint="default"/>
      </w:rPr>
    </w:lvl>
    <w:lvl w:ilvl="3" w:tplc="AC28EC26">
      <w:start w:val="1"/>
      <w:numFmt w:val="bullet"/>
      <w:lvlText w:val=""/>
      <w:lvlJc w:val="left"/>
      <w:pPr>
        <w:ind w:left="2880" w:hanging="360"/>
      </w:pPr>
      <w:rPr>
        <w:rFonts w:ascii="Symbol" w:hAnsi="Symbol" w:hint="default"/>
      </w:rPr>
    </w:lvl>
    <w:lvl w:ilvl="4" w:tplc="0AF6E844">
      <w:start w:val="1"/>
      <w:numFmt w:val="bullet"/>
      <w:lvlText w:val="o"/>
      <w:lvlJc w:val="left"/>
      <w:pPr>
        <w:ind w:left="3600" w:hanging="360"/>
      </w:pPr>
      <w:rPr>
        <w:rFonts w:ascii="Courier New" w:hAnsi="Courier New" w:hint="default"/>
      </w:rPr>
    </w:lvl>
    <w:lvl w:ilvl="5" w:tplc="2138ED2A">
      <w:start w:val="1"/>
      <w:numFmt w:val="bullet"/>
      <w:lvlText w:val=""/>
      <w:lvlJc w:val="left"/>
      <w:pPr>
        <w:ind w:left="4320" w:hanging="360"/>
      </w:pPr>
      <w:rPr>
        <w:rFonts w:ascii="Wingdings" w:hAnsi="Wingdings" w:hint="default"/>
      </w:rPr>
    </w:lvl>
    <w:lvl w:ilvl="6" w:tplc="15C69398">
      <w:start w:val="1"/>
      <w:numFmt w:val="bullet"/>
      <w:lvlText w:val=""/>
      <w:lvlJc w:val="left"/>
      <w:pPr>
        <w:ind w:left="5040" w:hanging="360"/>
      </w:pPr>
      <w:rPr>
        <w:rFonts w:ascii="Symbol" w:hAnsi="Symbol" w:hint="default"/>
      </w:rPr>
    </w:lvl>
    <w:lvl w:ilvl="7" w:tplc="C9685580">
      <w:start w:val="1"/>
      <w:numFmt w:val="bullet"/>
      <w:lvlText w:val="o"/>
      <w:lvlJc w:val="left"/>
      <w:pPr>
        <w:ind w:left="5760" w:hanging="360"/>
      </w:pPr>
      <w:rPr>
        <w:rFonts w:ascii="Courier New" w:hAnsi="Courier New" w:hint="default"/>
      </w:rPr>
    </w:lvl>
    <w:lvl w:ilvl="8" w:tplc="9A123618">
      <w:start w:val="1"/>
      <w:numFmt w:val="bullet"/>
      <w:lvlText w:val=""/>
      <w:lvlJc w:val="left"/>
      <w:pPr>
        <w:ind w:left="6480" w:hanging="360"/>
      </w:pPr>
      <w:rPr>
        <w:rFonts w:ascii="Wingdings" w:hAnsi="Wingdings" w:hint="default"/>
      </w:rPr>
    </w:lvl>
  </w:abstractNum>
  <w:abstractNum w:abstractNumId="41" w15:restartNumberingAfterBreak="0">
    <w:nsid w:val="5EAD7180"/>
    <w:multiLevelType w:val="hybridMultilevel"/>
    <w:tmpl w:val="FFFFFFFF"/>
    <w:lvl w:ilvl="0" w:tplc="DA188148">
      <w:start w:val="1"/>
      <w:numFmt w:val="bullet"/>
      <w:lvlText w:val=""/>
      <w:lvlJc w:val="left"/>
      <w:pPr>
        <w:ind w:left="360" w:hanging="360"/>
      </w:pPr>
      <w:rPr>
        <w:rFonts w:ascii="Symbol" w:hAnsi="Symbol" w:hint="default"/>
      </w:rPr>
    </w:lvl>
    <w:lvl w:ilvl="1" w:tplc="27F2F30C">
      <w:start w:val="1"/>
      <w:numFmt w:val="bullet"/>
      <w:lvlText w:val="o"/>
      <w:lvlJc w:val="left"/>
      <w:pPr>
        <w:ind w:left="1080" w:hanging="360"/>
      </w:pPr>
      <w:rPr>
        <w:rFonts w:ascii="Courier New" w:hAnsi="Courier New" w:hint="default"/>
      </w:rPr>
    </w:lvl>
    <w:lvl w:ilvl="2" w:tplc="D6C851D4">
      <w:start w:val="1"/>
      <w:numFmt w:val="bullet"/>
      <w:lvlText w:val=""/>
      <w:lvlJc w:val="left"/>
      <w:pPr>
        <w:ind w:left="1800" w:hanging="360"/>
      </w:pPr>
      <w:rPr>
        <w:rFonts w:ascii="Wingdings" w:hAnsi="Wingdings" w:hint="default"/>
      </w:rPr>
    </w:lvl>
    <w:lvl w:ilvl="3" w:tplc="B972E6B6">
      <w:start w:val="1"/>
      <w:numFmt w:val="bullet"/>
      <w:lvlText w:val=""/>
      <w:lvlJc w:val="left"/>
      <w:pPr>
        <w:ind w:left="2520" w:hanging="360"/>
      </w:pPr>
      <w:rPr>
        <w:rFonts w:ascii="Symbol" w:hAnsi="Symbol" w:hint="default"/>
      </w:rPr>
    </w:lvl>
    <w:lvl w:ilvl="4" w:tplc="534C1508">
      <w:start w:val="1"/>
      <w:numFmt w:val="bullet"/>
      <w:lvlText w:val="o"/>
      <w:lvlJc w:val="left"/>
      <w:pPr>
        <w:ind w:left="3240" w:hanging="360"/>
      </w:pPr>
      <w:rPr>
        <w:rFonts w:ascii="Courier New" w:hAnsi="Courier New" w:hint="default"/>
      </w:rPr>
    </w:lvl>
    <w:lvl w:ilvl="5" w:tplc="44028E54">
      <w:start w:val="1"/>
      <w:numFmt w:val="bullet"/>
      <w:lvlText w:val=""/>
      <w:lvlJc w:val="left"/>
      <w:pPr>
        <w:ind w:left="3960" w:hanging="360"/>
      </w:pPr>
      <w:rPr>
        <w:rFonts w:ascii="Wingdings" w:hAnsi="Wingdings" w:hint="default"/>
      </w:rPr>
    </w:lvl>
    <w:lvl w:ilvl="6" w:tplc="ADD08932">
      <w:start w:val="1"/>
      <w:numFmt w:val="bullet"/>
      <w:lvlText w:val=""/>
      <w:lvlJc w:val="left"/>
      <w:pPr>
        <w:ind w:left="4680" w:hanging="360"/>
      </w:pPr>
      <w:rPr>
        <w:rFonts w:ascii="Symbol" w:hAnsi="Symbol" w:hint="default"/>
      </w:rPr>
    </w:lvl>
    <w:lvl w:ilvl="7" w:tplc="C73A8AB4">
      <w:start w:val="1"/>
      <w:numFmt w:val="bullet"/>
      <w:lvlText w:val="o"/>
      <w:lvlJc w:val="left"/>
      <w:pPr>
        <w:ind w:left="5400" w:hanging="360"/>
      </w:pPr>
      <w:rPr>
        <w:rFonts w:ascii="Courier New" w:hAnsi="Courier New" w:hint="default"/>
      </w:rPr>
    </w:lvl>
    <w:lvl w:ilvl="8" w:tplc="C78C008A">
      <w:start w:val="1"/>
      <w:numFmt w:val="bullet"/>
      <w:lvlText w:val=""/>
      <w:lvlJc w:val="left"/>
      <w:pPr>
        <w:ind w:left="6120" w:hanging="360"/>
      </w:pPr>
      <w:rPr>
        <w:rFonts w:ascii="Wingdings" w:hAnsi="Wingdings" w:hint="default"/>
      </w:rPr>
    </w:lvl>
  </w:abstractNum>
  <w:abstractNum w:abstractNumId="42" w15:restartNumberingAfterBreak="0">
    <w:nsid w:val="60D10C1A"/>
    <w:multiLevelType w:val="multilevel"/>
    <w:tmpl w:val="DC94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3298B"/>
    <w:multiLevelType w:val="hybridMultilevel"/>
    <w:tmpl w:val="E43ED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75B5BE7"/>
    <w:multiLevelType w:val="hybridMultilevel"/>
    <w:tmpl w:val="03761A6C"/>
    <w:lvl w:ilvl="0" w:tplc="11A4265C">
      <w:start w:val="1"/>
      <w:numFmt w:val="decimal"/>
      <w:lvlText w:val="%1."/>
      <w:lvlJc w:val="left"/>
      <w:pPr>
        <w:ind w:left="1080" w:hanging="360"/>
      </w:pPr>
    </w:lvl>
    <w:lvl w:ilvl="1" w:tplc="EC5C29A2">
      <w:start w:val="1"/>
      <w:numFmt w:val="decimal"/>
      <w:lvlText w:val="%2."/>
      <w:lvlJc w:val="left"/>
      <w:pPr>
        <w:ind w:left="1080" w:hanging="360"/>
      </w:pPr>
    </w:lvl>
    <w:lvl w:ilvl="2" w:tplc="ABA2FDF6">
      <w:start w:val="1"/>
      <w:numFmt w:val="decimal"/>
      <w:lvlText w:val="%3."/>
      <w:lvlJc w:val="left"/>
      <w:pPr>
        <w:ind w:left="1080" w:hanging="360"/>
      </w:pPr>
    </w:lvl>
    <w:lvl w:ilvl="3" w:tplc="7316929A">
      <w:start w:val="1"/>
      <w:numFmt w:val="decimal"/>
      <w:lvlText w:val="%4."/>
      <w:lvlJc w:val="left"/>
      <w:pPr>
        <w:ind w:left="1080" w:hanging="360"/>
      </w:pPr>
    </w:lvl>
    <w:lvl w:ilvl="4" w:tplc="9AD20A52">
      <w:start w:val="1"/>
      <w:numFmt w:val="decimal"/>
      <w:lvlText w:val="%5."/>
      <w:lvlJc w:val="left"/>
      <w:pPr>
        <w:ind w:left="1080" w:hanging="360"/>
      </w:pPr>
    </w:lvl>
    <w:lvl w:ilvl="5" w:tplc="39EEACB2">
      <w:start w:val="1"/>
      <w:numFmt w:val="decimal"/>
      <w:lvlText w:val="%6."/>
      <w:lvlJc w:val="left"/>
      <w:pPr>
        <w:ind w:left="1080" w:hanging="360"/>
      </w:pPr>
    </w:lvl>
    <w:lvl w:ilvl="6" w:tplc="9E6C2BE6">
      <w:start w:val="1"/>
      <w:numFmt w:val="decimal"/>
      <w:lvlText w:val="%7."/>
      <w:lvlJc w:val="left"/>
      <w:pPr>
        <w:ind w:left="1080" w:hanging="360"/>
      </w:pPr>
    </w:lvl>
    <w:lvl w:ilvl="7" w:tplc="6BC862F4">
      <w:start w:val="1"/>
      <w:numFmt w:val="decimal"/>
      <w:lvlText w:val="%8."/>
      <w:lvlJc w:val="left"/>
      <w:pPr>
        <w:ind w:left="1080" w:hanging="360"/>
      </w:pPr>
    </w:lvl>
    <w:lvl w:ilvl="8" w:tplc="83B8B41A">
      <w:start w:val="1"/>
      <w:numFmt w:val="decimal"/>
      <w:lvlText w:val="%9."/>
      <w:lvlJc w:val="left"/>
      <w:pPr>
        <w:ind w:left="1080" w:hanging="360"/>
      </w:pPr>
    </w:lvl>
  </w:abstractNum>
  <w:abstractNum w:abstractNumId="45" w15:restartNumberingAfterBreak="0">
    <w:nsid w:val="67E45BF0"/>
    <w:multiLevelType w:val="hybridMultilevel"/>
    <w:tmpl w:val="EA6A913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8CB7541"/>
    <w:multiLevelType w:val="hybridMultilevel"/>
    <w:tmpl w:val="0A6A05C8"/>
    <w:lvl w:ilvl="0" w:tplc="86445BEA">
      <w:start w:val="1"/>
      <w:numFmt w:val="bullet"/>
      <w:lvlText w:val=""/>
      <w:lvlJc w:val="left"/>
      <w:pPr>
        <w:ind w:left="1077" w:hanging="360"/>
      </w:pPr>
      <w:rPr>
        <w:rFonts w:ascii="Symbol" w:hAnsi="Symbol" w:hint="default"/>
      </w:rPr>
    </w:lvl>
    <w:lvl w:ilvl="1" w:tplc="91088B38" w:tentative="1">
      <w:start w:val="1"/>
      <w:numFmt w:val="bullet"/>
      <w:lvlText w:val="o"/>
      <w:lvlJc w:val="left"/>
      <w:pPr>
        <w:ind w:left="1797" w:hanging="360"/>
      </w:pPr>
      <w:rPr>
        <w:rFonts w:ascii="Courier New" w:hAnsi="Courier New" w:hint="default"/>
      </w:rPr>
    </w:lvl>
    <w:lvl w:ilvl="2" w:tplc="846A60E6" w:tentative="1">
      <w:start w:val="1"/>
      <w:numFmt w:val="bullet"/>
      <w:lvlText w:val=""/>
      <w:lvlJc w:val="left"/>
      <w:pPr>
        <w:ind w:left="2517" w:hanging="360"/>
      </w:pPr>
      <w:rPr>
        <w:rFonts w:ascii="Wingdings" w:hAnsi="Wingdings" w:hint="default"/>
      </w:rPr>
    </w:lvl>
    <w:lvl w:ilvl="3" w:tplc="DB6C8240" w:tentative="1">
      <w:start w:val="1"/>
      <w:numFmt w:val="bullet"/>
      <w:lvlText w:val=""/>
      <w:lvlJc w:val="left"/>
      <w:pPr>
        <w:ind w:left="3237" w:hanging="360"/>
      </w:pPr>
      <w:rPr>
        <w:rFonts w:ascii="Symbol" w:hAnsi="Symbol" w:hint="default"/>
      </w:rPr>
    </w:lvl>
    <w:lvl w:ilvl="4" w:tplc="6652EF74" w:tentative="1">
      <w:start w:val="1"/>
      <w:numFmt w:val="bullet"/>
      <w:lvlText w:val="o"/>
      <w:lvlJc w:val="left"/>
      <w:pPr>
        <w:ind w:left="3957" w:hanging="360"/>
      </w:pPr>
      <w:rPr>
        <w:rFonts w:ascii="Courier New" w:hAnsi="Courier New" w:hint="default"/>
      </w:rPr>
    </w:lvl>
    <w:lvl w:ilvl="5" w:tplc="C8C235FA" w:tentative="1">
      <w:start w:val="1"/>
      <w:numFmt w:val="bullet"/>
      <w:lvlText w:val=""/>
      <w:lvlJc w:val="left"/>
      <w:pPr>
        <w:ind w:left="4677" w:hanging="360"/>
      </w:pPr>
      <w:rPr>
        <w:rFonts w:ascii="Wingdings" w:hAnsi="Wingdings" w:hint="default"/>
      </w:rPr>
    </w:lvl>
    <w:lvl w:ilvl="6" w:tplc="1EDE99EE" w:tentative="1">
      <w:start w:val="1"/>
      <w:numFmt w:val="bullet"/>
      <w:lvlText w:val=""/>
      <w:lvlJc w:val="left"/>
      <w:pPr>
        <w:ind w:left="5397" w:hanging="360"/>
      </w:pPr>
      <w:rPr>
        <w:rFonts w:ascii="Symbol" w:hAnsi="Symbol" w:hint="default"/>
      </w:rPr>
    </w:lvl>
    <w:lvl w:ilvl="7" w:tplc="B61034D2" w:tentative="1">
      <w:start w:val="1"/>
      <w:numFmt w:val="bullet"/>
      <w:lvlText w:val="o"/>
      <w:lvlJc w:val="left"/>
      <w:pPr>
        <w:ind w:left="6117" w:hanging="360"/>
      </w:pPr>
      <w:rPr>
        <w:rFonts w:ascii="Courier New" w:hAnsi="Courier New" w:hint="default"/>
      </w:rPr>
    </w:lvl>
    <w:lvl w:ilvl="8" w:tplc="C4B00D04" w:tentative="1">
      <w:start w:val="1"/>
      <w:numFmt w:val="bullet"/>
      <w:lvlText w:val=""/>
      <w:lvlJc w:val="left"/>
      <w:pPr>
        <w:ind w:left="6837" w:hanging="360"/>
      </w:pPr>
      <w:rPr>
        <w:rFonts w:ascii="Wingdings" w:hAnsi="Wingdings" w:hint="default"/>
      </w:rPr>
    </w:lvl>
  </w:abstractNum>
  <w:abstractNum w:abstractNumId="47" w15:restartNumberingAfterBreak="0">
    <w:nsid w:val="6B992949"/>
    <w:multiLevelType w:val="hybridMultilevel"/>
    <w:tmpl w:val="464C30B2"/>
    <w:lvl w:ilvl="0" w:tplc="F4EA4734">
      <w:start w:val="1"/>
      <w:numFmt w:val="bullet"/>
      <w:lvlText w:val=""/>
      <w:lvlJc w:val="left"/>
      <w:pPr>
        <w:ind w:left="720" w:hanging="360"/>
      </w:pPr>
      <w:rPr>
        <w:rFonts w:ascii="Symbol" w:hAnsi="Symbol" w:hint="default"/>
      </w:rPr>
    </w:lvl>
    <w:lvl w:ilvl="1" w:tplc="1AA6BD00" w:tentative="1">
      <w:start w:val="1"/>
      <w:numFmt w:val="bullet"/>
      <w:lvlText w:val="o"/>
      <w:lvlJc w:val="left"/>
      <w:pPr>
        <w:ind w:left="1440" w:hanging="360"/>
      </w:pPr>
      <w:rPr>
        <w:rFonts w:ascii="Courier New" w:hAnsi="Courier New" w:hint="default"/>
      </w:rPr>
    </w:lvl>
    <w:lvl w:ilvl="2" w:tplc="342AAC3A" w:tentative="1">
      <w:start w:val="1"/>
      <w:numFmt w:val="bullet"/>
      <w:lvlText w:val=""/>
      <w:lvlJc w:val="left"/>
      <w:pPr>
        <w:ind w:left="2160" w:hanging="360"/>
      </w:pPr>
      <w:rPr>
        <w:rFonts w:ascii="Wingdings" w:hAnsi="Wingdings" w:hint="default"/>
      </w:rPr>
    </w:lvl>
    <w:lvl w:ilvl="3" w:tplc="B9FA576A" w:tentative="1">
      <w:start w:val="1"/>
      <w:numFmt w:val="bullet"/>
      <w:lvlText w:val=""/>
      <w:lvlJc w:val="left"/>
      <w:pPr>
        <w:ind w:left="2880" w:hanging="360"/>
      </w:pPr>
      <w:rPr>
        <w:rFonts w:ascii="Symbol" w:hAnsi="Symbol" w:hint="default"/>
      </w:rPr>
    </w:lvl>
    <w:lvl w:ilvl="4" w:tplc="FB64F19C" w:tentative="1">
      <w:start w:val="1"/>
      <w:numFmt w:val="bullet"/>
      <w:lvlText w:val="o"/>
      <w:lvlJc w:val="left"/>
      <w:pPr>
        <w:ind w:left="3600" w:hanging="360"/>
      </w:pPr>
      <w:rPr>
        <w:rFonts w:ascii="Courier New" w:hAnsi="Courier New" w:hint="default"/>
      </w:rPr>
    </w:lvl>
    <w:lvl w:ilvl="5" w:tplc="7DDE4128" w:tentative="1">
      <w:start w:val="1"/>
      <w:numFmt w:val="bullet"/>
      <w:lvlText w:val=""/>
      <w:lvlJc w:val="left"/>
      <w:pPr>
        <w:ind w:left="4320" w:hanging="360"/>
      </w:pPr>
      <w:rPr>
        <w:rFonts w:ascii="Wingdings" w:hAnsi="Wingdings" w:hint="default"/>
      </w:rPr>
    </w:lvl>
    <w:lvl w:ilvl="6" w:tplc="EB3E5582" w:tentative="1">
      <w:start w:val="1"/>
      <w:numFmt w:val="bullet"/>
      <w:lvlText w:val=""/>
      <w:lvlJc w:val="left"/>
      <w:pPr>
        <w:ind w:left="5040" w:hanging="360"/>
      </w:pPr>
      <w:rPr>
        <w:rFonts w:ascii="Symbol" w:hAnsi="Symbol" w:hint="default"/>
      </w:rPr>
    </w:lvl>
    <w:lvl w:ilvl="7" w:tplc="F4027CEE" w:tentative="1">
      <w:start w:val="1"/>
      <w:numFmt w:val="bullet"/>
      <w:lvlText w:val="o"/>
      <w:lvlJc w:val="left"/>
      <w:pPr>
        <w:ind w:left="5760" w:hanging="360"/>
      </w:pPr>
      <w:rPr>
        <w:rFonts w:ascii="Courier New" w:hAnsi="Courier New" w:hint="default"/>
      </w:rPr>
    </w:lvl>
    <w:lvl w:ilvl="8" w:tplc="50CAB4D0" w:tentative="1">
      <w:start w:val="1"/>
      <w:numFmt w:val="bullet"/>
      <w:lvlText w:val=""/>
      <w:lvlJc w:val="left"/>
      <w:pPr>
        <w:ind w:left="6480" w:hanging="360"/>
      </w:pPr>
      <w:rPr>
        <w:rFonts w:ascii="Wingdings" w:hAnsi="Wingdings" w:hint="default"/>
      </w:rPr>
    </w:lvl>
  </w:abstractNum>
  <w:abstractNum w:abstractNumId="48" w15:restartNumberingAfterBreak="0">
    <w:nsid w:val="6C9975B3"/>
    <w:multiLevelType w:val="hybridMultilevel"/>
    <w:tmpl w:val="3CC80E80"/>
    <w:lvl w:ilvl="0" w:tplc="97980EEA">
      <w:start w:val="1"/>
      <w:numFmt w:val="bullet"/>
      <w:lvlText w:val=""/>
      <w:lvlJc w:val="left"/>
      <w:pPr>
        <w:ind w:left="862" w:hanging="360"/>
      </w:pPr>
      <w:rPr>
        <w:rFonts w:ascii="Symbol" w:hAnsi="Symbol" w:hint="default"/>
      </w:rPr>
    </w:lvl>
    <w:lvl w:ilvl="1" w:tplc="A630F5DE" w:tentative="1">
      <w:start w:val="1"/>
      <w:numFmt w:val="bullet"/>
      <w:lvlText w:val="o"/>
      <w:lvlJc w:val="left"/>
      <w:pPr>
        <w:ind w:left="1582" w:hanging="360"/>
      </w:pPr>
      <w:rPr>
        <w:rFonts w:ascii="Courier New" w:hAnsi="Courier New" w:hint="default"/>
      </w:rPr>
    </w:lvl>
    <w:lvl w:ilvl="2" w:tplc="EB68819E" w:tentative="1">
      <w:start w:val="1"/>
      <w:numFmt w:val="bullet"/>
      <w:lvlText w:val=""/>
      <w:lvlJc w:val="left"/>
      <w:pPr>
        <w:ind w:left="2302" w:hanging="360"/>
      </w:pPr>
      <w:rPr>
        <w:rFonts w:ascii="Wingdings" w:hAnsi="Wingdings" w:hint="default"/>
      </w:rPr>
    </w:lvl>
    <w:lvl w:ilvl="3" w:tplc="F9061E8E" w:tentative="1">
      <w:start w:val="1"/>
      <w:numFmt w:val="bullet"/>
      <w:lvlText w:val=""/>
      <w:lvlJc w:val="left"/>
      <w:pPr>
        <w:ind w:left="3022" w:hanging="360"/>
      </w:pPr>
      <w:rPr>
        <w:rFonts w:ascii="Symbol" w:hAnsi="Symbol" w:hint="default"/>
      </w:rPr>
    </w:lvl>
    <w:lvl w:ilvl="4" w:tplc="A58EE826" w:tentative="1">
      <w:start w:val="1"/>
      <w:numFmt w:val="bullet"/>
      <w:lvlText w:val="o"/>
      <w:lvlJc w:val="left"/>
      <w:pPr>
        <w:ind w:left="3742" w:hanging="360"/>
      </w:pPr>
      <w:rPr>
        <w:rFonts w:ascii="Courier New" w:hAnsi="Courier New" w:hint="default"/>
      </w:rPr>
    </w:lvl>
    <w:lvl w:ilvl="5" w:tplc="A40CE900" w:tentative="1">
      <w:start w:val="1"/>
      <w:numFmt w:val="bullet"/>
      <w:lvlText w:val=""/>
      <w:lvlJc w:val="left"/>
      <w:pPr>
        <w:ind w:left="4462" w:hanging="360"/>
      </w:pPr>
      <w:rPr>
        <w:rFonts w:ascii="Wingdings" w:hAnsi="Wingdings" w:hint="default"/>
      </w:rPr>
    </w:lvl>
    <w:lvl w:ilvl="6" w:tplc="436E4C38" w:tentative="1">
      <w:start w:val="1"/>
      <w:numFmt w:val="bullet"/>
      <w:lvlText w:val=""/>
      <w:lvlJc w:val="left"/>
      <w:pPr>
        <w:ind w:left="5182" w:hanging="360"/>
      </w:pPr>
      <w:rPr>
        <w:rFonts w:ascii="Symbol" w:hAnsi="Symbol" w:hint="default"/>
      </w:rPr>
    </w:lvl>
    <w:lvl w:ilvl="7" w:tplc="5F8A9018" w:tentative="1">
      <w:start w:val="1"/>
      <w:numFmt w:val="bullet"/>
      <w:lvlText w:val="o"/>
      <w:lvlJc w:val="left"/>
      <w:pPr>
        <w:ind w:left="5902" w:hanging="360"/>
      </w:pPr>
      <w:rPr>
        <w:rFonts w:ascii="Courier New" w:hAnsi="Courier New" w:hint="default"/>
      </w:rPr>
    </w:lvl>
    <w:lvl w:ilvl="8" w:tplc="71ECF074" w:tentative="1">
      <w:start w:val="1"/>
      <w:numFmt w:val="bullet"/>
      <w:lvlText w:val=""/>
      <w:lvlJc w:val="left"/>
      <w:pPr>
        <w:ind w:left="6622" w:hanging="360"/>
      </w:pPr>
      <w:rPr>
        <w:rFonts w:ascii="Wingdings" w:hAnsi="Wingdings" w:hint="default"/>
      </w:rPr>
    </w:lvl>
  </w:abstractNum>
  <w:abstractNum w:abstractNumId="49" w15:restartNumberingAfterBreak="0">
    <w:nsid w:val="70053462"/>
    <w:multiLevelType w:val="hybridMultilevel"/>
    <w:tmpl w:val="1C903E1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34E37E2"/>
    <w:multiLevelType w:val="hybridMultilevel"/>
    <w:tmpl w:val="F7144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34F98D1"/>
    <w:multiLevelType w:val="hybridMultilevel"/>
    <w:tmpl w:val="FFFFFFFF"/>
    <w:lvl w:ilvl="0" w:tplc="1D440DDE">
      <w:start w:val="1"/>
      <w:numFmt w:val="bullet"/>
      <w:lvlText w:val=""/>
      <w:lvlJc w:val="left"/>
      <w:pPr>
        <w:ind w:left="720" w:hanging="360"/>
      </w:pPr>
      <w:rPr>
        <w:rFonts w:ascii="Symbol" w:hAnsi="Symbol" w:hint="default"/>
      </w:rPr>
    </w:lvl>
    <w:lvl w:ilvl="1" w:tplc="760C2C86">
      <w:start w:val="1"/>
      <w:numFmt w:val="bullet"/>
      <w:lvlText w:val="o"/>
      <w:lvlJc w:val="left"/>
      <w:pPr>
        <w:ind w:left="1440" w:hanging="360"/>
      </w:pPr>
      <w:rPr>
        <w:rFonts w:ascii="Courier New" w:hAnsi="Courier New" w:hint="default"/>
      </w:rPr>
    </w:lvl>
    <w:lvl w:ilvl="2" w:tplc="58763716">
      <w:start w:val="1"/>
      <w:numFmt w:val="bullet"/>
      <w:lvlText w:val=""/>
      <w:lvlJc w:val="left"/>
      <w:pPr>
        <w:ind w:left="2160" w:hanging="360"/>
      </w:pPr>
      <w:rPr>
        <w:rFonts w:ascii="Wingdings" w:hAnsi="Wingdings" w:hint="default"/>
      </w:rPr>
    </w:lvl>
    <w:lvl w:ilvl="3" w:tplc="A5FE9DEC">
      <w:start w:val="1"/>
      <w:numFmt w:val="bullet"/>
      <w:lvlText w:val=""/>
      <w:lvlJc w:val="left"/>
      <w:pPr>
        <w:ind w:left="2880" w:hanging="360"/>
      </w:pPr>
      <w:rPr>
        <w:rFonts w:ascii="Symbol" w:hAnsi="Symbol" w:hint="default"/>
      </w:rPr>
    </w:lvl>
    <w:lvl w:ilvl="4" w:tplc="040EF33C">
      <w:start w:val="1"/>
      <w:numFmt w:val="bullet"/>
      <w:lvlText w:val="o"/>
      <w:lvlJc w:val="left"/>
      <w:pPr>
        <w:ind w:left="3600" w:hanging="360"/>
      </w:pPr>
      <w:rPr>
        <w:rFonts w:ascii="Courier New" w:hAnsi="Courier New" w:hint="default"/>
      </w:rPr>
    </w:lvl>
    <w:lvl w:ilvl="5" w:tplc="CBF88BF8">
      <w:start w:val="1"/>
      <w:numFmt w:val="bullet"/>
      <w:lvlText w:val=""/>
      <w:lvlJc w:val="left"/>
      <w:pPr>
        <w:ind w:left="4320" w:hanging="360"/>
      </w:pPr>
      <w:rPr>
        <w:rFonts w:ascii="Wingdings" w:hAnsi="Wingdings" w:hint="default"/>
      </w:rPr>
    </w:lvl>
    <w:lvl w:ilvl="6" w:tplc="17047CF8">
      <w:start w:val="1"/>
      <w:numFmt w:val="bullet"/>
      <w:lvlText w:val=""/>
      <w:lvlJc w:val="left"/>
      <w:pPr>
        <w:ind w:left="5040" w:hanging="360"/>
      </w:pPr>
      <w:rPr>
        <w:rFonts w:ascii="Symbol" w:hAnsi="Symbol" w:hint="default"/>
      </w:rPr>
    </w:lvl>
    <w:lvl w:ilvl="7" w:tplc="B10805C6">
      <w:start w:val="1"/>
      <w:numFmt w:val="bullet"/>
      <w:lvlText w:val="o"/>
      <w:lvlJc w:val="left"/>
      <w:pPr>
        <w:ind w:left="5760" w:hanging="360"/>
      </w:pPr>
      <w:rPr>
        <w:rFonts w:ascii="Courier New" w:hAnsi="Courier New" w:hint="default"/>
      </w:rPr>
    </w:lvl>
    <w:lvl w:ilvl="8" w:tplc="C2468282">
      <w:start w:val="1"/>
      <w:numFmt w:val="bullet"/>
      <w:lvlText w:val=""/>
      <w:lvlJc w:val="left"/>
      <w:pPr>
        <w:ind w:left="6480" w:hanging="360"/>
      </w:pPr>
      <w:rPr>
        <w:rFonts w:ascii="Wingdings" w:hAnsi="Wingdings" w:hint="default"/>
      </w:rPr>
    </w:lvl>
  </w:abstractNum>
  <w:abstractNum w:abstractNumId="52" w15:restartNumberingAfterBreak="0">
    <w:nsid w:val="73BC3896"/>
    <w:multiLevelType w:val="multilevel"/>
    <w:tmpl w:val="0D18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6A32CD"/>
    <w:multiLevelType w:val="hybridMultilevel"/>
    <w:tmpl w:val="1F9CEB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4" w15:restartNumberingAfterBreak="0">
    <w:nsid w:val="7CC032B1"/>
    <w:multiLevelType w:val="hybridMultilevel"/>
    <w:tmpl w:val="20049414"/>
    <w:lvl w:ilvl="0" w:tplc="671C2D38">
      <w:start w:val="1"/>
      <w:numFmt w:val="upp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CDD0615"/>
    <w:multiLevelType w:val="hybridMultilevel"/>
    <w:tmpl w:val="225CA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DBA284C"/>
    <w:multiLevelType w:val="hybridMultilevel"/>
    <w:tmpl w:val="2D46233C"/>
    <w:lvl w:ilvl="0" w:tplc="CAB40C64">
      <w:start w:val="1"/>
      <w:numFmt w:val="bullet"/>
      <w:lvlText w:val=""/>
      <w:lvlJc w:val="left"/>
      <w:pPr>
        <w:ind w:left="360" w:hanging="360"/>
      </w:pPr>
      <w:rPr>
        <w:rFonts w:ascii="Symbol" w:hAnsi="Symbol" w:hint="default"/>
      </w:rPr>
    </w:lvl>
    <w:lvl w:ilvl="1" w:tplc="C80A9BD6" w:tentative="1">
      <w:start w:val="1"/>
      <w:numFmt w:val="bullet"/>
      <w:lvlText w:val="o"/>
      <w:lvlJc w:val="left"/>
      <w:pPr>
        <w:ind w:left="1440" w:hanging="360"/>
      </w:pPr>
      <w:rPr>
        <w:rFonts w:ascii="Courier New" w:hAnsi="Courier New" w:hint="default"/>
      </w:rPr>
    </w:lvl>
    <w:lvl w:ilvl="2" w:tplc="E1BCAE92" w:tentative="1">
      <w:start w:val="1"/>
      <w:numFmt w:val="bullet"/>
      <w:lvlText w:val=""/>
      <w:lvlJc w:val="left"/>
      <w:pPr>
        <w:ind w:left="2160" w:hanging="360"/>
      </w:pPr>
      <w:rPr>
        <w:rFonts w:ascii="Wingdings" w:hAnsi="Wingdings" w:hint="default"/>
      </w:rPr>
    </w:lvl>
    <w:lvl w:ilvl="3" w:tplc="99EEBC32" w:tentative="1">
      <w:start w:val="1"/>
      <w:numFmt w:val="bullet"/>
      <w:lvlText w:val=""/>
      <w:lvlJc w:val="left"/>
      <w:pPr>
        <w:ind w:left="2880" w:hanging="360"/>
      </w:pPr>
      <w:rPr>
        <w:rFonts w:ascii="Symbol" w:hAnsi="Symbol" w:hint="default"/>
      </w:rPr>
    </w:lvl>
    <w:lvl w:ilvl="4" w:tplc="83E69570" w:tentative="1">
      <w:start w:val="1"/>
      <w:numFmt w:val="bullet"/>
      <w:lvlText w:val="o"/>
      <w:lvlJc w:val="left"/>
      <w:pPr>
        <w:ind w:left="3600" w:hanging="360"/>
      </w:pPr>
      <w:rPr>
        <w:rFonts w:ascii="Courier New" w:hAnsi="Courier New" w:hint="default"/>
      </w:rPr>
    </w:lvl>
    <w:lvl w:ilvl="5" w:tplc="595EC002" w:tentative="1">
      <w:start w:val="1"/>
      <w:numFmt w:val="bullet"/>
      <w:lvlText w:val=""/>
      <w:lvlJc w:val="left"/>
      <w:pPr>
        <w:ind w:left="4320" w:hanging="360"/>
      </w:pPr>
      <w:rPr>
        <w:rFonts w:ascii="Wingdings" w:hAnsi="Wingdings" w:hint="default"/>
      </w:rPr>
    </w:lvl>
    <w:lvl w:ilvl="6" w:tplc="A9464D70" w:tentative="1">
      <w:start w:val="1"/>
      <w:numFmt w:val="bullet"/>
      <w:lvlText w:val=""/>
      <w:lvlJc w:val="left"/>
      <w:pPr>
        <w:ind w:left="5040" w:hanging="360"/>
      </w:pPr>
      <w:rPr>
        <w:rFonts w:ascii="Symbol" w:hAnsi="Symbol" w:hint="default"/>
      </w:rPr>
    </w:lvl>
    <w:lvl w:ilvl="7" w:tplc="538C7D0A" w:tentative="1">
      <w:start w:val="1"/>
      <w:numFmt w:val="bullet"/>
      <w:lvlText w:val="o"/>
      <w:lvlJc w:val="left"/>
      <w:pPr>
        <w:ind w:left="5760" w:hanging="360"/>
      </w:pPr>
      <w:rPr>
        <w:rFonts w:ascii="Courier New" w:hAnsi="Courier New" w:hint="default"/>
      </w:rPr>
    </w:lvl>
    <w:lvl w:ilvl="8" w:tplc="8F06403A" w:tentative="1">
      <w:start w:val="1"/>
      <w:numFmt w:val="bullet"/>
      <w:lvlText w:val=""/>
      <w:lvlJc w:val="left"/>
      <w:pPr>
        <w:ind w:left="6480" w:hanging="360"/>
      </w:pPr>
      <w:rPr>
        <w:rFonts w:ascii="Wingdings" w:hAnsi="Wingdings" w:hint="default"/>
      </w:rPr>
    </w:lvl>
  </w:abstractNum>
  <w:abstractNum w:abstractNumId="57" w15:restartNumberingAfterBreak="0">
    <w:nsid w:val="7E8755A0"/>
    <w:multiLevelType w:val="hybridMultilevel"/>
    <w:tmpl w:val="31E469D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57"/>
  </w:num>
  <w:num w:numId="3">
    <w:abstractNumId w:val="52"/>
  </w:num>
  <w:num w:numId="4">
    <w:abstractNumId w:val="36"/>
  </w:num>
  <w:num w:numId="5">
    <w:abstractNumId w:val="23"/>
  </w:num>
  <w:num w:numId="6">
    <w:abstractNumId w:val="29"/>
  </w:num>
  <w:num w:numId="7">
    <w:abstractNumId w:val="42"/>
  </w:num>
  <w:num w:numId="8">
    <w:abstractNumId w:val="28"/>
  </w:num>
  <w:num w:numId="9">
    <w:abstractNumId w:val="44"/>
  </w:num>
  <w:num w:numId="10">
    <w:abstractNumId w:val="56"/>
  </w:num>
  <w:num w:numId="11">
    <w:abstractNumId w:val="24"/>
  </w:num>
  <w:num w:numId="12">
    <w:abstractNumId w:val="7"/>
  </w:num>
  <w:num w:numId="13">
    <w:abstractNumId w:val="47"/>
  </w:num>
  <w:num w:numId="14">
    <w:abstractNumId w:val="46"/>
  </w:num>
  <w:num w:numId="15">
    <w:abstractNumId w:val="48"/>
  </w:num>
  <w:num w:numId="16">
    <w:abstractNumId w:val="5"/>
  </w:num>
  <w:num w:numId="17">
    <w:abstractNumId w:val="17"/>
  </w:num>
  <w:num w:numId="18">
    <w:abstractNumId w:val="19"/>
  </w:num>
  <w:num w:numId="19">
    <w:abstractNumId w:val="22"/>
  </w:num>
  <w:num w:numId="20">
    <w:abstractNumId w:val="50"/>
  </w:num>
  <w:num w:numId="21">
    <w:abstractNumId w:val="55"/>
  </w:num>
  <w:num w:numId="22">
    <w:abstractNumId w:val="26"/>
  </w:num>
  <w:num w:numId="23">
    <w:abstractNumId w:val="54"/>
  </w:num>
  <w:num w:numId="24">
    <w:abstractNumId w:val="16"/>
  </w:num>
  <w:num w:numId="25">
    <w:abstractNumId w:val="13"/>
  </w:num>
  <w:num w:numId="26">
    <w:abstractNumId w:val="9"/>
  </w:num>
  <w:num w:numId="27">
    <w:abstractNumId w:val="38"/>
  </w:num>
  <w:num w:numId="28">
    <w:abstractNumId w:val="37"/>
  </w:num>
  <w:num w:numId="29">
    <w:abstractNumId w:val="53"/>
  </w:num>
  <w:num w:numId="30">
    <w:abstractNumId w:val="15"/>
  </w:num>
  <w:num w:numId="31">
    <w:abstractNumId w:val="25"/>
  </w:num>
  <w:num w:numId="32">
    <w:abstractNumId w:val="6"/>
  </w:num>
  <w:num w:numId="33">
    <w:abstractNumId w:val="31"/>
  </w:num>
  <w:num w:numId="34">
    <w:abstractNumId w:val="40"/>
  </w:num>
  <w:num w:numId="35">
    <w:abstractNumId w:val="33"/>
  </w:num>
  <w:num w:numId="36">
    <w:abstractNumId w:val="0"/>
  </w:num>
  <w:num w:numId="37">
    <w:abstractNumId w:val="41"/>
  </w:num>
  <w:num w:numId="38">
    <w:abstractNumId w:val="20"/>
  </w:num>
  <w:num w:numId="39">
    <w:abstractNumId w:val="11"/>
  </w:num>
  <w:num w:numId="40">
    <w:abstractNumId w:val="27"/>
  </w:num>
  <w:num w:numId="41">
    <w:abstractNumId w:val="51"/>
  </w:num>
  <w:num w:numId="42">
    <w:abstractNumId w:val="10"/>
  </w:num>
  <w:num w:numId="43">
    <w:abstractNumId w:val="2"/>
  </w:num>
  <w:num w:numId="44">
    <w:abstractNumId w:val="12"/>
  </w:num>
  <w:num w:numId="45">
    <w:abstractNumId w:val="4"/>
  </w:num>
  <w:num w:numId="46">
    <w:abstractNumId w:val="14"/>
  </w:num>
  <w:num w:numId="47">
    <w:abstractNumId w:val="34"/>
  </w:num>
  <w:num w:numId="48">
    <w:abstractNumId w:val="18"/>
  </w:num>
  <w:num w:numId="49">
    <w:abstractNumId w:val="49"/>
  </w:num>
  <w:num w:numId="50">
    <w:abstractNumId w:val="21"/>
  </w:num>
  <w:num w:numId="51">
    <w:abstractNumId w:val="32"/>
  </w:num>
  <w:num w:numId="52">
    <w:abstractNumId w:val="45"/>
  </w:num>
  <w:num w:numId="53">
    <w:abstractNumId w:val="43"/>
  </w:num>
  <w:num w:numId="54">
    <w:abstractNumId w:val="30"/>
  </w:num>
  <w:num w:numId="55">
    <w:abstractNumId w:val="3"/>
  </w:num>
  <w:num w:numId="56">
    <w:abstractNumId w:val="8"/>
  </w:num>
  <w:num w:numId="57">
    <w:abstractNumId w:val="39"/>
  </w:num>
  <w:num w:numId="58">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DEF2832-D107-4DDD-B980-DE0CA0469AC4"/>
    <w:docVar w:name="LW_COVERPAGE_TYPE" w:val="1"/>
    <w:docVar w:name="LW_CROSSREFERENCE" w:val="&lt;UNUSED&gt;"/>
    <w:docVar w:name="LW_DocType" w:val="NORMAL"/>
    <w:docVar w:name="LW_EMISSION" w:val="1.4.2025"/>
    <w:docVar w:name="LW_EMISSION_ISODATE" w:val="2025-04-01"/>
    <w:docVar w:name="LW_EMISSION_LOCATION" w:val="STR"/>
    <w:docVar w:name="LW_EMISSION_PREFIX" w:val="Strasb\u363?r\u257?,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5) 1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r &lt;FMT:Italic&gt;ProtectEU&lt;/FMT&gt;: Eiropas iek\u353?\u275?j\u257?s dro\u353?\u299?bas strat\u275?\u291?iju_x000b_"/>
    <w:docVar w:name="LW_TYPE.DOC.CP" w:val="KOMISIJAS PAZI\u325?OJUMS EIROPAS PARLAMENTAM, PADOMEI, EIROPAS EKONOMIKAS UN SOCI\u256?LO LIETU KOMITEJAI UN RE\u290?IONU KOMITEJAI"/>
    <w:docVar w:name="LW_TYPE.DOC.CP.USERTEXT" w:val="&lt;EMPTY&gt;"/>
    <w:docVar w:name="LwApiVersions" w:val="LW4CoDe 1.24.5.0; LW 9.0, Build 20240221"/>
  </w:docVars>
  <w:rsids>
    <w:rsidRoot w:val="000164CE"/>
    <w:rsid w:val="00000DB4"/>
    <w:rsid w:val="00003799"/>
    <w:rsid w:val="000066AB"/>
    <w:rsid w:val="00006EE8"/>
    <w:rsid w:val="00013DBB"/>
    <w:rsid w:val="000143A4"/>
    <w:rsid w:val="00016027"/>
    <w:rsid w:val="000164CE"/>
    <w:rsid w:val="00016661"/>
    <w:rsid w:val="000231FB"/>
    <w:rsid w:val="00024D46"/>
    <w:rsid w:val="00025C9C"/>
    <w:rsid w:val="0002646D"/>
    <w:rsid w:val="000269F7"/>
    <w:rsid w:val="000270B6"/>
    <w:rsid w:val="00027676"/>
    <w:rsid w:val="0003383D"/>
    <w:rsid w:val="000347AD"/>
    <w:rsid w:val="00035B69"/>
    <w:rsid w:val="00042A81"/>
    <w:rsid w:val="00047509"/>
    <w:rsid w:val="00050B48"/>
    <w:rsid w:val="00050BF5"/>
    <w:rsid w:val="00052FED"/>
    <w:rsid w:val="0005584C"/>
    <w:rsid w:val="0005640C"/>
    <w:rsid w:val="00056B8C"/>
    <w:rsid w:val="00060F69"/>
    <w:rsid w:val="0006115D"/>
    <w:rsid w:val="000615D5"/>
    <w:rsid w:val="00061CC0"/>
    <w:rsid w:val="0006248D"/>
    <w:rsid w:val="0007054A"/>
    <w:rsid w:val="0007314E"/>
    <w:rsid w:val="00074A8F"/>
    <w:rsid w:val="0007592C"/>
    <w:rsid w:val="00075B6E"/>
    <w:rsid w:val="00080660"/>
    <w:rsid w:val="000822FC"/>
    <w:rsid w:val="00085588"/>
    <w:rsid w:val="00086561"/>
    <w:rsid w:val="000873C8"/>
    <w:rsid w:val="000954D6"/>
    <w:rsid w:val="000961D2"/>
    <w:rsid w:val="00096604"/>
    <w:rsid w:val="00097BEC"/>
    <w:rsid w:val="000A06F2"/>
    <w:rsid w:val="000A1FF0"/>
    <w:rsid w:val="000A2ACC"/>
    <w:rsid w:val="000A303F"/>
    <w:rsid w:val="000A32A8"/>
    <w:rsid w:val="000A65A2"/>
    <w:rsid w:val="000A7E35"/>
    <w:rsid w:val="000B0705"/>
    <w:rsid w:val="000B105C"/>
    <w:rsid w:val="000B1982"/>
    <w:rsid w:val="000B2EBD"/>
    <w:rsid w:val="000B7B61"/>
    <w:rsid w:val="000C0EBE"/>
    <w:rsid w:val="000C2655"/>
    <w:rsid w:val="000C2860"/>
    <w:rsid w:val="000C3E0F"/>
    <w:rsid w:val="000C5161"/>
    <w:rsid w:val="000C73FF"/>
    <w:rsid w:val="000D75C7"/>
    <w:rsid w:val="000E1C45"/>
    <w:rsid w:val="000E1CD7"/>
    <w:rsid w:val="000E2267"/>
    <w:rsid w:val="000E2371"/>
    <w:rsid w:val="000E2DE0"/>
    <w:rsid w:val="000E3A6F"/>
    <w:rsid w:val="000E652B"/>
    <w:rsid w:val="000F09A8"/>
    <w:rsid w:val="000F1834"/>
    <w:rsid w:val="000F3ADA"/>
    <w:rsid w:val="000F6AB3"/>
    <w:rsid w:val="0010208F"/>
    <w:rsid w:val="00113A3A"/>
    <w:rsid w:val="00114C9F"/>
    <w:rsid w:val="00115F0C"/>
    <w:rsid w:val="0011704F"/>
    <w:rsid w:val="00117E89"/>
    <w:rsid w:val="00120FD1"/>
    <w:rsid w:val="001216AC"/>
    <w:rsid w:val="00122BD1"/>
    <w:rsid w:val="0012424C"/>
    <w:rsid w:val="00125C13"/>
    <w:rsid w:val="001267ED"/>
    <w:rsid w:val="00126A3F"/>
    <w:rsid w:val="00130C6A"/>
    <w:rsid w:val="00132F28"/>
    <w:rsid w:val="001404A7"/>
    <w:rsid w:val="00140F5E"/>
    <w:rsid w:val="00142B25"/>
    <w:rsid w:val="00143E31"/>
    <w:rsid w:val="00145582"/>
    <w:rsid w:val="001473E8"/>
    <w:rsid w:val="0014787C"/>
    <w:rsid w:val="00151E10"/>
    <w:rsid w:val="00151E21"/>
    <w:rsid w:val="001530CA"/>
    <w:rsid w:val="0015418B"/>
    <w:rsid w:val="00154900"/>
    <w:rsid w:val="00154D43"/>
    <w:rsid w:val="00154F9E"/>
    <w:rsid w:val="001613D2"/>
    <w:rsid w:val="00161B29"/>
    <w:rsid w:val="00161FA8"/>
    <w:rsid w:val="00162098"/>
    <w:rsid w:val="001643DF"/>
    <w:rsid w:val="00170365"/>
    <w:rsid w:val="0017671E"/>
    <w:rsid w:val="00176AB6"/>
    <w:rsid w:val="001772E5"/>
    <w:rsid w:val="00183306"/>
    <w:rsid w:val="001916B2"/>
    <w:rsid w:val="00191D91"/>
    <w:rsid w:val="0019265C"/>
    <w:rsid w:val="0019792F"/>
    <w:rsid w:val="001A0188"/>
    <w:rsid w:val="001A133F"/>
    <w:rsid w:val="001A1D1B"/>
    <w:rsid w:val="001A1D2B"/>
    <w:rsid w:val="001A3A7C"/>
    <w:rsid w:val="001A6967"/>
    <w:rsid w:val="001A6F2D"/>
    <w:rsid w:val="001A786C"/>
    <w:rsid w:val="001B0030"/>
    <w:rsid w:val="001B2192"/>
    <w:rsid w:val="001B351E"/>
    <w:rsid w:val="001B5546"/>
    <w:rsid w:val="001B61E4"/>
    <w:rsid w:val="001B79A0"/>
    <w:rsid w:val="001C1401"/>
    <w:rsid w:val="001C1587"/>
    <w:rsid w:val="001C1C98"/>
    <w:rsid w:val="001C2725"/>
    <w:rsid w:val="001C4D68"/>
    <w:rsid w:val="001D161C"/>
    <w:rsid w:val="001D57D1"/>
    <w:rsid w:val="001E1BA1"/>
    <w:rsid w:val="001E27D5"/>
    <w:rsid w:val="001E4BEC"/>
    <w:rsid w:val="001E4CFF"/>
    <w:rsid w:val="001F1B75"/>
    <w:rsid w:val="001F2DB2"/>
    <w:rsid w:val="001F32EB"/>
    <w:rsid w:val="001F4528"/>
    <w:rsid w:val="00200245"/>
    <w:rsid w:val="00201C72"/>
    <w:rsid w:val="00201F78"/>
    <w:rsid w:val="002020A0"/>
    <w:rsid w:val="00202681"/>
    <w:rsid w:val="00202AFD"/>
    <w:rsid w:val="00203E07"/>
    <w:rsid w:val="00203E95"/>
    <w:rsid w:val="00204CB1"/>
    <w:rsid w:val="002053B6"/>
    <w:rsid w:val="00205D0C"/>
    <w:rsid w:val="00210BBE"/>
    <w:rsid w:val="00212E87"/>
    <w:rsid w:val="00213AAF"/>
    <w:rsid w:val="00215978"/>
    <w:rsid w:val="00216F69"/>
    <w:rsid w:val="00216FA7"/>
    <w:rsid w:val="00220B83"/>
    <w:rsid w:val="002245E9"/>
    <w:rsid w:val="00224B5B"/>
    <w:rsid w:val="00227600"/>
    <w:rsid w:val="00233557"/>
    <w:rsid w:val="0023584F"/>
    <w:rsid w:val="00236B7F"/>
    <w:rsid w:val="00240CE0"/>
    <w:rsid w:val="002429A5"/>
    <w:rsid w:val="00243A68"/>
    <w:rsid w:val="0024421C"/>
    <w:rsid w:val="00245CF3"/>
    <w:rsid w:val="00246658"/>
    <w:rsid w:val="00246AA4"/>
    <w:rsid w:val="002475B6"/>
    <w:rsid w:val="00251FD1"/>
    <w:rsid w:val="00252B38"/>
    <w:rsid w:val="002553BE"/>
    <w:rsid w:val="00257A37"/>
    <w:rsid w:val="00260A08"/>
    <w:rsid w:val="00262258"/>
    <w:rsid w:val="0026313E"/>
    <w:rsid w:val="00263647"/>
    <w:rsid w:val="00263996"/>
    <w:rsid w:val="00263D71"/>
    <w:rsid w:val="00271125"/>
    <w:rsid w:val="00271F5F"/>
    <w:rsid w:val="002742DD"/>
    <w:rsid w:val="002745F7"/>
    <w:rsid w:val="00275F9B"/>
    <w:rsid w:val="00276D58"/>
    <w:rsid w:val="00277ECE"/>
    <w:rsid w:val="00283980"/>
    <w:rsid w:val="00290DCD"/>
    <w:rsid w:val="00290FB1"/>
    <w:rsid w:val="00294CC4"/>
    <w:rsid w:val="00296B00"/>
    <w:rsid w:val="00296B48"/>
    <w:rsid w:val="00296EE1"/>
    <w:rsid w:val="00297B5C"/>
    <w:rsid w:val="002A1B6F"/>
    <w:rsid w:val="002A73C8"/>
    <w:rsid w:val="002B00D5"/>
    <w:rsid w:val="002B1310"/>
    <w:rsid w:val="002B20E8"/>
    <w:rsid w:val="002B3B93"/>
    <w:rsid w:val="002B72F0"/>
    <w:rsid w:val="002C2270"/>
    <w:rsid w:val="002C4C92"/>
    <w:rsid w:val="002C4F00"/>
    <w:rsid w:val="002C5A66"/>
    <w:rsid w:val="002C7DAC"/>
    <w:rsid w:val="002D052F"/>
    <w:rsid w:val="002D0663"/>
    <w:rsid w:val="002D513B"/>
    <w:rsid w:val="002D6396"/>
    <w:rsid w:val="002D642A"/>
    <w:rsid w:val="002E13E0"/>
    <w:rsid w:val="002E230C"/>
    <w:rsid w:val="002E243A"/>
    <w:rsid w:val="002E3392"/>
    <w:rsid w:val="002E3EB8"/>
    <w:rsid w:val="002E50BA"/>
    <w:rsid w:val="002E6B4F"/>
    <w:rsid w:val="002E6BC5"/>
    <w:rsid w:val="002F0B48"/>
    <w:rsid w:val="002F1ED5"/>
    <w:rsid w:val="002F3FC8"/>
    <w:rsid w:val="002F471A"/>
    <w:rsid w:val="002F7426"/>
    <w:rsid w:val="00300EC5"/>
    <w:rsid w:val="003038D5"/>
    <w:rsid w:val="00307501"/>
    <w:rsid w:val="0031052A"/>
    <w:rsid w:val="003128FF"/>
    <w:rsid w:val="00312970"/>
    <w:rsid w:val="00314B77"/>
    <w:rsid w:val="00315703"/>
    <w:rsid w:val="0032177E"/>
    <w:rsid w:val="0032187C"/>
    <w:rsid w:val="00324632"/>
    <w:rsid w:val="003247CC"/>
    <w:rsid w:val="00331416"/>
    <w:rsid w:val="003322B4"/>
    <w:rsid w:val="00336DCC"/>
    <w:rsid w:val="0034301E"/>
    <w:rsid w:val="00343CAC"/>
    <w:rsid w:val="00344B82"/>
    <w:rsid w:val="003457F7"/>
    <w:rsid w:val="00345929"/>
    <w:rsid w:val="00350C5A"/>
    <w:rsid w:val="00353212"/>
    <w:rsid w:val="003533E7"/>
    <w:rsid w:val="00355146"/>
    <w:rsid w:val="003557E1"/>
    <w:rsid w:val="003573CA"/>
    <w:rsid w:val="00357F98"/>
    <w:rsid w:val="0036277C"/>
    <w:rsid w:val="00362B06"/>
    <w:rsid w:val="00364974"/>
    <w:rsid w:val="00364D42"/>
    <w:rsid w:val="00366E1C"/>
    <w:rsid w:val="00371920"/>
    <w:rsid w:val="0037374A"/>
    <w:rsid w:val="00374A41"/>
    <w:rsid w:val="00375418"/>
    <w:rsid w:val="00381595"/>
    <w:rsid w:val="00381C0B"/>
    <w:rsid w:val="00382571"/>
    <w:rsid w:val="00382755"/>
    <w:rsid w:val="00383C51"/>
    <w:rsid w:val="003848E0"/>
    <w:rsid w:val="00385643"/>
    <w:rsid w:val="003876F2"/>
    <w:rsid w:val="00390F35"/>
    <w:rsid w:val="00394141"/>
    <w:rsid w:val="00397BD6"/>
    <w:rsid w:val="003A0BF5"/>
    <w:rsid w:val="003A0ECF"/>
    <w:rsid w:val="003A1F5E"/>
    <w:rsid w:val="003A2CFF"/>
    <w:rsid w:val="003A6981"/>
    <w:rsid w:val="003A74A7"/>
    <w:rsid w:val="003B3038"/>
    <w:rsid w:val="003B6427"/>
    <w:rsid w:val="003B6662"/>
    <w:rsid w:val="003B6981"/>
    <w:rsid w:val="003B7353"/>
    <w:rsid w:val="003D45D2"/>
    <w:rsid w:val="003D64C9"/>
    <w:rsid w:val="003E00F7"/>
    <w:rsid w:val="003E0A82"/>
    <w:rsid w:val="003E1551"/>
    <w:rsid w:val="003E1763"/>
    <w:rsid w:val="003E3B41"/>
    <w:rsid w:val="003F0973"/>
    <w:rsid w:val="003F19D1"/>
    <w:rsid w:val="003F3366"/>
    <w:rsid w:val="003F3451"/>
    <w:rsid w:val="003F37B9"/>
    <w:rsid w:val="00402CC9"/>
    <w:rsid w:val="004042CF"/>
    <w:rsid w:val="004044DD"/>
    <w:rsid w:val="004059AC"/>
    <w:rsid w:val="00410832"/>
    <w:rsid w:val="004112CE"/>
    <w:rsid w:val="00413445"/>
    <w:rsid w:val="004140FD"/>
    <w:rsid w:val="004141A3"/>
    <w:rsid w:val="0041590A"/>
    <w:rsid w:val="00417C7F"/>
    <w:rsid w:val="00420891"/>
    <w:rsid w:val="00426E49"/>
    <w:rsid w:val="00427AEF"/>
    <w:rsid w:val="00431D24"/>
    <w:rsid w:val="004322B9"/>
    <w:rsid w:val="004325DD"/>
    <w:rsid w:val="0043438B"/>
    <w:rsid w:val="0043467E"/>
    <w:rsid w:val="00434F0D"/>
    <w:rsid w:val="00435598"/>
    <w:rsid w:val="0043621A"/>
    <w:rsid w:val="00437CDA"/>
    <w:rsid w:val="00441C8E"/>
    <w:rsid w:val="0044258C"/>
    <w:rsid w:val="004443DA"/>
    <w:rsid w:val="004447F2"/>
    <w:rsid w:val="0044510D"/>
    <w:rsid w:val="00445293"/>
    <w:rsid w:val="0045028F"/>
    <w:rsid w:val="0045104D"/>
    <w:rsid w:val="004539B0"/>
    <w:rsid w:val="00461E03"/>
    <w:rsid w:val="00463CC3"/>
    <w:rsid w:val="00465199"/>
    <w:rsid w:val="00470654"/>
    <w:rsid w:val="00471EFD"/>
    <w:rsid w:val="0047515E"/>
    <w:rsid w:val="00480EF2"/>
    <w:rsid w:val="00483E96"/>
    <w:rsid w:val="00483FF5"/>
    <w:rsid w:val="00484116"/>
    <w:rsid w:val="0048422A"/>
    <w:rsid w:val="00484D7A"/>
    <w:rsid w:val="00485D6E"/>
    <w:rsid w:val="00490CB6"/>
    <w:rsid w:val="004922D7"/>
    <w:rsid w:val="00494895"/>
    <w:rsid w:val="004961CC"/>
    <w:rsid w:val="004977AD"/>
    <w:rsid w:val="00497A48"/>
    <w:rsid w:val="004A1CF9"/>
    <w:rsid w:val="004A27F4"/>
    <w:rsid w:val="004A36C9"/>
    <w:rsid w:val="004A5438"/>
    <w:rsid w:val="004A5830"/>
    <w:rsid w:val="004A6474"/>
    <w:rsid w:val="004B0772"/>
    <w:rsid w:val="004B18E2"/>
    <w:rsid w:val="004B1B84"/>
    <w:rsid w:val="004B2115"/>
    <w:rsid w:val="004B24AA"/>
    <w:rsid w:val="004B2C93"/>
    <w:rsid w:val="004B4296"/>
    <w:rsid w:val="004B4365"/>
    <w:rsid w:val="004B439B"/>
    <w:rsid w:val="004B580E"/>
    <w:rsid w:val="004C0D5D"/>
    <w:rsid w:val="004C0DD5"/>
    <w:rsid w:val="004C0E1A"/>
    <w:rsid w:val="004C1F23"/>
    <w:rsid w:val="004C2A0F"/>
    <w:rsid w:val="004C2A3B"/>
    <w:rsid w:val="004C742C"/>
    <w:rsid w:val="004D0E35"/>
    <w:rsid w:val="004E127E"/>
    <w:rsid w:val="004E3E6A"/>
    <w:rsid w:val="004E5D69"/>
    <w:rsid w:val="004F0CDC"/>
    <w:rsid w:val="004F149A"/>
    <w:rsid w:val="004F20C2"/>
    <w:rsid w:val="004F53BA"/>
    <w:rsid w:val="004F7E68"/>
    <w:rsid w:val="00503166"/>
    <w:rsid w:val="00503F62"/>
    <w:rsid w:val="00505087"/>
    <w:rsid w:val="00505456"/>
    <w:rsid w:val="00505A0C"/>
    <w:rsid w:val="00506156"/>
    <w:rsid w:val="00507A1E"/>
    <w:rsid w:val="00507E4C"/>
    <w:rsid w:val="00511731"/>
    <w:rsid w:val="005125C8"/>
    <w:rsid w:val="00516478"/>
    <w:rsid w:val="00517025"/>
    <w:rsid w:val="00522308"/>
    <w:rsid w:val="00526843"/>
    <w:rsid w:val="00526EB6"/>
    <w:rsid w:val="005272E4"/>
    <w:rsid w:val="00531AC5"/>
    <w:rsid w:val="005340C3"/>
    <w:rsid w:val="00535D17"/>
    <w:rsid w:val="00537E80"/>
    <w:rsid w:val="005409FE"/>
    <w:rsid w:val="0054129A"/>
    <w:rsid w:val="00541497"/>
    <w:rsid w:val="00541AFE"/>
    <w:rsid w:val="00543FB6"/>
    <w:rsid w:val="00544A41"/>
    <w:rsid w:val="00551405"/>
    <w:rsid w:val="0055462E"/>
    <w:rsid w:val="00562A9D"/>
    <w:rsid w:val="00563AE3"/>
    <w:rsid w:val="0057018D"/>
    <w:rsid w:val="005705BF"/>
    <w:rsid w:val="005732CB"/>
    <w:rsid w:val="00574218"/>
    <w:rsid w:val="00575530"/>
    <w:rsid w:val="0058306F"/>
    <w:rsid w:val="005830E5"/>
    <w:rsid w:val="00583C7D"/>
    <w:rsid w:val="005851B6"/>
    <w:rsid w:val="005852A1"/>
    <w:rsid w:val="00587DBD"/>
    <w:rsid w:val="0059056F"/>
    <w:rsid w:val="00597877"/>
    <w:rsid w:val="00597FA8"/>
    <w:rsid w:val="005A0285"/>
    <w:rsid w:val="005A3181"/>
    <w:rsid w:val="005A453C"/>
    <w:rsid w:val="005A4902"/>
    <w:rsid w:val="005A51D9"/>
    <w:rsid w:val="005A5358"/>
    <w:rsid w:val="005A5D39"/>
    <w:rsid w:val="005A65A5"/>
    <w:rsid w:val="005A6C49"/>
    <w:rsid w:val="005A76DA"/>
    <w:rsid w:val="005B13BC"/>
    <w:rsid w:val="005C197C"/>
    <w:rsid w:val="005C303A"/>
    <w:rsid w:val="005C3998"/>
    <w:rsid w:val="005C52C9"/>
    <w:rsid w:val="005C6AD7"/>
    <w:rsid w:val="005D0608"/>
    <w:rsid w:val="005D1942"/>
    <w:rsid w:val="005D1B49"/>
    <w:rsid w:val="005D551F"/>
    <w:rsid w:val="005E1E12"/>
    <w:rsid w:val="005E1FD2"/>
    <w:rsid w:val="005E5C44"/>
    <w:rsid w:val="005E68A1"/>
    <w:rsid w:val="005E7B6F"/>
    <w:rsid w:val="005F2B25"/>
    <w:rsid w:val="005F5CEB"/>
    <w:rsid w:val="005F6B93"/>
    <w:rsid w:val="0060092A"/>
    <w:rsid w:val="006046F7"/>
    <w:rsid w:val="00612FF3"/>
    <w:rsid w:val="00616846"/>
    <w:rsid w:val="006168B9"/>
    <w:rsid w:val="00622760"/>
    <w:rsid w:val="00623334"/>
    <w:rsid w:val="00630BAB"/>
    <w:rsid w:val="00630CF5"/>
    <w:rsid w:val="0063108C"/>
    <w:rsid w:val="00641823"/>
    <w:rsid w:val="00646716"/>
    <w:rsid w:val="00646D23"/>
    <w:rsid w:val="00647280"/>
    <w:rsid w:val="00650DC3"/>
    <w:rsid w:val="00650E71"/>
    <w:rsid w:val="00653681"/>
    <w:rsid w:val="00653C89"/>
    <w:rsid w:val="006549CC"/>
    <w:rsid w:val="0065534D"/>
    <w:rsid w:val="00655E81"/>
    <w:rsid w:val="00657307"/>
    <w:rsid w:val="0066055C"/>
    <w:rsid w:val="006619D9"/>
    <w:rsid w:val="00662C11"/>
    <w:rsid w:val="00663225"/>
    <w:rsid w:val="006659D8"/>
    <w:rsid w:val="00665A32"/>
    <w:rsid w:val="00666C32"/>
    <w:rsid w:val="006707DC"/>
    <w:rsid w:val="00670889"/>
    <w:rsid w:val="0067098E"/>
    <w:rsid w:val="00670BE2"/>
    <w:rsid w:val="00671238"/>
    <w:rsid w:val="00672146"/>
    <w:rsid w:val="0067797C"/>
    <w:rsid w:val="006779A3"/>
    <w:rsid w:val="006835BD"/>
    <w:rsid w:val="00684DEE"/>
    <w:rsid w:val="00692354"/>
    <w:rsid w:val="0069273B"/>
    <w:rsid w:val="006927F8"/>
    <w:rsid w:val="00692966"/>
    <w:rsid w:val="006976F9"/>
    <w:rsid w:val="006A0D7A"/>
    <w:rsid w:val="006A2BC4"/>
    <w:rsid w:val="006A3845"/>
    <w:rsid w:val="006A6F12"/>
    <w:rsid w:val="006A741D"/>
    <w:rsid w:val="006B1C43"/>
    <w:rsid w:val="006B44FB"/>
    <w:rsid w:val="006B467F"/>
    <w:rsid w:val="006B59D8"/>
    <w:rsid w:val="006B763D"/>
    <w:rsid w:val="006B7E5B"/>
    <w:rsid w:val="006C22FD"/>
    <w:rsid w:val="006C3FE2"/>
    <w:rsid w:val="006C421B"/>
    <w:rsid w:val="006C739A"/>
    <w:rsid w:val="006D07E3"/>
    <w:rsid w:val="006D546A"/>
    <w:rsid w:val="006E114E"/>
    <w:rsid w:val="006E3140"/>
    <w:rsid w:val="006E45DC"/>
    <w:rsid w:val="006E499A"/>
    <w:rsid w:val="006E4FFC"/>
    <w:rsid w:val="006E524D"/>
    <w:rsid w:val="006E52C4"/>
    <w:rsid w:val="006E7452"/>
    <w:rsid w:val="006E7799"/>
    <w:rsid w:val="006F0DCA"/>
    <w:rsid w:val="006F2264"/>
    <w:rsid w:val="006F3EC2"/>
    <w:rsid w:val="006F6D11"/>
    <w:rsid w:val="006F6F4E"/>
    <w:rsid w:val="006F7C41"/>
    <w:rsid w:val="006F7D6B"/>
    <w:rsid w:val="00701DC4"/>
    <w:rsid w:val="007027CC"/>
    <w:rsid w:val="00707013"/>
    <w:rsid w:val="00710C7F"/>
    <w:rsid w:val="00712395"/>
    <w:rsid w:val="0071310C"/>
    <w:rsid w:val="00714270"/>
    <w:rsid w:val="0071566D"/>
    <w:rsid w:val="00717275"/>
    <w:rsid w:val="00717FB6"/>
    <w:rsid w:val="007219E4"/>
    <w:rsid w:val="00724F49"/>
    <w:rsid w:val="007267A5"/>
    <w:rsid w:val="00726F8A"/>
    <w:rsid w:val="00732873"/>
    <w:rsid w:val="00732FC8"/>
    <w:rsid w:val="00733585"/>
    <w:rsid w:val="00740C52"/>
    <w:rsid w:val="00741270"/>
    <w:rsid w:val="00743052"/>
    <w:rsid w:val="00750FB8"/>
    <w:rsid w:val="007513AF"/>
    <w:rsid w:val="00752037"/>
    <w:rsid w:val="0075427D"/>
    <w:rsid w:val="00756DFE"/>
    <w:rsid w:val="0075781E"/>
    <w:rsid w:val="00764052"/>
    <w:rsid w:val="00764383"/>
    <w:rsid w:val="00765DC1"/>
    <w:rsid w:val="00767C11"/>
    <w:rsid w:val="00771FDF"/>
    <w:rsid w:val="00772B07"/>
    <w:rsid w:val="0077656E"/>
    <w:rsid w:val="007804A6"/>
    <w:rsid w:val="00780F05"/>
    <w:rsid w:val="0078250D"/>
    <w:rsid w:val="00782D33"/>
    <w:rsid w:val="00784CA8"/>
    <w:rsid w:val="007920DD"/>
    <w:rsid w:val="00792D54"/>
    <w:rsid w:val="0079311C"/>
    <w:rsid w:val="007936A5"/>
    <w:rsid w:val="007939CD"/>
    <w:rsid w:val="00795E84"/>
    <w:rsid w:val="007968C9"/>
    <w:rsid w:val="00796D2A"/>
    <w:rsid w:val="00797527"/>
    <w:rsid w:val="007A053C"/>
    <w:rsid w:val="007A26E0"/>
    <w:rsid w:val="007A3420"/>
    <w:rsid w:val="007A3902"/>
    <w:rsid w:val="007A52AD"/>
    <w:rsid w:val="007A56E6"/>
    <w:rsid w:val="007A6399"/>
    <w:rsid w:val="007A6ABE"/>
    <w:rsid w:val="007A79E7"/>
    <w:rsid w:val="007A7AE2"/>
    <w:rsid w:val="007B6982"/>
    <w:rsid w:val="007B6DCE"/>
    <w:rsid w:val="007C1072"/>
    <w:rsid w:val="007C2186"/>
    <w:rsid w:val="007C224D"/>
    <w:rsid w:val="007C4915"/>
    <w:rsid w:val="007C5FDC"/>
    <w:rsid w:val="007C67B1"/>
    <w:rsid w:val="007C7983"/>
    <w:rsid w:val="007C7ECC"/>
    <w:rsid w:val="007D1E7C"/>
    <w:rsid w:val="007D44A3"/>
    <w:rsid w:val="007D47CD"/>
    <w:rsid w:val="007D502D"/>
    <w:rsid w:val="007D796F"/>
    <w:rsid w:val="007E16BB"/>
    <w:rsid w:val="007E1F9F"/>
    <w:rsid w:val="007E4D07"/>
    <w:rsid w:val="007E565E"/>
    <w:rsid w:val="007E6520"/>
    <w:rsid w:val="007F2F60"/>
    <w:rsid w:val="007F5132"/>
    <w:rsid w:val="007F6A3E"/>
    <w:rsid w:val="008011AB"/>
    <w:rsid w:val="0080168A"/>
    <w:rsid w:val="008031D7"/>
    <w:rsid w:val="008050A2"/>
    <w:rsid w:val="008051DB"/>
    <w:rsid w:val="00810832"/>
    <w:rsid w:val="00812AB8"/>
    <w:rsid w:val="008145E7"/>
    <w:rsid w:val="0082001B"/>
    <w:rsid w:val="008209DC"/>
    <w:rsid w:val="00820EEF"/>
    <w:rsid w:val="00821448"/>
    <w:rsid w:val="00822046"/>
    <w:rsid w:val="00822FFF"/>
    <w:rsid w:val="008244B7"/>
    <w:rsid w:val="00830F05"/>
    <w:rsid w:val="0083108E"/>
    <w:rsid w:val="00832564"/>
    <w:rsid w:val="0083292C"/>
    <w:rsid w:val="00832AFD"/>
    <w:rsid w:val="008366ED"/>
    <w:rsid w:val="008377D9"/>
    <w:rsid w:val="008401FB"/>
    <w:rsid w:val="00840A88"/>
    <w:rsid w:val="00847C4B"/>
    <w:rsid w:val="008519CD"/>
    <w:rsid w:val="00851CC9"/>
    <w:rsid w:val="0085333F"/>
    <w:rsid w:val="00854EA3"/>
    <w:rsid w:val="008603DA"/>
    <w:rsid w:val="00861AB5"/>
    <w:rsid w:val="0086713F"/>
    <w:rsid w:val="00867634"/>
    <w:rsid w:val="008719E1"/>
    <w:rsid w:val="00872B15"/>
    <w:rsid w:val="00874084"/>
    <w:rsid w:val="00877675"/>
    <w:rsid w:val="00880013"/>
    <w:rsid w:val="00880420"/>
    <w:rsid w:val="00882B3E"/>
    <w:rsid w:val="0088600D"/>
    <w:rsid w:val="0089038C"/>
    <w:rsid w:val="008906A3"/>
    <w:rsid w:val="00891B1E"/>
    <w:rsid w:val="00891E17"/>
    <w:rsid w:val="008930CD"/>
    <w:rsid w:val="008940C1"/>
    <w:rsid w:val="008A7707"/>
    <w:rsid w:val="008B1371"/>
    <w:rsid w:val="008C262F"/>
    <w:rsid w:val="008C458E"/>
    <w:rsid w:val="008C4CD3"/>
    <w:rsid w:val="008C549D"/>
    <w:rsid w:val="008C7AF1"/>
    <w:rsid w:val="008C7B65"/>
    <w:rsid w:val="008D3F23"/>
    <w:rsid w:val="008D5787"/>
    <w:rsid w:val="008D581B"/>
    <w:rsid w:val="008D7D9E"/>
    <w:rsid w:val="008E0D75"/>
    <w:rsid w:val="008E1A5B"/>
    <w:rsid w:val="008E4273"/>
    <w:rsid w:val="008E6234"/>
    <w:rsid w:val="008E6B6C"/>
    <w:rsid w:val="008F0A02"/>
    <w:rsid w:val="008F3928"/>
    <w:rsid w:val="008F6D0E"/>
    <w:rsid w:val="0090057D"/>
    <w:rsid w:val="009019FF"/>
    <w:rsid w:val="009024CA"/>
    <w:rsid w:val="009057E3"/>
    <w:rsid w:val="00906D75"/>
    <w:rsid w:val="00907E4E"/>
    <w:rsid w:val="00910DED"/>
    <w:rsid w:val="00923AE3"/>
    <w:rsid w:val="0092608B"/>
    <w:rsid w:val="009304B7"/>
    <w:rsid w:val="0093352B"/>
    <w:rsid w:val="00934F7E"/>
    <w:rsid w:val="009414F3"/>
    <w:rsid w:val="0094227C"/>
    <w:rsid w:val="00942750"/>
    <w:rsid w:val="009466D5"/>
    <w:rsid w:val="00946CBA"/>
    <w:rsid w:val="00947CA2"/>
    <w:rsid w:val="00950BB8"/>
    <w:rsid w:val="0095322C"/>
    <w:rsid w:val="0095456A"/>
    <w:rsid w:val="00955CC7"/>
    <w:rsid w:val="009600AD"/>
    <w:rsid w:val="009601AF"/>
    <w:rsid w:val="0096277F"/>
    <w:rsid w:val="009629F0"/>
    <w:rsid w:val="0096579D"/>
    <w:rsid w:val="00970154"/>
    <w:rsid w:val="00971889"/>
    <w:rsid w:val="00971C27"/>
    <w:rsid w:val="00974217"/>
    <w:rsid w:val="0097452C"/>
    <w:rsid w:val="00976F16"/>
    <w:rsid w:val="009806A7"/>
    <w:rsid w:val="00987293"/>
    <w:rsid w:val="00987744"/>
    <w:rsid w:val="00990C94"/>
    <w:rsid w:val="00995DB5"/>
    <w:rsid w:val="009A1441"/>
    <w:rsid w:val="009A24B5"/>
    <w:rsid w:val="009A4C10"/>
    <w:rsid w:val="009A545D"/>
    <w:rsid w:val="009A7C18"/>
    <w:rsid w:val="009B0479"/>
    <w:rsid w:val="009B22D6"/>
    <w:rsid w:val="009C2E3B"/>
    <w:rsid w:val="009C3C79"/>
    <w:rsid w:val="009C4EE1"/>
    <w:rsid w:val="009C6515"/>
    <w:rsid w:val="009C7747"/>
    <w:rsid w:val="009D21FD"/>
    <w:rsid w:val="009D272A"/>
    <w:rsid w:val="009D319E"/>
    <w:rsid w:val="009D4DCD"/>
    <w:rsid w:val="009E0BAD"/>
    <w:rsid w:val="009E12A5"/>
    <w:rsid w:val="009E238E"/>
    <w:rsid w:val="009E2D9E"/>
    <w:rsid w:val="009E376D"/>
    <w:rsid w:val="009E4517"/>
    <w:rsid w:val="009E62FE"/>
    <w:rsid w:val="009F1283"/>
    <w:rsid w:val="009F2B8B"/>
    <w:rsid w:val="009F5020"/>
    <w:rsid w:val="00A012B0"/>
    <w:rsid w:val="00A02B7F"/>
    <w:rsid w:val="00A02E10"/>
    <w:rsid w:val="00A04F85"/>
    <w:rsid w:val="00A10BF0"/>
    <w:rsid w:val="00A11C2C"/>
    <w:rsid w:val="00A129E7"/>
    <w:rsid w:val="00A1356D"/>
    <w:rsid w:val="00A14398"/>
    <w:rsid w:val="00A150BA"/>
    <w:rsid w:val="00A17576"/>
    <w:rsid w:val="00A226E1"/>
    <w:rsid w:val="00A24494"/>
    <w:rsid w:val="00A278C3"/>
    <w:rsid w:val="00A30C0E"/>
    <w:rsid w:val="00A31507"/>
    <w:rsid w:val="00A317B0"/>
    <w:rsid w:val="00A33892"/>
    <w:rsid w:val="00A35437"/>
    <w:rsid w:val="00A35761"/>
    <w:rsid w:val="00A36110"/>
    <w:rsid w:val="00A36BF1"/>
    <w:rsid w:val="00A36D1C"/>
    <w:rsid w:val="00A4091E"/>
    <w:rsid w:val="00A41371"/>
    <w:rsid w:val="00A44A96"/>
    <w:rsid w:val="00A4661D"/>
    <w:rsid w:val="00A51990"/>
    <w:rsid w:val="00A54F80"/>
    <w:rsid w:val="00A61AD0"/>
    <w:rsid w:val="00A67959"/>
    <w:rsid w:val="00A80FA8"/>
    <w:rsid w:val="00A842B1"/>
    <w:rsid w:val="00A84BFF"/>
    <w:rsid w:val="00A86914"/>
    <w:rsid w:val="00A87726"/>
    <w:rsid w:val="00A879F7"/>
    <w:rsid w:val="00A90185"/>
    <w:rsid w:val="00A97014"/>
    <w:rsid w:val="00A970E4"/>
    <w:rsid w:val="00A973FE"/>
    <w:rsid w:val="00A976F5"/>
    <w:rsid w:val="00AA031C"/>
    <w:rsid w:val="00AA06E9"/>
    <w:rsid w:val="00AA4322"/>
    <w:rsid w:val="00AA515A"/>
    <w:rsid w:val="00AA5B34"/>
    <w:rsid w:val="00AA608B"/>
    <w:rsid w:val="00AA61B8"/>
    <w:rsid w:val="00AB308E"/>
    <w:rsid w:val="00AB54CC"/>
    <w:rsid w:val="00AC0257"/>
    <w:rsid w:val="00AC0BC5"/>
    <w:rsid w:val="00AC1FC0"/>
    <w:rsid w:val="00AC44C8"/>
    <w:rsid w:val="00AD3023"/>
    <w:rsid w:val="00AD62FB"/>
    <w:rsid w:val="00AE4BC0"/>
    <w:rsid w:val="00AE506A"/>
    <w:rsid w:val="00AE533E"/>
    <w:rsid w:val="00AE6218"/>
    <w:rsid w:val="00AF0051"/>
    <w:rsid w:val="00AF0423"/>
    <w:rsid w:val="00AF19DF"/>
    <w:rsid w:val="00AF2FCB"/>
    <w:rsid w:val="00AF5A24"/>
    <w:rsid w:val="00B029B1"/>
    <w:rsid w:val="00B031A3"/>
    <w:rsid w:val="00B04BC8"/>
    <w:rsid w:val="00B052F3"/>
    <w:rsid w:val="00B05B39"/>
    <w:rsid w:val="00B11135"/>
    <w:rsid w:val="00B14761"/>
    <w:rsid w:val="00B1588E"/>
    <w:rsid w:val="00B16923"/>
    <w:rsid w:val="00B2153E"/>
    <w:rsid w:val="00B2238C"/>
    <w:rsid w:val="00B22B36"/>
    <w:rsid w:val="00B2667B"/>
    <w:rsid w:val="00B27273"/>
    <w:rsid w:val="00B31B77"/>
    <w:rsid w:val="00B32BEB"/>
    <w:rsid w:val="00B35755"/>
    <w:rsid w:val="00B36BE0"/>
    <w:rsid w:val="00B36FD3"/>
    <w:rsid w:val="00B40097"/>
    <w:rsid w:val="00B40372"/>
    <w:rsid w:val="00B41288"/>
    <w:rsid w:val="00B41591"/>
    <w:rsid w:val="00B421E9"/>
    <w:rsid w:val="00B506A7"/>
    <w:rsid w:val="00B5194E"/>
    <w:rsid w:val="00B52F42"/>
    <w:rsid w:val="00B533FF"/>
    <w:rsid w:val="00B53720"/>
    <w:rsid w:val="00B55FC1"/>
    <w:rsid w:val="00B56C0F"/>
    <w:rsid w:val="00B600FD"/>
    <w:rsid w:val="00B65058"/>
    <w:rsid w:val="00B66A29"/>
    <w:rsid w:val="00B66F2A"/>
    <w:rsid w:val="00B67232"/>
    <w:rsid w:val="00B71435"/>
    <w:rsid w:val="00B752DA"/>
    <w:rsid w:val="00B757AF"/>
    <w:rsid w:val="00B8227B"/>
    <w:rsid w:val="00B84A49"/>
    <w:rsid w:val="00B86540"/>
    <w:rsid w:val="00B957C7"/>
    <w:rsid w:val="00B96965"/>
    <w:rsid w:val="00BA3689"/>
    <w:rsid w:val="00BA3C88"/>
    <w:rsid w:val="00BA452C"/>
    <w:rsid w:val="00BA5A1B"/>
    <w:rsid w:val="00BA5B87"/>
    <w:rsid w:val="00BB0D2C"/>
    <w:rsid w:val="00BB0D31"/>
    <w:rsid w:val="00BB1406"/>
    <w:rsid w:val="00BB181C"/>
    <w:rsid w:val="00BC14B9"/>
    <w:rsid w:val="00BC69C5"/>
    <w:rsid w:val="00BC6C16"/>
    <w:rsid w:val="00BD22A1"/>
    <w:rsid w:val="00BD5307"/>
    <w:rsid w:val="00BD5971"/>
    <w:rsid w:val="00BD5CFB"/>
    <w:rsid w:val="00BD5E38"/>
    <w:rsid w:val="00BD768E"/>
    <w:rsid w:val="00BE3FAE"/>
    <w:rsid w:val="00BE4BEB"/>
    <w:rsid w:val="00BE54F7"/>
    <w:rsid w:val="00BE72C6"/>
    <w:rsid w:val="00BE7DB1"/>
    <w:rsid w:val="00BF1C2B"/>
    <w:rsid w:val="00BF20D5"/>
    <w:rsid w:val="00C00624"/>
    <w:rsid w:val="00C0232F"/>
    <w:rsid w:val="00C056BE"/>
    <w:rsid w:val="00C10D6A"/>
    <w:rsid w:val="00C10FF4"/>
    <w:rsid w:val="00C11BAD"/>
    <w:rsid w:val="00C1477A"/>
    <w:rsid w:val="00C163C3"/>
    <w:rsid w:val="00C22881"/>
    <w:rsid w:val="00C2307E"/>
    <w:rsid w:val="00C25B1E"/>
    <w:rsid w:val="00C265F8"/>
    <w:rsid w:val="00C272FA"/>
    <w:rsid w:val="00C30C2A"/>
    <w:rsid w:val="00C322C7"/>
    <w:rsid w:val="00C331BF"/>
    <w:rsid w:val="00C43597"/>
    <w:rsid w:val="00C43DA3"/>
    <w:rsid w:val="00C45973"/>
    <w:rsid w:val="00C500C2"/>
    <w:rsid w:val="00C52532"/>
    <w:rsid w:val="00C5444A"/>
    <w:rsid w:val="00C554D5"/>
    <w:rsid w:val="00C557DF"/>
    <w:rsid w:val="00C61049"/>
    <w:rsid w:val="00C64AAF"/>
    <w:rsid w:val="00C6596B"/>
    <w:rsid w:val="00C67B47"/>
    <w:rsid w:val="00C72260"/>
    <w:rsid w:val="00C76986"/>
    <w:rsid w:val="00C80647"/>
    <w:rsid w:val="00C80776"/>
    <w:rsid w:val="00C8265A"/>
    <w:rsid w:val="00C8361B"/>
    <w:rsid w:val="00C83A5B"/>
    <w:rsid w:val="00C85198"/>
    <w:rsid w:val="00C870C1"/>
    <w:rsid w:val="00C9271C"/>
    <w:rsid w:val="00C93468"/>
    <w:rsid w:val="00C9550A"/>
    <w:rsid w:val="00C976F1"/>
    <w:rsid w:val="00C97FD8"/>
    <w:rsid w:val="00CA34F1"/>
    <w:rsid w:val="00CA6FFE"/>
    <w:rsid w:val="00CA7245"/>
    <w:rsid w:val="00CB0CBC"/>
    <w:rsid w:val="00CB155D"/>
    <w:rsid w:val="00CB4C90"/>
    <w:rsid w:val="00CC0644"/>
    <w:rsid w:val="00CC0C28"/>
    <w:rsid w:val="00CC428A"/>
    <w:rsid w:val="00CC493D"/>
    <w:rsid w:val="00CD2223"/>
    <w:rsid w:val="00CD40B9"/>
    <w:rsid w:val="00CD491C"/>
    <w:rsid w:val="00CD51C8"/>
    <w:rsid w:val="00CD66D8"/>
    <w:rsid w:val="00CD6BA2"/>
    <w:rsid w:val="00CD704D"/>
    <w:rsid w:val="00CE3136"/>
    <w:rsid w:val="00CE3575"/>
    <w:rsid w:val="00CE3BE7"/>
    <w:rsid w:val="00CE4315"/>
    <w:rsid w:val="00CE4D04"/>
    <w:rsid w:val="00CE71FB"/>
    <w:rsid w:val="00CE7906"/>
    <w:rsid w:val="00CF0D21"/>
    <w:rsid w:val="00CF0D49"/>
    <w:rsid w:val="00CF1D25"/>
    <w:rsid w:val="00CF6811"/>
    <w:rsid w:val="00CF730E"/>
    <w:rsid w:val="00D00646"/>
    <w:rsid w:val="00D02771"/>
    <w:rsid w:val="00D044FC"/>
    <w:rsid w:val="00D04DE0"/>
    <w:rsid w:val="00D05AAA"/>
    <w:rsid w:val="00D06E02"/>
    <w:rsid w:val="00D1204E"/>
    <w:rsid w:val="00D12BC3"/>
    <w:rsid w:val="00D12EA5"/>
    <w:rsid w:val="00D14541"/>
    <w:rsid w:val="00D14FF1"/>
    <w:rsid w:val="00D21278"/>
    <w:rsid w:val="00D24075"/>
    <w:rsid w:val="00D24D74"/>
    <w:rsid w:val="00D31FE0"/>
    <w:rsid w:val="00D32667"/>
    <w:rsid w:val="00D32BF3"/>
    <w:rsid w:val="00D3342F"/>
    <w:rsid w:val="00D3405A"/>
    <w:rsid w:val="00D35B84"/>
    <w:rsid w:val="00D404B7"/>
    <w:rsid w:val="00D417EF"/>
    <w:rsid w:val="00D42D83"/>
    <w:rsid w:val="00D45532"/>
    <w:rsid w:val="00D5096C"/>
    <w:rsid w:val="00D51198"/>
    <w:rsid w:val="00D60190"/>
    <w:rsid w:val="00D60481"/>
    <w:rsid w:val="00D62330"/>
    <w:rsid w:val="00D62EED"/>
    <w:rsid w:val="00D66D7B"/>
    <w:rsid w:val="00D72013"/>
    <w:rsid w:val="00D76353"/>
    <w:rsid w:val="00D770F8"/>
    <w:rsid w:val="00D80BE0"/>
    <w:rsid w:val="00D81E38"/>
    <w:rsid w:val="00D910A1"/>
    <w:rsid w:val="00D91483"/>
    <w:rsid w:val="00D915DD"/>
    <w:rsid w:val="00D94D29"/>
    <w:rsid w:val="00DA5EB7"/>
    <w:rsid w:val="00DA77D3"/>
    <w:rsid w:val="00DA7CAC"/>
    <w:rsid w:val="00DB1AB4"/>
    <w:rsid w:val="00DB6A3D"/>
    <w:rsid w:val="00DB6DC2"/>
    <w:rsid w:val="00DB6F25"/>
    <w:rsid w:val="00DC082D"/>
    <w:rsid w:val="00DC27EE"/>
    <w:rsid w:val="00DC2953"/>
    <w:rsid w:val="00DC65D7"/>
    <w:rsid w:val="00DD1157"/>
    <w:rsid w:val="00DD1999"/>
    <w:rsid w:val="00DD59B6"/>
    <w:rsid w:val="00DD6DFF"/>
    <w:rsid w:val="00DE0D3B"/>
    <w:rsid w:val="00DE3143"/>
    <w:rsid w:val="00DF0287"/>
    <w:rsid w:val="00DF0646"/>
    <w:rsid w:val="00DF22B4"/>
    <w:rsid w:val="00DF59DB"/>
    <w:rsid w:val="00DF7829"/>
    <w:rsid w:val="00E00D32"/>
    <w:rsid w:val="00E02DCE"/>
    <w:rsid w:val="00E03C62"/>
    <w:rsid w:val="00E0707E"/>
    <w:rsid w:val="00E076A8"/>
    <w:rsid w:val="00E11040"/>
    <w:rsid w:val="00E12695"/>
    <w:rsid w:val="00E145EE"/>
    <w:rsid w:val="00E163D5"/>
    <w:rsid w:val="00E1764E"/>
    <w:rsid w:val="00E22E06"/>
    <w:rsid w:val="00E231F7"/>
    <w:rsid w:val="00E24789"/>
    <w:rsid w:val="00E2529E"/>
    <w:rsid w:val="00E26049"/>
    <w:rsid w:val="00E33538"/>
    <w:rsid w:val="00E33A5A"/>
    <w:rsid w:val="00E33EC2"/>
    <w:rsid w:val="00E352D5"/>
    <w:rsid w:val="00E35484"/>
    <w:rsid w:val="00E35C10"/>
    <w:rsid w:val="00E35D89"/>
    <w:rsid w:val="00E361C0"/>
    <w:rsid w:val="00E4199C"/>
    <w:rsid w:val="00E47976"/>
    <w:rsid w:val="00E5535B"/>
    <w:rsid w:val="00E55FF7"/>
    <w:rsid w:val="00E61A2D"/>
    <w:rsid w:val="00E62DBC"/>
    <w:rsid w:val="00E64289"/>
    <w:rsid w:val="00E664E2"/>
    <w:rsid w:val="00E700AC"/>
    <w:rsid w:val="00E75797"/>
    <w:rsid w:val="00E7593C"/>
    <w:rsid w:val="00E75D1F"/>
    <w:rsid w:val="00E778C0"/>
    <w:rsid w:val="00E82B5B"/>
    <w:rsid w:val="00E845AB"/>
    <w:rsid w:val="00E873F3"/>
    <w:rsid w:val="00E953B8"/>
    <w:rsid w:val="00EA06D3"/>
    <w:rsid w:val="00EA1C16"/>
    <w:rsid w:val="00EA3B07"/>
    <w:rsid w:val="00EA4B6C"/>
    <w:rsid w:val="00EA72B3"/>
    <w:rsid w:val="00EB2B55"/>
    <w:rsid w:val="00EC35FF"/>
    <w:rsid w:val="00EC5481"/>
    <w:rsid w:val="00EC7149"/>
    <w:rsid w:val="00EC733E"/>
    <w:rsid w:val="00EC7D3F"/>
    <w:rsid w:val="00ED0D14"/>
    <w:rsid w:val="00ED22AB"/>
    <w:rsid w:val="00ED257F"/>
    <w:rsid w:val="00ED6692"/>
    <w:rsid w:val="00ED7CCB"/>
    <w:rsid w:val="00ED7D6A"/>
    <w:rsid w:val="00EF38CA"/>
    <w:rsid w:val="00EF6755"/>
    <w:rsid w:val="00EF7F62"/>
    <w:rsid w:val="00F00599"/>
    <w:rsid w:val="00F00823"/>
    <w:rsid w:val="00F00A41"/>
    <w:rsid w:val="00F043E9"/>
    <w:rsid w:val="00F05CDB"/>
    <w:rsid w:val="00F07E99"/>
    <w:rsid w:val="00F111EB"/>
    <w:rsid w:val="00F1223B"/>
    <w:rsid w:val="00F12ACD"/>
    <w:rsid w:val="00F13466"/>
    <w:rsid w:val="00F13858"/>
    <w:rsid w:val="00F153B5"/>
    <w:rsid w:val="00F16B5A"/>
    <w:rsid w:val="00F17184"/>
    <w:rsid w:val="00F171D2"/>
    <w:rsid w:val="00F17D79"/>
    <w:rsid w:val="00F2050A"/>
    <w:rsid w:val="00F2083B"/>
    <w:rsid w:val="00F212A6"/>
    <w:rsid w:val="00F24AAA"/>
    <w:rsid w:val="00F254E9"/>
    <w:rsid w:val="00F269C3"/>
    <w:rsid w:val="00F30B6E"/>
    <w:rsid w:val="00F32A55"/>
    <w:rsid w:val="00F333C5"/>
    <w:rsid w:val="00F34358"/>
    <w:rsid w:val="00F35291"/>
    <w:rsid w:val="00F40BCC"/>
    <w:rsid w:val="00F441D3"/>
    <w:rsid w:val="00F44FAA"/>
    <w:rsid w:val="00F4599F"/>
    <w:rsid w:val="00F5042D"/>
    <w:rsid w:val="00F50CDF"/>
    <w:rsid w:val="00F52F56"/>
    <w:rsid w:val="00F539BD"/>
    <w:rsid w:val="00F54CAC"/>
    <w:rsid w:val="00F60692"/>
    <w:rsid w:val="00F667B0"/>
    <w:rsid w:val="00F70353"/>
    <w:rsid w:val="00F70D5C"/>
    <w:rsid w:val="00F736B8"/>
    <w:rsid w:val="00F745F9"/>
    <w:rsid w:val="00F7585F"/>
    <w:rsid w:val="00F75CD6"/>
    <w:rsid w:val="00F77BDE"/>
    <w:rsid w:val="00F80125"/>
    <w:rsid w:val="00F81C86"/>
    <w:rsid w:val="00F8261E"/>
    <w:rsid w:val="00F83B7C"/>
    <w:rsid w:val="00F84F11"/>
    <w:rsid w:val="00F862DD"/>
    <w:rsid w:val="00F86E5B"/>
    <w:rsid w:val="00F934CE"/>
    <w:rsid w:val="00FA092E"/>
    <w:rsid w:val="00FA2D84"/>
    <w:rsid w:val="00FA618D"/>
    <w:rsid w:val="00FA75C9"/>
    <w:rsid w:val="00FB041C"/>
    <w:rsid w:val="00FB6738"/>
    <w:rsid w:val="00FC28D2"/>
    <w:rsid w:val="00FC36BE"/>
    <w:rsid w:val="00FC552E"/>
    <w:rsid w:val="00FC6A29"/>
    <w:rsid w:val="00FC75DA"/>
    <w:rsid w:val="00FD094C"/>
    <w:rsid w:val="00FD29FC"/>
    <w:rsid w:val="00FE0B47"/>
    <w:rsid w:val="00FE22C5"/>
    <w:rsid w:val="00FE31CE"/>
    <w:rsid w:val="00FE6133"/>
    <w:rsid w:val="00FE7C7A"/>
    <w:rsid w:val="00FF05E0"/>
    <w:rsid w:val="00FF43E5"/>
    <w:rsid w:val="784D9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F6F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6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6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4CE"/>
    <w:rPr>
      <w:rFonts w:eastAsiaTheme="majorEastAsia" w:cstheme="majorBidi"/>
      <w:color w:val="272727" w:themeColor="text1" w:themeTint="D8"/>
    </w:rPr>
  </w:style>
  <w:style w:type="paragraph" w:styleId="Title">
    <w:name w:val="Title"/>
    <w:basedOn w:val="Normal"/>
    <w:next w:val="Normal"/>
    <w:link w:val="TitleChar"/>
    <w:uiPriority w:val="10"/>
    <w:qFormat/>
    <w:rsid w:val="00016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4CE"/>
    <w:pPr>
      <w:spacing w:before="160"/>
      <w:jc w:val="center"/>
    </w:pPr>
    <w:rPr>
      <w:i/>
      <w:iCs/>
      <w:color w:val="404040" w:themeColor="text1" w:themeTint="BF"/>
    </w:rPr>
  </w:style>
  <w:style w:type="character" w:customStyle="1" w:styleId="QuoteChar">
    <w:name w:val="Quote Char"/>
    <w:basedOn w:val="DefaultParagraphFont"/>
    <w:link w:val="Quote"/>
    <w:uiPriority w:val="29"/>
    <w:rsid w:val="000164CE"/>
    <w:rPr>
      <w:i/>
      <w:iCs/>
      <w:color w:val="404040" w:themeColor="text1" w:themeTint="BF"/>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rsid w:val="000164CE"/>
    <w:pPr>
      <w:ind w:left="720"/>
      <w:contextualSpacing/>
    </w:pPr>
  </w:style>
  <w:style w:type="character" w:styleId="IntenseEmphasis">
    <w:name w:val="Intense Emphasis"/>
    <w:basedOn w:val="DefaultParagraphFont"/>
    <w:uiPriority w:val="21"/>
    <w:qFormat/>
    <w:rsid w:val="000164CE"/>
    <w:rPr>
      <w:i/>
      <w:iCs/>
      <w:color w:val="0F4761" w:themeColor="accent1" w:themeShade="BF"/>
    </w:rPr>
  </w:style>
  <w:style w:type="paragraph" w:styleId="IntenseQuote">
    <w:name w:val="Intense Quote"/>
    <w:basedOn w:val="Normal"/>
    <w:next w:val="Normal"/>
    <w:link w:val="IntenseQuoteChar"/>
    <w:uiPriority w:val="30"/>
    <w:qFormat/>
    <w:rsid w:val="00016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4CE"/>
    <w:rPr>
      <w:i/>
      <w:iCs/>
      <w:color w:val="0F4761" w:themeColor="accent1" w:themeShade="BF"/>
    </w:rPr>
  </w:style>
  <w:style w:type="character" w:styleId="IntenseReference">
    <w:name w:val="Intense Reference"/>
    <w:basedOn w:val="DefaultParagraphFont"/>
    <w:uiPriority w:val="32"/>
    <w:qFormat/>
    <w:rsid w:val="000164CE"/>
    <w:rPr>
      <w:b/>
      <w:bCs/>
      <w:smallCaps/>
      <w:color w:val="0F4761" w:themeColor="accent1" w:themeShade="BF"/>
      <w:spacing w:val="5"/>
    </w:rPr>
  </w:style>
  <w:style w:type="numbering" w:customStyle="1" w:styleId="NoList1">
    <w:name w:val="No List1"/>
    <w:next w:val="NoList"/>
    <w:uiPriority w:val="99"/>
    <w:semiHidden/>
    <w:unhideWhenUsed/>
    <w:rsid w:val="000164CE"/>
  </w:style>
  <w:style w:type="character" w:customStyle="1" w:styleId="Hyperlink1">
    <w:name w:val="Hyperlink1"/>
    <w:basedOn w:val="DefaultParagraphFont"/>
    <w:uiPriority w:val="99"/>
    <w:unhideWhenUsed/>
    <w:rsid w:val="000164CE"/>
    <w:rPr>
      <w:color w:val="0000FF"/>
      <w:u w:val="single"/>
    </w:rPr>
  </w:style>
  <w:style w:type="character" w:customStyle="1" w:styleId="UnresolvedMention1">
    <w:name w:val="Unresolved Mention1"/>
    <w:basedOn w:val="DefaultParagraphFont"/>
    <w:uiPriority w:val="99"/>
    <w:semiHidden/>
    <w:unhideWhenUsed/>
    <w:rsid w:val="000164CE"/>
    <w:rPr>
      <w:color w:val="605E5C"/>
      <w:shd w:val="clear" w:color="auto" w:fill="E1DFDD"/>
    </w:rPr>
  </w:style>
  <w:style w:type="character" w:styleId="CommentReference">
    <w:name w:val="annotation reference"/>
    <w:basedOn w:val="DefaultParagraphFont"/>
    <w:uiPriority w:val="99"/>
    <w:semiHidden/>
    <w:unhideWhenUsed/>
    <w:rsid w:val="000164CE"/>
    <w:rPr>
      <w:sz w:val="16"/>
      <w:szCs w:val="16"/>
    </w:rPr>
  </w:style>
  <w:style w:type="paragraph" w:customStyle="1" w:styleId="CommentText1">
    <w:name w:val="Comment Text1"/>
    <w:basedOn w:val="Normal"/>
    <w:next w:val="CommentText"/>
    <w:link w:val="CommentTextChar"/>
    <w:uiPriority w:val="99"/>
    <w:unhideWhenUsed/>
    <w:rsid w:val="000164CE"/>
    <w:pPr>
      <w:spacing w:after="200" w:line="240" w:lineRule="auto"/>
    </w:pPr>
    <w:rPr>
      <w:sz w:val="20"/>
      <w:szCs w:val="20"/>
    </w:rPr>
  </w:style>
  <w:style w:type="character" w:customStyle="1" w:styleId="CommentTextChar">
    <w:name w:val="Comment Text Char"/>
    <w:basedOn w:val="DefaultParagraphFont"/>
    <w:link w:val="CommentText1"/>
    <w:uiPriority w:val="99"/>
    <w:rsid w:val="000164CE"/>
    <w:rPr>
      <w:sz w:val="20"/>
      <w:szCs w:val="20"/>
    </w:rPr>
  </w:style>
  <w:style w:type="paragraph" w:customStyle="1" w:styleId="CommentSubject1">
    <w:name w:val="Comment Subject1"/>
    <w:basedOn w:val="CommentText"/>
    <w:next w:val="CommentText"/>
    <w:uiPriority w:val="99"/>
    <w:semiHidden/>
    <w:unhideWhenUsed/>
    <w:rsid w:val="000164CE"/>
    <w:pPr>
      <w:spacing w:after="200"/>
    </w:pPr>
    <w:rPr>
      <w:b/>
      <w:bCs/>
      <w:kern w:val="2"/>
      <w14:ligatures w14:val="standardContextual"/>
    </w:rPr>
  </w:style>
  <w:style w:type="character" w:customStyle="1" w:styleId="CommentSubjectChar">
    <w:name w:val="Comment Subject Char"/>
    <w:basedOn w:val="CommentTextChar"/>
    <w:link w:val="CommentSubject"/>
    <w:uiPriority w:val="99"/>
    <w:semiHidden/>
    <w:rsid w:val="000164CE"/>
    <w:rPr>
      <w:b/>
      <w:bCs/>
      <w:sz w:val="20"/>
      <w:szCs w:val="20"/>
    </w:rPr>
  </w:style>
  <w:style w:type="paragraph" w:customStyle="1" w:styleId="Revision1">
    <w:name w:val="Revision1"/>
    <w:next w:val="Revision"/>
    <w:hidden/>
    <w:uiPriority w:val="99"/>
    <w:semiHidden/>
    <w:rsid w:val="000164CE"/>
    <w:pPr>
      <w:spacing w:after="0" w:line="240" w:lineRule="auto"/>
    </w:pPr>
    <w:rPr>
      <w:kern w:val="2"/>
      <w14:ligatures w14:val="standardContextual"/>
    </w:rPr>
  </w:style>
  <w:style w:type="paragraph" w:customStyle="1" w:styleId="NormalWeb1">
    <w:name w:val="Normal (Web)1"/>
    <w:basedOn w:val="Normal"/>
    <w:next w:val="NormalWeb"/>
    <w:uiPriority w:val="99"/>
    <w:semiHidden/>
    <w:unhideWhenUsed/>
    <w:rsid w:val="000164CE"/>
    <w:pPr>
      <w:spacing w:after="200" w:line="276" w:lineRule="auto"/>
    </w:pPr>
    <w:rPr>
      <w:rFonts w:ascii="Times New Roman" w:hAnsi="Times New Roman" w:cs="Times New Roman"/>
      <w:kern w:val="2"/>
      <w:sz w:val="24"/>
      <w:szCs w:val="24"/>
      <w14:ligatures w14:val="standardContextual"/>
    </w:rPr>
  </w:style>
  <w:style w:type="character" w:customStyle="1" w:styleId="Marker">
    <w:name w:val="Marker"/>
    <w:basedOn w:val="DefaultParagraphFont"/>
    <w:rsid w:val="000164CE"/>
    <w:rPr>
      <w:color w:val="0000FF"/>
      <w:shd w:val="clear" w:color="auto" w:fill="auto"/>
    </w:rPr>
  </w:style>
  <w:style w:type="paragraph" w:customStyle="1" w:styleId="Header1">
    <w:name w:val="Header1"/>
    <w:basedOn w:val="Normal"/>
    <w:next w:val="Header"/>
    <w:link w:val="HeaderChar"/>
    <w:uiPriority w:val="99"/>
    <w:unhideWhenUsed/>
    <w:rsid w:val="000164CE"/>
    <w:pPr>
      <w:tabs>
        <w:tab w:val="center" w:pos="4513"/>
        <w:tab w:val="right" w:pos="9026"/>
      </w:tabs>
      <w:spacing w:after="0" w:line="240" w:lineRule="auto"/>
    </w:pPr>
  </w:style>
  <w:style w:type="character" w:customStyle="1" w:styleId="HeaderChar">
    <w:name w:val="Header Char"/>
    <w:basedOn w:val="DefaultParagraphFont"/>
    <w:link w:val="Header1"/>
    <w:uiPriority w:val="99"/>
    <w:rsid w:val="000164CE"/>
  </w:style>
  <w:style w:type="paragraph" w:customStyle="1" w:styleId="Footer1">
    <w:name w:val="Footer1"/>
    <w:basedOn w:val="Normal"/>
    <w:next w:val="Footer"/>
    <w:link w:val="FooterChar"/>
    <w:uiPriority w:val="99"/>
    <w:unhideWhenUsed/>
    <w:rsid w:val="000164CE"/>
    <w:pPr>
      <w:tabs>
        <w:tab w:val="center" w:pos="4513"/>
        <w:tab w:val="right" w:pos="9026"/>
      </w:tabs>
      <w:spacing w:after="0" w:line="240" w:lineRule="auto"/>
    </w:pPr>
  </w:style>
  <w:style w:type="character" w:customStyle="1" w:styleId="FooterChar">
    <w:name w:val="Footer Char"/>
    <w:basedOn w:val="DefaultParagraphFont"/>
    <w:link w:val="Footer1"/>
    <w:uiPriority w:val="99"/>
    <w:rsid w:val="000164CE"/>
  </w:style>
  <w:style w:type="paragraph" w:customStyle="1" w:styleId="Pagedecouverture">
    <w:name w:val="Page de couverture"/>
    <w:basedOn w:val="Normal"/>
    <w:next w:val="Normal"/>
    <w:rsid w:val="000164C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164C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164CE"/>
    <w:rPr>
      <w:rFonts w:ascii="Times New Roman" w:hAnsi="Times New Roman" w:cs="Times New Roman"/>
      <w:sz w:val="24"/>
    </w:rPr>
  </w:style>
  <w:style w:type="paragraph" w:customStyle="1" w:styleId="FooterSensitivity">
    <w:name w:val="Footer Sensitivity"/>
    <w:basedOn w:val="Normal"/>
    <w:link w:val="FooterSensitivityChar"/>
    <w:rsid w:val="000164C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164CE"/>
    <w:rPr>
      <w:rFonts w:ascii="Times New Roman" w:hAnsi="Times New Roman" w:cs="Times New Roman"/>
      <w:b/>
      <w:sz w:val="32"/>
    </w:rPr>
  </w:style>
  <w:style w:type="paragraph" w:customStyle="1" w:styleId="HeaderCoverPage">
    <w:name w:val="Header Cover Page"/>
    <w:basedOn w:val="Normal"/>
    <w:link w:val="HeaderCoverPageChar"/>
    <w:rsid w:val="000164C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164CE"/>
    <w:rPr>
      <w:rFonts w:ascii="Times New Roman" w:hAnsi="Times New Roman" w:cs="Times New Roman"/>
      <w:sz w:val="24"/>
    </w:rPr>
  </w:style>
  <w:style w:type="paragraph" w:customStyle="1" w:styleId="HeaderSensitivity">
    <w:name w:val="Header Sensitivity"/>
    <w:basedOn w:val="Normal"/>
    <w:link w:val="HeaderSensitivityChar"/>
    <w:rsid w:val="000164C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164CE"/>
    <w:rPr>
      <w:rFonts w:ascii="Times New Roman" w:hAnsi="Times New Roman" w:cs="Times New Roman"/>
      <w:b/>
      <w:sz w:val="32"/>
    </w:rPr>
  </w:style>
  <w:style w:type="paragraph" w:customStyle="1" w:styleId="HeaderSensitivityRight">
    <w:name w:val="Header Sensitivity Right"/>
    <w:basedOn w:val="Normal"/>
    <w:link w:val="HeaderSensitivityRightChar"/>
    <w:rsid w:val="00A8772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164CE"/>
    <w:rPr>
      <w:rFonts w:ascii="Times New Roman" w:hAnsi="Times New Roman" w:cs="Times New Roman"/>
      <w:sz w:val="28"/>
    </w:rPr>
  </w:style>
  <w:style w:type="paragraph" w:customStyle="1" w:styleId="FootnoteText1">
    <w:name w:val="Footnote Text1"/>
    <w:basedOn w:val="Normal"/>
    <w:next w:val="FootnoteText"/>
    <w:link w:val="FootnoteTextChar"/>
    <w:uiPriority w:val="99"/>
    <w:unhideWhenUsed/>
    <w:rsid w:val="000164CE"/>
    <w:pPr>
      <w:spacing w:after="0" w:line="240" w:lineRule="auto"/>
    </w:pPr>
    <w:rPr>
      <w:rFonts w:eastAsia="MS Mincho"/>
      <w:sz w:val="20"/>
      <w:szCs w:val="20"/>
    </w:rPr>
  </w:style>
  <w:style w:type="character" w:customStyle="1" w:styleId="FootnoteTextChar">
    <w:name w:val="Footnote Text Char"/>
    <w:basedOn w:val="DefaultParagraphFont"/>
    <w:link w:val="FootnoteText1"/>
    <w:uiPriority w:val="99"/>
    <w:rsid w:val="000164CE"/>
    <w:rPr>
      <w:rFonts w:eastAsia="MS Mincho"/>
      <w:kern w:val="0"/>
      <w:sz w:val="20"/>
      <w:szCs w:val="20"/>
      <w:lang w:val="lv-LV"/>
      <w14:ligatures w14:val="none"/>
    </w:rPr>
  </w:style>
  <w:style w:type="character" w:styleId="FootnoteReference">
    <w:name w:val="footnote reference"/>
    <w:basedOn w:val="DefaultParagraphFont"/>
    <w:uiPriority w:val="99"/>
    <w:semiHidden/>
    <w:unhideWhenUsed/>
    <w:rsid w:val="000164CE"/>
    <w:rPr>
      <w:vertAlign w:val="superscript"/>
    </w:rPr>
  </w:style>
  <w:style w:type="table" w:styleId="TableGrid">
    <w:name w:val="Table Grid"/>
    <w:uiPriority w:val="39"/>
    <w:rsid w:val="000164CE"/>
    <w:pPr>
      <w:spacing w:after="0" w:line="240" w:lineRule="auto"/>
    </w:pPr>
    <w:rPr>
      <w:rFonts w:ascii="Times New Roman" w:eastAsia="Times New Roman" w:hAnsi="Times New Roman" w:cs="Times New Roman"/>
      <w:sz w:val="24"/>
      <w:szCs w:val="20"/>
      <w:lang w:eastAsia="en-I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0164CE"/>
    <w:rPr>
      <w:color w:val="2B579A"/>
      <w:shd w:val="clear" w:color="auto" w:fill="E1DFDD"/>
    </w:rPr>
  </w:style>
  <w:style w:type="paragraph" w:customStyle="1" w:styleId="NoSpacing2">
    <w:name w:val="No Spacing2"/>
    <w:next w:val="NoSpacing"/>
    <w:uiPriority w:val="1"/>
    <w:qFormat/>
    <w:rsid w:val="000164CE"/>
    <w:pPr>
      <w:spacing w:after="0" w:line="240" w:lineRule="auto"/>
    </w:pPr>
    <w:rPr>
      <w:rFonts w:eastAsia="MS Mincho"/>
    </w:rPr>
  </w:style>
  <w:style w:type="paragraph" w:customStyle="1" w:styleId="TOCHeading1">
    <w:name w:val="TOC Heading1"/>
    <w:basedOn w:val="Heading1"/>
    <w:next w:val="Normal"/>
    <w:uiPriority w:val="39"/>
    <w:unhideWhenUsed/>
    <w:qFormat/>
    <w:rsid w:val="000164CE"/>
    <w:pPr>
      <w:spacing w:before="240" w:after="0"/>
      <w:outlineLvl w:val="9"/>
    </w:pPr>
    <w:rPr>
      <w:sz w:val="32"/>
      <w:szCs w:val="32"/>
    </w:rPr>
  </w:style>
  <w:style w:type="paragraph" w:customStyle="1" w:styleId="TOC11">
    <w:name w:val="TOC 11"/>
    <w:basedOn w:val="Normal"/>
    <w:next w:val="Normal"/>
    <w:autoRedefine/>
    <w:uiPriority w:val="39"/>
    <w:unhideWhenUsed/>
    <w:rsid w:val="000164CE"/>
    <w:pPr>
      <w:spacing w:after="100" w:line="276" w:lineRule="auto"/>
    </w:pPr>
    <w:rPr>
      <w:kern w:val="2"/>
      <w14:ligatures w14:val="standardContextual"/>
    </w:rPr>
  </w:style>
  <w:style w:type="paragraph" w:customStyle="1" w:styleId="TOC21">
    <w:name w:val="TOC 21"/>
    <w:basedOn w:val="Normal"/>
    <w:next w:val="Normal"/>
    <w:autoRedefine/>
    <w:uiPriority w:val="39"/>
    <w:unhideWhenUsed/>
    <w:rsid w:val="000164CE"/>
    <w:pPr>
      <w:spacing w:after="100" w:line="276" w:lineRule="auto"/>
      <w:ind w:left="220"/>
    </w:pPr>
    <w:rPr>
      <w:kern w:val="2"/>
      <w14:ligatures w14:val="standardContextual"/>
    </w:rPr>
  </w:style>
  <w:style w:type="character" w:customStyle="1" w:styleId="FollowedHyperlink1">
    <w:name w:val="FollowedHyperlink1"/>
    <w:basedOn w:val="DefaultParagraphFont"/>
    <w:uiPriority w:val="99"/>
    <w:semiHidden/>
    <w:unhideWhenUsed/>
    <w:rsid w:val="000164CE"/>
    <w:rPr>
      <w:color w:val="800080"/>
      <w:u w:val="single"/>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rsid w:val="000164CE"/>
  </w:style>
  <w:style w:type="character" w:styleId="Hyperlink">
    <w:name w:val="Hyperlink"/>
    <w:basedOn w:val="DefaultParagraphFont"/>
    <w:uiPriority w:val="99"/>
    <w:unhideWhenUsed/>
    <w:rsid w:val="000164CE"/>
    <w:rPr>
      <w:color w:val="467886" w:themeColor="hyperlink"/>
      <w:u w:val="single"/>
    </w:rPr>
  </w:style>
  <w:style w:type="paragraph" w:styleId="CommentText">
    <w:name w:val="annotation text"/>
    <w:basedOn w:val="Normal"/>
    <w:link w:val="CommentTextChar1"/>
    <w:uiPriority w:val="99"/>
    <w:unhideWhenUsed/>
    <w:rsid w:val="000164CE"/>
    <w:pPr>
      <w:spacing w:line="240" w:lineRule="auto"/>
    </w:pPr>
    <w:rPr>
      <w:sz w:val="20"/>
      <w:szCs w:val="20"/>
    </w:rPr>
  </w:style>
  <w:style w:type="character" w:customStyle="1" w:styleId="CommentTextChar1">
    <w:name w:val="Comment Text Char1"/>
    <w:basedOn w:val="DefaultParagraphFont"/>
    <w:link w:val="CommentText"/>
    <w:uiPriority w:val="99"/>
    <w:rsid w:val="000164CE"/>
    <w:rPr>
      <w:sz w:val="20"/>
      <w:szCs w:val="20"/>
    </w:rPr>
  </w:style>
  <w:style w:type="paragraph" w:styleId="CommentSubject">
    <w:name w:val="annotation subject"/>
    <w:basedOn w:val="CommentText"/>
    <w:next w:val="CommentText"/>
    <w:link w:val="CommentSubjectChar"/>
    <w:uiPriority w:val="99"/>
    <w:semiHidden/>
    <w:unhideWhenUsed/>
    <w:rsid w:val="000164CE"/>
    <w:rPr>
      <w:b/>
      <w:bCs/>
    </w:rPr>
  </w:style>
  <w:style w:type="character" w:customStyle="1" w:styleId="CommentSubjectChar1">
    <w:name w:val="Comment Subject Char1"/>
    <w:basedOn w:val="CommentTextChar1"/>
    <w:uiPriority w:val="99"/>
    <w:semiHidden/>
    <w:rsid w:val="000164CE"/>
    <w:rPr>
      <w:b/>
      <w:bCs/>
      <w:sz w:val="20"/>
      <w:szCs w:val="20"/>
    </w:rPr>
  </w:style>
  <w:style w:type="paragraph" w:styleId="Revision">
    <w:name w:val="Revision"/>
    <w:hidden/>
    <w:uiPriority w:val="99"/>
    <w:semiHidden/>
    <w:rsid w:val="000164CE"/>
    <w:pPr>
      <w:spacing w:after="0" w:line="240" w:lineRule="auto"/>
    </w:pPr>
  </w:style>
  <w:style w:type="paragraph" w:styleId="NormalWeb">
    <w:name w:val="Normal (Web)"/>
    <w:basedOn w:val="Normal"/>
    <w:uiPriority w:val="99"/>
    <w:semiHidden/>
    <w:unhideWhenUsed/>
    <w:rsid w:val="000164CE"/>
    <w:rPr>
      <w:rFonts w:ascii="Times New Roman" w:hAnsi="Times New Roman" w:cs="Times New Roman"/>
      <w:sz w:val="24"/>
      <w:szCs w:val="24"/>
    </w:rPr>
  </w:style>
  <w:style w:type="paragraph" w:styleId="Header">
    <w:name w:val="header"/>
    <w:basedOn w:val="Normal"/>
    <w:link w:val="HeaderChar1"/>
    <w:uiPriority w:val="99"/>
    <w:unhideWhenUsed/>
    <w:rsid w:val="000164CE"/>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0164CE"/>
  </w:style>
  <w:style w:type="paragraph" w:styleId="Footer">
    <w:name w:val="footer"/>
    <w:basedOn w:val="Normal"/>
    <w:link w:val="FooterChar1"/>
    <w:uiPriority w:val="99"/>
    <w:unhideWhenUsed/>
    <w:rsid w:val="000164CE"/>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0164CE"/>
  </w:style>
  <w:style w:type="paragraph" w:styleId="FootnoteText">
    <w:name w:val="footnote text"/>
    <w:basedOn w:val="Normal"/>
    <w:link w:val="FootnoteTextChar1"/>
    <w:uiPriority w:val="99"/>
    <w:unhideWhenUsed/>
    <w:rsid w:val="000164CE"/>
    <w:pPr>
      <w:spacing w:after="0" w:line="240" w:lineRule="auto"/>
    </w:pPr>
    <w:rPr>
      <w:sz w:val="20"/>
      <w:szCs w:val="20"/>
    </w:rPr>
  </w:style>
  <w:style w:type="character" w:customStyle="1" w:styleId="FootnoteTextChar1">
    <w:name w:val="Footnote Text Char1"/>
    <w:basedOn w:val="DefaultParagraphFont"/>
    <w:link w:val="FootnoteText"/>
    <w:uiPriority w:val="99"/>
    <w:rsid w:val="000164CE"/>
    <w:rPr>
      <w:sz w:val="20"/>
      <w:szCs w:val="20"/>
    </w:rPr>
  </w:style>
  <w:style w:type="paragraph" w:styleId="NoSpacing">
    <w:name w:val="No Spacing"/>
    <w:uiPriority w:val="1"/>
    <w:qFormat/>
    <w:rsid w:val="000164CE"/>
    <w:pPr>
      <w:spacing w:after="0" w:line="240" w:lineRule="auto"/>
    </w:pPr>
  </w:style>
  <w:style w:type="character" w:styleId="FollowedHyperlink">
    <w:name w:val="FollowedHyperlink"/>
    <w:basedOn w:val="DefaultParagraphFont"/>
    <w:uiPriority w:val="99"/>
    <w:semiHidden/>
    <w:unhideWhenUsed/>
    <w:rsid w:val="000164CE"/>
    <w:rPr>
      <w:color w:val="96607D" w:themeColor="followedHyperlink"/>
      <w:u w:val="single"/>
    </w:rPr>
  </w:style>
  <w:style w:type="paragraph" w:customStyle="1" w:styleId="Timesnewroman">
    <w:name w:val="Times new roman"/>
    <w:basedOn w:val="FootnoteText1"/>
    <w:rsid w:val="000A1FF0"/>
    <w:pPr>
      <w:jc w:val="both"/>
    </w:pPr>
  </w:style>
  <w:style w:type="paragraph" w:customStyle="1" w:styleId="Disclaimer">
    <w:name w:val="Disclaimer"/>
    <w:basedOn w:val="Normal"/>
    <w:rsid w:val="00A8772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A87726"/>
    <w:pPr>
      <w:spacing w:after="0" w:line="276" w:lineRule="auto"/>
      <w:ind w:left="5103"/>
    </w:pPr>
    <w:rPr>
      <w:rFonts w:ascii="Times New Roman" w:hAnsi="Times New Roman" w:cs="Times New Roman"/>
      <w:sz w:val="28"/>
    </w:rPr>
  </w:style>
  <w:style w:type="paragraph" w:customStyle="1" w:styleId="DateMarking">
    <w:name w:val="DateMarking"/>
    <w:basedOn w:val="Normal"/>
    <w:rsid w:val="00A87726"/>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A87726"/>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698">
      <w:bodyDiv w:val="1"/>
      <w:marLeft w:val="0"/>
      <w:marRight w:val="0"/>
      <w:marTop w:val="0"/>
      <w:marBottom w:val="0"/>
      <w:divBdr>
        <w:top w:val="none" w:sz="0" w:space="0" w:color="auto"/>
        <w:left w:val="none" w:sz="0" w:space="0" w:color="auto"/>
        <w:bottom w:val="none" w:sz="0" w:space="0" w:color="auto"/>
        <w:right w:val="none" w:sz="0" w:space="0" w:color="auto"/>
      </w:divBdr>
    </w:div>
    <w:div w:id="868104969">
      <w:bodyDiv w:val="1"/>
      <w:marLeft w:val="0"/>
      <w:marRight w:val="0"/>
      <w:marTop w:val="0"/>
      <w:marBottom w:val="0"/>
      <w:divBdr>
        <w:top w:val="none" w:sz="0" w:space="0" w:color="auto"/>
        <w:left w:val="none" w:sz="0" w:space="0" w:color="auto"/>
        <w:bottom w:val="none" w:sz="0" w:space="0" w:color="auto"/>
        <w:right w:val="none" w:sz="0" w:space="0" w:color="auto"/>
      </w:divBdr>
    </w:div>
    <w:div w:id="974409698">
      <w:bodyDiv w:val="1"/>
      <w:marLeft w:val="0"/>
      <w:marRight w:val="0"/>
      <w:marTop w:val="0"/>
      <w:marBottom w:val="0"/>
      <w:divBdr>
        <w:top w:val="none" w:sz="0" w:space="0" w:color="auto"/>
        <w:left w:val="none" w:sz="0" w:space="0" w:color="auto"/>
        <w:bottom w:val="none" w:sz="0" w:space="0" w:color="auto"/>
        <w:right w:val="none" w:sz="0" w:space="0" w:color="auto"/>
      </w:divBdr>
    </w:div>
    <w:div w:id="13301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fence-industry-space.ec.europa.eu/eu-space-policy/eu-space-programme/iriss_e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commission/presscorner/detail/en/ip_24_5047" TargetMode="External"/><Relationship Id="rId18" Type="http://schemas.openxmlformats.org/officeDocument/2006/relationships/hyperlink" Target="https://eur-lex.europa.eu/legal-content/EN/TXT/PDF/?uri=OJ:C_202403510" TargetMode="External"/><Relationship Id="rId26" Type="http://schemas.openxmlformats.org/officeDocument/2006/relationships/hyperlink" Target="https://counter-ransomware.org/" TargetMode="External"/><Relationship Id="rId39" Type="http://schemas.openxmlformats.org/officeDocument/2006/relationships/hyperlink" Target="https://commission.europa.eu/document/download/9db1c5c8-9e82-467b-ab6a-905feeb4b6b0_en?filename=Communication%20-%20Clean%20Industrial%20Deal_en.pdf" TargetMode="External"/><Relationship Id="rId21" Type="http://schemas.openxmlformats.org/officeDocument/2006/relationships/hyperlink" Target="https://www.consilium.europa.eu/en/press/press-releases/2022/03/21/a-strategic-compass-for-a-stronger-eu-security-and-defence-in-the-next-decade/" TargetMode="External"/><Relationship Id="rId34" Type="http://schemas.openxmlformats.org/officeDocument/2006/relationships/hyperlink" Target="https://digital-strategy.ec.europa.eu/en/policies/european-quantum-communication-infrastructure-euroqci" TargetMode="External"/><Relationship Id="rId42" Type="http://schemas.openxmlformats.org/officeDocument/2006/relationships/hyperlink" Target="https://administrativeapproach.eu/sites/default/files/page/files/eu-jha-council-9-10-june-conclusions-administrative-approach-org-crime.pdf" TargetMode="External"/><Relationship Id="rId47" Type="http://schemas.openxmlformats.org/officeDocument/2006/relationships/hyperlink" Target="https://eur-lex.europa.eu/legal-content/EN/TXT/?uri=CELEX:52020DC0607" TargetMode="External"/><Relationship Id="rId50" Type="http://schemas.openxmlformats.org/officeDocument/2006/relationships/hyperlink" Target="https://eur-lex.europa.eu/legal-content/EN/TXT/?uri=CELEX%3A52023DC0641" TargetMode="External"/><Relationship Id="rId55" Type="http://schemas.openxmlformats.org/officeDocument/2006/relationships/hyperlink" Target="https://eur-lex.europa.eu/legal-content/EN/TXT/?uri=CELEX:52021PC0753" TargetMode="External"/><Relationship Id="rId7" Type="http://schemas.openxmlformats.org/officeDocument/2006/relationships/hyperlink" Target="https://commission.europa.eu/document/5bb2881f-9e29-42f2-8b77-8739b19d047c_en" TargetMode="External"/><Relationship Id="rId2" Type="http://schemas.openxmlformats.org/officeDocument/2006/relationships/hyperlink" Target="https://data.europa.eu/data/datasets/s3232_fl550_eng?locale=en" TargetMode="External"/><Relationship Id="rId16" Type="http://schemas.openxmlformats.org/officeDocument/2006/relationships/hyperlink" Target="https://www.europol.europa.eu/operations-services-innovation/innovation-lab/eu-innovation-hub-for-internal-security" TargetMode="External"/><Relationship Id="rId20" Type="http://schemas.openxmlformats.org/officeDocument/2006/relationships/hyperlink" Target="https://eur-lex.europa.eu/eli/dir/2022/2555/oj/eng" TargetMode="External"/><Relationship Id="rId29" Type="http://schemas.openxmlformats.org/officeDocument/2006/relationships/hyperlink" Target="https://eurohpc-ju.europa.eu/index_en" TargetMode="External"/><Relationship Id="rId41" Type="http://schemas.openxmlformats.org/officeDocument/2006/relationships/hyperlink" Target="https://www.eucpn.org/" TargetMode="External"/><Relationship Id="rId54" Type="http://schemas.openxmlformats.org/officeDocument/2006/relationships/hyperlink" Target="https://home-affairs.ec.europa.eu/system/files/2023-06/Toolbox%20addressing%20the%20use%20of%20commercial%20means%20of%20transport%20to%20facilitate%20irregular%20migration%20to%20the%20EU.pdf" TargetMode="External"/><Relationship Id="rId1" Type="http://schemas.openxmlformats.org/officeDocument/2006/relationships/hyperlink" Target="https://www.europol.europa.eu/cms/sites/default/files/documents/EU-SOCTA-2025.pdf" TargetMode="External"/><Relationship Id="rId6" Type="http://schemas.openxmlformats.org/officeDocument/2006/relationships/hyperlink" Target="https://defence-industry-space.ec.europa.eu/document/download/30b50d2c-49aa-4250-9ca6-27a0347cf009_en?filename=White%20Paper.pdf" TargetMode="External"/><Relationship Id="rId11" Type="http://schemas.openxmlformats.org/officeDocument/2006/relationships/hyperlink" Target="https://home-affairs.ec.europa.eu/document/download/4802e306-c364-4154-835b-e986a9a49281_en?filename=Concluding%20Report%20of%20the%20HLG%20on%20access%20to%20data%20for%20effective%20law%20enforcement_en.pdf" TargetMode="External"/><Relationship Id="rId24" Type="http://schemas.openxmlformats.org/officeDocument/2006/relationships/hyperlink" Target="https://employment-social-affairs.ec.europa.eu/document/download/915b147d-c5af-44bb-9820-c252d872fd31_en?filename=Communication%20-%20Union%20of%20Skills.pdf" TargetMode="External"/><Relationship Id="rId32" Type="http://schemas.openxmlformats.org/officeDocument/2006/relationships/hyperlink" Target="https://digital-strategy.ec.europa.eu/en/library/recommendation-coordinated-implementation-roadmap-transition-post-quantum-cryptography" TargetMode="External"/><Relationship Id="rId37" Type="http://schemas.openxmlformats.org/officeDocument/2006/relationships/hyperlink" Target="https://eur-lex.europa.eu/legal-content/EN/TXT/?uri=CELEX:52023JC0008" TargetMode="External"/><Relationship Id="rId40" Type="http://schemas.openxmlformats.org/officeDocument/2006/relationships/hyperlink" Target="https://eur-lex.europa.eu/eli/reg/2022/2371/oj/eng" TargetMode="External"/><Relationship Id="rId45" Type="http://schemas.openxmlformats.org/officeDocument/2006/relationships/hyperlink" Target="https://eur-lex.europa.eu/legal-content/EN/LSU/?uri=oj:L_202401260" TargetMode="External"/><Relationship Id="rId53" Type="http://schemas.openxmlformats.org/officeDocument/2006/relationships/hyperlink" Target="https://eur-lex.europa.eu/legal-content/EN/HIS/?uri=CELEX:52023PC0754" TargetMode="External"/><Relationship Id="rId58" Type="http://schemas.openxmlformats.org/officeDocument/2006/relationships/hyperlink" Target="https://counterterrorism.ec.europa.eu/khub/" TargetMode="External"/><Relationship Id="rId5" Type="http://schemas.openxmlformats.org/officeDocument/2006/relationships/hyperlink" Target="https://webgate.ec.europa.eu/circabc-ewpp/d/d/workspace/SpacesStore/b81316ab-a513-49a1-b520-b6a6e0de6986/file.bin" TargetMode="External"/><Relationship Id="rId15" Type="http://schemas.openxmlformats.org/officeDocument/2006/relationships/hyperlink" Target="https://data.europa.eu/doi/10.2837/0004501" TargetMode="External"/><Relationship Id="rId23" Type="http://schemas.openxmlformats.org/officeDocument/2006/relationships/hyperlink" Target="https://digital-strategy.ec.europa.eu/en/library/european-action-plan-cybersecurity-hospitals-and-healthcare-providers" TargetMode="External"/><Relationship Id="rId28" Type="http://schemas.openxmlformats.org/officeDocument/2006/relationships/hyperlink" Target="https://strategic-technologies.europa.eu/about_en" TargetMode="External"/><Relationship Id="rId36" Type="http://schemas.openxmlformats.org/officeDocument/2006/relationships/hyperlink" Target="https://education.ec.europa.eu/focus-topics/digital-education/action-plan" TargetMode="External"/><Relationship Id="rId49" Type="http://schemas.openxmlformats.org/officeDocument/2006/relationships/hyperlink" Target="https://eur-lex.europa.eu/legal-content/EN/TXT/?uri=CELEX:52024PC0060" TargetMode="External"/><Relationship Id="rId57" Type="http://schemas.openxmlformats.org/officeDocument/2006/relationships/hyperlink" Target="https://www.coe.int/en/web/cdpc/pc-env" TargetMode="External"/><Relationship Id="rId61" Type="http://schemas.openxmlformats.org/officeDocument/2006/relationships/hyperlink" Target="https://eur-lex.europa.eu/legal-content/EN/TXT/?uri=CELEX:52023PC0642" TargetMode="External"/><Relationship Id="rId10" Type="http://schemas.openxmlformats.org/officeDocument/2006/relationships/hyperlink" Target="https://eur-lex.europa.eu/legal-content/LV/TXT/?uri=CELEX:52019PC0070." TargetMode="External"/><Relationship Id="rId19" Type="http://schemas.openxmlformats.org/officeDocument/2006/relationships/hyperlink" Target="https://eur-lex.europa.eu/eli/dir/2022/2557/oj/eng" TargetMode="External"/><Relationship Id="rId31" Type="http://schemas.openxmlformats.org/officeDocument/2006/relationships/hyperlink" Target="https://qt.eu/" TargetMode="External"/><Relationship Id="rId44" Type="http://schemas.openxmlformats.org/officeDocument/2006/relationships/hyperlink" Target="https://www.amla.europa.eu/index_en" TargetMode="External"/><Relationship Id="rId52" Type="http://schemas.openxmlformats.org/officeDocument/2006/relationships/hyperlink" Target="https://eur-lex.europa.eu/legal-content/EN/TXT/?uri=CELEX%3A52023PC0755" TargetMode="External"/><Relationship Id="rId60" Type="http://schemas.openxmlformats.org/officeDocument/2006/relationships/hyperlink" Target="https://eur-lex.europa.eu/legal-content/EN/TXT/?uri=CELEX:52023JC0008" TargetMode="External"/><Relationship Id="rId4" Type="http://schemas.openxmlformats.org/officeDocument/2006/relationships/hyperlink" Target="https://eur-lex.europa.eu/legal-content/EN/TXT/?uri=celex:52025DC0046" TargetMode="External"/><Relationship Id="rId9" Type="http://schemas.openxmlformats.org/officeDocument/2006/relationships/hyperlink" Target="https://www.europol.europa.eu/cms/sites/default/files/documents/EU-SOCTA-2025.pdf" TargetMode="External"/><Relationship Id="rId14" Type="http://schemas.openxmlformats.org/officeDocument/2006/relationships/hyperlink" Target="https://publications.jrc.ec.europa.eu/repository/handle/JRC139674" TargetMode="External"/><Relationship Id="rId22" Type="http://schemas.openxmlformats.org/officeDocument/2006/relationships/hyperlink" Target="https://eur-lex.europa.eu/legal-content/EN/TXT/?uri=JOIN:2025:9:FIN" TargetMode="External"/><Relationship Id="rId27" Type="http://schemas.openxmlformats.org/officeDocument/2006/relationships/hyperlink" Target="https://www.nomoreransom.org/en/index.html" TargetMode="External"/><Relationship Id="rId30" Type="http://schemas.openxmlformats.org/officeDocument/2006/relationships/hyperlink" Target="https://qt.eu/" TargetMode="External"/><Relationship Id="rId35" Type="http://schemas.openxmlformats.org/officeDocument/2006/relationships/hyperlink" Target="https://digital-strategy.ec.europa.eu/en/library/dsa-elections-toolkit-digital-services-coordinators" TargetMode="External"/><Relationship Id="rId43" Type="http://schemas.openxmlformats.org/officeDocument/2006/relationships/hyperlink" Target="https://eur-lex.europa.eu/legal-content/EN/TXT/?uri=CELEX:52023PC0234" TargetMode="External"/><Relationship Id="rId48" Type="http://schemas.openxmlformats.org/officeDocument/2006/relationships/hyperlink" Target="https://eur-lex.europa.eu/legal-content/EN/TXT/?uri=CELEX%3A52022PC0209" TargetMode="External"/><Relationship Id="rId56" Type="http://schemas.openxmlformats.org/officeDocument/2006/relationships/hyperlink" Target="https://eur-lex.europa.eu/eli/dir/2024/1203/oj/eng" TargetMode="External"/><Relationship Id="rId8" Type="http://schemas.openxmlformats.org/officeDocument/2006/relationships/hyperlink" Target="https://www.europol.europa.eu/cms/sites/default/files/documents/europol-frontex_joint_statement_signed_31.1.2024.pdf" TargetMode="External"/><Relationship Id="rId51" Type="http://schemas.openxmlformats.org/officeDocument/2006/relationships/hyperlink" Target="https://eur-lex.europa.eu/eli/dir/2024/1712/oj/eng" TargetMode="External"/><Relationship Id="rId3" Type="http://schemas.openxmlformats.org/officeDocument/2006/relationships/hyperlink" Target="https://reports.weforum.org/docs/WEF_Global_Risks_Report_2025.pdf" TargetMode="External"/><Relationship Id="rId12" Type="http://schemas.openxmlformats.org/officeDocument/2006/relationships/hyperlink" Target="https://data.consilium.europa.eu/doc/document/ST-16448-2024-INIT/en/pdf" TargetMode="External"/><Relationship Id="rId17" Type="http://schemas.openxmlformats.org/officeDocument/2006/relationships/hyperlink" Target="https://www.europol.europa.eu/operations-services-innovation/innovation-lab/eu-innovation-hub-for-internal-security" TargetMode="External"/><Relationship Id="rId25" Type="http://schemas.openxmlformats.org/officeDocument/2006/relationships/hyperlink" Target="https://cybersecurityventures.com/global-ransomware-damage-costs-predicted-to-reach-250-billion-usd-by2031/" TargetMode="External"/><Relationship Id="rId33" Type="http://schemas.openxmlformats.org/officeDocument/2006/relationships/hyperlink" Target="https://digital-strategy.ec.europa.eu/en/library/recommendation-coordinated-implementation-roadmap-transition-post-quantum-cryptography" TargetMode="External"/><Relationship Id="rId38" Type="http://schemas.openxmlformats.org/officeDocument/2006/relationships/hyperlink" Target="https://commission.europa.eu/document/download/10017eb1-4722-4333-add2-e0ed18105a34_en" TargetMode="External"/><Relationship Id="rId46" Type="http://schemas.openxmlformats.org/officeDocument/2006/relationships/hyperlink" Target="https://www.gasa.org/post/global-state-of-scams-report-2024-1-trillion-stolen-in-12-months-gasa-feedzai" TargetMode="External"/><Relationship Id="rId59" Type="http://schemas.openxmlformats.org/officeDocument/2006/relationships/hyperlink" Target="https://eur-lex.europa.eu/legal-content/EN/ALL/?uri=COM:2023:659: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3186-0BDF-4054-A189-FB500C98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13478</Words>
  <Characters>76828</Characters>
  <Application>Microsoft Office Word</Application>
  <DocSecurity>0</DocSecurity>
  <Lines>640</Lines>
  <Paragraphs>180</Paragraphs>
  <ScaleCrop>false</ScaleCrop>
  <Manager/>
  <Company/>
  <LinksUpToDate>false</LinksUpToDate>
  <CharactersWithSpaces>90126</CharactersWithSpaces>
  <SharedDoc>false</SharedDoc>
  <HLinks>
    <vt:vector size="336" baseType="variant">
      <vt:variant>
        <vt:i4>6750237</vt:i4>
      </vt:variant>
      <vt:variant>
        <vt:i4>0</vt:i4>
      </vt:variant>
      <vt:variant>
        <vt:i4>0</vt:i4>
      </vt:variant>
      <vt:variant>
        <vt:i4>5</vt:i4>
      </vt:variant>
      <vt:variant>
        <vt:lpwstr>https://defence-industry-space.ec.europa.eu/eu-space-policy/eu-space-programme/iriss_en</vt:lpwstr>
      </vt:variant>
      <vt:variant>
        <vt:lpwstr/>
      </vt:variant>
      <vt:variant>
        <vt:i4>1048593</vt:i4>
      </vt:variant>
      <vt:variant>
        <vt:i4>177</vt:i4>
      </vt:variant>
      <vt:variant>
        <vt:i4>0</vt:i4>
      </vt:variant>
      <vt:variant>
        <vt:i4>5</vt:i4>
      </vt:variant>
      <vt:variant>
        <vt:lpwstr>https://eur-lex.europa.eu/legal-content/EN/TXT/?uri=CELEX:52023PC0642</vt:lpwstr>
      </vt:variant>
      <vt:variant>
        <vt:lpwstr/>
      </vt:variant>
      <vt:variant>
        <vt:i4>917527</vt:i4>
      </vt:variant>
      <vt:variant>
        <vt:i4>174</vt:i4>
      </vt:variant>
      <vt:variant>
        <vt:i4>0</vt:i4>
      </vt:variant>
      <vt:variant>
        <vt:i4>5</vt:i4>
      </vt:variant>
      <vt:variant>
        <vt:lpwstr>https://eur-lex.europa.eu/legal-content/EN/TXT/?uri=CELEX:52023JC0008</vt:lpwstr>
      </vt:variant>
      <vt:variant>
        <vt:lpwstr/>
      </vt:variant>
      <vt:variant>
        <vt:i4>131139</vt:i4>
      </vt:variant>
      <vt:variant>
        <vt:i4>171</vt:i4>
      </vt:variant>
      <vt:variant>
        <vt:i4>0</vt:i4>
      </vt:variant>
      <vt:variant>
        <vt:i4>5</vt:i4>
      </vt:variant>
      <vt:variant>
        <vt:lpwstr>https://eur-lex.europa.eu/legal-content/EN/ALL/?uri=COM:2023:659:FIN</vt:lpwstr>
      </vt:variant>
      <vt:variant>
        <vt:lpwstr/>
      </vt:variant>
      <vt:variant>
        <vt:i4>6815785</vt:i4>
      </vt:variant>
      <vt:variant>
        <vt:i4>168</vt:i4>
      </vt:variant>
      <vt:variant>
        <vt:i4>0</vt:i4>
      </vt:variant>
      <vt:variant>
        <vt:i4>5</vt:i4>
      </vt:variant>
      <vt:variant>
        <vt:lpwstr>https://counterterrorism.ec.europa.eu/khub/</vt:lpwstr>
      </vt:variant>
      <vt:variant>
        <vt:lpwstr/>
      </vt:variant>
      <vt:variant>
        <vt:i4>8323183</vt:i4>
      </vt:variant>
      <vt:variant>
        <vt:i4>165</vt:i4>
      </vt:variant>
      <vt:variant>
        <vt:i4>0</vt:i4>
      </vt:variant>
      <vt:variant>
        <vt:i4>5</vt:i4>
      </vt:variant>
      <vt:variant>
        <vt:lpwstr>https://www.coe.int/en/web/cdpc/pc-env</vt:lpwstr>
      </vt:variant>
      <vt:variant>
        <vt:lpwstr/>
      </vt:variant>
      <vt:variant>
        <vt:i4>7602277</vt:i4>
      </vt:variant>
      <vt:variant>
        <vt:i4>162</vt:i4>
      </vt:variant>
      <vt:variant>
        <vt:i4>0</vt:i4>
      </vt:variant>
      <vt:variant>
        <vt:i4>5</vt:i4>
      </vt:variant>
      <vt:variant>
        <vt:lpwstr>https://eur-lex.europa.eu/eli/dir/2024/1203/oj/eng</vt:lpwstr>
      </vt:variant>
      <vt:variant>
        <vt:lpwstr/>
      </vt:variant>
      <vt:variant>
        <vt:i4>1114130</vt:i4>
      </vt:variant>
      <vt:variant>
        <vt:i4>159</vt:i4>
      </vt:variant>
      <vt:variant>
        <vt:i4>0</vt:i4>
      </vt:variant>
      <vt:variant>
        <vt:i4>5</vt:i4>
      </vt:variant>
      <vt:variant>
        <vt:lpwstr>https://eur-lex.europa.eu/legal-content/EN/TXT/?uri=CELEX:52021PC0753</vt:lpwstr>
      </vt:variant>
      <vt:variant>
        <vt:lpwstr/>
      </vt:variant>
      <vt:variant>
        <vt:i4>6684799</vt:i4>
      </vt:variant>
      <vt:variant>
        <vt:i4>156</vt:i4>
      </vt:variant>
      <vt:variant>
        <vt:i4>0</vt:i4>
      </vt:variant>
      <vt:variant>
        <vt:i4>5</vt:i4>
      </vt:variant>
      <vt:variant>
        <vt:lpwstr>https://home-affairs.ec.europa.eu/system/files/2023-06/Toolbox addressing the use of commercial means of transport to facilitate irregular migration to the EU.pdf</vt:lpwstr>
      </vt:variant>
      <vt:variant>
        <vt:lpwstr/>
      </vt:variant>
      <vt:variant>
        <vt:i4>655361</vt:i4>
      </vt:variant>
      <vt:variant>
        <vt:i4>153</vt:i4>
      </vt:variant>
      <vt:variant>
        <vt:i4>0</vt:i4>
      </vt:variant>
      <vt:variant>
        <vt:i4>5</vt:i4>
      </vt:variant>
      <vt:variant>
        <vt:lpwstr>https://eur-lex.europa.eu/legal-content/EN/HIS/?uri=CELEX:52023PC0754</vt:lpwstr>
      </vt:variant>
      <vt:variant>
        <vt:lpwstr/>
      </vt:variant>
      <vt:variant>
        <vt:i4>7274531</vt:i4>
      </vt:variant>
      <vt:variant>
        <vt:i4>150</vt:i4>
      </vt:variant>
      <vt:variant>
        <vt:i4>0</vt:i4>
      </vt:variant>
      <vt:variant>
        <vt:i4>5</vt:i4>
      </vt:variant>
      <vt:variant>
        <vt:lpwstr>https://eur-lex.europa.eu/legal-content/EN/TXT/?uri=CELEX%3A52023PC0755</vt:lpwstr>
      </vt:variant>
      <vt:variant>
        <vt:lpwstr/>
      </vt:variant>
      <vt:variant>
        <vt:i4>7667809</vt:i4>
      </vt:variant>
      <vt:variant>
        <vt:i4>147</vt:i4>
      </vt:variant>
      <vt:variant>
        <vt:i4>0</vt:i4>
      </vt:variant>
      <vt:variant>
        <vt:i4>5</vt:i4>
      </vt:variant>
      <vt:variant>
        <vt:lpwstr>https://eur-lex.europa.eu/eli/dir/2024/1712/oj/eng</vt:lpwstr>
      </vt:variant>
      <vt:variant>
        <vt:lpwstr/>
      </vt:variant>
      <vt:variant>
        <vt:i4>7995426</vt:i4>
      </vt:variant>
      <vt:variant>
        <vt:i4>144</vt:i4>
      </vt:variant>
      <vt:variant>
        <vt:i4>0</vt:i4>
      </vt:variant>
      <vt:variant>
        <vt:i4>5</vt:i4>
      </vt:variant>
      <vt:variant>
        <vt:lpwstr>https://eur-lex.europa.eu/legal-content/EN/TXT/?uri=CELEX%3A52023DC0641</vt:lpwstr>
      </vt:variant>
      <vt:variant>
        <vt:lpwstr/>
      </vt:variant>
      <vt:variant>
        <vt:i4>1179664</vt:i4>
      </vt:variant>
      <vt:variant>
        <vt:i4>141</vt:i4>
      </vt:variant>
      <vt:variant>
        <vt:i4>0</vt:i4>
      </vt:variant>
      <vt:variant>
        <vt:i4>5</vt:i4>
      </vt:variant>
      <vt:variant>
        <vt:lpwstr>https://eur-lex.europa.eu/legal-content/EN/TXT/?uri=CELEX:52024PC0060</vt:lpwstr>
      </vt:variant>
      <vt:variant>
        <vt:lpwstr/>
      </vt:variant>
      <vt:variant>
        <vt:i4>6946855</vt:i4>
      </vt:variant>
      <vt:variant>
        <vt:i4>138</vt:i4>
      </vt:variant>
      <vt:variant>
        <vt:i4>0</vt:i4>
      </vt:variant>
      <vt:variant>
        <vt:i4>5</vt:i4>
      </vt:variant>
      <vt:variant>
        <vt:lpwstr>https://eur-lex.europa.eu/legal-content/EN/TXT/?uri=CELEX%3A52022PC0209</vt:lpwstr>
      </vt:variant>
      <vt:variant>
        <vt:lpwstr/>
      </vt:variant>
      <vt:variant>
        <vt:i4>18</vt:i4>
      </vt:variant>
      <vt:variant>
        <vt:i4>135</vt:i4>
      </vt:variant>
      <vt:variant>
        <vt:i4>0</vt:i4>
      </vt:variant>
      <vt:variant>
        <vt:i4>5</vt:i4>
      </vt:variant>
      <vt:variant>
        <vt:lpwstr>https://eur-lex.europa.eu/legal-content/EN/TXT/?uri=CELEX:52020DC0607</vt:lpwstr>
      </vt:variant>
      <vt:variant>
        <vt:lpwstr/>
      </vt:variant>
      <vt:variant>
        <vt:i4>6815798</vt:i4>
      </vt:variant>
      <vt:variant>
        <vt:i4>132</vt:i4>
      </vt:variant>
      <vt:variant>
        <vt:i4>0</vt:i4>
      </vt:variant>
      <vt:variant>
        <vt:i4>5</vt:i4>
      </vt:variant>
      <vt:variant>
        <vt:lpwstr>https://www.gasa.org/post/global-state-of-scams-report-2024-1-trillion-stolen-in-12-months-gasa-feedzai</vt:lpwstr>
      </vt:variant>
      <vt:variant>
        <vt:lpwstr/>
      </vt:variant>
      <vt:variant>
        <vt:i4>7536647</vt:i4>
      </vt:variant>
      <vt:variant>
        <vt:i4>129</vt:i4>
      </vt:variant>
      <vt:variant>
        <vt:i4>0</vt:i4>
      </vt:variant>
      <vt:variant>
        <vt:i4>5</vt:i4>
      </vt:variant>
      <vt:variant>
        <vt:lpwstr>https://eur-lex.europa.eu/legal-content/EN/LSU/?uri=oj:L_202401260</vt:lpwstr>
      </vt:variant>
      <vt:variant>
        <vt:lpwstr/>
      </vt:variant>
      <vt:variant>
        <vt:i4>6815750</vt:i4>
      </vt:variant>
      <vt:variant>
        <vt:i4>126</vt:i4>
      </vt:variant>
      <vt:variant>
        <vt:i4>0</vt:i4>
      </vt:variant>
      <vt:variant>
        <vt:i4>5</vt:i4>
      </vt:variant>
      <vt:variant>
        <vt:lpwstr>https://www.amla.europa.eu/index_en</vt:lpwstr>
      </vt:variant>
      <vt:variant>
        <vt:lpwstr/>
      </vt:variant>
      <vt:variant>
        <vt:i4>1507349</vt:i4>
      </vt:variant>
      <vt:variant>
        <vt:i4>123</vt:i4>
      </vt:variant>
      <vt:variant>
        <vt:i4>0</vt:i4>
      </vt:variant>
      <vt:variant>
        <vt:i4>5</vt:i4>
      </vt:variant>
      <vt:variant>
        <vt:lpwstr>https://eur-lex.europa.eu/legal-content/EN/TXT/?uri=CELEX:52023PC0234</vt:lpwstr>
      </vt:variant>
      <vt:variant>
        <vt:lpwstr/>
      </vt:variant>
      <vt:variant>
        <vt:i4>8323198</vt:i4>
      </vt:variant>
      <vt:variant>
        <vt:i4>120</vt:i4>
      </vt:variant>
      <vt:variant>
        <vt:i4>0</vt:i4>
      </vt:variant>
      <vt:variant>
        <vt:i4>5</vt:i4>
      </vt:variant>
      <vt:variant>
        <vt:lpwstr>https://administrativeapproach.eu/sites/default/files/page/files/eu-jha-council-9-10-june-conclusions-administrative-approach-org-crime.pdf</vt:lpwstr>
      </vt:variant>
      <vt:variant>
        <vt:lpwstr/>
      </vt:variant>
      <vt:variant>
        <vt:i4>4063264</vt:i4>
      </vt:variant>
      <vt:variant>
        <vt:i4>114</vt:i4>
      </vt:variant>
      <vt:variant>
        <vt:i4>0</vt:i4>
      </vt:variant>
      <vt:variant>
        <vt:i4>5</vt:i4>
      </vt:variant>
      <vt:variant>
        <vt:lpwstr>https://www.eucpn.org/</vt:lpwstr>
      </vt:variant>
      <vt:variant>
        <vt:lpwstr/>
      </vt:variant>
      <vt:variant>
        <vt:i4>917578</vt:i4>
      </vt:variant>
      <vt:variant>
        <vt:i4>111</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5046308</vt:i4>
      </vt:variant>
      <vt:variant>
        <vt:i4>108</vt:i4>
      </vt:variant>
      <vt:variant>
        <vt:i4>0</vt:i4>
      </vt:variant>
      <vt:variant>
        <vt:i4>5</vt:i4>
      </vt:variant>
      <vt:variant>
        <vt:lpwstr>https://commission.europa.eu/document/download/10017eb1-4722-4333-add2-e0ed18105a34_en</vt:lpwstr>
      </vt:variant>
      <vt:variant>
        <vt:lpwstr/>
      </vt:variant>
      <vt:variant>
        <vt:i4>917527</vt:i4>
      </vt:variant>
      <vt:variant>
        <vt:i4>105</vt:i4>
      </vt:variant>
      <vt:variant>
        <vt:i4>0</vt:i4>
      </vt:variant>
      <vt:variant>
        <vt:i4>5</vt:i4>
      </vt:variant>
      <vt:variant>
        <vt:lpwstr>https://eur-lex.europa.eu/legal-content/EN/TXT/?uri=CELEX:52023JC0008</vt:lpwstr>
      </vt:variant>
      <vt:variant>
        <vt:lpwstr/>
      </vt:variant>
      <vt:variant>
        <vt:i4>4718680</vt:i4>
      </vt:variant>
      <vt:variant>
        <vt:i4>102</vt:i4>
      </vt:variant>
      <vt:variant>
        <vt:i4>0</vt:i4>
      </vt:variant>
      <vt:variant>
        <vt:i4>5</vt:i4>
      </vt:variant>
      <vt:variant>
        <vt:lpwstr>https://education.ec.europa.eu/focus-topics/digital-education/action-plan</vt:lpwstr>
      </vt:variant>
      <vt:variant>
        <vt:lpwstr/>
      </vt:variant>
      <vt:variant>
        <vt:i4>852039</vt:i4>
      </vt:variant>
      <vt:variant>
        <vt:i4>96</vt:i4>
      </vt:variant>
      <vt:variant>
        <vt:i4>0</vt:i4>
      </vt:variant>
      <vt:variant>
        <vt:i4>5</vt:i4>
      </vt:variant>
      <vt:variant>
        <vt:lpwstr>https://digital-strategy.ec.europa.eu/en/library/dsa-elections-toolkit-digital-services-coordinators</vt:lpwstr>
      </vt:variant>
      <vt:variant>
        <vt:lpwstr/>
      </vt:variant>
      <vt:variant>
        <vt:i4>2359351</vt:i4>
      </vt:variant>
      <vt:variant>
        <vt:i4>93</vt:i4>
      </vt:variant>
      <vt:variant>
        <vt:i4>0</vt:i4>
      </vt:variant>
      <vt:variant>
        <vt:i4>5</vt:i4>
      </vt:variant>
      <vt:variant>
        <vt:lpwstr>https://digital-strategy.ec.europa.eu/en/policies/european-quantum-communication-infrastructure-euroqci</vt:lpwstr>
      </vt:variant>
      <vt:variant>
        <vt:lpwstr/>
      </vt:variant>
      <vt:variant>
        <vt:i4>6815777</vt:i4>
      </vt:variant>
      <vt:variant>
        <vt:i4>90</vt:i4>
      </vt:variant>
      <vt:variant>
        <vt:i4>0</vt:i4>
      </vt:variant>
      <vt:variant>
        <vt:i4>5</vt:i4>
      </vt:variant>
      <vt:variant>
        <vt:lpwstr>https://digital-strategy.ec.europa.eu/en/library/recommendation-coordinated-implementation-roadmap-transition-post-quantum-cryptography</vt:lpwstr>
      </vt:variant>
      <vt:variant>
        <vt:lpwstr/>
      </vt:variant>
      <vt:variant>
        <vt:i4>3080298</vt:i4>
      </vt:variant>
      <vt:variant>
        <vt:i4>87</vt:i4>
      </vt:variant>
      <vt:variant>
        <vt:i4>0</vt:i4>
      </vt:variant>
      <vt:variant>
        <vt:i4>5</vt:i4>
      </vt:variant>
      <vt:variant>
        <vt:lpwstr>https://qt.eu/</vt:lpwstr>
      </vt:variant>
      <vt:variant>
        <vt:lpwstr/>
      </vt:variant>
      <vt:variant>
        <vt:i4>983165</vt:i4>
      </vt:variant>
      <vt:variant>
        <vt:i4>84</vt:i4>
      </vt:variant>
      <vt:variant>
        <vt:i4>0</vt:i4>
      </vt:variant>
      <vt:variant>
        <vt:i4>5</vt:i4>
      </vt:variant>
      <vt:variant>
        <vt:lpwstr>https://eurohpc-ju.europa.eu/index_en</vt:lpwstr>
      </vt:variant>
      <vt:variant>
        <vt:lpwstr/>
      </vt:variant>
      <vt:variant>
        <vt:i4>7077977</vt:i4>
      </vt:variant>
      <vt:variant>
        <vt:i4>81</vt:i4>
      </vt:variant>
      <vt:variant>
        <vt:i4>0</vt:i4>
      </vt:variant>
      <vt:variant>
        <vt:i4>5</vt:i4>
      </vt:variant>
      <vt:variant>
        <vt:lpwstr>https://strategic-technologies.europa.eu/about_en</vt:lpwstr>
      </vt:variant>
      <vt:variant>
        <vt:lpwstr>step-scope</vt:lpwstr>
      </vt:variant>
      <vt:variant>
        <vt:i4>2949167</vt:i4>
      </vt:variant>
      <vt:variant>
        <vt:i4>78</vt:i4>
      </vt:variant>
      <vt:variant>
        <vt:i4>0</vt:i4>
      </vt:variant>
      <vt:variant>
        <vt:i4>5</vt:i4>
      </vt:variant>
      <vt:variant>
        <vt:lpwstr>https://www.nomoreransom.org/en/index.html</vt:lpwstr>
      </vt:variant>
      <vt:variant>
        <vt:lpwstr/>
      </vt:variant>
      <vt:variant>
        <vt:i4>2818170</vt:i4>
      </vt:variant>
      <vt:variant>
        <vt:i4>75</vt:i4>
      </vt:variant>
      <vt:variant>
        <vt:i4>0</vt:i4>
      </vt:variant>
      <vt:variant>
        <vt:i4>5</vt:i4>
      </vt:variant>
      <vt:variant>
        <vt:lpwstr>https://counter-ransomware.org/</vt:lpwstr>
      </vt:variant>
      <vt:variant>
        <vt:lpwstr/>
      </vt:variant>
      <vt:variant>
        <vt:i4>2424887</vt:i4>
      </vt:variant>
      <vt:variant>
        <vt:i4>72</vt:i4>
      </vt:variant>
      <vt:variant>
        <vt:i4>0</vt:i4>
      </vt:variant>
      <vt:variant>
        <vt:i4>5</vt:i4>
      </vt:variant>
      <vt:variant>
        <vt:lpwstr>https://cybersecurityventures.com/global-ransomware-damage-costs-predicted-to-reach-250-billion-usd-by2031/</vt:lpwstr>
      </vt:variant>
      <vt:variant>
        <vt:lpwstr/>
      </vt:variant>
      <vt:variant>
        <vt:i4>3866645</vt:i4>
      </vt:variant>
      <vt:variant>
        <vt:i4>69</vt:i4>
      </vt:variant>
      <vt:variant>
        <vt:i4>0</vt:i4>
      </vt:variant>
      <vt:variant>
        <vt:i4>5</vt:i4>
      </vt:variant>
      <vt:variant>
        <vt:lpwstr>https://employment-social-affairs.ec.europa.eu/document/download/915b147d-c5af-44bb-9820-c252d872fd31_en?filename=Communication%20-%20Union%20of%20Skills.pdf</vt:lpwstr>
      </vt:variant>
      <vt:variant>
        <vt:lpwstr/>
      </vt:variant>
      <vt:variant>
        <vt:i4>7209013</vt:i4>
      </vt:variant>
      <vt:variant>
        <vt:i4>66</vt:i4>
      </vt:variant>
      <vt:variant>
        <vt:i4>0</vt:i4>
      </vt:variant>
      <vt:variant>
        <vt:i4>5</vt:i4>
      </vt:variant>
      <vt:variant>
        <vt:lpwstr>https://digital-strategy.ec.europa.eu/en/library/european-action-plan-cybersecurity-hospitals-and-healthcare-providers</vt:lpwstr>
      </vt:variant>
      <vt:variant>
        <vt:lpwstr/>
      </vt:variant>
      <vt:variant>
        <vt:i4>3539046</vt:i4>
      </vt:variant>
      <vt:variant>
        <vt:i4>63</vt:i4>
      </vt:variant>
      <vt:variant>
        <vt:i4>0</vt:i4>
      </vt:variant>
      <vt:variant>
        <vt:i4>5</vt:i4>
      </vt:variant>
      <vt:variant>
        <vt:lpwstr>https://eur-lex.europa.eu/legal-content/EN/TXT/?uri=JOIN:2025:9:FIN</vt:lpwstr>
      </vt:variant>
      <vt:variant>
        <vt:lpwstr/>
      </vt:variant>
      <vt:variant>
        <vt:i4>7602276</vt:i4>
      </vt:variant>
      <vt:variant>
        <vt:i4>60</vt:i4>
      </vt:variant>
      <vt:variant>
        <vt:i4>0</vt:i4>
      </vt:variant>
      <vt:variant>
        <vt:i4>5</vt:i4>
      </vt:variant>
      <vt:variant>
        <vt:lpwstr>https://eur-lex.europa.eu/eli/dir/2022/2555/oj/eng</vt:lpwstr>
      </vt:variant>
      <vt:variant>
        <vt:lpwstr/>
      </vt:variant>
      <vt:variant>
        <vt:i4>7602278</vt:i4>
      </vt:variant>
      <vt:variant>
        <vt:i4>54</vt:i4>
      </vt:variant>
      <vt:variant>
        <vt:i4>0</vt:i4>
      </vt:variant>
      <vt:variant>
        <vt:i4>5</vt:i4>
      </vt:variant>
      <vt:variant>
        <vt:lpwstr>https://eur-lex.europa.eu/eli/dir/2022/2557/oj/eng</vt:lpwstr>
      </vt:variant>
      <vt:variant>
        <vt:lpwstr/>
      </vt:variant>
      <vt:variant>
        <vt:i4>3211378</vt:i4>
      </vt:variant>
      <vt:variant>
        <vt:i4>51</vt:i4>
      </vt:variant>
      <vt:variant>
        <vt:i4>0</vt:i4>
      </vt:variant>
      <vt:variant>
        <vt:i4>5</vt:i4>
      </vt:variant>
      <vt:variant>
        <vt:lpwstr>https://www.europol.europa.eu/operations-services-innovation/innovation-lab/eu-innovation-hub-for-internal-security</vt:lpwstr>
      </vt:variant>
      <vt:variant>
        <vt:lpwstr/>
      </vt:variant>
      <vt:variant>
        <vt:i4>3407909</vt:i4>
      </vt:variant>
      <vt:variant>
        <vt:i4>48</vt:i4>
      </vt:variant>
      <vt:variant>
        <vt:i4>0</vt:i4>
      </vt:variant>
      <vt:variant>
        <vt:i4>5</vt:i4>
      </vt:variant>
      <vt:variant>
        <vt:lpwstr>https://data.europa.eu/doi/10.2837/0004501</vt:lpwstr>
      </vt:variant>
      <vt:variant>
        <vt:lpwstr/>
      </vt:variant>
      <vt:variant>
        <vt:i4>852036</vt:i4>
      </vt:variant>
      <vt:variant>
        <vt:i4>45</vt:i4>
      </vt:variant>
      <vt:variant>
        <vt:i4>0</vt:i4>
      </vt:variant>
      <vt:variant>
        <vt:i4>5</vt:i4>
      </vt:variant>
      <vt:variant>
        <vt:lpwstr>https://publications.jrc.ec.europa.eu/repository/handle/JRC139674</vt:lpwstr>
      </vt:variant>
      <vt:variant>
        <vt:lpwstr/>
      </vt:variant>
      <vt:variant>
        <vt:i4>7864418</vt:i4>
      </vt:variant>
      <vt:variant>
        <vt:i4>42</vt:i4>
      </vt:variant>
      <vt:variant>
        <vt:i4>0</vt:i4>
      </vt:variant>
      <vt:variant>
        <vt:i4>5</vt:i4>
      </vt:variant>
      <vt:variant>
        <vt:lpwstr>https://ec.europa.eu/commission/presscorner/detail/en/ip_24_5047</vt:lpwstr>
      </vt:variant>
      <vt:variant>
        <vt:lpwstr/>
      </vt:variant>
      <vt:variant>
        <vt:i4>3211371</vt:i4>
      </vt:variant>
      <vt:variant>
        <vt:i4>39</vt:i4>
      </vt:variant>
      <vt:variant>
        <vt:i4>0</vt:i4>
      </vt:variant>
      <vt:variant>
        <vt:i4>5</vt:i4>
      </vt:variant>
      <vt:variant>
        <vt:lpwstr>https://data.consilium.europa.eu/doc/document/ST-16448-2024-INIT/en/pdf</vt:lpwstr>
      </vt:variant>
      <vt:variant>
        <vt:lpwstr/>
      </vt:variant>
      <vt:variant>
        <vt:i4>3604589</vt:i4>
      </vt:variant>
      <vt:variant>
        <vt:i4>36</vt:i4>
      </vt:variant>
      <vt:variant>
        <vt:i4>0</vt:i4>
      </vt:variant>
      <vt:variant>
        <vt:i4>5</vt:i4>
      </vt:variant>
      <vt:variant>
        <vt:lpwstr>https://home-affairs.ec.europa.eu/document/download/4802e306-c364-4154-835b-e986a9a49281_en?filename=Concluding%20Report%20of%20the%20HLG%20on%20access%20to%20data%20for%20effective%20law%20enforcement_en.pdf</vt:lpwstr>
      </vt:variant>
      <vt:variant>
        <vt:lpwstr/>
      </vt:variant>
      <vt:variant>
        <vt:i4>1048605</vt:i4>
      </vt:variant>
      <vt:variant>
        <vt:i4>33</vt:i4>
      </vt:variant>
      <vt:variant>
        <vt:i4>0</vt:i4>
      </vt:variant>
      <vt:variant>
        <vt:i4>5</vt:i4>
      </vt:variant>
      <vt:variant>
        <vt:lpwstr>https://eur-lex.europa.eu/legal-content/EN/TXT/?uri=CELEX:52019PC0070</vt:lpwstr>
      </vt:variant>
      <vt:variant>
        <vt:lpwstr/>
      </vt:variant>
      <vt:variant>
        <vt:i4>3997797</vt:i4>
      </vt:variant>
      <vt:variant>
        <vt:i4>27</vt:i4>
      </vt:variant>
      <vt:variant>
        <vt:i4>0</vt:i4>
      </vt:variant>
      <vt:variant>
        <vt:i4>5</vt:i4>
      </vt:variant>
      <vt:variant>
        <vt:lpwstr>https://www.europol.europa.eu/cms/sites/default/files/documents/europol-frontex_joint_statement_signed_31.1.2024.pdf</vt:lpwstr>
      </vt:variant>
      <vt:variant>
        <vt:lpwstr/>
      </vt:variant>
      <vt:variant>
        <vt:i4>7012388</vt:i4>
      </vt:variant>
      <vt:variant>
        <vt:i4>24</vt:i4>
      </vt:variant>
      <vt:variant>
        <vt:i4>0</vt:i4>
      </vt:variant>
      <vt:variant>
        <vt:i4>5</vt:i4>
      </vt:variant>
      <vt:variant>
        <vt:lpwstr>https://eur-lex.europa.eu/legal-content/EN/TXT/?uri=CELEX%3A52022PC0119</vt:lpwstr>
      </vt:variant>
      <vt:variant>
        <vt:lpwstr/>
      </vt:variant>
      <vt:variant>
        <vt:i4>1245218</vt:i4>
      </vt:variant>
      <vt:variant>
        <vt:i4>21</vt:i4>
      </vt:variant>
      <vt:variant>
        <vt:i4>0</vt:i4>
      </vt:variant>
      <vt:variant>
        <vt:i4>5</vt:i4>
      </vt:variant>
      <vt:variant>
        <vt:lpwstr>https://commission.europa.eu/document/5bb2881f-9e29-42f2-8b77-8739b19d047c_en</vt:lpwstr>
      </vt:variant>
      <vt:variant>
        <vt:lpwstr/>
      </vt:variant>
      <vt:variant>
        <vt:i4>5570615</vt:i4>
      </vt:variant>
      <vt:variant>
        <vt:i4>15</vt:i4>
      </vt:variant>
      <vt:variant>
        <vt:i4>0</vt:i4>
      </vt:variant>
      <vt:variant>
        <vt:i4>5</vt:i4>
      </vt:variant>
      <vt:variant>
        <vt:lpwstr>https://defence-industry-space.ec.europa.eu/document/download/30b50d2c-49aa-4250-9ca6-27a0347cf009_en?filename=White%20Paper.pdf</vt:lpwstr>
      </vt:variant>
      <vt:variant>
        <vt:lpwstr/>
      </vt:variant>
      <vt:variant>
        <vt:i4>917517</vt:i4>
      </vt:variant>
      <vt:variant>
        <vt:i4>12</vt:i4>
      </vt:variant>
      <vt:variant>
        <vt:i4>0</vt:i4>
      </vt:variant>
      <vt:variant>
        <vt:i4>5</vt:i4>
      </vt:variant>
      <vt:variant>
        <vt:lpwstr>https://webgate.ec.europa.eu/circabc-ewpp/d/d/workspace/SpacesStore/b81316ab-a513-49a1-b520-b6a6e0de6986/file.bin</vt:lpwstr>
      </vt:variant>
      <vt:variant>
        <vt:lpwstr/>
      </vt:variant>
      <vt:variant>
        <vt:i4>262161</vt:i4>
      </vt:variant>
      <vt:variant>
        <vt:i4>9</vt:i4>
      </vt:variant>
      <vt:variant>
        <vt:i4>0</vt:i4>
      </vt:variant>
      <vt:variant>
        <vt:i4>5</vt:i4>
      </vt:variant>
      <vt:variant>
        <vt:lpwstr>https://eur-lex.europa.eu/legal-content/EN/TXT/?uri=celex:52025DC0046</vt:lpwstr>
      </vt:variant>
      <vt:variant>
        <vt:lpwstr/>
      </vt:variant>
      <vt:variant>
        <vt:i4>2031645</vt:i4>
      </vt:variant>
      <vt:variant>
        <vt:i4>6</vt:i4>
      </vt:variant>
      <vt:variant>
        <vt:i4>0</vt:i4>
      </vt:variant>
      <vt:variant>
        <vt:i4>5</vt:i4>
      </vt:variant>
      <vt:variant>
        <vt:lpwstr>https://reports.weforum.org/docs/WEF_Global_Risks_Report_2025.pdf</vt:lpwstr>
      </vt:variant>
      <vt:variant>
        <vt:lpwstr/>
      </vt:variant>
      <vt:variant>
        <vt:i4>2490481</vt:i4>
      </vt:variant>
      <vt:variant>
        <vt:i4>3</vt:i4>
      </vt:variant>
      <vt:variant>
        <vt:i4>0</vt:i4>
      </vt:variant>
      <vt:variant>
        <vt:i4>5</vt:i4>
      </vt:variant>
      <vt:variant>
        <vt:lpwstr>https://data.europa.eu/data/datasets/s3232_fl550_eng?locale=en</vt:lpwstr>
      </vt:variant>
      <vt:variant>
        <vt:lpwstr/>
      </vt:variant>
      <vt:variant>
        <vt:i4>5046293</vt:i4>
      </vt:variant>
      <vt:variant>
        <vt:i4>0</vt:i4>
      </vt:variant>
      <vt:variant>
        <vt:i4>0</vt:i4>
      </vt:variant>
      <vt:variant>
        <vt:i4>5</vt:i4>
      </vt:variant>
      <vt:variant>
        <vt:lpwstr>https://www.europol.europa.eu/cms/sites/default/files/documents/EU-SOCTA-2025.pdf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2025-03-31T12:47:00Z</dcterms:created>
  <dcterms:modified xsi:type="dcterms:W3CDTF">2025-04-30T08:03:00Z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2025-03-30T15:26:20Z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b5e8ad41-93a5-4bb3-afdc-807e540a884b</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