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8F6E6A" w:rsidRDefault="00A05E51" w:rsidP="00A05E5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DB69ADD-799D-49D9-82F7-C8C0E3BD3890" style="width:455.25pt;height:369.75pt">
            <v:imagedata r:id="rId11" o:title=""/>
          </v:shape>
        </w:pict>
      </w:r>
    </w:p>
    <w:p w:rsidR="00201A77" w:rsidRPr="008F6E6A" w:rsidRDefault="00201A77" w:rsidP="00201A77">
      <w:pPr>
        <w:rPr>
          <w:noProof/>
        </w:rPr>
        <w:sectPr w:rsidR="00201A77" w:rsidRPr="008F6E6A" w:rsidSect="00A05E51">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8F6E6A" w:rsidRDefault="00201A77">
      <w:pPr>
        <w:pStyle w:val="Exposdesmotifstitre"/>
        <w:rPr>
          <w:noProof/>
        </w:rPr>
      </w:pPr>
      <w:bookmarkStart w:id="0" w:name="_GoBack"/>
      <w:bookmarkEnd w:id="0"/>
      <w:r w:rsidRPr="008F6E6A">
        <w:rPr>
          <w:noProof/>
        </w:rPr>
        <w:lastRenderedPageBreak/>
        <w:t>EXPLANATORY MEMORANDUM</w:t>
      </w:r>
    </w:p>
    <w:p w:rsidR="00693ED0" w:rsidRPr="008F6E6A" w:rsidRDefault="00693ED0" w:rsidP="00693ED0">
      <w:pPr>
        <w:pStyle w:val="ManualHeading1"/>
        <w:rPr>
          <w:noProof/>
        </w:rPr>
      </w:pPr>
      <w:r w:rsidRPr="008F6E6A">
        <w:rPr>
          <w:noProof/>
        </w:rPr>
        <w:t>CONTEXT OF THE PROPOSAL</w:t>
      </w:r>
    </w:p>
    <w:p w:rsidR="00693ED0" w:rsidRPr="008F6E6A" w:rsidRDefault="00693ED0" w:rsidP="00693ED0">
      <w:pPr>
        <w:pStyle w:val="ManualHeading2"/>
        <w:rPr>
          <w:rFonts w:eastAsia="Arial Unicode MS"/>
          <w:noProof/>
        </w:rPr>
      </w:pPr>
      <w:r w:rsidRPr="008F6E6A">
        <w:rPr>
          <w:rFonts w:eastAsia="Arial Unicode MS"/>
          <w:noProof/>
          <w:color w:val="000000"/>
          <w:bdr w:val="nil"/>
          <w:lang w:eastAsia="en-GB"/>
        </w:rPr>
        <w:t>•</w:t>
      </w:r>
      <w:r w:rsidRPr="008F6E6A">
        <w:rPr>
          <w:rFonts w:eastAsia="Arial Unicode MS"/>
          <w:noProof/>
          <w:color w:val="000000"/>
          <w:u w:color="000000"/>
          <w:bdr w:val="nil"/>
          <w:lang w:eastAsia="en-GB"/>
        </w:rPr>
        <w:tab/>
      </w:r>
      <w:r w:rsidRPr="008F6E6A">
        <w:rPr>
          <w:rFonts w:eastAsia="Arial Unicode MS"/>
          <w:noProof/>
        </w:rPr>
        <w:t>Context and reasons for the proposal</w:t>
      </w:r>
    </w:p>
    <w:p w:rsidR="00AF69A8" w:rsidRDefault="00AF69A8" w:rsidP="00AF69A8">
      <w:pPr>
        <w:rPr>
          <w:noProof/>
        </w:rPr>
      </w:pPr>
      <w:r>
        <w:rPr>
          <w:noProof/>
        </w:rPr>
        <w:t>Article 77 of the Asylum Procedure Regulation (2024/1348) (‘APR’) require</w:t>
      </w:r>
      <w:r w:rsidR="00737E12">
        <w:rPr>
          <w:noProof/>
        </w:rPr>
        <w:t>s</w:t>
      </w:r>
      <w:r>
        <w:rPr>
          <w:noProof/>
        </w:rPr>
        <w:t xml:space="preserve"> the Commission to review the safe third country concept (‘STC’) and, where appropriate, propose any targeted amendments by 12 June 2025. On this basis, the Commission carried out a holistic review of the STC concept. </w:t>
      </w:r>
    </w:p>
    <w:p w:rsidR="00807F41" w:rsidRDefault="00AF69A8" w:rsidP="00AF69A8">
      <w:pPr>
        <w:rPr>
          <w:noProof/>
        </w:rPr>
      </w:pPr>
      <w:r>
        <w:rPr>
          <w:noProof/>
        </w:rPr>
        <w:t>In this context, the Commission examined whether international law (the 1951 Geneva Convention and the 1950 European Convention of Human Rights) and EU primary law, in</w:t>
      </w:r>
      <w:r w:rsidR="00737E12">
        <w:rPr>
          <w:noProof/>
        </w:rPr>
        <w:t>cluding</w:t>
      </w:r>
      <w:r>
        <w:rPr>
          <w:noProof/>
        </w:rPr>
        <w:t xml:space="preserve"> the Charter of Fundamental Rights of the EU, allow for further revisions to the conditions for applying the STC concept and its legal safeguards, with the aim of further facilitating its application by Member States. The Commission also considered Member States’ experiences and challenges in applying the STC concept, as expressed in various fora, and assessed whether the changes introduced under the APR had already addressed these issues or if gaps remained. Finally, the Commission analysed relevant jurisprudence of the Court of Justice of the EU (‘CJEU’) and of the European Court of Human Rights (‘ECtHR’).</w:t>
      </w:r>
    </w:p>
    <w:p w:rsidR="005D4B74" w:rsidRDefault="00693ED0" w:rsidP="00693ED0">
      <w:pPr>
        <w:rPr>
          <w:noProof/>
        </w:rPr>
      </w:pPr>
      <w:r w:rsidRPr="008F6E6A">
        <w:rPr>
          <w:noProof/>
        </w:rPr>
        <w:t xml:space="preserve">The </w:t>
      </w:r>
      <w:r w:rsidR="005D4B74">
        <w:rPr>
          <w:noProof/>
        </w:rPr>
        <w:t xml:space="preserve">safe third country </w:t>
      </w:r>
      <w:r w:rsidRPr="008F6E6A">
        <w:rPr>
          <w:noProof/>
        </w:rPr>
        <w:t xml:space="preserve">concept </w:t>
      </w:r>
      <w:r w:rsidR="005D4B74">
        <w:rPr>
          <w:noProof/>
        </w:rPr>
        <w:t xml:space="preserve">(‘STC’), </w:t>
      </w:r>
      <w:r w:rsidRPr="008F6E6A">
        <w:rPr>
          <w:noProof/>
        </w:rPr>
        <w:t xml:space="preserve">currently governed by </w:t>
      </w:r>
      <w:r w:rsidR="00F67E32" w:rsidRPr="008F6E6A">
        <w:rPr>
          <w:noProof/>
        </w:rPr>
        <w:t xml:space="preserve">Article 33(2)(c) of </w:t>
      </w:r>
      <w:r w:rsidRPr="008F6E6A">
        <w:rPr>
          <w:noProof/>
        </w:rPr>
        <w:t>the Asylum Procedures Directive 2013/32/EU</w:t>
      </w:r>
      <w:r w:rsidR="0418AB93" w:rsidRPr="008F6E6A">
        <w:rPr>
          <w:noProof/>
        </w:rPr>
        <w:t xml:space="preserve"> (‘APD’</w:t>
      </w:r>
      <w:r w:rsidRPr="008F6E6A">
        <w:rPr>
          <w:noProof/>
        </w:rPr>
        <w:t>)</w:t>
      </w:r>
      <w:r w:rsidRPr="008F6E6A">
        <w:rPr>
          <w:rStyle w:val="FootnoteReference"/>
          <w:noProof/>
        </w:rPr>
        <w:footnoteReference w:id="2"/>
      </w:r>
      <w:r w:rsidR="005D4B74">
        <w:rPr>
          <w:noProof/>
        </w:rPr>
        <w:t xml:space="preserve">, </w:t>
      </w:r>
      <w:r w:rsidRPr="008F6E6A">
        <w:rPr>
          <w:noProof/>
        </w:rPr>
        <w:t xml:space="preserve">was revised as part of the Pact on Migration and Asylum adopted in May 2024. </w:t>
      </w:r>
    </w:p>
    <w:p w:rsidR="005D4B74" w:rsidRDefault="00E8698A" w:rsidP="00693ED0">
      <w:pPr>
        <w:rPr>
          <w:noProof/>
        </w:rPr>
      </w:pPr>
      <w:r w:rsidRPr="00E8698A">
        <w:rPr>
          <w:noProof/>
        </w:rPr>
        <w:t>When applying</w:t>
      </w:r>
      <w:r>
        <w:rPr>
          <w:noProof/>
        </w:rPr>
        <w:t xml:space="preserve"> </w:t>
      </w:r>
      <w:r w:rsidR="41295DF5">
        <w:rPr>
          <w:noProof/>
        </w:rPr>
        <w:t xml:space="preserve">the ‘safe third country’ </w:t>
      </w:r>
      <w:r w:rsidR="00A4598B">
        <w:rPr>
          <w:noProof/>
        </w:rPr>
        <w:t xml:space="preserve">concept </w:t>
      </w:r>
      <w:r w:rsidR="41295DF5">
        <w:rPr>
          <w:noProof/>
        </w:rPr>
        <w:t xml:space="preserve">(‘STC’), Member States may reject asylum applications as inadmissible without examining whether the persons meet the conditions for being granted protection in the EU. The STC </w:t>
      </w:r>
      <w:r w:rsidR="7E2E0878">
        <w:rPr>
          <w:noProof/>
        </w:rPr>
        <w:t xml:space="preserve">concept </w:t>
      </w:r>
      <w:r w:rsidR="41295DF5">
        <w:rPr>
          <w:noProof/>
        </w:rPr>
        <w:t xml:space="preserve">may be applied as part of the </w:t>
      </w:r>
      <w:r w:rsidR="7610472C">
        <w:rPr>
          <w:noProof/>
        </w:rPr>
        <w:t xml:space="preserve">border </w:t>
      </w:r>
      <w:r w:rsidR="41295DF5">
        <w:rPr>
          <w:noProof/>
        </w:rPr>
        <w:t xml:space="preserve">procedure. </w:t>
      </w:r>
    </w:p>
    <w:p w:rsidR="00693ED0" w:rsidRPr="008F6E6A" w:rsidRDefault="005D4B74" w:rsidP="00693ED0">
      <w:pPr>
        <w:rPr>
          <w:noProof/>
        </w:rPr>
      </w:pPr>
      <w:r>
        <w:rPr>
          <w:noProof/>
        </w:rPr>
        <w:t>T</w:t>
      </w:r>
      <w:r w:rsidR="00693ED0" w:rsidRPr="008F6E6A">
        <w:rPr>
          <w:noProof/>
        </w:rPr>
        <w:t>he Asylum Procedure Regulation 2024/1348</w:t>
      </w:r>
      <w:r w:rsidR="00693ED0" w:rsidRPr="008F6E6A">
        <w:rPr>
          <w:rStyle w:val="FootnoteReference"/>
          <w:noProof/>
        </w:rPr>
        <w:t xml:space="preserve"> </w:t>
      </w:r>
      <w:r w:rsidR="00693ED0" w:rsidRPr="008F6E6A">
        <w:rPr>
          <w:noProof/>
        </w:rPr>
        <w:t>(‘APR’)</w:t>
      </w:r>
      <w:r w:rsidR="00023C72" w:rsidRPr="008F6E6A">
        <w:rPr>
          <w:rStyle w:val="FootnoteReference"/>
          <w:noProof/>
        </w:rPr>
        <w:footnoteReference w:id="3"/>
      </w:r>
      <w:r w:rsidR="00693ED0" w:rsidRPr="008F6E6A">
        <w:rPr>
          <w:noProof/>
        </w:rPr>
        <w:t xml:space="preserve"> introduced several changes to the STC rules, aimed </w:t>
      </w:r>
      <w:r w:rsidR="00EC0752" w:rsidRPr="008F6E6A">
        <w:rPr>
          <w:noProof/>
        </w:rPr>
        <w:t xml:space="preserve">at </w:t>
      </w:r>
      <w:r w:rsidR="00693ED0" w:rsidRPr="008F6E6A">
        <w:rPr>
          <w:noProof/>
        </w:rPr>
        <w:t>allow</w:t>
      </w:r>
      <w:r w:rsidR="0062505E" w:rsidRPr="008F6E6A">
        <w:rPr>
          <w:noProof/>
        </w:rPr>
        <w:t>ing</w:t>
      </w:r>
      <w:r w:rsidR="00693ED0" w:rsidRPr="008F6E6A">
        <w:rPr>
          <w:noProof/>
        </w:rPr>
        <w:t xml:space="preserve"> for a broader and more flexible applicability of the STC concept. These</w:t>
      </w:r>
      <w:r w:rsidR="0065473B" w:rsidRPr="008F6E6A">
        <w:rPr>
          <w:noProof/>
        </w:rPr>
        <w:t xml:space="preserve"> changes</w:t>
      </w:r>
      <w:r w:rsidR="00693ED0" w:rsidRPr="008F6E6A">
        <w:rPr>
          <w:noProof/>
        </w:rPr>
        <w:t xml:space="preserve"> include: </w:t>
      </w:r>
    </w:p>
    <w:p w:rsidR="00693ED0" w:rsidRPr="008F6E6A" w:rsidRDefault="00693ED0" w:rsidP="00703672">
      <w:pPr>
        <w:pStyle w:val="Tiret0"/>
        <w:numPr>
          <w:ilvl w:val="0"/>
          <w:numId w:val="18"/>
        </w:numPr>
        <w:rPr>
          <w:noProof/>
        </w:rPr>
      </w:pPr>
      <w:r w:rsidRPr="008F6E6A">
        <w:rPr>
          <w:noProof/>
        </w:rPr>
        <w:t>The widening of the criteria allowing designat</w:t>
      </w:r>
      <w:r w:rsidR="004B6C1A" w:rsidRPr="008F6E6A">
        <w:rPr>
          <w:noProof/>
        </w:rPr>
        <w:t>ion</w:t>
      </w:r>
      <w:r w:rsidRPr="008F6E6A">
        <w:rPr>
          <w:noProof/>
        </w:rPr>
        <w:t xml:space="preserve"> </w:t>
      </w:r>
      <w:r w:rsidR="00CB3B69" w:rsidRPr="008F6E6A">
        <w:rPr>
          <w:noProof/>
        </w:rPr>
        <w:t xml:space="preserve">of </w:t>
      </w:r>
      <w:r w:rsidRPr="008F6E6A">
        <w:rPr>
          <w:noProof/>
        </w:rPr>
        <w:t xml:space="preserve">a third country as </w:t>
      </w:r>
      <w:r w:rsidR="00B42EF5" w:rsidRPr="008F6E6A">
        <w:rPr>
          <w:noProof/>
        </w:rPr>
        <w:t>‘</w:t>
      </w:r>
      <w:r w:rsidRPr="008F6E6A">
        <w:rPr>
          <w:noProof/>
        </w:rPr>
        <w:t>safe</w:t>
      </w:r>
      <w:r w:rsidR="00B42EF5" w:rsidRPr="008F6E6A">
        <w:rPr>
          <w:noProof/>
        </w:rPr>
        <w:t>’</w:t>
      </w:r>
      <w:r w:rsidRPr="008F6E6A">
        <w:rPr>
          <w:noProof/>
        </w:rPr>
        <w:t xml:space="preserve">, in particular allowing </w:t>
      </w:r>
      <w:r w:rsidR="00AF4DBA" w:rsidRPr="008F6E6A">
        <w:rPr>
          <w:noProof/>
        </w:rPr>
        <w:t xml:space="preserve">countries that are not parties </w:t>
      </w:r>
      <w:r w:rsidR="00C33EE7" w:rsidRPr="008F6E6A">
        <w:rPr>
          <w:noProof/>
        </w:rPr>
        <w:t xml:space="preserve">to </w:t>
      </w:r>
      <w:r w:rsidR="00AF4DBA" w:rsidRPr="008F6E6A">
        <w:rPr>
          <w:noProof/>
        </w:rPr>
        <w:t xml:space="preserve">the Geneva Convention </w:t>
      </w:r>
      <w:r w:rsidRPr="008F6E6A">
        <w:rPr>
          <w:noProof/>
        </w:rPr>
        <w:t>to</w:t>
      </w:r>
      <w:r w:rsidR="00AF4DBA" w:rsidRPr="008F6E6A">
        <w:rPr>
          <w:noProof/>
        </w:rPr>
        <w:t xml:space="preserve"> also be</w:t>
      </w:r>
      <w:r w:rsidRPr="008F6E6A">
        <w:rPr>
          <w:noProof/>
        </w:rPr>
        <w:t xml:space="preserve"> designate</w:t>
      </w:r>
      <w:r w:rsidR="00E22542" w:rsidRPr="008F6E6A">
        <w:rPr>
          <w:noProof/>
        </w:rPr>
        <w:t>d</w:t>
      </w:r>
      <w:r w:rsidRPr="008F6E6A">
        <w:rPr>
          <w:noProof/>
        </w:rPr>
        <w:t xml:space="preserve"> as STC</w:t>
      </w:r>
      <w:r w:rsidR="00B95416" w:rsidRPr="008F6E6A">
        <w:rPr>
          <w:noProof/>
        </w:rPr>
        <w:t>s</w:t>
      </w:r>
      <w:r w:rsidRPr="008F6E6A">
        <w:rPr>
          <w:noProof/>
        </w:rPr>
        <w:t xml:space="preserve">, </w:t>
      </w:r>
      <w:r w:rsidR="00AF4DBA" w:rsidRPr="008F6E6A">
        <w:rPr>
          <w:noProof/>
        </w:rPr>
        <w:t>provided</w:t>
      </w:r>
      <w:r w:rsidRPr="008F6E6A">
        <w:rPr>
          <w:noProof/>
        </w:rPr>
        <w:t xml:space="preserve"> </w:t>
      </w:r>
      <w:r w:rsidR="00C33EE7" w:rsidRPr="008F6E6A">
        <w:rPr>
          <w:noProof/>
        </w:rPr>
        <w:t xml:space="preserve">that </w:t>
      </w:r>
      <w:r w:rsidRPr="008F6E6A">
        <w:rPr>
          <w:noProof/>
        </w:rPr>
        <w:t xml:space="preserve">they can </w:t>
      </w:r>
      <w:r w:rsidR="00AF4DBA" w:rsidRPr="008F6E6A">
        <w:rPr>
          <w:noProof/>
        </w:rPr>
        <w:t xml:space="preserve">offer </w:t>
      </w:r>
      <w:r w:rsidR="00B42EF5" w:rsidRPr="008F6E6A">
        <w:rPr>
          <w:noProof/>
        </w:rPr>
        <w:t>‘</w:t>
      </w:r>
      <w:r w:rsidRPr="008F6E6A">
        <w:rPr>
          <w:noProof/>
        </w:rPr>
        <w:t>effective protection</w:t>
      </w:r>
      <w:r w:rsidR="00B42EF5" w:rsidRPr="008F6E6A">
        <w:rPr>
          <w:noProof/>
        </w:rPr>
        <w:t>’</w:t>
      </w:r>
      <w:r w:rsidRPr="008F6E6A">
        <w:rPr>
          <w:rStyle w:val="FootnoteReference"/>
          <w:noProof/>
        </w:rPr>
        <w:footnoteReference w:id="4"/>
      </w:r>
      <w:r w:rsidR="00891B67">
        <w:rPr>
          <w:noProof/>
        </w:rPr>
        <w:t>.</w:t>
      </w:r>
      <w:r w:rsidRPr="008F6E6A">
        <w:rPr>
          <w:noProof/>
        </w:rPr>
        <w:t xml:space="preserve"> </w:t>
      </w:r>
    </w:p>
    <w:p w:rsidR="00693ED0" w:rsidRPr="008F6E6A" w:rsidRDefault="00693ED0" w:rsidP="00693ED0">
      <w:pPr>
        <w:pStyle w:val="Tiret0"/>
        <w:rPr>
          <w:noProof/>
        </w:rPr>
      </w:pPr>
      <w:r w:rsidRPr="008F6E6A">
        <w:rPr>
          <w:noProof/>
        </w:rPr>
        <w:t>An explicit reference to family links and stay in the third country as possible indications of a connection (</w:t>
      </w:r>
      <w:r w:rsidR="00AC36FD" w:rsidRPr="008F6E6A">
        <w:rPr>
          <w:noProof/>
        </w:rPr>
        <w:t>r</w:t>
      </w:r>
      <w:r w:rsidRPr="008F6E6A">
        <w:rPr>
          <w:noProof/>
        </w:rPr>
        <w:t>ecital 48 APR).</w:t>
      </w:r>
    </w:p>
    <w:p w:rsidR="00693ED0" w:rsidRPr="008F6E6A" w:rsidRDefault="00693ED0" w:rsidP="00693ED0">
      <w:pPr>
        <w:pStyle w:val="Tiret0"/>
        <w:rPr>
          <w:noProof/>
        </w:rPr>
      </w:pPr>
      <w:r w:rsidRPr="008F6E6A">
        <w:rPr>
          <w:noProof/>
        </w:rPr>
        <w:t xml:space="preserve">The option to designate a third country as </w:t>
      </w:r>
      <w:r w:rsidR="00B42EF5" w:rsidRPr="008F6E6A">
        <w:rPr>
          <w:noProof/>
        </w:rPr>
        <w:t>‘</w:t>
      </w:r>
      <w:r w:rsidRPr="008F6E6A">
        <w:rPr>
          <w:noProof/>
        </w:rPr>
        <w:t>safe</w:t>
      </w:r>
      <w:r w:rsidR="00B42EF5" w:rsidRPr="008F6E6A">
        <w:rPr>
          <w:noProof/>
        </w:rPr>
        <w:t>’</w:t>
      </w:r>
      <w:r w:rsidRPr="008F6E6A">
        <w:rPr>
          <w:noProof/>
        </w:rPr>
        <w:t xml:space="preserve"> with exceptions for specific parts of its territory or clearly identifiable categories of persons (</w:t>
      </w:r>
      <w:r w:rsidR="00AC36FD" w:rsidRPr="008F6E6A">
        <w:rPr>
          <w:noProof/>
        </w:rPr>
        <w:t>r</w:t>
      </w:r>
      <w:r w:rsidRPr="008F6E6A">
        <w:rPr>
          <w:noProof/>
        </w:rPr>
        <w:t>ecital 46 and Article 59(2) APR).</w:t>
      </w:r>
    </w:p>
    <w:p w:rsidR="00693ED0" w:rsidRPr="008F6E6A" w:rsidRDefault="00693ED0" w:rsidP="00693ED0">
      <w:pPr>
        <w:pStyle w:val="Tiret0"/>
        <w:rPr>
          <w:noProof/>
        </w:rPr>
      </w:pPr>
      <w:r w:rsidRPr="008F6E6A">
        <w:rPr>
          <w:noProof/>
        </w:rPr>
        <w:t>The introduction of a presumption of safety for third countries with which the EU has concluded a STC agreement pursuant to Article 218 TFEU (Article 59(7) APR).</w:t>
      </w:r>
    </w:p>
    <w:p w:rsidR="004C7BE1" w:rsidRPr="008F6E6A" w:rsidRDefault="00693ED0" w:rsidP="004C7BE1">
      <w:pPr>
        <w:pStyle w:val="Tiret0"/>
        <w:rPr>
          <w:noProof/>
        </w:rPr>
      </w:pPr>
      <w:r w:rsidRPr="008F6E6A">
        <w:rPr>
          <w:noProof/>
        </w:rPr>
        <w:t>The introduction of the possibility to adopt common lists of STCs designated at EU level</w:t>
      </w:r>
      <w:r w:rsidR="005D4B74">
        <w:rPr>
          <w:noProof/>
        </w:rPr>
        <w:t>,</w:t>
      </w:r>
      <w:r w:rsidRPr="008F6E6A">
        <w:rPr>
          <w:noProof/>
        </w:rPr>
        <w:t xml:space="preserve"> without precluding the possibility for Member States to designate additional STCs at national level (</w:t>
      </w:r>
      <w:r w:rsidR="00AC36FD" w:rsidRPr="008F6E6A">
        <w:rPr>
          <w:noProof/>
        </w:rPr>
        <w:t>r</w:t>
      </w:r>
      <w:r w:rsidRPr="008F6E6A">
        <w:rPr>
          <w:noProof/>
        </w:rPr>
        <w:t>ecital 81 and Articles 60, 63 and 64 APR).</w:t>
      </w:r>
    </w:p>
    <w:p w:rsidR="005D4B74" w:rsidRDefault="005D4B74" w:rsidP="004C7BE1">
      <w:pPr>
        <w:rPr>
          <w:noProof/>
        </w:rPr>
      </w:pPr>
      <w:r>
        <w:rPr>
          <w:noProof/>
        </w:rPr>
        <w:t>The new provisions</w:t>
      </w:r>
      <w:r w:rsidR="004C7BE1" w:rsidRPr="008F6E6A">
        <w:rPr>
          <w:noProof/>
        </w:rPr>
        <w:t xml:space="preserve"> will apply as of June 2026</w:t>
      </w:r>
      <w:r w:rsidR="00BC5175" w:rsidRPr="008F6E6A">
        <w:rPr>
          <w:noProof/>
        </w:rPr>
        <w:t xml:space="preserve">. In relation </w:t>
      </w:r>
      <w:r w:rsidR="00BC5175" w:rsidRPr="0004342B">
        <w:rPr>
          <w:noProof/>
        </w:rPr>
        <w:t xml:space="preserve">to </w:t>
      </w:r>
      <w:r w:rsidR="00BC5F81" w:rsidRPr="0004342B">
        <w:rPr>
          <w:noProof/>
        </w:rPr>
        <w:t>Article 59(</w:t>
      </w:r>
      <w:r w:rsidR="00BC5F81" w:rsidRPr="008F6E6A">
        <w:rPr>
          <w:noProof/>
        </w:rPr>
        <w:t xml:space="preserve">2) </w:t>
      </w:r>
      <w:r w:rsidR="00891B67">
        <w:rPr>
          <w:noProof/>
        </w:rPr>
        <w:t xml:space="preserve">of the </w:t>
      </w:r>
      <w:r w:rsidR="00BC5F81" w:rsidRPr="008F6E6A">
        <w:rPr>
          <w:noProof/>
        </w:rPr>
        <w:t>APR</w:t>
      </w:r>
      <w:r w:rsidR="003C43A2" w:rsidRPr="008F6E6A">
        <w:rPr>
          <w:noProof/>
        </w:rPr>
        <w:t>, concerning the poss</w:t>
      </w:r>
      <w:r w:rsidR="002B453F" w:rsidRPr="008F6E6A">
        <w:rPr>
          <w:noProof/>
        </w:rPr>
        <w:t xml:space="preserve">ibility to designate a third country as </w:t>
      </w:r>
      <w:r w:rsidR="00CB3B69" w:rsidRPr="008F6E6A">
        <w:rPr>
          <w:noProof/>
        </w:rPr>
        <w:t>‘</w:t>
      </w:r>
      <w:r w:rsidR="002B453F" w:rsidRPr="008F6E6A">
        <w:rPr>
          <w:noProof/>
        </w:rPr>
        <w:t>safe</w:t>
      </w:r>
      <w:r w:rsidR="00CB3B69" w:rsidRPr="008F6E6A">
        <w:rPr>
          <w:noProof/>
        </w:rPr>
        <w:t>’</w:t>
      </w:r>
      <w:r w:rsidR="002B453F" w:rsidRPr="008F6E6A">
        <w:rPr>
          <w:noProof/>
        </w:rPr>
        <w:t xml:space="preserve"> with territorial and/or category exceptions</w:t>
      </w:r>
      <w:r w:rsidR="00D26147" w:rsidRPr="008F6E6A">
        <w:rPr>
          <w:noProof/>
        </w:rPr>
        <w:t xml:space="preserve">, the Commission recently proposed to </w:t>
      </w:r>
      <w:r>
        <w:rPr>
          <w:noProof/>
        </w:rPr>
        <w:t>advance its</w:t>
      </w:r>
      <w:r w:rsidR="00BC5175" w:rsidRPr="008F6E6A">
        <w:rPr>
          <w:noProof/>
        </w:rPr>
        <w:t xml:space="preserve"> application</w:t>
      </w:r>
      <w:r w:rsidR="00BC5F81" w:rsidRPr="008F6E6A">
        <w:rPr>
          <w:rStyle w:val="FootnoteReference"/>
          <w:noProof/>
        </w:rPr>
        <w:footnoteReference w:id="5"/>
      </w:r>
      <w:r w:rsidR="00BE5690" w:rsidRPr="008F6E6A">
        <w:rPr>
          <w:noProof/>
        </w:rPr>
        <w:t>.</w:t>
      </w:r>
      <w:r w:rsidR="00F67E32" w:rsidRPr="008F6E6A">
        <w:rPr>
          <w:noProof/>
        </w:rPr>
        <w:t xml:space="preserve"> </w:t>
      </w:r>
    </w:p>
    <w:p w:rsidR="004C7BE1" w:rsidRDefault="003E5D9E" w:rsidP="004C7BE1">
      <w:pPr>
        <w:rPr>
          <w:noProof/>
        </w:rPr>
      </w:pPr>
      <w:r>
        <w:rPr>
          <w:noProof/>
        </w:rPr>
        <w:t>T</w:t>
      </w:r>
      <w:r w:rsidR="004C7BE1" w:rsidRPr="008F6E6A">
        <w:rPr>
          <w:noProof/>
        </w:rPr>
        <w:t xml:space="preserve">he </w:t>
      </w:r>
      <w:r w:rsidR="00C33EE7" w:rsidRPr="008F6E6A">
        <w:rPr>
          <w:noProof/>
        </w:rPr>
        <w:t xml:space="preserve">European Parliament and the Council </w:t>
      </w:r>
      <w:r w:rsidR="004C7BE1" w:rsidRPr="008F6E6A">
        <w:rPr>
          <w:noProof/>
        </w:rPr>
        <w:t>considered that further legislative changes may be required</w:t>
      </w:r>
      <w:r>
        <w:rPr>
          <w:noProof/>
        </w:rPr>
        <w:t xml:space="preserve"> even before the APR applies</w:t>
      </w:r>
      <w:r w:rsidR="004C7BE1" w:rsidRPr="008F6E6A">
        <w:rPr>
          <w:noProof/>
        </w:rPr>
        <w:t xml:space="preserve">. </w:t>
      </w:r>
      <w:r w:rsidR="00C05C5B" w:rsidRPr="008F6E6A">
        <w:rPr>
          <w:noProof/>
        </w:rPr>
        <w:t>Consequently</w:t>
      </w:r>
      <w:r w:rsidR="004C7BE1" w:rsidRPr="008F6E6A">
        <w:rPr>
          <w:noProof/>
        </w:rPr>
        <w:t xml:space="preserve">, Article 77 of the </w:t>
      </w:r>
      <w:bookmarkStart w:id="1" w:name="_Hlk190544825"/>
      <w:r w:rsidR="004C7BE1" w:rsidRPr="008F6E6A">
        <w:rPr>
          <w:noProof/>
        </w:rPr>
        <w:t>A</w:t>
      </w:r>
      <w:bookmarkEnd w:id="1"/>
      <w:r w:rsidR="004C7BE1" w:rsidRPr="008F6E6A">
        <w:rPr>
          <w:noProof/>
        </w:rPr>
        <w:t>PR task</w:t>
      </w:r>
      <w:r w:rsidR="00F96CDC" w:rsidRPr="008F6E6A">
        <w:rPr>
          <w:noProof/>
        </w:rPr>
        <w:t>s</w:t>
      </w:r>
      <w:r w:rsidR="004C7BE1" w:rsidRPr="008F6E6A">
        <w:rPr>
          <w:noProof/>
        </w:rPr>
        <w:t xml:space="preserve"> the Commission </w:t>
      </w:r>
      <w:r w:rsidR="00F96CDC" w:rsidRPr="008F6E6A">
        <w:rPr>
          <w:noProof/>
        </w:rPr>
        <w:t xml:space="preserve">with </w:t>
      </w:r>
      <w:r w:rsidR="004C7BE1" w:rsidRPr="008F6E6A">
        <w:rPr>
          <w:noProof/>
        </w:rPr>
        <w:t>review</w:t>
      </w:r>
      <w:r w:rsidR="00F96CDC" w:rsidRPr="008F6E6A">
        <w:rPr>
          <w:noProof/>
        </w:rPr>
        <w:t>ing</w:t>
      </w:r>
      <w:r w:rsidR="004C7BE1" w:rsidRPr="008F6E6A">
        <w:rPr>
          <w:noProof/>
        </w:rPr>
        <w:t xml:space="preserve"> the STC concept</w:t>
      </w:r>
      <w:r w:rsidR="005D4B74">
        <w:rPr>
          <w:noProof/>
        </w:rPr>
        <w:t xml:space="preserve"> by 12 June 2025</w:t>
      </w:r>
      <w:r w:rsidR="004C7BE1" w:rsidRPr="008F6E6A">
        <w:rPr>
          <w:noProof/>
        </w:rPr>
        <w:t xml:space="preserve"> and propos</w:t>
      </w:r>
      <w:r w:rsidR="00F96CDC" w:rsidRPr="008F6E6A">
        <w:rPr>
          <w:noProof/>
        </w:rPr>
        <w:t>ing</w:t>
      </w:r>
      <w:r w:rsidR="00240DF0">
        <w:rPr>
          <w:noProof/>
        </w:rPr>
        <w:t>,</w:t>
      </w:r>
      <w:r w:rsidR="004C7BE1" w:rsidRPr="008F6E6A">
        <w:rPr>
          <w:noProof/>
        </w:rPr>
        <w:t xml:space="preserve"> </w:t>
      </w:r>
      <w:r w:rsidR="00240DF0" w:rsidRPr="008F6E6A">
        <w:rPr>
          <w:noProof/>
        </w:rPr>
        <w:t>where appropriate</w:t>
      </w:r>
      <w:r w:rsidR="00240DF0">
        <w:rPr>
          <w:noProof/>
        </w:rPr>
        <w:t>,</w:t>
      </w:r>
      <w:r w:rsidR="00240DF0" w:rsidRPr="008F6E6A">
        <w:rPr>
          <w:noProof/>
        </w:rPr>
        <w:t xml:space="preserve"> </w:t>
      </w:r>
      <w:r w:rsidR="004C7BE1" w:rsidRPr="008F6E6A">
        <w:rPr>
          <w:noProof/>
        </w:rPr>
        <w:t>any targeted amendments.</w:t>
      </w:r>
    </w:p>
    <w:p w:rsidR="00693ED0" w:rsidRPr="008F6E6A" w:rsidRDefault="00693ED0" w:rsidP="00693ED0">
      <w:pPr>
        <w:pStyle w:val="ManualHeading2"/>
        <w:rPr>
          <w:noProof/>
          <w:color w:val="000000"/>
          <w:bdr w:val="nil"/>
        </w:rPr>
      </w:pPr>
      <w:r w:rsidRPr="008F6E6A">
        <w:rPr>
          <w:noProof/>
          <w:color w:val="000000"/>
          <w:bdr w:val="nil"/>
        </w:rPr>
        <w:t>•</w:t>
      </w:r>
      <w:r w:rsidRPr="008F6E6A">
        <w:rPr>
          <w:rFonts w:eastAsia="Arial Unicode MS"/>
          <w:noProof/>
          <w:color w:val="000000"/>
          <w:u w:color="000000"/>
          <w:bdr w:val="nil"/>
          <w:lang w:eastAsia="en-GB"/>
        </w:rPr>
        <w:tab/>
      </w:r>
      <w:r w:rsidRPr="008F6E6A">
        <w:rPr>
          <w:rFonts w:eastAsia="Arial Unicode MS"/>
          <w:noProof/>
        </w:rPr>
        <w:t xml:space="preserve">The review of the </w:t>
      </w:r>
      <w:r w:rsidR="40536B40" w:rsidRPr="008F6E6A">
        <w:rPr>
          <w:rFonts w:eastAsia="Arial Unicode MS"/>
          <w:noProof/>
        </w:rPr>
        <w:t>s</w:t>
      </w:r>
      <w:r w:rsidRPr="008F6E6A">
        <w:rPr>
          <w:rFonts w:eastAsia="Arial Unicode MS"/>
          <w:noProof/>
        </w:rPr>
        <w:t xml:space="preserve">afe </w:t>
      </w:r>
      <w:r w:rsidR="57498B31" w:rsidRPr="008F6E6A">
        <w:rPr>
          <w:rFonts w:eastAsia="Arial Unicode MS"/>
          <w:noProof/>
        </w:rPr>
        <w:t>t</w:t>
      </w:r>
      <w:r w:rsidRPr="008F6E6A">
        <w:rPr>
          <w:rFonts w:eastAsia="Arial Unicode MS"/>
          <w:noProof/>
        </w:rPr>
        <w:t xml:space="preserve">hird </w:t>
      </w:r>
      <w:r w:rsidR="2291F0C9" w:rsidRPr="008F6E6A">
        <w:rPr>
          <w:rFonts w:eastAsia="Arial Unicode MS"/>
          <w:noProof/>
        </w:rPr>
        <w:t>c</w:t>
      </w:r>
      <w:r w:rsidRPr="008F6E6A">
        <w:rPr>
          <w:rFonts w:eastAsia="Arial Unicode MS"/>
          <w:noProof/>
        </w:rPr>
        <w:t xml:space="preserve">ountry </w:t>
      </w:r>
      <w:r w:rsidR="340FFDB2" w:rsidRPr="008F6E6A">
        <w:rPr>
          <w:rFonts w:eastAsia="Arial Unicode MS"/>
          <w:noProof/>
        </w:rPr>
        <w:t>c</w:t>
      </w:r>
      <w:r w:rsidRPr="008F6E6A">
        <w:rPr>
          <w:rFonts w:eastAsia="Arial Unicode MS"/>
          <w:noProof/>
        </w:rPr>
        <w:t>oncept</w:t>
      </w:r>
    </w:p>
    <w:p w:rsidR="005C3255" w:rsidRPr="004F7E22" w:rsidRDefault="005C3255" w:rsidP="005C3255">
      <w:pPr>
        <w:rPr>
          <w:bCs/>
          <w:noProof/>
        </w:rPr>
      </w:pPr>
      <w:r>
        <w:rPr>
          <w:noProof/>
        </w:rPr>
        <w:t>T</w:t>
      </w:r>
      <w:r>
        <w:rPr>
          <w:bCs/>
          <w:noProof/>
        </w:rPr>
        <w:t xml:space="preserve">he Commission </w:t>
      </w:r>
      <w:r>
        <w:rPr>
          <w:noProof/>
        </w:rPr>
        <w:t xml:space="preserve">adopted a holistic approach to the review in accordance </w:t>
      </w:r>
      <w:r w:rsidRPr="004F7E22">
        <w:rPr>
          <w:bCs/>
          <w:noProof/>
        </w:rPr>
        <w:t xml:space="preserve">with </w:t>
      </w:r>
      <w:r>
        <w:rPr>
          <w:bCs/>
          <w:noProof/>
        </w:rPr>
        <w:t xml:space="preserve">the obligation under </w:t>
      </w:r>
      <w:r w:rsidRPr="004F7E22">
        <w:rPr>
          <w:bCs/>
          <w:noProof/>
        </w:rPr>
        <w:t>Article 77 of the APR</w:t>
      </w:r>
      <w:r w:rsidRPr="004F7E22">
        <w:rPr>
          <w:rStyle w:val="FootnoteReference"/>
          <w:bCs/>
          <w:noProof/>
        </w:rPr>
        <w:footnoteReference w:id="6"/>
      </w:r>
      <w:r w:rsidRPr="004F7E22">
        <w:rPr>
          <w:bCs/>
          <w:noProof/>
        </w:rPr>
        <w:t xml:space="preserve">. </w:t>
      </w:r>
    </w:p>
    <w:p w:rsidR="005C3255" w:rsidRPr="00637BD3" w:rsidRDefault="005C3255" w:rsidP="005C3255">
      <w:pPr>
        <w:rPr>
          <w:noProof/>
        </w:rPr>
      </w:pPr>
      <w:r w:rsidRPr="00497315">
        <w:rPr>
          <w:noProof/>
        </w:rPr>
        <w:t>As part of this review, the Commission examined</w:t>
      </w:r>
      <w:r>
        <w:rPr>
          <w:noProof/>
        </w:rPr>
        <w:t xml:space="preserve"> the</w:t>
      </w:r>
      <w:r w:rsidRPr="00497315">
        <w:rPr>
          <w:noProof/>
        </w:rPr>
        <w:t xml:space="preserve"> elements related to the STC concept</w:t>
      </w:r>
      <w:r>
        <w:rPr>
          <w:noProof/>
        </w:rPr>
        <w:t xml:space="preserve"> and its</w:t>
      </w:r>
      <w:r w:rsidRPr="00497315">
        <w:rPr>
          <w:noProof/>
        </w:rPr>
        <w:t xml:space="preserve"> </w:t>
      </w:r>
      <w:r w:rsidRPr="00637BD3">
        <w:rPr>
          <w:noProof/>
        </w:rPr>
        <w:t xml:space="preserve">application under the APR. These include: </w:t>
      </w:r>
    </w:p>
    <w:p w:rsidR="005C3255" w:rsidRPr="00637BD3" w:rsidRDefault="003F5A2D" w:rsidP="003F5A2D">
      <w:pPr>
        <w:pStyle w:val="Point0"/>
        <w:rPr>
          <w:noProof/>
        </w:rPr>
      </w:pPr>
      <w:r w:rsidRPr="003F5A2D">
        <w:rPr>
          <w:noProof/>
        </w:rPr>
        <w:t>(1)</w:t>
      </w:r>
      <w:r w:rsidRPr="003F5A2D">
        <w:rPr>
          <w:noProof/>
        </w:rPr>
        <w:tab/>
      </w:r>
      <w:r w:rsidR="005C3255" w:rsidRPr="00637BD3">
        <w:rPr>
          <w:noProof/>
        </w:rPr>
        <w:t xml:space="preserve">the conditions a third country must meet in order to be considered </w:t>
      </w:r>
      <w:r w:rsidR="005C3255" w:rsidRPr="00637BD3">
        <w:rPr>
          <w:b/>
          <w:bCs/>
          <w:noProof/>
        </w:rPr>
        <w:t>‘safe’</w:t>
      </w:r>
      <w:r w:rsidR="005C3255" w:rsidRPr="00637BD3">
        <w:rPr>
          <w:noProof/>
        </w:rPr>
        <w:t xml:space="preserve">, as set out in Article 59 of the APR. </w:t>
      </w:r>
      <w:bookmarkStart w:id="2" w:name="_Int_nwHjy98B"/>
      <w:r w:rsidR="005C3255" w:rsidRPr="00637BD3">
        <w:rPr>
          <w:noProof/>
        </w:rPr>
        <w:t>In essence, there</w:t>
      </w:r>
      <w:bookmarkEnd w:id="2"/>
      <w:r w:rsidR="005C3255" w:rsidRPr="00637BD3">
        <w:rPr>
          <w:noProof/>
        </w:rPr>
        <w:t xml:space="preserve"> should be no risk of persecution or of serious harm in that third country; there must be the possibility to request and, if conditions are fulfilled, receive </w:t>
      </w:r>
      <w:r w:rsidR="005C3255" w:rsidRPr="00637BD3">
        <w:rPr>
          <w:b/>
          <w:bCs/>
          <w:noProof/>
        </w:rPr>
        <w:t>effective</w:t>
      </w:r>
      <w:r w:rsidR="005C3255" w:rsidRPr="00637BD3">
        <w:rPr>
          <w:noProof/>
        </w:rPr>
        <w:t xml:space="preserve"> </w:t>
      </w:r>
      <w:r w:rsidR="005C3255" w:rsidRPr="00637BD3">
        <w:rPr>
          <w:b/>
          <w:bCs/>
          <w:noProof/>
        </w:rPr>
        <w:t>protection</w:t>
      </w:r>
      <w:r w:rsidR="005C3255" w:rsidRPr="00637BD3">
        <w:rPr>
          <w:noProof/>
        </w:rPr>
        <w:t xml:space="preserve"> as defined in Article 57 of the APR; and the principle of </w:t>
      </w:r>
      <w:r w:rsidR="005C3255" w:rsidRPr="00637BD3">
        <w:rPr>
          <w:i/>
          <w:iCs/>
          <w:noProof/>
        </w:rPr>
        <w:t>non-refoulement</w:t>
      </w:r>
      <w:r w:rsidR="005C3255" w:rsidRPr="00637BD3">
        <w:rPr>
          <w:noProof/>
        </w:rPr>
        <w:t xml:space="preserve"> must be respected.</w:t>
      </w:r>
    </w:p>
    <w:p w:rsidR="005C3255" w:rsidRPr="00637BD3" w:rsidRDefault="003F5A2D" w:rsidP="003F5A2D">
      <w:pPr>
        <w:pStyle w:val="Point0"/>
        <w:rPr>
          <w:noProof/>
        </w:rPr>
      </w:pPr>
      <w:r w:rsidRPr="003F5A2D">
        <w:rPr>
          <w:noProof/>
        </w:rPr>
        <w:t>(2)</w:t>
      </w:r>
      <w:r w:rsidRPr="003F5A2D">
        <w:rPr>
          <w:noProof/>
        </w:rPr>
        <w:tab/>
      </w:r>
      <w:r w:rsidR="005C3255" w:rsidRPr="00637BD3">
        <w:rPr>
          <w:noProof/>
        </w:rPr>
        <w:t xml:space="preserve">the existence of a </w:t>
      </w:r>
      <w:r w:rsidR="005C3255" w:rsidRPr="00637BD3">
        <w:rPr>
          <w:b/>
          <w:bCs/>
          <w:noProof/>
        </w:rPr>
        <w:t>connection</w:t>
      </w:r>
      <w:r w:rsidR="005C3255" w:rsidRPr="00637BD3">
        <w:rPr>
          <w:noProof/>
        </w:rPr>
        <w:t xml:space="preserve"> between the applicant and the third country, meaning that there must be a link between the asylum</w:t>
      </w:r>
      <w:r w:rsidR="00737E12" w:rsidRPr="00637BD3">
        <w:rPr>
          <w:noProof/>
        </w:rPr>
        <w:t xml:space="preserve"> </w:t>
      </w:r>
      <w:r w:rsidR="005C3255" w:rsidRPr="00637BD3">
        <w:rPr>
          <w:noProof/>
        </w:rPr>
        <w:t xml:space="preserve">seeker and the STC that makes it reasonable to transfer the applicant to that STC. </w:t>
      </w:r>
    </w:p>
    <w:p w:rsidR="005C3255" w:rsidRPr="00637BD3" w:rsidRDefault="003F5A2D" w:rsidP="003F5A2D">
      <w:pPr>
        <w:pStyle w:val="Point0"/>
        <w:rPr>
          <w:noProof/>
          <w:sz w:val="22"/>
          <w:lang w:val="en-IE"/>
        </w:rPr>
      </w:pPr>
      <w:r w:rsidRPr="003F5A2D">
        <w:rPr>
          <w:noProof/>
        </w:rPr>
        <w:t>(3)</w:t>
      </w:r>
      <w:r w:rsidRPr="003F5A2D">
        <w:rPr>
          <w:noProof/>
        </w:rPr>
        <w:tab/>
      </w:r>
      <w:r w:rsidR="005C3255" w:rsidRPr="00637BD3">
        <w:rPr>
          <w:b/>
          <w:bCs/>
          <w:noProof/>
        </w:rPr>
        <w:t>due process guarantees</w:t>
      </w:r>
      <w:r w:rsidR="005C3255" w:rsidRPr="00637BD3">
        <w:rPr>
          <w:noProof/>
        </w:rPr>
        <w:t xml:space="preserve"> established by the APR which must be respected by Member States applying the concept, notably an </w:t>
      </w:r>
      <w:r w:rsidR="005C3255" w:rsidRPr="00637BD3">
        <w:rPr>
          <w:noProof/>
          <w:u w:val="single"/>
        </w:rPr>
        <w:t>individual, case-by-case assessment</w:t>
      </w:r>
      <w:r w:rsidR="005C3255" w:rsidRPr="00637BD3">
        <w:rPr>
          <w:noProof/>
        </w:rPr>
        <w:t xml:space="preserve"> of whether the country is safe for each applicant concerned, as well as the </w:t>
      </w:r>
      <w:r w:rsidR="005C3255" w:rsidRPr="00637BD3">
        <w:rPr>
          <w:noProof/>
          <w:u w:val="single"/>
        </w:rPr>
        <w:t>possibility for the applicant to challenge</w:t>
      </w:r>
      <w:r w:rsidR="005C3255" w:rsidRPr="00637BD3">
        <w:rPr>
          <w:noProof/>
        </w:rPr>
        <w:t xml:space="preserve"> in court both the existence of a connection to the third country in question, as well as the </w:t>
      </w:r>
      <w:r w:rsidR="005C3255" w:rsidRPr="00637BD3">
        <w:rPr>
          <w:noProof/>
          <w:u w:val="single"/>
        </w:rPr>
        <w:t>automatic suspensive effect of the appeal</w:t>
      </w:r>
      <w:r w:rsidR="005C3255" w:rsidRPr="00637BD3">
        <w:rPr>
          <w:noProof/>
        </w:rPr>
        <w:t xml:space="preserve">, and the fact that the country would be safe given his/her specific circumstances (possibility to rebut the presumption of safety). </w:t>
      </w:r>
    </w:p>
    <w:p w:rsidR="00693ED0" w:rsidRPr="008F6E6A" w:rsidRDefault="005C3255" w:rsidP="005C3255">
      <w:pPr>
        <w:rPr>
          <w:noProof/>
        </w:rPr>
      </w:pPr>
      <w:r w:rsidRPr="00637BD3">
        <w:rPr>
          <w:noProof/>
        </w:rPr>
        <w:t>As a result of this review, and after careful analysis, the Commission, concluded that there is scope to revise the connection criterion, as it is not a requirement under international law, and the automatic suspensive effect</w:t>
      </w:r>
      <w:r w:rsidRPr="00325E1B">
        <w:rPr>
          <w:noProof/>
        </w:rPr>
        <w:t xml:space="preserve"> of the appeal. However, </w:t>
      </w:r>
      <w:r>
        <w:rPr>
          <w:noProof/>
        </w:rPr>
        <w:t>it found that there</w:t>
      </w:r>
      <w:r w:rsidRPr="00325E1B">
        <w:rPr>
          <w:noProof/>
        </w:rPr>
        <w:t xml:space="preserve"> is no scope for revision regarding the criteria for </w:t>
      </w:r>
      <w:r>
        <w:rPr>
          <w:noProof/>
        </w:rPr>
        <w:t>‘</w:t>
      </w:r>
      <w:r w:rsidRPr="00325E1B">
        <w:rPr>
          <w:noProof/>
        </w:rPr>
        <w:t>safety</w:t>
      </w:r>
      <w:r>
        <w:rPr>
          <w:noProof/>
        </w:rPr>
        <w:t>’</w:t>
      </w:r>
      <w:r w:rsidRPr="00325E1B">
        <w:rPr>
          <w:noProof/>
        </w:rPr>
        <w:t xml:space="preserve"> of the third country, as they are already aligned with the minimum standards required under international law</w:t>
      </w:r>
      <w:r w:rsidRPr="008F6E6A">
        <w:rPr>
          <w:rStyle w:val="FootnoteReference"/>
          <w:noProof/>
        </w:rPr>
        <w:footnoteReference w:id="7"/>
      </w:r>
      <w:r w:rsidRPr="008F6E6A">
        <w:rPr>
          <w:noProof/>
        </w:rPr>
        <w:t>.</w:t>
      </w:r>
      <w:r>
        <w:rPr>
          <w:noProof/>
        </w:rPr>
        <w:t xml:space="preserve"> </w:t>
      </w:r>
      <w:r w:rsidRPr="00325E1B">
        <w:rPr>
          <w:noProof/>
        </w:rPr>
        <w:t xml:space="preserve">Other aspects linked to due process, including the individual assessment, are requirements under EU and international law and jurisprudence as essential in protecting individuals from </w:t>
      </w:r>
      <w:r w:rsidRPr="00325E1B">
        <w:rPr>
          <w:i/>
          <w:iCs/>
          <w:noProof/>
        </w:rPr>
        <w:t>refoulement</w:t>
      </w:r>
      <w:r w:rsidRPr="00325E1B">
        <w:rPr>
          <w:noProof/>
        </w:rPr>
        <w:t xml:space="preserve"> and preserving their fundamental rights. Given their binding nature under</w:t>
      </w:r>
      <w:r>
        <w:rPr>
          <w:noProof/>
        </w:rPr>
        <w:t xml:space="preserve"> EU and</w:t>
      </w:r>
      <w:r w:rsidRPr="00325E1B">
        <w:rPr>
          <w:noProof/>
        </w:rPr>
        <w:t xml:space="preserve"> international law, these safeguards must remain in place</w:t>
      </w:r>
      <w:r>
        <w:rPr>
          <w:rStyle w:val="FootnoteReference"/>
          <w:noProof/>
        </w:rPr>
        <w:footnoteReference w:id="8"/>
      </w:r>
      <w:r w:rsidR="00D267A4">
        <w:rPr>
          <w:noProof/>
        </w:rPr>
        <w:t>.</w:t>
      </w:r>
      <w:r w:rsidR="00693ED0" w:rsidRPr="008F6E6A">
        <w:rPr>
          <w:noProof/>
        </w:rPr>
        <w:t xml:space="preserve"> </w:t>
      </w:r>
    </w:p>
    <w:p w:rsidR="00693ED0" w:rsidRPr="008F6E6A" w:rsidRDefault="008C6481" w:rsidP="00693ED0">
      <w:pPr>
        <w:rPr>
          <w:noProof/>
        </w:rPr>
      </w:pPr>
      <w:r>
        <w:rPr>
          <w:noProof/>
        </w:rPr>
        <w:t>Therefore</w:t>
      </w:r>
      <w:r w:rsidRPr="008F6E6A">
        <w:rPr>
          <w:noProof/>
        </w:rPr>
        <w:t>, the following two elements have been identified for a targeted amendment of the APR</w:t>
      </w:r>
      <w:r w:rsidR="00693ED0" w:rsidRPr="008F6E6A">
        <w:rPr>
          <w:noProof/>
        </w:rPr>
        <w:t xml:space="preserve">: </w:t>
      </w:r>
    </w:p>
    <w:p w:rsidR="00693ED0" w:rsidRPr="008F6E6A" w:rsidRDefault="003F5A2D" w:rsidP="003F5A2D">
      <w:pPr>
        <w:pStyle w:val="Point1"/>
        <w:rPr>
          <w:noProof/>
        </w:rPr>
      </w:pPr>
      <w:r w:rsidRPr="003F5A2D">
        <w:rPr>
          <w:noProof/>
        </w:rPr>
        <w:t>(a)</w:t>
      </w:r>
      <w:r w:rsidRPr="003F5A2D">
        <w:rPr>
          <w:noProof/>
        </w:rPr>
        <w:tab/>
      </w:r>
      <w:r w:rsidR="00693ED0" w:rsidRPr="008F6E6A">
        <w:rPr>
          <w:noProof/>
        </w:rPr>
        <w:t xml:space="preserve">the </w:t>
      </w:r>
      <w:r w:rsidR="002A3C64">
        <w:rPr>
          <w:noProof/>
        </w:rPr>
        <w:t xml:space="preserve">requirement of </w:t>
      </w:r>
      <w:r w:rsidR="00C33EE7" w:rsidRPr="008F6E6A">
        <w:rPr>
          <w:noProof/>
        </w:rPr>
        <w:t xml:space="preserve">a </w:t>
      </w:r>
      <w:r w:rsidR="00693ED0" w:rsidRPr="008F6E6A">
        <w:rPr>
          <w:noProof/>
        </w:rPr>
        <w:t xml:space="preserve">connection </w:t>
      </w:r>
      <w:r w:rsidR="00C33EE7" w:rsidRPr="008F6E6A">
        <w:rPr>
          <w:noProof/>
        </w:rPr>
        <w:t xml:space="preserve">between the applicant and the third country (the </w:t>
      </w:r>
      <w:r w:rsidR="00C33EE7" w:rsidRPr="008F6E6A">
        <w:rPr>
          <w:b/>
          <w:bCs/>
          <w:noProof/>
        </w:rPr>
        <w:t xml:space="preserve">connection </w:t>
      </w:r>
      <w:r w:rsidR="00693ED0" w:rsidRPr="008F6E6A">
        <w:rPr>
          <w:b/>
          <w:bCs/>
          <w:noProof/>
        </w:rPr>
        <w:t>criterion</w:t>
      </w:r>
      <w:r w:rsidR="00C33EE7" w:rsidRPr="008F6E6A">
        <w:rPr>
          <w:noProof/>
        </w:rPr>
        <w:t>); and</w:t>
      </w:r>
    </w:p>
    <w:p w:rsidR="00693ED0" w:rsidRDefault="003F5A2D" w:rsidP="003F5A2D">
      <w:pPr>
        <w:pStyle w:val="Point1"/>
        <w:rPr>
          <w:noProof/>
        </w:rPr>
      </w:pPr>
      <w:r w:rsidRPr="003F5A2D">
        <w:rPr>
          <w:noProof/>
        </w:rPr>
        <w:t>(b)</w:t>
      </w:r>
      <w:r w:rsidRPr="003F5A2D">
        <w:rPr>
          <w:noProof/>
        </w:rPr>
        <w:tab/>
      </w:r>
      <w:r w:rsidR="00693ED0" w:rsidRPr="008F6E6A">
        <w:rPr>
          <w:noProof/>
        </w:rPr>
        <w:t xml:space="preserve">the </w:t>
      </w:r>
      <w:r w:rsidR="00693ED0" w:rsidRPr="008F6E6A">
        <w:rPr>
          <w:b/>
          <w:bCs/>
          <w:noProof/>
        </w:rPr>
        <w:t xml:space="preserve">suspensive effect of </w:t>
      </w:r>
      <w:r w:rsidR="00C63D7E" w:rsidRPr="008F6E6A">
        <w:rPr>
          <w:b/>
          <w:bCs/>
          <w:noProof/>
        </w:rPr>
        <w:t>the</w:t>
      </w:r>
      <w:r w:rsidR="00671781" w:rsidRPr="008F6E6A">
        <w:rPr>
          <w:b/>
          <w:bCs/>
          <w:noProof/>
        </w:rPr>
        <w:t xml:space="preserve"> </w:t>
      </w:r>
      <w:r w:rsidR="00693ED0" w:rsidRPr="008F6E6A">
        <w:rPr>
          <w:b/>
          <w:bCs/>
          <w:noProof/>
        </w:rPr>
        <w:t>appeal</w:t>
      </w:r>
      <w:r w:rsidR="00693ED0" w:rsidRPr="008F6E6A">
        <w:rPr>
          <w:noProof/>
        </w:rPr>
        <w:t xml:space="preserve"> against decisions rejecting an application as inadmissible on the STC ground. </w:t>
      </w:r>
    </w:p>
    <w:p w:rsidR="00AD23EE" w:rsidRPr="008F6E6A" w:rsidRDefault="00AD23EE" w:rsidP="007B112E">
      <w:pPr>
        <w:rPr>
          <w:noProof/>
        </w:rPr>
      </w:pPr>
      <w:r w:rsidRPr="0004342B">
        <w:rPr>
          <w:noProof/>
        </w:rPr>
        <w:t>Stakeholders flagged various benefits and risks for each alternative, as summarised in the section ‘stakeholder consultation’ below.</w:t>
      </w:r>
    </w:p>
    <w:p w:rsidR="00693ED0" w:rsidRPr="008F6E6A" w:rsidRDefault="00693ED0" w:rsidP="00693ED0">
      <w:pPr>
        <w:pStyle w:val="ManualHeading2"/>
        <w:rPr>
          <w:noProof/>
        </w:rPr>
      </w:pPr>
      <w:r w:rsidRPr="008F6E6A">
        <w:rPr>
          <w:noProof/>
        </w:rPr>
        <w:t>A. Connection criterion</w:t>
      </w:r>
    </w:p>
    <w:p w:rsidR="00D00F07" w:rsidRPr="008F6E6A" w:rsidRDefault="001334C4" w:rsidP="00D00F07">
      <w:pPr>
        <w:rPr>
          <w:noProof/>
        </w:rPr>
      </w:pPr>
      <w:r>
        <w:rPr>
          <w:noProof/>
        </w:rPr>
        <w:t xml:space="preserve">The Commission’s review found that the non-binding nature of the connection criterion in international law allowed room for its revision. It was also the element in the STC concept under the APR that </w:t>
      </w:r>
      <w:r w:rsidR="00737E12">
        <w:rPr>
          <w:noProof/>
        </w:rPr>
        <w:t>a significant majority of</w:t>
      </w:r>
      <w:r>
        <w:rPr>
          <w:noProof/>
        </w:rPr>
        <w:t xml:space="preserve"> Member States identified as having the biggest impact in facilitating the application of the concept. </w:t>
      </w:r>
      <w:r w:rsidR="00D00F07">
        <w:rPr>
          <w:noProof/>
        </w:rPr>
        <w:t>On this basis, the</w:t>
      </w:r>
      <w:r w:rsidR="00D00F07" w:rsidRPr="008F6E6A">
        <w:rPr>
          <w:noProof/>
        </w:rPr>
        <w:t xml:space="preserve"> Commission identified and assessed three alternatives for revising the connection criterion in the context of the APR</w:t>
      </w:r>
      <w:r w:rsidR="00D00F07">
        <w:rPr>
          <w:rStyle w:val="FootnoteReference"/>
          <w:noProof/>
        </w:rPr>
        <w:footnoteReference w:id="9"/>
      </w:r>
      <w:r w:rsidR="00D00F07" w:rsidRPr="008F6E6A">
        <w:rPr>
          <w:noProof/>
        </w:rPr>
        <w:t>.</w:t>
      </w:r>
    </w:p>
    <w:p w:rsidR="00DB2CC3" w:rsidRPr="008F6E6A" w:rsidRDefault="00DB2CC3" w:rsidP="00B14813">
      <w:pPr>
        <w:pStyle w:val="ListNumber"/>
        <w:rPr>
          <w:noProof/>
        </w:rPr>
      </w:pPr>
      <w:r w:rsidRPr="008F6E6A">
        <w:rPr>
          <w:i/>
          <w:noProof/>
        </w:rPr>
        <w:t xml:space="preserve">Removal of the connection criterion </w:t>
      </w:r>
      <w:r w:rsidR="00A157E1" w:rsidRPr="008F6E6A">
        <w:rPr>
          <w:i/>
          <w:iCs/>
          <w:noProof/>
        </w:rPr>
        <w:t xml:space="preserve">as </w:t>
      </w:r>
      <w:r w:rsidR="00606978">
        <w:rPr>
          <w:i/>
          <w:iCs/>
          <w:noProof/>
        </w:rPr>
        <w:t xml:space="preserve">a </w:t>
      </w:r>
      <w:r w:rsidR="00A157E1" w:rsidRPr="008F6E6A">
        <w:rPr>
          <w:i/>
          <w:iCs/>
          <w:noProof/>
        </w:rPr>
        <w:t>mandatory requirement under</w:t>
      </w:r>
      <w:r w:rsidR="00A157E1" w:rsidRPr="008F6E6A">
        <w:rPr>
          <w:i/>
          <w:noProof/>
        </w:rPr>
        <w:t xml:space="preserve"> EU law</w:t>
      </w:r>
    </w:p>
    <w:p w:rsidR="00A157E1" w:rsidRPr="008F6E6A" w:rsidRDefault="00DB2CC3" w:rsidP="00A157E1">
      <w:pPr>
        <w:rPr>
          <w:noProof/>
        </w:rPr>
      </w:pPr>
      <w:r w:rsidRPr="008F6E6A">
        <w:rPr>
          <w:noProof/>
        </w:rPr>
        <w:t xml:space="preserve">Since the connection criterion is not required under international law, one alternative considered was to remove </w:t>
      </w:r>
      <w:r>
        <w:rPr>
          <w:noProof/>
        </w:rPr>
        <w:t>it</w:t>
      </w:r>
      <w:r w:rsidR="00827AA3">
        <w:rPr>
          <w:noProof/>
        </w:rPr>
        <w:t>s mandatory nature</w:t>
      </w:r>
      <w:r w:rsidRPr="008F6E6A">
        <w:rPr>
          <w:noProof/>
        </w:rPr>
        <w:t xml:space="preserve"> from EU law</w:t>
      </w:r>
      <w:r w:rsidR="00915819" w:rsidRPr="008F6E6A">
        <w:rPr>
          <w:noProof/>
        </w:rPr>
        <w:t xml:space="preserve">, </w:t>
      </w:r>
      <w:r>
        <w:rPr>
          <w:noProof/>
        </w:rPr>
        <w:t>thus allowing Member States, when apply</w:t>
      </w:r>
      <w:r w:rsidR="009A35DA">
        <w:rPr>
          <w:noProof/>
        </w:rPr>
        <w:t>ing</w:t>
      </w:r>
      <w:r>
        <w:rPr>
          <w:noProof/>
        </w:rPr>
        <w:t xml:space="preserve"> the STC concept, the possibility to choose whether to apply the connection criterion or not, and how to define it in national law</w:t>
      </w:r>
      <w:r w:rsidR="00F87227">
        <w:rPr>
          <w:noProof/>
        </w:rPr>
        <w:t>.</w:t>
      </w:r>
      <w:r>
        <w:rPr>
          <w:noProof/>
        </w:rPr>
        <w:t xml:space="preserve"> </w:t>
      </w:r>
    </w:p>
    <w:p w:rsidR="003E74F1" w:rsidRPr="008F6E6A" w:rsidRDefault="00FD7A85" w:rsidP="00FD7A85">
      <w:pPr>
        <w:rPr>
          <w:noProof/>
        </w:rPr>
      </w:pPr>
      <w:r w:rsidRPr="008F6E6A">
        <w:rPr>
          <w:noProof/>
        </w:rPr>
        <w:t>T</w:t>
      </w:r>
      <w:r w:rsidR="003E74F1" w:rsidRPr="008F6E6A">
        <w:rPr>
          <w:noProof/>
        </w:rPr>
        <w:t xml:space="preserve">his alternative </w:t>
      </w:r>
      <w:r w:rsidR="003E74F1" w:rsidRPr="008F6E6A" w:rsidDel="00022AD4">
        <w:rPr>
          <w:noProof/>
        </w:rPr>
        <w:t xml:space="preserve">would </w:t>
      </w:r>
      <w:r w:rsidR="003E74F1" w:rsidRPr="008F6E6A">
        <w:rPr>
          <w:noProof/>
        </w:rPr>
        <w:t xml:space="preserve">facilitate the application of the STC by Member States </w:t>
      </w:r>
      <w:r w:rsidR="003E74F1" w:rsidRPr="008F6E6A" w:rsidDel="00022AD4">
        <w:rPr>
          <w:noProof/>
        </w:rPr>
        <w:t xml:space="preserve">by </w:t>
      </w:r>
      <w:r w:rsidR="00C13352" w:rsidRPr="008F6E6A">
        <w:rPr>
          <w:noProof/>
        </w:rPr>
        <w:t>potentially</w:t>
      </w:r>
      <w:r w:rsidR="00C13352" w:rsidRPr="008F6E6A" w:rsidDel="00022AD4">
        <w:rPr>
          <w:noProof/>
        </w:rPr>
        <w:t xml:space="preserve"> </w:t>
      </w:r>
      <w:r w:rsidR="00C00FC3" w:rsidRPr="008F6E6A">
        <w:rPr>
          <w:noProof/>
        </w:rPr>
        <w:t>expanding</w:t>
      </w:r>
      <w:r w:rsidR="003E74F1" w:rsidRPr="008F6E6A" w:rsidDel="00022AD4">
        <w:rPr>
          <w:noProof/>
        </w:rPr>
        <w:t xml:space="preserve"> the number of applicants to whom the STC concept could be applied, </w:t>
      </w:r>
      <w:r w:rsidR="00967E6B" w:rsidRPr="008F6E6A">
        <w:rPr>
          <w:noProof/>
        </w:rPr>
        <w:t>broadening</w:t>
      </w:r>
      <w:r w:rsidR="003E74F1" w:rsidRPr="008F6E6A" w:rsidDel="00022AD4">
        <w:rPr>
          <w:noProof/>
        </w:rPr>
        <w:t xml:space="preserve"> the pool of third countries with which to collaborate in </w:t>
      </w:r>
      <w:r w:rsidR="00967E6B" w:rsidRPr="008F6E6A">
        <w:rPr>
          <w:noProof/>
        </w:rPr>
        <w:t>its</w:t>
      </w:r>
      <w:r w:rsidR="003E74F1" w:rsidRPr="008F6E6A" w:rsidDel="00022AD4">
        <w:rPr>
          <w:noProof/>
        </w:rPr>
        <w:t xml:space="preserve"> application</w:t>
      </w:r>
      <w:r w:rsidR="00FB7F6B" w:rsidRPr="008F6E6A">
        <w:rPr>
          <w:noProof/>
        </w:rPr>
        <w:t>,</w:t>
      </w:r>
      <w:r w:rsidR="003E74F1" w:rsidRPr="008F6E6A">
        <w:rPr>
          <w:noProof/>
        </w:rPr>
        <w:t xml:space="preserve"> and </w:t>
      </w:r>
      <w:r w:rsidR="003E74F1" w:rsidRPr="008F6E6A" w:rsidDel="00022AD4">
        <w:rPr>
          <w:noProof/>
        </w:rPr>
        <w:t xml:space="preserve">eliminating the </w:t>
      </w:r>
      <w:r w:rsidR="003E74F1" w:rsidRPr="008F6E6A">
        <w:rPr>
          <w:noProof/>
        </w:rPr>
        <w:t>need to prove</w:t>
      </w:r>
      <w:r w:rsidR="003E74F1" w:rsidRPr="008F6E6A" w:rsidDel="00022AD4">
        <w:rPr>
          <w:noProof/>
        </w:rPr>
        <w:t xml:space="preserve"> the existence of a connection to a given STC.</w:t>
      </w:r>
      <w:r w:rsidR="00CF1C42" w:rsidRPr="008F6E6A">
        <w:rPr>
          <w:noProof/>
        </w:rPr>
        <w:t xml:space="preserve"> This would reduce administrative burden and increase the effectiveness of the processing of asylum applications.</w:t>
      </w:r>
      <w:r w:rsidR="003E74F1" w:rsidRPr="008F6E6A" w:rsidDel="00022AD4">
        <w:rPr>
          <w:noProof/>
        </w:rPr>
        <w:t xml:space="preserve"> </w:t>
      </w:r>
      <w:r w:rsidR="00DA0999" w:rsidRPr="008F6E6A">
        <w:rPr>
          <w:noProof/>
        </w:rPr>
        <w:t>It could also contribute to increased responsibility sharing and possibly expand the global protection space.</w:t>
      </w:r>
      <w:r w:rsidR="002410E6" w:rsidRPr="008F6E6A">
        <w:rPr>
          <w:noProof/>
        </w:rPr>
        <w:t xml:space="preserve"> </w:t>
      </w:r>
      <w:r w:rsidRPr="008F6E6A">
        <w:rPr>
          <w:noProof/>
        </w:rPr>
        <w:t>T</w:t>
      </w:r>
      <w:r w:rsidR="00B14813" w:rsidRPr="008F6E6A">
        <w:rPr>
          <w:noProof/>
        </w:rPr>
        <w:t>his alternative</w:t>
      </w:r>
      <w:r w:rsidR="003E74F1" w:rsidRPr="008F6E6A">
        <w:rPr>
          <w:noProof/>
        </w:rPr>
        <w:t xml:space="preserve"> </w:t>
      </w:r>
      <w:r w:rsidRPr="008F6E6A">
        <w:rPr>
          <w:noProof/>
        </w:rPr>
        <w:t xml:space="preserve">needs to be applied in line </w:t>
      </w:r>
      <w:r w:rsidR="003E74F1" w:rsidRPr="008F6E6A" w:rsidDel="00022AD4">
        <w:rPr>
          <w:noProof/>
        </w:rPr>
        <w:t>with the EU Charter</w:t>
      </w:r>
      <w:r w:rsidRPr="008F6E6A">
        <w:rPr>
          <w:noProof/>
        </w:rPr>
        <w:t xml:space="preserve"> of Fundamental Rights</w:t>
      </w:r>
      <w:r w:rsidR="00EE0739">
        <w:rPr>
          <w:noProof/>
        </w:rPr>
        <w:t>,</w:t>
      </w:r>
      <w:r w:rsidR="00973A78" w:rsidRPr="00973A78">
        <w:rPr>
          <w:noProof/>
        </w:rPr>
        <w:t xml:space="preserve"> </w:t>
      </w:r>
      <w:r w:rsidR="00973A78">
        <w:rPr>
          <w:noProof/>
        </w:rPr>
        <w:t>including children’s rights</w:t>
      </w:r>
      <w:r w:rsidRPr="008F6E6A">
        <w:rPr>
          <w:noProof/>
        </w:rPr>
        <w:t xml:space="preserve">. </w:t>
      </w:r>
    </w:p>
    <w:p w:rsidR="002D0876" w:rsidRPr="00497315" w:rsidRDefault="007B46F0" w:rsidP="00A46C05">
      <w:pPr>
        <w:rPr>
          <w:noProof/>
        </w:rPr>
      </w:pPr>
      <w:r w:rsidRPr="0004342B">
        <w:rPr>
          <w:noProof/>
        </w:rPr>
        <w:t>T</w:t>
      </w:r>
      <w:r w:rsidR="002410E6" w:rsidRPr="0004342B">
        <w:rPr>
          <w:noProof/>
        </w:rPr>
        <w:t>h</w:t>
      </w:r>
      <w:r w:rsidR="0004342B">
        <w:rPr>
          <w:noProof/>
        </w:rPr>
        <w:t>is alt</w:t>
      </w:r>
      <w:r w:rsidR="002410E6" w:rsidRPr="0004342B">
        <w:rPr>
          <w:noProof/>
        </w:rPr>
        <w:t>e</w:t>
      </w:r>
      <w:r w:rsidR="0004342B">
        <w:rPr>
          <w:noProof/>
        </w:rPr>
        <w:t xml:space="preserve">rnative </w:t>
      </w:r>
      <w:r w:rsidR="00497315">
        <w:rPr>
          <w:noProof/>
        </w:rPr>
        <w:t xml:space="preserve">also </w:t>
      </w:r>
      <w:r w:rsidR="0004342B">
        <w:rPr>
          <w:noProof/>
        </w:rPr>
        <w:t>covered</w:t>
      </w:r>
      <w:r w:rsidR="002410E6" w:rsidRPr="008F6E6A">
        <w:rPr>
          <w:noProof/>
        </w:rPr>
        <w:t xml:space="preserve"> </w:t>
      </w:r>
      <w:r w:rsidR="0004342B">
        <w:rPr>
          <w:noProof/>
        </w:rPr>
        <w:t xml:space="preserve">the </w:t>
      </w:r>
      <w:r w:rsidR="00657AAC" w:rsidRPr="008F6E6A">
        <w:rPr>
          <w:noProof/>
        </w:rPr>
        <w:t>possib</w:t>
      </w:r>
      <w:r w:rsidR="002410E6" w:rsidRPr="008F6E6A">
        <w:rPr>
          <w:noProof/>
        </w:rPr>
        <w:t xml:space="preserve">ility of </w:t>
      </w:r>
      <w:r w:rsidR="00A8564C" w:rsidRPr="008F6E6A">
        <w:rPr>
          <w:noProof/>
        </w:rPr>
        <w:t>exclud</w:t>
      </w:r>
      <w:r w:rsidR="002410E6" w:rsidRPr="008F6E6A">
        <w:rPr>
          <w:noProof/>
        </w:rPr>
        <w:t>ing</w:t>
      </w:r>
      <w:r w:rsidR="00A8564C" w:rsidRPr="008F6E6A">
        <w:rPr>
          <w:noProof/>
        </w:rPr>
        <w:t xml:space="preserve"> specific groups of </w:t>
      </w:r>
      <w:r w:rsidR="00D27A09">
        <w:rPr>
          <w:noProof/>
        </w:rPr>
        <w:t xml:space="preserve">vulnerable </w:t>
      </w:r>
      <w:r w:rsidR="00A8564C" w:rsidRPr="008F6E6A">
        <w:rPr>
          <w:noProof/>
        </w:rPr>
        <w:t xml:space="preserve">applicants, </w:t>
      </w:r>
      <w:r w:rsidR="00A8564C" w:rsidRPr="00497315">
        <w:rPr>
          <w:noProof/>
        </w:rPr>
        <w:t>or</w:t>
      </w:r>
      <w:r w:rsidR="00A8564C" w:rsidRPr="008F6E6A">
        <w:rPr>
          <w:noProof/>
        </w:rPr>
        <w:t xml:space="preserve"> </w:t>
      </w:r>
      <w:r w:rsidR="00657AAC" w:rsidRPr="008F6E6A">
        <w:rPr>
          <w:noProof/>
        </w:rPr>
        <w:t>introduc</w:t>
      </w:r>
      <w:r w:rsidR="002410E6" w:rsidRPr="008F6E6A">
        <w:rPr>
          <w:noProof/>
        </w:rPr>
        <w:t>ing</w:t>
      </w:r>
      <w:r w:rsidR="00657AAC" w:rsidRPr="008F6E6A">
        <w:rPr>
          <w:noProof/>
        </w:rPr>
        <w:t xml:space="preserve"> </w:t>
      </w:r>
      <w:r w:rsidR="00A8564C" w:rsidRPr="008F6E6A">
        <w:rPr>
          <w:noProof/>
        </w:rPr>
        <w:t xml:space="preserve">specific measures to prevent absconding (e.g., presumption of risk of absconding when applying the STC concept or </w:t>
      </w:r>
      <w:r w:rsidR="12B46541">
        <w:rPr>
          <w:noProof/>
        </w:rPr>
        <w:t xml:space="preserve">introducing </w:t>
      </w:r>
      <w:r w:rsidR="00A8564C">
        <w:rPr>
          <w:noProof/>
        </w:rPr>
        <w:t>a</w:t>
      </w:r>
      <w:r w:rsidR="00A8564C" w:rsidRPr="008F6E6A">
        <w:rPr>
          <w:noProof/>
        </w:rPr>
        <w:t xml:space="preserve"> new ground for detention in the Reception Conditions Directive</w:t>
      </w:r>
      <w:r w:rsidR="00A8564C">
        <w:rPr>
          <w:noProof/>
        </w:rPr>
        <w:t>)</w:t>
      </w:r>
      <w:r w:rsidR="00A8564C" w:rsidRPr="00497315">
        <w:rPr>
          <w:noProof/>
        </w:rPr>
        <w:t xml:space="preserve">. </w:t>
      </w:r>
      <w:r w:rsidR="004E70F5" w:rsidRPr="00497315">
        <w:rPr>
          <w:noProof/>
        </w:rPr>
        <w:t xml:space="preserve">This alternative also included </w:t>
      </w:r>
      <w:r w:rsidR="00B605A4" w:rsidRPr="00497315">
        <w:rPr>
          <w:noProof/>
        </w:rPr>
        <w:t xml:space="preserve">the </w:t>
      </w:r>
      <w:r w:rsidR="00394AC4">
        <w:rPr>
          <w:noProof/>
        </w:rPr>
        <w:t xml:space="preserve">possibility </w:t>
      </w:r>
      <w:r w:rsidR="000E70C6">
        <w:rPr>
          <w:noProof/>
        </w:rPr>
        <w:t>to</w:t>
      </w:r>
      <w:r w:rsidR="00394AC4">
        <w:rPr>
          <w:noProof/>
        </w:rPr>
        <w:t xml:space="preserve"> conclud</w:t>
      </w:r>
      <w:r w:rsidR="000E70C6">
        <w:rPr>
          <w:noProof/>
        </w:rPr>
        <w:t>e</w:t>
      </w:r>
      <w:r w:rsidR="0A4979A5" w:rsidRPr="00497315">
        <w:rPr>
          <w:noProof/>
        </w:rPr>
        <w:t xml:space="preserve"> </w:t>
      </w:r>
      <w:r w:rsidR="00B605A4" w:rsidRPr="00497315">
        <w:rPr>
          <w:noProof/>
        </w:rPr>
        <w:t>agreements</w:t>
      </w:r>
      <w:r w:rsidR="001A5653">
        <w:rPr>
          <w:noProof/>
        </w:rPr>
        <w:t xml:space="preserve"> or arrangements</w:t>
      </w:r>
      <w:r w:rsidR="00B605A4" w:rsidRPr="00497315">
        <w:rPr>
          <w:noProof/>
        </w:rPr>
        <w:t xml:space="preserve"> with third countries</w:t>
      </w:r>
      <w:r w:rsidR="00AF6AF0" w:rsidRPr="00497315">
        <w:rPr>
          <w:noProof/>
        </w:rPr>
        <w:t xml:space="preserve"> </w:t>
      </w:r>
      <w:r w:rsidR="00293680" w:rsidRPr="00497315">
        <w:rPr>
          <w:noProof/>
        </w:rPr>
        <w:t xml:space="preserve">requiring the examination </w:t>
      </w:r>
      <w:r w:rsidR="001A5653">
        <w:rPr>
          <w:noProof/>
        </w:rPr>
        <w:t xml:space="preserve">of the merits </w:t>
      </w:r>
      <w:r w:rsidR="00293680" w:rsidRPr="00497315">
        <w:rPr>
          <w:noProof/>
        </w:rPr>
        <w:t xml:space="preserve">of </w:t>
      </w:r>
      <w:r w:rsidR="00497315">
        <w:rPr>
          <w:noProof/>
        </w:rPr>
        <w:t xml:space="preserve">requests for effective protection </w:t>
      </w:r>
      <w:r w:rsidR="00497315" w:rsidRPr="00497315">
        <w:rPr>
          <w:noProof/>
        </w:rPr>
        <w:t xml:space="preserve">made by applicants </w:t>
      </w:r>
      <w:r w:rsidR="00497315">
        <w:rPr>
          <w:noProof/>
        </w:rPr>
        <w:t>whose application was rejected as inadmissible under the STC concept</w:t>
      </w:r>
      <w:r w:rsidR="002D0876" w:rsidRPr="00497315">
        <w:rPr>
          <w:noProof/>
        </w:rPr>
        <w:t>.</w:t>
      </w:r>
      <w:r w:rsidR="78897777" w:rsidRPr="00497315">
        <w:rPr>
          <w:noProof/>
        </w:rPr>
        <w:t xml:space="preserve"> </w:t>
      </w:r>
    </w:p>
    <w:p w:rsidR="00A8564C" w:rsidRPr="008F6E6A" w:rsidRDefault="00C51C8F" w:rsidP="00A46C05">
      <w:pPr>
        <w:rPr>
          <w:noProof/>
        </w:rPr>
      </w:pPr>
      <w:r w:rsidRPr="00497315">
        <w:rPr>
          <w:noProof/>
        </w:rPr>
        <w:t xml:space="preserve">These </w:t>
      </w:r>
      <w:r w:rsidR="00525C10">
        <w:rPr>
          <w:noProof/>
        </w:rPr>
        <w:t>elements</w:t>
      </w:r>
      <w:r w:rsidRPr="00497315">
        <w:rPr>
          <w:noProof/>
        </w:rPr>
        <w:t xml:space="preserve"> </w:t>
      </w:r>
      <w:r w:rsidR="00122133" w:rsidRPr="00497315">
        <w:rPr>
          <w:noProof/>
        </w:rPr>
        <w:t xml:space="preserve">are part of </w:t>
      </w:r>
      <w:r w:rsidRPr="00497315">
        <w:rPr>
          <w:noProof/>
        </w:rPr>
        <w:t>th</w:t>
      </w:r>
      <w:r w:rsidR="00122133" w:rsidRPr="00497315">
        <w:rPr>
          <w:noProof/>
        </w:rPr>
        <w:t>is</w:t>
      </w:r>
      <w:r w:rsidRPr="00497315">
        <w:rPr>
          <w:noProof/>
        </w:rPr>
        <w:t xml:space="preserve"> legislative proposal</w:t>
      </w:r>
      <w:r w:rsidR="002E1DD9" w:rsidRPr="00497315">
        <w:rPr>
          <w:noProof/>
        </w:rPr>
        <w:t>.</w:t>
      </w:r>
      <w:r w:rsidR="002E1DD9">
        <w:rPr>
          <w:noProof/>
        </w:rPr>
        <w:t xml:space="preserve"> </w:t>
      </w:r>
    </w:p>
    <w:p w:rsidR="00DB2CC3" w:rsidRPr="008F6E6A" w:rsidRDefault="00DB2CC3" w:rsidP="00E9583C">
      <w:pPr>
        <w:pStyle w:val="ListNumber"/>
        <w:rPr>
          <w:i/>
          <w:noProof/>
        </w:rPr>
      </w:pPr>
      <w:r w:rsidRPr="309914A6">
        <w:rPr>
          <w:i/>
          <w:noProof/>
        </w:rPr>
        <w:t xml:space="preserve">Considering transit as a sufficient </w:t>
      </w:r>
      <w:r w:rsidR="002410E6" w:rsidRPr="309914A6">
        <w:rPr>
          <w:i/>
          <w:noProof/>
        </w:rPr>
        <w:t>criterion</w:t>
      </w:r>
    </w:p>
    <w:p w:rsidR="003E74F1" w:rsidRPr="008F6E6A" w:rsidRDefault="003E74F1" w:rsidP="001F7A07">
      <w:pPr>
        <w:widowControl w:val="0"/>
        <w:rPr>
          <w:noProof/>
        </w:rPr>
      </w:pPr>
      <w:r w:rsidRPr="008F6E6A">
        <w:rPr>
          <w:noProof/>
        </w:rPr>
        <w:t xml:space="preserve">A second </w:t>
      </w:r>
      <w:r w:rsidR="00D271EA" w:rsidRPr="008F6E6A">
        <w:rPr>
          <w:noProof/>
        </w:rPr>
        <w:t>alternative was</w:t>
      </w:r>
      <w:r w:rsidRPr="008F6E6A">
        <w:rPr>
          <w:noProof/>
        </w:rPr>
        <w:t xml:space="preserve"> to consider that mere transit </w:t>
      </w:r>
      <w:r w:rsidR="00AC023E">
        <w:rPr>
          <w:noProof/>
        </w:rPr>
        <w:t xml:space="preserve">of the applicant through a safe third country </w:t>
      </w:r>
      <w:r w:rsidR="00E9583C" w:rsidRPr="008F6E6A">
        <w:rPr>
          <w:noProof/>
        </w:rPr>
        <w:t>is</w:t>
      </w:r>
      <w:r w:rsidRPr="008F6E6A">
        <w:rPr>
          <w:noProof/>
        </w:rPr>
        <w:t xml:space="preserve"> a sufficient </w:t>
      </w:r>
      <w:r w:rsidR="000C6926" w:rsidRPr="008F6E6A">
        <w:rPr>
          <w:noProof/>
        </w:rPr>
        <w:t xml:space="preserve">criterion </w:t>
      </w:r>
      <w:r w:rsidRPr="008F6E6A">
        <w:rPr>
          <w:noProof/>
        </w:rPr>
        <w:t>to apply the STC concept to the individual</w:t>
      </w:r>
      <w:r w:rsidR="00525C10">
        <w:rPr>
          <w:noProof/>
        </w:rPr>
        <w:t>s concerned</w:t>
      </w:r>
      <w:r w:rsidRPr="008F6E6A">
        <w:rPr>
          <w:noProof/>
        </w:rPr>
        <w:t xml:space="preserve">. </w:t>
      </w:r>
    </w:p>
    <w:p w:rsidR="002E49B8" w:rsidRPr="008F6E6A" w:rsidRDefault="001B7301" w:rsidP="002E49B8">
      <w:pPr>
        <w:rPr>
          <w:noProof/>
        </w:rPr>
      </w:pPr>
      <w:r>
        <w:rPr>
          <w:noProof/>
        </w:rPr>
        <w:t>T</w:t>
      </w:r>
      <w:r w:rsidR="003E74F1">
        <w:rPr>
          <w:noProof/>
        </w:rPr>
        <w:t>h</w:t>
      </w:r>
      <w:r w:rsidR="00525C10">
        <w:rPr>
          <w:noProof/>
        </w:rPr>
        <w:t>e</w:t>
      </w:r>
      <w:r w:rsidR="003E74F1">
        <w:rPr>
          <w:noProof/>
        </w:rPr>
        <w:t xml:space="preserve"> </w:t>
      </w:r>
      <w:r w:rsidR="006E1274">
        <w:rPr>
          <w:noProof/>
        </w:rPr>
        <w:t xml:space="preserve">inclusion of </w:t>
      </w:r>
      <w:r w:rsidR="003E74F1">
        <w:rPr>
          <w:noProof/>
        </w:rPr>
        <w:t xml:space="preserve">transit </w:t>
      </w:r>
      <w:r w:rsidR="006E1274">
        <w:rPr>
          <w:noProof/>
        </w:rPr>
        <w:t xml:space="preserve">as a </w:t>
      </w:r>
      <w:r w:rsidR="003E74F1">
        <w:rPr>
          <w:noProof/>
        </w:rPr>
        <w:t xml:space="preserve">criterion would </w:t>
      </w:r>
      <w:r w:rsidR="006E1274">
        <w:rPr>
          <w:noProof/>
        </w:rPr>
        <w:t xml:space="preserve">provide an additional </w:t>
      </w:r>
      <w:r w:rsidR="008A7381">
        <w:rPr>
          <w:noProof/>
        </w:rPr>
        <w:t xml:space="preserve">objective </w:t>
      </w:r>
      <w:r w:rsidR="00965DE9">
        <w:rPr>
          <w:noProof/>
        </w:rPr>
        <w:t>link</w:t>
      </w:r>
      <w:r w:rsidR="00452269">
        <w:rPr>
          <w:noProof/>
        </w:rPr>
        <w:t xml:space="preserve"> </w:t>
      </w:r>
      <w:r w:rsidR="006E1274">
        <w:rPr>
          <w:noProof/>
        </w:rPr>
        <w:t xml:space="preserve">between the applicant and </w:t>
      </w:r>
      <w:r w:rsidR="00452269">
        <w:rPr>
          <w:noProof/>
        </w:rPr>
        <w:t xml:space="preserve">the </w:t>
      </w:r>
      <w:r w:rsidR="00737E12">
        <w:rPr>
          <w:noProof/>
        </w:rPr>
        <w:t xml:space="preserve">safe </w:t>
      </w:r>
      <w:r w:rsidR="00452269">
        <w:rPr>
          <w:noProof/>
        </w:rPr>
        <w:t>third country</w:t>
      </w:r>
      <w:r w:rsidR="00737E12">
        <w:rPr>
          <w:noProof/>
        </w:rPr>
        <w:t>,</w:t>
      </w:r>
      <w:r w:rsidR="00D81BB5" w:rsidRPr="00D81BB5">
        <w:rPr>
          <w:noProof/>
        </w:rPr>
        <w:t xml:space="preserve"> </w:t>
      </w:r>
      <w:r w:rsidR="00D81BB5" w:rsidRPr="00204E80">
        <w:rPr>
          <w:noProof/>
        </w:rPr>
        <w:t xml:space="preserve">as it </w:t>
      </w:r>
      <w:r w:rsidR="006E1274">
        <w:rPr>
          <w:noProof/>
        </w:rPr>
        <w:t>is</w:t>
      </w:r>
      <w:r w:rsidR="00D81BB5" w:rsidRPr="00204E80">
        <w:rPr>
          <w:noProof/>
        </w:rPr>
        <w:t xml:space="preserve"> reasonable </w:t>
      </w:r>
      <w:r w:rsidR="006E1274">
        <w:rPr>
          <w:noProof/>
        </w:rPr>
        <w:t xml:space="preserve">to expect that a person </w:t>
      </w:r>
      <w:r w:rsidR="006E1274" w:rsidRPr="00940D5E">
        <w:rPr>
          <w:noProof/>
        </w:rPr>
        <w:t>see</w:t>
      </w:r>
      <w:r w:rsidR="008D20E6" w:rsidRPr="00940D5E">
        <w:rPr>
          <w:noProof/>
        </w:rPr>
        <w:t>k</w:t>
      </w:r>
      <w:r w:rsidR="006E1274" w:rsidRPr="00940D5E">
        <w:rPr>
          <w:noProof/>
        </w:rPr>
        <w:t>ing international protection could have applied for protection in the</w:t>
      </w:r>
      <w:r w:rsidR="00D81BB5" w:rsidRPr="00204E80">
        <w:rPr>
          <w:noProof/>
        </w:rPr>
        <w:t xml:space="preserve"> </w:t>
      </w:r>
      <w:r w:rsidR="00737E12">
        <w:rPr>
          <w:noProof/>
        </w:rPr>
        <w:t xml:space="preserve">safe third </w:t>
      </w:r>
      <w:r w:rsidR="00D81BB5" w:rsidRPr="00204E80">
        <w:rPr>
          <w:noProof/>
        </w:rPr>
        <w:t xml:space="preserve">country </w:t>
      </w:r>
      <w:r w:rsidR="006E1274">
        <w:rPr>
          <w:noProof/>
        </w:rPr>
        <w:t>through which that person has transited. This interpretation aligns with the approach taken by the</w:t>
      </w:r>
      <w:r w:rsidR="00590C94">
        <w:rPr>
          <w:noProof/>
        </w:rPr>
        <w:t xml:space="preserve"> Commission</w:t>
      </w:r>
      <w:r w:rsidR="00965DE9">
        <w:rPr>
          <w:noProof/>
        </w:rPr>
        <w:t xml:space="preserve"> </w:t>
      </w:r>
      <w:r w:rsidR="006E1274">
        <w:rPr>
          <w:noProof/>
        </w:rPr>
        <w:t xml:space="preserve">in its 2016 </w:t>
      </w:r>
      <w:r w:rsidR="00965DE9">
        <w:rPr>
          <w:noProof/>
        </w:rPr>
        <w:t>proposal for an Asylum Procedure Regulation</w:t>
      </w:r>
      <w:r w:rsidR="00590C94">
        <w:rPr>
          <w:rStyle w:val="FootnoteReference"/>
          <w:noProof/>
          <w:lang w:val="en-IE"/>
        </w:rPr>
        <w:footnoteReference w:id="10"/>
      </w:r>
      <w:r w:rsidR="006E1274">
        <w:rPr>
          <w:noProof/>
        </w:rPr>
        <w:t xml:space="preserve">, where it acknowledged that transit through a safe third country could be sufficient to apply the STC concept. Recognising transit as a valid objective link </w:t>
      </w:r>
      <w:r w:rsidR="003E74F1">
        <w:rPr>
          <w:noProof/>
        </w:rPr>
        <w:t>facili</w:t>
      </w:r>
      <w:r w:rsidR="000B2EBE">
        <w:rPr>
          <w:noProof/>
        </w:rPr>
        <w:t>ta</w:t>
      </w:r>
      <w:r w:rsidR="003E74F1">
        <w:rPr>
          <w:noProof/>
        </w:rPr>
        <w:t>t</w:t>
      </w:r>
      <w:r w:rsidR="00F777CE">
        <w:rPr>
          <w:noProof/>
        </w:rPr>
        <w:t>e</w:t>
      </w:r>
      <w:r w:rsidR="00737E12">
        <w:rPr>
          <w:noProof/>
        </w:rPr>
        <w:t>s</w:t>
      </w:r>
      <w:r w:rsidR="003E74F1">
        <w:rPr>
          <w:noProof/>
        </w:rPr>
        <w:t xml:space="preserve"> the application of the concept and possibly </w:t>
      </w:r>
      <w:r w:rsidR="006E1274">
        <w:rPr>
          <w:noProof/>
        </w:rPr>
        <w:t xml:space="preserve">expands the range of </w:t>
      </w:r>
      <w:r w:rsidR="003E74F1">
        <w:rPr>
          <w:noProof/>
        </w:rPr>
        <w:t xml:space="preserve">third countries with which </w:t>
      </w:r>
      <w:r w:rsidR="006E1274">
        <w:rPr>
          <w:noProof/>
        </w:rPr>
        <w:t>Member States can cooperate on asylum matters</w:t>
      </w:r>
      <w:r w:rsidR="003E74F1">
        <w:rPr>
          <w:noProof/>
        </w:rPr>
        <w:t xml:space="preserve">. </w:t>
      </w:r>
      <w:r w:rsidR="00D967B2">
        <w:rPr>
          <w:noProof/>
        </w:rPr>
        <w:t xml:space="preserve">It will be the responsibility of the competent asylum authorities of the Member States to </w:t>
      </w:r>
      <w:r w:rsidR="003E74F1">
        <w:rPr>
          <w:noProof/>
        </w:rPr>
        <w:t>prov</w:t>
      </w:r>
      <w:r w:rsidR="00D967B2">
        <w:rPr>
          <w:noProof/>
        </w:rPr>
        <w:t>e</w:t>
      </w:r>
      <w:r w:rsidR="003E74F1">
        <w:rPr>
          <w:noProof/>
        </w:rPr>
        <w:t xml:space="preserve"> </w:t>
      </w:r>
      <w:r w:rsidR="006E1274">
        <w:rPr>
          <w:noProof/>
        </w:rPr>
        <w:t xml:space="preserve">such </w:t>
      </w:r>
      <w:r w:rsidR="003E74F1">
        <w:rPr>
          <w:noProof/>
        </w:rPr>
        <w:t>transit</w:t>
      </w:r>
      <w:r w:rsidR="002E49B8">
        <w:rPr>
          <w:noProof/>
        </w:rPr>
        <w:t>.</w:t>
      </w:r>
      <w:r w:rsidR="00745B53">
        <w:rPr>
          <w:noProof/>
        </w:rPr>
        <w:t xml:space="preserve"> </w:t>
      </w:r>
    </w:p>
    <w:p w:rsidR="00A8564C" w:rsidRPr="008F6E6A" w:rsidRDefault="007B46F0" w:rsidP="003E74F1">
      <w:pPr>
        <w:rPr>
          <w:noProof/>
          <w:highlight w:val="yellow"/>
        </w:rPr>
      </w:pPr>
      <w:r w:rsidRPr="008F6E6A">
        <w:rPr>
          <w:noProof/>
        </w:rPr>
        <w:t>T</w:t>
      </w:r>
      <w:r w:rsidR="001B7301" w:rsidRPr="008F6E6A">
        <w:rPr>
          <w:noProof/>
        </w:rPr>
        <w:t xml:space="preserve">he possibility of introducing a specific </w:t>
      </w:r>
      <w:r w:rsidR="3422CB4C">
        <w:rPr>
          <w:noProof/>
        </w:rPr>
        <w:t xml:space="preserve">rebuttable </w:t>
      </w:r>
      <w:r w:rsidR="00A8564C" w:rsidRPr="008F6E6A">
        <w:rPr>
          <w:noProof/>
        </w:rPr>
        <w:t>presumption</w:t>
      </w:r>
      <w:r w:rsidR="00DA0999" w:rsidRPr="008F6E6A">
        <w:rPr>
          <w:noProof/>
        </w:rPr>
        <w:t xml:space="preserve"> of transit</w:t>
      </w:r>
      <w:r w:rsidR="001B7301" w:rsidRPr="008F6E6A">
        <w:rPr>
          <w:noProof/>
        </w:rPr>
        <w:t xml:space="preserve"> was considered</w:t>
      </w:r>
      <w:r w:rsidRPr="008F6E6A">
        <w:rPr>
          <w:noProof/>
        </w:rPr>
        <w:t>, according to which it</w:t>
      </w:r>
      <w:r w:rsidR="00DA0999" w:rsidRPr="008F6E6A">
        <w:rPr>
          <w:noProof/>
        </w:rPr>
        <w:t xml:space="preserve"> </w:t>
      </w:r>
      <w:r w:rsidR="00DA0999">
        <w:rPr>
          <w:noProof/>
        </w:rPr>
        <w:t>c</w:t>
      </w:r>
      <w:r w:rsidR="31AA8A63">
        <w:rPr>
          <w:noProof/>
        </w:rPr>
        <w:t>ould</w:t>
      </w:r>
      <w:r w:rsidR="00DA0999" w:rsidRPr="008F6E6A">
        <w:rPr>
          <w:noProof/>
        </w:rPr>
        <w:t xml:space="preserve"> be </w:t>
      </w:r>
      <w:r w:rsidR="007374CA">
        <w:rPr>
          <w:noProof/>
        </w:rPr>
        <w:t>assumed</w:t>
      </w:r>
      <w:r w:rsidR="00DA0999" w:rsidRPr="008F6E6A">
        <w:rPr>
          <w:noProof/>
        </w:rPr>
        <w:t xml:space="preserve"> that an individual arriving irregularly in the EU </w:t>
      </w:r>
      <w:r w:rsidR="00DA0999" w:rsidRPr="005F029C">
        <w:rPr>
          <w:noProof/>
        </w:rPr>
        <w:t>territory</w:t>
      </w:r>
      <w:r w:rsidRPr="005F029C">
        <w:rPr>
          <w:noProof/>
        </w:rPr>
        <w:t>,</w:t>
      </w:r>
      <w:r w:rsidR="00DA0999" w:rsidRPr="005F029C">
        <w:rPr>
          <w:noProof/>
        </w:rPr>
        <w:t xml:space="preserve"> </w:t>
      </w:r>
      <w:r w:rsidR="002E49B8" w:rsidRPr="005F029C">
        <w:rPr>
          <w:noProof/>
        </w:rPr>
        <w:t xml:space="preserve">and </w:t>
      </w:r>
      <w:r w:rsidR="00DA0999" w:rsidRPr="005F029C">
        <w:rPr>
          <w:noProof/>
        </w:rPr>
        <w:t>who is unable to demonstrate a direct route of arrival, must have transited through at least one third country.</w:t>
      </w:r>
      <w:r w:rsidR="0056153D" w:rsidRPr="005F029C">
        <w:rPr>
          <w:noProof/>
        </w:rPr>
        <w:t xml:space="preserve"> </w:t>
      </w:r>
      <w:r w:rsidR="007A7DD8" w:rsidRPr="005F029C">
        <w:rPr>
          <w:noProof/>
        </w:rPr>
        <w:t xml:space="preserve">However, </w:t>
      </w:r>
      <w:r w:rsidR="00E25F89" w:rsidRPr="005F029C">
        <w:rPr>
          <w:noProof/>
        </w:rPr>
        <w:t xml:space="preserve">it was concluded that </w:t>
      </w:r>
      <w:r w:rsidR="008F2D3A" w:rsidRPr="005F029C">
        <w:rPr>
          <w:noProof/>
        </w:rPr>
        <w:t>the introduction of a rebuttable</w:t>
      </w:r>
      <w:r w:rsidR="0056153D" w:rsidRPr="005F029C">
        <w:rPr>
          <w:noProof/>
        </w:rPr>
        <w:t xml:space="preserve"> </w:t>
      </w:r>
      <w:r w:rsidR="008F2D3A" w:rsidRPr="005F029C">
        <w:rPr>
          <w:noProof/>
        </w:rPr>
        <w:t xml:space="preserve">presumption would </w:t>
      </w:r>
      <w:r w:rsidR="7CE80B10" w:rsidRPr="005F029C">
        <w:rPr>
          <w:noProof/>
        </w:rPr>
        <w:t>add to the grounds for</w:t>
      </w:r>
      <w:r w:rsidR="007A7DD8" w:rsidRPr="005F029C">
        <w:rPr>
          <w:noProof/>
        </w:rPr>
        <w:t xml:space="preserve"> litigation</w:t>
      </w:r>
      <w:r w:rsidR="003F46F3" w:rsidRPr="005F029C">
        <w:rPr>
          <w:noProof/>
        </w:rPr>
        <w:t xml:space="preserve">, </w:t>
      </w:r>
      <w:r w:rsidR="007A7DD8" w:rsidRPr="005F029C">
        <w:rPr>
          <w:noProof/>
        </w:rPr>
        <w:t>which</w:t>
      </w:r>
      <w:r w:rsidR="003F46F3" w:rsidRPr="005F029C">
        <w:rPr>
          <w:noProof/>
        </w:rPr>
        <w:t xml:space="preserve"> factor</w:t>
      </w:r>
      <w:r w:rsidR="007A7DD8" w:rsidRPr="005F029C">
        <w:rPr>
          <w:noProof/>
        </w:rPr>
        <w:t>ed</w:t>
      </w:r>
      <w:r w:rsidR="003F46F3" w:rsidRPr="005F029C">
        <w:rPr>
          <w:noProof/>
        </w:rPr>
        <w:t xml:space="preserve"> against the desired simplification of the application of the STC concept. For this reason, the possibility of introducing a </w:t>
      </w:r>
      <w:r w:rsidR="00742C36" w:rsidRPr="005F029C">
        <w:rPr>
          <w:noProof/>
        </w:rPr>
        <w:t xml:space="preserve">rebuttable </w:t>
      </w:r>
      <w:r w:rsidR="003F46F3" w:rsidRPr="005F029C">
        <w:rPr>
          <w:noProof/>
        </w:rPr>
        <w:t>presumption was discarded.</w:t>
      </w:r>
    </w:p>
    <w:p w:rsidR="00A157E1" w:rsidRPr="008F6E6A" w:rsidRDefault="00A157E1" w:rsidP="002E49B8">
      <w:pPr>
        <w:pStyle w:val="ListNumber"/>
        <w:rPr>
          <w:i/>
          <w:noProof/>
        </w:rPr>
      </w:pPr>
      <w:r w:rsidRPr="026335F8">
        <w:rPr>
          <w:i/>
          <w:noProof/>
        </w:rPr>
        <w:t>Defining the connection criterion in the APR but making it more flexible (which would also include transit)</w:t>
      </w:r>
    </w:p>
    <w:p w:rsidR="00742C36" w:rsidRPr="008F6E6A" w:rsidRDefault="003E74F1" w:rsidP="00742C36">
      <w:pPr>
        <w:rPr>
          <w:noProof/>
        </w:rPr>
      </w:pPr>
      <w:r w:rsidRPr="008F6E6A">
        <w:rPr>
          <w:noProof/>
        </w:rPr>
        <w:t xml:space="preserve">A third alternative </w:t>
      </w:r>
      <w:r w:rsidR="00967E6B" w:rsidRPr="008F6E6A">
        <w:rPr>
          <w:noProof/>
        </w:rPr>
        <w:t xml:space="preserve">was </w:t>
      </w:r>
      <w:r w:rsidRPr="008F6E6A">
        <w:rPr>
          <w:noProof/>
        </w:rPr>
        <w:t xml:space="preserve">to define ‘connection’ under EU law </w:t>
      </w:r>
      <w:r w:rsidR="00A33E5F" w:rsidRPr="008F6E6A">
        <w:rPr>
          <w:noProof/>
        </w:rPr>
        <w:t>to</w:t>
      </w:r>
      <w:r w:rsidRPr="008F6E6A">
        <w:rPr>
          <w:noProof/>
        </w:rPr>
        <w:t xml:space="preserve"> consider cultural ties or knowledge of the language</w:t>
      </w:r>
      <w:r w:rsidR="002E49B8" w:rsidRPr="008F6E6A">
        <w:rPr>
          <w:noProof/>
        </w:rPr>
        <w:t>,</w:t>
      </w:r>
      <w:r w:rsidR="00A6045F" w:rsidRPr="008F6E6A">
        <w:rPr>
          <w:noProof/>
        </w:rPr>
        <w:t xml:space="preserve"> in addition to transit</w:t>
      </w:r>
      <w:r w:rsidR="00282BB9" w:rsidRPr="008F6E6A">
        <w:rPr>
          <w:noProof/>
        </w:rPr>
        <w:t>,</w:t>
      </w:r>
      <w:r w:rsidR="004E0B49" w:rsidRPr="008F6E6A">
        <w:rPr>
          <w:noProof/>
        </w:rPr>
        <w:t xml:space="preserve"> as sufficient links</w:t>
      </w:r>
      <w:r w:rsidR="00742C36">
        <w:rPr>
          <w:noProof/>
        </w:rPr>
        <w:t>, possibly accompanied by a</w:t>
      </w:r>
      <w:r w:rsidR="00742C36" w:rsidRPr="008F6E6A">
        <w:rPr>
          <w:noProof/>
        </w:rPr>
        <w:t xml:space="preserve"> guidance document. </w:t>
      </w:r>
    </w:p>
    <w:p w:rsidR="00525C10" w:rsidRDefault="006F40C9" w:rsidP="00525C10">
      <w:pPr>
        <w:rPr>
          <w:noProof/>
        </w:rPr>
      </w:pPr>
      <w:r w:rsidRPr="008F6E6A">
        <w:rPr>
          <w:noProof/>
        </w:rPr>
        <w:t>T</w:t>
      </w:r>
      <w:r w:rsidR="003E74F1" w:rsidRPr="008F6E6A">
        <w:rPr>
          <w:noProof/>
        </w:rPr>
        <w:t xml:space="preserve">his alternative could </w:t>
      </w:r>
      <w:r w:rsidR="00967E6B" w:rsidRPr="008F6E6A">
        <w:rPr>
          <w:noProof/>
        </w:rPr>
        <w:t xml:space="preserve">broaden the pool of </w:t>
      </w:r>
      <w:r w:rsidR="003E74F1" w:rsidRPr="008F6E6A">
        <w:rPr>
          <w:noProof/>
        </w:rPr>
        <w:t>potential STCs</w:t>
      </w:r>
      <w:r w:rsidR="00901C9F" w:rsidRPr="008F6E6A">
        <w:rPr>
          <w:noProof/>
        </w:rPr>
        <w:t>,</w:t>
      </w:r>
      <w:r w:rsidR="003E74F1" w:rsidRPr="008F6E6A">
        <w:rPr>
          <w:noProof/>
        </w:rPr>
        <w:t xml:space="preserve"> as it goes beyond third countries on the route to the EU</w:t>
      </w:r>
      <w:r w:rsidR="005459C8" w:rsidRPr="008F6E6A">
        <w:rPr>
          <w:noProof/>
        </w:rPr>
        <w:t>,</w:t>
      </w:r>
      <w:r w:rsidR="003E74F1" w:rsidRPr="008F6E6A">
        <w:rPr>
          <w:noProof/>
        </w:rPr>
        <w:t xml:space="preserve"> while facilitating cooperation with the third country concerned</w:t>
      </w:r>
      <w:r w:rsidR="00DA0999" w:rsidRPr="008F6E6A">
        <w:rPr>
          <w:noProof/>
        </w:rPr>
        <w:t xml:space="preserve"> and contribut</w:t>
      </w:r>
      <w:r w:rsidR="00E311FD" w:rsidRPr="008F6E6A">
        <w:rPr>
          <w:noProof/>
        </w:rPr>
        <w:t>ing</w:t>
      </w:r>
      <w:r w:rsidR="00DA0999" w:rsidRPr="008F6E6A">
        <w:rPr>
          <w:noProof/>
        </w:rPr>
        <w:t xml:space="preserve"> to increased responsibility sharing</w:t>
      </w:r>
      <w:r w:rsidR="003E74F1" w:rsidRPr="008F6E6A">
        <w:rPr>
          <w:noProof/>
        </w:rPr>
        <w:t>. Furthermore, it could facilitate the integration of the applicant once transferred</w:t>
      </w:r>
      <w:r w:rsidR="00B051F2" w:rsidRPr="008F6E6A">
        <w:rPr>
          <w:noProof/>
        </w:rPr>
        <w:t xml:space="preserve">, </w:t>
      </w:r>
      <w:r w:rsidR="003E74F1" w:rsidRPr="008F6E6A">
        <w:rPr>
          <w:noProof/>
        </w:rPr>
        <w:t xml:space="preserve">thereby </w:t>
      </w:r>
      <w:r w:rsidR="008A4A55" w:rsidRPr="008F6E6A">
        <w:rPr>
          <w:noProof/>
        </w:rPr>
        <w:t xml:space="preserve">enhancing </w:t>
      </w:r>
      <w:r w:rsidR="003E74F1" w:rsidRPr="008F6E6A">
        <w:rPr>
          <w:noProof/>
        </w:rPr>
        <w:t>the sustainability of the transfer.</w:t>
      </w:r>
      <w:r w:rsidR="00525C10">
        <w:rPr>
          <w:noProof/>
        </w:rPr>
        <w:t xml:space="preserve"> </w:t>
      </w:r>
      <w:r w:rsidR="00742C36">
        <w:rPr>
          <w:noProof/>
        </w:rPr>
        <w:t>However, t</w:t>
      </w:r>
      <w:r w:rsidR="003E74F1" w:rsidRPr="008F6E6A">
        <w:rPr>
          <w:noProof/>
        </w:rPr>
        <w:t>he burden of pro</w:t>
      </w:r>
      <w:r w:rsidR="001614BC">
        <w:rPr>
          <w:noProof/>
        </w:rPr>
        <w:t>ving a connection</w:t>
      </w:r>
      <w:r w:rsidR="003E74F1" w:rsidRPr="008F6E6A">
        <w:rPr>
          <w:noProof/>
        </w:rPr>
        <w:t xml:space="preserve"> </w:t>
      </w:r>
      <w:r w:rsidR="001867F6">
        <w:rPr>
          <w:noProof/>
        </w:rPr>
        <w:t xml:space="preserve">would </w:t>
      </w:r>
      <w:r w:rsidR="00742C36">
        <w:rPr>
          <w:noProof/>
        </w:rPr>
        <w:t xml:space="preserve">always </w:t>
      </w:r>
      <w:r w:rsidR="001867F6">
        <w:rPr>
          <w:noProof/>
        </w:rPr>
        <w:t>rest</w:t>
      </w:r>
      <w:r w:rsidR="001867F6" w:rsidRPr="008F6E6A">
        <w:rPr>
          <w:noProof/>
        </w:rPr>
        <w:t xml:space="preserve"> </w:t>
      </w:r>
      <w:r w:rsidR="003E74F1" w:rsidRPr="008F6E6A">
        <w:rPr>
          <w:noProof/>
        </w:rPr>
        <w:t xml:space="preserve">on the </w:t>
      </w:r>
      <w:r w:rsidR="001867F6">
        <w:rPr>
          <w:noProof/>
        </w:rPr>
        <w:t xml:space="preserve">asylum </w:t>
      </w:r>
      <w:r w:rsidR="003E74F1" w:rsidRPr="008F6E6A">
        <w:rPr>
          <w:noProof/>
        </w:rPr>
        <w:t xml:space="preserve">authorities </w:t>
      </w:r>
      <w:r w:rsidR="001867F6">
        <w:rPr>
          <w:noProof/>
        </w:rPr>
        <w:t>of the Member States</w:t>
      </w:r>
      <w:r w:rsidR="003E74F1" w:rsidRPr="008F6E6A">
        <w:rPr>
          <w:noProof/>
        </w:rPr>
        <w:t>.</w:t>
      </w:r>
      <w:r w:rsidR="00F804AA" w:rsidRPr="008F6E6A">
        <w:rPr>
          <w:noProof/>
        </w:rPr>
        <w:t xml:space="preserve"> </w:t>
      </w:r>
      <w:r w:rsidR="001614BC" w:rsidRPr="005F029C">
        <w:rPr>
          <w:noProof/>
        </w:rPr>
        <w:t>T</w:t>
      </w:r>
      <w:r w:rsidR="00260604" w:rsidRPr="005F029C">
        <w:rPr>
          <w:noProof/>
        </w:rPr>
        <w:t>h</w:t>
      </w:r>
      <w:r w:rsidR="001614BC" w:rsidRPr="005F029C">
        <w:rPr>
          <w:noProof/>
        </w:rPr>
        <w:t>is</w:t>
      </w:r>
      <w:r w:rsidR="00260604" w:rsidRPr="005F029C">
        <w:rPr>
          <w:noProof/>
        </w:rPr>
        <w:t xml:space="preserve"> alternative was therefore not considered to bring about the desired effect of simplifying the application of the STC concept. </w:t>
      </w:r>
    </w:p>
    <w:p w:rsidR="00693ED0" w:rsidRPr="008F6E6A" w:rsidRDefault="00693ED0" w:rsidP="00693ED0">
      <w:pPr>
        <w:pStyle w:val="ManualHeading2"/>
        <w:rPr>
          <w:noProof/>
        </w:rPr>
      </w:pPr>
      <w:r w:rsidRPr="005F029C">
        <w:rPr>
          <w:noProof/>
        </w:rPr>
        <w:t>B. Suspensive effect of the appeal</w:t>
      </w:r>
      <w:r w:rsidRPr="008F6E6A">
        <w:rPr>
          <w:noProof/>
        </w:rPr>
        <w:t xml:space="preserve"> </w:t>
      </w:r>
    </w:p>
    <w:p w:rsidR="00693ED0" w:rsidRPr="008F6E6A" w:rsidRDefault="00693ED0" w:rsidP="00693ED0">
      <w:pPr>
        <w:rPr>
          <w:noProof/>
        </w:rPr>
      </w:pPr>
      <w:r w:rsidRPr="008F6E6A">
        <w:rPr>
          <w:noProof/>
        </w:rPr>
        <w:t xml:space="preserve">The </w:t>
      </w:r>
      <w:r w:rsidRPr="005F029C">
        <w:rPr>
          <w:noProof/>
        </w:rPr>
        <w:t>Commission</w:t>
      </w:r>
      <w:r w:rsidR="00B77FCF" w:rsidRPr="005F029C">
        <w:rPr>
          <w:noProof/>
        </w:rPr>
        <w:t xml:space="preserve"> </w:t>
      </w:r>
      <w:r w:rsidR="007B3595" w:rsidRPr="005F029C">
        <w:rPr>
          <w:noProof/>
        </w:rPr>
        <w:t>has</w:t>
      </w:r>
      <w:r w:rsidRPr="005F029C">
        <w:rPr>
          <w:noProof/>
        </w:rPr>
        <w:t xml:space="preserve"> further</w:t>
      </w:r>
      <w:r w:rsidRPr="008F6E6A">
        <w:rPr>
          <w:noProof/>
        </w:rPr>
        <w:t xml:space="preserve"> examined whether </w:t>
      </w:r>
      <w:r w:rsidR="00B77FCF" w:rsidRPr="008F6E6A">
        <w:rPr>
          <w:noProof/>
        </w:rPr>
        <w:t>it is</w:t>
      </w:r>
      <w:r w:rsidRPr="008F6E6A">
        <w:rPr>
          <w:noProof/>
        </w:rPr>
        <w:t xml:space="preserve"> possibl</w:t>
      </w:r>
      <w:r w:rsidR="00CC7A27" w:rsidRPr="008F6E6A">
        <w:rPr>
          <w:noProof/>
        </w:rPr>
        <w:t>e</w:t>
      </w:r>
      <w:r w:rsidRPr="008F6E6A">
        <w:rPr>
          <w:noProof/>
        </w:rPr>
        <w:t xml:space="preserve"> to simplify the appeal procedures </w:t>
      </w:r>
      <w:r w:rsidR="00E85BDF" w:rsidRPr="008F6E6A">
        <w:rPr>
          <w:noProof/>
        </w:rPr>
        <w:t>concerning</w:t>
      </w:r>
      <w:r w:rsidRPr="008F6E6A">
        <w:rPr>
          <w:noProof/>
        </w:rPr>
        <w:t xml:space="preserve"> the application of the STC concept by </w:t>
      </w:r>
      <w:r w:rsidR="007D283A" w:rsidRPr="008F6E6A">
        <w:rPr>
          <w:noProof/>
        </w:rPr>
        <w:t xml:space="preserve">making </w:t>
      </w:r>
      <w:r w:rsidRPr="008F6E6A">
        <w:rPr>
          <w:noProof/>
        </w:rPr>
        <w:t>the suspensive effect of appeals against inadmissibility decision</w:t>
      </w:r>
      <w:r w:rsidR="0040343F" w:rsidRPr="008F6E6A">
        <w:rPr>
          <w:noProof/>
        </w:rPr>
        <w:t>s non-automatic</w:t>
      </w:r>
      <w:r w:rsidRPr="008F6E6A">
        <w:rPr>
          <w:noProof/>
        </w:rPr>
        <w:t xml:space="preserve">. </w:t>
      </w:r>
    </w:p>
    <w:p w:rsidR="00693ED0" w:rsidRPr="008F6E6A" w:rsidRDefault="00568A21" w:rsidP="73238BF7">
      <w:pPr>
        <w:rPr>
          <w:noProof/>
        </w:rPr>
      </w:pPr>
      <w:r>
        <w:rPr>
          <w:noProof/>
        </w:rPr>
        <w:t xml:space="preserve">The question of whether an appeal </w:t>
      </w:r>
      <w:r w:rsidR="1701D71F">
        <w:rPr>
          <w:noProof/>
        </w:rPr>
        <w:t xml:space="preserve">against the application of the STC concept </w:t>
      </w:r>
      <w:r>
        <w:rPr>
          <w:noProof/>
        </w:rPr>
        <w:t xml:space="preserve">has </w:t>
      </w:r>
      <w:r w:rsidR="1701D71F">
        <w:rPr>
          <w:noProof/>
        </w:rPr>
        <w:t xml:space="preserve">automatic </w:t>
      </w:r>
      <w:r>
        <w:rPr>
          <w:noProof/>
        </w:rPr>
        <w:t xml:space="preserve">suspensive effect is particularly important in cases of inadmissibility decisions based on the STC concept, where the application is not examined on </w:t>
      </w:r>
      <w:r w:rsidR="3EEED0FA">
        <w:rPr>
          <w:noProof/>
        </w:rPr>
        <w:t xml:space="preserve">its </w:t>
      </w:r>
      <w:r>
        <w:rPr>
          <w:noProof/>
        </w:rPr>
        <w:t xml:space="preserve">merits. The nature of the </w:t>
      </w:r>
      <w:r w:rsidR="743E5F48">
        <w:rPr>
          <w:noProof/>
        </w:rPr>
        <w:t xml:space="preserve">fundamental </w:t>
      </w:r>
      <w:r>
        <w:rPr>
          <w:noProof/>
        </w:rPr>
        <w:t xml:space="preserve">rights at risk, and particularly the risk of </w:t>
      </w:r>
      <w:r w:rsidRPr="62A6888E">
        <w:rPr>
          <w:i/>
          <w:iCs/>
          <w:noProof/>
        </w:rPr>
        <w:t>refoulement</w:t>
      </w:r>
      <w:r>
        <w:rPr>
          <w:noProof/>
        </w:rPr>
        <w:t xml:space="preserve">, </w:t>
      </w:r>
      <w:r w:rsidR="410EB859">
        <w:rPr>
          <w:noProof/>
        </w:rPr>
        <w:t xml:space="preserve">makes </w:t>
      </w:r>
      <w:r>
        <w:rPr>
          <w:noProof/>
        </w:rPr>
        <w:t>the guarantee of the suspensive effect of</w:t>
      </w:r>
      <w:r w:rsidR="410EB859">
        <w:rPr>
          <w:noProof/>
        </w:rPr>
        <w:t xml:space="preserve"> the</w:t>
      </w:r>
      <w:r>
        <w:rPr>
          <w:noProof/>
        </w:rPr>
        <w:t xml:space="preserve"> appeal in the APR </w:t>
      </w:r>
      <w:r w:rsidR="410EB859">
        <w:rPr>
          <w:noProof/>
        </w:rPr>
        <w:t>especially</w:t>
      </w:r>
      <w:r>
        <w:rPr>
          <w:noProof/>
        </w:rPr>
        <w:t xml:space="preserve"> importan</w:t>
      </w:r>
      <w:r w:rsidR="410EB859">
        <w:rPr>
          <w:noProof/>
        </w:rPr>
        <w:t>t</w:t>
      </w:r>
      <w:r>
        <w:rPr>
          <w:noProof/>
        </w:rPr>
        <w:t xml:space="preserve">. These risks </w:t>
      </w:r>
      <w:r w:rsidR="410EB859">
        <w:rPr>
          <w:noProof/>
        </w:rPr>
        <w:t>were</w:t>
      </w:r>
      <w:r>
        <w:rPr>
          <w:noProof/>
        </w:rPr>
        <w:t xml:space="preserve"> flagged during the consultation </w:t>
      </w:r>
      <w:r w:rsidR="01B33049">
        <w:rPr>
          <w:noProof/>
        </w:rPr>
        <w:t xml:space="preserve">process </w:t>
      </w:r>
      <w:r>
        <w:rPr>
          <w:noProof/>
        </w:rPr>
        <w:t>by some Member States, UNHCR, and civil society.</w:t>
      </w:r>
    </w:p>
    <w:p w:rsidR="000A20A8" w:rsidRDefault="001614BC" w:rsidP="004F7E22">
      <w:pPr>
        <w:rPr>
          <w:noProof/>
        </w:rPr>
      </w:pPr>
      <w:bookmarkStart w:id="3" w:name="_Hlk194075360"/>
      <w:r>
        <w:rPr>
          <w:noProof/>
        </w:rPr>
        <w:t xml:space="preserve">Nevertheless, </w:t>
      </w:r>
      <w:r w:rsidR="0053430F">
        <w:rPr>
          <w:noProof/>
        </w:rPr>
        <w:t xml:space="preserve">removing </w:t>
      </w:r>
      <w:r w:rsidR="00203524">
        <w:rPr>
          <w:noProof/>
        </w:rPr>
        <w:t xml:space="preserve">the automatic suspensive effect of the appeal could help reduce procedural delays in applying the STC concept and prevent potential abuses of appeal opportunities by the applicants, while still ensuring the protection of the applicant’s fundamental rights, by allowing them to request the suspensive effect. Furthermore, to ensure the protection of the rights of applicants from the risk of </w:t>
      </w:r>
      <w:r w:rsidR="00203524" w:rsidRPr="5E58FB0C">
        <w:rPr>
          <w:i/>
          <w:iCs/>
          <w:noProof/>
        </w:rPr>
        <w:t>refoulement</w:t>
      </w:r>
      <w:r w:rsidR="00203524">
        <w:rPr>
          <w:noProof/>
        </w:rPr>
        <w:t xml:space="preserve">, there is an automatic suspensive effect against the return decision taken as per Article 37 APR in relation to the inadmissibility decision when there is a risk </w:t>
      </w:r>
      <w:r w:rsidR="00A338A3">
        <w:rPr>
          <w:noProof/>
        </w:rPr>
        <w:t xml:space="preserve">of </w:t>
      </w:r>
      <w:r w:rsidR="00203524">
        <w:rPr>
          <w:noProof/>
        </w:rPr>
        <w:t>breach</w:t>
      </w:r>
      <w:r w:rsidR="00A338A3">
        <w:rPr>
          <w:noProof/>
        </w:rPr>
        <w:t>ing</w:t>
      </w:r>
      <w:r w:rsidR="00203524">
        <w:rPr>
          <w:noProof/>
        </w:rPr>
        <w:t xml:space="preserve"> the principle of </w:t>
      </w:r>
      <w:r w:rsidR="00203524" w:rsidRPr="5E58FB0C">
        <w:rPr>
          <w:i/>
          <w:iCs/>
          <w:noProof/>
        </w:rPr>
        <w:t>non-refoulement</w:t>
      </w:r>
      <w:r w:rsidR="00203524">
        <w:rPr>
          <w:noProof/>
        </w:rPr>
        <w:t xml:space="preserve">. This should guarantee that the persons shall not be transferred where there is a risk of </w:t>
      </w:r>
      <w:r w:rsidR="00203524" w:rsidRPr="5E58FB0C">
        <w:rPr>
          <w:i/>
          <w:iCs/>
          <w:noProof/>
        </w:rPr>
        <w:t>refoulement</w:t>
      </w:r>
      <w:r w:rsidR="00203524">
        <w:rPr>
          <w:noProof/>
        </w:rPr>
        <w:t xml:space="preserve"> in the third country, or where there is a risk of serious harm, or inhuman or degrading treatment, in the third country</w:t>
      </w:r>
      <w:r w:rsidR="003E74F1">
        <w:rPr>
          <w:noProof/>
        </w:rPr>
        <w:t xml:space="preserve">. </w:t>
      </w:r>
      <w:bookmarkEnd w:id="3"/>
    </w:p>
    <w:p w:rsidR="00693ED0" w:rsidRPr="004F7E22" w:rsidRDefault="00693ED0" w:rsidP="004F7E22">
      <w:pPr>
        <w:rPr>
          <w:b/>
          <w:bCs/>
          <w:noProof/>
        </w:rPr>
      </w:pPr>
      <w:r w:rsidRPr="004F7E22" w:rsidDel="00693ED0">
        <w:rPr>
          <w:b/>
          <w:bCs/>
          <w:noProof/>
        </w:rPr>
        <w:t>Conclusions of the review</w:t>
      </w:r>
    </w:p>
    <w:p w:rsidR="00D778A3" w:rsidRPr="008F6E6A" w:rsidRDefault="00AC3C3F" w:rsidP="718C9B44">
      <w:pPr>
        <w:rPr>
          <w:noProof/>
        </w:rPr>
      </w:pPr>
      <w:r w:rsidRPr="008F6E6A">
        <w:rPr>
          <w:noProof/>
        </w:rPr>
        <w:t xml:space="preserve">The Commission has carefully weighed the advantages and disadvantages of each alternative for revising the APR provisions concerning the application of the STC concept. On balance, it considers that a </w:t>
      </w:r>
      <w:r w:rsidRPr="008F6E6A">
        <w:rPr>
          <w:b/>
          <w:bCs/>
          <w:noProof/>
        </w:rPr>
        <w:t>combination of measures</w:t>
      </w:r>
      <w:r w:rsidRPr="008F6E6A">
        <w:rPr>
          <w:noProof/>
        </w:rPr>
        <w:t xml:space="preserve"> is most likely to achieve the desired flexibility and facilitate the application of the STC concept by Member States, while maintaining essential safeguards, </w:t>
      </w:r>
      <w:r w:rsidR="00911616" w:rsidRPr="008F6E6A">
        <w:rPr>
          <w:noProof/>
        </w:rPr>
        <w:t>protecting</w:t>
      </w:r>
      <w:r w:rsidRPr="008F6E6A">
        <w:rPr>
          <w:noProof/>
        </w:rPr>
        <w:t xml:space="preserve"> fundamental rights and addressing </w:t>
      </w:r>
      <w:r w:rsidR="0032320B" w:rsidRPr="008F6E6A">
        <w:rPr>
          <w:noProof/>
        </w:rPr>
        <w:t xml:space="preserve">the </w:t>
      </w:r>
      <w:r w:rsidRPr="008F6E6A">
        <w:rPr>
          <w:noProof/>
        </w:rPr>
        <w:t xml:space="preserve">concerns expressed by </w:t>
      </w:r>
      <w:r w:rsidR="003D4768" w:rsidRPr="008F6E6A">
        <w:rPr>
          <w:noProof/>
        </w:rPr>
        <w:t xml:space="preserve">some </w:t>
      </w:r>
      <w:r w:rsidRPr="008F6E6A">
        <w:rPr>
          <w:noProof/>
        </w:rPr>
        <w:t xml:space="preserve">stakeholders, </w:t>
      </w:r>
      <w:r w:rsidR="00791F1D" w:rsidRPr="008F6E6A">
        <w:rPr>
          <w:noProof/>
        </w:rPr>
        <w:t>as reflected in this proposal</w:t>
      </w:r>
      <w:r w:rsidR="00693ED0" w:rsidRPr="008F6E6A">
        <w:rPr>
          <w:noProof/>
        </w:rPr>
        <w:t xml:space="preserve">. </w:t>
      </w:r>
      <w:bookmarkStart w:id="4" w:name="_Hlk194075468"/>
    </w:p>
    <w:p w:rsidR="003E47CA" w:rsidRPr="000A20A8" w:rsidRDefault="003E47CA" w:rsidP="003E47CA">
      <w:pPr>
        <w:rPr>
          <w:noProof/>
        </w:rPr>
      </w:pPr>
      <w:r>
        <w:rPr>
          <w:noProof/>
        </w:rPr>
        <w:t>This proposal therefore would allow</w:t>
      </w:r>
      <w:r w:rsidR="007431EA">
        <w:rPr>
          <w:noProof/>
        </w:rPr>
        <w:t>, but not require,</w:t>
      </w:r>
      <w:r>
        <w:rPr>
          <w:noProof/>
        </w:rPr>
        <w:t xml:space="preserve"> Member States to apply the STC concept when (i) there is a connection between the applicant and a safe third country in question, or (ii) where the applicant has transited through a safe third country</w:t>
      </w:r>
      <w:r w:rsidR="42CFA493">
        <w:rPr>
          <w:noProof/>
        </w:rPr>
        <w:t>,</w:t>
      </w:r>
      <w:r w:rsidR="00416533">
        <w:rPr>
          <w:noProof/>
        </w:rPr>
        <w:t xml:space="preserve"> </w:t>
      </w:r>
      <w:r>
        <w:rPr>
          <w:noProof/>
        </w:rPr>
        <w:t>or</w:t>
      </w:r>
      <w:r w:rsidR="00A64F65">
        <w:rPr>
          <w:noProof/>
        </w:rPr>
        <w:t xml:space="preserve"> (iii)</w:t>
      </w:r>
      <w:r>
        <w:rPr>
          <w:noProof/>
        </w:rPr>
        <w:t xml:space="preserve"> </w:t>
      </w:r>
      <w:r w:rsidR="00A64F65">
        <w:rPr>
          <w:noProof/>
        </w:rPr>
        <w:t>in case of</w:t>
      </w:r>
      <w:r>
        <w:rPr>
          <w:noProof/>
        </w:rPr>
        <w:t xml:space="preserve"> no connection or transit, </w:t>
      </w:r>
      <w:r w:rsidR="00A64F65">
        <w:rPr>
          <w:noProof/>
        </w:rPr>
        <w:t xml:space="preserve">when </w:t>
      </w:r>
      <w:r>
        <w:rPr>
          <w:noProof/>
        </w:rPr>
        <w:t xml:space="preserve">there is an agreement or arrangement </w:t>
      </w:r>
      <w:r w:rsidR="00852B1B">
        <w:rPr>
          <w:noProof/>
        </w:rPr>
        <w:t>with</w:t>
      </w:r>
      <w:r>
        <w:rPr>
          <w:noProof/>
        </w:rPr>
        <w:t xml:space="preserve"> </w:t>
      </w:r>
      <w:r w:rsidR="00A64F65">
        <w:rPr>
          <w:noProof/>
        </w:rPr>
        <w:t>a</w:t>
      </w:r>
      <w:r>
        <w:rPr>
          <w:noProof/>
        </w:rPr>
        <w:t xml:space="preserve"> safe third country</w:t>
      </w:r>
      <w:r w:rsidR="000A20A8">
        <w:rPr>
          <w:noProof/>
        </w:rPr>
        <w:t xml:space="preserve"> requiring the examination </w:t>
      </w:r>
      <w:r w:rsidRPr="00EE64D9">
        <w:rPr>
          <w:noProof/>
        </w:rPr>
        <w:t xml:space="preserve">of the </w:t>
      </w:r>
      <w:r w:rsidR="000A20A8" w:rsidRPr="00EE64D9">
        <w:rPr>
          <w:noProof/>
        </w:rPr>
        <w:t>merits</w:t>
      </w:r>
      <w:r w:rsidR="000A20A8">
        <w:rPr>
          <w:noProof/>
        </w:rPr>
        <w:t xml:space="preserve"> of the requests for effective protection made by applicants subject to that agreement</w:t>
      </w:r>
      <w:r>
        <w:rPr>
          <w:noProof/>
        </w:rPr>
        <w:t xml:space="preserve"> or arrangement</w:t>
      </w:r>
      <w:r w:rsidR="2332F6D6">
        <w:rPr>
          <w:noProof/>
        </w:rPr>
        <w:t>.</w:t>
      </w:r>
      <w:r w:rsidR="00FB5B4C">
        <w:rPr>
          <w:noProof/>
        </w:rPr>
        <w:t xml:space="preserve"> </w:t>
      </w:r>
      <w:r w:rsidR="528CE690" w:rsidRPr="00940D5E">
        <w:rPr>
          <w:noProof/>
        </w:rPr>
        <w:t xml:space="preserve">The last option </w:t>
      </w:r>
      <w:r w:rsidR="009D2687">
        <w:rPr>
          <w:noProof/>
        </w:rPr>
        <w:t>should</w:t>
      </w:r>
      <w:r w:rsidR="528CE690" w:rsidRPr="00940D5E">
        <w:rPr>
          <w:noProof/>
        </w:rPr>
        <w:t xml:space="preserve"> not apply to</w:t>
      </w:r>
      <w:r w:rsidR="00784159" w:rsidRPr="00940D5E">
        <w:rPr>
          <w:noProof/>
        </w:rPr>
        <w:t xml:space="preserve"> unaccompanied minors</w:t>
      </w:r>
      <w:r w:rsidR="162655EF" w:rsidRPr="00FD5361">
        <w:rPr>
          <w:noProof/>
        </w:rPr>
        <w:t>,</w:t>
      </w:r>
      <w:r w:rsidR="002F433C" w:rsidRPr="00940D5E">
        <w:rPr>
          <w:noProof/>
        </w:rPr>
        <w:t xml:space="preserve"> </w:t>
      </w:r>
      <w:r w:rsidRPr="00940D5E" w:rsidDel="003E47CA">
        <w:rPr>
          <w:noProof/>
        </w:rPr>
        <w:t xml:space="preserve">for which </w:t>
      </w:r>
      <w:r w:rsidR="002F433C" w:rsidRPr="00940D5E">
        <w:rPr>
          <w:noProof/>
        </w:rPr>
        <w:t xml:space="preserve">connection </w:t>
      </w:r>
      <w:r w:rsidR="489B6424" w:rsidRPr="00940D5E">
        <w:rPr>
          <w:noProof/>
        </w:rPr>
        <w:t>or</w:t>
      </w:r>
      <w:r w:rsidR="002F433C" w:rsidRPr="00940D5E">
        <w:rPr>
          <w:noProof/>
        </w:rPr>
        <w:t xml:space="preserve"> transit</w:t>
      </w:r>
      <w:r w:rsidR="00FB2189" w:rsidRPr="00FD5361">
        <w:rPr>
          <w:noProof/>
        </w:rPr>
        <w:t xml:space="preserve"> </w:t>
      </w:r>
      <w:r w:rsidR="002F433C" w:rsidRPr="00940D5E">
        <w:rPr>
          <w:noProof/>
        </w:rPr>
        <w:t>would always be required</w:t>
      </w:r>
      <w:r w:rsidR="005C09D9" w:rsidRPr="00940D5E">
        <w:rPr>
          <w:noProof/>
        </w:rPr>
        <w:t xml:space="preserve">. In addition, Member States </w:t>
      </w:r>
      <w:r w:rsidR="009D2687">
        <w:rPr>
          <w:noProof/>
        </w:rPr>
        <w:t>should</w:t>
      </w:r>
      <w:r w:rsidR="005C09D9">
        <w:rPr>
          <w:noProof/>
        </w:rPr>
        <w:t xml:space="preserve"> ensure that</w:t>
      </w:r>
      <w:r w:rsidR="1C68A451" w:rsidRPr="00FD5361">
        <w:rPr>
          <w:noProof/>
        </w:rPr>
        <w:t xml:space="preserve"> the best interests of the child </w:t>
      </w:r>
      <w:r w:rsidR="005C09D9">
        <w:rPr>
          <w:noProof/>
        </w:rPr>
        <w:t>are</w:t>
      </w:r>
      <w:r w:rsidR="1C68A451" w:rsidRPr="00FD5361">
        <w:rPr>
          <w:noProof/>
        </w:rPr>
        <w:t xml:space="preserve"> a primary consideration</w:t>
      </w:r>
      <w:r w:rsidR="005C09D9">
        <w:rPr>
          <w:noProof/>
        </w:rPr>
        <w:t xml:space="preserve"> in all decisions concerning </w:t>
      </w:r>
      <w:r w:rsidR="008D0A8A">
        <w:rPr>
          <w:noProof/>
        </w:rPr>
        <w:t>minors</w:t>
      </w:r>
      <w:r w:rsidR="000A20A8" w:rsidRPr="00F87227">
        <w:rPr>
          <w:noProof/>
        </w:rPr>
        <w:t>.</w:t>
      </w:r>
    </w:p>
    <w:p w:rsidR="003E47CA" w:rsidRPr="005F029C" w:rsidRDefault="003E47CA" w:rsidP="003E47CA">
      <w:pPr>
        <w:rPr>
          <w:noProof/>
        </w:rPr>
      </w:pPr>
      <w:r w:rsidRPr="000A20A8">
        <w:rPr>
          <w:noProof/>
        </w:rPr>
        <w:t>It also simplifies the appeal procedures on the application of the STC concept by</w:t>
      </w:r>
      <w:r w:rsidR="00A64F65" w:rsidRPr="000A20A8">
        <w:rPr>
          <w:noProof/>
        </w:rPr>
        <w:t xml:space="preserve"> proposing</w:t>
      </w:r>
      <w:r w:rsidR="00A64F65" w:rsidRPr="008F6E6A">
        <w:rPr>
          <w:noProof/>
        </w:rPr>
        <w:t xml:space="preserve"> to</w:t>
      </w:r>
      <w:r w:rsidRPr="008F6E6A">
        <w:rPr>
          <w:noProof/>
        </w:rPr>
        <w:t xml:space="preserve"> mak</w:t>
      </w:r>
      <w:r w:rsidR="00A64F65" w:rsidRPr="008F6E6A">
        <w:rPr>
          <w:noProof/>
        </w:rPr>
        <w:t>e</w:t>
      </w:r>
      <w:r w:rsidRPr="008F6E6A">
        <w:rPr>
          <w:noProof/>
        </w:rPr>
        <w:t xml:space="preserve"> non-automatic the suspensive effect of appeals against inadmissibility </w:t>
      </w:r>
      <w:r w:rsidRPr="005F029C">
        <w:rPr>
          <w:noProof/>
        </w:rPr>
        <w:t>decisions</w:t>
      </w:r>
      <w:r w:rsidR="00833FF1" w:rsidRPr="005F029C">
        <w:rPr>
          <w:noProof/>
        </w:rPr>
        <w:t xml:space="preserve"> taken on the STC ground</w:t>
      </w:r>
      <w:r w:rsidRPr="005F029C">
        <w:rPr>
          <w:noProof/>
        </w:rPr>
        <w:t>.</w:t>
      </w:r>
    </w:p>
    <w:bookmarkEnd w:id="4"/>
    <w:p w:rsidR="00693ED0" w:rsidRPr="008F6E6A" w:rsidRDefault="00693ED0" w:rsidP="00693ED0">
      <w:pPr>
        <w:pStyle w:val="ManualHeading2"/>
        <w:rPr>
          <w:rFonts w:eastAsia="Arial Unicode MS"/>
          <w:noProof/>
        </w:rPr>
      </w:pPr>
      <w:r w:rsidRPr="005F029C">
        <w:rPr>
          <w:rFonts w:eastAsia="Arial Unicode MS"/>
          <w:noProof/>
          <w:color w:val="000000"/>
          <w:u w:color="000000"/>
          <w:bdr w:val="nil"/>
          <w:lang w:eastAsia="en-GB"/>
        </w:rPr>
        <w:t>•</w:t>
      </w:r>
      <w:r w:rsidRPr="005F029C">
        <w:rPr>
          <w:rFonts w:eastAsia="Arial Unicode MS"/>
          <w:noProof/>
          <w:color w:val="000000"/>
          <w:u w:color="000000"/>
          <w:bdr w:val="nil"/>
          <w:lang w:eastAsia="en-GB"/>
        </w:rPr>
        <w:tab/>
      </w:r>
      <w:r w:rsidRPr="005F029C">
        <w:rPr>
          <w:rFonts w:eastAsia="Arial Unicode MS"/>
          <w:noProof/>
        </w:rPr>
        <w:t>Objectives of the proposal</w:t>
      </w:r>
    </w:p>
    <w:p w:rsidR="00693ED0" w:rsidRPr="008F6E6A" w:rsidRDefault="00693ED0" w:rsidP="00693ED0">
      <w:pPr>
        <w:pBdr>
          <w:top w:val="nil"/>
          <w:left w:val="nil"/>
          <w:bottom w:val="nil"/>
          <w:right w:val="nil"/>
          <w:between w:val="nil"/>
          <w:bar w:val="nil"/>
        </w:pBdr>
        <w:spacing w:after="240"/>
        <w:rPr>
          <w:noProof/>
          <w:szCs w:val="24"/>
        </w:rPr>
      </w:pPr>
      <w:r w:rsidRPr="008F6E6A">
        <w:rPr>
          <w:noProof/>
          <w:szCs w:val="24"/>
        </w:rPr>
        <w:t xml:space="preserve">The </w:t>
      </w:r>
      <w:r w:rsidR="00DE54B5" w:rsidRPr="008F6E6A">
        <w:rPr>
          <w:noProof/>
          <w:szCs w:val="24"/>
        </w:rPr>
        <w:t xml:space="preserve">main </w:t>
      </w:r>
      <w:r w:rsidRPr="008F6E6A">
        <w:rPr>
          <w:noProof/>
          <w:szCs w:val="24"/>
        </w:rPr>
        <w:t xml:space="preserve">objective of this proposal is to make </w:t>
      </w:r>
      <w:r w:rsidR="00911616" w:rsidRPr="008F6E6A">
        <w:rPr>
          <w:noProof/>
          <w:szCs w:val="24"/>
        </w:rPr>
        <w:t xml:space="preserve">a </w:t>
      </w:r>
      <w:r w:rsidRPr="008F6E6A">
        <w:rPr>
          <w:noProof/>
          <w:szCs w:val="24"/>
        </w:rPr>
        <w:t>targeted amendment to the Asylum Procedure Regulation 2024/1348 so as to</w:t>
      </w:r>
      <w:r w:rsidR="00A1360B" w:rsidRPr="008F6E6A">
        <w:rPr>
          <w:noProof/>
          <w:szCs w:val="24"/>
        </w:rPr>
        <w:t xml:space="preserve"> facilitate </w:t>
      </w:r>
      <w:r w:rsidRPr="008F6E6A">
        <w:rPr>
          <w:noProof/>
          <w:szCs w:val="24"/>
        </w:rPr>
        <w:t xml:space="preserve">the application of the STC concept. </w:t>
      </w:r>
    </w:p>
    <w:p w:rsidR="00693ED0" w:rsidRPr="008F6E6A" w:rsidRDefault="00693ED0" w:rsidP="00693ED0">
      <w:pPr>
        <w:pStyle w:val="ManualHeading2"/>
        <w:rPr>
          <w:rFonts w:eastAsia="Arial Unicode MS"/>
          <w:noProof/>
        </w:rPr>
      </w:pPr>
      <w:r w:rsidRPr="008F6E6A">
        <w:rPr>
          <w:rFonts w:eastAsia="Arial Unicode MS"/>
          <w:noProof/>
          <w:color w:val="000000"/>
          <w:u w:color="000000"/>
          <w:bdr w:val="nil"/>
          <w:lang w:eastAsia="en-GB"/>
        </w:rPr>
        <w:t>•</w:t>
      </w:r>
      <w:r w:rsidRPr="008F6E6A">
        <w:rPr>
          <w:rFonts w:eastAsia="Arial Unicode MS"/>
          <w:noProof/>
          <w:color w:val="000000"/>
          <w:u w:color="000000"/>
          <w:bdr w:val="nil"/>
          <w:lang w:eastAsia="en-GB"/>
        </w:rPr>
        <w:tab/>
      </w:r>
      <w:r w:rsidRPr="008F6E6A">
        <w:rPr>
          <w:rFonts w:eastAsia="Arial Unicode MS"/>
          <w:noProof/>
        </w:rPr>
        <w:t>Consistency with existing policy provisions in the policy area</w:t>
      </w:r>
    </w:p>
    <w:p w:rsidR="00693ED0" w:rsidRPr="008F6E6A" w:rsidRDefault="00693ED0" w:rsidP="00693ED0">
      <w:pPr>
        <w:rPr>
          <w:noProof/>
          <w:szCs w:val="24"/>
        </w:rPr>
      </w:pPr>
      <w:r w:rsidRPr="008F6E6A">
        <w:rPr>
          <w:noProof/>
        </w:rPr>
        <w:t>This proposal</w:t>
      </w:r>
      <w:r w:rsidR="00A71231">
        <w:rPr>
          <w:noProof/>
        </w:rPr>
        <w:t xml:space="preserve"> </w:t>
      </w:r>
      <w:r w:rsidR="00A71231" w:rsidRPr="005F029C">
        <w:rPr>
          <w:noProof/>
        </w:rPr>
        <w:t>stems from Article 77 of the APR which tasks the Commission with reviewing the STC concept by 12 June 2025 and proposing, where appropriate, any targeted amendments. It</w:t>
      </w:r>
      <w:r w:rsidR="00A71231">
        <w:rPr>
          <w:noProof/>
        </w:rPr>
        <w:t xml:space="preserve"> </w:t>
      </w:r>
      <w:r w:rsidRPr="008F6E6A">
        <w:rPr>
          <w:noProof/>
        </w:rPr>
        <w:t>is fully consistent with the objectives of the Asylum Procedure Regulation</w:t>
      </w:r>
      <w:r w:rsidR="00567560" w:rsidRPr="008F6E6A">
        <w:rPr>
          <w:noProof/>
        </w:rPr>
        <w:t>,</w:t>
      </w:r>
      <w:r w:rsidRPr="008F6E6A">
        <w:rPr>
          <w:noProof/>
        </w:rPr>
        <w:t xml:space="preserve"> as adopted on 14 May 2024. It is also </w:t>
      </w:r>
      <w:r w:rsidR="00567560" w:rsidRPr="008F6E6A">
        <w:rPr>
          <w:noProof/>
        </w:rPr>
        <w:t xml:space="preserve">aligned </w:t>
      </w:r>
      <w:r w:rsidRPr="008F6E6A">
        <w:rPr>
          <w:noProof/>
        </w:rPr>
        <w:t xml:space="preserve">with the other legislative instruments adopted in relation to the Pact on Migration and Asylum, notably the Qualification Regulation, the </w:t>
      </w:r>
      <w:r w:rsidR="00D9353D" w:rsidRPr="008F6E6A">
        <w:rPr>
          <w:noProof/>
        </w:rPr>
        <w:t xml:space="preserve">recast </w:t>
      </w:r>
      <w:r w:rsidRPr="008F6E6A">
        <w:rPr>
          <w:noProof/>
        </w:rPr>
        <w:t xml:space="preserve">Reception Conditions Directive, the </w:t>
      </w:r>
      <w:r w:rsidRPr="008F6E6A">
        <w:rPr>
          <w:noProof/>
          <w:szCs w:val="24"/>
        </w:rPr>
        <w:t>Asylum and Migration Management</w:t>
      </w:r>
      <w:r w:rsidR="0016623E">
        <w:rPr>
          <w:noProof/>
          <w:szCs w:val="24"/>
        </w:rPr>
        <w:t xml:space="preserve"> </w:t>
      </w:r>
      <w:r w:rsidR="0016623E" w:rsidRPr="008F6E6A">
        <w:rPr>
          <w:noProof/>
          <w:szCs w:val="24"/>
        </w:rPr>
        <w:t>Regulation</w:t>
      </w:r>
      <w:r w:rsidRPr="008F6E6A">
        <w:rPr>
          <w:noProof/>
        </w:rPr>
        <w:t xml:space="preserve">, the Screening Regulation and the </w:t>
      </w:r>
      <w:r w:rsidRPr="008F6E6A">
        <w:rPr>
          <w:noProof/>
          <w:szCs w:val="24"/>
        </w:rPr>
        <w:t xml:space="preserve">Eurodac Regulation. </w:t>
      </w:r>
    </w:p>
    <w:p w:rsidR="00693ED0" w:rsidRPr="008F6E6A" w:rsidRDefault="00567560" w:rsidP="00766565">
      <w:pPr>
        <w:rPr>
          <w:rFonts w:eastAsia="Arial Unicode MS"/>
          <w:noProof/>
          <w:color w:val="000000"/>
          <w:bdr w:val="nil"/>
          <w:lang w:eastAsia="en-GB"/>
        </w:rPr>
      </w:pPr>
      <w:r w:rsidRPr="008F6E6A">
        <w:rPr>
          <w:noProof/>
        </w:rPr>
        <w:t xml:space="preserve">Additionally, the </w:t>
      </w:r>
      <w:r w:rsidR="5CEF6413" w:rsidRPr="008F6E6A">
        <w:rPr>
          <w:noProof/>
        </w:rPr>
        <w:t xml:space="preserve">proposal for the revision of the </w:t>
      </w:r>
      <w:r w:rsidR="0F772C35" w:rsidRPr="008F6E6A">
        <w:rPr>
          <w:rFonts w:eastAsia="Arial Unicode MS"/>
          <w:noProof/>
          <w:color w:val="000000" w:themeColor="text1"/>
          <w:lang w:eastAsia="en-GB"/>
        </w:rPr>
        <w:t>s</w:t>
      </w:r>
      <w:r w:rsidR="0322322A" w:rsidRPr="008F6E6A">
        <w:rPr>
          <w:noProof/>
        </w:rPr>
        <w:t xml:space="preserve">afe </w:t>
      </w:r>
      <w:r w:rsidR="6ABC040A" w:rsidRPr="008F6E6A">
        <w:rPr>
          <w:rFonts w:eastAsia="Arial Unicode MS"/>
          <w:noProof/>
          <w:color w:val="000000" w:themeColor="text1"/>
          <w:lang w:eastAsia="en-GB"/>
        </w:rPr>
        <w:t>t</w:t>
      </w:r>
      <w:r w:rsidR="0322322A" w:rsidRPr="008F6E6A">
        <w:rPr>
          <w:noProof/>
        </w:rPr>
        <w:t xml:space="preserve">hird </w:t>
      </w:r>
      <w:r w:rsidR="4BCBB736" w:rsidRPr="008F6E6A">
        <w:rPr>
          <w:rFonts w:eastAsia="Arial Unicode MS"/>
          <w:noProof/>
          <w:color w:val="000000" w:themeColor="text1"/>
          <w:lang w:eastAsia="en-GB"/>
        </w:rPr>
        <w:t>c</w:t>
      </w:r>
      <w:r w:rsidR="0322322A" w:rsidRPr="008F6E6A">
        <w:rPr>
          <w:rFonts w:eastAsia="Arial Unicode MS"/>
          <w:noProof/>
          <w:color w:val="000000"/>
          <w:bdr w:val="nil"/>
          <w:lang w:eastAsia="en-GB"/>
        </w:rPr>
        <w:t>ountry</w:t>
      </w:r>
      <w:r w:rsidR="5CEF6413" w:rsidRPr="008F6E6A">
        <w:rPr>
          <w:rFonts w:eastAsia="Arial Unicode MS"/>
          <w:noProof/>
          <w:color w:val="000000"/>
          <w:bdr w:val="nil"/>
          <w:lang w:eastAsia="en-GB"/>
        </w:rPr>
        <w:t xml:space="preserve"> concept </w:t>
      </w:r>
      <w:r w:rsidR="00624DAB" w:rsidRPr="008F6E6A">
        <w:rPr>
          <w:rFonts w:eastAsia="Arial Unicode MS"/>
          <w:noProof/>
          <w:color w:val="000000"/>
          <w:bdr w:val="nil"/>
          <w:lang w:eastAsia="en-GB"/>
        </w:rPr>
        <w:t>is</w:t>
      </w:r>
      <w:r w:rsidR="00F5186A" w:rsidRPr="008F6E6A">
        <w:rPr>
          <w:rFonts w:eastAsia="Arial Unicode MS"/>
          <w:noProof/>
          <w:color w:val="000000"/>
          <w:bdr w:val="nil"/>
          <w:lang w:eastAsia="en-GB"/>
        </w:rPr>
        <w:t xml:space="preserve"> consistent </w:t>
      </w:r>
      <w:r w:rsidR="5CEF6413" w:rsidRPr="008F6E6A">
        <w:rPr>
          <w:rFonts w:eastAsia="Arial Unicode MS"/>
          <w:noProof/>
          <w:color w:val="000000"/>
          <w:bdr w:val="nil"/>
          <w:lang w:eastAsia="en-GB"/>
        </w:rPr>
        <w:t>with the proposal for a Return Regulation</w:t>
      </w:r>
      <w:r w:rsidR="00C40C67" w:rsidRPr="008F6E6A">
        <w:rPr>
          <w:rStyle w:val="FootnoteReference"/>
          <w:rFonts w:eastAsia="Arial Unicode MS"/>
          <w:noProof/>
          <w:color w:val="000000"/>
          <w:bdr w:val="nil"/>
          <w:lang w:eastAsia="en-GB"/>
        </w:rPr>
        <w:footnoteReference w:id="11"/>
      </w:r>
      <w:r w:rsidR="5CEF6413" w:rsidRPr="008F6E6A">
        <w:rPr>
          <w:rFonts w:eastAsia="Arial Unicode MS"/>
          <w:noProof/>
          <w:color w:val="000000"/>
          <w:bdr w:val="nil"/>
          <w:lang w:eastAsia="en-GB"/>
        </w:rPr>
        <w:t xml:space="preserve"> insofar as the latter </w:t>
      </w:r>
      <w:r w:rsidR="00C70564" w:rsidRPr="008F6E6A">
        <w:rPr>
          <w:rFonts w:eastAsia="Arial Unicode MS"/>
          <w:noProof/>
          <w:color w:val="000000"/>
          <w:bdr w:val="nil"/>
          <w:lang w:eastAsia="en-GB"/>
        </w:rPr>
        <w:t xml:space="preserve">expands </w:t>
      </w:r>
      <w:r w:rsidR="5CEF6413" w:rsidRPr="008F6E6A">
        <w:rPr>
          <w:rFonts w:eastAsia="Arial Unicode MS"/>
          <w:noProof/>
          <w:color w:val="000000"/>
          <w:bdr w:val="nil"/>
          <w:lang w:eastAsia="en-GB"/>
        </w:rPr>
        <w:t xml:space="preserve">the scope of the EU rules on return to also cover returns carried out </w:t>
      </w:r>
      <w:r w:rsidR="00F160EE" w:rsidRPr="008F6E6A">
        <w:rPr>
          <w:rFonts w:eastAsia="Arial Unicode MS"/>
          <w:noProof/>
          <w:color w:val="000000"/>
          <w:bdr w:val="nil"/>
          <w:lang w:eastAsia="en-GB"/>
        </w:rPr>
        <w:t>under the</w:t>
      </w:r>
      <w:r w:rsidR="00F160EE" w:rsidRPr="5E58FB0C">
        <w:rPr>
          <w:rFonts w:eastAsia="Arial Unicode MS"/>
          <w:noProof/>
          <w:color w:val="000000"/>
          <w:bdr w:val="nil"/>
          <w:lang w:eastAsia="en-GB"/>
        </w:rPr>
        <w:t xml:space="preserve"> </w:t>
      </w:r>
      <w:r w:rsidR="00D9353D" w:rsidRPr="5E58FB0C">
        <w:rPr>
          <w:rFonts w:eastAsia="Arial Unicode MS"/>
          <w:noProof/>
          <w:color w:val="000000"/>
          <w:bdr w:val="nil"/>
          <w:lang w:eastAsia="en-GB"/>
        </w:rPr>
        <w:t>STC</w:t>
      </w:r>
      <w:r w:rsidR="5CEF6413" w:rsidRPr="5E58FB0C">
        <w:rPr>
          <w:rFonts w:eastAsia="Arial Unicode MS"/>
          <w:noProof/>
          <w:color w:val="000000"/>
          <w:bdr w:val="nil"/>
          <w:lang w:eastAsia="en-GB"/>
        </w:rPr>
        <w:t xml:space="preserve"> concept and upholds the safeguards (already) available to returnees under EU return rules, the EU Charter </w:t>
      </w:r>
      <w:r w:rsidR="00A66069" w:rsidRPr="5E58FB0C">
        <w:rPr>
          <w:noProof/>
        </w:rPr>
        <w:t xml:space="preserve">of Fundamental Rights </w:t>
      </w:r>
      <w:r w:rsidR="5CEF6413" w:rsidRPr="5E58FB0C">
        <w:rPr>
          <w:rFonts w:eastAsia="Arial Unicode MS"/>
          <w:noProof/>
          <w:color w:val="000000"/>
          <w:bdr w:val="nil"/>
          <w:lang w:eastAsia="en-GB"/>
        </w:rPr>
        <w:t xml:space="preserve">and the European Convention on Human Rights in relation to the </w:t>
      </w:r>
      <w:r w:rsidR="00D9353D" w:rsidRPr="5E58FB0C">
        <w:rPr>
          <w:rFonts w:eastAsia="Arial Unicode MS"/>
          <w:noProof/>
          <w:color w:val="000000"/>
          <w:bdr w:val="nil"/>
          <w:lang w:eastAsia="en-GB"/>
        </w:rPr>
        <w:t xml:space="preserve">respect of the </w:t>
      </w:r>
      <w:r w:rsidR="5CEF6413" w:rsidRPr="5E58FB0C">
        <w:rPr>
          <w:rFonts w:eastAsia="Arial Unicode MS"/>
          <w:noProof/>
          <w:color w:val="000000"/>
          <w:bdr w:val="nil"/>
          <w:lang w:eastAsia="en-GB"/>
        </w:rPr>
        <w:t xml:space="preserve">principle of </w:t>
      </w:r>
      <w:r w:rsidR="5CEF6413" w:rsidRPr="5E58FB0C">
        <w:rPr>
          <w:rFonts w:eastAsia="Arial Unicode MS"/>
          <w:i/>
          <w:iCs/>
          <w:noProof/>
          <w:color w:val="000000"/>
          <w:bdr w:val="nil"/>
          <w:lang w:eastAsia="en-GB"/>
        </w:rPr>
        <w:t>non-refoulement</w:t>
      </w:r>
      <w:r w:rsidR="5CEF6413" w:rsidRPr="5E58FB0C">
        <w:rPr>
          <w:rFonts w:eastAsia="Arial Unicode MS"/>
          <w:noProof/>
          <w:color w:val="000000"/>
          <w:bdr w:val="nil"/>
          <w:lang w:eastAsia="en-GB"/>
        </w:rPr>
        <w:t xml:space="preserve">. </w:t>
      </w:r>
    </w:p>
    <w:p w:rsidR="00693ED0" w:rsidRPr="008F6E6A" w:rsidRDefault="00693ED0" w:rsidP="00693ED0">
      <w:pPr>
        <w:pStyle w:val="ManualHeading2"/>
        <w:rPr>
          <w:rFonts w:eastAsia="Arial Unicode MS"/>
          <w:noProof/>
        </w:rPr>
      </w:pPr>
      <w:r w:rsidRPr="008F6E6A">
        <w:rPr>
          <w:rFonts w:eastAsia="Arial Unicode MS"/>
          <w:noProof/>
          <w:color w:val="000000"/>
          <w:u w:color="000000"/>
          <w:bdr w:val="nil"/>
          <w:lang w:eastAsia="en-GB"/>
        </w:rPr>
        <w:t>•</w:t>
      </w:r>
      <w:r w:rsidRPr="008F6E6A">
        <w:rPr>
          <w:rFonts w:eastAsia="Arial Unicode MS"/>
          <w:noProof/>
          <w:color w:val="000000"/>
          <w:u w:color="000000"/>
          <w:bdr w:val="nil"/>
          <w:lang w:eastAsia="en-GB"/>
        </w:rPr>
        <w:tab/>
      </w:r>
      <w:r w:rsidRPr="008F6E6A">
        <w:rPr>
          <w:rFonts w:eastAsia="Arial Unicode MS"/>
          <w:noProof/>
        </w:rPr>
        <w:t>Consistency with other Union policies</w:t>
      </w:r>
    </w:p>
    <w:p w:rsidR="00693ED0" w:rsidRPr="008F6E6A" w:rsidRDefault="00693ED0" w:rsidP="00693ED0">
      <w:pPr>
        <w:rPr>
          <w:noProof/>
          <w:szCs w:val="24"/>
        </w:rPr>
      </w:pPr>
      <w:r w:rsidRPr="008F6E6A">
        <w:rPr>
          <w:noProof/>
          <w:szCs w:val="24"/>
        </w:rPr>
        <w:t>This proposal is consistent with the comprehensive, long-term approach to more effective and coherent migration management</w:t>
      </w:r>
      <w:r w:rsidR="001F2A8F" w:rsidRPr="008F6E6A">
        <w:rPr>
          <w:noProof/>
          <w:szCs w:val="24"/>
        </w:rPr>
        <w:t>,</w:t>
      </w:r>
      <w:r w:rsidRPr="008F6E6A">
        <w:rPr>
          <w:noProof/>
          <w:szCs w:val="24"/>
        </w:rPr>
        <w:t xml:space="preserve"> as set out </w:t>
      </w:r>
      <w:r w:rsidRPr="008F6E6A">
        <w:rPr>
          <w:rFonts w:eastAsia="Arial Unicode MS"/>
          <w:noProof/>
          <w:szCs w:val="24"/>
          <w:u w:color="000000"/>
          <w:bdr w:val="nil"/>
          <w:lang w:eastAsia="en-GB"/>
        </w:rPr>
        <w:t>in the Pact</w:t>
      </w:r>
      <w:r w:rsidRPr="008F6E6A">
        <w:rPr>
          <w:noProof/>
          <w:szCs w:val="24"/>
        </w:rPr>
        <w:t xml:space="preserve"> on Migration and Asylum involving</w:t>
      </w:r>
      <w:r w:rsidR="001F2A8F" w:rsidRPr="008F6E6A">
        <w:rPr>
          <w:noProof/>
          <w:szCs w:val="24"/>
        </w:rPr>
        <w:t>,</w:t>
      </w:r>
      <w:r w:rsidRPr="008F6E6A">
        <w:rPr>
          <w:noProof/>
          <w:szCs w:val="24"/>
        </w:rPr>
        <w:t xml:space="preserve"> </w:t>
      </w:r>
      <w:r w:rsidRPr="008F6E6A">
        <w:rPr>
          <w:i/>
          <w:iCs/>
          <w:noProof/>
          <w:szCs w:val="24"/>
        </w:rPr>
        <w:t>inter alia</w:t>
      </w:r>
      <w:r w:rsidR="001F2A8F" w:rsidRPr="008F6E6A">
        <w:rPr>
          <w:i/>
          <w:iCs/>
          <w:noProof/>
          <w:szCs w:val="24"/>
        </w:rPr>
        <w:t>,</w:t>
      </w:r>
      <w:r w:rsidRPr="008F6E6A">
        <w:rPr>
          <w:noProof/>
          <w:szCs w:val="24"/>
        </w:rPr>
        <w:t xml:space="preserve"> p</w:t>
      </w:r>
      <w:r w:rsidR="007364AB" w:rsidRPr="008F6E6A">
        <w:rPr>
          <w:noProof/>
          <w:szCs w:val="24"/>
        </w:rPr>
        <w:t xml:space="preserve">lacing </w:t>
      </w:r>
      <w:r w:rsidRPr="008F6E6A">
        <w:rPr>
          <w:noProof/>
          <w:szCs w:val="24"/>
        </w:rPr>
        <w:t xml:space="preserve">migration at the </w:t>
      </w:r>
      <w:r w:rsidR="007364AB" w:rsidRPr="008F6E6A">
        <w:rPr>
          <w:noProof/>
          <w:szCs w:val="24"/>
        </w:rPr>
        <w:t>centre</w:t>
      </w:r>
      <w:r w:rsidRPr="008F6E6A">
        <w:rPr>
          <w:noProof/>
          <w:szCs w:val="24"/>
        </w:rPr>
        <w:t xml:space="preserve"> of partnership and cooperation relations with third countries. From this perspective, and taking into account the proposal</w:t>
      </w:r>
      <w:r w:rsidR="00127E15" w:rsidRPr="008F6E6A">
        <w:rPr>
          <w:noProof/>
          <w:szCs w:val="24"/>
        </w:rPr>
        <w:t>’s objective to</w:t>
      </w:r>
      <w:r w:rsidRPr="008F6E6A">
        <w:rPr>
          <w:noProof/>
          <w:szCs w:val="24"/>
        </w:rPr>
        <w:t xml:space="preserve"> guarantee </w:t>
      </w:r>
      <w:r w:rsidR="001A521B" w:rsidRPr="00C8017B">
        <w:rPr>
          <w:noProof/>
          <w:szCs w:val="24"/>
        </w:rPr>
        <w:t xml:space="preserve">the right to seek asylum as well </w:t>
      </w:r>
      <w:r w:rsidR="001A521B">
        <w:rPr>
          <w:noProof/>
          <w:szCs w:val="24"/>
        </w:rPr>
        <w:t xml:space="preserve">as </w:t>
      </w:r>
      <w:r w:rsidR="001A521B" w:rsidRPr="00C8017B">
        <w:rPr>
          <w:noProof/>
          <w:szCs w:val="24"/>
        </w:rPr>
        <w:t>upholding fundamental rights of refugees, asylum</w:t>
      </w:r>
      <w:r w:rsidR="0076755F">
        <w:rPr>
          <w:noProof/>
          <w:szCs w:val="24"/>
        </w:rPr>
        <w:t xml:space="preserve"> </w:t>
      </w:r>
      <w:r w:rsidR="001A521B" w:rsidRPr="00C8017B">
        <w:rPr>
          <w:noProof/>
          <w:szCs w:val="24"/>
        </w:rPr>
        <w:t>seekers and migrants regardless of their status</w:t>
      </w:r>
      <w:r w:rsidR="00D50A02">
        <w:rPr>
          <w:noProof/>
          <w:szCs w:val="24"/>
        </w:rPr>
        <w:t>,</w:t>
      </w:r>
      <w:r w:rsidR="001A521B" w:rsidRPr="00C8017B" w:rsidDel="00C8017B">
        <w:rPr>
          <w:noProof/>
          <w:szCs w:val="24"/>
        </w:rPr>
        <w:t xml:space="preserve"> </w:t>
      </w:r>
      <w:r w:rsidRPr="008F6E6A">
        <w:rPr>
          <w:noProof/>
          <w:szCs w:val="24"/>
        </w:rPr>
        <w:t xml:space="preserve">the proposal </w:t>
      </w:r>
      <w:r w:rsidR="00127E15" w:rsidRPr="008F6E6A">
        <w:rPr>
          <w:noProof/>
          <w:szCs w:val="24"/>
        </w:rPr>
        <w:t>aligns</w:t>
      </w:r>
      <w:r w:rsidRPr="008F6E6A">
        <w:rPr>
          <w:noProof/>
          <w:szCs w:val="24"/>
        </w:rPr>
        <w:t xml:space="preserve"> with the EU’s commitment to the objectives of the Global Refugee Compact. </w:t>
      </w:r>
    </w:p>
    <w:p w:rsidR="00693ED0" w:rsidRPr="008F6E6A" w:rsidRDefault="00693ED0" w:rsidP="00693ED0">
      <w:pPr>
        <w:rPr>
          <w:noProof/>
          <w:szCs w:val="24"/>
        </w:rPr>
      </w:pPr>
      <w:r w:rsidRPr="008F6E6A">
        <w:rPr>
          <w:noProof/>
          <w:szCs w:val="24"/>
        </w:rPr>
        <w:t xml:space="preserve">The proposal supports the overall objectives of the Pact, and in particular the </w:t>
      </w:r>
      <w:r w:rsidR="00127E15" w:rsidRPr="008F6E6A">
        <w:rPr>
          <w:noProof/>
          <w:szCs w:val="24"/>
        </w:rPr>
        <w:t>goal of making</w:t>
      </w:r>
      <w:r w:rsidRPr="008F6E6A">
        <w:rPr>
          <w:noProof/>
          <w:szCs w:val="24"/>
        </w:rPr>
        <w:t xml:space="preserve"> the processing of </w:t>
      </w:r>
      <w:r w:rsidR="00B15874" w:rsidRPr="008F6E6A">
        <w:rPr>
          <w:noProof/>
          <w:szCs w:val="24"/>
        </w:rPr>
        <w:t xml:space="preserve">asylum </w:t>
      </w:r>
      <w:r w:rsidRPr="008F6E6A">
        <w:rPr>
          <w:noProof/>
          <w:szCs w:val="24"/>
        </w:rPr>
        <w:t>applications in the EU more efficient and finding solutions to cooperate and share the burden with third countries.</w:t>
      </w:r>
    </w:p>
    <w:p w:rsidR="00693ED0" w:rsidRPr="008F6E6A" w:rsidRDefault="00693ED0" w:rsidP="00693ED0">
      <w:pPr>
        <w:pStyle w:val="ManualHeading1"/>
        <w:rPr>
          <w:noProof/>
        </w:rPr>
      </w:pPr>
      <w:r w:rsidRPr="008F6E6A">
        <w:rPr>
          <w:noProof/>
        </w:rPr>
        <w:t>2.</w:t>
      </w:r>
      <w:r w:rsidRPr="008F6E6A">
        <w:rPr>
          <w:noProof/>
        </w:rPr>
        <w:tab/>
        <w:t>LEGAL BASIS, SUBSIDIARITY AND PROPORTIONALITY</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Legal basis</w:t>
      </w:r>
    </w:p>
    <w:p w:rsidR="00693ED0" w:rsidRPr="008F6E6A" w:rsidRDefault="00693ED0" w:rsidP="00693ED0">
      <w:pPr>
        <w:pBdr>
          <w:top w:val="nil"/>
          <w:left w:val="nil"/>
          <w:bottom w:val="nil"/>
          <w:right w:val="nil"/>
          <w:between w:val="nil"/>
          <w:bar w:val="nil"/>
        </w:pBdr>
        <w:spacing w:before="0" w:after="240"/>
        <w:rPr>
          <w:rFonts w:eastAsia="Arial Unicode MS"/>
          <w:noProof/>
        </w:rPr>
      </w:pPr>
      <w:r w:rsidRPr="008F6E6A">
        <w:rPr>
          <w:rFonts w:eastAsia="Arial Unicode MS"/>
          <w:noProof/>
        </w:rPr>
        <w:t>The legal basis for the proposal is Article 78(2), point (d) of the Treaty on the Functioning of the European Union</w:t>
      </w:r>
      <w:r w:rsidR="008C0B36" w:rsidRPr="008F6E6A">
        <w:rPr>
          <w:rFonts w:eastAsia="Arial Unicode MS"/>
          <w:noProof/>
        </w:rPr>
        <w:t xml:space="preserve"> (TFEU)</w:t>
      </w:r>
      <w:r w:rsidRPr="008F6E6A">
        <w:rPr>
          <w:rFonts w:eastAsia="Arial Unicode MS"/>
          <w:noProof/>
        </w:rPr>
        <w:t xml:space="preserve">. </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Variable geometry</w:t>
      </w:r>
    </w:p>
    <w:p w:rsidR="005459C8" w:rsidRPr="008F6E6A" w:rsidRDefault="005459C8" w:rsidP="000A20A8">
      <w:pPr>
        <w:rPr>
          <w:noProof/>
        </w:rPr>
      </w:pPr>
      <w:r w:rsidRPr="008F6E6A">
        <w:rPr>
          <w:noProof/>
        </w:rPr>
        <w:t xml:space="preserve">In accordance with Articles 1 and 2 of Protocol No 21 on the position of Ireland in respect of the Area of Freedom, Security and Justice, annexed to the Treaty on European Union (TEU) and to the TFEU, Ireland shall not take part in the adoption and shall not be bound by any measure adopted pursuant to Title V of Part Three of the TFEU, which includes measures establishing a Common European Asylum System. However, pursuant to Article 3 of that Protocol, Ireland may decide to take part in the adoption and application of such measures. Ireland has given notice of its wish to take part in the Asylum Procedure Regulation. It may also choose to take part in the adoption and application of the present proposal, which amends </w:t>
      </w:r>
      <w:r w:rsidRPr="000A20A8">
        <w:rPr>
          <w:noProof/>
          <w:szCs w:val="24"/>
        </w:rPr>
        <w:t>the</w:t>
      </w:r>
      <w:r w:rsidRPr="008F6E6A">
        <w:rPr>
          <w:noProof/>
        </w:rPr>
        <w:t xml:space="preserve"> Asylum Procedure Regulation, in line with Articles 3 and 4a of Protocol 21.</w:t>
      </w:r>
    </w:p>
    <w:p w:rsidR="00693ED0" w:rsidRPr="008F6E6A" w:rsidRDefault="005459C8" w:rsidP="000A20A8">
      <w:pPr>
        <w:rPr>
          <w:noProof/>
        </w:rPr>
      </w:pPr>
      <w:r w:rsidRPr="008F6E6A">
        <w:rPr>
          <w:noProof/>
        </w:rPr>
        <w:t xml:space="preserve">In </w:t>
      </w:r>
      <w:r w:rsidRPr="000A20A8">
        <w:rPr>
          <w:noProof/>
          <w:szCs w:val="24"/>
        </w:rPr>
        <w:t>accordance</w:t>
      </w:r>
      <w:r w:rsidRPr="008F6E6A">
        <w:rPr>
          <w:noProof/>
        </w:rPr>
        <w:t xml:space="preserve"> with Articles 1 and 2 of Protocol No 22 on the position of Denmark annexed to the Treaty on European Union and the Treaty on the Functioning of the European Union, Denmark is not taking part in the adoption of this Regulation and is not bound by it or subject to its application</w:t>
      </w:r>
      <w:r w:rsidR="00693ED0" w:rsidRPr="008F6E6A">
        <w:rPr>
          <w:noProof/>
        </w:rPr>
        <w:t xml:space="preserve">. </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Subsidiarity</w:t>
      </w:r>
    </w:p>
    <w:p w:rsidR="00693ED0" w:rsidRPr="008F6E6A" w:rsidRDefault="00693ED0" w:rsidP="000A20A8">
      <w:pPr>
        <w:rPr>
          <w:noProof/>
          <w:szCs w:val="24"/>
        </w:rPr>
      </w:pPr>
      <w:r w:rsidRPr="008F6E6A">
        <w:rPr>
          <w:noProof/>
          <w:sz w:val="23"/>
          <w:szCs w:val="23"/>
        </w:rPr>
        <w:t xml:space="preserve">The objective of this proposal is to </w:t>
      </w:r>
      <w:r w:rsidRPr="008F6E6A">
        <w:rPr>
          <w:noProof/>
        </w:rPr>
        <w:t>make</w:t>
      </w:r>
      <w:r w:rsidR="00EF08F7" w:rsidRPr="008F6E6A">
        <w:rPr>
          <w:noProof/>
        </w:rPr>
        <w:t xml:space="preserve"> a</w:t>
      </w:r>
      <w:r w:rsidRPr="008F6E6A">
        <w:rPr>
          <w:noProof/>
        </w:rPr>
        <w:t xml:space="preserve"> targeted amendment to the Asylum Procedure Regulation </w:t>
      </w:r>
      <w:r w:rsidR="0095068A" w:rsidRPr="008F6E6A">
        <w:rPr>
          <w:noProof/>
        </w:rPr>
        <w:t>aimed at</w:t>
      </w:r>
      <w:r w:rsidR="006B0911" w:rsidRPr="008F6E6A">
        <w:rPr>
          <w:noProof/>
        </w:rPr>
        <w:t xml:space="preserve"> </w:t>
      </w:r>
      <w:r w:rsidR="00E14866" w:rsidRPr="008F6E6A">
        <w:rPr>
          <w:noProof/>
        </w:rPr>
        <w:t>mak</w:t>
      </w:r>
      <w:r w:rsidR="0095068A" w:rsidRPr="008F6E6A">
        <w:rPr>
          <w:noProof/>
        </w:rPr>
        <w:t>ing</w:t>
      </w:r>
      <w:r w:rsidR="00E14866" w:rsidRPr="008F6E6A">
        <w:rPr>
          <w:noProof/>
        </w:rPr>
        <w:t xml:space="preserve"> </w:t>
      </w:r>
      <w:r w:rsidR="0095068A" w:rsidRPr="008F6E6A">
        <w:rPr>
          <w:noProof/>
        </w:rPr>
        <w:t xml:space="preserve">the application of the STC concept </w:t>
      </w:r>
      <w:r w:rsidRPr="008F6E6A">
        <w:rPr>
          <w:noProof/>
        </w:rPr>
        <w:t xml:space="preserve">more flexible </w:t>
      </w:r>
      <w:r w:rsidR="0095068A" w:rsidRPr="008F6E6A">
        <w:rPr>
          <w:noProof/>
        </w:rPr>
        <w:t>for</w:t>
      </w:r>
      <w:r w:rsidRPr="008F6E6A">
        <w:rPr>
          <w:noProof/>
        </w:rPr>
        <w:t xml:space="preserve"> Member States</w:t>
      </w:r>
      <w:r w:rsidRPr="008F6E6A">
        <w:rPr>
          <w:noProof/>
          <w:szCs w:val="24"/>
        </w:rPr>
        <w:t>. The proposal maintains the optional nature of the application of the STC concept.</w:t>
      </w:r>
    </w:p>
    <w:p w:rsidR="00693ED0" w:rsidRPr="008F6E6A" w:rsidRDefault="00693ED0" w:rsidP="000A20A8">
      <w:pPr>
        <w:rPr>
          <w:noProof/>
        </w:rPr>
      </w:pPr>
      <w:r w:rsidRPr="008F6E6A">
        <w:rPr>
          <w:noProof/>
        </w:rPr>
        <w:t xml:space="preserve">The new procedures should be governed by the same rules, regardless of the Member State applying them, to ensure equity in the treatment of the applicants, third-country nationals or stateless persons subject to them, </w:t>
      </w:r>
      <w:r w:rsidR="0095068A" w:rsidRPr="008F6E6A">
        <w:rPr>
          <w:noProof/>
        </w:rPr>
        <w:t xml:space="preserve">as well as </w:t>
      </w:r>
      <w:r w:rsidRPr="008F6E6A">
        <w:rPr>
          <w:noProof/>
        </w:rPr>
        <w:t xml:space="preserve">clarity and legal certainty for the individual. Furthermore, Member States </w:t>
      </w:r>
      <w:r w:rsidR="0056683A" w:rsidRPr="008F6E6A">
        <w:rPr>
          <w:noProof/>
        </w:rPr>
        <w:t>acting alone could create</w:t>
      </w:r>
      <w:r w:rsidRPr="008F6E6A">
        <w:rPr>
          <w:noProof/>
        </w:rPr>
        <w:t xml:space="preserve"> incentives for</w:t>
      </w:r>
      <w:r w:rsidR="00BD7D35">
        <w:rPr>
          <w:noProof/>
        </w:rPr>
        <w:t xml:space="preserve"> </w:t>
      </w:r>
      <w:r w:rsidRPr="000A20A8">
        <w:rPr>
          <w:noProof/>
          <w:szCs w:val="24"/>
        </w:rPr>
        <w:t>unauthorised</w:t>
      </w:r>
      <w:r w:rsidRPr="008F6E6A">
        <w:rPr>
          <w:noProof/>
        </w:rPr>
        <w:t xml:space="preserve"> movements </w:t>
      </w:r>
      <w:r w:rsidR="00235E39" w:rsidRPr="008F6E6A">
        <w:rPr>
          <w:noProof/>
        </w:rPr>
        <w:t xml:space="preserve">from </w:t>
      </w:r>
      <w:r w:rsidR="00475CB3" w:rsidRPr="008F6E6A">
        <w:rPr>
          <w:noProof/>
        </w:rPr>
        <w:t>one Member State to another</w:t>
      </w:r>
      <w:r w:rsidR="00953A10" w:rsidRPr="008F6E6A">
        <w:rPr>
          <w:noProof/>
        </w:rPr>
        <w:t>,</w:t>
      </w:r>
      <w:r w:rsidR="00475CB3" w:rsidRPr="008F6E6A">
        <w:rPr>
          <w:noProof/>
        </w:rPr>
        <w:t xml:space="preserve"> </w:t>
      </w:r>
      <w:r w:rsidR="004C50F5" w:rsidRPr="008F6E6A">
        <w:rPr>
          <w:noProof/>
        </w:rPr>
        <w:t>depending</w:t>
      </w:r>
      <w:r w:rsidR="00994578" w:rsidRPr="008F6E6A">
        <w:rPr>
          <w:noProof/>
        </w:rPr>
        <w:t xml:space="preserve"> o</w:t>
      </w:r>
      <w:r w:rsidR="00282C28" w:rsidRPr="008F6E6A">
        <w:rPr>
          <w:noProof/>
        </w:rPr>
        <w:t>n</w:t>
      </w:r>
      <w:r w:rsidR="00475CB3" w:rsidRPr="008F6E6A">
        <w:rPr>
          <w:noProof/>
        </w:rPr>
        <w:t xml:space="preserve"> whether and how the</w:t>
      </w:r>
      <w:r w:rsidR="00FE4E2D" w:rsidRPr="008F6E6A">
        <w:rPr>
          <w:noProof/>
        </w:rPr>
        <w:t>y</w:t>
      </w:r>
      <w:r w:rsidR="00475CB3" w:rsidRPr="008F6E6A">
        <w:rPr>
          <w:noProof/>
        </w:rPr>
        <w:t xml:space="preserve"> apply the STC concept, </w:t>
      </w:r>
      <w:r w:rsidR="00AC6606" w:rsidRPr="008F6E6A">
        <w:rPr>
          <w:noProof/>
        </w:rPr>
        <w:t xml:space="preserve">or hamper </w:t>
      </w:r>
      <w:r w:rsidR="007C66EB" w:rsidRPr="008F6E6A">
        <w:rPr>
          <w:noProof/>
        </w:rPr>
        <w:t>Dublin transfers</w:t>
      </w:r>
      <w:r w:rsidR="00A8564C" w:rsidRPr="008F6E6A">
        <w:rPr>
          <w:noProof/>
        </w:rPr>
        <w:t xml:space="preserve"> due to the divergent application of the concept</w:t>
      </w:r>
      <w:r w:rsidR="007C66EB" w:rsidRPr="008F6E6A">
        <w:rPr>
          <w:noProof/>
        </w:rPr>
        <w:t>.</w:t>
      </w:r>
      <w:r w:rsidR="00A8564C" w:rsidRPr="008F6E6A" w:rsidDel="00A8564C">
        <w:rPr>
          <w:noProof/>
        </w:rPr>
        <w:t xml:space="preserve"> </w:t>
      </w:r>
    </w:p>
    <w:p w:rsidR="00693ED0" w:rsidRPr="008F6E6A" w:rsidRDefault="00693ED0" w:rsidP="00693ED0">
      <w:pPr>
        <w:pBdr>
          <w:top w:val="nil"/>
          <w:left w:val="nil"/>
          <w:bottom w:val="nil"/>
          <w:right w:val="nil"/>
          <w:between w:val="nil"/>
          <w:bar w:val="nil"/>
        </w:pBdr>
        <w:spacing w:after="240"/>
        <w:rPr>
          <w:noProof/>
        </w:rPr>
      </w:pPr>
      <w:r w:rsidRPr="008F6E6A">
        <w:rPr>
          <w:noProof/>
          <w:szCs w:val="24"/>
        </w:rPr>
        <w:t xml:space="preserve">The objectives of this proposal cannot be achieved by the Member States alone. The objective of lifting some of the obstacles to the effective application of the STC concept calls for an EU framework, which </w:t>
      </w:r>
      <w:r w:rsidR="001E72DD" w:rsidRPr="008F6E6A">
        <w:rPr>
          <w:noProof/>
          <w:szCs w:val="24"/>
        </w:rPr>
        <w:t>is</w:t>
      </w:r>
      <w:r w:rsidRPr="008F6E6A">
        <w:rPr>
          <w:noProof/>
          <w:szCs w:val="24"/>
        </w:rPr>
        <w:t xml:space="preserve"> necessary</w:t>
      </w:r>
      <w:r w:rsidR="00601BCE" w:rsidRPr="008F6E6A">
        <w:rPr>
          <w:noProof/>
          <w:szCs w:val="24"/>
        </w:rPr>
        <w:t xml:space="preserve"> </w:t>
      </w:r>
      <w:r w:rsidRPr="008F6E6A">
        <w:rPr>
          <w:noProof/>
          <w:szCs w:val="24"/>
        </w:rPr>
        <w:t>to ensure a consistent and coherent application of the STC concept across Member States</w:t>
      </w:r>
      <w:r w:rsidR="00202CFE" w:rsidRPr="008F6E6A">
        <w:rPr>
          <w:noProof/>
          <w:szCs w:val="24"/>
        </w:rPr>
        <w:t>.</w:t>
      </w:r>
      <w:r w:rsidRPr="008F6E6A">
        <w:rPr>
          <w:noProof/>
          <w:szCs w:val="24"/>
        </w:rPr>
        <w:t xml:space="preserve"> The Union must therefore act and may adopt measures in accordance with the principle of subsidiarity as set out in Article 5 of the Treaty on European Union. </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Proportionality</w:t>
      </w:r>
    </w:p>
    <w:p w:rsidR="00693ED0" w:rsidRPr="008F6E6A" w:rsidRDefault="00693ED0" w:rsidP="000A20A8">
      <w:pPr>
        <w:rPr>
          <w:rFonts w:eastAsia="Arial Unicode MS"/>
          <w:noProof/>
        </w:rPr>
      </w:pPr>
      <w:r w:rsidRPr="008F6E6A">
        <w:rPr>
          <w:noProof/>
          <w:szCs w:val="24"/>
        </w:rPr>
        <w:t xml:space="preserve">In accordance with the principle of proportionality, as set out in Article 5 of the Treaty on the European Union, this proposal </w:t>
      </w:r>
      <w:r w:rsidR="005816CB" w:rsidRPr="008F6E6A">
        <w:rPr>
          <w:noProof/>
          <w:szCs w:val="24"/>
        </w:rPr>
        <w:t xml:space="preserve">for a </w:t>
      </w:r>
      <w:r w:rsidRPr="008F6E6A">
        <w:rPr>
          <w:noProof/>
          <w:szCs w:val="24"/>
        </w:rPr>
        <w:t xml:space="preserve">targeted amendment to the Asylum Procedure Regulation 2024/1348 does not go beyond what is necessary in order to achieve its objectives, namely, to allow Member States more flexibility in the application of the STC concept in line with international law and in full respect of the fundamental rights </w:t>
      </w:r>
      <w:r w:rsidR="007F1505">
        <w:rPr>
          <w:noProof/>
          <w:szCs w:val="24"/>
        </w:rPr>
        <w:t>enshrined in</w:t>
      </w:r>
      <w:r w:rsidRPr="008F6E6A">
        <w:rPr>
          <w:noProof/>
          <w:szCs w:val="24"/>
        </w:rPr>
        <w:t xml:space="preserve"> the EU Charter of Fundamental Rights and the European Convention of Human Rights.</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Choice of the instrument</w:t>
      </w:r>
    </w:p>
    <w:p w:rsidR="00693ED0" w:rsidRPr="008F6E6A" w:rsidRDefault="00693ED0" w:rsidP="00693ED0">
      <w:pPr>
        <w:pBdr>
          <w:top w:val="nil"/>
          <w:left w:val="nil"/>
          <w:bottom w:val="nil"/>
          <w:right w:val="nil"/>
          <w:between w:val="nil"/>
          <w:bar w:val="nil"/>
        </w:pBdr>
        <w:spacing w:before="0" w:after="240"/>
        <w:rPr>
          <w:noProof/>
        </w:rPr>
      </w:pPr>
      <w:r w:rsidRPr="008F6E6A">
        <w:rPr>
          <w:noProof/>
        </w:rPr>
        <w:t>The instrument chosen is a proposal for a Regulation amending the Asylum Procedure Regulation.</w:t>
      </w:r>
    </w:p>
    <w:p w:rsidR="00693ED0" w:rsidRPr="008F6E6A" w:rsidRDefault="00693ED0" w:rsidP="00693ED0">
      <w:pPr>
        <w:pStyle w:val="ManualHeading1"/>
        <w:rPr>
          <w:noProof/>
        </w:rPr>
      </w:pPr>
      <w:r w:rsidRPr="008F6E6A">
        <w:rPr>
          <w:noProof/>
        </w:rPr>
        <w:t>3.</w:t>
      </w:r>
      <w:r w:rsidRPr="008F6E6A">
        <w:rPr>
          <w:noProof/>
        </w:rPr>
        <w:tab/>
        <w:t>RESULTS OF EX-POST EVALUATIONS, STAKEHOLDER CONSULTATIONS AND IMPACT ASSESSMENTS</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Collection of knowledge of implementation and application of existing legislation</w:t>
      </w:r>
    </w:p>
    <w:p w:rsidR="00693ED0" w:rsidRPr="008F6E6A" w:rsidRDefault="00693ED0" w:rsidP="000A20A8">
      <w:pPr>
        <w:rPr>
          <w:noProof/>
        </w:rPr>
      </w:pPr>
      <w:r w:rsidRPr="008F6E6A">
        <w:rPr>
          <w:noProof/>
        </w:rPr>
        <w:t xml:space="preserve">For the review of the STC concept, the Commission examined whether there is scope under international law (the 1951 Geneva Convention and the 1950 European Convention of Human Rights) to further revise the conditions for the application of the STC concept and the associated </w:t>
      </w:r>
      <w:r w:rsidRPr="000A20A8">
        <w:rPr>
          <w:noProof/>
          <w:szCs w:val="24"/>
        </w:rPr>
        <w:t>legal</w:t>
      </w:r>
      <w:r w:rsidRPr="008F6E6A">
        <w:rPr>
          <w:noProof/>
        </w:rPr>
        <w:t xml:space="preserve"> safeguards with a view to </w:t>
      </w:r>
      <w:r w:rsidR="00A8564C" w:rsidRPr="008F6E6A">
        <w:rPr>
          <w:noProof/>
        </w:rPr>
        <w:t xml:space="preserve">facilitate </w:t>
      </w:r>
      <w:r w:rsidR="00427271" w:rsidRPr="008F6E6A">
        <w:rPr>
          <w:noProof/>
        </w:rPr>
        <w:t xml:space="preserve">the application of the concept </w:t>
      </w:r>
      <w:r w:rsidRPr="008F6E6A">
        <w:rPr>
          <w:noProof/>
        </w:rPr>
        <w:t>in the Member States. The Commission</w:t>
      </w:r>
      <w:r w:rsidR="7E7DB185" w:rsidRPr="008F6E6A">
        <w:rPr>
          <w:noProof/>
        </w:rPr>
        <w:t xml:space="preserve"> </w:t>
      </w:r>
      <w:r w:rsidRPr="008F6E6A">
        <w:rPr>
          <w:noProof/>
        </w:rPr>
        <w:t xml:space="preserve">also took into account the experience of the Member States </w:t>
      </w:r>
      <w:r w:rsidR="00427271" w:rsidRPr="008F6E6A">
        <w:rPr>
          <w:noProof/>
        </w:rPr>
        <w:t>in applying</w:t>
      </w:r>
      <w:r w:rsidRPr="008F6E6A">
        <w:rPr>
          <w:noProof/>
        </w:rPr>
        <w:t xml:space="preserve"> the STC concept so far, including the challenges encountered in the application of the concept, as voiced in different fora. Finally, the Commission analysed the relevant jurisprudence of the CJEU and of the ECtHR. </w:t>
      </w:r>
    </w:p>
    <w:p w:rsidR="00693ED0" w:rsidRPr="008F6E6A" w:rsidRDefault="00693ED0" w:rsidP="000A20A8">
      <w:pPr>
        <w:rPr>
          <w:rFonts w:eastAsia="Times New Roman"/>
          <w:noProof/>
        </w:rPr>
      </w:pPr>
      <w:r w:rsidRPr="008F6E6A">
        <w:rPr>
          <w:noProof/>
        </w:rPr>
        <w:t xml:space="preserve">As regards </w:t>
      </w:r>
      <w:r w:rsidR="007F1505">
        <w:rPr>
          <w:noProof/>
        </w:rPr>
        <w:t xml:space="preserve">the </w:t>
      </w:r>
      <w:r w:rsidRPr="008F6E6A">
        <w:rPr>
          <w:noProof/>
        </w:rPr>
        <w:t xml:space="preserve">factual information </w:t>
      </w:r>
      <w:r w:rsidR="00050C62" w:rsidRPr="008F6E6A">
        <w:rPr>
          <w:noProof/>
        </w:rPr>
        <w:t xml:space="preserve">on </w:t>
      </w:r>
      <w:r w:rsidRPr="008F6E6A">
        <w:rPr>
          <w:noProof/>
        </w:rPr>
        <w:t>the application of the STC concept by the EU Member States</w:t>
      </w:r>
      <w:r w:rsidR="000B7EFB" w:rsidRPr="008F6E6A">
        <w:rPr>
          <w:noProof/>
        </w:rPr>
        <w:t xml:space="preserve"> so far</w:t>
      </w:r>
      <w:r w:rsidRPr="008F6E6A">
        <w:rPr>
          <w:noProof/>
        </w:rPr>
        <w:t xml:space="preserve">, the available </w:t>
      </w:r>
      <w:r w:rsidR="0098622A" w:rsidRPr="008F6E6A">
        <w:rPr>
          <w:noProof/>
        </w:rPr>
        <w:t>data</w:t>
      </w:r>
      <w:r w:rsidR="000B7EFB" w:rsidRPr="008F6E6A">
        <w:rPr>
          <w:noProof/>
        </w:rPr>
        <w:t xml:space="preserve"> </w:t>
      </w:r>
      <w:r w:rsidRPr="008F6E6A">
        <w:rPr>
          <w:noProof/>
        </w:rPr>
        <w:t xml:space="preserve">is not very thorough, but indications </w:t>
      </w:r>
      <w:r w:rsidR="0098622A" w:rsidRPr="008F6E6A">
        <w:rPr>
          <w:noProof/>
        </w:rPr>
        <w:t xml:space="preserve">suggest </w:t>
      </w:r>
      <w:r w:rsidRPr="008F6E6A">
        <w:rPr>
          <w:noProof/>
        </w:rPr>
        <w:t>that practices have</w:t>
      </w:r>
      <w:r w:rsidR="00A8564C" w:rsidRPr="008F6E6A">
        <w:rPr>
          <w:noProof/>
        </w:rPr>
        <w:t xml:space="preserve">, </w:t>
      </w:r>
      <w:r w:rsidRPr="008F6E6A">
        <w:rPr>
          <w:noProof/>
        </w:rPr>
        <w:t>at</w:t>
      </w:r>
      <w:r w:rsidR="00A8564C" w:rsidRPr="008F6E6A">
        <w:rPr>
          <w:noProof/>
        </w:rPr>
        <w:t xml:space="preserve"> </w:t>
      </w:r>
      <w:r w:rsidRPr="008F6E6A">
        <w:rPr>
          <w:noProof/>
        </w:rPr>
        <w:t>best</w:t>
      </w:r>
      <w:r w:rsidR="002C0601" w:rsidRPr="008F6E6A">
        <w:rPr>
          <w:noProof/>
        </w:rPr>
        <w:t>, been</w:t>
      </w:r>
      <w:r w:rsidRPr="008F6E6A">
        <w:rPr>
          <w:noProof/>
        </w:rPr>
        <w:t xml:space="preserve"> uneven</w:t>
      </w:r>
      <w:r w:rsidRPr="008F6E6A">
        <w:rPr>
          <w:rStyle w:val="FootnoteReference"/>
          <w:noProof/>
        </w:rPr>
        <w:footnoteReference w:id="12"/>
      </w:r>
      <w:r w:rsidR="005459C8" w:rsidRPr="008F6E6A">
        <w:rPr>
          <w:noProof/>
        </w:rPr>
        <w:t>.</w:t>
      </w:r>
      <w:r w:rsidRPr="008F6E6A">
        <w:rPr>
          <w:noProof/>
        </w:rPr>
        <w:t xml:space="preserve"> </w:t>
      </w:r>
      <w:r w:rsidR="009F3C73" w:rsidRPr="008F6E6A">
        <w:rPr>
          <w:rFonts w:eastAsia="Times New Roman"/>
          <w:noProof/>
        </w:rPr>
        <w:t>T</w:t>
      </w:r>
      <w:r w:rsidR="2499A3FB" w:rsidRPr="008F6E6A">
        <w:rPr>
          <w:rFonts w:eastAsia="Times New Roman"/>
          <w:noProof/>
        </w:rPr>
        <w:t>hree Member States do not have the STC concept covered in national legislation</w:t>
      </w:r>
      <w:r w:rsidR="00E9170B" w:rsidRPr="008F6E6A">
        <w:rPr>
          <w:rStyle w:val="FootnoteReference"/>
          <w:rFonts w:eastAsia="Times New Roman"/>
          <w:noProof/>
        </w:rPr>
        <w:footnoteReference w:id="13"/>
      </w:r>
      <w:r w:rsidR="005459C8" w:rsidRPr="008F6E6A">
        <w:rPr>
          <w:rFonts w:eastAsia="Times New Roman"/>
          <w:noProof/>
        </w:rPr>
        <w:t>.</w:t>
      </w:r>
      <w:r w:rsidR="009F3C73" w:rsidRPr="008F6E6A">
        <w:rPr>
          <w:rFonts w:eastAsia="Times New Roman"/>
          <w:noProof/>
        </w:rPr>
        <w:t xml:space="preserve"> </w:t>
      </w:r>
      <w:r w:rsidR="2499A3FB" w:rsidRPr="008F6E6A">
        <w:rPr>
          <w:rFonts w:eastAsia="Times New Roman"/>
          <w:noProof/>
        </w:rPr>
        <w:t xml:space="preserve">All other Member States have the concept included in national </w:t>
      </w:r>
      <w:r w:rsidR="2499A3FB" w:rsidRPr="000A20A8">
        <w:rPr>
          <w:noProof/>
          <w:szCs w:val="24"/>
        </w:rPr>
        <w:t>legislation</w:t>
      </w:r>
      <w:r w:rsidR="2499A3FB" w:rsidRPr="008F6E6A">
        <w:rPr>
          <w:rFonts w:eastAsia="Times New Roman"/>
          <w:noProof/>
        </w:rPr>
        <w:t>, but there are differences in terms of</w:t>
      </w:r>
      <w:r w:rsidR="00B73212">
        <w:rPr>
          <w:rFonts w:eastAsia="Times New Roman"/>
          <w:noProof/>
        </w:rPr>
        <w:t xml:space="preserve"> its</w:t>
      </w:r>
      <w:r w:rsidR="00E660B8">
        <w:rPr>
          <w:rFonts w:eastAsia="Times New Roman"/>
          <w:noProof/>
        </w:rPr>
        <w:t xml:space="preserve"> </w:t>
      </w:r>
      <w:r w:rsidR="2499A3FB" w:rsidRPr="008F6E6A">
        <w:rPr>
          <w:rFonts w:eastAsia="Times New Roman"/>
          <w:noProof/>
        </w:rPr>
        <w:t xml:space="preserve">application: five Member States adopted lists of </w:t>
      </w:r>
      <w:r w:rsidR="141020DF" w:rsidRPr="008F6E6A">
        <w:rPr>
          <w:rFonts w:eastAsia="Times New Roman"/>
          <w:noProof/>
        </w:rPr>
        <w:t>s</w:t>
      </w:r>
      <w:r w:rsidR="7635E321" w:rsidRPr="008F6E6A">
        <w:rPr>
          <w:rFonts w:eastAsia="Times New Roman"/>
          <w:noProof/>
        </w:rPr>
        <w:t xml:space="preserve">afe </w:t>
      </w:r>
      <w:r w:rsidR="2D6CB715" w:rsidRPr="008F6E6A">
        <w:rPr>
          <w:rFonts w:eastAsia="Times New Roman"/>
          <w:noProof/>
        </w:rPr>
        <w:t>t</w:t>
      </w:r>
      <w:r w:rsidR="7635E321" w:rsidRPr="008F6E6A">
        <w:rPr>
          <w:rFonts w:eastAsia="Times New Roman"/>
          <w:noProof/>
        </w:rPr>
        <w:t>hird</w:t>
      </w:r>
      <w:r w:rsidR="2499A3FB" w:rsidRPr="008F6E6A">
        <w:rPr>
          <w:rFonts w:eastAsia="Times New Roman"/>
          <w:noProof/>
        </w:rPr>
        <w:t xml:space="preserve"> </w:t>
      </w:r>
      <w:r w:rsidR="173D1BDB" w:rsidRPr="008F6E6A">
        <w:rPr>
          <w:rFonts w:eastAsia="Times New Roman"/>
          <w:noProof/>
        </w:rPr>
        <w:t>c</w:t>
      </w:r>
      <w:r w:rsidR="7635E321" w:rsidRPr="008F6E6A">
        <w:rPr>
          <w:rFonts w:eastAsia="Times New Roman"/>
          <w:noProof/>
        </w:rPr>
        <w:t>ountries</w:t>
      </w:r>
      <w:r w:rsidR="00E9170B" w:rsidRPr="008F6E6A">
        <w:rPr>
          <w:rStyle w:val="FootnoteReference"/>
          <w:rFonts w:eastAsia="Times New Roman"/>
          <w:noProof/>
        </w:rPr>
        <w:footnoteReference w:id="14"/>
      </w:r>
      <w:r w:rsidR="2499A3FB" w:rsidRPr="008F6E6A">
        <w:rPr>
          <w:rFonts w:eastAsia="Times New Roman"/>
          <w:noProof/>
        </w:rPr>
        <w:t xml:space="preserve">, in </w:t>
      </w:r>
      <w:r w:rsidR="475C9DA7" w:rsidRPr="008F6E6A">
        <w:rPr>
          <w:rFonts w:eastAsia="Times New Roman"/>
          <w:noProof/>
        </w:rPr>
        <w:t>twelve</w:t>
      </w:r>
      <w:r w:rsidR="2499A3FB" w:rsidRPr="008F6E6A">
        <w:rPr>
          <w:rFonts w:eastAsia="Times New Roman"/>
          <w:noProof/>
        </w:rPr>
        <w:t xml:space="preserve"> Member States the concept is applied only on a case-by-case basis</w:t>
      </w:r>
      <w:r w:rsidR="00E9170B" w:rsidRPr="008F6E6A">
        <w:rPr>
          <w:rStyle w:val="FootnoteReference"/>
          <w:rFonts w:eastAsia="Times New Roman"/>
          <w:noProof/>
        </w:rPr>
        <w:footnoteReference w:id="15"/>
      </w:r>
      <w:r w:rsidR="2499A3FB" w:rsidRPr="008F6E6A">
        <w:rPr>
          <w:rFonts w:eastAsia="Times New Roman"/>
          <w:noProof/>
        </w:rPr>
        <w:t>,</w:t>
      </w:r>
      <w:r w:rsidR="00964958" w:rsidRPr="008F6E6A">
        <w:rPr>
          <w:rFonts w:eastAsia="Times New Roman"/>
          <w:noProof/>
        </w:rPr>
        <w:t xml:space="preserve"> </w:t>
      </w:r>
      <w:r w:rsidR="2499A3FB" w:rsidRPr="008F6E6A">
        <w:rPr>
          <w:rFonts w:eastAsia="Times New Roman"/>
          <w:noProof/>
        </w:rPr>
        <w:t>and six Member States do not apply the concept in practice</w:t>
      </w:r>
      <w:r w:rsidR="00E9170B" w:rsidRPr="008F6E6A">
        <w:rPr>
          <w:rStyle w:val="FootnoteReference"/>
          <w:rFonts w:eastAsia="Times New Roman"/>
          <w:noProof/>
        </w:rPr>
        <w:footnoteReference w:id="16"/>
      </w:r>
      <w:r w:rsidR="2499A3FB" w:rsidRPr="008F6E6A">
        <w:rPr>
          <w:rFonts w:eastAsia="Times New Roman"/>
          <w:noProof/>
        </w:rPr>
        <w:t>.</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Stakeholder consultations</w:t>
      </w:r>
    </w:p>
    <w:p w:rsidR="00693ED0" w:rsidRPr="008F6E6A" w:rsidRDefault="00693ED0" w:rsidP="000A20A8">
      <w:pPr>
        <w:rPr>
          <w:noProof/>
        </w:rPr>
      </w:pPr>
      <w:r w:rsidRPr="008F6E6A">
        <w:rPr>
          <w:noProof/>
        </w:rPr>
        <w:t xml:space="preserve">The Commission consulted Member States, </w:t>
      </w:r>
      <w:r w:rsidRPr="0028114F">
        <w:rPr>
          <w:noProof/>
        </w:rPr>
        <w:t>the European Parliament, civil society organisations and UNHCR</w:t>
      </w:r>
      <w:r w:rsidRPr="008F6E6A">
        <w:rPr>
          <w:noProof/>
        </w:rPr>
        <w:t xml:space="preserve"> between December 2024 and February 2025. Discussions focused on the connection criterion and the automatic suspensive effect of appeals against inadmissibility decisions based on the STC ground. </w:t>
      </w:r>
    </w:p>
    <w:p w:rsidR="00693ED0" w:rsidRPr="008F6E6A" w:rsidRDefault="00693ED0" w:rsidP="000A20A8">
      <w:pPr>
        <w:rPr>
          <w:noProof/>
        </w:rPr>
      </w:pPr>
      <w:r w:rsidRPr="008F6E6A">
        <w:rPr>
          <w:noProof/>
        </w:rPr>
        <w:t xml:space="preserve">Discussions with </w:t>
      </w:r>
      <w:r w:rsidRPr="009B581C">
        <w:rPr>
          <w:noProof/>
        </w:rPr>
        <w:t>Member States</w:t>
      </w:r>
      <w:r w:rsidRPr="008F6E6A">
        <w:rPr>
          <w:noProof/>
        </w:rPr>
        <w:t xml:space="preserve"> took place in various fora, including Coreper, the Asylum </w:t>
      </w:r>
      <w:r w:rsidR="00964958" w:rsidRPr="000A20A8">
        <w:rPr>
          <w:noProof/>
          <w:szCs w:val="24"/>
        </w:rPr>
        <w:t>W</w:t>
      </w:r>
      <w:r w:rsidRPr="000A20A8">
        <w:rPr>
          <w:noProof/>
          <w:szCs w:val="24"/>
        </w:rPr>
        <w:t>orking</w:t>
      </w:r>
      <w:r w:rsidRPr="008F6E6A">
        <w:rPr>
          <w:noProof/>
        </w:rPr>
        <w:t xml:space="preserve"> Party, </w:t>
      </w:r>
      <w:r w:rsidR="00B73212" w:rsidRPr="008F7DCF">
        <w:rPr>
          <w:noProof/>
        </w:rPr>
        <w:t>Strategic Committee on Immigration, Frontiers and Asylum</w:t>
      </w:r>
      <w:r w:rsidR="00B73212">
        <w:rPr>
          <w:noProof/>
        </w:rPr>
        <w:t xml:space="preserve"> </w:t>
      </w:r>
      <w:r w:rsidR="008F7DCF">
        <w:rPr>
          <w:noProof/>
        </w:rPr>
        <w:t>(</w:t>
      </w:r>
      <w:r w:rsidRPr="008F6E6A">
        <w:rPr>
          <w:noProof/>
        </w:rPr>
        <w:t>SCIFA</w:t>
      </w:r>
      <w:r w:rsidR="008F7DCF">
        <w:rPr>
          <w:noProof/>
        </w:rPr>
        <w:t>)</w:t>
      </w:r>
      <w:r w:rsidRPr="008F6E6A">
        <w:rPr>
          <w:noProof/>
        </w:rPr>
        <w:t xml:space="preserve"> and informal consultations </w:t>
      </w:r>
      <w:r w:rsidR="00E660B8">
        <w:rPr>
          <w:noProof/>
        </w:rPr>
        <w:t>organised by</w:t>
      </w:r>
      <w:r w:rsidR="00E660B8" w:rsidRPr="008F6E6A">
        <w:rPr>
          <w:noProof/>
        </w:rPr>
        <w:t xml:space="preserve"> </w:t>
      </w:r>
      <w:r w:rsidRPr="008F6E6A">
        <w:rPr>
          <w:noProof/>
        </w:rPr>
        <w:t xml:space="preserve">the Commission on 27 January and 27 February 2025. Discussions with </w:t>
      </w:r>
      <w:r w:rsidR="005E5784">
        <w:rPr>
          <w:noProof/>
        </w:rPr>
        <w:t xml:space="preserve">Members of </w:t>
      </w:r>
      <w:r w:rsidRPr="008F6E6A">
        <w:rPr>
          <w:noProof/>
        </w:rPr>
        <w:t>the European Parli</w:t>
      </w:r>
      <w:r w:rsidR="00F6094B" w:rsidRPr="008F6E6A">
        <w:rPr>
          <w:noProof/>
        </w:rPr>
        <w:t>a</w:t>
      </w:r>
      <w:r w:rsidRPr="008F6E6A">
        <w:rPr>
          <w:noProof/>
        </w:rPr>
        <w:t xml:space="preserve">ment took place on 18 February and with </w:t>
      </w:r>
      <w:r w:rsidR="005963C1" w:rsidRPr="008F6E6A">
        <w:rPr>
          <w:noProof/>
        </w:rPr>
        <w:t>c</w:t>
      </w:r>
      <w:r w:rsidRPr="008F6E6A">
        <w:rPr>
          <w:noProof/>
        </w:rPr>
        <w:t xml:space="preserve">ivil </w:t>
      </w:r>
      <w:r w:rsidR="005963C1" w:rsidRPr="008F6E6A">
        <w:rPr>
          <w:noProof/>
        </w:rPr>
        <w:t>s</w:t>
      </w:r>
      <w:r w:rsidRPr="008F6E6A">
        <w:rPr>
          <w:noProof/>
        </w:rPr>
        <w:t xml:space="preserve">ociety </w:t>
      </w:r>
      <w:r w:rsidR="005963C1" w:rsidRPr="008F6E6A">
        <w:rPr>
          <w:noProof/>
        </w:rPr>
        <w:t>o</w:t>
      </w:r>
      <w:r w:rsidRPr="008F6E6A">
        <w:rPr>
          <w:noProof/>
        </w:rPr>
        <w:t>rganisations on 19 February</w:t>
      </w:r>
      <w:r w:rsidR="00B73212">
        <w:rPr>
          <w:noProof/>
        </w:rPr>
        <w:t xml:space="preserve"> 2025</w:t>
      </w:r>
      <w:r w:rsidRPr="008F6E6A">
        <w:rPr>
          <w:noProof/>
        </w:rPr>
        <w:t>.</w:t>
      </w:r>
    </w:p>
    <w:p w:rsidR="009D5A9E" w:rsidRPr="008F6E6A" w:rsidRDefault="00D761F0" w:rsidP="000A20A8">
      <w:pPr>
        <w:rPr>
          <w:noProof/>
        </w:rPr>
      </w:pPr>
      <w:r>
        <w:rPr>
          <w:noProof/>
        </w:rPr>
        <w:t xml:space="preserve">In </w:t>
      </w:r>
      <w:r w:rsidR="00693ED0" w:rsidRPr="008F6E6A">
        <w:rPr>
          <w:noProof/>
        </w:rPr>
        <w:t xml:space="preserve">these </w:t>
      </w:r>
      <w:r w:rsidR="00693ED0" w:rsidRPr="00420C39">
        <w:rPr>
          <w:noProof/>
        </w:rPr>
        <w:t xml:space="preserve">exchanges, </w:t>
      </w:r>
      <w:r w:rsidR="00693ED0" w:rsidRPr="009B581C">
        <w:rPr>
          <w:noProof/>
        </w:rPr>
        <w:t xml:space="preserve">a </w:t>
      </w:r>
      <w:r w:rsidR="009B4B99" w:rsidRPr="009B581C">
        <w:rPr>
          <w:noProof/>
        </w:rPr>
        <w:t xml:space="preserve">large </w:t>
      </w:r>
      <w:r w:rsidR="00693ED0" w:rsidRPr="009B581C">
        <w:rPr>
          <w:noProof/>
        </w:rPr>
        <w:t xml:space="preserve">majority of </w:t>
      </w:r>
      <w:r w:rsidR="00693ED0" w:rsidRPr="009B581C">
        <w:rPr>
          <w:b/>
          <w:bCs/>
          <w:noProof/>
        </w:rPr>
        <w:t>Member States</w:t>
      </w:r>
      <w:r w:rsidR="00693ED0" w:rsidRPr="009B581C">
        <w:rPr>
          <w:noProof/>
        </w:rPr>
        <w:t xml:space="preserve"> expressed support for reviewing the STC concept and favoured a targeted amendment </w:t>
      </w:r>
      <w:r w:rsidR="004E6BAF" w:rsidRPr="009B581C">
        <w:rPr>
          <w:noProof/>
        </w:rPr>
        <w:t xml:space="preserve">of the APR </w:t>
      </w:r>
      <w:r w:rsidR="00693ED0" w:rsidRPr="009B581C">
        <w:rPr>
          <w:noProof/>
        </w:rPr>
        <w:t>to remove the connection criterion and the automatic suspensive effect of appeals</w:t>
      </w:r>
      <w:r w:rsidR="00693ED0" w:rsidRPr="00420C39">
        <w:rPr>
          <w:noProof/>
        </w:rPr>
        <w:t>,</w:t>
      </w:r>
      <w:r w:rsidR="00693ED0" w:rsidRPr="008F6E6A">
        <w:rPr>
          <w:noProof/>
        </w:rPr>
        <w:t xml:space="preserve"> viewing these</w:t>
      </w:r>
      <w:r w:rsidR="00E056E8" w:rsidRPr="008F6E6A">
        <w:rPr>
          <w:noProof/>
        </w:rPr>
        <w:t xml:space="preserve"> </w:t>
      </w:r>
      <w:r w:rsidR="00693ED0" w:rsidRPr="008F6E6A">
        <w:rPr>
          <w:noProof/>
        </w:rPr>
        <w:t xml:space="preserve">changes as a means to enhance efficiency, provide greater flexibility in managing asylum applications, particularly during times of </w:t>
      </w:r>
      <w:r w:rsidR="007F1505" w:rsidRPr="008F6E6A">
        <w:rPr>
          <w:noProof/>
        </w:rPr>
        <w:t>disproportionate</w:t>
      </w:r>
      <w:r w:rsidR="00693ED0" w:rsidRPr="008F6E6A">
        <w:rPr>
          <w:noProof/>
        </w:rPr>
        <w:t xml:space="preserve"> migratory pressure, and reduce administrative burdens. </w:t>
      </w:r>
      <w:r w:rsidR="009D5A9E" w:rsidRPr="008F6E6A">
        <w:rPr>
          <w:noProof/>
        </w:rPr>
        <w:t xml:space="preserve">A minority of Member States </w:t>
      </w:r>
      <w:r w:rsidR="007F1505">
        <w:rPr>
          <w:noProof/>
        </w:rPr>
        <w:t>were</w:t>
      </w:r>
      <w:r w:rsidR="009D5A9E" w:rsidRPr="008F6E6A">
        <w:rPr>
          <w:noProof/>
        </w:rPr>
        <w:t xml:space="preserve"> against the deletion of the </w:t>
      </w:r>
      <w:r w:rsidR="00687D74">
        <w:rPr>
          <w:noProof/>
        </w:rPr>
        <w:t xml:space="preserve">requirement of the </w:t>
      </w:r>
      <w:r w:rsidR="009D5A9E" w:rsidRPr="008F6E6A">
        <w:rPr>
          <w:noProof/>
        </w:rPr>
        <w:t>connection criterion and would prefer a flexible definition of connection.</w:t>
      </w:r>
    </w:p>
    <w:p w:rsidR="004103DC" w:rsidRPr="008F6E6A" w:rsidRDefault="004103DC" w:rsidP="000A20A8">
      <w:pPr>
        <w:rPr>
          <w:noProof/>
        </w:rPr>
      </w:pPr>
      <w:r w:rsidRPr="008F6E6A">
        <w:rPr>
          <w:noProof/>
        </w:rPr>
        <w:t xml:space="preserve">Member </w:t>
      </w:r>
      <w:r w:rsidRPr="007F1505">
        <w:rPr>
          <w:noProof/>
        </w:rPr>
        <w:t xml:space="preserve">States </w:t>
      </w:r>
      <w:r w:rsidR="00416342" w:rsidRPr="007F1505">
        <w:rPr>
          <w:noProof/>
        </w:rPr>
        <w:t xml:space="preserve">supporting the removal of the connection criterion </w:t>
      </w:r>
      <w:r w:rsidR="00C55287" w:rsidRPr="007F1505">
        <w:rPr>
          <w:noProof/>
        </w:rPr>
        <w:t>as a compulsory requirement</w:t>
      </w:r>
      <w:r w:rsidR="00D94EB0" w:rsidRPr="007F1505">
        <w:rPr>
          <w:noProof/>
        </w:rPr>
        <w:t xml:space="preserve"> </w:t>
      </w:r>
      <w:r w:rsidRPr="007F1505">
        <w:rPr>
          <w:noProof/>
        </w:rPr>
        <w:t xml:space="preserve">emphasised that it would broaden the potential scope of applicants eligible for the STC concept, allowing more asylum seekers to be considered under this framework. They argued </w:t>
      </w:r>
      <w:r w:rsidRPr="000A20A8">
        <w:rPr>
          <w:noProof/>
          <w:szCs w:val="24"/>
        </w:rPr>
        <w:t>that</w:t>
      </w:r>
      <w:r w:rsidRPr="007F1505">
        <w:rPr>
          <w:noProof/>
        </w:rPr>
        <w:t xml:space="preserve"> this change would </w:t>
      </w:r>
      <w:r w:rsidR="007F0786" w:rsidRPr="007F1505">
        <w:rPr>
          <w:noProof/>
        </w:rPr>
        <w:t xml:space="preserve">also </w:t>
      </w:r>
      <w:r w:rsidRPr="007F1505">
        <w:rPr>
          <w:noProof/>
        </w:rPr>
        <w:t xml:space="preserve">provide greater flexibility in </w:t>
      </w:r>
      <w:r w:rsidR="00F86641">
        <w:rPr>
          <w:noProof/>
        </w:rPr>
        <w:t>cooperating</w:t>
      </w:r>
      <w:r w:rsidRPr="007F1505">
        <w:rPr>
          <w:noProof/>
        </w:rPr>
        <w:t xml:space="preserve"> with third countries, facilitating the establishment of new partnerships. </w:t>
      </w:r>
      <w:r w:rsidR="007F0786" w:rsidRPr="007F1505">
        <w:rPr>
          <w:noProof/>
        </w:rPr>
        <w:t>They also contended that, b</w:t>
      </w:r>
      <w:r w:rsidRPr="007F1505">
        <w:rPr>
          <w:noProof/>
        </w:rPr>
        <w:t>y lifting this requirement, Member States would be better positioned to respond to migratory pressures and crises more effectively.</w:t>
      </w:r>
      <w:r w:rsidRPr="008F6E6A">
        <w:rPr>
          <w:noProof/>
        </w:rPr>
        <w:t xml:space="preserve"> </w:t>
      </w:r>
      <w:r w:rsidR="00F86641">
        <w:rPr>
          <w:noProof/>
        </w:rPr>
        <w:t>They</w:t>
      </w:r>
      <w:r w:rsidRPr="008F6E6A">
        <w:rPr>
          <w:noProof/>
        </w:rPr>
        <w:t xml:space="preserve"> also pointed to potential efficiency gains, arguing that eliminating the connection criterion would streamline application processing, reduce administrative burdens on national authorities (as there will be no burden </w:t>
      </w:r>
      <w:r w:rsidR="00580572" w:rsidRPr="008F6E6A">
        <w:rPr>
          <w:noProof/>
        </w:rPr>
        <w:t xml:space="preserve">to prove </w:t>
      </w:r>
      <w:r w:rsidRPr="008F6E6A">
        <w:rPr>
          <w:noProof/>
        </w:rPr>
        <w:t xml:space="preserve">connection), and accelerate decision-making. </w:t>
      </w:r>
    </w:p>
    <w:p w:rsidR="004103DC" w:rsidRPr="008F6E6A" w:rsidRDefault="00420C39" w:rsidP="000A20A8">
      <w:pPr>
        <w:rPr>
          <w:noProof/>
        </w:rPr>
      </w:pPr>
      <w:r w:rsidRPr="00420C39">
        <w:rPr>
          <w:noProof/>
        </w:rPr>
        <w:t xml:space="preserve">Member States not supporting the removal of the </w:t>
      </w:r>
      <w:r w:rsidR="00687D74">
        <w:rPr>
          <w:noProof/>
        </w:rPr>
        <w:t xml:space="preserve">requirement of the </w:t>
      </w:r>
      <w:r w:rsidRPr="007D1379">
        <w:rPr>
          <w:noProof/>
        </w:rPr>
        <w:t>connection criterion</w:t>
      </w:r>
      <w:r w:rsidRPr="00420C39">
        <w:rPr>
          <w:noProof/>
        </w:rPr>
        <w:t xml:space="preserve"> </w:t>
      </w:r>
      <w:r w:rsidR="004103DC" w:rsidRPr="00420C39">
        <w:rPr>
          <w:noProof/>
        </w:rPr>
        <w:t>warned th</w:t>
      </w:r>
      <w:r w:rsidRPr="00420C39">
        <w:rPr>
          <w:noProof/>
        </w:rPr>
        <w:t xml:space="preserve">e removal </w:t>
      </w:r>
      <w:r w:rsidR="004103DC" w:rsidRPr="00420C39">
        <w:rPr>
          <w:noProof/>
        </w:rPr>
        <w:t xml:space="preserve">could hinder </w:t>
      </w:r>
      <w:r w:rsidR="00E47A49">
        <w:rPr>
          <w:noProof/>
        </w:rPr>
        <w:t xml:space="preserve">the </w:t>
      </w:r>
      <w:r w:rsidR="004103DC" w:rsidRPr="00420C39">
        <w:rPr>
          <w:noProof/>
        </w:rPr>
        <w:t>integration</w:t>
      </w:r>
      <w:r w:rsidR="00F00F84">
        <w:rPr>
          <w:noProof/>
        </w:rPr>
        <w:t xml:space="preserve"> </w:t>
      </w:r>
      <w:r w:rsidR="00CD41EF">
        <w:rPr>
          <w:noProof/>
        </w:rPr>
        <w:t>of individuals</w:t>
      </w:r>
      <w:r w:rsidR="00CD41EF" w:rsidRPr="00420C39">
        <w:rPr>
          <w:noProof/>
        </w:rPr>
        <w:t xml:space="preserve"> </w:t>
      </w:r>
      <w:r w:rsidR="004103DC" w:rsidRPr="00420C39">
        <w:rPr>
          <w:noProof/>
        </w:rPr>
        <w:t>in STCs</w:t>
      </w:r>
      <w:r w:rsidR="00A41BC0" w:rsidRPr="00420C39">
        <w:rPr>
          <w:noProof/>
        </w:rPr>
        <w:t xml:space="preserve"> and the establishment of partnerships with third countries</w:t>
      </w:r>
      <w:r w:rsidR="004103DC" w:rsidRPr="00420C39">
        <w:rPr>
          <w:noProof/>
        </w:rPr>
        <w:t xml:space="preserve">, increase </w:t>
      </w:r>
      <w:r w:rsidR="00433A3E" w:rsidRPr="00420C39">
        <w:rPr>
          <w:noProof/>
        </w:rPr>
        <w:t xml:space="preserve">the risks of </w:t>
      </w:r>
      <w:r w:rsidRPr="00420C39">
        <w:rPr>
          <w:noProof/>
        </w:rPr>
        <w:t>irregular migration</w:t>
      </w:r>
      <w:r w:rsidR="004103DC" w:rsidRPr="00420C39">
        <w:rPr>
          <w:noProof/>
        </w:rPr>
        <w:t xml:space="preserve"> back to the EU</w:t>
      </w:r>
      <w:r w:rsidRPr="00420C39">
        <w:rPr>
          <w:noProof/>
        </w:rPr>
        <w:t xml:space="preserve"> from the STC</w:t>
      </w:r>
      <w:r w:rsidR="004103DC" w:rsidRPr="00420C39">
        <w:rPr>
          <w:noProof/>
        </w:rPr>
        <w:t xml:space="preserve"> and </w:t>
      </w:r>
      <w:r w:rsidRPr="00420C39">
        <w:rPr>
          <w:noProof/>
        </w:rPr>
        <w:t xml:space="preserve">of </w:t>
      </w:r>
      <w:r w:rsidR="004103DC" w:rsidRPr="00420C39">
        <w:rPr>
          <w:noProof/>
        </w:rPr>
        <w:t xml:space="preserve">individuals </w:t>
      </w:r>
      <w:r w:rsidR="004C790F" w:rsidRPr="00420C39">
        <w:rPr>
          <w:noProof/>
        </w:rPr>
        <w:t xml:space="preserve">being left </w:t>
      </w:r>
      <w:r w:rsidR="004103DC" w:rsidRPr="00420C39">
        <w:rPr>
          <w:noProof/>
        </w:rPr>
        <w:t>without ties or guaranteed protection</w:t>
      </w:r>
      <w:r w:rsidRPr="00420C39">
        <w:rPr>
          <w:noProof/>
        </w:rPr>
        <w:t xml:space="preserve"> in the STC</w:t>
      </w:r>
      <w:r w:rsidR="004103DC" w:rsidRPr="00420C39">
        <w:rPr>
          <w:noProof/>
        </w:rPr>
        <w:t>.</w:t>
      </w:r>
      <w:r w:rsidR="00433A3E" w:rsidRPr="00420C39">
        <w:rPr>
          <w:noProof/>
        </w:rPr>
        <w:t xml:space="preserve"> </w:t>
      </w:r>
      <w:r w:rsidR="00A974D2" w:rsidRPr="00420C39">
        <w:rPr>
          <w:noProof/>
        </w:rPr>
        <w:t>In</w:t>
      </w:r>
      <w:r w:rsidR="0071163C" w:rsidRPr="00420C39">
        <w:rPr>
          <w:noProof/>
        </w:rPr>
        <w:t xml:space="preserve"> the EU, it may</w:t>
      </w:r>
      <w:r w:rsidR="00C13E8D" w:rsidRPr="00420C39">
        <w:rPr>
          <w:noProof/>
        </w:rPr>
        <w:t xml:space="preserve"> also</w:t>
      </w:r>
      <w:r w:rsidR="0071163C" w:rsidRPr="00420C39">
        <w:rPr>
          <w:noProof/>
        </w:rPr>
        <w:t xml:space="preserve"> </w:t>
      </w:r>
      <w:r w:rsidR="00C13E8D" w:rsidRPr="00420C39">
        <w:rPr>
          <w:noProof/>
        </w:rPr>
        <w:t>raise</w:t>
      </w:r>
      <w:r w:rsidR="0071163C" w:rsidRPr="00420C39">
        <w:rPr>
          <w:noProof/>
        </w:rPr>
        <w:t xml:space="preserve"> the risk of </w:t>
      </w:r>
      <w:r w:rsidR="00AC5042" w:rsidRPr="00420C39">
        <w:rPr>
          <w:noProof/>
        </w:rPr>
        <w:t xml:space="preserve">court litigation, </w:t>
      </w:r>
      <w:r w:rsidR="009E2268" w:rsidRPr="00420C39">
        <w:rPr>
          <w:noProof/>
        </w:rPr>
        <w:t xml:space="preserve">and of </w:t>
      </w:r>
      <w:r w:rsidR="0071163C" w:rsidRPr="00420C39">
        <w:rPr>
          <w:noProof/>
        </w:rPr>
        <w:t xml:space="preserve">secondary movements towards Member States where the STC concept is </w:t>
      </w:r>
      <w:r w:rsidR="00C13E8D" w:rsidRPr="00420C39">
        <w:rPr>
          <w:noProof/>
        </w:rPr>
        <w:t xml:space="preserve">either </w:t>
      </w:r>
      <w:r w:rsidR="0071163C" w:rsidRPr="00420C39">
        <w:rPr>
          <w:noProof/>
        </w:rPr>
        <w:t xml:space="preserve">not applied or applied with </w:t>
      </w:r>
      <w:r w:rsidR="001A5477">
        <w:rPr>
          <w:noProof/>
        </w:rPr>
        <w:t xml:space="preserve">the </w:t>
      </w:r>
      <w:r w:rsidR="0071163C" w:rsidRPr="00420C39">
        <w:rPr>
          <w:noProof/>
        </w:rPr>
        <w:t>connection requirement</w:t>
      </w:r>
      <w:r w:rsidR="0086795D" w:rsidRPr="00420C39">
        <w:rPr>
          <w:noProof/>
        </w:rPr>
        <w:t xml:space="preserve">. </w:t>
      </w:r>
      <w:r w:rsidR="00687D74">
        <w:rPr>
          <w:noProof/>
        </w:rPr>
        <w:t>Some warned that n</w:t>
      </w:r>
      <w:r w:rsidR="004A2C14" w:rsidRPr="00420C39">
        <w:rPr>
          <w:noProof/>
        </w:rPr>
        <w:t xml:space="preserve">ational courts may suspend Dublin transfers to Member States where </w:t>
      </w:r>
      <w:r w:rsidR="00D246C5" w:rsidRPr="00420C39">
        <w:rPr>
          <w:noProof/>
        </w:rPr>
        <w:t>they consider that the STC concept is applied too leniently or incorrectly</w:t>
      </w:r>
      <w:r w:rsidR="000B61DE">
        <w:rPr>
          <w:noProof/>
        </w:rPr>
        <w:t>,</w:t>
      </w:r>
      <w:r w:rsidR="00D246C5" w:rsidRPr="00420C39">
        <w:rPr>
          <w:noProof/>
        </w:rPr>
        <w:t xml:space="preserve"> as </w:t>
      </w:r>
      <w:r w:rsidR="000B61DE">
        <w:rPr>
          <w:noProof/>
        </w:rPr>
        <w:t xml:space="preserve">the </w:t>
      </w:r>
      <w:r w:rsidR="00D246C5" w:rsidRPr="00420C39">
        <w:rPr>
          <w:noProof/>
        </w:rPr>
        <w:t xml:space="preserve">connection offered a safeguard. </w:t>
      </w:r>
      <w:r w:rsidR="006632A9" w:rsidRPr="00420C39">
        <w:rPr>
          <w:noProof/>
        </w:rPr>
        <w:t xml:space="preserve">Some Member States </w:t>
      </w:r>
      <w:r w:rsidR="00F645F8" w:rsidRPr="00420C39">
        <w:rPr>
          <w:noProof/>
        </w:rPr>
        <w:t>further</w:t>
      </w:r>
      <w:r w:rsidR="006632A9" w:rsidRPr="00420C39">
        <w:rPr>
          <w:noProof/>
        </w:rPr>
        <w:t xml:space="preserve"> emphasised the need to ensure compliance with international and human rights law, protect vulnerable applicants, avoid shifting responsibility towards </w:t>
      </w:r>
      <w:r w:rsidR="006632A9" w:rsidRPr="000A20A8">
        <w:rPr>
          <w:noProof/>
          <w:szCs w:val="24"/>
        </w:rPr>
        <w:t>third</w:t>
      </w:r>
      <w:r w:rsidR="006632A9" w:rsidRPr="00420C39">
        <w:rPr>
          <w:noProof/>
        </w:rPr>
        <w:t xml:space="preserve"> countries, and ensure realistic implementation.</w:t>
      </w:r>
    </w:p>
    <w:p w:rsidR="003D4897" w:rsidRPr="008F6E6A" w:rsidRDefault="00735076" w:rsidP="00735076">
      <w:pPr>
        <w:rPr>
          <w:noProof/>
          <w:szCs w:val="24"/>
        </w:rPr>
      </w:pPr>
      <w:r w:rsidRPr="00A461F2">
        <w:rPr>
          <w:rFonts w:eastAsia="Times New Roman"/>
          <w:noProof/>
        </w:rPr>
        <w:t>Several Member States also note</w:t>
      </w:r>
      <w:r w:rsidR="00D47C89">
        <w:rPr>
          <w:rFonts w:eastAsia="Times New Roman"/>
          <w:noProof/>
        </w:rPr>
        <w:t>d</w:t>
      </w:r>
      <w:r w:rsidRPr="00A461F2">
        <w:rPr>
          <w:rFonts w:eastAsia="Times New Roman"/>
          <w:noProof/>
        </w:rPr>
        <w:t xml:space="preserve"> that the application of the STC concept may increase the risk of absconding of </w:t>
      </w:r>
      <w:r w:rsidRPr="004F7E22">
        <w:rPr>
          <w:rFonts w:eastAsia="Times New Roman"/>
          <w:noProof/>
        </w:rPr>
        <w:t xml:space="preserve">applicants to whom the STC concept is applied. </w:t>
      </w:r>
      <w:r w:rsidR="00626ECE" w:rsidRPr="004F7E22">
        <w:rPr>
          <w:noProof/>
          <w:szCs w:val="24"/>
        </w:rPr>
        <w:t>To address th</w:t>
      </w:r>
      <w:r w:rsidRPr="004F7E22">
        <w:rPr>
          <w:noProof/>
          <w:szCs w:val="24"/>
        </w:rPr>
        <w:t>is risk</w:t>
      </w:r>
      <w:r w:rsidR="00626ECE" w:rsidRPr="004F7E22">
        <w:rPr>
          <w:noProof/>
          <w:szCs w:val="24"/>
        </w:rPr>
        <w:t xml:space="preserve">, </w:t>
      </w:r>
      <w:r w:rsidR="00990ADA" w:rsidRPr="004F7E22">
        <w:rPr>
          <w:noProof/>
          <w:szCs w:val="24"/>
        </w:rPr>
        <w:t>the majority of</w:t>
      </w:r>
      <w:r w:rsidR="00807038" w:rsidRPr="004F7E22">
        <w:rPr>
          <w:noProof/>
          <w:szCs w:val="24"/>
        </w:rPr>
        <w:t xml:space="preserve"> </w:t>
      </w:r>
      <w:r w:rsidR="009B4B99" w:rsidRPr="004F7E22">
        <w:rPr>
          <w:noProof/>
          <w:szCs w:val="24"/>
        </w:rPr>
        <w:t>Member States considered that the rules provided for by</w:t>
      </w:r>
      <w:r w:rsidR="006F1FF2" w:rsidRPr="004F7E22">
        <w:rPr>
          <w:noProof/>
          <w:szCs w:val="24"/>
        </w:rPr>
        <w:t xml:space="preserve"> the</w:t>
      </w:r>
      <w:r w:rsidR="00293C99" w:rsidRPr="00293C99">
        <w:rPr>
          <w:noProof/>
          <w:szCs w:val="24"/>
        </w:rPr>
        <w:t xml:space="preserve"> </w:t>
      </w:r>
      <w:r w:rsidR="00293C99" w:rsidRPr="004F7E22">
        <w:rPr>
          <w:noProof/>
          <w:szCs w:val="24"/>
        </w:rPr>
        <w:t>R</w:t>
      </w:r>
      <w:r w:rsidR="00293C99">
        <w:rPr>
          <w:noProof/>
          <w:szCs w:val="24"/>
        </w:rPr>
        <w:t xml:space="preserve">eception </w:t>
      </w:r>
      <w:r w:rsidR="00293C99" w:rsidRPr="004F7E22">
        <w:rPr>
          <w:noProof/>
          <w:szCs w:val="24"/>
        </w:rPr>
        <w:t>C</w:t>
      </w:r>
      <w:r w:rsidR="00293C99">
        <w:rPr>
          <w:noProof/>
          <w:szCs w:val="24"/>
        </w:rPr>
        <w:t xml:space="preserve">onditions </w:t>
      </w:r>
      <w:r w:rsidR="00293C99" w:rsidRPr="004F7E22">
        <w:rPr>
          <w:noProof/>
          <w:szCs w:val="24"/>
        </w:rPr>
        <w:t>D</w:t>
      </w:r>
      <w:r w:rsidR="00293C99">
        <w:rPr>
          <w:noProof/>
          <w:szCs w:val="24"/>
        </w:rPr>
        <w:t>irective</w:t>
      </w:r>
      <w:r w:rsidR="009B4B99" w:rsidRPr="004F7E22">
        <w:rPr>
          <w:noProof/>
          <w:szCs w:val="24"/>
        </w:rPr>
        <w:t>, such as Articles 9</w:t>
      </w:r>
      <w:r w:rsidR="005A1604" w:rsidRPr="004F7E22">
        <w:rPr>
          <w:noProof/>
          <w:szCs w:val="24"/>
        </w:rPr>
        <w:t xml:space="preserve"> (restrictions on freedom of movement)</w:t>
      </w:r>
      <w:r w:rsidR="009B4B99" w:rsidRPr="004F7E22">
        <w:rPr>
          <w:noProof/>
          <w:szCs w:val="24"/>
        </w:rPr>
        <w:t xml:space="preserve"> and 10</w:t>
      </w:r>
      <w:r w:rsidR="00B472E1" w:rsidRPr="004F7E22">
        <w:rPr>
          <w:noProof/>
          <w:szCs w:val="24"/>
        </w:rPr>
        <w:t xml:space="preserve"> (detention)</w:t>
      </w:r>
      <w:r w:rsidR="009B4B99" w:rsidRPr="004F7E22">
        <w:rPr>
          <w:noProof/>
          <w:szCs w:val="24"/>
        </w:rPr>
        <w:t xml:space="preserve"> are sufficient, although </w:t>
      </w:r>
      <w:r w:rsidR="00626ECE" w:rsidRPr="004F7E22">
        <w:rPr>
          <w:noProof/>
          <w:szCs w:val="24"/>
        </w:rPr>
        <w:t xml:space="preserve">a few Member </w:t>
      </w:r>
      <w:r w:rsidR="00626ECE" w:rsidRPr="004F7E22">
        <w:rPr>
          <w:noProof/>
        </w:rPr>
        <w:t>States</w:t>
      </w:r>
      <w:r w:rsidR="00601BCE" w:rsidRPr="004F7E22">
        <w:rPr>
          <w:noProof/>
          <w:szCs w:val="24"/>
        </w:rPr>
        <w:t xml:space="preserve"> </w:t>
      </w:r>
      <w:r w:rsidR="009B4B99" w:rsidRPr="004F7E22">
        <w:rPr>
          <w:noProof/>
          <w:szCs w:val="24"/>
        </w:rPr>
        <w:t xml:space="preserve">suggested to explore </w:t>
      </w:r>
      <w:r w:rsidR="00626ECE" w:rsidRPr="004F7E22">
        <w:rPr>
          <w:noProof/>
          <w:szCs w:val="24"/>
        </w:rPr>
        <w:t>possible amendments</w:t>
      </w:r>
      <w:r w:rsidR="00F86538" w:rsidRPr="008F6E6A">
        <w:rPr>
          <w:noProof/>
          <w:szCs w:val="24"/>
        </w:rPr>
        <w:t xml:space="preserve"> and one </w:t>
      </w:r>
      <w:r w:rsidR="00C05097" w:rsidRPr="008F6E6A">
        <w:rPr>
          <w:noProof/>
          <w:szCs w:val="24"/>
        </w:rPr>
        <w:t>proposed to include a recital</w:t>
      </w:r>
      <w:r w:rsidR="00D246C5" w:rsidRPr="008F6E6A">
        <w:rPr>
          <w:noProof/>
          <w:szCs w:val="24"/>
        </w:rPr>
        <w:t>.</w:t>
      </w:r>
      <w:r w:rsidR="00626ECE" w:rsidRPr="008F6E6A">
        <w:rPr>
          <w:noProof/>
          <w:szCs w:val="24"/>
        </w:rPr>
        <w:t xml:space="preserve"> </w:t>
      </w:r>
    </w:p>
    <w:p w:rsidR="00D633A7" w:rsidRPr="008F6E6A" w:rsidRDefault="00693ED0" w:rsidP="000A20A8">
      <w:pPr>
        <w:rPr>
          <w:noProof/>
          <w:szCs w:val="24"/>
        </w:rPr>
      </w:pPr>
      <w:r w:rsidRPr="00A61014" w:rsidDel="00C430B2">
        <w:rPr>
          <w:noProof/>
        </w:rPr>
        <w:t>Consultations with</w:t>
      </w:r>
      <w:r w:rsidR="007A475E">
        <w:rPr>
          <w:noProof/>
        </w:rPr>
        <w:t xml:space="preserve"> Members of</w:t>
      </w:r>
      <w:r w:rsidRPr="00A61014" w:rsidDel="00C430B2">
        <w:rPr>
          <w:noProof/>
        </w:rPr>
        <w:t xml:space="preserve"> the </w:t>
      </w:r>
      <w:r w:rsidRPr="00A61014" w:rsidDel="00C430B2">
        <w:rPr>
          <w:b/>
          <w:bCs/>
          <w:noProof/>
        </w:rPr>
        <w:t>European Parliament</w:t>
      </w:r>
      <w:r w:rsidRPr="00A61014" w:rsidDel="00C430B2">
        <w:rPr>
          <w:noProof/>
        </w:rPr>
        <w:t xml:space="preserve"> revealed </w:t>
      </w:r>
      <w:r w:rsidR="00015B25">
        <w:rPr>
          <w:noProof/>
        </w:rPr>
        <w:t xml:space="preserve">important </w:t>
      </w:r>
      <w:r w:rsidR="00E71D48" w:rsidRPr="00A61014">
        <w:rPr>
          <w:noProof/>
        </w:rPr>
        <w:t>divergence</w:t>
      </w:r>
      <w:r w:rsidR="00015B25">
        <w:rPr>
          <w:noProof/>
        </w:rPr>
        <w:t>s</w:t>
      </w:r>
      <w:r w:rsidR="00E71D48" w:rsidRPr="00A61014">
        <w:rPr>
          <w:noProof/>
        </w:rPr>
        <w:t xml:space="preserve"> of views</w:t>
      </w:r>
      <w:r w:rsidR="00015B25">
        <w:rPr>
          <w:noProof/>
        </w:rPr>
        <w:t xml:space="preserve"> between Members</w:t>
      </w:r>
      <w:r w:rsidR="00B20373">
        <w:rPr>
          <w:noProof/>
        </w:rPr>
        <w:t>.</w:t>
      </w:r>
      <w:r w:rsidRPr="00420C39" w:rsidDel="00C430B2">
        <w:rPr>
          <w:noProof/>
        </w:rPr>
        <w:t xml:space="preserve"> </w:t>
      </w:r>
      <w:r w:rsidR="00D633A7" w:rsidRPr="00420C39">
        <w:rPr>
          <w:noProof/>
          <w:szCs w:val="24"/>
        </w:rPr>
        <w:t xml:space="preserve">Some </w:t>
      </w:r>
      <w:r w:rsidR="00B20373">
        <w:rPr>
          <w:noProof/>
          <w:szCs w:val="24"/>
        </w:rPr>
        <w:t>Members</w:t>
      </w:r>
      <w:r w:rsidR="00D633A7" w:rsidRPr="00420C39">
        <w:rPr>
          <w:noProof/>
          <w:szCs w:val="24"/>
        </w:rPr>
        <w:t xml:space="preserve"> supported deleting the connection criterion and removing the automatic suspensive effect of appeals, arguing that these changes would improve efficiency and curb secondary movements. Other </w:t>
      </w:r>
      <w:r w:rsidR="00B20373">
        <w:rPr>
          <w:noProof/>
          <w:szCs w:val="24"/>
        </w:rPr>
        <w:t>Members</w:t>
      </w:r>
      <w:r w:rsidR="00D633A7" w:rsidRPr="00420C39">
        <w:rPr>
          <w:noProof/>
          <w:szCs w:val="24"/>
        </w:rPr>
        <w:t xml:space="preserve"> opposed both proposals, warn</w:t>
      </w:r>
      <w:r w:rsidR="00F66B88" w:rsidRPr="009B2BB6">
        <w:rPr>
          <w:noProof/>
          <w:szCs w:val="24"/>
        </w:rPr>
        <w:t>ing</w:t>
      </w:r>
      <w:r w:rsidR="00D633A7" w:rsidRPr="00420C39">
        <w:rPr>
          <w:noProof/>
          <w:szCs w:val="24"/>
        </w:rPr>
        <w:t xml:space="preserve"> that the lack of a connection criterion could hinder integration in the third country, increase secondary movements, and leave individuals transferred to the third country </w:t>
      </w:r>
      <w:r w:rsidR="005B7844" w:rsidRPr="009B2BB6">
        <w:rPr>
          <w:noProof/>
          <w:szCs w:val="24"/>
        </w:rPr>
        <w:t xml:space="preserve">without </w:t>
      </w:r>
      <w:r w:rsidR="00D633A7" w:rsidRPr="00420C39">
        <w:rPr>
          <w:noProof/>
          <w:szCs w:val="24"/>
        </w:rPr>
        <w:t>protection</w:t>
      </w:r>
      <w:r w:rsidR="005B7844" w:rsidRPr="009B2BB6">
        <w:rPr>
          <w:noProof/>
          <w:szCs w:val="24"/>
        </w:rPr>
        <w:t xml:space="preserve">, </w:t>
      </w:r>
      <w:r w:rsidR="00587C75" w:rsidRPr="009B2BB6">
        <w:rPr>
          <w:noProof/>
          <w:szCs w:val="24"/>
        </w:rPr>
        <w:t>while</w:t>
      </w:r>
      <w:r w:rsidR="00D633A7" w:rsidRPr="00420C39">
        <w:rPr>
          <w:noProof/>
          <w:szCs w:val="24"/>
        </w:rPr>
        <w:t xml:space="preserve"> </w:t>
      </w:r>
      <w:r w:rsidR="005B7844" w:rsidRPr="00420C39">
        <w:rPr>
          <w:noProof/>
          <w:szCs w:val="24"/>
        </w:rPr>
        <w:t xml:space="preserve">stressing the importance of safeguarding the individual’s right to asylum in the EU and of ensuring long-term sustainability of transfers. </w:t>
      </w:r>
      <w:r w:rsidR="00587C75" w:rsidRPr="009B2BB6">
        <w:rPr>
          <w:noProof/>
          <w:szCs w:val="24"/>
        </w:rPr>
        <w:t>Additional c</w:t>
      </w:r>
      <w:r w:rsidR="00D633A7" w:rsidRPr="00420C39">
        <w:rPr>
          <w:noProof/>
          <w:szCs w:val="24"/>
        </w:rPr>
        <w:t xml:space="preserve">oncerns were raised </w:t>
      </w:r>
      <w:r w:rsidR="00587C75" w:rsidRPr="009B2BB6">
        <w:rPr>
          <w:noProof/>
          <w:szCs w:val="24"/>
        </w:rPr>
        <w:t xml:space="preserve">about </w:t>
      </w:r>
      <w:r w:rsidR="009B2BB6">
        <w:rPr>
          <w:noProof/>
          <w:szCs w:val="24"/>
        </w:rPr>
        <w:t xml:space="preserve">the risk of </w:t>
      </w:r>
      <w:r w:rsidR="009B2BB6" w:rsidRPr="00420C39">
        <w:rPr>
          <w:noProof/>
          <w:szCs w:val="24"/>
        </w:rPr>
        <w:t xml:space="preserve">increased </w:t>
      </w:r>
      <w:r w:rsidR="009B2BB6" w:rsidRPr="009B2BB6">
        <w:rPr>
          <w:noProof/>
          <w:szCs w:val="24"/>
        </w:rPr>
        <w:t xml:space="preserve">court </w:t>
      </w:r>
      <w:r w:rsidR="009B2BB6" w:rsidRPr="001546F3">
        <w:rPr>
          <w:noProof/>
        </w:rPr>
        <w:t>litigation</w:t>
      </w:r>
      <w:r w:rsidR="009B2BB6">
        <w:rPr>
          <w:noProof/>
          <w:szCs w:val="24"/>
        </w:rPr>
        <w:t xml:space="preserve"> and </w:t>
      </w:r>
      <w:r w:rsidR="00D633A7" w:rsidRPr="00420C39">
        <w:rPr>
          <w:noProof/>
          <w:szCs w:val="24"/>
        </w:rPr>
        <w:t xml:space="preserve">potential </w:t>
      </w:r>
      <w:r w:rsidR="00D633A7" w:rsidRPr="00420C39">
        <w:rPr>
          <w:i/>
          <w:iCs/>
          <w:noProof/>
          <w:szCs w:val="24"/>
        </w:rPr>
        <w:t>refoulement</w:t>
      </w:r>
      <w:r w:rsidR="00D633A7" w:rsidRPr="00420C39">
        <w:rPr>
          <w:noProof/>
          <w:szCs w:val="24"/>
        </w:rPr>
        <w:t xml:space="preserve"> risks if the suspensive effect of appeals were removed. It was also argued that the focus should remain on implementing the Pact, rather than introducing changes that could disrupt its carefully negotiated balance. </w:t>
      </w:r>
      <w:r w:rsidR="00D633A7" w:rsidRPr="009B2BB6">
        <w:rPr>
          <w:noProof/>
          <w:szCs w:val="24"/>
        </w:rPr>
        <w:t xml:space="preserve">Some </w:t>
      </w:r>
      <w:r w:rsidR="00B20373">
        <w:rPr>
          <w:noProof/>
          <w:szCs w:val="24"/>
        </w:rPr>
        <w:t>Members</w:t>
      </w:r>
      <w:r w:rsidR="00D633A7" w:rsidRPr="009B2BB6">
        <w:rPr>
          <w:noProof/>
          <w:szCs w:val="24"/>
        </w:rPr>
        <w:t xml:space="preserve"> </w:t>
      </w:r>
      <w:r w:rsidR="00D01B81" w:rsidRPr="001546F3">
        <w:rPr>
          <w:noProof/>
          <w:szCs w:val="24"/>
        </w:rPr>
        <w:t xml:space="preserve">noted </w:t>
      </w:r>
      <w:r w:rsidR="00D633A7" w:rsidRPr="001546F3">
        <w:rPr>
          <w:noProof/>
          <w:szCs w:val="24"/>
        </w:rPr>
        <w:t xml:space="preserve">that any changes to the STC concept must be accompanied by strong cooperation </w:t>
      </w:r>
      <w:r w:rsidR="00D01B81" w:rsidRPr="001546F3">
        <w:rPr>
          <w:noProof/>
          <w:szCs w:val="24"/>
        </w:rPr>
        <w:t xml:space="preserve">arrangements </w:t>
      </w:r>
      <w:r w:rsidR="00D633A7" w:rsidRPr="001546F3">
        <w:rPr>
          <w:noProof/>
          <w:szCs w:val="24"/>
        </w:rPr>
        <w:t>with third countries</w:t>
      </w:r>
      <w:r w:rsidR="00D01B81" w:rsidRPr="001546F3">
        <w:rPr>
          <w:noProof/>
          <w:szCs w:val="24"/>
        </w:rPr>
        <w:t xml:space="preserve">, </w:t>
      </w:r>
      <w:r w:rsidR="0030229D" w:rsidRPr="001546F3">
        <w:rPr>
          <w:noProof/>
          <w:szCs w:val="24"/>
        </w:rPr>
        <w:t xml:space="preserve">which would </w:t>
      </w:r>
      <w:r w:rsidR="00254FEC" w:rsidRPr="001546F3">
        <w:rPr>
          <w:noProof/>
          <w:szCs w:val="24"/>
        </w:rPr>
        <w:t xml:space="preserve">also </w:t>
      </w:r>
      <w:r w:rsidR="0030229D" w:rsidRPr="001546F3">
        <w:rPr>
          <w:noProof/>
          <w:szCs w:val="24"/>
        </w:rPr>
        <w:t>guarantee that transferred person</w:t>
      </w:r>
      <w:r w:rsidR="00254FEC" w:rsidRPr="001546F3">
        <w:rPr>
          <w:noProof/>
          <w:szCs w:val="24"/>
        </w:rPr>
        <w:t>s</w:t>
      </w:r>
      <w:r w:rsidR="0030229D" w:rsidRPr="001546F3">
        <w:rPr>
          <w:noProof/>
          <w:szCs w:val="24"/>
        </w:rPr>
        <w:t xml:space="preserve"> have access to effective protection</w:t>
      </w:r>
      <w:r w:rsidR="00D633A7" w:rsidRPr="001546F3">
        <w:rPr>
          <w:noProof/>
          <w:szCs w:val="24"/>
        </w:rPr>
        <w:t>.</w:t>
      </w:r>
      <w:r w:rsidR="00D633A7" w:rsidRPr="008F6E6A">
        <w:rPr>
          <w:noProof/>
          <w:szCs w:val="24"/>
        </w:rPr>
        <w:t xml:space="preserve"> </w:t>
      </w:r>
    </w:p>
    <w:p w:rsidR="00693ED0" w:rsidRPr="008F6E6A" w:rsidRDefault="001546F3" w:rsidP="000A20A8">
      <w:pPr>
        <w:rPr>
          <w:noProof/>
        </w:rPr>
      </w:pPr>
      <w:r w:rsidRPr="001546F3">
        <w:rPr>
          <w:b/>
          <w:bCs/>
          <w:noProof/>
        </w:rPr>
        <w:t>Civil society organisation</w:t>
      </w:r>
      <w:r w:rsidR="008379F2" w:rsidRPr="001546F3">
        <w:rPr>
          <w:b/>
          <w:bCs/>
          <w:noProof/>
        </w:rPr>
        <w:t>s</w:t>
      </w:r>
      <w:r w:rsidR="008379F2" w:rsidRPr="008F6E6A">
        <w:rPr>
          <w:noProof/>
        </w:rPr>
        <w:t xml:space="preserve"> </w:t>
      </w:r>
      <w:r w:rsidR="000F27E8">
        <w:rPr>
          <w:noProof/>
        </w:rPr>
        <w:t xml:space="preserve">were generally opposed to the review of the STC concept and </w:t>
      </w:r>
      <w:r w:rsidR="00015B25">
        <w:rPr>
          <w:noProof/>
        </w:rPr>
        <w:t xml:space="preserve">highlighted </w:t>
      </w:r>
      <w:r w:rsidR="008379F2" w:rsidRPr="008F6E6A">
        <w:rPr>
          <w:noProof/>
        </w:rPr>
        <w:t xml:space="preserve">several key concerns about the practical implementation of the STC concept. </w:t>
      </w:r>
      <w:r w:rsidR="003F3881" w:rsidRPr="008F6E6A">
        <w:rPr>
          <w:noProof/>
        </w:rPr>
        <w:t xml:space="preserve">They </w:t>
      </w:r>
      <w:r w:rsidR="00693ED0" w:rsidRPr="008F6E6A">
        <w:rPr>
          <w:noProof/>
        </w:rPr>
        <w:t xml:space="preserve">cautioned that it could lead to increased litigation, judicial interventions, and </w:t>
      </w:r>
      <w:r w:rsidR="00693ED0" w:rsidRPr="000A20A8">
        <w:rPr>
          <w:noProof/>
          <w:szCs w:val="24"/>
        </w:rPr>
        <w:t>administrative</w:t>
      </w:r>
      <w:r w:rsidR="00693ED0" w:rsidRPr="008F6E6A">
        <w:rPr>
          <w:noProof/>
        </w:rPr>
        <w:t xml:space="preserve"> burdens, while negatively impacting the Dublin system and cooperation with third countries. The impact on vulnerable applicants was another key concern, with calls for the connection criterion to remain mandatory for this group.</w:t>
      </w:r>
    </w:p>
    <w:p w:rsidR="00B20373" w:rsidRPr="007374CA" w:rsidRDefault="00C20F41" w:rsidP="000A20A8">
      <w:pPr>
        <w:rPr>
          <w:noProof/>
        </w:rPr>
      </w:pPr>
      <w:r w:rsidRPr="007374CA">
        <w:rPr>
          <w:b/>
          <w:bCs/>
          <w:noProof/>
        </w:rPr>
        <w:t>UNHCR</w:t>
      </w:r>
      <w:r w:rsidRPr="007374CA">
        <w:rPr>
          <w:noProof/>
        </w:rPr>
        <w:t xml:space="preserve">, while </w:t>
      </w:r>
      <w:r w:rsidR="009B2BB6" w:rsidRPr="007374CA">
        <w:rPr>
          <w:noProof/>
        </w:rPr>
        <w:t>acknowledging</w:t>
      </w:r>
      <w:r w:rsidRPr="007374CA">
        <w:rPr>
          <w:noProof/>
        </w:rPr>
        <w:t xml:space="preserve"> that the connection criterion is not a requirement under international law, </w:t>
      </w:r>
      <w:r w:rsidR="001546F3" w:rsidRPr="007374CA">
        <w:rPr>
          <w:noProof/>
        </w:rPr>
        <w:t>reiterated</w:t>
      </w:r>
      <w:r w:rsidRPr="007374CA">
        <w:rPr>
          <w:noProof/>
        </w:rPr>
        <w:t xml:space="preserve"> </w:t>
      </w:r>
      <w:r w:rsidR="00464D96" w:rsidRPr="007374CA">
        <w:rPr>
          <w:noProof/>
        </w:rPr>
        <w:t xml:space="preserve">its </w:t>
      </w:r>
      <w:r w:rsidRPr="007374CA">
        <w:rPr>
          <w:noProof/>
        </w:rPr>
        <w:t>reservations about its removal</w:t>
      </w:r>
      <w:r w:rsidR="00FA3B33" w:rsidRPr="007374CA">
        <w:rPr>
          <w:noProof/>
        </w:rPr>
        <w:t>,</w:t>
      </w:r>
      <w:r w:rsidR="00464D96" w:rsidRPr="007374CA">
        <w:rPr>
          <w:noProof/>
        </w:rPr>
        <w:t xml:space="preserve"> in</w:t>
      </w:r>
      <w:r w:rsidR="009844D3" w:rsidRPr="007374CA">
        <w:rPr>
          <w:noProof/>
        </w:rPr>
        <w:t xml:space="preserve">cluding </w:t>
      </w:r>
      <w:r w:rsidR="001546F3" w:rsidRPr="007374CA">
        <w:rPr>
          <w:noProof/>
        </w:rPr>
        <w:t>concerns</w:t>
      </w:r>
      <w:r w:rsidR="002B3B6C" w:rsidRPr="007374CA">
        <w:rPr>
          <w:noProof/>
        </w:rPr>
        <w:t xml:space="preserve"> about the long-term sustainability of the transfers in the absence of connection, </w:t>
      </w:r>
      <w:r w:rsidR="009E28C2" w:rsidRPr="007374CA">
        <w:rPr>
          <w:noProof/>
        </w:rPr>
        <w:t xml:space="preserve">and the </w:t>
      </w:r>
      <w:r w:rsidR="002B3B6C" w:rsidRPr="007374CA">
        <w:rPr>
          <w:noProof/>
        </w:rPr>
        <w:t xml:space="preserve">risk </w:t>
      </w:r>
      <w:r w:rsidR="00AD03FA" w:rsidRPr="007374CA">
        <w:rPr>
          <w:noProof/>
        </w:rPr>
        <w:t>that</w:t>
      </w:r>
      <w:r w:rsidR="009E28C2" w:rsidRPr="007374CA">
        <w:rPr>
          <w:noProof/>
        </w:rPr>
        <w:t xml:space="preserve"> transfe</w:t>
      </w:r>
      <w:r w:rsidR="009B3714" w:rsidRPr="007374CA">
        <w:rPr>
          <w:noProof/>
        </w:rPr>
        <w:t>r</w:t>
      </w:r>
      <w:r w:rsidR="009E28C2" w:rsidRPr="007374CA">
        <w:rPr>
          <w:noProof/>
        </w:rPr>
        <w:t xml:space="preserve">red persons </w:t>
      </w:r>
      <w:r w:rsidR="00AD03FA" w:rsidRPr="007374CA">
        <w:rPr>
          <w:noProof/>
        </w:rPr>
        <w:t>may</w:t>
      </w:r>
      <w:r w:rsidR="002B3B6C" w:rsidRPr="007374CA">
        <w:rPr>
          <w:noProof/>
        </w:rPr>
        <w:t xml:space="preserve"> remain in </w:t>
      </w:r>
      <w:r w:rsidR="001546F3" w:rsidRPr="007374CA">
        <w:rPr>
          <w:noProof/>
        </w:rPr>
        <w:t>an unclear legal situation</w:t>
      </w:r>
      <w:r w:rsidR="002B3B6C" w:rsidRPr="007374CA">
        <w:rPr>
          <w:noProof/>
        </w:rPr>
        <w:t xml:space="preserve"> due to </w:t>
      </w:r>
      <w:r w:rsidR="001546F3" w:rsidRPr="007374CA">
        <w:rPr>
          <w:noProof/>
        </w:rPr>
        <w:t xml:space="preserve">potential subsequent </w:t>
      </w:r>
      <w:r w:rsidR="002B3B6C" w:rsidRPr="007374CA">
        <w:rPr>
          <w:noProof/>
        </w:rPr>
        <w:t xml:space="preserve">rejections </w:t>
      </w:r>
      <w:r w:rsidR="001546F3" w:rsidRPr="000A20A8">
        <w:rPr>
          <w:noProof/>
          <w:szCs w:val="24"/>
        </w:rPr>
        <w:t>of</w:t>
      </w:r>
      <w:r w:rsidR="001546F3" w:rsidRPr="007374CA">
        <w:rPr>
          <w:noProof/>
        </w:rPr>
        <w:t xml:space="preserve"> protection claims also in the STC</w:t>
      </w:r>
      <w:r w:rsidR="009E28C2" w:rsidRPr="007374CA">
        <w:rPr>
          <w:noProof/>
        </w:rPr>
        <w:t xml:space="preserve">. </w:t>
      </w:r>
      <w:r w:rsidR="009B3714" w:rsidRPr="007374CA">
        <w:rPr>
          <w:noProof/>
        </w:rPr>
        <w:t xml:space="preserve">UNHCR </w:t>
      </w:r>
      <w:r w:rsidRPr="007374CA">
        <w:rPr>
          <w:noProof/>
        </w:rPr>
        <w:t xml:space="preserve">emphasised the need for robust </w:t>
      </w:r>
      <w:r w:rsidR="00BF5A3F" w:rsidRPr="007374CA">
        <w:rPr>
          <w:noProof/>
        </w:rPr>
        <w:t xml:space="preserve">additional </w:t>
      </w:r>
      <w:r w:rsidRPr="007374CA">
        <w:rPr>
          <w:noProof/>
        </w:rPr>
        <w:t>safeguards</w:t>
      </w:r>
      <w:r w:rsidR="00BF5A3F" w:rsidRPr="007374CA">
        <w:rPr>
          <w:noProof/>
        </w:rPr>
        <w:t xml:space="preserve"> in </w:t>
      </w:r>
      <w:r w:rsidR="00236DAD" w:rsidRPr="007374CA">
        <w:rPr>
          <w:noProof/>
        </w:rPr>
        <w:t>the event that</w:t>
      </w:r>
      <w:r w:rsidR="00BF5A3F" w:rsidRPr="007374CA">
        <w:rPr>
          <w:noProof/>
        </w:rPr>
        <w:t xml:space="preserve"> the connection criterion </w:t>
      </w:r>
      <w:r w:rsidR="001546F3" w:rsidRPr="007374CA">
        <w:rPr>
          <w:noProof/>
        </w:rPr>
        <w:t>was</w:t>
      </w:r>
      <w:r w:rsidR="00BF5A3F" w:rsidRPr="007374CA">
        <w:rPr>
          <w:noProof/>
        </w:rPr>
        <w:t xml:space="preserve"> removed</w:t>
      </w:r>
      <w:r w:rsidRPr="007374CA">
        <w:rPr>
          <w:noProof/>
        </w:rPr>
        <w:t xml:space="preserve">. </w:t>
      </w:r>
      <w:r w:rsidR="00813FD1" w:rsidRPr="007374CA">
        <w:rPr>
          <w:noProof/>
        </w:rPr>
        <w:t xml:space="preserve">UNHCR also </w:t>
      </w:r>
      <w:r w:rsidR="00A61014" w:rsidRPr="007374CA">
        <w:rPr>
          <w:noProof/>
        </w:rPr>
        <w:t xml:space="preserve">expressed some </w:t>
      </w:r>
      <w:r w:rsidR="00813FD1" w:rsidRPr="007374CA">
        <w:rPr>
          <w:noProof/>
        </w:rPr>
        <w:t xml:space="preserve">concerns </w:t>
      </w:r>
      <w:r w:rsidR="00FA3B33" w:rsidRPr="007374CA">
        <w:rPr>
          <w:noProof/>
        </w:rPr>
        <w:t xml:space="preserve">relating to the STC concept but </w:t>
      </w:r>
      <w:r w:rsidR="00813FD1" w:rsidRPr="007374CA">
        <w:rPr>
          <w:noProof/>
        </w:rPr>
        <w:t xml:space="preserve">not </w:t>
      </w:r>
      <w:r w:rsidR="006745FE" w:rsidRPr="007374CA">
        <w:rPr>
          <w:noProof/>
        </w:rPr>
        <w:t xml:space="preserve">directly </w:t>
      </w:r>
      <w:r w:rsidR="00813FD1" w:rsidRPr="007374CA">
        <w:rPr>
          <w:noProof/>
        </w:rPr>
        <w:t>linked to the proposals for revision</w:t>
      </w:r>
      <w:r w:rsidR="00B20373" w:rsidRPr="007374CA">
        <w:rPr>
          <w:noProof/>
        </w:rPr>
        <w:t xml:space="preserve">. </w:t>
      </w:r>
    </w:p>
    <w:p w:rsidR="00693ED0" w:rsidRPr="008F6E6A" w:rsidRDefault="00693ED0" w:rsidP="000A20A8">
      <w:pPr>
        <w:rPr>
          <w:noProof/>
        </w:rPr>
      </w:pPr>
      <w:r w:rsidRPr="00C87F05">
        <w:rPr>
          <w:noProof/>
        </w:rPr>
        <w:t xml:space="preserve">Regarding the </w:t>
      </w:r>
      <w:r w:rsidRPr="00C87F05">
        <w:rPr>
          <w:b/>
          <w:bCs/>
          <w:noProof/>
        </w:rPr>
        <w:t>suspensive effect of appeals</w:t>
      </w:r>
      <w:r w:rsidRPr="00C87F05">
        <w:rPr>
          <w:noProof/>
        </w:rPr>
        <w:t xml:space="preserve">, </w:t>
      </w:r>
      <w:r w:rsidR="00BA15E8" w:rsidRPr="00C87F05">
        <w:rPr>
          <w:noProof/>
        </w:rPr>
        <w:t xml:space="preserve">the </w:t>
      </w:r>
      <w:r w:rsidR="00051818" w:rsidRPr="00C87F05">
        <w:rPr>
          <w:noProof/>
        </w:rPr>
        <w:t xml:space="preserve">majority of </w:t>
      </w:r>
      <w:r w:rsidRPr="00C87F05">
        <w:rPr>
          <w:noProof/>
        </w:rPr>
        <w:t>Member States</w:t>
      </w:r>
      <w:r w:rsidR="00051818" w:rsidRPr="00C87F05">
        <w:rPr>
          <w:noProof/>
        </w:rPr>
        <w:t xml:space="preserve"> </w:t>
      </w:r>
      <w:r w:rsidR="00F02748" w:rsidRPr="00C87F05">
        <w:rPr>
          <w:noProof/>
        </w:rPr>
        <w:t xml:space="preserve">and </w:t>
      </w:r>
      <w:r w:rsidR="00B20373">
        <w:rPr>
          <w:noProof/>
        </w:rPr>
        <w:t>some Members of the</w:t>
      </w:r>
      <w:r w:rsidR="00C87F05" w:rsidRPr="00C87F05">
        <w:rPr>
          <w:noProof/>
        </w:rPr>
        <w:t xml:space="preserve"> </w:t>
      </w:r>
      <w:r w:rsidR="0001587B" w:rsidRPr="00C87F05">
        <w:rPr>
          <w:noProof/>
        </w:rPr>
        <w:t>European Parliament</w:t>
      </w:r>
      <w:r w:rsidR="005E5784">
        <w:rPr>
          <w:noProof/>
        </w:rPr>
        <w:t xml:space="preserve"> supported</w:t>
      </w:r>
      <w:r w:rsidR="00051818" w:rsidRPr="00C87F05">
        <w:rPr>
          <w:noProof/>
        </w:rPr>
        <w:t xml:space="preserve"> </w:t>
      </w:r>
      <w:r w:rsidR="007F30EA">
        <w:rPr>
          <w:noProof/>
        </w:rPr>
        <w:t>the</w:t>
      </w:r>
      <w:r w:rsidR="007F30EA" w:rsidRPr="00C87F05">
        <w:rPr>
          <w:noProof/>
        </w:rPr>
        <w:t xml:space="preserve"> </w:t>
      </w:r>
      <w:r w:rsidR="00051818" w:rsidRPr="00C87F05">
        <w:rPr>
          <w:noProof/>
        </w:rPr>
        <w:t>option</w:t>
      </w:r>
      <w:r w:rsidR="007F30EA">
        <w:rPr>
          <w:noProof/>
        </w:rPr>
        <w:t xml:space="preserve"> of non-automatic suspensive effect</w:t>
      </w:r>
      <w:r w:rsidR="00051818" w:rsidRPr="00C87F05">
        <w:rPr>
          <w:noProof/>
        </w:rPr>
        <w:t xml:space="preserve">. </w:t>
      </w:r>
      <w:r w:rsidRPr="00C87F05">
        <w:rPr>
          <w:noProof/>
        </w:rPr>
        <w:t xml:space="preserve">They argued that </w:t>
      </w:r>
      <w:r w:rsidR="007F30EA">
        <w:rPr>
          <w:noProof/>
        </w:rPr>
        <w:t xml:space="preserve">the </w:t>
      </w:r>
      <w:r w:rsidRPr="00C87F05">
        <w:rPr>
          <w:noProof/>
        </w:rPr>
        <w:t xml:space="preserve">removal </w:t>
      </w:r>
      <w:r w:rsidR="007F30EA">
        <w:rPr>
          <w:noProof/>
        </w:rPr>
        <w:t xml:space="preserve">of the automatic suspensive effect </w:t>
      </w:r>
      <w:r w:rsidRPr="00C87F05">
        <w:rPr>
          <w:noProof/>
        </w:rPr>
        <w:t xml:space="preserve">could reduce procedural delays, noting that this would also be in line with the short duration of accelerated and </w:t>
      </w:r>
      <w:r w:rsidRPr="000A20A8">
        <w:rPr>
          <w:noProof/>
          <w:szCs w:val="24"/>
        </w:rPr>
        <w:t>border</w:t>
      </w:r>
      <w:r w:rsidRPr="00C87F05">
        <w:rPr>
          <w:noProof/>
        </w:rPr>
        <w:t xml:space="preserve"> procedures under the current APR. Additionally, eliminating the </w:t>
      </w:r>
      <w:r w:rsidR="00261814">
        <w:rPr>
          <w:noProof/>
        </w:rPr>
        <w:t xml:space="preserve">automatic </w:t>
      </w:r>
      <w:r w:rsidRPr="00C87F05">
        <w:rPr>
          <w:noProof/>
        </w:rPr>
        <w:t>suspensive effect could lower financial burdens associated with providing reception conditions for applicants whose protection claims are under examination. The</w:t>
      </w:r>
      <w:r w:rsidR="00557115" w:rsidRPr="00C87F05">
        <w:rPr>
          <w:noProof/>
        </w:rPr>
        <w:t>y</w:t>
      </w:r>
      <w:r w:rsidRPr="00C87F05">
        <w:rPr>
          <w:noProof/>
        </w:rPr>
        <w:t xml:space="preserve"> also contended that this measure could prevent the abuse of appeal opportunities by applicants seeking to delay their removal and could help mitigate the risks of absconding and secondary movements.</w:t>
      </w:r>
    </w:p>
    <w:p w:rsidR="00693ED0" w:rsidRPr="008F6E6A" w:rsidRDefault="000A7729" w:rsidP="000A20A8">
      <w:pPr>
        <w:rPr>
          <w:noProof/>
        </w:rPr>
      </w:pPr>
      <w:r w:rsidRPr="00C87F05">
        <w:rPr>
          <w:noProof/>
        </w:rPr>
        <w:t>A few</w:t>
      </w:r>
      <w:r w:rsidR="00FC6393" w:rsidRPr="00C87F05">
        <w:rPr>
          <w:noProof/>
        </w:rPr>
        <w:t xml:space="preserve"> Member States, </w:t>
      </w:r>
      <w:r w:rsidR="00C87F05" w:rsidRPr="00C87F05">
        <w:rPr>
          <w:noProof/>
        </w:rPr>
        <w:t xml:space="preserve">some </w:t>
      </w:r>
      <w:r w:rsidR="00B20373">
        <w:rPr>
          <w:noProof/>
        </w:rPr>
        <w:t>Members of the European Parliament</w:t>
      </w:r>
      <w:r w:rsidR="00C87F05" w:rsidRPr="00C87F05">
        <w:rPr>
          <w:noProof/>
          <w:szCs w:val="24"/>
        </w:rPr>
        <w:t xml:space="preserve">, </w:t>
      </w:r>
      <w:r w:rsidR="00FC6393" w:rsidRPr="00C87F05">
        <w:rPr>
          <w:noProof/>
        </w:rPr>
        <w:t xml:space="preserve">UNHCR and the </w:t>
      </w:r>
      <w:r w:rsidR="00C87F05" w:rsidRPr="00C87F05">
        <w:rPr>
          <w:noProof/>
        </w:rPr>
        <w:t xml:space="preserve">civil society </w:t>
      </w:r>
      <w:r w:rsidR="00C87F05" w:rsidRPr="000A20A8">
        <w:rPr>
          <w:noProof/>
          <w:szCs w:val="24"/>
        </w:rPr>
        <w:t>organisations</w:t>
      </w:r>
      <w:r w:rsidR="00FC6393" w:rsidRPr="00C87F05">
        <w:rPr>
          <w:noProof/>
        </w:rPr>
        <w:t xml:space="preserve"> </w:t>
      </w:r>
      <w:r w:rsidR="00261814">
        <w:rPr>
          <w:noProof/>
        </w:rPr>
        <w:t xml:space="preserve">expressed concerns about </w:t>
      </w:r>
      <w:r w:rsidR="00693ED0" w:rsidRPr="00C87F05">
        <w:rPr>
          <w:noProof/>
        </w:rPr>
        <w:t xml:space="preserve">the removal of the automatic suspensive effect. </w:t>
      </w:r>
      <w:r w:rsidR="00261814">
        <w:rPr>
          <w:noProof/>
        </w:rPr>
        <w:t>In their view,</w:t>
      </w:r>
      <w:r w:rsidR="00693ED0" w:rsidRPr="00C87F05">
        <w:rPr>
          <w:noProof/>
        </w:rPr>
        <w:t xml:space="preserve"> such a change could substantially increase the workload of appeal courts</w:t>
      </w:r>
      <w:r w:rsidR="00FC6393" w:rsidRPr="00C87F05">
        <w:rPr>
          <w:noProof/>
        </w:rPr>
        <w:t xml:space="preserve"> and </w:t>
      </w:r>
      <w:r w:rsidR="00693ED0" w:rsidRPr="00C87F05">
        <w:rPr>
          <w:noProof/>
        </w:rPr>
        <w:t xml:space="preserve">warned of potential </w:t>
      </w:r>
      <w:r w:rsidR="00693ED0" w:rsidRPr="00C87F05">
        <w:rPr>
          <w:i/>
          <w:iCs/>
          <w:noProof/>
        </w:rPr>
        <w:t>refoulement</w:t>
      </w:r>
      <w:r w:rsidR="00693ED0" w:rsidRPr="00C87F05">
        <w:rPr>
          <w:noProof/>
        </w:rPr>
        <w:t xml:space="preserve"> risks</w:t>
      </w:r>
      <w:r w:rsidR="00693ED0" w:rsidRPr="00A61014">
        <w:rPr>
          <w:noProof/>
        </w:rPr>
        <w:t xml:space="preserve">. UNHCR </w:t>
      </w:r>
      <w:r w:rsidR="00C430B2" w:rsidRPr="00A61014">
        <w:rPr>
          <w:noProof/>
        </w:rPr>
        <w:t xml:space="preserve">considered </w:t>
      </w:r>
      <w:r w:rsidR="00693ED0" w:rsidRPr="00A61014">
        <w:rPr>
          <w:noProof/>
        </w:rPr>
        <w:t xml:space="preserve">that removing the </w:t>
      </w:r>
      <w:r w:rsidR="00261814">
        <w:rPr>
          <w:noProof/>
        </w:rPr>
        <w:t xml:space="preserve">automatic </w:t>
      </w:r>
      <w:r w:rsidR="00693ED0" w:rsidRPr="00A61014">
        <w:rPr>
          <w:noProof/>
        </w:rPr>
        <w:t xml:space="preserve">suspensive effect could </w:t>
      </w:r>
      <w:r w:rsidR="00C87F05" w:rsidRPr="00A61014">
        <w:rPr>
          <w:noProof/>
        </w:rPr>
        <w:t>increase</w:t>
      </w:r>
      <w:r w:rsidR="00693ED0" w:rsidRPr="00A61014">
        <w:rPr>
          <w:noProof/>
        </w:rPr>
        <w:t xml:space="preserve"> detention risks </w:t>
      </w:r>
      <w:r w:rsidR="00C87F05" w:rsidRPr="00A61014">
        <w:rPr>
          <w:noProof/>
        </w:rPr>
        <w:t xml:space="preserve">during </w:t>
      </w:r>
      <w:r w:rsidR="00693ED0" w:rsidRPr="00A61014">
        <w:rPr>
          <w:noProof/>
        </w:rPr>
        <w:t>appeals</w:t>
      </w:r>
      <w:r w:rsidR="00C87F05" w:rsidRPr="00A61014">
        <w:rPr>
          <w:noProof/>
        </w:rPr>
        <w:t xml:space="preserve">, </w:t>
      </w:r>
      <w:r w:rsidR="00F775FB">
        <w:rPr>
          <w:noProof/>
        </w:rPr>
        <w:t xml:space="preserve">and </w:t>
      </w:r>
      <w:r w:rsidR="00C87F05" w:rsidRPr="00A61014">
        <w:rPr>
          <w:noProof/>
        </w:rPr>
        <w:t>tha</w:t>
      </w:r>
      <w:r w:rsidR="00693ED0" w:rsidRPr="00A61014">
        <w:rPr>
          <w:noProof/>
        </w:rPr>
        <w:t>t</w:t>
      </w:r>
      <w:r w:rsidR="00434963">
        <w:rPr>
          <w:noProof/>
        </w:rPr>
        <w:t>,</w:t>
      </w:r>
      <w:r w:rsidR="00693ED0" w:rsidRPr="00A61014">
        <w:rPr>
          <w:noProof/>
        </w:rPr>
        <w:t xml:space="preserve"> even if the return decision retains a suspensive effect</w:t>
      </w:r>
      <w:r w:rsidR="00434963">
        <w:rPr>
          <w:noProof/>
        </w:rPr>
        <w:t>,</w:t>
      </w:r>
      <w:r w:rsidR="00693ED0" w:rsidRPr="00A61014">
        <w:rPr>
          <w:noProof/>
        </w:rPr>
        <w:t xml:space="preserve"> there is a significant risk </w:t>
      </w:r>
      <w:r w:rsidR="00C87F05" w:rsidRPr="00A61014">
        <w:rPr>
          <w:noProof/>
        </w:rPr>
        <w:t>of</w:t>
      </w:r>
      <w:r w:rsidR="005546E4" w:rsidRPr="00A61014">
        <w:rPr>
          <w:noProof/>
        </w:rPr>
        <w:t xml:space="preserve"> </w:t>
      </w:r>
      <w:r w:rsidR="00693ED0" w:rsidRPr="00A61014">
        <w:rPr>
          <w:noProof/>
        </w:rPr>
        <w:t>wrongful transfer of applicants at risk</w:t>
      </w:r>
      <w:r w:rsidR="00C87F05" w:rsidRPr="00A61014">
        <w:rPr>
          <w:noProof/>
        </w:rPr>
        <w:t xml:space="preserve">, </w:t>
      </w:r>
      <w:r w:rsidR="00F775FB">
        <w:rPr>
          <w:noProof/>
        </w:rPr>
        <w:t>as well as</w:t>
      </w:r>
      <w:r w:rsidR="00F775FB" w:rsidRPr="00A61014">
        <w:rPr>
          <w:noProof/>
        </w:rPr>
        <w:t xml:space="preserve"> </w:t>
      </w:r>
      <w:r w:rsidR="00C87F05" w:rsidRPr="00A61014">
        <w:rPr>
          <w:noProof/>
        </w:rPr>
        <w:t>that</w:t>
      </w:r>
      <w:r w:rsidR="00434963">
        <w:rPr>
          <w:noProof/>
        </w:rPr>
        <w:t>,</w:t>
      </w:r>
      <w:r w:rsidR="00C87F05" w:rsidRPr="00A61014">
        <w:rPr>
          <w:noProof/>
        </w:rPr>
        <w:t xml:space="preserve"> </w:t>
      </w:r>
      <w:r w:rsidR="00693ED0" w:rsidRPr="00A61014">
        <w:rPr>
          <w:noProof/>
        </w:rPr>
        <w:t xml:space="preserve">even where a removal measure is automatically suspended, this </w:t>
      </w:r>
      <w:r w:rsidR="00C87F05" w:rsidRPr="00A61014">
        <w:rPr>
          <w:noProof/>
        </w:rPr>
        <w:t>may</w:t>
      </w:r>
      <w:r w:rsidR="00693ED0" w:rsidRPr="00A61014">
        <w:rPr>
          <w:noProof/>
        </w:rPr>
        <w:t xml:space="preserve"> not ensure an effective remedy against asylum rejection</w:t>
      </w:r>
      <w:r w:rsidR="00E974E8" w:rsidRPr="00A61014">
        <w:rPr>
          <w:noProof/>
        </w:rPr>
        <w:t>s based on STC</w:t>
      </w:r>
      <w:r w:rsidR="00693ED0" w:rsidRPr="00A61014">
        <w:rPr>
          <w:noProof/>
        </w:rPr>
        <w:t>.</w:t>
      </w:r>
    </w:p>
    <w:p w:rsidR="00693ED0" w:rsidRPr="008F6E6A" w:rsidRDefault="00693ED0" w:rsidP="00693ED0">
      <w:pPr>
        <w:pStyle w:val="ManualHeading2"/>
        <w:rPr>
          <w:rFonts w:eastAsia="Arial Unicode MS"/>
          <w:noProof/>
          <w:bdr w:val="nil"/>
          <w:lang w:eastAsia="en-GB"/>
        </w:rPr>
      </w:pPr>
      <w:r w:rsidRPr="008F6E6A">
        <w:rPr>
          <w:rFonts w:eastAsia="Arial Unicode MS"/>
          <w:noProof/>
          <w:bdr w:val="nil"/>
          <w:lang w:eastAsia="en-GB"/>
        </w:rPr>
        <w:t>•</w:t>
      </w:r>
      <w:r w:rsidRPr="008F6E6A">
        <w:rPr>
          <w:rFonts w:eastAsia="Arial Unicode MS"/>
          <w:noProof/>
          <w:u w:color="000000"/>
          <w:bdr w:val="nil"/>
          <w:lang w:eastAsia="en-GB"/>
        </w:rPr>
        <w:tab/>
      </w:r>
      <w:r w:rsidRPr="008F6E6A">
        <w:rPr>
          <w:rFonts w:eastAsia="Arial Unicode MS"/>
          <w:noProof/>
          <w:bdr w:val="nil"/>
          <w:lang w:eastAsia="en-GB"/>
        </w:rPr>
        <w:t>Evidence-based policy making</w:t>
      </w:r>
    </w:p>
    <w:p w:rsidR="00693ED0" w:rsidRPr="008F6E6A" w:rsidRDefault="00693ED0" w:rsidP="000A20A8">
      <w:pPr>
        <w:rPr>
          <w:noProof/>
        </w:rPr>
      </w:pPr>
      <w:r w:rsidRPr="008F6E6A">
        <w:rPr>
          <w:noProof/>
        </w:rPr>
        <w:t>Article 77 of the APR called for the Commission to carry out a review of the STC</w:t>
      </w:r>
      <w:r w:rsidR="00C430B2" w:rsidRPr="008F6E6A">
        <w:rPr>
          <w:noProof/>
        </w:rPr>
        <w:t xml:space="preserve"> </w:t>
      </w:r>
      <w:r w:rsidRPr="008F6E6A">
        <w:rPr>
          <w:noProof/>
        </w:rPr>
        <w:t>concept</w:t>
      </w:r>
      <w:r w:rsidR="00AB6A9E" w:rsidRPr="008F6E6A">
        <w:rPr>
          <w:noProof/>
        </w:rPr>
        <w:t xml:space="preserve"> </w:t>
      </w:r>
      <w:r w:rsidRPr="008F6E6A">
        <w:rPr>
          <w:noProof/>
        </w:rPr>
        <w:t>and</w:t>
      </w:r>
      <w:r w:rsidR="002F4C18" w:rsidRPr="008F6E6A">
        <w:rPr>
          <w:noProof/>
        </w:rPr>
        <w:t>,</w:t>
      </w:r>
      <w:r w:rsidRPr="008F6E6A">
        <w:rPr>
          <w:noProof/>
        </w:rPr>
        <w:t xml:space="preserve"> where necessary</w:t>
      </w:r>
      <w:r w:rsidR="002F4C18" w:rsidRPr="008F6E6A">
        <w:rPr>
          <w:noProof/>
        </w:rPr>
        <w:t>,</w:t>
      </w:r>
      <w:r w:rsidRPr="008F6E6A">
        <w:rPr>
          <w:noProof/>
        </w:rPr>
        <w:t xml:space="preserve"> propose legislative amendments</w:t>
      </w:r>
      <w:r w:rsidR="00C430B2" w:rsidRPr="008F6E6A">
        <w:rPr>
          <w:noProof/>
        </w:rPr>
        <w:t xml:space="preserve"> by June 2025, hence</w:t>
      </w:r>
      <w:r w:rsidRPr="008F6E6A">
        <w:rPr>
          <w:noProof/>
        </w:rPr>
        <w:t xml:space="preserve"> before the application of the APR</w:t>
      </w:r>
      <w:r w:rsidR="00C430B2" w:rsidRPr="008F6E6A">
        <w:rPr>
          <w:noProof/>
        </w:rPr>
        <w:t xml:space="preserve"> in June 2026</w:t>
      </w:r>
      <w:r w:rsidRPr="008F6E6A">
        <w:rPr>
          <w:noProof/>
        </w:rPr>
        <w:t xml:space="preserve">. </w:t>
      </w:r>
    </w:p>
    <w:p w:rsidR="00693ED0" w:rsidRPr="008F6E6A" w:rsidRDefault="002168F8" w:rsidP="000A20A8">
      <w:pPr>
        <w:rPr>
          <w:noProof/>
        </w:rPr>
      </w:pPr>
      <w:r w:rsidRPr="008F6E6A">
        <w:rPr>
          <w:noProof/>
        </w:rPr>
        <w:t>In</w:t>
      </w:r>
      <w:r w:rsidR="00693ED0" w:rsidRPr="008F6E6A">
        <w:rPr>
          <w:noProof/>
        </w:rPr>
        <w:t xml:space="preserve"> review</w:t>
      </w:r>
      <w:r w:rsidRPr="008F6E6A">
        <w:rPr>
          <w:noProof/>
        </w:rPr>
        <w:t>ing</w:t>
      </w:r>
      <w:r w:rsidR="00693ED0" w:rsidRPr="008F6E6A">
        <w:rPr>
          <w:noProof/>
        </w:rPr>
        <w:t xml:space="preserve"> the STC concept, the Commission took into account the experience of the Member States with </w:t>
      </w:r>
      <w:r w:rsidRPr="008F6E6A">
        <w:rPr>
          <w:noProof/>
        </w:rPr>
        <w:t xml:space="preserve">its </w:t>
      </w:r>
      <w:r w:rsidR="00693ED0" w:rsidRPr="008F6E6A">
        <w:rPr>
          <w:noProof/>
        </w:rPr>
        <w:t xml:space="preserve">application so far, including the challenges encountered, as voiced in </w:t>
      </w:r>
      <w:r w:rsidRPr="008F6E6A">
        <w:rPr>
          <w:noProof/>
        </w:rPr>
        <w:t xml:space="preserve">various </w:t>
      </w:r>
      <w:r w:rsidR="00693ED0" w:rsidRPr="008F6E6A">
        <w:rPr>
          <w:noProof/>
        </w:rPr>
        <w:t xml:space="preserve">fora. </w:t>
      </w:r>
      <w:r w:rsidR="00F775FB">
        <w:rPr>
          <w:noProof/>
        </w:rPr>
        <w:t xml:space="preserve">The Commission also undertook broad stakeholder consultation activities to gather evidence. </w:t>
      </w:r>
      <w:r w:rsidR="00693ED0" w:rsidRPr="008F6E6A">
        <w:rPr>
          <w:noProof/>
        </w:rPr>
        <w:t>Finally, the Commission analysed the relevant jurisprudence of the C</w:t>
      </w:r>
      <w:r w:rsidR="00CF1C42" w:rsidRPr="008F6E6A">
        <w:rPr>
          <w:noProof/>
        </w:rPr>
        <w:t xml:space="preserve">ourt of Justice of the </w:t>
      </w:r>
      <w:r w:rsidR="00693ED0" w:rsidRPr="008F6E6A">
        <w:rPr>
          <w:noProof/>
        </w:rPr>
        <w:t>EU</w:t>
      </w:r>
      <w:r w:rsidR="00CF1C42" w:rsidRPr="008F6E6A">
        <w:rPr>
          <w:noProof/>
        </w:rPr>
        <w:t xml:space="preserve"> </w:t>
      </w:r>
      <w:r w:rsidR="00693ED0" w:rsidRPr="008F6E6A">
        <w:rPr>
          <w:noProof/>
        </w:rPr>
        <w:t>and of the E</w:t>
      </w:r>
      <w:r w:rsidR="00CF1C42" w:rsidRPr="008F6E6A">
        <w:rPr>
          <w:noProof/>
        </w:rPr>
        <w:t>uropean Court of Human Rights</w:t>
      </w:r>
      <w:r w:rsidR="00693ED0" w:rsidRPr="008F6E6A">
        <w:rPr>
          <w:noProof/>
        </w:rPr>
        <w:t xml:space="preserve">. </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Fundamental rights</w:t>
      </w:r>
    </w:p>
    <w:p w:rsidR="00693ED0" w:rsidRPr="008F6E6A" w:rsidRDefault="00693ED0" w:rsidP="000A20A8">
      <w:pPr>
        <w:rPr>
          <w:noProof/>
          <w:szCs w:val="24"/>
        </w:rPr>
      </w:pPr>
      <w:r w:rsidRPr="008F6E6A">
        <w:rPr>
          <w:noProof/>
        </w:rPr>
        <w:t xml:space="preserve">This proposal respects fundamental rights and observes the principles recognised, in particular, by the Charter of Fundamental Rights of the European Union, as well as the obligations stemming from international law, in particular from the Geneva Convention on the Status of </w:t>
      </w:r>
      <w:r w:rsidRPr="000A20A8">
        <w:rPr>
          <w:noProof/>
          <w:szCs w:val="24"/>
        </w:rPr>
        <w:t>Refugees</w:t>
      </w:r>
      <w:r w:rsidRPr="008F6E6A">
        <w:rPr>
          <w:noProof/>
        </w:rPr>
        <w:t>, the European Convention for the Protection of Human Rights and Fundamental Freedoms, the International Covenant for Civil and Political Rights, the United Nations Convention against Torture, and the United Nations Convention on the Rights of the Child.</w:t>
      </w:r>
    </w:p>
    <w:p w:rsidR="00F204C1" w:rsidRPr="00655254" w:rsidRDefault="2EC87945" w:rsidP="000A20A8">
      <w:pPr>
        <w:rPr>
          <w:noProof/>
        </w:rPr>
      </w:pPr>
      <w:r>
        <w:rPr>
          <w:noProof/>
        </w:rPr>
        <w:t xml:space="preserve">The proposal is consistent with Article 18 of the EU Charter, which establishes a right to asylum in the EU. The </w:t>
      </w:r>
      <w:r w:rsidR="44BC2C34">
        <w:rPr>
          <w:noProof/>
        </w:rPr>
        <w:t xml:space="preserve">fact that </w:t>
      </w:r>
      <w:r w:rsidR="54455B77">
        <w:rPr>
          <w:noProof/>
        </w:rPr>
        <w:t>an</w:t>
      </w:r>
      <w:r w:rsidR="44BC2C34">
        <w:rPr>
          <w:noProof/>
        </w:rPr>
        <w:t xml:space="preserve"> agreement or arrangement with a third country requires the examination </w:t>
      </w:r>
      <w:r w:rsidR="516F872E">
        <w:rPr>
          <w:noProof/>
        </w:rPr>
        <w:t>of the</w:t>
      </w:r>
      <w:r w:rsidR="44BC2C34">
        <w:rPr>
          <w:noProof/>
        </w:rPr>
        <w:t xml:space="preserve"> merits of the requests for effective protection made by applicants subject to that agreement or arrangement ensures that </w:t>
      </w:r>
      <w:r>
        <w:rPr>
          <w:noProof/>
        </w:rPr>
        <w:t>the transferred person will receive protection</w:t>
      </w:r>
      <w:r w:rsidR="44BC2C34">
        <w:rPr>
          <w:noProof/>
        </w:rPr>
        <w:t xml:space="preserve"> in the safe third country, if eligible</w:t>
      </w:r>
      <w:r>
        <w:rPr>
          <w:noProof/>
        </w:rPr>
        <w:t xml:space="preserve">. </w:t>
      </w:r>
      <w:r w:rsidR="005451E9">
        <w:rPr>
          <w:noProof/>
        </w:rPr>
        <w:t xml:space="preserve">The proposal is also consistent with Article 24 of the EU Charter, which establishes their </w:t>
      </w:r>
      <w:r w:rsidR="005451E9" w:rsidRPr="00E74A37">
        <w:rPr>
          <w:noProof/>
        </w:rPr>
        <w:t>right to such protection and care as is necessary for their well-being</w:t>
      </w:r>
      <w:r w:rsidR="005451E9">
        <w:rPr>
          <w:noProof/>
        </w:rPr>
        <w:t xml:space="preserve">, and the best interests of the child as a primary consideration in all actions relating to children. </w:t>
      </w:r>
      <w:r>
        <w:rPr>
          <w:noProof/>
        </w:rPr>
        <w:t xml:space="preserve">Furthermore, the proposal guarantees that each individual applicant to whom the STC concept is applied </w:t>
      </w:r>
      <w:r w:rsidR="54455B77">
        <w:rPr>
          <w:noProof/>
        </w:rPr>
        <w:t xml:space="preserve">in a Member State </w:t>
      </w:r>
      <w:r>
        <w:rPr>
          <w:noProof/>
        </w:rPr>
        <w:t xml:space="preserve">will benefit in </w:t>
      </w:r>
      <w:r w:rsidR="55FCF1D2">
        <w:rPr>
          <w:noProof/>
        </w:rPr>
        <w:t>full of</w:t>
      </w:r>
      <w:r>
        <w:rPr>
          <w:noProof/>
        </w:rPr>
        <w:t xml:space="preserve"> all the procedural guarantees available in the APR in the context of inadmissibility procedures and appeals against inadmissibility decisions, which are in turn fully </w:t>
      </w:r>
      <w:r w:rsidR="55FCF1D2">
        <w:rPr>
          <w:noProof/>
        </w:rPr>
        <w:t>aligned</w:t>
      </w:r>
      <w:r>
        <w:rPr>
          <w:noProof/>
        </w:rPr>
        <w:t xml:space="preserve"> with Articles 3 </w:t>
      </w:r>
      <w:r w:rsidR="005B2B3A">
        <w:rPr>
          <w:noProof/>
        </w:rPr>
        <w:t xml:space="preserve">and Article 4 of Protocol 4 </w:t>
      </w:r>
      <w:r>
        <w:rPr>
          <w:noProof/>
        </w:rPr>
        <w:t xml:space="preserve">of the European Convention on Human Rights and the jurisprudence of the ECtHR on those rights. </w:t>
      </w:r>
    </w:p>
    <w:p w:rsidR="00693ED0" w:rsidRPr="008F6E6A" w:rsidRDefault="00693ED0" w:rsidP="000A20A8">
      <w:pPr>
        <w:rPr>
          <w:noProof/>
        </w:rPr>
      </w:pPr>
      <w:r>
        <w:rPr>
          <w:noProof/>
        </w:rPr>
        <w:t xml:space="preserve">The proposal is also consistent with the </w:t>
      </w:r>
      <w:r w:rsidR="0046076B">
        <w:rPr>
          <w:noProof/>
        </w:rPr>
        <w:t xml:space="preserve">obligation to respect the </w:t>
      </w:r>
      <w:r>
        <w:rPr>
          <w:noProof/>
        </w:rPr>
        <w:t xml:space="preserve">principle of </w:t>
      </w:r>
      <w:r w:rsidRPr="5E58FB0C">
        <w:rPr>
          <w:i/>
          <w:iCs/>
          <w:noProof/>
        </w:rPr>
        <w:t>non-refoulement</w:t>
      </w:r>
      <w:r>
        <w:rPr>
          <w:noProof/>
        </w:rPr>
        <w:t xml:space="preserve">, which is safeguarded in the context of the APR, and will continue to be safeguarded </w:t>
      </w:r>
      <w:r w:rsidR="00ED760E">
        <w:rPr>
          <w:noProof/>
        </w:rPr>
        <w:t xml:space="preserve">under the </w:t>
      </w:r>
      <w:r>
        <w:rPr>
          <w:noProof/>
        </w:rPr>
        <w:t xml:space="preserve">new rules on the application of the STC concept. Risks of </w:t>
      </w:r>
      <w:r w:rsidRPr="5E58FB0C">
        <w:rPr>
          <w:i/>
          <w:iCs/>
          <w:noProof/>
        </w:rPr>
        <w:t>refoulement</w:t>
      </w:r>
      <w:r>
        <w:rPr>
          <w:noProof/>
        </w:rPr>
        <w:t xml:space="preserve"> must be taken into account </w:t>
      </w:r>
      <w:r w:rsidR="00EC7677">
        <w:rPr>
          <w:noProof/>
        </w:rPr>
        <w:t xml:space="preserve">in the context of examining </w:t>
      </w:r>
      <w:r w:rsidR="000A20A8">
        <w:rPr>
          <w:noProof/>
        </w:rPr>
        <w:t xml:space="preserve">the </w:t>
      </w:r>
      <w:r w:rsidR="00EC7677">
        <w:rPr>
          <w:noProof/>
        </w:rPr>
        <w:t xml:space="preserve">admissibility of the asylum application based on the STC </w:t>
      </w:r>
      <w:r w:rsidR="00AD1188">
        <w:rPr>
          <w:noProof/>
        </w:rPr>
        <w:t xml:space="preserve">concept, </w:t>
      </w:r>
      <w:r>
        <w:rPr>
          <w:noProof/>
        </w:rPr>
        <w:t xml:space="preserve">when assessing whether a third country is </w:t>
      </w:r>
      <w:r w:rsidR="00A922AB">
        <w:rPr>
          <w:noProof/>
        </w:rPr>
        <w:t>‘</w:t>
      </w:r>
      <w:r>
        <w:rPr>
          <w:noProof/>
        </w:rPr>
        <w:t>safe</w:t>
      </w:r>
      <w:r w:rsidR="00A922AB">
        <w:rPr>
          <w:noProof/>
        </w:rPr>
        <w:t>’</w:t>
      </w:r>
      <w:r>
        <w:rPr>
          <w:noProof/>
        </w:rPr>
        <w:t xml:space="preserve"> in general, and for each individual in particular. The proposal establishes </w:t>
      </w:r>
      <w:r w:rsidR="007C15EA">
        <w:rPr>
          <w:noProof/>
        </w:rPr>
        <w:t xml:space="preserve">that </w:t>
      </w:r>
      <w:r>
        <w:rPr>
          <w:noProof/>
        </w:rPr>
        <w:t xml:space="preserve">the effects of a return decision </w:t>
      </w:r>
      <w:r w:rsidR="007C15EA">
        <w:rPr>
          <w:noProof/>
        </w:rPr>
        <w:t xml:space="preserve">that is linked to the inadmissibility decision </w:t>
      </w:r>
      <w:r>
        <w:rPr>
          <w:noProof/>
        </w:rPr>
        <w:t>based on the application of the STC concept</w:t>
      </w:r>
      <w:r w:rsidR="007C15EA">
        <w:rPr>
          <w:noProof/>
        </w:rPr>
        <w:t>,</w:t>
      </w:r>
      <w:r w:rsidR="00880DB4">
        <w:rPr>
          <w:noProof/>
        </w:rPr>
        <w:t xml:space="preserve"> </w:t>
      </w:r>
      <w:r w:rsidR="00874F76">
        <w:rPr>
          <w:noProof/>
        </w:rPr>
        <w:t xml:space="preserve">issued </w:t>
      </w:r>
      <w:r w:rsidR="00880DB4">
        <w:rPr>
          <w:noProof/>
        </w:rPr>
        <w:t>as per Article 37 of the APR,</w:t>
      </w:r>
      <w:r>
        <w:rPr>
          <w:noProof/>
        </w:rPr>
        <w:t xml:space="preserve"> shall be </w:t>
      </w:r>
      <w:r w:rsidR="005F5C72">
        <w:rPr>
          <w:noProof/>
        </w:rPr>
        <w:t xml:space="preserve">automatically </w:t>
      </w:r>
      <w:r>
        <w:rPr>
          <w:noProof/>
        </w:rPr>
        <w:t>suspended for as long as the applicant</w:t>
      </w:r>
      <w:r w:rsidR="00874F76">
        <w:rPr>
          <w:noProof/>
        </w:rPr>
        <w:t xml:space="preserve"> has a</w:t>
      </w:r>
      <w:r w:rsidR="00C472D4">
        <w:rPr>
          <w:noProof/>
        </w:rPr>
        <w:t xml:space="preserve"> </w:t>
      </w:r>
      <w:r w:rsidR="00874F76">
        <w:rPr>
          <w:noProof/>
        </w:rPr>
        <w:t>pending appeal</w:t>
      </w:r>
      <w:r w:rsidR="005F5C72">
        <w:rPr>
          <w:noProof/>
        </w:rPr>
        <w:t xml:space="preserve"> where s/he</w:t>
      </w:r>
      <w:r w:rsidR="00EF236A">
        <w:rPr>
          <w:noProof/>
        </w:rPr>
        <w:t xml:space="preserve"> </w:t>
      </w:r>
      <w:r w:rsidR="005F5C72">
        <w:rPr>
          <w:noProof/>
        </w:rPr>
        <w:t>has claims</w:t>
      </w:r>
      <w:r w:rsidR="00EF236A">
        <w:rPr>
          <w:noProof/>
        </w:rPr>
        <w:t xml:space="preserve"> related to </w:t>
      </w:r>
      <w:r w:rsidR="00D86895">
        <w:rPr>
          <w:noProof/>
        </w:rPr>
        <w:t xml:space="preserve">a risk of </w:t>
      </w:r>
      <w:r w:rsidR="00D86895" w:rsidRPr="5E58FB0C">
        <w:rPr>
          <w:i/>
          <w:iCs/>
          <w:noProof/>
        </w:rPr>
        <w:t>refoulement</w:t>
      </w:r>
      <w:r>
        <w:rPr>
          <w:noProof/>
        </w:rPr>
        <w:t>.</w:t>
      </w:r>
      <w:r w:rsidR="404CA9D4">
        <w:rPr>
          <w:noProof/>
        </w:rPr>
        <w:t xml:space="preserve"> The proposal for a Return Regulation </w:t>
      </w:r>
      <w:r w:rsidR="00742E5B">
        <w:rPr>
          <w:noProof/>
        </w:rPr>
        <w:t>re</w:t>
      </w:r>
      <w:r w:rsidR="0046076B">
        <w:rPr>
          <w:noProof/>
        </w:rPr>
        <w:t>affirms</w:t>
      </w:r>
      <w:r w:rsidR="00601BCE">
        <w:rPr>
          <w:noProof/>
        </w:rPr>
        <w:t xml:space="preserve"> </w:t>
      </w:r>
      <w:r w:rsidR="404CA9D4">
        <w:rPr>
          <w:noProof/>
        </w:rPr>
        <w:t>this safeguard</w:t>
      </w:r>
      <w:r w:rsidR="00742E5B">
        <w:rPr>
          <w:noProof/>
        </w:rPr>
        <w:t>, which was already available under the current Return Directive</w:t>
      </w:r>
      <w:r w:rsidR="404CA9D4">
        <w:rPr>
          <w:noProof/>
        </w:rPr>
        <w:t>.</w:t>
      </w:r>
      <w:r>
        <w:rPr>
          <w:noProof/>
        </w:rPr>
        <w:t xml:space="preserve"> </w:t>
      </w:r>
    </w:p>
    <w:p w:rsidR="00693ED0" w:rsidRPr="009D43FE" w:rsidRDefault="2EC87945" w:rsidP="5E58FB0C">
      <w:pPr>
        <w:rPr>
          <w:noProof/>
        </w:rPr>
      </w:pPr>
      <w:r>
        <w:rPr>
          <w:noProof/>
        </w:rPr>
        <w:t xml:space="preserve">The proposal </w:t>
      </w:r>
      <w:r w:rsidR="5F6F8572">
        <w:rPr>
          <w:noProof/>
        </w:rPr>
        <w:t>also takes into account</w:t>
      </w:r>
      <w:r>
        <w:rPr>
          <w:noProof/>
        </w:rPr>
        <w:t xml:space="preserve"> the special needs of unaccompanied </w:t>
      </w:r>
      <w:r w:rsidR="55FCF1D2">
        <w:rPr>
          <w:noProof/>
        </w:rPr>
        <w:t>minors</w:t>
      </w:r>
      <w:r w:rsidR="006E19C3">
        <w:rPr>
          <w:noProof/>
        </w:rPr>
        <w:t xml:space="preserve"> </w:t>
      </w:r>
      <w:r w:rsidR="00693ED0">
        <w:rPr>
          <w:noProof/>
        </w:rPr>
        <w:t xml:space="preserve">and </w:t>
      </w:r>
      <w:r w:rsidR="7E45F659">
        <w:rPr>
          <w:noProof/>
        </w:rPr>
        <w:t>aligns</w:t>
      </w:r>
      <w:r>
        <w:rPr>
          <w:noProof/>
        </w:rPr>
        <w:t xml:space="preserve"> with EU policies </w:t>
      </w:r>
      <w:r w:rsidR="74F96DC5">
        <w:rPr>
          <w:noProof/>
        </w:rPr>
        <w:t>aimed at protecting</w:t>
      </w:r>
      <w:r>
        <w:rPr>
          <w:noProof/>
        </w:rPr>
        <w:t xml:space="preserve"> the rights of the children. For </w:t>
      </w:r>
      <w:r w:rsidR="55FCF1D2">
        <w:rPr>
          <w:noProof/>
        </w:rPr>
        <w:t>unaccompanied minors</w:t>
      </w:r>
      <w:r>
        <w:rPr>
          <w:noProof/>
        </w:rPr>
        <w:t xml:space="preserve">, </w:t>
      </w:r>
      <w:r w:rsidR="55FCF1D2">
        <w:rPr>
          <w:noProof/>
        </w:rPr>
        <w:t xml:space="preserve">the application of the STC concept based on the existence of a </w:t>
      </w:r>
      <w:r>
        <w:rPr>
          <w:noProof/>
        </w:rPr>
        <w:t>connection</w:t>
      </w:r>
      <w:r w:rsidR="00CA2A92">
        <w:rPr>
          <w:noProof/>
        </w:rPr>
        <w:t xml:space="preserve"> or</w:t>
      </w:r>
      <w:r w:rsidR="00C47031">
        <w:rPr>
          <w:noProof/>
        </w:rPr>
        <w:t xml:space="preserve"> transit</w:t>
      </w:r>
      <w:r w:rsidR="00CA2A92">
        <w:rPr>
          <w:noProof/>
        </w:rPr>
        <w:t xml:space="preserve"> </w:t>
      </w:r>
      <w:r w:rsidR="0096DEA0">
        <w:rPr>
          <w:noProof/>
        </w:rPr>
        <w:t>complement</w:t>
      </w:r>
      <w:r w:rsidR="00CB6AEB">
        <w:rPr>
          <w:noProof/>
        </w:rPr>
        <w:t>s</w:t>
      </w:r>
      <w:r>
        <w:rPr>
          <w:noProof/>
        </w:rPr>
        <w:t xml:space="preserve"> th</w:t>
      </w:r>
      <w:r w:rsidR="00CB6AEB">
        <w:rPr>
          <w:noProof/>
        </w:rPr>
        <w:t>e safeguard</w:t>
      </w:r>
      <w:r w:rsidR="00CA2A92">
        <w:rPr>
          <w:noProof/>
        </w:rPr>
        <w:t>s</w:t>
      </w:r>
      <w:r>
        <w:rPr>
          <w:noProof/>
        </w:rPr>
        <w:t xml:space="preserve"> already </w:t>
      </w:r>
      <w:r w:rsidR="0096DEA0">
        <w:rPr>
          <w:noProof/>
        </w:rPr>
        <w:t xml:space="preserve">established </w:t>
      </w:r>
      <w:r>
        <w:rPr>
          <w:noProof/>
        </w:rPr>
        <w:t>in the APR.</w:t>
      </w:r>
      <w:r w:rsidR="00C30B0B">
        <w:rPr>
          <w:noProof/>
        </w:rPr>
        <w:t xml:space="preserve"> </w:t>
      </w:r>
      <w:r w:rsidR="00492025" w:rsidRPr="009D43FE">
        <w:rPr>
          <w:noProof/>
        </w:rPr>
        <w:t>W</w:t>
      </w:r>
      <w:r w:rsidR="0096DEA0" w:rsidRPr="00994EA9">
        <w:rPr>
          <w:noProof/>
        </w:rPr>
        <w:t>he</w:t>
      </w:r>
      <w:r w:rsidR="0096DEA0">
        <w:rPr>
          <w:noProof/>
        </w:rPr>
        <w:t xml:space="preserve">n </w:t>
      </w:r>
      <w:r>
        <w:rPr>
          <w:noProof/>
        </w:rPr>
        <w:t xml:space="preserve">Member States apply the STC concept to unaccompanied </w:t>
      </w:r>
      <w:r w:rsidR="55FCF1D2">
        <w:rPr>
          <w:noProof/>
        </w:rPr>
        <w:t>minors</w:t>
      </w:r>
      <w:r>
        <w:rPr>
          <w:noProof/>
        </w:rPr>
        <w:t>, the APR already requires an individual assessment based on the best interests of the child</w:t>
      </w:r>
      <w:r w:rsidR="2DDD0490">
        <w:rPr>
          <w:noProof/>
        </w:rPr>
        <w:t>. In the context of the STC concept this assessment</w:t>
      </w:r>
      <w:r w:rsidR="527CB281">
        <w:rPr>
          <w:noProof/>
        </w:rPr>
        <w:t xml:space="preserve"> </w:t>
      </w:r>
      <w:r>
        <w:rPr>
          <w:noProof/>
        </w:rPr>
        <w:t>include</w:t>
      </w:r>
      <w:r w:rsidR="2DDD0490">
        <w:rPr>
          <w:noProof/>
        </w:rPr>
        <w:t>s</w:t>
      </w:r>
      <w:r>
        <w:rPr>
          <w:noProof/>
        </w:rPr>
        <w:t xml:space="preserve"> verifying whether appropriate arrangements</w:t>
      </w:r>
      <w:r w:rsidR="2DDD0490">
        <w:rPr>
          <w:noProof/>
        </w:rPr>
        <w:t xml:space="preserve"> are in place</w:t>
      </w:r>
      <w:r>
        <w:rPr>
          <w:noProof/>
        </w:rPr>
        <w:t xml:space="preserve"> in the third country </w:t>
      </w:r>
      <w:r w:rsidR="2DDD0490">
        <w:rPr>
          <w:noProof/>
        </w:rPr>
        <w:t xml:space="preserve">to </w:t>
      </w:r>
      <w:r>
        <w:rPr>
          <w:noProof/>
        </w:rPr>
        <w:t xml:space="preserve">protect the unaccompanied </w:t>
      </w:r>
      <w:r w:rsidR="694A7237">
        <w:rPr>
          <w:noProof/>
        </w:rPr>
        <w:t>minor</w:t>
      </w:r>
      <w:r>
        <w:rPr>
          <w:noProof/>
        </w:rPr>
        <w:t xml:space="preserve"> and </w:t>
      </w:r>
      <w:r w:rsidR="694A7237" w:rsidRPr="00994EA9">
        <w:rPr>
          <w:noProof/>
        </w:rPr>
        <w:t xml:space="preserve">ensure that they </w:t>
      </w:r>
      <w:r w:rsidRPr="00994EA9">
        <w:rPr>
          <w:noProof/>
        </w:rPr>
        <w:t xml:space="preserve">will receive </w:t>
      </w:r>
      <w:r w:rsidR="008512C2" w:rsidRPr="009D43FE">
        <w:rPr>
          <w:noProof/>
        </w:rPr>
        <w:t>support</w:t>
      </w:r>
      <w:r w:rsidR="008512C2">
        <w:rPr>
          <w:noProof/>
        </w:rPr>
        <w:t xml:space="preserve"> </w:t>
      </w:r>
      <w:r w:rsidR="694A7237">
        <w:rPr>
          <w:noProof/>
        </w:rPr>
        <w:t xml:space="preserve">tailored </w:t>
      </w:r>
      <w:r w:rsidR="26DBD5FF">
        <w:rPr>
          <w:noProof/>
        </w:rPr>
        <w:t>to their</w:t>
      </w:r>
      <w:r>
        <w:rPr>
          <w:noProof/>
        </w:rPr>
        <w:t xml:space="preserve"> </w:t>
      </w:r>
      <w:r w:rsidR="26DBD5FF">
        <w:rPr>
          <w:noProof/>
        </w:rPr>
        <w:t xml:space="preserve">specific </w:t>
      </w:r>
      <w:r>
        <w:rPr>
          <w:noProof/>
        </w:rPr>
        <w:t>needs</w:t>
      </w:r>
      <w:r w:rsidR="008C6468">
        <w:rPr>
          <w:noProof/>
        </w:rPr>
        <w:t xml:space="preserve"> and immediate access to effective protection</w:t>
      </w:r>
      <w:r>
        <w:rPr>
          <w:noProof/>
        </w:rPr>
        <w:t xml:space="preserve">. </w:t>
      </w:r>
      <w:r w:rsidR="00A15CA6" w:rsidRPr="009D43FE">
        <w:rPr>
          <w:noProof/>
        </w:rPr>
        <w:t xml:space="preserve">Unaccompanied minors are </w:t>
      </w:r>
      <w:r w:rsidR="002A07A0">
        <w:rPr>
          <w:noProof/>
        </w:rPr>
        <w:t xml:space="preserve">in a </w:t>
      </w:r>
      <w:r w:rsidR="00A15CA6" w:rsidRPr="009D43FE">
        <w:rPr>
          <w:noProof/>
        </w:rPr>
        <w:t>particular</w:t>
      </w:r>
      <w:r w:rsidR="002A07A0">
        <w:rPr>
          <w:noProof/>
        </w:rPr>
        <w:t xml:space="preserve"> situation of</w:t>
      </w:r>
      <w:r w:rsidR="00A15CA6" w:rsidRPr="009D43FE">
        <w:rPr>
          <w:noProof/>
        </w:rPr>
        <w:t xml:space="preserve"> vulnerab</w:t>
      </w:r>
      <w:r w:rsidR="002A07A0">
        <w:rPr>
          <w:noProof/>
        </w:rPr>
        <w:t>ility</w:t>
      </w:r>
      <w:r w:rsidR="00A15CA6" w:rsidRPr="009D43FE">
        <w:rPr>
          <w:noProof/>
        </w:rPr>
        <w:t xml:space="preserve"> and need </w:t>
      </w:r>
      <w:r w:rsidR="002A07A0">
        <w:rPr>
          <w:noProof/>
        </w:rPr>
        <w:t xml:space="preserve">specific </w:t>
      </w:r>
      <w:r w:rsidR="00A15CA6" w:rsidRPr="009D43FE">
        <w:rPr>
          <w:noProof/>
        </w:rPr>
        <w:t xml:space="preserve">support, </w:t>
      </w:r>
      <w:r w:rsidR="002A07A0">
        <w:rPr>
          <w:noProof/>
        </w:rPr>
        <w:t xml:space="preserve">which </w:t>
      </w:r>
      <w:r w:rsidR="00A15CA6" w:rsidRPr="009D43FE">
        <w:rPr>
          <w:noProof/>
        </w:rPr>
        <w:t>often c</w:t>
      </w:r>
      <w:r w:rsidR="002A07A0">
        <w:rPr>
          <w:noProof/>
        </w:rPr>
        <w:t xml:space="preserve">an be provided by </w:t>
      </w:r>
      <w:r w:rsidR="00A15CA6" w:rsidRPr="009D43FE">
        <w:rPr>
          <w:noProof/>
        </w:rPr>
        <w:t>private actors in the host country.</w:t>
      </w:r>
    </w:p>
    <w:p w:rsidR="00693ED0" w:rsidRPr="008F6E6A" w:rsidRDefault="00693ED0" w:rsidP="000A20A8">
      <w:pPr>
        <w:rPr>
          <w:noProof/>
          <w:szCs w:val="24"/>
        </w:rPr>
      </w:pPr>
      <w:r w:rsidRPr="008F6E6A">
        <w:rPr>
          <w:noProof/>
        </w:rPr>
        <w:t xml:space="preserve">The right to an effective remedy is adequately ensured when lifting the automatic </w:t>
      </w:r>
      <w:r w:rsidR="003B2DAB" w:rsidRPr="008F6E6A">
        <w:rPr>
          <w:noProof/>
        </w:rPr>
        <w:t>suspensive ef</w:t>
      </w:r>
      <w:r w:rsidR="00A10634" w:rsidRPr="008F6E6A">
        <w:rPr>
          <w:noProof/>
        </w:rPr>
        <w:t>f</w:t>
      </w:r>
      <w:r w:rsidR="003B2DAB" w:rsidRPr="008F6E6A">
        <w:rPr>
          <w:noProof/>
        </w:rPr>
        <w:t xml:space="preserve">ect </w:t>
      </w:r>
      <w:r w:rsidRPr="008F6E6A">
        <w:rPr>
          <w:noProof/>
        </w:rPr>
        <w:t xml:space="preserve">of the </w:t>
      </w:r>
      <w:r w:rsidRPr="000A20A8">
        <w:rPr>
          <w:noProof/>
          <w:szCs w:val="24"/>
        </w:rPr>
        <w:t>appeal</w:t>
      </w:r>
      <w:r w:rsidRPr="008F6E6A">
        <w:rPr>
          <w:noProof/>
        </w:rPr>
        <w:t xml:space="preserve"> against the inadmissibility decision based on the STC concept, as applicants have the right to request in court the right to remain pending appeal. </w:t>
      </w:r>
    </w:p>
    <w:p w:rsidR="00693ED0" w:rsidRPr="008F6E6A" w:rsidRDefault="00693ED0" w:rsidP="00693ED0">
      <w:pPr>
        <w:pStyle w:val="ManualHeading1"/>
        <w:rPr>
          <w:noProof/>
        </w:rPr>
      </w:pPr>
      <w:r w:rsidRPr="008F6E6A">
        <w:rPr>
          <w:noProof/>
        </w:rPr>
        <w:t>4.</w:t>
      </w:r>
      <w:r w:rsidRPr="008F6E6A">
        <w:rPr>
          <w:noProof/>
        </w:rPr>
        <w:tab/>
        <w:t>BUDGETARY IMPLICATIONS</w:t>
      </w:r>
    </w:p>
    <w:p w:rsidR="00693ED0" w:rsidRPr="008F6E6A" w:rsidRDefault="00693ED0" w:rsidP="000A20A8">
      <w:pPr>
        <w:rPr>
          <w:rFonts w:eastAsia="Arial Unicode MS"/>
          <w:noProof/>
        </w:rPr>
      </w:pPr>
      <w:r w:rsidRPr="008F6E6A">
        <w:rPr>
          <w:rFonts w:eastAsia="Arial Unicode MS"/>
          <w:noProof/>
        </w:rPr>
        <w:t>This proposal does not impose any financial or administrative burden on the Union. Therefore, it has no impact on the Union budget. This proposal stems from the Asylum Procedure Regulation (2024/1348)</w:t>
      </w:r>
      <w:r w:rsidRPr="008F6E6A">
        <w:rPr>
          <w:rFonts w:eastAsia="Arial Unicode MS"/>
          <w:noProof/>
          <w:vertAlign w:val="superscript"/>
        </w:rPr>
        <w:t xml:space="preserve"> </w:t>
      </w:r>
      <w:r w:rsidRPr="008F6E6A">
        <w:rPr>
          <w:rFonts w:eastAsia="Arial Unicode MS"/>
          <w:noProof/>
        </w:rPr>
        <w:t xml:space="preserve">(‘APR’) that introduced several changes to the STC rules and is therefore part of </w:t>
      </w:r>
      <w:r w:rsidRPr="008F6E6A">
        <w:rPr>
          <w:noProof/>
        </w:rPr>
        <w:t>the Pact on Migration and Asylum adopted in May 2024</w:t>
      </w:r>
      <w:r w:rsidRPr="008F6E6A">
        <w:rPr>
          <w:rFonts w:eastAsia="Arial Unicode MS"/>
          <w:noProof/>
        </w:rPr>
        <w:t xml:space="preserve"> for which funding is already foreseen</w:t>
      </w:r>
      <w:r w:rsidRPr="008F6E6A">
        <w:rPr>
          <w:noProof/>
        </w:rPr>
        <w:t xml:space="preserve">. </w:t>
      </w:r>
      <w:r w:rsidRPr="00F268E5">
        <w:rPr>
          <w:noProof/>
        </w:rPr>
        <w:t xml:space="preserve">The application of the safe third country (STC) concept is not new for the </w:t>
      </w:r>
      <w:r w:rsidRPr="00F268E5">
        <w:rPr>
          <w:noProof/>
          <w:szCs w:val="24"/>
        </w:rPr>
        <w:t>Member</w:t>
      </w:r>
      <w:r w:rsidRPr="00F268E5">
        <w:rPr>
          <w:noProof/>
        </w:rPr>
        <w:t xml:space="preserve"> States and the support to any investments needed for the application of the STC concept is eligible under </w:t>
      </w:r>
      <w:r w:rsidRPr="00F268E5">
        <w:rPr>
          <w:rFonts w:eastAsia="Arial Unicode MS"/>
          <w:noProof/>
        </w:rPr>
        <w:t>the existing Asylum, Migration and Integration Fund.</w:t>
      </w:r>
      <w:r w:rsidRPr="008F6E6A">
        <w:rPr>
          <w:rFonts w:eastAsia="Arial Unicode MS"/>
          <w:noProof/>
        </w:rPr>
        <w:t xml:space="preserve"> </w:t>
      </w:r>
      <w:r w:rsidR="00D268AB" w:rsidRPr="008F6E6A">
        <w:rPr>
          <w:rFonts w:eastAsia="Arial Unicode MS"/>
          <w:noProof/>
        </w:rPr>
        <w:t>The E</w:t>
      </w:r>
      <w:r w:rsidR="00D268AB">
        <w:rPr>
          <w:rFonts w:eastAsia="Arial Unicode MS"/>
          <w:noProof/>
        </w:rPr>
        <w:t xml:space="preserve">uropean </w:t>
      </w:r>
      <w:r w:rsidR="00D268AB" w:rsidRPr="008F6E6A">
        <w:rPr>
          <w:rFonts w:eastAsia="Arial Unicode MS"/>
          <w:noProof/>
        </w:rPr>
        <w:t>U</w:t>
      </w:r>
      <w:r w:rsidR="00D268AB">
        <w:rPr>
          <w:rFonts w:eastAsia="Arial Unicode MS"/>
          <w:noProof/>
        </w:rPr>
        <w:t>nion</w:t>
      </w:r>
      <w:r w:rsidR="00D268AB" w:rsidRPr="008F6E6A">
        <w:rPr>
          <w:rFonts w:eastAsia="Arial Unicode MS"/>
          <w:noProof/>
        </w:rPr>
        <w:t xml:space="preserve"> </w:t>
      </w:r>
      <w:r w:rsidR="000A549A" w:rsidRPr="008F6E6A">
        <w:rPr>
          <w:rFonts w:eastAsia="Arial Unicode MS"/>
          <w:noProof/>
        </w:rPr>
        <w:t>A</w:t>
      </w:r>
      <w:r w:rsidRPr="008F6E6A">
        <w:rPr>
          <w:rFonts w:eastAsia="Arial Unicode MS"/>
          <w:noProof/>
        </w:rPr>
        <w:t xml:space="preserve">sylum </w:t>
      </w:r>
      <w:r w:rsidR="000A549A" w:rsidRPr="008F6E6A">
        <w:rPr>
          <w:rFonts w:eastAsia="Arial Unicode MS"/>
          <w:noProof/>
        </w:rPr>
        <w:t>A</w:t>
      </w:r>
      <w:r w:rsidRPr="008F6E6A">
        <w:rPr>
          <w:rFonts w:eastAsia="Arial Unicode MS"/>
          <w:noProof/>
        </w:rPr>
        <w:t>gency (EUAA) can support Member States with staff for the same purpose, within their respective mandates.</w:t>
      </w:r>
    </w:p>
    <w:p w:rsidR="00693ED0" w:rsidRPr="008F6E6A" w:rsidRDefault="00693ED0" w:rsidP="00693ED0">
      <w:pPr>
        <w:pStyle w:val="ManualHeading1"/>
        <w:rPr>
          <w:noProof/>
        </w:rPr>
      </w:pPr>
      <w:r w:rsidRPr="008F6E6A">
        <w:rPr>
          <w:noProof/>
        </w:rPr>
        <w:t>5.</w:t>
      </w:r>
      <w:r w:rsidRPr="008F6E6A">
        <w:rPr>
          <w:noProof/>
        </w:rPr>
        <w:tab/>
        <w:t>OTHER ELEMENTS</w:t>
      </w:r>
    </w:p>
    <w:p w:rsidR="00693ED0" w:rsidRPr="008F6E6A" w:rsidRDefault="00693ED0" w:rsidP="00693ED0">
      <w:pPr>
        <w:pStyle w:val="ManualHeading2"/>
        <w:rPr>
          <w:rFonts w:eastAsia="Arial Unicode MS"/>
          <w:noProof/>
          <w:u w:color="000000"/>
          <w:bdr w:val="nil"/>
          <w:lang w:eastAsia="en-GB"/>
        </w:rPr>
      </w:pPr>
      <w:r w:rsidRPr="008F6E6A">
        <w:rPr>
          <w:rFonts w:eastAsia="Arial Unicode MS"/>
          <w:noProof/>
          <w:u w:color="000000"/>
          <w:bdr w:val="nil"/>
          <w:lang w:eastAsia="en-GB"/>
        </w:rPr>
        <w:t>•</w:t>
      </w:r>
      <w:r w:rsidRPr="008F6E6A">
        <w:rPr>
          <w:rFonts w:eastAsia="Arial Unicode MS"/>
          <w:noProof/>
          <w:u w:color="000000"/>
          <w:bdr w:val="nil"/>
          <w:lang w:eastAsia="en-GB"/>
        </w:rPr>
        <w:tab/>
        <w:t>Implementation plans and monitoring, evaluation and reporting arrangements</w:t>
      </w:r>
    </w:p>
    <w:p w:rsidR="006120F6" w:rsidRPr="008F6E6A" w:rsidRDefault="00693ED0" w:rsidP="000A20A8">
      <w:pPr>
        <w:rPr>
          <w:rFonts w:eastAsia="Arial Unicode MS"/>
          <w:noProof/>
        </w:rPr>
      </w:pPr>
      <w:r w:rsidRPr="008F6E6A">
        <w:rPr>
          <w:rFonts w:eastAsia="Arial Unicode MS"/>
          <w:noProof/>
        </w:rPr>
        <w:t xml:space="preserve">Under Article 75 of the Asylum Procedure Regulation, Member States are obliged to develop National Implementation Plans based on the Common Implementation Plan developed by the Commission. The Commission </w:t>
      </w:r>
      <w:r w:rsidR="002E59C7" w:rsidRPr="008F6E6A">
        <w:rPr>
          <w:rFonts w:eastAsia="Arial Unicode MS"/>
          <w:noProof/>
        </w:rPr>
        <w:t>must</w:t>
      </w:r>
      <w:r w:rsidRPr="008F6E6A">
        <w:rPr>
          <w:rFonts w:eastAsia="Arial Unicode MS"/>
          <w:noProof/>
        </w:rPr>
        <w:t xml:space="preserve"> </w:t>
      </w:r>
      <w:r w:rsidR="002E59C7" w:rsidRPr="008F6E6A">
        <w:rPr>
          <w:rFonts w:eastAsia="Arial Unicode MS"/>
          <w:noProof/>
        </w:rPr>
        <w:t xml:space="preserve">closely </w:t>
      </w:r>
      <w:r w:rsidRPr="008F6E6A">
        <w:rPr>
          <w:rFonts w:eastAsia="Arial Unicode MS"/>
          <w:noProof/>
        </w:rPr>
        <w:t>monitor the implementation of the</w:t>
      </w:r>
      <w:r w:rsidR="00355154" w:rsidRPr="008F6E6A">
        <w:rPr>
          <w:rFonts w:eastAsia="Arial Unicode MS"/>
          <w:noProof/>
        </w:rPr>
        <w:t>se</w:t>
      </w:r>
      <w:r w:rsidRPr="008F6E6A">
        <w:rPr>
          <w:rFonts w:eastAsia="Arial Unicode MS"/>
          <w:noProof/>
        </w:rPr>
        <w:t xml:space="preserve"> national plans. Once </w:t>
      </w:r>
      <w:r w:rsidR="00D268AB" w:rsidRPr="008F6E6A">
        <w:rPr>
          <w:rFonts w:eastAsia="Arial Unicode MS"/>
          <w:noProof/>
        </w:rPr>
        <w:t xml:space="preserve">the </w:t>
      </w:r>
      <w:r w:rsidR="00D268AB">
        <w:rPr>
          <w:rFonts w:eastAsia="Arial Unicode MS"/>
          <w:noProof/>
        </w:rPr>
        <w:t>legislative texts under</w:t>
      </w:r>
      <w:r w:rsidR="00D268AB" w:rsidRPr="008F6E6A">
        <w:rPr>
          <w:rFonts w:eastAsia="Arial Unicode MS"/>
          <w:noProof/>
        </w:rPr>
        <w:t xml:space="preserve"> </w:t>
      </w:r>
      <w:r w:rsidRPr="008F6E6A">
        <w:rPr>
          <w:rFonts w:eastAsia="Arial Unicode MS"/>
          <w:noProof/>
        </w:rPr>
        <w:t xml:space="preserve">the Pact </w:t>
      </w:r>
      <w:r w:rsidR="00D268AB">
        <w:rPr>
          <w:rFonts w:eastAsia="Arial Unicode MS"/>
          <w:noProof/>
        </w:rPr>
        <w:t>start applying</w:t>
      </w:r>
      <w:r w:rsidRPr="008F6E6A">
        <w:rPr>
          <w:rFonts w:eastAsia="Arial Unicode MS"/>
          <w:noProof/>
        </w:rPr>
        <w:t xml:space="preserve"> the European Union Asylum Agency will monitor the operational and technical application of the C</w:t>
      </w:r>
      <w:r w:rsidR="00E51040">
        <w:rPr>
          <w:rFonts w:eastAsia="Arial Unicode MS"/>
          <w:noProof/>
        </w:rPr>
        <w:t xml:space="preserve">ommon </w:t>
      </w:r>
      <w:r w:rsidRPr="008F6E6A">
        <w:rPr>
          <w:rFonts w:eastAsia="Arial Unicode MS"/>
          <w:noProof/>
        </w:rPr>
        <w:t>E</w:t>
      </w:r>
      <w:r w:rsidR="00E51040">
        <w:rPr>
          <w:rFonts w:eastAsia="Arial Unicode MS"/>
          <w:noProof/>
        </w:rPr>
        <w:t xml:space="preserve">uropean </w:t>
      </w:r>
      <w:r w:rsidRPr="008F6E6A">
        <w:rPr>
          <w:rFonts w:eastAsia="Arial Unicode MS"/>
          <w:noProof/>
        </w:rPr>
        <w:t>A</w:t>
      </w:r>
      <w:r w:rsidR="00E51040">
        <w:rPr>
          <w:rFonts w:eastAsia="Arial Unicode MS"/>
          <w:noProof/>
        </w:rPr>
        <w:t xml:space="preserve">sylum </w:t>
      </w:r>
      <w:r w:rsidRPr="008F6E6A">
        <w:rPr>
          <w:rFonts w:eastAsia="Arial Unicode MS"/>
          <w:noProof/>
        </w:rPr>
        <w:t>S</w:t>
      </w:r>
      <w:r w:rsidR="00E51040">
        <w:rPr>
          <w:rFonts w:eastAsia="Arial Unicode MS"/>
          <w:noProof/>
        </w:rPr>
        <w:t>ystem</w:t>
      </w:r>
      <w:r w:rsidR="00355154" w:rsidRPr="008F6E6A">
        <w:rPr>
          <w:rFonts w:eastAsia="Arial Unicode MS"/>
          <w:noProof/>
        </w:rPr>
        <w:t>,</w:t>
      </w:r>
      <w:r w:rsidRPr="008F6E6A">
        <w:rPr>
          <w:rFonts w:eastAsia="Arial Unicode MS"/>
          <w:noProof/>
        </w:rPr>
        <w:t xml:space="preserve"> pursuant to Article 14 of the EUAA Regulation 2021/2303. The application of the STC concept will be </w:t>
      </w:r>
      <w:r w:rsidR="006120F6" w:rsidRPr="000A20A8">
        <w:rPr>
          <w:noProof/>
          <w:szCs w:val="24"/>
        </w:rPr>
        <w:t>included</w:t>
      </w:r>
      <w:r w:rsidR="006120F6" w:rsidRPr="008F6E6A">
        <w:rPr>
          <w:rFonts w:eastAsia="Arial Unicode MS"/>
          <w:noProof/>
        </w:rPr>
        <w:t xml:space="preserve"> in </w:t>
      </w:r>
      <w:r w:rsidRPr="008F6E6A">
        <w:rPr>
          <w:rFonts w:eastAsia="Arial Unicode MS"/>
          <w:noProof/>
        </w:rPr>
        <w:t xml:space="preserve">the monitoring </w:t>
      </w:r>
      <w:r w:rsidR="006120F6" w:rsidRPr="008F6E6A">
        <w:rPr>
          <w:rFonts w:eastAsia="Arial Unicode MS"/>
          <w:noProof/>
        </w:rPr>
        <w:t xml:space="preserve">conducted </w:t>
      </w:r>
      <w:r w:rsidRPr="008F6E6A">
        <w:rPr>
          <w:rFonts w:eastAsia="Arial Unicode MS"/>
          <w:noProof/>
        </w:rPr>
        <w:t xml:space="preserve">by </w:t>
      </w:r>
      <w:r w:rsidR="006120F6" w:rsidRPr="008F6E6A">
        <w:rPr>
          <w:rFonts w:eastAsia="Arial Unicode MS"/>
          <w:noProof/>
        </w:rPr>
        <w:t xml:space="preserve">the </w:t>
      </w:r>
      <w:r w:rsidRPr="008F6E6A">
        <w:rPr>
          <w:rFonts w:eastAsia="Arial Unicode MS"/>
          <w:noProof/>
        </w:rPr>
        <w:t xml:space="preserve">EUAA. Furthermore, the annual reports that the Commission must adopt </w:t>
      </w:r>
      <w:r w:rsidR="006120F6" w:rsidRPr="008F6E6A">
        <w:rPr>
          <w:rFonts w:eastAsia="Arial Unicode MS"/>
          <w:noProof/>
        </w:rPr>
        <w:t xml:space="preserve">under </w:t>
      </w:r>
      <w:r w:rsidRPr="008F6E6A">
        <w:rPr>
          <w:rFonts w:eastAsia="Arial Unicode MS"/>
          <w:noProof/>
        </w:rPr>
        <w:t xml:space="preserve">Article 9 of the Asylum </w:t>
      </w:r>
      <w:r w:rsidR="0084256E">
        <w:rPr>
          <w:rFonts w:eastAsia="Arial Unicode MS"/>
          <w:noProof/>
        </w:rPr>
        <w:t xml:space="preserve">and </w:t>
      </w:r>
      <w:r w:rsidRPr="008F6E6A">
        <w:rPr>
          <w:rFonts w:eastAsia="Arial Unicode MS"/>
          <w:noProof/>
        </w:rPr>
        <w:t>Migration Management Regulation must include the results of the</w:t>
      </w:r>
      <w:r w:rsidR="006120F6" w:rsidRPr="008F6E6A">
        <w:rPr>
          <w:rFonts w:eastAsia="Arial Unicode MS"/>
          <w:noProof/>
        </w:rPr>
        <w:t xml:space="preserve"> EUAA’s</w:t>
      </w:r>
      <w:r w:rsidRPr="008F6E6A">
        <w:rPr>
          <w:rFonts w:eastAsia="Arial Unicode MS"/>
          <w:noProof/>
        </w:rPr>
        <w:t xml:space="preserve"> monitoring. </w:t>
      </w:r>
    </w:p>
    <w:p w:rsidR="00693ED0" w:rsidRPr="008F6E6A" w:rsidRDefault="00693ED0" w:rsidP="000A20A8">
      <w:pPr>
        <w:rPr>
          <w:rFonts w:eastAsia="Arial Unicode MS"/>
          <w:noProof/>
        </w:rPr>
      </w:pPr>
      <w:r w:rsidRPr="008F6E6A">
        <w:rPr>
          <w:rFonts w:eastAsia="Arial Unicode MS"/>
          <w:noProof/>
        </w:rPr>
        <w:t xml:space="preserve">These various elements </w:t>
      </w:r>
      <w:r w:rsidR="006120F6" w:rsidRPr="008F6E6A">
        <w:rPr>
          <w:rFonts w:eastAsia="Arial Unicode MS"/>
          <w:noProof/>
        </w:rPr>
        <w:t>must</w:t>
      </w:r>
      <w:r w:rsidRPr="008F6E6A">
        <w:rPr>
          <w:rFonts w:eastAsia="Arial Unicode MS"/>
          <w:noProof/>
        </w:rPr>
        <w:t xml:space="preserve"> be taken into account by the Commission when assessing whether </w:t>
      </w:r>
      <w:r w:rsidRPr="000A20A8">
        <w:rPr>
          <w:noProof/>
          <w:szCs w:val="24"/>
        </w:rPr>
        <w:t>Member</w:t>
      </w:r>
      <w:r w:rsidRPr="008F6E6A">
        <w:rPr>
          <w:rFonts w:eastAsia="Arial Unicode MS"/>
          <w:noProof/>
        </w:rPr>
        <w:t xml:space="preserve"> States are under migratory pressure, at risk </w:t>
      </w:r>
      <w:r w:rsidR="006120F6" w:rsidRPr="008F6E6A">
        <w:rPr>
          <w:rFonts w:eastAsia="Arial Unicode MS"/>
          <w:noProof/>
        </w:rPr>
        <w:t>of such pressure</w:t>
      </w:r>
      <w:r w:rsidRPr="008F6E6A">
        <w:rPr>
          <w:rFonts w:eastAsia="Arial Unicode MS"/>
          <w:noProof/>
        </w:rPr>
        <w:t>, or facing a significant migratory situation</w:t>
      </w:r>
      <w:r w:rsidR="000A4A8B" w:rsidRPr="008F6E6A">
        <w:rPr>
          <w:rFonts w:eastAsia="Arial Unicode MS"/>
          <w:noProof/>
        </w:rPr>
        <w:t xml:space="preserve">. They are also relevant </w:t>
      </w:r>
      <w:r w:rsidRPr="008F6E6A">
        <w:rPr>
          <w:rFonts w:eastAsia="Arial Unicode MS"/>
          <w:noProof/>
        </w:rPr>
        <w:t xml:space="preserve">when determining whether a Member State has systemic shortcomings that could </w:t>
      </w:r>
      <w:r w:rsidR="000A4A8B" w:rsidRPr="008F6E6A">
        <w:rPr>
          <w:rFonts w:eastAsia="Arial Unicode MS"/>
          <w:noProof/>
        </w:rPr>
        <w:t>lead to</w:t>
      </w:r>
      <w:r w:rsidRPr="008F6E6A">
        <w:rPr>
          <w:rFonts w:eastAsia="Arial Unicode MS"/>
          <w:noProof/>
        </w:rPr>
        <w:t xml:space="preserve"> serious negative consequences for the functioning of the Dublin system. </w:t>
      </w:r>
    </w:p>
    <w:p w:rsidR="00693ED0" w:rsidRPr="008F6E6A" w:rsidRDefault="00693ED0" w:rsidP="000A20A8">
      <w:pPr>
        <w:rPr>
          <w:rFonts w:eastAsia="Arial Unicode MS"/>
          <w:noProof/>
        </w:rPr>
      </w:pPr>
      <w:r w:rsidRPr="008F6E6A">
        <w:rPr>
          <w:rFonts w:eastAsia="Arial Unicode MS"/>
          <w:noProof/>
        </w:rPr>
        <w:t>The transparency clause added</w:t>
      </w:r>
      <w:r w:rsidR="0065298A" w:rsidRPr="008F6E6A">
        <w:rPr>
          <w:rFonts w:eastAsia="Arial Unicode MS"/>
          <w:noProof/>
        </w:rPr>
        <w:t xml:space="preserve"> in this proposal,</w:t>
      </w:r>
      <w:r w:rsidRPr="008F6E6A">
        <w:rPr>
          <w:rFonts w:eastAsia="Arial Unicode MS"/>
          <w:noProof/>
        </w:rPr>
        <w:t xml:space="preserve"> </w:t>
      </w:r>
      <w:r w:rsidR="0065298A" w:rsidRPr="008F6E6A">
        <w:rPr>
          <w:rFonts w:eastAsia="Arial Unicode MS"/>
          <w:noProof/>
        </w:rPr>
        <w:t xml:space="preserve">which </w:t>
      </w:r>
      <w:r w:rsidRPr="008F6E6A">
        <w:rPr>
          <w:rFonts w:eastAsia="Arial Unicode MS"/>
          <w:noProof/>
        </w:rPr>
        <w:t>requires Member State</w:t>
      </w:r>
      <w:r w:rsidR="00195921" w:rsidRPr="008F6E6A">
        <w:rPr>
          <w:rFonts w:eastAsia="Arial Unicode MS"/>
          <w:noProof/>
        </w:rPr>
        <w:t>s</w:t>
      </w:r>
      <w:r w:rsidRPr="008F6E6A">
        <w:rPr>
          <w:rFonts w:eastAsia="Arial Unicode MS"/>
          <w:noProof/>
        </w:rPr>
        <w:t xml:space="preserve"> to inform the Commission </w:t>
      </w:r>
      <w:r w:rsidR="00DD553C">
        <w:rPr>
          <w:rFonts w:eastAsia="Arial Unicode MS"/>
          <w:noProof/>
        </w:rPr>
        <w:t xml:space="preserve">and other </w:t>
      </w:r>
      <w:r w:rsidR="00DD553C" w:rsidRPr="00E37EF3">
        <w:rPr>
          <w:rFonts w:eastAsia="Arial Unicode MS"/>
          <w:noProof/>
        </w:rPr>
        <w:t xml:space="preserve">Member States </w:t>
      </w:r>
      <w:r w:rsidR="000A20A8" w:rsidRPr="00E37EF3">
        <w:rPr>
          <w:rFonts w:eastAsia="Aptos"/>
          <w:noProof/>
        </w:rPr>
        <w:t xml:space="preserve">prior to concluding </w:t>
      </w:r>
      <w:r w:rsidR="00AB6A9E" w:rsidRPr="00E37EF3">
        <w:rPr>
          <w:rFonts w:eastAsia="Arial Unicode MS"/>
          <w:noProof/>
        </w:rPr>
        <w:t xml:space="preserve">agreements or </w:t>
      </w:r>
      <w:r w:rsidRPr="00E37EF3">
        <w:rPr>
          <w:rFonts w:eastAsia="Arial Unicode MS"/>
          <w:noProof/>
        </w:rPr>
        <w:t xml:space="preserve">arrangements </w:t>
      </w:r>
      <w:r w:rsidRPr="00E37EF3">
        <w:rPr>
          <w:noProof/>
          <w:szCs w:val="24"/>
        </w:rPr>
        <w:t>with</w:t>
      </w:r>
      <w:r w:rsidRPr="00E37EF3">
        <w:rPr>
          <w:rFonts w:eastAsia="Arial Unicode MS"/>
          <w:noProof/>
        </w:rPr>
        <w:t xml:space="preserve"> third countries</w:t>
      </w:r>
      <w:r w:rsidR="0065298A" w:rsidRPr="00E37EF3">
        <w:rPr>
          <w:rFonts w:eastAsia="Arial Unicode MS"/>
          <w:noProof/>
        </w:rPr>
        <w:t>,</w:t>
      </w:r>
      <w:r w:rsidRPr="00E37EF3">
        <w:rPr>
          <w:rFonts w:eastAsia="Arial Unicode MS"/>
          <w:noProof/>
        </w:rPr>
        <w:t xml:space="preserve"> would also allow</w:t>
      </w:r>
      <w:r w:rsidRPr="008F6E6A">
        <w:rPr>
          <w:rFonts w:eastAsia="Arial Unicode MS"/>
          <w:noProof/>
        </w:rPr>
        <w:t xml:space="preserve"> the Commission to have a</w:t>
      </w:r>
      <w:r w:rsidR="003C509E">
        <w:rPr>
          <w:rFonts w:eastAsia="Arial Unicode MS"/>
          <w:noProof/>
        </w:rPr>
        <w:t xml:space="preserve"> complete overview</w:t>
      </w:r>
      <w:r w:rsidRPr="008F6E6A">
        <w:rPr>
          <w:rFonts w:eastAsia="Arial Unicode MS"/>
          <w:noProof/>
        </w:rPr>
        <w:t xml:space="preserve"> </w:t>
      </w:r>
      <w:r w:rsidR="003C509E">
        <w:rPr>
          <w:rFonts w:eastAsia="Arial Unicode MS"/>
          <w:noProof/>
        </w:rPr>
        <w:t xml:space="preserve">on the implementation of the </w:t>
      </w:r>
      <w:r w:rsidR="00EF0928">
        <w:rPr>
          <w:rFonts w:eastAsia="Arial Unicode MS"/>
          <w:noProof/>
        </w:rPr>
        <w:t>STC</w:t>
      </w:r>
      <w:r w:rsidR="003C509E">
        <w:rPr>
          <w:rFonts w:eastAsia="Arial Unicode MS"/>
          <w:noProof/>
        </w:rPr>
        <w:t xml:space="preserve"> concept</w:t>
      </w:r>
      <w:r w:rsidRPr="008F6E6A">
        <w:rPr>
          <w:rFonts w:eastAsia="Arial Unicode MS"/>
          <w:noProof/>
        </w:rPr>
        <w:t xml:space="preserve">. </w:t>
      </w:r>
    </w:p>
    <w:p w:rsidR="00693ED0" w:rsidRPr="008F6E6A" w:rsidRDefault="00693ED0" w:rsidP="00693ED0">
      <w:pPr>
        <w:pStyle w:val="ManualHeading2"/>
        <w:rPr>
          <w:rFonts w:eastAsia="Arial Unicode MS"/>
          <w:noProof/>
          <w:bdr w:val="nil"/>
          <w:lang w:eastAsia="en-GB"/>
        </w:rPr>
      </w:pPr>
      <w:r w:rsidRPr="008F6E6A">
        <w:rPr>
          <w:rFonts w:eastAsia="Arial Unicode MS"/>
          <w:noProof/>
          <w:bdr w:val="nil"/>
          <w:lang w:eastAsia="en-GB"/>
        </w:rPr>
        <w:t>•</w:t>
      </w:r>
      <w:r w:rsidRPr="008F6E6A">
        <w:rPr>
          <w:rFonts w:eastAsia="Arial Unicode MS"/>
          <w:noProof/>
          <w:u w:color="000000"/>
          <w:bdr w:val="nil"/>
          <w:lang w:eastAsia="en-GB"/>
        </w:rPr>
        <w:tab/>
      </w:r>
      <w:r w:rsidRPr="008F6E6A">
        <w:rPr>
          <w:rFonts w:eastAsia="Arial Unicode MS"/>
          <w:noProof/>
          <w:bdr w:val="nil"/>
          <w:lang w:eastAsia="en-GB"/>
        </w:rPr>
        <w:t>Detailed explanation of the specific provisions of the proposal</w:t>
      </w:r>
    </w:p>
    <w:p w:rsidR="00693ED0" w:rsidRPr="008F6E6A" w:rsidRDefault="00B46BD6" w:rsidP="00693ED0">
      <w:pPr>
        <w:spacing w:before="0" w:after="0"/>
        <w:rPr>
          <w:b/>
          <w:bCs/>
          <w:noProof/>
        </w:rPr>
      </w:pPr>
      <w:r w:rsidRPr="262547B6">
        <w:rPr>
          <w:b/>
          <w:bCs/>
          <w:noProof/>
        </w:rPr>
        <w:t xml:space="preserve">Options for applying the STC concept </w:t>
      </w:r>
    </w:p>
    <w:p w:rsidR="00FD3F99" w:rsidRDefault="00626ECE" w:rsidP="00D76805">
      <w:pPr>
        <w:rPr>
          <w:noProof/>
        </w:rPr>
      </w:pPr>
      <w:r>
        <w:rPr>
          <w:noProof/>
        </w:rPr>
        <w:t>T</w:t>
      </w:r>
      <w:r w:rsidR="004A5C94">
        <w:rPr>
          <w:noProof/>
        </w:rPr>
        <w:t>he</w:t>
      </w:r>
      <w:r w:rsidR="00FD3F99">
        <w:rPr>
          <w:noProof/>
        </w:rPr>
        <w:t xml:space="preserve"> application of the</w:t>
      </w:r>
      <w:r w:rsidR="004A5C94">
        <w:rPr>
          <w:noProof/>
        </w:rPr>
        <w:t xml:space="preserve"> connection criterion</w:t>
      </w:r>
      <w:r w:rsidR="52FAC1CE">
        <w:rPr>
          <w:noProof/>
        </w:rPr>
        <w:t xml:space="preserve">, </w:t>
      </w:r>
      <w:r w:rsidR="0E3FF65D">
        <w:rPr>
          <w:noProof/>
        </w:rPr>
        <w:t xml:space="preserve">which is </w:t>
      </w:r>
      <w:r w:rsidR="52FAC1CE">
        <w:rPr>
          <w:noProof/>
        </w:rPr>
        <w:t>not required under international law,</w:t>
      </w:r>
      <w:r w:rsidR="004A5C94">
        <w:rPr>
          <w:noProof/>
        </w:rPr>
        <w:t xml:space="preserve"> will no </w:t>
      </w:r>
      <w:r w:rsidR="358F896F">
        <w:rPr>
          <w:noProof/>
        </w:rPr>
        <w:t>longer be</w:t>
      </w:r>
      <w:r w:rsidR="004A5C94">
        <w:rPr>
          <w:noProof/>
        </w:rPr>
        <w:t xml:space="preserve"> mandatory under EU law</w:t>
      </w:r>
      <w:r w:rsidR="2C77DE07">
        <w:rPr>
          <w:noProof/>
        </w:rPr>
        <w:t xml:space="preserve">, </w:t>
      </w:r>
      <w:r w:rsidR="09D5E266">
        <w:rPr>
          <w:noProof/>
        </w:rPr>
        <w:t xml:space="preserve">which means that Member States will have the choice whether to apply it or not. </w:t>
      </w:r>
    </w:p>
    <w:p w:rsidR="004A5C94" w:rsidRPr="005752BD" w:rsidRDefault="51DEA5B1" w:rsidP="004A5C94">
      <w:pPr>
        <w:rPr>
          <w:noProof/>
        </w:rPr>
      </w:pPr>
      <w:r>
        <w:rPr>
          <w:noProof/>
        </w:rPr>
        <w:t>W</w:t>
      </w:r>
      <w:r w:rsidR="38407B82">
        <w:rPr>
          <w:noProof/>
        </w:rPr>
        <w:t>hen applying the STC concept</w:t>
      </w:r>
      <w:r w:rsidR="5768602F">
        <w:rPr>
          <w:noProof/>
        </w:rPr>
        <w:t>,</w:t>
      </w:r>
      <w:r w:rsidR="38407B82">
        <w:rPr>
          <w:noProof/>
        </w:rPr>
        <w:t xml:space="preserve"> Member States will have three </w:t>
      </w:r>
      <w:r w:rsidR="5768602F">
        <w:rPr>
          <w:noProof/>
        </w:rPr>
        <w:t>options</w:t>
      </w:r>
      <w:r w:rsidR="38407B82">
        <w:rPr>
          <w:noProof/>
        </w:rPr>
        <w:t>:</w:t>
      </w:r>
    </w:p>
    <w:p w:rsidR="20DC8698" w:rsidRPr="005752BD" w:rsidRDefault="005752BD" w:rsidP="006B0911">
      <w:pPr>
        <w:pStyle w:val="Numberedpara"/>
        <w:rPr>
          <w:noProof/>
        </w:rPr>
      </w:pPr>
      <w:r w:rsidRPr="005752BD">
        <w:rPr>
          <w:noProof/>
        </w:rPr>
        <w:t>t</w:t>
      </w:r>
      <w:r w:rsidR="29C15FFD" w:rsidRPr="005752BD">
        <w:rPr>
          <w:noProof/>
        </w:rPr>
        <w:t xml:space="preserve">o apply </w:t>
      </w:r>
      <w:r w:rsidR="002A5D2E" w:rsidRPr="005752BD">
        <w:rPr>
          <w:noProof/>
        </w:rPr>
        <w:t>the STC where there is a</w:t>
      </w:r>
      <w:r w:rsidR="29C15FFD" w:rsidRPr="005752BD">
        <w:rPr>
          <w:noProof/>
        </w:rPr>
        <w:t xml:space="preserve"> connection</w:t>
      </w:r>
      <w:r w:rsidR="00A81463" w:rsidRPr="005752BD">
        <w:rPr>
          <w:noProof/>
        </w:rPr>
        <w:t>,</w:t>
      </w:r>
      <w:r w:rsidR="0EB62FAF" w:rsidRPr="005752BD">
        <w:rPr>
          <w:noProof/>
        </w:rPr>
        <w:t xml:space="preserve"> as defined in national law</w:t>
      </w:r>
      <w:r w:rsidR="003847B9" w:rsidRPr="005752BD">
        <w:rPr>
          <w:noProof/>
        </w:rPr>
        <w:t>, in line</w:t>
      </w:r>
      <w:r w:rsidR="0EB62FAF" w:rsidRPr="005752BD">
        <w:rPr>
          <w:noProof/>
        </w:rPr>
        <w:t xml:space="preserve"> </w:t>
      </w:r>
      <w:r w:rsidR="003847B9" w:rsidRPr="005752BD">
        <w:rPr>
          <w:noProof/>
        </w:rPr>
        <w:t>with</w:t>
      </w:r>
      <w:r w:rsidR="00F55664" w:rsidRPr="005752BD">
        <w:rPr>
          <w:noProof/>
        </w:rPr>
        <w:t xml:space="preserve"> the</w:t>
      </w:r>
      <w:r w:rsidR="0EB62FAF" w:rsidRPr="005752BD">
        <w:rPr>
          <w:noProof/>
        </w:rPr>
        <w:t xml:space="preserve"> parameters </w:t>
      </w:r>
      <w:r w:rsidR="00F55664" w:rsidRPr="005752BD">
        <w:rPr>
          <w:noProof/>
        </w:rPr>
        <w:t>set</w:t>
      </w:r>
      <w:r w:rsidR="0EB62FAF" w:rsidRPr="005752BD">
        <w:rPr>
          <w:noProof/>
        </w:rPr>
        <w:t xml:space="preserve"> by </w:t>
      </w:r>
      <w:r w:rsidR="0045403D" w:rsidRPr="005752BD">
        <w:rPr>
          <w:noProof/>
        </w:rPr>
        <w:t>CJEU</w:t>
      </w:r>
      <w:r w:rsidR="0EB62FAF" w:rsidRPr="005752BD">
        <w:rPr>
          <w:noProof/>
        </w:rPr>
        <w:t xml:space="preserve"> case law and international standards</w:t>
      </w:r>
      <w:r w:rsidR="00F55664" w:rsidRPr="005752BD">
        <w:rPr>
          <w:noProof/>
        </w:rPr>
        <w:t>;</w:t>
      </w:r>
      <w:r w:rsidR="0EB62FAF" w:rsidRPr="005752BD">
        <w:rPr>
          <w:i/>
          <w:iCs/>
          <w:noProof/>
        </w:rPr>
        <w:t xml:space="preserve"> or</w:t>
      </w:r>
    </w:p>
    <w:p w:rsidR="004A5C94" w:rsidRPr="00922848" w:rsidRDefault="005752BD" w:rsidP="006B0911">
      <w:pPr>
        <w:pStyle w:val="Numberedpara"/>
        <w:rPr>
          <w:i/>
          <w:noProof/>
        </w:rPr>
      </w:pPr>
      <w:r>
        <w:rPr>
          <w:noProof/>
        </w:rPr>
        <w:t>t</w:t>
      </w:r>
      <w:r w:rsidR="67BF9368">
        <w:rPr>
          <w:noProof/>
        </w:rPr>
        <w:t xml:space="preserve">o apply </w:t>
      </w:r>
      <w:r w:rsidR="00D1100E">
        <w:rPr>
          <w:noProof/>
        </w:rPr>
        <w:t>the STC concept</w:t>
      </w:r>
      <w:r w:rsidR="67BF9368">
        <w:rPr>
          <w:noProof/>
        </w:rPr>
        <w:t xml:space="preserve"> by considering transit as </w:t>
      </w:r>
      <w:r w:rsidR="00A10634">
        <w:rPr>
          <w:noProof/>
        </w:rPr>
        <w:t xml:space="preserve">a </w:t>
      </w:r>
      <w:r w:rsidR="67BF9368">
        <w:rPr>
          <w:noProof/>
        </w:rPr>
        <w:t xml:space="preserve">sufficient </w:t>
      </w:r>
      <w:r w:rsidR="00A2295B">
        <w:rPr>
          <w:noProof/>
        </w:rPr>
        <w:t>criterion</w:t>
      </w:r>
      <w:r w:rsidR="00F55664" w:rsidRPr="00922848">
        <w:rPr>
          <w:noProof/>
        </w:rPr>
        <w:t>;</w:t>
      </w:r>
      <w:r w:rsidR="6D2659C5" w:rsidRPr="00922848">
        <w:rPr>
          <w:noProof/>
        </w:rPr>
        <w:t xml:space="preserve"> </w:t>
      </w:r>
      <w:r w:rsidR="6D2659C5" w:rsidRPr="1A819119">
        <w:rPr>
          <w:i/>
          <w:iCs/>
          <w:noProof/>
        </w:rPr>
        <w:t>or</w:t>
      </w:r>
    </w:p>
    <w:p w:rsidR="00D014D5" w:rsidRPr="005752BD" w:rsidRDefault="005752BD" w:rsidP="000A549A">
      <w:pPr>
        <w:pStyle w:val="Numberedpara"/>
        <w:rPr>
          <w:noProof/>
        </w:rPr>
      </w:pPr>
      <w:r w:rsidRPr="005752BD">
        <w:rPr>
          <w:noProof/>
        </w:rPr>
        <w:t>t</w:t>
      </w:r>
      <w:r w:rsidR="00AC4B92" w:rsidRPr="005752BD">
        <w:rPr>
          <w:noProof/>
        </w:rPr>
        <w:t xml:space="preserve">o apply the STC concept on the basis of </w:t>
      </w:r>
      <w:r w:rsidR="000A549A" w:rsidRPr="005752BD">
        <w:rPr>
          <w:noProof/>
        </w:rPr>
        <w:t>a</w:t>
      </w:r>
      <w:r w:rsidR="00852B1B">
        <w:rPr>
          <w:noProof/>
        </w:rPr>
        <w:t>n</w:t>
      </w:r>
      <w:r w:rsidR="000A549A" w:rsidRPr="005752BD">
        <w:rPr>
          <w:noProof/>
        </w:rPr>
        <w:t xml:space="preserve"> </w:t>
      </w:r>
      <w:r w:rsidR="00AC4B92" w:rsidRPr="005752BD">
        <w:rPr>
          <w:noProof/>
        </w:rPr>
        <w:t xml:space="preserve">agreement or arrangement with </w:t>
      </w:r>
      <w:r w:rsidR="000A549A" w:rsidRPr="005752BD">
        <w:rPr>
          <w:noProof/>
        </w:rPr>
        <w:t>a</w:t>
      </w:r>
      <w:r w:rsidR="00AC4B92" w:rsidRPr="005752BD">
        <w:rPr>
          <w:noProof/>
        </w:rPr>
        <w:t xml:space="preserve"> third country </w:t>
      </w:r>
      <w:r w:rsidR="00575111">
        <w:rPr>
          <w:noProof/>
        </w:rPr>
        <w:t xml:space="preserve">requiring the examination </w:t>
      </w:r>
      <w:r w:rsidR="00F33299">
        <w:rPr>
          <w:noProof/>
        </w:rPr>
        <w:t>of the</w:t>
      </w:r>
      <w:r w:rsidR="00575111">
        <w:rPr>
          <w:noProof/>
        </w:rPr>
        <w:t xml:space="preserve"> merits of the requests for effective protection made by applicants subject to that agreement or arrangement. </w:t>
      </w:r>
      <w:r w:rsidR="00441DA1">
        <w:rPr>
          <w:noProof/>
        </w:rPr>
        <w:t>This w</w:t>
      </w:r>
      <w:r w:rsidR="00E37EF3">
        <w:rPr>
          <w:noProof/>
        </w:rPr>
        <w:t>ill</w:t>
      </w:r>
      <w:r w:rsidR="00441DA1">
        <w:rPr>
          <w:noProof/>
        </w:rPr>
        <w:t xml:space="preserve"> not apply to unaccompanied minors</w:t>
      </w:r>
      <w:r w:rsidR="00441DA1" w:rsidRPr="007E2104">
        <w:rPr>
          <w:noProof/>
        </w:rPr>
        <w:t>.</w:t>
      </w:r>
    </w:p>
    <w:p w:rsidR="0095279A" w:rsidRPr="003253F7" w:rsidRDefault="7E1E006A" w:rsidP="005752BD">
      <w:pPr>
        <w:rPr>
          <w:noProof/>
        </w:rPr>
      </w:pPr>
      <w:bookmarkStart w:id="5" w:name="_Hlk196493190"/>
      <w:r>
        <w:rPr>
          <w:noProof/>
        </w:rPr>
        <w:t xml:space="preserve">The </w:t>
      </w:r>
      <w:r w:rsidR="1E6EDAC5">
        <w:rPr>
          <w:noProof/>
        </w:rPr>
        <w:t xml:space="preserve">requirement that, in the absence of connection or transit, the STC concept should only be applied on the basis of </w:t>
      </w:r>
      <w:r w:rsidR="1EE07989">
        <w:rPr>
          <w:noProof/>
        </w:rPr>
        <w:t xml:space="preserve">an </w:t>
      </w:r>
      <w:r w:rsidR="316AFA7E">
        <w:rPr>
          <w:noProof/>
        </w:rPr>
        <w:t xml:space="preserve">agreement or arrangement with </w:t>
      </w:r>
      <w:r w:rsidR="0D604492">
        <w:rPr>
          <w:noProof/>
        </w:rPr>
        <w:t>a</w:t>
      </w:r>
      <w:r w:rsidR="316AFA7E">
        <w:rPr>
          <w:noProof/>
        </w:rPr>
        <w:t xml:space="preserve"> third</w:t>
      </w:r>
      <w:r w:rsidR="6B98D94D">
        <w:rPr>
          <w:noProof/>
        </w:rPr>
        <w:t xml:space="preserve"> country</w:t>
      </w:r>
      <w:r w:rsidR="316AFA7E">
        <w:rPr>
          <w:noProof/>
        </w:rPr>
        <w:t xml:space="preserve"> </w:t>
      </w:r>
      <w:r w:rsidR="398AE775">
        <w:rPr>
          <w:noProof/>
        </w:rPr>
        <w:t>means</w:t>
      </w:r>
      <w:r w:rsidR="72BDDBC0">
        <w:rPr>
          <w:noProof/>
        </w:rPr>
        <w:t xml:space="preserve"> </w:t>
      </w:r>
      <w:r w:rsidR="704028AD">
        <w:rPr>
          <w:noProof/>
        </w:rPr>
        <w:t xml:space="preserve">that </w:t>
      </w:r>
      <w:r w:rsidR="3DDDC4C9">
        <w:rPr>
          <w:noProof/>
        </w:rPr>
        <w:t xml:space="preserve">applicants </w:t>
      </w:r>
      <w:r w:rsidR="72BDDBC0">
        <w:rPr>
          <w:noProof/>
        </w:rPr>
        <w:t xml:space="preserve">would be </w:t>
      </w:r>
      <w:r w:rsidR="704028AD">
        <w:rPr>
          <w:noProof/>
        </w:rPr>
        <w:t>able</w:t>
      </w:r>
      <w:r w:rsidR="5EE1CC7C">
        <w:rPr>
          <w:noProof/>
        </w:rPr>
        <w:t xml:space="preserve"> to </w:t>
      </w:r>
      <w:r w:rsidR="7858BA96">
        <w:rPr>
          <w:noProof/>
        </w:rPr>
        <w:t xml:space="preserve">have access to a procedure in </w:t>
      </w:r>
      <w:r w:rsidR="398AE775">
        <w:rPr>
          <w:noProof/>
        </w:rPr>
        <w:t xml:space="preserve">safe </w:t>
      </w:r>
      <w:r w:rsidR="7858BA96">
        <w:rPr>
          <w:noProof/>
        </w:rPr>
        <w:t xml:space="preserve">third countries and receive </w:t>
      </w:r>
      <w:r w:rsidR="5EE1CC7C">
        <w:rPr>
          <w:noProof/>
        </w:rPr>
        <w:t xml:space="preserve">effective protection if </w:t>
      </w:r>
      <w:r w:rsidR="398AE775">
        <w:rPr>
          <w:noProof/>
        </w:rPr>
        <w:t>justified</w:t>
      </w:r>
      <w:r w:rsidR="057E06FF">
        <w:rPr>
          <w:noProof/>
        </w:rPr>
        <w:t>, without prejudice</w:t>
      </w:r>
      <w:r w:rsidR="183F3322">
        <w:rPr>
          <w:noProof/>
        </w:rPr>
        <w:t xml:space="preserve"> to</w:t>
      </w:r>
      <w:r w:rsidR="057E06FF">
        <w:rPr>
          <w:noProof/>
        </w:rPr>
        <w:t xml:space="preserve"> </w:t>
      </w:r>
      <w:r w:rsidR="2299DBBD">
        <w:rPr>
          <w:noProof/>
        </w:rPr>
        <w:t>the</w:t>
      </w:r>
      <w:r w:rsidR="057E06FF">
        <w:rPr>
          <w:noProof/>
        </w:rPr>
        <w:t xml:space="preserve"> third country decid</w:t>
      </w:r>
      <w:r w:rsidR="2299DBBD">
        <w:rPr>
          <w:noProof/>
        </w:rPr>
        <w:t>ing</w:t>
      </w:r>
      <w:r w:rsidR="057E06FF">
        <w:rPr>
          <w:noProof/>
        </w:rPr>
        <w:t xml:space="preserve"> whether the person satisfies the conditions for obtaining </w:t>
      </w:r>
      <w:r w:rsidR="66039826">
        <w:rPr>
          <w:noProof/>
        </w:rPr>
        <w:t xml:space="preserve">such </w:t>
      </w:r>
      <w:r w:rsidR="057E06FF">
        <w:rPr>
          <w:noProof/>
        </w:rPr>
        <w:t>protection</w:t>
      </w:r>
      <w:r w:rsidR="06044632">
        <w:rPr>
          <w:noProof/>
        </w:rPr>
        <w:t xml:space="preserve">. </w:t>
      </w:r>
      <w:bookmarkEnd w:id="5"/>
    </w:p>
    <w:p w:rsidR="005752BD" w:rsidRPr="00637B63" w:rsidRDefault="70894AE1" w:rsidP="1E7FF2FC">
      <w:pPr>
        <w:rPr>
          <w:noProof/>
          <w:lang w:val="en-IE"/>
        </w:rPr>
      </w:pPr>
      <w:r>
        <w:rPr>
          <w:noProof/>
        </w:rPr>
        <w:t xml:space="preserve">The existence of a connection or of </w:t>
      </w:r>
      <w:r w:rsidR="147EAF20">
        <w:rPr>
          <w:noProof/>
        </w:rPr>
        <w:t xml:space="preserve">previous </w:t>
      </w:r>
      <w:r>
        <w:rPr>
          <w:noProof/>
        </w:rPr>
        <w:t>transit</w:t>
      </w:r>
      <w:r w:rsidR="008F6E19">
        <w:rPr>
          <w:noProof/>
        </w:rPr>
        <w:t>,</w:t>
      </w:r>
      <w:r w:rsidR="00474DB3">
        <w:rPr>
          <w:noProof/>
        </w:rPr>
        <w:t xml:space="preserve"> </w:t>
      </w:r>
      <w:r w:rsidR="008F6E19">
        <w:rPr>
          <w:noProof/>
        </w:rPr>
        <w:t xml:space="preserve">establishing </w:t>
      </w:r>
      <w:r w:rsidR="00474DB3">
        <w:rPr>
          <w:noProof/>
        </w:rPr>
        <w:t>a link with the safe third country,</w:t>
      </w:r>
      <w:r w:rsidRPr="00EC385A">
        <w:rPr>
          <w:noProof/>
        </w:rPr>
        <w:t xml:space="preserve"> will be mandatory </w:t>
      </w:r>
      <w:r w:rsidR="01389E89" w:rsidRPr="00EC385A">
        <w:rPr>
          <w:noProof/>
        </w:rPr>
        <w:t>when the STC is applied</w:t>
      </w:r>
      <w:r w:rsidR="3E3566AA" w:rsidRPr="00EC385A">
        <w:rPr>
          <w:noProof/>
        </w:rPr>
        <w:t xml:space="preserve"> </w:t>
      </w:r>
      <w:r w:rsidR="5B27008C" w:rsidRPr="00EC385A">
        <w:rPr>
          <w:noProof/>
        </w:rPr>
        <w:t>to</w:t>
      </w:r>
      <w:r w:rsidRPr="00EC385A">
        <w:rPr>
          <w:noProof/>
        </w:rPr>
        <w:t xml:space="preserve"> unaccompanied minors. </w:t>
      </w:r>
      <w:r w:rsidR="43DBBC6D" w:rsidRPr="00EC385A">
        <w:rPr>
          <w:noProof/>
        </w:rPr>
        <w:t xml:space="preserve">This requirement reduces their exposure to inadequate protection and social isolation. </w:t>
      </w:r>
      <w:r w:rsidR="13A06983" w:rsidRPr="00EC385A">
        <w:rPr>
          <w:noProof/>
        </w:rPr>
        <w:t xml:space="preserve">Unaccompanied minors are </w:t>
      </w:r>
      <w:r w:rsidR="43DBBC6D" w:rsidRPr="00EC385A">
        <w:rPr>
          <w:noProof/>
        </w:rPr>
        <w:t>in a situatio</w:t>
      </w:r>
      <w:r w:rsidR="43DBBC6D">
        <w:rPr>
          <w:noProof/>
        </w:rPr>
        <w:t xml:space="preserve">n of </w:t>
      </w:r>
      <w:r w:rsidR="13A06983">
        <w:rPr>
          <w:noProof/>
        </w:rPr>
        <w:t>vulnerab</w:t>
      </w:r>
      <w:r w:rsidR="43DBBC6D">
        <w:rPr>
          <w:noProof/>
        </w:rPr>
        <w:t>ility</w:t>
      </w:r>
      <w:r w:rsidR="13A06983">
        <w:rPr>
          <w:noProof/>
        </w:rPr>
        <w:t xml:space="preserve"> and need additional support</w:t>
      </w:r>
      <w:r w:rsidR="58AB0633">
        <w:rPr>
          <w:noProof/>
        </w:rPr>
        <w:t xml:space="preserve"> when the STC concept is applied to them</w:t>
      </w:r>
      <w:r w:rsidR="03D2205E">
        <w:rPr>
          <w:noProof/>
        </w:rPr>
        <w:t xml:space="preserve">. </w:t>
      </w:r>
      <w:r w:rsidR="5FD58940">
        <w:rPr>
          <w:noProof/>
        </w:rPr>
        <w:t xml:space="preserve">This is acknowledged by the provisions of Article 59(6) of the APR, requiring that a </w:t>
      </w:r>
      <w:r w:rsidR="5FD58940" w:rsidRPr="1E7FF2FC">
        <w:rPr>
          <w:noProof/>
          <w:lang w:val="en-IE"/>
        </w:rPr>
        <w:t xml:space="preserve">third country may only be considered to be safe for an unaccompanied minor where it is not contrary to the best interests of the child and where there are assurances that the third countries’ authorities will take charge of the unaccompanied minor and </w:t>
      </w:r>
      <w:r w:rsidR="5FD58940">
        <w:rPr>
          <w:noProof/>
        </w:rPr>
        <w:t>provide</w:t>
      </w:r>
      <w:r w:rsidR="5FD58940" w:rsidRPr="1E7FF2FC">
        <w:rPr>
          <w:noProof/>
          <w:lang w:val="en-IE"/>
        </w:rPr>
        <w:t xml:space="preserve"> immediate </w:t>
      </w:r>
      <w:r w:rsidR="00AE2BA4" w:rsidRPr="00637B63">
        <w:rPr>
          <w:noProof/>
          <w:lang w:val="en-IE"/>
        </w:rPr>
        <w:t>support and</w:t>
      </w:r>
      <w:r w:rsidR="00AE2BA4" w:rsidRPr="1E7FF2FC">
        <w:rPr>
          <w:noProof/>
          <w:lang w:val="en-IE"/>
        </w:rPr>
        <w:t xml:space="preserve"> </w:t>
      </w:r>
      <w:r w:rsidR="5FD58940" w:rsidRPr="1E7FF2FC">
        <w:rPr>
          <w:noProof/>
          <w:lang w:val="en-IE"/>
        </w:rPr>
        <w:t>access to effective protection.</w:t>
      </w:r>
    </w:p>
    <w:p w:rsidR="00693ED0" w:rsidRPr="003253F7" w:rsidRDefault="00222AF6" w:rsidP="262547B6">
      <w:pPr>
        <w:rPr>
          <w:noProof/>
        </w:rPr>
      </w:pPr>
      <w:r w:rsidRPr="003253F7">
        <w:rPr>
          <w:noProof/>
        </w:rPr>
        <w:t>The Pact on Migration and Asylum</w:t>
      </w:r>
      <w:r w:rsidR="00924129" w:rsidRPr="003253F7">
        <w:rPr>
          <w:noProof/>
        </w:rPr>
        <w:t xml:space="preserve"> establishes</w:t>
      </w:r>
      <w:r w:rsidR="00DA506D" w:rsidRPr="003253F7">
        <w:rPr>
          <w:noProof/>
        </w:rPr>
        <w:t xml:space="preserve"> a </w:t>
      </w:r>
      <w:r w:rsidR="00E3493B" w:rsidRPr="003253F7">
        <w:rPr>
          <w:noProof/>
        </w:rPr>
        <w:t xml:space="preserve">more </w:t>
      </w:r>
      <w:r w:rsidR="00DA506D" w:rsidRPr="003253F7">
        <w:rPr>
          <w:noProof/>
        </w:rPr>
        <w:t>integrated</w:t>
      </w:r>
      <w:r w:rsidR="00DA506D" w:rsidRPr="00751D36">
        <w:rPr>
          <w:noProof/>
        </w:rPr>
        <w:t xml:space="preserve"> common European system</w:t>
      </w:r>
      <w:r w:rsidRPr="00751D36">
        <w:rPr>
          <w:noProof/>
        </w:rPr>
        <w:t xml:space="preserve">, in which decisions taken by one Member State </w:t>
      </w:r>
      <w:r w:rsidR="00924129" w:rsidRPr="00751D36">
        <w:rPr>
          <w:noProof/>
        </w:rPr>
        <w:t>impact o</w:t>
      </w:r>
      <w:r w:rsidR="00894B43" w:rsidRPr="00751D36">
        <w:rPr>
          <w:noProof/>
        </w:rPr>
        <w:t>n other Member State</w:t>
      </w:r>
      <w:r w:rsidR="00924129" w:rsidRPr="00751D36">
        <w:rPr>
          <w:noProof/>
        </w:rPr>
        <w:t>s</w:t>
      </w:r>
      <w:r w:rsidRPr="00751D36">
        <w:rPr>
          <w:noProof/>
        </w:rPr>
        <w:t>.</w:t>
      </w:r>
      <w:r w:rsidR="006C1052" w:rsidRPr="00751D36">
        <w:rPr>
          <w:noProof/>
        </w:rPr>
        <w:t xml:space="preserve"> The </w:t>
      </w:r>
      <w:r w:rsidR="003256BA" w:rsidRPr="00751D36">
        <w:rPr>
          <w:noProof/>
        </w:rPr>
        <w:t xml:space="preserve">asylum and migration </w:t>
      </w:r>
      <w:r w:rsidR="006C1052" w:rsidRPr="00751D36">
        <w:rPr>
          <w:noProof/>
        </w:rPr>
        <w:t xml:space="preserve">system </w:t>
      </w:r>
      <w:r w:rsidR="00190A34" w:rsidRPr="00751D36">
        <w:rPr>
          <w:noProof/>
        </w:rPr>
        <w:t xml:space="preserve">of the Pact </w:t>
      </w:r>
      <w:r w:rsidR="006C1052" w:rsidRPr="00751D36">
        <w:rPr>
          <w:noProof/>
        </w:rPr>
        <w:t>is based on trust</w:t>
      </w:r>
      <w:r w:rsidR="00A444AF" w:rsidRPr="00751D36">
        <w:rPr>
          <w:noProof/>
        </w:rPr>
        <w:t xml:space="preserve"> and i</w:t>
      </w:r>
      <w:r w:rsidR="00190A34" w:rsidRPr="00751D36">
        <w:rPr>
          <w:noProof/>
        </w:rPr>
        <w:t>ncludes various instruments to</w:t>
      </w:r>
      <w:r w:rsidR="0049438B" w:rsidRPr="00751D36">
        <w:rPr>
          <w:noProof/>
        </w:rPr>
        <w:t xml:space="preserve"> ensure transparency</w:t>
      </w:r>
      <w:r w:rsidR="00190A34" w:rsidRPr="00751D36">
        <w:rPr>
          <w:noProof/>
        </w:rPr>
        <w:t xml:space="preserve"> (e.g.</w:t>
      </w:r>
      <w:r w:rsidR="00087135">
        <w:rPr>
          <w:noProof/>
        </w:rPr>
        <w:t>,</w:t>
      </w:r>
      <w:r w:rsidR="00190A34" w:rsidRPr="00751D36">
        <w:rPr>
          <w:noProof/>
        </w:rPr>
        <w:t xml:space="preserve"> monitoring of screening and border procedure, EUAA monitoring mechanism) that should also apply to the </w:t>
      </w:r>
      <w:r w:rsidR="00924129" w:rsidRPr="00751D36">
        <w:rPr>
          <w:noProof/>
        </w:rPr>
        <w:t>STC concept</w:t>
      </w:r>
      <w:r w:rsidR="00A2302D" w:rsidRPr="00751D36">
        <w:rPr>
          <w:noProof/>
        </w:rPr>
        <w:t>.</w:t>
      </w:r>
      <w:r w:rsidR="007E749A" w:rsidRPr="00751D36">
        <w:rPr>
          <w:noProof/>
        </w:rPr>
        <w:t xml:space="preserve"> </w:t>
      </w:r>
      <w:r w:rsidR="00A2302D" w:rsidRPr="00751D36">
        <w:rPr>
          <w:noProof/>
        </w:rPr>
        <w:t xml:space="preserve">For this reason, </w:t>
      </w:r>
      <w:r w:rsidR="004C3CE3" w:rsidRPr="00751D36">
        <w:rPr>
          <w:noProof/>
        </w:rPr>
        <w:t>the</w:t>
      </w:r>
      <w:r w:rsidR="00AC4B92" w:rsidRPr="00751D36">
        <w:rPr>
          <w:noProof/>
        </w:rPr>
        <w:t xml:space="preserve"> proposal </w:t>
      </w:r>
      <w:r w:rsidR="00666B5F" w:rsidRPr="00751D36">
        <w:rPr>
          <w:noProof/>
        </w:rPr>
        <w:t>introduc</w:t>
      </w:r>
      <w:r w:rsidR="00AC4B92" w:rsidRPr="00751D36">
        <w:rPr>
          <w:noProof/>
        </w:rPr>
        <w:t xml:space="preserve">es </w:t>
      </w:r>
      <w:r w:rsidR="00693ED0" w:rsidRPr="00751D36">
        <w:rPr>
          <w:noProof/>
        </w:rPr>
        <w:t>a transparency clause</w:t>
      </w:r>
      <w:r w:rsidR="00B222D5" w:rsidRPr="00751D36">
        <w:rPr>
          <w:noProof/>
        </w:rPr>
        <w:t xml:space="preserve"> requiring </w:t>
      </w:r>
      <w:r w:rsidR="00693ED0" w:rsidRPr="00751D36">
        <w:rPr>
          <w:noProof/>
        </w:rPr>
        <w:t xml:space="preserve">Member States to </w:t>
      </w:r>
      <w:r w:rsidR="00B222D5" w:rsidRPr="00751D36">
        <w:rPr>
          <w:noProof/>
        </w:rPr>
        <w:t xml:space="preserve">inform </w:t>
      </w:r>
      <w:r w:rsidR="00693ED0" w:rsidRPr="00751D36">
        <w:rPr>
          <w:noProof/>
        </w:rPr>
        <w:t xml:space="preserve">the Commission </w:t>
      </w:r>
      <w:r w:rsidR="00B222D5" w:rsidRPr="00751D36">
        <w:rPr>
          <w:noProof/>
        </w:rPr>
        <w:t xml:space="preserve">and other </w:t>
      </w:r>
      <w:r w:rsidR="00B222D5" w:rsidRPr="003253F7">
        <w:rPr>
          <w:noProof/>
        </w:rPr>
        <w:t xml:space="preserve">Member States </w:t>
      </w:r>
      <w:r w:rsidR="00655254">
        <w:rPr>
          <w:noProof/>
        </w:rPr>
        <w:t>p</w:t>
      </w:r>
      <w:r w:rsidR="00E37EF3">
        <w:rPr>
          <w:noProof/>
        </w:rPr>
        <w:t xml:space="preserve">rior to concluding </w:t>
      </w:r>
      <w:r w:rsidR="00D8662E" w:rsidRPr="003253F7">
        <w:rPr>
          <w:noProof/>
        </w:rPr>
        <w:t xml:space="preserve">agreements or arrangements </w:t>
      </w:r>
      <w:r w:rsidR="00E37EF3">
        <w:rPr>
          <w:noProof/>
        </w:rPr>
        <w:t>with safe third countries</w:t>
      </w:r>
      <w:r w:rsidR="00693ED0" w:rsidRPr="003253F7">
        <w:rPr>
          <w:noProof/>
        </w:rPr>
        <w:t>.</w:t>
      </w:r>
      <w:r w:rsidR="5778192C" w:rsidRPr="003253F7">
        <w:rPr>
          <w:noProof/>
        </w:rPr>
        <w:t xml:space="preserve"> </w:t>
      </w:r>
      <w:r w:rsidR="0017230F" w:rsidRPr="003253F7">
        <w:rPr>
          <w:noProof/>
        </w:rPr>
        <w:t>This would also help Member States and the Commission to better coordinate their efforts towards third countries for the conclusion of agreements</w:t>
      </w:r>
      <w:r w:rsidR="00D775A9">
        <w:rPr>
          <w:noProof/>
        </w:rPr>
        <w:t xml:space="preserve"> or arrangements</w:t>
      </w:r>
      <w:r w:rsidR="00751D36" w:rsidRPr="003253F7">
        <w:rPr>
          <w:noProof/>
        </w:rPr>
        <w:t xml:space="preserve">, and support the comprehensive </w:t>
      </w:r>
      <w:r w:rsidR="00751D36" w:rsidRPr="000A20A8">
        <w:rPr>
          <w:noProof/>
          <w:szCs w:val="24"/>
        </w:rPr>
        <w:t>approach</w:t>
      </w:r>
      <w:r w:rsidR="00751D36" w:rsidRPr="003253F7">
        <w:rPr>
          <w:noProof/>
        </w:rPr>
        <w:t xml:space="preserve"> in the external dimension of migration</w:t>
      </w:r>
      <w:r w:rsidR="0017230F" w:rsidRPr="003253F7">
        <w:rPr>
          <w:noProof/>
        </w:rPr>
        <w:t xml:space="preserve">. </w:t>
      </w:r>
      <w:r w:rsidR="7165C790" w:rsidRPr="003253F7">
        <w:rPr>
          <w:noProof/>
        </w:rPr>
        <w:t>The Commission</w:t>
      </w:r>
      <w:r w:rsidR="00912725" w:rsidRPr="003253F7">
        <w:rPr>
          <w:noProof/>
        </w:rPr>
        <w:t xml:space="preserve"> w</w:t>
      </w:r>
      <w:r w:rsidR="00751D36" w:rsidRPr="003253F7">
        <w:rPr>
          <w:noProof/>
        </w:rPr>
        <w:t>ould</w:t>
      </w:r>
      <w:r w:rsidR="00912725" w:rsidRPr="003253F7">
        <w:rPr>
          <w:noProof/>
        </w:rPr>
        <w:t xml:space="preserve"> </w:t>
      </w:r>
      <w:r w:rsidR="00751D36" w:rsidRPr="003253F7">
        <w:rPr>
          <w:noProof/>
        </w:rPr>
        <w:t xml:space="preserve">also </w:t>
      </w:r>
      <w:r w:rsidR="00912725" w:rsidRPr="003253F7">
        <w:rPr>
          <w:noProof/>
        </w:rPr>
        <w:t xml:space="preserve">be able to </w:t>
      </w:r>
      <w:r w:rsidR="00751D36" w:rsidRPr="003253F7">
        <w:rPr>
          <w:noProof/>
        </w:rPr>
        <w:t xml:space="preserve">monitor that agreements </w:t>
      </w:r>
      <w:r w:rsidR="00D775A9">
        <w:rPr>
          <w:noProof/>
        </w:rPr>
        <w:t xml:space="preserve">or arrangements </w:t>
      </w:r>
      <w:r w:rsidR="00751D36" w:rsidRPr="003253F7">
        <w:rPr>
          <w:noProof/>
        </w:rPr>
        <w:t>with</w:t>
      </w:r>
      <w:r w:rsidR="004253AE" w:rsidRPr="003253F7">
        <w:rPr>
          <w:noProof/>
        </w:rPr>
        <w:t xml:space="preserve"> third countr</w:t>
      </w:r>
      <w:r w:rsidR="00751D36" w:rsidRPr="003253F7">
        <w:rPr>
          <w:noProof/>
        </w:rPr>
        <w:t>ies</w:t>
      </w:r>
      <w:r w:rsidR="004253AE" w:rsidRPr="003253F7">
        <w:rPr>
          <w:noProof/>
        </w:rPr>
        <w:t xml:space="preserve"> meet the </w:t>
      </w:r>
      <w:r w:rsidR="00751D36" w:rsidRPr="003253F7">
        <w:rPr>
          <w:noProof/>
        </w:rPr>
        <w:t xml:space="preserve">conditions set by the </w:t>
      </w:r>
      <w:r w:rsidR="004253AE" w:rsidRPr="003253F7">
        <w:rPr>
          <w:noProof/>
        </w:rPr>
        <w:t>APR</w:t>
      </w:r>
      <w:r w:rsidR="00C91A76" w:rsidRPr="003253F7">
        <w:rPr>
          <w:noProof/>
        </w:rPr>
        <w:t>.</w:t>
      </w:r>
      <w:r w:rsidR="00782386">
        <w:rPr>
          <w:noProof/>
        </w:rPr>
        <w:t xml:space="preserve"> </w:t>
      </w:r>
    </w:p>
    <w:p w:rsidR="00066806" w:rsidRPr="008F6E6A" w:rsidRDefault="29D483DD" w:rsidP="00E06D11">
      <w:pPr>
        <w:rPr>
          <w:noProof/>
        </w:rPr>
      </w:pPr>
      <w:r>
        <w:rPr>
          <w:noProof/>
        </w:rPr>
        <w:t xml:space="preserve">Additionally, to limit risks associated with absconding from </w:t>
      </w:r>
      <w:r w:rsidR="008D07FD">
        <w:rPr>
          <w:noProof/>
        </w:rPr>
        <w:t xml:space="preserve">those </w:t>
      </w:r>
      <w:r>
        <w:rPr>
          <w:noProof/>
        </w:rPr>
        <w:t xml:space="preserve">Member States applying the STC concept to </w:t>
      </w:r>
      <w:r w:rsidR="00830EA9">
        <w:rPr>
          <w:noProof/>
        </w:rPr>
        <w:t xml:space="preserve">other </w:t>
      </w:r>
      <w:r>
        <w:rPr>
          <w:noProof/>
        </w:rPr>
        <w:t>Member States not applying it, Member States should be able to take the necessary measures to prevent unauthorised movements of the applicants to whom the STC concept is being applied</w:t>
      </w:r>
      <w:r w:rsidR="008D07FD">
        <w:rPr>
          <w:noProof/>
        </w:rPr>
        <w:t xml:space="preserve">. </w:t>
      </w:r>
      <w:r w:rsidR="00DC072A">
        <w:rPr>
          <w:noProof/>
        </w:rPr>
        <w:t>These measures can</w:t>
      </w:r>
      <w:r w:rsidR="00DC072A" w:rsidRPr="008F6E6A">
        <w:rPr>
          <w:noProof/>
        </w:rPr>
        <w:t xml:space="preserve"> includ</w:t>
      </w:r>
      <w:r w:rsidR="00DC072A">
        <w:rPr>
          <w:noProof/>
        </w:rPr>
        <w:t xml:space="preserve">e </w:t>
      </w:r>
      <w:r>
        <w:rPr>
          <w:noProof/>
        </w:rPr>
        <w:t xml:space="preserve">restricting freedom of movement pursuant to Article 9 of Directive (EU) 2024/1346, or detaining the applicant concerned in accordance with Article 10 thereof, pending the assessment of the admissibility of the application. In this regard, it </w:t>
      </w:r>
      <w:r w:rsidR="00214FAF">
        <w:rPr>
          <w:noProof/>
        </w:rPr>
        <w:t xml:space="preserve">may be </w:t>
      </w:r>
      <w:r>
        <w:rPr>
          <w:noProof/>
        </w:rPr>
        <w:t>possible to consider there is a risk of absconding when applying the concept.</w:t>
      </w:r>
    </w:p>
    <w:p w:rsidR="00693ED0" w:rsidRPr="004F7E22" w:rsidRDefault="00693ED0" w:rsidP="00693ED0">
      <w:pPr>
        <w:spacing w:before="0"/>
        <w:rPr>
          <w:b/>
          <w:bCs/>
          <w:noProof/>
        </w:rPr>
      </w:pPr>
      <w:r w:rsidRPr="004F7E22">
        <w:rPr>
          <w:b/>
          <w:bCs/>
          <w:noProof/>
        </w:rPr>
        <w:t>Non-automatic suspensive effect of the appeal against inadmissibility decisions</w:t>
      </w:r>
      <w:r w:rsidR="0009188C" w:rsidRPr="004F7E22">
        <w:rPr>
          <w:b/>
          <w:bCs/>
          <w:noProof/>
        </w:rPr>
        <w:t xml:space="preserve"> taken on the STC ground</w:t>
      </w:r>
    </w:p>
    <w:p w:rsidR="00693ED0" w:rsidRPr="008F6E6A" w:rsidRDefault="00693ED0" w:rsidP="000A20A8">
      <w:pPr>
        <w:rPr>
          <w:noProof/>
        </w:rPr>
      </w:pPr>
      <w:r>
        <w:rPr>
          <w:noProof/>
        </w:rPr>
        <w:t xml:space="preserve">To enhance procedural efficiency, the Commission also proposes making </w:t>
      </w:r>
      <w:r w:rsidR="00B46BD6">
        <w:rPr>
          <w:noProof/>
        </w:rPr>
        <w:t xml:space="preserve">non-automatic </w:t>
      </w:r>
      <w:r>
        <w:rPr>
          <w:noProof/>
        </w:rPr>
        <w:t xml:space="preserve">the suspensive effect of appeals against inadmissibility decisions, </w:t>
      </w:r>
      <w:r w:rsidR="000E26D1">
        <w:rPr>
          <w:noProof/>
        </w:rPr>
        <w:t xml:space="preserve">without prejudice to appeals against </w:t>
      </w:r>
      <w:r>
        <w:rPr>
          <w:noProof/>
        </w:rPr>
        <w:t xml:space="preserve">related return decisions where there is a </w:t>
      </w:r>
      <w:r w:rsidR="00DB02C8">
        <w:rPr>
          <w:noProof/>
        </w:rPr>
        <w:t xml:space="preserve">risk of breaching the principle of </w:t>
      </w:r>
      <w:r w:rsidR="00DB02C8" w:rsidRPr="5E58FB0C">
        <w:rPr>
          <w:i/>
          <w:iCs/>
          <w:noProof/>
        </w:rPr>
        <w:t>non-refoulement</w:t>
      </w:r>
      <w:r>
        <w:rPr>
          <w:noProof/>
        </w:rPr>
        <w:t xml:space="preserve">. To that end, the ground for inadmissibility checks based on the application of the </w:t>
      </w:r>
      <w:r w:rsidR="00B46BD6">
        <w:rPr>
          <w:noProof/>
        </w:rPr>
        <w:t>STC</w:t>
      </w:r>
      <w:r>
        <w:rPr>
          <w:noProof/>
        </w:rPr>
        <w:t xml:space="preserve"> concept is added to Article 68 paragraph 3, point b.</w:t>
      </w:r>
    </w:p>
    <w:p w:rsidR="00201A77" w:rsidRPr="008F6E6A" w:rsidRDefault="00201A77">
      <w:pPr>
        <w:rPr>
          <w:noProof/>
        </w:rPr>
        <w:sectPr w:rsidR="00201A77" w:rsidRPr="008F6E6A" w:rsidSect="00A05E51">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C65B62" w:rsidRDefault="003F5A2D">
      <w:pPr>
        <w:pStyle w:val="Rfrenceinterinstitutionnelle"/>
        <w:rPr>
          <w:noProof/>
        </w:rPr>
      </w:pPr>
      <w:r>
        <w:rPr>
          <w:noProof/>
        </w:rPr>
        <w:t>2025/0132 (COD)</w:t>
      </w:r>
    </w:p>
    <w:p w:rsidR="00201A77" w:rsidRPr="008F6E6A" w:rsidRDefault="00150177" w:rsidP="00150177">
      <w:pPr>
        <w:pStyle w:val="Statut"/>
        <w:rPr>
          <w:noProof/>
        </w:rPr>
      </w:pPr>
      <w:r w:rsidRPr="00150177">
        <w:rPr>
          <w:noProof/>
        </w:rPr>
        <w:t>Proposal for a</w:t>
      </w:r>
    </w:p>
    <w:p w:rsidR="00201A77" w:rsidRPr="008F6E6A" w:rsidRDefault="00150177" w:rsidP="00150177">
      <w:pPr>
        <w:pStyle w:val="Typedudocument"/>
        <w:rPr>
          <w:noProof/>
        </w:rPr>
      </w:pPr>
      <w:r w:rsidRPr="00150177">
        <w:rPr>
          <w:noProof/>
        </w:rPr>
        <w:t>REGULATION OF THE EUROPEAN PARLIAMENT AND OF THE COUNCIL</w:t>
      </w:r>
    </w:p>
    <w:p w:rsidR="00201A77" w:rsidRPr="008F6E6A" w:rsidRDefault="00150177" w:rsidP="00150177">
      <w:pPr>
        <w:pStyle w:val="Titreobjet"/>
        <w:rPr>
          <w:noProof/>
        </w:rPr>
      </w:pPr>
      <w:r w:rsidRPr="00150177">
        <w:rPr>
          <w:noProof/>
        </w:rPr>
        <w:t>amending Regulation (EU) 2024/1348 as regards the application of the ‘safe third country’ concept</w:t>
      </w:r>
    </w:p>
    <w:p w:rsidR="00693ED0" w:rsidRPr="008F6E6A" w:rsidRDefault="00693ED0" w:rsidP="00693ED0">
      <w:pPr>
        <w:pStyle w:val="Institutionquiagit"/>
        <w:rPr>
          <w:noProof/>
        </w:rPr>
      </w:pPr>
      <w:r w:rsidRPr="008F6E6A">
        <w:rPr>
          <w:noProof/>
        </w:rPr>
        <w:t>THE EUROPEAN PARLIAMENT AND THE COUNCIL OF THE EUROPEAN UNION,</w:t>
      </w:r>
    </w:p>
    <w:p w:rsidR="00693ED0" w:rsidRPr="008F6E6A" w:rsidRDefault="00693ED0" w:rsidP="00693ED0">
      <w:pPr>
        <w:rPr>
          <w:noProof/>
        </w:rPr>
      </w:pPr>
      <w:r w:rsidRPr="008F6E6A">
        <w:rPr>
          <w:noProof/>
        </w:rPr>
        <w:t>Having regard to the Treaty on the Functioning of the European Union, and in particular Article 78(2), point (d), thereof</w:t>
      </w:r>
      <w:r w:rsidRPr="008F6E6A" w:rsidDel="003470DE">
        <w:rPr>
          <w:noProof/>
        </w:rPr>
        <w:t xml:space="preserve"> </w:t>
      </w:r>
    </w:p>
    <w:p w:rsidR="00693ED0" w:rsidRPr="008F6E6A" w:rsidRDefault="00693ED0" w:rsidP="00693ED0">
      <w:pPr>
        <w:rPr>
          <w:noProof/>
        </w:rPr>
      </w:pPr>
      <w:r w:rsidRPr="008F6E6A">
        <w:rPr>
          <w:noProof/>
        </w:rPr>
        <w:t>Having regard to the proposal from the European Commission,</w:t>
      </w:r>
    </w:p>
    <w:p w:rsidR="00693ED0" w:rsidRPr="008F6E6A" w:rsidRDefault="00693ED0" w:rsidP="00693ED0">
      <w:pPr>
        <w:rPr>
          <w:noProof/>
        </w:rPr>
      </w:pPr>
      <w:r w:rsidRPr="008F6E6A">
        <w:rPr>
          <w:noProof/>
        </w:rPr>
        <w:t>After transmission of the draft legislative act to the national parliaments,</w:t>
      </w:r>
    </w:p>
    <w:p w:rsidR="00693ED0" w:rsidRPr="008F6E6A" w:rsidRDefault="00693ED0" w:rsidP="00693ED0">
      <w:pPr>
        <w:rPr>
          <w:noProof/>
        </w:rPr>
      </w:pPr>
      <w:r w:rsidRPr="008F6E6A">
        <w:rPr>
          <w:noProof/>
        </w:rPr>
        <w:t>Having regard to the opinions of the European Economic and Social Committee,</w:t>
      </w:r>
    </w:p>
    <w:p w:rsidR="00693ED0" w:rsidRPr="008F6E6A" w:rsidRDefault="00693ED0" w:rsidP="00693ED0">
      <w:pPr>
        <w:rPr>
          <w:noProof/>
        </w:rPr>
      </w:pPr>
      <w:r w:rsidRPr="008F6E6A">
        <w:rPr>
          <w:noProof/>
        </w:rPr>
        <w:t>Having regard to the opinions of the Committee of the Regions,</w:t>
      </w:r>
    </w:p>
    <w:p w:rsidR="00693ED0" w:rsidRPr="008F6E6A" w:rsidRDefault="00693ED0" w:rsidP="00693ED0">
      <w:pPr>
        <w:rPr>
          <w:noProof/>
        </w:rPr>
      </w:pPr>
      <w:r w:rsidRPr="008F6E6A">
        <w:rPr>
          <w:noProof/>
        </w:rPr>
        <w:t>Acting in accordance with the ordinary legislative procedure,</w:t>
      </w:r>
    </w:p>
    <w:p w:rsidR="00693ED0" w:rsidRPr="008F6E6A" w:rsidRDefault="00693ED0" w:rsidP="00693ED0">
      <w:pPr>
        <w:rPr>
          <w:noProof/>
        </w:rPr>
      </w:pPr>
      <w:r w:rsidRPr="008F6E6A">
        <w:rPr>
          <w:noProof/>
        </w:rPr>
        <w:t>Whereas:</w:t>
      </w:r>
    </w:p>
    <w:p w:rsidR="00693ED0" w:rsidRPr="008F6E6A" w:rsidRDefault="003F5A2D" w:rsidP="003F5A2D">
      <w:pPr>
        <w:pStyle w:val="ManualConsidrant"/>
        <w:rPr>
          <w:noProof/>
        </w:rPr>
      </w:pPr>
      <w:r w:rsidRPr="003F5A2D">
        <w:rPr>
          <w:noProof/>
        </w:rPr>
        <w:t>(1)</w:t>
      </w:r>
      <w:r w:rsidRPr="003F5A2D">
        <w:rPr>
          <w:noProof/>
        </w:rPr>
        <w:tab/>
      </w:r>
      <w:r w:rsidR="00693ED0" w:rsidRPr="008F6E6A">
        <w:rPr>
          <w:noProof/>
        </w:rPr>
        <w:t>Regulation (EU) 2024/1348 of the European Parliament and of the Council</w:t>
      </w:r>
      <w:r w:rsidR="00693ED0" w:rsidRPr="008F6E6A">
        <w:rPr>
          <w:rStyle w:val="FootnoteReference"/>
          <w:noProof/>
        </w:rPr>
        <w:footnoteReference w:id="17"/>
      </w:r>
      <w:r w:rsidR="00693ED0" w:rsidRPr="008F6E6A">
        <w:rPr>
          <w:noProof/>
        </w:rPr>
        <w:t xml:space="preserve"> established a common procedure for </w:t>
      </w:r>
      <w:r w:rsidR="009022BA">
        <w:rPr>
          <w:noProof/>
        </w:rPr>
        <w:t xml:space="preserve">granting and withdrawing </w:t>
      </w:r>
      <w:r w:rsidR="00693ED0" w:rsidRPr="008F6E6A">
        <w:rPr>
          <w:noProof/>
        </w:rPr>
        <w:t xml:space="preserve">international protection in the Union. </w:t>
      </w:r>
      <w:r w:rsidR="00E37EF3">
        <w:rPr>
          <w:noProof/>
        </w:rPr>
        <w:t xml:space="preserve">The Commission has reviewed the various elements of the concept of safe third country, including criteria of safety, due process, the connection criterion and the provisions on effective remedy. </w:t>
      </w:r>
      <w:r w:rsidR="00E37EF3" w:rsidRPr="008F6E6A">
        <w:rPr>
          <w:noProof/>
        </w:rPr>
        <w:t xml:space="preserve">The review led to the conclusion that there was scope for improving the applicability of the safe third country concept while preserving the legal safeguards for applicants and ensuring the respect </w:t>
      </w:r>
      <w:r w:rsidR="00E37EF3">
        <w:rPr>
          <w:noProof/>
        </w:rPr>
        <w:t>of</w:t>
      </w:r>
      <w:r w:rsidR="00E37EF3" w:rsidRPr="008F6E6A">
        <w:rPr>
          <w:noProof/>
        </w:rPr>
        <w:t xml:space="preserve"> fundamental rights</w:t>
      </w:r>
      <w:r w:rsidR="00E37EF3">
        <w:rPr>
          <w:noProof/>
        </w:rPr>
        <w:t>.</w:t>
      </w:r>
    </w:p>
    <w:p w:rsidR="008C52C4" w:rsidRPr="008C52C4" w:rsidRDefault="003F5A2D" w:rsidP="003F5A2D">
      <w:pPr>
        <w:pStyle w:val="ManualConsidrant"/>
        <w:rPr>
          <w:noProof/>
        </w:rPr>
      </w:pPr>
      <w:r w:rsidRPr="003F5A2D">
        <w:rPr>
          <w:noProof/>
        </w:rPr>
        <w:t>(2)</w:t>
      </w:r>
      <w:r w:rsidRPr="003F5A2D">
        <w:rPr>
          <w:noProof/>
        </w:rPr>
        <w:tab/>
      </w:r>
      <w:r w:rsidR="00693ED0">
        <w:rPr>
          <w:noProof/>
        </w:rPr>
        <w:t xml:space="preserve">The existence of a connection between the applicant and the safe third country is not required by international refugee law, </w:t>
      </w:r>
      <w:r w:rsidR="003501A4">
        <w:rPr>
          <w:noProof/>
        </w:rPr>
        <w:t>notably</w:t>
      </w:r>
      <w:r w:rsidR="00693ED0">
        <w:rPr>
          <w:noProof/>
        </w:rPr>
        <w:t xml:space="preserve"> the Geneva Convention, or international human rights law, </w:t>
      </w:r>
      <w:r w:rsidR="003501A4">
        <w:rPr>
          <w:noProof/>
        </w:rPr>
        <w:t>notably</w:t>
      </w:r>
      <w:r w:rsidR="00693ED0">
        <w:rPr>
          <w:noProof/>
        </w:rPr>
        <w:t xml:space="preserve"> the European Convention on Human Rights. Therefore, Member States should have the possibility to apply the concept of safe third country where no connection can be established between the applicant and the safe third country concerned</w:t>
      </w:r>
      <w:r w:rsidR="00FB7BF6">
        <w:rPr>
          <w:noProof/>
        </w:rPr>
        <w:t>,</w:t>
      </w:r>
      <w:r w:rsidR="00693ED0">
        <w:rPr>
          <w:noProof/>
        </w:rPr>
        <w:t xml:space="preserve"> provided that </w:t>
      </w:r>
      <w:r w:rsidR="008C52C4">
        <w:rPr>
          <w:noProof/>
        </w:rPr>
        <w:t xml:space="preserve">an agreement or arrangement with the </w:t>
      </w:r>
      <w:r w:rsidR="003501A4">
        <w:rPr>
          <w:noProof/>
        </w:rPr>
        <w:t>third country</w:t>
      </w:r>
      <w:r w:rsidR="008C52C4">
        <w:rPr>
          <w:noProof/>
        </w:rPr>
        <w:t xml:space="preserve"> </w:t>
      </w:r>
      <w:r w:rsidR="009022BA">
        <w:rPr>
          <w:noProof/>
        </w:rPr>
        <w:t xml:space="preserve">concerned </w:t>
      </w:r>
      <w:r w:rsidR="008C52C4">
        <w:rPr>
          <w:noProof/>
        </w:rPr>
        <w:t xml:space="preserve">requires the examination </w:t>
      </w:r>
      <w:r w:rsidR="007D75C5">
        <w:rPr>
          <w:noProof/>
        </w:rPr>
        <w:t xml:space="preserve">of the </w:t>
      </w:r>
      <w:r w:rsidR="008C52C4">
        <w:rPr>
          <w:noProof/>
        </w:rPr>
        <w:t>merits of requests for effective protection made by applicants subject to that agreement or arrangement</w:t>
      </w:r>
      <w:r w:rsidR="00693ED0">
        <w:rPr>
          <w:noProof/>
        </w:rPr>
        <w:t>.</w:t>
      </w:r>
    </w:p>
    <w:p w:rsidR="00693ED0" w:rsidRPr="003253F7" w:rsidRDefault="003F5A2D" w:rsidP="003F5A2D">
      <w:pPr>
        <w:pStyle w:val="ManualConsidrant"/>
        <w:rPr>
          <w:noProof/>
        </w:rPr>
      </w:pPr>
      <w:r w:rsidRPr="003F5A2D">
        <w:rPr>
          <w:noProof/>
        </w:rPr>
        <w:t>(3)</w:t>
      </w:r>
      <w:r w:rsidRPr="003F5A2D">
        <w:rPr>
          <w:noProof/>
        </w:rPr>
        <w:tab/>
      </w:r>
      <w:r w:rsidR="00693ED0">
        <w:rPr>
          <w:noProof/>
        </w:rPr>
        <w:t xml:space="preserve">Member States should </w:t>
      </w:r>
      <w:r w:rsidR="00B02395">
        <w:rPr>
          <w:noProof/>
        </w:rPr>
        <w:t>have</w:t>
      </w:r>
      <w:r w:rsidR="00693ED0">
        <w:rPr>
          <w:noProof/>
        </w:rPr>
        <w:t xml:space="preserve"> the </w:t>
      </w:r>
      <w:r w:rsidR="00EC59AE">
        <w:rPr>
          <w:noProof/>
        </w:rPr>
        <w:t xml:space="preserve">possibility </w:t>
      </w:r>
      <w:r w:rsidR="00693ED0">
        <w:rPr>
          <w:noProof/>
        </w:rPr>
        <w:t>to apply the safe third country concept on the basis of a connection between the applicant and the third country concerned</w:t>
      </w:r>
      <w:r w:rsidR="00B742DC">
        <w:rPr>
          <w:noProof/>
        </w:rPr>
        <w:t>,</w:t>
      </w:r>
      <w:r w:rsidR="00693ED0">
        <w:rPr>
          <w:noProof/>
        </w:rPr>
        <w:t xml:space="preserve"> by which it would be reasonable for the applicant to go to that </w:t>
      </w:r>
      <w:r w:rsidR="00EC59AE">
        <w:rPr>
          <w:noProof/>
        </w:rPr>
        <w:t xml:space="preserve">third </w:t>
      </w:r>
      <w:r w:rsidR="00693ED0">
        <w:rPr>
          <w:noProof/>
        </w:rPr>
        <w:t>country.</w:t>
      </w:r>
    </w:p>
    <w:p w:rsidR="008D0A8A" w:rsidRPr="003253F7" w:rsidRDefault="003F5A2D" w:rsidP="003F5A2D">
      <w:pPr>
        <w:pStyle w:val="ManualConsidrant"/>
        <w:rPr>
          <w:noProof/>
        </w:rPr>
      </w:pPr>
      <w:r w:rsidRPr="003F5A2D">
        <w:rPr>
          <w:noProof/>
        </w:rPr>
        <w:t>(4)</w:t>
      </w:r>
      <w:r w:rsidRPr="003F5A2D">
        <w:rPr>
          <w:noProof/>
        </w:rPr>
        <w:tab/>
      </w:r>
      <w:r w:rsidR="00FB7BF6">
        <w:rPr>
          <w:noProof/>
        </w:rPr>
        <w:t xml:space="preserve">Member States should also have the </w:t>
      </w:r>
      <w:r w:rsidR="00EC59AE">
        <w:rPr>
          <w:noProof/>
        </w:rPr>
        <w:t>possibility</w:t>
      </w:r>
      <w:r w:rsidR="00FB7BF6">
        <w:rPr>
          <w:noProof/>
        </w:rPr>
        <w:t xml:space="preserve"> to apply the safe third country </w:t>
      </w:r>
      <w:r w:rsidR="00BF7630">
        <w:rPr>
          <w:noProof/>
        </w:rPr>
        <w:t xml:space="preserve">concept </w:t>
      </w:r>
      <w:r w:rsidR="00EC59AE">
        <w:rPr>
          <w:noProof/>
        </w:rPr>
        <w:t>to</w:t>
      </w:r>
      <w:r w:rsidR="00FB7BF6">
        <w:rPr>
          <w:noProof/>
        </w:rPr>
        <w:t xml:space="preserve"> </w:t>
      </w:r>
      <w:r w:rsidR="00EC59AE" w:rsidRPr="00204E80">
        <w:rPr>
          <w:noProof/>
        </w:rPr>
        <w:t xml:space="preserve">applicants who transited through the territory of </w:t>
      </w:r>
      <w:r w:rsidR="00FB7BF6" w:rsidRPr="00204E80">
        <w:rPr>
          <w:noProof/>
        </w:rPr>
        <w:t>a third country</w:t>
      </w:r>
      <w:r w:rsidR="00EC59AE" w:rsidRPr="00204E80">
        <w:rPr>
          <w:noProof/>
        </w:rPr>
        <w:t xml:space="preserve"> before entering the Union</w:t>
      </w:r>
      <w:r w:rsidR="00320AD5" w:rsidRPr="00204E80">
        <w:rPr>
          <w:noProof/>
        </w:rPr>
        <w:t>,</w:t>
      </w:r>
      <w:r w:rsidR="008D0A8A">
        <w:rPr>
          <w:noProof/>
        </w:rPr>
        <w:t xml:space="preserve"> </w:t>
      </w:r>
      <w:r w:rsidR="008D0A8A" w:rsidRPr="00204E80">
        <w:rPr>
          <w:noProof/>
        </w:rPr>
        <w:t xml:space="preserve">as it </w:t>
      </w:r>
      <w:r w:rsidR="008D0A8A">
        <w:rPr>
          <w:noProof/>
        </w:rPr>
        <w:t xml:space="preserve">is reasonable to expect that a person seeking international protection could have applied for protection in </w:t>
      </w:r>
      <w:r w:rsidR="009D2687">
        <w:rPr>
          <w:noProof/>
        </w:rPr>
        <w:t>a</w:t>
      </w:r>
      <w:r w:rsidR="008D0A8A" w:rsidRPr="00204E80">
        <w:rPr>
          <w:noProof/>
        </w:rPr>
        <w:t xml:space="preserve"> </w:t>
      </w:r>
      <w:r w:rsidR="008D0A8A">
        <w:rPr>
          <w:noProof/>
        </w:rPr>
        <w:t xml:space="preserve">safe third </w:t>
      </w:r>
      <w:r w:rsidR="008D0A8A" w:rsidRPr="00204E80">
        <w:rPr>
          <w:noProof/>
        </w:rPr>
        <w:t xml:space="preserve">country </w:t>
      </w:r>
      <w:r w:rsidR="008D0A8A">
        <w:rPr>
          <w:noProof/>
        </w:rPr>
        <w:t>through which that person transited. Previous transit through a safe third country provides an objective link between the applicant and the third country concerned</w:t>
      </w:r>
      <w:r w:rsidR="00FB7BF6" w:rsidRPr="00204E80">
        <w:rPr>
          <w:noProof/>
        </w:rPr>
        <w:t>.</w:t>
      </w:r>
    </w:p>
    <w:p w:rsidR="0090141B" w:rsidRDefault="003F5A2D" w:rsidP="003F5A2D">
      <w:pPr>
        <w:pStyle w:val="ManualConsidrant"/>
        <w:rPr>
          <w:noProof/>
        </w:rPr>
      </w:pPr>
      <w:r w:rsidRPr="003F5A2D">
        <w:rPr>
          <w:noProof/>
        </w:rPr>
        <w:t>(5)</w:t>
      </w:r>
      <w:r w:rsidRPr="003F5A2D">
        <w:rPr>
          <w:noProof/>
        </w:rPr>
        <w:tab/>
      </w:r>
      <w:r w:rsidR="6DF0F26F">
        <w:rPr>
          <w:noProof/>
        </w:rPr>
        <w:t xml:space="preserve">In view of the </w:t>
      </w:r>
      <w:r w:rsidR="004832ED">
        <w:rPr>
          <w:noProof/>
        </w:rPr>
        <w:t xml:space="preserve">situation of </w:t>
      </w:r>
      <w:r w:rsidR="6DF0F26F">
        <w:rPr>
          <w:noProof/>
        </w:rPr>
        <w:t>vulnerability of unaccompanied minor</w:t>
      </w:r>
      <w:r w:rsidR="2640F8E3">
        <w:rPr>
          <w:noProof/>
        </w:rPr>
        <w:t>s</w:t>
      </w:r>
      <w:r w:rsidR="6DF0F26F">
        <w:rPr>
          <w:noProof/>
        </w:rPr>
        <w:t xml:space="preserve"> and of the need for </w:t>
      </w:r>
      <w:r w:rsidR="0090141B">
        <w:rPr>
          <w:noProof/>
        </w:rPr>
        <w:t xml:space="preserve">targeted </w:t>
      </w:r>
      <w:r w:rsidR="6DF0F26F">
        <w:rPr>
          <w:noProof/>
        </w:rPr>
        <w:t xml:space="preserve">support, </w:t>
      </w:r>
      <w:r w:rsidR="69753AE4">
        <w:rPr>
          <w:noProof/>
        </w:rPr>
        <w:t xml:space="preserve">the concept of safe third country should be </w:t>
      </w:r>
      <w:r w:rsidR="300BC705">
        <w:rPr>
          <w:noProof/>
        </w:rPr>
        <w:t xml:space="preserve">applied to </w:t>
      </w:r>
      <w:r w:rsidR="0090141B">
        <w:rPr>
          <w:noProof/>
        </w:rPr>
        <w:t xml:space="preserve">unaccompanied minors </w:t>
      </w:r>
      <w:r w:rsidR="300BC705">
        <w:rPr>
          <w:noProof/>
        </w:rPr>
        <w:t>only where</w:t>
      </w:r>
      <w:r w:rsidR="765C4888">
        <w:rPr>
          <w:noProof/>
        </w:rPr>
        <w:t xml:space="preserve"> </w:t>
      </w:r>
      <w:r w:rsidR="419B12F2">
        <w:rPr>
          <w:noProof/>
        </w:rPr>
        <w:t>a</w:t>
      </w:r>
      <w:r w:rsidR="5C2FE1C5">
        <w:rPr>
          <w:noProof/>
        </w:rPr>
        <w:t xml:space="preserve"> connection </w:t>
      </w:r>
      <w:r w:rsidR="00DA68D9">
        <w:rPr>
          <w:noProof/>
        </w:rPr>
        <w:t>or transit</w:t>
      </w:r>
      <w:r w:rsidR="00823FB7">
        <w:rPr>
          <w:noProof/>
        </w:rPr>
        <w:t xml:space="preserve"> can be established with </w:t>
      </w:r>
      <w:r w:rsidR="0090141B">
        <w:rPr>
          <w:noProof/>
        </w:rPr>
        <w:t xml:space="preserve">the third country concerned </w:t>
      </w:r>
      <w:r w:rsidR="0096778B">
        <w:rPr>
          <w:noProof/>
        </w:rPr>
        <w:t xml:space="preserve">can be established </w:t>
      </w:r>
      <w:r w:rsidR="004832ED">
        <w:rPr>
          <w:noProof/>
        </w:rPr>
        <w:t>and the conditions of Article 59</w:t>
      </w:r>
      <w:r w:rsidR="0090141B">
        <w:rPr>
          <w:noProof/>
        </w:rPr>
        <w:t>(6)</w:t>
      </w:r>
      <w:r w:rsidR="00D91258">
        <w:rPr>
          <w:noProof/>
        </w:rPr>
        <w:t xml:space="preserve"> </w:t>
      </w:r>
      <w:r w:rsidR="00FE200B">
        <w:rPr>
          <w:noProof/>
        </w:rPr>
        <w:t xml:space="preserve">of </w:t>
      </w:r>
      <w:r w:rsidR="00FE200B" w:rsidRPr="009345BA">
        <w:rPr>
          <w:noProof/>
        </w:rPr>
        <w:t>Regulation</w:t>
      </w:r>
      <w:r w:rsidR="00156844">
        <w:rPr>
          <w:noProof/>
        </w:rPr>
        <w:t xml:space="preserve"> </w:t>
      </w:r>
      <w:r w:rsidR="00FE200B" w:rsidRPr="009345BA">
        <w:rPr>
          <w:noProof/>
        </w:rPr>
        <w:t>(EU) 2024/1348 of the European Parliament and of the Council</w:t>
      </w:r>
      <w:r w:rsidR="00FE200B" w:rsidRPr="009345BA" w:rsidDel="009345BA">
        <w:rPr>
          <w:noProof/>
        </w:rPr>
        <w:t xml:space="preserve"> </w:t>
      </w:r>
      <w:r w:rsidR="004832ED">
        <w:rPr>
          <w:noProof/>
        </w:rPr>
        <w:t>are fulfilled</w:t>
      </w:r>
      <w:r w:rsidR="5EECF08D">
        <w:rPr>
          <w:noProof/>
        </w:rPr>
        <w:t>.</w:t>
      </w:r>
      <w:r w:rsidR="008D0A8A">
        <w:rPr>
          <w:noProof/>
        </w:rPr>
        <w:t xml:space="preserve"> Member States should ensure that the best interests of the child are a primary consideration in all decisions concerning minors.</w:t>
      </w:r>
    </w:p>
    <w:p w:rsidR="0065072A" w:rsidRPr="00174A8E" w:rsidRDefault="003F5A2D" w:rsidP="003F5A2D">
      <w:pPr>
        <w:pStyle w:val="ManualConsidrant"/>
        <w:rPr>
          <w:noProof/>
        </w:rPr>
      </w:pPr>
      <w:r w:rsidRPr="003F5A2D">
        <w:rPr>
          <w:noProof/>
        </w:rPr>
        <w:t>(6)</w:t>
      </w:r>
      <w:r w:rsidRPr="003F5A2D">
        <w:rPr>
          <w:noProof/>
        </w:rPr>
        <w:tab/>
      </w:r>
      <w:r w:rsidR="050C070E">
        <w:rPr>
          <w:noProof/>
        </w:rPr>
        <w:t xml:space="preserve">It is necessary to enhance transparency regarding the conclusion by Member States of agreements and arrangements with safe third countries, to support Member States and the Commission in establishing a comprehensive approach on the external dimension of migration, and in coordinating their efforts towards third countries for applying the safe third country concept. </w:t>
      </w:r>
      <w:r w:rsidR="006B6308">
        <w:rPr>
          <w:noProof/>
        </w:rPr>
        <w:t xml:space="preserve">This </w:t>
      </w:r>
      <w:r w:rsidR="050C070E">
        <w:rPr>
          <w:noProof/>
        </w:rPr>
        <w:t xml:space="preserve">would also allow for monitoring </w:t>
      </w:r>
      <w:r w:rsidR="40699EDA">
        <w:rPr>
          <w:noProof/>
        </w:rPr>
        <w:t xml:space="preserve">whether </w:t>
      </w:r>
      <w:r w:rsidR="050C070E">
        <w:rPr>
          <w:noProof/>
        </w:rPr>
        <w:t>agreements or arrangements with third countries fulfil the conditions set by this Regulation. It should also enable a more consistent and coherent application of the safe third country concept across the Union and contribute to the overall well-functioning of the Common European Asylum System.</w:t>
      </w:r>
      <w:r w:rsidR="007A5123">
        <w:rPr>
          <w:noProof/>
        </w:rPr>
        <w:t xml:space="preserve"> </w:t>
      </w:r>
      <w:r w:rsidR="050C070E">
        <w:rPr>
          <w:noProof/>
        </w:rPr>
        <w:t xml:space="preserve">To this end, Member States should be required to inform the Commission and other Member States prior to the conclusion of </w:t>
      </w:r>
      <w:r w:rsidR="050C070E" w:rsidRPr="62A6888E">
        <w:rPr>
          <w:rFonts w:eastAsia="Arial Unicode MS"/>
          <w:noProof/>
        </w:rPr>
        <w:t>agreements or arrangements with third countries</w:t>
      </w:r>
      <w:r w:rsidR="050C070E">
        <w:rPr>
          <w:noProof/>
        </w:rPr>
        <w:t xml:space="preserve">. </w:t>
      </w:r>
    </w:p>
    <w:p w:rsidR="00693ED0" w:rsidRPr="008F6E6A" w:rsidRDefault="003F5A2D" w:rsidP="003F5A2D">
      <w:pPr>
        <w:pStyle w:val="ManualConsidrant"/>
        <w:rPr>
          <w:noProof/>
        </w:rPr>
      </w:pPr>
      <w:r w:rsidRPr="003F5A2D">
        <w:rPr>
          <w:noProof/>
        </w:rPr>
        <w:t>(7)</w:t>
      </w:r>
      <w:r w:rsidRPr="003F5A2D">
        <w:rPr>
          <w:noProof/>
        </w:rPr>
        <w:tab/>
      </w:r>
      <w:r w:rsidR="2EC87945" w:rsidRPr="003253F7">
        <w:rPr>
          <w:noProof/>
        </w:rPr>
        <w:t xml:space="preserve">Member States should be able to take the necessary measures to </w:t>
      </w:r>
      <w:r w:rsidR="6A244893" w:rsidRPr="003253F7">
        <w:rPr>
          <w:noProof/>
        </w:rPr>
        <w:t xml:space="preserve">address the risk that </w:t>
      </w:r>
      <w:r w:rsidR="2EC87945" w:rsidRPr="003253F7">
        <w:rPr>
          <w:noProof/>
        </w:rPr>
        <w:t>applicants to whom the safe third country concept is being applied</w:t>
      </w:r>
      <w:r w:rsidR="6A244893" w:rsidRPr="003253F7">
        <w:rPr>
          <w:noProof/>
        </w:rPr>
        <w:t xml:space="preserve"> abscond</w:t>
      </w:r>
      <w:r w:rsidR="2EC87945" w:rsidRPr="003253F7">
        <w:rPr>
          <w:noProof/>
        </w:rPr>
        <w:t>, including by restricting freedom of movement pursuant to Article 9 of Directive (EU)</w:t>
      </w:r>
      <w:r w:rsidR="2EC87945" w:rsidRPr="008F6E6A">
        <w:rPr>
          <w:noProof/>
        </w:rPr>
        <w:t xml:space="preserve"> 2024/1346</w:t>
      </w:r>
      <w:r w:rsidR="006B6308" w:rsidRPr="006B6308">
        <w:rPr>
          <w:noProof/>
        </w:rPr>
        <w:t xml:space="preserve"> </w:t>
      </w:r>
      <w:r w:rsidR="006B6308">
        <w:rPr>
          <w:noProof/>
        </w:rPr>
        <w:t>of the European Parliament and of the Council</w:t>
      </w:r>
      <w:r w:rsidR="002E0F05">
        <w:rPr>
          <w:rStyle w:val="FootnoteReference"/>
          <w:noProof/>
        </w:rPr>
        <w:footnoteReference w:id="18"/>
      </w:r>
      <w:r w:rsidR="2EC87945" w:rsidRPr="008F6E6A">
        <w:rPr>
          <w:noProof/>
        </w:rPr>
        <w:t>, or detaining the applicant concerned in accordance with Article 10 thereof, in order to assess the admissibility of applications.</w:t>
      </w:r>
    </w:p>
    <w:p w:rsidR="00693ED0" w:rsidRPr="008F6E6A" w:rsidRDefault="003F5A2D" w:rsidP="003F5A2D">
      <w:pPr>
        <w:pStyle w:val="ManualConsidrant"/>
        <w:rPr>
          <w:noProof/>
        </w:rPr>
      </w:pPr>
      <w:r w:rsidRPr="003F5A2D">
        <w:rPr>
          <w:noProof/>
        </w:rPr>
        <w:t>(8)</w:t>
      </w:r>
      <w:r w:rsidRPr="003F5A2D">
        <w:rPr>
          <w:noProof/>
        </w:rPr>
        <w:tab/>
      </w:r>
      <w:r w:rsidR="2EC87945">
        <w:rPr>
          <w:noProof/>
        </w:rPr>
        <w:t xml:space="preserve">To enhance procedural efficiency, the applicant should not have an automatic right to remain on the territory of a Member State for the purpose of </w:t>
      </w:r>
      <w:r w:rsidR="7641D59D">
        <w:rPr>
          <w:noProof/>
        </w:rPr>
        <w:t xml:space="preserve">an </w:t>
      </w:r>
      <w:r w:rsidR="2EC87945">
        <w:rPr>
          <w:noProof/>
        </w:rPr>
        <w:t>appeal against inadmissibility decisions taken on the basis of the safe third country concept.</w:t>
      </w:r>
      <w:r w:rsidR="1B827A08">
        <w:rPr>
          <w:noProof/>
        </w:rPr>
        <w:t xml:space="preserve"> </w:t>
      </w:r>
      <w:r w:rsidR="008B77ED">
        <w:rPr>
          <w:noProof/>
        </w:rPr>
        <w:t xml:space="preserve">Nonetheless, the enforcement of the corresponding return decision is to be suspended during the time limit within which the person concerned can exercise his or her right to an effective remedy before a court of first instance and when such appeal is lodged where there is a risk of breach of the principle of </w:t>
      </w:r>
      <w:r w:rsidR="008B77ED" w:rsidRPr="00327A87">
        <w:rPr>
          <w:i/>
          <w:iCs/>
          <w:noProof/>
        </w:rPr>
        <w:t>non</w:t>
      </w:r>
      <w:r w:rsidR="004470BC">
        <w:rPr>
          <w:i/>
          <w:iCs/>
          <w:noProof/>
        </w:rPr>
        <w:t>-</w:t>
      </w:r>
      <w:r w:rsidR="008B77ED" w:rsidRPr="1CC664C9">
        <w:rPr>
          <w:i/>
          <w:iCs/>
          <w:noProof/>
        </w:rPr>
        <w:t>refoulement</w:t>
      </w:r>
      <w:r w:rsidR="008B77ED">
        <w:rPr>
          <w:noProof/>
        </w:rPr>
        <w:t>.</w:t>
      </w:r>
    </w:p>
    <w:p w:rsidR="008772B4" w:rsidRPr="008F6E6A" w:rsidRDefault="003F5A2D" w:rsidP="003F5A2D">
      <w:pPr>
        <w:pStyle w:val="ManualConsidrant"/>
        <w:rPr>
          <w:noProof/>
        </w:rPr>
      </w:pPr>
      <w:r w:rsidRPr="003F5A2D">
        <w:rPr>
          <w:noProof/>
        </w:rPr>
        <w:t>(9)</w:t>
      </w:r>
      <w:r w:rsidRPr="003F5A2D">
        <w:rPr>
          <w:noProof/>
        </w:rPr>
        <w:tab/>
      </w:r>
      <w:r w:rsidR="008772B4">
        <w:rPr>
          <w:noProof/>
        </w:rPr>
        <w:t>Since the objective of this Regulation, namely the revision of the conditions for the application of the safe third country concept, cannot be sufficiently achieved by the Member States and can only be achieved at Union level, the Union may adopt measures, in accordance with the principle of subsidiarity as set out in Article 5 of the Treaty on European Union (TEU). In accordance with the principle of proportionality, as set out in that Article, this Regulation does not go beyond what is necessary in order to achieve that objective.</w:t>
      </w:r>
    </w:p>
    <w:p w:rsidR="008772B4" w:rsidRPr="008F6E6A" w:rsidRDefault="003F5A2D" w:rsidP="003F5A2D">
      <w:pPr>
        <w:pStyle w:val="ManualConsidrant"/>
        <w:rPr>
          <w:noProof/>
        </w:rPr>
      </w:pPr>
      <w:r w:rsidRPr="003F5A2D">
        <w:rPr>
          <w:noProof/>
        </w:rPr>
        <w:t>(10)</w:t>
      </w:r>
      <w:r w:rsidRPr="003F5A2D">
        <w:rPr>
          <w:noProof/>
        </w:rPr>
        <w:tab/>
      </w:r>
      <w:r w:rsidR="008772B4">
        <w:rPr>
          <w:noProof/>
        </w:rPr>
        <w:t xml:space="preserve">[In accordance with Article 3 and Article 4a(1) of Protocol No 21 on the position of the United Kingdom and Ireland in respect of the area of freedom, security and justice, annexed to the Treaty on European Union and to the Treaty on the Functioning of the European Union, Ireland has notified [, by letter of …,] its wish to take part in the adoption and application of this [act.] </w:t>
      </w:r>
    </w:p>
    <w:p w:rsidR="008772B4" w:rsidRPr="008F6E6A" w:rsidRDefault="008772B4" w:rsidP="007B112E">
      <w:pPr>
        <w:ind w:left="720"/>
        <w:rPr>
          <w:noProof/>
        </w:rPr>
      </w:pPr>
      <w:r w:rsidRPr="008F6E6A">
        <w:rPr>
          <w:noProof/>
        </w:rPr>
        <w:t xml:space="preserve">OR </w:t>
      </w:r>
      <w:r w:rsidRPr="008F6E6A">
        <w:rPr>
          <w:noProof/>
        </w:rPr>
        <w:tab/>
      </w:r>
    </w:p>
    <w:p w:rsidR="008772B4" w:rsidRPr="008F6E6A" w:rsidRDefault="008772B4" w:rsidP="007B112E">
      <w:pPr>
        <w:ind w:left="720"/>
        <w:rPr>
          <w:noProof/>
        </w:rPr>
      </w:pPr>
      <w:r w:rsidRPr="008F6E6A">
        <w:rPr>
          <w:noProof/>
        </w:rPr>
        <w:t>[In accordance with Articles 1, 2 and Article 4a(1) of Protocol No 21 on the position of the United Kingdom and Ireland in respect of the area of freedom, security and justice, annexed to the Treaty on European Union and to the Treaty on the Functioning of the European Union, and without prejudice to Article 4 of that Protocol, Ireland is not taking part in the adoption of this [act] and is not bound by it or subject to its application.]</w:t>
      </w:r>
    </w:p>
    <w:p w:rsidR="008772B4" w:rsidRPr="008F6E6A" w:rsidRDefault="003F5A2D" w:rsidP="003F5A2D">
      <w:pPr>
        <w:pStyle w:val="ManualConsidrant"/>
        <w:rPr>
          <w:noProof/>
        </w:rPr>
      </w:pPr>
      <w:r w:rsidRPr="003F5A2D">
        <w:rPr>
          <w:noProof/>
        </w:rPr>
        <w:t>(11)</w:t>
      </w:r>
      <w:r w:rsidRPr="003F5A2D">
        <w:rPr>
          <w:noProof/>
        </w:rPr>
        <w:tab/>
      </w:r>
      <w:r w:rsidR="008772B4">
        <w:rPr>
          <w:noProof/>
        </w:rPr>
        <w:t>In accordance with Articles 1 and 2 of Protocol No 22 on the position of Denmark annexed to the Treaty on European Union and the Treaty on the Functioning of the European Union, Denmark is not taking part in the adoption of this Regulation and is not bound by it or subject to its application.</w:t>
      </w:r>
    </w:p>
    <w:p w:rsidR="008772B4" w:rsidRPr="008F6E6A" w:rsidRDefault="003F5A2D" w:rsidP="003F5A2D">
      <w:pPr>
        <w:pStyle w:val="ManualConsidrant"/>
        <w:rPr>
          <w:noProof/>
        </w:rPr>
      </w:pPr>
      <w:r w:rsidRPr="003F5A2D">
        <w:rPr>
          <w:noProof/>
        </w:rPr>
        <w:t>(12)</w:t>
      </w:r>
      <w:r w:rsidRPr="003F5A2D">
        <w:rPr>
          <w:noProof/>
        </w:rPr>
        <w:tab/>
      </w:r>
      <w:r w:rsidR="008772B4">
        <w:rPr>
          <w:noProof/>
        </w:rPr>
        <w:t>This Regulation respects the fundamental rights and observes the principles recognised in particular by the Charter of Fundamental Rights of the E</w:t>
      </w:r>
      <w:r w:rsidR="00EF1D1F">
        <w:rPr>
          <w:noProof/>
        </w:rPr>
        <w:t xml:space="preserve">uropean </w:t>
      </w:r>
      <w:r w:rsidR="008772B4">
        <w:rPr>
          <w:noProof/>
        </w:rPr>
        <w:t>U</w:t>
      </w:r>
      <w:r w:rsidR="00EF1D1F">
        <w:rPr>
          <w:noProof/>
        </w:rPr>
        <w:t>nion</w:t>
      </w:r>
      <w:r w:rsidR="008772B4">
        <w:rPr>
          <w:noProof/>
        </w:rPr>
        <w:t>.</w:t>
      </w:r>
    </w:p>
    <w:p w:rsidR="00693ED0" w:rsidRPr="008F6E6A" w:rsidRDefault="003F5A2D" w:rsidP="003F5A2D">
      <w:pPr>
        <w:pStyle w:val="ManualConsidrant"/>
        <w:rPr>
          <w:noProof/>
        </w:rPr>
      </w:pPr>
      <w:r w:rsidRPr="003F5A2D">
        <w:rPr>
          <w:noProof/>
        </w:rPr>
        <w:t>(13)</w:t>
      </w:r>
      <w:r w:rsidRPr="003F5A2D">
        <w:rPr>
          <w:noProof/>
        </w:rPr>
        <w:tab/>
      </w:r>
      <w:r w:rsidR="00693ED0">
        <w:rPr>
          <w:noProof/>
        </w:rPr>
        <w:t>Regulation (EU) 2024/1348 should therefore be amended accordingly</w:t>
      </w:r>
      <w:r w:rsidR="00AD4D37">
        <w:rPr>
          <w:noProof/>
        </w:rPr>
        <w:t>,</w:t>
      </w:r>
    </w:p>
    <w:p w:rsidR="00693ED0" w:rsidRPr="008F6E6A" w:rsidRDefault="00693ED0" w:rsidP="00693ED0">
      <w:pPr>
        <w:pStyle w:val="Formuledadoption"/>
        <w:rPr>
          <w:noProof/>
        </w:rPr>
      </w:pPr>
      <w:r w:rsidRPr="008F6E6A">
        <w:rPr>
          <w:noProof/>
        </w:rPr>
        <w:t>HAVE ADOPTED THIS REGULATION:</w:t>
      </w:r>
    </w:p>
    <w:p w:rsidR="00693ED0" w:rsidRPr="008F6E6A" w:rsidRDefault="00693ED0" w:rsidP="00693ED0">
      <w:pPr>
        <w:pStyle w:val="Titrearticle"/>
        <w:rPr>
          <w:noProof/>
        </w:rPr>
      </w:pPr>
      <w:r w:rsidRPr="008F6E6A">
        <w:rPr>
          <w:noProof/>
        </w:rPr>
        <w:t>Article 1</w:t>
      </w:r>
    </w:p>
    <w:p w:rsidR="00693ED0" w:rsidRPr="008F6E6A" w:rsidRDefault="00693ED0" w:rsidP="00693ED0">
      <w:pPr>
        <w:rPr>
          <w:noProof/>
        </w:rPr>
      </w:pPr>
      <w:r w:rsidRPr="008F6E6A">
        <w:rPr>
          <w:noProof/>
        </w:rPr>
        <w:t>Regulation (EU) 2024/1348 is amended as follows:</w:t>
      </w:r>
    </w:p>
    <w:p w:rsidR="00693ED0" w:rsidRPr="00C73C44" w:rsidRDefault="003F5A2D" w:rsidP="003F5A2D">
      <w:pPr>
        <w:pStyle w:val="Point0"/>
        <w:rPr>
          <w:noProof/>
        </w:rPr>
      </w:pPr>
      <w:r w:rsidRPr="003F5A2D">
        <w:rPr>
          <w:noProof/>
        </w:rPr>
        <w:t>(1)</w:t>
      </w:r>
      <w:r w:rsidRPr="003F5A2D">
        <w:rPr>
          <w:noProof/>
        </w:rPr>
        <w:tab/>
      </w:r>
      <w:r w:rsidR="00693ED0" w:rsidRPr="00C73C44">
        <w:rPr>
          <w:noProof/>
        </w:rPr>
        <w:t>Article 59(5) is amended as follows:</w:t>
      </w:r>
    </w:p>
    <w:p w:rsidR="00693ED0" w:rsidRPr="00C73C44" w:rsidRDefault="003F5A2D" w:rsidP="003F5A2D">
      <w:pPr>
        <w:pStyle w:val="Point1"/>
        <w:rPr>
          <w:noProof/>
        </w:rPr>
      </w:pPr>
      <w:r w:rsidRPr="003F5A2D">
        <w:rPr>
          <w:noProof/>
        </w:rPr>
        <w:t>(a)</w:t>
      </w:r>
      <w:r w:rsidRPr="003F5A2D">
        <w:rPr>
          <w:noProof/>
        </w:rPr>
        <w:tab/>
      </w:r>
      <w:r w:rsidR="00693ED0" w:rsidRPr="00C73C44">
        <w:rPr>
          <w:noProof/>
        </w:rPr>
        <w:t xml:space="preserve">point (b) is replaced by the following: </w:t>
      </w:r>
    </w:p>
    <w:p w:rsidR="00373D5E" w:rsidRPr="008F6E6A" w:rsidRDefault="00693ED0" w:rsidP="5E2CA672">
      <w:pPr>
        <w:ind w:left="1440"/>
        <w:rPr>
          <w:noProof/>
        </w:rPr>
      </w:pPr>
      <w:r w:rsidRPr="00C73C44">
        <w:rPr>
          <w:noProof/>
        </w:rPr>
        <w:t xml:space="preserve">‘(b) </w:t>
      </w:r>
      <w:r w:rsidR="00373D5E" w:rsidRPr="00C73C44">
        <w:rPr>
          <w:noProof/>
        </w:rPr>
        <w:t>one of the</w:t>
      </w:r>
      <w:r w:rsidR="00373D5E" w:rsidRPr="008F6E6A">
        <w:rPr>
          <w:noProof/>
        </w:rPr>
        <w:t xml:space="preserve"> following conditions </w:t>
      </w:r>
      <w:r w:rsidR="00036776">
        <w:rPr>
          <w:noProof/>
        </w:rPr>
        <w:t>is</w:t>
      </w:r>
      <w:r w:rsidR="00E82E91" w:rsidRPr="008F6E6A">
        <w:rPr>
          <w:noProof/>
        </w:rPr>
        <w:t xml:space="preserve"> </w:t>
      </w:r>
      <w:r w:rsidR="00373D5E" w:rsidRPr="008F6E6A">
        <w:rPr>
          <w:noProof/>
        </w:rPr>
        <w:t>met:</w:t>
      </w:r>
    </w:p>
    <w:p w:rsidR="00373D5E" w:rsidRPr="008F6E6A" w:rsidRDefault="104F5D30" w:rsidP="007B112E">
      <w:pPr>
        <w:pStyle w:val="Num"/>
        <w:rPr>
          <w:b/>
          <w:bCs/>
          <w:noProof/>
        </w:rPr>
      </w:pPr>
      <w:r>
        <w:rPr>
          <w:noProof/>
        </w:rPr>
        <w:t>there is a connection between the applicant and the third country</w:t>
      </w:r>
      <w:r w:rsidR="00B66282" w:rsidRPr="00B66282">
        <w:rPr>
          <w:noProof/>
        </w:rPr>
        <w:t xml:space="preserve"> </w:t>
      </w:r>
      <w:r w:rsidR="00B66282">
        <w:rPr>
          <w:noProof/>
        </w:rPr>
        <w:t>concerned</w:t>
      </w:r>
      <w:r w:rsidR="30030150">
        <w:rPr>
          <w:noProof/>
        </w:rPr>
        <w:t xml:space="preserve">, </w:t>
      </w:r>
      <w:r>
        <w:rPr>
          <w:noProof/>
        </w:rPr>
        <w:t>on the basis of which it would be reasonable for him or her to go to that country</w:t>
      </w:r>
      <w:r w:rsidR="00F133AD">
        <w:rPr>
          <w:noProof/>
        </w:rPr>
        <w:t>;</w:t>
      </w:r>
    </w:p>
    <w:p w:rsidR="00706323" w:rsidRPr="000A1BB0" w:rsidRDefault="007C0B96" w:rsidP="00706323">
      <w:pPr>
        <w:pStyle w:val="Num"/>
        <w:rPr>
          <w:b/>
          <w:bCs/>
          <w:noProof/>
        </w:rPr>
      </w:pPr>
      <w:r>
        <w:rPr>
          <w:noProof/>
        </w:rPr>
        <w:t>the applicant has transited through</w:t>
      </w:r>
      <w:r w:rsidR="00682B0B">
        <w:rPr>
          <w:noProof/>
        </w:rPr>
        <w:t xml:space="preserve"> the </w:t>
      </w:r>
      <w:r w:rsidR="00F133AD">
        <w:rPr>
          <w:noProof/>
        </w:rPr>
        <w:t>third country</w:t>
      </w:r>
      <w:r w:rsidR="00682B0B" w:rsidRPr="00682B0B">
        <w:rPr>
          <w:noProof/>
        </w:rPr>
        <w:t xml:space="preserve"> </w:t>
      </w:r>
      <w:r w:rsidR="00682B0B">
        <w:rPr>
          <w:noProof/>
        </w:rPr>
        <w:t>concerned</w:t>
      </w:r>
      <w:r w:rsidR="00F133AD">
        <w:rPr>
          <w:noProof/>
        </w:rPr>
        <w:t>;</w:t>
      </w:r>
    </w:p>
    <w:p w:rsidR="00693ED0" w:rsidRPr="004F7E22" w:rsidRDefault="00568A21" w:rsidP="007B112E">
      <w:pPr>
        <w:pStyle w:val="Num"/>
        <w:rPr>
          <w:b/>
          <w:bCs/>
          <w:noProof/>
        </w:rPr>
      </w:pPr>
      <w:r w:rsidRPr="000A1BB0">
        <w:rPr>
          <w:noProof/>
        </w:rPr>
        <w:t xml:space="preserve">there </w:t>
      </w:r>
      <w:r w:rsidR="72A7B1E1" w:rsidRPr="000A1BB0">
        <w:rPr>
          <w:noProof/>
        </w:rPr>
        <w:t>is a</w:t>
      </w:r>
      <w:r w:rsidR="45A029DC" w:rsidRPr="000A1BB0">
        <w:rPr>
          <w:noProof/>
        </w:rPr>
        <w:t>n</w:t>
      </w:r>
      <w:r w:rsidR="0800810D" w:rsidRPr="000A1BB0">
        <w:rPr>
          <w:noProof/>
        </w:rPr>
        <w:t xml:space="preserve"> </w:t>
      </w:r>
      <w:r w:rsidR="0E1D54AA" w:rsidRPr="000A1BB0">
        <w:rPr>
          <w:noProof/>
        </w:rPr>
        <w:t>agreement</w:t>
      </w:r>
      <w:r w:rsidR="00C972DA" w:rsidRPr="000A1BB0">
        <w:rPr>
          <w:noProof/>
        </w:rPr>
        <w:t xml:space="preserve"> </w:t>
      </w:r>
      <w:r w:rsidR="00173921" w:rsidRPr="000A1BB0">
        <w:rPr>
          <w:noProof/>
        </w:rPr>
        <w:t>or an arrangement</w:t>
      </w:r>
      <w:r w:rsidRPr="000A1BB0">
        <w:rPr>
          <w:noProof/>
        </w:rPr>
        <w:t xml:space="preserve"> </w:t>
      </w:r>
      <w:r w:rsidR="7734C9F0" w:rsidRPr="000A1BB0">
        <w:rPr>
          <w:noProof/>
        </w:rPr>
        <w:t>with</w:t>
      </w:r>
      <w:r w:rsidR="061B2D7E" w:rsidRPr="000A1BB0">
        <w:rPr>
          <w:noProof/>
        </w:rPr>
        <w:t xml:space="preserve"> </w:t>
      </w:r>
      <w:r w:rsidR="00B66282" w:rsidRPr="000A1BB0">
        <w:rPr>
          <w:noProof/>
        </w:rPr>
        <w:t>the</w:t>
      </w:r>
      <w:r w:rsidR="3BBAE1B0" w:rsidRPr="000A1BB0">
        <w:rPr>
          <w:noProof/>
        </w:rPr>
        <w:t xml:space="preserve"> </w:t>
      </w:r>
      <w:r w:rsidRPr="000A1BB0">
        <w:rPr>
          <w:noProof/>
        </w:rPr>
        <w:t>third</w:t>
      </w:r>
      <w:r>
        <w:rPr>
          <w:noProof/>
        </w:rPr>
        <w:t xml:space="preserve"> country</w:t>
      </w:r>
      <w:r w:rsidR="00F00CB9">
        <w:rPr>
          <w:noProof/>
        </w:rPr>
        <w:t xml:space="preserve"> </w:t>
      </w:r>
      <w:r w:rsidR="00C53A55">
        <w:rPr>
          <w:noProof/>
        </w:rPr>
        <w:t xml:space="preserve">concerned </w:t>
      </w:r>
      <w:r>
        <w:rPr>
          <w:noProof/>
        </w:rPr>
        <w:t xml:space="preserve">requiring the examination </w:t>
      </w:r>
      <w:r w:rsidR="204CEA76">
        <w:rPr>
          <w:noProof/>
        </w:rPr>
        <w:t xml:space="preserve">of the </w:t>
      </w:r>
      <w:r w:rsidR="4D3A57EE">
        <w:rPr>
          <w:noProof/>
        </w:rPr>
        <w:t xml:space="preserve">merits </w:t>
      </w:r>
      <w:r>
        <w:rPr>
          <w:noProof/>
        </w:rPr>
        <w:t>of the requests for effective protection</w:t>
      </w:r>
      <w:r w:rsidR="4D3A57EE">
        <w:rPr>
          <w:noProof/>
        </w:rPr>
        <w:t xml:space="preserve"> made by applicants subject to that agreement</w:t>
      </w:r>
      <w:r w:rsidR="00173921">
        <w:rPr>
          <w:noProof/>
        </w:rPr>
        <w:t xml:space="preserve"> or arrangement</w:t>
      </w:r>
      <w:r w:rsidR="00706323">
        <w:rPr>
          <w:noProof/>
        </w:rPr>
        <w:t>.</w:t>
      </w:r>
      <w:r w:rsidR="00F17DF3">
        <w:rPr>
          <w:noProof/>
        </w:rPr>
        <w:t>’</w:t>
      </w:r>
      <w:r w:rsidR="00E723A4">
        <w:rPr>
          <w:noProof/>
        </w:rPr>
        <w:t xml:space="preserve"> </w:t>
      </w:r>
    </w:p>
    <w:p w:rsidR="00693ED0" w:rsidRPr="004F7E22" w:rsidRDefault="003F5A2D" w:rsidP="003F5A2D">
      <w:pPr>
        <w:pStyle w:val="Point1"/>
        <w:rPr>
          <w:noProof/>
        </w:rPr>
      </w:pPr>
      <w:r w:rsidRPr="003F5A2D">
        <w:rPr>
          <w:noProof/>
        </w:rPr>
        <w:t>(b)</w:t>
      </w:r>
      <w:r w:rsidRPr="003F5A2D">
        <w:rPr>
          <w:noProof/>
        </w:rPr>
        <w:tab/>
      </w:r>
      <w:r w:rsidR="00693ED0" w:rsidRPr="004F7E22">
        <w:rPr>
          <w:noProof/>
        </w:rPr>
        <w:t xml:space="preserve">the following </w:t>
      </w:r>
      <w:r w:rsidR="002D30E6">
        <w:rPr>
          <w:noProof/>
        </w:rPr>
        <w:t xml:space="preserve">two </w:t>
      </w:r>
      <w:r w:rsidR="00693ED0" w:rsidRPr="004F7E22">
        <w:rPr>
          <w:noProof/>
        </w:rPr>
        <w:t>subparagraph</w:t>
      </w:r>
      <w:r w:rsidR="002D30E6">
        <w:rPr>
          <w:noProof/>
        </w:rPr>
        <w:t>s</w:t>
      </w:r>
      <w:r w:rsidR="00693ED0" w:rsidRPr="004F7E22">
        <w:rPr>
          <w:noProof/>
        </w:rPr>
        <w:t xml:space="preserve"> </w:t>
      </w:r>
      <w:r w:rsidR="00EE6F5E">
        <w:rPr>
          <w:noProof/>
        </w:rPr>
        <w:t>are</w:t>
      </w:r>
      <w:r w:rsidR="00EE6F5E" w:rsidRPr="004F7E22" w:rsidDel="00EE6F5E">
        <w:rPr>
          <w:noProof/>
        </w:rPr>
        <w:t xml:space="preserve"> </w:t>
      </w:r>
      <w:r w:rsidR="00693ED0" w:rsidRPr="004F7E22">
        <w:rPr>
          <w:noProof/>
        </w:rPr>
        <w:t>added:</w:t>
      </w:r>
    </w:p>
    <w:p w:rsidR="00682229" w:rsidRDefault="2EC87945" w:rsidP="009F59FA">
      <w:pPr>
        <w:ind w:left="1440"/>
        <w:rPr>
          <w:noProof/>
        </w:rPr>
      </w:pPr>
      <w:r>
        <w:rPr>
          <w:noProof/>
        </w:rPr>
        <w:t xml:space="preserve">‘In the application of the first paragraph, point (b), the best interests of the child shall be a primary consideration. </w:t>
      </w:r>
      <w:r w:rsidR="00B82A72">
        <w:rPr>
          <w:noProof/>
        </w:rPr>
        <w:t>The first paragraph, point (b)(iii), shall not apply where the applicant is an unaccompanied minor</w:t>
      </w:r>
      <w:r w:rsidR="007A5123">
        <w:rPr>
          <w:noProof/>
        </w:rPr>
        <w:t>.</w:t>
      </w:r>
      <w:r w:rsidR="00C627CB">
        <w:rPr>
          <w:noProof/>
        </w:rPr>
        <w:t xml:space="preserve"> </w:t>
      </w:r>
    </w:p>
    <w:p w:rsidR="00693ED0" w:rsidRPr="008F6E6A" w:rsidRDefault="008F1AFF" w:rsidP="009F59FA">
      <w:pPr>
        <w:ind w:left="1440"/>
        <w:rPr>
          <w:noProof/>
        </w:rPr>
      </w:pPr>
      <w:r w:rsidRPr="1CC664C9">
        <w:rPr>
          <w:rFonts w:eastAsia="Aptos"/>
          <w:noProof/>
        </w:rPr>
        <w:t>Member States shall inform the Commission and the other Member States</w:t>
      </w:r>
      <w:r>
        <w:rPr>
          <w:noProof/>
        </w:rPr>
        <w:t xml:space="preserve"> </w:t>
      </w:r>
      <w:r w:rsidR="00F30013">
        <w:rPr>
          <w:noProof/>
        </w:rPr>
        <w:t>p</w:t>
      </w:r>
      <w:r w:rsidR="00755D1E">
        <w:rPr>
          <w:noProof/>
        </w:rPr>
        <w:t xml:space="preserve">rior to concluding an agreement or arrangement </w:t>
      </w:r>
      <w:r w:rsidR="006B1491">
        <w:rPr>
          <w:noProof/>
        </w:rPr>
        <w:t>as referred to in</w:t>
      </w:r>
      <w:r w:rsidR="005D616F" w:rsidRPr="005D616F">
        <w:rPr>
          <w:noProof/>
        </w:rPr>
        <w:t xml:space="preserve"> </w:t>
      </w:r>
      <w:r w:rsidR="005D616F">
        <w:rPr>
          <w:noProof/>
        </w:rPr>
        <w:t>the first paragraph</w:t>
      </w:r>
      <w:r w:rsidR="00F35F37">
        <w:rPr>
          <w:noProof/>
        </w:rPr>
        <w:t xml:space="preserve">, </w:t>
      </w:r>
      <w:r w:rsidR="006B1491">
        <w:rPr>
          <w:noProof/>
        </w:rPr>
        <w:t xml:space="preserve">point </w:t>
      </w:r>
      <w:r w:rsidR="00755D1E">
        <w:rPr>
          <w:noProof/>
        </w:rPr>
        <w:t>(b)(iii)</w:t>
      </w:r>
      <w:r w:rsidR="00E86A2A" w:rsidRPr="00E86A2A">
        <w:rPr>
          <w:noProof/>
        </w:rPr>
        <w:t>.</w:t>
      </w:r>
      <w:r w:rsidR="00693ED0">
        <w:rPr>
          <w:noProof/>
        </w:rPr>
        <w:t>’</w:t>
      </w:r>
    </w:p>
    <w:p w:rsidR="00693ED0" w:rsidRPr="008F6E6A" w:rsidRDefault="003F5A2D" w:rsidP="003F5A2D">
      <w:pPr>
        <w:pStyle w:val="Point0"/>
        <w:rPr>
          <w:noProof/>
        </w:rPr>
      </w:pPr>
      <w:r w:rsidRPr="003F5A2D">
        <w:rPr>
          <w:noProof/>
        </w:rPr>
        <w:t>(2)</w:t>
      </w:r>
      <w:r w:rsidRPr="003F5A2D">
        <w:rPr>
          <w:noProof/>
        </w:rPr>
        <w:tab/>
      </w:r>
      <w:r w:rsidR="00693ED0" w:rsidRPr="008F6E6A">
        <w:rPr>
          <w:noProof/>
        </w:rPr>
        <w:t>In Article 68 (3), point (b) is replaced by the following:</w:t>
      </w:r>
    </w:p>
    <w:p w:rsidR="00693ED0" w:rsidRPr="008F6E6A" w:rsidRDefault="00693ED0" w:rsidP="00693ED0">
      <w:pPr>
        <w:ind w:left="1440"/>
        <w:rPr>
          <w:noProof/>
        </w:rPr>
      </w:pPr>
      <w:r w:rsidRPr="008F6E6A">
        <w:rPr>
          <w:noProof/>
        </w:rPr>
        <w:t>‘(b) a decision which rejects an application as inadmissible pursuant to Article 38(1), point (a), (b), (d) or (e), or Article 38(2), except where the applicant is an unaccompanied minor subject to the border procedure.’</w:t>
      </w:r>
    </w:p>
    <w:p w:rsidR="00693ED0" w:rsidRPr="008F6E6A" w:rsidRDefault="00693ED0" w:rsidP="00693ED0">
      <w:pPr>
        <w:pStyle w:val="Titrearticle"/>
        <w:rPr>
          <w:noProof/>
        </w:rPr>
      </w:pPr>
      <w:r w:rsidRPr="008F6E6A">
        <w:rPr>
          <w:noProof/>
        </w:rPr>
        <w:t>Article 2</w:t>
      </w:r>
    </w:p>
    <w:p w:rsidR="00693ED0" w:rsidRPr="008F6E6A" w:rsidRDefault="00693ED0" w:rsidP="00693ED0">
      <w:pPr>
        <w:rPr>
          <w:noProof/>
        </w:rPr>
      </w:pPr>
      <w:r w:rsidRPr="008F6E6A">
        <w:rPr>
          <w:noProof/>
        </w:rPr>
        <w:t xml:space="preserve">This Regulation shall enter into force on the  day following that of its publication in the </w:t>
      </w:r>
      <w:r w:rsidRPr="008F6E6A">
        <w:rPr>
          <w:i/>
          <w:noProof/>
        </w:rPr>
        <w:t>Official Journal of the European Union</w:t>
      </w:r>
      <w:r w:rsidRPr="008F6E6A">
        <w:rPr>
          <w:noProof/>
        </w:rPr>
        <w:t>.</w:t>
      </w:r>
    </w:p>
    <w:p w:rsidR="00693ED0" w:rsidRPr="008F6E6A" w:rsidRDefault="00693ED0" w:rsidP="00693ED0">
      <w:pPr>
        <w:pStyle w:val="Applicationdirecte"/>
        <w:rPr>
          <w:noProof/>
        </w:rPr>
      </w:pPr>
      <w:r w:rsidRPr="008F6E6A">
        <w:rPr>
          <w:noProof/>
        </w:rPr>
        <w:t>This Regulation shall be binding in its entirety and directly applicable in the Member States in accordance with the Treaties.</w:t>
      </w:r>
    </w:p>
    <w:p w:rsidR="00201A77" w:rsidRPr="008F6E6A" w:rsidRDefault="00150177" w:rsidP="006E7D1C">
      <w:pPr>
        <w:pStyle w:val="Fait"/>
        <w:rPr>
          <w:noProof/>
        </w:rPr>
      </w:pPr>
      <w:r>
        <w:rPr>
          <w:noProof/>
        </w:rPr>
        <w:t>Done at Brussels,</w:t>
      </w:r>
    </w:p>
    <w:p w:rsidR="00201A77" w:rsidRPr="008F6E6A" w:rsidRDefault="00201A77" w:rsidP="006E7D1C">
      <w:pPr>
        <w:pStyle w:val="Institutionquisigne"/>
        <w:rPr>
          <w:noProof/>
        </w:rPr>
      </w:pPr>
      <w:r w:rsidRPr="008F6E6A">
        <w:rPr>
          <w:noProof/>
        </w:rPr>
        <w:t>For the European Parliament</w:t>
      </w:r>
      <w:r w:rsidRPr="008F6E6A">
        <w:rPr>
          <w:noProof/>
        </w:rPr>
        <w:tab/>
      </w:r>
      <w:r w:rsidR="003C4DC3" w:rsidRPr="008F6E6A">
        <w:rPr>
          <w:noProof/>
        </w:rPr>
        <w:t>for</w:t>
      </w:r>
      <w:r w:rsidRPr="008F6E6A">
        <w:rPr>
          <w:noProof/>
        </w:rPr>
        <w:t xml:space="preserve"> the Council</w:t>
      </w:r>
    </w:p>
    <w:p w:rsidR="00201A77" w:rsidRPr="008F6E6A" w:rsidRDefault="00201A77" w:rsidP="00201A77">
      <w:pPr>
        <w:pStyle w:val="Personnequisigne"/>
        <w:rPr>
          <w:noProof/>
        </w:rPr>
      </w:pPr>
      <w:r w:rsidRPr="008F6E6A">
        <w:rPr>
          <w:noProof/>
        </w:rPr>
        <w:t>The President</w:t>
      </w:r>
      <w:r w:rsidRPr="008F6E6A">
        <w:rPr>
          <w:noProof/>
        </w:rPr>
        <w:tab/>
        <w:t>The President</w:t>
      </w:r>
    </w:p>
    <w:p w:rsidR="00201A77" w:rsidRPr="008F6E6A" w:rsidRDefault="00201A77" w:rsidP="00201A77">
      <w:pPr>
        <w:rPr>
          <w:noProof/>
        </w:rPr>
        <w:sectPr w:rsidR="00201A77" w:rsidRPr="008F6E6A" w:rsidSect="00A05E51">
          <w:pgSz w:w="11907" w:h="16839"/>
          <w:pgMar w:top="1134" w:right="1417" w:bottom="1134" w:left="1417" w:header="709" w:footer="709" w:gutter="0"/>
          <w:cols w:space="708"/>
          <w:docGrid w:linePitch="360"/>
        </w:sectPr>
      </w:pPr>
    </w:p>
    <w:p w:rsidR="00693ED0" w:rsidRPr="008F6E6A" w:rsidRDefault="00693ED0" w:rsidP="00693ED0">
      <w:pPr>
        <w:pStyle w:val="Fichefinanciretitre"/>
        <w:keepNext/>
        <w:rPr>
          <w:noProof/>
        </w:rPr>
      </w:pPr>
      <w:r w:rsidRPr="008F6E6A">
        <w:rPr>
          <w:noProof/>
        </w:rPr>
        <w:t>LEGISLATIVE FINANCIAL AND DIGITAL STATEMENT</w:t>
      </w:r>
    </w:p>
    <w:p w:rsidR="00693ED0" w:rsidRPr="008F6E6A" w:rsidRDefault="00693ED0" w:rsidP="00693ED0">
      <w:pPr>
        <w:pStyle w:val="TOC1"/>
        <w:rPr>
          <w:rFonts w:asciiTheme="minorHAnsi" w:eastAsiaTheme="minorEastAsia" w:hAnsiTheme="minorHAnsi" w:cstheme="minorBidi"/>
          <w:noProof/>
          <w:kern w:val="2"/>
          <w:sz w:val="22"/>
          <w:lang w:eastAsia="en-GB"/>
          <w14:ligatures w14:val="standardContextual"/>
        </w:rPr>
      </w:pPr>
      <w:r w:rsidRPr="008F6E6A">
        <w:rPr>
          <w:noProof/>
        </w:rPr>
        <w:t>1.</w:t>
      </w:r>
      <w:r w:rsidRPr="008F6E6A">
        <w:rPr>
          <w:rFonts w:asciiTheme="minorHAnsi" w:eastAsiaTheme="minorEastAsia" w:hAnsiTheme="minorHAnsi" w:cstheme="minorBidi"/>
          <w:noProof/>
          <w:kern w:val="2"/>
          <w:sz w:val="22"/>
          <w:lang w:eastAsia="en-GB"/>
          <w14:ligatures w14:val="standardContextual"/>
        </w:rPr>
        <w:tab/>
      </w:r>
      <w:r w:rsidRPr="008F6E6A">
        <w:rPr>
          <w:noProof/>
        </w:rPr>
        <w:t>FRAMEWORK OF THE PROPOSAL/INITIATIVE</w:t>
      </w:r>
      <w:r w:rsidRPr="008F6E6A">
        <w:rPr>
          <w:noProof/>
          <w:webHidden/>
        </w:rPr>
        <w:tab/>
        <w:t>3</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1.1.</w:t>
      </w:r>
      <w:r w:rsidRPr="008F6E6A">
        <w:rPr>
          <w:rFonts w:asciiTheme="minorHAnsi" w:eastAsiaTheme="minorEastAsia" w:hAnsiTheme="minorHAnsi" w:cstheme="minorBidi"/>
          <w:noProof/>
          <w:kern w:val="2"/>
          <w:sz w:val="22"/>
          <w:lang w:eastAsia="en-GB"/>
          <w14:ligatures w14:val="standardContextual"/>
        </w:rPr>
        <w:tab/>
      </w:r>
      <w:r w:rsidRPr="008F6E6A">
        <w:rPr>
          <w:noProof/>
        </w:rPr>
        <w:t>Title of the proposal/initiative</w:t>
      </w:r>
      <w:r w:rsidRPr="008F6E6A">
        <w:rPr>
          <w:noProof/>
          <w:webHidden/>
        </w:rPr>
        <w:tab/>
        <w:t>3</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1.2.</w:t>
      </w:r>
      <w:r w:rsidRPr="008F6E6A">
        <w:rPr>
          <w:rFonts w:asciiTheme="minorHAnsi" w:eastAsiaTheme="minorEastAsia" w:hAnsiTheme="minorHAnsi" w:cstheme="minorBidi"/>
          <w:noProof/>
          <w:kern w:val="2"/>
          <w:sz w:val="22"/>
          <w:lang w:eastAsia="en-GB"/>
          <w14:ligatures w14:val="standardContextual"/>
        </w:rPr>
        <w:tab/>
      </w:r>
      <w:r w:rsidRPr="008F6E6A">
        <w:rPr>
          <w:noProof/>
        </w:rPr>
        <w:t>Policy area(s) concerned</w:t>
      </w:r>
      <w:r w:rsidRPr="008F6E6A">
        <w:rPr>
          <w:noProof/>
          <w:webHidden/>
        </w:rPr>
        <w:tab/>
        <w:t>3</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1.3.</w:t>
      </w:r>
      <w:r w:rsidRPr="008F6E6A">
        <w:rPr>
          <w:rFonts w:asciiTheme="minorHAnsi" w:eastAsiaTheme="minorEastAsia" w:hAnsiTheme="minorHAnsi" w:cstheme="minorBidi"/>
          <w:noProof/>
          <w:kern w:val="2"/>
          <w:sz w:val="22"/>
          <w:lang w:eastAsia="en-GB"/>
          <w14:ligatures w14:val="standardContextual"/>
        </w:rPr>
        <w:tab/>
      </w:r>
      <w:r w:rsidRPr="008F6E6A">
        <w:rPr>
          <w:noProof/>
        </w:rPr>
        <w:t>Objective(s)</w:t>
      </w:r>
      <w:r w:rsidRPr="008F6E6A">
        <w:rPr>
          <w:noProof/>
          <w:webHidden/>
        </w:rPr>
        <w:tab/>
        <w:t>3</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1.3.1.</w:t>
      </w:r>
      <w:r w:rsidRPr="008F6E6A">
        <w:rPr>
          <w:rFonts w:asciiTheme="minorHAnsi" w:eastAsiaTheme="minorEastAsia" w:hAnsiTheme="minorHAnsi" w:cstheme="minorBidi"/>
          <w:noProof/>
          <w:kern w:val="2"/>
          <w:sz w:val="22"/>
          <w:lang w:eastAsia="en-GB"/>
          <w14:ligatures w14:val="standardContextual"/>
        </w:rPr>
        <w:tab/>
      </w:r>
      <w:r w:rsidRPr="008F6E6A">
        <w:rPr>
          <w:noProof/>
        </w:rPr>
        <w:t>General objective(s)</w:t>
      </w:r>
      <w:r w:rsidRPr="008F6E6A">
        <w:rPr>
          <w:noProof/>
          <w:webHidden/>
        </w:rPr>
        <w:tab/>
        <w:t>3</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1.3.2.</w:t>
      </w:r>
      <w:r w:rsidRPr="008F6E6A">
        <w:rPr>
          <w:rFonts w:asciiTheme="minorHAnsi" w:eastAsiaTheme="minorEastAsia" w:hAnsiTheme="minorHAnsi" w:cstheme="minorBidi"/>
          <w:noProof/>
          <w:kern w:val="2"/>
          <w:sz w:val="22"/>
          <w:lang w:eastAsia="en-GB"/>
          <w14:ligatures w14:val="standardContextual"/>
        </w:rPr>
        <w:tab/>
      </w:r>
      <w:r w:rsidRPr="008F6E6A">
        <w:rPr>
          <w:noProof/>
        </w:rPr>
        <w:t>Specific objective(s)</w:t>
      </w:r>
      <w:r w:rsidRPr="008F6E6A">
        <w:rPr>
          <w:noProof/>
          <w:webHidden/>
        </w:rPr>
        <w:tab/>
        <w:t>3</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1.3.3.</w:t>
      </w:r>
      <w:r w:rsidRPr="008F6E6A">
        <w:rPr>
          <w:rFonts w:asciiTheme="minorHAnsi" w:eastAsiaTheme="minorEastAsia" w:hAnsiTheme="minorHAnsi" w:cstheme="minorBidi"/>
          <w:noProof/>
          <w:kern w:val="2"/>
          <w:sz w:val="22"/>
          <w:lang w:eastAsia="en-GB"/>
          <w14:ligatures w14:val="standardContextual"/>
        </w:rPr>
        <w:tab/>
      </w:r>
      <w:r w:rsidRPr="008F6E6A">
        <w:rPr>
          <w:noProof/>
        </w:rPr>
        <w:t>Expected result(s) and impact</w:t>
      </w:r>
      <w:r w:rsidRPr="008F6E6A">
        <w:rPr>
          <w:noProof/>
          <w:webHidden/>
        </w:rPr>
        <w:tab/>
        <w:t>3</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1.3.4.</w:t>
      </w:r>
      <w:r w:rsidRPr="008F6E6A">
        <w:rPr>
          <w:rFonts w:asciiTheme="minorHAnsi" w:eastAsiaTheme="minorEastAsia" w:hAnsiTheme="minorHAnsi" w:cstheme="minorBidi"/>
          <w:noProof/>
          <w:kern w:val="2"/>
          <w:sz w:val="22"/>
          <w:lang w:eastAsia="en-GB"/>
          <w14:ligatures w14:val="standardContextual"/>
        </w:rPr>
        <w:tab/>
      </w:r>
      <w:r w:rsidRPr="008F6E6A">
        <w:rPr>
          <w:noProof/>
        </w:rPr>
        <w:t>Indicators of performance</w:t>
      </w:r>
      <w:r w:rsidRPr="008F6E6A">
        <w:rPr>
          <w:noProof/>
          <w:webHidden/>
        </w:rPr>
        <w:tab/>
        <w:t>3</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1.4.</w:t>
      </w:r>
      <w:r w:rsidRPr="008F6E6A">
        <w:rPr>
          <w:rFonts w:asciiTheme="minorHAnsi" w:eastAsiaTheme="minorEastAsia" w:hAnsiTheme="minorHAnsi" w:cstheme="minorBidi"/>
          <w:noProof/>
          <w:kern w:val="2"/>
          <w:sz w:val="22"/>
          <w:lang w:eastAsia="en-GB"/>
          <w14:ligatures w14:val="standardContextual"/>
        </w:rPr>
        <w:tab/>
      </w:r>
      <w:r w:rsidRPr="008F6E6A">
        <w:rPr>
          <w:noProof/>
        </w:rPr>
        <w:t>The proposal/initiative relates to:</w:t>
      </w:r>
      <w:r w:rsidRPr="008F6E6A">
        <w:rPr>
          <w:noProof/>
          <w:webHidden/>
        </w:rPr>
        <w:tab/>
        <w:t>4</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1.5.</w:t>
      </w:r>
      <w:r w:rsidRPr="008F6E6A">
        <w:rPr>
          <w:rFonts w:asciiTheme="minorHAnsi" w:eastAsiaTheme="minorEastAsia" w:hAnsiTheme="minorHAnsi" w:cstheme="minorBidi"/>
          <w:noProof/>
          <w:kern w:val="2"/>
          <w:sz w:val="22"/>
          <w:lang w:eastAsia="en-GB"/>
          <w14:ligatures w14:val="standardContextual"/>
        </w:rPr>
        <w:tab/>
      </w:r>
      <w:r w:rsidRPr="008F6E6A">
        <w:rPr>
          <w:noProof/>
        </w:rPr>
        <w:t>Grounds for the proposal/initiative</w:t>
      </w:r>
      <w:r w:rsidRPr="008F6E6A">
        <w:rPr>
          <w:noProof/>
          <w:webHidden/>
        </w:rPr>
        <w:tab/>
        <w:t>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1.5.1.</w:t>
      </w:r>
      <w:r w:rsidRPr="008F6E6A">
        <w:rPr>
          <w:rFonts w:asciiTheme="minorHAnsi" w:eastAsiaTheme="minorEastAsia" w:hAnsiTheme="minorHAnsi" w:cstheme="minorBidi"/>
          <w:noProof/>
          <w:kern w:val="2"/>
          <w:sz w:val="22"/>
          <w:lang w:eastAsia="en-GB"/>
          <w14:ligatures w14:val="standardContextual"/>
        </w:rPr>
        <w:tab/>
      </w:r>
      <w:r w:rsidRPr="008F6E6A">
        <w:rPr>
          <w:noProof/>
        </w:rPr>
        <w:t>Requirement(s) to be met in the short or long</w:t>
      </w:r>
      <w:r w:rsidR="007B112E">
        <w:rPr>
          <w:noProof/>
        </w:rPr>
        <w:t>-</w:t>
      </w:r>
      <w:r w:rsidRPr="008F6E6A">
        <w:rPr>
          <w:noProof/>
        </w:rPr>
        <w:t>term including a detailed timeline for roll-out of the implementation of the initiative</w:t>
      </w:r>
      <w:r w:rsidRPr="008F6E6A">
        <w:rPr>
          <w:noProof/>
          <w:webHidden/>
        </w:rPr>
        <w:tab/>
        <w:t>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1.5.2.</w:t>
      </w:r>
      <w:r w:rsidRPr="008F6E6A">
        <w:rPr>
          <w:rFonts w:asciiTheme="minorHAnsi" w:eastAsiaTheme="minorEastAsia" w:hAnsiTheme="minorHAnsi" w:cstheme="minorBidi"/>
          <w:noProof/>
          <w:kern w:val="2"/>
          <w:sz w:val="22"/>
          <w:lang w:eastAsia="en-GB"/>
          <w14:ligatures w14:val="standardContextual"/>
        </w:rPr>
        <w:tab/>
      </w:r>
      <w:r w:rsidRPr="008F6E6A">
        <w:rPr>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sidRPr="008F6E6A">
        <w:rPr>
          <w:noProof/>
          <w:webHidden/>
        </w:rPr>
        <w:tab/>
        <w:t>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1.5.3.</w:t>
      </w:r>
      <w:r w:rsidRPr="008F6E6A">
        <w:rPr>
          <w:rFonts w:asciiTheme="minorHAnsi" w:eastAsiaTheme="minorEastAsia" w:hAnsiTheme="minorHAnsi" w:cstheme="minorBidi"/>
          <w:noProof/>
          <w:kern w:val="2"/>
          <w:sz w:val="22"/>
          <w:lang w:eastAsia="en-GB"/>
          <w14:ligatures w14:val="standardContextual"/>
        </w:rPr>
        <w:tab/>
      </w:r>
      <w:r w:rsidRPr="008F6E6A">
        <w:rPr>
          <w:noProof/>
        </w:rPr>
        <w:t>Lessons learned from similar experiences in the past</w:t>
      </w:r>
      <w:r w:rsidRPr="008F6E6A">
        <w:rPr>
          <w:noProof/>
          <w:webHidden/>
        </w:rPr>
        <w:tab/>
        <w:t>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1.5.4.</w:t>
      </w:r>
      <w:r w:rsidRPr="008F6E6A">
        <w:rPr>
          <w:rFonts w:asciiTheme="minorHAnsi" w:eastAsiaTheme="minorEastAsia" w:hAnsiTheme="minorHAnsi" w:cstheme="minorBidi"/>
          <w:noProof/>
          <w:kern w:val="2"/>
          <w:sz w:val="22"/>
          <w:lang w:eastAsia="en-GB"/>
          <w14:ligatures w14:val="standardContextual"/>
        </w:rPr>
        <w:tab/>
      </w:r>
      <w:r w:rsidRPr="008F6E6A">
        <w:rPr>
          <w:noProof/>
        </w:rPr>
        <w:t>Compatibility with the multiannual financial framework and possible synergies with other appropriate instruments</w:t>
      </w:r>
      <w:r w:rsidRPr="008F6E6A">
        <w:rPr>
          <w:noProof/>
          <w:webHidden/>
        </w:rPr>
        <w:tab/>
        <w:t>5</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1.5.5.</w:t>
      </w:r>
      <w:r w:rsidRPr="008F6E6A">
        <w:rPr>
          <w:rFonts w:asciiTheme="minorHAnsi" w:eastAsiaTheme="minorEastAsia" w:hAnsiTheme="minorHAnsi" w:cstheme="minorBidi"/>
          <w:noProof/>
          <w:kern w:val="2"/>
          <w:sz w:val="22"/>
          <w:lang w:eastAsia="en-GB"/>
          <w14:ligatures w14:val="standardContextual"/>
        </w:rPr>
        <w:tab/>
      </w:r>
      <w:r w:rsidRPr="008F6E6A">
        <w:rPr>
          <w:noProof/>
        </w:rPr>
        <w:t>Assessment of the different available financing options, including scope for redeployment</w:t>
      </w:r>
      <w:r w:rsidRPr="008F6E6A">
        <w:rPr>
          <w:noProof/>
          <w:webHidden/>
        </w:rPr>
        <w:tab/>
        <w:t>5</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1.6.</w:t>
      </w:r>
      <w:r w:rsidRPr="008F6E6A">
        <w:rPr>
          <w:rFonts w:asciiTheme="minorHAnsi" w:eastAsiaTheme="minorEastAsia" w:hAnsiTheme="minorHAnsi" w:cstheme="minorBidi"/>
          <w:noProof/>
          <w:kern w:val="2"/>
          <w:sz w:val="22"/>
          <w:lang w:eastAsia="en-GB"/>
          <w14:ligatures w14:val="standardContextual"/>
        </w:rPr>
        <w:tab/>
      </w:r>
      <w:r w:rsidRPr="008F6E6A">
        <w:rPr>
          <w:noProof/>
        </w:rPr>
        <w:t>Duration of the proposal/initiative and of its financial impact</w:t>
      </w:r>
      <w:r w:rsidRPr="008F6E6A">
        <w:rPr>
          <w:noProof/>
          <w:webHidden/>
        </w:rPr>
        <w:tab/>
        <w:t>6</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1.7.</w:t>
      </w:r>
      <w:r w:rsidRPr="008F6E6A">
        <w:rPr>
          <w:rFonts w:asciiTheme="minorHAnsi" w:eastAsiaTheme="minorEastAsia" w:hAnsiTheme="minorHAnsi" w:cstheme="minorBidi"/>
          <w:noProof/>
          <w:kern w:val="2"/>
          <w:sz w:val="22"/>
          <w:lang w:eastAsia="en-GB"/>
          <w14:ligatures w14:val="standardContextual"/>
        </w:rPr>
        <w:tab/>
      </w:r>
      <w:r w:rsidRPr="008F6E6A">
        <w:rPr>
          <w:noProof/>
        </w:rPr>
        <w:t>Method(s) of budget implementation planned</w:t>
      </w:r>
      <w:r w:rsidRPr="008F6E6A">
        <w:rPr>
          <w:noProof/>
          <w:webHidden/>
        </w:rPr>
        <w:tab/>
        <w:t>6</w:t>
      </w:r>
    </w:p>
    <w:p w:rsidR="00693ED0" w:rsidRPr="008F6E6A" w:rsidRDefault="00693ED0" w:rsidP="00693ED0">
      <w:pPr>
        <w:pStyle w:val="TOC1"/>
        <w:rPr>
          <w:rFonts w:asciiTheme="minorHAnsi" w:eastAsiaTheme="minorEastAsia" w:hAnsiTheme="minorHAnsi" w:cstheme="minorBidi"/>
          <w:noProof/>
          <w:kern w:val="2"/>
          <w:sz w:val="22"/>
          <w:lang w:eastAsia="en-GB"/>
          <w14:ligatures w14:val="standardContextual"/>
        </w:rPr>
      </w:pPr>
      <w:r w:rsidRPr="008F6E6A">
        <w:rPr>
          <w:noProof/>
        </w:rPr>
        <w:t>2.</w:t>
      </w:r>
      <w:r w:rsidRPr="008F6E6A">
        <w:rPr>
          <w:rFonts w:asciiTheme="minorHAnsi" w:eastAsiaTheme="minorEastAsia" w:hAnsiTheme="minorHAnsi" w:cstheme="minorBidi"/>
          <w:noProof/>
          <w:kern w:val="2"/>
          <w:sz w:val="22"/>
          <w:lang w:eastAsia="en-GB"/>
          <w14:ligatures w14:val="standardContextual"/>
        </w:rPr>
        <w:tab/>
      </w:r>
      <w:r w:rsidRPr="008F6E6A">
        <w:rPr>
          <w:noProof/>
        </w:rPr>
        <w:t>MANAGEMENT MEASURES</w:t>
      </w:r>
      <w:r w:rsidRPr="008F6E6A">
        <w:rPr>
          <w:noProof/>
          <w:webHidden/>
        </w:rPr>
        <w:tab/>
        <w:t>8</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2.1.</w:t>
      </w:r>
      <w:r w:rsidRPr="008F6E6A">
        <w:rPr>
          <w:rFonts w:asciiTheme="minorHAnsi" w:eastAsiaTheme="minorEastAsia" w:hAnsiTheme="minorHAnsi" w:cstheme="minorBidi"/>
          <w:noProof/>
          <w:kern w:val="2"/>
          <w:sz w:val="22"/>
          <w:lang w:eastAsia="en-GB"/>
          <w14:ligatures w14:val="standardContextual"/>
        </w:rPr>
        <w:tab/>
      </w:r>
      <w:r w:rsidRPr="008F6E6A">
        <w:rPr>
          <w:noProof/>
        </w:rPr>
        <w:t>Monitoring and reporting rules</w:t>
      </w:r>
      <w:r w:rsidRPr="008F6E6A">
        <w:rPr>
          <w:noProof/>
          <w:webHidden/>
        </w:rPr>
        <w:tab/>
        <w:t>8</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2.2.</w:t>
      </w:r>
      <w:r w:rsidRPr="008F6E6A">
        <w:rPr>
          <w:rFonts w:asciiTheme="minorHAnsi" w:eastAsiaTheme="minorEastAsia" w:hAnsiTheme="minorHAnsi" w:cstheme="minorBidi"/>
          <w:noProof/>
          <w:kern w:val="2"/>
          <w:sz w:val="22"/>
          <w:lang w:eastAsia="en-GB"/>
          <w14:ligatures w14:val="standardContextual"/>
        </w:rPr>
        <w:tab/>
      </w:r>
      <w:r w:rsidRPr="008F6E6A">
        <w:rPr>
          <w:noProof/>
        </w:rPr>
        <w:t>Management and control system(s)</w:t>
      </w:r>
      <w:r w:rsidRPr="008F6E6A">
        <w:rPr>
          <w:noProof/>
          <w:webHidden/>
        </w:rPr>
        <w:tab/>
        <w:t>8</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2.2.1.</w:t>
      </w:r>
      <w:r w:rsidRPr="008F6E6A">
        <w:rPr>
          <w:rFonts w:asciiTheme="minorHAnsi" w:eastAsiaTheme="minorEastAsia" w:hAnsiTheme="minorHAnsi" w:cstheme="minorBidi"/>
          <w:noProof/>
          <w:kern w:val="2"/>
          <w:sz w:val="22"/>
          <w:lang w:eastAsia="en-GB"/>
          <w14:ligatures w14:val="standardContextual"/>
        </w:rPr>
        <w:tab/>
      </w:r>
      <w:r w:rsidRPr="008F6E6A">
        <w:rPr>
          <w:noProof/>
        </w:rPr>
        <w:t>Justification of the budget implementation method(s), the funding implementation mechanism(s), the payment modalities and the control strategy proposed</w:t>
      </w:r>
      <w:r w:rsidRPr="008F6E6A">
        <w:rPr>
          <w:noProof/>
          <w:webHidden/>
        </w:rPr>
        <w:tab/>
        <w:t>8</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2.2.2.</w:t>
      </w:r>
      <w:r w:rsidRPr="008F6E6A">
        <w:rPr>
          <w:rFonts w:asciiTheme="minorHAnsi" w:eastAsiaTheme="minorEastAsia" w:hAnsiTheme="minorHAnsi" w:cstheme="minorBidi"/>
          <w:noProof/>
          <w:kern w:val="2"/>
          <w:sz w:val="22"/>
          <w:lang w:eastAsia="en-GB"/>
          <w14:ligatures w14:val="standardContextual"/>
        </w:rPr>
        <w:tab/>
      </w:r>
      <w:r w:rsidRPr="008F6E6A">
        <w:rPr>
          <w:noProof/>
        </w:rPr>
        <w:t>Information concerning the risks identified and the internal control system(s) set up to mitigate them</w:t>
      </w:r>
      <w:r w:rsidRPr="008F6E6A">
        <w:rPr>
          <w:noProof/>
          <w:webHidden/>
        </w:rPr>
        <w:tab/>
        <w:t>8</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2.2.3.</w:t>
      </w:r>
      <w:r w:rsidRPr="008F6E6A">
        <w:rPr>
          <w:rFonts w:asciiTheme="minorHAnsi" w:eastAsiaTheme="minorEastAsia" w:hAnsiTheme="minorHAnsi" w:cstheme="minorBidi"/>
          <w:noProof/>
          <w:kern w:val="2"/>
          <w:sz w:val="22"/>
          <w:lang w:eastAsia="en-GB"/>
          <w14:ligatures w14:val="standardContextual"/>
        </w:rPr>
        <w:tab/>
      </w:r>
      <w:r w:rsidRPr="008F6E6A">
        <w:rPr>
          <w:noProof/>
        </w:rPr>
        <w:t>Estimation and justification of the cost-effectiveness of the controls (ratio between the control costs</w:t>
      </w:r>
      <w:r w:rsidR="00601BCE" w:rsidRPr="008F6E6A">
        <w:rPr>
          <w:noProof/>
        </w:rPr>
        <w:t xml:space="preserve"> </w:t>
      </w:r>
      <w:r w:rsidRPr="008F6E6A">
        <w:rPr>
          <w:noProof/>
        </w:rPr>
        <w:t>and the value of the related funds managed), and assessment of the expected levels of risk of error (at payment &amp; at closure)</w:t>
      </w:r>
      <w:r w:rsidRPr="008F6E6A">
        <w:rPr>
          <w:noProof/>
          <w:webHidden/>
        </w:rPr>
        <w:tab/>
        <w:t>8</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2.3.</w:t>
      </w:r>
      <w:r w:rsidRPr="008F6E6A">
        <w:rPr>
          <w:rFonts w:asciiTheme="minorHAnsi" w:eastAsiaTheme="minorEastAsia" w:hAnsiTheme="minorHAnsi" w:cstheme="minorBidi"/>
          <w:noProof/>
          <w:kern w:val="2"/>
          <w:sz w:val="22"/>
          <w:lang w:eastAsia="en-GB"/>
          <w14:ligatures w14:val="standardContextual"/>
        </w:rPr>
        <w:tab/>
      </w:r>
      <w:r w:rsidRPr="008F6E6A">
        <w:rPr>
          <w:noProof/>
        </w:rPr>
        <w:t>Measures to prevent fraud and irregularities</w:t>
      </w:r>
      <w:r w:rsidRPr="008F6E6A">
        <w:rPr>
          <w:noProof/>
          <w:webHidden/>
        </w:rPr>
        <w:tab/>
        <w:t>9</w:t>
      </w:r>
    </w:p>
    <w:p w:rsidR="00693ED0" w:rsidRPr="008F6E6A" w:rsidRDefault="00693ED0" w:rsidP="00693ED0">
      <w:pPr>
        <w:pStyle w:val="TOC1"/>
        <w:rPr>
          <w:rFonts w:asciiTheme="minorHAnsi" w:eastAsiaTheme="minorEastAsia" w:hAnsiTheme="minorHAnsi" w:cstheme="minorBidi"/>
          <w:noProof/>
          <w:kern w:val="2"/>
          <w:sz w:val="22"/>
          <w:lang w:eastAsia="en-GB"/>
          <w14:ligatures w14:val="standardContextual"/>
        </w:rPr>
      </w:pPr>
      <w:r w:rsidRPr="008F6E6A">
        <w:rPr>
          <w:noProof/>
        </w:rPr>
        <w:t>3.</w:t>
      </w:r>
      <w:r w:rsidRPr="008F6E6A">
        <w:rPr>
          <w:rFonts w:asciiTheme="minorHAnsi" w:eastAsiaTheme="minorEastAsia" w:hAnsiTheme="minorHAnsi" w:cstheme="minorBidi"/>
          <w:noProof/>
          <w:kern w:val="2"/>
          <w:sz w:val="22"/>
          <w:lang w:eastAsia="en-GB"/>
          <w14:ligatures w14:val="standardContextual"/>
        </w:rPr>
        <w:tab/>
      </w:r>
      <w:r w:rsidRPr="008F6E6A">
        <w:rPr>
          <w:noProof/>
        </w:rPr>
        <w:t>ESTIMATED FINANCIAL IMPACT OF THE PROPOSAL/INITIATIVE</w:t>
      </w:r>
      <w:r w:rsidRPr="008F6E6A">
        <w:rPr>
          <w:noProof/>
          <w:webHidden/>
        </w:rPr>
        <w:tab/>
        <w:t>10</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3.1.</w:t>
      </w:r>
      <w:r w:rsidRPr="008F6E6A">
        <w:rPr>
          <w:rFonts w:asciiTheme="minorHAnsi" w:eastAsiaTheme="minorEastAsia" w:hAnsiTheme="minorHAnsi" w:cstheme="minorBidi"/>
          <w:noProof/>
          <w:kern w:val="2"/>
          <w:sz w:val="22"/>
          <w:lang w:eastAsia="en-GB"/>
          <w14:ligatures w14:val="standardContextual"/>
        </w:rPr>
        <w:tab/>
      </w:r>
      <w:r w:rsidRPr="008F6E6A">
        <w:rPr>
          <w:noProof/>
        </w:rPr>
        <w:t>Heading(s) of the multiannual financial framework and expenditure budget line(s) affected</w:t>
      </w:r>
      <w:r w:rsidRPr="008F6E6A">
        <w:rPr>
          <w:noProof/>
          <w:webHidden/>
        </w:rPr>
        <w:tab/>
        <w:t>10</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3.2.</w:t>
      </w:r>
      <w:r w:rsidRPr="008F6E6A">
        <w:rPr>
          <w:rFonts w:asciiTheme="minorHAnsi" w:eastAsiaTheme="minorEastAsia" w:hAnsiTheme="minorHAnsi" w:cstheme="minorBidi"/>
          <w:noProof/>
          <w:kern w:val="2"/>
          <w:sz w:val="22"/>
          <w:lang w:eastAsia="en-GB"/>
          <w14:ligatures w14:val="standardContextual"/>
        </w:rPr>
        <w:tab/>
      </w:r>
      <w:r w:rsidRPr="008F6E6A">
        <w:rPr>
          <w:noProof/>
        </w:rPr>
        <w:t>Estimated financial impact of the proposal on appropriations</w:t>
      </w:r>
      <w:r w:rsidRPr="008F6E6A">
        <w:rPr>
          <w:noProof/>
          <w:webHidden/>
        </w:rPr>
        <w:tab/>
        <w:t>12</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3.2.1.</w:t>
      </w:r>
      <w:r w:rsidRPr="008F6E6A">
        <w:rPr>
          <w:rFonts w:asciiTheme="minorHAnsi" w:eastAsiaTheme="minorEastAsia" w:hAnsiTheme="minorHAnsi" w:cstheme="minorBidi"/>
          <w:noProof/>
          <w:kern w:val="2"/>
          <w:sz w:val="22"/>
          <w:lang w:eastAsia="en-GB"/>
          <w14:ligatures w14:val="standardContextual"/>
        </w:rPr>
        <w:tab/>
      </w:r>
      <w:r w:rsidRPr="008F6E6A">
        <w:rPr>
          <w:noProof/>
        </w:rPr>
        <w:t>Summary of estimated impact on operational appropriations</w:t>
      </w:r>
      <w:r w:rsidRPr="008F6E6A">
        <w:rPr>
          <w:noProof/>
          <w:webHidden/>
        </w:rPr>
        <w:tab/>
        <w:t>12</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3.2.1.1.</w:t>
      </w:r>
      <w:r w:rsidRPr="008F6E6A">
        <w:rPr>
          <w:rFonts w:asciiTheme="minorHAnsi" w:eastAsiaTheme="minorEastAsia" w:hAnsiTheme="minorHAnsi" w:cstheme="minorBidi"/>
          <w:noProof/>
          <w:kern w:val="2"/>
          <w:sz w:val="22"/>
          <w:lang w:eastAsia="en-GB"/>
          <w14:ligatures w14:val="standardContextual"/>
        </w:rPr>
        <w:tab/>
      </w:r>
      <w:r w:rsidRPr="008F6E6A">
        <w:rPr>
          <w:noProof/>
        </w:rPr>
        <w:t>Appropriations from voted budget</w:t>
      </w:r>
      <w:r w:rsidRPr="008F6E6A">
        <w:rPr>
          <w:noProof/>
          <w:webHidden/>
        </w:rPr>
        <w:tab/>
        <w:t>12</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3.2.1.2.</w:t>
      </w:r>
      <w:r w:rsidRPr="008F6E6A">
        <w:rPr>
          <w:rFonts w:asciiTheme="minorHAnsi" w:eastAsiaTheme="minorEastAsia" w:hAnsiTheme="minorHAnsi" w:cstheme="minorBidi"/>
          <w:noProof/>
          <w:kern w:val="2"/>
          <w:sz w:val="22"/>
          <w:lang w:eastAsia="en-GB"/>
          <w14:ligatures w14:val="standardContextual"/>
        </w:rPr>
        <w:tab/>
      </w:r>
      <w:r w:rsidRPr="008F6E6A">
        <w:rPr>
          <w:noProof/>
        </w:rPr>
        <w:t>Appropriations from external assigned revenues</w:t>
      </w:r>
      <w:r w:rsidRPr="008F6E6A">
        <w:rPr>
          <w:noProof/>
          <w:webHidden/>
        </w:rPr>
        <w:tab/>
        <w:t>17</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3.2.2.</w:t>
      </w:r>
      <w:r w:rsidRPr="008F6E6A">
        <w:rPr>
          <w:rFonts w:asciiTheme="minorHAnsi" w:eastAsiaTheme="minorEastAsia" w:hAnsiTheme="minorHAnsi" w:cstheme="minorBidi"/>
          <w:noProof/>
          <w:kern w:val="2"/>
          <w:sz w:val="22"/>
          <w:lang w:eastAsia="en-GB"/>
          <w14:ligatures w14:val="standardContextual"/>
        </w:rPr>
        <w:tab/>
      </w:r>
      <w:r w:rsidRPr="008F6E6A">
        <w:rPr>
          <w:noProof/>
        </w:rPr>
        <w:t>Estimated output funded from operational appropriations</w:t>
      </w:r>
      <w:r w:rsidRPr="008F6E6A">
        <w:rPr>
          <w:noProof/>
          <w:webHidden/>
        </w:rPr>
        <w:tab/>
        <w:t>22</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3.2.3.</w:t>
      </w:r>
      <w:r w:rsidRPr="008F6E6A">
        <w:rPr>
          <w:rFonts w:asciiTheme="minorHAnsi" w:eastAsiaTheme="minorEastAsia" w:hAnsiTheme="minorHAnsi" w:cstheme="minorBidi"/>
          <w:noProof/>
          <w:kern w:val="2"/>
          <w:sz w:val="22"/>
          <w:lang w:eastAsia="en-GB"/>
          <w14:ligatures w14:val="standardContextual"/>
        </w:rPr>
        <w:tab/>
      </w:r>
      <w:r w:rsidRPr="008F6E6A">
        <w:rPr>
          <w:noProof/>
        </w:rPr>
        <w:t>Summary of estimated impact on administrative appropriations</w:t>
      </w:r>
      <w:r w:rsidRPr="008F6E6A">
        <w:rPr>
          <w:noProof/>
          <w:webHidden/>
        </w:rPr>
        <w:tab/>
        <w:t>24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 xml:space="preserve">3.2.3.1. Appropriations </w:t>
      </w:r>
      <w:r w:rsidRPr="008F6E6A">
        <w:rPr>
          <w:rFonts w:eastAsia="Calibri"/>
          <w:noProof/>
        </w:rPr>
        <w:t>from</w:t>
      </w:r>
      <w:r w:rsidRPr="008F6E6A">
        <w:rPr>
          <w:noProof/>
        </w:rPr>
        <w:t xml:space="preserve"> voted budget</w:t>
      </w:r>
      <w:r w:rsidRPr="008F6E6A">
        <w:rPr>
          <w:noProof/>
          <w:webHidden/>
        </w:rPr>
        <w:tab/>
        <w:t>24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3.2.3.2.</w:t>
      </w:r>
      <w:r w:rsidRPr="008F6E6A">
        <w:rPr>
          <w:rFonts w:asciiTheme="minorHAnsi" w:eastAsiaTheme="minorEastAsia" w:hAnsiTheme="minorHAnsi" w:cstheme="minorBidi"/>
          <w:noProof/>
          <w:kern w:val="2"/>
          <w:sz w:val="22"/>
          <w:lang w:eastAsia="en-GB"/>
          <w14:ligatures w14:val="standardContextual"/>
        </w:rPr>
        <w:tab/>
      </w:r>
      <w:r w:rsidRPr="008F6E6A">
        <w:rPr>
          <w:noProof/>
        </w:rPr>
        <w:t>Appropriations from external assigned revenues</w:t>
      </w:r>
      <w:r w:rsidRPr="008F6E6A">
        <w:rPr>
          <w:noProof/>
          <w:webHidden/>
        </w:rPr>
        <w:tab/>
        <w:t>24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3.2.3.3.</w:t>
      </w:r>
      <w:r w:rsidRPr="008F6E6A">
        <w:rPr>
          <w:rFonts w:asciiTheme="minorHAnsi" w:eastAsiaTheme="minorEastAsia" w:hAnsiTheme="minorHAnsi" w:cstheme="minorBidi"/>
          <w:noProof/>
          <w:kern w:val="2"/>
          <w:sz w:val="22"/>
          <w:lang w:eastAsia="en-GB"/>
          <w14:ligatures w14:val="standardContextual"/>
        </w:rPr>
        <w:tab/>
      </w:r>
      <w:r w:rsidRPr="008F6E6A">
        <w:rPr>
          <w:noProof/>
        </w:rPr>
        <w:t>Total appropriations</w:t>
      </w:r>
      <w:r w:rsidRPr="008F6E6A">
        <w:rPr>
          <w:noProof/>
          <w:webHidden/>
        </w:rPr>
        <w:tab/>
        <w:t>24</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3.2.4.</w:t>
      </w:r>
      <w:r w:rsidRPr="008F6E6A">
        <w:rPr>
          <w:rFonts w:asciiTheme="minorHAnsi" w:eastAsiaTheme="minorEastAsia" w:hAnsiTheme="minorHAnsi" w:cstheme="minorBidi"/>
          <w:noProof/>
          <w:kern w:val="2"/>
          <w:sz w:val="22"/>
          <w:lang w:eastAsia="en-GB"/>
          <w14:ligatures w14:val="standardContextual"/>
        </w:rPr>
        <w:tab/>
      </w:r>
      <w:r w:rsidRPr="008F6E6A">
        <w:rPr>
          <w:noProof/>
        </w:rPr>
        <w:t>Estimated requirements of human resources</w:t>
      </w:r>
      <w:r w:rsidRPr="008F6E6A">
        <w:rPr>
          <w:noProof/>
          <w:webHidden/>
        </w:rPr>
        <w:tab/>
        <w:t>25</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3.2.4.1.</w:t>
      </w:r>
      <w:r w:rsidRPr="008F6E6A">
        <w:rPr>
          <w:rFonts w:asciiTheme="minorHAnsi" w:eastAsiaTheme="minorEastAsia" w:hAnsiTheme="minorHAnsi" w:cstheme="minorBidi"/>
          <w:noProof/>
          <w:kern w:val="2"/>
          <w:sz w:val="22"/>
          <w:lang w:eastAsia="en-GB"/>
          <w14:ligatures w14:val="standardContextual"/>
        </w:rPr>
        <w:tab/>
      </w:r>
      <w:r w:rsidRPr="008F6E6A">
        <w:rPr>
          <w:noProof/>
        </w:rPr>
        <w:t>Financed from voted budget</w:t>
      </w:r>
      <w:r w:rsidRPr="008F6E6A">
        <w:rPr>
          <w:noProof/>
          <w:webHidden/>
        </w:rPr>
        <w:tab/>
        <w:t>25</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3.2.4.2.</w:t>
      </w:r>
      <w:r w:rsidRPr="008F6E6A">
        <w:rPr>
          <w:rFonts w:asciiTheme="minorHAnsi" w:eastAsiaTheme="minorEastAsia" w:hAnsiTheme="minorHAnsi" w:cstheme="minorBidi"/>
          <w:noProof/>
          <w:kern w:val="2"/>
          <w:sz w:val="22"/>
          <w:lang w:eastAsia="en-GB"/>
          <w14:ligatures w14:val="standardContextual"/>
        </w:rPr>
        <w:tab/>
      </w:r>
      <w:r w:rsidRPr="008F6E6A">
        <w:rPr>
          <w:noProof/>
        </w:rPr>
        <w:t>Financed from external assigned revenues</w:t>
      </w:r>
      <w:r w:rsidRPr="008F6E6A">
        <w:rPr>
          <w:noProof/>
          <w:webHidden/>
        </w:rPr>
        <w:tab/>
        <w:t>26</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3.2.4.3.</w:t>
      </w:r>
      <w:r w:rsidRPr="008F6E6A">
        <w:rPr>
          <w:rFonts w:asciiTheme="minorHAnsi" w:eastAsiaTheme="minorEastAsia" w:hAnsiTheme="minorHAnsi" w:cstheme="minorBidi"/>
          <w:noProof/>
          <w:kern w:val="2"/>
          <w:sz w:val="22"/>
          <w:lang w:eastAsia="en-GB"/>
          <w14:ligatures w14:val="standardContextual"/>
        </w:rPr>
        <w:tab/>
      </w:r>
      <w:r w:rsidRPr="008F6E6A">
        <w:rPr>
          <w:noProof/>
        </w:rPr>
        <w:t>Total requirements of human resources</w:t>
      </w:r>
      <w:r w:rsidRPr="008F6E6A">
        <w:rPr>
          <w:noProof/>
          <w:webHidden/>
        </w:rPr>
        <w:tab/>
        <w:t>26</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3.2.5.</w:t>
      </w:r>
      <w:r w:rsidRPr="008F6E6A">
        <w:rPr>
          <w:rFonts w:asciiTheme="minorHAnsi" w:eastAsiaTheme="minorEastAsia" w:hAnsiTheme="minorHAnsi" w:cstheme="minorBidi"/>
          <w:noProof/>
          <w:kern w:val="2"/>
          <w:sz w:val="22"/>
          <w:lang w:eastAsia="en-GB"/>
          <w14:ligatures w14:val="standardContextual"/>
        </w:rPr>
        <w:tab/>
      </w:r>
      <w:r w:rsidRPr="008F6E6A">
        <w:rPr>
          <w:noProof/>
        </w:rPr>
        <w:t>Overview of estimated impact on digital technology-related investments</w:t>
      </w:r>
      <w:r w:rsidRPr="008F6E6A">
        <w:rPr>
          <w:noProof/>
          <w:webHidden/>
        </w:rPr>
        <w:tab/>
        <w:t>28</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3.2.6.</w:t>
      </w:r>
      <w:r w:rsidRPr="008F6E6A">
        <w:rPr>
          <w:rFonts w:asciiTheme="minorHAnsi" w:eastAsiaTheme="minorEastAsia" w:hAnsiTheme="minorHAnsi" w:cstheme="minorBidi"/>
          <w:noProof/>
          <w:kern w:val="2"/>
          <w:sz w:val="22"/>
          <w:lang w:eastAsia="en-GB"/>
          <w14:ligatures w14:val="standardContextual"/>
        </w:rPr>
        <w:tab/>
      </w:r>
      <w:r w:rsidRPr="008F6E6A">
        <w:rPr>
          <w:noProof/>
        </w:rPr>
        <w:t>Compatibility with the current multiannual financial framework</w:t>
      </w:r>
      <w:r w:rsidRPr="008F6E6A">
        <w:rPr>
          <w:noProof/>
          <w:webHidden/>
        </w:rPr>
        <w:tab/>
        <w:t>28</w:t>
      </w:r>
    </w:p>
    <w:p w:rsidR="00693ED0" w:rsidRPr="008F6E6A" w:rsidRDefault="00693ED0" w:rsidP="00693ED0">
      <w:pPr>
        <w:pStyle w:val="TOC3"/>
        <w:rPr>
          <w:rFonts w:asciiTheme="minorHAnsi" w:eastAsiaTheme="minorEastAsia" w:hAnsiTheme="minorHAnsi" w:cstheme="minorBidi"/>
          <w:noProof/>
          <w:kern w:val="2"/>
          <w:sz w:val="22"/>
          <w:lang w:eastAsia="en-GB"/>
          <w14:ligatures w14:val="standardContextual"/>
        </w:rPr>
      </w:pPr>
      <w:r w:rsidRPr="008F6E6A">
        <w:rPr>
          <w:noProof/>
        </w:rPr>
        <w:t>3.2.7.</w:t>
      </w:r>
      <w:r w:rsidRPr="008F6E6A">
        <w:rPr>
          <w:rFonts w:asciiTheme="minorHAnsi" w:eastAsiaTheme="minorEastAsia" w:hAnsiTheme="minorHAnsi" w:cstheme="minorBidi"/>
          <w:noProof/>
          <w:kern w:val="2"/>
          <w:sz w:val="22"/>
          <w:lang w:eastAsia="en-GB"/>
          <w14:ligatures w14:val="standardContextual"/>
        </w:rPr>
        <w:tab/>
      </w:r>
      <w:r w:rsidRPr="008F6E6A">
        <w:rPr>
          <w:noProof/>
        </w:rPr>
        <w:t>Third-party contributions</w:t>
      </w:r>
      <w:r w:rsidRPr="008F6E6A">
        <w:rPr>
          <w:noProof/>
          <w:webHidden/>
        </w:rPr>
        <w:tab/>
        <w:t>28</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3.3.</w:t>
      </w:r>
      <w:r w:rsidRPr="008F6E6A">
        <w:rPr>
          <w:rFonts w:asciiTheme="minorHAnsi" w:eastAsiaTheme="minorEastAsia" w:hAnsiTheme="minorHAnsi" w:cstheme="minorBidi"/>
          <w:noProof/>
          <w:kern w:val="2"/>
          <w:sz w:val="22"/>
          <w:lang w:eastAsia="en-GB"/>
          <w14:ligatures w14:val="standardContextual"/>
        </w:rPr>
        <w:tab/>
      </w:r>
      <w:r w:rsidRPr="008F6E6A">
        <w:rPr>
          <w:noProof/>
        </w:rPr>
        <w:t>Estimated impact on revenue</w:t>
      </w:r>
      <w:r w:rsidRPr="008F6E6A">
        <w:rPr>
          <w:noProof/>
          <w:webHidden/>
        </w:rPr>
        <w:tab/>
        <w:t>29</w:t>
      </w:r>
    </w:p>
    <w:p w:rsidR="00693ED0" w:rsidRPr="008F6E6A" w:rsidRDefault="00693ED0" w:rsidP="00693ED0">
      <w:pPr>
        <w:pStyle w:val="TOC1"/>
        <w:rPr>
          <w:rFonts w:asciiTheme="minorHAnsi" w:eastAsiaTheme="minorEastAsia" w:hAnsiTheme="minorHAnsi" w:cstheme="minorBidi"/>
          <w:noProof/>
          <w:kern w:val="2"/>
          <w:sz w:val="22"/>
          <w:lang w:eastAsia="en-GB"/>
          <w14:ligatures w14:val="standardContextual"/>
        </w:rPr>
      </w:pPr>
      <w:r w:rsidRPr="008F6E6A">
        <w:rPr>
          <w:noProof/>
        </w:rPr>
        <w:t>4.</w:t>
      </w:r>
      <w:r w:rsidRPr="008F6E6A">
        <w:rPr>
          <w:rFonts w:asciiTheme="minorHAnsi" w:eastAsiaTheme="minorEastAsia" w:hAnsiTheme="minorHAnsi" w:cstheme="minorBidi"/>
          <w:noProof/>
          <w:kern w:val="2"/>
          <w:sz w:val="22"/>
          <w:lang w:eastAsia="en-GB"/>
          <w14:ligatures w14:val="standardContextual"/>
        </w:rPr>
        <w:tab/>
      </w:r>
      <w:r w:rsidRPr="008F6E6A">
        <w:rPr>
          <w:caps/>
          <w:noProof/>
        </w:rPr>
        <w:t>Digital dimensions</w:t>
      </w:r>
      <w:r w:rsidRPr="008F6E6A">
        <w:rPr>
          <w:noProof/>
          <w:webHidden/>
        </w:rPr>
        <w:tab/>
        <w:t>29</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4.1.</w:t>
      </w:r>
      <w:r w:rsidRPr="008F6E6A">
        <w:rPr>
          <w:rFonts w:asciiTheme="minorHAnsi" w:eastAsiaTheme="minorEastAsia" w:hAnsiTheme="minorHAnsi" w:cstheme="minorBidi"/>
          <w:noProof/>
          <w:kern w:val="2"/>
          <w:sz w:val="22"/>
          <w:lang w:eastAsia="en-GB"/>
          <w14:ligatures w14:val="standardContextual"/>
        </w:rPr>
        <w:tab/>
      </w:r>
      <w:r w:rsidRPr="008F6E6A">
        <w:rPr>
          <w:noProof/>
        </w:rPr>
        <w:t>Requirements of digital relevance</w:t>
      </w:r>
      <w:r w:rsidRPr="008F6E6A">
        <w:rPr>
          <w:noProof/>
          <w:webHidden/>
        </w:rPr>
        <w:tab/>
        <w:t>30</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4.2.</w:t>
      </w:r>
      <w:r w:rsidRPr="008F6E6A">
        <w:rPr>
          <w:rFonts w:asciiTheme="minorHAnsi" w:eastAsiaTheme="minorEastAsia" w:hAnsiTheme="minorHAnsi" w:cstheme="minorBidi"/>
          <w:noProof/>
          <w:kern w:val="2"/>
          <w:sz w:val="22"/>
          <w:lang w:eastAsia="en-GB"/>
          <w14:ligatures w14:val="standardContextual"/>
        </w:rPr>
        <w:tab/>
      </w:r>
      <w:r w:rsidRPr="008F6E6A">
        <w:rPr>
          <w:noProof/>
        </w:rPr>
        <w:t>Data</w:t>
      </w:r>
      <w:r w:rsidRPr="008F6E6A">
        <w:rPr>
          <w:noProof/>
          <w:webHidden/>
        </w:rPr>
        <w:tab/>
        <w:t>30</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4.3.</w:t>
      </w:r>
      <w:r w:rsidRPr="008F6E6A">
        <w:rPr>
          <w:rFonts w:asciiTheme="minorHAnsi" w:eastAsiaTheme="minorEastAsia" w:hAnsiTheme="minorHAnsi" w:cstheme="minorBidi"/>
          <w:noProof/>
          <w:kern w:val="2"/>
          <w:sz w:val="22"/>
          <w:lang w:eastAsia="en-GB"/>
          <w14:ligatures w14:val="standardContextual"/>
        </w:rPr>
        <w:tab/>
      </w:r>
      <w:r w:rsidRPr="008F6E6A">
        <w:rPr>
          <w:noProof/>
        </w:rPr>
        <w:t>Digital solutions</w:t>
      </w:r>
      <w:r w:rsidRPr="008F6E6A">
        <w:rPr>
          <w:noProof/>
          <w:webHidden/>
        </w:rPr>
        <w:tab/>
        <w:t>31</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bCs/>
          <w:noProof/>
        </w:rPr>
        <w:t>4.4.</w:t>
      </w:r>
      <w:r w:rsidRPr="008F6E6A">
        <w:rPr>
          <w:rFonts w:asciiTheme="minorHAnsi" w:eastAsiaTheme="minorEastAsia" w:hAnsiTheme="minorHAnsi" w:cstheme="minorBidi"/>
          <w:noProof/>
          <w:kern w:val="2"/>
          <w:sz w:val="22"/>
          <w:lang w:eastAsia="en-GB"/>
          <w14:ligatures w14:val="standardContextual"/>
        </w:rPr>
        <w:tab/>
      </w:r>
      <w:r w:rsidRPr="008F6E6A">
        <w:rPr>
          <w:bCs/>
          <w:noProof/>
        </w:rPr>
        <w:t>Interoperability assessment</w:t>
      </w:r>
      <w:r w:rsidRPr="008F6E6A">
        <w:rPr>
          <w:noProof/>
          <w:webHidden/>
        </w:rPr>
        <w:tab/>
        <w:t>31</w:t>
      </w:r>
    </w:p>
    <w:p w:rsidR="00693ED0" w:rsidRPr="008F6E6A" w:rsidRDefault="00693ED0" w:rsidP="00693ED0">
      <w:pPr>
        <w:pStyle w:val="TOC2"/>
        <w:rPr>
          <w:rFonts w:asciiTheme="minorHAnsi" w:eastAsiaTheme="minorEastAsia" w:hAnsiTheme="minorHAnsi" w:cstheme="minorBidi"/>
          <w:noProof/>
          <w:kern w:val="2"/>
          <w:sz w:val="22"/>
          <w:lang w:eastAsia="en-GB"/>
          <w14:ligatures w14:val="standardContextual"/>
        </w:rPr>
      </w:pPr>
      <w:r w:rsidRPr="008F6E6A">
        <w:rPr>
          <w:noProof/>
        </w:rPr>
        <w:t>4.5.</w:t>
      </w:r>
      <w:r w:rsidRPr="008F6E6A">
        <w:rPr>
          <w:rFonts w:asciiTheme="minorHAnsi" w:eastAsiaTheme="minorEastAsia" w:hAnsiTheme="minorHAnsi" w:cstheme="minorBidi"/>
          <w:noProof/>
          <w:kern w:val="2"/>
          <w:sz w:val="22"/>
          <w:lang w:eastAsia="en-GB"/>
          <w14:ligatures w14:val="standardContextual"/>
        </w:rPr>
        <w:tab/>
      </w:r>
      <w:r w:rsidRPr="008F6E6A">
        <w:rPr>
          <w:noProof/>
        </w:rPr>
        <w:t>Measures to support digital implementation</w:t>
      </w:r>
      <w:r w:rsidRPr="008F6E6A">
        <w:rPr>
          <w:noProof/>
          <w:webHidden/>
        </w:rPr>
        <w:tab/>
        <w:t>32</w:t>
      </w:r>
    </w:p>
    <w:p w:rsidR="00693ED0" w:rsidRPr="008F6E6A" w:rsidRDefault="00693ED0" w:rsidP="00693ED0">
      <w:pPr>
        <w:pStyle w:val="TOC1"/>
        <w:ind w:left="0" w:firstLine="0"/>
        <w:rPr>
          <w:noProof/>
        </w:rPr>
        <w:sectPr w:rsidR="00693ED0" w:rsidRPr="008F6E6A" w:rsidSect="00A05E51">
          <w:pgSz w:w="11907" w:h="16840" w:code="9"/>
          <w:pgMar w:top="1134" w:right="1418" w:bottom="1134" w:left="1418" w:header="709" w:footer="709" w:gutter="0"/>
          <w:pgNumType w:start="1"/>
          <w:cols w:space="720"/>
          <w:docGrid w:linePitch="360"/>
        </w:sectPr>
      </w:pPr>
    </w:p>
    <w:p w:rsidR="00693ED0" w:rsidRPr="008F6E6A"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8F6E6A">
        <w:rPr>
          <w:noProof/>
        </w:rPr>
        <w:t>1.</w:t>
      </w:r>
      <w:r w:rsidRPr="008F6E6A">
        <w:rPr>
          <w:noProof/>
        </w:rPr>
        <w:tab/>
        <w:t>FRAMEWORK OF THE PROPOSAL/INITIATIVE</w:t>
      </w:r>
      <w:bookmarkEnd w:id="6"/>
      <w:bookmarkEnd w:id="7"/>
      <w:bookmarkEnd w:id="8"/>
      <w:bookmarkEnd w:id="9"/>
      <w:bookmarkEnd w:id="10"/>
      <w:r w:rsidRPr="008F6E6A">
        <w:rPr>
          <w:noProof/>
        </w:rPr>
        <w:t xml:space="preserve"> </w:t>
      </w:r>
    </w:p>
    <w:p w:rsidR="00693ED0" w:rsidRPr="008F6E6A"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8F6E6A">
        <w:rPr>
          <w:noProof/>
        </w:rPr>
        <w:t>1.1.</w:t>
      </w:r>
      <w:r w:rsidRPr="008F6E6A">
        <w:rPr>
          <w:noProof/>
        </w:rPr>
        <w:tab/>
        <w:t>Title of the proposal/initiative</w:t>
      </w:r>
      <w:bookmarkEnd w:id="11"/>
      <w:bookmarkEnd w:id="12"/>
      <w:bookmarkEnd w:id="13"/>
      <w:bookmarkEnd w:id="14"/>
      <w:bookmarkEnd w:id="15"/>
    </w:p>
    <w:p w:rsidR="00693ED0" w:rsidRPr="008F6E6A" w:rsidRDefault="00CE5824" w:rsidP="00CE5824">
      <w:pPr>
        <w:pStyle w:val="Text1"/>
        <w:pBdr>
          <w:top w:val="single" w:sz="4" w:space="1" w:color="auto"/>
          <w:left w:val="single" w:sz="4" w:space="4" w:color="auto"/>
          <w:bottom w:val="single" w:sz="4" w:space="1" w:color="auto"/>
          <w:right w:val="single" w:sz="4" w:space="4" w:color="auto"/>
        </w:pBdr>
        <w:rPr>
          <w:noProof/>
        </w:rPr>
      </w:pPr>
      <w:r w:rsidRPr="008F6E6A">
        <w:rPr>
          <w:noProof/>
        </w:rPr>
        <w:t>Proposal for a Regulation of the European Parliament and of the Council amending Regulation (EU) 2024/1348 as regards the application of the ‘safe third country’ concept</w:t>
      </w:r>
      <w:r w:rsidR="00693ED0" w:rsidRPr="008F6E6A">
        <w:rPr>
          <w:noProof/>
        </w:rPr>
        <w:t>.</w:t>
      </w:r>
      <w:r w:rsidR="00693ED0" w:rsidRPr="008F6E6A" w:rsidDel="00547356">
        <w:rPr>
          <w:noProof/>
        </w:rPr>
        <w:t xml:space="preserve"> </w:t>
      </w:r>
    </w:p>
    <w:p w:rsidR="00693ED0" w:rsidRPr="008F6E6A"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8F6E6A">
        <w:rPr>
          <w:noProof/>
        </w:rPr>
        <w:t>1.2.</w:t>
      </w:r>
      <w:r w:rsidRPr="008F6E6A">
        <w:rPr>
          <w:noProof/>
        </w:rPr>
        <w:tab/>
        <w:t>Policy area(s) concerned</w:t>
      </w:r>
      <w:bookmarkEnd w:id="16"/>
      <w:bookmarkEnd w:id="17"/>
      <w:bookmarkEnd w:id="18"/>
      <w:bookmarkEnd w:id="19"/>
      <w:bookmarkEnd w:id="20"/>
      <w:r w:rsidRPr="008F6E6A">
        <w:rPr>
          <w:i/>
          <w:noProof/>
        </w:rPr>
        <w:t xml:space="preserve">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FB64B3">
        <w:rPr>
          <w:noProof/>
        </w:rPr>
        <w:t>Asylum</w:t>
      </w:r>
    </w:p>
    <w:p w:rsidR="00693ED0" w:rsidRPr="008F6E6A"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8F6E6A">
        <w:rPr>
          <w:noProof/>
        </w:rPr>
        <w:t>1.3.</w:t>
      </w:r>
      <w:r w:rsidRPr="008F6E6A">
        <w:rPr>
          <w:noProof/>
        </w:rPr>
        <w:tab/>
        <w:t>Objective(s)</w:t>
      </w:r>
      <w:bookmarkEnd w:id="21"/>
      <w:bookmarkEnd w:id="22"/>
      <w:bookmarkEnd w:id="23"/>
      <w:bookmarkEnd w:id="24"/>
      <w:bookmarkEnd w:id="25"/>
    </w:p>
    <w:p w:rsidR="00693ED0" w:rsidRPr="008F6E6A"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8F6E6A">
        <w:rPr>
          <w:noProof/>
        </w:rPr>
        <w:t>1.3.1.</w:t>
      </w:r>
      <w:r w:rsidRPr="008F6E6A">
        <w:rPr>
          <w:noProof/>
        </w:rPr>
        <w:tab/>
        <w:t>General objective(s)</w:t>
      </w:r>
      <w:bookmarkEnd w:id="26"/>
      <w:bookmarkEnd w:id="27"/>
      <w:bookmarkEnd w:id="28"/>
      <w:bookmarkEnd w:id="29"/>
      <w:bookmarkEnd w:id="30"/>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8F6E6A">
        <w:rPr>
          <w:noProof/>
        </w:rPr>
        <w:t xml:space="preserve">This proposal responds to the </w:t>
      </w:r>
      <w:r w:rsidR="00DD51C1">
        <w:rPr>
          <w:noProof/>
        </w:rPr>
        <w:t xml:space="preserve">requirement of </w:t>
      </w:r>
      <w:r w:rsidRPr="008F6E6A">
        <w:rPr>
          <w:noProof/>
        </w:rPr>
        <w:t xml:space="preserve">the Asylum Procedure Regulation 2024/1348 for the Commission to review </w:t>
      </w:r>
      <w:r w:rsidR="00B1125C" w:rsidRPr="008F6E6A">
        <w:rPr>
          <w:noProof/>
        </w:rPr>
        <w:t xml:space="preserve">the STC concept </w:t>
      </w:r>
      <w:r w:rsidRPr="008F6E6A">
        <w:rPr>
          <w:noProof/>
        </w:rPr>
        <w:t xml:space="preserve">and, where appropriate, propose targeted amendments to facilitate </w:t>
      </w:r>
      <w:r w:rsidR="00B313D3">
        <w:rPr>
          <w:noProof/>
        </w:rPr>
        <w:t>its</w:t>
      </w:r>
      <w:r w:rsidR="00B313D3" w:rsidRPr="008F6E6A">
        <w:rPr>
          <w:noProof/>
        </w:rPr>
        <w:t xml:space="preserve"> </w:t>
      </w:r>
      <w:r w:rsidRPr="008F6E6A">
        <w:rPr>
          <w:noProof/>
        </w:rPr>
        <w:t xml:space="preserve">application. It aims to enhance the application of the </w:t>
      </w:r>
      <w:r w:rsidR="00DD51C1">
        <w:rPr>
          <w:noProof/>
        </w:rPr>
        <w:t>STC</w:t>
      </w:r>
      <w:r w:rsidRPr="008F6E6A">
        <w:rPr>
          <w:noProof/>
        </w:rPr>
        <w:t xml:space="preserve"> concept in the EU asylum framework.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 xml:space="preserve">In line with the Pact on Migration and Asylum, this proposal reinforces partnership-based cooperation with third countries, ensuring that STC </w:t>
      </w:r>
      <w:r w:rsidR="00456F41">
        <w:rPr>
          <w:noProof/>
        </w:rPr>
        <w:t xml:space="preserve">agreements and </w:t>
      </w:r>
      <w:r w:rsidRPr="008F6E6A">
        <w:rPr>
          <w:noProof/>
        </w:rPr>
        <w:t>arrangements are mutually beneficial, uphold responsibility-sharing principles, and fully respect fundamental rights. By addressing protection needs and ensuring compliance with international obligations, the proposal also contributes to the EU’s commitments under the Global Refugee Compact.</w:t>
      </w:r>
    </w:p>
    <w:p w:rsidR="00693ED0" w:rsidRPr="008F6E6A" w:rsidRDefault="00693ED0" w:rsidP="00693ED0">
      <w:pPr>
        <w:pStyle w:val="ManualHeading3"/>
        <w:rPr>
          <w:noProof/>
        </w:rPr>
      </w:pPr>
      <w:r w:rsidRPr="008F6E6A">
        <w:rPr>
          <w:noProof/>
        </w:rPr>
        <w:t>1.3.2.</w:t>
      </w:r>
      <w:r w:rsidRPr="008F6E6A">
        <w:rPr>
          <w:noProof/>
        </w:rPr>
        <w:tab/>
        <w:t>Specific objective(s)</w:t>
      </w:r>
      <w:bookmarkEnd w:id="31"/>
      <w:bookmarkEnd w:id="32"/>
      <w:bookmarkEnd w:id="33"/>
      <w:bookmarkEnd w:id="34"/>
      <w:bookmarkEnd w:id="35"/>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8F6E6A">
        <w:rPr>
          <w:noProof/>
          <w:u w:val="single"/>
        </w:rPr>
        <w:t>Specific objective No 1</w:t>
      </w:r>
    </w:p>
    <w:p w:rsidR="00693ED0" w:rsidRPr="008F6E6A"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8F6E6A">
        <w:rPr>
          <w:noProof/>
        </w:rPr>
        <w:t xml:space="preserve">The first objective of this proposal is to make targeted amendments to the Asylum Procedure Regulation 2024/1348 so as to </w:t>
      </w:r>
      <w:r w:rsidR="006D513D" w:rsidRPr="008F6E6A">
        <w:rPr>
          <w:noProof/>
        </w:rPr>
        <w:t xml:space="preserve">facilitate the application of the STC concept by </w:t>
      </w:r>
      <w:r w:rsidRPr="008F6E6A">
        <w:rPr>
          <w:noProof/>
        </w:rPr>
        <w:t xml:space="preserve">Member States. </w:t>
      </w:r>
    </w:p>
    <w:p w:rsidR="00693ED0" w:rsidRPr="008F6E6A" w:rsidRDefault="00693ED0" w:rsidP="00693ED0">
      <w:pPr>
        <w:pStyle w:val="ManualHeading3"/>
        <w:rPr>
          <w:noProof/>
        </w:rPr>
      </w:pPr>
      <w:r w:rsidRPr="008F6E6A">
        <w:rPr>
          <w:noProof/>
        </w:rPr>
        <w:t>1.3.3.</w:t>
      </w:r>
      <w:r w:rsidRPr="008F6E6A">
        <w:rPr>
          <w:noProof/>
        </w:rPr>
        <w:tab/>
        <w:t>Expected result(s) and impact</w:t>
      </w:r>
      <w:bookmarkEnd w:id="36"/>
      <w:bookmarkEnd w:id="37"/>
      <w:bookmarkEnd w:id="38"/>
      <w:bookmarkEnd w:id="39"/>
      <w:bookmarkEnd w:id="40"/>
    </w:p>
    <w:p w:rsidR="00693ED0" w:rsidRPr="008F6E6A" w:rsidRDefault="00693ED0" w:rsidP="00693ED0">
      <w:pPr>
        <w:pStyle w:val="Text1"/>
        <w:rPr>
          <w:i/>
          <w:noProof/>
          <w:sz w:val="20"/>
        </w:rPr>
      </w:pPr>
      <w:r w:rsidRPr="008F6E6A">
        <w:rPr>
          <w:i/>
          <w:noProof/>
          <w:sz w:val="20"/>
        </w:rPr>
        <w:t>Specify the effects which the proposal/initiative should have on the beneficiaries/groups targeted.</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8F6E6A">
        <w:rPr>
          <w:noProof/>
        </w:rPr>
        <w:t>1.</w:t>
      </w:r>
      <w:r w:rsidRPr="008F6E6A">
        <w:rPr>
          <w:noProof/>
        </w:rPr>
        <w:tab/>
        <w:t>Improve legal clarity and consistency in applying the STC concept</w:t>
      </w:r>
      <w:r w:rsidR="006D513D" w:rsidRPr="008F6E6A">
        <w:rPr>
          <w:noProof/>
        </w:rPr>
        <w:t>.</w:t>
      </w:r>
      <w:r w:rsidRPr="008F6E6A">
        <w:rPr>
          <w:noProof/>
        </w:rPr>
        <w:t xml:space="preserve">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2.</w:t>
      </w:r>
      <w:r w:rsidRPr="008F6E6A">
        <w:rPr>
          <w:noProof/>
        </w:rPr>
        <w:tab/>
        <w:t xml:space="preserve">Provide Member States with more flexibility in applying the concept, while ensuring compliance with international obligations and fundamental rights.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3.</w:t>
      </w:r>
      <w:r w:rsidRPr="008F6E6A">
        <w:rPr>
          <w:noProof/>
        </w:rPr>
        <w:tab/>
        <w:t>Enhance the efficiency of asylum procedures and reduce pressure on and abuses of EU asylum systems.</w:t>
      </w:r>
    </w:p>
    <w:p w:rsidR="00693ED0" w:rsidRPr="008F6E6A" w:rsidRDefault="00693ED0" w:rsidP="00693ED0">
      <w:pPr>
        <w:pStyle w:val="ManualHeading3"/>
        <w:rPr>
          <w:noProof/>
        </w:rPr>
      </w:pPr>
      <w:r w:rsidRPr="008F6E6A">
        <w:rPr>
          <w:noProof/>
        </w:rPr>
        <w:t>1.3.4.</w:t>
      </w:r>
      <w:r w:rsidRPr="008F6E6A">
        <w:rPr>
          <w:noProof/>
        </w:rPr>
        <w:tab/>
        <w:t>Indicators of performance</w:t>
      </w:r>
      <w:bookmarkEnd w:id="41"/>
      <w:bookmarkEnd w:id="42"/>
      <w:bookmarkEnd w:id="43"/>
      <w:bookmarkEnd w:id="44"/>
      <w:bookmarkEnd w:id="45"/>
    </w:p>
    <w:p w:rsidR="00693ED0" w:rsidRPr="008F6E6A" w:rsidRDefault="00693ED0" w:rsidP="00693ED0">
      <w:pPr>
        <w:pStyle w:val="Text1"/>
        <w:rPr>
          <w:i/>
          <w:noProof/>
          <w:sz w:val="20"/>
        </w:rPr>
      </w:pPr>
      <w:r w:rsidRPr="008F6E6A">
        <w:rPr>
          <w:i/>
          <w:noProof/>
          <w:sz w:val="20"/>
        </w:rPr>
        <w:t>Specify the indicators for monitoring progress and achievements.</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8F6E6A">
        <w:rPr>
          <w:noProof/>
        </w:rPr>
        <w:t>Impact of the amendments on the following:</w:t>
      </w:r>
    </w:p>
    <w:p w:rsidR="008C0BF3"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8F6E6A">
        <w:rPr>
          <w:noProof/>
        </w:rPr>
        <w:t>1.</w:t>
      </w:r>
      <w:r w:rsidRPr="008F6E6A">
        <w:rPr>
          <w:noProof/>
        </w:rPr>
        <w:tab/>
      </w:r>
      <w:r w:rsidR="008C0BF3" w:rsidRPr="008F6E6A">
        <w:rPr>
          <w:noProof/>
        </w:rPr>
        <w:t>Number of Member States using the STC concept</w:t>
      </w:r>
      <w:r w:rsidR="008C0BF3">
        <w:rPr>
          <w:noProof/>
        </w:rPr>
        <w:t xml:space="preserve"> (using the connection criterion, the transit criterion or based on agreement or arrangements with STCs)</w:t>
      </w:r>
      <w:r w:rsidR="008C0BF3" w:rsidRPr="008F6E6A">
        <w:rPr>
          <w:noProof/>
        </w:rPr>
        <w:t>.</w:t>
      </w:r>
    </w:p>
    <w:p w:rsidR="00693ED0" w:rsidRPr="008F6E6A"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8F6E6A">
        <w:rPr>
          <w:noProof/>
        </w:rPr>
        <w:t>2.</w:t>
      </w:r>
      <w:r w:rsidRPr="008F6E6A">
        <w:rPr>
          <w:noProof/>
        </w:rPr>
        <w:tab/>
      </w:r>
      <w:r w:rsidR="006D513D" w:rsidRPr="008F6E6A">
        <w:rPr>
          <w:noProof/>
        </w:rPr>
        <w:t>N</w:t>
      </w:r>
      <w:r w:rsidR="00693ED0" w:rsidRPr="008F6E6A">
        <w:rPr>
          <w:noProof/>
        </w:rPr>
        <w:t>umber of asylum claims rejected as inadmissible based on STC grounds and number of appeals</w:t>
      </w:r>
      <w:r w:rsidR="006D513D" w:rsidRPr="008F6E6A">
        <w:rPr>
          <w:noProof/>
        </w:rPr>
        <w:t>.</w:t>
      </w:r>
      <w:r w:rsidR="00693ED0" w:rsidRPr="008F6E6A">
        <w:rPr>
          <w:noProof/>
        </w:rPr>
        <w:t xml:space="preserve"> </w:t>
      </w:r>
    </w:p>
    <w:p w:rsidR="00693ED0" w:rsidRPr="008F6E6A" w:rsidRDefault="00693ED0" w:rsidP="006D513D">
      <w:pPr>
        <w:pStyle w:val="Text1"/>
        <w:pBdr>
          <w:top w:val="single" w:sz="4" w:space="1" w:color="auto"/>
          <w:left w:val="single" w:sz="4" w:space="4" w:color="auto"/>
          <w:bottom w:val="single" w:sz="4" w:space="1" w:color="auto"/>
          <w:right w:val="single" w:sz="4" w:space="4" w:color="auto"/>
        </w:pBdr>
        <w:rPr>
          <w:noProof/>
        </w:rPr>
      </w:pPr>
      <w:r w:rsidRPr="008F6E6A">
        <w:rPr>
          <w:noProof/>
        </w:rPr>
        <w:t>3.</w:t>
      </w:r>
      <w:r w:rsidRPr="008F6E6A">
        <w:rPr>
          <w:noProof/>
        </w:rPr>
        <w:tab/>
      </w:r>
      <w:r w:rsidR="006D513D" w:rsidRPr="008F6E6A">
        <w:rPr>
          <w:noProof/>
        </w:rPr>
        <w:t>N</w:t>
      </w:r>
      <w:r w:rsidRPr="008F6E6A">
        <w:rPr>
          <w:noProof/>
        </w:rPr>
        <w:t xml:space="preserve">umber of STC </w:t>
      </w:r>
      <w:r w:rsidR="006D513D" w:rsidRPr="008F6E6A">
        <w:rPr>
          <w:noProof/>
        </w:rPr>
        <w:t xml:space="preserve">agreements or </w:t>
      </w:r>
      <w:r w:rsidRPr="008C0BF3">
        <w:rPr>
          <w:noProof/>
        </w:rPr>
        <w:t>arrangements</w:t>
      </w:r>
      <w:r w:rsidR="00AE5786" w:rsidRPr="008C0BF3">
        <w:rPr>
          <w:noProof/>
        </w:rPr>
        <w:t xml:space="preserve"> at Union or Member State level</w:t>
      </w:r>
      <w:r w:rsidR="006D513D" w:rsidRPr="008C0BF3">
        <w:rPr>
          <w:noProof/>
        </w:rPr>
        <w:t>.</w:t>
      </w:r>
    </w:p>
    <w:p w:rsidR="00693ED0" w:rsidRPr="008F6E6A" w:rsidRDefault="00693ED0" w:rsidP="00693ED0">
      <w:pPr>
        <w:pStyle w:val="ManualHeading2"/>
        <w:rPr>
          <w:noProof/>
        </w:rPr>
      </w:pPr>
      <w:r w:rsidRPr="008F6E6A">
        <w:rPr>
          <w:noProof/>
        </w:rPr>
        <w:t>1.4.</w:t>
      </w:r>
      <w:r w:rsidRPr="008F6E6A">
        <w:rPr>
          <w:noProof/>
        </w:rPr>
        <w:tab/>
        <w:t>The proposal/initiative relates to:</w:t>
      </w:r>
      <w:bookmarkEnd w:id="46"/>
      <w:r w:rsidRPr="008F6E6A">
        <w:rPr>
          <w:noProof/>
        </w:rPr>
        <w:t xml:space="preserve"> </w:t>
      </w:r>
    </w:p>
    <w:p w:rsidR="00693ED0" w:rsidRPr="008F6E6A" w:rsidRDefault="00693ED0" w:rsidP="00693ED0">
      <w:pPr>
        <w:pStyle w:val="Text1"/>
        <w:rPr>
          <w:noProof/>
          <w:sz w:val="22"/>
        </w:rPr>
      </w:pPr>
      <w:r w:rsidRPr="008F6E6A">
        <w:rPr>
          <w:rFonts w:ascii="Wingdings" w:eastAsia="Wingdings" w:hAnsi="Wingdings" w:cs="Wingdings"/>
          <w:noProof/>
          <w:sz w:val="22"/>
        </w:rPr>
        <w:t></w:t>
      </w:r>
      <w:r w:rsidRPr="008F6E6A">
        <w:rPr>
          <w:i/>
          <w:iCs/>
          <w:noProof/>
          <w:sz w:val="22"/>
        </w:rPr>
        <w:t xml:space="preserve"> </w:t>
      </w:r>
      <w:r w:rsidRPr="008F6E6A">
        <w:rPr>
          <w:noProof/>
        </w:rPr>
        <w:t>a new action</w:t>
      </w:r>
      <w:r w:rsidRPr="008F6E6A">
        <w:rPr>
          <w:noProof/>
          <w:sz w:val="22"/>
        </w:rPr>
        <w:t xml:space="preserve"> </w:t>
      </w:r>
    </w:p>
    <w:p w:rsidR="00693ED0" w:rsidRPr="008F6E6A" w:rsidRDefault="00693ED0" w:rsidP="00693ED0">
      <w:pPr>
        <w:pStyle w:val="Text1"/>
        <w:rPr>
          <w:noProof/>
          <w:sz w:val="22"/>
        </w:rPr>
      </w:pPr>
      <w:r w:rsidRPr="008F6E6A">
        <w:rPr>
          <w:rFonts w:ascii="Wingdings" w:eastAsia="Wingdings" w:hAnsi="Wingdings" w:cs="Wingdings"/>
          <w:noProof/>
          <w:sz w:val="22"/>
        </w:rPr>
        <w:t></w:t>
      </w:r>
      <w:r w:rsidRPr="008F6E6A">
        <w:rPr>
          <w:i/>
          <w:iCs/>
          <w:noProof/>
          <w:sz w:val="22"/>
        </w:rPr>
        <w:t xml:space="preserve"> </w:t>
      </w:r>
      <w:r w:rsidRPr="008F6E6A">
        <w:rPr>
          <w:noProof/>
        </w:rPr>
        <w:t>a new action following a pilot project / preparatory action</w:t>
      </w:r>
      <w:r w:rsidRPr="008F6E6A">
        <w:rPr>
          <w:rStyle w:val="FootnoteReference"/>
          <w:noProof/>
        </w:rPr>
        <w:footnoteReference w:id="19"/>
      </w:r>
      <w:r w:rsidRPr="008F6E6A">
        <w:rPr>
          <w:noProof/>
          <w:sz w:val="22"/>
        </w:rPr>
        <w:t xml:space="preserve"> </w:t>
      </w:r>
    </w:p>
    <w:p w:rsidR="00693ED0" w:rsidRPr="008F6E6A" w:rsidRDefault="00693ED0" w:rsidP="00693ED0">
      <w:pPr>
        <w:pStyle w:val="Text1"/>
        <w:rPr>
          <w:noProof/>
          <w:sz w:val="22"/>
        </w:rPr>
      </w:pPr>
      <w:r w:rsidRPr="008F6E6A">
        <w:rPr>
          <w:rFonts w:ascii="Wingdings" w:eastAsia="Wingdings" w:hAnsi="Wingdings" w:cs="Wingdings"/>
          <w:noProof/>
          <w:sz w:val="22"/>
        </w:rPr>
        <w:t></w:t>
      </w:r>
      <w:r w:rsidRPr="008F6E6A">
        <w:rPr>
          <w:i/>
          <w:iCs/>
          <w:noProof/>
          <w:sz w:val="22"/>
        </w:rPr>
        <w:t xml:space="preserve"> </w:t>
      </w:r>
      <w:r w:rsidRPr="008F6E6A">
        <w:rPr>
          <w:noProof/>
        </w:rPr>
        <w:t>the extension of an existing action</w:t>
      </w:r>
      <w:r w:rsidRPr="008F6E6A">
        <w:rPr>
          <w:noProof/>
          <w:sz w:val="22"/>
        </w:rPr>
        <w:t xml:space="preserve"> </w:t>
      </w:r>
    </w:p>
    <w:p w:rsidR="00693ED0" w:rsidRPr="008F6E6A" w:rsidRDefault="00693ED0" w:rsidP="00693ED0">
      <w:pPr>
        <w:pStyle w:val="Text1"/>
        <w:rPr>
          <w:noProof/>
        </w:rPr>
      </w:pPr>
      <w:r w:rsidRPr="008F6E6A">
        <w:rPr>
          <w:rFonts w:ascii="Wingdings" w:eastAsia="Wingdings" w:hAnsi="Wingdings" w:cs="Wingdings"/>
          <w:noProof/>
          <w:sz w:val="22"/>
        </w:rPr>
        <w:t></w:t>
      </w:r>
      <w:r w:rsidRPr="008F6E6A">
        <w:rPr>
          <w:i/>
          <w:iCs/>
          <w:noProof/>
          <w:sz w:val="22"/>
        </w:rPr>
        <w:t xml:space="preserve"> </w:t>
      </w:r>
      <w:r w:rsidRPr="008F6E6A">
        <w:rPr>
          <w:noProof/>
        </w:rPr>
        <w:t>a merger or redirection of one or more actions towards another/a new action</w:t>
      </w:r>
    </w:p>
    <w:p w:rsidR="00693ED0" w:rsidRPr="008F6E6A"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8F6E6A">
        <w:rPr>
          <w:noProof/>
        </w:rPr>
        <w:t>1.5.</w:t>
      </w:r>
      <w:r w:rsidRPr="008F6E6A">
        <w:rPr>
          <w:noProof/>
        </w:rPr>
        <w:tab/>
        <w:t>Grounds for the proposal/initiative</w:t>
      </w:r>
      <w:bookmarkEnd w:id="47"/>
      <w:bookmarkEnd w:id="48"/>
      <w:bookmarkEnd w:id="49"/>
      <w:bookmarkEnd w:id="50"/>
      <w:bookmarkEnd w:id="51"/>
      <w:r w:rsidRPr="008F6E6A">
        <w:rPr>
          <w:noProof/>
        </w:rPr>
        <w:t xml:space="preserve"> </w:t>
      </w:r>
    </w:p>
    <w:p w:rsidR="00693ED0" w:rsidRPr="008F6E6A"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8F6E6A">
        <w:rPr>
          <w:noProof/>
        </w:rPr>
        <w:t>1.5.1.</w:t>
      </w:r>
      <w:r w:rsidRPr="008F6E6A">
        <w:rPr>
          <w:noProof/>
        </w:rPr>
        <w:tab/>
        <w:t>Requirement(s) to be met in the short or long term including a detailed timeline for roll-out of the implementation of the initiative</w:t>
      </w:r>
      <w:bookmarkEnd w:id="52"/>
      <w:bookmarkEnd w:id="53"/>
      <w:bookmarkEnd w:id="54"/>
      <w:bookmarkEnd w:id="55"/>
      <w:bookmarkEnd w:id="56"/>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8F6E6A">
        <w:rPr>
          <w:noProof/>
        </w:rPr>
        <w:t xml:space="preserve">Under Article 75 of the Asylum Procedure Regulation, Member States are </w:t>
      </w:r>
      <w:r w:rsidR="008C0BF3">
        <w:rPr>
          <w:noProof/>
        </w:rPr>
        <w:t>required</w:t>
      </w:r>
      <w:r w:rsidRPr="008F6E6A">
        <w:rPr>
          <w:noProof/>
        </w:rPr>
        <w:t xml:space="preserve"> to develop National Implementation Plans based on the Common Implementation Plan developed by the Commission. The Commission has to closely monitor the implementation of the national implementation plans. Once the </w:t>
      </w:r>
      <w:r w:rsidR="008C0BF3">
        <w:rPr>
          <w:noProof/>
        </w:rPr>
        <w:t xml:space="preserve">provisions of the </w:t>
      </w:r>
      <w:r w:rsidRPr="008F6E6A">
        <w:rPr>
          <w:noProof/>
        </w:rPr>
        <w:t xml:space="preserve">Pact </w:t>
      </w:r>
      <w:r w:rsidR="00F25EB0">
        <w:rPr>
          <w:noProof/>
        </w:rPr>
        <w:t>start applying</w:t>
      </w:r>
      <w:r w:rsidR="008C0BF3">
        <w:rPr>
          <w:noProof/>
        </w:rPr>
        <w:t xml:space="preserve"> in June 2026</w:t>
      </w:r>
      <w:r w:rsidRPr="008F6E6A">
        <w:rPr>
          <w:noProof/>
        </w:rPr>
        <w:t>, the European Union Asylum Agency will monitor the operational and technical application of the C</w:t>
      </w:r>
      <w:r w:rsidR="008C0BF3">
        <w:rPr>
          <w:noProof/>
        </w:rPr>
        <w:t xml:space="preserve">ommon </w:t>
      </w:r>
      <w:r w:rsidRPr="008F6E6A">
        <w:rPr>
          <w:noProof/>
        </w:rPr>
        <w:t>E</w:t>
      </w:r>
      <w:r w:rsidR="008C0BF3">
        <w:rPr>
          <w:noProof/>
        </w:rPr>
        <w:t xml:space="preserve">uropean </w:t>
      </w:r>
      <w:r w:rsidRPr="008F6E6A">
        <w:rPr>
          <w:noProof/>
        </w:rPr>
        <w:t>A</w:t>
      </w:r>
      <w:r w:rsidR="008C0BF3">
        <w:rPr>
          <w:noProof/>
        </w:rPr>
        <w:t xml:space="preserve">sylum </w:t>
      </w:r>
      <w:r w:rsidRPr="008F6E6A">
        <w:rPr>
          <w:noProof/>
        </w:rPr>
        <w:t>S</w:t>
      </w:r>
      <w:r w:rsidR="008C0BF3">
        <w:rPr>
          <w:noProof/>
        </w:rPr>
        <w:t>ystem</w:t>
      </w:r>
      <w:r w:rsidRPr="008F6E6A">
        <w:rPr>
          <w:noProof/>
        </w:rPr>
        <w:t xml:space="preserve"> pursuant to Article 14 of the EUAA Regulation 2021/2303. The application of the STC concept will be part of the monitoring by EUAA. Furthermore, the annual reports that the Commission must adopt pursuant to Article 9 of the Asylum </w:t>
      </w:r>
      <w:r w:rsidR="001A7EE8">
        <w:rPr>
          <w:noProof/>
        </w:rPr>
        <w:t xml:space="preserve">and </w:t>
      </w:r>
      <w:r w:rsidRPr="008F6E6A">
        <w:rPr>
          <w:noProof/>
        </w:rPr>
        <w:t>Migration Management Regulation must include the results of the monitoring of the EUAA. These various elements have to be taken into account by the Commission when assessing whether Member States are under migratory pressure, at risk thereof, or facing a significant migratory situation</w:t>
      </w:r>
      <w:r w:rsidR="001A7EE8">
        <w:rPr>
          <w:noProof/>
        </w:rPr>
        <w:t>,</w:t>
      </w:r>
      <w:r w:rsidRPr="008F6E6A">
        <w:rPr>
          <w:noProof/>
        </w:rPr>
        <w:t xml:space="preserve"> as well as when determining whether a Member State has systemic shortcomings that could result in serious negative consequences for the functioning of the Dublin system. </w:t>
      </w:r>
    </w:p>
    <w:p w:rsidR="00693ED0" w:rsidRPr="008F6E6A" w:rsidRDefault="00693ED0" w:rsidP="00693ED0">
      <w:pPr>
        <w:pStyle w:val="ManualHeading3"/>
        <w:rPr>
          <w:bCs/>
          <w:noProof/>
          <w:szCs w:val="24"/>
        </w:rPr>
      </w:pPr>
      <w:r w:rsidRPr="008F6E6A">
        <w:rPr>
          <w:noProof/>
        </w:rPr>
        <w:t>1.5.2.</w:t>
      </w:r>
      <w:r w:rsidRPr="008F6E6A">
        <w:rPr>
          <w:noProof/>
        </w:rPr>
        <w:tab/>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bookmarkEnd w:id="57"/>
      <w:bookmarkEnd w:id="58"/>
      <w:bookmarkEnd w:id="59"/>
      <w:bookmarkEnd w:id="60"/>
      <w:bookmarkEnd w:id="61"/>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8F6E6A">
        <w:rPr>
          <w:noProof/>
        </w:rPr>
        <w:t>Reasons for action at EU level (ex-ant</w:t>
      </w:r>
      <w:r w:rsidRPr="008C0BF3">
        <w:rPr>
          <w:noProof/>
        </w:rPr>
        <w:t>e)</w:t>
      </w:r>
      <w:r w:rsidRPr="00FB64B3">
        <w:rPr>
          <w:noProof/>
        </w:rPr>
        <w:t xml:space="preserve">: </w:t>
      </w:r>
      <w:r w:rsidR="008C0BF3" w:rsidRPr="008C0BF3">
        <w:rPr>
          <w:noProof/>
        </w:rPr>
        <w:t>t</w:t>
      </w:r>
      <w:r w:rsidRPr="008F6E6A">
        <w:rPr>
          <w:noProof/>
        </w:rPr>
        <w:t>he STC concept and asylum procedure are governed by EU law under the Asylum Procedure Regulation (EU) 2024/1348. Without EU-level action, Member States would continue to apply the STC concept in a fragmented manner, leading to inconsistencies in legal interpretation</w:t>
      </w:r>
      <w:r w:rsidR="001D1585" w:rsidRPr="008F6E6A">
        <w:rPr>
          <w:noProof/>
        </w:rPr>
        <w:t xml:space="preserve"> and</w:t>
      </w:r>
      <w:r w:rsidRPr="008F6E6A">
        <w:rPr>
          <w:noProof/>
        </w:rPr>
        <w:t xml:space="preserve"> procedural safeguards. Diverging national approaches would create legal uncertainty, increase litigation risks, and undermine the uniform application of asylum rules across the Union. A lack of coordinated action would also hinder fair burden-sharing among Member States and weaken the EU’s ability to engage effectively with third countries on migration matters. By acting at the EU level, this proposal ensures harmoni</w:t>
      </w:r>
      <w:r w:rsidR="00F041E4" w:rsidRPr="008F6E6A">
        <w:rPr>
          <w:noProof/>
        </w:rPr>
        <w:t>s</w:t>
      </w:r>
      <w:r w:rsidRPr="008F6E6A">
        <w:rPr>
          <w:noProof/>
        </w:rPr>
        <w:t>ation, legal certainty, and procedural safeguards</w:t>
      </w:r>
      <w:r w:rsidR="00863862">
        <w:rPr>
          <w:noProof/>
        </w:rPr>
        <w:t>,</w:t>
      </w:r>
      <w:r w:rsidRPr="008F6E6A">
        <w:rPr>
          <w:noProof/>
        </w:rPr>
        <w:t xml:space="preserve"> while providing Member States with greater flexibility to implement the STC concept in a legally sound and operationally effective manner.</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 xml:space="preserve">Expected generated EU added value (ex-post): </w:t>
      </w:r>
      <w:r w:rsidR="008C0BF3">
        <w:rPr>
          <w:noProof/>
        </w:rPr>
        <w:t>o</w:t>
      </w:r>
      <w:r w:rsidRPr="008F6E6A">
        <w:rPr>
          <w:noProof/>
        </w:rPr>
        <w:t>nce implemented, this proposal will enhance legal certainty and procedural efficiency by ensuring that all Member States apply the STC concept consistently. The removal of the automatic suspensive effect of appeals will reduce delays in asylum decision-making, enabling faster processing of inadmissible claims</w:t>
      </w:r>
      <w:r w:rsidR="00863862">
        <w:rPr>
          <w:noProof/>
        </w:rPr>
        <w:t>,</w:t>
      </w:r>
      <w:r w:rsidRPr="008F6E6A">
        <w:rPr>
          <w:noProof/>
        </w:rPr>
        <w:t xml:space="preserve"> while maintaining access to </w:t>
      </w:r>
      <w:r w:rsidR="006D513D" w:rsidRPr="008F6E6A">
        <w:rPr>
          <w:noProof/>
        </w:rPr>
        <w:t xml:space="preserve">effective </w:t>
      </w:r>
      <w:r w:rsidRPr="008F6E6A">
        <w:rPr>
          <w:noProof/>
        </w:rPr>
        <w:t xml:space="preserve">legal remedies.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 xml:space="preserve">The proposal will also strengthen cooperation with third countries by providing a clear legal framework for STC application, whether or not a connection exists, provided </w:t>
      </w:r>
      <w:r w:rsidR="00863862">
        <w:rPr>
          <w:noProof/>
        </w:rPr>
        <w:t xml:space="preserve">that </w:t>
      </w:r>
      <w:r w:rsidR="006D513D" w:rsidRPr="008F6E6A">
        <w:rPr>
          <w:noProof/>
        </w:rPr>
        <w:t xml:space="preserve">agreements or </w:t>
      </w:r>
      <w:r w:rsidRPr="008F6E6A">
        <w:rPr>
          <w:noProof/>
        </w:rPr>
        <w:t xml:space="preserve">arrangements are in place. Furthermore, the transparency clause will enable the Commission to </w:t>
      </w:r>
      <w:r w:rsidR="00AF3D78">
        <w:rPr>
          <w:noProof/>
        </w:rPr>
        <w:t>monitor</w:t>
      </w:r>
      <w:r w:rsidRPr="008F6E6A">
        <w:rPr>
          <w:noProof/>
        </w:rPr>
        <w:t xml:space="preserve"> </w:t>
      </w:r>
      <w:r w:rsidR="00AF3D78">
        <w:rPr>
          <w:noProof/>
        </w:rPr>
        <w:t xml:space="preserve">the compliance of agreements or arrangements with the APR, </w:t>
      </w:r>
      <w:r w:rsidRPr="008F6E6A">
        <w:rPr>
          <w:noProof/>
        </w:rPr>
        <w:t>safeguarding EU credibility in migration partnerships.</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 xml:space="preserve">At the EU level, </w:t>
      </w:r>
      <w:r w:rsidR="00AF3D78">
        <w:rPr>
          <w:noProof/>
        </w:rPr>
        <w:t>monitoring</w:t>
      </w:r>
      <w:r w:rsidRPr="008F6E6A">
        <w:rPr>
          <w:noProof/>
        </w:rPr>
        <w:t xml:space="preserve"> by the EUAA and the Commission will ensure that Member States apply the revised STC rules in full compliance with fundamental rights and procedural safeguards. While the proposal limits the automatic suspensive effect of appeals, it ma</w:t>
      </w:r>
      <w:r w:rsidRPr="00003371">
        <w:rPr>
          <w:noProof/>
        </w:rPr>
        <w:t>intains essential legal protections by requiring that return decisions be suspended at the first level of appeal</w:t>
      </w:r>
      <w:r w:rsidR="006D513D" w:rsidRPr="00003371">
        <w:rPr>
          <w:noProof/>
        </w:rPr>
        <w:t xml:space="preserve"> </w:t>
      </w:r>
      <w:r w:rsidR="00003371" w:rsidRPr="00003371">
        <w:rPr>
          <w:noProof/>
        </w:rPr>
        <w:t xml:space="preserve">when there is a risk to breach the principle of </w:t>
      </w:r>
      <w:r w:rsidR="00003371" w:rsidRPr="00003371">
        <w:rPr>
          <w:i/>
          <w:iCs/>
          <w:noProof/>
        </w:rPr>
        <w:t>non-refoulement</w:t>
      </w:r>
      <w:r w:rsidRPr="00003371">
        <w:rPr>
          <w:noProof/>
        </w:rPr>
        <w:t>. These measures strike a balance between efficiency and fairness, ensuring that the EU asylum system remains effective, predictable, and aligned with international human rights</w:t>
      </w:r>
      <w:r w:rsidRPr="008F6E6A">
        <w:rPr>
          <w:noProof/>
        </w:rPr>
        <w:t xml:space="preserve"> obligations.</w:t>
      </w:r>
    </w:p>
    <w:p w:rsidR="00693ED0" w:rsidRPr="008F6E6A" w:rsidRDefault="00693ED0" w:rsidP="00693ED0">
      <w:pPr>
        <w:pStyle w:val="ManualHeading3"/>
        <w:rPr>
          <w:noProof/>
        </w:rPr>
      </w:pPr>
      <w:r w:rsidRPr="008F6E6A">
        <w:rPr>
          <w:noProof/>
        </w:rPr>
        <w:t>1.5.3.</w:t>
      </w:r>
      <w:r w:rsidRPr="008F6E6A">
        <w:rPr>
          <w:noProof/>
        </w:rPr>
        <w:tab/>
        <w:t>Lessons learned from similar experiences in the past</w:t>
      </w:r>
      <w:bookmarkEnd w:id="62"/>
      <w:bookmarkEnd w:id="63"/>
      <w:bookmarkEnd w:id="64"/>
      <w:bookmarkEnd w:id="65"/>
      <w:bookmarkEnd w:id="66"/>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8F6E6A">
        <w:rPr>
          <w:noProof/>
        </w:rPr>
        <w:t>Application of the STC concept varies amongst Member States and is not applied by all</w:t>
      </w:r>
      <w:r w:rsidR="00E25B79">
        <w:rPr>
          <w:noProof/>
        </w:rPr>
        <w:t>,</w:t>
      </w:r>
      <w:r w:rsidRPr="008F6E6A">
        <w:rPr>
          <w:noProof/>
        </w:rPr>
        <w:t xml:space="preserve"> making comparisons difficult. </w:t>
      </w:r>
      <w:r w:rsidR="0034485F">
        <w:rPr>
          <w:noProof/>
        </w:rPr>
        <w:t>T</w:t>
      </w:r>
      <w:r w:rsidRPr="008F6E6A">
        <w:rPr>
          <w:noProof/>
        </w:rPr>
        <w:t xml:space="preserve">he Commission adopted a holistic approach in reviewing the STC concept. </w:t>
      </w:r>
      <w:r w:rsidR="00762BF1" w:rsidRPr="00003371">
        <w:rPr>
          <w:noProof/>
        </w:rPr>
        <w:t>They</w:t>
      </w:r>
      <w:r w:rsidRPr="008F6E6A">
        <w:rPr>
          <w:noProof/>
        </w:rPr>
        <w:t xml:space="preserve"> examined whether international law (the 1951 Geneva Convention and the 1950 European Convention of Human Rights) allows for further revisions to the conditions for applying the STC concept and its legal safeguards, with the aim of </w:t>
      </w:r>
      <w:r w:rsidR="006D513D" w:rsidRPr="008F6E6A">
        <w:rPr>
          <w:noProof/>
        </w:rPr>
        <w:t>facilitating</w:t>
      </w:r>
      <w:r w:rsidRPr="008F6E6A">
        <w:rPr>
          <w:noProof/>
        </w:rPr>
        <w:t xml:space="preserve"> the application of the concept in the Member States. The Commission</w:t>
      </w:r>
      <w:r w:rsidR="00762BF1" w:rsidRPr="008F6E6A">
        <w:rPr>
          <w:noProof/>
        </w:rPr>
        <w:t xml:space="preserve"> </w:t>
      </w:r>
      <w:r w:rsidRPr="008F6E6A">
        <w:rPr>
          <w:noProof/>
        </w:rPr>
        <w:t>also considered Member States’ experiences and challenges in applying the STC concept, as voiced in different fora, and assessed whether the changes introduced under the APR had already addressed these issues or if gaps remained. Finally, the Commission analysed relevant jurisprudence of the Court of Justice of the EU and of the European Court of Human Rights.</w:t>
      </w:r>
    </w:p>
    <w:p w:rsidR="00693ED0" w:rsidRPr="008F6E6A" w:rsidRDefault="00693ED0" w:rsidP="00693ED0">
      <w:pPr>
        <w:pStyle w:val="ManualHeading3"/>
        <w:rPr>
          <w:noProof/>
        </w:rPr>
      </w:pPr>
      <w:r w:rsidRPr="008F6E6A">
        <w:rPr>
          <w:noProof/>
        </w:rPr>
        <w:t>1.5.4.</w:t>
      </w:r>
      <w:r w:rsidRPr="008F6E6A">
        <w:rPr>
          <w:noProof/>
        </w:rPr>
        <w:tab/>
        <w:t>Compatibility with the multiannual financial framework and possible synergies with other appropriate instruments</w:t>
      </w:r>
      <w:bookmarkEnd w:id="67"/>
      <w:bookmarkEnd w:id="68"/>
      <w:bookmarkEnd w:id="69"/>
      <w:bookmarkEnd w:id="70"/>
      <w:bookmarkEnd w:id="71"/>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8F6E6A">
        <w:rPr>
          <w:noProof/>
        </w:rPr>
        <w:t xml:space="preserve">This proposal stems from the APR that introduced several changes to the STC rules and is therefore part of the Pact on Migration and Asylum adopted in May 2024 for which funding is already foreseen. This proposal does not impose any financial or administrative burden on the Union. Therefore, it has no impact on the Union budget. The application of </w:t>
      </w:r>
      <w:r w:rsidR="0073097A" w:rsidRPr="007F021D">
        <w:rPr>
          <w:noProof/>
        </w:rPr>
        <w:t xml:space="preserve">the </w:t>
      </w:r>
      <w:r w:rsidRPr="007F021D">
        <w:rPr>
          <w:noProof/>
        </w:rPr>
        <w:t>STC concept is not new for the Member States</w:t>
      </w:r>
      <w:r w:rsidR="00E25B79" w:rsidRPr="007F021D">
        <w:rPr>
          <w:noProof/>
        </w:rPr>
        <w:t>.</w:t>
      </w:r>
      <w:r w:rsidRPr="007F021D">
        <w:rPr>
          <w:noProof/>
        </w:rPr>
        <w:t xml:space="preserve"> Member States will be able to make use of the funds allocated under their national programmes under both the existing Asylum, Migration and Integration Fund to support any investments needed for the application of the STC concept. The EU</w:t>
      </w:r>
      <w:r w:rsidR="00DD5C30" w:rsidRPr="007F021D">
        <w:rPr>
          <w:noProof/>
        </w:rPr>
        <w:t>AA</w:t>
      </w:r>
      <w:r w:rsidRPr="007F021D">
        <w:rPr>
          <w:noProof/>
        </w:rPr>
        <w:t xml:space="preserve"> can support Member States with staff</w:t>
      </w:r>
      <w:r w:rsidRPr="008F6E6A">
        <w:rPr>
          <w:noProof/>
        </w:rPr>
        <w:t xml:space="preserve"> for the same purpose, within their respective mandates.</w:t>
      </w:r>
    </w:p>
    <w:p w:rsidR="00693ED0" w:rsidRPr="008F6E6A" w:rsidRDefault="00693ED0" w:rsidP="00693ED0">
      <w:pPr>
        <w:pStyle w:val="ManualHeading3"/>
        <w:rPr>
          <w:noProof/>
        </w:rPr>
      </w:pPr>
      <w:r w:rsidRPr="008F6E6A">
        <w:rPr>
          <w:noProof/>
        </w:rPr>
        <w:t>1.5.5.</w:t>
      </w:r>
      <w:r w:rsidRPr="008F6E6A">
        <w:rPr>
          <w:noProof/>
        </w:rPr>
        <w:tab/>
        <w:t>Assessment of the different available financing options, including scope for redeployment</w:t>
      </w:r>
      <w:bookmarkEnd w:id="72"/>
      <w:bookmarkEnd w:id="73"/>
      <w:bookmarkEnd w:id="74"/>
      <w:bookmarkEnd w:id="75"/>
      <w:bookmarkEnd w:id="76"/>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Not applicable.</w:t>
      </w:r>
    </w:p>
    <w:p w:rsidR="00693ED0" w:rsidRPr="008F6E6A" w:rsidRDefault="00693ED0" w:rsidP="00693ED0">
      <w:pPr>
        <w:pStyle w:val="ManualHeading2"/>
        <w:rPr>
          <w:bCs/>
          <w:noProof/>
          <w:szCs w:val="24"/>
        </w:rPr>
      </w:pPr>
      <w:r w:rsidRPr="008F6E6A">
        <w:rPr>
          <w:noProof/>
        </w:rPr>
        <w:br w:type="page"/>
      </w:r>
      <w:bookmarkStart w:id="77" w:name="_Toc514938039"/>
      <w:bookmarkStart w:id="78" w:name="_Toc520485040"/>
      <w:bookmarkStart w:id="79" w:name="_Toc160804582"/>
      <w:bookmarkStart w:id="80" w:name="_Toc167220274"/>
      <w:bookmarkStart w:id="81" w:name="_Toc177549007"/>
      <w:r w:rsidRPr="008F6E6A">
        <w:rPr>
          <w:noProof/>
        </w:rPr>
        <w:t>1.6.</w:t>
      </w:r>
      <w:r w:rsidRPr="008F6E6A">
        <w:rPr>
          <w:noProof/>
        </w:rPr>
        <w:tab/>
        <w:t>Duration of the proposal/initiative</w:t>
      </w:r>
      <w:bookmarkEnd w:id="77"/>
      <w:bookmarkEnd w:id="78"/>
      <w:r w:rsidRPr="008F6E6A">
        <w:rPr>
          <w:noProof/>
        </w:rPr>
        <w:t xml:space="preserve"> and of its financial impact</w:t>
      </w:r>
      <w:bookmarkEnd w:id="79"/>
      <w:bookmarkEnd w:id="80"/>
      <w:bookmarkEnd w:id="81"/>
    </w:p>
    <w:p w:rsidR="00693ED0" w:rsidRPr="008F6E6A" w:rsidRDefault="00693ED0" w:rsidP="00693ED0">
      <w:pPr>
        <w:pStyle w:val="Text1"/>
        <w:rPr>
          <w:noProof/>
        </w:rPr>
      </w:pPr>
      <w:r w:rsidRPr="008F6E6A">
        <w:rPr>
          <w:rFonts w:ascii="Wingdings" w:eastAsia="Wingdings" w:hAnsi="Wingdings" w:cs="Wingdings"/>
          <w:noProof/>
        </w:rPr>
        <w:t></w:t>
      </w:r>
      <w:r w:rsidRPr="008F6E6A">
        <w:rPr>
          <w:b/>
          <w:i/>
          <w:noProof/>
        </w:rPr>
        <w:t xml:space="preserve"> </w:t>
      </w:r>
      <w:r w:rsidRPr="008F6E6A">
        <w:rPr>
          <w:b/>
          <w:noProof/>
        </w:rPr>
        <w:t xml:space="preserve">limited duration </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ab/>
        <w:t xml:space="preserve">in effect from [DD/MM]YYYY to [DD/MM]YYYY </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ab/>
        <w:t xml:space="preserve">financial impact from YYYY to YYYY for commitment appropriations and from YYYY to YYYY for payment appropriations. </w:t>
      </w:r>
    </w:p>
    <w:p w:rsidR="00693ED0" w:rsidRPr="008F6E6A" w:rsidRDefault="00693ED0" w:rsidP="00693ED0">
      <w:pPr>
        <w:pStyle w:val="Text1"/>
        <w:rPr>
          <w:noProof/>
        </w:rPr>
      </w:pPr>
      <w:r w:rsidRPr="008F6E6A">
        <w:rPr>
          <w:rFonts w:ascii="Wingdings" w:eastAsia="Wingdings" w:hAnsi="Wingdings" w:cs="Wingdings"/>
          <w:noProof/>
        </w:rPr>
        <w:t></w:t>
      </w:r>
      <w:r w:rsidRPr="008F6E6A">
        <w:rPr>
          <w:b/>
          <w:i/>
          <w:noProof/>
        </w:rPr>
        <w:t xml:space="preserve"> </w:t>
      </w:r>
      <w:r w:rsidRPr="008F6E6A">
        <w:rPr>
          <w:b/>
          <w:noProof/>
        </w:rPr>
        <w:t>unlimited duration</w:t>
      </w:r>
    </w:p>
    <w:p w:rsidR="00693ED0" w:rsidRPr="008F6E6A" w:rsidRDefault="00693ED0" w:rsidP="00693ED0">
      <w:pPr>
        <w:pStyle w:val="ListDash1"/>
        <w:rPr>
          <w:noProof/>
        </w:rPr>
      </w:pPr>
      <w:r w:rsidRPr="008F6E6A">
        <w:rPr>
          <w:noProof/>
        </w:rPr>
        <w:t>Implementation with a start-up period from YYYY to YYYY,</w:t>
      </w:r>
    </w:p>
    <w:p w:rsidR="00693ED0" w:rsidRPr="008F6E6A" w:rsidRDefault="00693ED0" w:rsidP="00693ED0">
      <w:pPr>
        <w:pStyle w:val="ListDash1"/>
        <w:rPr>
          <w:noProof/>
        </w:rPr>
      </w:pPr>
      <w:r w:rsidRPr="008F6E6A">
        <w:rPr>
          <w:noProof/>
        </w:rPr>
        <w:t>followed by full-scale operation.</w:t>
      </w:r>
    </w:p>
    <w:p w:rsidR="00693ED0" w:rsidRPr="008F6E6A"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8F6E6A">
        <w:rPr>
          <w:noProof/>
        </w:rPr>
        <w:t>1.7.</w:t>
      </w:r>
      <w:r w:rsidRPr="008F6E6A">
        <w:rPr>
          <w:noProof/>
        </w:rPr>
        <w:tab/>
        <w:t>Method(s) of budget implementation planned</w:t>
      </w:r>
      <w:r w:rsidRPr="008F6E6A">
        <w:rPr>
          <w:rStyle w:val="FootnoteReference"/>
          <w:noProof/>
        </w:rPr>
        <w:footnoteReference w:id="20"/>
      </w:r>
      <w:bookmarkEnd w:id="82"/>
      <w:bookmarkEnd w:id="83"/>
      <w:bookmarkEnd w:id="84"/>
      <w:bookmarkEnd w:id="85"/>
      <w:bookmarkEnd w:id="86"/>
      <w:r w:rsidRPr="008F6E6A">
        <w:rPr>
          <w:rStyle w:val="FootnoteReference"/>
          <w:noProof/>
        </w:rPr>
        <w:t xml:space="preserve"> </w:t>
      </w:r>
    </w:p>
    <w:p w:rsidR="00693ED0" w:rsidRPr="008F6E6A" w:rsidRDefault="00693ED0" w:rsidP="00693ED0">
      <w:pPr>
        <w:pStyle w:val="Text1"/>
        <w:rPr>
          <w:noProof/>
        </w:rPr>
      </w:pPr>
      <w:r w:rsidRPr="008F6E6A">
        <w:rPr>
          <w:rFonts w:ascii="Wingdings" w:eastAsia="Wingdings" w:hAnsi="Wingdings" w:cs="Wingdings"/>
          <w:noProof/>
        </w:rPr>
        <w:t></w:t>
      </w:r>
      <w:r w:rsidRPr="008F6E6A">
        <w:rPr>
          <w:i/>
          <w:noProof/>
        </w:rPr>
        <w:t xml:space="preserve"> </w:t>
      </w:r>
      <w:r w:rsidRPr="008F6E6A">
        <w:rPr>
          <w:b/>
          <w:noProof/>
        </w:rPr>
        <w:t>Direct management</w:t>
      </w:r>
      <w:r w:rsidRPr="008F6E6A">
        <w:rPr>
          <w:noProof/>
        </w:rPr>
        <w:t xml:space="preserve"> by the Commission</w:t>
      </w:r>
    </w:p>
    <w:p w:rsidR="00693ED0" w:rsidRPr="008F6E6A" w:rsidRDefault="00693ED0" w:rsidP="00693ED0">
      <w:pPr>
        <w:pStyle w:val="ListDash2"/>
        <w:rPr>
          <w:rFonts w:cs="EUAlbertina"/>
          <w:noProof/>
        </w:rPr>
      </w:pPr>
      <w:r w:rsidRPr="008F6E6A">
        <w:rPr>
          <w:rFonts w:ascii="Wingdings" w:eastAsia="Wingdings" w:hAnsi="Wingdings" w:cs="Wingdings"/>
          <w:noProof/>
        </w:rPr>
        <w:t></w:t>
      </w:r>
      <w:r w:rsidRPr="008F6E6A">
        <w:rPr>
          <w:noProof/>
        </w:rPr>
        <w:t xml:space="preserve"> by its departments, including by its staff in the Union delegations; </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ab/>
        <w:t xml:space="preserve">by the executive agencies </w:t>
      </w:r>
    </w:p>
    <w:p w:rsidR="00693ED0" w:rsidRPr="008F6E6A" w:rsidRDefault="00693ED0" w:rsidP="00693ED0">
      <w:pPr>
        <w:pStyle w:val="Text1"/>
        <w:rPr>
          <w:noProof/>
        </w:rPr>
      </w:pPr>
      <w:r w:rsidRPr="008F6E6A">
        <w:rPr>
          <w:rFonts w:ascii="Wingdings" w:eastAsia="Wingdings" w:hAnsi="Wingdings" w:cs="Wingdings"/>
          <w:noProof/>
        </w:rPr>
        <w:t></w:t>
      </w:r>
      <w:r w:rsidRPr="008F6E6A">
        <w:rPr>
          <w:b/>
          <w:i/>
          <w:noProof/>
        </w:rPr>
        <w:t xml:space="preserve"> </w:t>
      </w:r>
      <w:r w:rsidRPr="008F6E6A">
        <w:rPr>
          <w:b/>
          <w:noProof/>
        </w:rPr>
        <w:t>Shared management</w:t>
      </w:r>
      <w:r w:rsidRPr="008F6E6A">
        <w:rPr>
          <w:noProof/>
        </w:rPr>
        <w:t xml:space="preserve"> with the Member States </w:t>
      </w:r>
    </w:p>
    <w:p w:rsidR="00693ED0" w:rsidRPr="008F6E6A" w:rsidRDefault="00693ED0" w:rsidP="00693ED0">
      <w:pPr>
        <w:pStyle w:val="Text1"/>
        <w:rPr>
          <w:noProof/>
        </w:rPr>
      </w:pPr>
      <w:r w:rsidRPr="008F6E6A">
        <w:rPr>
          <w:rFonts w:ascii="Wingdings" w:eastAsia="Wingdings" w:hAnsi="Wingdings" w:cs="Wingdings"/>
          <w:noProof/>
        </w:rPr>
        <w:t></w:t>
      </w:r>
      <w:r w:rsidRPr="008F6E6A">
        <w:rPr>
          <w:i/>
          <w:noProof/>
        </w:rPr>
        <w:t xml:space="preserve"> </w:t>
      </w:r>
      <w:r w:rsidRPr="008F6E6A">
        <w:rPr>
          <w:b/>
          <w:noProof/>
        </w:rPr>
        <w:t>Indirect management</w:t>
      </w:r>
      <w:r w:rsidRPr="008F6E6A">
        <w:rPr>
          <w:noProof/>
        </w:rPr>
        <w:t xml:space="preserve"> by entrusting budget implementation tasks to:</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third countries or the bodies they have designated</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international organisations and their agencies (to be specified)</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the European Investment Bank and the European Investment Fund</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bodies referred to in Articles 70 and 71 of the Financial Regulation</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public law bodies</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bodies governed by private law with a public service mission to the extent that they are provided with adequate financial guarantees</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bodies governed by the private law of a Member State that are entrusted with the implementation of a public-private partnership and that are provided with adequate financial guarantees</w:t>
      </w:r>
    </w:p>
    <w:p w:rsidR="00693ED0" w:rsidRPr="008F6E6A" w:rsidRDefault="00693ED0" w:rsidP="00693ED0">
      <w:pPr>
        <w:pStyle w:val="ListDash2"/>
        <w:rPr>
          <w:noProof/>
        </w:rPr>
      </w:pPr>
      <w:r w:rsidRPr="008F6E6A">
        <w:rPr>
          <w:rFonts w:ascii="Wingdings" w:eastAsia="Wingdings" w:hAnsi="Wingdings" w:cs="Wingdings"/>
          <w:noProof/>
        </w:rPr>
        <w:t></w:t>
      </w:r>
      <w:r w:rsidRPr="008F6E6A">
        <w:rPr>
          <w:noProof/>
        </w:rPr>
        <w:t xml:space="preserve"> bodies or persons entrusted with the implementation of specific actions in the common foreign and security policy pursuant to Title V of the Treaty on European Union, and identified in the relevant basic act</w:t>
      </w:r>
    </w:p>
    <w:p w:rsidR="00693ED0" w:rsidRPr="008F6E6A" w:rsidRDefault="00693ED0" w:rsidP="00693ED0">
      <w:pPr>
        <w:pStyle w:val="ListDash2"/>
        <w:rPr>
          <w:noProof/>
        </w:rPr>
      </w:pPr>
      <w:r w:rsidRPr="008F6E6A">
        <w:rPr>
          <w:rFonts w:ascii="Wingdings" w:eastAsia="Wingdings" w:hAnsi="Wingdings" w:cs="Wingdings"/>
          <w:noProof/>
        </w:rPr>
        <w:t></w:t>
      </w:r>
      <w:r w:rsidR="009755A2">
        <w:rPr>
          <w:rFonts w:ascii="Wingdings" w:eastAsia="Wingdings" w:hAnsi="Wingdings" w:cs="Wingdings"/>
          <w:noProof/>
        </w:rPr>
        <w:t></w:t>
      </w:r>
      <w:r w:rsidRPr="008F6E6A">
        <w:rPr>
          <w:noProof/>
        </w:rP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rsidR="00693ED0" w:rsidRPr="008F6E6A" w:rsidRDefault="00693ED0" w:rsidP="00693ED0">
      <w:pPr>
        <w:rPr>
          <w:noProof/>
        </w:rPr>
        <w:sectPr w:rsidR="00693ED0" w:rsidRPr="008F6E6A" w:rsidSect="00A05E51">
          <w:pgSz w:w="11907" w:h="16840" w:code="9"/>
          <w:pgMar w:top="1134" w:right="1418" w:bottom="1134" w:left="1418" w:header="709" w:footer="709" w:gutter="0"/>
          <w:cols w:space="708"/>
          <w:docGrid w:linePitch="360"/>
        </w:sectPr>
      </w:pPr>
    </w:p>
    <w:p w:rsidR="00693ED0" w:rsidRPr="008F6E6A"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8F6E6A">
        <w:rPr>
          <w:noProof/>
        </w:rPr>
        <w:t>2.</w:t>
      </w:r>
      <w:r w:rsidRPr="008F6E6A">
        <w:rPr>
          <w:noProof/>
        </w:rPr>
        <w:tab/>
        <w:t>MANAGEMENT MEASURES</w:t>
      </w:r>
      <w:bookmarkEnd w:id="87"/>
      <w:bookmarkEnd w:id="88"/>
      <w:bookmarkEnd w:id="89"/>
      <w:bookmarkEnd w:id="90"/>
      <w:bookmarkEnd w:id="91"/>
      <w:r w:rsidRPr="008F6E6A">
        <w:rPr>
          <w:noProof/>
        </w:rPr>
        <w:t xml:space="preserve"> </w:t>
      </w:r>
    </w:p>
    <w:p w:rsidR="00693ED0" w:rsidRPr="008F6E6A"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8F6E6A">
        <w:rPr>
          <w:noProof/>
        </w:rPr>
        <w:t>2.1.</w:t>
      </w:r>
      <w:r w:rsidRPr="008F6E6A">
        <w:rPr>
          <w:noProof/>
        </w:rPr>
        <w:tab/>
        <w:t>Monitoring and reporting rules</w:t>
      </w:r>
      <w:bookmarkEnd w:id="92"/>
      <w:bookmarkEnd w:id="93"/>
      <w:bookmarkEnd w:id="94"/>
      <w:bookmarkEnd w:id="95"/>
      <w:bookmarkEnd w:id="96"/>
      <w:r w:rsidRPr="008F6E6A">
        <w:rPr>
          <w:noProof/>
        </w:rPr>
        <w:t xml:space="preserve">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8F6E6A">
        <w:rPr>
          <w:noProof/>
        </w:rPr>
        <w:t xml:space="preserve">Under Article 75 of the Asylum Procedure Regulation (EU) 2024/1348, Member States must develop National Implementation Plans based on the Common Implementation Plan set by the Commission, which will closely monitor their implementation. Once the </w:t>
      </w:r>
      <w:r w:rsidR="009755A2">
        <w:rPr>
          <w:noProof/>
        </w:rPr>
        <w:t xml:space="preserve">provisions of the </w:t>
      </w:r>
      <w:r w:rsidRPr="008F6E6A">
        <w:rPr>
          <w:noProof/>
        </w:rPr>
        <w:t xml:space="preserve">Pact </w:t>
      </w:r>
      <w:r w:rsidR="00F25EB0">
        <w:rPr>
          <w:noProof/>
        </w:rPr>
        <w:t>start applying</w:t>
      </w:r>
      <w:r w:rsidR="009755A2">
        <w:rPr>
          <w:noProof/>
        </w:rPr>
        <w:t xml:space="preserve"> in June 2026</w:t>
      </w:r>
      <w:r w:rsidRPr="008F6E6A">
        <w:rPr>
          <w:noProof/>
        </w:rPr>
        <w:t>, the E</w:t>
      </w:r>
      <w:r w:rsidR="009755A2">
        <w:rPr>
          <w:noProof/>
        </w:rPr>
        <w:t>UAA</w:t>
      </w:r>
      <w:r w:rsidRPr="008F6E6A">
        <w:rPr>
          <w:noProof/>
        </w:rPr>
        <w:t xml:space="preserve"> will oversee the operational and technical application of the Common European Asylum System </w:t>
      </w:r>
      <w:r w:rsidR="009755A2">
        <w:rPr>
          <w:noProof/>
        </w:rPr>
        <w:t>u</w:t>
      </w:r>
      <w:r w:rsidRPr="008F6E6A">
        <w:rPr>
          <w:noProof/>
        </w:rPr>
        <w:t>nder Article 14 of the EUAA Regulation (EU) 2021/2303, including the implementation of the STC concept.</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The Commission’s annual reports under Article 9 of the Asylum and Migration Management Regulation will include EUAA’s monitoring results, assessing whether Member States are under migratory pressure or facing systemic shortcomings that could affect the functioning of the Dublin system</w:t>
      </w:r>
      <w:r w:rsidR="00BB7E1E" w:rsidRPr="008F6E6A">
        <w:rPr>
          <w:noProof/>
        </w:rPr>
        <w:t>, including linked to the application of the STC concept</w:t>
      </w:r>
      <w:r w:rsidRPr="008F6E6A">
        <w:rPr>
          <w:noProof/>
        </w:rPr>
        <w:t xml:space="preserve">. The added transparency clause will allow the Commission to </w:t>
      </w:r>
      <w:r w:rsidR="0034485F">
        <w:rPr>
          <w:noProof/>
        </w:rPr>
        <w:t xml:space="preserve">monitor </w:t>
      </w:r>
      <w:r w:rsidR="006D513D" w:rsidRPr="008F6E6A">
        <w:rPr>
          <w:noProof/>
        </w:rPr>
        <w:t>agreement</w:t>
      </w:r>
      <w:r w:rsidR="005F2487" w:rsidRPr="008F6E6A">
        <w:rPr>
          <w:noProof/>
        </w:rPr>
        <w:t>s</w:t>
      </w:r>
      <w:r w:rsidR="006D513D" w:rsidRPr="008F6E6A">
        <w:rPr>
          <w:noProof/>
        </w:rPr>
        <w:t xml:space="preserve"> and </w:t>
      </w:r>
      <w:r w:rsidRPr="008F6E6A">
        <w:rPr>
          <w:noProof/>
        </w:rPr>
        <w:t>arrangements with third countries</w:t>
      </w:r>
      <w:r w:rsidR="0034485F">
        <w:rPr>
          <w:noProof/>
        </w:rPr>
        <w:t xml:space="preserve"> </w:t>
      </w:r>
      <w:r w:rsidR="009C4844">
        <w:rPr>
          <w:noProof/>
        </w:rPr>
        <w:t xml:space="preserve">in light of </w:t>
      </w:r>
      <w:r w:rsidR="0034485F">
        <w:rPr>
          <w:noProof/>
        </w:rPr>
        <w:t>the APR requirements</w:t>
      </w:r>
      <w:r w:rsidRPr="008F6E6A">
        <w:rPr>
          <w:noProof/>
        </w:rPr>
        <w:t>.</w:t>
      </w:r>
    </w:p>
    <w:p w:rsidR="00693ED0" w:rsidRPr="008F6E6A" w:rsidRDefault="00693ED0" w:rsidP="00693ED0">
      <w:pPr>
        <w:pStyle w:val="ManualHeading2"/>
        <w:rPr>
          <w:bCs/>
          <w:noProof/>
          <w:szCs w:val="24"/>
        </w:rPr>
      </w:pPr>
      <w:r w:rsidRPr="008F6E6A">
        <w:rPr>
          <w:noProof/>
        </w:rPr>
        <w:t>2.2.</w:t>
      </w:r>
      <w:r w:rsidRPr="008F6E6A">
        <w:rPr>
          <w:noProof/>
        </w:rPr>
        <w:tab/>
        <w:t>Management and control system(s)</w:t>
      </w:r>
      <w:bookmarkEnd w:id="97"/>
      <w:bookmarkEnd w:id="98"/>
      <w:bookmarkEnd w:id="99"/>
      <w:bookmarkEnd w:id="100"/>
      <w:bookmarkEnd w:id="101"/>
      <w:r w:rsidRPr="008F6E6A">
        <w:rPr>
          <w:noProof/>
        </w:rPr>
        <w:t xml:space="preserve"> </w:t>
      </w:r>
    </w:p>
    <w:p w:rsidR="00693ED0" w:rsidRPr="008F6E6A"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8F6E6A">
        <w:rPr>
          <w:noProof/>
        </w:rPr>
        <w:t>2.2.1.</w:t>
      </w:r>
      <w:r w:rsidRPr="008F6E6A">
        <w:rPr>
          <w:noProof/>
        </w:rPr>
        <w:tab/>
        <w:t>Justification of the budget implementation method(s), the funding implementation mechanism(s), the payment modalities and the control strategy proposed</w:t>
      </w:r>
      <w:bookmarkEnd w:id="102"/>
      <w:bookmarkEnd w:id="103"/>
      <w:bookmarkEnd w:id="104"/>
      <w:bookmarkEnd w:id="105"/>
      <w:bookmarkEnd w:id="106"/>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8F6E6A">
        <w:rPr>
          <w:noProof/>
        </w:rPr>
        <w:t>Not applicable.</w:t>
      </w:r>
    </w:p>
    <w:p w:rsidR="00693ED0" w:rsidRPr="008F6E6A" w:rsidRDefault="00693ED0" w:rsidP="00693ED0">
      <w:pPr>
        <w:pStyle w:val="ManualHeading3"/>
        <w:rPr>
          <w:bCs/>
          <w:noProof/>
          <w:szCs w:val="24"/>
        </w:rPr>
      </w:pPr>
      <w:r w:rsidRPr="008F6E6A">
        <w:rPr>
          <w:noProof/>
        </w:rPr>
        <w:t>2.2.2.</w:t>
      </w:r>
      <w:r w:rsidRPr="008F6E6A">
        <w:rPr>
          <w:noProof/>
        </w:rPr>
        <w:tab/>
        <w:t>Information concerning the risks identified and the internal control system(s) set up to mitigate them</w:t>
      </w:r>
      <w:bookmarkEnd w:id="107"/>
      <w:bookmarkEnd w:id="108"/>
      <w:bookmarkEnd w:id="109"/>
      <w:bookmarkEnd w:id="110"/>
      <w:bookmarkEnd w:id="111"/>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8F6E6A">
        <w:rPr>
          <w:noProof/>
        </w:rPr>
        <w:t xml:space="preserve">One of the </w:t>
      </w:r>
      <w:r w:rsidR="004348D8">
        <w:rPr>
          <w:noProof/>
        </w:rPr>
        <w:t>r</w:t>
      </w:r>
      <w:r w:rsidRPr="008F6E6A">
        <w:rPr>
          <w:noProof/>
        </w:rPr>
        <w:t>isks associated with the propos</w:t>
      </w:r>
      <w:r w:rsidR="004348D8">
        <w:rPr>
          <w:noProof/>
        </w:rPr>
        <w:t xml:space="preserve">al </w:t>
      </w:r>
      <w:r w:rsidRPr="008F6E6A">
        <w:rPr>
          <w:noProof/>
        </w:rPr>
        <w:t xml:space="preserve">is that Member States may establish </w:t>
      </w:r>
      <w:r w:rsidR="005904BC" w:rsidRPr="008F6E6A">
        <w:rPr>
          <w:noProof/>
        </w:rPr>
        <w:t xml:space="preserve">agreements or </w:t>
      </w:r>
      <w:r w:rsidRPr="008F6E6A">
        <w:rPr>
          <w:noProof/>
        </w:rPr>
        <w:t>arrangements with third countries that do not meet the necessary standards.</w:t>
      </w:r>
      <w:r w:rsidRPr="008F6E6A" w:rsidDel="00401D96">
        <w:rPr>
          <w:noProof/>
        </w:rPr>
        <w:t xml:space="preserve"> </w:t>
      </w:r>
      <w:r w:rsidRPr="008F6E6A">
        <w:rPr>
          <w:noProof/>
        </w:rPr>
        <w:t xml:space="preserve">To mitigate this risk, </w:t>
      </w:r>
      <w:r w:rsidR="004348D8">
        <w:rPr>
          <w:noProof/>
        </w:rPr>
        <w:t>a</w:t>
      </w:r>
      <w:r w:rsidRPr="008F6E6A">
        <w:rPr>
          <w:noProof/>
        </w:rPr>
        <w:t xml:space="preserve"> transparency clause has been </w:t>
      </w:r>
      <w:r w:rsidR="004348D8">
        <w:rPr>
          <w:noProof/>
        </w:rPr>
        <w:t>introduce</w:t>
      </w:r>
      <w:r w:rsidR="00852B1B">
        <w:rPr>
          <w:noProof/>
        </w:rPr>
        <w:t>d</w:t>
      </w:r>
      <w:r w:rsidR="004348D8">
        <w:rPr>
          <w:noProof/>
        </w:rPr>
        <w:t xml:space="preserve">, according to which </w:t>
      </w:r>
      <w:r w:rsidRPr="008F6E6A">
        <w:rPr>
          <w:noProof/>
        </w:rPr>
        <w:t xml:space="preserve">Member States </w:t>
      </w:r>
      <w:r w:rsidR="004348D8">
        <w:rPr>
          <w:noProof/>
        </w:rPr>
        <w:t xml:space="preserve">need </w:t>
      </w:r>
      <w:r w:rsidRPr="008F6E6A">
        <w:rPr>
          <w:noProof/>
        </w:rPr>
        <w:t xml:space="preserve">to inform the Commission </w:t>
      </w:r>
      <w:r w:rsidR="004348D8">
        <w:rPr>
          <w:noProof/>
        </w:rPr>
        <w:t>and other Member States prior to the conclusion of a</w:t>
      </w:r>
      <w:r w:rsidR="006D513D" w:rsidRPr="008F6E6A">
        <w:rPr>
          <w:noProof/>
        </w:rPr>
        <w:t xml:space="preserve">greements </w:t>
      </w:r>
      <w:r w:rsidR="004348D8">
        <w:rPr>
          <w:noProof/>
        </w:rPr>
        <w:t>or</w:t>
      </w:r>
      <w:r w:rsidRPr="008F6E6A">
        <w:rPr>
          <w:noProof/>
        </w:rPr>
        <w:t xml:space="preserve"> arrangements. </w:t>
      </w:r>
    </w:p>
    <w:p w:rsidR="00693ED0" w:rsidRPr="008F6E6A" w:rsidRDefault="00693ED0" w:rsidP="00693ED0">
      <w:pPr>
        <w:pStyle w:val="ManualHeading3"/>
        <w:rPr>
          <w:noProof/>
        </w:rPr>
      </w:pPr>
      <w:r w:rsidRPr="008F6E6A">
        <w:rPr>
          <w:noProof/>
        </w:rPr>
        <w:t>2.2.3.</w:t>
      </w:r>
      <w:r w:rsidRPr="008F6E6A">
        <w:rPr>
          <w:noProof/>
        </w:rPr>
        <w:tab/>
        <w:t>Estimation and justification of the cost-effectiveness of the controls (ratio between the control costs</w:t>
      </w:r>
      <w:r w:rsidR="00601BCE" w:rsidRPr="008F6E6A">
        <w:rPr>
          <w:noProof/>
        </w:rPr>
        <w:t xml:space="preserve"> </w:t>
      </w:r>
      <w:r w:rsidRPr="008F6E6A">
        <w:rPr>
          <w:noProof/>
        </w:rPr>
        <w:t>and the value of the related funds managed), and assessment of the expected levels of risk of error (at payment &amp; at closure)</w:t>
      </w:r>
      <w:bookmarkEnd w:id="112"/>
      <w:bookmarkEnd w:id="113"/>
      <w:bookmarkEnd w:id="114"/>
      <w:bookmarkEnd w:id="115"/>
      <w:bookmarkEnd w:id="116"/>
      <w:r w:rsidRPr="008F6E6A">
        <w:rPr>
          <w:noProof/>
        </w:rPr>
        <w:t xml:space="preserve">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8F6E6A">
        <w:rPr>
          <w:noProof/>
        </w:rPr>
        <w:t>Not applicable</w:t>
      </w:r>
    </w:p>
    <w:p w:rsidR="00693ED0" w:rsidRPr="008F6E6A" w:rsidRDefault="00693ED0" w:rsidP="00693ED0">
      <w:pPr>
        <w:pStyle w:val="ManualHeading2"/>
        <w:rPr>
          <w:bCs/>
          <w:noProof/>
          <w:szCs w:val="24"/>
        </w:rPr>
      </w:pPr>
      <w:r w:rsidRPr="008F6E6A">
        <w:rPr>
          <w:noProof/>
        </w:rPr>
        <w:t>2.3.</w:t>
      </w:r>
      <w:r w:rsidRPr="008F6E6A">
        <w:rPr>
          <w:noProof/>
        </w:rPr>
        <w:tab/>
        <w:t>Measures to prevent fraud and irregularities</w:t>
      </w:r>
      <w:bookmarkEnd w:id="117"/>
      <w:bookmarkEnd w:id="118"/>
      <w:bookmarkEnd w:id="119"/>
      <w:bookmarkEnd w:id="120"/>
      <w:bookmarkEnd w:id="121"/>
      <w:r w:rsidRPr="008F6E6A">
        <w:rPr>
          <w:noProof/>
        </w:rPr>
        <w:t xml:space="preserve">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r w:rsidRPr="008F6E6A">
        <w:rPr>
          <w:noProof/>
        </w:rPr>
        <w:t>Not applicable</w:t>
      </w:r>
    </w:p>
    <w:p w:rsidR="00693ED0" w:rsidRPr="008F6E6A" w:rsidRDefault="00693ED0" w:rsidP="00693ED0">
      <w:pPr>
        <w:rPr>
          <w:noProof/>
        </w:rPr>
        <w:sectPr w:rsidR="00693ED0" w:rsidRPr="008F6E6A" w:rsidSect="00A05E51">
          <w:pgSz w:w="11907" w:h="16840" w:code="9"/>
          <w:pgMar w:top="1134" w:right="1418" w:bottom="1134" w:left="1418" w:header="709" w:footer="709" w:gutter="0"/>
          <w:cols w:space="708"/>
          <w:docGrid w:linePitch="360"/>
        </w:sectPr>
      </w:pPr>
    </w:p>
    <w:p w:rsidR="00693ED0" w:rsidRPr="008F6E6A"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8F6E6A">
        <w:rPr>
          <w:noProof/>
        </w:rPr>
        <w:t>3.</w:t>
      </w:r>
      <w:r w:rsidRPr="008F6E6A">
        <w:rPr>
          <w:noProof/>
        </w:rPr>
        <w:tab/>
        <w:t>ESTIMATED FINANCIAL IMPACT OF THE PROPOSAL/INITIATIVE</w:t>
      </w:r>
      <w:bookmarkEnd w:id="122"/>
      <w:bookmarkEnd w:id="123"/>
      <w:bookmarkEnd w:id="124"/>
      <w:bookmarkEnd w:id="125"/>
      <w:bookmarkEnd w:id="126"/>
      <w:r w:rsidRPr="008F6E6A">
        <w:rPr>
          <w:noProof/>
        </w:rPr>
        <w:t xml:space="preserve"> </w:t>
      </w:r>
    </w:p>
    <w:p w:rsidR="00693ED0" w:rsidRPr="008F6E6A"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8F6E6A">
        <w:rPr>
          <w:noProof/>
        </w:rPr>
        <w:t>3.1.</w:t>
      </w:r>
      <w:r w:rsidRPr="008F6E6A">
        <w:rPr>
          <w:noProof/>
        </w:rPr>
        <w:tab/>
        <w:t>Heading(s) of the multiannual financial framework and expenditure budget line(s) affected</w:t>
      </w:r>
      <w:bookmarkEnd w:id="127"/>
      <w:bookmarkEnd w:id="128"/>
      <w:bookmarkEnd w:id="129"/>
      <w:bookmarkEnd w:id="130"/>
      <w:bookmarkEnd w:id="131"/>
      <w:r w:rsidRPr="008F6E6A">
        <w:rPr>
          <w:noProof/>
        </w:rPr>
        <w:t xml:space="preserve"> </w:t>
      </w:r>
    </w:p>
    <w:p w:rsidR="00693ED0" w:rsidRPr="008F6E6A"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8F6E6A">
        <w:rPr>
          <w:noProof/>
        </w:rPr>
        <w:t xml:space="preserve">Section 3 not applicable as no financial or staff implications. </w:t>
      </w:r>
      <w:bookmarkEnd w:id="132"/>
    </w:p>
    <w:p w:rsidR="00693ED0" w:rsidRPr="008F6E6A" w:rsidRDefault="00693ED0" w:rsidP="00693ED0">
      <w:pPr>
        <w:rPr>
          <w:noProof/>
        </w:rPr>
        <w:sectPr w:rsidR="00693ED0" w:rsidRPr="008F6E6A" w:rsidSect="00A05E51">
          <w:pgSz w:w="11907" w:h="16840" w:code="1"/>
          <w:pgMar w:top="1134" w:right="1418" w:bottom="1134" w:left="1418" w:header="709" w:footer="709" w:gutter="0"/>
          <w:cols w:space="708"/>
          <w:docGrid w:linePitch="360"/>
        </w:sectPr>
      </w:pPr>
    </w:p>
    <w:p w:rsidR="00693ED0" w:rsidRPr="008F6E6A"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8F6E6A">
        <w:rPr>
          <w:noProof/>
        </w:rPr>
        <w:t>3.2.</w:t>
      </w:r>
      <w:r w:rsidRPr="008F6E6A">
        <w:rPr>
          <w:noProof/>
        </w:rPr>
        <w:tab/>
        <w:t>Estimated financial impact of the proposal on appropriations</w:t>
      </w:r>
      <w:bookmarkEnd w:id="133"/>
      <w:bookmarkEnd w:id="134"/>
      <w:bookmarkEnd w:id="135"/>
      <w:bookmarkEnd w:id="136"/>
      <w:bookmarkEnd w:id="137"/>
      <w:r w:rsidRPr="008F6E6A">
        <w:rPr>
          <w:noProof/>
        </w:rPr>
        <w:t xml:space="preserve"> </w:t>
      </w:r>
    </w:p>
    <w:p w:rsidR="00693ED0" w:rsidRPr="008F6E6A"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8F6E6A">
        <w:rPr>
          <w:noProof/>
        </w:rPr>
        <w:t>3.2.1.</w:t>
      </w:r>
      <w:r w:rsidRPr="008F6E6A">
        <w:rPr>
          <w:noProof/>
        </w:rPr>
        <w:tab/>
        <w:t>Summary of estimated impact on operational appropriations</w:t>
      </w:r>
      <w:bookmarkEnd w:id="138"/>
      <w:bookmarkEnd w:id="139"/>
      <w:bookmarkEnd w:id="140"/>
      <w:bookmarkEnd w:id="141"/>
      <w:bookmarkEnd w:id="142"/>
      <w:r w:rsidRPr="008F6E6A">
        <w:rPr>
          <w:noProof/>
        </w:rPr>
        <w:t xml:space="preserve"> </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 xml:space="preserve">The proposal/initiative does not require the use of operational appropriations </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The proposal/initiative requires the use of operational appropriations, as explained below</w:t>
      </w:r>
    </w:p>
    <w:p w:rsidR="00693ED0" w:rsidRPr="008F6E6A" w:rsidRDefault="00693ED0" w:rsidP="00693ED0">
      <w:pPr>
        <w:pStyle w:val="ManualHeading3"/>
        <w:rPr>
          <w:noProof/>
        </w:rPr>
      </w:pPr>
      <w:bookmarkStart w:id="143" w:name="_Toc160804595"/>
      <w:bookmarkStart w:id="144" w:name="_Toc167220287"/>
      <w:bookmarkStart w:id="145" w:name="_Toc177549020"/>
      <w:r w:rsidRPr="008F6E6A">
        <w:rPr>
          <w:noProof/>
        </w:rPr>
        <w:t>3.2.1.1.</w:t>
      </w:r>
      <w:r w:rsidRPr="008F6E6A">
        <w:rPr>
          <w:noProof/>
        </w:rPr>
        <w:tab/>
        <w:t>Appropriations from voted budget</w:t>
      </w:r>
      <w:bookmarkEnd w:id="143"/>
      <w:bookmarkEnd w:id="144"/>
      <w:bookmarkEnd w:id="145"/>
    </w:p>
    <w:p w:rsidR="00693ED0" w:rsidRPr="008F6E6A" w:rsidRDefault="00693ED0" w:rsidP="00693ED0">
      <w:pPr>
        <w:jc w:val="right"/>
        <w:rPr>
          <w:noProof/>
          <w:sz w:val="18"/>
          <w:szCs w:val="18"/>
        </w:rPr>
      </w:pPr>
      <w:r w:rsidRPr="008F6E6A">
        <w:rPr>
          <w:noProof/>
          <w:sz w:val="18"/>
          <w:szCs w:val="18"/>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8F6E6A" w:rsidTr="00E06D11">
        <w:tc>
          <w:tcPr>
            <w:tcW w:w="1739" w:type="pct"/>
            <w:gridSpan w:val="3"/>
            <w:shd w:val="clear" w:color="auto" w:fill="auto"/>
            <w:vAlign w:val="center"/>
          </w:tcPr>
          <w:p w:rsidR="00693ED0" w:rsidRPr="008F6E6A" w:rsidRDefault="00693ED0">
            <w:pPr>
              <w:spacing w:before="60" w:after="60"/>
              <w:jc w:val="center"/>
              <w:rPr>
                <w:b/>
                <w:noProof/>
              </w:rPr>
            </w:pPr>
            <w:r w:rsidRPr="008F6E6A">
              <w:rPr>
                <w:b/>
                <w:noProof/>
                <w:sz w:val="22"/>
              </w:rPr>
              <w:t xml:space="preserve">Heading of multiannual financial framework </w:t>
            </w:r>
          </w:p>
        </w:tc>
        <w:tc>
          <w:tcPr>
            <w:tcW w:w="396" w:type="pct"/>
            <w:gridSpan w:val="2"/>
            <w:vAlign w:val="center"/>
          </w:tcPr>
          <w:p w:rsidR="00693ED0" w:rsidRPr="008F6E6A" w:rsidRDefault="00693ED0">
            <w:pPr>
              <w:spacing w:before="60" w:after="60"/>
              <w:jc w:val="center"/>
              <w:rPr>
                <w:noProof/>
              </w:rPr>
            </w:pPr>
            <w:r w:rsidRPr="008F6E6A">
              <w:rPr>
                <w:noProof/>
                <w:sz w:val="22"/>
              </w:rPr>
              <w:t>Number</w:t>
            </w:r>
          </w:p>
        </w:tc>
        <w:tc>
          <w:tcPr>
            <w:tcW w:w="2865" w:type="pct"/>
            <w:gridSpan w:val="13"/>
            <w:vAlign w:val="center"/>
          </w:tcPr>
          <w:p w:rsidR="00693ED0" w:rsidRPr="008F6E6A" w:rsidRDefault="00693ED0">
            <w:pPr>
              <w:spacing w:before="60" w:after="60"/>
              <w:rPr>
                <w:noProof/>
              </w:rPr>
            </w:pPr>
          </w:p>
        </w:tc>
      </w:tr>
      <w:tr w:rsidR="00DF2D2B" w:rsidRPr="008F6E6A"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rsidTr="004B061E">
        <w:trPr>
          <w:trHeight w:val="300"/>
        </w:trPr>
        <w:tc>
          <w:tcPr>
            <w:tcW w:w="2432" w:type="pct"/>
            <w:gridSpan w:val="6"/>
            <w:vMerge/>
            <w:vAlign w:val="center"/>
            <w:hideMark/>
          </w:tcPr>
          <w:p w:rsidR="00693ED0" w:rsidRPr="008F6E6A"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596" w:type="pct"/>
            <w:gridSpan w:val="2"/>
            <w:vMerge/>
            <w:vAlign w:val="center"/>
            <w:hideMark/>
          </w:tcPr>
          <w:p w:rsidR="00693ED0" w:rsidRPr="008F6E6A" w:rsidRDefault="00693ED0">
            <w:pPr>
              <w:spacing w:before="0" w:after="0"/>
              <w:jc w:val="left"/>
              <w:rPr>
                <w:b/>
                <w:bCs/>
                <w:noProof/>
                <w:color w:val="000000"/>
                <w:sz w:val="20"/>
                <w:szCs w:val="20"/>
                <w:lang w:eastAsia="en-IE"/>
              </w:rPr>
            </w:pPr>
          </w:p>
        </w:tc>
      </w:tr>
      <w:tr w:rsidR="00DF2D2B" w:rsidRPr="008F6E6A"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noProof/>
                <w:color w:val="000000"/>
                <w:sz w:val="21"/>
                <w:szCs w:val="21"/>
                <w:lang w:eastAsia="en-IE"/>
              </w:rPr>
              <w:t xml:space="preserve">TOTAL operational appropriations </w:t>
            </w:r>
            <w:r w:rsidRPr="008F6E6A">
              <w:rPr>
                <w:noProof/>
                <w:color w:val="000000"/>
                <w:sz w:val="21"/>
                <w:szCs w:val="21"/>
                <w:lang w:eastAsia="en-IE"/>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8F6E6A"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noProof/>
                <w:color w:val="000000"/>
                <w:sz w:val="21"/>
                <w:szCs w:val="21"/>
                <w:lang w:eastAsia="en-IE"/>
              </w:rPr>
              <w:t xml:space="preserve">TOTAL appropriations of an administrative nature financed from the envelope for specific programmes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TOTAL appropriations under HEADING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8F6E6A" w:rsidRDefault="00693ED0">
            <w:pPr>
              <w:spacing w:before="0" w:after="0"/>
              <w:jc w:val="center"/>
              <w:rPr>
                <w:noProof/>
                <w:color w:val="000000"/>
                <w:sz w:val="22"/>
                <w:lang w:eastAsia="en-IE"/>
              </w:rPr>
            </w:pPr>
            <w:r w:rsidRPr="008F6E6A">
              <w:rPr>
                <w:noProof/>
                <w:color w:val="000000"/>
                <w:sz w:val="22"/>
                <w:lang w:eastAsia="en-IE"/>
              </w:rPr>
              <w:t>of the multiannual financial framework</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rsidTr="00E06D11">
        <w:tblPrEx>
          <w:jc w:val="center"/>
        </w:tblPrEx>
        <w:trPr>
          <w:jc w:val="center"/>
        </w:trPr>
        <w:tc>
          <w:tcPr>
            <w:tcW w:w="1739" w:type="pct"/>
            <w:gridSpan w:val="3"/>
            <w:shd w:val="clear" w:color="auto" w:fill="auto"/>
            <w:vAlign w:val="center"/>
          </w:tcPr>
          <w:p w:rsidR="00693ED0" w:rsidRPr="008F6E6A" w:rsidRDefault="00693ED0">
            <w:pPr>
              <w:spacing w:before="60" w:after="60"/>
              <w:jc w:val="center"/>
              <w:rPr>
                <w:b/>
                <w:noProof/>
              </w:rPr>
            </w:pPr>
            <w:r w:rsidRPr="008F6E6A">
              <w:rPr>
                <w:noProof/>
                <w:sz w:val="22"/>
              </w:rPr>
              <w:br w:type="page"/>
            </w:r>
            <w:r w:rsidRPr="008F6E6A">
              <w:rPr>
                <w:b/>
                <w:noProof/>
                <w:sz w:val="22"/>
              </w:rPr>
              <w:t>Heading of multiannual financial</w:t>
            </w:r>
            <w:r w:rsidR="00601BCE" w:rsidRPr="008F6E6A">
              <w:rPr>
                <w:b/>
                <w:noProof/>
                <w:sz w:val="22"/>
              </w:rPr>
              <w:t xml:space="preserve"> </w:t>
            </w:r>
            <w:r w:rsidRPr="008F6E6A">
              <w:rPr>
                <w:b/>
                <w:noProof/>
                <w:sz w:val="22"/>
              </w:rPr>
              <w:t xml:space="preserve">framework </w:t>
            </w:r>
          </w:p>
        </w:tc>
        <w:tc>
          <w:tcPr>
            <w:tcW w:w="396" w:type="pct"/>
            <w:gridSpan w:val="2"/>
            <w:shd w:val="clear" w:color="auto" w:fill="auto"/>
            <w:vAlign w:val="center"/>
          </w:tcPr>
          <w:p w:rsidR="00693ED0" w:rsidRPr="008F6E6A" w:rsidRDefault="00693ED0">
            <w:pPr>
              <w:spacing w:before="60" w:after="60"/>
              <w:jc w:val="center"/>
              <w:rPr>
                <w:noProof/>
              </w:rPr>
            </w:pPr>
            <w:r w:rsidRPr="008F6E6A">
              <w:rPr>
                <w:b/>
                <w:noProof/>
                <w:sz w:val="22"/>
              </w:rPr>
              <w:t>7</w:t>
            </w:r>
          </w:p>
        </w:tc>
        <w:tc>
          <w:tcPr>
            <w:tcW w:w="2865" w:type="pct"/>
            <w:gridSpan w:val="13"/>
            <w:vAlign w:val="center"/>
          </w:tcPr>
          <w:p w:rsidR="00693ED0" w:rsidRPr="008F6E6A" w:rsidRDefault="00693ED0">
            <w:pPr>
              <w:spacing w:before="60" w:after="60"/>
              <w:rPr>
                <w:noProof/>
              </w:rPr>
            </w:pPr>
            <w:r w:rsidRPr="008F6E6A">
              <w:rPr>
                <w:noProof/>
                <w:sz w:val="22"/>
              </w:rPr>
              <w:t>‘Administrative expenditure’</w:t>
            </w:r>
            <w:r w:rsidRPr="008F6E6A">
              <w:rPr>
                <w:rStyle w:val="FootnoteReference"/>
                <w:noProof/>
                <w:sz w:val="22"/>
              </w:rPr>
              <w:footnoteReference w:id="21"/>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Cs w:val="24"/>
                <w:lang w:eastAsia="en-IE"/>
              </w:rPr>
            </w:pPr>
            <w:r w:rsidRPr="008F6E6A">
              <w:rPr>
                <w:noProof/>
                <w:color w:val="000000"/>
                <w:szCs w:val="24"/>
                <w:lang w:eastAsia="en-IE"/>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Human resources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Other administrative expenditure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xml:space="preserve">TOTAL DG </w:t>
            </w:r>
            <w:r w:rsidRPr="008F6E6A">
              <w:rPr>
                <w:noProof/>
                <w:color w:val="000000"/>
                <w:sz w:val="22"/>
                <w:lang w:eastAsia="en-IE"/>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8"/>
                <w:szCs w:val="18"/>
                <w:lang w:eastAsia="en-IE"/>
              </w:rPr>
            </w:pPr>
            <w:r w:rsidRPr="008F6E6A">
              <w:rPr>
                <w:noProof/>
                <w:color w:val="000000"/>
                <w:sz w:val="18"/>
                <w:szCs w:val="18"/>
                <w:lang w:eastAsia="en-IE"/>
              </w:rPr>
              <w:t xml:space="preserve">Appropriations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Cs w:val="24"/>
                <w:lang w:eastAsia="en-IE"/>
              </w:rPr>
            </w:pPr>
            <w:r w:rsidRPr="008F6E6A">
              <w:rPr>
                <w:noProof/>
                <w:color w:val="000000"/>
                <w:szCs w:val="24"/>
                <w:lang w:eastAsia="en-IE"/>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Human resources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Other administrative expenditure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xml:space="preserve">TOTAL DG </w:t>
            </w:r>
            <w:r w:rsidRPr="008F6E6A">
              <w:rPr>
                <w:noProof/>
                <w:color w:val="000000"/>
                <w:sz w:val="22"/>
                <w:lang w:eastAsia="en-IE"/>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8"/>
                <w:szCs w:val="18"/>
                <w:lang w:eastAsia="en-IE"/>
              </w:rPr>
            </w:pPr>
            <w:r w:rsidRPr="008F6E6A">
              <w:rPr>
                <w:noProof/>
                <w:color w:val="000000"/>
                <w:sz w:val="18"/>
                <w:szCs w:val="18"/>
                <w:lang w:eastAsia="en-IE"/>
              </w:rPr>
              <w:t xml:space="preserve">Appropriations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r>
      <w:tr w:rsidR="00693ED0" w:rsidRPr="008F6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xml:space="preserve">TOTAL appropriations under HEADING 7 of the multiannual financial framework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(Total commitments = Total payments)</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bl>
    <w:p w:rsidR="00693ED0" w:rsidRPr="008F6E6A" w:rsidRDefault="00693ED0" w:rsidP="00693ED0">
      <w:pPr>
        <w:jc w:val="right"/>
        <w:rPr>
          <w:noProof/>
          <w:sz w:val="20"/>
        </w:rPr>
      </w:pPr>
      <w:r w:rsidRPr="008F6E6A">
        <w:rPr>
          <w:noProof/>
          <w:sz w:val="20"/>
        </w:rPr>
        <w:t>EUR million (to three decimal places)</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8F6E6A">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Cs w:val="24"/>
                <w:lang w:eastAsia="en-IE"/>
              </w:rPr>
            </w:pPr>
            <w:r w:rsidRPr="008F6E6A">
              <w:rPr>
                <w:noProof/>
                <w:color w:val="000000"/>
                <w:szCs w:val="24"/>
                <w:lang w:eastAsia="en-IE"/>
              </w:rPr>
              <w:t> </w:t>
            </w:r>
          </w:p>
        </w:tc>
        <w:tc>
          <w:tcPr>
            <w:tcW w:w="441"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41"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TOTAL appropriations under HEADINGS 1 to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r>
      <w:tr w:rsidR="00693ED0" w:rsidRPr="008F6E6A">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6E6A" w:rsidRDefault="00693ED0">
            <w:pPr>
              <w:spacing w:before="0" w:after="0"/>
              <w:jc w:val="center"/>
              <w:rPr>
                <w:noProof/>
                <w:color w:val="000000"/>
                <w:sz w:val="22"/>
                <w:lang w:eastAsia="en-IE"/>
              </w:rPr>
            </w:pPr>
            <w:r w:rsidRPr="008F6E6A">
              <w:rPr>
                <w:noProof/>
                <w:color w:val="000000"/>
                <w:sz w:val="22"/>
                <w:lang w:eastAsia="en-IE"/>
              </w:rPr>
              <w:t>of the multiannual financial framework</w:t>
            </w:r>
            <w:r w:rsidRPr="008F6E6A">
              <w:rPr>
                <w:b/>
                <w:bCs/>
                <w:noProof/>
                <w:color w:val="000000"/>
                <w:sz w:val="22"/>
                <w:lang w:eastAsia="en-IE"/>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r>
    </w:tbl>
    <w:p w:rsidR="00693ED0" w:rsidRPr="008F6E6A" w:rsidRDefault="00693ED0" w:rsidP="00693ED0">
      <w:pPr>
        <w:pStyle w:val="ManualHeading3"/>
        <w:rPr>
          <w:noProof/>
        </w:rPr>
      </w:pPr>
      <w:bookmarkStart w:id="146" w:name="_Toc160804596"/>
      <w:bookmarkStart w:id="147" w:name="_Toc167220288"/>
      <w:bookmarkStart w:id="148" w:name="_Toc177549021"/>
      <w:r w:rsidRPr="008F6E6A">
        <w:rPr>
          <w:noProof/>
        </w:rPr>
        <w:t>3.2.1.2.</w:t>
      </w:r>
      <w:r w:rsidRPr="008F6E6A">
        <w:rPr>
          <w:noProof/>
        </w:rPr>
        <w:tab/>
        <w:t>Appropriations from external assigned revenues</w:t>
      </w:r>
      <w:bookmarkEnd w:id="146"/>
      <w:bookmarkEnd w:id="147"/>
      <w:bookmarkEnd w:id="148"/>
    </w:p>
    <w:p w:rsidR="00693ED0" w:rsidRPr="008F6E6A" w:rsidRDefault="00693ED0" w:rsidP="00693ED0">
      <w:pPr>
        <w:jc w:val="right"/>
        <w:rPr>
          <w:noProof/>
          <w:sz w:val="18"/>
          <w:szCs w:val="18"/>
        </w:rPr>
      </w:pPr>
      <w:r w:rsidRPr="008F6E6A">
        <w:rPr>
          <w:noProof/>
          <w:sz w:val="18"/>
          <w:szCs w:val="18"/>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8F6E6A">
        <w:trPr>
          <w:jc w:val="center"/>
        </w:trPr>
        <w:tc>
          <w:tcPr>
            <w:tcW w:w="1739" w:type="pct"/>
            <w:shd w:val="thinDiagStripe" w:color="C0C0C0" w:fill="auto"/>
            <w:vAlign w:val="center"/>
          </w:tcPr>
          <w:p w:rsidR="00693ED0" w:rsidRPr="008F6E6A" w:rsidRDefault="00693ED0">
            <w:pPr>
              <w:spacing w:before="60" w:after="60"/>
              <w:jc w:val="center"/>
              <w:rPr>
                <w:b/>
                <w:noProof/>
              </w:rPr>
            </w:pPr>
            <w:r w:rsidRPr="008F6E6A">
              <w:rPr>
                <w:b/>
                <w:noProof/>
                <w:sz w:val="22"/>
              </w:rPr>
              <w:t xml:space="preserve">Heading of multiannual financial framework </w:t>
            </w:r>
          </w:p>
        </w:tc>
        <w:tc>
          <w:tcPr>
            <w:tcW w:w="396" w:type="pct"/>
            <w:vAlign w:val="center"/>
          </w:tcPr>
          <w:p w:rsidR="00693ED0" w:rsidRPr="008F6E6A" w:rsidRDefault="00693ED0">
            <w:pPr>
              <w:spacing w:before="60" w:after="60"/>
              <w:jc w:val="center"/>
              <w:rPr>
                <w:noProof/>
              </w:rPr>
            </w:pPr>
            <w:r w:rsidRPr="008F6E6A">
              <w:rPr>
                <w:noProof/>
                <w:sz w:val="22"/>
              </w:rPr>
              <w:t>Number</w:t>
            </w:r>
          </w:p>
        </w:tc>
        <w:tc>
          <w:tcPr>
            <w:tcW w:w="2865" w:type="pct"/>
            <w:vAlign w:val="center"/>
          </w:tcPr>
          <w:p w:rsidR="00693ED0" w:rsidRPr="008F6E6A" w:rsidRDefault="00693ED0">
            <w:pPr>
              <w:spacing w:before="60" w:after="60"/>
              <w:rPr>
                <w:noProof/>
              </w:rPr>
            </w:pPr>
          </w:p>
        </w:tc>
      </w:tr>
    </w:tbl>
    <w:p w:rsidR="00693ED0" w:rsidRPr="008F6E6A"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8F6E6A"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2"/>
                <w:lang w:eastAsia="en-IE"/>
              </w:rPr>
            </w:pPr>
            <w:r w:rsidRPr="008F6E6A">
              <w:rPr>
                <w:noProof/>
                <w:color w:val="000000"/>
                <w:sz w:val="22"/>
                <w:lang w:eastAsia="en-IE"/>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rsidTr="004B061E">
        <w:trPr>
          <w:trHeight w:val="288"/>
        </w:trPr>
        <w:tc>
          <w:tcPr>
            <w:tcW w:w="2444" w:type="pct"/>
            <w:gridSpan w:val="3"/>
            <w:vMerge/>
            <w:vAlign w:val="center"/>
            <w:hideMark/>
          </w:tcPr>
          <w:p w:rsidR="00693ED0" w:rsidRPr="008F6E6A"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590" w:type="pct"/>
            <w:vMerge/>
            <w:vAlign w:val="center"/>
            <w:hideMark/>
          </w:tcPr>
          <w:p w:rsidR="00693ED0" w:rsidRPr="008F6E6A" w:rsidRDefault="00693ED0">
            <w:pPr>
              <w:spacing w:before="0" w:after="0"/>
              <w:jc w:val="left"/>
              <w:rPr>
                <w:b/>
                <w:bCs/>
                <w:noProof/>
                <w:color w:val="000000"/>
                <w:sz w:val="20"/>
                <w:szCs w:val="20"/>
                <w:lang w:eastAsia="en-IE"/>
              </w:rPr>
            </w:pPr>
          </w:p>
        </w:tc>
      </w:tr>
      <w:tr w:rsidR="00693ED0" w:rsidRPr="008F6E6A"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21"/>
                <w:szCs w:val="21"/>
                <w:lang w:eastAsia="en-IE"/>
              </w:rPr>
            </w:pPr>
            <w:r w:rsidRPr="008F6E6A">
              <w:rPr>
                <w:noProof/>
                <w:color w:val="000000"/>
                <w:sz w:val="21"/>
                <w:szCs w:val="21"/>
                <w:lang w:eastAsia="en-IE"/>
              </w:rPr>
              <w:t xml:space="preserve">Operational appropriations </w:t>
            </w:r>
          </w:p>
        </w:tc>
      </w:tr>
      <w:tr w:rsidR="00DF2D2B" w:rsidRPr="008F6E6A"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8F6E6A" w:rsidRDefault="00693ED0">
            <w:pPr>
              <w:spacing w:before="0" w:after="0"/>
              <w:jc w:val="left"/>
              <w:rPr>
                <w:noProof/>
                <w:color w:val="000000"/>
                <w:sz w:val="22"/>
                <w:lang w:eastAsia="en-IE"/>
              </w:rPr>
            </w:pPr>
            <w:r w:rsidRPr="008F6E6A">
              <w:rPr>
                <w:noProof/>
                <w:color w:val="000000"/>
                <w:sz w:val="22"/>
                <w:lang w:eastAsia="en-IE"/>
              </w:rPr>
              <w:t>Budget line</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rPr>
          <w:trHeight w:val="315"/>
        </w:trPr>
        <w:tc>
          <w:tcPr>
            <w:tcW w:w="1419" w:type="pct"/>
            <w:vMerge/>
            <w:vAlign w:val="center"/>
            <w:hideMark/>
          </w:tcPr>
          <w:p w:rsidR="00693ED0" w:rsidRPr="008F6E6A"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0"/>
                <w:szCs w:val="20"/>
                <w:lang w:eastAsia="en-IE"/>
              </w:rPr>
            </w:pPr>
            <w:r w:rsidRPr="008F6E6A">
              <w:rPr>
                <w:noProof/>
                <w:color w:val="000000"/>
                <w:sz w:val="20"/>
                <w:szCs w:val="20"/>
                <w:lang w:eastAsia="en-IE"/>
              </w:rPr>
              <w:t>Budget line</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rPr>
          <w:trHeight w:val="315"/>
        </w:trPr>
        <w:tc>
          <w:tcPr>
            <w:tcW w:w="1419" w:type="pct"/>
            <w:vMerge/>
            <w:vAlign w:val="center"/>
            <w:hideMark/>
          </w:tcPr>
          <w:p w:rsidR="00693ED0" w:rsidRPr="008F6E6A"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8F6E6A" w:rsidRDefault="00693ED0">
            <w:pPr>
              <w:spacing w:before="0" w:after="0"/>
              <w:jc w:val="left"/>
              <w:rPr>
                <w:noProof/>
                <w:color w:val="000000"/>
                <w:sz w:val="22"/>
                <w:lang w:eastAsia="en-IE"/>
              </w:rPr>
            </w:pPr>
            <w:r w:rsidRPr="008F6E6A">
              <w:rPr>
                <w:noProof/>
                <w:color w:val="000000"/>
                <w:sz w:val="22"/>
                <w:lang w:eastAsia="en-IE"/>
              </w:rPr>
              <w:t>Appropriations of an administrative nature financed from the envelope of specific programmes</w:t>
            </w:r>
            <w:r w:rsidRPr="008F6E6A">
              <w:rPr>
                <w:rStyle w:val="FootnoteReference"/>
                <w:noProof/>
                <w:color w:val="000000"/>
                <w:sz w:val="22"/>
                <w:lang w:eastAsia="en-IE"/>
              </w:rPr>
              <w:footnoteReference w:id="22"/>
            </w:r>
          </w:p>
        </w:tc>
      </w:tr>
      <w:tr w:rsidR="00DF2D2B" w:rsidRPr="008F6E6A"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0"/>
                <w:szCs w:val="20"/>
                <w:lang w:eastAsia="en-IE"/>
              </w:rPr>
            </w:pPr>
            <w:r w:rsidRPr="008F6E6A">
              <w:rPr>
                <w:noProof/>
                <w:color w:val="000000"/>
                <w:sz w:val="20"/>
                <w:szCs w:val="20"/>
                <w:lang w:eastAsia="en-IE"/>
              </w:rPr>
              <w:t>Budget line</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noProof/>
                <w:color w:val="000000"/>
                <w:sz w:val="18"/>
                <w:szCs w:val="18"/>
                <w:lang w:eastAsia="en-IE"/>
              </w:rPr>
            </w:pPr>
            <w:r w:rsidRPr="008F6E6A">
              <w:rPr>
                <w:noProof/>
                <w:color w:val="000000"/>
                <w:sz w:val="18"/>
                <w:szCs w:val="18"/>
                <w:lang w:eastAsia="en-IE"/>
              </w:rPr>
              <w:t>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TOTAL appropriations</w:t>
            </w:r>
          </w:p>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xml:space="preserve">for DG </w:t>
            </w:r>
            <w:r w:rsidRPr="008F6E6A">
              <w:rPr>
                <w:noProof/>
                <w:color w:val="000000"/>
                <w:sz w:val="22"/>
                <w:lang w:eastAsia="en-IE"/>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DF2D2B" w:rsidRPr="008F6E6A" w:rsidTr="00DF2D2B">
        <w:trPr>
          <w:trHeight w:val="288"/>
        </w:trPr>
        <w:tc>
          <w:tcPr>
            <w:tcW w:w="1419" w:type="pct"/>
            <w:vMerge/>
            <w:vAlign w:val="center"/>
            <w:hideMark/>
          </w:tcPr>
          <w:p w:rsidR="00693ED0" w:rsidRPr="008F6E6A"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bl>
    <w:p w:rsidR="00693ED0" w:rsidRPr="007D2643" w:rsidRDefault="00693ED0" w:rsidP="00693ED0">
      <w:pPr>
        <w:spacing w:after="40"/>
        <w:rPr>
          <w:noProof/>
        </w:rPr>
      </w:pPr>
      <w:r w:rsidRPr="007D2643">
        <w:rPr>
          <w:noProof/>
        </w:rPr>
        <w:t>Mandatory table: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8F6E6A">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8F6E6A"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noProof/>
                <w:color w:val="000000"/>
                <w:sz w:val="21"/>
                <w:szCs w:val="21"/>
                <w:lang w:eastAsia="en-IE"/>
              </w:rPr>
              <w:t xml:space="preserve">TOTAL operational appropriations </w:t>
            </w:r>
            <w:r w:rsidRPr="008F6E6A">
              <w:rPr>
                <w:noProof/>
                <w:color w:val="000000"/>
                <w:sz w:val="21"/>
                <w:szCs w:val="21"/>
                <w:lang w:eastAsia="en-IE"/>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noProof/>
                <w:color w:val="000000"/>
                <w:sz w:val="21"/>
                <w:szCs w:val="21"/>
                <w:lang w:eastAsia="en-IE"/>
              </w:rPr>
              <w:t xml:space="preserve">TOTAL appropriations of an administrative nature financed from the envelope for specific programmes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TOTAL appropriations under HEADING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8F6E6A" w:rsidRDefault="00693ED0">
            <w:pPr>
              <w:spacing w:before="0" w:after="0"/>
              <w:jc w:val="center"/>
              <w:rPr>
                <w:noProof/>
                <w:color w:val="000000"/>
                <w:sz w:val="22"/>
                <w:lang w:eastAsia="en-IE"/>
              </w:rPr>
            </w:pPr>
            <w:r w:rsidRPr="008F6E6A">
              <w:rPr>
                <w:noProof/>
                <w:color w:val="000000"/>
                <w:sz w:val="22"/>
                <w:lang w:eastAsia="en-IE"/>
              </w:rPr>
              <w:t>of the multiannual financial framework</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bl>
    <w:p w:rsidR="00693ED0" w:rsidRPr="007D2643" w:rsidRDefault="00693ED0" w:rsidP="00693ED0">
      <w:pPr>
        <w:spacing w:after="40"/>
        <w:rPr>
          <w:noProof/>
        </w:rPr>
      </w:pPr>
      <w:r w:rsidRPr="007D2643">
        <w:rPr>
          <w:noProof/>
        </w:rPr>
        <w:t>Mandatory table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8F6E6A">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8F6E6A"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noProof/>
                <w:color w:val="000000"/>
                <w:sz w:val="21"/>
                <w:szCs w:val="21"/>
                <w:lang w:eastAsia="en-IE"/>
              </w:rPr>
              <w:t xml:space="preserve">TOTAL operational appropriations </w:t>
            </w:r>
            <w:r w:rsidRPr="008F6E6A">
              <w:rPr>
                <w:noProof/>
                <w:color w:val="000000"/>
                <w:sz w:val="21"/>
                <w:szCs w:val="21"/>
                <w:lang w:eastAsia="en-IE"/>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noProof/>
                <w:color w:val="000000"/>
                <w:sz w:val="21"/>
                <w:szCs w:val="21"/>
                <w:lang w:eastAsia="en-IE"/>
              </w:rPr>
              <w:t xml:space="preserve">TOTAL appropriations of an administrative nature financed from the envelope for specific programmes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TOTAL appropriations under HEADING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8F6E6A" w:rsidRDefault="00693ED0">
            <w:pPr>
              <w:spacing w:before="0" w:after="0"/>
              <w:jc w:val="center"/>
              <w:rPr>
                <w:noProof/>
                <w:color w:val="000000"/>
                <w:sz w:val="22"/>
                <w:lang w:eastAsia="en-IE"/>
              </w:rPr>
            </w:pPr>
            <w:r w:rsidRPr="008F6E6A">
              <w:rPr>
                <w:noProof/>
                <w:color w:val="000000"/>
                <w:sz w:val="22"/>
                <w:lang w:eastAsia="en-IE"/>
              </w:rPr>
              <w:t>of the multiannual financial framework</w:t>
            </w:r>
          </w:p>
        </w:tc>
        <w:tc>
          <w:tcPr>
            <w:tcW w:w="529"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bl>
    <w:p w:rsidR="00693ED0" w:rsidRPr="007D2643"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8F6E6A">
        <w:trPr>
          <w:trHeight w:val="288"/>
        </w:trPr>
        <w:tc>
          <w:tcPr>
            <w:tcW w:w="1522"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37"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37"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437"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rPr>
          <w:trHeight w:val="300"/>
        </w:trPr>
        <w:tc>
          <w:tcPr>
            <w:tcW w:w="1522" w:type="pct"/>
            <w:tcBorders>
              <w:top w:val="nil"/>
              <w:left w:val="nil"/>
              <w:bottom w:val="nil"/>
              <w:right w:val="nil"/>
            </w:tcBorders>
            <w:shd w:val="clear" w:color="auto" w:fill="auto"/>
            <w:noWrap/>
            <w:vAlign w:val="bottom"/>
            <w:hideMark/>
          </w:tcPr>
          <w:p w:rsidR="00693ED0" w:rsidRPr="008F6E6A"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rFonts w:ascii="Calibri" w:hAnsi="Calibri" w:cs="Calibri"/>
                <w:noProof/>
                <w:color w:val="000000"/>
                <w:sz w:val="21"/>
                <w:szCs w:val="21"/>
                <w:lang w:eastAsia="en-IE"/>
              </w:rPr>
              <w:t xml:space="preserve">• </w:t>
            </w:r>
            <w:r w:rsidRPr="008F6E6A">
              <w:rPr>
                <w:noProof/>
                <w:color w:val="000000"/>
                <w:sz w:val="21"/>
                <w:szCs w:val="21"/>
                <w:lang w:eastAsia="en-IE"/>
              </w:rPr>
              <w:t>TOTAL operational appropriations (all operational headings)</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8F6E6A" w:rsidRDefault="00693ED0">
            <w:pPr>
              <w:spacing w:before="0" w:after="0"/>
              <w:rPr>
                <w:noProof/>
                <w:color w:val="000000"/>
                <w:sz w:val="21"/>
                <w:szCs w:val="21"/>
                <w:lang w:eastAsia="en-IE"/>
              </w:rPr>
            </w:pPr>
            <w:r w:rsidRPr="008F6E6A">
              <w:rPr>
                <w:rFonts w:ascii="Calibri" w:hAnsi="Calibri" w:cs="Calibri"/>
                <w:noProof/>
                <w:color w:val="000000"/>
                <w:sz w:val="21"/>
                <w:szCs w:val="21"/>
                <w:lang w:eastAsia="en-IE"/>
              </w:rPr>
              <w:t>•</w:t>
            </w:r>
            <w:r w:rsidRPr="008F6E6A">
              <w:rPr>
                <w:noProof/>
                <w:color w:val="000000"/>
                <w:sz w:val="21"/>
                <w:szCs w:val="21"/>
                <w:lang w:eastAsia="en-IE"/>
              </w:rPr>
              <w:t xml:space="preserve"> TOTAL appropriations of an administrative nature financed from the envelope for specific programmes (all operational headings)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TOTAL appropriations under Headings 1 to 6</w:t>
            </w:r>
          </w:p>
        </w:tc>
        <w:tc>
          <w:tcPr>
            <w:tcW w:w="471" w:type="pct"/>
            <w:tcBorders>
              <w:top w:val="nil"/>
              <w:left w:val="nil"/>
              <w:bottom w:val="nil"/>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of the multiannual financial framework (Reference amount)</w:t>
            </w:r>
          </w:p>
        </w:tc>
        <w:tc>
          <w:tcPr>
            <w:tcW w:w="471"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8F6E6A" w:rsidRDefault="00693ED0">
            <w:pPr>
              <w:spacing w:before="0" w:after="0"/>
              <w:jc w:val="center"/>
              <w:rPr>
                <w:noProof/>
                <w:color w:val="000000"/>
                <w:sz w:val="14"/>
                <w:szCs w:val="14"/>
                <w:lang w:eastAsia="en-IE"/>
              </w:rPr>
            </w:pPr>
            <w:r w:rsidRPr="008F6E6A">
              <w:rPr>
                <w:noProof/>
                <w:color w:val="000000"/>
                <w:sz w:val="14"/>
                <w:szCs w:val="14"/>
                <w:lang w:eastAsia="en-IE"/>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bl>
    <w:p w:rsidR="00693ED0" w:rsidRPr="008F6E6A"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8F6E6A" w:rsidTr="00E06D11">
        <w:trPr>
          <w:jc w:val="center"/>
        </w:trPr>
        <w:tc>
          <w:tcPr>
            <w:tcW w:w="1668" w:type="pct"/>
            <w:shd w:val="clear" w:color="auto" w:fill="auto"/>
            <w:vAlign w:val="center"/>
          </w:tcPr>
          <w:p w:rsidR="00693ED0" w:rsidRPr="008F6E6A" w:rsidRDefault="00693ED0">
            <w:pPr>
              <w:spacing w:before="60" w:after="60"/>
              <w:jc w:val="center"/>
              <w:rPr>
                <w:b/>
                <w:noProof/>
              </w:rPr>
            </w:pPr>
            <w:r w:rsidRPr="008F6E6A">
              <w:rPr>
                <w:noProof/>
                <w:sz w:val="22"/>
              </w:rPr>
              <w:br w:type="page"/>
            </w:r>
            <w:r w:rsidRPr="008F6E6A">
              <w:rPr>
                <w:b/>
                <w:noProof/>
                <w:sz w:val="22"/>
              </w:rPr>
              <w:t xml:space="preserve">Heading of multiannual financial framework </w:t>
            </w:r>
          </w:p>
        </w:tc>
        <w:tc>
          <w:tcPr>
            <w:tcW w:w="380" w:type="pct"/>
            <w:shd w:val="clear" w:color="auto" w:fill="auto"/>
            <w:vAlign w:val="center"/>
          </w:tcPr>
          <w:p w:rsidR="00693ED0" w:rsidRPr="008F6E6A" w:rsidRDefault="00693ED0">
            <w:pPr>
              <w:spacing w:before="60" w:after="60"/>
              <w:jc w:val="center"/>
              <w:rPr>
                <w:noProof/>
              </w:rPr>
            </w:pPr>
            <w:r w:rsidRPr="008F6E6A">
              <w:rPr>
                <w:b/>
                <w:noProof/>
                <w:sz w:val="22"/>
              </w:rPr>
              <w:t>7</w:t>
            </w:r>
          </w:p>
        </w:tc>
        <w:tc>
          <w:tcPr>
            <w:tcW w:w="2749" w:type="pct"/>
            <w:vAlign w:val="center"/>
          </w:tcPr>
          <w:p w:rsidR="00693ED0" w:rsidRPr="008F6E6A" w:rsidRDefault="00693ED0">
            <w:pPr>
              <w:spacing w:before="60" w:after="60"/>
              <w:rPr>
                <w:noProof/>
              </w:rPr>
            </w:pPr>
            <w:r w:rsidRPr="008F6E6A">
              <w:rPr>
                <w:noProof/>
                <w:sz w:val="22"/>
              </w:rPr>
              <w:t>‘Administrative expenditure’</w:t>
            </w:r>
            <w:r w:rsidRPr="008F6E6A">
              <w:rPr>
                <w:rStyle w:val="FootnoteReference"/>
                <w:noProof/>
                <w:sz w:val="22"/>
              </w:rPr>
              <w:footnoteReference w:id="23"/>
            </w:r>
          </w:p>
        </w:tc>
      </w:tr>
    </w:tbl>
    <w:p w:rsidR="00693ED0" w:rsidRPr="008F6E6A" w:rsidRDefault="00693ED0" w:rsidP="00693ED0">
      <w:pPr>
        <w:jc w:val="right"/>
        <w:rPr>
          <w:noProof/>
          <w:sz w:val="20"/>
        </w:rPr>
      </w:pPr>
      <w:r w:rsidRPr="008F6E6A">
        <w:rPr>
          <w:noProof/>
          <w:sz w:val="20"/>
        </w:rPr>
        <w:t>EUR million (to three decimal places)</w:t>
      </w:r>
    </w:p>
    <w:tbl>
      <w:tblPr>
        <w:tblW w:w="13140" w:type="dxa"/>
        <w:tblInd w:w="118" w:type="dxa"/>
        <w:tblLook w:val="04A0" w:firstRow="1" w:lastRow="0" w:firstColumn="1" w:lastColumn="0" w:noHBand="0" w:noVBand="1"/>
      </w:tblPr>
      <w:tblGrid>
        <w:gridCol w:w="4405"/>
        <w:gridCol w:w="2477"/>
        <w:gridCol w:w="598"/>
        <w:gridCol w:w="598"/>
        <w:gridCol w:w="1001"/>
        <w:gridCol w:w="1001"/>
        <w:gridCol w:w="1001"/>
        <w:gridCol w:w="1001"/>
        <w:gridCol w:w="1244"/>
      </w:tblGrid>
      <w:tr w:rsidR="00693ED0" w:rsidRPr="008F6E6A">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Cs w:val="24"/>
                <w:lang w:eastAsia="en-IE"/>
              </w:rPr>
            </w:pPr>
            <w:r w:rsidRPr="008F6E6A">
              <w:rPr>
                <w:noProof/>
                <w:color w:val="000000"/>
                <w:szCs w:val="24"/>
                <w:lang w:eastAsia="en-IE"/>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Human resources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Other administrative expenditure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xml:space="preserve">TOTAL DG </w:t>
            </w:r>
            <w:r w:rsidRPr="008F6E6A">
              <w:rPr>
                <w:noProof/>
                <w:color w:val="000000"/>
                <w:sz w:val="22"/>
                <w:lang w:eastAsia="en-IE"/>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8"/>
                <w:szCs w:val="18"/>
                <w:lang w:eastAsia="en-IE"/>
              </w:rPr>
            </w:pPr>
            <w:r w:rsidRPr="008F6E6A">
              <w:rPr>
                <w:noProof/>
                <w:color w:val="000000"/>
                <w:sz w:val="18"/>
                <w:szCs w:val="18"/>
                <w:lang w:eastAsia="en-IE"/>
              </w:rPr>
              <w:t xml:space="preserve">Appropriations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300"/>
        </w:trPr>
        <w:tc>
          <w:tcPr>
            <w:tcW w:w="4405" w:type="dxa"/>
            <w:tcBorders>
              <w:top w:val="nil"/>
              <w:left w:val="nil"/>
              <w:bottom w:val="nil"/>
              <w:right w:val="nil"/>
            </w:tcBorders>
            <w:shd w:val="clear" w:color="auto" w:fill="auto"/>
            <w:noWrap/>
            <w:vAlign w:val="bottom"/>
            <w:hideMark/>
          </w:tcPr>
          <w:p w:rsidR="00693ED0" w:rsidRPr="008F6E6A"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r>
      <w:tr w:rsidR="00693ED0" w:rsidRPr="008F6E6A">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Cs w:val="24"/>
                <w:lang w:eastAsia="en-IE"/>
              </w:rPr>
            </w:pPr>
            <w:r w:rsidRPr="008F6E6A">
              <w:rPr>
                <w:noProof/>
                <w:color w:val="000000"/>
                <w:szCs w:val="24"/>
                <w:lang w:eastAsia="en-IE"/>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001"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Human resources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rFonts w:ascii="Wingdings" w:hAnsi="Wingdings" w:cs="Calibri"/>
                <w:noProof/>
                <w:color w:val="000000"/>
                <w:sz w:val="22"/>
                <w:lang w:eastAsia="en-IE"/>
              </w:rPr>
            </w:pPr>
            <w:r w:rsidRPr="008F6E6A">
              <w:rPr>
                <w:rFonts w:ascii="Wingdings" w:hAnsi="Wingdings" w:cs="Calibri"/>
                <w:noProof/>
                <w:color w:val="000000"/>
                <w:sz w:val="22"/>
                <w:lang w:eastAsia="en-IE"/>
              </w:rPr>
              <w:t></w:t>
            </w:r>
            <w:r w:rsidRPr="008F6E6A">
              <w:rPr>
                <w:noProof/>
                <w:color w:val="000000"/>
                <w:sz w:val="22"/>
                <w:lang w:eastAsia="en-IE"/>
              </w:rPr>
              <w:t xml:space="preserve"> Other administrative expenditure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20"/>
                <w:szCs w:val="20"/>
                <w:lang w:eastAsia="en-IE"/>
              </w:rPr>
            </w:pPr>
            <w:r w:rsidRPr="008F6E6A">
              <w:rPr>
                <w:noProof/>
                <w:color w:val="000000"/>
                <w:sz w:val="20"/>
                <w:szCs w:val="20"/>
                <w:lang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xml:space="preserve">TOTAL DG </w:t>
            </w:r>
            <w:r w:rsidRPr="008F6E6A">
              <w:rPr>
                <w:noProof/>
                <w:color w:val="000000"/>
                <w:sz w:val="22"/>
                <w:lang w:eastAsia="en-IE"/>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8"/>
                <w:szCs w:val="18"/>
                <w:lang w:eastAsia="en-IE"/>
              </w:rPr>
            </w:pPr>
            <w:r w:rsidRPr="008F6E6A">
              <w:rPr>
                <w:noProof/>
                <w:color w:val="000000"/>
                <w:sz w:val="18"/>
                <w:szCs w:val="18"/>
                <w:lang w:eastAsia="en-IE"/>
              </w:rPr>
              <w:t xml:space="preserve">Appropriations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r w:rsidR="00693ED0" w:rsidRPr="008F6E6A">
        <w:trPr>
          <w:trHeight w:val="300"/>
        </w:trPr>
        <w:tc>
          <w:tcPr>
            <w:tcW w:w="4405" w:type="dxa"/>
            <w:tcBorders>
              <w:top w:val="nil"/>
              <w:left w:val="nil"/>
              <w:bottom w:val="nil"/>
              <w:right w:val="nil"/>
            </w:tcBorders>
            <w:shd w:val="clear" w:color="auto" w:fill="auto"/>
            <w:noWrap/>
            <w:vAlign w:val="bottom"/>
            <w:hideMark/>
          </w:tcPr>
          <w:p w:rsidR="00693ED0" w:rsidRPr="008F6E6A"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8F6E6A" w:rsidRDefault="00693ED0">
            <w:pPr>
              <w:spacing w:before="0" w:after="0"/>
              <w:jc w:val="left"/>
              <w:rPr>
                <w:noProof/>
                <w:sz w:val="20"/>
                <w:szCs w:val="20"/>
                <w:lang w:eastAsia="en-IE"/>
              </w:rPr>
            </w:pPr>
          </w:p>
        </w:tc>
      </w:tr>
      <w:tr w:rsidR="00693ED0" w:rsidRPr="008F6E6A">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 xml:space="preserve">TOTAL appropriations under HEADING 7 of the multiannual financial framework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(Total commitments = Total payments)</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20"/>
                <w:szCs w:val="20"/>
                <w:lang w:eastAsia="en-IE"/>
              </w:rPr>
            </w:pPr>
            <w:r w:rsidRPr="008F6E6A">
              <w:rPr>
                <w:b/>
                <w:bCs/>
                <w:noProof/>
                <w:color w:val="000000"/>
                <w:sz w:val="20"/>
                <w:szCs w:val="20"/>
                <w:lang w:eastAsia="en-IE"/>
              </w:rPr>
              <w:t>0.000</w:t>
            </w:r>
          </w:p>
        </w:tc>
      </w:tr>
    </w:tbl>
    <w:p w:rsidR="00693ED0" w:rsidRPr="008F6E6A" w:rsidRDefault="00693ED0" w:rsidP="00693ED0">
      <w:pPr>
        <w:jc w:val="right"/>
        <w:rPr>
          <w:noProof/>
          <w:sz w:val="20"/>
        </w:rPr>
      </w:pPr>
      <w:r w:rsidRPr="008F6E6A">
        <w:rPr>
          <w:noProof/>
          <w:sz w:val="20"/>
        </w:rPr>
        <w:t>EUR million (to three decimal places)</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8F6E6A">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Cs w:val="24"/>
                <w:lang w:eastAsia="en-IE"/>
              </w:rPr>
            </w:pPr>
            <w:r w:rsidRPr="008F6E6A">
              <w:rPr>
                <w:noProof/>
                <w:color w:val="000000"/>
                <w:szCs w:val="24"/>
                <w:lang w:eastAsia="en-IE"/>
              </w:rPr>
              <w:t> </w:t>
            </w:r>
          </w:p>
        </w:tc>
        <w:tc>
          <w:tcPr>
            <w:tcW w:w="11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1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1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1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TOTAL MFF 2021-2027</w:t>
            </w:r>
          </w:p>
        </w:tc>
      </w:tr>
      <w:tr w:rsidR="00693ED0" w:rsidRPr="008F6E6A">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8F6E6A" w:rsidRDefault="00693ED0">
            <w:pPr>
              <w:spacing w:before="0" w:after="0"/>
              <w:jc w:val="left"/>
              <w:rPr>
                <w:b/>
                <w:bCs/>
                <w:noProof/>
                <w:color w:val="000000"/>
                <w:sz w:val="20"/>
                <w:szCs w:val="20"/>
                <w:lang w:eastAsia="en-IE"/>
              </w:rPr>
            </w:pPr>
          </w:p>
        </w:tc>
      </w:tr>
      <w:tr w:rsidR="00693ED0" w:rsidRPr="008F6E6A">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6E6A" w:rsidRDefault="00693ED0">
            <w:pPr>
              <w:spacing w:before="0" w:after="0"/>
              <w:jc w:val="center"/>
              <w:rPr>
                <w:b/>
                <w:bCs/>
                <w:noProof/>
                <w:color w:val="000000"/>
                <w:sz w:val="22"/>
                <w:lang w:eastAsia="en-IE"/>
              </w:rPr>
            </w:pPr>
            <w:r w:rsidRPr="008F6E6A">
              <w:rPr>
                <w:b/>
                <w:bCs/>
                <w:noProof/>
                <w:color w:val="000000"/>
                <w:sz w:val="22"/>
                <w:lang w:eastAsia="en-IE"/>
              </w:rPr>
              <w:t>TOTAL appropriations under HEADINGS 1 to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Commitments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r>
      <w:tr w:rsidR="00693ED0" w:rsidRPr="008F6E6A">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8F6E6A" w:rsidRDefault="00693ED0">
            <w:pPr>
              <w:spacing w:before="0" w:after="0"/>
              <w:jc w:val="center"/>
              <w:rPr>
                <w:noProof/>
                <w:color w:val="000000"/>
                <w:sz w:val="22"/>
                <w:lang w:eastAsia="en-IE"/>
              </w:rPr>
            </w:pPr>
            <w:r w:rsidRPr="008F6E6A">
              <w:rPr>
                <w:noProof/>
                <w:color w:val="000000"/>
                <w:sz w:val="22"/>
                <w:lang w:eastAsia="en-IE"/>
              </w:rPr>
              <w:t>of the multiannual financial framework</w:t>
            </w:r>
            <w:r w:rsidRPr="008F6E6A">
              <w:rPr>
                <w:b/>
                <w:bCs/>
                <w:noProof/>
                <w:color w:val="000000"/>
                <w:sz w:val="22"/>
                <w:lang w:eastAsia="en-IE"/>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rPr>
                <w:noProof/>
                <w:color w:val="000000"/>
                <w:sz w:val="18"/>
                <w:szCs w:val="18"/>
                <w:lang w:eastAsia="en-IE"/>
              </w:rPr>
            </w:pPr>
            <w:r w:rsidRPr="008F6E6A">
              <w:rPr>
                <w:noProof/>
                <w:color w:val="000000"/>
                <w:sz w:val="18"/>
                <w:szCs w:val="18"/>
                <w:lang w:eastAsia="en-IE"/>
              </w:rPr>
              <w:t>Payments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Cs w:val="24"/>
                <w:lang w:eastAsia="en-IE"/>
              </w:rPr>
            </w:pPr>
            <w:r w:rsidRPr="008F6E6A">
              <w:rPr>
                <w:b/>
                <w:bCs/>
                <w:noProof/>
                <w:color w:val="000000"/>
                <w:szCs w:val="24"/>
                <w:lang w:eastAsia="en-IE"/>
              </w:rPr>
              <w:t>0.000</w:t>
            </w:r>
          </w:p>
        </w:tc>
      </w:tr>
    </w:tbl>
    <w:p w:rsidR="00693ED0" w:rsidRPr="008F6E6A"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8F6E6A">
        <w:rPr>
          <w:noProof/>
        </w:rPr>
        <w:t>3.2.2.</w:t>
      </w:r>
      <w:r w:rsidRPr="008F6E6A">
        <w:rPr>
          <w:noProof/>
        </w:rPr>
        <w:tab/>
        <w:t>Estimated output funded from operational appropriations</w:t>
      </w:r>
      <w:bookmarkEnd w:id="149"/>
      <w:bookmarkEnd w:id="150"/>
      <w:r w:rsidRPr="008F6E6A">
        <w:rPr>
          <w:noProof/>
        </w:rPr>
        <w:t xml:space="preserve"> (not to be completed for decentralised agencies)</w:t>
      </w:r>
      <w:bookmarkEnd w:id="151"/>
      <w:bookmarkEnd w:id="152"/>
      <w:bookmarkEnd w:id="153"/>
    </w:p>
    <w:p w:rsidR="00693ED0" w:rsidRPr="008F6E6A" w:rsidRDefault="00693ED0" w:rsidP="00693ED0">
      <w:pPr>
        <w:jc w:val="right"/>
        <w:rPr>
          <w:noProof/>
          <w:sz w:val="20"/>
        </w:rPr>
      </w:pPr>
      <w:r w:rsidRPr="008F6E6A">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8F6E6A" w:rsidTr="17618B6F">
        <w:trPr>
          <w:jc w:val="center"/>
        </w:trPr>
        <w:tc>
          <w:tcPr>
            <w:tcW w:w="1423" w:type="dxa"/>
            <w:vMerge w:val="restart"/>
            <w:vAlign w:val="center"/>
          </w:tcPr>
          <w:p w:rsidR="00693ED0" w:rsidRPr="008F6E6A" w:rsidRDefault="00693ED0">
            <w:pPr>
              <w:ind w:right="-29"/>
              <w:jc w:val="center"/>
              <w:rPr>
                <w:b/>
                <w:noProof/>
                <w:sz w:val="18"/>
                <w:szCs w:val="18"/>
              </w:rPr>
            </w:pPr>
            <w:r w:rsidRPr="008F6E6A">
              <w:rPr>
                <w:b/>
                <w:noProof/>
                <w:sz w:val="18"/>
              </w:rPr>
              <w:t xml:space="preserve">Indicate objectives and outputs </w:t>
            </w:r>
          </w:p>
          <w:p w:rsidR="00693ED0" w:rsidRPr="008F6E6A" w:rsidRDefault="00693ED0">
            <w:pPr>
              <w:ind w:right="-29"/>
              <w:jc w:val="center"/>
              <w:rPr>
                <w:b/>
                <w:noProof/>
                <w:sz w:val="18"/>
                <w:szCs w:val="18"/>
              </w:rPr>
            </w:pPr>
          </w:p>
          <w:p w:rsidR="00693ED0" w:rsidRPr="008F6E6A" w:rsidRDefault="00693ED0">
            <w:pPr>
              <w:ind w:right="-29"/>
              <w:jc w:val="center"/>
              <w:rPr>
                <w:noProof/>
                <w:sz w:val="18"/>
                <w:szCs w:val="18"/>
              </w:rPr>
            </w:pPr>
            <w:r w:rsidRPr="008F6E6A">
              <w:rPr>
                <w:rFonts w:ascii="Wingdings" w:eastAsia="Wingdings" w:hAnsi="Wingdings" w:cs="Wingdings"/>
                <w:noProof/>
                <w:sz w:val="18"/>
              </w:rPr>
              <w:t></w:t>
            </w:r>
          </w:p>
        </w:tc>
        <w:tc>
          <w:tcPr>
            <w:tcW w:w="720" w:type="dxa"/>
            <w:vAlign w:val="center"/>
          </w:tcPr>
          <w:p w:rsidR="00693ED0" w:rsidRPr="008F6E6A" w:rsidRDefault="00693ED0">
            <w:pPr>
              <w:ind w:right="-29"/>
              <w:jc w:val="center"/>
              <w:rPr>
                <w:noProof/>
                <w:sz w:val="18"/>
                <w:szCs w:val="18"/>
              </w:rPr>
            </w:pPr>
          </w:p>
        </w:tc>
        <w:tc>
          <w:tcPr>
            <w:tcW w:w="701" w:type="dxa"/>
            <w:vAlign w:val="center"/>
          </w:tcPr>
          <w:p w:rsidR="00693ED0" w:rsidRPr="008F6E6A" w:rsidRDefault="00693ED0">
            <w:pPr>
              <w:ind w:right="-29"/>
              <w:jc w:val="center"/>
              <w:rPr>
                <w:noProof/>
                <w:sz w:val="18"/>
                <w:szCs w:val="18"/>
              </w:rPr>
            </w:pPr>
          </w:p>
        </w:tc>
        <w:tc>
          <w:tcPr>
            <w:tcW w:w="1224" w:type="dxa"/>
            <w:gridSpan w:val="2"/>
            <w:tcBorders>
              <w:left w:val="nil"/>
            </w:tcBorders>
            <w:vAlign w:val="center"/>
          </w:tcPr>
          <w:p w:rsidR="00693ED0" w:rsidRPr="008F6E6A" w:rsidRDefault="00693ED0">
            <w:pPr>
              <w:ind w:right="-29"/>
              <w:jc w:val="center"/>
              <w:rPr>
                <w:noProof/>
                <w:sz w:val="18"/>
                <w:szCs w:val="18"/>
              </w:rPr>
            </w:pPr>
            <w:r w:rsidRPr="008F6E6A">
              <w:rPr>
                <w:noProof/>
                <w:sz w:val="18"/>
              </w:rPr>
              <w:t xml:space="preserve">Year </w:t>
            </w:r>
            <w:r w:rsidRPr="008F6E6A">
              <w:rPr>
                <w:noProof/>
                <w:sz w:val="22"/>
              </w:rPr>
              <w:br/>
            </w:r>
            <w:r w:rsidRPr="008F6E6A">
              <w:rPr>
                <w:b/>
                <w:noProof/>
                <w:sz w:val="18"/>
              </w:rPr>
              <w:t>2024</w:t>
            </w:r>
          </w:p>
        </w:tc>
        <w:tc>
          <w:tcPr>
            <w:tcW w:w="1260" w:type="dxa"/>
            <w:gridSpan w:val="2"/>
            <w:vAlign w:val="center"/>
          </w:tcPr>
          <w:p w:rsidR="00693ED0" w:rsidRPr="008F6E6A" w:rsidRDefault="00693ED0">
            <w:pPr>
              <w:ind w:right="-29"/>
              <w:jc w:val="center"/>
              <w:rPr>
                <w:noProof/>
                <w:sz w:val="18"/>
                <w:szCs w:val="18"/>
              </w:rPr>
            </w:pPr>
            <w:r w:rsidRPr="008F6E6A">
              <w:rPr>
                <w:noProof/>
                <w:sz w:val="18"/>
              </w:rPr>
              <w:t xml:space="preserve">Year </w:t>
            </w:r>
            <w:r w:rsidRPr="008F6E6A">
              <w:rPr>
                <w:noProof/>
                <w:sz w:val="22"/>
              </w:rPr>
              <w:br/>
            </w:r>
            <w:r w:rsidRPr="008F6E6A">
              <w:rPr>
                <w:b/>
                <w:noProof/>
                <w:sz w:val="18"/>
              </w:rPr>
              <w:t>2025</w:t>
            </w:r>
          </w:p>
        </w:tc>
        <w:tc>
          <w:tcPr>
            <w:tcW w:w="1440" w:type="dxa"/>
            <w:gridSpan w:val="2"/>
            <w:vAlign w:val="center"/>
          </w:tcPr>
          <w:p w:rsidR="00693ED0" w:rsidRPr="008F6E6A" w:rsidRDefault="00693ED0">
            <w:pPr>
              <w:ind w:right="-29"/>
              <w:jc w:val="center"/>
              <w:rPr>
                <w:noProof/>
                <w:sz w:val="18"/>
                <w:szCs w:val="18"/>
              </w:rPr>
            </w:pPr>
            <w:r w:rsidRPr="008F6E6A">
              <w:rPr>
                <w:noProof/>
                <w:sz w:val="18"/>
              </w:rPr>
              <w:t xml:space="preserve">Year </w:t>
            </w:r>
            <w:r w:rsidRPr="008F6E6A">
              <w:rPr>
                <w:noProof/>
                <w:sz w:val="22"/>
              </w:rPr>
              <w:br/>
            </w:r>
            <w:r w:rsidRPr="008F6E6A">
              <w:rPr>
                <w:b/>
                <w:noProof/>
                <w:sz w:val="18"/>
              </w:rPr>
              <w:t>2026</w:t>
            </w:r>
          </w:p>
        </w:tc>
        <w:tc>
          <w:tcPr>
            <w:tcW w:w="1620" w:type="dxa"/>
            <w:gridSpan w:val="3"/>
            <w:vAlign w:val="center"/>
          </w:tcPr>
          <w:p w:rsidR="00693ED0" w:rsidRPr="008F6E6A" w:rsidRDefault="00693ED0">
            <w:pPr>
              <w:ind w:right="-29"/>
              <w:jc w:val="center"/>
              <w:rPr>
                <w:noProof/>
                <w:sz w:val="18"/>
                <w:szCs w:val="18"/>
              </w:rPr>
            </w:pPr>
            <w:r w:rsidRPr="008F6E6A">
              <w:rPr>
                <w:noProof/>
                <w:sz w:val="18"/>
              </w:rPr>
              <w:t xml:space="preserve">Year </w:t>
            </w:r>
            <w:r w:rsidRPr="008F6E6A">
              <w:rPr>
                <w:noProof/>
                <w:sz w:val="22"/>
              </w:rPr>
              <w:br/>
            </w:r>
            <w:r w:rsidRPr="008F6E6A">
              <w:rPr>
                <w:b/>
                <w:noProof/>
                <w:sz w:val="18"/>
              </w:rPr>
              <w:t>2027</w:t>
            </w:r>
          </w:p>
        </w:tc>
        <w:tc>
          <w:tcPr>
            <w:tcW w:w="3600" w:type="dxa"/>
            <w:gridSpan w:val="6"/>
            <w:vAlign w:val="center"/>
          </w:tcPr>
          <w:p w:rsidR="00693ED0" w:rsidRPr="008F6E6A" w:rsidRDefault="00693ED0">
            <w:pPr>
              <w:jc w:val="center"/>
              <w:rPr>
                <w:noProof/>
                <w:sz w:val="18"/>
                <w:szCs w:val="18"/>
              </w:rPr>
            </w:pPr>
            <w:r w:rsidRPr="008F6E6A">
              <w:rPr>
                <w:noProof/>
                <w:sz w:val="18"/>
              </w:rPr>
              <w:t>Enter as many years as necessary to show the duration of the impact (see Section1.6)</w:t>
            </w:r>
          </w:p>
        </w:tc>
        <w:tc>
          <w:tcPr>
            <w:tcW w:w="1620" w:type="dxa"/>
            <w:gridSpan w:val="2"/>
            <w:tcBorders>
              <w:left w:val="nil"/>
              <w:bottom w:val="nil"/>
            </w:tcBorders>
            <w:vAlign w:val="center"/>
          </w:tcPr>
          <w:p w:rsidR="00693ED0" w:rsidRPr="008F6E6A" w:rsidRDefault="00693ED0">
            <w:pPr>
              <w:ind w:right="-29"/>
              <w:jc w:val="center"/>
              <w:rPr>
                <w:noProof/>
                <w:sz w:val="18"/>
                <w:szCs w:val="18"/>
              </w:rPr>
            </w:pPr>
            <w:r w:rsidRPr="008F6E6A">
              <w:rPr>
                <w:b/>
                <w:noProof/>
                <w:sz w:val="18"/>
              </w:rPr>
              <w:t>TOTAL</w:t>
            </w:r>
          </w:p>
        </w:tc>
      </w:tr>
      <w:tr w:rsidR="00693ED0" w:rsidRPr="008F6E6A" w:rsidTr="17618B6F">
        <w:trPr>
          <w:jc w:val="center"/>
        </w:trPr>
        <w:tc>
          <w:tcPr>
            <w:tcW w:w="1423" w:type="dxa"/>
            <w:vMerge/>
            <w:vAlign w:val="center"/>
          </w:tcPr>
          <w:p w:rsidR="00693ED0" w:rsidRPr="008F6E6A" w:rsidRDefault="00693ED0">
            <w:pPr>
              <w:ind w:right="-29"/>
              <w:jc w:val="center"/>
              <w:rPr>
                <w:noProof/>
                <w:sz w:val="18"/>
                <w:szCs w:val="18"/>
              </w:rPr>
            </w:pPr>
          </w:p>
        </w:tc>
        <w:tc>
          <w:tcPr>
            <w:tcW w:w="12185" w:type="dxa"/>
            <w:gridSpan w:val="19"/>
            <w:vAlign w:val="center"/>
          </w:tcPr>
          <w:p w:rsidR="00693ED0" w:rsidRPr="008F6E6A" w:rsidRDefault="00693ED0">
            <w:pPr>
              <w:spacing w:before="60" w:after="60"/>
              <w:ind w:right="-29"/>
              <w:jc w:val="center"/>
              <w:rPr>
                <w:noProof/>
                <w:sz w:val="18"/>
                <w:szCs w:val="18"/>
              </w:rPr>
            </w:pPr>
            <w:r w:rsidRPr="008F6E6A">
              <w:rPr>
                <w:b/>
                <w:noProof/>
                <w:sz w:val="18"/>
              </w:rPr>
              <w:t>OUTPUTS</w:t>
            </w:r>
          </w:p>
        </w:tc>
      </w:tr>
      <w:tr w:rsidR="00DF2D2B" w:rsidRPr="008F6E6A" w:rsidTr="00DF2D2B">
        <w:trPr>
          <w:cantSplit/>
          <w:trHeight w:val="1134"/>
          <w:jc w:val="center"/>
        </w:trPr>
        <w:tc>
          <w:tcPr>
            <w:tcW w:w="1423" w:type="dxa"/>
            <w:vMerge/>
            <w:vAlign w:val="center"/>
          </w:tcPr>
          <w:p w:rsidR="00693ED0" w:rsidRPr="008F6E6A" w:rsidRDefault="00693ED0">
            <w:pPr>
              <w:rPr>
                <w:noProof/>
                <w:sz w:val="18"/>
                <w:szCs w:val="18"/>
              </w:rPr>
            </w:pPr>
          </w:p>
        </w:tc>
        <w:tc>
          <w:tcPr>
            <w:tcW w:w="720" w:type="dxa"/>
            <w:vAlign w:val="center"/>
          </w:tcPr>
          <w:p w:rsidR="00693ED0" w:rsidRPr="008F6E6A" w:rsidRDefault="00693ED0">
            <w:pPr>
              <w:jc w:val="center"/>
              <w:rPr>
                <w:noProof/>
                <w:sz w:val="18"/>
                <w:szCs w:val="18"/>
              </w:rPr>
            </w:pPr>
            <w:r w:rsidRPr="008F6E6A">
              <w:rPr>
                <w:noProof/>
                <w:sz w:val="18"/>
                <w:szCs w:val="18"/>
              </w:rPr>
              <w:t>Type</w:t>
            </w:r>
            <w:r w:rsidRPr="008F6E6A">
              <w:rPr>
                <w:rStyle w:val="FootnoteReference"/>
                <w:noProof/>
                <w:sz w:val="18"/>
                <w:szCs w:val="18"/>
              </w:rPr>
              <w:footnoteReference w:id="24"/>
            </w:r>
          </w:p>
          <w:p w:rsidR="00693ED0" w:rsidRPr="008F6E6A" w:rsidRDefault="00693ED0">
            <w:pPr>
              <w:spacing w:before="0" w:after="0"/>
              <w:jc w:val="center"/>
              <w:rPr>
                <w:noProof/>
                <w:sz w:val="18"/>
                <w:szCs w:val="18"/>
              </w:rPr>
            </w:pPr>
          </w:p>
        </w:tc>
        <w:tc>
          <w:tcPr>
            <w:tcW w:w="701" w:type="dxa"/>
            <w:vAlign w:val="center"/>
          </w:tcPr>
          <w:p w:rsidR="00693ED0" w:rsidRPr="008F6E6A" w:rsidRDefault="00693ED0">
            <w:pPr>
              <w:jc w:val="center"/>
              <w:rPr>
                <w:noProof/>
                <w:sz w:val="18"/>
                <w:szCs w:val="18"/>
              </w:rPr>
            </w:pPr>
            <w:r w:rsidRPr="008F6E6A">
              <w:rPr>
                <w:noProof/>
                <w:sz w:val="18"/>
              </w:rPr>
              <w:t>Average cost</w:t>
            </w:r>
          </w:p>
        </w:tc>
        <w:tc>
          <w:tcPr>
            <w:tcW w:w="504" w:type="dxa"/>
            <w:tcBorders>
              <w:left w:val="nil"/>
              <w:right w:val="dashSmallGap" w:sz="4" w:space="0" w:color="auto"/>
            </w:tcBorders>
            <w:shd w:val="clear" w:color="auto" w:fill="auto"/>
            <w:textDirection w:val="btLr"/>
            <w:vAlign w:val="center"/>
          </w:tcPr>
          <w:p w:rsidR="00693ED0" w:rsidRPr="008F6E6A" w:rsidRDefault="00693ED0">
            <w:pPr>
              <w:ind w:left="113" w:right="113"/>
              <w:jc w:val="center"/>
              <w:rPr>
                <w:noProof/>
                <w:sz w:val="18"/>
                <w:szCs w:val="18"/>
              </w:rPr>
            </w:pPr>
            <w:r w:rsidRPr="008F6E6A">
              <w:rPr>
                <w:noProof/>
                <w:sz w:val="18"/>
              </w:rPr>
              <w:t>No</w:t>
            </w:r>
          </w:p>
        </w:tc>
        <w:tc>
          <w:tcPr>
            <w:tcW w:w="720" w:type="dxa"/>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Cost</w:t>
            </w:r>
          </w:p>
        </w:tc>
        <w:tc>
          <w:tcPr>
            <w:tcW w:w="540" w:type="dxa"/>
            <w:tcBorders>
              <w:right w:val="dashSmallGap" w:sz="4" w:space="0" w:color="auto"/>
            </w:tcBorders>
            <w:shd w:val="clear" w:color="auto" w:fill="auto"/>
            <w:textDirection w:val="btLr"/>
            <w:vAlign w:val="center"/>
          </w:tcPr>
          <w:p w:rsidR="00693ED0" w:rsidRPr="008F6E6A" w:rsidRDefault="00693ED0">
            <w:pPr>
              <w:ind w:left="113" w:right="113"/>
              <w:jc w:val="center"/>
              <w:rPr>
                <w:noProof/>
                <w:sz w:val="18"/>
                <w:szCs w:val="18"/>
              </w:rPr>
            </w:pPr>
            <w:r w:rsidRPr="008F6E6A">
              <w:rPr>
                <w:noProof/>
                <w:sz w:val="18"/>
              </w:rPr>
              <w:t>No</w:t>
            </w:r>
          </w:p>
        </w:tc>
        <w:tc>
          <w:tcPr>
            <w:tcW w:w="720" w:type="dxa"/>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Cost</w:t>
            </w:r>
          </w:p>
        </w:tc>
        <w:tc>
          <w:tcPr>
            <w:tcW w:w="720" w:type="dxa"/>
            <w:tcBorders>
              <w:right w:val="dashSmallGap" w:sz="4" w:space="0" w:color="auto"/>
            </w:tcBorders>
            <w:shd w:val="clear" w:color="auto" w:fill="auto"/>
            <w:textDirection w:val="btLr"/>
            <w:vAlign w:val="center"/>
          </w:tcPr>
          <w:p w:rsidR="00693ED0" w:rsidRPr="008F6E6A" w:rsidRDefault="00693ED0">
            <w:pPr>
              <w:ind w:left="113" w:right="113"/>
              <w:jc w:val="center"/>
              <w:rPr>
                <w:noProof/>
                <w:sz w:val="18"/>
                <w:szCs w:val="18"/>
              </w:rPr>
            </w:pPr>
            <w:r w:rsidRPr="008F6E6A">
              <w:rPr>
                <w:noProof/>
                <w:sz w:val="18"/>
              </w:rPr>
              <w:t>No</w:t>
            </w:r>
          </w:p>
        </w:tc>
        <w:tc>
          <w:tcPr>
            <w:tcW w:w="720" w:type="dxa"/>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Cost</w:t>
            </w:r>
          </w:p>
        </w:tc>
        <w:tc>
          <w:tcPr>
            <w:tcW w:w="900" w:type="dxa"/>
            <w:tcBorders>
              <w:right w:val="dashSmallGap" w:sz="4" w:space="0" w:color="auto"/>
            </w:tcBorders>
            <w:shd w:val="clear" w:color="auto" w:fill="auto"/>
            <w:textDirection w:val="btLr"/>
            <w:vAlign w:val="center"/>
          </w:tcPr>
          <w:p w:rsidR="00693ED0" w:rsidRPr="008F6E6A" w:rsidRDefault="00693ED0">
            <w:pPr>
              <w:ind w:left="113" w:right="113"/>
              <w:jc w:val="center"/>
              <w:rPr>
                <w:noProof/>
                <w:sz w:val="18"/>
                <w:szCs w:val="18"/>
              </w:rPr>
            </w:pPr>
            <w:r w:rsidRPr="008F6E6A">
              <w:rPr>
                <w:noProof/>
                <w:sz w:val="18"/>
              </w:rPr>
              <w:t>No</w:t>
            </w:r>
          </w:p>
        </w:tc>
        <w:tc>
          <w:tcPr>
            <w:tcW w:w="720" w:type="dxa"/>
            <w:gridSpan w:val="2"/>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Cost</w:t>
            </w:r>
          </w:p>
        </w:tc>
        <w:tc>
          <w:tcPr>
            <w:tcW w:w="540" w:type="dxa"/>
            <w:tcBorders>
              <w:right w:val="dashSmallGap" w:sz="4" w:space="0" w:color="auto"/>
            </w:tcBorders>
            <w:shd w:val="clear" w:color="auto" w:fill="auto"/>
            <w:textDirection w:val="btLr"/>
            <w:vAlign w:val="center"/>
          </w:tcPr>
          <w:p w:rsidR="00693ED0" w:rsidRPr="008F6E6A" w:rsidRDefault="00693ED0">
            <w:pPr>
              <w:ind w:left="113" w:right="113"/>
              <w:jc w:val="center"/>
              <w:rPr>
                <w:noProof/>
                <w:sz w:val="18"/>
                <w:szCs w:val="18"/>
              </w:rPr>
            </w:pPr>
            <w:r w:rsidRPr="008F6E6A">
              <w:rPr>
                <w:noProof/>
                <w:sz w:val="18"/>
              </w:rPr>
              <w:t>No</w:t>
            </w:r>
          </w:p>
        </w:tc>
        <w:tc>
          <w:tcPr>
            <w:tcW w:w="648" w:type="dxa"/>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Cost</w:t>
            </w:r>
          </w:p>
        </w:tc>
        <w:tc>
          <w:tcPr>
            <w:tcW w:w="432" w:type="dxa"/>
            <w:tcBorders>
              <w:right w:val="dashSmallGap" w:sz="4" w:space="0" w:color="auto"/>
            </w:tcBorders>
            <w:shd w:val="clear" w:color="auto" w:fill="auto"/>
            <w:textDirection w:val="btLr"/>
            <w:vAlign w:val="center"/>
          </w:tcPr>
          <w:p w:rsidR="00693ED0" w:rsidRPr="008F6E6A" w:rsidRDefault="00693ED0">
            <w:pPr>
              <w:ind w:left="113" w:right="113"/>
              <w:jc w:val="center"/>
              <w:rPr>
                <w:noProof/>
                <w:sz w:val="18"/>
                <w:szCs w:val="18"/>
              </w:rPr>
            </w:pPr>
            <w:r w:rsidRPr="008F6E6A">
              <w:rPr>
                <w:noProof/>
                <w:sz w:val="18"/>
              </w:rPr>
              <w:t>No</w:t>
            </w:r>
          </w:p>
        </w:tc>
        <w:tc>
          <w:tcPr>
            <w:tcW w:w="720" w:type="dxa"/>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Cost</w:t>
            </w:r>
          </w:p>
        </w:tc>
        <w:tc>
          <w:tcPr>
            <w:tcW w:w="540" w:type="dxa"/>
            <w:tcBorders>
              <w:right w:val="dashSmallGap" w:sz="4" w:space="0" w:color="auto"/>
            </w:tcBorders>
            <w:shd w:val="clear" w:color="auto" w:fill="auto"/>
            <w:textDirection w:val="btLr"/>
            <w:vAlign w:val="center"/>
          </w:tcPr>
          <w:p w:rsidR="00693ED0" w:rsidRPr="008F6E6A" w:rsidRDefault="00693ED0">
            <w:pPr>
              <w:ind w:left="113" w:right="113"/>
              <w:jc w:val="center"/>
              <w:rPr>
                <w:noProof/>
                <w:sz w:val="18"/>
                <w:szCs w:val="18"/>
              </w:rPr>
            </w:pPr>
            <w:r w:rsidRPr="008F6E6A">
              <w:rPr>
                <w:noProof/>
                <w:sz w:val="18"/>
              </w:rPr>
              <w:t>No</w:t>
            </w:r>
          </w:p>
        </w:tc>
        <w:tc>
          <w:tcPr>
            <w:tcW w:w="720" w:type="dxa"/>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Cost</w:t>
            </w:r>
          </w:p>
        </w:tc>
        <w:tc>
          <w:tcPr>
            <w:tcW w:w="720" w:type="dxa"/>
            <w:tcBorders>
              <w:righ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Total No</w:t>
            </w:r>
          </w:p>
        </w:tc>
        <w:tc>
          <w:tcPr>
            <w:tcW w:w="900" w:type="dxa"/>
            <w:tcBorders>
              <w:left w:val="dashSmallGap" w:sz="4" w:space="0" w:color="auto"/>
            </w:tcBorders>
            <w:shd w:val="clear" w:color="auto" w:fill="auto"/>
            <w:vAlign w:val="center"/>
          </w:tcPr>
          <w:p w:rsidR="00693ED0" w:rsidRPr="008F6E6A" w:rsidRDefault="00693ED0">
            <w:pPr>
              <w:jc w:val="center"/>
              <w:rPr>
                <w:noProof/>
                <w:sz w:val="18"/>
                <w:szCs w:val="18"/>
              </w:rPr>
            </w:pPr>
            <w:r w:rsidRPr="008F6E6A">
              <w:rPr>
                <w:noProof/>
                <w:sz w:val="18"/>
              </w:rPr>
              <w:t>Total cost</w:t>
            </w:r>
          </w:p>
        </w:tc>
      </w:tr>
      <w:tr w:rsidR="00693ED0" w:rsidRPr="008F6E6A" w:rsidTr="17618B6F">
        <w:trPr>
          <w:jc w:val="center"/>
        </w:trPr>
        <w:tc>
          <w:tcPr>
            <w:tcW w:w="2844" w:type="dxa"/>
            <w:gridSpan w:val="3"/>
            <w:vAlign w:val="center"/>
          </w:tcPr>
          <w:p w:rsidR="00693ED0" w:rsidRPr="008F6E6A" w:rsidRDefault="00693ED0">
            <w:pPr>
              <w:spacing w:before="60" w:after="60"/>
              <w:ind w:right="-29"/>
              <w:jc w:val="center"/>
              <w:rPr>
                <w:noProof/>
                <w:sz w:val="18"/>
                <w:szCs w:val="18"/>
              </w:rPr>
            </w:pPr>
            <w:r w:rsidRPr="008F6E6A">
              <w:rPr>
                <w:noProof/>
                <w:sz w:val="18"/>
                <w:szCs w:val="18"/>
              </w:rPr>
              <w:t>SPECIFIC OBJECTIVE No 1</w:t>
            </w:r>
            <w:r w:rsidRPr="008F6E6A">
              <w:rPr>
                <w:rStyle w:val="FootnoteReference"/>
                <w:noProof/>
                <w:sz w:val="18"/>
                <w:szCs w:val="18"/>
              </w:rPr>
              <w:footnoteReference w:id="25"/>
            </w:r>
            <w:r w:rsidRPr="008F6E6A">
              <w:rPr>
                <w:noProof/>
                <w:sz w:val="18"/>
                <w:szCs w:val="18"/>
              </w:rPr>
              <w:t>…</w:t>
            </w:r>
          </w:p>
        </w:tc>
        <w:tc>
          <w:tcPr>
            <w:tcW w:w="504"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8F6E6A"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6E6A" w:rsidRDefault="00693ED0">
            <w:pPr>
              <w:spacing w:before="60" w:after="60"/>
              <w:ind w:right="-29"/>
              <w:jc w:val="center"/>
              <w:rPr>
                <w:noProof/>
                <w:sz w:val="18"/>
                <w:szCs w:val="18"/>
              </w:rPr>
            </w:pPr>
          </w:p>
        </w:tc>
      </w:tr>
      <w:tr w:rsidR="00693ED0" w:rsidRPr="008F6E6A" w:rsidTr="17618B6F">
        <w:trPr>
          <w:trHeight w:hRule="exact" w:val="369"/>
          <w:jc w:val="center"/>
        </w:trPr>
        <w:tc>
          <w:tcPr>
            <w:tcW w:w="1423" w:type="dxa"/>
          </w:tcPr>
          <w:p w:rsidR="00693ED0" w:rsidRPr="008F6E6A" w:rsidRDefault="00693ED0">
            <w:pPr>
              <w:ind w:right="-29"/>
              <w:jc w:val="center"/>
              <w:rPr>
                <w:noProof/>
                <w:sz w:val="18"/>
                <w:szCs w:val="18"/>
              </w:rPr>
            </w:pPr>
            <w:r w:rsidRPr="008F6E6A">
              <w:rPr>
                <w:noProof/>
                <w:sz w:val="18"/>
              </w:rPr>
              <w:t>- Output</w:t>
            </w:r>
          </w:p>
        </w:tc>
        <w:tc>
          <w:tcPr>
            <w:tcW w:w="720" w:type="dxa"/>
          </w:tcPr>
          <w:p w:rsidR="00693ED0" w:rsidRPr="008F6E6A" w:rsidRDefault="00693ED0">
            <w:pPr>
              <w:ind w:right="-29"/>
              <w:jc w:val="center"/>
              <w:rPr>
                <w:noProof/>
                <w:sz w:val="18"/>
                <w:szCs w:val="18"/>
              </w:rPr>
            </w:pPr>
          </w:p>
        </w:tc>
        <w:tc>
          <w:tcPr>
            <w:tcW w:w="701" w:type="dxa"/>
          </w:tcPr>
          <w:p w:rsidR="00693ED0" w:rsidRPr="008F6E6A" w:rsidRDefault="00693ED0">
            <w:pPr>
              <w:ind w:right="-29"/>
              <w:jc w:val="center"/>
              <w:rPr>
                <w:noProof/>
                <w:sz w:val="18"/>
                <w:szCs w:val="18"/>
              </w:rPr>
            </w:pPr>
          </w:p>
        </w:tc>
        <w:tc>
          <w:tcPr>
            <w:tcW w:w="504"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540"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720"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900" w:type="dxa"/>
            <w:tcBorders>
              <w:right w:val="dashSmallGap" w:sz="4" w:space="0" w:color="auto"/>
            </w:tcBorders>
          </w:tcPr>
          <w:p w:rsidR="00693ED0" w:rsidRPr="008F6E6A" w:rsidRDefault="00693ED0">
            <w:pPr>
              <w:ind w:right="-29"/>
              <w:jc w:val="center"/>
              <w:rPr>
                <w:noProof/>
                <w:sz w:val="18"/>
                <w:szCs w:val="18"/>
              </w:rPr>
            </w:pPr>
          </w:p>
        </w:tc>
        <w:tc>
          <w:tcPr>
            <w:tcW w:w="720" w:type="dxa"/>
            <w:gridSpan w:val="2"/>
            <w:tcBorders>
              <w:left w:val="dashSmallGap" w:sz="4" w:space="0" w:color="auto"/>
            </w:tcBorders>
          </w:tcPr>
          <w:p w:rsidR="00693ED0" w:rsidRPr="008F6E6A" w:rsidRDefault="00693ED0">
            <w:pPr>
              <w:ind w:right="-29"/>
              <w:jc w:val="center"/>
              <w:rPr>
                <w:noProof/>
                <w:sz w:val="18"/>
                <w:szCs w:val="18"/>
              </w:rPr>
            </w:pPr>
          </w:p>
        </w:tc>
        <w:tc>
          <w:tcPr>
            <w:tcW w:w="540" w:type="dxa"/>
            <w:tcBorders>
              <w:right w:val="dashSmallGap" w:sz="4" w:space="0" w:color="auto"/>
            </w:tcBorders>
          </w:tcPr>
          <w:p w:rsidR="00693ED0" w:rsidRPr="008F6E6A" w:rsidRDefault="00693ED0">
            <w:pPr>
              <w:ind w:right="-29"/>
              <w:jc w:val="center"/>
              <w:rPr>
                <w:noProof/>
                <w:sz w:val="18"/>
                <w:szCs w:val="18"/>
              </w:rPr>
            </w:pPr>
          </w:p>
        </w:tc>
        <w:tc>
          <w:tcPr>
            <w:tcW w:w="648" w:type="dxa"/>
            <w:tcBorders>
              <w:left w:val="dashSmallGap" w:sz="4" w:space="0" w:color="auto"/>
            </w:tcBorders>
          </w:tcPr>
          <w:p w:rsidR="00693ED0" w:rsidRPr="008F6E6A" w:rsidRDefault="00693ED0">
            <w:pPr>
              <w:ind w:right="-29"/>
              <w:jc w:val="center"/>
              <w:rPr>
                <w:noProof/>
                <w:sz w:val="18"/>
                <w:szCs w:val="18"/>
              </w:rPr>
            </w:pPr>
          </w:p>
        </w:tc>
        <w:tc>
          <w:tcPr>
            <w:tcW w:w="432"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540"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900" w:type="dxa"/>
          </w:tcPr>
          <w:p w:rsidR="00693ED0" w:rsidRPr="008F6E6A" w:rsidRDefault="00693ED0">
            <w:pPr>
              <w:ind w:right="-29"/>
              <w:jc w:val="center"/>
              <w:rPr>
                <w:noProof/>
                <w:sz w:val="18"/>
                <w:szCs w:val="18"/>
              </w:rPr>
            </w:pPr>
          </w:p>
        </w:tc>
      </w:tr>
      <w:tr w:rsidR="00693ED0" w:rsidRPr="008F6E6A" w:rsidTr="17618B6F">
        <w:trPr>
          <w:trHeight w:hRule="exact" w:val="369"/>
          <w:jc w:val="center"/>
        </w:trPr>
        <w:tc>
          <w:tcPr>
            <w:tcW w:w="1423" w:type="dxa"/>
          </w:tcPr>
          <w:p w:rsidR="00693ED0" w:rsidRPr="008F6E6A" w:rsidRDefault="00693ED0">
            <w:pPr>
              <w:ind w:right="-29"/>
              <w:jc w:val="center"/>
              <w:rPr>
                <w:noProof/>
                <w:sz w:val="18"/>
                <w:szCs w:val="18"/>
              </w:rPr>
            </w:pPr>
            <w:r w:rsidRPr="008F6E6A">
              <w:rPr>
                <w:noProof/>
                <w:sz w:val="18"/>
              </w:rPr>
              <w:t>- Output</w:t>
            </w:r>
          </w:p>
        </w:tc>
        <w:tc>
          <w:tcPr>
            <w:tcW w:w="720" w:type="dxa"/>
          </w:tcPr>
          <w:p w:rsidR="00693ED0" w:rsidRPr="008F6E6A" w:rsidRDefault="00693ED0">
            <w:pPr>
              <w:ind w:right="-29"/>
              <w:jc w:val="center"/>
              <w:rPr>
                <w:noProof/>
                <w:sz w:val="18"/>
                <w:szCs w:val="18"/>
              </w:rPr>
            </w:pPr>
          </w:p>
        </w:tc>
        <w:tc>
          <w:tcPr>
            <w:tcW w:w="701" w:type="dxa"/>
          </w:tcPr>
          <w:p w:rsidR="00693ED0" w:rsidRPr="008F6E6A" w:rsidRDefault="00693ED0">
            <w:pPr>
              <w:ind w:right="-29"/>
              <w:jc w:val="center"/>
              <w:rPr>
                <w:noProof/>
                <w:sz w:val="18"/>
                <w:szCs w:val="18"/>
              </w:rPr>
            </w:pPr>
          </w:p>
        </w:tc>
        <w:tc>
          <w:tcPr>
            <w:tcW w:w="504"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540"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720"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900" w:type="dxa"/>
            <w:tcBorders>
              <w:right w:val="dashSmallGap" w:sz="4" w:space="0" w:color="auto"/>
            </w:tcBorders>
          </w:tcPr>
          <w:p w:rsidR="00693ED0" w:rsidRPr="008F6E6A" w:rsidRDefault="00693ED0">
            <w:pPr>
              <w:ind w:right="-29"/>
              <w:jc w:val="center"/>
              <w:rPr>
                <w:noProof/>
                <w:sz w:val="18"/>
                <w:szCs w:val="18"/>
              </w:rPr>
            </w:pPr>
          </w:p>
        </w:tc>
        <w:tc>
          <w:tcPr>
            <w:tcW w:w="720" w:type="dxa"/>
            <w:gridSpan w:val="2"/>
            <w:tcBorders>
              <w:left w:val="dashSmallGap" w:sz="4" w:space="0" w:color="auto"/>
            </w:tcBorders>
          </w:tcPr>
          <w:p w:rsidR="00693ED0" w:rsidRPr="008F6E6A" w:rsidRDefault="00693ED0">
            <w:pPr>
              <w:ind w:right="-29"/>
              <w:jc w:val="center"/>
              <w:rPr>
                <w:noProof/>
                <w:sz w:val="18"/>
                <w:szCs w:val="18"/>
              </w:rPr>
            </w:pPr>
          </w:p>
        </w:tc>
        <w:tc>
          <w:tcPr>
            <w:tcW w:w="540" w:type="dxa"/>
            <w:tcBorders>
              <w:right w:val="dashSmallGap" w:sz="4" w:space="0" w:color="auto"/>
            </w:tcBorders>
          </w:tcPr>
          <w:p w:rsidR="00693ED0" w:rsidRPr="008F6E6A" w:rsidRDefault="00693ED0">
            <w:pPr>
              <w:ind w:right="-29"/>
              <w:jc w:val="center"/>
              <w:rPr>
                <w:noProof/>
                <w:sz w:val="18"/>
                <w:szCs w:val="18"/>
              </w:rPr>
            </w:pPr>
          </w:p>
        </w:tc>
        <w:tc>
          <w:tcPr>
            <w:tcW w:w="648" w:type="dxa"/>
            <w:tcBorders>
              <w:left w:val="dashSmallGap" w:sz="4" w:space="0" w:color="auto"/>
            </w:tcBorders>
          </w:tcPr>
          <w:p w:rsidR="00693ED0" w:rsidRPr="008F6E6A" w:rsidRDefault="00693ED0">
            <w:pPr>
              <w:ind w:right="-29"/>
              <w:jc w:val="center"/>
              <w:rPr>
                <w:noProof/>
                <w:sz w:val="18"/>
                <w:szCs w:val="18"/>
              </w:rPr>
            </w:pPr>
          </w:p>
        </w:tc>
        <w:tc>
          <w:tcPr>
            <w:tcW w:w="432"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540" w:type="dxa"/>
            <w:tcBorders>
              <w:right w:val="dashSmallGap" w:sz="4" w:space="0" w:color="auto"/>
            </w:tcBorders>
          </w:tcPr>
          <w:p w:rsidR="00693ED0" w:rsidRPr="008F6E6A" w:rsidRDefault="00693ED0">
            <w:pPr>
              <w:ind w:right="-29"/>
              <w:jc w:val="center"/>
              <w:rPr>
                <w:noProof/>
                <w:sz w:val="18"/>
                <w:szCs w:val="18"/>
              </w:rPr>
            </w:pPr>
          </w:p>
        </w:tc>
        <w:tc>
          <w:tcPr>
            <w:tcW w:w="720" w:type="dxa"/>
            <w:tcBorders>
              <w:left w:val="dashSmallGap" w:sz="4" w:space="0" w:color="auto"/>
            </w:tcBorders>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900" w:type="dxa"/>
          </w:tcPr>
          <w:p w:rsidR="00693ED0" w:rsidRPr="008F6E6A" w:rsidRDefault="00693ED0">
            <w:pPr>
              <w:ind w:right="-29"/>
              <w:jc w:val="center"/>
              <w:rPr>
                <w:noProof/>
                <w:sz w:val="18"/>
                <w:szCs w:val="18"/>
              </w:rPr>
            </w:pPr>
          </w:p>
        </w:tc>
      </w:tr>
      <w:tr w:rsidR="00693ED0" w:rsidRPr="008F6E6A" w:rsidTr="17618B6F">
        <w:trPr>
          <w:trHeight w:hRule="exact" w:val="369"/>
          <w:jc w:val="center"/>
        </w:trPr>
        <w:tc>
          <w:tcPr>
            <w:tcW w:w="1423" w:type="dxa"/>
          </w:tcPr>
          <w:p w:rsidR="00693ED0" w:rsidRPr="008F6E6A" w:rsidRDefault="00693ED0">
            <w:pPr>
              <w:ind w:right="-29"/>
              <w:jc w:val="center"/>
              <w:rPr>
                <w:noProof/>
                <w:sz w:val="18"/>
                <w:szCs w:val="18"/>
              </w:rPr>
            </w:pPr>
            <w:r w:rsidRPr="008F6E6A">
              <w:rPr>
                <w:noProof/>
                <w:sz w:val="18"/>
              </w:rPr>
              <w:t>- Output</w:t>
            </w:r>
          </w:p>
        </w:tc>
        <w:tc>
          <w:tcPr>
            <w:tcW w:w="720" w:type="dxa"/>
          </w:tcPr>
          <w:p w:rsidR="00693ED0" w:rsidRPr="008F6E6A" w:rsidRDefault="00693ED0">
            <w:pPr>
              <w:ind w:right="-29"/>
              <w:jc w:val="center"/>
              <w:rPr>
                <w:noProof/>
                <w:sz w:val="18"/>
                <w:szCs w:val="18"/>
              </w:rPr>
            </w:pPr>
          </w:p>
        </w:tc>
        <w:tc>
          <w:tcPr>
            <w:tcW w:w="701" w:type="dxa"/>
          </w:tcPr>
          <w:p w:rsidR="00693ED0" w:rsidRPr="008F6E6A" w:rsidRDefault="00693ED0">
            <w:pPr>
              <w:ind w:right="-29"/>
              <w:jc w:val="center"/>
              <w:rPr>
                <w:noProof/>
                <w:sz w:val="18"/>
                <w:szCs w:val="18"/>
              </w:rPr>
            </w:pPr>
          </w:p>
        </w:tc>
        <w:tc>
          <w:tcPr>
            <w:tcW w:w="504"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54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900" w:type="dxa"/>
          </w:tcPr>
          <w:p w:rsidR="00693ED0" w:rsidRPr="008F6E6A" w:rsidRDefault="00693ED0">
            <w:pPr>
              <w:ind w:right="-29"/>
              <w:jc w:val="center"/>
              <w:rPr>
                <w:noProof/>
                <w:sz w:val="18"/>
                <w:szCs w:val="18"/>
              </w:rPr>
            </w:pPr>
          </w:p>
        </w:tc>
        <w:tc>
          <w:tcPr>
            <w:tcW w:w="720" w:type="dxa"/>
            <w:gridSpan w:val="2"/>
          </w:tcPr>
          <w:p w:rsidR="00693ED0" w:rsidRPr="008F6E6A" w:rsidRDefault="00693ED0">
            <w:pPr>
              <w:ind w:right="-29"/>
              <w:jc w:val="center"/>
              <w:rPr>
                <w:noProof/>
                <w:sz w:val="18"/>
                <w:szCs w:val="18"/>
              </w:rPr>
            </w:pPr>
          </w:p>
        </w:tc>
        <w:tc>
          <w:tcPr>
            <w:tcW w:w="540" w:type="dxa"/>
          </w:tcPr>
          <w:p w:rsidR="00693ED0" w:rsidRPr="008F6E6A" w:rsidRDefault="00693ED0">
            <w:pPr>
              <w:ind w:right="-29"/>
              <w:jc w:val="center"/>
              <w:rPr>
                <w:noProof/>
                <w:sz w:val="18"/>
                <w:szCs w:val="18"/>
              </w:rPr>
            </w:pPr>
          </w:p>
        </w:tc>
        <w:tc>
          <w:tcPr>
            <w:tcW w:w="648" w:type="dxa"/>
          </w:tcPr>
          <w:p w:rsidR="00693ED0" w:rsidRPr="008F6E6A" w:rsidRDefault="00693ED0">
            <w:pPr>
              <w:ind w:right="-29"/>
              <w:jc w:val="center"/>
              <w:rPr>
                <w:noProof/>
                <w:sz w:val="18"/>
                <w:szCs w:val="18"/>
              </w:rPr>
            </w:pPr>
          </w:p>
        </w:tc>
        <w:tc>
          <w:tcPr>
            <w:tcW w:w="432"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54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900" w:type="dxa"/>
          </w:tcPr>
          <w:p w:rsidR="00693ED0" w:rsidRPr="008F6E6A" w:rsidRDefault="00693ED0">
            <w:pPr>
              <w:ind w:right="-29"/>
              <w:jc w:val="center"/>
              <w:rPr>
                <w:noProof/>
                <w:sz w:val="18"/>
                <w:szCs w:val="18"/>
              </w:rPr>
            </w:pPr>
          </w:p>
        </w:tc>
      </w:tr>
      <w:tr w:rsidR="00693ED0" w:rsidRPr="008F6E6A" w:rsidTr="17618B6F">
        <w:trPr>
          <w:trHeight w:val="77"/>
          <w:jc w:val="center"/>
        </w:trPr>
        <w:tc>
          <w:tcPr>
            <w:tcW w:w="2844" w:type="dxa"/>
            <w:gridSpan w:val="3"/>
            <w:tcBorders>
              <w:bottom w:val="single" w:sz="12" w:space="0" w:color="auto"/>
            </w:tcBorders>
            <w:vAlign w:val="center"/>
          </w:tcPr>
          <w:p w:rsidR="00693ED0" w:rsidRPr="008F6E6A" w:rsidRDefault="00693ED0">
            <w:pPr>
              <w:ind w:right="-29"/>
              <w:jc w:val="center"/>
              <w:rPr>
                <w:noProof/>
                <w:sz w:val="18"/>
                <w:szCs w:val="18"/>
              </w:rPr>
            </w:pPr>
            <w:r w:rsidRPr="008F6E6A">
              <w:rPr>
                <w:noProof/>
                <w:sz w:val="18"/>
              </w:rPr>
              <w:t>Subtotal for specific objective No 1</w:t>
            </w:r>
          </w:p>
        </w:tc>
        <w:tc>
          <w:tcPr>
            <w:tcW w:w="504"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54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900" w:type="dxa"/>
            <w:tcBorders>
              <w:bottom w:val="single" w:sz="12" w:space="0" w:color="auto"/>
            </w:tcBorders>
          </w:tcPr>
          <w:p w:rsidR="00693ED0" w:rsidRPr="008F6E6A" w:rsidRDefault="00693ED0">
            <w:pPr>
              <w:ind w:right="-29"/>
              <w:jc w:val="center"/>
              <w:rPr>
                <w:noProof/>
                <w:sz w:val="18"/>
                <w:szCs w:val="18"/>
              </w:rPr>
            </w:pPr>
          </w:p>
        </w:tc>
        <w:tc>
          <w:tcPr>
            <w:tcW w:w="720" w:type="dxa"/>
            <w:gridSpan w:val="2"/>
            <w:tcBorders>
              <w:bottom w:val="single" w:sz="12" w:space="0" w:color="auto"/>
            </w:tcBorders>
          </w:tcPr>
          <w:p w:rsidR="00693ED0" w:rsidRPr="008F6E6A" w:rsidRDefault="00693ED0">
            <w:pPr>
              <w:ind w:right="-29"/>
              <w:jc w:val="center"/>
              <w:rPr>
                <w:noProof/>
                <w:sz w:val="18"/>
                <w:szCs w:val="18"/>
              </w:rPr>
            </w:pPr>
          </w:p>
        </w:tc>
        <w:tc>
          <w:tcPr>
            <w:tcW w:w="540" w:type="dxa"/>
            <w:tcBorders>
              <w:bottom w:val="single" w:sz="12" w:space="0" w:color="auto"/>
            </w:tcBorders>
          </w:tcPr>
          <w:p w:rsidR="00693ED0" w:rsidRPr="008F6E6A" w:rsidRDefault="00693ED0">
            <w:pPr>
              <w:ind w:right="-29"/>
              <w:jc w:val="center"/>
              <w:rPr>
                <w:noProof/>
                <w:sz w:val="18"/>
                <w:szCs w:val="18"/>
              </w:rPr>
            </w:pPr>
          </w:p>
        </w:tc>
        <w:tc>
          <w:tcPr>
            <w:tcW w:w="648" w:type="dxa"/>
            <w:tcBorders>
              <w:bottom w:val="single" w:sz="12" w:space="0" w:color="auto"/>
            </w:tcBorders>
          </w:tcPr>
          <w:p w:rsidR="00693ED0" w:rsidRPr="008F6E6A" w:rsidRDefault="00693ED0">
            <w:pPr>
              <w:ind w:right="-29"/>
              <w:jc w:val="center"/>
              <w:rPr>
                <w:noProof/>
                <w:sz w:val="18"/>
                <w:szCs w:val="18"/>
              </w:rPr>
            </w:pPr>
          </w:p>
        </w:tc>
        <w:tc>
          <w:tcPr>
            <w:tcW w:w="432"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54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900" w:type="dxa"/>
            <w:tcBorders>
              <w:bottom w:val="single" w:sz="12" w:space="0" w:color="auto"/>
            </w:tcBorders>
          </w:tcPr>
          <w:p w:rsidR="00693ED0" w:rsidRPr="008F6E6A" w:rsidRDefault="00693ED0">
            <w:pPr>
              <w:ind w:right="-29"/>
              <w:jc w:val="center"/>
              <w:rPr>
                <w:noProof/>
                <w:sz w:val="18"/>
                <w:szCs w:val="18"/>
              </w:rPr>
            </w:pPr>
          </w:p>
        </w:tc>
      </w:tr>
      <w:tr w:rsidR="00693ED0" w:rsidRPr="008F6E6A" w:rsidTr="17618B6F">
        <w:trPr>
          <w:jc w:val="center"/>
        </w:trPr>
        <w:tc>
          <w:tcPr>
            <w:tcW w:w="2844" w:type="dxa"/>
            <w:gridSpan w:val="3"/>
            <w:vAlign w:val="center"/>
          </w:tcPr>
          <w:p w:rsidR="00693ED0" w:rsidRPr="008F6E6A" w:rsidRDefault="00693ED0">
            <w:pPr>
              <w:spacing w:before="60" w:after="60"/>
              <w:ind w:right="-29"/>
              <w:jc w:val="center"/>
              <w:rPr>
                <w:noProof/>
                <w:sz w:val="18"/>
                <w:szCs w:val="18"/>
              </w:rPr>
            </w:pPr>
            <w:r w:rsidRPr="008F6E6A">
              <w:rPr>
                <w:noProof/>
                <w:sz w:val="18"/>
              </w:rPr>
              <w:t>SPECIFIC OBJECTIVE No 2 ...</w:t>
            </w:r>
          </w:p>
        </w:tc>
        <w:tc>
          <w:tcPr>
            <w:tcW w:w="504"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8F6E6A"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8F6E6A"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8F6E6A" w:rsidRDefault="00693ED0">
            <w:pPr>
              <w:spacing w:before="60" w:after="60"/>
              <w:ind w:right="-29"/>
              <w:jc w:val="center"/>
              <w:rPr>
                <w:noProof/>
                <w:sz w:val="18"/>
                <w:szCs w:val="18"/>
              </w:rPr>
            </w:pPr>
          </w:p>
        </w:tc>
      </w:tr>
      <w:tr w:rsidR="00693ED0" w:rsidRPr="008F6E6A" w:rsidTr="17618B6F">
        <w:trPr>
          <w:trHeight w:hRule="exact" w:val="369"/>
          <w:jc w:val="center"/>
        </w:trPr>
        <w:tc>
          <w:tcPr>
            <w:tcW w:w="1423" w:type="dxa"/>
          </w:tcPr>
          <w:p w:rsidR="00693ED0" w:rsidRPr="008F6E6A" w:rsidRDefault="00693ED0">
            <w:pPr>
              <w:ind w:right="-29"/>
              <w:jc w:val="center"/>
              <w:rPr>
                <w:noProof/>
                <w:sz w:val="18"/>
                <w:szCs w:val="18"/>
              </w:rPr>
            </w:pPr>
            <w:r w:rsidRPr="008F6E6A">
              <w:rPr>
                <w:noProof/>
                <w:sz w:val="18"/>
              </w:rPr>
              <w:t>- Output</w:t>
            </w:r>
          </w:p>
        </w:tc>
        <w:tc>
          <w:tcPr>
            <w:tcW w:w="720" w:type="dxa"/>
          </w:tcPr>
          <w:p w:rsidR="00693ED0" w:rsidRPr="008F6E6A" w:rsidRDefault="00693ED0">
            <w:pPr>
              <w:ind w:right="-29"/>
              <w:jc w:val="center"/>
              <w:rPr>
                <w:noProof/>
                <w:sz w:val="18"/>
                <w:szCs w:val="18"/>
              </w:rPr>
            </w:pPr>
          </w:p>
        </w:tc>
        <w:tc>
          <w:tcPr>
            <w:tcW w:w="701" w:type="dxa"/>
          </w:tcPr>
          <w:p w:rsidR="00693ED0" w:rsidRPr="008F6E6A" w:rsidRDefault="00693ED0">
            <w:pPr>
              <w:ind w:right="-29"/>
              <w:jc w:val="center"/>
              <w:rPr>
                <w:noProof/>
                <w:sz w:val="18"/>
                <w:szCs w:val="18"/>
              </w:rPr>
            </w:pPr>
          </w:p>
        </w:tc>
        <w:tc>
          <w:tcPr>
            <w:tcW w:w="504"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54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900" w:type="dxa"/>
          </w:tcPr>
          <w:p w:rsidR="00693ED0" w:rsidRPr="008F6E6A" w:rsidRDefault="00693ED0">
            <w:pPr>
              <w:ind w:right="-29"/>
              <w:jc w:val="center"/>
              <w:rPr>
                <w:noProof/>
                <w:sz w:val="18"/>
                <w:szCs w:val="18"/>
              </w:rPr>
            </w:pPr>
          </w:p>
        </w:tc>
        <w:tc>
          <w:tcPr>
            <w:tcW w:w="720" w:type="dxa"/>
            <w:gridSpan w:val="2"/>
          </w:tcPr>
          <w:p w:rsidR="00693ED0" w:rsidRPr="008F6E6A" w:rsidRDefault="00693ED0">
            <w:pPr>
              <w:ind w:right="-29"/>
              <w:jc w:val="center"/>
              <w:rPr>
                <w:noProof/>
                <w:sz w:val="18"/>
                <w:szCs w:val="18"/>
              </w:rPr>
            </w:pPr>
          </w:p>
        </w:tc>
        <w:tc>
          <w:tcPr>
            <w:tcW w:w="540" w:type="dxa"/>
          </w:tcPr>
          <w:p w:rsidR="00693ED0" w:rsidRPr="008F6E6A" w:rsidRDefault="00693ED0">
            <w:pPr>
              <w:ind w:right="-29"/>
              <w:jc w:val="center"/>
              <w:rPr>
                <w:noProof/>
                <w:sz w:val="18"/>
                <w:szCs w:val="18"/>
              </w:rPr>
            </w:pPr>
          </w:p>
        </w:tc>
        <w:tc>
          <w:tcPr>
            <w:tcW w:w="648" w:type="dxa"/>
          </w:tcPr>
          <w:p w:rsidR="00693ED0" w:rsidRPr="008F6E6A" w:rsidRDefault="00693ED0">
            <w:pPr>
              <w:ind w:right="-29"/>
              <w:jc w:val="center"/>
              <w:rPr>
                <w:noProof/>
                <w:sz w:val="18"/>
                <w:szCs w:val="18"/>
              </w:rPr>
            </w:pPr>
          </w:p>
        </w:tc>
        <w:tc>
          <w:tcPr>
            <w:tcW w:w="432"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54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720" w:type="dxa"/>
          </w:tcPr>
          <w:p w:rsidR="00693ED0" w:rsidRPr="008F6E6A" w:rsidRDefault="00693ED0">
            <w:pPr>
              <w:ind w:right="-29"/>
              <w:jc w:val="center"/>
              <w:rPr>
                <w:noProof/>
                <w:sz w:val="18"/>
                <w:szCs w:val="18"/>
              </w:rPr>
            </w:pPr>
          </w:p>
        </w:tc>
        <w:tc>
          <w:tcPr>
            <w:tcW w:w="900" w:type="dxa"/>
          </w:tcPr>
          <w:p w:rsidR="00693ED0" w:rsidRPr="008F6E6A" w:rsidRDefault="00693ED0">
            <w:pPr>
              <w:ind w:right="-29"/>
              <w:jc w:val="center"/>
              <w:rPr>
                <w:noProof/>
                <w:sz w:val="18"/>
                <w:szCs w:val="18"/>
              </w:rPr>
            </w:pPr>
          </w:p>
        </w:tc>
      </w:tr>
      <w:tr w:rsidR="00693ED0" w:rsidRPr="008F6E6A" w:rsidTr="17618B6F">
        <w:trPr>
          <w:jc w:val="center"/>
        </w:trPr>
        <w:tc>
          <w:tcPr>
            <w:tcW w:w="2844" w:type="dxa"/>
            <w:gridSpan w:val="3"/>
            <w:tcBorders>
              <w:bottom w:val="single" w:sz="12" w:space="0" w:color="auto"/>
            </w:tcBorders>
            <w:vAlign w:val="center"/>
          </w:tcPr>
          <w:p w:rsidR="00693ED0" w:rsidRPr="008F6E6A" w:rsidRDefault="00693ED0">
            <w:pPr>
              <w:jc w:val="center"/>
              <w:rPr>
                <w:noProof/>
                <w:sz w:val="18"/>
                <w:szCs w:val="18"/>
              </w:rPr>
            </w:pPr>
            <w:r w:rsidRPr="008F6E6A">
              <w:rPr>
                <w:noProof/>
                <w:sz w:val="18"/>
              </w:rPr>
              <w:t>Subtotal for specific objective No 2</w:t>
            </w:r>
          </w:p>
        </w:tc>
        <w:tc>
          <w:tcPr>
            <w:tcW w:w="504"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54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951" w:type="dxa"/>
            <w:gridSpan w:val="2"/>
            <w:tcBorders>
              <w:bottom w:val="single" w:sz="12" w:space="0" w:color="auto"/>
            </w:tcBorders>
          </w:tcPr>
          <w:p w:rsidR="00693ED0" w:rsidRPr="008F6E6A" w:rsidRDefault="00693ED0">
            <w:pPr>
              <w:ind w:right="-29"/>
              <w:jc w:val="center"/>
              <w:rPr>
                <w:noProof/>
                <w:sz w:val="18"/>
                <w:szCs w:val="18"/>
              </w:rPr>
            </w:pPr>
          </w:p>
        </w:tc>
        <w:tc>
          <w:tcPr>
            <w:tcW w:w="669" w:type="dxa"/>
            <w:tcBorders>
              <w:bottom w:val="single" w:sz="12" w:space="0" w:color="auto"/>
            </w:tcBorders>
          </w:tcPr>
          <w:p w:rsidR="00693ED0" w:rsidRPr="008F6E6A" w:rsidRDefault="00693ED0">
            <w:pPr>
              <w:ind w:right="-29"/>
              <w:jc w:val="center"/>
              <w:rPr>
                <w:noProof/>
                <w:sz w:val="18"/>
                <w:szCs w:val="18"/>
              </w:rPr>
            </w:pPr>
          </w:p>
        </w:tc>
        <w:tc>
          <w:tcPr>
            <w:tcW w:w="540" w:type="dxa"/>
            <w:tcBorders>
              <w:bottom w:val="single" w:sz="12" w:space="0" w:color="auto"/>
            </w:tcBorders>
          </w:tcPr>
          <w:p w:rsidR="00693ED0" w:rsidRPr="008F6E6A" w:rsidRDefault="00693ED0">
            <w:pPr>
              <w:ind w:right="-29"/>
              <w:jc w:val="center"/>
              <w:rPr>
                <w:noProof/>
                <w:sz w:val="18"/>
                <w:szCs w:val="18"/>
              </w:rPr>
            </w:pPr>
          </w:p>
        </w:tc>
        <w:tc>
          <w:tcPr>
            <w:tcW w:w="648" w:type="dxa"/>
            <w:tcBorders>
              <w:bottom w:val="single" w:sz="12" w:space="0" w:color="auto"/>
            </w:tcBorders>
          </w:tcPr>
          <w:p w:rsidR="00693ED0" w:rsidRPr="008F6E6A" w:rsidRDefault="00693ED0">
            <w:pPr>
              <w:ind w:right="-29"/>
              <w:jc w:val="center"/>
              <w:rPr>
                <w:noProof/>
                <w:sz w:val="18"/>
                <w:szCs w:val="18"/>
              </w:rPr>
            </w:pPr>
          </w:p>
        </w:tc>
        <w:tc>
          <w:tcPr>
            <w:tcW w:w="432"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54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720" w:type="dxa"/>
            <w:tcBorders>
              <w:bottom w:val="single" w:sz="12" w:space="0" w:color="auto"/>
            </w:tcBorders>
          </w:tcPr>
          <w:p w:rsidR="00693ED0" w:rsidRPr="008F6E6A" w:rsidRDefault="00693ED0">
            <w:pPr>
              <w:ind w:right="-29"/>
              <w:jc w:val="center"/>
              <w:rPr>
                <w:noProof/>
                <w:sz w:val="18"/>
                <w:szCs w:val="18"/>
              </w:rPr>
            </w:pPr>
          </w:p>
        </w:tc>
        <w:tc>
          <w:tcPr>
            <w:tcW w:w="900" w:type="dxa"/>
            <w:tcBorders>
              <w:bottom w:val="single" w:sz="12" w:space="0" w:color="auto"/>
            </w:tcBorders>
          </w:tcPr>
          <w:p w:rsidR="00693ED0" w:rsidRPr="008F6E6A" w:rsidRDefault="00693ED0">
            <w:pPr>
              <w:ind w:right="-29"/>
              <w:jc w:val="center"/>
              <w:rPr>
                <w:noProof/>
                <w:sz w:val="18"/>
                <w:szCs w:val="18"/>
              </w:rPr>
            </w:pPr>
          </w:p>
        </w:tc>
      </w:tr>
      <w:tr w:rsidR="00693ED0" w:rsidRPr="008F6E6A"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8F6E6A" w:rsidRDefault="00693ED0">
            <w:pPr>
              <w:ind w:right="-29"/>
              <w:jc w:val="center"/>
              <w:rPr>
                <w:noProof/>
                <w:sz w:val="18"/>
                <w:szCs w:val="18"/>
              </w:rPr>
            </w:pPr>
            <w:r w:rsidRPr="008F6E6A">
              <w:rPr>
                <w:b/>
                <w:noProof/>
                <w:sz w:val="18"/>
              </w:rPr>
              <w:t>TOTALS</w:t>
            </w:r>
          </w:p>
        </w:tc>
        <w:tc>
          <w:tcPr>
            <w:tcW w:w="504"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8F6E6A"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8F6E6A" w:rsidRDefault="00693ED0">
            <w:pPr>
              <w:spacing w:before="180" w:after="180"/>
              <w:ind w:right="-29"/>
              <w:jc w:val="center"/>
              <w:rPr>
                <w:noProof/>
                <w:sz w:val="18"/>
                <w:szCs w:val="18"/>
              </w:rPr>
            </w:pPr>
          </w:p>
        </w:tc>
      </w:tr>
    </w:tbl>
    <w:p w:rsidR="00693ED0" w:rsidRPr="008F6E6A" w:rsidRDefault="00693ED0" w:rsidP="00693ED0">
      <w:pPr>
        <w:rPr>
          <w:noProof/>
        </w:rPr>
        <w:sectPr w:rsidR="00693ED0" w:rsidRPr="008F6E6A" w:rsidSect="00A05E51">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8F6E6A"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8F6E6A">
        <w:rPr>
          <w:noProof/>
        </w:rPr>
        <w:t>3.2.3.</w:t>
      </w:r>
      <w:r w:rsidRPr="008F6E6A">
        <w:rPr>
          <w:noProof/>
        </w:rPr>
        <w:tab/>
        <w:t>Summary of estimated impact on administrative appropriations</w:t>
      </w:r>
      <w:bookmarkEnd w:id="154"/>
      <w:bookmarkEnd w:id="155"/>
      <w:bookmarkEnd w:id="156"/>
      <w:bookmarkEnd w:id="157"/>
      <w:bookmarkEnd w:id="158"/>
      <w:r w:rsidRPr="008F6E6A">
        <w:rPr>
          <w:noProof/>
        </w:rPr>
        <w:t xml:space="preserve"> </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 xml:space="preserve">The proposal/initiative does not require the use of appropriations of an administrative nature </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The proposal/initiative requires the use of appropriations of an administrative nature, as explained below</w:t>
      </w:r>
    </w:p>
    <w:p w:rsidR="00693ED0" w:rsidRPr="008F6E6A" w:rsidRDefault="00693ED0" w:rsidP="00693ED0">
      <w:pPr>
        <w:pStyle w:val="ManualHeading3"/>
        <w:rPr>
          <w:noProof/>
        </w:rPr>
      </w:pPr>
      <w:bookmarkStart w:id="159" w:name="_Toc167220291"/>
      <w:bookmarkStart w:id="160" w:name="_Toc177549024"/>
      <w:r w:rsidRPr="008F6E6A">
        <w:rPr>
          <w:noProof/>
        </w:rPr>
        <w:t xml:space="preserve">3.2.3.1. Appropriations </w:t>
      </w:r>
      <w:r w:rsidRPr="008F6E6A">
        <w:rPr>
          <w:rFonts w:eastAsia="Calibri"/>
          <w:noProof/>
        </w:rPr>
        <w:t>from</w:t>
      </w:r>
      <w:r w:rsidRPr="008F6E6A">
        <w:rPr>
          <w:noProof/>
        </w:rPr>
        <w:t xml:space="preserve"> voted budget</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8F6E6A">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VOTED APPROPRIATIONS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TOTAL 2021 - 2027</w:t>
            </w:r>
          </w:p>
        </w:tc>
      </w:tr>
      <w:tr w:rsidR="00693ED0" w:rsidRPr="008F6E6A">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b/>
                <w:bCs/>
                <w:noProof/>
                <w:color w:val="000000"/>
                <w:sz w:val="18"/>
                <w:szCs w:val="18"/>
                <w:lang w:eastAsia="en-IE"/>
              </w:rPr>
            </w:pPr>
          </w:p>
        </w:tc>
      </w:tr>
      <w:tr w:rsidR="00693ED0" w:rsidRPr="008F6E6A">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b/>
                <w:bCs/>
                <w:noProof/>
                <w:sz w:val="16"/>
                <w:szCs w:val="16"/>
                <w:lang w:eastAsia="en-IE"/>
              </w:rPr>
            </w:pPr>
            <w:r w:rsidRPr="008F6E6A">
              <w:rPr>
                <w:b/>
                <w:bCs/>
                <w:noProof/>
                <w:sz w:val="16"/>
                <w:szCs w:val="16"/>
                <w:lang w:eastAsia="en-IE"/>
              </w:rPr>
              <w:t>HEADING 7</w:t>
            </w:r>
          </w:p>
        </w:tc>
      </w:tr>
      <w:tr w:rsidR="00693ED0" w:rsidRPr="008F6E6A">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 xml:space="preserve">Other administrative expenditure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Subtotal HEADING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b/>
                <w:bCs/>
                <w:noProof/>
                <w:sz w:val="16"/>
                <w:szCs w:val="16"/>
                <w:lang w:eastAsia="en-IE"/>
              </w:rPr>
            </w:pPr>
            <w:r w:rsidRPr="008F6E6A">
              <w:rPr>
                <w:b/>
                <w:bCs/>
                <w:noProof/>
                <w:sz w:val="16"/>
                <w:szCs w:val="16"/>
                <w:lang w:eastAsia="en-IE"/>
              </w:rPr>
              <w:t>Outside HEADING 7</w:t>
            </w:r>
          </w:p>
        </w:tc>
      </w:tr>
      <w:tr w:rsidR="00693ED0" w:rsidRPr="008F6E6A">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Other expenditure of an administrative nature</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Subtotal outside HEADING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 </w:t>
            </w:r>
          </w:p>
        </w:tc>
      </w:tr>
      <w:tr w:rsidR="00693ED0" w:rsidRPr="008F6E6A">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TOTAL</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bl>
    <w:p w:rsidR="00693ED0" w:rsidRPr="008F6E6A" w:rsidRDefault="00693ED0" w:rsidP="00693ED0">
      <w:pPr>
        <w:pStyle w:val="ManualHeading3"/>
        <w:rPr>
          <w:noProof/>
        </w:rPr>
      </w:pPr>
      <w:bookmarkStart w:id="161" w:name="_Toc167220293"/>
      <w:bookmarkStart w:id="162" w:name="_Toc177549026"/>
      <w:r w:rsidRPr="008F6E6A">
        <w:rPr>
          <w:noProof/>
        </w:rPr>
        <w:t>3.2.3.3.</w:t>
      </w:r>
      <w:r w:rsidRPr="008F6E6A">
        <w:rPr>
          <w:noProof/>
        </w:rPr>
        <w:tab/>
        <w:t>Total appropriations</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8F6E6A">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TOTAL</w:t>
            </w:r>
            <w:r w:rsidRPr="008F6E6A">
              <w:rPr>
                <w:b/>
                <w:bCs/>
                <w:noProof/>
                <w:color w:val="000000"/>
                <w:sz w:val="18"/>
                <w:szCs w:val="18"/>
                <w:lang w:eastAsia="en-IE"/>
              </w:rPr>
              <w:br/>
              <w:t>VOTED APPROPRIATIONS</w:t>
            </w:r>
            <w:r w:rsidR="00601BCE" w:rsidRPr="008F6E6A">
              <w:rPr>
                <w:b/>
                <w:bCs/>
                <w:noProof/>
                <w:color w:val="000000"/>
                <w:sz w:val="18"/>
                <w:szCs w:val="18"/>
                <w:lang w:eastAsia="en-IE"/>
              </w:rPr>
              <w:t xml:space="preserve">              </w:t>
            </w:r>
            <w:r w:rsidRPr="008F6E6A">
              <w:rPr>
                <w:b/>
                <w:bCs/>
                <w:noProof/>
                <w:color w:val="000000"/>
                <w:sz w:val="18"/>
                <w:szCs w:val="18"/>
                <w:lang w:eastAsia="en-IE"/>
              </w:rPr>
              <w:t>+</w:t>
            </w:r>
            <w:r w:rsidR="00601BCE" w:rsidRPr="008F6E6A">
              <w:rPr>
                <w:b/>
                <w:bCs/>
                <w:noProof/>
                <w:color w:val="000000"/>
                <w:sz w:val="18"/>
                <w:szCs w:val="18"/>
                <w:lang w:eastAsia="en-IE"/>
              </w:rPr>
              <w:t xml:space="preserve">                               </w:t>
            </w:r>
            <w:r w:rsidRPr="008F6E6A">
              <w:rPr>
                <w:b/>
                <w:bCs/>
                <w:noProof/>
                <w:color w:val="000000"/>
                <w:sz w:val="18"/>
                <w:szCs w:val="18"/>
                <w:lang w:eastAsia="en-IE"/>
              </w:rPr>
              <w:t xml:space="preserve"> EXTERNAL ASSIGNED REVENUES</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18"/>
                <w:szCs w:val="18"/>
                <w:lang w:eastAsia="en-IE"/>
              </w:rPr>
            </w:pPr>
            <w:r w:rsidRPr="008F6E6A">
              <w:rPr>
                <w:noProof/>
                <w:color w:val="000000"/>
                <w:sz w:val="18"/>
                <w:szCs w:val="18"/>
                <w:lang w:eastAsia="en-IE"/>
              </w:rPr>
              <w:t>Year</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TOTAL 2021 - 2027</w:t>
            </w:r>
          </w:p>
        </w:tc>
      </w:tr>
      <w:tr w:rsidR="00693ED0" w:rsidRPr="008F6E6A">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b/>
                <w:bCs/>
                <w:noProof/>
                <w:color w:val="000000"/>
                <w:sz w:val="18"/>
                <w:szCs w:val="18"/>
                <w:lang w:eastAsia="en-IE"/>
              </w:rPr>
            </w:pPr>
          </w:p>
        </w:tc>
      </w:tr>
      <w:tr w:rsidR="00693ED0" w:rsidRPr="008F6E6A">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b/>
                <w:bCs/>
                <w:noProof/>
                <w:sz w:val="16"/>
                <w:szCs w:val="16"/>
                <w:lang w:eastAsia="en-IE"/>
              </w:rPr>
            </w:pPr>
            <w:r w:rsidRPr="008F6E6A">
              <w:rPr>
                <w:b/>
                <w:bCs/>
                <w:noProof/>
                <w:sz w:val="16"/>
                <w:szCs w:val="16"/>
                <w:lang w:eastAsia="en-IE"/>
              </w:rPr>
              <w:t>HEADING 7</w:t>
            </w:r>
          </w:p>
        </w:tc>
      </w:tr>
      <w:tr w:rsidR="00693ED0" w:rsidRPr="008F6E6A">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 xml:space="preserve">Human resources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 xml:space="preserve">Other administrative expenditure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Subtotal HEADING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b/>
                <w:bCs/>
                <w:noProof/>
                <w:sz w:val="16"/>
                <w:szCs w:val="16"/>
                <w:lang w:eastAsia="en-IE"/>
              </w:rPr>
            </w:pPr>
            <w:r w:rsidRPr="008F6E6A">
              <w:rPr>
                <w:b/>
                <w:bCs/>
                <w:noProof/>
                <w:sz w:val="16"/>
                <w:szCs w:val="16"/>
                <w:lang w:eastAsia="en-IE"/>
              </w:rPr>
              <w:t>Outside HEADING 7</w:t>
            </w:r>
          </w:p>
        </w:tc>
      </w:tr>
      <w:tr w:rsidR="00693ED0" w:rsidRPr="008F6E6A">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 xml:space="preserve">Human resources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left"/>
              <w:rPr>
                <w:noProof/>
                <w:color w:val="000000"/>
                <w:sz w:val="16"/>
                <w:szCs w:val="16"/>
                <w:lang w:eastAsia="en-IE"/>
              </w:rPr>
            </w:pPr>
            <w:r w:rsidRPr="008F6E6A">
              <w:rPr>
                <w:noProof/>
                <w:color w:val="000000"/>
                <w:sz w:val="16"/>
                <w:szCs w:val="16"/>
                <w:lang w:eastAsia="en-IE"/>
              </w:rPr>
              <w:t>Other expenditure of an administrative nature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noProof/>
                <w:color w:val="000000"/>
                <w:sz w:val="16"/>
                <w:szCs w:val="16"/>
                <w:lang w:eastAsia="en-IE"/>
              </w:rPr>
            </w:pPr>
            <w:r w:rsidRPr="008F6E6A">
              <w:rPr>
                <w:noProof/>
                <w:color w:val="000000"/>
                <w:sz w:val="16"/>
                <w:szCs w:val="16"/>
                <w:lang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Subtotal outside HEADING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r w:rsidR="00693ED0" w:rsidRPr="008F6E6A">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 </w:t>
            </w:r>
          </w:p>
        </w:tc>
      </w:tr>
      <w:tr w:rsidR="00693ED0" w:rsidRPr="008F6E6A">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TOTAL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8F6E6A" w:rsidRDefault="00693ED0">
            <w:pPr>
              <w:spacing w:before="0" w:after="0"/>
              <w:jc w:val="right"/>
              <w:rPr>
                <w:b/>
                <w:bCs/>
                <w:noProof/>
                <w:color w:val="000000"/>
                <w:sz w:val="16"/>
                <w:szCs w:val="16"/>
                <w:lang w:eastAsia="en-IE"/>
              </w:rPr>
            </w:pPr>
            <w:r w:rsidRPr="008F6E6A">
              <w:rPr>
                <w:b/>
                <w:bCs/>
                <w:noProof/>
                <w:color w:val="000000"/>
                <w:sz w:val="16"/>
                <w:szCs w:val="16"/>
                <w:lang w:eastAsia="en-IE"/>
              </w:rPr>
              <w:t>0.000</w:t>
            </w:r>
          </w:p>
        </w:tc>
      </w:tr>
    </w:tbl>
    <w:p w:rsidR="00693ED0" w:rsidRPr="008F6E6A" w:rsidRDefault="00693ED0" w:rsidP="00693ED0">
      <w:pPr>
        <w:rPr>
          <w:noProof/>
          <w:sz w:val="22"/>
          <w:szCs w:val="28"/>
        </w:rPr>
      </w:pPr>
      <w:r w:rsidRPr="008F6E6A">
        <w:rPr>
          <w:noProof/>
          <w:sz w:val="22"/>
          <w:szCs w:val="2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693ED0" w:rsidRPr="008F6E6A" w:rsidRDefault="00693ED0" w:rsidP="00693ED0">
      <w:pPr>
        <w:pStyle w:val="ManualHeading3"/>
        <w:rPr>
          <w:bCs/>
          <w:noProof/>
          <w:szCs w:val="24"/>
        </w:rPr>
      </w:pPr>
      <w:bookmarkStart w:id="163" w:name="_Toc167220294"/>
      <w:bookmarkStart w:id="164" w:name="_Toc177549027"/>
      <w:r w:rsidRPr="008F6E6A">
        <w:rPr>
          <w:noProof/>
        </w:rPr>
        <w:t>3.2.4.</w:t>
      </w:r>
      <w:r w:rsidRPr="008F6E6A">
        <w:rPr>
          <w:noProof/>
        </w:rPr>
        <w:tab/>
        <w:t>Estimated requirements of human resources</w:t>
      </w:r>
      <w:bookmarkEnd w:id="163"/>
      <w:bookmarkEnd w:id="164"/>
      <w:r w:rsidRPr="008F6E6A">
        <w:rPr>
          <w:noProof/>
        </w:rPr>
        <w:t xml:space="preserve"> </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 xml:space="preserve">The proposal/initiative does not require the use of human resources </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The proposal/initiative requires the use of human resources, as explained below</w:t>
      </w:r>
    </w:p>
    <w:p w:rsidR="00693ED0" w:rsidRPr="008F6E6A" w:rsidRDefault="00693ED0" w:rsidP="00693ED0">
      <w:pPr>
        <w:pStyle w:val="ManualHeading3"/>
        <w:rPr>
          <w:noProof/>
        </w:rPr>
      </w:pPr>
      <w:bookmarkStart w:id="165" w:name="_Toc167220295"/>
      <w:bookmarkStart w:id="166" w:name="_Toc177549028"/>
      <w:r w:rsidRPr="008F6E6A">
        <w:rPr>
          <w:noProof/>
        </w:rPr>
        <w:t>3.2.4.1.</w:t>
      </w:r>
      <w:r w:rsidRPr="008F6E6A">
        <w:rPr>
          <w:noProof/>
        </w:rPr>
        <w:tab/>
        <w:t>Financed from voted budget</w:t>
      </w:r>
      <w:bookmarkEnd w:id="165"/>
      <w:bookmarkEnd w:id="166"/>
    </w:p>
    <w:p w:rsidR="00693ED0" w:rsidRPr="008F6E6A" w:rsidRDefault="00693ED0" w:rsidP="00693ED0">
      <w:pPr>
        <w:spacing w:after="60"/>
        <w:jc w:val="right"/>
        <w:rPr>
          <w:i/>
          <w:noProof/>
          <w:sz w:val="20"/>
        </w:rPr>
      </w:pPr>
      <w:r w:rsidRPr="008F6E6A">
        <w:rPr>
          <w:i/>
          <w:iCs/>
          <w:noProof/>
          <w:sz w:val="20"/>
          <w:szCs w:val="20"/>
        </w:rPr>
        <w:t>Estimate to be expressed in full-time equivalent units (FTEs)</w:t>
      </w:r>
      <w:r w:rsidRPr="008F6E6A">
        <w:rPr>
          <w:rStyle w:val="FootnoteReference"/>
          <w:i/>
          <w:iCs/>
          <w:noProof/>
          <w:sz w:val="20"/>
          <w:szCs w:val="20"/>
        </w:rPr>
        <w:footnoteReference w:id="26"/>
      </w:r>
    </w:p>
    <w:p w:rsidR="00693ED0" w:rsidRPr="008F6E6A"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8F6E6A">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VOTED APPROPRIATIONS</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r>
      <w:tr w:rsidR="00693ED0" w:rsidRPr="008F6E6A">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8F6E6A"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r>
      <w:tr w:rsidR="00693ED0" w:rsidRPr="008F6E6A">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rFonts w:ascii="Wingdings" w:hAnsi="Wingdings" w:cs="Calibri"/>
                <w:b/>
                <w:bCs/>
                <w:noProof/>
                <w:color w:val="000000"/>
                <w:sz w:val="16"/>
                <w:szCs w:val="16"/>
                <w:lang w:eastAsia="en-IE"/>
              </w:rPr>
            </w:pPr>
            <w:r w:rsidRPr="008F6E6A">
              <w:rPr>
                <w:rFonts w:ascii="Wingdings" w:hAnsi="Wingdings" w:cs="Calibri"/>
                <w:b/>
                <w:bCs/>
                <w:noProof/>
                <w:color w:val="000000"/>
                <w:sz w:val="16"/>
                <w:szCs w:val="16"/>
                <w:lang w:eastAsia="en-IE"/>
              </w:rPr>
              <w:t></w:t>
            </w:r>
            <w:r w:rsidRPr="008F6E6A">
              <w:rPr>
                <w:b/>
                <w:bCs/>
                <w:noProof/>
                <w:color w:val="000000"/>
                <w:sz w:val="16"/>
                <w:szCs w:val="16"/>
                <w:lang w:eastAsia="en-IE"/>
              </w:rPr>
              <w:t xml:space="preserve"> Establishment plan posts (officials and temporary staff)</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20 01 02 01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(Headquarters and Commission’s Representation Offices)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01 02 03 (EU Delegations)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11 (Direct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rFonts w:ascii="Wingdings" w:hAnsi="Wingdings" w:cs="Calibri"/>
                <w:b/>
                <w:bCs/>
                <w:noProof/>
                <w:color w:val="000000"/>
                <w:sz w:val="16"/>
                <w:szCs w:val="16"/>
                <w:lang w:eastAsia="en-IE"/>
              </w:rPr>
            </w:pPr>
            <w:r w:rsidRPr="008F6E6A">
              <w:rPr>
                <w:rFonts w:ascii="Calibri" w:hAnsi="Calibri" w:cs="Calibri"/>
                <w:b/>
                <w:bCs/>
                <w:noProof/>
                <w:color w:val="000000"/>
                <w:sz w:val="16"/>
                <w:szCs w:val="16"/>
                <w:lang w:eastAsia="en-IE"/>
              </w:rPr>
              <w:t>•</w:t>
            </w:r>
            <w:r w:rsidRPr="008F6E6A">
              <w:rPr>
                <w:b/>
                <w:bCs/>
                <w:noProof/>
                <w:color w:val="000000"/>
                <w:sz w:val="16"/>
                <w:szCs w:val="16"/>
                <w:lang w:eastAsia="en-IE"/>
              </w:rPr>
              <w:t xml:space="preserve"> External staff (inFTEs)</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20 02 01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(AC, END from the ‘global envelope’)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02 03 (AC, AL, END and JPD in the EU Delegations)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Admin. Support line</w:t>
            </w:r>
            <w:r w:rsidRPr="008F6E6A">
              <w:rPr>
                <w:noProof/>
                <w:color w:val="000000"/>
                <w:sz w:val="16"/>
                <w:szCs w:val="16"/>
                <w:lang w:eastAsia="en-IE"/>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at Headquarters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xml:space="preserve">- in EU Delegations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01 01 01 02</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(AC, END - 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xml:space="preserve"> 01 01 01 12 (AC, END - 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 - Heading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 - Outside Heading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b/>
                <w:bCs/>
                <w:noProof/>
                <w:color w:val="000000"/>
                <w:sz w:val="16"/>
                <w:szCs w:val="16"/>
                <w:lang w:eastAsia="en-IE"/>
              </w:rPr>
            </w:pPr>
            <w:r w:rsidRPr="008F6E6A">
              <w:rPr>
                <w:b/>
                <w:bCs/>
                <w:noProof/>
                <w:color w:val="000000"/>
                <w:sz w:val="16"/>
                <w:szCs w:val="16"/>
                <w:lang w:eastAsia="en-IE"/>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r>
    </w:tbl>
    <w:p w:rsidR="00693ED0" w:rsidRPr="008F6E6A" w:rsidRDefault="00693ED0" w:rsidP="00693ED0">
      <w:pPr>
        <w:pStyle w:val="ManualHeading3"/>
        <w:rPr>
          <w:noProof/>
        </w:rPr>
      </w:pPr>
      <w:bookmarkStart w:id="168" w:name="_Toc167220296"/>
      <w:bookmarkStart w:id="169" w:name="_Toc177549029"/>
      <w:r w:rsidRPr="008F6E6A">
        <w:rPr>
          <w:noProof/>
        </w:rPr>
        <w:t>3.2.4.2.</w:t>
      </w:r>
      <w:r w:rsidRPr="008F6E6A">
        <w:rPr>
          <w:noProof/>
        </w:rPr>
        <w:tab/>
        <w:t>Financed from external assigned revenues</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8F6E6A">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EXTERNAL ASSIGNED REVENUES</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522" w:type="pct"/>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r>
      <w:tr w:rsidR="00693ED0" w:rsidRPr="008F6E6A">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8F6E6A"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r>
      <w:tr w:rsidR="00693ED0" w:rsidRPr="008F6E6A">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rFonts w:ascii="Wingdings" w:hAnsi="Wingdings" w:cs="Calibri"/>
                <w:b/>
                <w:bCs/>
                <w:noProof/>
                <w:color w:val="000000"/>
                <w:sz w:val="16"/>
                <w:szCs w:val="16"/>
                <w:lang w:eastAsia="en-IE"/>
              </w:rPr>
            </w:pPr>
            <w:r w:rsidRPr="008F6E6A">
              <w:rPr>
                <w:rFonts w:ascii="Wingdings" w:hAnsi="Wingdings" w:cs="Calibri"/>
                <w:b/>
                <w:bCs/>
                <w:noProof/>
                <w:color w:val="000000"/>
                <w:sz w:val="16"/>
                <w:szCs w:val="16"/>
                <w:lang w:eastAsia="en-IE"/>
              </w:rPr>
              <w:t></w:t>
            </w:r>
            <w:r w:rsidRPr="008F6E6A">
              <w:rPr>
                <w:b/>
                <w:bCs/>
                <w:noProof/>
                <w:color w:val="000000"/>
                <w:sz w:val="16"/>
                <w:szCs w:val="16"/>
                <w:lang w:eastAsia="en-IE"/>
              </w:rPr>
              <w:t xml:space="preserve"> Establishment plan posts (officials and temporary staff)</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20 01 02 01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(Headquarters and Commission’s Representation Offices)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01 02 03 (EU Delegations)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01 (Indirect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11 (Direct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rFonts w:ascii="Wingdings" w:hAnsi="Wingdings" w:cs="Calibri"/>
                <w:b/>
                <w:bCs/>
                <w:noProof/>
                <w:color w:val="000000"/>
                <w:sz w:val="16"/>
                <w:szCs w:val="16"/>
                <w:lang w:eastAsia="en-IE"/>
              </w:rPr>
            </w:pPr>
            <w:r w:rsidRPr="008F6E6A">
              <w:rPr>
                <w:rFonts w:ascii="Calibri" w:hAnsi="Calibri" w:cs="Calibri"/>
                <w:b/>
                <w:bCs/>
                <w:noProof/>
                <w:color w:val="000000"/>
                <w:sz w:val="16"/>
                <w:szCs w:val="16"/>
                <w:lang w:eastAsia="en-IE"/>
              </w:rPr>
              <w:t>•</w:t>
            </w:r>
            <w:r w:rsidRPr="008F6E6A">
              <w:rPr>
                <w:b/>
                <w:bCs/>
                <w:noProof/>
                <w:color w:val="000000"/>
                <w:sz w:val="16"/>
                <w:szCs w:val="16"/>
                <w:lang w:eastAsia="en-IE"/>
              </w:rPr>
              <w:t xml:space="preserve"> External staff (in full time equivalent units)</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20 02 01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(AC, END from the ‘global envelope’)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02 03 (AC, AL, END and JPD in the EU Delegations)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 xml:space="preserve">Admin. Support line </w:t>
            </w:r>
            <w:r w:rsidRPr="008F6E6A">
              <w:rPr>
                <w:noProof/>
                <w:color w:val="000000"/>
                <w:sz w:val="16"/>
                <w:szCs w:val="16"/>
                <w:lang w:eastAsia="en-IE"/>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at Headquarters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xml:space="preserve">- in EU Delegations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01 01 01 02</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(AC, END - Indirect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xml:space="preserve"> 01 01 01 12 (AC, END - Direct research)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 - Heading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 - Outside Heading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b/>
                <w:bCs/>
                <w:noProof/>
                <w:color w:val="000000"/>
                <w:sz w:val="16"/>
                <w:szCs w:val="16"/>
                <w:lang w:eastAsia="en-IE"/>
              </w:rPr>
            </w:pPr>
            <w:r w:rsidRPr="008F6E6A">
              <w:rPr>
                <w:b/>
                <w:bCs/>
                <w:noProof/>
                <w:color w:val="000000"/>
                <w:sz w:val="16"/>
                <w:szCs w:val="16"/>
                <w:lang w:eastAsia="en-IE"/>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r>
    </w:tbl>
    <w:p w:rsidR="00693ED0" w:rsidRPr="008F6E6A" w:rsidRDefault="00693ED0" w:rsidP="00693ED0">
      <w:pPr>
        <w:pStyle w:val="ManualHeading3"/>
        <w:rPr>
          <w:noProof/>
        </w:rPr>
      </w:pPr>
      <w:bookmarkStart w:id="170" w:name="_Toc167220297"/>
      <w:bookmarkStart w:id="171" w:name="_Toc177549030"/>
      <w:r w:rsidRPr="008F6E6A">
        <w:rPr>
          <w:noProof/>
        </w:rPr>
        <w:t>3.2.4.3.</w:t>
      </w:r>
      <w:r w:rsidRPr="008F6E6A">
        <w:rPr>
          <w:noProof/>
        </w:rPr>
        <w:tab/>
        <w:t>Total requirements of human resources</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8F6E6A">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8F6E6A" w:rsidRDefault="00693ED0">
            <w:pPr>
              <w:spacing w:before="0" w:after="0"/>
              <w:jc w:val="center"/>
              <w:rPr>
                <w:b/>
                <w:bCs/>
                <w:noProof/>
                <w:color w:val="000000"/>
                <w:sz w:val="18"/>
                <w:szCs w:val="18"/>
                <w:lang w:eastAsia="en-IE"/>
              </w:rPr>
            </w:pPr>
            <w:r w:rsidRPr="008F6E6A">
              <w:rPr>
                <w:b/>
                <w:bCs/>
                <w:noProof/>
                <w:color w:val="000000"/>
                <w:sz w:val="18"/>
                <w:szCs w:val="18"/>
                <w:lang w:eastAsia="en-IE"/>
              </w:rPr>
              <w:t>TOTAL VOTED APPROPRIATIONS</w:t>
            </w:r>
            <w:r w:rsidR="00601BCE" w:rsidRPr="008F6E6A">
              <w:rPr>
                <w:b/>
                <w:bCs/>
                <w:noProof/>
                <w:color w:val="000000"/>
                <w:sz w:val="18"/>
                <w:szCs w:val="18"/>
                <w:lang w:eastAsia="en-IE"/>
              </w:rPr>
              <w:t xml:space="preserve">                         </w:t>
            </w:r>
            <w:r w:rsidRPr="008F6E6A">
              <w:rPr>
                <w:b/>
                <w:bCs/>
                <w:noProof/>
                <w:color w:val="000000"/>
                <w:sz w:val="18"/>
                <w:szCs w:val="18"/>
                <w:lang w:eastAsia="en-IE"/>
              </w:rPr>
              <w:t xml:space="preserve"> +</w:t>
            </w:r>
            <w:r w:rsidR="00601BCE" w:rsidRPr="008F6E6A">
              <w:rPr>
                <w:b/>
                <w:bCs/>
                <w:noProof/>
                <w:color w:val="000000"/>
                <w:sz w:val="18"/>
                <w:szCs w:val="18"/>
                <w:lang w:eastAsia="en-IE"/>
              </w:rPr>
              <w:t xml:space="preserve">                                               </w:t>
            </w:r>
            <w:r w:rsidRPr="008F6E6A">
              <w:rPr>
                <w:b/>
                <w:bCs/>
                <w:noProof/>
                <w:color w:val="000000"/>
                <w:sz w:val="18"/>
                <w:szCs w:val="18"/>
                <w:lang w:eastAsia="en-IE"/>
              </w:rPr>
              <w:t xml:space="preserve"> EXTERNAL ASSIGNED REVENUES</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c>
          <w:tcPr>
            <w:tcW w:w="960" w:type="dxa"/>
            <w:tcBorders>
              <w:top w:val="single" w:sz="8" w:space="0" w:color="auto"/>
              <w:left w:val="nil"/>
              <w:bottom w:val="nil"/>
              <w:right w:val="single" w:sz="8" w:space="0" w:color="auto"/>
            </w:tcBorders>
            <w:shd w:val="clear" w:color="auto" w:fill="auto"/>
            <w:vAlign w:val="center"/>
            <w:hideMark/>
          </w:tcPr>
          <w:p w:rsidR="00693ED0" w:rsidRPr="008F6E6A" w:rsidRDefault="00693ED0">
            <w:pPr>
              <w:spacing w:before="0" w:after="0"/>
              <w:jc w:val="center"/>
              <w:rPr>
                <w:noProof/>
                <w:color w:val="000000"/>
                <w:sz w:val="20"/>
                <w:szCs w:val="20"/>
                <w:lang w:eastAsia="en-IE"/>
              </w:rPr>
            </w:pPr>
            <w:r w:rsidRPr="008F6E6A">
              <w:rPr>
                <w:noProof/>
                <w:color w:val="000000"/>
                <w:sz w:val="20"/>
                <w:szCs w:val="20"/>
                <w:lang w:eastAsia="en-IE"/>
              </w:rPr>
              <w:t>Year</w:t>
            </w:r>
          </w:p>
        </w:tc>
      </w:tr>
      <w:tr w:rsidR="00693ED0" w:rsidRPr="008F6E6A">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8F6E6A"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jc w:val="center"/>
              <w:rPr>
                <w:b/>
                <w:bCs/>
                <w:noProof/>
                <w:color w:val="000000"/>
                <w:sz w:val="20"/>
                <w:szCs w:val="20"/>
                <w:lang w:eastAsia="en-IE"/>
              </w:rPr>
            </w:pPr>
            <w:r w:rsidRPr="008F6E6A">
              <w:rPr>
                <w:b/>
                <w:bCs/>
                <w:noProof/>
                <w:color w:val="000000"/>
                <w:sz w:val="20"/>
                <w:szCs w:val="20"/>
                <w:lang w:eastAsia="en-IE"/>
              </w:rPr>
              <w:t>2027</w:t>
            </w:r>
          </w:p>
        </w:tc>
      </w:tr>
      <w:tr w:rsidR="00693ED0" w:rsidRPr="008F6E6A">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rFonts w:ascii="Wingdings" w:hAnsi="Wingdings" w:cs="Calibri"/>
                <w:b/>
                <w:bCs/>
                <w:noProof/>
                <w:color w:val="000000"/>
                <w:sz w:val="16"/>
                <w:szCs w:val="16"/>
                <w:lang w:eastAsia="en-IE"/>
              </w:rPr>
            </w:pPr>
            <w:r w:rsidRPr="008F6E6A">
              <w:rPr>
                <w:rFonts w:ascii="Wingdings" w:hAnsi="Wingdings" w:cs="Calibri"/>
                <w:b/>
                <w:bCs/>
                <w:noProof/>
                <w:color w:val="000000"/>
                <w:sz w:val="16"/>
                <w:szCs w:val="16"/>
                <w:lang w:eastAsia="en-IE"/>
              </w:rPr>
              <w:t></w:t>
            </w:r>
            <w:r w:rsidRPr="008F6E6A">
              <w:rPr>
                <w:b/>
                <w:bCs/>
                <w:noProof/>
                <w:color w:val="000000"/>
                <w:sz w:val="16"/>
                <w:szCs w:val="16"/>
                <w:lang w:eastAsia="en-IE"/>
              </w:rPr>
              <w:t xml:space="preserve"> Establishment plan posts (officials and temporary staff)</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20 01 02 01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(Headquarters and Commission’s Representation Offices)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01 02 03 (EU Delegations)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(Indirect research)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11 (Direct research)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8F6E6A" w:rsidRDefault="00693ED0">
            <w:pPr>
              <w:spacing w:before="0" w:after="0"/>
              <w:jc w:val="left"/>
              <w:rPr>
                <w:rFonts w:ascii="Wingdings" w:hAnsi="Wingdings" w:cs="Calibri"/>
                <w:b/>
                <w:bCs/>
                <w:noProof/>
                <w:color w:val="000000"/>
                <w:sz w:val="16"/>
                <w:szCs w:val="16"/>
                <w:lang w:eastAsia="en-IE"/>
              </w:rPr>
            </w:pPr>
            <w:r w:rsidRPr="008F6E6A">
              <w:rPr>
                <w:rFonts w:ascii="Calibri" w:hAnsi="Calibri" w:cs="Calibri"/>
                <w:b/>
                <w:bCs/>
                <w:noProof/>
                <w:color w:val="000000"/>
                <w:sz w:val="16"/>
                <w:szCs w:val="16"/>
                <w:lang w:eastAsia="en-IE"/>
              </w:rPr>
              <w:t>•</w:t>
            </w:r>
            <w:r w:rsidRPr="008F6E6A">
              <w:rPr>
                <w:b/>
                <w:bCs/>
                <w:noProof/>
                <w:color w:val="000000"/>
                <w:sz w:val="16"/>
                <w:szCs w:val="16"/>
                <w:lang w:eastAsia="en-IE"/>
              </w:rPr>
              <w:t xml:space="preserve"> External staff (in full time equivalent units)</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20 02 01</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(AC, END from the ‘global envelope’)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20 02 03 (AC, AL, END and JPD in the EU Delegations)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 xml:space="preserve">Admin. Support line </w:t>
            </w:r>
            <w:r w:rsidRPr="008F6E6A">
              <w:rPr>
                <w:noProof/>
                <w:color w:val="000000"/>
                <w:sz w:val="16"/>
                <w:szCs w:val="16"/>
                <w:lang w:eastAsia="en-IE"/>
              </w:rPr>
              <w:b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at Headquarters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8F6E6A"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xml:space="preserve">- in EU Delegations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01 01 01 02</w:t>
            </w:r>
            <w:r w:rsidRPr="008F6E6A">
              <w:rPr>
                <w:rFonts w:ascii="Arial Narrow" w:hAnsi="Arial Narrow"/>
                <w:noProof/>
                <w:color w:val="000000"/>
                <w:sz w:val="20"/>
                <w:szCs w:val="20"/>
                <w:lang w:eastAsia="en-IE"/>
              </w:rPr>
              <w:t xml:space="preserve"> </w:t>
            </w:r>
            <w:r w:rsidRPr="008F6E6A">
              <w:rPr>
                <w:noProof/>
                <w:color w:val="000000"/>
                <w:sz w:val="16"/>
                <w:szCs w:val="16"/>
                <w:lang w:eastAsia="en-IE"/>
              </w:rPr>
              <w:t>(AC, END - Indirect research)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 xml:space="preserve"> 01 01 01 12 (AC, END - Direct research)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 - Heading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noProof/>
                <w:color w:val="000000"/>
                <w:sz w:val="16"/>
                <w:szCs w:val="16"/>
                <w:lang w:eastAsia="en-IE"/>
              </w:rPr>
            </w:pPr>
            <w:r w:rsidRPr="008F6E6A">
              <w:rPr>
                <w:noProof/>
                <w:color w:val="000000"/>
                <w:sz w:val="16"/>
                <w:szCs w:val="16"/>
                <w:lang w:eastAsia="en-IE"/>
              </w:rPr>
              <w:t>Other budget lines (specify) - Outside Heading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noProof/>
                <w:color w:val="000000"/>
                <w:sz w:val="16"/>
                <w:szCs w:val="16"/>
                <w:lang w:eastAsia="en-IE"/>
              </w:rPr>
            </w:pPr>
            <w:r w:rsidRPr="008F6E6A">
              <w:rPr>
                <w:noProof/>
                <w:color w:val="000000"/>
                <w:sz w:val="16"/>
                <w:szCs w:val="16"/>
                <w:lang w:eastAsia="en-IE"/>
              </w:rPr>
              <w:t>0</w:t>
            </w:r>
          </w:p>
        </w:tc>
      </w:tr>
      <w:tr w:rsidR="00693ED0" w:rsidRPr="008F6E6A">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8F6E6A" w:rsidRDefault="00693ED0">
            <w:pPr>
              <w:spacing w:before="0" w:after="0"/>
              <w:ind w:firstLineChars="100" w:firstLine="160"/>
              <w:jc w:val="left"/>
              <w:rPr>
                <w:b/>
                <w:bCs/>
                <w:noProof/>
                <w:color w:val="000000"/>
                <w:sz w:val="16"/>
                <w:szCs w:val="16"/>
                <w:lang w:eastAsia="en-IE"/>
              </w:rPr>
            </w:pPr>
            <w:r w:rsidRPr="008F6E6A">
              <w:rPr>
                <w:b/>
                <w:bCs/>
                <w:noProof/>
                <w:color w:val="000000"/>
                <w:sz w:val="16"/>
                <w:szCs w:val="16"/>
                <w:lang w:eastAsia="en-IE"/>
              </w:rPr>
              <w:t>TOTAL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8F6E6A" w:rsidRDefault="00693ED0">
            <w:pPr>
              <w:spacing w:before="0" w:after="0"/>
              <w:jc w:val="center"/>
              <w:rPr>
                <w:b/>
                <w:bCs/>
                <w:noProof/>
                <w:color w:val="000000"/>
                <w:sz w:val="16"/>
                <w:szCs w:val="16"/>
                <w:lang w:eastAsia="en-IE"/>
              </w:rPr>
            </w:pPr>
            <w:r w:rsidRPr="008F6E6A">
              <w:rPr>
                <w:b/>
                <w:bCs/>
                <w:noProof/>
                <w:color w:val="000000"/>
                <w:sz w:val="16"/>
                <w:szCs w:val="16"/>
                <w:lang w:eastAsia="en-IE"/>
              </w:rPr>
              <w:t>0</w:t>
            </w:r>
          </w:p>
        </w:tc>
      </w:tr>
    </w:tbl>
    <w:p w:rsidR="00693ED0" w:rsidRPr="007D2643" w:rsidRDefault="00693ED0" w:rsidP="00693ED0">
      <w:pPr>
        <w:pStyle w:val="Text1"/>
        <w:ind w:left="-426" w:right="-427"/>
        <w:rPr>
          <w:noProof/>
        </w:rPr>
      </w:pPr>
      <w:bookmarkStart w:id="172" w:name="_Hlk167692843"/>
      <w:bookmarkEnd w:id="167"/>
      <w:r w:rsidRPr="007D2643">
        <w:rPr>
          <w:noProof/>
        </w:rPr>
        <w:t>[Considering the overall strained situation in Heading 7, in terms of both staffing and the level of appropriations, the human resources required will be met by staff from the DG who are already assigned to the management of the action and/or have been redeployed within the DG or other Commission services.]</w:t>
      </w:r>
    </w:p>
    <w:p w:rsidR="00693ED0" w:rsidRPr="008F6E6A" w:rsidRDefault="00693ED0" w:rsidP="00693ED0">
      <w:pPr>
        <w:pStyle w:val="Text1"/>
        <w:ind w:left="-426" w:right="-427"/>
        <w:rPr>
          <w:noProof/>
        </w:rPr>
      </w:pPr>
      <w:r w:rsidRPr="008F6E6A">
        <w:rPr>
          <w:noProof/>
        </w:rPr>
        <w:t>Description of tasks to be carried out by:</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8F6E6A" w:rsidTr="005A7E2C">
        <w:tc>
          <w:tcPr>
            <w:tcW w:w="3240" w:type="dxa"/>
          </w:tcPr>
          <w:p w:rsidR="00693ED0" w:rsidRPr="008F6E6A" w:rsidRDefault="00693ED0">
            <w:pPr>
              <w:rPr>
                <w:noProof/>
                <w:sz w:val="20"/>
              </w:rPr>
            </w:pPr>
            <w:r w:rsidRPr="008F6E6A">
              <w:rPr>
                <w:noProof/>
                <w:sz w:val="20"/>
              </w:rPr>
              <w:t>Officials and temporary staff</w:t>
            </w:r>
          </w:p>
        </w:tc>
        <w:tc>
          <w:tcPr>
            <w:tcW w:w="7200" w:type="dxa"/>
          </w:tcPr>
          <w:p w:rsidR="00693ED0" w:rsidRPr="008F6E6A" w:rsidRDefault="00693ED0">
            <w:pPr>
              <w:rPr>
                <w:noProof/>
                <w:sz w:val="20"/>
              </w:rPr>
            </w:pPr>
          </w:p>
        </w:tc>
      </w:tr>
      <w:tr w:rsidR="00436988" w:rsidRPr="008F6E6A" w:rsidTr="005A7E2C">
        <w:tc>
          <w:tcPr>
            <w:tcW w:w="3240" w:type="dxa"/>
          </w:tcPr>
          <w:p w:rsidR="00693ED0" w:rsidRPr="008F6E6A" w:rsidRDefault="00693ED0">
            <w:pPr>
              <w:spacing w:before="60" w:after="60"/>
              <w:rPr>
                <w:noProof/>
                <w:sz w:val="20"/>
              </w:rPr>
            </w:pPr>
            <w:r w:rsidRPr="008F6E6A">
              <w:rPr>
                <w:noProof/>
                <w:sz w:val="20"/>
              </w:rPr>
              <w:t>External staff</w:t>
            </w:r>
          </w:p>
        </w:tc>
        <w:tc>
          <w:tcPr>
            <w:tcW w:w="7200" w:type="dxa"/>
          </w:tcPr>
          <w:p w:rsidR="00693ED0" w:rsidRPr="008F6E6A" w:rsidRDefault="00693ED0">
            <w:pPr>
              <w:rPr>
                <w:noProof/>
                <w:sz w:val="20"/>
              </w:rPr>
            </w:pPr>
          </w:p>
        </w:tc>
      </w:tr>
    </w:tbl>
    <w:p w:rsidR="00693ED0" w:rsidRPr="008F6E6A" w:rsidRDefault="00693ED0" w:rsidP="00693ED0">
      <w:pPr>
        <w:pStyle w:val="ManualHeading3"/>
        <w:rPr>
          <w:noProof/>
        </w:rPr>
      </w:pPr>
      <w:bookmarkStart w:id="173" w:name="_Toc177549031"/>
      <w:r w:rsidRPr="008F6E6A">
        <w:rPr>
          <w:noProof/>
        </w:rPr>
        <w:t>3.2.5.</w:t>
      </w:r>
      <w:r w:rsidRPr="008F6E6A">
        <w:rPr>
          <w:noProof/>
        </w:rPr>
        <w:tab/>
        <w:t>Overview of estimated impact on digital technology-related investments</w:t>
      </w:r>
      <w:bookmarkEnd w:id="173"/>
    </w:p>
    <w:p w:rsidR="00693ED0" w:rsidRPr="008F6E6A" w:rsidRDefault="00693ED0" w:rsidP="00693ED0">
      <w:pPr>
        <w:pStyle w:val="Text1"/>
        <w:spacing w:line="259" w:lineRule="auto"/>
        <w:rPr>
          <w:noProof/>
        </w:rPr>
      </w:pPr>
      <w:r w:rsidRPr="008F6E6A">
        <w:rPr>
          <w:noProof/>
        </w:rPr>
        <w:t xml:space="preserve">Compulsory: the best estimate of the digital technology-related investments entailed by the proposal/initiative should be included in the table below. </w:t>
      </w:r>
    </w:p>
    <w:p w:rsidR="00693ED0" w:rsidRPr="008F6E6A" w:rsidRDefault="00693ED0" w:rsidP="00693ED0">
      <w:pPr>
        <w:pStyle w:val="Text1"/>
        <w:spacing w:line="259" w:lineRule="auto"/>
        <w:rPr>
          <w:noProof/>
        </w:rPr>
      </w:pPr>
      <w:r w:rsidRPr="008F6E6A">
        <w:rPr>
          <w:noProof/>
        </w:rPr>
        <w:t xml:space="preserve">Exceptionally, when required for the implementation of the proposal/initiative, the appropriations under Heading 7 should be presented in the designated line. </w:t>
      </w:r>
    </w:p>
    <w:p w:rsidR="00693ED0" w:rsidRPr="008F6E6A" w:rsidRDefault="00693ED0" w:rsidP="00693ED0">
      <w:pPr>
        <w:pStyle w:val="Text1"/>
        <w:spacing w:line="259" w:lineRule="auto"/>
        <w:rPr>
          <w:noProof/>
        </w:rPr>
      </w:pPr>
      <w:r w:rsidRPr="008F6E6A">
        <w:rPr>
          <w:noProof/>
        </w:rPr>
        <w:t>The appropriations under Headings 1-6 should be reflected as “Policy IT expenditure on operational programmes”.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“Digital dimensions”.</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8F6E6A">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8F6E6A" w:rsidRDefault="00693ED0">
            <w:pPr>
              <w:spacing w:before="0" w:after="0"/>
              <w:jc w:val="center"/>
              <w:rPr>
                <w:b/>
                <w:bCs/>
                <w:noProof/>
                <w:color w:val="000000" w:themeColor="text1"/>
                <w:sz w:val="18"/>
                <w:szCs w:val="18"/>
              </w:rPr>
            </w:pPr>
            <w:r w:rsidRPr="008F6E6A">
              <w:rPr>
                <w:b/>
                <w:bCs/>
                <w:noProof/>
                <w:color w:val="000000" w:themeColor="text1"/>
                <w:sz w:val="18"/>
                <w:szCs w:val="18"/>
              </w:rPr>
              <w:t>TOTAL Digital and IT appropriations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8F6E6A" w:rsidRDefault="00693ED0">
            <w:pPr>
              <w:spacing w:before="0" w:after="0"/>
              <w:jc w:val="center"/>
              <w:rPr>
                <w:noProof/>
                <w:color w:val="000000" w:themeColor="text1"/>
                <w:sz w:val="18"/>
                <w:szCs w:val="18"/>
              </w:rPr>
            </w:pPr>
            <w:r w:rsidRPr="008F6E6A">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8F6E6A" w:rsidRDefault="00693ED0">
            <w:pPr>
              <w:spacing w:before="0" w:after="0"/>
              <w:jc w:val="center"/>
              <w:rPr>
                <w:noProof/>
                <w:color w:val="000000" w:themeColor="text1"/>
                <w:sz w:val="18"/>
                <w:szCs w:val="18"/>
              </w:rPr>
            </w:pPr>
            <w:r w:rsidRPr="008F6E6A">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8F6E6A" w:rsidRDefault="00693ED0">
            <w:pPr>
              <w:spacing w:before="0" w:after="0"/>
              <w:jc w:val="center"/>
              <w:rPr>
                <w:noProof/>
                <w:color w:val="000000" w:themeColor="text1"/>
                <w:sz w:val="18"/>
                <w:szCs w:val="18"/>
              </w:rPr>
            </w:pPr>
            <w:r w:rsidRPr="008F6E6A">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8F6E6A" w:rsidRDefault="00693ED0">
            <w:pPr>
              <w:spacing w:before="0" w:after="0"/>
              <w:jc w:val="center"/>
              <w:rPr>
                <w:noProof/>
                <w:color w:val="000000" w:themeColor="text1"/>
                <w:sz w:val="18"/>
                <w:szCs w:val="18"/>
              </w:rPr>
            </w:pPr>
            <w:r w:rsidRPr="008F6E6A">
              <w:rPr>
                <w:noProof/>
                <w:color w:val="000000" w:themeColor="text1"/>
                <w:sz w:val="18"/>
                <w:szCs w:val="18"/>
              </w:rPr>
              <w:t>Year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8F6E6A" w:rsidRDefault="00693ED0">
            <w:pPr>
              <w:spacing w:before="0" w:after="0"/>
              <w:jc w:val="center"/>
              <w:rPr>
                <w:b/>
                <w:bCs/>
                <w:noProof/>
                <w:color w:val="000000" w:themeColor="text1"/>
                <w:sz w:val="18"/>
                <w:szCs w:val="18"/>
              </w:rPr>
            </w:pPr>
            <w:r w:rsidRPr="008F6E6A">
              <w:rPr>
                <w:b/>
                <w:bCs/>
                <w:noProof/>
                <w:color w:val="000000" w:themeColor="text1"/>
                <w:sz w:val="18"/>
                <w:szCs w:val="18"/>
              </w:rPr>
              <w:t>TOTAL MFF 2021 - 2027</w:t>
            </w:r>
          </w:p>
        </w:tc>
      </w:tr>
      <w:tr w:rsidR="00693ED0" w:rsidRPr="008F6E6A">
        <w:trPr>
          <w:trHeight w:val="525"/>
        </w:trPr>
        <w:tc>
          <w:tcPr>
            <w:tcW w:w="3214" w:type="dxa"/>
            <w:vMerge/>
            <w:tcBorders>
              <w:top w:val="single" w:sz="8" w:space="0" w:color="auto"/>
              <w:left w:val="single" w:sz="4" w:space="0" w:color="auto"/>
              <w:right w:val="single" w:sz="4" w:space="0" w:color="auto"/>
            </w:tcBorders>
            <w:vAlign w:val="center"/>
          </w:tcPr>
          <w:p w:rsidR="00693ED0" w:rsidRPr="008F6E6A"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center"/>
              <w:rPr>
                <w:b/>
                <w:bCs/>
                <w:noProof/>
                <w:color w:val="000000" w:themeColor="text1"/>
                <w:sz w:val="18"/>
                <w:szCs w:val="18"/>
              </w:rPr>
            </w:pPr>
            <w:r w:rsidRPr="008F6E6A">
              <w:rPr>
                <w:b/>
                <w:bCs/>
                <w:noProof/>
                <w:color w:val="000000" w:themeColor="text1"/>
                <w:sz w:val="18"/>
                <w:szCs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center"/>
              <w:rPr>
                <w:b/>
                <w:bCs/>
                <w:noProof/>
                <w:color w:val="000000" w:themeColor="text1"/>
                <w:sz w:val="18"/>
                <w:szCs w:val="18"/>
              </w:rPr>
            </w:pPr>
            <w:r w:rsidRPr="008F6E6A">
              <w:rPr>
                <w:b/>
                <w:bCs/>
                <w:noProof/>
                <w:color w:val="000000" w:themeColor="text1"/>
                <w:sz w:val="18"/>
                <w:szCs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center"/>
              <w:rPr>
                <w:b/>
                <w:bCs/>
                <w:noProof/>
                <w:color w:val="000000" w:themeColor="text1"/>
                <w:sz w:val="18"/>
                <w:szCs w:val="18"/>
              </w:rPr>
            </w:pPr>
            <w:r w:rsidRPr="008F6E6A">
              <w:rPr>
                <w:b/>
                <w:bCs/>
                <w:noProof/>
                <w:color w:val="000000" w:themeColor="text1"/>
                <w:sz w:val="18"/>
                <w:szCs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center"/>
              <w:rPr>
                <w:b/>
                <w:bCs/>
                <w:noProof/>
                <w:color w:val="000000" w:themeColor="text1"/>
                <w:sz w:val="18"/>
                <w:szCs w:val="18"/>
              </w:rPr>
            </w:pPr>
            <w:r w:rsidRPr="008F6E6A">
              <w:rPr>
                <w:b/>
                <w:bCs/>
                <w:noProof/>
                <w:color w:val="000000" w:themeColor="text1"/>
                <w:sz w:val="18"/>
                <w:szCs w:val="18"/>
              </w:rPr>
              <w:t>2027</w:t>
            </w:r>
          </w:p>
        </w:tc>
        <w:tc>
          <w:tcPr>
            <w:tcW w:w="981" w:type="dxa"/>
            <w:vMerge/>
            <w:tcBorders>
              <w:bottom w:val="single" w:sz="4" w:space="0" w:color="auto"/>
              <w:right w:val="single" w:sz="4" w:space="0" w:color="auto"/>
            </w:tcBorders>
            <w:vAlign w:val="center"/>
          </w:tcPr>
          <w:p w:rsidR="00693ED0" w:rsidRPr="008F6E6A" w:rsidRDefault="00693ED0">
            <w:pPr>
              <w:rPr>
                <w:noProof/>
              </w:rPr>
            </w:pPr>
          </w:p>
        </w:tc>
      </w:tr>
      <w:tr w:rsidR="00693ED0" w:rsidRPr="008F6E6A">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left"/>
              <w:rPr>
                <w:b/>
                <w:bCs/>
                <w:noProof/>
                <w:sz w:val="16"/>
                <w:szCs w:val="16"/>
              </w:rPr>
            </w:pPr>
            <w:r w:rsidRPr="008F6E6A">
              <w:rPr>
                <w:b/>
                <w:bCs/>
                <w:noProof/>
                <w:sz w:val="16"/>
                <w:szCs w:val="16"/>
              </w:rPr>
              <w:t>HEADING 7</w:t>
            </w:r>
          </w:p>
        </w:tc>
      </w:tr>
      <w:tr w:rsidR="00693ED0" w:rsidRPr="008F6E6A">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left"/>
              <w:rPr>
                <w:noProof/>
                <w:color w:val="000000" w:themeColor="text1"/>
                <w:sz w:val="16"/>
                <w:szCs w:val="16"/>
              </w:rPr>
            </w:pPr>
            <w:r w:rsidRPr="008F6E6A">
              <w:rPr>
                <w:rFonts w:ascii="Arial Narrow" w:eastAsia="Arial Narrow" w:hAnsi="Arial Narrow" w:cs="Arial Narrow"/>
                <w:noProof/>
                <w:color w:val="000000" w:themeColor="text1"/>
                <w:sz w:val="20"/>
                <w:szCs w:val="20"/>
              </w:rPr>
              <w:t>IT expenditure (corporate)</w:t>
            </w:r>
            <w:r w:rsidRPr="008F6E6A">
              <w:rPr>
                <w:noProof/>
                <w:color w:val="000000" w:themeColor="text1"/>
                <w:sz w:val="16"/>
                <w:szCs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r>
      <w:tr w:rsidR="00693ED0" w:rsidRPr="008F6E6A">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8F6E6A" w:rsidRDefault="00693ED0">
            <w:pPr>
              <w:spacing w:before="0" w:after="0"/>
              <w:jc w:val="center"/>
              <w:rPr>
                <w:b/>
                <w:bCs/>
                <w:noProof/>
                <w:color w:val="000000" w:themeColor="text1"/>
                <w:sz w:val="16"/>
                <w:szCs w:val="16"/>
              </w:rPr>
            </w:pPr>
            <w:r w:rsidRPr="008F6E6A">
              <w:rPr>
                <w:b/>
                <w:bCs/>
                <w:noProof/>
                <w:color w:val="000000" w:themeColor="text1"/>
                <w:sz w:val="16"/>
                <w:szCs w:val="16"/>
              </w:rPr>
              <w:t>Subtotal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r>
      <w:tr w:rsidR="00693ED0" w:rsidRPr="008F6E6A">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left"/>
              <w:rPr>
                <w:b/>
                <w:bCs/>
                <w:noProof/>
                <w:sz w:val="16"/>
                <w:szCs w:val="16"/>
              </w:rPr>
            </w:pPr>
            <w:r w:rsidRPr="008F6E6A">
              <w:rPr>
                <w:b/>
                <w:bCs/>
                <w:noProof/>
                <w:sz w:val="16"/>
                <w:szCs w:val="16"/>
              </w:rPr>
              <w:t>Outside HEADING 7</w:t>
            </w:r>
          </w:p>
        </w:tc>
      </w:tr>
      <w:tr w:rsidR="00693ED0" w:rsidRPr="008F6E6A">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left"/>
              <w:rPr>
                <w:rFonts w:ascii="Arial Narrow" w:eastAsia="Arial Narrow" w:hAnsi="Arial Narrow" w:cs="Arial Narrow"/>
                <w:noProof/>
                <w:color w:val="000000" w:themeColor="text1"/>
                <w:sz w:val="20"/>
                <w:szCs w:val="20"/>
              </w:rPr>
            </w:pPr>
            <w:r w:rsidRPr="008F6E6A">
              <w:rPr>
                <w:rFonts w:ascii="Arial Narrow" w:eastAsia="Arial Narrow" w:hAnsi="Arial Narrow" w:cs="Arial Narrow"/>
                <w:noProof/>
                <w:color w:val="000000" w:themeColor="text1"/>
                <w:sz w:val="20"/>
                <w:szCs w:val="20"/>
              </w:rPr>
              <w:t>Policy IT expenditure on operational programmes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noProof/>
                <w:color w:val="000000" w:themeColor="text1"/>
                <w:sz w:val="16"/>
                <w:szCs w:val="16"/>
              </w:rPr>
            </w:pPr>
            <w:r w:rsidRPr="008F6E6A">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r>
      <w:tr w:rsidR="00693ED0" w:rsidRPr="008F6E6A">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8F6E6A" w:rsidRDefault="00693ED0">
            <w:pPr>
              <w:spacing w:before="0" w:after="0"/>
              <w:jc w:val="center"/>
              <w:rPr>
                <w:b/>
                <w:bCs/>
                <w:noProof/>
                <w:color w:val="000000" w:themeColor="text1"/>
                <w:sz w:val="16"/>
                <w:szCs w:val="16"/>
              </w:rPr>
            </w:pPr>
            <w:r w:rsidRPr="008F6E6A">
              <w:rPr>
                <w:b/>
                <w:bCs/>
                <w:noProof/>
                <w:color w:val="000000" w:themeColor="text1"/>
                <w:sz w:val="16"/>
                <w:szCs w:val="16"/>
              </w:rPr>
              <w:t>Subtotal outside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r>
      <w:tr w:rsidR="00693ED0" w:rsidRPr="008F6E6A">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8F6E6A" w:rsidRDefault="00693ED0">
            <w:pPr>
              <w:spacing w:before="0" w:after="0"/>
              <w:jc w:val="center"/>
              <w:rPr>
                <w:noProof/>
                <w:color w:val="000000" w:themeColor="text1"/>
                <w:sz w:val="16"/>
                <w:szCs w:val="16"/>
              </w:rPr>
            </w:pPr>
            <w:r w:rsidRPr="008F6E6A">
              <w:rPr>
                <w:noProof/>
                <w:color w:val="000000" w:themeColor="text1"/>
                <w:sz w:val="16"/>
                <w:szCs w:val="16"/>
              </w:rPr>
              <w:t xml:space="preserve"> </w:t>
            </w:r>
          </w:p>
        </w:tc>
      </w:tr>
      <w:tr w:rsidR="00693ED0" w:rsidRPr="008F6E6A">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8F6E6A" w:rsidRDefault="00693ED0">
            <w:pPr>
              <w:spacing w:before="0" w:after="0"/>
              <w:jc w:val="center"/>
              <w:rPr>
                <w:b/>
                <w:bCs/>
                <w:noProof/>
                <w:color w:val="000000" w:themeColor="text1"/>
                <w:sz w:val="16"/>
                <w:szCs w:val="16"/>
              </w:rPr>
            </w:pPr>
            <w:r w:rsidRPr="008F6E6A">
              <w:rPr>
                <w:b/>
                <w:bCs/>
                <w:noProof/>
                <w:color w:val="000000" w:themeColor="text1"/>
                <w:sz w:val="16"/>
                <w:szCs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8F6E6A" w:rsidRDefault="00693ED0">
            <w:pPr>
              <w:spacing w:before="0" w:after="0"/>
              <w:jc w:val="right"/>
              <w:rPr>
                <w:b/>
                <w:bCs/>
                <w:noProof/>
                <w:color w:val="000000" w:themeColor="text1"/>
                <w:sz w:val="16"/>
                <w:szCs w:val="16"/>
              </w:rPr>
            </w:pPr>
            <w:r w:rsidRPr="008F6E6A">
              <w:rPr>
                <w:b/>
                <w:bCs/>
                <w:noProof/>
                <w:color w:val="000000" w:themeColor="text1"/>
                <w:sz w:val="16"/>
                <w:szCs w:val="16"/>
              </w:rPr>
              <w:t>0.000</w:t>
            </w:r>
          </w:p>
        </w:tc>
      </w:tr>
    </w:tbl>
    <w:p w:rsidR="00693ED0" w:rsidRPr="008F6E6A"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8F6E6A">
        <w:rPr>
          <w:noProof/>
        </w:rPr>
        <w:t>3.2.6.</w:t>
      </w:r>
      <w:r w:rsidRPr="008F6E6A">
        <w:rPr>
          <w:noProof/>
        </w:rPr>
        <w:tab/>
        <w:t>Compatibility with the current multiannual financial framework</w:t>
      </w:r>
      <w:bookmarkEnd w:id="174"/>
      <w:bookmarkEnd w:id="175"/>
      <w:bookmarkEnd w:id="176"/>
      <w:bookmarkEnd w:id="177"/>
      <w:bookmarkEnd w:id="178"/>
      <w:r w:rsidRPr="008F6E6A">
        <w:rPr>
          <w:noProof/>
        </w:rPr>
        <w:t xml:space="preserve"> </w:t>
      </w:r>
    </w:p>
    <w:p w:rsidR="00693ED0" w:rsidRPr="008F6E6A" w:rsidRDefault="00693ED0" w:rsidP="00693ED0">
      <w:pPr>
        <w:pStyle w:val="Text1"/>
        <w:rPr>
          <w:noProof/>
        </w:rPr>
      </w:pPr>
      <w:r w:rsidRPr="008F6E6A">
        <w:rPr>
          <w:noProof/>
        </w:rPr>
        <w:t>The proposal/initiative:</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can be fully financed through redeployment within the relevant heading of the multiannual financial framework (MFF)</w:t>
      </w:r>
    </w:p>
    <w:p w:rsidR="00693ED0" w:rsidRPr="007D2643" w:rsidRDefault="007D2643" w:rsidP="00693ED0">
      <w:pPr>
        <w:pStyle w:val="Text1"/>
        <w:pBdr>
          <w:top w:val="single" w:sz="4" w:space="1" w:color="auto"/>
          <w:left w:val="single" w:sz="4" w:space="4" w:color="auto"/>
          <w:bottom w:val="single" w:sz="4" w:space="1" w:color="auto"/>
          <w:right w:val="single" w:sz="4" w:space="4" w:color="auto"/>
        </w:pBdr>
        <w:rPr>
          <w:noProof/>
        </w:rPr>
      </w:pPr>
      <w:r>
        <w:rPr>
          <w:noProof/>
        </w:rPr>
        <w:t>Not applicable</w:t>
      </w:r>
      <w:r w:rsidR="00693ED0" w:rsidRPr="007D2643">
        <w:rPr>
          <w:noProof/>
        </w:rPr>
        <w:t>.</w:t>
      </w:r>
    </w:p>
    <w:p w:rsidR="00693ED0" w:rsidRPr="00A20390" w:rsidRDefault="00693ED0" w:rsidP="00693ED0">
      <w:pPr>
        <w:pStyle w:val="ListDash1"/>
        <w:rPr>
          <w:noProof/>
        </w:rPr>
      </w:pPr>
      <w:r w:rsidRPr="00A20390">
        <w:rPr>
          <w:rFonts w:ascii="Wingdings" w:eastAsia="Wingdings" w:hAnsi="Wingdings" w:cs="Wingdings"/>
          <w:noProof/>
        </w:rPr>
        <w:t></w:t>
      </w:r>
      <w:r w:rsidRPr="00A20390">
        <w:rPr>
          <w:noProof/>
        </w:rPr>
        <w:tab/>
        <w:t>requires use of the unallocated margin under the relevant heading of the MFF and/or use of the special instruments as defined in the MFF Regulation</w:t>
      </w:r>
    </w:p>
    <w:p w:rsidR="00693ED0" w:rsidRPr="007D2643" w:rsidRDefault="007D2643" w:rsidP="00693ED0">
      <w:pPr>
        <w:pStyle w:val="Text1"/>
        <w:pBdr>
          <w:top w:val="single" w:sz="4" w:space="0" w:color="auto"/>
          <w:left w:val="single" w:sz="4" w:space="4" w:color="auto"/>
          <w:bottom w:val="single" w:sz="4" w:space="1" w:color="auto"/>
          <w:right w:val="single" w:sz="4" w:space="4" w:color="auto"/>
        </w:pBdr>
        <w:rPr>
          <w:noProof/>
        </w:rPr>
      </w:pPr>
      <w:r>
        <w:rPr>
          <w:noProof/>
        </w:rPr>
        <w:t>Not applicable</w:t>
      </w:r>
      <w:r w:rsidR="00693ED0" w:rsidRPr="007D2643">
        <w:rPr>
          <w:noProof/>
        </w:rPr>
        <w:t>.</w:t>
      </w:r>
    </w:p>
    <w:p w:rsidR="00693ED0" w:rsidRPr="00A20390" w:rsidRDefault="00693ED0" w:rsidP="00693ED0">
      <w:pPr>
        <w:pStyle w:val="ListDash1"/>
        <w:rPr>
          <w:noProof/>
        </w:rPr>
      </w:pPr>
      <w:r w:rsidRPr="00A20390">
        <w:rPr>
          <w:rFonts w:ascii="Wingdings" w:eastAsia="Wingdings" w:hAnsi="Wingdings" w:cs="Wingdings"/>
          <w:noProof/>
        </w:rPr>
        <w:t></w:t>
      </w:r>
      <w:r w:rsidRPr="00A20390">
        <w:rPr>
          <w:noProof/>
        </w:rPr>
        <w:tab/>
        <w:t>requires a revision of the MFF</w:t>
      </w:r>
    </w:p>
    <w:p w:rsidR="00693ED0" w:rsidRPr="007D2643" w:rsidRDefault="007D2643" w:rsidP="00693ED0">
      <w:pPr>
        <w:pStyle w:val="Text1"/>
        <w:pBdr>
          <w:top w:val="single" w:sz="4" w:space="1" w:color="auto"/>
          <w:left w:val="single" w:sz="4" w:space="4" w:color="auto"/>
          <w:bottom w:val="single" w:sz="4" w:space="1" w:color="auto"/>
          <w:right w:val="single" w:sz="4" w:space="4" w:color="auto"/>
        </w:pBdr>
        <w:rPr>
          <w:noProof/>
        </w:rPr>
      </w:pPr>
      <w:r>
        <w:rPr>
          <w:noProof/>
        </w:rPr>
        <w:t>Not applicable</w:t>
      </w:r>
      <w:r w:rsidR="00693ED0" w:rsidRPr="007D2643">
        <w:rPr>
          <w:noProof/>
        </w:rPr>
        <w:t>.</w:t>
      </w:r>
    </w:p>
    <w:p w:rsidR="00693ED0" w:rsidRPr="00A20390"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A20390">
        <w:rPr>
          <w:noProof/>
        </w:rPr>
        <w:t>3.2.7.</w:t>
      </w:r>
      <w:r w:rsidRPr="00A20390">
        <w:rPr>
          <w:noProof/>
        </w:rPr>
        <w:tab/>
        <w:t>Third-party contributions</w:t>
      </w:r>
      <w:bookmarkEnd w:id="179"/>
      <w:bookmarkEnd w:id="180"/>
      <w:bookmarkEnd w:id="181"/>
      <w:bookmarkEnd w:id="182"/>
      <w:bookmarkEnd w:id="183"/>
      <w:r w:rsidRPr="00A20390">
        <w:rPr>
          <w:noProof/>
        </w:rPr>
        <w:t xml:space="preserve"> </w:t>
      </w:r>
    </w:p>
    <w:p w:rsidR="00693ED0" w:rsidRPr="008F6E6A" w:rsidRDefault="00693ED0" w:rsidP="00693ED0">
      <w:pPr>
        <w:pStyle w:val="Text1"/>
        <w:rPr>
          <w:noProof/>
        </w:rPr>
      </w:pPr>
      <w:r w:rsidRPr="008F6E6A">
        <w:rPr>
          <w:noProof/>
        </w:rPr>
        <w:t>The proposal/initiative:</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does not provide for co-financing by third parties</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provides for the co-financing by third parties estimated below:</w:t>
      </w:r>
    </w:p>
    <w:p w:rsidR="00693ED0" w:rsidRPr="008F6E6A" w:rsidRDefault="00693ED0" w:rsidP="00693ED0">
      <w:pPr>
        <w:jc w:val="right"/>
        <w:rPr>
          <w:noProof/>
          <w:sz w:val="20"/>
        </w:rPr>
      </w:pPr>
      <w:r w:rsidRPr="008F6E6A">
        <w:rPr>
          <w:noProof/>
          <w:sz w:val="20"/>
        </w:rPr>
        <w:t>Appropriations in EUR million (to three decimal places)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8F6E6A">
        <w:trPr>
          <w:cantSplit/>
        </w:trPr>
        <w:tc>
          <w:tcPr>
            <w:tcW w:w="1591" w:type="pct"/>
          </w:tcPr>
          <w:p w:rsidR="00693ED0" w:rsidRPr="008F6E6A" w:rsidRDefault="00693ED0">
            <w:pPr>
              <w:spacing w:before="60" w:after="60"/>
              <w:rPr>
                <w:noProof/>
                <w:sz w:val="20"/>
              </w:rPr>
            </w:pPr>
          </w:p>
        </w:tc>
        <w:tc>
          <w:tcPr>
            <w:tcW w:w="655" w:type="pct"/>
            <w:vAlign w:val="center"/>
          </w:tcPr>
          <w:p w:rsidR="00693ED0" w:rsidRPr="008F6E6A" w:rsidRDefault="00693ED0">
            <w:pPr>
              <w:jc w:val="center"/>
              <w:rPr>
                <w:noProof/>
                <w:sz w:val="20"/>
              </w:rPr>
            </w:pPr>
            <w:r w:rsidRPr="008F6E6A">
              <w:rPr>
                <w:noProof/>
                <w:sz w:val="20"/>
              </w:rPr>
              <w:t xml:space="preserve">Year </w:t>
            </w:r>
            <w:r w:rsidRPr="008F6E6A">
              <w:rPr>
                <w:noProof/>
                <w:sz w:val="22"/>
              </w:rPr>
              <w:br/>
            </w:r>
            <w:r w:rsidRPr="008F6E6A">
              <w:rPr>
                <w:b/>
                <w:noProof/>
                <w:sz w:val="20"/>
              </w:rPr>
              <w:t>2024</w:t>
            </w:r>
          </w:p>
        </w:tc>
        <w:tc>
          <w:tcPr>
            <w:tcW w:w="655" w:type="pct"/>
            <w:vAlign w:val="center"/>
          </w:tcPr>
          <w:p w:rsidR="00693ED0" w:rsidRPr="008F6E6A" w:rsidRDefault="00693ED0">
            <w:pPr>
              <w:jc w:val="center"/>
              <w:rPr>
                <w:noProof/>
                <w:sz w:val="20"/>
              </w:rPr>
            </w:pPr>
            <w:r w:rsidRPr="008F6E6A">
              <w:rPr>
                <w:noProof/>
                <w:sz w:val="20"/>
              </w:rPr>
              <w:t xml:space="preserve">Year </w:t>
            </w:r>
            <w:r w:rsidRPr="008F6E6A">
              <w:rPr>
                <w:noProof/>
                <w:sz w:val="22"/>
              </w:rPr>
              <w:br/>
            </w:r>
            <w:r w:rsidRPr="008F6E6A">
              <w:rPr>
                <w:b/>
                <w:noProof/>
                <w:sz w:val="20"/>
              </w:rPr>
              <w:t>2025</w:t>
            </w:r>
          </w:p>
        </w:tc>
        <w:tc>
          <w:tcPr>
            <w:tcW w:w="655" w:type="pct"/>
            <w:vAlign w:val="center"/>
          </w:tcPr>
          <w:p w:rsidR="00693ED0" w:rsidRPr="008F6E6A" w:rsidRDefault="00693ED0">
            <w:pPr>
              <w:jc w:val="center"/>
              <w:rPr>
                <w:noProof/>
                <w:sz w:val="20"/>
              </w:rPr>
            </w:pPr>
            <w:r w:rsidRPr="008F6E6A">
              <w:rPr>
                <w:noProof/>
                <w:sz w:val="20"/>
              </w:rPr>
              <w:t xml:space="preserve">Year </w:t>
            </w:r>
            <w:r w:rsidRPr="008F6E6A">
              <w:rPr>
                <w:noProof/>
                <w:sz w:val="22"/>
              </w:rPr>
              <w:br/>
            </w:r>
            <w:r w:rsidRPr="008F6E6A">
              <w:rPr>
                <w:b/>
                <w:noProof/>
                <w:sz w:val="20"/>
              </w:rPr>
              <w:t>2026</w:t>
            </w:r>
          </w:p>
        </w:tc>
        <w:tc>
          <w:tcPr>
            <w:tcW w:w="655" w:type="pct"/>
            <w:vAlign w:val="center"/>
          </w:tcPr>
          <w:p w:rsidR="00693ED0" w:rsidRPr="008F6E6A" w:rsidRDefault="00693ED0">
            <w:pPr>
              <w:jc w:val="center"/>
              <w:rPr>
                <w:noProof/>
                <w:sz w:val="20"/>
              </w:rPr>
            </w:pPr>
            <w:r w:rsidRPr="008F6E6A">
              <w:rPr>
                <w:noProof/>
                <w:sz w:val="20"/>
              </w:rPr>
              <w:t xml:space="preserve">Year </w:t>
            </w:r>
            <w:r w:rsidRPr="008F6E6A">
              <w:rPr>
                <w:noProof/>
                <w:sz w:val="22"/>
              </w:rPr>
              <w:br/>
            </w:r>
            <w:r w:rsidRPr="008F6E6A">
              <w:rPr>
                <w:b/>
                <w:noProof/>
                <w:sz w:val="20"/>
              </w:rPr>
              <w:t>2027</w:t>
            </w:r>
          </w:p>
        </w:tc>
        <w:tc>
          <w:tcPr>
            <w:tcW w:w="787" w:type="pct"/>
            <w:vAlign w:val="center"/>
          </w:tcPr>
          <w:p w:rsidR="00693ED0" w:rsidRPr="008F6E6A" w:rsidRDefault="00693ED0">
            <w:pPr>
              <w:spacing w:before="60" w:after="60"/>
              <w:jc w:val="center"/>
              <w:rPr>
                <w:noProof/>
                <w:sz w:val="20"/>
              </w:rPr>
            </w:pPr>
            <w:r w:rsidRPr="008F6E6A">
              <w:rPr>
                <w:noProof/>
                <w:sz w:val="20"/>
              </w:rPr>
              <w:t>Total</w:t>
            </w:r>
          </w:p>
        </w:tc>
      </w:tr>
      <w:tr w:rsidR="00693ED0" w:rsidRPr="008F6E6A">
        <w:trPr>
          <w:cantSplit/>
        </w:trPr>
        <w:tc>
          <w:tcPr>
            <w:tcW w:w="1591" w:type="pct"/>
          </w:tcPr>
          <w:p w:rsidR="00693ED0" w:rsidRPr="008F6E6A" w:rsidRDefault="00693ED0">
            <w:pPr>
              <w:rPr>
                <w:noProof/>
              </w:rPr>
            </w:pPr>
            <w:r w:rsidRPr="008F6E6A">
              <w:rPr>
                <w:noProof/>
                <w:sz w:val="20"/>
              </w:rPr>
              <w:t>Specify the co-financing body</w:t>
            </w:r>
            <w:r w:rsidRPr="008F6E6A">
              <w:rPr>
                <w:i/>
                <w:noProof/>
                <w:sz w:val="20"/>
              </w:rPr>
              <w:t xml:space="preserve"> </w:t>
            </w:r>
          </w:p>
        </w:tc>
        <w:tc>
          <w:tcPr>
            <w:tcW w:w="655" w:type="pct"/>
            <w:vAlign w:val="center"/>
          </w:tcPr>
          <w:p w:rsidR="00693ED0" w:rsidRPr="008F6E6A" w:rsidRDefault="00693ED0">
            <w:pPr>
              <w:spacing w:before="60" w:after="60"/>
              <w:jc w:val="center"/>
              <w:rPr>
                <w:noProof/>
                <w:sz w:val="20"/>
              </w:rPr>
            </w:pPr>
          </w:p>
        </w:tc>
        <w:tc>
          <w:tcPr>
            <w:tcW w:w="655" w:type="pct"/>
            <w:vAlign w:val="center"/>
          </w:tcPr>
          <w:p w:rsidR="00693ED0" w:rsidRPr="008F6E6A" w:rsidRDefault="00693ED0">
            <w:pPr>
              <w:spacing w:before="60" w:after="60"/>
              <w:jc w:val="center"/>
              <w:rPr>
                <w:noProof/>
                <w:sz w:val="20"/>
              </w:rPr>
            </w:pPr>
          </w:p>
        </w:tc>
        <w:tc>
          <w:tcPr>
            <w:tcW w:w="655" w:type="pct"/>
            <w:vAlign w:val="center"/>
          </w:tcPr>
          <w:p w:rsidR="00693ED0" w:rsidRPr="008F6E6A" w:rsidRDefault="00693ED0">
            <w:pPr>
              <w:spacing w:before="60" w:after="60"/>
              <w:jc w:val="center"/>
              <w:rPr>
                <w:noProof/>
                <w:sz w:val="20"/>
              </w:rPr>
            </w:pPr>
          </w:p>
        </w:tc>
        <w:tc>
          <w:tcPr>
            <w:tcW w:w="655" w:type="pct"/>
            <w:vAlign w:val="center"/>
          </w:tcPr>
          <w:p w:rsidR="00693ED0" w:rsidRPr="008F6E6A" w:rsidRDefault="00693ED0">
            <w:pPr>
              <w:spacing w:before="60" w:after="60"/>
              <w:jc w:val="center"/>
              <w:rPr>
                <w:noProof/>
                <w:sz w:val="20"/>
              </w:rPr>
            </w:pPr>
          </w:p>
        </w:tc>
        <w:tc>
          <w:tcPr>
            <w:tcW w:w="787" w:type="pct"/>
            <w:vAlign w:val="center"/>
          </w:tcPr>
          <w:p w:rsidR="00693ED0" w:rsidRPr="008F6E6A" w:rsidRDefault="00693ED0">
            <w:pPr>
              <w:spacing w:before="60" w:after="60"/>
              <w:jc w:val="center"/>
              <w:rPr>
                <w:noProof/>
                <w:sz w:val="20"/>
              </w:rPr>
            </w:pPr>
          </w:p>
        </w:tc>
      </w:tr>
      <w:tr w:rsidR="00693ED0" w:rsidRPr="008F6E6A">
        <w:trPr>
          <w:cantSplit/>
        </w:trPr>
        <w:tc>
          <w:tcPr>
            <w:tcW w:w="1591" w:type="pct"/>
          </w:tcPr>
          <w:p w:rsidR="00693ED0" w:rsidRPr="008F6E6A" w:rsidRDefault="00693ED0">
            <w:pPr>
              <w:spacing w:before="60" w:after="60"/>
              <w:jc w:val="left"/>
              <w:rPr>
                <w:noProof/>
                <w:sz w:val="20"/>
              </w:rPr>
            </w:pPr>
            <w:r w:rsidRPr="008F6E6A">
              <w:rPr>
                <w:noProof/>
                <w:sz w:val="20"/>
              </w:rPr>
              <w:t xml:space="preserve">TOTAL appropriations co-financed </w:t>
            </w:r>
          </w:p>
        </w:tc>
        <w:tc>
          <w:tcPr>
            <w:tcW w:w="655" w:type="pct"/>
            <w:vAlign w:val="center"/>
          </w:tcPr>
          <w:p w:rsidR="00693ED0" w:rsidRPr="008F6E6A" w:rsidRDefault="00693ED0">
            <w:pPr>
              <w:spacing w:before="60" w:after="60"/>
              <w:jc w:val="center"/>
              <w:rPr>
                <w:noProof/>
                <w:sz w:val="20"/>
              </w:rPr>
            </w:pPr>
          </w:p>
        </w:tc>
        <w:tc>
          <w:tcPr>
            <w:tcW w:w="655" w:type="pct"/>
            <w:vAlign w:val="center"/>
          </w:tcPr>
          <w:p w:rsidR="00693ED0" w:rsidRPr="008F6E6A" w:rsidRDefault="00693ED0">
            <w:pPr>
              <w:spacing w:before="60" w:after="60"/>
              <w:jc w:val="center"/>
              <w:rPr>
                <w:noProof/>
                <w:sz w:val="20"/>
              </w:rPr>
            </w:pPr>
          </w:p>
        </w:tc>
        <w:tc>
          <w:tcPr>
            <w:tcW w:w="655" w:type="pct"/>
            <w:vAlign w:val="center"/>
          </w:tcPr>
          <w:p w:rsidR="00693ED0" w:rsidRPr="008F6E6A" w:rsidRDefault="00693ED0">
            <w:pPr>
              <w:spacing w:before="60" w:after="60"/>
              <w:jc w:val="center"/>
              <w:rPr>
                <w:noProof/>
                <w:sz w:val="20"/>
              </w:rPr>
            </w:pPr>
          </w:p>
        </w:tc>
        <w:tc>
          <w:tcPr>
            <w:tcW w:w="655" w:type="pct"/>
            <w:vAlign w:val="center"/>
          </w:tcPr>
          <w:p w:rsidR="00693ED0" w:rsidRPr="008F6E6A" w:rsidRDefault="00693ED0">
            <w:pPr>
              <w:spacing w:before="60" w:after="60"/>
              <w:jc w:val="center"/>
              <w:rPr>
                <w:noProof/>
                <w:sz w:val="20"/>
              </w:rPr>
            </w:pPr>
          </w:p>
        </w:tc>
        <w:tc>
          <w:tcPr>
            <w:tcW w:w="787" w:type="pct"/>
            <w:vAlign w:val="center"/>
          </w:tcPr>
          <w:p w:rsidR="00693ED0" w:rsidRPr="008F6E6A" w:rsidRDefault="00693ED0">
            <w:pPr>
              <w:spacing w:before="60" w:after="60"/>
              <w:jc w:val="center"/>
              <w:rPr>
                <w:noProof/>
                <w:sz w:val="20"/>
              </w:rPr>
            </w:pPr>
          </w:p>
        </w:tc>
      </w:tr>
    </w:tbl>
    <w:p w:rsidR="00693ED0" w:rsidRPr="008F6E6A" w:rsidRDefault="00693ED0" w:rsidP="00693ED0">
      <w:pPr>
        <w:outlineLvl w:val="1"/>
        <w:rPr>
          <w:noProof/>
          <w:szCs w:val="24"/>
        </w:rPr>
      </w:pPr>
      <w:r w:rsidRPr="008F6E6A">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8F6E6A">
        <w:rPr>
          <w:noProof/>
        </w:rPr>
        <w:t>3.3.</w:t>
      </w:r>
      <w:r w:rsidRPr="008F6E6A">
        <w:rPr>
          <w:noProof/>
        </w:rPr>
        <w:tab/>
        <w:t>Estimated impact on revenue</w:t>
      </w:r>
      <w:bookmarkEnd w:id="184"/>
      <w:bookmarkEnd w:id="185"/>
      <w:bookmarkEnd w:id="186"/>
      <w:bookmarkEnd w:id="187"/>
      <w:bookmarkEnd w:id="188"/>
      <w:r w:rsidRPr="008F6E6A">
        <w:rPr>
          <w:noProof/>
        </w:rPr>
        <w:t xml:space="preserve"> </w:t>
      </w:r>
    </w:p>
    <w:bookmarkEnd w:id="189"/>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The proposal/initiative has no financial impact on revenue.</w:t>
      </w:r>
    </w:p>
    <w:p w:rsidR="00693ED0" w:rsidRPr="008F6E6A" w:rsidRDefault="00693ED0" w:rsidP="00693ED0">
      <w:pPr>
        <w:pStyle w:val="ListDash1"/>
        <w:rPr>
          <w:noProof/>
        </w:rPr>
      </w:pPr>
      <w:r w:rsidRPr="008F6E6A">
        <w:rPr>
          <w:rFonts w:ascii="Wingdings" w:eastAsia="Wingdings" w:hAnsi="Wingdings" w:cs="Wingdings"/>
          <w:noProof/>
        </w:rPr>
        <w:t></w:t>
      </w:r>
      <w:r w:rsidRPr="008F6E6A">
        <w:rPr>
          <w:noProof/>
        </w:rPr>
        <w:tab/>
        <w:t>The proposal/initiative has the following financial impact:</w:t>
      </w:r>
    </w:p>
    <w:p w:rsidR="00693ED0" w:rsidRPr="008F6E6A" w:rsidRDefault="00693ED0" w:rsidP="00693ED0">
      <w:pPr>
        <w:pStyle w:val="ListNumberLevel3"/>
        <w:rPr>
          <w:noProof/>
        </w:rPr>
      </w:pPr>
      <w:r w:rsidRPr="008F6E6A">
        <w:rPr>
          <w:rFonts w:ascii="Wingdings" w:eastAsia="Wingdings" w:hAnsi="Wingdings" w:cs="Wingdings"/>
          <w:noProof/>
        </w:rPr>
        <w:t></w:t>
      </w:r>
      <w:r w:rsidRPr="008F6E6A">
        <w:rPr>
          <w:noProof/>
        </w:rPr>
        <w:tab/>
        <w:t xml:space="preserve">on own resources </w:t>
      </w:r>
    </w:p>
    <w:p w:rsidR="00693ED0" w:rsidRPr="008F6E6A" w:rsidRDefault="00693ED0" w:rsidP="00693ED0">
      <w:pPr>
        <w:pStyle w:val="ListNumberLevel3"/>
        <w:rPr>
          <w:noProof/>
        </w:rPr>
      </w:pPr>
      <w:r w:rsidRPr="008F6E6A">
        <w:rPr>
          <w:rFonts w:ascii="Wingdings" w:eastAsia="Wingdings" w:hAnsi="Wingdings" w:cs="Wingdings"/>
          <w:noProof/>
        </w:rPr>
        <w:t></w:t>
      </w:r>
      <w:r w:rsidRPr="008F6E6A">
        <w:rPr>
          <w:noProof/>
        </w:rPr>
        <w:tab/>
        <w:t>on other revenue</w:t>
      </w:r>
    </w:p>
    <w:p w:rsidR="00693ED0" w:rsidRPr="008F6E6A" w:rsidRDefault="00693ED0" w:rsidP="00693ED0">
      <w:pPr>
        <w:pStyle w:val="ListNumberLevel3"/>
        <w:rPr>
          <w:noProof/>
        </w:rPr>
      </w:pPr>
      <w:r w:rsidRPr="008F6E6A">
        <w:rPr>
          <w:rFonts w:ascii="Wingdings" w:eastAsia="Wingdings" w:hAnsi="Wingdings" w:cs="Wingdings"/>
          <w:noProof/>
        </w:rPr>
        <w:t></w:t>
      </w:r>
      <w:r w:rsidRPr="008F6E6A">
        <w:rPr>
          <w:rFonts w:ascii="Wingdings" w:eastAsia="Wingdings" w:hAnsi="Wingdings" w:cs="Wingdings"/>
          <w:noProof/>
        </w:rPr>
        <w:tab/>
      </w:r>
      <w:r w:rsidRPr="008F6E6A">
        <w:rPr>
          <w:noProof/>
        </w:rPr>
        <w:t>please indicate, if the revenue is assigned to expenditure lines</w:t>
      </w:r>
    </w:p>
    <w:p w:rsidR="00693ED0" w:rsidRPr="008F6E6A" w:rsidRDefault="00601BCE" w:rsidP="00693ED0">
      <w:pPr>
        <w:jc w:val="right"/>
        <w:rPr>
          <w:noProof/>
          <w:sz w:val="20"/>
        </w:rPr>
      </w:pPr>
      <w:r w:rsidRPr="008F6E6A">
        <w:rPr>
          <w:noProof/>
          <w:sz w:val="20"/>
        </w:rPr>
        <w:t xml:space="preserve">  </w:t>
      </w:r>
      <w:r w:rsidR="00693ED0" w:rsidRPr="008F6E6A">
        <w:rPr>
          <w:noProof/>
          <w:sz w:val="20"/>
        </w:rPr>
        <w:t xml:space="preserve"> 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8F6E6A" w:rsidTr="17618B6F">
        <w:trPr>
          <w:trHeight w:val="388"/>
        </w:trPr>
        <w:tc>
          <w:tcPr>
            <w:tcW w:w="1423" w:type="pct"/>
            <w:vMerge w:val="restart"/>
            <w:vAlign w:val="center"/>
          </w:tcPr>
          <w:p w:rsidR="00693ED0" w:rsidRPr="008F6E6A" w:rsidRDefault="00693ED0">
            <w:pPr>
              <w:spacing w:before="40" w:after="40"/>
              <w:rPr>
                <w:noProof/>
                <w:sz w:val="18"/>
              </w:rPr>
            </w:pPr>
            <w:r w:rsidRPr="008F6E6A">
              <w:rPr>
                <w:noProof/>
                <w:sz w:val="18"/>
              </w:rPr>
              <w:t>Budget revenue line:</w:t>
            </w:r>
          </w:p>
        </w:tc>
        <w:tc>
          <w:tcPr>
            <w:tcW w:w="869" w:type="pct"/>
            <w:vMerge w:val="restart"/>
            <w:vAlign w:val="center"/>
          </w:tcPr>
          <w:p w:rsidR="00693ED0" w:rsidRPr="008F6E6A" w:rsidRDefault="00693ED0">
            <w:pPr>
              <w:jc w:val="center"/>
              <w:rPr>
                <w:noProof/>
                <w:sz w:val="18"/>
              </w:rPr>
            </w:pPr>
            <w:r w:rsidRPr="008F6E6A">
              <w:rPr>
                <w:noProof/>
                <w:sz w:val="18"/>
              </w:rPr>
              <w:t>Appropriations available for the current financial year</w:t>
            </w:r>
          </w:p>
        </w:tc>
        <w:tc>
          <w:tcPr>
            <w:tcW w:w="2709" w:type="pct"/>
            <w:gridSpan w:val="4"/>
            <w:vAlign w:val="center"/>
          </w:tcPr>
          <w:p w:rsidR="00693ED0" w:rsidRPr="008F6E6A" w:rsidRDefault="00693ED0">
            <w:pPr>
              <w:jc w:val="center"/>
              <w:rPr>
                <w:noProof/>
                <w:sz w:val="18"/>
              </w:rPr>
            </w:pPr>
            <w:r w:rsidRPr="008F6E6A">
              <w:rPr>
                <w:noProof/>
                <w:sz w:val="18"/>
                <w:szCs w:val="18"/>
              </w:rPr>
              <w:t>Impact of the proposal/initiative</w:t>
            </w:r>
            <w:r w:rsidRPr="008F6E6A">
              <w:rPr>
                <w:rStyle w:val="FootnoteReference"/>
                <w:noProof/>
                <w:sz w:val="18"/>
                <w:szCs w:val="18"/>
              </w:rPr>
              <w:footnoteReference w:id="27"/>
            </w:r>
          </w:p>
        </w:tc>
      </w:tr>
      <w:tr w:rsidR="00693ED0" w:rsidRPr="008F6E6A" w:rsidTr="17618B6F">
        <w:trPr>
          <w:trHeight w:val="388"/>
        </w:trPr>
        <w:tc>
          <w:tcPr>
            <w:tcW w:w="1423" w:type="pct"/>
            <w:vMerge/>
          </w:tcPr>
          <w:p w:rsidR="00693ED0" w:rsidRPr="008F6E6A" w:rsidRDefault="00693ED0">
            <w:pPr>
              <w:spacing w:before="40" w:after="40"/>
              <w:rPr>
                <w:noProof/>
                <w:sz w:val="18"/>
              </w:rPr>
            </w:pPr>
          </w:p>
        </w:tc>
        <w:tc>
          <w:tcPr>
            <w:tcW w:w="869" w:type="pct"/>
            <w:vMerge/>
          </w:tcPr>
          <w:p w:rsidR="00693ED0" w:rsidRPr="008F6E6A" w:rsidRDefault="00693ED0">
            <w:pPr>
              <w:spacing w:beforeLines="40" w:before="96" w:afterLines="40" w:after="96"/>
              <w:rPr>
                <w:i/>
                <w:noProof/>
                <w:sz w:val="18"/>
              </w:rPr>
            </w:pPr>
          </w:p>
        </w:tc>
        <w:tc>
          <w:tcPr>
            <w:tcW w:w="911" w:type="pct"/>
            <w:vAlign w:val="center"/>
          </w:tcPr>
          <w:p w:rsidR="00693ED0" w:rsidRPr="008F6E6A" w:rsidRDefault="00693ED0">
            <w:pPr>
              <w:jc w:val="center"/>
              <w:rPr>
                <w:noProof/>
                <w:sz w:val="18"/>
              </w:rPr>
            </w:pPr>
            <w:r w:rsidRPr="008F6E6A">
              <w:rPr>
                <w:noProof/>
                <w:sz w:val="18"/>
              </w:rPr>
              <w:t xml:space="preserve">Year </w:t>
            </w:r>
            <w:r w:rsidRPr="008F6E6A">
              <w:rPr>
                <w:b/>
                <w:noProof/>
                <w:sz w:val="18"/>
              </w:rPr>
              <w:t>2024</w:t>
            </w:r>
          </w:p>
        </w:tc>
        <w:tc>
          <w:tcPr>
            <w:tcW w:w="562" w:type="pct"/>
            <w:vAlign w:val="center"/>
          </w:tcPr>
          <w:p w:rsidR="00693ED0" w:rsidRPr="008F6E6A" w:rsidRDefault="00693ED0">
            <w:pPr>
              <w:jc w:val="center"/>
              <w:rPr>
                <w:noProof/>
                <w:sz w:val="18"/>
              </w:rPr>
            </w:pPr>
            <w:r w:rsidRPr="008F6E6A">
              <w:rPr>
                <w:noProof/>
                <w:sz w:val="18"/>
              </w:rPr>
              <w:t xml:space="preserve">Year </w:t>
            </w:r>
            <w:r w:rsidRPr="008F6E6A">
              <w:rPr>
                <w:b/>
                <w:noProof/>
                <w:sz w:val="18"/>
              </w:rPr>
              <w:t>2025</w:t>
            </w:r>
          </w:p>
        </w:tc>
        <w:tc>
          <w:tcPr>
            <w:tcW w:w="557" w:type="pct"/>
            <w:vAlign w:val="center"/>
          </w:tcPr>
          <w:p w:rsidR="00693ED0" w:rsidRPr="008F6E6A" w:rsidRDefault="00693ED0">
            <w:pPr>
              <w:jc w:val="center"/>
              <w:rPr>
                <w:noProof/>
                <w:sz w:val="18"/>
              </w:rPr>
            </w:pPr>
            <w:r w:rsidRPr="008F6E6A">
              <w:rPr>
                <w:noProof/>
                <w:sz w:val="18"/>
              </w:rPr>
              <w:t xml:space="preserve">Year </w:t>
            </w:r>
            <w:r w:rsidRPr="008F6E6A">
              <w:rPr>
                <w:b/>
                <w:noProof/>
                <w:sz w:val="18"/>
              </w:rPr>
              <w:t>2026</w:t>
            </w:r>
          </w:p>
        </w:tc>
        <w:tc>
          <w:tcPr>
            <w:tcW w:w="679" w:type="pct"/>
            <w:vAlign w:val="center"/>
          </w:tcPr>
          <w:p w:rsidR="00693ED0" w:rsidRPr="008F6E6A" w:rsidRDefault="00693ED0">
            <w:pPr>
              <w:jc w:val="center"/>
              <w:rPr>
                <w:noProof/>
                <w:sz w:val="18"/>
              </w:rPr>
            </w:pPr>
            <w:r w:rsidRPr="008F6E6A">
              <w:rPr>
                <w:noProof/>
                <w:sz w:val="18"/>
              </w:rPr>
              <w:t xml:space="preserve">Year </w:t>
            </w:r>
            <w:r w:rsidRPr="008F6E6A">
              <w:rPr>
                <w:b/>
                <w:noProof/>
                <w:sz w:val="18"/>
              </w:rPr>
              <w:t>2027</w:t>
            </w:r>
          </w:p>
        </w:tc>
      </w:tr>
      <w:tr w:rsidR="00693ED0" w:rsidRPr="008F6E6A" w:rsidTr="17618B6F">
        <w:trPr>
          <w:trHeight w:val="388"/>
        </w:trPr>
        <w:tc>
          <w:tcPr>
            <w:tcW w:w="1423" w:type="pct"/>
            <w:vAlign w:val="center"/>
          </w:tcPr>
          <w:p w:rsidR="00693ED0" w:rsidRPr="008F6E6A" w:rsidRDefault="00693ED0">
            <w:pPr>
              <w:spacing w:before="40" w:after="40"/>
              <w:rPr>
                <w:noProof/>
                <w:sz w:val="18"/>
              </w:rPr>
            </w:pPr>
            <w:r w:rsidRPr="008F6E6A">
              <w:rPr>
                <w:noProof/>
                <w:sz w:val="18"/>
              </w:rPr>
              <w:t>Article ………….</w:t>
            </w:r>
          </w:p>
        </w:tc>
        <w:tc>
          <w:tcPr>
            <w:tcW w:w="869" w:type="pct"/>
          </w:tcPr>
          <w:p w:rsidR="00693ED0" w:rsidRPr="008F6E6A" w:rsidRDefault="00693ED0">
            <w:pPr>
              <w:spacing w:beforeLines="40" w:before="96" w:afterLines="40" w:after="96"/>
              <w:jc w:val="center"/>
              <w:rPr>
                <w:i/>
                <w:noProof/>
                <w:sz w:val="18"/>
              </w:rPr>
            </w:pPr>
          </w:p>
        </w:tc>
        <w:tc>
          <w:tcPr>
            <w:tcW w:w="911" w:type="pct"/>
          </w:tcPr>
          <w:p w:rsidR="00693ED0" w:rsidRPr="008F6E6A" w:rsidRDefault="00693ED0">
            <w:pPr>
              <w:spacing w:beforeLines="40" w:before="96" w:afterLines="40" w:after="96"/>
              <w:jc w:val="center"/>
              <w:rPr>
                <w:noProof/>
                <w:sz w:val="18"/>
              </w:rPr>
            </w:pPr>
          </w:p>
        </w:tc>
        <w:tc>
          <w:tcPr>
            <w:tcW w:w="562" w:type="pct"/>
          </w:tcPr>
          <w:p w:rsidR="00693ED0" w:rsidRPr="008F6E6A" w:rsidRDefault="00693ED0">
            <w:pPr>
              <w:spacing w:beforeLines="40" w:before="96" w:afterLines="40" w:after="96"/>
              <w:jc w:val="center"/>
              <w:rPr>
                <w:noProof/>
                <w:sz w:val="18"/>
              </w:rPr>
            </w:pPr>
          </w:p>
        </w:tc>
        <w:tc>
          <w:tcPr>
            <w:tcW w:w="557" w:type="pct"/>
          </w:tcPr>
          <w:p w:rsidR="00693ED0" w:rsidRPr="008F6E6A" w:rsidRDefault="00693ED0">
            <w:pPr>
              <w:spacing w:beforeLines="40" w:before="96" w:afterLines="40" w:after="96"/>
              <w:jc w:val="center"/>
              <w:rPr>
                <w:noProof/>
                <w:sz w:val="18"/>
              </w:rPr>
            </w:pPr>
          </w:p>
        </w:tc>
        <w:tc>
          <w:tcPr>
            <w:tcW w:w="679" w:type="pct"/>
          </w:tcPr>
          <w:p w:rsidR="00693ED0" w:rsidRPr="008F6E6A" w:rsidRDefault="00693ED0">
            <w:pPr>
              <w:spacing w:beforeLines="40" w:before="96" w:afterLines="40" w:after="96"/>
              <w:jc w:val="center"/>
              <w:rPr>
                <w:noProof/>
                <w:sz w:val="18"/>
              </w:rPr>
            </w:pPr>
          </w:p>
        </w:tc>
      </w:tr>
    </w:tbl>
    <w:p w:rsidR="00693ED0" w:rsidRPr="008F6E6A" w:rsidRDefault="00693ED0" w:rsidP="00693ED0">
      <w:pPr>
        <w:pStyle w:val="Text1"/>
        <w:rPr>
          <w:noProof/>
          <w:szCs w:val="24"/>
        </w:rPr>
      </w:pPr>
      <w:r w:rsidRPr="008F6E6A">
        <w:rPr>
          <w:noProof/>
          <w:szCs w:val="24"/>
        </w:rPr>
        <w:t>For assigned revenue, specify the budget expenditure line(s) affected.</w:t>
      </w:r>
    </w:p>
    <w:p w:rsidR="00693ED0" w:rsidRPr="00A20390" w:rsidRDefault="007D2643" w:rsidP="00693ED0">
      <w:pPr>
        <w:pStyle w:val="Text1"/>
        <w:pBdr>
          <w:top w:val="single" w:sz="4" w:space="1" w:color="auto"/>
          <w:left w:val="single" w:sz="4" w:space="4" w:color="auto"/>
          <w:bottom w:val="single" w:sz="4" w:space="1" w:color="auto"/>
          <w:right w:val="single" w:sz="4" w:space="4" w:color="auto"/>
        </w:pBdr>
        <w:rPr>
          <w:noProof/>
        </w:rPr>
      </w:pPr>
      <w:r>
        <w:rPr>
          <w:noProof/>
        </w:rPr>
        <w:t>Not applicable</w:t>
      </w:r>
    </w:p>
    <w:p w:rsidR="00693ED0" w:rsidRPr="00A20390" w:rsidRDefault="00693ED0" w:rsidP="00693ED0">
      <w:pPr>
        <w:pStyle w:val="Text1"/>
        <w:rPr>
          <w:noProof/>
          <w:szCs w:val="24"/>
        </w:rPr>
      </w:pPr>
      <w:r w:rsidRPr="00A20390">
        <w:rPr>
          <w:noProof/>
          <w:szCs w:val="24"/>
        </w:rPr>
        <w:t>Other remarks (e.g. method/formula used for calculating the impact on revenue or any other information).</w:t>
      </w:r>
    </w:p>
    <w:p w:rsidR="00693ED0" w:rsidRPr="00A20390" w:rsidRDefault="007D2643" w:rsidP="00693ED0">
      <w:pPr>
        <w:pStyle w:val="Text1"/>
        <w:pBdr>
          <w:top w:val="single" w:sz="4" w:space="1" w:color="auto"/>
          <w:left w:val="single" w:sz="4" w:space="4" w:color="auto"/>
          <w:bottom w:val="single" w:sz="4" w:space="1" w:color="auto"/>
          <w:right w:val="single" w:sz="4" w:space="4" w:color="auto"/>
        </w:pBdr>
        <w:rPr>
          <w:noProof/>
        </w:rPr>
      </w:pPr>
      <w:r>
        <w:rPr>
          <w:noProof/>
        </w:rPr>
        <w:t>Not applicable</w:t>
      </w:r>
    </w:p>
    <w:p w:rsidR="00693ED0" w:rsidRPr="00A20390" w:rsidRDefault="00693ED0" w:rsidP="00693ED0">
      <w:pPr>
        <w:pStyle w:val="ManualHeading1"/>
        <w:rPr>
          <w:caps/>
          <w:noProof/>
        </w:rPr>
      </w:pPr>
      <w:bookmarkStart w:id="190" w:name="_Toc167220301"/>
      <w:bookmarkStart w:id="191" w:name="_Toc177549035"/>
      <w:r w:rsidRPr="00A20390">
        <w:rPr>
          <w:noProof/>
        </w:rPr>
        <w:t>4.</w:t>
      </w:r>
      <w:r w:rsidRPr="00A20390">
        <w:rPr>
          <w:noProof/>
        </w:rPr>
        <w:tab/>
      </w:r>
      <w:bookmarkStart w:id="192" w:name="_Hlk167692977"/>
      <w:r w:rsidRPr="00A20390">
        <w:rPr>
          <w:caps/>
          <w:noProof/>
        </w:rPr>
        <w:t>Digital dimensions</w:t>
      </w:r>
      <w:bookmarkEnd w:id="190"/>
      <w:bookmarkEnd w:id="191"/>
    </w:p>
    <w:p w:rsidR="00693ED0" w:rsidRPr="00A20390" w:rsidRDefault="00693ED0" w:rsidP="00693ED0">
      <w:pPr>
        <w:pStyle w:val="Text1"/>
        <w:ind w:left="0"/>
        <w:rPr>
          <w:noProof/>
        </w:rPr>
      </w:pPr>
      <w:bookmarkStart w:id="193" w:name="_Toc177549036"/>
      <w:r w:rsidRPr="00A20390">
        <w:rPr>
          <w:noProof/>
        </w:rPr>
        <w:t xml:space="preserve">Not applicable. The proposal is a targeted amendment to the APR which is part of the Pact. All the digital elements are in the pact not here. </w:t>
      </w:r>
    </w:p>
    <w:p w:rsidR="00693ED0" w:rsidRPr="00A20390" w:rsidRDefault="00693ED0" w:rsidP="00693ED0">
      <w:pPr>
        <w:pStyle w:val="ManualHeading2"/>
        <w:rPr>
          <w:noProof/>
        </w:rPr>
      </w:pPr>
      <w:bookmarkStart w:id="194" w:name="_Toc167220302"/>
      <w:bookmarkStart w:id="195" w:name="_Toc177549037"/>
      <w:bookmarkEnd w:id="193"/>
      <w:r w:rsidRPr="00A20390">
        <w:rPr>
          <w:noProof/>
        </w:rPr>
        <w:t>4.1.</w:t>
      </w:r>
      <w:r w:rsidRPr="00A20390">
        <w:rPr>
          <w:noProof/>
        </w:rPr>
        <w:tab/>
        <w:t>Requirements of digital relevance</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A20390" w:rsidTr="005A7E2C">
        <w:trPr>
          <w:trHeight w:val="300"/>
        </w:trPr>
        <w:tc>
          <w:tcPr>
            <w:tcW w:w="9072" w:type="dxa"/>
          </w:tcPr>
          <w:p w:rsidR="00693ED0" w:rsidRPr="00A20390" w:rsidRDefault="00693ED0">
            <w:pPr>
              <w:pStyle w:val="ListParagraph"/>
              <w:ind w:left="0"/>
              <w:rPr>
                <w:noProof/>
              </w:rPr>
            </w:pPr>
            <w:r w:rsidRPr="00A20390">
              <w:rPr>
                <w:noProof/>
              </w:rPr>
              <w:t>Not applicable</w:t>
            </w:r>
          </w:p>
        </w:tc>
      </w:tr>
    </w:tbl>
    <w:p w:rsidR="00693ED0" w:rsidRPr="00A20390" w:rsidRDefault="00693ED0" w:rsidP="00693ED0">
      <w:pPr>
        <w:pStyle w:val="ManualHeading2"/>
        <w:rPr>
          <w:noProof/>
        </w:rPr>
      </w:pPr>
      <w:bookmarkStart w:id="196" w:name="_Toc167220303"/>
      <w:bookmarkStart w:id="197" w:name="_Toc177549038"/>
      <w:r w:rsidRPr="00A20390">
        <w:rPr>
          <w:noProof/>
        </w:rPr>
        <w:t>4.2.</w:t>
      </w:r>
      <w:r w:rsidRPr="00A20390">
        <w:rPr>
          <w:noProof/>
        </w:rPr>
        <w:tab/>
        <w:t>Data</w:t>
      </w:r>
      <w:bookmarkEnd w:id="196"/>
      <w:bookmarkEnd w:id="197"/>
    </w:p>
    <w:tbl>
      <w:tblPr>
        <w:tblStyle w:val="TableGrid"/>
        <w:tblW w:w="0" w:type="auto"/>
        <w:tblLook w:val="04A0" w:firstRow="1" w:lastRow="0" w:firstColumn="1" w:lastColumn="0" w:noHBand="0" w:noVBand="1"/>
      </w:tblPr>
      <w:tblGrid>
        <w:gridCol w:w="9063"/>
      </w:tblGrid>
      <w:tr w:rsidR="00A20390" w:rsidRPr="00A20390">
        <w:tc>
          <w:tcPr>
            <w:tcW w:w="9063" w:type="dxa"/>
          </w:tcPr>
          <w:p w:rsidR="00693ED0" w:rsidRPr="00A20390" w:rsidRDefault="00693ED0">
            <w:pPr>
              <w:rPr>
                <w:noProof/>
              </w:rPr>
            </w:pPr>
            <w:r w:rsidRPr="00A20390">
              <w:rPr>
                <w:noProof/>
              </w:rPr>
              <w:t>Not applicable</w:t>
            </w:r>
          </w:p>
        </w:tc>
      </w:tr>
    </w:tbl>
    <w:p w:rsidR="00693ED0" w:rsidRPr="00A20390" w:rsidRDefault="00693ED0" w:rsidP="00693ED0">
      <w:pPr>
        <w:pStyle w:val="ManualHeading2"/>
        <w:rPr>
          <w:noProof/>
        </w:rPr>
      </w:pPr>
      <w:bookmarkStart w:id="198" w:name="_Toc167220305"/>
      <w:bookmarkStart w:id="199" w:name="_Toc177549039"/>
      <w:r w:rsidRPr="00A20390">
        <w:rPr>
          <w:noProof/>
        </w:rPr>
        <w:t>4.3.</w:t>
      </w:r>
      <w:r w:rsidRPr="00A20390">
        <w:rPr>
          <w:noProof/>
        </w:rPr>
        <w:tab/>
        <w:t>Digital solutions</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A20390">
        <w:tc>
          <w:tcPr>
            <w:tcW w:w="9067" w:type="dxa"/>
          </w:tcPr>
          <w:p w:rsidR="00693ED0" w:rsidRPr="00A20390" w:rsidRDefault="00693ED0">
            <w:pPr>
              <w:rPr>
                <w:noProof/>
              </w:rPr>
            </w:pPr>
            <w:r w:rsidRPr="00A20390">
              <w:rPr>
                <w:noProof/>
              </w:rPr>
              <w:t>Not applicable</w:t>
            </w:r>
          </w:p>
        </w:tc>
      </w:tr>
    </w:tbl>
    <w:p w:rsidR="00693ED0" w:rsidRPr="00A20390" w:rsidRDefault="00693ED0" w:rsidP="00693ED0">
      <w:pPr>
        <w:pStyle w:val="ManualHeading2"/>
        <w:rPr>
          <w:rStyle w:val="Emphasis"/>
          <w:b w:val="0"/>
          <w:bCs/>
          <w:i w:val="0"/>
          <w:iCs w:val="0"/>
          <w:noProof/>
        </w:rPr>
      </w:pPr>
      <w:bookmarkStart w:id="200" w:name="_Toc167220304"/>
      <w:bookmarkStart w:id="201" w:name="_Toc177549040"/>
      <w:r w:rsidRPr="00A20390">
        <w:rPr>
          <w:rStyle w:val="Emphasis"/>
          <w:bCs/>
          <w:noProof/>
        </w:rPr>
        <w:t>4.4.</w:t>
      </w:r>
      <w:r w:rsidRPr="00A20390">
        <w:rPr>
          <w:noProof/>
        </w:rPr>
        <w:tab/>
      </w:r>
      <w:r w:rsidRPr="00A20390">
        <w:rPr>
          <w:rStyle w:val="Emphasis"/>
          <w:bCs/>
          <w:noProof/>
        </w:rPr>
        <w:t>Interoperability assessment</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A20390">
        <w:trPr>
          <w:trHeight w:val="300"/>
        </w:trPr>
        <w:tc>
          <w:tcPr>
            <w:tcW w:w="9067" w:type="dxa"/>
          </w:tcPr>
          <w:p w:rsidR="00693ED0" w:rsidRPr="00A20390" w:rsidRDefault="00693ED0">
            <w:pPr>
              <w:rPr>
                <w:i/>
                <w:iCs/>
                <w:noProof/>
              </w:rPr>
            </w:pPr>
            <w:r w:rsidRPr="00A20390">
              <w:rPr>
                <w:noProof/>
              </w:rPr>
              <w:t>Not applicable</w:t>
            </w:r>
          </w:p>
        </w:tc>
      </w:tr>
    </w:tbl>
    <w:p w:rsidR="00693ED0" w:rsidRPr="00A20390" w:rsidRDefault="00693ED0" w:rsidP="00693ED0">
      <w:pPr>
        <w:pStyle w:val="ManualHeading2"/>
        <w:rPr>
          <w:noProof/>
        </w:rPr>
      </w:pPr>
      <w:bookmarkStart w:id="202" w:name="_Toc167220306"/>
      <w:bookmarkStart w:id="203" w:name="_Toc177549041"/>
      <w:r w:rsidRPr="00A20390">
        <w:rPr>
          <w:noProof/>
        </w:rPr>
        <w:t>4.5.</w:t>
      </w:r>
      <w:r w:rsidRPr="00A20390">
        <w:rPr>
          <w:noProof/>
        </w:rPr>
        <w:tab/>
        <w:t>Measures to support digital implementation</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A20390">
        <w:tc>
          <w:tcPr>
            <w:tcW w:w="9067" w:type="dxa"/>
          </w:tcPr>
          <w:p w:rsidR="00693ED0" w:rsidRPr="00A20390" w:rsidRDefault="00693ED0">
            <w:pPr>
              <w:rPr>
                <w:noProof/>
              </w:rPr>
            </w:pPr>
            <w:r w:rsidRPr="00A20390">
              <w:rPr>
                <w:noProof/>
              </w:rPr>
              <w:t>Not applicable</w:t>
            </w:r>
          </w:p>
        </w:tc>
      </w:tr>
      <w:bookmarkEnd w:id="192"/>
    </w:tbl>
    <w:p w:rsidR="00630251" w:rsidRPr="00A20390" w:rsidRDefault="00630251" w:rsidP="00693ED0">
      <w:pPr>
        <w:rPr>
          <w:noProof/>
        </w:rPr>
      </w:pPr>
    </w:p>
    <w:sectPr w:rsidR="00630251" w:rsidRPr="00A20390" w:rsidSect="00A05E51">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libri"/>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Pr="00A05E51" w:rsidRDefault="00A05E51" w:rsidP="00A05E51">
    <w:pPr>
      <w:pStyle w:val="Footer"/>
      <w:rPr>
        <w:rFonts w:ascii="Arial" w:hAnsi="Arial" w:cs="Arial"/>
        <w:b/>
        <w:sz w:val="48"/>
      </w:rPr>
    </w:pPr>
    <w:r w:rsidRPr="00A05E51">
      <w:rPr>
        <w:rFonts w:ascii="Arial" w:hAnsi="Arial" w:cs="Arial"/>
        <w:b/>
        <w:sz w:val="48"/>
      </w:rPr>
      <w:t>EN</w:t>
    </w:r>
    <w:r w:rsidRPr="00A05E51">
      <w:rPr>
        <w:rFonts w:ascii="Arial" w:hAnsi="Arial" w:cs="Arial"/>
        <w:b/>
        <w:sz w:val="48"/>
      </w:rPr>
      <w:tab/>
    </w:r>
    <w:r w:rsidRPr="00A05E51">
      <w:rPr>
        <w:rFonts w:ascii="Arial" w:hAnsi="Arial" w:cs="Arial"/>
        <w:b/>
        <w:sz w:val="48"/>
      </w:rPr>
      <w:tab/>
    </w:r>
    <w:r w:rsidRPr="00A05E51">
      <w:tab/>
    </w:r>
    <w:r w:rsidRPr="00A05E5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Pr="00A05E51" w:rsidRDefault="00A05E51" w:rsidP="00A05E51">
    <w:pPr>
      <w:pStyle w:val="Footer"/>
      <w:rPr>
        <w:rFonts w:ascii="Arial" w:hAnsi="Arial" w:cs="Arial"/>
        <w:b/>
        <w:sz w:val="48"/>
      </w:rPr>
    </w:pPr>
    <w:r w:rsidRPr="00A05E51">
      <w:rPr>
        <w:rFonts w:ascii="Arial" w:hAnsi="Arial" w:cs="Arial"/>
        <w:b/>
        <w:sz w:val="48"/>
      </w:rPr>
      <w:t>EN</w:t>
    </w:r>
    <w:r w:rsidRPr="00A05E51">
      <w:rPr>
        <w:rFonts w:ascii="Arial" w:hAnsi="Arial" w:cs="Arial"/>
        <w:b/>
        <w:sz w:val="48"/>
      </w:rPr>
      <w:tab/>
    </w:r>
    <w:r w:rsidRPr="00A05E51">
      <w:rPr>
        <w:rFonts w:ascii="Arial" w:hAnsi="Arial" w:cs="Arial"/>
        <w:b/>
        <w:sz w:val="48"/>
      </w:rPr>
      <w:tab/>
    </w:r>
    <w:r w:rsidRPr="00A05E51">
      <w:tab/>
    </w:r>
    <w:r w:rsidRPr="00A05E5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Default="00A05E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Pr="00A05E51" w:rsidRDefault="00A05E51" w:rsidP="00A05E51">
    <w:pPr>
      <w:pStyle w:val="Footer"/>
      <w:rPr>
        <w:rFonts w:ascii="Arial" w:hAnsi="Arial" w:cs="Arial"/>
        <w:b/>
        <w:sz w:val="48"/>
      </w:rPr>
    </w:pPr>
    <w:r w:rsidRPr="00A05E51">
      <w:rPr>
        <w:rFonts w:ascii="Arial" w:hAnsi="Arial" w:cs="Arial"/>
        <w:b/>
        <w:sz w:val="48"/>
      </w:rPr>
      <w:t>EN</w:t>
    </w:r>
    <w:r w:rsidRPr="00A05E51">
      <w:rPr>
        <w:rFonts w:ascii="Arial" w:hAnsi="Arial" w:cs="Arial"/>
        <w:b/>
        <w:sz w:val="48"/>
      </w:rPr>
      <w:tab/>
    </w:r>
    <w:r>
      <w:fldChar w:fldCharType="begin"/>
    </w:r>
    <w:r>
      <w:instrText xml:space="preserve"> PAGE  \* MERGEFORMAT </w:instrText>
    </w:r>
    <w:r>
      <w:fldChar w:fldCharType="separate"/>
    </w:r>
    <w:r w:rsidR="006E7D1C">
      <w:rPr>
        <w:noProof/>
      </w:rPr>
      <w:t>17</w:t>
    </w:r>
    <w:r>
      <w:fldChar w:fldCharType="end"/>
    </w:r>
    <w:r>
      <w:tab/>
    </w:r>
    <w:r w:rsidRPr="00A05E51">
      <w:tab/>
    </w:r>
    <w:r w:rsidRPr="00A05E5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Default="00A05E51" w:rsidP="00A05E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Pr="00A05E51" w:rsidRDefault="00A05E51" w:rsidP="00A05E51">
    <w:pPr>
      <w:pStyle w:val="FooterLandscape"/>
      <w:rPr>
        <w:rFonts w:ascii="Arial" w:hAnsi="Arial" w:cs="Arial"/>
        <w:b/>
        <w:sz w:val="48"/>
      </w:rPr>
    </w:pPr>
    <w:r w:rsidRPr="00A05E51">
      <w:rPr>
        <w:rFonts w:ascii="Arial" w:hAnsi="Arial" w:cs="Arial"/>
        <w:b/>
        <w:sz w:val="48"/>
      </w:rPr>
      <w:t>EN</w:t>
    </w:r>
    <w:r w:rsidRPr="00A05E5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05E51">
      <w:tab/>
    </w:r>
    <w:r w:rsidRPr="00A05E51">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Pr="00A05E51" w:rsidRDefault="00A05E51" w:rsidP="00A05E51">
    <w:pPr>
      <w:pStyle w:val="Footer"/>
      <w:rPr>
        <w:rFonts w:ascii="Arial" w:hAnsi="Arial" w:cs="Arial"/>
        <w:b/>
        <w:sz w:val="48"/>
      </w:rPr>
    </w:pPr>
    <w:r w:rsidRPr="00A05E51">
      <w:rPr>
        <w:rFonts w:ascii="Arial" w:hAnsi="Arial" w:cs="Arial"/>
        <w:b/>
        <w:sz w:val="48"/>
      </w:rPr>
      <w:t>EN</w:t>
    </w:r>
    <w:r w:rsidRPr="00A05E51">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05E51">
      <w:tab/>
    </w:r>
    <w:r w:rsidRPr="00A05E51">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rPr>
          <w:lang w:val="en-IE"/>
        </w:rPr>
      </w:pPr>
      <w:r>
        <w:rPr>
          <w:rStyle w:val="FootnoteReference"/>
        </w:rPr>
        <w:footnoteRef/>
      </w:r>
      <w:r>
        <w:rPr>
          <w:lang w:val="en-IE"/>
        </w:rPr>
        <w:tab/>
      </w:r>
      <w:r w:rsidRPr="00D1100E">
        <w:rPr>
          <w:lang w:val="en-IE"/>
        </w:rPr>
        <w:t xml:space="preserve">Directive 2013/32/EU of the European Parliament and of the Council of 26 June 2013 on common </w:t>
      </w:r>
      <w:r w:rsidRPr="00D1100E">
        <w:t>procedures for granting and withdrawing international protection (recast), OJ L 180, 29.6.2013, p. 60</w:t>
      </w:r>
      <w:r w:rsidRPr="00D1100E">
        <w:rPr>
          <w:lang w:val="en-IE"/>
        </w:rPr>
        <w:t>.</w:t>
      </w:r>
    </w:p>
  </w:footnote>
  <w:footnote w:id="3">
    <w:p w:rsidR="00023C72" w:rsidRPr="00D1100E" w:rsidRDefault="00023C72" w:rsidP="00FB2320">
      <w:pPr>
        <w:pStyle w:val="FootnoteText"/>
        <w:rPr>
          <w:lang w:val="en-IE"/>
        </w:rPr>
      </w:pPr>
      <w:r w:rsidRPr="00D1100E">
        <w:rPr>
          <w:rStyle w:val="FootnoteReference"/>
        </w:rPr>
        <w:footnoteRef/>
      </w:r>
      <w:r w:rsidRPr="00D1100E">
        <w:tab/>
      </w:r>
      <w:r w:rsidR="00FB2320" w:rsidRPr="00D1100E">
        <w:t>Regulation (EU) 2024/1348 of the European Parliament and of the Council of 14 May 2024 establishing a common procedure for international protection in the Union and repealing Directive 2013/32/EU, OJ L, 2024/1348, 22.5.2024.</w:t>
      </w:r>
    </w:p>
  </w:footnote>
  <w:footnote w:id="4">
    <w:p w:rsidR="00693ED0" w:rsidRPr="002A2C8A" w:rsidRDefault="00693ED0" w:rsidP="00693ED0">
      <w:pPr>
        <w:pStyle w:val="FootnoteText"/>
        <w:rPr>
          <w:lang w:val="en-IE"/>
        </w:rPr>
      </w:pPr>
      <w:r w:rsidRPr="00D1100E">
        <w:rPr>
          <w:rStyle w:val="FootnoteReference"/>
        </w:rPr>
        <w:footnoteRef/>
      </w:r>
      <w:r w:rsidRPr="00D1100E">
        <w:rPr>
          <w:lang w:val="en-IE"/>
        </w:rPr>
        <w:tab/>
        <w:t>Article 57(2) APR defines “effective</w:t>
      </w:r>
      <w:r w:rsidRPr="007C01AE">
        <w:rPr>
          <w:lang w:val="en-IE"/>
        </w:rPr>
        <w:t xml:space="preserve"> protection” to include: the right to remain pending the examination of the application for protection; adequate standard of living corresponding to the overall situation in the country; access to healthcare and education under the same terms as for nationals; and effective protection until the finding of a durable solution</w:t>
      </w:r>
      <w:r>
        <w:rPr>
          <w:lang w:val="en-IE"/>
        </w:rPr>
        <w:t xml:space="preserve">. </w:t>
      </w:r>
    </w:p>
  </w:footnote>
  <w:footnote w:id="5">
    <w:p w:rsidR="00BC5F81" w:rsidRPr="00E86087" w:rsidRDefault="00BC5F81" w:rsidP="00BC5F81">
      <w:pPr>
        <w:pStyle w:val="FootnoteText"/>
        <w:rPr>
          <w:lang w:val="en-IE"/>
        </w:rPr>
      </w:pPr>
      <w:r w:rsidRPr="00FB64B3">
        <w:rPr>
          <w:rStyle w:val="FootnoteReference"/>
        </w:rPr>
        <w:footnoteRef/>
      </w:r>
      <w:r w:rsidR="00FB64B3">
        <w:tab/>
      </w:r>
      <w:r w:rsidRPr="00B533D4">
        <w:rPr>
          <w:lang w:val="en-IE"/>
        </w:rPr>
        <w:t xml:space="preserve">Proposal for a </w:t>
      </w:r>
      <w:r>
        <w:rPr>
          <w:lang w:val="en-IE"/>
        </w:rPr>
        <w:t>Regulation of the European Parliament and of the Council</w:t>
      </w:r>
      <w:r w:rsidRPr="00B533D4">
        <w:rPr>
          <w:lang w:val="en-IE"/>
        </w:rPr>
        <w:t xml:space="preserve"> amending Regulation (EU) 2024/1348 as regards the establishment of a list of safe countries of origin at Union level</w:t>
      </w:r>
      <w:r>
        <w:rPr>
          <w:lang w:val="en-IE"/>
        </w:rPr>
        <w:t xml:space="preserve">, </w:t>
      </w:r>
      <w:r w:rsidRPr="00A06C5C">
        <w:rPr>
          <w:lang w:val="en-IE"/>
        </w:rPr>
        <w:t>COM(2025) 186 final</w:t>
      </w:r>
      <w:r>
        <w:rPr>
          <w:lang w:val="en-IE"/>
        </w:rPr>
        <w:t xml:space="preserve"> of 16.4.2025. </w:t>
      </w:r>
    </w:p>
  </w:footnote>
  <w:footnote w:id="6">
    <w:p w:rsidR="005C3255" w:rsidRPr="00FD5361" w:rsidRDefault="005C3255" w:rsidP="005C3255">
      <w:pPr>
        <w:pStyle w:val="FootnoteText"/>
        <w:rPr>
          <w:lang w:val="en-IE"/>
        </w:rPr>
      </w:pPr>
      <w:r w:rsidRPr="00FD5361">
        <w:rPr>
          <w:rStyle w:val="FootnoteReference"/>
        </w:rPr>
        <w:footnoteRef/>
      </w:r>
      <w:r w:rsidRPr="00FD5361">
        <w:rPr>
          <w:lang w:val="en-IE"/>
        </w:rPr>
        <w:tab/>
        <w:t>SWD</w:t>
      </w:r>
      <w:r w:rsidR="00B81098">
        <w:rPr>
          <w:lang w:val="en-IE"/>
        </w:rPr>
        <w:t xml:space="preserve"> </w:t>
      </w:r>
      <w:r w:rsidRPr="00FD5361">
        <w:rPr>
          <w:lang w:val="en-IE"/>
        </w:rPr>
        <w:t xml:space="preserve">(2025) </w:t>
      </w:r>
      <w:r w:rsidR="00B81098">
        <w:rPr>
          <w:lang w:val="en-IE"/>
        </w:rPr>
        <w:t>600 DG HOME SWD linked to safe third countries (STC) proposal</w:t>
      </w:r>
    </w:p>
  </w:footnote>
  <w:footnote w:id="7">
    <w:p w:rsidR="005C3255" w:rsidRPr="00FD5361" w:rsidRDefault="005C3255" w:rsidP="005C3255">
      <w:pPr>
        <w:pStyle w:val="FootnoteText"/>
        <w:rPr>
          <w:lang w:val="en-IE"/>
        </w:rPr>
      </w:pPr>
      <w:r>
        <w:rPr>
          <w:rStyle w:val="FootnoteReference"/>
        </w:rPr>
        <w:footnoteRef/>
      </w:r>
      <w:r>
        <w:rPr>
          <w:lang w:val="en-IE"/>
        </w:rPr>
        <w:tab/>
        <w:t>Under recital 46 of the APR, effective protection implies “</w:t>
      </w:r>
      <w:r w:rsidRPr="006C5668">
        <w:rPr>
          <w:lang w:val="en-IE"/>
        </w:rPr>
        <w:t>access to means of subsistence sufficient to maintain an adequate standard of living with regard to the overall situation of that hosting third country, access to healthcare and essential treatment of illnesses and to education under the conditions generally provided for in that third country</w:t>
      </w:r>
      <w:r>
        <w:rPr>
          <w:lang w:val="en-IE"/>
        </w:rPr>
        <w:t xml:space="preserve">”. </w:t>
      </w:r>
      <w:r w:rsidRPr="001675AC">
        <w:rPr>
          <w:lang w:val="en-IE"/>
        </w:rPr>
        <w:t>Furthermore, according to recital 51, “access to means of subsistence sufficient to maintain an adequate standard of living” should be understood as “including access to food, clothing, housing or shelter and the right to engage in gainful employment, for example through access to the labour market, under conditions not less favourable than those of non-nationals of the third country generally in the same circumstances”.</w:t>
      </w:r>
      <w:r>
        <w:rPr>
          <w:lang w:val="en-IE"/>
        </w:rPr>
        <w:t xml:space="preserve"> These requirements are by and large equivalent to what the 1951 Geneva Convention requires for refugees legally staying on the territory: </w:t>
      </w:r>
      <w:r w:rsidRPr="00EE5D8F">
        <w:rPr>
          <w:lang w:val="en-IE"/>
        </w:rPr>
        <w:t>the right to engage in wage-earning employment (Article 17 of the Geneva Convention), to housing (Article 21) and to self-employment (Article 18)</w:t>
      </w:r>
      <w:r>
        <w:rPr>
          <w:lang w:val="en-IE"/>
        </w:rPr>
        <w:t xml:space="preserve"> should be granted on terms as favourable as for third-country nationals legally residing in the country; </w:t>
      </w:r>
      <w:r w:rsidRPr="00EE5D8F">
        <w:rPr>
          <w:lang w:val="en-IE"/>
        </w:rPr>
        <w:t xml:space="preserve">the right of access to education (Article 22) and to social security </w:t>
      </w:r>
      <w:r w:rsidRPr="00FD5361">
        <w:rPr>
          <w:lang w:val="en-IE"/>
        </w:rPr>
        <w:t>and benefits (Article 24) should be given on the same terms as for nationals.</w:t>
      </w:r>
    </w:p>
  </w:footnote>
  <w:footnote w:id="8">
    <w:p w:rsidR="005C3255" w:rsidRPr="00FD5361" w:rsidRDefault="005C3255" w:rsidP="005C3255">
      <w:pPr>
        <w:pStyle w:val="FootnoteText"/>
        <w:rPr>
          <w:lang w:val="en-IE"/>
        </w:rPr>
      </w:pPr>
      <w:r w:rsidRPr="00C61BE9">
        <w:rPr>
          <w:rStyle w:val="FootnoteReference"/>
        </w:rPr>
        <w:footnoteRef/>
      </w:r>
      <w:r w:rsidR="00C61BE9">
        <w:tab/>
      </w:r>
      <w:r w:rsidRPr="00FD5361">
        <w:rPr>
          <w:lang w:val="en-IE"/>
        </w:rPr>
        <w:t xml:space="preserve">See section 3 of SWD (2025) </w:t>
      </w:r>
      <w:r w:rsidR="00B81098">
        <w:rPr>
          <w:lang w:val="en-IE"/>
        </w:rPr>
        <w:t>600 DG HOME SWD linked to safe third countries (STC) proposal</w:t>
      </w:r>
    </w:p>
  </w:footnote>
  <w:footnote w:id="9">
    <w:p w:rsidR="00D00F07" w:rsidRPr="00D556B2" w:rsidRDefault="00D00F07" w:rsidP="00D00F07">
      <w:pPr>
        <w:pStyle w:val="FootnoteText"/>
        <w:rPr>
          <w:lang w:val="en-IE"/>
        </w:rPr>
      </w:pPr>
      <w:r w:rsidRPr="00C61BE9">
        <w:rPr>
          <w:rStyle w:val="FootnoteReference"/>
        </w:rPr>
        <w:footnoteRef/>
      </w:r>
      <w:r w:rsidR="00C61BE9">
        <w:tab/>
      </w:r>
      <w:r w:rsidRPr="00FD5361">
        <w:rPr>
          <w:lang w:val="en-IE"/>
        </w:rPr>
        <w:t>See section 4 of SWD</w:t>
      </w:r>
      <w:r w:rsidR="00E25CFD" w:rsidRPr="00FD5361">
        <w:rPr>
          <w:lang w:val="en-IE"/>
        </w:rPr>
        <w:t xml:space="preserve"> (</w:t>
      </w:r>
      <w:r w:rsidRPr="00FD5361">
        <w:rPr>
          <w:lang w:val="en-IE"/>
        </w:rPr>
        <w:t xml:space="preserve">2025) </w:t>
      </w:r>
      <w:r w:rsidR="00B81098">
        <w:rPr>
          <w:lang w:val="en-IE"/>
        </w:rPr>
        <w:t>600 DG HOME SWD linked to safe third countries (STC) proposal</w:t>
      </w:r>
      <w:r w:rsidRPr="00FD5361">
        <w:rPr>
          <w:lang w:val="en-IE"/>
        </w:rPr>
        <w:t>.</w:t>
      </w:r>
    </w:p>
  </w:footnote>
  <w:footnote w:id="10">
    <w:p w:rsidR="00590C94" w:rsidRPr="00055071" w:rsidRDefault="00590C94" w:rsidP="00590C94">
      <w:pPr>
        <w:pStyle w:val="FootnoteText"/>
        <w:rPr>
          <w:lang w:val="en-IE"/>
        </w:rPr>
      </w:pPr>
      <w:r w:rsidRPr="005B1FF4">
        <w:rPr>
          <w:rStyle w:val="FootnoteReference"/>
        </w:rPr>
        <w:footnoteRef/>
      </w:r>
      <w:r>
        <w:tab/>
      </w:r>
      <w:r w:rsidRPr="001A418D">
        <w:rPr>
          <w:lang w:val="en-IE"/>
        </w:rPr>
        <w:t>Proposal for a Regulation of the European Parliament and of the Council establishing a common procedure for international protection in the Union and repealing Directive 2013/32/EU, COM/2016/0467 final - 2016/0224 (COD).</w:t>
      </w:r>
    </w:p>
  </w:footnote>
  <w:footnote w:id="11">
    <w:p w:rsidR="00C40C67" w:rsidRPr="00FD5361" w:rsidRDefault="00C40C67">
      <w:pPr>
        <w:pStyle w:val="FootnoteText"/>
        <w:rPr>
          <w:lang w:val="en-IE"/>
        </w:rPr>
      </w:pPr>
      <w:r w:rsidRPr="00FB64B3">
        <w:rPr>
          <w:rStyle w:val="FootnoteReference"/>
        </w:rPr>
        <w:footnoteRef/>
      </w:r>
      <w:r w:rsidR="00FB64B3" w:rsidRPr="00FD5361">
        <w:rPr>
          <w:lang w:val="en-IE"/>
        </w:rPr>
        <w:tab/>
      </w:r>
      <w:r w:rsidRPr="00FD5361">
        <w:rPr>
          <w:lang w:val="en-IE"/>
        </w:rPr>
        <w:t>COM(2025) 101 final.</w:t>
      </w:r>
    </w:p>
  </w:footnote>
  <w:footnote w:id="12">
    <w:p w:rsidR="00693ED0" w:rsidRPr="006E33AB" w:rsidRDefault="00693ED0" w:rsidP="00693ED0">
      <w:pPr>
        <w:pStyle w:val="FootnoteText"/>
      </w:pPr>
      <w:r>
        <w:rPr>
          <w:rStyle w:val="FootnoteReference"/>
        </w:rPr>
        <w:footnoteRef/>
      </w:r>
      <w:r>
        <w:rPr>
          <w:lang w:val="en-IE"/>
        </w:rPr>
        <w:tab/>
      </w:r>
      <w:r>
        <w:t xml:space="preserve">See for example </w:t>
      </w:r>
      <w:r w:rsidRPr="678FA0BB">
        <w:rPr>
          <w:lang w:val="en-IE"/>
        </w:rPr>
        <w:t xml:space="preserve">EUAA (2022): </w:t>
      </w:r>
      <w:hyperlink r:id="rId1">
        <w:r w:rsidRPr="678FA0BB">
          <w:rPr>
            <w:rStyle w:val="Hyperlink"/>
            <w:lang w:val="en-IE"/>
          </w:rPr>
          <w:t>Applying the Concept of Safe Countries in the Asylum Procedure</w:t>
        </w:r>
      </w:hyperlink>
      <w:r w:rsidRPr="678FA0BB">
        <w:rPr>
          <w:rStyle w:val="Hyperlink"/>
          <w:lang w:val="en-IE"/>
        </w:rPr>
        <w:t xml:space="preserve">; </w:t>
      </w:r>
      <w:r>
        <w:t xml:space="preserve">Osso, B., 'Unpacking the Safe Third Country Concept in the European Union: Borders, Legal Spaces, and Asylum in the Shadow of Externalization', </w:t>
      </w:r>
      <w:r w:rsidRPr="678FA0BB">
        <w:rPr>
          <w:i/>
          <w:iCs/>
        </w:rPr>
        <w:t>International Journal of Refugee Law</w:t>
      </w:r>
      <w:r>
        <w:t xml:space="preserve">, Vol. 35(3), October 2023. Thym, D., </w:t>
      </w:r>
      <w:r w:rsidRPr="678FA0BB">
        <w:rPr>
          <w:i/>
          <w:iCs/>
        </w:rPr>
        <w:t>Expert Opinion on Legal Requirements for Safe Third Countries in Asylum Law and Practical Implementation Options</w:t>
      </w:r>
      <w:r>
        <w:t>, April 2024.</w:t>
      </w:r>
    </w:p>
  </w:footnote>
  <w:footnote w:id="13">
    <w:p w:rsidR="00E9170B" w:rsidRPr="005476A0" w:rsidRDefault="00E9170B">
      <w:pPr>
        <w:pStyle w:val="FootnoteText"/>
        <w:rPr>
          <w:lang w:val="es-ES"/>
        </w:rPr>
      </w:pPr>
      <w:r>
        <w:rPr>
          <w:rStyle w:val="FootnoteReference"/>
        </w:rPr>
        <w:footnoteRef/>
      </w:r>
      <w:r w:rsidRPr="005476A0">
        <w:rPr>
          <w:lang w:val="es-ES"/>
        </w:rPr>
        <w:tab/>
        <w:t>FR, IT</w:t>
      </w:r>
      <w:r w:rsidR="009B581C" w:rsidRPr="005476A0">
        <w:rPr>
          <w:lang w:val="es-ES"/>
        </w:rPr>
        <w:t>,</w:t>
      </w:r>
      <w:r w:rsidRPr="005476A0">
        <w:rPr>
          <w:lang w:val="es-ES"/>
        </w:rPr>
        <w:t xml:space="preserve"> PL.</w:t>
      </w:r>
    </w:p>
  </w:footnote>
  <w:footnote w:id="14">
    <w:p w:rsidR="00E9170B" w:rsidRPr="005476A0" w:rsidRDefault="00E9170B">
      <w:pPr>
        <w:pStyle w:val="FootnoteText"/>
        <w:rPr>
          <w:lang w:val="es-ES"/>
        </w:rPr>
      </w:pPr>
      <w:r>
        <w:rPr>
          <w:rStyle w:val="FootnoteReference"/>
        </w:rPr>
        <w:footnoteRef/>
      </w:r>
      <w:r w:rsidRPr="005476A0">
        <w:rPr>
          <w:lang w:val="es-ES"/>
        </w:rPr>
        <w:tab/>
        <w:t>BG, EE, DE, EL, HU.</w:t>
      </w:r>
    </w:p>
  </w:footnote>
  <w:footnote w:id="15">
    <w:p w:rsidR="00E9170B" w:rsidRPr="00C87F7D" w:rsidRDefault="00E9170B">
      <w:pPr>
        <w:pStyle w:val="FootnoteText"/>
        <w:rPr>
          <w:lang w:val="en-IE"/>
        </w:rPr>
      </w:pPr>
      <w:r>
        <w:rPr>
          <w:rStyle w:val="FootnoteReference"/>
        </w:rPr>
        <w:footnoteRef/>
      </w:r>
      <w:r>
        <w:tab/>
      </w:r>
      <w:r w:rsidR="005459C8">
        <w:t>AT, BE, CY, DK, FI, HR, IE, LV, LT, MT, NL</w:t>
      </w:r>
      <w:r w:rsidR="009B581C">
        <w:t>,</w:t>
      </w:r>
      <w:r w:rsidR="005459C8">
        <w:t xml:space="preserve"> SE.</w:t>
      </w:r>
    </w:p>
  </w:footnote>
  <w:footnote w:id="16">
    <w:p w:rsidR="00E9170B" w:rsidRPr="00234F7B" w:rsidRDefault="00E9170B">
      <w:pPr>
        <w:pStyle w:val="FootnoteText"/>
        <w:rPr>
          <w:lang w:val="es-ES"/>
        </w:rPr>
      </w:pPr>
      <w:r>
        <w:rPr>
          <w:rStyle w:val="FootnoteReference"/>
        </w:rPr>
        <w:footnoteRef/>
      </w:r>
      <w:r w:rsidRPr="00234F7B">
        <w:rPr>
          <w:lang w:val="es-ES"/>
        </w:rPr>
        <w:tab/>
        <w:t>CZ, PT, RO, SK, SI</w:t>
      </w:r>
      <w:r w:rsidR="009B581C">
        <w:rPr>
          <w:lang w:val="es-ES"/>
        </w:rPr>
        <w:t>,</w:t>
      </w:r>
      <w:r w:rsidRPr="00234F7B">
        <w:rPr>
          <w:lang w:val="es-ES"/>
        </w:rPr>
        <w:t xml:space="preserve"> ES.</w:t>
      </w:r>
    </w:p>
  </w:footnote>
  <w:footnote w:id="17">
    <w:p w:rsidR="00693ED0" w:rsidRPr="00055071" w:rsidRDefault="00693ED0" w:rsidP="00693ED0">
      <w:pPr>
        <w:pStyle w:val="FootnoteText"/>
        <w:rPr>
          <w:lang w:val="en-IE"/>
        </w:rPr>
      </w:pPr>
      <w:r w:rsidRPr="005B1FF4">
        <w:rPr>
          <w:rStyle w:val="FootnoteReference"/>
        </w:rPr>
        <w:footnoteRef/>
      </w:r>
      <w:r>
        <w:tab/>
        <w:t>Regulation (EU) 2024/1348 of the European Parliament and of the Council of 14 May 2024 establishing a common procedure for international protection in the Union and repealing Directive 2013/32/EU (</w:t>
      </w:r>
      <w:r w:rsidRPr="00225C6C">
        <w:rPr>
          <w:lang w:val="en-IE"/>
        </w:rPr>
        <w:t>OJ L, 2024/1348, 22.5.2024, ELI: http://data.europa.eu/eli/reg/2024/1348/oj</w:t>
      </w:r>
      <w:r>
        <w:rPr>
          <w:lang w:val="en-IE"/>
        </w:rPr>
        <w:t>).</w:t>
      </w:r>
    </w:p>
  </w:footnote>
  <w:footnote w:id="18">
    <w:p w:rsidR="002E0F05" w:rsidRPr="000C2668" w:rsidRDefault="002E0F05">
      <w:pPr>
        <w:pStyle w:val="FootnoteText"/>
        <w:rPr>
          <w:lang w:val="en-IE"/>
        </w:rPr>
      </w:pPr>
      <w:r w:rsidRPr="00C61BE9">
        <w:rPr>
          <w:rStyle w:val="FootnoteReference"/>
        </w:rPr>
        <w:footnoteRef/>
      </w:r>
      <w:r w:rsidR="00C61BE9">
        <w:tab/>
      </w:r>
      <w:r w:rsidR="00414F2A" w:rsidRPr="00414F2A">
        <w:t xml:space="preserve">Directive (EU) 2024/1346 of the European Parliament and of the </w:t>
      </w:r>
      <w:r w:rsidR="00414F2A" w:rsidRPr="00037C21">
        <w:t>Council of 14 May 2024 laying down standards for the reception of applicants for international protection</w:t>
      </w:r>
      <w:r w:rsidR="00037C21" w:rsidRPr="00037C21">
        <w:t xml:space="preserve"> </w:t>
      </w:r>
      <w:r w:rsidR="00277178">
        <w:t>(</w:t>
      </w:r>
      <w:r w:rsidR="00037C21" w:rsidRPr="00FD5361">
        <w:t>OJ L, 2024/1346, 22.5.2024</w:t>
      </w:r>
      <w:r w:rsidR="00277178" w:rsidRPr="00277178">
        <w:t xml:space="preserve"> , ELI: http://data.europa.eu/eli/dir/2024/1346/oj</w:t>
      </w:r>
      <w:r w:rsidR="00277178">
        <w:t>).</w:t>
      </w:r>
    </w:p>
  </w:footnote>
  <w:footnote w:id="19">
    <w:p w:rsidR="00693ED0" w:rsidRDefault="00693ED0" w:rsidP="00693ED0">
      <w:pPr>
        <w:pStyle w:val="FootnoteText"/>
      </w:pPr>
      <w:r w:rsidRPr="00760368">
        <w:rPr>
          <w:rStyle w:val="FootnoteReference"/>
        </w:rPr>
        <w:footnoteRef/>
      </w:r>
      <w:r>
        <w:tab/>
        <w:t>As referred to in Article 58(2), point (a) or (b) of the Financial Regulation.</w:t>
      </w:r>
    </w:p>
  </w:footnote>
  <w:footnote w:id="20">
    <w:p w:rsidR="00693ED0" w:rsidRDefault="00693ED0" w:rsidP="00693ED0">
      <w:pPr>
        <w:pStyle w:val="FootnoteText"/>
        <w:jc w:val="left"/>
        <w:rPr>
          <w:szCs w:val="24"/>
        </w:rPr>
      </w:pPr>
      <w:r>
        <w:rPr>
          <w:rStyle w:val="FootnoteReference"/>
        </w:rPr>
        <w:footnoteRef/>
      </w:r>
      <w:r>
        <w:tab/>
        <w:t xml:space="preserve">Details of budget implementation methods and references to the Financial Regulation may be found on the BUDGpedia site: </w:t>
      </w:r>
      <w:hyperlink r:id="rId2" w:history="1">
        <w:r w:rsidRPr="00974254">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sidRPr="00760368">
        <w:rPr>
          <w:rStyle w:val="FootnoteReference"/>
        </w:rPr>
        <w:footnoteRef/>
      </w:r>
      <w:r>
        <w:tab/>
      </w:r>
      <w:r w:rsidRPr="003F0F80">
        <w:rPr>
          <w:color w:val="374151"/>
          <w:sz w:val="18"/>
          <w:szCs w:val="18"/>
        </w:rPr>
        <w:t>The necessary appropriations should be determined using the annual average cost figures available on the appropriate BUDGpedia webpage</w:t>
      </w:r>
      <w:r>
        <w:rPr>
          <w:rFonts w:ascii="Segoe UI" w:hAnsi="Segoe UI" w:cs="Segoe UI"/>
          <w:color w:val="374151"/>
        </w:rPr>
        <w:t>.</w:t>
      </w:r>
    </w:p>
  </w:footnote>
  <w:footnote w:id="22">
    <w:p w:rsidR="00693ED0" w:rsidRPr="00C2043F" w:rsidRDefault="00693ED0" w:rsidP="00693ED0">
      <w:pPr>
        <w:pStyle w:val="FootnoteText"/>
      </w:pPr>
      <w:r w:rsidRPr="00760368">
        <w:rPr>
          <w:rStyle w:val="FootnoteReference"/>
        </w:rPr>
        <w:footnoteRef/>
      </w:r>
      <w:r>
        <w:tab/>
      </w:r>
      <w:r w:rsidRPr="007974DD">
        <w:rPr>
          <w:sz w:val="18"/>
          <w:szCs w:val="18"/>
        </w:rPr>
        <w:t>Technical and/or administrative assistance and expenditure in support of the implementation of EU programmes and/or actions (former ‘BA’ lines), indirect research, direct research.</w:t>
      </w:r>
    </w:p>
  </w:footnote>
  <w:footnote w:id="23">
    <w:p w:rsidR="00693ED0" w:rsidRPr="001004A6" w:rsidRDefault="00693ED0" w:rsidP="00693ED0">
      <w:pPr>
        <w:pStyle w:val="FootnoteText"/>
      </w:pPr>
      <w:r w:rsidRPr="00760368">
        <w:rPr>
          <w:rStyle w:val="FootnoteReference"/>
        </w:rPr>
        <w:footnoteRef/>
      </w:r>
      <w:r>
        <w:tab/>
      </w:r>
      <w:r w:rsidRPr="003F0F80">
        <w:rPr>
          <w:color w:val="374151"/>
          <w:sz w:val="18"/>
          <w:szCs w:val="18"/>
        </w:rPr>
        <w:t>The necessary appropriations should be determined using the annual average cost figures available on the appropriate BUDGpedia webpage.</w:t>
      </w:r>
    </w:p>
  </w:footnote>
  <w:footnote w:id="24">
    <w:p w:rsidR="00693ED0" w:rsidRDefault="00693ED0" w:rsidP="00693ED0">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25">
    <w:p w:rsidR="00693ED0" w:rsidRDefault="00693ED0" w:rsidP="00693ED0">
      <w:pPr>
        <w:pStyle w:val="FootnoteText"/>
        <w:rPr>
          <w:szCs w:val="24"/>
        </w:rPr>
      </w:pPr>
      <w:r>
        <w:rPr>
          <w:rStyle w:val="FootnoteReference"/>
        </w:rPr>
        <w:footnoteRef/>
      </w:r>
      <w:r>
        <w:tab/>
        <w:t xml:space="preserve">As described in Section 1.3.2. ‘Specific objective(s)’ </w:t>
      </w:r>
    </w:p>
  </w:footnote>
  <w:footnote w:id="26">
    <w:p w:rsidR="00693ED0" w:rsidRPr="00F94A0A" w:rsidRDefault="00693ED0" w:rsidP="00693ED0">
      <w:pPr>
        <w:pStyle w:val="FootnoteText"/>
        <w:rPr>
          <w:lang w:val="en-IE"/>
        </w:rPr>
      </w:pPr>
      <w:r w:rsidRPr="00760368">
        <w:rPr>
          <w:rStyle w:val="FootnoteReference"/>
        </w:rPr>
        <w:footnoteRef/>
      </w:r>
      <w:r>
        <w:tab/>
      </w:r>
      <w:r>
        <w:rPr>
          <w:lang w:val="en-IE"/>
        </w:rPr>
        <w:t>Please specify below the table how many FTEs within the number indicated are already assigned to the management of the action and/or can be redeployed within your DG and what are your net needs.</w:t>
      </w:r>
    </w:p>
  </w:footnote>
  <w:footnote w:id="27">
    <w:p w:rsidR="00693ED0" w:rsidRDefault="00693ED0" w:rsidP="00693ED0">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Default="00A05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Default="00A05E51" w:rsidP="00A05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Pr="00A05E51" w:rsidRDefault="00A05E51" w:rsidP="00A05E51">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51" w:rsidRPr="00A05E51" w:rsidRDefault="00A05E51" w:rsidP="00A05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5-15 17:51: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4DB69ADD-799D-49D9-82F7-C8C0E3BD3890"/>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24/1348 as regards the application of the \u8216?safe third country\u8217? concept"/>
    <w:docVar w:name="LW_TYPE.DOC.CP" w:val="REGULATION OF THE EUROPEAN PARLIAMENT AND OF THE COUNCIL"/>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5903"/>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5A2D"/>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E7D1C"/>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5C5"/>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6C"/>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5E51"/>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B62"/>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70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val="fr-FR" w:eastAsia="en-GB"/>
    </w:rPr>
  </w:style>
  <w:style w:type="paragraph" w:styleId="ListBullet2">
    <w:name w:val="List Bullet 2"/>
    <w:basedOn w:val="Normal"/>
    <w:rsid w:val="00201A77"/>
    <w:pPr>
      <w:numPr>
        <w:numId w:val="8"/>
      </w:numPr>
    </w:pPr>
    <w:rPr>
      <w:rFonts w:eastAsia="Times New Roman"/>
      <w:lang w:val="fr-FR" w:eastAsia="en-GB"/>
    </w:rPr>
  </w:style>
  <w:style w:type="paragraph" w:styleId="ListBullet3">
    <w:name w:val="List Bullet 3"/>
    <w:basedOn w:val="Normal"/>
    <w:rsid w:val="00201A77"/>
    <w:pPr>
      <w:numPr>
        <w:numId w:val="9"/>
      </w:numPr>
    </w:pPr>
    <w:rPr>
      <w:rFonts w:eastAsia="Times New Roman"/>
      <w:lang w:val="fr-FR" w:eastAsia="en-GB"/>
    </w:rPr>
  </w:style>
  <w:style w:type="paragraph" w:styleId="ListNumber2">
    <w:name w:val="List Number 2"/>
    <w:basedOn w:val="Normal"/>
    <w:rsid w:val="00201A77"/>
    <w:pPr>
      <w:numPr>
        <w:numId w:val="13"/>
      </w:numPr>
    </w:pPr>
    <w:rPr>
      <w:rFonts w:eastAsia="Times New Roman"/>
      <w:lang w:val="fr-FR" w:eastAsia="en-GB"/>
    </w:rPr>
  </w:style>
  <w:style w:type="paragraph" w:styleId="ListNumber3">
    <w:name w:val="List Number 3"/>
    <w:basedOn w:val="Normal"/>
    <w:rsid w:val="00201A77"/>
    <w:pPr>
      <w:numPr>
        <w:numId w:val="14"/>
      </w:numPr>
    </w:pPr>
    <w:rPr>
      <w:rFonts w:eastAsia="Times New Roman"/>
      <w:lang w:val="fr-FR" w:eastAsia="en-GB"/>
    </w:rPr>
  </w:style>
  <w:style w:type="paragraph" w:styleId="ListNumber4">
    <w:name w:val="List Number 4"/>
    <w:basedOn w:val="Normal"/>
    <w:rsid w:val="00201A77"/>
    <w:pPr>
      <w:numPr>
        <w:numId w:val="15"/>
      </w:numPr>
    </w:pPr>
    <w:rPr>
      <w:rFonts w:eastAsia="Times New Roman"/>
      <w:lang w:val="fr-FR" w:eastAsia="en-GB"/>
    </w:rPr>
  </w:style>
  <w:style w:type="paragraph" w:customStyle="1" w:styleId="ListDash3">
    <w:name w:val="List Dash 3"/>
    <w:basedOn w:val="Normal"/>
    <w:rsid w:val="00201A77"/>
    <w:pPr>
      <w:numPr>
        <w:numId w:val="10"/>
      </w:numPr>
    </w:pPr>
    <w:rPr>
      <w:rFonts w:eastAsia="Times New Roman"/>
      <w:lang w:val="fr-FR" w:eastAsia="en-GB"/>
    </w:rPr>
  </w:style>
  <w:style w:type="paragraph" w:customStyle="1" w:styleId="ListDash4">
    <w:name w:val="List Dash 4"/>
    <w:basedOn w:val="Normal"/>
    <w:rsid w:val="00201A77"/>
    <w:pPr>
      <w:numPr>
        <w:numId w:val="11"/>
      </w:numPr>
    </w:pPr>
    <w:rPr>
      <w:rFonts w:eastAsia="Times New Roman"/>
      <w:lang w:val="fr-FR" w:eastAsia="en-GB"/>
    </w:rPr>
  </w:style>
  <w:style w:type="paragraph" w:customStyle="1" w:styleId="ListNumber1">
    <w:name w:val="List Number 1"/>
    <w:basedOn w:val="Text1"/>
    <w:rsid w:val="00201A77"/>
    <w:pPr>
      <w:numPr>
        <w:numId w:val="12"/>
      </w:numPr>
    </w:pPr>
    <w:rPr>
      <w:rFonts w:eastAsia="Times New Roman"/>
      <w:lang w:val="fr-FR" w:eastAsia="en-GB"/>
    </w:rPr>
  </w:style>
  <w:style w:type="paragraph" w:customStyle="1" w:styleId="ListNumber1Level2">
    <w:name w:val="List Number 1 (Level 2)"/>
    <w:basedOn w:val="Text1"/>
    <w:rsid w:val="00201A77"/>
    <w:pPr>
      <w:numPr>
        <w:ilvl w:val="1"/>
        <w:numId w:val="12"/>
      </w:numPr>
    </w:pPr>
    <w:rPr>
      <w:rFonts w:eastAsia="Times New Roman"/>
      <w:lang w:val="fr-FR" w:eastAsia="en-GB"/>
    </w:rPr>
  </w:style>
  <w:style w:type="paragraph" w:customStyle="1" w:styleId="ListNumber2Level2">
    <w:name w:val="List Number 2 (Level 2)"/>
    <w:basedOn w:val="Text2"/>
    <w:rsid w:val="00201A77"/>
    <w:pPr>
      <w:numPr>
        <w:ilvl w:val="1"/>
        <w:numId w:val="13"/>
      </w:numPr>
    </w:pPr>
    <w:rPr>
      <w:rFonts w:eastAsia="Times New Roman"/>
      <w:lang w:val="fr-FR" w:eastAsia="en-GB"/>
    </w:rPr>
  </w:style>
  <w:style w:type="paragraph" w:customStyle="1" w:styleId="ListNumber3Level2">
    <w:name w:val="List Number 3 (Level 2)"/>
    <w:basedOn w:val="Text3"/>
    <w:rsid w:val="00201A77"/>
    <w:pPr>
      <w:numPr>
        <w:ilvl w:val="1"/>
        <w:numId w:val="14"/>
      </w:numPr>
    </w:pPr>
    <w:rPr>
      <w:rFonts w:eastAsia="Times New Roman"/>
      <w:lang w:val="fr-FR" w:eastAsia="en-GB"/>
    </w:rPr>
  </w:style>
  <w:style w:type="paragraph" w:customStyle="1" w:styleId="ListNumber4Level2">
    <w:name w:val="List Number 4 (Level 2)"/>
    <w:basedOn w:val="Text4"/>
    <w:rsid w:val="00201A77"/>
    <w:pPr>
      <w:numPr>
        <w:ilvl w:val="1"/>
        <w:numId w:val="15"/>
      </w:numPr>
    </w:pPr>
    <w:rPr>
      <w:rFonts w:eastAsia="Times New Roman"/>
      <w:lang w:val="fr-FR" w:eastAsia="en-GB"/>
    </w:rPr>
  </w:style>
  <w:style w:type="paragraph" w:customStyle="1" w:styleId="ListNumber1Level3">
    <w:name w:val="List Number 1 (Level 3)"/>
    <w:basedOn w:val="Text1"/>
    <w:rsid w:val="00201A77"/>
    <w:pPr>
      <w:numPr>
        <w:ilvl w:val="2"/>
        <w:numId w:val="12"/>
      </w:numPr>
    </w:pPr>
    <w:rPr>
      <w:rFonts w:eastAsia="Times New Roman"/>
      <w:lang w:val="fr-FR" w:eastAsia="en-GB"/>
    </w:rPr>
  </w:style>
  <w:style w:type="paragraph" w:customStyle="1" w:styleId="ListNumber2Level3">
    <w:name w:val="List Number 2 (Level 3)"/>
    <w:basedOn w:val="Text2"/>
    <w:rsid w:val="00201A77"/>
    <w:pPr>
      <w:numPr>
        <w:ilvl w:val="2"/>
        <w:numId w:val="13"/>
      </w:numPr>
    </w:pPr>
    <w:rPr>
      <w:rFonts w:eastAsia="Times New Roman"/>
      <w:lang w:val="fr-FR" w:eastAsia="en-GB"/>
    </w:rPr>
  </w:style>
  <w:style w:type="paragraph" w:customStyle="1" w:styleId="ListNumber3Level3">
    <w:name w:val="List Number 3 (Level 3)"/>
    <w:basedOn w:val="Text3"/>
    <w:rsid w:val="00201A77"/>
    <w:pPr>
      <w:numPr>
        <w:ilvl w:val="2"/>
        <w:numId w:val="14"/>
      </w:numPr>
    </w:pPr>
    <w:rPr>
      <w:rFonts w:eastAsia="Times New Roman"/>
      <w:lang w:val="fr-FR" w:eastAsia="en-GB"/>
    </w:rPr>
  </w:style>
  <w:style w:type="paragraph" w:customStyle="1" w:styleId="ListNumber4Level3">
    <w:name w:val="List Number 4 (Level 3)"/>
    <w:basedOn w:val="Text4"/>
    <w:rsid w:val="00201A77"/>
    <w:pPr>
      <w:numPr>
        <w:ilvl w:val="2"/>
        <w:numId w:val="15"/>
      </w:numPr>
    </w:pPr>
    <w:rPr>
      <w:rFonts w:eastAsia="Times New Roman"/>
      <w:lang w:val="fr-FR" w:eastAsia="en-GB"/>
    </w:rPr>
  </w:style>
  <w:style w:type="paragraph" w:customStyle="1" w:styleId="ListNumber1Level4">
    <w:name w:val="List Number 1 (Level 4)"/>
    <w:basedOn w:val="Text1"/>
    <w:rsid w:val="00201A77"/>
    <w:pPr>
      <w:numPr>
        <w:ilvl w:val="3"/>
        <w:numId w:val="12"/>
      </w:numPr>
    </w:pPr>
    <w:rPr>
      <w:rFonts w:eastAsia="Times New Roman"/>
      <w:lang w:val="fr-FR" w:eastAsia="en-GB"/>
    </w:rPr>
  </w:style>
  <w:style w:type="paragraph" w:customStyle="1" w:styleId="ListNumber2Level4">
    <w:name w:val="List Number 2 (Level 4)"/>
    <w:basedOn w:val="Text2"/>
    <w:rsid w:val="00201A77"/>
    <w:pPr>
      <w:numPr>
        <w:ilvl w:val="3"/>
        <w:numId w:val="13"/>
      </w:numPr>
    </w:pPr>
    <w:rPr>
      <w:rFonts w:eastAsia="Times New Roman"/>
      <w:lang w:val="fr-FR" w:eastAsia="en-GB"/>
    </w:rPr>
  </w:style>
  <w:style w:type="paragraph" w:customStyle="1" w:styleId="ListNumber3Level4">
    <w:name w:val="List Number 3 (Level 4)"/>
    <w:basedOn w:val="Text3"/>
    <w:rsid w:val="00201A77"/>
    <w:pPr>
      <w:numPr>
        <w:ilvl w:val="3"/>
        <w:numId w:val="14"/>
      </w:numPr>
    </w:pPr>
    <w:rPr>
      <w:rFonts w:eastAsia="Times New Roman"/>
      <w:lang w:val="fr-FR" w:eastAsia="en-GB"/>
    </w:rPr>
  </w:style>
  <w:style w:type="paragraph" w:customStyle="1" w:styleId="ListNumber4Level4">
    <w:name w:val="List Number 4 (Level 4)"/>
    <w:basedOn w:val="Text4"/>
    <w:rsid w:val="00201A77"/>
    <w:pPr>
      <w:numPr>
        <w:ilvl w:val="3"/>
        <w:numId w:val="15"/>
      </w:numPr>
    </w:pPr>
    <w:rPr>
      <w:rFonts w:eastAsia="Times New Roman"/>
      <w:lang w:val="fr-FR" w:eastAsia="en-GB"/>
    </w:rPr>
  </w:style>
  <w:style w:type="paragraph" w:customStyle="1" w:styleId="Annexetitreacte">
    <w:name w:val="Annexe titre (acte)"/>
    <w:basedOn w:val="Normal"/>
    <w:next w:val="Normal"/>
    <w:rsid w:val="00201A77"/>
    <w:pPr>
      <w:jc w:val="center"/>
    </w:pPr>
    <w:rPr>
      <w:rFonts w:eastAsia="Times New Roman"/>
      <w:b/>
      <w:u w:val="single"/>
      <w:lang w:val="fr-FR" w:eastAsia="en-GB"/>
    </w:rPr>
  </w:style>
  <w:style w:type="paragraph" w:customStyle="1" w:styleId="Annexetitreexposglobal">
    <w:name w:val="Annexe titre (exposé global)"/>
    <w:basedOn w:val="Normal"/>
    <w:next w:val="Normal"/>
    <w:rsid w:val="00201A77"/>
    <w:pPr>
      <w:jc w:val="center"/>
    </w:pPr>
    <w:rPr>
      <w:rFonts w:eastAsia="Times New Roman"/>
      <w:b/>
      <w:u w:val="single"/>
      <w:lang w:val="fr-FR" w:eastAsia="en-GB"/>
    </w:rPr>
  </w:style>
  <w:style w:type="paragraph" w:customStyle="1" w:styleId="Annexetitrefichefinacte">
    <w:name w:val="Annexe titre (fiche fin. acte)"/>
    <w:basedOn w:val="Normal"/>
    <w:next w:val="Normal"/>
    <w:rsid w:val="00201A77"/>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val="fr-FR" w:eastAsia="en-GB"/>
    </w:rPr>
  </w:style>
  <w:style w:type="paragraph" w:customStyle="1" w:styleId="Annexetitreglobale">
    <w:name w:val="Annexe titre (globale)"/>
    <w:basedOn w:val="Normal"/>
    <w:next w:val="Normal"/>
    <w:rsid w:val="00201A77"/>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val="fr-FR" w:eastAsia="en-GB"/>
    </w:rPr>
  </w:style>
  <w:style w:type="paragraph" w:customStyle="1" w:styleId="Langueoriginale">
    <w:name w:val="Langue originale"/>
    <w:basedOn w:val="Normal"/>
    <w:rsid w:val="00201A77"/>
    <w:pPr>
      <w:spacing w:before="360"/>
      <w:jc w:val="center"/>
    </w:pPr>
    <w:rPr>
      <w:rFonts w:eastAsia="Times New Roman"/>
      <w:caps/>
      <w:lang w:val="fr-FR" w:eastAsia="en-GB"/>
    </w:rPr>
  </w:style>
  <w:style w:type="paragraph" w:customStyle="1" w:styleId="Phrasefinale">
    <w:name w:val="Phrase finale"/>
    <w:basedOn w:val="Normal"/>
    <w:next w:val="Normal"/>
    <w:rsid w:val="00201A77"/>
    <w:pPr>
      <w:spacing w:before="360" w:after="0"/>
      <w:jc w:val="center"/>
    </w:pPr>
    <w:rPr>
      <w:rFonts w:eastAsia="Times New Roman"/>
      <w:lang w:val="fr-FR" w:eastAsia="en-GB"/>
    </w:rPr>
  </w:style>
  <w:style w:type="paragraph" w:customStyle="1" w:styleId="Prliminairetitre">
    <w:name w:val="Préliminaire titre"/>
    <w:basedOn w:val="Normal"/>
    <w:next w:val="Normal"/>
    <w:rsid w:val="00201A77"/>
    <w:pPr>
      <w:spacing w:before="360" w:after="360"/>
      <w:jc w:val="center"/>
    </w:pPr>
    <w:rPr>
      <w:rFonts w:eastAsia="Times New Roman"/>
      <w:b/>
      <w:lang w:val="fr-FR" w:eastAsia="en-GB"/>
    </w:rPr>
  </w:style>
  <w:style w:type="paragraph" w:customStyle="1" w:styleId="Prliminairetype">
    <w:name w:val="Préliminaire type"/>
    <w:basedOn w:val="Normal"/>
    <w:next w:val="Normal"/>
    <w:rsid w:val="00201A77"/>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201A77"/>
    <w:pPr>
      <w:spacing w:before="0" w:after="0"/>
      <w:jc w:val="center"/>
    </w:pPr>
    <w:rPr>
      <w:rFonts w:eastAsia="Times New Roman"/>
      <w:b/>
      <w:lang w:val="fr-FR" w:eastAsia="en-GB"/>
    </w:rPr>
  </w:style>
  <w:style w:type="paragraph" w:customStyle="1" w:styleId="Statutprliminaire">
    <w:name w:val="Statut (préliminaire)"/>
    <w:basedOn w:val="Normal"/>
    <w:next w:val="Normal"/>
    <w:rsid w:val="00201A77"/>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val="fr-FR"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val="fr-FR"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201A77"/>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fr-FR" w:eastAsia="en-GB"/>
    </w:rPr>
  </w:style>
  <w:style w:type="paragraph" w:styleId="Caption">
    <w:name w:val="caption"/>
    <w:basedOn w:val="Normal"/>
    <w:next w:val="Normal"/>
    <w:qFormat/>
    <w:rsid w:val="00201A77"/>
    <w:rPr>
      <w:rFonts w:eastAsia="Times New Roman"/>
      <w:b/>
      <w:bCs/>
      <w:sz w:val="20"/>
      <w:szCs w:val="20"/>
      <w:lang w:val="fr-FR" w:eastAsia="en-GB"/>
    </w:rPr>
  </w:style>
  <w:style w:type="paragraph" w:styleId="TableofFigures">
    <w:name w:val="table of figures"/>
    <w:basedOn w:val="Normal"/>
    <w:next w:val="Normal"/>
    <w:rsid w:val="00201A77"/>
    <w:rPr>
      <w:rFonts w:eastAsia="Times New Roman"/>
      <w:lang w:val="fr-FR"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en-GB"/>
    </w:rPr>
  </w:style>
  <w:style w:type="character" w:customStyle="1" w:styleId="FooterCoverPageChar">
    <w:name w:val="Footer Cover Page Char"/>
    <w:link w:val="FooterCoverPage"/>
    <w:rsid w:val="00201A77"/>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en-GB" w:eastAsia="en-GB"/>
    </w:rPr>
  </w:style>
  <w:style w:type="character" w:customStyle="1" w:styleId="FooterSensitivityChar">
    <w:name w:val="Footer Sensitivity Char"/>
    <w:rsid w:val="00201A77"/>
    <w:rPr>
      <w:rFonts w:ascii="Times New Roman" w:hAnsi="Times New Roman" w:cs="Times New Roman"/>
      <w:b/>
      <w:sz w:val="32"/>
      <w:lang w:val="en-GB"/>
    </w:rPr>
  </w:style>
  <w:style w:type="character" w:customStyle="1" w:styleId="HeaderSensitivityChar">
    <w:name w:val="Header Sensitivity Char"/>
    <w:rsid w:val="00201A77"/>
    <w:rPr>
      <w:rFonts w:ascii="Times New Roman" w:hAnsi="Times New Roman" w:cs="Times New Roman"/>
      <w:b/>
      <w:sz w:val="32"/>
      <w:lang w:val="en-GB"/>
    </w:rPr>
  </w:style>
  <w:style w:type="character" w:customStyle="1" w:styleId="HeaderSensitivityRightChar">
    <w:name w:val="Header Sensitivity Right Char"/>
    <w:rsid w:val="00201A77"/>
    <w:rPr>
      <w:rFonts w:ascii="Times New Roman" w:hAnsi="Times New Roman" w:cs="Times New Roman"/>
      <w:sz w:val="28"/>
      <w:lang w:val="en-GB"/>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
    <w:name w:val="Mention"/>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lang w:val="en-US"/>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en-GB"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HeaderChar">
    <w:name w:val="Header Char"/>
    <w:basedOn w:val="DefaultParagraphFont"/>
    <w:link w:val="Header"/>
    <w:uiPriority w:val="99"/>
    <w:rsid w:val="00A05E51"/>
    <w:rPr>
      <w:rFonts w:ascii="Times New Roman" w:hAnsi="Times New Roman" w:cs="Times New Roman"/>
      <w:sz w:val="24"/>
      <w:lang w:val="en-GB"/>
    </w:rPr>
  </w:style>
  <w:style w:type="character" w:customStyle="1" w:styleId="FooterChar">
    <w:name w:val="Footer Char"/>
    <w:basedOn w:val="DefaultParagraphFont"/>
    <w:link w:val="Footer"/>
    <w:uiPriority w:val="99"/>
    <w:rsid w:val="00A05E51"/>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A05E5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05E51"/>
    <w:pPr>
      <w:spacing w:before="0"/>
      <w:jc w:val="right"/>
    </w:pPr>
    <w:rPr>
      <w:sz w:val="28"/>
    </w:rPr>
  </w:style>
  <w:style w:type="paragraph" w:customStyle="1" w:styleId="FooterSensitivity">
    <w:name w:val="Footer Sensitivity"/>
    <w:basedOn w:val="Normal"/>
    <w:rsid w:val="00A05E5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05E51"/>
    <w:pPr>
      <w:tabs>
        <w:tab w:val="center" w:pos="4535"/>
        <w:tab w:val="right" w:pos="9071"/>
      </w:tabs>
      <w:spacing w:before="0"/>
    </w:pPr>
  </w:style>
  <w:style w:type="paragraph" w:customStyle="1" w:styleId="HeaderLandscape">
    <w:name w:val="HeaderLandscape"/>
    <w:basedOn w:val="Normal"/>
    <w:rsid w:val="00A05E51"/>
    <w:pPr>
      <w:tabs>
        <w:tab w:val="center" w:pos="7285"/>
        <w:tab w:val="right" w:pos="14003"/>
      </w:tabs>
      <w:spacing w:before="0"/>
    </w:pPr>
  </w:style>
  <w:style w:type="paragraph" w:styleId="Footer">
    <w:name w:val="footer"/>
    <w:basedOn w:val="Normal"/>
    <w:link w:val="FooterChar"/>
    <w:uiPriority w:val="99"/>
    <w:unhideWhenUsed/>
    <w:rsid w:val="00A05E5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05E5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1A1A17-46B5-463E-94AD-F9ED0DE8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26</Pages>
  <Words>11813</Words>
  <Characters>67336</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78992</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15</cp:revision>
  <cp:lastPrinted>2025-05-15T14:05:00Z</cp:lastPrinted>
  <dcterms:created xsi:type="dcterms:W3CDTF">2025-05-20T08:49:00Z</dcterms:created>
  <dcterms:modified xsi:type="dcterms:W3CDTF">2025-05-20T10:05:00Z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Yellow (DQC version 03)</vt:lpwstr>
  </property>
</Properties>
</file>