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0EC" w:rsidRPr="003E79AD" w:rsidRDefault="00FB6944" w:rsidP="00FB694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2C5F3AB-D90D-4750-BDA0-3D3188FEE142" style="width:455.25pt;height:369.75pt">
            <v:imagedata r:id="rId7" o:title=""/>
          </v:shape>
        </w:pict>
      </w:r>
    </w:p>
    <w:p w:rsidR="005010EC" w:rsidRPr="003E79AD" w:rsidRDefault="005010EC" w:rsidP="005010EC">
      <w:pPr>
        <w:rPr>
          <w:noProof/>
        </w:rPr>
        <w:sectPr w:rsidR="005010EC" w:rsidRPr="003E79AD" w:rsidSect="00FB6944">
          <w:footerReference w:type="even" r:id="rId8"/>
          <w:footerReference w:type="default" r:id="rId9"/>
          <w:pgSz w:w="11907" w:h="16839"/>
          <w:pgMar w:top="1134" w:right="1417" w:bottom="1134" w:left="1417" w:header="709" w:footer="709" w:gutter="0"/>
          <w:pgNumType w:start="0"/>
          <w:cols w:space="720"/>
          <w:docGrid w:linePitch="360"/>
        </w:sectPr>
      </w:pPr>
    </w:p>
    <w:p w:rsidR="005010EC" w:rsidRPr="003E79AD" w:rsidRDefault="005010EC" w:rsidP="00316BFC">
      <w:pPr>
        <w:pStyle w:val="Exposdesmotifstitre"/>
        <w:rPr>
          <w:noProof/>
        </w:rPr>
      </w:pPr>
      <w:bookmarkStart w:id="0" w:name="_GoBack"/>
      <w:bookmarkEnd w:id="0"/>
      <w:r w:rsidRPr="003E79AD">
        <w:rPr>
          <w:noProof/>
        </w:rPr>
        <w:lastRenderedPageBreak/>
        <w:t>DÔVODOVÁ SPRÁVA</w:t>
      </w:r>
    </w:p>
    <w:p w:rsidR="005010EC" w:rsidRPr="003E79AD" w:rsidRDefault="005C2156" w:rsidP="005C2156">
      <w:pPr>
        <w:pStyle w:val="ManualHeading1"/>
        <w:rPr>
          <w:noProof/>
        </w:rPr>
      </w:pPr>
      <w:r w:rsidRPr="005C2156">
        <w:rPr>
          <w:noProof/>
        </w:rPr>
        <w:t>1.</w:t>
      </w:r>
      <w:r w:rsidRPr="005C2156">
        <w:rPr>
          <w:noProof/>
        </w:rPr>
        <w:tab/>
      </w:r>
      <w:r w:rsidR="005010EC" w:rsidRPr="003E79AD">
        <w:rPr>
          <w:noProof/>
        </w:rPr>
        <w:t>Predmet návrhu</w:t>
      </w:r>
    </w:p>
    <w:p w:rsidR="005010EC" w:rsidRPr="003E79AD" w:rsidRDefault="005010EC" w:rsidP="005010EC">
      <w:pPr>
        <w:rPr>
          <w:noProof/>
        </w:rPr>
      </w:pPr>
      <w:r w:rsidRPr="003E79AD">
        <w:rPr>
          <w:noProof/>
        </w:rPr>
        <w:t>Tento návrh sa týka rozhodnutia Rady</w:t>
      </w:r>
      <w:r w:rsidR="003E79AD">
        <w:rPr>
          <w:noProof/>
        </w:rPr>
        <w:t xml:space="preserve"> o </w:t>
      </w:r>
      <w:r w:rsidRPr="003E79AD">
        <w:rPr>
          <w:noProof/>
        </w:rPr>
        <w:t>pozícii, ktorú má Komisia zaujať</w:t>
      </w:r>
      <w:r w:rsidR="003E79AD">
        <w:rPr>
          <w:noProof/>
        </w:rPr>
        <w:t xml:space="preserve"> v </w:t>
      </w:r>
      <w:r w:rsidRPr="003E79AD">
        <w:rPr>
          <w:noProof/>
        </w:rPr>
        <w:t>mene Európskej únie</w:t>
      </w:r>
      <w:r w:rsidR="003E79AD">
        <w:rPr>
          <w:noProof/>
        </w:rPr>
        <w:t xml:space="preserve"> v </w:t>
      </w:r>
      <w:r w:rsidRPr="003E79AD">
        <w:rPr>
          <w:noProof/>
        </w:rPr>
        <w:t>rámci písomného postupu účastníkov Dohody</w:t>
      </w:r>
      <w:r w:rsidR="003E79AD">
        <w:rPr>
          <w:noProof/>
        </w:rPr>
        <w:t xml:space="preserve"> o </w:t>
      </w:r>
      <w:r w:rsidRPr="003E79AD">
        <w:rPr>
          <w:noProof/>
        </w:rPr>
        <w:t>štátom podporovaných vývozných úveroch (ďalej len „dohoda“). Cieľom písomného postupu je dohodnúť sa na spoločnom stanovisku, pokiaľ ide</w:t>
      </w:r>
      <w:r w:rsidR="003E79AD">
        <w:rPr>
          <w:noProof/>
        </w:rPr>
        <w:t xml:space="preserve"> o </w:t>
      </w:r>
      <w:r w:rsidRPr="003E79AD">
        <w:rPr>
          <w:noProof/>
        </w:rPr>
        <w:t>priznanie oprávnenosti Ukrajiny na získanie viazanej pomoci.</w:t>
      </w:r>
    </w:p>
    <w:p w:rsidR="005010EC" w:rsidRPr="003E79AD" w:rsidRDefault="005C2156" w:rsidP="005C2156">
      <w:pPr>
        <w:pStyle w:val="ManualHeading1"/>
        <w:rPr>
          <w:noProof/>
        </w:rPr>
      </w:pPr>
      <w:r w:rsidRPr="005C2156">
        <w:rPr>
          <w:noProof/>
        </w:rPr>
        <w:t>2.</w:t>
      </w:r>
      <w:r w:rsidRPr="005C2156">
        <w:rPr>
          <w:noProof/>
        </w:rPr>
        <w:tab/>
      </w:r>
      <w:r w:rsidR="005010EC" w:rsidRPr="003E79AD">
        <w:rPr>
          <w:noProof/>
        </w:rPr>
        <w:t>Kontext návrhu</w:t>
      </w:r>
    </w:p>
    <w:p w:rsidR="005010EC" w:rsidRPr="003E79AD" w:rsidRDefault="005C2156" w:rsidP="005C2156">
      <w:pPr>
        <w:pStyle w:val="ManualHeading2"/>
        <w:rPr>
          <w:noProof/>
        </w:rPr>
      </w:pPr>
      <w:r w:rsidRPr="005C2156">
        <w:rPr>
          <w:noProof/>
        </w:rPr>
        <w:t>2.1.</w:t>
      </w:r>
      <w:r w:rsidRPr="005C2156">
        <w:rPr>
          <w:noProof/>
        </w:rPr>
        <w:tab/>
      </w:r>
      <w:r w:rsidR="005010EC" w:rsidRPr="003E79AD">
        <w:rPr>
          <w:noProof/>
        </w:rPr>
        <w:t>Dohoda</w:t>
      </w:r>
      <w:r w:rsidR="003E79AD">
        <w:rPr>
          <w:noProof/>
        </w:rPr>
        <w:t xml:space="preserve"> o </w:t>
      </w:r>
      <w:r w:rsidR="005010EC" w:rsidRPr="003E79AD">
        <w:rPr>
          <w:noProof/>
        </w:rPr>
        <w:t>štátom podporovaných vývozných úveroch</w:t>
      </w:r>
    </w:p>
    <w:p w:rsidR="003E79AD" w:rsidRDefault="005010EC" w:rsidP="005010EC">
      <w:pPr>
        <w:rPr>
          <w:noProof/>
        </w:rPr>
      </w:pPr>
      <w:r w:rsidRPr="003E79AD">
        <w:rPr>
          <w:noProof/>
        </w:rPr>
        <w:t>Dohoda je džentlmenskou dohodou, ktorá poskytuje rámec pre náležité využívanie štátom podporovaných vývozných úverov</w:t>
      </w:r>
      <w:r w:rsidR="003E79AD">
        <w:rPr>
          <w:noProof/>
        </w:rPr>
        <w:t xml:space="preserve"> a </w:t>
      </w:r>
      <w:r w:rsidRPr="003E79AD">
        <w:rPr>
          <w:noProof/>
        </w:rPr>
        <w:t>viazanej pomoci.</w:t>
      </w:r>
      <w:r w:rsidR="003E79AD">
        <w:rPr>
          <w:noProof/>
        </w:rPr>
        <w:t xml:space="preserve"> V </w:t>
      </w:r>
      <w:r w:rsidRPr="003E79AD">
        <w:rPr>
          <w:noProof/>
        </w:rPr>
        <w:t>praxi to znamená, že sa</w:t>
      </w:r>
      <w:r w:rsidR="003E79AD">
        <w:rPr>
          <w:noProof/>
        </w:rPr>
        <w:t xml:space="preserve"> v </w:t>
      </w:r>
      <w:r w:rsidRPr="003E79AD">
        <w:rPr>
          <w:noProof/>
        </w:rPr>
        <w:t>nej stanovujú pravidlá zamerané na odstránenie subvencií</w:t>
      </w:r>
      <w:r w:rsidR="003E79AD">
        <w:rPr>
          <w:noProof/>
        </w:rPr>
        <w:t xml:space="preserve"> a </w:t>
      </w:r>
      <w:r w:rsidRPr="003E79AD">
        <w:rPr>
          <w:noProof/>
        </w:rPr>
        <w:t xml:space="preserve">narušení obchodu súvisiacich so štátom podporovanými vývoznými úvermi. Patria sem ustanovenia týkajúce sa viazanej pomoci, t. j. pomoci, ktorá je </w:t>
      </w:r>
      <w:r w:rsidRPr="003E79AD">
        <w:rPr>
          <w:i/>
          <w:noProof/>
        </w:rPr>
        <w:t>de iure</w:t>
      </w:r>
      <w:r w:rsidRPr="003E79AD">
        <w:rPr>
          <w:noProof/>
        </w:rPr>
        <w:t xml:space="preserve"> alebo </w:t>
      </w:r>
      <w:r w:rsidRPr="003E79AD">
        <w:rPr>
          <w:i/>
          <w:noProof/>
        </w:rPr>
        <w:t>de facto</w:t>
      </w:r>
      <w:r w:rsidRPr="003E79AD">
        <w:rPr>
          <w:noProof/>
        </w:rPr>
        <w:t xml:space="preserve"> viazaná na obstaranie tovaru a/alebo služieb</w:t>
      </w:r>
      <w:r w:rsidR="003E79AD">
        <w:rPr>
          <w:noProof/>
        </w:rPr>
        <w:t xml:space="preserve"> z </w:t>
      </w:r>
      <w:r w:rsidRPr="003E79AD">
        <w:rPr>
          <w:noProof/>
        </w:rPr>
        <w:t>poskytujúcej krajiny a/alebo obmedzeného počtu krajín. Dohoda nadobudla platnosť</w:t>
      </w:r>
      <w:r w:rsidR="003E79AD">
        <w:rPr>
          <w:noProof/>
        </w:rPr>
        <w:t xml:space="preserve"> v </w:t>
      </w:r>
      <w:r w:rsidRPr="003E79AD">
        <w:rPr>
          <w:noProof/>
        </w:rPr>
        <w:t>apríli 1978, je uzatvorená na neurčitý čas,</w:t>
      </w:r>
      <w:r w:rsidR="003E79AD">
        <w:rPr>
          <w:noProof/>
        </w:rPr>
        <w:t xml:space="preserve"> a </w:t>
      </w:r>
      <w:r w:rsidRPr="003E79AD">
        <w:rPr>
          <w:noProof/>
        </w:rPr>
        <w:t>hoci sekretariát OECD</w:t>
      </w:r>
      <w:r w:rsidR="003E79AD">
        <w:rPr>
          <w:noProof/>
        </w:rPr>
        <w:t xml:space="preserve"> v </w:t>
      </w:r>
      <w:r w:rsidRPr="003E79AD">
        <w:rPr>
          <w:noProof/>
        </w:rPr>
        <w:t>rámci nej poskytuje administratívnu podporu, nie je aktom OECD</w:t>
      </w:r>
      <w:r w:rsidRPr="003E79AD">
        <w:rPr>
          <w:rStyle w:val="FootnoteReference"/>
          <w:noProof/>
        </w:rPr>
        <w:footnoteReference w:id="1"/>
      </w:r>
      <w:r w:rsidRPr="003E79AD">
        <w:rPr>
          <w:noProof/>
        </w:rPr>
        <w:t>. Dohoda sa pravidelne aktualizuje, aby sa zohľadnil vývoj na trhu</w:t>
      </w:r>
      <w:r w:rsidR="003E79AD">
        <w:rPr>
          <w:noProof/>
        </w:rPr>
        <w:t xml:space="preserve"> a </w:t>
      </w:r>
      <w:r w:rsidRPr="003E79AD">
        <w:rPr>
          <w:noProof/>
        </w:rPr>
        <w:t>vývoj politiky, ktoré majú vplyv na poskytovanie štátom podporovaných vývozných úverov</w:t>
      </w:r>
      <w:r w:rsidR="003E79AD">
        <w:rPr>
          <w:noProof/>
        </w:rPr>
        <w:t>.</w:t>
      </w:r>
    </w:p>
    <w:p w:rsidR="003E79AD" w:rsidRDefault="005010EC" w:rsidP="005010EC">
      <w:pPr>
        <w:rPr>
          <w:noProof/>
        </w:rPr>
      </w:pPr>
      <w:r w:rsidRPr="003E79AD">
        <w:rPr>
          <w:noProof/>
        </w:rPr>
        <w:t>Dohoda bola transponovaná,</w:t>
      </w:r>
      <w:r w:rsidR="003E79AD">
        <w:rPr>
          <w:noProof/>
        </w:rPr>
        <w:t xml:space="preserve"> a </w:t>
      </w:r>
      <w:r w:rsidRPr="003E79AD">
        <w:rPr>
          <w:noProof/>
        </w:rPr>
        <w:t>teda sa stala</w:t>
      </w:r>
      <w:r w:rsidR="003E79AD">
        <w:rPr>
          <w:noProof/>
        </w:rPr>
        <w:t xml:space="preserve"> v </w:t>
      </w:r>
      <w:r w:rsidRPr="003E79AD">
        <w:rPr>
          <w:noProof/>
        </w:rPr>
        <w:t>EÚ právne záväznou na základe nariadenia Európskeho parlamentu</w:t>
      </w:r>
      <w:r w:rsidR="003E79AD">
        <w:rPr>
          <w:noProof/>
        </w:rPr>
        <w:t xml:space="preserve"> a </w:t>
      </w:r>
      <w:r w:rsidRPr="003E79AD">
        <w:rPr>
          <w:noProof/>
        </w:rPr>
        <w:t xml:space="preserve">Rady (EÚ) </w:t>
      </w:r>
      <w:r w:rsidR="003E79AD">
        <w:rPr>
          <w:noProof/>
        </w:rPr>
        <w:t>č. </w:t>
      </w:r>
      <w:r w:rsidRPr="003E79AD">
        <w:rPr>
          <w:noProof/>
        </w:rPr>
        <w:t>1233/2011</w:t>
      </w:r>
      <w:r w:rsidRPr="003E79AD">
        <w:rPr>
          <w:rStyle w:val="FootnoteReference"/>
          <w:noProof/>
        </w:rPr>
        <w:footnoteReference w:id="2"/>
      </w:r>
      <w:r w:rsidRPr="003E79AD">
        <w:rPr>
          <w:noProof/>
        </w:rPr>
        <w:t>. Revízie podmienok dohody sú začlenené do práva EÚ prostredníctvom delegovaných aktov podľa článku 2 tohto nariadenia</w:t>
      </w:r>
      <w:r w:rsidR="003E79AD">
        <w:rPr>
          <w:noProof/>
        </w:rPr>
        <w:t>.</w:t>
      </w:r>
    </w:p>
    <w:p w:rsidR="005010EC" w:rsidRPr="003E79AD" w:rsidRDefault="005C2156" w:rsidP="005C2156">
      <w:pPr>
        <w:pStyle w:val="ManualHeading2"/>
        <w:rPr>
          <w:noProof/>
        </w:rPr>
      </w:pPr>
      <w:r w:rsidRPr="005C2156">
        <w:rPr>
          <w:noProof/>
        </w:rPr>
        <w:t>2.2.</w:t>
      </w:r>
      <w:r w:rsidRPr="005C2156">
        <w:rPr>
          <w:noProof/>
        </w:rPr>
        <w:tab/>
      </w:r>
      <w:r w:rsidR="005010EC" w:rsidRPr="003E79AD">
        <w:rPr>
          <w:noProof/>
        </w:rPr>
        <w:t>Účastníci dohody</w:t>
      </w:r>
      <w:r w:rsidR="003E79AD">
        <w:rPr>
          <w:noProof/>
        </w:rPr>
        <w:t xml:space="preserve"> o </w:t>
      </w:r>
      <w:r w:rsidR="005010EC" w:rsidRPr="003E79AD">
        <w:rPr>
          <w:noProof/>
        </w:rPr>
        <w:t>štátom podporovaných vývozných úveroch</w:t>
      </w:r>
    </w:p>
    <w:p w:rsidR="005010EC" w:rsidRPr="003E79AD" w:rsidRDefault="005010EC" w:rsidP="005010EC">
      <w:pPr>
        <w:rPr>
          <w:noProof/>
        </w:rPr>
      </w:pPr>
      <w:r w:rsidRPr="003E79AD">
        <w:rPr>
          <w:noProof/>
        </w:rPr>
        <w:t>Európska komisia zastupuje Úniu na zasadnutiach účastníkov dohody, ako aj pri rozhodovaní účastníkov dohody písomnými postupmi. Rozhodnutia</w:t>
      </w:r>
      <w:r w:rsidR="003E79AD">
        <w:rPr>
          <w:noProof/>
        </w:rPr>
        <w:t xml:space="preserve"> o </w:t>
      </w:r>
      <w:r w:rsidRPr="003E79AD">
        <w:rPr>
          <w:noProof/>
        </w:rPr>
        <w:t>všetkých zmenách dohody sa prijímajú konsenzom. Pozíciu Únie prijíma Rada</w:t>
      </w:r>
      <w:r w:rsidR="003E79AD">
        <w:rPr>
          <w:noProof/>
        </w:rPr>
        <w:t xml:space="preserve"> a </w:t>
      </w:r>
      <w:r w:rsidRPr="003E79AD">
        <w:rPr>
          <w:noProof/>
        </w:rPr>
        <w:t>členské štáty</w:t>
      </w:r>
      <w:r w:rsidR="003E79AD">
        <w:rPr>
          <w:noProof/>
        </w:rPr>
        <w:t xml:space="preserve"> o </w:t>
      </w:r>
      <w:r w:rsidRPr="003E79AD">
        <w:rPr>
          <w:noProof/>
        </w:rPr>
        <w:t>nej rokujú</w:t>
      </w:r>
      <w:r w:rsidR="003E79AD">
        <w:rPr>
          <w:noProof/>
        </w:rPr>
        <w:t xml:space="preserve"> v </w:t>
      </w:r>
      <w:r w:rsidRPr="003E79AD">
        <w:rPr>
          <w:noProof/>
        </w:rPr>
        <w:t>rámci pracovnej skupiny Rady pre vývozné úvery</w:t>
      </w:r>
      <w:r w:rsidRPr="003E79AD">
        <w:rPr>
          <w:rStyle w:val="FootnoteReference"/>
          <w:noProof/>
        </w:rPr>
        <w:footnoteReference w:id="3"/>
      </w:r>
      <w:r w:rsidRPr="003E79AD">
        <w:rPr>
          <w:noProof/>
        </w:rPr>
        <w:t>.</w:t>
      </w:r>
    </w:p>
    <w:p w:rsidR="003E79AD" w:rsidRDefault="005C2156" w:rsidP="005C2156">
      <w:pPr>
        <w:pStyle w:val="ManualHeading2"/>
        <w:rPr>
          <w:noProof/>
        </w:rPr>
      </w:pPr>
      <w:r w:rsidRPr="005C2156">
        <w:rPr>
          <w:noProof/>
        </w:rPr>
        <w:t>2.3.</w:t>
      </w:r>
      <w:r w:rsidRPr="005C2156">
        <w:rPr>
          <w:noProof/>
        </w:rPr>
        <w:tab/>
      </w:r>
      <w:r w:rsidR="005010EC" w:rsidRPr="003E79AD">
        <w:rPr>
          <w:noProof/>
        </w:rPr>
        <w:t>Spoločné stanovisko</w:t>
      </w:r>
    </w:p>
    <w:p w:rsidR="003E79AD" w:rsidRDefault="005010EC" w:rsidP="005010EC">
      <w:pPr>
        <w:rPr>
          <w:noProof/>
        </w:rPr>
      </w:pPr>
      <w:r w:rsidRPr="003E79AD">
        <w:rPr>
          <w:noProof/>
        </w:rPr>
        <w:t>Spoločné stanovisko je nástroj</w:t>
      </w:r>
      <w:r w:rsidR="003E79AD">
        <w:rPr>
          <w:noProof/>
        </w:rPr>
        <w:t xml:space="preserve"> v </w:t>
      </w:r>
      <w:r w:rsidRPr="003E79AD">
        <w:rPr>
          <w:noProof/>
        </w:rPr>
        <w:t>rámci dohody, ktorý účastníkom umožňuje výnimočne sa odkloniť od ustanovení dohody buď</w:t>
      </w:r>
      <w:r w:rsidR="003E79AD">
        <w:rPr>
          <w:noProof/>
        </w:rPr>
        <w:t xml:space="preserve"> v </w:t>
      </w:r>
      <w:r w:rsidRPr="003E79AD">
        <w:rPr>
          <w:noProof/>
        </w:rPr>
        <w:t>súvislosti</w:t>
      </w:r>
      <w:r w:rsidR="003E79AD">
        <w:rPr>
          <w:noProof/>
        </w:rPr>
        <w:t xml:space="preserve"> s </w:t>
      </w:r>
      <w:r w:rsidRPr="003E79AD">
        <w:rPr>
          <w:noProof/>
        </w:rPr>
        <w:t>konkrétnou operáciou alebo sa odkloniť dočasne</w:t>
      </w:r>
      <w:r w:rsidR="003E79AD">
        <w:rPr>
          <w:noProof/>
        </w:rPr>
        <w:t xml:space="preserve"> v </w:t>
      </w:r>
      <w:r w:rsidRPr="003E79AD">
        <w:rPr>
          <w:noProof/>
        </w:rPr>
        <w:t>prípade nešpecifikovaného počtu operácií. Postupy na dosiahnutie dohody</w:t>
      </w:r>
      <w:r w:rsidR="003E79AD">
        <w:rPr>
          <w:noProof/>
        </w:rPr>
        <w:t xml:space="preserve"> o </w:t>
      </w:r>
      <w:r w:rsidRPr="003E79AD">
        <w:rPr>
          <w:noProof/>
        </w:rPr>
        <w:t>spoločnom stanovisku sú stanovené</w:t>
      </w:r>
      <w:r w:rsidR="003E79AD">
        <w:rPr>
          <w:noProof/>
        </w:rPr>
        <w:t xml:space="preserve"> v </w:t>
      </w:r>
      <w:r w:rsidRPr="003E79AD">
        <w:rPr>
          <w:noProof/>
        </w:rPr>
        <w:t>článkoch 54 až 59 dohody</w:t>
      </w:r>
      <w:r w:rsidR="003E79AD">
        <w:rPr>
          <w:noProof/>
        </w:rPr>
        <w:t>.</w:t>
      </w:r>
    </w:p>
    <w:p w:rsidR="003E79AD" w:rsidRDefault="005010EC" w:rsidP="005010EC">
      <w:pPr>
        <w:rPr>
          <w:noProof/>
        </w:rPr>
      </w:pPr>
      <w:r w:rsidRPr="003E79AD">
        <w:rPr>
          <w:noProof/>
        </w:rPr>
        <w:t>V článku 59 dohody sa uvádza, že „Prijaté spoločné stanovisko platí dva roky od nadobudnutia účinnosti“. Ak účastníci potrebujú, aby dočasné výnimky</w:t>
      </w:r>
      <w:r w:rsidR="003E79AD">
        <w:rPr>
          <w:noProof/>
        </w:rPr>
        <w:t xml:space="preserve"> z </w:t>
      </w:r>
      <w:r w:rsidRPr="003E79AD">
        <w:rPr>
          <w:noProof/>
        </w:rPr>
        <w:t>ustanovení dohody boli dlhšie, dohodnú sa na viacerých spoločných stanoviskách</w:t>
      </w:r>
      <w:r w:rsidR="003E79AD">
        <w:rPr>
          <w:noProof/>
        </w:rPr>
        <w:t>.</w:t>
      </w:r>
    </w:p>
    <w:p w:rsidR="003E79AD" w:rsidRDefault="005C2156" w:rsidP="005C2156">
      <w:pPr>
        <w:pStyle w:val="ManualHeading2"/>
        <w:rPr>
          <w:noProof/>
        </w:rPr>
      </w:pPr>
      <w:r w:rsidRPr="005C2156">
        <w:rPr>
          <w:noProof/>
        </w:rPr>
        <w:t>2.4.</w:t>
      </w:r>
      <w:r w:rsidRPr="005C2156">
        <w:rPr>
          <w:noProof/>
        </w:rPr>
        <w:tab/>
      </w:r>
      <w:r w:rsidR="005010EC" w:rsidRPr="003E79AD">
        <w:rPr>
          <w:noProof/>
        </w:rPr>
        <w:t>Pripravovaný akt Európskej únie</w:t>
      </w:r>
    </w:p>
    <w:p w:rsidR="003E79AD" w:rsidRDefault="005010EC" w:rsidP="005010EC">
      <w:pPr>
        <w:rPr>
          <w:noProof/>
        </w:rPr>
      </w:pPr>
      <w:r w:rsidRPr="003E79AD">
        <w:rPr>
          <w:noProof/>
        </w:rPr>
        <w:t>V článku 32 písm. a) dohody sa stanovuje: „Viazaná pomoc sa neposkytuje krajinám, ktorých HND na obyvateľa podľa údajov Svetovej banky prevyšuje horný limit pre krajiny</w:t>
      </w:r>
      <w:r w:rsidR="003E79AD">
        <w:rPr>
          <w:noProof/>
        </w:rPr>
        <w:t xml:space="preserve"> s</w:t>
      </w:r>
      <w:r w:rsidR="006F58BA">
        <w:rPr>
          <w:noProof/>
        </w:rPr>
        <w:t> </w:t>
      </w:r>
      <w:r w:rsidRPr="003E79AD">
        <w:rPr>
          <w:noProof/>
        </w:rPr>
        <w:t>nižšími</w:t>
      </w:r>
      <w:r w:rsidR="006F58BA">
        <w:rPr>
          <w:noProof/>
        </w:rPr>
        <w:t xml:space="preserve"> </w:t>
      </w:r>
      <w:r w:rsidRPr="003E79AD">
        <w:rPr>
          <w:noProof/>
        </w:rPr>
        <w:t>strednými príjmami. Svetová banka túto hraničnú hodnotu každoročne prepočítava. Krajina sa do inej kategórie zaradí len vtedy, ak sa jej kategória podľa Svetovej banky nezmenila počas dvoch po sebe nasledujúcich rokov.“ Svetová banka</w:t>
      </w:r>
      <w:r w:rsidR="003E79AD">
        <w:rPr>
          <w:noProof/>
        </w:rPr>
        <w:t xml:space="preserve"> v </w:t>
      </w:r>
      <w:r w:rsidRPr="003E79AD">
        <w:rPr>
          <w:noProof/>
        </w:rPr>
        <w:t>júni 2024 po prvýkrát klasifikovala Ukrajinu ako krajinu</w:t>
      </w:r>
      <w:r w:rsidR="003E79AD">
        <w:rPr>
          <w:noProof/>
        </w:rPr>
        <w:t xml:space="preserve"> s </w:t>
      </w:r>
      <w:r w:rsidRPr="003E79AD">
        <w:rPr>
          <w:noProof/>
        </w:rPr>
        <w:t>vyšším stredným príjmom. Ak tak Svetová banka urobí znovu vo svojej ďalšej klasifikácii (očakáva sa</w:t>
      </w:r>
      <w:r w:rsidR="003E79AD">
        <w:rPr>
          <w:noProof/>
        </w:rPr>
        <w:t xml:space="preserve"> v </w:t>
      </w:r>
      <w:r w:rsidRPr="003E79AD">
        <w:rPr>
          <w:noProof/>
        </w:rPr>
        <w:t>júni 2025), Ukrajina už nebude oprávnená na získanie viazanej pomoci</w:t>
      </w:r>
      <w:r w:rsidR="003E79AD">
        <w:rPr>
          <w:noProof/>
        </w:rPr>
        <w:t>.</w:t>
      </w:r>
    </w:p>
    <w:p w:rsidR="003E79AD" w:rsidRDefault="005010EC" w:rsidP="005010EC">
      <w:pPr>
        <w:rPr>
          <w:noProof/>
        </w:rPr>
      </w:pPr>
      <w:r w:rsidRPr="003E79AD">
        <w:rPr>
          <w:noProof/>
        </w:rPr>
        <w:t>Zatiaľ čo ukrajinské hospodárstvo bolo výrazne oslabené krízou vyplývajúcou</w:t>
      </w:r>
      <w:r w:rsidR="003E79AD">
        <w:rPr>
          <w:noProof/>
        </w:rPr>
        <w:t xml:space="preserve"> z </w:t>
      </w:r>
      <w:r w:rsidRPr="003E79AD">
        <w:rPr>
          <w:noProof/>
        </w:rPr>
        <w:t>útočnej vojny Ruska proti Ukrajine, reálny rast bol poháňaný stavebnou činnosťou (24,6</w:t>
      </w:r>
      <w:r w:rsidR="003E79AD">
        <w:rPr>
          <w:noProof/>
        </w:rPr>
        <w:t> %</w:t>
      </w:r>
      <w:r w:rsidRPr="003E79AD">
        <w:rPr>
          <w:noProof/>
        </w:rPr>
        <w:t>), čo je odrazom výrazného zvýšenia investičných výdavkov (52,9</w:t>
      </w:r>
      <w:r w:rsidR="003E79AD">
        <w:rPr>
          <w:noProof/>
        </w:rPr>
        <w:t> %</w:t>
      </w:r>
      <w:r w:rsidRPr="003E79AD">
        <w:rPr>
          <w:noProof/>
        </w:rPr>
        <w:t>) na podporu úsilia Ukrajiny</w:t>
      </w:r>
      <w:r w:rsidR="003E79AD">
        <w:rPr>
          <w:noProof/>
        </w:rPr>
        <w:t xml:space="preserve"> o </w:t>
      </w:r>
      <w:r w:rsidRPr="003E79AD">
        <w:rPr>
          <w:noProof/>
        </w:rPr>
        <w:t>obnovu</w:t>
      </w:r>
      <w:r w:rsidR="003E79AD">
        <w:rPr>
          <w:noProof/>
        </w:rPr>
        <w:t xml:space="preserve"> v </w:t>
      </w:r>
      <w:r w:rsidRPr="003E79AD">
        <w:rPr>
          <w:noProof/>
        </w:rPr>
        <w:t>dôsledku pokračujúceho ničenia. Pokračujúci pokles počtu obyvateľov,</w:t>
      </w:r>
      <w:r w:rsidR="003E79AD">
        <w:rPr>
          <w:noProof/>
        </w:rPr>
        <w:t xml:space="preserve"> a </w:t>
      </w:r>
      <w:r w:rsidRPr="003E79AD">
        <w:rPr>
          <w:noProof/>
        </w:rPr>
        <w:t>to</w:t>
      </w:r>
      <w:r w:rsidR="003E79AD">
        <w:rPr>
          <w:noProof/>
        </w:rPr>
        <w:t xml:space="preserve"> o </w:t>
      </w:r>
      <w:r w:rsidRPr="003E79AD">
        <w:rPr>
          <w:noProof/>
        </w:rPr>
        <w:t>viac ako 15</w:t>
      </w:r>
      <w:r w:rsidR="003E79AD">
        <w:rPr>
          <w:noProof/>
        </w:rPr>
        <w:t> %</w:t>
      </w:r>
      <w:r w:rsidRPr="003E79AD">
        <w:rPr>
          <w:noProof/>
        </w:rPr>
        <w:t>, má okrem toho významný vplyv na nárast HND na obyvateľa</w:t>
      </w:r>
      <w:r w:rsidR="003E79AD">
        <w:rPr>
          <w:noProof/>
        </w:rPr>
        <w:t>.</w:t>
      </w:r>
    </w:p>
    <w:p w:rsidR="003E79AD" w:rsidRDefault="005010EC" w:rsidP="005010EC">
      <w:pPr>
        <w:rPr>
          <w:noProof/>
        </w:rPr>
      </w:pPr>
      <w:r w:rsidRPr="003E79AD">
        <w:rPr>
          <w:noProof/>
        </w:rPr>
        <w:t>V súvislosti</w:t>
      </w:r>
      <w:r w:rsidR="003E79AD">
        <w:rPr>
          <w:noProof/>
        </w:rPr>
        <w:t xml:space="preserve"> s </w:t>
      </w:r>
      <w:r w:rsidRPr="003E79AD">
        <w:rPr>
          <w:noProof/>
        </w:rPr>
        <w:t>útočnou vojnou Ruska proti Ukrajine už viacero členských štátov EÚ využilo viazanú pomoc na podporu Ukrajiny alebo tak plánuje urobiť</w:t>
      </w:r>
      <w:r w:rsidR="003E79AD">
        <w:rPr>
          <w:noProof/>
        </w:rPr>
        <w:t xml:space="preserve"> v </w:t>
      </w:r>
      <w:r w:rsidRPr="003E79AD">
        <w:rPr>
          <w:noProof/>
        </w:rPr>
        <w:t>blízkej budúcnosti (predpokladaný časový rámec sú nasledujúce štyri roky)</w:t>
      </w:r>
      <w:r w:rsidR="003E79AD">
        <w:rPr>
          <w:noProof/>
        </w:rPr>
        <w:t>.</w:t>
      </w:r>
    </w:p>
    <w:p w:rsidR="003E79AD" w:rsidRDefault="005010EC" w:rsidP="005010EC">
      <w:pPr>
        <w:rPr>
          <w:noProof/>
        </w:rPr>
      </w:pPr>
      <w:r w:rsidRPr="003E79AD">
        <w:rPr>
          <w:noProof/>
        </w:rPr>
        <w:t>Keďže zmena klasifikácie priamo nesúvisí so skutočným výrazným rastom ukrajinského hospodárstva</w:t>
      </w:r>
      <w:r w:rsidR="003E79AD">
        <w:rPr>
          <w:noProof/>
        </w:rPr>
        <w:t xml:space="preserve"> a </w:t>
      </w:r>
      <w:r w:rsidRPr="003E79AD">
        <w:rPr>
          <w:noProof/>
        </w:rPr>
        <w:t>ukrajinská situácia je naďalej kritická, je nevyhnutné, aby si EÚ</w:t>
      </w:r>
      <w:r w:rsidR="003E79AD">
        <w:rPr>
          <w:noProof/>
        </w:rPr>
        <w:t xml:space="preserve"> a </w:t>
      </w:r>
      <w:r w:rsidRPr="003E79AD">
        <w:rPr>
          <w:noProof/>
        </w:rPr>
        <w:t>ostatní účastníci zachovali možnosť využívať všetky nástroje, ktoré môžu byť potrebné.</w:t>
      </w:r>
      <w:r w:rsidR="003E79AD">
        <w:rPr>
          <w:noProof/>
        </w:rPr>
        <w:t xml:space="preserve"> V </w:t>
      </w:r>
      <w:r w:rsidRPr="003E79AD">
        <w:rPr>
          <w:noProof/>
        </w:rPr>
        <w:t>takom prípade je prezieravé navrhnúť spoločné stanovisko</w:t>
      </w:r>
      <w:r w:rsidR="003E79AD">
        <w:rPr>
          <w:noProof/>
        </w:rPr>
        <w:t xml:space="preserve"> a </w:t>
      </w:r>
      <w:r w:rsidRPr="003E79AD">
        <w:rPr>
          <w:noProof/>
        </w:rPr>
        <w:t>dohodnúť sa na ňom,</w:t>
      </w:r>
      <w:r w:rsidR="003E79AD">
        <w:rPr>
          <w:noProof/>
        </w:rPr>
        <w:t xml:space="preserve"> v </w:t>
      </w:r>
      <w:r w:rsidRPr="003E79AD">
        <w:rPr>
          <w:noProof/>
        </w:rPr>
        <w:t>neposlednom rade vzhľadom na to, že takáto situácia sa</w:t>
      </w:r>
      <w:r w:rsidR="003E79AD">
        <w:rPr>
          <w:noProof/>
        </w:rPr>
        <w:t xml:space="preserve"> v </w:t>
      </w:r>
      <w:r w:rsidRPr="003E79AD">
        <w:rPr>
          <w:noProof/>
        </w:rPr>
        <w:t>dohode predpokladá</w:t>
      </w:r>
      <w:r w:rsidR="003E79AD">
        <w:rPr>
          <w:noProof/>
        </w:rPr>
        <w:t>.</w:t>
      </w:r>
    </w:p>
    <w:p w:rsidR="005010EC" w:rsidRPr="003E79AD" w:rsidRDefault="005C2156" w:rsidP="005C2156">
      <w:pPr>
        <w:pStyle w:val="ManualHeading1"/>
        <w:rPr>
          <w:noProof/>
        </w:rPr>
      </w:pPr>
      <w:r w:rsidRPr="005C2156">
        <w:rPr>
          <w:noProof/>
        </w:rPr>
        <w:t>3.</w:t>
      </w:r>
      <w:r w:rsidRPr="005C2156">
        <w:rPr>
          <w:noProof/>
        </w:rPr>
        <w:tab/>
      </w:r>
      <w:r w:rsidR="005010EC" w:rsidRPr="003E79AD">
        <w:rPr>
          <w:noProof/>
        </w:rPr>
        <w:t>Pozícia, ktorá sa má zaujať</w:t>
      </w:r>
      <w:r w:rsidR="003E79AD">
        <w:rPr>
          <w:noProof/>
        </w:rPr>
        <w:t xml:space="preserve"> v </w:t>
      </w:r>
      <w:r w:rsidR="005010EC" w:rsidRPr="003E79AD">
        <w:rPr>
          <w:noProof/>
        </w:rPr>
        <w:t>mene Únie</w:t>
      </w:r>
    </w:p>
    <w:p w:rsidR="005010EC" w:rsidRPr="003E79AD" w:rsidRDefault="005010EC" w:rsidP="005010EC">
      <w:pPr>
        <w:rPr>
          <w:rFonts w:cstheme="minorHAnsi"/>
          <w:noProof/>
          <w:szCs w:val="24"/>
        </w:rPr>
      </w:pPr>
      <w:r w:rsidRPr="003E79AD">
        <w:rPr>
          <w:noProof/>
        </w:rPr>
        <w:t>Európska únia by mala podporovať spoločné stanoviská podľa článkov 54 až 59 dohody</w:t>
      </w:r>
      <w:r w:rsidR="003E79AD">
        <w:rPr>
          <w:noProof/>
        </w:rPr>
        <w:t xml:space="preserve"> s </w:t>
      </w:r>
      <w:r w:rsidRPr="003E79AD">
        <w:rPr>
          <w:noProof/>
        </w:rPr>
        <w:t>cieľom stanoviť oprávnenosť Ukrajiny na viazanú pomoc na nasledujúce štyri roky bez ohľadu na jej klasifikáciu Svetovou bankou.</w:t>
      </w:r>
    </w:p>
    <w:p w:rsidR="005010EC" w:rsidRPr="003E79AD" w:rsidRDefault="005C2156" w:rsidP="005C2156">
      <w:pPr>
        <w:pStyle w:val="ManualHeading1"/>
        <w:rPr>
          <w:noProof/>
        </w:rPr>
      </w:pPr>
      <w:r w:rsidRPr="005C2156">
        <w:rPr>
          <w:noProof/>
        </w:rPr>
        <w:t>4.</w:t>
      </w:r>
      <w:r w:rsidRPr="005C2156">
        <w:rPr>
          <w:noProof/>
        </w:rPr>
        <w:tab/>
      </w:r>
      <w:r w:rsidR="005010EC" w:rsidRPr="003E79AD">
        <w:rPr>
          <w:noProof/>
        </w:rPr>
        <w:t>Právny základ</w:t>
      </w:r>
    </w:p>
    <w:p w:rsidR="005010EC" w:rsidRPr="003E79AD" w:rsidRDefault="005C2156" w:rsidP="005C2156">
      <w:pPr>
        <w:pStyle w:val="ManualHeading2"/>
        <w:rPr>
          <w:noProof/>
        </w:rPr>
      </w:pPr>
      <w:r w:rsidRPr="005C2156">
        <w:rPr>
          <w:noProof/>
        </w:rPr>
        <w:t>4.1.</w:t>
      </w:r>
      <w:r w:rsidRPr="005C2156">
        <w:rPr>
          <w:noProof/>
        </w:rPr>
        <w:tab/>
      </w:r>
      <w:r w:rsidR="005010EC" w:rsidRPr="003E79AD">
        <w:rPr>
          <w:noProof/>
        </w:rPr>
        <w:t>Procesnoprávny základ</w:t>
      </w:r>
    </w:p>
    <w:p w:rsidR="005010EC" w:rsidRPr="003E79AD" w:rsidRDefault="005C2156" w:rsidP="005C2156">
      <w:pPr>
        <w:pStyle w:val="ManualHeading3"/>
        <w:rPr>
          <w:noProof/>
        </w:rPr>
      </w:pPr>
      <w:r w:rsidRPr="005C2156">
        <w:rPr>
          <w:noProof/>
        </w:rPr>
        <w:t>4.1.1.</w:t>
      </w:r>
      <w:r w:rsidRPr="005C2156">
        <w:rPr>
          <w:noProof/>
        </w:rPr>
        <w:tab/>
      </w:r>
      <w:r w:rsidR="005010EC" w:rsidRPr="003E79AD">
        <w:rPr>
          <w:noProof/>
        </w:rPr>
        <w:t>Zásady</w:t>
      </w:r>
    </w:p>
    <w:p w:rsidR="005010EC" w:rsidRPr="003E79AD" w:rsidRDefault="005010EC" w:rsidP="005010EC">
      <w:pPr>
        <w:rPr>
          <w:noProof/>
        </w:rPr>
      </w:pPr>
      <w:r w:rsidRPr="003E79AD">
        <w:rPr>
          <w:noProof/>
        </w:rPr>
        <w:t>V článku 218 ods. 9 Zmluvy</w:t>
      </w:r>
      <w:r w:rsidR="003E79AD">
        <w:rPr>
          <w:noProof/>
        </w:rPr>
        <w:t xml:space="preserve"> o </w:t>
      </w:r>
      <w:r w:rsidRPr="003E79AD">
        <w:rPr>
          <w:noProof/>
        </w:rPr>
        <w:t xml:space="preserve">fungovaní Európskej únie (ZFEÚ) sa stanovujú rozhodnutia, ktorými sa určujú </w:t>
      </w:r>
      <w:r w:rsidRPr="003E79AD">
        <w:rPr>
          <w:i/>
          <w:noProof/>
        </w:rPr>
        <w:t>„pozície, ktoré sa majú prijať</w:t>
      </w:r>
      <w:r w:rsidR="003E79AD">
        <w:rPr>
          <w:i/>
          <w:noProof/>
        </w:rPr>
        <w:t xml:space="preserve"> v </w:t>
      </w:r>
      <w:r w:rsidRPr="003E79AD">
        <w:rPr>
          <w:i/>
          <w:noProof/>
        </w:rPr>
        <w:t>mene Únie</w:t>
      </w:r>
      <w:r w:rsidR="003E79AD">
        <w:rPr>
          <w:i/>
          <w:noProof/>
        </w:rPr>
        <w:t xml:space="preserve"> v </w:t>
      </w:r>
      <w:r w:rsidRPr="003E79AD">
        <w:rPr>
          <w:i/>
          <w:noProof/>
        </w:rPr>
        <w:t>rámci orgánu zriadeného dohodou, keď je tento orgán vyzvaný prijať akty</w:t>
      </w:r>
      <w:r w:rsidR="003E79AD">
        <w:rPr>
          <w:i/>
          <w:noProof/>
        </w:rPr>
        <w:t xml:space="preserve"> s </w:t>
      </w:r>
      <w:r w:rsidRPr="003E79AD">
        <w:rPr>
          <w:i/>
          <w:noProof/>
        </w:rPr>
        <w:t>právnymi účinkami</w:t>
      </w:r>
      <w:r w:rsidR="003E79AD">
        <w:rPr>
          <w:i/>
          <w:noProof/>
        </w:rPr>
        <w:t xml:space="preserve"> s </w:t>
      </w:r>
      <w:r w:rsidRPr="003E79AD">
        <w:rPr>
          <w:i/>
          <w:noProof/>
        </w:rPr>
        <w:t>výnimkou aktov dopĺňajúcich alebo meniacich inštitucionálny rámec danej dohody.“</w:t>
      </w:r>
    </w:p>
    <w:p w:rsidR="005010EC" w:rsidRPr="003E79AD" w:rsidRDefault="005010EC" w:rsidP="005010EC">
      <w:pPr>
        <w:rPr>
          <w:noProof/>
        </w:rPr>
      </w:pPr>
      <w:r w:rsidRPr="003E79AD">
        <w:rPr>
          <w:noProof/>
        </w:rPr>
        <w:t xml:space="preserve">Pojem </w:t>
      </w:r>
      <w:r w:rsidRPr="003E79AD">
        <w:rPr>
          <w:i/>
          <w:noProof/>
        </w:rPr>
        <w:t>„akty</w:t>
      </w:r>
      <w:r w:rsidR="003E79AD">
        <w:rPr>
          <w:i/>
          <w:noProof/>
        </w:rPr>
        <w:t xml:space="preserve"> s </w:t>
      </w:r>
      <w:r w:rsidRPr="003E79AD">
        <w:rPr>
          <w:i/>
          <w:noProof/>
        </w:rPr>
        <w:t>právnymi účinkami“</w:t>
      </w:r>
      <w:r w:rsidRPr="003E79AD">
        <w:rPr>
          <w:noProof/>
        </w:rPr>
        <w:t xml:space="preserve"> zahŕňa akty, ktoré majú právne účinky na základe pravidiel medzinárodného práva, ktorým sa riadi predmetný orgán. Zahŕňa aj nástroje, ktoré nemajú záväzný účinok podľa medzinárodného práva, ale </w:t>
      </w:r>
      <w:r w:rsidRPr="003E79AD">
        <w:rPr>
          <w:i/>
          <w:noProof/>
        </w:rPr>
        <w:t>„môžu rozhodujúcim spôsobom ovplyvniť obsah právnej úpravy prijatej normotvorcom Únie“</w:t>
      </w:r>
      <w:r w:rsidRPr="003E79AD">
        <w:rPr>
          <w:rStyle w:val="FootnoteReference"/>
          <w:noProof/>
        </w:rPr>
        <w:footnoteReference w:id="4"/>
      </w:r>
      <w:r w:rsidRPr="003E79AD">
        <w:rPr>
          <w:noProof/>
        </w:rPr>
        <w:t>.</w:t>
      </w:r>
    </w:p>
    <w:p w:rsidR="005010EC" w:rsidRPr="003E79AD" w:rsidRDefault="005C2156" w:rsidP="005C2156">
      <w:pPr>
        <w:pStyle w:val="ManualHeading3"/>
        <w:rPr>
          <w:noProof/>
        </w:rPr>
      </w:pPr>
      <w:r w:rsidRPr="005C2156">
        <w:rPr>
          <w:noProof/>
        </w:rPr>
        <w:t>4.1.2.</w:t>
      </w:r>
      <w:r w:rsidRPr="005C2156">
        <w:rPr>
          <w:noProof/>
        </w:rPr>
        <w:tab/>
      </w:r>
      <w:r w:rsidR="005010EC" w:rsidRPr="003E79AD">
        <w:rPr>
          <w:noProof/>
        </w:rPr>
        <w:t>Uplatnenie na tento prípad</w:t>
      </w:r>
    </w:p>
    <w:p w:rsidR="005010EC" w:rsidRPr="003E79AD" w:rsidRDefault="005010EC" w:rsidP="005010EC">
      <w:pPr>
        <w:rPr>
          <w:noProof/>
        </w:rPr>
      </w:pPr>
      <w:r w:rsidRPr="003E79AD">
        <w:rPr>
          <w:noProof/>
        </w:rPr>
        <w:t>Pravidlá dohodnutého spoločného stanoviska sú nadradené pravidlám dohody len</w:t>
      </w:r>
      <w:r w:rsidR="003E79AD">
        <w:rPr>
          <w:noProof/>
        </w:rPr>
        <w:t xml:space="preserve"> v </w:t>
      </w:r>
      <w:r w:rsidRPr="003E79AD">
        <w:rPr>
          <w:noProof/>
        </w:rPr>
        <w:t>súvislosti</w:t>
      </w:r>
      <w:r w:rsidR="003E79AD">
        <w:rPr>
          <w:noProof/>
        </w:rPr>
        <w:t xml:space="preserve"> s </w:t>
      </w:r>
      <w:r w:rsidRPr="003E79AD">
        <w:rPr>
          <w:noProof/>
        </w:rPr>
        <w:t>operáciou alebo okolnosťami uvedenými</w:t>
      </w:r>
      <w:r w:rsidR="003E79AD">
        <w:rPr>
          <w:noProof/>
        </w:rPr>
        <w:t xml:space="preserve"> v </w:t>
      </w:r>
      <w:r w:rsidRPr="003E79AD">
        <w:rPr>
          <w:noProof/>
        </w:rPr>
        <w:t>príslušnom spoločnom stanovisku. Zatiaľ čo spoločné stanoviská sú pre ostatných účastníkov dohody právne nezáväzné („soft law“),</w:t>
      </w:r>
      <w:r w:rsidR="003E79AD">
        <w:rPr>
          <w:noProof/>
        </w:rPr>
        <w:t xml:space="preserve"> v </w:t>
      </w:r>
      <w:r w:rsidRPr="003E79AD">
        <w:rPr>
          <w:noProof/>
        </w:rPr>
        <w:t>prípade EÚ predstavujú akty</w:t>
      </w:r>
      <w:r w:rsidR="003E79AD">
        <w:rPr>
          <w:noProof/>
        </w:rPr>
        <w:t xml:space="preserve"> s </w:t>
      </w:r>
      <w:r w:rsidRPr="003E79AD">
        <w:rPr>
          <w:noProof/>
        </w:rPr>
        <w:t>právnymi účinkami na základe článku 1 nariadenia Európskeho parlamentu</w:t>
      </w:r>
      <w:r w:rsidR="003E79AD">
        <w:rPr>
          <w:noProof/>
        </w:rPr>
        <w:t xml:space="preserve"> a </w:t>
      </w:r>
      <w:r w:rsidRPr="003E79AD">
        <w:rPr>
          <w:noProof/>
        </w:rPr>
        <w:t xml:space="preserve">Rady (EÚ) </w:t>
      </w:r>
      <w:r w:rsidR="003E79AD">
        <w:rPr>
          <w:noProof/>
        </w:rPr>
        <w:t>č. </w:t>
      </w:r>
      <w:r w:rsidRPr="003E79AD">
        <w:rPr>
          <w:noProof/>
        </w:rPr>
        <w:t>1233/2011 zo 16</w:t>
      </w:r>
      <w:r w:rsidR="003E79AD">
        <w:rPr>
          <w:noProof/>
        </w:rPr>
        <w:t>. novembra</w:t>
      </w:r>
      <w:r w:rsidRPr="003E79AD">
        <w:rPr>
          <w:noProof/>
        </w:rPr>
        <w:t xml:space="preserve"> 2011</w:t>
      </w:r>
      <w:r w:rsidR="003E79AD">
        <w:rPr>
          <w:noProof/>
        </w:rPr>
        <w:t xml:space="preserve"> o </w:t>
      </w:r>
      <w:r w:rsidRPr="003E79AD">
        <w:rPr>
          <w:noProof/>
        </w:rPr>
        <w:t>uplatňovaní určitých usmernení</w:t>
      </w:r>
      <w:r w:rsidR="003E79AD">
        <w:rPr>
          <w:noProof/>
        </w:rPr>
        <w:t xml:space="preserve"> v </w:t>
      </w:r>
      <w:r w:rsidRPr="003E79AD">
        <w:rPr>
          <w:noProof/>
        </w:rPr>
        <w:t>oblasti štátom podporovaných vývozných úverov</w:t>
      </w:r>
      <w:r w:rsidR="003E79AD">
        <w:rPr>
          <w:noProof/>
        </w:rPr>
        <w:t xml:space="preserve"> a o </w:t>
      </w:r>
      <w:r w:rsidRPr="003E79AD">
        <w:rPr>
          <w:noProof/>
        </w:rPr>
        <w:t>zrušení rozhodnutí Rady 2001/76/ES</w:t>
      </w:r>
      <w:r w:rsidR="003E79AD">
        <w:rPr>
          <w:noProof/>
        </w:rPr>
        <w:t xml:space="preserve"> a </w:t>
      </w:r>
      <w:r w:rsidRPr="003E79AD">
        <w:rPr>
          <w:noProof/>
        </w:rPr>
        <w:t>2001/77/ES,</w:t>
      </w:r>
      <w:r w:rsidR="003E79AD">
        <w:rPr>
          <w:noProof/>
        </w:rPr>
        <w:t xml:space="preserve"> v </w:t>
      </w:r>
      <w:r w:rsidRPr="003E79AD">
        <w:rPr>
          <w:noProof/>
        </w:rPr>
        <w:t>ktorom sa uvádza, že „usmernenia obsiahnuté</w:t>
      </w:r>
      <w:r w:rsidR="003E79AD">
        <w:rPr>
          <w:noProof/>
        </w:rPr>
        <w:t xml:space="preserve"> v </w:t>
      </w:r>
      <w:r w:rsidRPr="003E79AD">
        <w:rPr>
          <w:noProof/>
        </w:rPr>
        <w:t>Dohode</w:t>
      </w:r>
      <w:r w:rsidR="003E79AD">
        <w:rPr>
          <w:noProof/>
        </w:rPr>
        <w:t xml:space="preserve"> o </w:t>
      </w:r>
      <w:r w:rsidRPr="003E79AD">
        <w:rPr>
          <w:noProof/>
        </w:rPr>
        <w:t>štátom podporovaných vývozných úveroch (ďalej len „dohoda“) sa uplatňujú</w:t>
      </w:r>
      <w:r w:rsidR="003E79AD">
        <w:rPr>
          <w:noProof/>
        </w:rPr>
        <w:t xml:space="preserve"> v </w:t>
      </w:r>
      <w:r w:rsidRPr="003E79AD">
        <w:rPr>
          <w:noProof/>
        </w:rPr>
        <w:t>Únii. Text dohody je pripojený</w:t>
      </w:r>
      <w:r w:rsidR="003E79AD">
        <w:rPr>
          <w:noProof/>
        </w:rPr>
        <w:t xml:space="preserve"> k </w:t>
      </w:r>
      <w:r w:rsidRPr="003E79AD">
        <w:rPr>
          <w:noProof/>
        </w:rPr>
        <w:t>tomuto nariadeniu.“ Keďže sa na spoločných stanoviskách dohadujú účastníci</w:t>
      </w:r>
      <w:r w:rsidR="003E79AD">
        <w:rPr>
          <w:noProof/>
        </w:rPr>
        <w:t xml:space="preserve"> v </w:t>
      </w:r>
      <w:r w:rsidRPr="003E79AD">
        <w:rPr>
          <w:noProof/>
        </w:rPr>
        <w:t>súlade</w:t>
      </w:r>
      <w:r w:rsidR="003E79AD">
        <w:rPr>
          <w:noProof/>
        </w:rPr>
        <w:t xml:space="preserve"> s </w:t>
      </w:r>
      <w:r w:rsidRPr="003E79AD">
        <w:rPr>
          <w:noProof/>
        </w:rPr>
        <w:t>postupom stanoveným</w:t>
      </w:r>
      <w:r w:rsidR="003E79AD">
        <w:rPr>
          <w:noProof/>
        </w:rPr>
        <w:t xml:space="preserve"> v </w:t>
      </w:r>
      <w:r w:rsidRPr="003E79AD">
        <w:rPr>
          <w:noProof/>
        </w:rPr>
        <w:t>článkoch 54 až 59 dohody, do ktorého je zapojený sekretariát OECD pre vývozné úvery, predstavujú takisto akty prijaté medzinárodným orgánom</w:t>
      </w:r>
      <w:r w:rsidR="003E79AD">
        <w:rPr>
          <w:noProof/>
        </w:rPr>
        <w:t xml:space="preserve"> v </w:t>
      </w:r>
      <w:r w:rsidRPr="003E79AD">
        <w:rPr>
          <w:noProof/>
        </w:rPr>
        <w:t>zmysle článku 218 ods. 9 ZFEÚ. Procesnoprávnym základom navrhovaného rozhodnutia je preto článok 218 ods. 9 ZFEÚ.</w:t>
      </w:r>
    </w:p>
    <w:p w:rsidR="005010EC" w:rsidRPr="003E79AD" w:rsidRDefault="005C2156" w:rsidP="005C2156">
      <w:pPr>
        <w:pStyle w:val="ManualHeading2"/>
        <w:rPr>
          <w:noProof/>
        </w:rPr>
      </w:pPr>
      <w:r w:rsidRPr="005C2156">
        <w:rPr>
          <w:noProof/>
        </w:rPr>
        <w:t>4.2.</w:t>
      </w:r>
      <w:r w:rsidRPr="005C2156">
        <w:rPr>
          <w:noProof/>
        </w:rPr>
        <w:tab/>
      </w:r>
      <w:r w:rsidR="005010EC" w:rsidRPr="003E79AD">
        <w:rPr>
          <w:noProof/>
        </w:rPr>
        <w:t>Hmotnoprávny základ</w:t>
      </w:r>
    </w:p>
    <w:p w:rsidR="005010EC" w:rsidRPr="003E79AD" w:rsidRDefault="005C2156" w:rsidP="005C2156">
      <w:pPr>
        <w:pStyle w:val="ManualHeading3"/>
        <w:rPr>
          <w:noProof/>
        </w:rPr>
      </w:pPr>
      <w:r w:rsidRPr="005C2156">
        <w:rPr>
          <w:noProof/>
        </w:rPr>
        <w:t>4.2.1.</w:t>
      </w:r>
      <w:r w:rsidRPr="005C2156">
        <w:rPr>
          <w:noProof/>
        </w:rPr>
        <w:tab/>
      </w:r>
      <w:r w:rsidR="005010EC" w:rsidRPr="003E79AD">
        <w:rPr>
          <w:noProof/>
        </w:rPr>
        <w:t>Zásady</w:t>
      </w:r>
    </w:p>
    <w:p w:rsidR="003E79AD" w:rsidRDefault="005010EC" w:rsidP="005010EC">
      <w:pPr>
        <w:rPr>
          <w:noProof/>
        </w:rPr>
      </w:pPr>
      <w:r w:rsidRPr="003E79AD">
        <w:rPr>
          <w:noProof/>
        </w:rPr>
        <w:t>Hmotnoprávny základ rozhodnutia podľa článku 218 ods. 9 ZFEÚ závisí predovšetkým od cieľa</w:t>
      </w:r>
      <w:r w:rsidR="003E79AD">
        <w:rPr>
          <w:noProof/>
        </w:rPr>
        <w:t xml:space="preserve"> a </w:t>
      </w:r>
      <w:r w:rsidRPr="003E79AD">
        <w:rPr>
          <w:noProof/>
        </w:rPr>
        <w:t>obsahu pripravovaného aktu,</w:t>
      </w:r>
      <w:r w:rsidR="003E79AD">
        <w:rPr>
          <w:noProof/>
        </w:rPr>
        <w:t xml:space="preserve"> v </w:t>
      </w:r>
      <w:r w:rsidRPr="003E79AD">
        <w:rPr>
          <w:noProof/>
        </w:rPr>
        <w:t>súvislosti</w:t>
      </w:r>
      <w:r w:rsidR="003E79AD">
        <w:rPr>
          <w:noProof/>
        </w:rPr>
        <w:t xml:space="preserve"> s </w:t>
      </w:r>
      <w:r w:rsidRPr="003E79AD">
        <w:rPr>
          <w:noProof/>
        </w:rPr>
        <w:t>ktorým sa zaujíma pozícia</w:t>
      </w:r>
      <w:r w:rsidR="003E79AD">
        <w:rPr>
          <w:noProof/>
        </w:rPr>
        <w:t xml:space="preserve"> v </w:t>
      </w:r>
      <w:r w:rsidRPr="003E79AD">
        <w:rPr>
          <w:noProof/>
        </w:rPr>
        <w:t>mene Únie</w:t>
      </w:r>
      <w:r w:rsidR="003E79AD">
        <w:rPr>
          <w:noProof/>
        </w:rPr>
        <w:t>.</w:t>
      </w:r>
    </w:p>
    <w:p w:rsidR="005010EC" w:rsidRPr="003E79AD" w:rsidRDefault="005C2156" w:rsidP="005C2156">
      <w:pPr>
        <w:pStyle w:val="ManualHeading3"/>
        <w:rPr>
          <w:noProof/>
        </w:rPr>
      </w:pPr>
      <w:r w:rsidRPr="005C2156">
        <w:rPr>
          <w:noProof/>
        </w:rPr>
        <w:t>4.2.2.</w:t>
      </w:r>
      <w:r w:rsidRPr="005C2156">
        <w:rPr>
          <w:noProof/>
        </w:rPr>
        <w:tab/>
      </w:r>
      <w:r w:rsidR="005010EC" w:rsidRPr="003E79AD">
        <w:rPr>
          <w:noProof/>
        </w:rPr>
        <w:t>Uplatnenie na tento prípad</w:t>
      </w:r>
    </w:p>
    <w:p w:rsidR="005010EC" w:rsidRPr="003E79AD" w:rsidRDefault="005010EC" w:rsidP="005010EC">
      <w:pPr>
        <w:rPr>
          <w:noProof/>
        </w:rPr>
      </w:pPr>
      <w:r w:rsidRPr="003E79AD">
        <w:rPr>
          <w:noProof/>
        </w:rPr>
        <w:t>Hlavný cieľ</w:t>
      </w:r>
      <w:r w:rsidR="003E79AD">
        <w:rPr>
          <w:noProof/>
        </w:rPr>
        <w:t xml:space="preserve"> a </w:t>
      </w:r>
      <w:r w:rsidRPr="003E79AD">
        <w:rPr>
          <w:noProof/>
        </w:rPr>
        <w:t>obsah pripravovaného aktu sa týkajú vývozných úverov, ktoré patria do rozsahu pôsobnosti spoločnej obchodnej politiky. Hmotnoprávnym základom navrhovaného rozhodnutia je preto článok 207 ZFEÚ.</w:t>
      </w:r>
    </w:p>
    <w:p w:rsidR="005010EC" w:rsidRPr="003E79AD" w:rsidRDefault="005C2156" w:rsidP="005C2156">
      <w:pPr>
        <w:pStyle w:val="ManualHeading2"/>
        <w:rPr>
          <w:noProof/>
        </w:rPr>
      </w:pPr>
      <w:r w:rsidRPr="005C2156">
        <w:rPr>
          <w:noProof/>
        </w:rPr>
        <w:t>4.3.</w:t>
      </w:r>
      <w:r w:rsidRPr="005C2156">
        <w:rPr>
          <w:noProof/>
        </w:rPr>
        <w:tab/>
      </w:r>
      <w:r w:rsidR="005010EC" w:rsidRPr="003E79AD">
        <w:rPr>
          <w:noProof/>
        </w:rPr>
        <w:t>Záver</w:t>
      </w:r>
    </w:p>
    <w:p w:rsidR="005010EC" w:rsidRPr="003E79AD" w:rsidRDefault="005010EC" w:rsidP="005010EC">
      <w:pPr>
        <w:rPr>
          <w:noProof/>
        </w:rPr>
      </w:pPr>
      <w:r w:rsidRPr="003E79AD">
        <w:rPr>
          <w:noProof/>
        </w:rPr>
        <w:t>Právnym základom navrhovaného rozhodnutia by mal byť článok 207 ods. 4 prvý pododsek ZFEÚ</w:t>
      </w:r>
      <w:r w:rsidR="003E79AD">
        <w:rPr>
          <w:noProof/>
        </w:rPr>
        <w:t xml:space="preserve"> v </w:t>
      </w:r>
      <w:r w:rsidRPr="003E79AD">
        <w:rPr>
          <w:noProof/>
        </w:rPr>
        <w:t>spojení</w:t>
      </w:r>
      <w:r w:rsidR="003E79AD">
        <w:rPr>
          <w:noProof/>
        </w:rPr>
        <w:t xml:space="preserve"> s </w:t>
      </w:r>
      <w:r w:rsidRPr="003E79AD">
        <w:rPr>
          <w:noProof/>
        </w:rPr>
        <w:t>článkom 218 ods. 9 ZFEÚ.</w:t>
      </w:r>
    </w:p>
    <w:p w:rsidR="005010EC" w:rsidRPr="003E79AD" w:rsidRDefault="005C2156" w:rsidP="005C2156">
      <w:pPr>
        <w:pStyle w:val="ManualHeading1"/>
        <w:rPr>
          <w:noProof/>
        </w:rPr>
      </w:pPr>
      <w:r w:rsidRPr="005C2156">
        <w:rPr>
          <w:noProof/>
        </w:rPr>
        <w:t>5.</w:t>
      </w:r>
      <w:r w:rsidRPr="005C2156">
        <w:rPr>
          <w:noProof/>
        </w:rPr>
        <w:tab/>
      </w:r>
      <w:r w:rsidR="005010EC" w:rsidRPr="003E79AD">
        <w:rPr>
          <w:noProof/>
        </w:rPr>
        <w:t>Uverejnenie pripravovaného aktu</w:t>
      </w:r>
    </w:p>
    <w:p w:rsidR="005010EC" w:rsidRPr="003E79AD" w:rsidRDefault="005010EC" w:rsidP="005010EC">
      <w:pPr>
        <w:rPr>
          <w:noProof/>
        </w:rPr>
      </w:pPr>
      <w:r w:rsidRPr="003E79AD">
        <w:rPr>
          <w:noProof/>
        </w:rPr>
        <w:t>Keďže navrhovaným spoločným stanoviskom sa účastníkom dohody umožní využívať odchýlku stanovenú</w:t>
      </w:r>
      <w:r w:rsidR="003E79AD">
        <w:rPr>
          <w:noProof/>
        </w:rPr>
        <w:t xml:space="preserve"> v </w:t>
      </w:r>
      <w:r w:rsidRPr="003E79AD">
        <w:rPr>
          <w:noProof/>
        </w:rPr>
        <w:t>Dohode</w:t>
      </w:r>
      <w:r w:rsidR="003E79AD">
        <w:rPr>
          <w:noProof/>
        </w:rPr>
        <w:t xml:space="preserve"> o </w:t>
      </w:r>
      <w:r w:rsidRPr="003E79AD">
        <w:rPr>
          <w:noProof/>
        </w:rPr>
        <w:t>štátom podporovaných vývozných úveroch, ktorá tvorí prílohu II</w:t>
      </w:r>
      <w:r w:rsidR="003E79AD">
        <w:rPr>
          <w:noProof/>
        </w:rPr>
        <w:t xml:space="preserve"> k </w:t>
      </w:r>
      <w:r w:rsidRPr="003E79AD">
        <w:rPr>
          <w:noProof/>
        </w:rPr>
        <w:t xml:space="preserve">nariadeniu (EÚ) </w:t>
      </w:r>
      <w:r w:rsidR="003E79AD">
        <w:rPr>
          <w:noProof/>
        </w:rPr>
        <w:t>č. </w:t>
      </w:r>
      <w:r w:rsidRPr="003E79AD">
        <w:rPr>
          <w:noProof/>
        </w:rPr>
        <w:t>1233/2011, po jeho prijatí je vhodné uverejniť ho</w:t>
      </w:r>
      <w:r w:rsidR="003E79AD">
        <w:rPr>
          <w:noProof/>
        </w:rPr>
        <w:t xml:space="preserve"> v </w:t>
      </w:r>
      <w:r w:rsidRPr="003E79AD">
        <w:rPr>
          <w:i/>
          <w:noProof/>
        </w:rPr>
        <w:t>Úradnom vestníku Európskej únie</w:t>
      </w:r>
      <w:r w:rsidRPr="003E79AD">
        <w:rPr>
          <w:noProof/>
        </w:rPr>
        <w:t>.</w:t>
      </w:r>
    </w:p>
    <w:p w:rsidR="005010EC" w:rsidRPr="003E79AD" w:rsidRDefault="005010EC" w:rsidP="005010EC">
      <w:pPr>
        <w:rPr>
          <w:noProof/>
        </w:rPr>
        <w:sectPr w:rsidR="005010EC" w:rsidRPr="003E79AD" w:rsidSect="00FB6944">
          <w:headerReference w:type="even" r:id="rId10"/>
          <w:footerReference w:type="even" r:id="rId11"/>
          <w:footerReference w:type="default" r:id="rId12"/>
          <w:headerReference w:type="first" r:id="rId13"/>
          <w:footerReference w:type="first" r:id="rId14"/>
          <w:pgSz w:w="11907" w:h="16839"/>
          <w:pgMar w:top="1134" w:right="1417" w:bottom="1134" w:left="1417" w:header="709" w:footer="709" w:gutter="0"/>
          <w:cols w:space="708"/>
          <w:docGrid w:linePitch="360"/>
        </w:sectPr>
      </w:pPr>
    </w:p>
    <w:p w:rsidR="001825B9" w:rsidRDefault="00901B87">
      <w:pPr>
        <w:pStyle w:val="Rfrenceinterinstitutionnelle"/>
        <w:rPr>
          <w:noProof/>
        </w:rPr>
      </w:pPr>
      <w:r>
        <w:rPr>
          <w:noProof/>
        </w:rPr>
        <w:t>2025/0125 (NLE)</w:t>
      </w:r>
    </w:p>
    <w:p w:rsidR="005010EC" w:rsidRPr="003E79AD" w:rsidRDefault="00F512D4" w:rsidP="00F512D4">
      <w:pPr>
        <w:pStyle w:val="Statut"/>
        <w:rPr>
          <w:noProof/>
        </w:rPr>
      </w:pPr>
      <w:r w:rsidRPr="00F512D4">
        <w:rPr>
          <w:noProof/>
        </w:rPr>
        <w:t>Návrh</w:t>
      </w:r>
    </w:p>
    <w:p w:rsidR="005010EC" w:rsidRPr="003E79AD" w:rsidRDefault="00F512D4" w:rsidP="00F512D4">
      <w:pPr>
        <w:pStyle w:val="Typedudocument"/>
        <w:rPr>
          <w:noProof/>
        </w:rPr>
      </w:pPr>
      <w:r w:rsidRPr="00F512D4">
        <w:rPr>
          <w:noProof/>
        </w:rPr>
        <w:t>ROZHODNUTIE RADY,</w:t>
      </w:r>
    </w:p>
    <w:p w:rsidR="009B086E" w:rsidRPr="003E79AD" w:rsidRDefault="00F512D4" w:rsidP="00F512D4">
      <w:pPr>
        <w:pStyle w:val="Titreobjet"/>
        <w:rPr>
          <w:noProof/>
        </w:rPr>
      </w:pPr>
      <w:r w:rsidRPr="00F512D4">
        <w:rPr>
          <w:noProof/>
        </w:rPr>
        <w:t>ktorým sa stanovuje pozícia, ktorá sa má v písomnom postupe prijať v mene Únie účastníkmi Dohody o štátom podporovaných vývozných úveroch v súvislosti so spoločným stanoviskom na priznanie oprávnenosti Ukrajine na viazanú pomoc</w:t>
      </w:r>
    </w:p>
    <w:p w:rsidR="005010EC" w:rsidRPr="003E79AD" w:rsidRDefault="005010EC" w:rsidP="005010EC">
      <w:pPr>
        <w:pStyle w:val="Institutionquiagit"/>
        <w:rPr>
          <w:noProof/>
        </w:rPr>
      </w:pPr>
      <w:r w:rsidRPr="003E79AD">
        <w:rPr>
          <w:noProof/>
        </w:rPr>
        <w:t>RADA EURÓPSKEJ ÚNIE,</w:t>
      </w:r>
    </w:p>
    <w:p w:rsidR="005010EC" w:rsidRPr="003E79AD" w:rsidRDefault="005010EC" w:rsidP="005010EC">
      <w:pPr>
        <w:rPr>
          <w:noProof/>
        </w:rPr>
      </w:pPr>
      <w:r w:rsidRPr="003E79AD">
        <w:rPr>
          <w:noProof/>
        </w:rPr>
        <w:t>so zreteľom na Zmluvu</w:t>
      </w:r>
      <w:r w:rsidR="003E79AD">
        <w:rPr>
          <w:noProof/>
        </w:rPr>
        <w:t xml:space="preserve"> o </w:t>
      </w:r>
      <w:r w:rsidRPr="003E79AD">
        <w:rPr>
          <w:noProof/>
        </w:rPr>
        <w:t>fungovaní Európskej únie,</w:t>
      </w:r>
      <w:r w:rsidR="003E79AD">
        <w:rPr>
          <w:noProof/>
        </w:rPr>
        <w:t xml:space="preserve"> a </w:t>
      </w:r>
      <w:r w:rsidRPr="003E79AD">
        <w:rPr>
          <w:noProof/>
        </w:rPr>
        <w:t>najmä na jej článok 207 ods. 4 prvý pododsek</w:t>
      </w:r>
      <w:r w:rsidR="003E79AD">
        <w:rPr>
          <w:noProof/>
        </w:rPr>
        <w:t xml:space="preserve"> v </w:t>
      </w:r>
      <w:r w:rsidRPr="003E79AD">
        <w:rPr>
          <w:noProof/>
        </w:rPr>
        <w:t>spojení</w:t>
      </w:r>
      <w:r w:rsidR="003E79AD">
        <w:rPr>
          <w:noProof/>
        </w:rPr>
        <w:t xml:space="preserve"> s </w:t>
      </w:r>
      <w:r w:rsidRPr="003E79AD">
        <w:rPr>
          <w:noProof/>
        </w:rPr>
        <w:t>článkom 218 ods. 9,</w:t>
      </w:r>
    </w:p>
    <w:p w:rsidR="005010EC" w:rsidRPr="003E79AD" w:rsidRDefault="005010EC" w:rsidP="005010EC">
      <w:pPr>
        <w:rPr>
          <w:noProof/>
        </w:rPr>
      </w:pPr>
      <w:r w:rsidRPr="003E79AD">
        <w:rPr>
          <w:noProof/>
        </w:rPr>
        <w:t>so zreteľom na návrh Európskej komisie,</w:t>
      </w:r>
    </w:p>
    <w:p w:rsidR="005010EC" w:rsidRPr="003E79AD" w:rsidRDefault="005010EC" w:rsidP="005010EC">
      <w:pPr>
        <w:rPr>
          <w:noProof/>
        </w:rPr>
      </w:pPr>
      <w:r w:rsidRPr="003E79AD">
        <w:rPr>
          <w:noProof/>
        </w:rPr>
        <w:t>keďže:</w:t>
      </w:r>
    </w:p>
    <w:p w:rsidR="006E7201" w:rsidRPr="003E79AD" w:rsidRDefault="005C2156" w:rsidP="005C2156">
      <w:pPr>
        <w:pStyle w:val="ManualConsidrant"/>
        <w:rPr>
          <w:noProof/>
        </w:rPr>
      </w:pPr>
      <w:r w:rsidRPr="005C2156">
        <w:rPr>
          <w:noProof/>
        </w:rPr>
        <w:t>(1)</w:t>
      </w:r>
      <w:r w:rsidRPr="005C2156">
        <w:rPr>
          <w:noProof/>
        </w:rPr>
        <w:tab/>
      </w:r>
      <w:r w:rsidR="006E7201" w:rsidRPr="003E79AD">
        <w:rPr>
          <w:noProof/>
        </w:rPr>
        <w:t>Európske spoločenstvo uzavrelo Dohodu</w:t>
      </w:r>
      <w:r w:rsidR="003E79AD">
        <w:rPr>
          <w:noProof/>
        </w:rPr>
        <w:t xml:space="preserve"> o </w:t>
      </w:r>
      <w:r w:rsidR="006E7201" w:rsidRPr="003E79AD">
        <w:rPr>
          <w:noProof/>
        </w:rPr>
        <w:t>štátom podporovaných vývozných úveroch (ďalej len „dohoda“) ako džentlmenskú dohodu prerokovanú</w:t>
      </w:r>
      <w:r w:rsidR="003E79AD">
        <w:rPr>
          <w:noProof/>
        </w:rPr>
        <w:t xml:space="preserve"> v </w:t>
      </w:r>
      <w:r w:rsidR="006E7201" w:rsidRPr="003E79AD">
        <w:rPr>
          <w:noProof/>
        </w:rPr>
        <w:t>rámci OECD</w:t>
      </w:r>
      <w:r w:rsidR="003E79AD">
        <w:rPr>
          <w:noProof/>
        </w:rPr>
        <w:t xml:space="preserve"> v </w:t>
      </w:r>
      <w:r w:rsidR="006E7201" w:rsidRPr="003E79AD">
        <w:rPr>
          <w:noProof/>
        </w:rPr>
        <w:t>roku 1978.</w:t>
      </w:r>
    </w:p>
    <w:p w:rsidR="003E79AD" w:rsidRDefault="005C2156" w:rsidP="005C2156">
      <w:pPr>
        <w:pStyle w:val="ManualConsidrant"/>
        <w:rPr>
          <w:noProof/>
        </w:rPr>
      </w:pPr>
      <w:r w:rsidRPr="005C2156">
        <w:rPr>
          <w:noProof/>
        </w:rPr>
        <w:t>(2)</w:t>
      </w:r>
      <w:r w:rsidRPr="005C2156">
        <w:rPr>
          <w:noProof/>
        </w:rPr>
        <w:tab/>
      </w:r>
      <w:r w:rsidR="005010EC" w:rsidRPr="003E79AD">
        <w:rPr>
          <w:noProof/>
        </w:rPr>
        <w:t>Usmernenia uvedené</w:t>
      </w:r>
      <w:r w:rsidR="003E79AD">
        <w:rPr>
          <w:noProof/>
        </w:rPr>
        <w:t xml:space="preserve"> v </w:t>
      </w:r>
      <w:r w:rsidR="005010EC" w:rsidRPr="003E79AD">
        <w:rPr>
          <w:noProof/>
        </w:rPr>
        <w:t>dohode boli transponované,</w:t>
      </w:r>
      <w:r w:rsidR="003E79AD">
        <w:rPr>
          <w:noProof/>
        </w:rPr>
        <w:t xml:space="preserve"> a </w:t>
      </w:r>
      <w:r w:rsidR="005010EC" w:rsidRPr="003E79AD">
        <w:rPr>
          <w:noProof/>
        </w:rPr>
        <w:t>teda sa stali</w:t>
      </w:r>
      <w:r w:rsidR="003E79AD">
        <w:rPr>
          <w:noProof/>
        </w:rPr>
        <w:t xml:space="preserve"> v </w:t>
      </w:r>
      <w:r w:rsidR="005010EC" w:rsidRPr="003E79AD">
        <w:rPr>
          <w:noProof/>
        </w:rPr>
        <w:t>Únii právne záväznými na základe nariadenia Európskeho parlamentu</w:t>
      </w:r>
      <w:r w:rsidR="003E79AD">
        <w:rPr>
          <w:noProof/>
        </w:rPr>
        <w:t xml:space="preserve"> a </w:t>
      </w:r>
      <w:r w:rsidR="005010EC" w:rsidRPr="003E79AD">
        <w:rPr>
          <w:noProof/>
        </w:rPr>
        <w:t xml:space="preserve">Rady (EÚ) </w:t>
      </w:r>
      <w:r w:rsidR="003E79AD">
        <w:rPr>
          <w:noProof/>
        </w:rPr>
        <w:t>č. </w:t>
      </w:r>
      <w:r w:rsidR="005010EC" w:rsidRPr="003E79AD">
        <w:rPr>
          <w:noProof/>
        </w:rPr>
        <w:t>1233/2011</w:t>
      </w:r>
      <w:r w:rsidR="005010EC" w:rsidRPr="003E79AD">
        <w:rPr>
          <w:rStyle w:val="FootnoteReference"/>
          <w:noProof/>
        </w:rPr>
        <w:footnoteReference w:id="5"/>
      </w:r>
      <w:r w:rsidR="003E79AD">
        <w:rPr>
          <w:noProof/>
        </w:rPr>
        <w:t>.</w:t>
      </w:r>
    </w:p>
    <w:p w:rsidR="008274C1" w:rsidRPr="003E79AD" w:rsidRDefault="005C2156" w:rsidP="005C2156">
      <w:pPr>
        <w:pStyle w:val="ManualConsidrant"/>
        <w:rPr>
          <w:noProof/>
        </w:rPr>
      </w:pPr>
      <w:r w:rsidRPr="005C2156">
        <w:rPr>
          <w:noProof/>
        </w:rPr>
        <w:t>(3)</w:t>
      </w:r>
      <w:r w:rsidRPr="005C2156">
        <w:rPr>
          <w:noProof/>
        </w:rPr>
        <w:tab/>
      </w:r>
      <w:r w:rsidR="005010EC" w:rsidRPr="003E79AD">
        <w:rPr>
          <w:noProof/>
        </w:rPr>
        <w:t>V článku 35 dohody sa stanovuje, že účastník môže navrhnúť spoločné stanovisko</w:t>
      </w:r>
      <w:r w:rsidR="003E79AD">
        <w:rPr>
          <w:noProof/>
        </w:rPr>
        <w:t xml:space="preserve"> s </w:t>
      </w:r>
      <w:r w:rsidR="005010EC" w:rsidRPr="003E79AD">
        <w:rPr>
          <w:noProof/>
        </w:rPr>
        <w:t>cieľom rozšíriť pravidlá oprávnenosti krajiny.</w:t>
      </w:r>
      <w:r w:rsidR="003E79AD">
        <w:rPr>
          <w:noProof/>
        </w:rPr>
        <w:t xml:space="preserve"> V </w:t>
      </w:r>
      <w:r w:rsidR="005010EC" w:rsidRPr="003E79AD">
        <w:rPr>
          <w:noProof/>
        </w:rPr>
        <w:t>článku 55 sa opisuje osobitný postup schvaľovania účastníkmi písomným postupom.</w:t>
      </w:r>
    </w:p>
    <w:p w:rsidR="003E79AD" w:rsidRDefault="005C2156" w:rsidP="005C2156">
      <w:pPr>
        <w:pStyle w:val="ManualConsidrant"/>
        <w:rPr>
          <w:noProof/>
        </w:rPr>
      </w:pPr>
      <w:r w:rsidRPr="005C2156">
        <w:rPr>
          <w:noProof/>
        </w:rPr>
        <w:t>(4)</w:t>
      </w:r>
      <w:r w:rsidRPr="005C2156">
        <w:rPr>
          <w:noProof/>
        </w:rPr>
        <w:tab/>
      </w:r>
      <w:r w:rsidR="005010EC" w:rsidRPr="003E79AD">
        <w:rPr>
          <w:noProof/>
        </w:rPr>
        <w:t>V súlade</w:t>
      </w:r>
      <w:r w:rsidR="003E79AD">
        <w:rPr>
          <w:noProof/>
        </w:rPr>
        <w:t xml:space="preserve"> s </w:t>
      </w:r>
      <w:r w:rsidR="005010EC" w:rsidRPr="003E79AD">
        <w:rPr>
          <w:noProof/>
        </w:rPr>
        <w:t>pevným odhodlaním Únie poskytovať podporu Ukrajine</w:t>
      </w:r>
      <w:r w:rsidR="003E79AD">
        <w:rPr>
          <w:noProof/>
        </w:rPr>
        <w:t xml:space="preserve"> a </w:t>
      </w:r>
      <w:r w:rsidR="005010EC" w:rsidRPr="003E79AD">
        <w:rPr>
          <w:noProof/>
        </w:rPr>
        <w:t>jej ľudu tak dlho, ako to bude potrebné, je</w:t>
      </w:r>
      <w:r w:rsidR="003E79AD">
        <w:rPr>
          <w:noProof/>
        </w:rPr>
        <w:t xml:space="preserve"> v </w:t>
      </w:r>
      <w:r w:rsidR="005010EC" w:rsidRPr="003E79AD">
        <w:rPr>
          <w:noProof/>
        </w:rPr>
        <w:t>záujme Únie, aby mala aj naďalej možnosť poskytovať Ukrajine viazanú pomoc</w:t>
      </w:r>
      <w:r w:rsidR="003E79AD">
        <w:rPr>
          <w:noProof/>
        </w:rPr>
        <w:t>.</w:t>
      </w:r>
    </w:p>
    <w:p w:rsidR="003E79AD" w:rsidRDefault="005C2156" w:rsidP="005C2156">
      <w:pPr>
        <w:pStyle w:val="ManualConsidrant"/>
        <w:rPr>
          <w:noProof/>
        </w:rPr>
      </w:pPr>
      <w:r w:rsidRPr="005C2156">
        <w:rPr>
          <w:noProof/>
        </w:rPr>
        <w:t>(5)</w:t>
      </w:r>
      <w:r w:rsidRPr="005C2156">
        <w:rPr>
          <w:noProof/>
        </w:rPr>
        <w:tab/>
      </w:r>
      <w:r w:rsidR="005010EC" w:rsidRPr="003E79AD">
        <w:rPr>
          <w:noProof/>
        </w:rPr>
        <w:t>V dohode sa uvádza, že spoločné stanoviská sú platné dva roky.</w:t>
      </w:r>
      <w:r w:rsidR="003E79AD">
        <w:rPr>
          <w:noProof/>
        </w:rPr>
        <w:t xml:space="preserve"> S </w:t>
      </w:r>
      <w:r w:rsidR="005010EC" w:rsidRPr="003E79AD">
        <w:rPr>
          <w:noProof/>
        </w:rPr>
        <w:t>cieľom poskytovať nepretržitú podporu však výnimočná podpora Ukrajine môže byť potrebná dlhšie. Je</w:t>
      </w:r>
      <w:r w:rsidR="003E79AD">
        <w:rPr>
          <w:noProof/>
        </w:rPr>
        <w:t xml:space="preserve"> v </w:t>
      </w:r>
      <w:r w:rsidR="005010EC" w:rsidRPr="003E79AD">
        <w:rPr>
          <w:noProof/>
        </w:rPr>
        <w:t>záujme Únie, aby sa</w:t>
      </w:r>
      <w:r w:rsidR="003E79AD">
        <w:rPr>
          <w:noProof/>
        </w:rPr>
        <w:t xml:space="preserve"> v </w:t>
      </w:r>
      <w:r w:rsidR="005010EC" w:rsidRPr="003E79AD">
        <w:rPr>
          <w:noProof/>
        </w:rPr>
        <w:t>blízkej budúcnosti mohla dohodnúť na viacerých spoločných stanoviskách</w:t>
      </w:r>
      <w:r w:rsidR="003E79AD">
        <w:rPr>
          <w:noProof/>
        </w:rPr>
        <w:t>.</w:t>
      </w:r>
    </w:p>
    <w:p w:rsidR="005010EC" w:rsidRPr="003E79AD" w:rsidRDefault="005C2156" w:rsidP="005C2156">
      <w:pPr>
        <w:pStyle w:val="ManualConsidrant"/>
        <w:rPr>
          <w:noProof/>
        </w:rPr>
      </w:pPr>
      <w:r w:rsidRPr="005C2156">
        <w:rPr>
          <w:noProof/>
        </w:rPr>
        <w:t>(6)</w:t>
      </w:r>
      <w:r w:rsidRPr="005C2156">
        <w:rPr>
          <w:noProof/>
        </w:rPr>
        <w:tab/>
      </w:r>
      <w:r w:rsidR="005010EC" w:rsidRPr="003E79AD">
        <w:rPr>
          <w:noProof/>
        </w:rPr>
        <w:t>Je vhodné stanoviť pozíciu, ktorá sa má</w:t>
      </w:r>
      <w:r w:rsidR="003E79AD">
        <w:rPr>
          <w:noProof/>
        </w:rPr>
        <w:t xml:space="preserve"> v </w:t>
      </w:r>
      <w:r w:rsidR="005010EC" w:rsidRPr="003E79AD">
        <w:rPr>
          <w:noProof/>
        </w:rPr>
        <w:t xml:space="preserve">mene Únie zaujať, keďže podľa článku 2 nariadenia (EÚ) </w:t>
      </w:r>
      <w:r w:rsidR="003E79AD">
        <w:rPr>
          <w:noProof/>
        </w:rPr>
        <w:t>č. </w:t>
      </w:r>
      <w:r w:rsidR="005010EC" w:rsidRPr="003E79AD">
        <w:rPr>
          <w:noProof/>
        </w:rPr>
        <w:t>1233/2011 pripravované rozhodnutie účastníkov dohody bude pre Úniu záväzné</w:t>
      </w:r>
      <w:r w:rsidR="003E79AD">
        <w:rPr>
          <w:noProof/>
        </w:rPr>
        <w:t xml:space="preserve"> a </w:t>
      </w:r>
      <w:r w:rsidR="005010EC" w:rsidRPr="003E79AD">
        <w:rPr>
          <w:noProof/>
        </w:rPr>
        <w:t>môže rozhodujúcim spôsobom ovplyvniť obsah práva Únie,</w:t>
      </w:r>
    </w:p>
    <w:p w:rsidR="005010EC" w:rsidRPr="003E79AD" w:rsidRDefault="005010EC" w:rsidP="005010EC">
      <w:pPr>
        <w:pStyle w:val="Formuledadoption"/>
        <w:rPr>
          <w:noProof/>
        </w:rPr>
      </w:pPr>
      <w:r w:rsidRPr="003E79AD">
        <w:rPr>
          <w:noProof/>
        </w:rPr>
        <w:t>PRIJALA TOTO ROZHODNUTIE:</w:t>
      </w:r>
    </w:p>
    <w:p w:rsidR="005010EC" w:rsidRPr="003E79AD" w:rsidRDefault="005010EC" w:rsidP="005010EC">
      <w:pPr>
        <w:pStyle w:val="Titrearticle"/>
        <w:rPr>
          <w:noProof/>
        </w:rPr>
      </w:pPr>
      <w:r w:rsidRPr="003E79AD">
        <w:rPr>
          <w:noProof/>
        </w:rPr>
        <w:t>Článok 1</w:t>
      </w:r>
    </w:p>
    <w:p w:rsidR="003E79AD" w:rsidRDefault="005010EC" w:rsidP="005010EC">
      <w:pPr>
        <w:rPr>
          <w:noProof/>
        </w:rPr>
      </w:pPr>
      <w:r w:rsidRPr="003E79AD">
        <w:rPr>
          <w:noProof/>
        </w:rPr>
        <w:t>Pozícia, ktorá sa má prijať</w:t>
      </w:r>
      <w:r w:rsidR="003E79AD">
        <w:rPr>
          <w:noProof/>
        </w:rPr>
        <w:t xml:space="preserve"> v </w:t>
      </w:r>
      <w:r w:rsidRPr="003E79AD">
        <w:rPr>
          <w:noProof/>
        </w:rPr>
        <w:t>mene Únie</w:t>
      </w:r>
      <w:r w:rsidR="003E79AD">
        <w:rPr>
          <w:noProof/>
        </w:rPr>
        <w:t xml:space="preserve"> v </w:t>
      </w:r>
      <w:r w:rsidRPr="003E79AD">
        <w:rPr>
          <w:noProof/>
        </w:rPr>
        <w:t>súvislosti</w:t>
      </w:r>
      <w:r w:rsidR="003E79AD">
        <w:rPr>
          <w:noProof/>
        </w:rPr>
        <w:t xml:space="preserve"> s </w:t>
      </w:r>
      <w:r w:rsidRPr="003E79AD">
        <w:rPr>
          <w:noProof/>
        </w:rPr>
        <w:t>Dohodou</w:t>
      </w:r>
      <w:r w:rsidR="003E79AD">
        <w:rPr>
          <w:noProof/>
        </w:rPr>
        <w:t xml:space="preserve"> o </w:t>
      </w:r>
      <w:r w:rsidRPr="003E79AD">
        <w:rPr>
          <w:noProof/>
        </w:rPr>
        <w:t>štátom podporovaných vývozných úveroch, je prijať návrh spoločného stanoviska na priznanie oprávnenosti Ukrajiny na viazanú pomoc</w:t>
      </w:r>
      <w:r w:rsidR="003E79AD">
        <w:rPr>
          <w:noProof/>
        </w:rPr>
        <w:t xml:space="preserve"> v </w:t>
      </w:r>
      <w:r w:rsidRPr="003E79AD">
        <w:rPr>
          <w:noProof/>
        </w:rPr>
        <w:t>súlade</w:t>
      </w:r>
      <w:r w:rsidR="003E79AD">
        <w:rPr>
          <w:noProof/>
        </w:rPr>
        <w:t xml:space="preserve"> s </w:t>
      </w:r>
      <w:r w:rsidRPr="003E79AD">
        <w:rPr>
          <w:noProof/>
        </w:rPr>
        <w:t>prílohou</w:t>
      </w:r>
      <w:r w:rsidR="003E79AD">
        <w:rPr>
          <w:noProof/>
        </w:rPr>
        <w:t xml:space="preserve"> k </w:t>
      </w:r>
      <w:r w:rsidRPr="003E79AD">
        <w:rPr>
          <w:noProof/>
        </w:rPr>
        <w:t>tomuto rozhodnutiu</w:t>
      </w:r>
      <w:r w:rsidR="003E79AD">
        <w:rPr>
          <w:noProof/>
        </w:rPr>
        <w:t>.</w:t>
      </w:r>
    </w:p>
    <w:p w:rsidR="005010EC" w:rsidRPr="003E79AD" w:rsidRDefault="005010EC" w:rsidP="005010EC">
      <w:pPr>
        <w:pStyle w:val="Titrearticle"/>
        <w:rPr>
          <w:noProof/>
        </w:rPr>
      </w:pPr>
      <w:r w:rsidRPr="003E79AD">
        <w:rPr>
          <w:noProof/>
        </w:rPr>
        <w:t>Článok 2</w:t>
      </w:r>
    </w:p>
    <w:p w:rsidR="00A56D1E" w:rsidRPr="003E79AD" w:rsidRDefault="005C2156" w:rsidP="005C2156">
      <w:pPr>
        <w:pStyle w:val="ManualNumPar1"/>
        <w:rPr>
          <w:noProof/>
        </w:rPr>
      </w:pPr>
      <w:r w:rsidRPr="005C2156">
        <w:rPr>
          <w:noProof/>
        </w:rPr>
        <w:t>1.</w:t>
      </w:r>
      <w:r w:rsidRPr="005C2156">
        <w:rPr>
          <w:noProof/>
        </w:rPr>
        <w:tab/>
      </w:r>
      <w:r w:rsidR="00A56D1E" w:rsidRPr="003E79AD">
        <w:rPr>
          <w:noProof/>
        </w:rPr>
        <w:t>Pozícia, ktorá sa má zaujať</w:t>
      </w:r>
      <w:r w:rsidR="003E79AD">
        <w:rPr>
          <w:noProof/>
        </w:rPr>
        <w:t xml:space="preserve"> v </w:t>
      </w:r>
      <w:r w:rsidR="00A56D1E" w:rsidRPr="003E79AD">
        <w:rPr>
          <w:noProof/>
        </w:rPr>
        <w:t>mene Únie</w:t>
      </w:r>
      <w:r w:rsidR="003E79AD">
        <w:rPr>
          <w:noProof/>
        </w:rPr>
        <w:t xml:space="preserve"> v </w:t>
      </w:r>
      <w:r w:rsidR="00A56D1E" w:rsidRPr="003E79AD">
        <w:rPr>
          <w:noProof/>
        </w:rPr>
        <w:t>súvislosti</w:t>
      </w:r>
      <w:r w:rsidR="003E79AD">
        <w:rPr>
          <w:noProof/>
        </w:rPr>
        <w:t xml:space="preserve"> s </w:t>
      </w:r>
      <w:r w:rsidR="00A56D1E" w:rsidRPr="003E79AD">
        <w:rPr>
          <w:noProof/>
        </w:rPr>
        <w:t>Dohodou</w:t>
      </w:r>
      <w:r w:rsidR="003E79AD">
        <w:rPr>
          <w:noProof/>
        </w:rPr>
        <w:t xml:space="preserve"> o </w:t>
      </w:r>
      <w:r w:rsidR="00A56D1E" w:rsidRPr="003E79AD">
        <w:rPr>
          <w:noProof/>
        </w:rPr>
        <w:t>štátom podporovaných vývozných úveroch, pokiaľ ide</w:t>
      </w:r>
      <w:r w:rsidR="003E79AD">
        <w:rPr>
          <w:noProof/>
        </w:rPr>
        <w:t xml:space="preserve"> o </w:t>
      </w:r>
      <w:r w:rsidR="00A56D1E" w:rsidRPr="003E79AD">
        <w:rPr>
          <w:noProof/>
        </w:rPr>
        <w:t>obnovenie tohto spoločného stanoviska</w:t>
      </w:r>
      <w:r w:rsidR="003E79AD">
        <w:rPr>
          <w:noProof/>
        </w:rPr>
        <w:t xml:space="preserve"> o </w:t>
      </w:r>
      <w:r w:rsidR="00A56D1E" w:rsidRPr="003E79AD">
        <w:rPr>
          <w:noProof/>
        </w:rPr>
        <w:t>dva roky, je</w:t>
      </w:r>
      <w:r w:rsidR="003E79AD">
        <w:rPr>
          <w:noProof/>
        </w:rPr>
        <w:t xml:space="preserve"> v </w:t>
      </w:r>
      <w:r w:rsidR="00A56D1E" w:rsidRPr="003E79AD">
        <w:rPr>
          <w:noProof/>
        </w:rPr>
        <w:t>súlade</w:t>
      </w:r>
      <w:r w:rsidR="003E79AD">
        <w:rPr>
          <w:noProof/>
        </w:rPr>
        <w:t xml:space="preserve"> s </w:t>
      </w:r>
      <w:r w:rsidR="00A56D1E" w:rsidRPr="003E79AD">
        <w:rPr>
          <w:noProof/>
        </w:rPr>
        <w:t>prílohou</w:t>
      </w:r>
      <w:r w:rsidR="003E79AD">
        <w:rPr>
          <w:noProof/>
        </w:rPr>
        <w:t xml:space="preserve"> k </w:t>
      </w:r>
      <w:r w:rsidR="00A56D1E" w:rsidRPr="003E79AD">
        <w:rPr>
          <w:noProof/>
        </w:rPr>
        <w:t>tomuto rozhodnutiu.</w:t>
      </w:r>
    </w:p>
    <w:p w:rsidR="003E79AD" w:rsidRDefault="005C2156" w:rsidP="005C2156">
      <w:pPr>
        <w:pStyle w:val="ManualNumPar1"/>
        <w:rPr>
          <w:noProof/>
        </w:rPr>
      </w:pPr>
      <w:r w:rsidRPr="005C2156">
        <w:rPr>
          <w:noProof/>
        </w:rPr>
        <w:t>2.</w:t>
      </w:r>
      <w:r w:rsidRPr="005C2156">
        <w:rPr>
          <w:noProof/>
        </w:rPr>
        <w:tab/>
      </w:r>
      <w:r w:rsidR="00800B1D" w:rsidRPr="003E79AD">
        <w:rPr>
          <w:noProof/>
          <w:shd w:val="clear" w:color="auto" w:fill="FFFFFF"/>
        </w:rPr>
        <w:t>Na tento účel Komisia zašle Rade</w:t>
      </w:r>
      <w:r w:rsidR="00800B1D" w:rsidRPr="003E79AD">
        <w:rPr>
          <w:noProof/>
        </w:rPr>
        <w:t xml:space="preserve"> písomný dokument,</w:t>
      </w:r>
      <w:r w:rsidR="003E79AD">
        <w:rPr>
          <w:noProof/>
        </w:rPr>
        <w:t xml:space="preserve"> v </w:t>
      </w:r>
      <w:r w:rsidR="00800B1D" w:rsidRPr="003E79AD">
        <w:rPr>
          <w:noProof/>
        </w:rPr>
        <w:t>ktorom uvedie podrobnosti plánovaného obnovenia. Písomný dokument sa Rade doručí</w:t>
      </w:r>
      <w:r w:rsidR="003E79AD">
        <w:rPr>
          <w:noProof/>
        </w:rPr>
        <w:t xml:space="preserve"> v </w:t>
      </w:r>
      <w:r w:rsidR="00800B1D" w:rsidRPr="003E79AD">
        <w:rPr>
          <w:noProof/>
        </w:rPr>
        <w:t>dostatočnom predstihu na prerokovanie</w:t>
      </w:r>
      <w:r w:rsidR="003E79AD">
        <w:rPr>
          <w:noProof/>
        </w:rPr>
        <w:t xml:space="preserve"> a </w:t>
      </w:r>
      <w:r w:rsidR="00800B1D" w:rsidRPr="003E79AD">
        <w:rPr>
          <w:noProof/>
        </w:rPr>
        <w:t>schválenie podrobností špecifikácie pozície, ktorá sa má vyjadriť</w:t>
      </w:r>
      <w:r w:rsidR="003E79AD">
        <w:rPr>
          <w:noProof/>
        </w:rPr>
        <w:t xml:space="preserve"> v </w:t>
      </w:r>
      <w:r w:rsidR="00800B1D" w:rsidRPr="003E79AD">
        <w:rPr>
          <w:noProof/>
        </w:rPr>
        <w:t>mene Únie,</w:t>
      </w:r>
      <w:r w:rsidR="003E79AD">
        <w:rPr>
          <w:noProof/>
        </w:rPr>
        <w:t xml:space="preserve"> s </w:t>
      </w:r>
      <w:r w:rsidR="00800B1D" w:rsidRPr="003E79AD">
        <w:rPr>
          <w:noProof/>
        </w:rPr>
        <w:t xml:space="preserve">cieľom určiť špecifikáciu včas pred </w:t>
      </w:r>
      <w:r w:rsidR="00800B1D" w:rsidRPr="003E79AD">
        <w:rPr>
          <w:noProof/>
          <w:shd w:val="clear" w:color="auto" w:fill="FFFFFF"/>
        </w:rPr>
        <w:t>príslušným zasadnutím osobitného výboru, resp. pred uzatvorením písomného postupu osobitného výboru</w:t>
      </w:r>
      <w:r w:rsidR="00800B1D" w:rsidRPr="003E79AD">
        <w:rPr>
          <w:noProof/>
        </w:rPr>
        <w:t>,</w:t>
      </w:r>
      <w:r w:rsidR="003E79AD">
        <w:rPr>
          <w:noProof/>
        </w:rPr>
        <w:t xml:space="preserve"> v </w:t>
      </w:r>
      <w:r w:rsidR="00800B1D" w:rsidRPr="003E79AD">
        <w:rPr>
          <w:noProof/>
        </w:rPr>
        <w:t xml:space="preserve">rámci ktorého má </w:t>
      </w:r>
      <w:r w:rsidR="00800B1D" w:rsidRPr="003E79AD">
        <w:rPr>
          <w:noProof/>
          <w:shd w:val="clear" w:color="auto" w:fill="FFFFFF"/>
        </w:rPr>
        <w:t>osobitný výbor</w:t>
      </w:r>
      <w:r w:rsidR="00800B1D" w:rsidRPr="003E79AD">
        <w:rPr>
          <w:noProof/>
        </w:rPr>
        <w:t xml:space="preserve"> rozhodnúť</w:t>
      </w:r>
      <w:r w:rsidR="003E79AD">
        <w:rPr>
          <w:noProof/>
        </w:rPr>
        <w:t xml:space="preserve"> o </w:t>
      </w:r>
      <w:r w:rsidR="00800B1D" w:rsidRPr="003E79AD">
        <w:rPr>
          <w:noProof/>
        </w:rPr>
        <w:t>úprave štandardných formulárov</w:t>
      </w:r>
      <w:r w:rsidR="003E79AD">
        <w:rPr>
          <w:noProof/>
        </w:rPr>
        <w:t>.</w:t>
      </w:r>
    </w:p>
    <w:p w:rsidR="00800B1D" w:rsidRPr="003E79AD" w:rsidRDefault="00800B1D" w:rsidP="005B3AB9">
      <w:pPr>
        <w:pStyle w:val="Titrearticle"/>
        <w:rPr>
          <w:noProof/>
        </w:rPr>
      </w:pPr>
      <w:r w:rsidRPr="003E79AD">
        <w:rPr>
          <w:noProof/>
        </w:rPr>
        <w:t>Článok 3</w:t>
      </w:r>
    </w:p>
    <w:p w:rsidR="005010EC" w:rsidRPr="003E79AD" w:rsidRDefault="005010EC" w:rsidP="00316BFC">
      <w:pPr>
        <w:spacing w:after="360"/>
        <w:rPr>
          <w:noProof/>
        </w:rPr>
      </w:pPr>
      <w:r w:rsidRPr="003E79AD">
        <w:rPr>
          <w:noProof/>
        </w:rPr>
        <w:t>Toto rozhodnutie nadobúda účinnosť dňom jeho prijatia.</w:t>
      </w:r>
    </w:p>
    <w:p w:rsidR="005010EC" w:rsidRPr="003E79AD" w:rsidRDefault="00F512D4" w:rsidP="005B3AB9">
      <w:pPr>
        <w:pStyle w:val="Fait"/>
        <w:rPr>
          <w:noProof/>
        </w:rPr>
      </w:pPr>
      <w:r>
        <w:rPr>
          <w:noProof/>
        </w:rPr>
        <w:t>V Bruseli</w:t>
      </w:r>
    </w:p>
    <w:p w:rsidR="005010EC" w:rsidRPr="003E79AD" w:rsidRDefault="005010EC" w:rsidP="005B3AB9">
      <w:pPr>
        <w:pStyle w:val="Institutionquisigne"/>
        <w:rPr>
          <w:noProof/>
        </w:rPr>
      </w:pPr>
      <w:r w:rsidRPr="003E79AD">
        <w:rPr>
          <w:noProof/>
        </w:rPr>
        <w:tab/>
        <w:t>Za Radu</w:t>
      </w:r>
    </w:p>
    <w:p w:rsidR="005010EC" w:rsidRPr="003E79AD" w:rsidRDefault="005010EC" w:rsidP="005010EC">
      <w:pPr>
        <w:pStyle w:val="Personnequisigne"/>
        <w:rPr>
          <w:noProof/>
        </w:rPr>
      </w:pPr>
      <w:r w:rsidRPr="003E79AD">
        <w:rPr>
          <w:noProof/>
        </w:rPr>
        <w:tab/>
        <w:t>predseda/predsedníčka</w:t>
      </w:r>
    </w:p>
    <w:sectPr w:rsidR="005010EC" w:rsidRPr="003E79AD" w:rsidSect="00FB694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0EC" w:rsidRDefault="005010EC" w:rsidP="005010EC">
      <w:pPr>
        <w:spacing w:before="0" w:after="0"/>
      </w:pPr>
      <w:r>
        <w:separator/>
      </w:r>
    </w:p>
  </w:endnote>
  <w:endnote w:type="continuationSeparator" w:id="0">
    <w:p w:rsidR="005010EC" w:rsidRDefault="005010EC" w:rsidP="005010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44" w:rsidRPr="00FB6944" w:rsidRDefault="00FB6944" w:rsidP="00FB6944">
    <w:pPr>
      <w:pStyle w:val="Footer"/>
      <w:rPr>
        <w:rFonts w:ascii="Arial" w:hAnsi="Arial" w:cs="Arial"/>
        <w:b/>
        <w:sz w:val="48"/>
      </w:rPr>
    </w:pPr>
    <w:r w:rsidRPr="00FB6944">
      <w:rPr>
        <w:rFonts w:ascii="Arial" w:hAnsi="Arial" w:cs="Arial"/>
        <w:b/>
        <w:sz w:val="48"/>
      </w:rPr>
      <w:t>SK</w:t>
    </w:r>
    <w:r w:rsidRPr="00FB6944">
      <w:rPr>
        <w:rFonts w:ascii="Arial" w:hAnsi="Arial" w:cs="Arial"/>
        <w:b/>
        <w:sz w:val="48"/>
      </w:rPr>
      <w:tab/>
    </w:r>
    <w:r w:rsidRPr="00FB6944">
      <w:rPr>
        <w:rFonts w:ascii="Arial" w:hAnsi="Arial" w:cs="Arial"/>
        <w:b/>
        <w:sz w:val="48"/>
      </w:rPr>
      <w:tab/>
    </w:r>
    <w:r w:rsidRPr="00FB6944">
      <w:tab/>
    </w:r>
    <w:r w:rsidRPr="00FB6944">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44" w:rsidRPr="00FB6944" w:rsidRDefault="00FB6944" w:rsidP="00FB6944">
    <w:pPr>
      <w:pStyle w:val="Footer"/>
      <w:rPr>
        <w:rFonts w:ascii="Arial" w:hAnsi="Arial" w:cs="Arial"/>
        <w:b/>
        <w:sz w:val="48"/>
      </w:rPr>
    </w:pPr>
    <w:r w:rsidRPr="00FB6944">
      <w:rPr>
        <w:rFonts w:ascii="Arial" w:hAnsi="Arial" w:cs="Arial"/>
        <w:b/>
        <w:sz w:val="48"/>
      </w:rPr>
      <w:t>SK</w:t>
    </w:r>
    <w:r w:rsidRPr="00FB6944">
      <w:rPr>
        <w:rFonts w:ascii="Arial" w:hAnsi="Arial" w:cs="Arial"/>
        <w:b/>
        <w:sz w:val="48"/>
      </w:rPr>
      <w:tab/>
    </w:r>
    <w:r w:rsidRPr="00FB6944">
      <w:rPr>
        <w:rFonts w:ascii="Arial" w:hAnsi="Arial" w:cs="Arial"/>
        <w:b/>
        <w:sz w:val="48"/>
      </w:rPr>
      <w:tab/>
    </w:r>
    <w:r w:rsidRPr="00FB6944">
      <w:tab/>
    </w:r>
    <w:r w:rsidRPr="00FB6944">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44" w:rsidRDefault="00FB69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44" w:rsidRPr="00FB6944" w:rsidRDefault="00FB6944" w:rsidP="00FB6944">
    <w:pPr>
      <w:pStyle w:val="Footer"/>
      <w:rPr>
        <w:rFonts w:ascii="Arial" w:hAnsi="Arial" w:cs="Arial"/>
        <w:b/>
        <w:sz w:val="48"/>
      </w:rPr>
    </w:pPr>
    <w:r w:rsidRPr="00FB6944">
      <w:rPr>
        <w:rFonts w:ascii="Arial" w:hAnsi="Arial" w:cs="Arial"/>
        <w:b/>
        <w:sz w:val="48"/>
      </w:rPr>
      <w:t>SK</w:t>
    </w:r>
    <w:r w:rsidRPr="00FB6944">
      <w:rPr>
        <w:rFonts w:ascii="Arial" w:hAnsi="Arial" w:cs="Arial"/>
        <w:b/>
        <w:sz w:val="48"/>
      </w:rPr>
      <w:tab/>
    </w:r>
    <w:r>
      <w:fldChar w:fldCharType="begin"/>
    </w:r>
    <w:r>
      <w:instrText xml:space="preserve"> PAGE  \* MERGEFORMAT </w:instrText>
    </w:r>
    <w:r>
      <w:fldChar w:fldCharType="separate"/>
    </w:r>
    <w:r w:rsidR="005B3AB9">
      <w:rPr>
        <w:noProof/>
      </w:rPr>
      <w:t>5</w:t>
    </w:r>
    <w:r>
      <w:fldChar w:fldCharType="end"/>
    </w:r>
    <w:r>
      <w:tab/>
    </w:r>
    <w:r w:rsidRPr="00FB6944">
      <w:tab/>
    </w:r>
    <w:r w:rsidRPr="00FB6944">
      <w:rPr>
        <w:rFonts w:ascii="Arial" w:hAnsi="Arial" w:cs="Arial"/>
        <w:b/>
        <w:sz w:val="48"/>
      </w:rPr>
      <w:t>SK</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44" w:rsidRDefault="00FB6944" w:rsidP="00FB6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0EC" w:rsidRDefault="005010EC" w:rsidP="005010EC">
      <w:pPr>
        <w:spacing w:before="0" w:after="0"/>
      </w:pPr>
      <w:r>
        <w:separator/>
      </w:r>
    </w:p>
  </w:footnote>
  <w:footnote w:type="continuationSeparator" w:id="0">
    <w:p w:rsidR="005010EC" w:rsidRDefault="005010EC" w:rsidP="005010EC">
      <w:pPr>
        <w:spacing w:before="0" w:after="0"/>
      </w:pPr>
      <w:r>
        <w:continuationSeparator/>
      </w:r>
    </w:p>
  </w:footnote>
  <w:footnote w:id="1">
    <w:p w:rsidR="005010EC" w:rsidRPr="003E79AD" w:rsidRDefault="005010EC" w:rsidP="005010EC">
      <w:pPr>
        <w:pStyle w:val="FootnoteText"/>
      </w:pPr>
      <w:r w:rsidRPr="003E79AD">
        <w:rPr>
          <w:rStyle w:val="FootnoteReference"/>
        </w:rPr>
        <w:footnoteRef/>
      </w:r>
      <w:r w:rsidRPr="003E79AD">
        <w:tab/>
        <w:t>V zmysle vymedzenia</w:t>
      </w:r>
      <w:r w:rsidR="003E79AD">
        <w:t xml:space="preserve"> v </w:t>
      </w:r>
      <w:r w:rsidRPr="003E79AD">
        <w:t>článku 5 Dohovoru OECD</w:t>
      </w:r>
      <w:r w:rsidR="003E79AD">
        <w:t>.</w:t>
      </w:r>
      <w:r w:rsidRPr="003E79AD">
        <w:t xml:space="preserve"> </w:t>
      </w:r>
    </w:p>
  </w:footnote>
  <w:footnote w:id="2">
    <w:p w:rsidR="005010EC" w:rsidRPr="003E79AD" w:rsidRDefault="005010EC" w:rsidP="005010EC">
      <w:pPr>
        <w:pStyle w:val="FootnoteText"/>
      </w:pPr>
      <w:r w:rsidRPr="003E79AD">
        <w:rPr>
          <w:rStyle w:val="FootnoteReference"/>
        </w:rPr>
        <w:footnoteRef/>
      </w:r>
      <w:r w:rsidRPr="003E79AD">
        <w:tab/>
        <w:t>Nariadenie Európskeho parlamentu</w:t>
      </w:r>
      <w:r w:rsidR="003E79AD">
        <w:t xml:space="preserve"> a </w:t>
      </w:r>
      <w:r w:rsidRPr="003E79AD">
        <w:t xml:space="preserve">Rady (EÚ) </w:t>
      </w:r>
      <w:r w:rsidR="003E79AD">
        <w:t>č. </w:t>
      </w:r>
      <w:r w:rsidRPr="003E79AD">
        <w:t>1233/2011 zo 16</w:t>
      </w:r>
      <w:r w:rsidR="003E79AD">
        <w:t>. novembra</w:t>
      </w:r>
      <w:r w:rsidRPr="003E79AD">
        <w:t xml:space="preserve"> 2011</w:t>
      </w:r>
      <w:r w:rsidR="003E79AD">
        <w:t xml:space="preserve"> o </w:t>
      </w:r>
      <w:r w:rsidRPr="003E79AD">
        <w:t>uplatňovaní určitých usmernení</w:t>
      </w:r>
      <w:r w:rsidR="003E79AD">
        <w:t xml:space="preserve"> v </w:t>
      </w:r>
      <w:r w:rsidRPr="003E79AD">
        <w:t>oblasti štátom podporovaných vývozných úverov</w:t>
      </w:r>
      <w:r w:rsidR="003E79AD">
        <w:t xml:space="preserve"> a o </w:t>
      </w:r>
      <w:r w:rsidRPr="003E79AD">
        <w:t>zrušení rozhodnutí Rady 2001/76/ES</w:t>
      </w:r>
      <w:r w:rsidR="003E79AD">
        <w:t xml:space="preserve"> a </w:t>
      </w:r>
      <w:r w:rsidRPr="003E79AD">
        <w:t>2001/77/ES (Ú. v. EÚ L 326, 8.12.2011, s. 45).</w:t>
      </w:r>
    </w:p>
  </w:footnote>
  <w:footnote w:id="3">
    <w:p w:rsidR="005010EC" w:rsidRPr="003E79AD" w:rsidRDefault="005010EC" w:rsidP="005010EC">
      <w:pPr>
        <w:pStyle w:val="FootnoteText"/>
      </w:pPr>
      <w:r w:rsidRPr="003E79AD">
        <w:rPr>
          <w:rStyle w:val="FootnoteReference"/>
        </w:rPr>
        <w:footnoteRef/>
      </w:r>
      <w:r w:rsidRPr="003E79AD">
        <w:tab/>
        <w:t>Rozhodnutie Rady, ktorým sa zriaďuje Skupina pre koordináciu politiky</w:t>
      </w:r>
      <w:r w:rsidR="003E79AD">
        <w:t xml:space="preserve"> v </w:t>
      </w:r>
      <w:r w:rsidRPr="003E79AD">
        <w:t>oblasti poistenia úverov, úverových záruk</w:t>
      </w:r>
      <w:r w:rsidR="003E79AD">
        <w:t xml:space="preserve"> a </w:t>
      </w:r>
      <w:r w:rsidRPr="003E79AD">
        <w:t>finančných úverov (Ú. v. ES 66, 27.10.1960, s. 1339).</w:t>
      </w:r>
    </w:p>
  </w:footnote>
  <w:footnote w:id="4">
    <w:p w:rsidR="005010EC" w:rsidRPr="003E79AD" w:rsidRDefault="005010EC" w:rsidP="005010EC">
      <w:pPr>
        <w:pStyle w:val="FootnoteText"/>
      </w:pPr>
      <w:r w:rsidRPr="003E79AD">
        <w:rPr>
          <w:rStyle w:val="FootnoteReference"/>
        </w:rPr>
        <w:footnoteRef/>
      </w:r>
      <w:r w:rsidRPr="003E79AD">
        <w:tab/>
        <w:t>Rozsudok Súdneho dvora zo 7</w:t>
      </w:r>
      <w:r w:rsidR="003E79AD">
        <w:t>. októbra</w:t>
      </w:r>
      <w:r w:rsidRPr="003E79AD">
        <w:t xml:space="preserve"> 2014, Nemecko/Rada, C-399/12, ECLI:EU:C:2014:2258, body 61 až 64</w:t>
      </w:r>
      <w:r w:rsidR="003E79AD">
        <w:t>.</w:t>
      </w:r>
      <w:r w:rsidRPr="003E79AD">
        <w:t xml:space="preserve"> </w:t>
      </w:r>
    </w:p>
  </w:footnote>
  <w:footnote w:id="5">
    <w:p w:rsidR="005010EC" w:rsidRPr="003E79AD" w:rsidRDefault="005010EC" w:rsidP="005010EC">
      <w:pPr>
        <w:pStyle w:val="FootnoteText"/>
      </w:pPr>
      <w:r w:rsidRPr="003E79AD">
        <w:rPr>
          <w:rStyle w:val="FootnoteReference"/>
        </w:rPr>
        <w:footnoteRef/>
      </w:r>
      <w:r w:rsidRPr="003E79AD">
        <w:tab/>
        <w:t>Nariadenie Európskeho parlamentu</w:t>
      </w:r>
      <w:r w:rsidR="003E79AD">
        <w:t xml:space="preserve"> a </w:t>
      </w:r>
      <w:r w:rsidRPr="003E79AD">
        <w:t xml:space="preserve">Rady (EÚ) </w:t>
      </w:r>
      <w:r w:rsidR="003E79AD">
        <w:t>č. </w:t>
      </w:r>
      <w:r w:rsidRPr="003E79AD">
        <w:t>1233/2011 zo 16</w:t>
      </w:r>
      <w:r w:rsidR="003E79AD">
        <w:t>. novembra</w:t>
      </w:r>
      <w:r w:rsidRPr="003E79AD">
        <w:t xml:space="preserve"> 2011</w:t>
      </w:r>
      <w:r w:rsidR="003E79AD">
        <w:t xml:space="preserve"> o </w:t>
      </w:r>
      <w:r w:rsidRPr="003E79AD">
        <w:t>uplatňovaní určitých usmernení</w:t>
      </w:r>
      <w:r w:rsidR="003E79AD">
        <w:t xml:space="preserve"> v </w:t>
      </w:r>
      <w:r w:rsidRPr="003E79AD">
        <w:t>oblasti štátom podporovaných vývozných úverov</w:t>
      </w:r>
      <w:r w:rsidR="003E79AD">
        <w:t xml:space="preserve"> a o </w:t>
      </w:r>
      <w:r w:rsidRPr="003E79AD">
        <w:t>zrušení rozhodnutí Rady 2001/76/ES</w:t>
      </w:r>
      <w:r w:rsidR="003E79AD">
        <w:t xml:space="preserve"> a </w:t>
      </w:r>
      <w:r w:rsidRPr="003E79AD">
        <w:t xml:space="preserve">2001/77/ES (Ú. v. EÚ L 326, 8.12.2011, s. 45) [ďalej len „nariadenie (EÚ) </w:t>
      </w:r>
      <w:r w:rsidR="003E79AD">
        <w:t>č. </w:t>
      </w:r>
      <w:r w:rsidRPr="003E79AD">
        <w:t>1233/2011“].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44" w:rsidRDefault="00FB6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44" w:rsidRDefault="00FB6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034BE88"/>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DF86A81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E3A1632"/>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FAE68F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FB47F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num>
  <w:num w:numId="3">
    <w:abstractNumId w:val="0"/>
  </w:num>
  <w:num w:numId="4">
    <w:abstractNumId w:val="4"/>
  </w:num>
  <w:num w:numId="5">
    <w:abstractNumId w:val="3"/>
  </w:num>
  <w:num w:numId="6">
    <w:abstractNumId w:val="2"/>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num>
  <w:num w:numId="11">
    <w:abstractNumId w:val="18"/>
  </w:num>
  <w:num w:numId="12">
    <w:abstractNumId w:val="8"/>
  </w:num>
  <w:num w:numId="13">
    <w:abstractNumId w:val="10"/>
  </w:num>
  <w:num w:numId="14">
    <w:abstractNumId w:val="11"/>
  </w:num>
  <w:num w:numId="15">
    <w:abstractNumId w:val="6"/>
  </w:num>
  <w:num w:numId="16">
    <w:abstractNumId w:val="17"/>
  </w:num>
  <w:num w:numId="17">
    <w:abstractNumId w:val="5"/>
  </w:num>
  <w:num w:numId="18">
    <w:abstractNumId w:val="12"/>
  </w:num>
  <w:num w:numId="19">
    <w:abstractNumId w:val="14"/>
  </w:num>
  <w:num w:numId="20">
    <w:abstractNumId w:val="15"/>
  </w:num>
  <w:num w:numId="21">
    <w:abstractNumId w:val="7"/>
  </w:num>
  <w:num w:numId="22">
    <w:abstractNumId w:val="13"/>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5-19 08:09:5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F2C5F3AB-D90D-4750-BDA0-3D3188FEE142"/>
    <w:docVar w:name="LW_COVERPAGE_TYPE" w:val="1"/>
    <w:docVar w:name="LW_CreatedUtc" w:val="2025-03-07T10:01:36.2554447Z"/>
    <w:docVar w:name="LW_CROSSREFERENCE" w:val="&lt;UNUSED&gt;"/>
    <w:docVar w:name="LW_DocType" w:val="COM"/>
    <w:docVar w:name="LW_EMISSION" w:val="26. 5. 2025"/>
    <w:docVar w:name="LW_EMISSION_ISODATE" w:val="2025-05-26"/>
    <w:docVar w:name="LW_EMISSION_LOCATION" w:val="BRX"/>
    <w:docVar w:name="LW_EMISSION_PREFIX" w:val="V Bruseli"/>
    <w:docVar w:name="LW_EMISSION_SUFFIX" w:val=" "/>
    <w:docVar w:name="LW_ID_DOCMODEL" w:val="SJ-043"/>
    <w:docVar w:name="LW_ID_DOCSIGNATURE" w:val="SJ-019"/>
    <w:docVar w:name="LW_ID_DOCSTRUCTURE" w:val="COM/PL/ORG"/>
    <w:docVar w:name="LW_ID_DOCTYPE" w:val="SJ-043"/>
    <w:docVar w:name="LW_ID_STATUT" w:val="SJ-019"/>
    <w:docVar w:name="LW_INSERT_EXP.MOTIFS.NEW" w:val="1"/>
    <w:docVar w:name="LW_INTERETEEE.CP" w:val="&lt;UNUSED&gt;"/>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NLE"/>
    <w:docVar w:name="LW_REF.II.NEW.CP_NUMBER" w:val="0125"/>
    <w:docVar w:name="LW_REF.II.NEW.CP_YEAR" w:val="2025"/>
    <w:docVar w:name="LW_REF.INST.NEW" w:val="COM"/>
    <w:docVar w:name="LW_REF.INST.NEW_ADOPTED" w:val="final"/>
    <w:docVar w:name="LW_REF.INST.NEW_TEXT" w:val="(2025) 25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orým sa stanovuje pozícia, ktorá sa má v písomnom postupe prija\u357? v mene Únie ú\u269?astníkmi Dohody o \u353?tátom podporovaných vývozných úveroch v súvislosti so spolo\u269?ným stanoviskom na priznanie oprávnenosti Ukrajine na viazanú pomoc"/>
    <w:docVar w:name="LW_TYPE.DOC.CP" w:val="ROZHODNUTIE RADY,"/>
    <w:docVar w:name="LwApiVersions" w:val="LW4CoDe 1.24.5.0; LW 9.0, Build 20240221"/>
  </w:docVars>
  <w:rsids>
    <w:rsidRoot w:val="005010EC"/>
    <w:rsid w:val="00092A44"/>
    <w:rsid w:val="00092C72"/>
    <w:rsid w:val="00096D28"/>
    <w:rsid w:val="000F4A3C"/>
    <w:rsid w:val="001065F5"/>
    <w:rsid w:val="001238EF"/>
    <w:rsid w:val="00154FF0"/>
    <w:rsid w:val="001825B9"/>
    <w:rsid w:val="00197613"/>
    <w:rsid w:val="001A0A8E"/>
    <w:rsid w:val="001B73A0"/>
    <w:rsid w:val="001C5384"/>
    <w:rsid w:val="001E3E4F"/>
    <w:rsid w:val="001F3F66"/>
    <w:rsid w:val="00233DC7"/>
    <w:rsid w:val="00240E41"/>
    <w:rsid w:val="00245377"/>
    <w:rsid w:val="00246020"/>
    <w:rsid w:val="0024756E"/>
    <w:rsid w:val="00247779"/>
    <w:rsid w:val="0025611B"/>
    <w:rsid w:val="00257156"/>
    <w:rsid w:val="00285BEE"/>
    <w:rsid w:val="002921BB"/>
    <w:rsid w:val="0029533F"/>
    <w:rsid w:val="002956E5"/>
    <w:rsid w:val="002B30AF"/>
    <w:rsid w:val="002D4512"/>
    <w:rsid w:val="00316BFC"/>
    <w:rsid w:val="0033344A"/>
    <w:rsid w:val="00386946"/>
    <w:rsid w:val="00390E1E"/>
    <w:rsid w:val="003B37CE"/>
    <w:rsid w:val="003C71E6"/>
    <w:rsid w:val="003E79AD"/>
    <w:rsid w:val="004021EB"/>
    <w:rsid w:val="00410BB7"/>
    <w:rsid w:val="004164F7"/>
    <w:rsid w:val="0042648E"/>
    <w:rsid w:val="00437B5A"/>
    <w:rsid w:val="00457171"/>
    <w:rsid w:val="004936D2"/>
    <w:rsid w:val="004A0903"/>
    <w:rsid w:val="004A7BEB"/>
    <w:rsid w:val="004C5C0E"/>
    <w:rsid w:val="004F5E9A"/>
    <w:rsid w:val="004F6FC5"/>
    <w:rsid w:val="005010EC"/>
    <w:rsid w:val="00504BDF"/>
    <w:rsid w:val="00561AA0"/>
    <w:rsid w:val="0059104C"/>
    <w:rsid w:val="005A6AED"/>
    <w:rsid w:val="005B1EB6"/>
    <w:rsid w:val="005B3AB9"/>
    <w:rsid w:val="005C2156"/>
    <w:rsid w:val="005D171F"/>
    <w:rsid w:val="005F6F4F"/>
    <w:rsid w:val="006173E9"/>
    <w:rsid w:val="00621474"/>
    <w:rsid w:val="006363A0"/>
    <w:rsid w:val="00662D8A"/>
    <w:rsid w:val="00670FD2"/>
    <w:rsid w:val="00681D5E"/>
    <w:rsid w:val="006A4915"/>
    <w:rsid w:val="006D1A5E"/>
    <w:rsid w:val="006E7201"/>
    <w:rsid w:val="006F3721"/>
    <w:rsid w:val="006F58BA"/>
    <w:rsid w:val="0074590A"/>
    <w:rsid w:val="00773331"/>
    <w:rsid w:val="00783719"/>
    <w:rsid w:val="007932EF"/>
    <w:rsid w:val="007C28BB"/>
    <w:rsid w:val="007E05B0"/>
    <w:rsid w:val="007E749A"/>
    <w:rsid w:val="00800B1D"/>
    <w:rsid w:val="008274C1"/>
    <w:rsid w:val="00843CB9"/>
    <w:rsid w:val="008463A4"/>
    <w:rsid w:val="00862DC0"/>
    <w:rsid w:val="00874D22"/>
    <w:rsid w:val="00876102"/>
    <w:rsid w:val="00876E35"/>
    <w:rsid w:val="00881285"/>
    <w:rsid w:val="008909DC"/>
    <w:rsid w:val="008A2914"/>
    <w:rsid w:val="008C1CBD"/>
    <w:rsid w:val="008C695B"/>
    <w:rsid w:val="008E4D8E"/>
    <w:rsid w:val="008F7B22"/>
    <w:rsid w:val="00986CAE"/>
    <w:rsid w:val="009B086E"/>
    <w:rsid w:val="009D6CC7"/>
    <w:rsid w:val="00A500A8"/>
    <w:rsid w:val="00A54959"/>
    <w:rsid w:val="00A56D1E"/>
    <w:rsid w:val="00A825F6"/>
    <w:rsid w:val="00A96FC4"/>
    <w:rsid w:val="00AC529E"/>
    <w:rsid w:val="00AD1289"/>
    <w:rsid w:val="00AD241D"/>
    <w:rsid w:val="00AE3070"/>
    <w:rsid w:val="00AF0727"/>
    <w:rsid w:val="00B575D5"/>
    <w:rsid w:val="00B75F9C"/>
    <w:rsid w:val="00B84D7F"/>
    <w:rsid w:val="00BD478A"/>
    <w:rsid w:val="00C12301"/>
    <w:rsid w:val="00C45ECD"/>
    <w:rsid w:val="00C70FCA"/>
    <w:rsid w:val="00C93B2F"/>
    <w:rsid w:val="00C97E16"/>
    <w:rsid w:val="00CA48B7"/>
    <w:rsid w:val="00CA7049"/>
    <w:rsid w:val="00D20381"/>
    <w:rsid w:val="00D216E4"/>
    <w:rsid w:val="00D63B76"/>
    <w:rsid w:val="00DE6859"/>
    <w:rsid w:val="00E02924"/>
    <w:rsid w:val="00E2073B"/>
    <w:rsid w:val="00E326E1"/>
    <w:rsid w:val="00E54B81"/>
    <w:rsid w:val="00E572B3"/>
    <w:rsid w:val="00E80DEC"/>
    <w:rsid w:val="00EB1526"/>
    <w:rsid w:val="00EB4183"/>
    <w:rsid w:val="00ED2B73"/>
    <w:rsid w:val="00EE2688"/>
    <w:rsid w:val="00EE3380"/>
    <w:rsid w:val="00EF4536"/>
    <w:rsid w:val="00F15D01"/>
    <w:rsid w:val="00F164B3"/>
    <w:rsid w:val="00F512D4"/>
    <w:rsid w:val="00F8123D"/>
    <w:rsid w:val="00F81241"/>
    <w:rsid w:val="00F831AD"/>
    <w:rsid w:val="00F95A58"/>
    <w:rsid w:val="00FB6944"/>
    <w:rsid w:val="00FC38F8"/>
    <w:rsid w:val="00FE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8FAB7484-645B-4E1C-937D-08346863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rsid w:val="005010EC"/>
    <w:pPr>
      <w:numPr>
        <w:numId w:val="3"/>
      </w:numPr>
      <w:contextualSpacing/>
    </w:pPr>
  </w:style>
  <w:style w:type="character" w:styleId="Hyperlink">
    <w:name w:val="Hyperlink"/>
    <w:basedOn w:val="DefaultParagraphFont"/>
    <w:uiPriority w:val="99"/>
    <w:unhideWhenUsed/>
    <w:rsid w:val="005F6F4F"/>
    <w:rPr>
      <w:color w:val="0000FF" w:themeColor="hyperlink"/>
      <w:u w:val="single"/>
    </w:rPr>
  </w:style>
  <w:style w:type="character" w:styleId="CommentReference">
    <w:name w:val="annotation reference"/>
    <w:basedOn w:val="DefaultParagraphFont"/>
    <w:unhideWhenUsed/>
    <w:rsid w:val="005F6F4F"/>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sk-SK"/>
    </w:rPr>
  </w:style>
  <w:style w:type="paragraph" w:styleId="Revision">
    <w:name w:val="Revision"/>
    <w:hidden/>
    <w:uiPriority w:val="99"/>
    <w:semiHidden/>
    <w:rsid w:val="002D4512"/>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C45ECD"/>
    <w:rPr>
      <w:b/>
      <w:bCs/>
    </w:rPr>
  </w:style>
  <w:style w:type="character" w:customStyle="1" w:styleId="CommentSubjectChar">
    <w:name w:val="Comment Subject Char"/>
    <w:basedOn w:val="CommentTextChar"/>
    <w:link w:val="CommentSubject"/>
    <w:uiPriority w:val="99"/>
    <w:semiHidden/>
    <w:rsid w:val="00C45ECD"/>
    <w:rPr>
      <w:rFonts w:ascii="Times New Roman" w:hAnsi="Times New Roman" w:cs="Times New Roman"/>
      <w:b/>
      <w:bCs/>
      <w:sz w:val="20"/>
      <w:szCs w:val="20"/>
      <w:lang w:val="sk-SK"/>
    </w:rPr>
  </w:style>
  <w:style w:type="paragraph" w:styleId="ListBullet">
    <w:name w:val="List Bullet"/>
    <w:basedOn w:val="Normal"/>
    <w:uiPriority w:val="99"/>
    <w:semiHidden/>
    <w:unhideWhenUsed/>
    <w:rsid w:val="00245377"/>
    <w:pPr>
      <w:numPr>
        <w:numId w:val="4"/>
      </w:numPr>
      <w:contextualSpacing/>
    </w:pPr>
  </w:style>
  <w:style w:type="paragraph" w:styleId="ListBullet2">
    <w:name w:val="List Bullet 2"/>
    <w:basedOn w:val="Normal"/>
    <w:uiPriority w:val="99"/>
    <w:semiHidden/>
    <w:unhideWhenUsed/>
    <w:rsid w:val="00245377"/>
    <w:pPr>
      <w:numPr>
        <w:numId w:val="5"/>
      </w:numPr>
      <w:contextualSpacing/>
    </w:pPr>
  </w:style>
  <w:style w:type="paragraph" w:styleId="ListBullet3">
    <w:name w:val="List Bullet 3"/>
    <w:basedOn w:val="Normal"/>
    <w:uiPriority w:val="99"/>
    <w:semiHidden/>
    <w:unhideWhenUsed/>
    <w:rsid w:val="00245377"/>
    <w:pPr>
      <w:numPr>
        <w:numId w:val="6"/>
      </w:numPr>
      <w:contextualSpacing/>
    </w:pPr>
  </w:style>
  <w:style w:type="paragraph" w:styleId="ListBullet4">
    <w:name w:val="List Bullet 4"/>
    <w:basedOn w:val="Normal"/>
    <w:uiPriority w:val="99"/>
    <w:semiHidden/>
    <w:unhideWhenUsed/>
    <w:rsid w:val="00245377"/>
    <w:pPr>
      <w:numPr>
        <w:numId w:val="7"/>
      </w:numPr>
      <w:contextualSpacing/>
    </w:pPr>
  </w:style>
  <w:style w:type="character" w:customStyle="1" w:styleId="UnresolvedMention">
    <w:name w:val="Unresolved Mention"/>
    <w:basedOn w:val="DefaultParagraphFont"/>
    <w:uiPriority w:val="99"/>
    <w:semiHidden/>
    <w:unhideWhenUsed/>
    <w:rsid w:val="00CA48B7"/>
    <w:rPr>
      <w:color w:val="605E5C"/>
      <w:shd w:val="clear" w:color="auto" w:fill="E1DFDD"/>
    </w:rPr>
  </w:style>
  <w:style w:type="character" w:customStyle="1" w:styleId="HeaderChar">
    <w:name w:val="Header Char"/>
    <w:basedOn w:val="DefaultParagraphFont"/>
    <w:link w:val="Header"/>
    <w:uiPriority w:val="99"/>
    <w:rsid w:val="00FB6944"/>
    <w:rPr>
      <w:rFonts w:ascii="Times New Roman" w:hAnsi="Times New Roman" w:cs="Times New Roman"/>
      <w:sz w:val="24"/>
      <w:lang w:val="sk-SK"/>
    </w:rPr>
  </w:style>
  <w:style w:type="character" w:customStyle="1" w:styleId="FooterChar">
    <w:name w:val="Footer Char"/>
    <w:basedOn w:val="DefaultParagraphFont"/>
    <w:link w:val="Footer"/>
    <w:uiPriority w:val="99"/>
    <w:rsid w:val="00FB6944"/>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k-S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k-S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k-S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k-S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k-S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B694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B6944"/>
    <w:pPr>
      <w:spacing w:before="0"/>
      <w:jc w:val="right"/>
    </w:pPr>
    <w:rPr>
      <w:sz w:val="28"/>
    </w:rPr>
  </w:style>
  <w:style w:type="paragraph" w:customStyle="1" w:styleId="FooterSensitivity">
    <w:name w:val="Footer Sensitivity"/>
    <w:basedOn w:val="Normal"/>
    <w:rsid w:val="00FB694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ret5">
    <w:name w:val="Tiret 5"/>
    <w:basedOn w:val="Point5"/>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FB6944"/>
    <w:pPr>
      <w:tabs>
        <w:tab w:val="center" w:pos="4535"/>
        <w:tab w:val="right" w:pos="9071"/>
      </w:tabs>
      <w:spacing w:before="0"/>
    </w:pPr>
  </w:style>
  <w:style w:type="paragraph" w:customStyle="1" w:styleId="HeaderLandscape">
    <w:name w:val="HeaderLandscape"/>
    <w:basedOn w:val="Normal"/>
    <w:rsid w:val="00FB6944"/>
    <w:pPr>
      <w:tabs>
        <w:tab w:val="center" w:pos="7285"/>
        <w:tab w:val="right" w:pos="14003"/>
      </w:tabs>
      <w:spacing w:before="0"/>
    </w:pPr>
  </w:style>
  <w:style w:type="paragraph" w:styleId="Footer">
    <w:name w:val="footer"/>
    <w:basedOn w:val="Normal"/>
    <w:link w:val="FooterChar"/>
    <w:uiPriority w:val="99"/>
    <w:unhideWhenUsed/>
    <w:rsid w:val="00FB6944"/>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FB6944"/>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47888">
      <w:bodyDiv w:val="1"/>
      <w:marLeft w:val="0"/>
      <w:marRight w:val="0"/>
      <w:marTop w:val="0"/>
      <w:marBottom w:val="0"/>
      <w:divBdr>
        <w:top w:val="none" w:sz="0" w:space="0" w:color="auto"/>
        <w:left w:val="none" w:sz="0" w:space="0" w:color="auto"/>
        <w:bottom w:val="none" w:sz="0" w:space="0" w:color="auto"/>
        <w:right w:val="none" w:sz="0" w:space="0" w:color="auto"/>
      </w:divBdr>
    </w:div>
    <w:div w:id="9762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83</TotalTime>
  <Pages>6</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59</cp:revision>
  <dcterms:created xsi:type="dcterms:W3CDTF">2025-04-29T14:05:00Z</dcterms:created>
  <dcterms:modified xsi:type="dcterms:W3CDTF">2025-05-19T06:09:00Z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2025-03-07T10:08:43Z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3af86f83-f27e-4929-b2f5-fbf8638ef285</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