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41780" w14:textId="5C4CBEF3" w:rsidR="007F1C63" w:rsidRDefault="00613A30" w:rsidP="00613A30">
      <w:pPr>
        <w:pStyle w:val="Pagedecouverture"/>
        <w:rPr>
          <w:rStyle w:val="Heading11"/>
          <w:smallCaps/>
          <w:noProof/>
          <w:sz w:val="24"/>
          <w:szCs w:val="24"/>
        </w:rPr>
      </w:pPr>
      <w:bookmarkStart w:id="0" w:name="LW_BM_COVERPAGE"/>
      <w:r>
        <w:rPr>
          <w:rStyle w:val="Heading11"/>
          <w:smallCaps/>
          <w:noProof/>
          <w:sz w:val="24"/>
          <w:szCs w:val="24"/>
        </w:rPr>
        <w:pict w14:anchorId="7574C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D3131EA-0EEE-4CB2-92B3-DE900D284040" style="width:455.25pt;height:365.25pt">
            <v:imagedata r:id="rId8" o:title=""/>
          </v:shape>
        </w:pict>
      </w:r>
    </w:p>
    <w:bookmarkEnd w:id="0"/>
    <w:p w14:paraId="5C793B7A" w14:textId="77777777" w:rsidR="007F1C63" w:rsidRDefault="007F1C63" w:rsidP="007F1C63">
      <w:pPr>
        <w:rPr>
          <w:rStyle w:val="Heading11"/>
          <w:rFonts w:ascii="Times New Roman" w:hAnsi="Times New Roman" w:cs="Times New Roman"/>
          <w:smallCaps/>
          <w:noProof/>
          <w:sz w:val="24"/>
          <w:szCs w:val="24"/>
        </w:rPr>
        <w:sectPr w:rsidR="007F1C63" w:rsidSect="00613A3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D616DB2" w14:textId="1E638864" w:rsidR="004B181D" w:rsidRPr="001E1863" w:rsidRDefault="004B181D" w:rsidP="004B181D">
      <w:pPr>
        <w:pStyle w:val="Heading110"/>
        <w:keepNext/>
        <w:keepLines/>
        <w:numPr>
          <w:ilvl w:val="0"/>
          <w:numId w:val="1"/>
        </w:numPr>
        <w:tabs>
          <w:tab w:val="left" w:pos="552"/>
          <w:tab w:val="left" w:pos="557"/>
        </w:tabs>
        <w:jc w:val="both"/>
        <w:rPr>
          <w:rFonts w:ascii="Times New Roman" w:hAnsi="Times New Roman" w:cs="Times New Roman"/>
          <w:noProof/>
          <w:sz w:val="24"/>
          <w:szCs w:val="24"/>
        </w:rPr>
      </w:pPr>
      <w:bookmarkStart w:id="1" w:name="_GoBack"/>
      <w:bookmarkEnd w:id="1"/>
      <w:r>
        <w:rPr>
          <w:rStyle w:val="Heading11"/>
          <w:rFonts w:ascii="Times New Roman" w:hAnsi="Times New Roman"/>
          <w:smallCaps/>
          <w:noProof/>
          <w:sz w:val="24"/>
        </w:rPr>
        <w:lastRenderedPageBreak/>
        <w:t>Indledning</w:t>
      </w:r>
    </w:p>
    <w:p w14:paraId="6DB9F7CA" w14:textId="761B914D" w:rsidR="004B181D" w:rsidRPr="000C6D51" w:rsidRDefault="003A5CC5" w:rsidP="004B181D">
      <w:pPr>
        <w:pStyle w:val="Bodytext10"/>
        <w:ind w:left="580"/>
        <w:jc w:val="both"/>
        <w:rPr>
          <w:rFonts w:ascii="Times New Roman" w:hAnsi="Times New Roman" w:cs="Times New Roman"/>
          <w:noProof/>
          <w:color w:val="333333"/>
          <w:sz w:val="24"/>
          <w:szCs w:val="24"/>
          <w:shd w:val="clear" w:color="auto" w:fill="FFFFFF"/>
        </w:rPr>
      </w:pPr>
      <w:r>
        <w:rPr>
          <w:rFonts w:ascii="Times New Roman" w:hAnsi="Times New Roman"/>
          <w:noProof/>
          <w:sz w:val="24"/>
        </w:rPr>
        <w:t>Ved Europa-Parlamentets og Rådets forordning (EU) 2019/787</w:t>
      </w:r>
      <w:r w:rsidR="009B08C7">
        <w:rPr>
          <w:rStyle w:val="FootnoteReference"/>
          <w:rFonts w:ascii="Times New Roman" w:hAnsi="Times New Roman" w:cs="Times New Roman"/>
          <w:noProof/>
          <w:color w:val="333333"/>
          <w:sz w:val="24"/>
          <w:szCs w:val="24"/>
          <w:shd w:val="clear" w:color="auto" w:fill="FFFFFF"/>
        </w:rPr>
        <w:footnoteReference w:id="1"/>
      </w:r>
      <w:r>
        <w:rPr>
          <w:rFonts w:ascii="Times New Roman" w:hAnsi="Times New Roman"/>
          <w:noProof/>
          <w:sz w:val="24"/>
        </w:rPr>
        <w:t xml:space="preserve"> blev der indført en ny retlig ramme for spiritus, der fremstilles i Unionen.</w:t>
      </w:r>
      <w:r>
        <w:rPr>
          <w:rFonts w:ascii="Times New Roman" w:hAnsi="Times New Roman"/>
          <w:noProof/>
          <w:color w:val="333333"/>
          <w:sz w:val="24"/>
          <w:shd w:val="clear" w:color="auto" w:fill="FFFFFF"/>
        </w:rPr>
        <w:t xml:space="preserve"> </w:t>
      </w:r>
      <w:r>
        <w:rPr>
          <w:rFonts w:ascii="Times New Roman" w:hAnsi="Times New Roman"/>
          <w:noProof/>
          <w:sz w:val="24"/>
        </w:rPr>
        <w:t>Den omfatter navnlig regler for definition, beskrivelse, præsentation og mærkning af spiritus og for kontrol og overvågning heraf.</w:t>
      </w:r>
    </w:p>
    <w:p w14:paraId="55B4793F" w14:textId="2DBDFD2D" w:rsidR="003A5CC5" w:rsidRDefault="003A5CC5" w:rsidP="003A5CC5">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Ved nævnte forordning tillægges Kommissionen beføjelse til at vedtage delegerede retsakter, der supplerer eller ændrer nogle af disse regler, og – for visse af dem – pålægges Kommissionen en forpligtelse til at aflægge rapport til fælleslovgiverne om udøvelsen af de delegerede beføjelser, som den indeholder.</w:t>
      </w:r>
    </w:p>
    <w:p w14:paraId="4D22B018" w14:textId="7B06335A" w:rsidR="004A6981" w:rsidRDefault="00E20F34" w:rsidP="002B20C5">
      <w:pPr>
        <w:pStyle w:val="Bodytext10"/>
        <w:ind w:left="580"/>
        <w:jc w:val="both"/>
        <w:rPr>
          <w:rStyle w:val="Bodytext1"/>
          <w:rFonts w:ascii="Times New Roman" w:hAnsi="Times New Roman" w:cs="Times New Roman"/>
          <w:noProof/>
          <w:sz w:val="24"/>
          <w:szCs w:val="24"/>
        </w:rPr>
      </w:pPr>
      <w:r>
        <w:rPr>
          <w:rFonts w:ascii="Times New Roman" w:hAnsi="Times New Roman"/>
          <w:noProof/>
          <w:sz w:val="24"/>
        </w:rPr>
        <w:t xml:space="preserve">I henhold til artikel 46, stk. 2, i forordning (EU) 2019/787 blev Kommissionen tillagt beføjelser til at vedtage delegerede retsakter </w:t>
      </w:r>
      <w:r>
        <w:rPr>
          <w:rStyle w:val="Bodytext1"/>
          <w:rFonts w:ascii="Times New Roman" w:hAnsi="Times New Roman"/>
          <w:noProof/>
          <w:sz w:val="24"/>
        </w:rPr>
        <w:t>for en periode på syv år fra den 24. maj 2019 i henhold til:</w:t>
      </w:r>
    </w:p>
    <w:p w14:paraId="7AF23A14" w14:textId="6EE2D252" w:rsidR="002B20C5" w:rsidRPr="00E46FFC" w:rsidRDefault="002B20C5" w:rsidP="00A42F52">
      <w:pPr>
        <w:pStyle w:val="ListParagraph"/>
        <w:numPr>
          <w:ilvl w:val="0"/>
          <w:numId w:val="10"/>
        </w:numPr>
        <w:ind w:left="993"/>
        <w:jc w:val="both"/>
        <w:rPr>
          <w:rFonts w:ascii="Times New Roman" w:hAnsi="Times New Roman" w:cs="Times New Roman"/>
          <w:noProof/>
          <w:sz w:val="24"/>
          <w:szCs w:val="24"/>
        </w:rPr>
      </w:pPr>
      <w:r>
        <w:rPr>
          <w:rStyle w:val="Bodytext1"/>
          <w:rFonts w:ascii="Times New Roman" w:hAnsi="Times New Roman"/>
          <w:noProof/>
          <w:sz w:val="24"/>
        </w:rPr>
        <w:t>artikel 8, stk. 1: for</w:t>
      </w:r>
      <w:r>
        <w:rPr>
          <w:rFonts w:ascii="Times New Roman" w:hAnsi="Times New Roman"/>
          <w:noProof/>
          <w:sz w:val="24"/>
        </w:rPr>
        <w:t xml:space="preserve"> at ændre de tekniske definitioner og krav, der er fastlagt i artikel 2, litra f), og i artikel 4 og 5. Disse delegerede retsakter begrænses strengt til opfyldelse af påviste behov, der er opstået som følge af ændret forbrugerefterspørgsel, teknologiske fremskridt eller behovet for produktinnovation. Kommissionen skal vedtage en særskilt delegeret retsakt for hver teknisk definition eller ethvert krav </w:t>
      </w:r>
    </w:p>
    <w:p w14:paraId="47E74D86" w14:textId="5A10EF5A" w:rsidR="003A2BA6" w:rsidRPr="00E46FFC" w:rsidRDefault="002B20C5" w:rsidP="00A42F52">
      <w:pPr>
        <w:pStyle w:val="Bodytext10"/>
        <w:numPr>
          <w:ilvl w:val="0"/>
          <w:numId w:val="10"/>
        </w:numPr>
        <w:ind w:left="993"/>
        <w:jc w:val="both"/>
        <w:rPr>
          <w:rStyle w:val="Bodytext1"/>
          <w:rFonts w:ascii="Times New Roman" w:hAnsi="Times New Roman" w:cs="Times New Roman"/>
          <w:noProof/>
          <w:kern w:val="0"/>
          <w:sz w:val="24"/>
          <w:szCs w:val="24"/>
          <w14:ligatures w14:val="none"/>
        </w:rPr>
      </w:pPr>
      <w:r>
        <w:rPr>
          <w:rStyle w:val="Bodytext1"/>
          <w:rFonts w:ascii="Times New Roman" w:hAnsi="Times New Roman"/>
          <w:noProof/>
          <w:sz w:val="24"/>
        </w:rPr>
        <w:t>artikel 8, stk. 2: for i særlige tilfælde, hvor importtredjelandets retsregler kræver det, at fastsætte undtagelser fra de krav, der er fastsat i artikel 2, litra f), og i artikel 4 og 5, kravene i de spirituskategorier, der er fastsat i bilag I, og de særlige regler for visse spiritus i bilag II</w:t>
      </w:r>
    </w:p>
    <w:p w14:paraId="1F50E8BD" w14:textId="79811BA5" w:rsidR="002B20C5" w:rsidRPr="003A2BA6" w:rsidRDefault="002B20C5" w:rsidP="00A42F52">
      <w:pPr>
        <w:pStyle w:val="Bodytext10"/>
        <w:numPr>
          <w:ilvl w:val="0"/>
          <w:numId w:val="10"/>
        </w:numPr>
        <w:ind w:left="993"/>
        <w:jc w:val="both"/>
        <w:rPr>
          <w:rFonts w:ascii="Times New Roman" w:hAnsi="Times New Roman" w:cs="Times New Roman"/>
          <w:noProof/>
          <w:sz w:val="24"/>
          <w:szCs w:val="24"/>
        </w:rPr>
      </w:pPr>
      <w:r>
        <w:rPr>
          <w:rStyle w:val="Bodytext1"/>
          <w:rFonts w:ascii="Times New Roman" w:hAnsi="Times New Roman"/>
          <w:noProof/>
          <w:sz w:val="24"/>
        </w:rPr>
        <w:t xml:space="preserve">artikel 8, stk. 3:  </w:t>
      </w:r>
      <w:r>
        <w:rPr>
          <w:rFonts w:ascii="Times New Roman" w:hAnsi="Times New Roman"/>
          <w:noProof/>
          <w:sz w:val="24"/>
        </w:rPr>
        <w:t>for at præcisere, hvilke andre naturlige stoffer eller landbrugsråvarer med tilsvarende virkning som de produkter, der er omhandlet i artikel 4, stk. 9, litra a)-e), der er godkendt i hele Unionen som produkter til sødning i fremstillingen af spiritus</w:t>
      </w:r>
    </w:p>
    <w:p w14:paraId="21A71811" w14:textId="1AE42F90" w:rsidR="003752CD" w:rsidRPr="003A2BA6" w:rsidRDefault="003752CD" w:rsidP="00A42F52">
      <w:pPr>
        <w:pStyle w:val="Bodytext10"/>
        <w:numPr>
          <w:ilvl w:val="0"/>
          <w:numId w:val="10"/>
        </w:numPr>
        <w:ind w:left="993"/>
        <w:jc w:val="both"/>
        <w:rPr>
          <w:rFonts w:ascii="Times New Roman" w:hAnsi="Times New Roman" w:cs="Times New Roman"/>
          <w:noProof/>
          <w:sz w:val="24"/>
          <w:szCs w:val="24"/>
        </w:rPr>
      </w:pPr>
      <w:r>
        <w:rPr>
          <w:rFonts w:ascii="Times New Roman" w:hAnsi="Times New Roman"/>
          <w:noProof/>
          <w:sz w:val="24"/>
        </w:rPr>
        <w:t xml:space="preserve">artikel 19, stk. 1: for at tage hensyn til den traditionelle dynamiske lagringsproces for </w:t>
      </w:r>
      <w:r>
        <w:rPr>
          <w:rFonts w:ascii="Times New Roman" w:hAnsi="Times New Roman"/>
          <w:i/>
          <w:iCs/>
          <w:noProof/>
          <w:sz w:val="24"/>
        </w:rPr>
        <w:t>brandy</w:t>
      </w:r>
      <w:r>
        <w:rPr>
          <w:rFonts w:ascii="Times New Roman" w:hAnsi="Times New Roman"/>
          <w:noProof/>
          <w:sz w:val="24"/>
        </w:rPr>
        <w:t xml:space="preserve"> i medlemsstaterne, der er kendt som "</w:t>
      </w:r>
      <w:r>
        <w:rPr>
          <w:rFonts w:ascii="Times New Roman" w:hAnsi="Times New Roman"/>
          <w:i/>
          <w:iCs/>
          <w:noProof/>
          <w:sz w:val="24"/>
        </w:rPr>
        <w:t>criaderas y solera</w:t>
      </w:r>
      <w:r>
        <w:rPr>
          <w:rFonts w:ascii="Times New Roman" w:hAnsi="Times New Roman"/>
          <w:noProof/>
          <w:sz w:val="24"/>
        </w:rPr>
        <w:t>" – eller "</w:t>
      </w:r>
      <w:r>
        <w:rPr>
          <w:rFonts w:ascii="Times New Roman" w:hAnsi="Times New Roman"/>
          <w:i/>
          <w:iCs/>
          <w:noProof/>
          <w:sz w:val="24"/>
        </w:rPr>
        <w:t>solera e criaderas</w:t>
      </w:r>
      <w:r>
        <w:rPr>
          <w:rFonts w:ascii="Times New Roman" w:hAnsi="Times New Roman"/>
          <w:noProof/>
          <w:sz w:val="24"/>
        </w:rPr>
        <w:t>"– systemet, jf. bilag III, ved at:</w:t>
      </w:r>
    </w:p>
    <w:p w14:paraId="791CDE65" w14:textId="5D7F4684" w:rsidR="003752CD" w:rsidRDefault="003752CD" w:rsidP="00A42F52">
      <w:pPr>
        <w:pStyle w:val="Bodytext10"/>
        <w:numPr>
          <w:ilvl w:val="0"/>
          <w:numId w:val="7"/>
        </w:numPr>
        <w:ind w:left="1418" w:hanging="284"/>
        <w:jc w:val="both"/>
        <w:rPr>
          <w:rFonts w:ascii="Times New Roman" w:hAnsi="Times New Roman" w:cs="Times New Roman"/>
          <w:noProof/>
          <w:sz w:val="24"/>
          <w:szCs w:val="24"/>
        </w:rPr>
      </w:pPr>
      <w:r>
        <w:rPr>
          <w:rFonts w:ascii="Times New Roman" w:hAnsi="Times New Roman"/>
          <w:noProof/>
          <w:sz w:val="24"/>
        </w:rPr>
        <w:t xml:space="preserve">fastlægge undtagelser fra artikel 13, stk. 6, hvad angår specifikation af lagringstid eller alder ved beskrivelsen, præsentationen eller mærkningen af en sådan </w:t>
      </w:r>
      <w:r>
        <w:rPr>
          <w:rFonts w:ascii="Times New Roman" w:hAnsi="Times New Roman"/>
          <w:i/>
          <w:iCs/>
          <w:noProof/>
          <w:sz w:val="24"/>
        </w:rPr>
        <w:t>brandy</w:t>
      </w:r>
      <w:r>
        <w:rPr>
          <w:rFonts w:ascii="Times New Roman" w:hAnsi="Times New Roman"/>
          <w:noProof/>
          <w:sz w:val="24"/>
        </w:rPr>
        <w:t>, og</w:t>
      </w:r>
    </w:p>
    <w:p w14:paraId="23E23AE3" w14:textId="44250DCB" w:rsidR="003752CD" w:rsidRPr="003752CD" w:rsidRDefault="003752CD" w:rsidP="00A42F52">
      <w:pPr>
        <w:pStyle w:val="Bodytext10"/>
        <w:numPr>
          <w:ilvl w:val="0"/>
          <w:numId w:val="7"/>
        </w:numPr>
        <w:ind w:left="1418"/>
        <w:jc w:val="both"/>
        <w:rPr>
          <w:rFonts w:ascii="Times New Roman" w:hAnsi="Times New Roman" w:cs="Times New Roman"/>
          <w:noProof/>
          <w:sz w:val="24"/>
          <w:szCs w:val="24"/>
        </w:rPr>
      </w:pPr>
      <w:r>
        <w:rPr>
          <w:rFonts w:ascii="Times New Roman" w:hAnsi="Times New Roman"/>
          <w:noProof/>
          <w:sz w:val="24"/>
        </w:rPr>
        <w:t xml:space="preserve">indføre passende kontrolmekanismer for en sådan </w:t>
      </w:r>
      <w:r>
        <w:rPr>
          <w:rFonts w:ascii="Times New Roman" w:hAnsi="Times New Roman"/>
          <w:i/>
          <w:iCs/>
          <w:noProof/>
          <w:sz w:val="24"/>
        </w:rPr>
        <w:t>brandy</w:t>
      </w:r>
    </w:p>
    <w:p w14:paraId="75A819FA" w14:textId="7419A30D" w:rsidR="004B181D" w:rsidRDefault="00BA607F" w:rsidP="00A42F52">
      <w:pPr>
        <w:pStyle w:val="Bodytext10"/>
        <w:ind w:left="993" w:hanging="283"/>
        <w:jc w:val="both"/>
        <w:rPr>
          <w:rFonts w:ascii="Times New Roman" w:hAnsi="Times New Roman" w:cs="Times New Roman"/>
          <w:noProof/>
          <w:sz w:val="24"/>
          <w:szCs w:val="24"/>
        </w:rPr>
      </w:pPr>
      <w:r>
        <w:rPr>
          <w:rFonts w:ascii="Times New Roman" w:hAnsi="Times New Roman"/>
          <w:noProof/>
          <w:sz w:val="24"/>
        </w:rPr>
        <w:t xml:space="preserve">e) </w:t>
      </w:r>
      <w:r>
        <w:rPr>
          <w:rFonts w:ascii="Times New Roman" w:hAnsi="Times New Roman"/>
          <w:noProof/>
          <w:sz w:val="24"/>
        </w:rPr>
        <w:tab/>
        <w:t xml:space="preserve">artikel 19, stk. 2: for at oprette et offentligt register over de organer, der er udpeget af hver enkelt medlemsstat til at føre tilsyn med lagringsprocessen som fastsat i artikel 13, stk. 6. </w:t>
      </w:r>
    </w:p>
    <w:p w14:paraId="20902414" w14:textId="29558947" w:rsidR="00BA607F" w:rsidRDefault="00BA607F" w:rsidP="00A42F52">
      <w:pPr>
        <w:pStyle w:val="Bodytext10"/>
        <w:ind w:left="567"/>
        <w:jc w:val="both"/>
        <w:rPr>
          <w:rFonts w:ascii="Times New Roman" w:hAnsi="Times New Roman" w:cs="Times New Roman"/>
          <w:noProof/>
          <w:sz w:val="24"/>
          <w:szCs w:val="24"/>
        </w:rPr>
      </w:pPr>
      <w:r>
        <w:rPr>
          <w:rFonts w:ascii="Times New Roman" w:hAnsi="Times New Roman"/>
          <w:noProof/>
          <w:sz w:val="24"/>
        </w:rPr>
        <w:t>Kommissionen skal udarbejde en rapport vedrørende delegationen af beføjelser senest ni måneder inden udløbet af syvårsperioden. Delegationen af beføjelser forlænges stiltiende for perioder af samme varighed, medmindre Europa-Parlamentet eller Rådet modsætter sig en sådan forlængelse senest tre måneder inden udløbet af hver periode.</w:t>
      </w:r>
    </w:p>
    <w:p w14:paraId="57BA5FD0" w14:textId="24A35EE3" w:rsidR="00E20F34" w:rsidRDefault="00E20F34" w:rsidP="00A42F52">
      <w:pPr>
        <w:pStyle w:val="Bodytext10"/>
        <w:ind w:left="567"/>
        <w:jc w:val="both"/>
        <w:rPr>
          <w:rFonts w:ascii="Times New Roman" w:hAnsi="Times New Roman" w:cs="Times New Roman"/>
          <w:noProof/>
          <w:sz w:val="24"/>
          <w:szCs w:val="24"/>
        </w:rPr>
      </w:pPr>
      <w:r>
        <w:rPr>
          <w:rFonts w:ascii="Times New Roman" w:hAnsi="Times New Roman"/>
          <w:noProof/>
          <w:sz w:val="24"/>
        </w:rPr>
        <w:t xml:space="preserve">I denne rapport beskrives Kommissionens aktiviteter i den periode, der begynder </w:t>
      </w:r>
      <w:r>
        <w:rPr>
          <w:rStyle w:val="Bodytext1"/>
          <w:rFonts w:ascii="Times New Roman" w:hAnsi="Times New Roman"/>
          <w:noProof/>
          <w:sz w:val="24"/>
        </w:rPr>
        <w:t>den 24. maj 2019.</w:t>
      </w:r>
    </w:p>
    <w:p w14:paraId="4CF990BE" w14:textId="77777777" w:rsidR="004B181D" w:rsidRPr="001623A2" w:rsidRDefault="004B181D" w:rsidP="004B181D">
      <w:pPr>
        <w:pStyle w:val="Heading110"/>
        <w:keepNext/>
        <w:keepLines/>
        <w:numPr>
          <w:ilvl w:val="0"/>
          <w:numId w:val="1"/>
        </w:numPr>
        <w:tabs>
          <w:tab w:val="left" w:pos="552"/>
        </w:tabs>
        <w:jc w:val="both"/>
        <w:rPr>
          <w:rStyle w:val="Heading11"/>
          <w:rFonts w:ascii="Times New Roman" w:hAnsi="Times New Roman" w:cs="Times New Roman"/>
          <w:b/>
          <w:bCs/>
          <w:noProof/>
          <w:sz w:val="24"/>
          <w:szCs w:val="24"/>
        </w:rPr>
      </w:pPr>
      <w:r>
        <w:rPr>
          <w:rStyle w:val="Heading11"/>
          <w:rFonts w:ascii="Times New Roman" w:hAnsi="Times New Roman"/>
          <w:smallCaps/>
          <w:noProof/>
          <w:sz w:val="24"/>
        </w:rPr>
        <w:t xml:space="preserve">Udøvelse af delegerede beføjelser  </w:t>
      </w:r>
    </w:p>
    <w:p w14:paraId="62809573" w14:textId="09FE59D8" w:rsidR="001623A2" w:rsidRDefault="00705AE1" w:rsidP="00BA607F">
      <w:pPr>
        <w:pStyle w:val="Bodytext10"/>
        <w:ind w:left="580"/>
        <w:jc w:val="both"/>
        <w:rPr>
          <w:rStyle w:val="Bodytext1"/>
          <w:rFonts w:ascii="Times New Roman" w:hAnsi="Times New Roman" w:cs="Times New Roman"/>
          <w:noProof/>
          <w:sz w:val="24"/>
          <w:szCs w:val="24"/>
        </w:rPr>
      </w:pPr>
      <w:r>
        <w:rPr>
          <w:rFonts w:ascii="Times New Roman" w:hAnsi="Times New Roman"/>
          <w:noProof/>
          <w:sz w:val="24"/>
        </w:rPr>
        <w:t xml:space="preserve">I den periode, der er omfattet af denne rapport, har Kommissionen ikke gjort brug af de delegerede beføjelser, den er tillagt i henhold til artikel 8, stk. 2, artikel 8, stk. 3, og artikel 19, stk. 1, i forordning (EU) 2019/787. Kommissionen har imidlertid anvendt delegationen af beføjelser på de områder, der er omfattet af artikel 8, stk. 1, og artikel 19, stk. 2, ved at vedtage </w:t>
      </w:r>
      <w:r>
        <w:rPr>
          <w:rStyle w:val="Bodytext1"/>
          <w:rFonts w:ascii="Times New Roman" w:hAnsi="Times New Roman"/>
          <w:noProof/>
          <w:sz w:val="24"/>
        </w:rPr>
        <w:t>to delegerede forordninger:</w:t>
      </w:r>
    </w:p>
    <w:p w14:paraId="47D6D079" w14:textId="3E71DC93" w:rsidR="00705AE1" w:rsidRDefault="001623A2" w:rsidP="00A42F52">
      <w:pPr>
        <w:pStyle w:val="Bodytext10"/>
        <w:numPr>
          <w:ilvl w:val="0"/>
          <w:numId w:val="11"/>
        </w:numPr>
        <w:jc w:val="both"/>
        <w:rPr>
          <w:rStyle w:val="Bodytext1"/>
          <w:rFonts w:ascii="Times New Roman" w:hAnsi="Times New Roman" w:cs="Times New Roman"/>
          <w:noProof/>
          <w:kern w:val="0"/>
          <w:sz w:val="24"/>
          <w:szCs w:val="24"/>
          <w14:ligatures w14:val="none"/>
        </w:rPr>
      </w:pPr>
      <w:r>
        <w:rPr>
          <w:rStyle w:val="Bodytext1"/>
          <w:rFonts w:ascii="Times New Roman" w:hAnsi="Times New Roman"/>
          <w:noProof/>
          <w:sz w:val="24"/>
        </w:rPr>
        <w:t>Kommissionens delegerede forordning (EU) 2022/1303 af 25. april 2022 om ændring af Europa-Parlamentets og Rådets forordning (EU) 2019/787 for så vidt angår definitionen af og kravene til landbrugsethanol</w:t>
      </w:r>
      <w:r>
        <w:rPr>
          <w:rStyle w:val="FootnoteReference"/>
          <w:rFonts w:ascii="Times New Roman" w:hAnsi="Times New Roman" w:cs="Times New Roman"/>
          <w:noProof/>
          <w:sz w:val="24"/>
          <w:szCs w:val="24"/>
        </w:rPr>
        <w:footnoteReference w:id="2"/>
      </w:r>
      <w:r>
        <w:rPr>
          <w:rStyle w:val="Bodytext1"/>
          <w:rFonts w:ascii="Times New Roman" w:hAnsi="Times New Roman"/>
          <w:noProof/>
          <w:sz w:val="24"/>
        </w:rPr>
        <w:t>, og</w:t>
      </w:r>
    </w:p>
    <w:p w14:paraId="0F79C5B5" w14:textId="0A7D21F3" w:rsidR="00705AE1" w:rsidRDefault="00705AE1" w:rsidP="00A42F52">
      <w:pPr>
        <w:pStyle w:val="Bodytext10"/>
        <w:numPr>
          <w:ilvl w:val="0"/>
          <w:numId w:val="11"/>
        </w:numPr>
        <w:jc w:val="both"/>
        <w:rPr>
          <w:rStyle w:val="Bodytext1"/>
          <w:rFonts w:ascii="Times New Roman" w:hAnsi="Times New Roman" w:cs="Times New Roman"/>
          <w:noProof/>
          <w:kern w:val="0"/>
          <w:sz w:val="24"/>
          <w:szCs w:val="24"/>
          <w14:ligatures w14:val="none"/>
        </w:rPr>
      </w:pPr>
      <w:r>
        <w:rPr>
          <w:rStyle w:val="Bodytext1"/>
          <w:rFonts w:ascii="Times New Roman" w:hAnsi="Times New Roman"/>
          <w:noProof/>
          <w:sz w:val="24"/>
        </w:rPr>
        <w:t>Kommissionens delegerede forordning (EU) 2021/723 af 26. februar 2021 om supplerende regler til Europa-Parlamentets og Rådets forordning (EU) 2019/787 for så vidt angår oprettelsen af et offentligt register over de organer, som hver medlemsstat har udpeget til at føre tilsyn med lagringsprocessen for spiritus</w:t>
      </w:r>
      <w:r>
        <w:rPr>
          <w:rStyle w:val="FootnoteReference"/>
          <w:rFonts w:ascii="Times New Roman" w:hAnsi="Times New Roman" w:cs="Times New Roman"/>
          <w:noProof/>
          <w:sz w:val="24"/>
          <w:szCs w:val="24"/>
        </w:rPr>
        <w:footnoteReference w:id="3"/>
      </w:r>
      <w:r>
        <w:rPr>
          <w:rStyle w:val="Bodytext1"/>
          <w:rFonts w:ascii="Times New Roman" w:hAnsi="Times New Roman"/>
          <w:noProof/>
          <w:sz w:val="24"/>
        </w:rPr>
        <w:t>.</w:t>
      </w:r>
    </w:p>
    <w:p w14:paraId="038D55A5" w14:textId="5E14F793" w:rsidR="001623A2" w:rsidRDefault="001623A2" w:rsidP="001623A2">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 xml:space="preserve">Begge retsakter blev meddelt Europa-Parlamentet og Rådet for at give fælleslovgiverne mulighed for at fremføre eventuelle indsigelser inden for to måneder fra meddelelsen. Hverken Europa-Parlamentet eller Rådet gjorde indsigelse mod nogen af de to delegerede forordninger, som blev offentliggjort i </w:t>
      </w:r>
      <w:r>
        <w:rPr>
          <w:rStyle w:val="Bodytext1"/>
          <w:rFonts w:ascii="Times New Roman" w:hAnsi="Times New Roman"/>
          <w:i/>
          <w:iCs/>
          <w:noProof/>
          <w:sz w:val="24"/>
        </w:rPr>
        <w:t>Den Europæiske Unions Tidende</w:t>
      </w:r>
      <w:r>
        <w:rPr>
          <w:rStyle w:val="Bodytext1"/>
          <w:rFonts w:ascii="Times New Roman" w:hAnsi="Times New Roman"/>
          <w:noProof/>
          <w:sz w:val="24"/>
        </w:rPr>
        <w:t xml:space="preserve"> efter udløbet af den respektive indsigelsesperiode.</w:t>
      </w:r>
    </w:p>
    <w:p w14:paraId="7E5AA913" w14:textId="0C41EA7A" w:rsidR="001623A2" w:rsidRPr="001623A2" w:rsidRDefault="001623A2" w:rsidP="001623A2">
      <w:pPr>
        <w:pStyle w:val="Heading110"/>
        <w:keepNext/>
        <w:keepLines/>
        <w:numPr>
          <w:ilvl w:val="0"/>
          <w:numId w:val="1"/>
        </w:numPr>
        <w:tabs>
          <w:tab w:val="left" w:pos="552"/>
        </w:tabs>
        <w:jc w:val="both"/>
        <w:rPr>
          <w:rStyle w:val="Heading11"/>
          <w:rFonts w:ascii="Times New Roman" w:hAnsi="Times New Roman" w:cs="Times New Roman"/>
          <w:b/>
          <w:bCs/>
          <w:noProof/>
          <w:sz w:val="24"/>
          <w:szCs w:val="24"/>
        </w:rPr>
      </w:pPr>
      <w:r>
        <w:rPr>
          <w:rStyle w:val="Heading11"/>
          <w:rFonts w:ascii="Times New Roman" w:hAnsi="Times New Roman"/>
          <w:smallCaps/>
          <w:noProof/>
          <w:sz w:val="24"/>
        </w:rPr>
        <w:t>Den nuværende situation</w:t>
      </w:r>
    </w:p>
    <w:p w14:paraId="3CE7C12E" w14:textId="0E4B1977" w:rsidR="000E6959" w:rsidRDefault="000E6959" w:rsidP="000E6959">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De to ovennævnte delegerede forordninger har på tilfredsstillende vis opfyldt målet om at supplere og ændre forordning (EU) 2019/787 med de regler, der er nødvendige for, at den kan fungere korrekt og effektivt.</w:t>
      </w:r>
    </w:p>
    <w:p w14:paraId="1F0B0D71" w14:textId="58EE98DD" w:rsidR="000E6959" w:rsidRDefault="000E6959" w:rsidP="000E6959">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Selv om der ikke har været nogen vanskeligheder med anvendelsen og fortolkningen af de to ovennævnte delegerede forordninger i henholdsvis tre og fire år af deres anvendelse, udvikler den retlige, økonomiske og faktuelle kontekst, der er relevant for disse bestemmelser (navnlig de mere tekniske regler vedrørende definitionen af og kravene til landbrugsethanol), sig løbende.</w:t>
      </w:r>
    </w:p>
    <w:p w14:paraId="47BEEE81" w14:textId="77777777" w:rsidR="00876397" w:rsidRDefault="000E6959" w:rsidP="00876397">
      <w:pPr>
        <w:pStyle w:val="Bodytext10"/>
        <w:ind w:left="580"/>
        <w:jc w:val="both"/>
        <w:rPr>
          <w:rStyle w:val="Bodytext1"/>
          <w:rFonts w:ascii="Times New Roman" w:hAnsi="Times New Roman" w:cs="Times New Roman"/>
          <w:noProof/>
          <w:sz w:val="24"/>
          <w:szCs w:val="24"/>
        </w:rPr>
      </w:pPr>
      <w:r>
        <w:rPr>
          <w:rFonts w:ascii="Times New Roman" w:hAnsi="Times New Roman"/>
          <w:noProof/>
          <w:sz w:val="24"/>
        </w:rPr>
        <w:t>Selv om de øvrige beføjelser, der er omhandlet i artikel 8, stk. 2, artikel 8, stk. 3, og artikel 19, stk. 1, i den lovgivningsmæssige retsakt, ikke blev anvendt, fordi der enten ikke var behov eller nogen begrundelse herfor, eller fordi høringen af ekspertgruppen for spiritus i overensstemmelse med artikel 46 i spiritusforordningen viste, at det ikke var muligt at forelægge et udkast til forslag på grund af divergerende holdninger/analyser, kan det ikke udelukkes, at et sådant behov kan opstå i fremtiden.</w:t>
      </w:r>
    </w:p>
    <w:p w14:paraId="6AF865A9" w14:textId="62CF5A0F" w:rsidR="000E6959" w:rsidRDefault="000E6959" w:rsidP="00876397">
      <w:pPr>
        <w:pStyle w:val="Bodytext10"/>
        <w:ind w:left="580"/>
        <w:jc w:val="both"/>
        <w:rPr>
          <w:rStyle w:val="Bodytext1"/>
          <w:rFonts w:ascii="Times New Roman" w:hAnsi="Times New Roman" w:cs="Times New Roman"/>
          <w:noProof/>
          <w:sz w:val="24"/>
          <w:szCs w:val="24"/>
        </w:rPr>
      </w:pPr>
      <w:r>
        <w:rPr>
          <w:rStyle w:val="Bodytext1"/>
          <w:rFonts w:ascii="Times New Roman" w:hAnsi="Times New Roman"/>
          <w:noProof/>
          <w:sz w:val="24"/>
        </w:rPr>
        <w:t xml:space="preserve">Af disse grunde er det tilrådeligt at forlænge delegationen af beføjelser med yderligere syv år for at give Kommissionen mulighed for hurtigt at reagere på eventuelle specifikke spørgsmål, der måtte opstå i den forbindelse. </w:t>
      </w:r>
    </w:p>
    <w:p w14:paraId="73B72466" w14:textId="77777777" w:rsidR="004B181D" w:rsidRPr="00F64939" w:rsidRDefault="004B181D" w:rsidP="004B181D">
      <w:pPr>
        <w:pStyle w:val="Heading110"/>
        <w:keepNext/>
        <w:keepLines/>
        <w:numPr>
          <w:ilvl w:val="0"/>
          <w:numId w:val="1"/>
        </w:numPr>
        <w:tabs>
          <w:tab w:val="left" w:pos="557"/>
        </w:tabs>
        <w:jc w:val="both"/>
        <w:rPr>
          <w:rStyle w:val="Heading11"/>
          <w:rFonts w:ascii="Times New Roman" w:hAnsi="Times New Roman" w:cs="Times New Roman"/>
          <w:b/>
          <w:bCs/>
          <w:noProof/>
          <w:sz w:val="24"/>
          <w:szCs w:val="24"/>
        </w:rPr>
      </w:pPr>
      <w:r>
        <w:rPr>
          <w:rStyle w:val="Heading11"/>
          <w:rFonts w:ascii="Times New Roman" w:hAnsi="Times New Roman"/>
          <w:noProof/>
          <w:sz w:val="24"/>
        </w:rPr>
        <w:t>KONKLUSION</w:t>
      </w:r>
    </w:p>
    <w:p w14:paraId="3F85803B" w14:textId="74194E52" w:rsidR="00BC51EE" w:rsidRPr="000E6959" w:rsidRDefault="00F64939" w:rsidP="00876397">
      <w:pPr>
        <w:pStyle w:val="Bodytext10"/>
        <w:ind w:left="567"/>
        <w:jc w:val="both"/>
        <w:rPr>
          <w:noProof/>
        </w:rPr>
      </w:pPr>
      <w:r>
        <w:rPr>
          <w:rFonts w:ascii="Times New Roman" w:hAnsi="Times New Roman"/>
          <w:noProof/>
          <w:sz w:val="24"/>
        </w:rPr>
        <w:t>I den periode, som denne rapport omfatter, har Kommissionen udøvet de delegerede beføjelser, den er tillagt i henhold til artikel 8, stk. 1, og artikel 19, stk. 2, i forordning (EU) 2019/787.</w:t>
      </w:r>
      <w:r>
        <w:rPr>
          <w:rStyle w:val="Bodytext1"/>
          <w:rFonts w:ascii="Times New Roman" w:hAnsi="Times New Roman"/>
          <w:noProof/>
          <w:sz w:val="24"/>
        </w:rPr>
        <w:t xml:space="preserve"> Kommissionen opfordrer Europa-Parlamentet og Rådet til at tage denne rapport til efterretning.</w:t>
      </w:r>
    </w:p>
    <w:sectPr w:rsidR="00BC51EE" w:rsidRPr="000E6959" w:rsidSect="007F1C6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32E71" w14:textId="77777777" w:rsidR="00BD2834" w:rsidRDefault="00BD2834" w:rsidP="004B181D">
      <w:pPr>
        <w:spacing w:after="0" w:line="240" w:lineRule="auto"/>
      </w:pPr>
      <w:r>
        <w:separator/>
      </w:r>
    </w:p>
  </w:endnote>
  <w:endnote w:type="continuationSeparator" w:id="0">
    <w:p w14:paraId="4123EBF1" w14:textId="77777777" w:rsidR="00BD2834" w:rsidRDefault="00BD2834" w:rsidP="004B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257D" w14:textId="7DCD11BC" w:rsidR="00613A30" w:rsidRPr="00613A30" w:rsidRDefault="00613A30" w:rsidP="00613A30">
    <w:pPr>
      <w:pStyle w:val="FooterCoverPage"/>
      <w:rPr>
        <w:rFonts w:ascii="Arial" w:hAnsi="Arial" w:cs="Arial"/>
        <w:b/>
        <w:sz w:val="48"/>
      </w:rPr>
    </w:pPr>
    <w:r w:rsidRPr="00613A30">
      <w:rPr>
        <w:rFonts w:ascii="Arial" w:hAnsi="Arial" w:cs="Arial"/>
        <w:b/>
        <w:sz w:val="48"/>
      </w:rPr>
      <w:t>DA</w:t>
    </w:r>
    <w:r w:rsidRPr="00613A30">
      <w:rPr>
        <w:rFonts w:ascii="Arial" w:hAnsi="Arial" w:cs="Arial"/>
        <w:b/>
        <w:sz w:val="48"/>
      </w:rPr>
      <w:tab/>
    </w:r>
    <w:r w:rsidRPr="00613A30">
      <w:rPr>
        <w:rFonts w:ascii="Arial" w:hAnsi="Arial" w:cs="Arial"/>
        <w:b/>
        <w:sz w:val="48"/>
      </w:rPr>
      <w:tab/>
    </w:r>
    <w:r w:rsidRPr="00613A30">
      <w:tab/>
    </w:r>
    <w:r w:rsidRPr="00613A30">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25EC" w14:textId="3D4EEF8B" w:rsidR="00613A30" w:rsidRPr="00613A30" w:rsidRDefault="00613A30" w:rsidP="00613A30">
    <w:pPr>
      <w:pStyle w:val="FooterCoverPage"/>
      <w:rPr>
        <w:rFonts w:ascii="Arial" w:hAnsi="Arial" w:cs="Arial"/>
        <w:b/>
        <w:sz w:val="48"/>
      </w:rPr>
    </w:pPr>
    <w:r w:rsidRPr="00613A30">
      <w:rPr>
        <w:rFonts w:ascii="Arial" w:hAnsi="Arial" w:cs="Arial"/>
        <w:b/>
        <w:sz w:val="48"/>
      </w:rPr>
      <w:t>DA</w:t>
    </w:r>
    <w:r w:rsidRPr="00613A30">
      <w:rPr>
        <w:rFonts w:ascii="Arial" w:hAnsi="Arial" w:cs="Arial"/>
        <w:b/>
        <w:sz w:val="48"/>
      </w:rPr>
      <w:tab/>
    </w:r>
    <w:r w:rsidRPr="00613A30">
      <w:rPr>
        <w:rFonts w:ascii="Arial" w:hAnsi="Arial" w:cs="Arial"/>
        <w:b/>
        <w:sz w:val="48"/>
      </w:rPr>
      <w:tab/>
    </w:r>
    <w:r w:rsidRPr="00613A30">
      <w:tab/>
    </w:r>
    <w:r w:rsidRPr="00613A30">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6D1B" w14:textId="77777777" w:rsidR="00613A30" w:rsidRPr="00613A30" w:rsidRDefault="00613A30" w:rsidP="00613A3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8662" w14:textId="77777777" w:rsidR="007F1C63" w:rsidRDefault="007F1C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3CB6" w14:textId="124B1594" w:rsidR="00F704C0" w:rsidRPr="00F704C0" w:rsidRDefault="00F704C0">
    <w:pPr>
      <w:pStyle w:val="Footer"/>
      <w:jc w:val="center"/>
      <w:rPr>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4C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F704C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F704C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613A30">
      <w:rPr>
        <w:rFonts w:ascii="Times New Roman" w:hAnsi="Times New Roman" w:cs="Times New Roman"/>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F704C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3545C194" w14:textId="77777777" w:rsidR="007F1C63" w:rsidRDefault="007F1C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3F9C" w14:textId="77777777" w:rsidR="007F1C63" w:rsidRDefault="007F1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6AB21" w14:textId="77777777" w:rsidR="00BD2834" w:rsidRDefault="00BD2834" w:rsidP="004B181D">
      <w:pPr>
        <w:spacing w:after="0" w:line="240" w:lineRule="auto"/>
      </w:pPr>
      <w:r>
        <w:separator/>
      </w:r>
    </w:p>
  </w:footnote>
  <w:footnote w:type="continuationSeparator" w:id="0">
    <w:p w14:paraId="17695969" w14:textId="77777777" w:rsidR="00BD2834" w:rsidRDefault="00BD2834" w:rsidP="004B181D">
      <w:pPr>
        <w:spacing w:after="0" w:line="240" w:lineRule="auto"/>
      </w:pPr>
      <w:r>
        <w:continuationSeparator/>
      </w:r>
    </w:p>
  </w:footnote>
  <w:footnote w:id="1">
    <w:p w14:paraId="77C09C5B" w14:textId="77777777" w:rsidR="009B08C7" w:rsidRDefault="009B08C7" w:rsidP="00BC472B">
      <w:pPr>
        <w:pStyle w:val="title-bold"/>
        <w:shd w:val="clear" w:color="auto" w:fill="FFFFFF"/>
        <w:spacing w:after="0"/>
        <w:ind w:left="709" w:hanging="567"/>
        <w:jc w:val="both"/>
        <w:rPr>
          <w:rStyle w:val="Emphasis"/>
          <w:color w:val="333333"/>
          <w:sz w:val="20"/>
          <w:szCs w:val="20"/>
        </w:rPr>
      </w:pPr>
      <w:r>
        <w:rPr>
          <w:rStyle w:val="FootnoteReference"/>
          <w:sz w:val="20"/>
          <w:szCs w:val="20"/>
        </w:rPr>
        <w:footnoteRef/>
      </w:r>
      <w:r>
        <w:rPr>
          <w:sz w:val="20"/>
        </w:rPr>
        <w:tab/>
      </w:r>
      <w:r>
        <w:rPr>
          <w:color w:val="333333"/>
          <w:sz w:val="20"/>
        </w:rPr>
        <w:t>Europa-Parlamentets og Rådets forordning (EU) 2019/787 af 17. april 2019 om definition, beskrivelse, præsentation og mærkning af spiritus, brugen af betegnelser for spiritus i præsentation og mærkning af andre fødevarer, beskyttelse af geografiske betegnelser for spiritus, brugen af landbrugsethanol og landbrugsdestillater i alkoholholdige drikkevarer samt om ophævelse af forordning (EF) nr. 110/2008 (EUT L 130 af 17.5.2019, s. 1)</w:t>
      </w:r>
      <w:r>
        <w:rPr>
          <w:rStyle w:val="Emphasis"/>
          <w:color w:val="333333"/>
          <w:sz w:val="20"/>
        </w:rPr>
        <w:t xml:space="preserve"> </w:t>
      </w:r>
      <w:hyperlink r:id="rId1" w:history="1">
        <w:r>
          <w:rPr>
            <w:rStyle w:val="Hyperlink"/>
            <w:sz w:val="20"/>
          </w:rPr>
          <w:t>https://eur-lex.europa.eu/eli/reg/2019/787/oj</w:t>
        </w:r>
      </w:hyperlink>
      <w:r>
        <w:rPr>
          <w:sz w:val="20"/>
        </w:rPr>
        <w:t>.</w:t>
      </w:r>
    </w:p>
    <w:p w14:paraId="333B4945" w14:textId="77777777" w:rsidR="009B08C7" w:rsidRPr="00E97588" w:rsidRDefault="009B08C7" w:rsidP="009B08C7">
      <w:pPr>
        <w:pStyle w:val="title-bold"/>
        <w:shd w:val="clear" w:color="auto" w:fill="FFFFFF"/>
        <w:spacing w:after="0"/>
        <w:jc w:val="both"/>
        <w:rPr>
          <w:color w:val="333333"/>
          <w:sz w:val="20"/>
          <w:szCs w:val="20"/>
        </w:rPr>
      </w:pPr>
    </w:p>
  </w:footnote>
  <w:footnote w:id="2">
    <w:p w14:paraId="511D1581" w14:textId="77777777" w:rsidR="001623A2" w:rsidRPr="002207C1" w:rsidRDefault="001623A2" w:rsidP="00BC472B">
      <w:pPr>
        <w:pStyle w:val="FootnoteText"/>
        <w:ind w:left="709" w:hanging="567"/>
        <w:jc w:val="both"/>
      </w:pPr>
      <w:r>
        <w:rPr>
          <w:rStyle w:val="FootnoteReference"/>
        </w:rPr>
        <w:footnoteRef/>
      </w:r>
      <w:r>
        <w:tab/>
        <w:t xml:space="preserve">Kommissionens delegerede forordning (EU) 2022/1303 af 25. april 2022 om ændring af Europa-Parlamentets og Rådets forordning (EU) 2019/787 for så vidt angår definitionen af og kravene til landbrugsethanol (EUT L 197 af 26.7.2022, s. 71) </w:t>
      </w:r>
      <w:hyperlink r:id="rId2" w:tooltip="Giver adgang til dokumentet via dets ELI-URI." w:history="1">
        <w:r>
          <w:rPr>
            <w:rStyle w:val="Hyperlink"/>
          </w:rPr>
          <w:t>http://data.europa.eu/eli/reg_del/2022/1303/oj</w:t>
        </w:r>
      </w:hyperlink>
      <w:r>
        <w:t>.</w:t>
      </w:r>
    </w:p>
  </w:footnote>
  <w:footnote w:id="3">
    <w:p w14:paraId="4DA26115" w14:textId="77777777" w:rsidR="00705AE1" w:rsidRPr="001623A2" w:rsidRDefault="00705AE1" w:rsidP="00BC472B">
      <w:pPr>
        <w:pStyle w:val="FootnoteText"/>
        <w:ind w:left="709" w:hanging="567"/>
        <w:jc w:val="both"/>
      </w:pPr>
      <w:r>
        <w:rPr>
          <w:rStyle w:val="FootnoteReference"/>
        </w:rPr>
        <w:footnoteRef/>
      </w:r>
      <w:r>
        <w:tab/>
        <w:t xml:space="preserve">Kommissionens delegerede forordning (EU) 2021/723 af 26. februar 2021 om supplerende regler til Europa-Parlamentets og Rådets forordning (EU) 2019/787 for så vidt angår oprettelsen af et offentligt register over de organer, som hver medlemsstat har udpeget til at føre tilsyn med lagringsprocessen for spiritus (EUT L 155 af 5.5.2021, s. 1) </w:t>
      </w:r>
      <w:hyperlink r:id="rId3" w:tooltip="Giver adgang til dokumentet via dets ELI-URI." w:history="1">
        <w:r>
          <w:rPr>
            <w:rStyle w:val="Hyperlink"/>
          </w:rPr>
          <w:t>http://data.europa.eu/eli/reg_del/2021/723/oj</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6BA5" w14:textId="77777777" w:rsidR="00613A30" w:rsidRPr="00613A30" w:rsidRDefault="00613A30" w:rsidP="00613A3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6B38" w14:textId="77777777" w:rsidR="00613A30" w:rsidRPr="00613A30" w:rsidRDefault="00613A30" w:rsidP="00613A3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0354" w14:textId="77777777" w:rsidR="00613A30" w:rsidRPr="00613A30" w:rsidRDefault="00613A30" w:rsidP="00613A3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7659" w14:textId="77777777" w:rsidR="007F1C63" w:rsidRDefault="007F1C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E87C" w14:textId="77777777" w:rsidR="007F1C63" w:rsidRDefault="007F1C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2AA1B" w14:textId="77777777" w:rsidR="007F1C63" w:rsidRDefault="007F1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60F"/>
    <w:multiLevelType w:val="hybridMultilevel"/>
    <w:tmpl w:val="24F08FEA"/>
    <w:lvl w:ilvl="0" w:tplc="4E102B94">
      <w:start w:val="1"/>
      <w:numFmt w:val="decimal"/>
      <w:lvlText w:val="%1)"/>
      <w:lvlJc w:val="left"/>
      <w:pPr>
        <w:ind w:left="940" w:hanging="360"/>
      </w:pPr>
      <w:rPr>
        <w:rFonts w:hint="default"/>
      </w:rPr>
    </w:lvl>
    <w:lvl w:ilvl="1" w:tplc="18090019" w:tentative="1">
      <w:start w:val="1"/>
      <w:numFmt w:val="lowerLetter"/>
      <w:lvlText w:val="%2."/>
      <w:lvlJc w:val="left"/>
      <w:pPr>
        <w:ind w:left="1660" w:hanging="360"/>
      </w:pPr>
    </w:lvl>
    <w:lvl w:ilvl="2" w:tplc="1809001B" w:tentative="1">
      <w:start w:val="1"/>
      <w:numFmt w:val="lowerRoman"/>
      <w:lvlText w:val="%3."/>
      <w:lvlJc w:val="right"/>
      <w:pPr>
        <w:ind w:left="2380" w:hanging="180"/>
      </w:pPr>
    </w:lvl>
    <w:lvl w:ilvl="3" w:tplc="1809000F" w:tentative="1">
      <w:start w:val="1"/>
      <w:numFmt w:val="decimal"/>
      <w:lvlText w:val="%4."/>
      <w:lvlJc w:val="left"/>
      <w:pPr>
        <w:ind w:left="3100" w:hanging="360"/>
      </w:pPr>
    </w:lvl>
    <w:lvl w:ilvl="4" w:tplc="18090019" w:tentative="1">
      <w:start w:val="1"/>
      <w:numFmt w:val="lowerLetter"/>
      <w:lvlText w:val="%5."/>
      <w:lvlJc w:val="left"/>
      <w:pPr>
        <w:ind w:left="3820" w:hanging="360"/>
      </w:pPr>
    </w:lvl>
    <w:lvl w:ilvl="5" w:tplc="1809001B" w:tentative="1">
      <w:start w:val="1"/>
      <w:numFmt w:val="lowerRoman"/>
      <w:lvlText w:val="%6."/>
      <w:lvlJc w:val="right"/>
      <w:pPr>
        <w:ind w:left="4540" w:hanging="180"/>
      </w:pPr>
    </w:lvl>
    <w:lvl w:ilvl="6" w:tplc="1809000F" w:tentative="1">
      <w:start w:val="1"/>
      <w:numFmt w:val="decimal"/>
      <w:lvlText w:val="%7."/>
      <w:lvlJc w:val="left"/>
      <w:pPr>
        <w:ind w:left="5260" w:hanging="360"/>
      </w:pPr>
    </w:lvl>
    <w:lvl w:ilvl="7" w:tplc="18090019" w:tentative="1">
      <w:start w:val="1"/>
      <w:numFmt w:val="lowerLetter"/>
      <w:lvlText w:val="%8."/>
      <w:lvlJc w:val="left"/>
      <w:pPr>
        <w:ind w:left="5980" w:hanging="360"/>
      </w:pPr>
    </w:lvl>
    <w:lvl w:ilvl="8" w:tplc="1809001B" w:tentative="1">
      <w:start w:val="1"/>
      <w:numFmt w:val="lowerRoman"/>
      <w:lvlText w:val="%9."/>
      <w:lvlJc w:val="right"/>
      <w:pPr>
        <w:ind w:left="6700" w:hanging="180"/>
      </w:pPr>
    </w:lvl>
  </w:abstractNum>
  <w:abstractNum w:abstractNumId="1" w15:restartNumberingAfterBreak="0">
    <w:nsid w:val="11285974"/>
    <w:multiLevelType w:val="hybridMultilevel"/>
    <w:tmpl w:val="8F60BE82"/>
    <w:lvl w:ilvl="0" w:tplc="2A9628D4">
      <w:start w:val="1"/>
      <w:numFmt w:val="lowerLetter"/>
      <w:lvlText w:val="%1)"/>
      <w:lvlJc w:val="left"/>
      <w:pPr>
        <w:ind w:left="1300" w:hanging="360"/>
      </w:pPr>
      <w:rPr>
        <w:rFonts w:hint="default"/>
      </w:r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2" w15:restartNumberingAfterBreak="0">
    <w:nsid w:val="2F58072F"/>
    <w:multiLevelType w:val="hybridMultilevel"/>
    <w:tmpl w:val="91469B5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DD255B9"/>
    <w:multiLevelType w:val="hybridMultilevel"/>
    <w:tmpl w:val="E5F47766"/>
    <w:lvl w:ilvl="0" w:tplc="254C2E6A">
      <w:start w:val="4"/>
      <w:numFmt w:val="bullet"/>
      <w:lvlText w:val="-"/>
      <w:lvlJc w:val="left"/>
      <w:pPr>
        <w:ind w:left="940" w:hanging="360"/>
      </w:pPr>
      <w:rPr>
        <w:rFonts w:ascii="Times New Roman" w:eastAsiaTheme="minorHAnsi" w:hAnsi="Times New Roman" w:cs="Times New Roman" w:hint="default"/>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4" w15:restartNumberingAfterBreak="0">
    <w:nsid w:val="4C7D2AAA"/>
    <w:multiLevelType w:val="hybridMultilevel"/>
    <w:tmpl w:val="DA3A7832"/>
    <w:lvl w:ilvl="0" w:tplc="18090017">
      <w:start w:val="1"/>
      <w:numFmt w:val="lowerLetter"/>
      <w:lvlText w:val="%1)"/>
      <w:lvlJc w:val="left"/>
      <w:pPr>
        <w:ind w:left="2265" w:hanging="360"/>
      </w:pPr>
    </w:lvl>
    <w:lvl w:ilvl="1" w:tplc="18090019" w:tentative="1">
      <w:start w:val="1"/>
      <w:numFmt w:val="lowerLetter"/>
      <w:lvlText w:val="%2."/>
      <w:lvlJc w:val="left"/>
      <w:pPr>
        <w:ind w:left="2985" w:hanging="360"/>
      </w:pPr>
    </w:lvl>
    <w:lvl w:ilvl="2" w:tplc="1809001B" w:tentative="1">
      <w:start w:val="1"/>
      <w:numFmt w:val="lowerRoman"/>
      <w:lvlText w:val="%3."/>
      <w:lvlJc w:val="right"/>
      <w:pPr>
        <w:ind w:left="3705" w:hanging="180"/>
      </w:pPr>
    </w:lvl>
    <w:lvl w:ilvl="3" w:tplc="1809000F" w:tentative="1">
      <w:start w:val="1"/>
      <w:numFmt w:val="decimal"/>
      <w:lvlText w:val="%4."/>
      <w:lvlJc w:val="left"/>
      <w:pPr>
        <w:ind w:left="4425" w:hanging="360"/>
      </w:pPr>
    </w:lvl>
    <w:lvl w:ilvl="4" w:tplc="18090019" w:tentative="1">
      <w:start w:val="1"/>
      <w:numFmt w:val="lowerLetter"/>
      <w:lvlText w:val="%5."/>
      <w:lvlJc w:val="left"/>
      <w:pPr>
        <w:ind w:left="5145" w:hanging="360"/>
      </w:pPr>
    </w:lvl>
    <w:lvl w:ilvl="5" w:tplc="1809001B" w:tentative="1">
      <w:start w:val="1"/>
      <w:numFmt w:val="lowerRoman"/>
      <w:lvlText w:val="%6."/>
      <w:lvlJc w:val="right"/>
      <w:pPr>
        <w:ind w:left="5865" w:hanging="180"/>
      </w:pPr>
    </w:lvl>
    <w:lvl w:ilvl="6" w:tplc="1809000F" w:tentative="1">
      <w:start w:val="1"/>
      <w:numFmt w:val="decimal"/>
      <w:lvlText w:val="%7."/>
      <w:lvlJc w:val="left"/>
      <w:pPr>
        <w:ind w:left="6585" w:hanging="360"/>
      </w:pPr>
    </w:lvl>
    <w:lvl w:ilvl="7" w:tplc="18090019" w:tentative="1">
      <w:start w:val="1"/>
      <w:numFmt w:val="lowerLetter"/>
      <w:lvlText w:val="%8."/>
      <w:lvlJc w:val="left"/>
      <w:pPr>
        <w:ind w:left="7305" w:hanging="360"/>
      </w:pPr>
    </w:lvl>
    <w:lvl w:ilvl="8" w:tplc="1809001B" w:tentative="1">
      <w:start w:val="1"/>
      <w:numFmt w:val="lowerRoman"/>
      <w:lvlText w:val="%9."/>
      <w:lvlJc w:val="right"/>
      <w:pPr>
        <w:ind w:left="8025" w:hanging="180"/>
      </w:pPr>
    </w:lvl>
  </w:abstractNum>
  <w:abstractNum w:abstractNumId="5" w15:restartNumberingAfterBreak="0">
    <w:nsid w:val="527E6BAE"/>
    <w:multiLevelType w:val="hybridMultilevel"/>
    <w:tmpl w:val="5EA2F92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B72016"/>
    <w:multiLevelType w:val="hybridMultilevel"/>
    <w:tmpl w:val="5378B5A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A9A19A9"/>
    <w:multiLevelType w:val="hybridMultilevel"/>
    <w:tmpl w:val="C434AECA"/>
    <w:lvl w:ilvl="0" w:tplc="18090001">
      <w:start w:val="1"/>
      <w:numFmt w:val="bullet"/>
      <w:lvlText w:val=""/>
      <w:lvlJc w:val="left"/>
      <w:pPr>
        <w:ind w:left="2020" w:hanging="360"/>
      </w:pPr>
      <w:rPr>
        <w:rFonts w:ascii="Symbol" w:hAnsi="Symbol" w:hint="default"/>
      </w:rPr>
    </w:lvl>
    <w:lvl w:ilvl="1" w:tplc="18090003" w:tentative="1">
      <w:start w:val="1"/>
      <w:numFmt w:val="bullet"/>
      <w:lvlText w:val="o"/>
      <w:lvlJc w:val="left"/>
      <w:pPr>
        <w:ind w:left="2740" w:hanging="360"/>
      </w:pPr>
      <w:rPr>
        <w:rFonts w:ascii="Courier New" w:hAnsi="Courier New" w:cs="Courier New" w:hint="default"/>
      </w:rPr>
    </w:lvl>
    <w:lvl w:ilvl="2" w:tplc="18090005" w:tentative="1">
      <w:start w:val="1"/>
      <w:numFmt w:val="bullet"/>
      <w:lvlText w:val=""/>
      <w:lvlJc w:val="left"/>
      <w:pPr>
        <w:ind w:left="3460" w:hanging="360"/>
      </w:pPr>
      <w:rPr>
        <w:rFonts w:ascii="Wingdings" w:hAnsi="Wingdings" w:hint="default"/>
      </w:rPr>
    </w:lvl>
    <w:lvl w:ilvl="3" w:tplc="18090001" w:tentative="1">
      <w:start w:val="1"/>
      <w:numFmt w:val="bullet"/>
      <w:lvlText w:val=""/>
      <w:lvlJc w:val="left"/>
      <w:pPr>
        <w:ind w:left="4180" w:hanging="360"/>
      </w:pPr>
      <w:rPr>
        <w:rFonts w:ascii="Symbol" w:hAnsi="Symbol" w:hint="default"/>
      </w:rPr>
    </w:lvl>
    <w:lvl w:ilvl="4" w:tplc="18090003" w:tentative="1">
      <w:start w:val="1"/>
      <w:numFmt w:val="bullet"/>
      <w:lvlText w:val="o"/>
      <w:lvlJc w:val="left"/>
      <w:pPr>
        <w:ind w:left="4900" w:hanging="360"/>
      </w:pPr>
      <w:rPr>
        <w:rFonts w:ascii="Courier New" w:hAnsi="Courier New" w:cs="Courier New" w:hint="default"/>
      </w:rPr>
    </w:lvl>
    <w:lvl w:ilvl="5" w:tplc="18090005" w:tentative="1">
      <w:start w:val="1"/>
      <w:numFmt w:val="bullet"/>
      <w:lvlText w:val=""/>
      <w:lvlJc w:val="left"/>
      <w:pPr>
        <w:ind w:left="5620" w:hanging="360"/>
      </w:pPr>
      <w:rPr>
        <w:rFonts w:ascii="Wingdings" w:hAnsi="Wingdings" w:hint="default"/>
      </w:rPr>
    </w:lvl>
    <w:lvl w:ilvl="6" w:tplc="18090001" w:tentative="1">
      <w:start w:val="1"/>
      <w:numFmt w:val="bullet"/>
      <w:lvlText w:val=""/>
      <w:lvlJc w:val="left"/>
      <w:pPr>
        <w:ind w:left="6340" w:hanging="360"/>
      </w:pPr>
      <w:rPr>
        <w:rFonts w:ascii="Symbol" w:hAnsi="Symbol" w:hint="default"/>
      </w:rPr>
    </w:lvl>
    <w:lvl w:ilvl="7" w:tplc="18090003" w:tentative="1">
      <w:start w:val="1"/>
      <w:numFmt w:val="bullet"/>
      <w:lvlText w:val="o"/>
      <w:lvlJc w:val="left"/>
      <w:pPr>
        <w:ind w:left="7060" w:hanging="360"/>
      </w:pPr>
      <w:rPr>
        <w:rFonts w:ascii="Courier New" w:hAnsi="Courier New" w:cs="Courier New" w:hint="default"/>
      </w:rPr>
    </w:lvl>
    <w:lvl w:ilvl="8" w:tplc="18090005" w:tentative="1">
      <w:start w:val="1"/>
      <w:numFmt w:val="bullet"/>
      <w:lvlText w:val=""/>
      <w:lvlJc w:val="left"/>
      <w:pPr>
        <w:ind w:left="7780" w:hanging="360"/>
      </w:pPr>
      <w:rPr>
        <w:rFonts w:ascii="Wingdings" w:hAnsi="Wingdings" w:hint="default"/>
      </w:rPr>
    </w:lvl>
  </w:abstractNum>
  <w:abstractNum w:abstractNumId="8" w15:restartNumberingAfterBreak="0">
    <w:nsid w:val="5B145B3C"/>
    <w:multiLevelType w:val="hybridMultilevel"/>
    <w:tmpl w:val="B4746C0E"/>
    <w:lvl w:ilvl="0" w:tplc="D99A7472">
      <w:start w:val="1"/>
      <w:numFmt w:val="lowerLetter"/>
      <w:lvlText w:val="(%1)"/>
      <w:lvlJc w:val="left"/>
      <w:pPr>
        <w:ind w:left="1300" w:hanging="360"/>
      </w:pPr>
      <w:rPr>
        <w:rFonts w:hint="default"/>
      </w:rPr>
    </w:lvl>
    <w:lvl w:ilvl="1" w:tplc="18090019" w:tentative="1">
      <w:start w:val="1"/>
      <w:numFmt w:val="lowerLetter"/>
      <w:lvlText w:val="%2."/>
      <w:lvlJc w:val="left"/>
      <w:pPr>
        <w:ind w:left="2020" w:hanging="360"/>
      </w:pPr>
    </w:lvl>
    <w:lvl w:ilvl="2" w:tplc="1809001B" w:tentative="1">
      <w:start w:val="1"/>
      <w:numFmt w:val="lowerRoman"/>
      <w:lvlText w:val="%3."/>
      <w:lvlJc w:val="right"/>
      <w:pPr>
        <w:ind w:left="2740" w:hanging="180"/>
      </w:pPr>
    </w:lvl>
    <w:lvl w:ilvl="3" w:tplc="1809000F" w:tentative="1">
      <w:start w:val="1"/>
      <w:numFmt w:val="decimal"/>
      <w:lvlText w:val="%4."/>
      <w:lvlJc w:val="left"/>
      <w:pPr>
        <w:ind w:left="3460" w:hanging="360"/>
      </w:pPr>
    </w:lvl>
    <w:lvl w:ilvl="4" w:tplc="18090019" w:tentative="1">
      <w:start w:val="1"/>
      <w:numFmt w:val="lowerLetter"/>
      <w:lvlText w:val="%5."/>
      <w:lvlJc w:val="left"/>
      <w:pPr>
        <w:ind w:left="4180" w:hanging="360"/>
      </w:pPr>
    </w:lvl>
    <w:lvl w:ilvl="5" w:tplc="1809001B" w:tentative="1">
      <w:start w:val="1"/>
      <w:numFmt w:val="lowerRoman"/>
      <w:lvlText w:val="%6."/>
      <w:lvlJc w:val="right"/>
      <w:pPr>
        <w:ind w:left="4900" w:hanging="180"/>
      </w:pPr>
    </w:lvl>
    <w:lvl w:ilvl="6" w:tplc="1809000F" w:tentative="1">
      <w:start w:val="1"/>
      <w:numFmt w:val="decimal"/>
      <w:lvlText w:val="%7."/>
      <w:lvlJc w:val="left"/>
      <w:pPr>
        <w:ind w:left="5620" w:hanging="360"/>
      </w:pPr>
    </w:lvl>
    <w:lvl w:ilvl="7" w:tplc="18090019" w:tentative="1">
      <w:start w:val="1"/>
      <w:numFmt w:val="lowerLetter"/>
      <w:lvlText w:val="%8."/>
      <w:lvlJc w:val="left"/>
      <w:pPr>
        <w:ind w:left="6340" w:hanging="360"/>
      </w:pPr>
    </w:lvl>
    <w:lvl w:ilvl="8" w:tplc="1809001B" w:tentative="1">
      <w:start w:val="1"/>
      <w:numFmt w:val="lowerRoman"/>
      <w:lvlText w:val="%9."/>
      <w:lvlJc w:val="right"/>
      <w:pPr>
        <w:ind w:left="7060" w:hanging="180"/>
      </w:pPr>
    </w:lvl>
  </w:abstractNum>
  <w:abstractNum w:abstractNumId="9" w15:restartNumberingAfterBreak="0">
    <w:nsid w:val="5CB96490"/>
    <w:multiLevelType w:val="hybridMultilevel"/>
    <w:tmpl w:val="1BD65232"/>
    <w:lvl w:ilvl="0" w:tplc="64D84764">
      <w:start w:val="1"/>
      <w:numFmt w:val="lowerLetter"/>
      <w:lvlText w:val="%1)"/>
      <w:lvlJc w:val="left"/>
      <w:pPr>
        <w:ind w:left="940" w:hanging="360"/>
      </w:pPr>
      <w:rPr>
        <w:rFonts w:hint="default"/>
      </w:rPr>
    </w:lvl>
    <w:lvl w:ilvl="1" w:tplc="18090019" w:tentative="1">
      <w:start w:val="1"/>
      <w:numFmt w:val="lowerLetter"/>
      <w:lvlText w:val="%2."/>
      <w:lvlJc w:val="left"/>
      <w:pPr>
        <w:ind w:left="1660" w:hanging="360"/>
      </w:pPr>
    </w:lvl>
    <w:lvl w:ilvl="2" w:tplc="1809001B" w:tentative="1">
      <w:start w:val="1"/>
      <w:numFmt w:val="lowerRoman"/>
      <w:lvlText w:val="%3."/>
      <w:lvlJc w:val="right"/>
      <w:pPr>
        <w:ind w:left="2380" w:hanging="180"/>
      </w:pPr>
    </w:lvl>
    <w:lvl w:ilvl="3" w:tplc="1809000F" w:tentative="1">
      <w:start w:val="1"/>
      <w:numFmt w:val="decimal"/>
      <w:lvlText w:val="%4."/>
      <w:lvlJc w:val="left"/>
      <w:pPr>
        <w:ind w:left="3100" w:hanging="360"/>
      </w:pPr>
    </w:lvl>
    <w:lvl w:ilvl="4" w:tplc="18090019" w:tentative="1">
      <w:start w:val="1"/>
      <w:numFmt w:val="lowerLetter"/>
      <w:lvlText w:val="%5."/>
      <w:lvlJc w:val="left"/>
      <w:pPr>
        <w:ind w:left="3820" w:hanging="360"/>
      </w:pPr>
    </w:lvl>
    <w:lvl w:ilvl="5" w:tplc="1809001B" w:tentative="1">
      <w:start w:val="1"/>
      <w:numFmt w:val="lowerRoman"/>
      <w:lvlText w:val="%6."/>
      <w:lvlJc w:val="right"/>
      <w:pPr>
        <w:ind w:left="4540" w:hanging="180"/>
      </w:pPr>
    </w:lvl>
    <w:lvl w:ilvl="6" w:tplc="1809000F" w:tentative="1">
      <w:start w:val="1"/>
      <w:numFmt w:val="decimal"/>
      <w:lvlText w:val="%7."/>
      <w:lvlJc w:val="left"/>
      <w:pPr>
        <w:ind w:left="5260" w:hanging="360"/>
      </w:pPr>
    </w:lvl>
    <w:lvl w:ilvl="7" w:tplc="18090019" w:tentative="1">
      <w:start w:val="1"/>
      <w:numFmt w:val="lowerLetter"/>
      <w:lvlText w:val="%8."/>
      <w:lvlJc w:val="left"/>
      <w:pPr>
        <w:ind w:left="5980" w:hanging="360"/>
      </w:pPr>
    </w:lvl>
    <w:lvl w:ilvl="8" w:tplc="1809001B" w:tentative="1">
      <w:start w:val="1"/>
      <w:numFmt w:val="lowerRoman"/>
      <w:lvlText w:val="%9."/>
      <w:lvlJc w:val="right"/>
      <w:pPr>
        <w:ind w:left="6700" w:hanging="180"/>
      </w:pPr>
    </w:lvl>
  </w:abstractNum>
  <w:abstractNum w:abstractNumId="10" w15:restartNumberingAfterBreak="0">
    <w:nsid w:val="6DAD4244"/>
    <w:multiLevelType w:val="multilevel"/>
    <w:tmpl w:val="DC8ED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8"/>
  </w:num>
  <w:num w:numId="4">
    <w:abstractNumId w:val="9"/>
  </w:num>
  <w:num w:numId="5">
    <w:abstractNumId w:val="4"/>
  </w:num>
  <w:num w:numId="6">
    <w:abstractNumId w:val="6"/>
  </w:num>
  <w:num w:numId="7">
    <w:abstractNumId w:val="7"/>
  </w:num>
  <w:num w:numId="8">
    <w:abstractNumId w:val="1"/>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D3131EA-0EEE-4CB2-92B3-DE900D284040"/>
    <w:docVar w:name="LW_COVERPAGE_TYPE" w:val="1"/>
    <w:docVar w:name="LW_CROSSREFERENCE" w:val="&lt;UNUSED&gt;"/>
    <w:docVar w:name="LW_DocType" w:val="NORMAL"/>
    <w:docVar w:name="LW_EMISSION" w:val="28.5.2025"/>
    <w:docVar w:name="LW_EMISSION_ISODATE" w:val="2025-05-28"/>
    <w:docVar w:name="LW_EMISSION_LOCATION" w:val="BRX"/>
    <w:docVar w:name="LW_EMISSION_PREFIX" w:val="Bruxelles, den "/>
    <w:docVar w:name="LW_EMISSION_SUFFIX" w:val=" "/>
    <w:docVar w:name="LW_ID_DOCTYPE_NONLW" w:val="CP-006"/>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5) 26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m udøvelsen af beføjelser til at vedtage delegerede retsakter i henhold til artikel 46, stk. 2, i Europa-Parlamentets og Rådets forordning (EU) 2019/787 af 17. april 2019 om definition, beskrivelse, præsentation og mærkning af spiritus, brugen af betegnelser for spiritus i præsentation og mærkning af andre fødevarer, beskyttelse af geografiske betegnelser for spiritus, brugen af landbrugsethanol og landbrugsdestillater i alkoholholdige drikkevarer samt om ophævelse af forordning (EF) nr. 110/2008"/>
    <w:docVar w:name="LW_TYPE.DOC.CP" w:val="RAPPORT FRA KOMMISSIONEN TIL EUROPA-PARLAMENTET OG RÅDET"/>
    <w:docVar w:name="LwApiVersions" w:val="LW4CoDe 1.24.5.0; LW 9.0, Build 20240221"/>
  </w:docVars>
  <w:rsids>
    <w:rsidRoot w:val="004B181D"/>
    <w:rsid w:val="000117A1"/>
    <w:rsid w:val="00052D6C"/>
    <w:rsid w:val="0005795A"/>
    <w:rsid w:val="000669D9"/>
    <w:rsid w:val="000D2F48"/>
    <w:rsid w:val="000E00ED"/>
    <w:rsid w:val="000E6959"/>
    <w:rsid w:val="001015FA"/>
    <w:rsid w:val="001459E0"/>
    <w:rsid w:val="001623A2"/>
    <w:rsid w:val="001A382C"/>
    <w:rsid w:val="001F548E"/>
    <w:rsid w:val="002207C1"/>
    <w:rsid w:val="002B20C5"/>
    <w:rsid w:val="002E1B3B"/>
    <w:rsid w:val="00313BC6"/>
    <w:rsid w:val="00313E09"/>
    <w:rsid w:val="00316507"/>
    <w:rsid w:val="003474A6"/>
    <w:rsid w:val="003752CD"/>
    <w:rsid w:val="003A2BA6"/>
    <w:rsid w:val="003A4439"/>
    <w:rsid w:val="003A5CC5"/>
    <w:rsid w:val="003F4BD8"/>
    <w:rsid w:val="004060CB"/>
    <w:rsid w:val="0041305B"/>
    <w:rsid w:val="00455614"/>
    <w:rsid w:val="004A6981"/>
    <w:rsid w:val="004B181D"/>
    <w:rsid w:val="004B618A"/>
    <w:rsid w:val="004F56AA"/>
    <w:rsid w:val="00515950"/>
    <w:rsid w:val="0055061D"/>
    <w:rsid w:val="00564F70"/>
    <w:rsid w:val="00585F9B"/>
    <w:rsid w:val="005A377D"/>
    <w:rsid w:val="005E2AB0"/>
    <w:rsid w:val="005F7EC0"/>
    <w:rsid w:val="00613A30"/>
    <w:rsid w:val="006451C5"/>
    <w:rsid w:val="00705AE1"/>
    <w:rsid w:val="0071428A"/>
    <w:rsid w:val="00756320"/>
    <w:rsid w:val="007625AB"/>
    <w:rsid w:val="00772366"/>
    <w:rsid w:val="007939C6"/>
    <w:rsid w:val="007D2068"/>
    <w:rsid w:val="007D2AE5"/>
    <w:rsid w:val="007F1C63"/>
    <w:rsid w:val="0080294A"/>
    <w:rsid w:val="008351A6"/>
    <w:rsid w:val="00876397"/>
    <w:rsid w:val="008A119E"/>
    <w:rsid w:val="008E5983"/>
    <w:rsid w:val="008F0DB6"/>
    <w:rsid w:val="008F36AF"/>
    <w:rsid w:val="0093406A"/>
    <w:rsid w:val="009577DC"/>
    <w:rsid w:val="009602CE"/>
    <w:rsid w:val="00990AF1"/>
    <w:rsid w:val="009A1D1E"/>
    <w:rsid w:val="009B08C7"/>
    <w:rsid w:val="009B45C3"/>
    <w:rsid w:val="00A16C25"/>
    <w:rsid w:val="00A42F52"/>
    <w:rsid w:val="00AA48F5"/>
    <w:rsid w:val="00AB37E6"/>
    <w:rsid w:val="00B01494"/>
    <w:rsid w:val="00B23542"/>
    <w:rsid w:val="00B51492"/>
    <w:rsid w:val="00B6233D"/>
    <w:rsid w:val="00B70ABA"/>
    <w:rsid w:val="00B8286E"/>
    <w:rsid w:val="00BA0E0E"/>
    <w:rsid w:val="00BA0EA3"/>
    <w:rsid w:val="00BA607F"/>
    <w:rsid w:val="00BB25E8"/>
    <w:rsid w:val="00BC472B"/>
    <w:rsid w:val="00BC51EE"/>
    <w:rsid w:val="00BD2834"/>
    <w:rsid w:val="00C10D64"/>
    <w:rsid w:val="00C438B7"/>
    <w:rsid w:val="00C91F8C"/>
    <w:rsid w:val="00CB3B19"/>
    <w:rsid w:val="00D576FE"/>
    <w:rsid w:val="00D75A25"/>
    <w:rsid w:val="00DA487F"/>
    <w:rsid w:val="00DC23C0"/>
    <w:rsid w:val="00DF4CA6"/>
    <w:rsid w:val="00E02414"/>
    <w:rsid w:val="00E162B9"/>
    <w:rsid w:val="00E20353"/>
    <w:rsid w:val="00E20F34"/>
    <w:rsid w:val="00E46FFC"/>
    <w:rsid w:val="00E503F5"/>
    <w:rsid w:val="00E56ED6"/>
    <w:rsid w:val="00E755AD"/>
    <w:rsid w:val="00E8421E"/>
    <w:rsid w:val="00E93E2B"/>
    <w:rsid w:val="00E97588"/>
    <w:rsid w:val="00EC1987"/>
    <w:rsid w:val="00ED16DC"/>
    <w:rsid w:val="00ED1CEB"/>
    <w:rsid w:val="00F25223"/>
    <w:rsid w:val="00F64939"/>
    <w:rsid w:val="00F704C0"/>
    <w:rsid w:val="00F95511"/>
    <w:rsid w:val="00FB21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C6BD01"/>
  <w15:chartTrackingRefBased/>
  <w15:docId w15:val="{8D0C2779-6F72-4546-B099-819FA6FB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1D"/>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sid w:val="004B181D"/>
  </w:style>
  <w:style w:type="character" w:customStyle="1" w:styleId="Heading11">
    <w:name w:val="Heading #1|1_"/>
    <w:basedOn w:val="DefaultParagraphFont"/>
    <w:link w:val="Heading110"/>
    <w:rsid w:val="004B181D"/>
    <w:rPr>
      <w:b/>
      <w:bCs/>
      <w:sz w:val="19"/>
      <w:szCs w:val="19"/>
    </w:rPr>
  </w:style>
  <w:style w:type="paragraph" w:customStyle="1" w:styleId="Bodytext10">
    <w:name w:val="Body text|1"/>
    <w:basedOn w:val="Normal"/>
    <w:link w:val="Bodytext1"/>
    <w:rsid w:val="004B181D"/>
    <w:pPr>
      <w:widowControl w:val="0"/>
      <w:spacing w:after="260" w:line="240" w:lineRule="auto"/>
    </w:pPr>
    <w:rPr>
      <w:kern w:val="2"/>
      <w14:ligatures w14:val="standardContextual"/>
    </w:rPr>
  </w:style>
  <w:style w:type="paragraph" w:customStyle="1" w:styleId="Heading110">
    <w:name w:val="Heading #1|1"/>
    <w:basedOn w:val="Normal"/>
    <w:link w:val="Heading11"/>
    <w:rsid w:val="004B181D"/>
    <w:pPr>
      <w:widowControl w:val="0"/>
      <w:spacing w:after="260" w:line="240" w:lineRule="auto"/>
      <w:outlineLvl w:val="0"/>
    </w:pPr>
    <w:rPr>
      <w:b/>
      <w:bCs/>
      <w:kern w:val="2"/>
      <w:sz w:val="19"/>
      <w:szCs w:val="19"/>
      <w14:ligatures w14:val="standardContextual"/>
    </w:rPr>
  </w:style>
  <w:style w:type="character" w:styleId="Emphasis">
    <w:name w:val="Emphasis"/>
    <w:basedOn w:val="DefaultParagraphFont"/>
    <w:uiPriority w:val="20"/>
    <w:qFormat/>
    <w:rsid w:val="004B181D"/>
    <w:rPr>
      <w:i/>
      <w:iCs/>
    </w:rPr>
  </w:style>
  <w:style w:type="paragraph" w:styleId="FootnoteText">
    <w:name w:val="footnote text"/>
    <w:basedOn w:val="Normal"/>
    <w:link w:val="FootnoteTextChar"/>
    <w:uiPriority w:val="99"/>
    <w:semiHidden/>
    <w:unhideWhenUsed/>
    <w:rsid w:val="004B181D"/>
    <w:pPr>
      <w:widowControl w:val="0"/>
      <w:spacing w:after="0" w:line="240" w:lineRule="auto"/>
    </w:pPr>
    <w:rPr>
      <w:rFonts w:ascii="Times New Roman" w:eastAsia="Times New Roman" w:hAnsi="Times New Roman" w:cs="Times New Roman"/>
      <w:color w:val="000000"/>
      <w:sz w:val="20"/>
      <w:szCs w:val="20"/>
      <w:lang w:eastAsia="hr-HR" w:bidi="hr-HR"/>
    </w:rPr>
  </w:style>
  <w:style w:type="character" w:customStyle="1" w:styleId="FootnoteTextChar">
    <w:name w:val="Footnote Text Char"/>
    <w:basedOn w:val="DefaultParagraphFont"/>
    <w:link w:val="FootnoteText"/>
    <w:uiPriority w:val="99"/>
    <w:semiHidden/>
    <w:rsid w:val="004B181D"/>
    <w:rPr>
      <w:rFonts w:ascii="Times New Roman" w:eastAsia="Times New Roman" w:hAnsi="Times New Roman" w:cs="Times New Roman"/>
      <w:color w:val="000000"/>
      <w:kern w:val="0"/>
      <w:sz w:val="20"/>
      <w:szCs w:val="20"/>
      <w:lang w:val="da-DK" w:eastAsia="hr-HR" w:bidi="hr-HR"/>
      <w14:ligatures w14:val="none"/>
    </w:rPr>
  </w:style>
  <w:style w:type="character" w:styleId="FootnoteReference">
    <w:name w:val="footnote reference"/>
    <w:basedOn w:val="DefaultParagraphFont"/>
    <w:uiPriority w:val="99"/>
    <w:semiHidden/>
    <w:unhideWhenUsed/>
    <w:rsid w:val="004B181D"/>
    <w:rPr>
      <w:vertAlign w:val="superscript"/>
    </w:rPr>
  </w:style>
  <w:style w:type="paragraph" w:customStyle="1" w:styleId="title-bold">
    <w:name w:val="title-bold"/>
    <w:basedOn w:val="Normal"/>
    <w:rsid w:val="004B181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arker">
    <w:name w:val="Marker"/>
    <w:basedOn w:val="DefaultParagraphFont"/>
    <w:rsid w:val="007F1C63"/>
    <w:rPr>
      <w:color w:val="0000FF"/>
      <w:shd w:val="clear" w:color="auto" w:fill="auto"/>
    </w:rPr>
  </w:style>
  <w:style w:type="paragraph" w:styleId="Header">
    <w:name w:val="header"/>
    <w:basedOn w:val="Normal"/>
    <w:link w:val="HeaderChar"/>
    <w:uiPriority w:val="99"/>
    <w:unhideWhenUsed/>
    <w:rsid w:val="007F1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C63"/>
    <w:rPr>
      <w:kern w:val="0"/>
      <w:lang w:val="da-DK"/>
      <w14:ligatures w14:val="none"/>
    </w:rPr>
  </w:style>
  <w:style w:type="paragraph" w:styleId="Footer">
    <w:name w:val="footer"/>
    <w:basedOn w:val="Normal"/>
    <w:link w:val="FooterChar"/>
    <w:uiPriority w:val="99"/>
    <w:unhideWhenUsed/>
    <w:rsid w:val="007F1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C63"/>
    <w:rPr>
      <w:kern w:val="0"/>
      <w:lang w:val="da-DK"/>
      <w14:ligatures w14:val="none"/>
    </w:rPr>
  </w:style>
  <w:style w:type="paragraph" w:customStyle="1" w:styleId="Pagedecouverture">
    <w:name w:val="Page de couverture"/>
    <w:basedOn w:val="Normal"/>
    <w:next w:val="Normal"/>
    <w:link w:val="PagedecouvertureChar"/>
    <w:rsid w:val="007F1C6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F1C6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7F1C63"/>
    <w:rPr>
      <w:rFonts w:ascii="Times New Roman" w:hAnsi="Times New Roman" w:cs="Times New Roman"/>
      <w:kern w:val="0"/>
      <w:sz w:val="24"/>
      <w:lang w:val="da-DK"/>
      <w14:ligatures w14:val="none"/>
    </w:rPr>
  </w:style>
  <w:style w:type="character" w:customStyle="1" w:styleId="FooterCoverPageChar">
    <w:name w:val="Footer Cover Page Char"/>
    <w:basedOn w:val="PagedecouvertureChar"/>
    <w:link w:val="FooterCoverPage"/>
    <w:rsid w:val="007F1C63"/>
    <w:rPr>
      <w:rFonts w:ascii="Times New Roman" w:hAnsi="Times New Roman" w:cs="Times New Roman"/>
      <w:kern w:val="0"/>
      <w:sz w:val="24"/>
      <w:lang w:val="da-DK"/>
      <w14:ligatures w14:val="none"/>
    </w:rPr>
  </w:style>
  <w:style w:type="paragraph" w:customStyle="1" w:styleId="FooterSensitivity">
    <w:name w:val="Footer Sensitivity"/>
    <w:basedOn w:val="Normal"/>
    <w:link w:val="FooterSensitivityChar"/>
    <w:rsid w:val="007F1C6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7F1C63"/>
    <w:rPr>
      <w:rFonts w:ascii="Times New Roman" w:hAnsi="Times New Roman" w:cs="Times New Roman"/>
      <w:b/>
      <w:kern w:val="0"/>
      <w:sz w:val="32"/>
      <w:lang w:val="da-DK"/>
      <w14:ligatures w14:val="none"/>
    </w:rPr>
  </w:style>
  <w:style w:type="paragraph" w:customStyle="1" w:styleId="HeaderCoverPage">
    <w:name w:val="Header Cover Page"/>
    <w:basedOn w:val="Normal"/>
    <w:link w:val="HeaderCoverPageChar"/>
    <w:rsid w:val="007F1C6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7F1C63"/>
    <w:rPr>
      <w:rFonts w:ascii="Times New Roman" w:hAnsi="Times New Roman" w:cs="Times New Roman"/>
      <w:kern w:val="0"/>
      <w:sz w:val="24"/>
      <w:lang w:val="da-DK"/>
      <w14:ligatures w14:val="none"/>
    </w:rPr>
  </w:style>
  <w:style w:type="paragraph" w:customStyle="1" w:styleId="HeaderSensitivity">
    <w:name w:val="Header Sensitivity"/>
    <w:basedOn w:val="Normal"/>
    <w:link w:val="HeaderSensitivityChar"/>
    <w:rsid w:val="007F1C6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7F1C63"/>
    <w:rPr>
      <w:rFonts w:ascii="Times New Roman" w:hAnsi="Times New Roman" w:cs="Times New Roman"/>
      <w:b/>
      <w:kern w:val="0"/>
      <w:sz w:val="32"/>
      <w:lang w:val="da-DK"/>
      <w14:ligatures w14:val="none"/>
    </w:rPr>
  </w:style>
  <w:style w:type="paragraph" w:customStyle="1" w:styleId="HeaderSensitivityRight">
    <w:name w:val="Header Sensitivity Right"/>
    <w:basedOn w:val="Normal"/>
    <w:link w:val="HeaderSensitivityRightChar"/>
    <w:rsid w:val="007F1C6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7F1C63"/>
    <w:rPr>
      <w:rFonts w:ascii="Times New Roman" w:hAnsi="Times New Roman" w:cs="Times New Roman"/>
      <w:kern w:val="0"/>
      <w:sz w:val="28"/>
      <w:lang w:val="da-DK"/>
      <w14:ligatures w14:val="none"/>
    </w:rPr>
  </w:style>
  <w:style w:type="paragraph" w:styleId="Revision">
    <w:name w:val="Revision"/>
    <w:hidden/>
    <w:uiPriority w:val="99"/>
    <w:semiHidden/>
    <w:rsid w:val="00DC23C0"/>
    <w:pPr>
      <w:spacing w:after="0" w:line="240" w:lineRule="auto"/>
    </w:pPr>
    <w:rPr>
      <w:kern w:val="0"/>
      <w14:ligatures w14:val="none"/>
    </w:rPr>
  </w:style>
  <w:style w:type="character" w:styleId="CommentReference">
    <w:name w:val="annotation reference"/>
    <w:basedOn w:val="DefaultParagraphFont"/>
    <w:uiPriority w:val="99"/>
    <w:semiHidden/>
    <w:unhideWhenUsed/>
    <w:rsid w:val="00DC23C0"/>
    <w:rPr>
      <w:sz w:val="16"/>
      <w:szCs w:val="16"/>
    </w:rPr>
  </w:style>
  <w:style w:type="paragraph" w:styleId="CommentText">
    <w:name w:val="annotation text"/>
    <w:basedOn w:val="Normal"/>
    <w:link w:val="CommentTextChar"/>
    <w:uiPriority w:val="99"/>
    <w:unhideWhenUsed/>
    <w:rsid w:val="00DC23C0"/>
    <w:pPr>
      <w:spacing w:line="240" w:lineRule="auto"/>
    </w:pPr>
    <w:rPr>
      <w:sz w:val="20"/>
      <w:szCs w:val="20"/>
    </w:rPr>
  </w:style>
  <w:style w:type="character" w:customStyle="1" w:styleId="CommentTextChar">
    <w:name w:val="Comment Text Char"/>
    <w:basedOn w:val="DefaultParagraphFont"/>
    <w:link w:val="CommentText"/>
    <w:uiPriority w:val="99"/>
    <w:rsid w:val="00DC23C0"/>
    <w:rPr>
      <w:kern w:val="0"/>
      <w:sz w:val="20"/>
      <w:szCs w:val="20"/>
      <w:lang w:val="da-DK"/>
      <w14:ligatures w14:val="none"/>
    </w:rPr>
  </w:style>
  <w:style w:type="paragraph" w:styleId="CommentSubject">
    <w:name w:val="annotation subject"/>
    <w:basedOn w:val="CommentText"/>
    <w:next w:val="CommentText"/>
    <w:link w:val="CommentSubjectChar"/>
    <w:uiPriority w:val="99"/>
    <w:semiHidden/>
    <w:unhideWhenUsed/>
    <w:rsid w:val="00DC23C0"/>
    <w:rPr>
      <w:b/>
      <w:bCs/>
    </w:rPr>
  </w:style>
  <w:style w:type="character" w:customStyle="1" w:styleId="CommentSubjectChar">
    <w:name w:val="Comment Subject Char"/>
    <w:basedOn w:val="CommentTextChar"/>
    <w:link w:val="CommentSubject"/>
    <w:uiPriority w:val="99"/>
    <w:semiHidden/>
    <w:rsid w:val="00DC23C0"/>
    <w:rPr>
      <w:b/>
      <w:bCs/>
      <w:kern w:val="0"/>
      <w:sz w:val="20"/>
      <w:szCs w:val="20"/>
      <w:lang w:val="da-DK"/>
      <w14:ligatures w14:val="none"/>
    </w:rPr>
  </w:style>
  <w:style w:type="character" w:styleId="Hyperlink">
    <w:name w:val="Hyperlink"/>
    <w:basedOn w:val="DefaultParagraphFont"/>
    <w:uiPriority w:val="99"/>
    <w:unhideWhenUsed/>
    <w:rsid w:val="00E97588"/>
    <w:rPr>
      <w:color w:val="0000FF"/>
      <w:u w:val="single"/>
    </w:rPr>
  </w:style>
  <w:style w:type="paragraph" w:styleId="ListParagraph">
    <w:name w:val="List Paragraph"/>
    <w:basedOn w:val="Normal"/>
    <w:uiPriority w:val="34"/>
    <w:qFormat/>
    <w:rsid w:val="00E20353"/>
    <w:pPr>
      <w:ind w:left="720"/>
      <w:contextualSpacing/>
    </w:pPr>
  </w:style>
  <w:style w:type="character" w:customStyle="1" w:styleId="UnresolvedMention">
    <w:name w:val="Unresolved Mention"/>
    <w:basedOn w:val="DefaultParagraphFont"/>
    <w:uiPriority w:val="99"/>
    <w:semiHidden/>
    <w:unhideWhenUsed/>
    <w:rsid w:val="003A5CC5"/>
    <w:rPr>
      <w:color w:val="605E5C"/>
      <w:shd w:val="clear" w:color="auto" w:fill="E1DFDD"/>
    </w:rPr>
  </w:style>
  <w:style w:type="character" w:styleId="FollowedHyperlink">
    <w:name w:val="FollowedHyperlink"/>
    <w:basedOn w:val="DefaultParagraphFont"/>
    <w:uiPriority w:val="99"/>
    <w:semiHidden/>
    <w:unhideWhenUsed/>
    <w:rsid w:val="003A5CC5"/>
    <w:rPr>
      <w:color w:val="954F72" w:themeColor="followedHyperlink"/>
      <w:u w:val="single"/>
    </w:rPr>
  </w:style>
  <w:style w:type="character" w:customStyle="1" w:styleId="BodyPlaceholderText">
    <w:name w:val="BodyPlaceholderText"/>
    <w:basedOn w:val="PlaceholderText"/>
    <w:semiHidden/>
    <w:rsid w:val="005F7EC0"/>
    <w:rPr>
      <w:color w:val="3366CC"/>
    </w:rPr>
  </w:style>
  <w:style w:type="character" w:styleId="PlaceholderText">
    <w:name w:val="Placeholder Text"/>
    <w:basedOn w:val="DefaultParagraphFont"/>
    <w:uiPriority w:val="99"/>
    <w:semiHidden/>
    <w:rsid w:val="005F7E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5236">
      <w:bodyDiv w:val="1"/>
      <w:marLeft w:val="0"/>
      <w:marRight w:val="0"/>
      <w:marTop w:val="0"/>
      <w:marBottom w:val="0"/>
      <w:divBdr>
        <w:top w:val="none" w:sz="0" w:space="0" w:color="auto"/>
        <w:left w:val="none" w:sz="0" w:space="0" w:color="auto"/>
        <w:bottom w:val="none" w:sz="0" w:space="0" w:color="auto"/>
        <w:right w:val="none" w:sz="0" w:space="0" w:color="auto"/>
      </w:divBdr>
    </w:div>
    <w:div w:id="1116875150">
      <w:bodyDiv w:val="1"/>
      <w:marLeft w:val="0"/>
      <w:marRight w:val="0"/>
      <w:marTop w:val="0"/>
      <w:marBottom w:val="0"/>
      <w:divBdr>
        <w:top w:val="none" w:sz="0" w:space="0" w:color="auto"/>
        <w:left w:val="none" w:sz="0" w:space="0" w:color="auto"/>
        <w:bottom w:val="none" w:sz="0" w:space="0" w:color="auto"/>
        <w:right w:val="none" w:sz="0" w:space="0" w:color="auto"/>
      </w:divBdr>
    </w:div>
    <w:div w:id="1370687444">
      <w:bodyDiv w:val="1"/>
      <w:marLeft w:val="0"/>
      <w:marRight w:val="0"/>
      <w:marTop w:val="0"/>
      <w:marBottom w:val="0"/>
      <w:divBdr>
        <w:top w:val="none" w:sz="0" w:space="0" w:color="auto"/>
        <w:left w:val="none" w:sz="0" w:space="0" w:color="auto"/>
        <w:bottom w:val="none" w:sz="0" w:space="0" w:color="auto"/>
        <w:right w:val="none" w:sz="0" w:space="0" w:color="auto"/>
      </w:divBdr>
    </w:div>
    <w:div w:id="1491366771">
      <w:bodyDiv w:val="1"/>
      <w:marLeft w:val="0"/>
      <w:marRight w:val="0"/>
      <w:marTop w:val="0"/>
      <w:marBottom w:val="0"/>
      <w:divBdr>
        <w:top w:val="none" w:sz="0" w:space="0" w:color="auto"/>
        <w:left w:val="none" w:sz="0" w:space="0" w:color="auto"/>
        <w:bottom w:val="none" w:sz="0" w:space="0" w:color="auto"/>
        <w:right w:val="none" w:sz="0" w:space="0" w:color="auto"/>
      </w:divBdr>
    </w:div>
    <w:div w:id="1642810729">
      <w:bodyDiv w:val="1"/>
      <w:marLeft w:val="0"/>
      <w:marRight w:val="0"/>
      <w:marTop w:val="0"/>
      <w:marBottom w:val="0"/>
      <w:divBdr>
        <w:top w:val="none" w:sz="0" w:space="0" w:color="auto"/>
        <w:left w:val="none" w:sz="0" w:space="0" w:color="auto"/>
        <w:bottom w:val="none" w:sz="0" w:space="0" w:color="auto"/>
        <w:right w:val="none" w:sz="0" w:space="0" w:color="auto"/>
      </w:divBdr>
    </w:div>
    <w:div w:id="1647008080">
      <w:bodyDiv w:val="1"/>
      <w:marLeft w:val="0"/>
      <w:marRight w:val="0"/>
      <w:marTop w:val="0"/>
      <w:marBottom w:val="0"/>
      <w:divBdr>
        <w:top w:val="none" w:sz="0" w:space="0" w:color="auto"/>
        <w:left w:val="none" w:sz="0" w:space="0" w:color="auto"/>
        <w:bottom w:val="none" w:sz="0" w:space="0" w:color="auto"/>
        <w:right w:val="none" w:sz="0" w:space="0" w:color="auto"/>
      </w:divBdr>
    </w:div>
    <w:div w:id="1929146786">
      <w:bodyDiv w:val="1"/>
      <w:marLeft w:val="0"/>
      <w:marRight w:val="0"/>
      <w:marTop w:val="0"/>
      <w:marBottom w:val="0"/>
      <w:divBdr>
        <w:top w:val="none" w:sz="0" w:space="0" w:color="auto"/>
        <w:left w:val="none" w:sz="0" w:space="0" w:color="auto"/>
        <w:bottom w:val="none" w:sz="0" w:space="0" w:color="auto"/>
        <w:right w:val="none" w:sz="0" w:space="0" w:color="auto"/>
      </w:divBdr>
    </w:div>
    <w:div w:id="19341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_del/2021/723/oj" TargetMode="External"/><Relationship Id="rId2" Type="http://schemas.openxmlformats.org/officeDocument/2006/relationships/hyperlink" Target="http://data.europa.eu/eli/reg_del/2022/1303/oj" TargetMode="External"/><Relationship Id="rId1" Type="http://schemas.openxmlformats.org/officeDocument/2006/relationships/hyperlink" Target="https://eur-lex.europa.eu/eli/reg/2019/787/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8480-AC0C-4D40-84A3-0CC152EA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cp:revision>
  <cp:lastPrinted>2024-04-30T07:29:00Z</cp:lastPrinted>
  <dcterms:created xsi:type="dcterms:W3CDTF">2025-05-07T13:51:00Z</dcterms:created>
  <dcterms:modified xsi:type="dcterms:W3CDTF">2025-05-28T06:44:00Z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2024-04-05T14:43:48Z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13d92e9d-0af8-43a0-b6dc-adbce80fb090</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9.1, Build 20240808</vt:lpwstr>
  </property>
  <property fmtid="{D5CDD505-2E9C-101B-9397-08002B2CF9AE}" pid="15" name="Created using">
    <vt:lpwstr>LW 9.0, Build 20230317</vt:lpwstr>
  </property>
</Properties>
</file>