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41780" w14:textId="10DD7539" w:rsidR="007F1C63" w:rsidRDefault="007C7CD5" w:rsidP="007C7CD5">
      <w:pPr>
        <w:pStyle w:val="Pagedecouverture"/>
        <w:rPr>
          <w:rStyle w:val="Heading11"/>
          <w:smallCaps/>
          <w:noProof/>
          <w:sz w:val="24"/>
          <w:szCs w:val="24"/>
        </w:rPr>
      </w:pPr>
      <w:bookmarkStart w:id="0" w:name="LW_BM_COVERPAGE"/>
      <w:r>
        <w:rPr>
          <w:rStyle w:val="Heading11"/>
          <w:smallCaps/>
          <w:noProof/>
          <w:sz w:val="24"/>
          <w:szCs w:val="24"/>
        </w:rPr>
        <w:pict w14:anchorId="10355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EAAF9B0-E55E-476D-82A0-69851EE86EB9" style="width:455.25pt;height:393pt">
            <v:imagedata r:id="rId8" o:title=""/>
          </v:shape>
        </w:pict>
      </w:r>
    </w:p>
    <w:bookmarkEnd w:id="0"/>
    <w:p w14:paraId="5C793B7A" w14:textId="77777777" w:rsidR="007F1C63" w:rsidRDefault="007F1C63" w:rsidP="007F1C63">
      <w:pPr>
        <w:rPr>
          <w:rStyle w:val="Heading11"/>
          <w:rFonts w:ascii="Times New Roman" w:hAnsi="Times New Roman" w:cs="Times New Roman"/>
          <w:smallCaps/>
          <w:noProof/>
          <w:sz w:val="24"/>
          <w:szCs w:val="24"/>
        </w:rPr>
        <w:sectPr w:rsidR="007F1C63" w:rsidSect="007C7CD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D616DB2" w14:textId="1E638864" w:rsidR="004B181D" w:rsidRPr="001E1863" w:rsidRDefault="004B181D" w:rsidP="004B181D">
      <w:pPr>
        <w:pStyle w:val="Heading110"/>
        <w:keepNext/>
        <w:keepLines/>
        <w:numPr>
          <w:ilvl w:val="0"/>
          <w:numId w:val="1"/>
        </w:numPr>
        <w:tabs>
          <w:tab w:val="left" w:pos="552"/>
          <w:tab w:val="left" w:pos="557"/>
        </w:tabs>
        <w:jc w:val="both"/>
        <w:rPr>
          <w:rFonts w:ascii="Times New Roman" w:hAnsi="Times New Roman" w:cs="Times New Roman"/>
          <w:noProof/>
          <w:sz w:val="24"/>
          <w:szCs w:val="24"/>
        </w:rPr>
      </w:pPr>
      <w:bookmarkStart w:id="1" w:name="_GoBack"/>
      <w:bookmarkEnd w:id="1"/>
      <w:r>
        <w:rPr>
          <w:rStyle w:val="Heading11"/>
          <w:rFonts w:ascii="Times New Roman" w:hAnsi="Times New Roman"/>
          <w:smallCaps/>
          <w:noProof/>
          <w:sz w:val="24"/>
        </w:rPr>
        <w:lastRenderedPageBreak/>
        <w:t>Inledning</w:t>
      </w:r>
    </w:p>
    <w:p w14:paraId="6DB9F7CA" w14:textId="761B914D" w:rsidR="004B181D" w:rsidRPr="000C6D51" w:rsidRDefault="003A5CC5" w:rsidP="004B181D">
      <w:pPr>
        <w:pStyle w:val="Bodytext10"/>
        <w:ind w:left="580"/>
        <w:jc w:val="both"/>
        <w:rPr>
          <w:rFonts w:ascii="Times New Roman" w:hAnsi="Times New Roman" w:cs="Times New Roman"/>
          <w:noProof/>
          <w:color w:val="333333"/>
          <w:sz w:val="24"/>
          <w:szCs w:val="24"/>
          <w:shd w:val="clear" w:color="auto" w:fill="FFFFFF"/>
        </w:rPr>
      </w:pPr>
      <w:r>
        <w:rPr>
          <w:rStyle w:val="Bodytext1"/>
          <w:rFonts w:ascii="Times New Roman" w:hAnsi="Times New Roman"/>
          <w:noProof/>
          <w:sz w:val="24"/>
        </w:rPr>
        <w:t>I Europaparlamentets och rådets förordning (EU) 2019/787</w:t>
      </w:r>
      <w:r w:rsidR="009B08C7">
        <w:rPr>
          <w:rStyle w:val="FootnoteReference"/>
          <w:rFonts w:ascii="Times New Roman" w:hAnsi="Times New Roman" w:cs="Times New Roman"/>
          <w:noProof/>
          <w:color w:val="333333"/>
          <w:sz w:val="24"/>
          <w:szCs w:val="24"/>
          <w:shd w:val="clear" w:color="auto" w:fill="FFFFFF"/>
        </w:rPr>
        <w:footnoteReference w:id="1"/>
      </w:r>
      <w:r>
        <w:rPr>
          <w:rStyle w:val="Bodytext1"/>
          <w:rFonts w:ascii="Times New Roman" w:hAnsi="Times New Roman"/>
          <w:noProof/>
          <w:sz w:val="24"/>
        </w:rPr>
        <w:t xml:space="preserve"> </w:t>
      </w:r>
      <w:r>
        <w:rPr>
          <w:rFonts w:ascii="Times New Roman" w:hAnsi="Times New Roman"/>
          <w:noProof/>
          <w:color w:val="333333"/>
          <w:sz w:val="24"/>
          <w:shd w:val="clear" w:color="auto" w:fill="FFFFFF"/>
        </w:rPr>
        <w:t>fastställs en gemensam rättslig ram för spritdrycker som produceras i unionen. Den innehåller särskilt bestämmelser om definition, beskrivning, presentation och märkning av spritdrycker samt om kontroll och övervakning av dessa</w:t>
      </w:r>
      <w:r>
        <w:rPr>
          <w:rStyle w:val="Bodytext1"/>
          <w:rFonts w:ascii="Times New Roman" w:hAnsi="Times New Roman"/>
          <w:noProof/>
          <w:sz w:val="24"/>
        </w:rPr>
        <w:t>.</w:t>
      </w:r>
    </w:p>
    <w:p w14:paraId="55B4793F" w14:textId="2DBDFD2D" w:rsidR="003A5CC5" w:rsidRDefault="003A5CC5" w:rsidP="003A5CC5">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Förordningen ger kommissionen befogenhet att anta delegerade akter som kompletterar eller ändrar vissa av dessa regler och ålägger – för vissa av dem – kommissionen en skyldighet att rapportera till medlagstiftarna om utövandet av de delegerade befogenheter som den innehåller.</w:t>
      </w:r>
    </w:p>
    <w:p w14:paraId="4D22B018" w14:textId="7B06335A" w:rsidR="004A6981" w:rsidRDefault="00E20F34" w:rsidP="002B20C5">
      <w:pPr>
        <w:pStyle w:val="Bodytext10"/>
        <w:ind w:left="580"/>
        <w:jc w:val="both"/>
        <w:rPr>
          <w:rStyle w:val="Bodytext1"/>
          <w:rFonts w:ascii="Times New Roman" w:hAnsi="Times New Roman" w:cs="Times New Roman"/>
          <w:noProof/>
          <w:sz w:val="24"/>
          <w:szCs w:val="24"/>
        </w:rPr>
      </w:pPr>
      <w:r>
        <w:rPr>
          <w:rFonts w:ascii="Times New Roman" w:hAnsi="Times New Roman"/>
          <w:noProof/>
          <w:sz w:val="24"/>
        </w:rPr>
        <w:t xml:space="preserve">Enligt artikel 46.2 i förordning (EU) 2019/787 fick kommissionen befogenhet att anta delegerade akter </w:t>
      </w:r>
      <w:r>
        <w:rPr>
          <w:rStyle w:val="Bodytext1"/>
          <w:rFonts w:ascii="Times New Roman" w:hAnsi="Times New Roman"/>
          <w:noProof/>
          <w:sz w:val="24"/>
        </w:rPr>
        <w:t>för en period på sju år, med början den 24 maj 2019, på följande sätt</w:t>
      </w:r>
      <w:r>
        <w:rPr>
          <w:rFonts w:ascii="Times New Roman" w:hAnsi="Times New Roman"/>
          <w:noProof/>
          <w:sz w:val="24"/>
        </w:rPr>
        <w:t>:</w:t>
      </w:r>
    </w:p>
    <w:p w14:paraId="7AF23A14" w14:textId="6EE2D252" w:rsidR="002B20C5" w:rsidRPr="00E46FFC" w:rsidRDefault="002B20C5" w:rsidP="00A42F52">
      <w:pPr>
        <w:pStyle w:val="ListParagraph"/>
        <w:numPr>
          <w:ilvl w:val="0"/>
          <w:numId w:val="10"/>
        </w:numPr>
        <w:ind w:left="993"/>
        <w:jc w:val="both"/>
        <w:rPr>
          <w:rFonts w:ascii="Times New Roman" w:hAnsi="Times New Roman" w:cs="Times New Roman"/>
          <w:noProof/>
          <w:sz w:val="24"/>
          <w:szCs w:val="24"/>
        </w:rPr>
      </w:pPr>
      <w:r>
        <w:rPr>
          <w:rStyle w:val="Bodytext1"/>
          <w:rFonts w:ascii="Times New Roman" w:hAnsi="Times New Roman"/>
          <w:noProof/>
          <w:sz w:val="24"/>
        </w:rPr>
        <w:t xml:space="preserve">Artikel 8.1: </w:t>
      </w:r>
      <w:r>
        <w:rPr>
          <w:rFonts w:ascii="Times New Roman" w:hAnsi="Times New Roman"/>
          <w:noProof/>
          <w:sz w:val="24"/>
        </w:rPr>
        <w:t xml:space="preserve">Genom </w:t>
      </w:r>
      <w:r>
        <w:rPr>
          <w:rStyle w:val="Bodytext1"/>
          <w:rFonts w:ascii="Times New Roman" w:hAnsi="Times New Roman"/>
          <w:noProof/>
          <w:sz w:val="24"/>
        </w:rPr>
        <w:t>att</w:t>
      </w:r>
      <w:r>
        <w:rPr>
          <w:rFonts w:ascii="Times New Roman" w:hAnsi="Times New Roman"/>
          <w:noProof/>
          <w:sz w:val="24"/>
        </w:rPr>
        <w:t xml:space="preserve"> införa ändringar av de tekniska definitioner och krav som anges i artikel 2 f och i artiklarna 4 och 5. Dessa delegerade akter ska strikt inskränkas till att tillgodose påvisade behov som följer av förändringar i konsumentefterfrågan, tekniska framsteg eller behovet av produktinnovation. Kommissionen ska anta en separat delegerad akt för varje teknisk definition eller krav. </w:t>
      </w:r>
    </w:p>
    <w:p w14:paraId="47E74D86" w14:textId="5A10EF5A" w:rsidR="003A2BA6" w:rsidRPr="00E46FFC" w:rsidRDefault="002B20C5" w:rsidP="00A42F52">
      <w:pPr>
        <w:pStyle w:val="Bodytext10"/>
        <w:numPr>
          <w:ilvl w:val="0"/>
          <w:numId w:val="10"/>
        </w:numPr>
        <w:ind w:left="993"/>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Artikel 8.2: Genom att, i undantagsfall, om lagstiftningen i det importerande tredjelandet så kräver, införa undantag från kraven i artikel 2 f och artiklarna 4 och 5, från kraven på kategorier av spritdrycker i bilaga I och från de särskilda bestämmelserna om vissa spritdrycker i bilaga II.</w:t>
      </w:r>
    </w:p>
    <w:p w14:paraId="1F50E8BD" w14:textId="79811BA5" w:rsidR="002B20C5" w:rsidRPr="003A2BA6" w:rsidRDefault="002B20C5" w:rsidP="00A42F52">
      <w:pPr>
        <w:pStyle w:val="Bodytext10"/>
        <w:numPr>
          <w:ilvl w:val="0"/>
          <w:numId w:val="10"/>
        </w:numPr>
        <w:ind w:left="993"/>
        <w:jc w:val="both"/>
        <w:rPr>
          <w:rFonts w:ascii="Times New Roman" w:hAnsi="Times New Roman" w:cs="Times New Roman"/>
          <w:noProof/>
          <w:sz w:val="24"/>
          <w:szCs w:val="24"/>
        </w:rPr>
      </w:pPr>
      <w:r>
        <w:rPr>
          <w:rStyle w:val="Bodytext1"/>
          <w:rFonts w:ascii="Times New Roman" w:hAnsi="Times New Roman"/>
          <w:noProof/>
          <w:sz w:val="24"/>
        </w:rPr>
        <w:t xml:space="preserve">Artikel 8.3:  </w:t>
      </w:r>
      <w:r>
        <w:rPr>
          <w:rFonts w:ascii="Times New Roman" w:hAnsi="Times New Roman"/>
          <w:noProof/>
          <w:sz w:val="24"/>
        </w:rPr>
        <w:t>Genom att specificera vilka andra naturliga ämnen eller jordbruksråvaror med en liknande effekt som de produkter som avses i artikel 4.9 a–e, som är tillåtna i hela unionen som sötningsmedel i framställningen av spritdrycker.</w:t>
      </w:r>
    </w:p>
    <w:p w14:paraId="21A71811" w14:textId="1AE42F90" w:rsidR="003752CD" w:rsidRPr="003A2BA6" w:rsidRDefault="003752CD" w:rsidP="00A42F52">
      <w:pPr>
        <w:pStyle w:val="Bodytext10"/>
        <w:numPr>
          <w:ilvl w:val="0"/>
          <w:numId w:val="10"/>
        </w:numPr>
        <w:ind w:left="993"/>
        <w:jc w:val="both"/>
        <w:rPr>
          <w:rFonts w:ascii="Times New Roman" w:hAnsi="Times New Roman" w:cs="Times New Roman"/>
          <w:noProof/>
          <w:sz w:val="24"/>
          <w:szCs w:val="24"/>
        </w:rPr>
      </w:pPr>
      <w:r>
        <w:rPr>
          <w:rFonts w:ascii="Times New Roman" w:hAnsi="Times New Roman"/>
          <w:noProof/>
          <w:sz w:val="24"/>
        </w:rPr>
        <w:t xml:space="preserve">Artikel 19.1: För att ta hänsyn till den traditionella dynamiska lagringsprocessen för </w:t>
      </w:r>
      <w:r>
        <w:rPr>
          <w:rFonts w:ascii="Times New Roman" w:hAnsi="Times New Roman"/>
          <w:i/>
          <w:iCs/>
          <w:noProof/>
          <w:sz w:val="24"/>
        </w:rPr>
        <w:t>brandy</w:t>
      </w:r>
      <w:r>
        <w:rPr>
          <w:rFonts w:ascii="Times New Roman" w:hAnsi="Times New Roman"/>
          <w:noProof/>
          <w:sz w:val="24"/>
        </w:rPr>
        <w:t xml:space="preserve"> i medlemsstaterna, de så kallade systemen ”</w:t>
      </w:r>
      <w:r>
        <w:rPr>
          <w:rFonts w:ascii="Times New Roman" w:hAnsi="Times New Roman"/>
          <w:i/>
          <w:iCs/>
          <w:noProof/>
          <w:sz w:val="24"/>
        </w:rPr>
        <w:t>criaderas y solera</w:t>
      </w:r>
      <w:r>
        <w:rPr>
          <w:rFonts w:ascii="Times New Roman" w:hAnsi="Times New Roman"/>
          <w:noProof/>
          <w:sz w:val="24"/>
        </w:rPr>
        <w:t>” eller ”</w:t>
      </w:r>
      <w:r>
        <w:rPr>
          <w:rFonts w:ascii="Times New Roman" w:hAnsi="Times New Roman"/>
          <w:i/>
          <w:iCs/>
          <w:noProof/>
          <w:sz w:val="24"/>
        </w:rPr>
        <w:t>solera e criaderas</w:t>
      </w:r>
      <w:r>
        <w:rPr>
          <w:rFonts w:ascii="Times New Roman" w:hAnsi="Times New Roman"/>
          <w:noProof/>
          <w:sz w:val="24"/>
        </w:rPr>
        <w:t>” enligt bilaga III genom att</w:t>
      </w:r>
    </w:p>
    <w:p w14:paraId="791CDE65" w14:textId="5D7F4684" w:rsidR="003752CD" w:rsidRDefault="003752CD" w:rsidP="00A42F52">
      <w:pPr>
        <w:pStyle w:val="Bodytext10"/>
        <w:numPr>
          <w:ilvl w:val="0"/>
          <w:numId w:val="7"/>
        </w:numPr>
        <w:ind w:left="1418" w:hanging="284"/>
        <w:jc w:val="both"/>
        <w:rPr>
          <w:rFonts w:ascii="Times New Roman" w:hAnsi="Times New Roman" w:cs="Times New Roman"/>
          <w:noProof/>
          <w:sz w:val="24"/>
          <w:szCs w:val="24"/>
        </w:rPr>
      </w:pPr>
      <w:r>
        <w:rPr>
          <w:rFonts w:ascii="Times New Roman" w:hAnsi="Times New Roman"/>
          <w:noProof/>
          <w:sz w:val="24"/>
        </w:rPr>
        <w:t>a) fastställa avvikelser från artikel 13.6 när det gäller specifikationen för en lagringsperiod eller ålder i beskrivningen, presentationen eller märkningen av sådan</w:t>
      </w:r>
      <w:r>
        <w:rPr>
          <w:rFonts w:ascii="Times New Roman" w:hAnsi="Times New Roman"/>
          <w:i/>
          <w:iCs/>
          <w:noProof/>
          <w:sz w:val="24"/>
        </w:rPr>
        <w:t xml:space="preserve"> brandy</w:t>
      </w:r>
      <w:r>
        <w:rPr>
          <w:rFonts w:ascii="Times New Roman" w:hAnsi="Times New Roman"/>
          <w:noProof/>
          <w:sz w:val="24"/>
        </w:rPr>
        <w:t xml:space="preserve"> och</w:t>
      </w:r>
    </w:p>
    <w:p w14:paraId="23E23AE3" w14:textId="44250DCB" w:rsidR="003752CD" w:rsidRPr="003752CD" w:rsidRDefault="003752CD" w:rsidP="00A42F52">
      <w:pPr>
        <w:pStyle w:val="Bodytext10"/>
        <w:numPr>
          <w:ilvl w:val="0"/>
          <w:numId w:val="7"/>
        </w:numPr>
        <w:ind w:left="1418"/>
        <w:jc w:val="both"/>
        <w:rPr>
          <w:rFonts w:ascii="Times New Roman" w:hAnsi="Times New Roman" w:cs="Times New Roman"/>
          <w:noProof/>
          <w:sz w:val="24"/>
          <w:szCs w:val="24"/>
        </w:rPr>
      </w:pPr>
      <w:r>
        <w:rPr>
          <w:rFonts w:ascii="Times New Roman" w:hAnsi="Times New Roman"/>
          <w:noProof/>
          <w:sz w:val="24"/>
        </w:rPr>
        <w:t xml:space="preserve">b) inrätta lämpliga kontrollmekanismer för sådan </w:t>
      </w:r>
      <w:r>
        <w:rPr>
          <w:rFonts w:ascii="Times New Roman" w:hAnsi="Times New Roman"/>
          <w:i/>
          <w:iCs/>
          <w:noProof/>
          <w:sz w:val="24"/>
        </w:rPr>
        <w:t>brandy</w:t>
      </w:r>
      <w:r>
        <w:rPr>
          <w:rFonts w:ascii="Times New Roman" w:hAnsi="Times New Roman"/>
          <w:noProof/>
          <w:sz w:val="24"/>
        </w:rPr>
        <w:t>.</w:t>
      </w:r>
    </w:p>
    <w:p w14:paraId="75A819FA" w14:textId="7419A30D" w:rsidR="004B181D" w:rsidRDefault="00BA607F" w:rsidP="00A42F52">
      <w:pPr>
        <w:pStyle w:val="Bodytext10"/>
        <w:ind w:left="993" w:hanging="283"/>
        <w:jc w:val="both"/>
        <w:rPr>
          <w:rFonts w:ascii="Times New Roman" w:hAnsi="Times New Roman" w:cs="Times New Roman"/>
          <w:noProof/>
          <w:sz w:val="24"/>
          <w:szCs w:val="24"/>
        </w:rPr>
      </w:pPr>
      <w:r>
        <w:rPr>
          <w:rFonts w:ascii="Times New Roman" w:hAnsi="Times New Roman"/>
          <w:noProof/>
          <w:sz w:val="24"/>
        </w:rPr>
        <w:t xml:space="preserve">e) </w:t>
      </w:r>
      <w:r>
        <w:rPr>
          <w:rFonts w:ascii="Times New Roman" w:hAnsi="Times New Roman"/>
          <w:noProof/>
          <w:sz w:val="24"/>
        </w:rPr>
        <w:tab/>
        <w:t xml:space="preserve">Artikel 19.2: För att upprätta ett offentligt register med en förteckning över de organ som utsetts av varje medlemsstat för att övervaka lagringsprocesser i enlighet med artikel 13.6. </w:t>
      </w:r>
    </w:p>
    <w:p w14:paraId="20902414" w14:textId="29558947" w:rsidR="00BA607F" w:rsidRDefault="00BA607F" w:rsidP="00A42F52">
      <w:pPr>
        <w:pStyle w:val="Bodytext10"/>
        <w:ind w:left="567"/>
        <w:jc w:val="both"/>
        <w:rPr>
          <w:rFonts w:ascii="Times New Roman" w:hAnsi="Times New Roman" w:cs="Times New Roman"/>
          <w:noProof/>
          <w:sz w:val="24"/>
          <w:szCs w:val="24"/>
        </w:rPr>
      </w:pPr>
      <w:r>
        <w:rPr>
          <w:rFonts w:ascii="Times New Roman" w:hAnsi="Times New Roman"/>
          <w:noProof/>
          <w:sz w:val="24"/>
        </w:rPr>
        <w:t>Kommissionen är skyldig att utarbeta en rapport om delegeringarna av befogenheter senast nio månader före utgången av sjuårsperioden. Delegeringen av befogenhet ska genom tyst medgivande förlängas med perioder av samma längd, såvida inte Europaparlamentet eller rådet motsätter sig en sådan förlängning senast tre månader före utgången av perioden i fråga.</w:t>
      </w:r>
    </w:p>
    <w:p w14:paraId="57BA5FD0" w14:textId="24A35EE3" w:rsidR="00E20F34" w:rsidRDefault="00E20F34" w:rsidP="00A42F52">
      <w:pPr>
        <w:pStyle w:val="Bodytext10"/>
        <w:ind w:left="567"/>
        <w:jc w:val="both"/>
        <w:rPr>
          <w:rFonts w:ascii="Times New Roman" w:hAnsi="Times New Roman" w:cs="Times New Roman"/>
          <w:noProof/>
          <w:sz w:val="24"/>
          <w:szCs w:val="24"/>
        </w:rPr>
      </w:pPr>
      <w:r>
        <w:rPr>
          <w:rFonts w:ascii="Times New Roman" w:hAnsi="Times New Roman"/>
          <w:noProof/>
          <w:sz w:val="24"/>
        </w:rPr>
        <w:t xml:space="preserve">I denna rapport beskrivs kommissionens verksamhet under perioden från och med den </w:t>
      </w:r>
      <w:r>
        <w:rPr>
          <w:rStyle w:val="Bodytext1"/>
          <w:rFonts w:ascii="Times New Roman" w:hAnsi="Times New Roman"/>
          <w:noProof/>
          <w:sz w:val="24"/>
        </w:rPr>
        <w:t>24 maj 2019.</w:t>
      </w:r>
    </w:p>
    <w:p w14:paraId="4CF990BE" w14:textId="77777777" w:rsidR="004B181D" w:rsidRPr="001623A2" w:rsidRDefault="004B181D" w:rsidP="004B181D">
      <w:pPr>
        <w:pStyle w:val="Heading110"/>
        <w:keepNext/>
        <w:keepLines/>
        <w:numPr>
          <w:ilvl w:val="0"/>
          <w:numId w:val="1"/>
        </w:numPr>
        <w:tabs>
          <w:tab w:val="left" w:pos="552"/>
        </w:tabs>
        <w:jc w:val="both"/>
        <w:rPr>
          <w:rStyle w:val="Heading11"/>
          <w:rFonts w:ascii="Times New Roman" w:hAnsi="Times New Roman" w:cs="Times New Roman"/>
          <w:b/>
          <w:bCs/>
          <w:noProof/>
          <w:sz w:val="24"/>
          <w:szCs w:val="24"/>
        </w:rPr>
      </w:pPr>
      <w:r>
        <w:rPr>
          <w:rStyle w:val="Heading11"/>
          <w:rFonts w:ascii="Times New Roman" w:hAnsi="Times New Roman"/>
          <w:smallCaps/>
          <w:noProof/>
          <w:sz w:val="24"/>
        </w:rPr>
        <w:t xml:space="preserve">Utövande av delegeringen  </w:t>
      </w:r>
    </w:p>
    <w:p w14:paraId="62809573" w14:textId="09FE59D8" w:rsidR="001623A2" w:rsidRDefault="00705AE1" w:rsidP="00BA607F">
      <w:pPr>
        <w:pStyle w:val="Bodytext10"/>
        <w:ind w:left="580"/>
        <w:jc w:val="both"/>
        <w:rPr>
          <w:rStyle w:val="Bodytext1"/>
          <w:rFonts w:ascii="Times New Roman" w:hAnsi="Times New Roman" w:cs="Times New Roman"/>
          <w:noProof/>
          <w:sz w:val="24"/>
          <w:szCs w:val="24"/>
        </w:rPr>
      </w:pPr>
      <w:r>
        <w:rPr>
          <w:rFonts w:ascii="Times New Roman" w:hAnsi="Times New Roman"/>
          <w:noProof/>
          <w:sz w:val="24"/>
        </w:rPr>
        <w:t xml:space="preserve">Under den period som omfattas av denna rapport utnyttjade kommissionen inte de delegerade befogenheter som den tilldelats enligt artiklarna 8.2, 8.3 och 19.1 i förordning (EU) 2019/787. Kommissionen använde dock delegeringen av befogenheter på de områden som omfattas av artiklarna 8.1 och 19.2 genom att anta </w:t>
      </w:r>
      <w:r>
        <w:rPr>
          <w:rStyle w:val="Bodytext1"/>
          <w:rFonts w:ascii="Times New Roman" w:hAnsi="Times New Roman"/>
          <w:noProof/>
          <w:sz w:val="24"/>
        </w:rPr>
        <w:t>två delegerade förordningar:</w:t>
      </w:r>
    </w:p>
    <w:p w14:paraId="47D6D079" w14:textId="3E71DC93" w:rsidR="00705AE1" w:rsidRDefault="001623A2" w:rsidP="00A42F52">
      <w:pPr>
        <w:pStyle w:val="Bodytext10"/>
        <w:numPr>
          <w:ilvl w:val="0"/>
          <w:numId w:val="11"/>
        </w:numPr>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Kommissionens delegerade förordning (EU) 2022/1303 av den 25 april 2022 om ändring av Europaparlamentets och rådets förordning (EU) 2019/787 vad gäller definitionen av och kraven på jordbruksalkohol</w:t>
      </w:r>
      <w:r>
        <w:rPr>
          <w:rStyle w:val="FootnoteReference"/>
          <w:rFonts w:ascii="Times New Roman" w:hAnsi="Times New Roman" w:cs="Times New Roman"/>
          <w:noProof/>
          <w:sz w:val="24"/>
          <w:szCs w:val="24"/>
        </w:rPr>
        <w:footnoteReference w:id="2"/>
      </w:r>
      <w:r>
        <w:rPr>
          <w:rStyle w:val="Bodytext1"/>
          <w:rFonts w:ascii="Times New Roman" w:hAnsi="Times New Roman"/>
          <w:noProof/>
          <w:sz w:val="24"/>
        </w:rPr>
        <w:t>.</w:t>
      </w:r>
    </w:p>
    <w:p w14:paraId="0F79C5B5" w14:textId="0A7D21F3" w:rsidR="00705AE1" w:rsidRDefault="00705AE1" w:rsidP="00A42F52">
      <w:pPr>
        <w:pStyle w:val="Bodytext10"/>
        <w:numPr>
          <w:ilvl w:val="0"/>
          <w:numId w:val="11"/>
        </w:numPr>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Kommissionens delegerade förordning (EU) 2021/723 av den 26 februari 2021 om komplettering av Europaparlamentets och rådets förordning (EU) 2019/787 vad gäller upprättandet av ett offentligt register över de organ som respektive medlemsstat har utsett för uppgiften att övervaka lagringsprocesser för spritdrycker</w:t>
      </w:r>
      <w:r>
        <w:rPr>
          <w:rStyle w:val="FootnoteReference"/>
          <w:rFonts w:ascii="Times New Roman" w:hAnsi="Times New Roman" w:cs="Times New Roman"/>
          <w:noProof/>
          <w:sz w:val="24"/>
          <w:szCs w:val="24"/>
        </w:rPr>
        <w:footnoteReference w:id="3"/>
      </w:r>
      <w:r>
        <w:rPr>
          <w:rStyle w:val="Bodytext1"/>
          <w:rFonts w:ascii="Times New Roman" w:hAnsi="Times New Roman"/>
          <w:noProof/>
          <w:sz w:val="24"/>
        </w:rPr>
        <w:t>.</w:t>
      </w:r>
    </w:p>
    <w:p w14:paraId="038D55A5" w14:textId="5E14F793" w:rsidR="001623A2" w:rsidRDefault="001623A2" w:rsidP="001623A2">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 xml:space="preserve">Båda akterna delgavs Europaparlamentet och rådet för att göra det möjligt för medlagstiftarna att framföra eventuella invändningar inom två månader från delgivningen. Varken Europaparlamentet eller rådet gjorde några invändningar mot någon av de två delegerade förordningarna, som offentliggjordes i </w:t>
      </w:r>
      <w:r>
        <w:rPr>
          <w:rStyle w:val="Bodytext1"/>
          <w:rFonts w:ascii="Times New Roman" w:hAnsi="Times New Roman"/>
          <w:i/>
          <w:iCs/>
          <w:noProof/>
          <w:sz w:val="24"/>
        </w:rPr>
        <w:t>Europeiska unionens officiella tidning</w:t>
      </w:r>
      <w:r>
        <w:rPr>
          <w:rStyle w:val="Bodytext1"/>
          <w:rFonts w:ascii="Times New Roman" w:hAnsi="Times New Roman"/>
          <w:noProof/>
          <w:sz w:val="24"/>
        </w:rPr>
        <w:t xml:space="preserve"> efter utgången av respektive granskningsperiod.</w:t>
      </w:r>
    </w:p>
    <w:p w14:paraId="7E5AA913" w14:textId="0C41EA7A" w:rsidR="001623A2" w:rsidRPr="001623A2" w:rsidRDefault="001623A2" w:rsidP="001623A2">
      <w:pPr>
        <w:pStyle w:val="Heading110"/>
        <w:keepNext/>
        <w:keepLines/>
        <w:numPr>
          <w:ilvl w:val="0"/>
          <w:numId w:val="1"/>
        </w:numPr>
        <w:tabs>
          <w:tab w:val="left" w:pos="552"/>
        </w:tabs>
        <w:jc w:val="both"/>
        <w:rPr>
          <w:rStyle w:val="Heading11"/>
          <w:rFonts w:ascii="Times New Roman" w:hAnsi="Times New Roman" w:cs="Times New Roman"/>
          <w:b/>
          <w:bCs/>
          <w:noProof/>
          <w:sz w:val="24"/>
          <w:szCs w:val="24"/>
        </w:rPr>
      </w:pPr>
      <w:r>
        <w:rPr>
          <w:rStyle w:val="Heading11"/>
          <w:rFonts w:ascii="Times New Roman" w:hAnsi="Times New Roman"/>
          <w:smallCaps/>
          <w:noProof/>
          <w:sz w:val="24"/>
        </w:rPr>
        <w:t>Nuvarande situation</w:t>
      </w:r>
    </w:p>
    <w:p w14:paraId="3CE7C12E" w14:textId="0E4B1977" w:rsidR="000E6959" w:rsidRDefault="000E6959" w:rsidP="000E6959">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De två ovannämnda delegerade förordningarna kompletterar och ändrar förordning (EU) 2019/787 med de regler som är nödvändiga för att denna ska fungera korrekt och ändamålsenligt.</w:t>
      </w:r>
    </w:p>
    <w:p w14:paraId="1F0B0D71" w14:textId="58EE98DD" w:rsidR="000E6959" w:rsidRDefault="000E6959" w:rsidP="000E6959">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Inga svårigheter med tillämpningen och tolkningen av de två ovannämnda delegerade förordningarna uppstod under de tre respektive fyra år som de tillämpades, men det rättsliga, ekonomiska och faktiska sammanhang som är relevant för dessa regler (särskilt de mer tekniska bestämmelserna om definitionen av och kraven för etanol som framställts av jordbruksprodukter) utvecklas kontinuerligt.</w:t>
      </w:r>
    </w:p>
    <w:p w14:paraId="47BEEE81" w14:textId="77777777" w:rsidR="00876397" w:rsidRDefault="000E6959" w:rsidP="00876397">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Även om de andra befogenheter som avses i artiklarna 8.2, 8.3 och 19.1 i lagstiftningsakten inte användes antingen på grund av att det inte fanns något behov eller någon motivering eller på grund av att samrådet med expertgruppen för spritdrycker i enlighet med artikel 46 i spritdrycksförordningen</w:t>
      </w:r>
      <w:r>
        <w:rPr>
          <w:rStyle w:val="BodyPlaceholderText"/>
          <w:rFonts w:ascii="Times New Roman" w:hAnsi="Times New Roman"/>
          <w:noProof/>
          <w:sz w:val="24"/>
        </w:rPr>
        <w:t xml:space="preserve"> </w:t>
      </w:r>
      <w:r>
        <w:rPr>
          <w:rStyle w:val="Bodytext1"/>
          <w:rFonts w:ascii="Times New Roman" w:hAnsi="Times New Roman"/>
          <w:noProof/>
          <w:sz w:val="24"/>
        </w:rPr>
        <w:t>visade att det inte var möjligt att lägga fram ett utkast till förslag på grund av skiljaktiga ståndpunkter/analyser, kan det inte uteslutas att ett sådant behov kan uppstå i framtiden.</w:t>
      </w:r>
    </w:p>
    <w:p w14:paraId="6AF865A9" w14:textId="62CF5A0F" w:rsidR="000E6959" w:rsidRDefault="000E6959" w:rsidP="00876397">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 xml:space="preserve">Av dessa skäl är det tillrådligt att förlänga delegeringen av befogenheter med ytterligare sju år så att kommissionen snabbt kan reagera på eventuella specifika frågor som kan uppstå i detta avseende. </w:t>
      </w:r>
    </w:p>
    <w:p w14:paraId="73B72466" w14:textId="77777777" w:rsidR="004B181D" w:rsidRPr="00F64939" w:rsidRDefault="004B181D" w:rsidP="004B181D">
      <w:pPr>
        <w:pStyle w:val="Heading110"/>
        <w:keepNext/>
        <w:keepLines/>
        <w:numPr>
          <w:ilvl w:val="0"/>
          <w:numId w:val="1"/>
        </w:numPr>
        <w:tabs>
          <w:tab w:val="left" w:pos="557"/>
        </w:tabs>
        <w:jc w:val="both"/>
        <w:rPr>
          <w:rStyle w:val="Heading11"/>
          <w:rFonts w:ascii="Times New Roman" w:hAnsi="Times New Roman" w:cs="Times New Roman"/>
          <w:b/>
          <w:bCs/>
          <w:noProof/>
          <w:sz w:val="24"/>
          <w:szCs w:val="24"/>
        </w:rPr>
      </w:pPr>
      <w:r>
        <w:rPr>
          <w:rStyle w:val="Heading11"/>
          <w:rFonts w:ascii="Times New Roman" w:hAnsi="Times New Roman"/>
          <w:noProof/>
          <w:sz w:val="24"/>
        </w:rPr>
        <w:t>SLUTSATS</w:t>
      </w:r>
    </w:p>
    <w:p w14:paraId="3F85803B" w14:textId="74194E52" w:rsidR="00BC51EE" w:rsidRPr="000E6959" w:rsidRDefault="00F64939" w:rsidP="00876397">
      <w:pPr>
        <w:pStyle w:val="Bodytext10"/>
        <w:ind w:left="567"/>
        <w:jc w:val="both"/>
        <w:rPr>
          <w:noProof/>
        </w:rPr>
      </w:pPr>
      <w:r>
        <w:rPr>
          <w:rStyle w:val="Bodytext1"/>
          <w:rFonts w:ascii="Times New Roman" w:hAnsi="Times New Roman"/>
          <w:noProof/>
          <w:sz w:val="24"/>
        </w:rPr>
        <w:t xml:space="preserve">Under den period som omfattas av denna rapport utövade kommissionen de delegerade befogenheter som den tilldelats genom artiklarna 8.1 och artikel 19.2 i </w:t>
      </w:r>
      <w:r>
        <w:rPr>
          <w:rFonts w:ascii="Times New Roman" w:hAnsi="Times New Roman"/>
          <w:noProof/>
          <w:sz w:val="24"/>
        </w:rPr>
        <w:t>förordning (EU) 2019/787</w:t>
      </w:r>
      <w:r>
        <w:rPr>
          <w:rStyle w:val="Bodytext1"/>
          <w:rFonts w:ascii="Times New Roman" w:hAnsi="Times New Roman"/>
          <w:noProof/>
          <w:sz w:val="24"/>
        </w:rPr>
        <w:t>. Kommissionen uppmanar Europaparlamentet och rådet att ta del av denna rapport.</w:t>
      </w:r>
    </w:p>
    <w:sectPr w:rsidR="00BC51EE" w:rsidRPr="000E6959" w:rsidSect="007F1C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2E71" w14:textId="77777777" w:rsidR="00BD2834" w:rsidRDefault="00BD2834" w:rsidP="004B181D">
      <w:pPr>
        <w:spacing w:after="0" w:line="240" w:lineRule="auto"/>
      </w:pPr>
      <w:r>
        <w:separator/>
      </w:r>
    </w:p>
  </w:endnote>
  <w:endnote w:type="continuationSeparator" w:id="0">
    <w:p w14:paraId="4123EBF1" w14:textId="77777777" w:rsidR="00BD2834" w:rsidRDefault="00BD2834" w:rsidP="004B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DFEB" w14:textId="426B4A77" w:rsidR="007C7CD5" w:rsidRPr="007C7CD5" w:rsidRDefault="007C7CD5" w:rsidP="007C7CD5">
    <w:pPr>
      <w:pStyle w:val="FooterCoverPage"/>
      <w:rPr>
        <w:rFonts w:ascii="Arial" w:hAnsi="Arial" w:cs="Arial"/>
        <w:b/>
        <w:sz w:val="48"/>
      </w:rPr>
    </w:pPr>
    <w:r w:rsidRPr="007C7CD5">
      <w:rPr>
        <w:rFonts w:ascii="Arial" w:hAnsi="Arial" w:cs="Arial"/>
        <w:b/>
        <w:sz w:val="48"/>
      </w:rPr>
      <w:t>SV</w:t>
    </w:r>
    <w:r w:rsidRPr="007C7CD5">
      <w:rPr>
        <w:rFonts w:ascii="Arial" w:hAnsi="Arial" w:cs="Arial"/>
        <w:b/>
        <w:sz w:val="48"/>
      </w:rPr>
      <w:tab/>
    </w:r>
    <w:r w:rsidRPr="007C7CD5">
      <w:rPr>
        <w:rFonts w:ascii="Arial" w:hAnsi="Arial" w:cs="Arial"/>
        <w:b/>
        <w:sz w:val="48"/>
      </w:rPr>
      <w:tab/>
    </w:r>
    <w:r w:rsidRPr="007C7CD5">
      <w:tab/>
    </w:r>
    <w:r w:rsidRPr="007C7CD5">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3C0D" w14:textId="5C30C79A" w:rsidR="007C7CD5" w:rsidRPr="007C7CD5" w:rsidRDefault="007C7CD5" w:rsidP="007C7CD5">
    <w:pPr>
      <w:pStyle w:val="FooterCoverPage"/>
      <w:rPr>
        <w:rFonts w:ascii="Arial" w:hAnsi="Arial" w:cs="Arial"/>
        <w:b/>
        <w:sz w:val="48"/>
      </w:rPr>
    </w:pPr>
    <w:r w:rsidRPr="007C7CD5">
      <w:rPr>
        <w:rFonts w:ascii="Arial" w:hAnsi="Arial" w:cs="Arial"/>
        <w:b/>
        <w:sz w:val="48"/>
      </w:rPr>
      <w:t>SV</w:t>
    </w:r>
    <w:r w:rsidRPr="007C7CD5">
      <w:rPr>
        <w:rFonts w:ascii="Arial" w:hAnsi="Arial" w:cs="Arial"/>
        <w:b/>
        <w:sz w:val="48"/>
      </w:rPr>
      <w:tab/>
    </w:r>
    <w:r w:rsidRPr="007C7CD5">
      <w:rPr>
        <w:rFonts w:ascii="Arial" w:hAnsi="Arial" w:cs="Arial"/>
        <w:b/>
        <w:sz w:val="48"/>
      </w:rPr>
      <w:tab/>
    </w:r>
    <w:r w:rsidRPr="007C7CD5">
      <w:tab/>
    </w:r>
    <w:r w:rsidRPr="007C7CD5">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2956" w14:textId="77777777" w:rsidR="007C7CD5" w:rsidRPr="007C7CD5" w:rsidRDefault="007C7CD5" w:rsidP="007C7CD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8662" w14:textId="77777777" w:rsidR="007F1C63" w:rsidRDefault="007F1C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3CB6" w14:textId="3D22E733" w:rsidR="00F704C0" w:rsidRPr="00F704C0" w:rsidRDefault="00F704C0">
    <w:pPr>
      <w:pStyle w:val="Footer"/>
      <w:jc w:val="center"/>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C7CD5">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545C194" w14:textId="77777777" w:rsidR="007F1C63" w:rsidRDefault="007F1C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3F9C" w14:textId="77777777" w:rsidR="007F1C63" w:rsidRDefault="007F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AB21" w14:textId="77777777" w:rsidR="00BD2834" w:rsidRDefault="00BD2834" w:rsidP="004B181D">
      <w:pPr>
        <w:spacing w:after="0" w:line="240" w:lineRule="auto"/>
      </w:pPr>
      <w:r>
        <w:separator/>
      </w:r>
    </w:p>
  </w:footnote>
  <w:footnote w:type="continuationSeparator" w:id="0">
    <w:p w14:paraId="17695969" w14:textId="77777777" w:rsidR="00BD2834" w:rsidRDefault="00BD2834" w:rsidP="004B181D">
      <w:pPr>
        <w:spacing w:after="0" w:line="240" w:lineRule="auto"/>
      </w:pPr>
      <w:r>
        <w:continuationSeparator/>
      </w:r>
    </w:p>
  </w:footnote>
  <w:footnote w:id="1">
    <w:p w14:paraId="77C09C5B" w14:textId="77777777" w:rsidR="009B08C7" w:rsidRDefault="009B08C7" w:rsidP="00BC472B">
      <w:pPr>
        <w:pStyle w:val="title-bold"/>
        <w:shd w:val="clear" w:color="auto" w:fill="FFFFFF"/>
        <w:spacing w:after="0"/>
        <w:ind w:left="709" w:hanging="567"/>
        <w:jc w:val="both"/>
        <w:rPr>
          <w:rStyle w:val="Emphasis"/>
          <w:color w:val="333333"/>
          <w:sz w:val="20"/>
          <w:szCs w:val="20"/>
        </w:rPr>
      </w:pPr>
      <w:r>
        <w:rPr>
          <w:rStyle w:val="FootnoteReference"/>
          <w:sz w:val="20"/>
          <w:szCs w:val="20"/>
        </w:rPr>
        <w:footnoteRef/>
      </w:r>
      <w:r>
        <w:rPr>
          <w:sz w:val="20"/>
        </w:rPr>
        <w:tab/>
        <w:t xml:space="preserve">Europaparlamentets och rådets förordning (EU) 2019/787 av den 17 april 2019 om definition, beskrivning, presentation och märkning av spritdrycker, användning av namn på spritdrycker i presentationen och märkningen av andra livsmedel, skydd av geografiska beteckningar för spritdrycker, användning av jordbruksalkohol och destillat av jordbruksprodukter i alkoholhaltiga drycker samt om upphävande av förordning (EG) nr 110/2008 (EUT L 130, 17.5.2019, s. 1) </w:t>
      </w:r>
      <w:hyperlink r:id="rId1" w:history="1">
        <w:r>
          <w:rPr>
            <w:rStyle w:val="Hyperlink"/>
            <w:sz w:val="20"/>
          </w:rPr>
          <w:t>https://eur-lex.europa.eu/eli/reg/2019/787/oj</w:t>
        </w:r>
      </w:hyperlink>
      <w:r>
        <w:rPr>
          <w:sz w:val="20"/>
        </w:rPr>
        <w:t>.</w:t>
      </w:r>
    </w:p>
    <w:p w14:paraId="333B4945" w14:textId="77777777" w:rsidR="009B08C7" w:rsidRPr="00E97588" w:rsidRDefault="009B08C7" w:rsidP="009B08C7">
      <w:pPr>
        <w:pStyle w:val="title-bold"/>
        <w:shd w:val="clear" w:color="auto" w:fill="FFFFFF"/>
        <w:spacing w:after="0"/>
        <w:jc w:val="both"/>
        <w:rPr>
          <w:color w:val="333333"/>
          <w:sz w:val="20"/>
          <w:szCs w:val="20"/>
        </w:rPr>
      </w:pPr>
    </w:p>
  </w:footnote>
  <w:footnote w:id="2">
    <w:p w14:paraId="511D1581" w14:textId="77777777" w:rsidR="001623A2" w:rsidRPr="002207C1" w:rsidRDefault="001623A2" w:rsidP="00BC472B">
      <w:pPr>
        <w:pStyle w:val="FootnoteText"/>
        <w:ind w:left="709" w:hanging="567"/>
        <w:jc w:val="both"/>
      </w:pPr>
      <w:r>
        <w:rPr>
          <w:rStyle w:val="FootnoteReference"/>
        </w:rPr>
        <w:footnoteRef/>
      </w:r>
      <w:r>
        <w:tab/>
        <w:t xml:space="preserve">Kommissionens delegerade förordning (EU) 2022/1303 av den 25 april 2022 om ändring av Europaparlamentets och rådets förordning (EU) 2019/787 vad gäller definitionen av och kraven på jordbruksalkohol (EUT L 197, 26.7.2022, s. 71) </w:t>
      </w:r>
      <w:hyperlink r:id="rId2" w:tooltip="Ger åtkomst till dokumentet via dess ELI-adress." w:history="1">
        <w:r>
          <w:rPr>
            <w:rStyle w:val="Hyperlink"/>
          </w:rPr>
          <w:t>http://data.europa.eu/eli/reg_del/2022/1303/oj</w:t>
        </w:r>
      </w:hyperlink>
      <w:r>
        <w:t>.</w:t>
      </w:r>
    </w:p>
  </w:footnote>
  <w:footnote w:id="3">
    <w:p w14:paraId="4DA26115" w14:textId="77777777" w:rsidR="00705AE1" w:rsidRPr="001623A2" w:rsidRDefault="00705AE1" w:rsidP="00BC472B">
      <w:pPr>
        <w:pStyle w:val="FootnoteText"/>
        <w:ind w:left="709" w:hanging="567"/>
        <w:jc w:val="both"/>
      </w:pPr>
      <w:r>
        <w:rPr>
          <w:rStyle w:val="FootnoteReference"/>
        </w:rPr>
        <w:footnoteRef/>
      </w:r>
      <w:r>
        <w:tab/>
        <w:t xml:space="preserve">Kommissionens delegerade förordning (EU) 2021/723  av den 26 februari 2021 om komplettering av Europaparlamentets och rådets förordning (EU) 2019/787 vad gäller upprättandet av ett offentligt register över de organ som respektive medlemsstat har utsett för uppgiften att övervaka lagringsprocesser för spritdrycker (EUT L 155, 5.5.2021, s. 1) </w:t>
      </w:r>
      <w:hyperlink r:id="rId3" w:tooltip="Ger åtkomst till dokumentet via dess ELI-adress." w:history="1">
        <w:r>
          <w:rPr>
            <w:rStyle w:val="Hyperlink"/>
          </w:rPr>
          <w:t>http://data.europa.eu/eli/reg_del/2021/723/oj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AFB6" w14:textId="77777777" w:rsidR="007C7CD5" w:rsidRPr="007C7CD5" w:rsidRDefault="007C7CD5" w:rsidP="007C7CD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88AA" w14:textId="77777777" w:rsidR="007C7CD5" w:rsidRPr="007C7CD5" w:rsidRDefault="007C7CD5" w:rsidP="007C7CD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1312" w14:textId="77777777" w:rsidR="007C7CD5" w:rsidRPr="007C7CD5" w:rsidRDefault="007C7CD5" w:rsidP="007C7CD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7659" w14:textId="77777777" w:rsidR="007F1C63" w:rsidRDefault="007F1C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E87C" w14:textId="77777777" w:rsidR="007F1C63" w:rsidRDefault="007F1C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AA1B" w14:textId="77777777" w:rsidR="007F1C63" w:rsidRDefault="007F1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60F"/>
    <w:multiLevelType w:val="hybridMultilevel"/>
    <w:tmpl w:val="24F08FEA"/>
    <w:lvl w:ilvl="0" w:tplc="4E102B94">
      <w:start w:val="1"/>
      <w:numFmt w:val="decimal"/>
      <w:lvlText w:val="%1)"/>
      <w:lvlJc w:val="left"/>
      <w:pPr>
        <w:ind w:left="940" w:hanging="360"/>
      </w:pPr>
      <w:rPr>
        <w:rFonts w:hint="default"/>
      </w:rPr>
    </w:lvl>
    <w:lvl w:ilvl="1" w:tplc="18090019" w:tentative="1">
      <w:start w:val="1"/>
      <w:numFmt w:val="lowerLetter"/>
      <w:lvlText w:val="%2."/>
      <w:lvlJc w:val="left"/>
      <w:pPr>
        <w:ind w:left="1660" w:hanging="360"/>
      </w:pPr>
    </w:lvl>
    <w:lvl w:ilvl="2" w:tplc="1809001B" w:tentative="1">
      <w:start w:val="1"/>
      <w:numFmt w:val="lowerRoman"/>
      <w:lvlText w:val="%3."/>
      <w:lvlJc w:val="right"/>
      <w:pPr>
        <w:ind w:left="2380" w:hanging="180"/>
      </w:pPr>
    </w:lvl>
    <w:lvl w:ilvl="3" w:tplc="1809000F" w:tentative="1">
      <w:start w:val="1"/>
      <w:numFmt w:val="decimal"/>
      <w:lvlText w:val="%4."/>
      <w:lvlJc w:val="left"/>
      <w:pPr>
        <w:ind w:left="3100" w:hanging="360"/>
      </w:pPr>
    </w:lvl>
    <w:lvl w:ilvl="4" w:tplc="18090019" w:tentative="1">
      <w:start w:val="1"/>
      <w:numFmt w:val="lowerLetter"/>
      <w:lvlText w:val="%5."/>
      <w:lvlJc w:val="left"/>
      <w:pPr>
        <w:ind w:left="3820" w:hanging="360"/>
      </w:pPr>
    </w:lvl>
    <w:lvl w:ilvl="5" w:tplc="1809001B" w:tentative="1">
      <w:start w:val="1"/>
      <w:numFmt w:val="lowerRoman"/>
      <w:lvlText w:val="%6."/>
      <w:lvlJc w:val="right"/>
      <w:pPr>
        <w:ind w:left="4540" w:hanging="180"/>
      </w:pPr>
    </w:lvl>
    <w:lvl w:ilvl="6" w:tplc="1809000F" w:tentative="1">
      <w:start w:val="1"/>
      <w:numFmt w:val="decimal"/>
      <w:lvlText w:val="%7."/>
      <w:lvlJc w:val="left"/>
      <w:pPr>
        <w:ind w:left="5260" w:hanging="360"/>
      </w:pPr>
    </w:lvl>
    <w:lvl w:ilvl="7" w:tplc="18090019" w:tentative="1">
      <w:start w:val="1"/>
      <w:numFmt w:val="lowerLetter"/>
      <w:lvlText w:val="%8."/>
      <w:lvlJc w:val="left"/>
      <w:pPr>
        <w:ind w:left="5980" w:hanging="360"/>
      </w:pPr>
    </w:lvl>
    <w:lvl w:ilvl="8" w:tplc="1809001B" w:tentative="1">
      <w:start w:val="1"/>
      <w:numFmt w:val="lowerRoman"/>
      <w:lvlText w:val="%9."/>
      <w:lvlJc w:val="right"/>
      <w:pPr>
        <w:ind w:left="6700" w:hanging="180"/>
      </w:pPr>
    </w:lvl>
  </w:abstractNum>
  <w:abstractNum w:abstractNumId="1" w15:restartNumberingAfterBreak="0">
    <w:nsid w:val="11285974"/>
    <w:multiLevelType w:val="hybridMultilevel"/>
    <w:tmpl w:val="8F60BE82"/>
    <w:lvl w:ilvl="0" w:tplc="2A9628D4">
      <w:start w:val="1"/>
      <w:numFmt w:val="lowerLetter"/>
      <w:lvlText w:val="%1)"/>
      <w:lvlJc w:val="left"/>
      <w:pPr>
        <w:ind w:left="1300" w:hanging="360"/>
      </w:pPr>
      <w:rPr>
        <w:rFont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2" w15:restartNumberingAfterBreak="0">
    <w:nsid w:val="2F58072F"/>
    <w:multiLevelType w:val="hybridMultilevel"/>
    <w:tmpl w:val="91469B5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D255B9"/>
    <w:multiLevelType w:val="hybridMultilevel"/>
    <w:tmpl w:val="E5F47766"/>
    <w:lvl w:ilvl="0" w:tplc="254C2E6A">
      <w:start w:val="4"/>
      <w:numFmt w:val="bullet"/>
      <w:lvlText w:val="-"/>
      <w:lvlJc w:val="left"/>
      <w:pPr>
        <w:ind w:left="940" w:hanging="360"/>
      </w:pPr>
      <w:rPr>
        <w:rFonts w:ascii="Times New Roman" w:eastAsiaTheme="minorHAnsi" w:hAnsi="Times New Roman" w:cs="Times New Roman"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4" w15:restartNumberingAfterBreak="0">
    <w:nsid w:val="4C7D2AAA"/>
    <w:multiLevelType w:val="hybridMultilevel"/>
    <w:tmpl w:val="DA3A7832"/>
    <w:lvl w:ilvl="0" w:tplc="18090017">
      <w:start w:val="1"/>
      <w:numFmt w:val="lowerLetter"/>
      <w:lvlText w:val="%1)"/>
      <w:lvlJc w:val="left"/>
      <w:pPr>
        <w:ind w:left="2265" w:hanging="360"/>
      </w:pPr>
    </w:lvl>
    <w:lvl w:ilvl="1" w:tplc="18090019" w:tentative="1">
      <w:start w:val="1"/>
      <w:numFmt w:val="lowerLetter"/>
      <w:lvlText w:val="%2."/>
      <w:lvlJc w:val="left"/>
      <w:pPr>
        <w:ind w:left="2985" w:hanging="360"/>
      </w:pPr>
    </w:lvl>
    <w:lvl w:ilvl="2" w:tplc="1809001B" w:tentative="1">
      <w:start w:val="1"/>
      <w:numFmt w:val="lowerRoman"/>
      <w:lvlText w:val="%3."/>
      <w:lvlJc w:val="right"/>
      <w:pPr>
        <w:ind w:left="3705" w:hanging="180"/>
      </w:pPr>
    </w:lvl>
    <w:lvl w:ilvl="3" w:tplc="1809000F" w:tentative="1">
      <w:start w:val="1"/>
      <w:numFmt w:val="decimal"/>
      <w:lvlText w:val="%4."/>
      <w:lvlJc w:val="left"/>
      <w:pPr>
        <w:ind w:left="4425" w:hanging="360"/>
      </w:pPr>
    </w:lvl>
    <w:lvl w:ilvl="4" w:tplc="18090019" w:tentative="1">
      <w:start w:val="1"/>
      <w:numFmt w:val="lowerLetter"/>
      <w:lvlText w:val="%5."/>
      <w:lvlJc w:val="left"/>
      <w:pPr>
        <w:ind w:left="5145" w:hanging="360"/>
      </w:pPr>
    </w:lvl>
    <w:lvl w:ilvl="5" w:tplc="1809001B" w:tentative="1">
      <w:start w:val="1"/>
      <w:numFmt w:val="lowerRoman"/>
      <w:lvlText w:val="%6."/>
      <w:lvlJc w:val="right"/>
      <w:pPr>
        <w:ind w:left="5865" w:hanging="180"/>
      </w:pPr>
    </w:lvl>
    <w:lvl w:ilvl="6" w:tplc="1809000F" w:tentative="1">
      <w:start w:val="1"/>
      <w:numFmt w:val="decimal"/>
      <w:lvlText w:val="%7."/>
      <w:lvlJc w:val="left"/>
      <w:pPr>
        <w:ind w:left="6585" w:hanging="360"/>
      </w:pPr>
    </w:lvl>
    <w:lvl w:ilvl="7" w:tplc="18090019" w:tentative="1">
      <w:start w:val="1"/>
      <w:numFmt w:val="lowerLetter"/>
      <w:lvlText w:val="%8."/>
      <w:lvlJc w:val="left"/>
      <w:pPr>
        <w:ind w:left="7305" w:hanging="360"/>
      </w:pPr>
    </w:lvl>
    <w:lvl w:ilvl="8" w:tplc="1809001B" w:tentative="1">
      <w:start w:val="1"/>
      <w:numFmt w:val="lowerRoman"/>
      <w:lvlText w:val="%9."/>
      <w:lvlJc w:val="right"/>
      <w:pPr>
        <w:ind w:left="8025" w:hanging="180"/>
      </w:pPr>
    </w:lvl>
  </w:abstractNum>
  <w:abstractNum w:abstractNumId="5" w15:restartNumberingAfterBreak="0">
    <w:nsid w:val="527E6BAE"/>
    <w:multiLevelType w:val="hybridMultilevel"/>
    <w:tmpl w:val="5EA2F92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B72016"/>
    <w:multiLevelType w:val="hybridMultilevel"/>
    <w:tmpl w:val="5378B5A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A9A19A9"/>
    <w:multiLevelType w:val="hybridMultilevel"/>
    <w:tmpl w:val="C434AECA"/>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8" w15:restartNumberingAfterBreak="0">
    <w:nsid w:val="5B145B3C"/>
    <w:multiLevelType w:val="hybridMultilevel"/>
    <w:tmpl w:val="B4746C0E"/>
    <w:lvl w:ilvl="0" w:tplc="D99A7472">
      <w:start w:val="1"/>
      <w:numFmt w:val="lowerLetter"/>
      <w:lvlText w:val="(%1)"/>
      <w:lvlJc w:val="left"/>
      <w:pPr>
        <w:ind w:left="1300" w:hanging="360"/>
      </w:pPr>
      <w:rPr>
        <w:rFont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9" w15:restartNumberingAfterBreak="0">
    <w:nsid w:val="5CB96490"/>
    <w:multiLevelType w:val="hybridMultilevel"/>
    <w:tmpl w:val="1BD65232"/>
    <w:lvl w:ilvl="0" w:tplc="64D84764">
      <w:start w:val="1"/>
      <w:numFmt w:val="lowerLetter"/>
      <w:lvlText w:val="%1)"/>
      <w:lvlJc w:val="left"/>
      <w:pPr>
        <w:ind w:left="940" w:hanging="360"/>
      </w:pPr>
      <w:rPr>
        <w:rFonts w:hint="default"/>
      </w:rPr>
    </w:lvl>
    <w:lvl w:ilvl="1" w:tplc="18090019" w:tentative="1">
      <w:start w:val="1"/>
      <w:numFmt w:val="lowerLetter"/>
      <w:lvlText w:val="%2."/>
      <w:lvlJc w:val="left"/>
      <w:pPr>
        <w:ind w:left="1660" w:hanging="360"/>
      </w:pPr>
    </w:lvl>
    <w:lvl w:ilvl="2" w:tplc="1809001B" w:tentative="1">
      <w:start w:val="1"/>
      <w:numFmt w:val="lowerRoman"/>
      <w:lvlText w:val="%3."/>
      <w:lvlJc w:val="right"/>
      <w:pPr>
        <w:ind w:left="2380" w:hanging="180"/>
      </w:pPr>
    </w:lvl>
    <w:lvl w:ilvl="3" w:tplc="1809000F" w:tentative="1">
      <w:start w:val="1"/>
      <w:numFmt w:val="decimal"/>
      <w:lvlText w:val="%4."/>
      <w:lvlJc w:val="left"/>
      <w:pPr>
        <w:ind w:left="3100" w:hanging="360"/>
      </w:pPr>
    </w:lvl>
    <w:lvl w:ilvl="4" w:tplc="18090019" w:tentative="1">
      <w:start w:val="1"/>
      <w:numFmt w:val="lowerLetter"/>
      <w:lvlText w:val="%5."/>
      <w:lvlJc w:val="left"/>
      <w:pPr>
        <w:ind w:left="3820" w:hanging="360"/>
      </w:pPr>
    </w:lvl>
    <w:lvl w:ilvl="5" w:tplc="1809001B" w:tentative="1">
      <w:start w:val="1"/>
      <w:numFmt w:val="lowerRoman"/>
      <w:lvlText w:val="%6."/>
      <w:lvlJc w:val="right"/>
      <w:pPr>
        <w:ind w:left="4540" w:hanging="180"/>
      </w:pPr>
    </w:lvl>
    <w:lvl w:ilvl="6" w:tplc="1809000F" w:tentative="1">
      <w:start w:val="1"/>
      <w:numFmt w:val="decimal"/>
      <w:lvlText w:val="%7."/>
      <w:lvlJc w:val="left"/>
      <w:pPr>
        <w:ind w:left="5260" w:hanging="360"/>
      </w:pPr>
    </w:lvl>
    <w:lvl w:ilvl="7" w:tplc="18090019" w:tentative="1">
      <w:start w:val="1"/>
      <w:numFmt w:val="lowerLetter"/>
      <w:lvlText w:val="%8."/>
      <w:lvlJc w:val="left"/>
      <w:pPr>
        <w:ind w:left="5980" w:hanging="360"/>
      </w:pPr>
    </w:lvl>
    <w:lvl w:ilvl="8" w:tplc="1809001B" w:tentative="1">
      <w:start w:val="1"/>
      <w:numFmt w:val="lowerRoman"/>
      <w:lvlText w:val="%9."/>
      <w:lvlJc w:val="right"/>
      <w:pPr>
        <w:ind w:left="6700" w:hanging="180"/>
      </w:pPr>
    </w:lvl>
  </w:abstractNum>
  <w:abstractNum w:abstractNumId="10" w15:restartNumberingAfterBreak="0">
    <w:nsid w:val="6DAD4244"/>
    <w:multiLevelType w:val="multilevel"/>
    <w:tmpl w:val="DC8ED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9"/>
  </w:num>
  <w:num w:numId="5">
    <w:abstractNumId w:val="4"/>
  </w:num>
  <w:num w:numId="6">
    <w:abstractNumId w:val="6"/>
  </w:num>
  <w:num w:numId="7">
    <w:abstractNumId w:val="7"/>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EAAF9B0-E55E-476D-82A0-69851EE86EB9"/>
    <w:docVar w:name="LW_COVERPAGE_TYPE" w:val="1"/>
    <w:docVar w:name="LW_CROSSREFERENCE" w:val="&lt;UNUSED&gt;"/>
    <w:docVar w:name="LW_DocType" w:val="NORMAL"/>
    <w:docVar w:name="LW_EMISSION" w:val="28.5.2025"/>
    <w:docVar w:name="LW_EMISSION_ISODATE" w:val="2025-05-28"/>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5) 2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utövandet av den befogenhet att anta delegerade akter som tilldelats _x000d_kommissionen enligt artikel 46.2 i Europaparlamentets och rådets förordning (EU) 2019/787 av den 17 april 2019 om definition, beskrivning, presentation och märkning av spritdrycker, användning av namn på spritdrycker i presentationen och märkningen av andra livsmedel, skydd av geografiska beteckningar för spritdrycker, användning av jordbruksalkohol och destillat av jordbruksprodukter i alkoholhaltiga drycker samt om upphävande av förordning (EG) nr 110/2008_x000d__x000d__x000d__x000d__x000d__x000b_"/>
    <w:docVar w:name="LW_TYPE.DOC.CP" w:val="RAPPORT FRÅN KOMMISSIONEN TILL EUROPAPARLAMENTET OCH RÅDET"/>
    <w:docVar w:name="LwApiVersions" w:val="LW4CoDe 1.24.5.0; LW 9.0, Build 20240221"/>
  </w:docVars>
  <w:rsids>
    <w:rsidRoot w:val="004B181D"/>
    <w:rsid w:val="000020A7"/>
    <w:rsid w:val="000117A1"/>
    <w:rsid w:val="00052D6C"/>
    <w:rsid w:val="00055B27"/>
    <w:rsid w:val="0005795A"/>
    <w:rsid w:val="000669D9"/>
    <w:rsid w:val="000D2F48"/>
    <w:rsid w:val="000E00ED"/>
    <w:rsid w:val="000E6959"/>
    <w:rsid w:val="001015FA"/>
    <w:rsid w:val="001459E0"/>
    <w:rsid w:val="001623A2"/>
    <w:rsid w:val="001A382C"/>
    <w:rsid w:val="001D1B50"/>
    <w:rsid w:val="001F548E"/>
    <w:rsid w:val="002207C1"/>
    <w:rsid w:val="002B20C5"/>
    <w:rsid w:val="00313BC6"/>
    <w:rsid w:val="00313E09"/>
    <w:rsid w:val="00316507"/>
    <w:rsid w:val="003474A6"/>
    <w:rsid w:val="003752CD"/>
    <w:rsid w:val="003934B9"/>
    <w:rsid w:val="003A2BA6"/>
    <w:rsid w:val="003A4439"/>
    <w:rsid w:val="003A5CC5"/>
    <w:rsid w:val="003F4BD8"/>
    <w:rsid w:val="0041305B"/>
    <w:rsid w:val="00455614"/>
    <w:rsid w:val="004A6981"/>
    <w:rsid w:val="004B181D"/>
    <w:rsid w:val="004B618A"/>
    <w:rsid w:val="004D3F92"/>
    <w:rsid w:val="004E2C9B"/>
    <w:rsid w:val="004F56AA"/>
    <w:rsid w:val="00515950"/>
    <w:rsid w:val="0055061D"/>
    <w:rsid w:val="00564F70"/>
    <w:rsid w:val="00585F9B"/>
    <w:rsid w:val="005A377D"/>
    <w:rsid w:val="005E2AB0"/>
    <w:rsid w:val="005F7EC0"/>
    <w:rsid w:val="006451C5"/>
    <w:rsid w:val="006B3139"/>
    <w:rsid w:val="00705AE1"/>
    <w:rsid w:val="0071428A"/>
    <w:rsid w:val="00756320"/>
    <w:rsid w:val="007625AB"/>
    <w:rsid w:val="00772366"/>
    <w:rsid w:val="007939C6"/>
    <w:rsid w:val="007C7CD5"/>
    <w:rsid w:val="007D2068"/>
    <w:rsid w:val="007D2AE5"/>
    <w:rsid w:val="007F1C63"/>
    <w:rsid w:val="0080294A"/>
    <w:rsid w:val="008351A6"/>
    <w:rsid w:val="00876397"/>
    <w:rsid w:val="008A119E"/>
    <w:rsid w:val="008E440B"/>
    <w:rsid w:val="008E5983"/>
    <w:rsid w:val="008F36AF"/>
    <w:rsid w:val="0093406A"/>
    <w:rsid w:val="009577DC"/>
    <w:rsid w:val="009602CE"/>
    <w:rsid w:val="00990AF1"/>
    <w:rsid w:val="009A1D1E"/>
    <w:rsid w:val="009B08C7"/>
    <w:rsid w:val="009B45C3"/>
    <w:rsid w:val="009F2D01"/>
    <w:rsid w:val="00A16C25"/>
    <w:rsid w:val="00A42F52"/>
    <w:rsid w:val="00AA48F5"/>
    <w:rsid w:val="00AB37E6"/>
    <w:rsid w:val="00B01494"/>
    <w:rsid w:val="00B23542"/>
    <w:rsid w:val="00B51492"/>
    <w:rsid w:val="00B6233D"/>
    <w:rsid w:val="00B70ABA"/>
    <w:rsid w:val="00B8286E"/>
    <w:rsid w:val="00BA0E0E"/>
    <w:rsid w:val="00BA0EA3"/>
    <w:rsid w:val="00BA607F"/>
    <w:rsid w:val="00BB25E8"/>
    <w:rsid w:val="00BC472B"/>
    <w:rsid w:val="00BC51EE"/>
    <w:rsid w:val="00BD2834"/>
    <w:rsid w:val="00C10D64"/>
    <w:rsid w:val="00C438B7"/>
    <w:rsid w:val="00C91F8C"/>
    <w:rsid w:val="00CB3B19"/>
    <w:rsid w:val="00D576FE"/>
    <w:rsid w:val="00D75A25"/>
    <w:rsid w:val="00DA379A"/>
    <w:rsid w:val="00DA487F"/>
    <w:rsid w:val="00DC23C0"/>
    <w:rsid w:val="00DC278D"/>
    <w:rsid w:val="00DF4CA6"/>
    <w:rsid w:val="00E02414"/>
    <w:rsid w:val="00E162B9"/>
    <w:rsid w:val="00E20353"/>
    <w:rsid w:val="00E20F34"/>
    <w:rsid w:val="00E46FFC"/>
    <w:rsid w:val="00E56ED6"/>
    <w:rsid w:val="00E755AD"/>
    <w:rsid w:val="00E8421E"/>
    <w:rsid w:val="00E93E2B"/>
    <w:rsid w:val="00E97588"/>
    <w:rsid w:val="00EC1987"/>
    <w:rsid w:val="00ED16DC"/>
    <w:rsid w:val="00ED1CEB"/>
    <w:rsid w:val="00F25223"/>
    <w:rsid w:val="00F64939"/>
    <w:rsid w:val="00F704C0"/>
    <w:rsid w:val="00F95511"/>
    <w:rsid w:val="00FB21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C6BD01"/>
  <w15:chartTrackingRefBased/>
  <w15:docId w15:val="{8D0C2779-6F72-4546-B099-819FA6F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1D"/>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4B181D"/>
  </w:style>
  <w:style w:type="character" w:customStyle="1" w:styleId="Heading11">
    <w:name w:val="Heading #1|1_"/>
    <w:basedOn w:val="DefaultParagraphFont"/>
    <w:link w:val="Heading110"/>
    <w:rsid w:val="004B181D"/>
    <w:rPr>
      <w:b/>
      <w:bCs/>
      <w:sz w:val="19"/>
      <w:szCs w:val="19"/>
    </w:rPr>
  </w:style>
  <w:style w:type="paragraph" w:customStyle="1" w:styleId="Bodytext10">
    <w:name w:val="Body text|1"/>
    <w:basedOn w:val="Normal"/>
    <w:link w:val="Bodytext1"/>
    <w:rsid w:val="004B181D"/>
    <w:pPr>
      <w:widowControl w:val="0"/>
      <w:spacing w:after="260" w:line="240" w:lineRule="auto"/>
    </w:pPr>
    <w:rPr>
      <w:kern w:val="2"/>
      <w14:ligatures w14:val="standardContextual"/>
    </w:rPr>
  </w:style>
  <w:style w:type="paragraph" w:customStyle="1" w:styleId="Heading110">
    <w:name w:val="Heading #1|1"/>
    <w:basedOn w:val="Normal"/>
    <w:link w:val="Heading11"/>
    <w:rsid w:val="004B181D"/>
    <w:pPr>
      <w:widowControl w:val="0"/>
      <w:spacing w:after="260" w:line="240" w:lineRule="auto"/>
      <w:outlineLvl w:val="0"/>
    </w:pPr>
    <w:rPr>
      <w:b/>
      <w:bCs/>
      <w:kern w:val="2"/>
      <w:sz w:val="19"/>
      <w:szCs w:val="19"/>
      <w14:ligatures w14:val="standardContextual"/>
    </w:rPr>
  </w:style>
  <w:style w:type="character" w:styleId="Emphasis">
    <w:name w:val="Emphasis"/>
    <w:basedOn w:val="DefaultParagraphFont"/>
    <w:uiPriority w:val="20"/>
    <w:qFormat/>
    <w:rsid w:val="004B181D"/>
    <w:rPr>
      <w:i/>
      <w:iCs/>
    </w:rPr>
  </w:style>
  <w:style w:type="paragraph" w:styleId="FootnoteText">
    <w:name w:val="footnote text"/>
    <w:basedOn w:val="Normal"/>
    <w:link w:val="FootnoteTextChar"/>
    <w:uiPriority w:val="99"/>
    <w:semiHidden/>
    <w:unhideWhenUsed/>
    <w:rsid w:val="004B181D"/>
    <w:pPr>
      <w:widowControl w:val="0"/>
      <w:spacing w:after="0" w:line="240" w:lineRule="auto"/>
    </w:pPr>
    <w:rPr>
      <w:rFonts w:ascii="Times New Roman" w:eastAsia="Times New Roman" w:hAnsi="Times New Roman" w:cs="Times New Roman"/>
      <w:color w:val="000000"/>
      <w:sz w:val="20"/>
      <w:szCs w:val="20"/>
      <w:lang w:eastAsia="hr-HR" w:bidi="hr-HR"/>
    </w:rPr>
  </w:style>
  <w:style w:type="character" w:customStyle="1" w:styleId="FootnoteTextChar">
    <w:name w:val="Footnote Text Char"/>
    <w:basedOn w:val="DefaultParagraphFont"/>
    <w:link w:val="FootnoteText"/>
    <w:uiPriority w:val="99"/>
    <w:semiHidden/>
    <w:rsid w:val="004B181D"/>
    <w:rPr>
      <w:rFonts w:ascii="Times New Roman" w:eastAsia="Times New Roman" w:hAnsi="Times New Roman" w:cs="Times New Roman"/>
      <w:color w:val="000000"/>
      <w:kern w:val="0"/>
      <w:sz w:val="20"/>
      <w:szCs w:val="20"/>
      <w:lang w:val="sv-SE" w:eastAsia="hr-HR" w:bidi="hr-HR"/>
      <w14:ligatures w14:val="none"/>
    </w:rPr>
  </w:style>
  <w:style w:type="character" w:styleId="FootnoteReference">
    <w:name w:val="footnote reference"/>
    <w:basedOn w:val="DefaultParagraphFont"/>
    <w:uiPriority w:val="99"/>
    <w:semiHidden/>
    <w:unhideWhenUsed/>
    <w:rsid w:val="004B181D"/>
    <w:rPr>
      <w:vertAlign w:val="superscript"/>
    </w:rPr>
  </w:style>
  <w:style w:type="paragraph" w:customStyle="1" w:styleId="title-bold">
    <w:name w:val="title-bold"/>
    <w:basedOn w:val="Normal"/>
    <w:rsid w:val="004B181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arker">
    <w:name w:val="Marker"/>
    <w:basedOn w:val="DefaultParagraphFont"/>
    <w:rsid w:val="007F1C63"/>
    <w:rPr>
      <w:color w:val="0000FF"/>
      <w:shd w:val="clear" w:color="auto" w:fill="auto"/>
    </w:rPr>
  </w:style>
  <w:style w:type="paragraph" w:styleId="Header">
    <w:name w:val="header"/>
    <w:basedOn w:val="Normal"/>
    <w:link w:val="HeaderChar"/>
    <w:uiPriority w:val="99"/>
    <w:unhideWhenUsed/>
    <w:rsid w:val="007F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63"/>
    <w:rPr>
      <w:kern w:val="0"/>
      <w:lang w:val="sv-SE"/>
      <w14:ligatures w14:val="none"/>
    </w:rPr>
  </w:style>
  <w:style w:type="paragraph" w:styleId="Footer">
    <w:name w:val="footer"/>
    <w:basedOn w:val="Normal"/>
    <w:link w:val="FooterChar"/>
    <w:uiPriority w:val="99"/>
    <w:unhideWhenUsed/>
    <w:rsid w:val="007F1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63"/>
    <w:rPr>
      <w:kern w:val="0"/>
      <w:lang w:val="sv-SE"/>
      <w14:ligatures w14:val="none"/>
    </w:rPr>
  </w:style>
  <w:style w:type="paragraph" w:customStyle="1" w:styleId="Pagedecouverture">
    <w:name w:val="Page de couverture"/>
    <w:basedOn w:val="Normal"/>
    <w:next w:val="Normal"/>
    <w:link w:val="PagedecouvertureChar"/>
    <w:rsid w:val="007F1C6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F1C6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7F1C63"/>
    <w:rPr>
      <w:rFonts w:ascii="Times New Roman" w:hAnsi="Times New Roman" w:cs="Times New Roman"/>
      <w:kern w:val="0"/>
      <w:sz w:val="24"/>
      <w:lang w:val="sv-SE"/>
      <w14:ligatures w14:val="none"/>
    </w:rPr>
  </w:style>
  <w:style w:type="character" w:customStyle="1" w:styleId="FooterCoverPageChar">
    <w:name w:val="Footer Cover Page Char"/>
    <w:basedOn w:val="PagedecouvertureChar"/>
    <w:link w:val="FooterCoverPage"/>
    <w:rsid w:val="007F1C63"/>
    <w:rPr>
      <w:rFonts w:ascii="Times New Roman" w:hAnsi="Times New Roman" w:cs="Times New Roman"/>
      <w:kern w:val="0"/>
      <w:sz w:val="24"/>
      <w:lang w:val="sv-SE"/>
      <w14:ligatures w14:val="none"/>
    </w:rPr>
  </w:style>
  <w:style w:type="paragraph" w:customStyle="1" w:styleId="FooterSensitivity">
    <w:name w:val="Footer Sensitivity"/>
    <w:basedOn w:val="Normal"/>
    <w:link w:val="FooterSensitivityChar"/>
    <w:rsid w:val="007F1C6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7F1C63"/>
    <w:rPr>
      <w:rFonts w:ascii="Times New Roman" w:hAnsi="Times New Roman" w:cs="Times New Roman"/>
      <w:b/>
      <w:kern w:val="0"/>
      <w:sz w:val="32"/>
      <w:lang w:val="sv-SE"/>
      <w14:ligatures w14:val="none"/>
    </w:rPr>
  </w:style>
  <w:style w:type="paragraph" w:customStyle="1" w:styleId="HeaderCoverPage">
    <w:name w:val="Header Cover Page"/>
    <w:basedOn w:val="Normal"/>
    <w:link w:val="HeaderCoverPageChar"/>
    <w:rsid w:val="007F1C6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7F1C63"/>
    <w:rPr>
      <w:rFonts w:ascii="Times New Roman" w:hAnsi="Times New Roman" w:cs="Times New Roman"/>
      <w:kern w:val="0"/>
      <w:sz w:val="24"/>
      <w:lang w:val="sv-SE"/>
      <w14:ligatures w14:val="none"/>
    </w:rPr>
  </w:style>
  <w:style w:type="paragraph" w:customStyle="1" w:styleId="HeaderSensitivity">
    <w:name w:val="Header Sensitivity"/>
    <w:basedOn w:val="Normal"/>
    <w:link w:val="HeaderSensitivityChar"/>
    <w:rsid w:val="007F1C6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7F1C63"/>
    <w:rPr>
      <w:rFonts w:ascii="Times New Roman" w:hAnsi="Times New Roman" w:cs="Times New Roman"/>
      <w:b/>
      <w:kern w:val="0"/>
      <w:sz w:val="32"/>
      <w:lang w:val="sv-SE"/>
      <w14:ligatures w14:val="none"/>
    </w:rPr>
  </w:style>
  <w:style w:type="paragraph" w:customStyle="1" w:styleId="HeaderSensitivityRight">
    <w:name w:val="Header Sensitivity Right"/>
    <w:basedOn w:val="Normal"/>
    <w:link w:val="HeaderSensitivityRightChar"/>
    <w:rsid w:val="007F1C6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7F1C63"/>
    <w:rPr>
      <w:rFonts w:ascii="Times New Roman" w:hAnsi="Times New Roman" w:cs="Times New Roman"/>
      <w:kern w:val="0"/>
      <w:sz w:val="28"/>
      <w:lang w:val="sv-SE"/>
      <w14:ligatures w14:val="none"/>
    </w:rPr>
  </w:style>
  <w:style w:type="paragraph" w:styleId="Revision">
    <w:name w:val="Revision"/>
    <w:hidden/>
    <w:uiPriority w:val="99"/>
    <w:semiHidden/>
    <w:rsid w:val="00DC23C0"/>
    <w:pPr>
      <w:spacing w:after="0" w:line="240" w:lineRule="auto"/>
    </w:pPr>
    <w:rPr>
      <w:kern w:val="0"/>
      <w14:ligatures w14:val="none"/>
    </w:rPr>
  </w:style>
  <w:style w:type="character" w:styleId="CommentReference">
    <w:name w:val="annotation reference"/>
    <w:basedOn w:val="DefaultParagraphFont"/>
    <w:uiPriority w:val="99"/>
    <w:semiHidden/>
    <w:unhideWhenUsed/>
    <w:rsid w:val="00DC23C0"/>
    <w:rPr>
      <w:sz w:val="16"/>
      <w:szCs w:val="16"/>
    </w:rPr>
  </w:style>
  <w:style w:type="paragraph" w:styleId="CommentText">
    <w:name w:val="annotation text"/>
    <w:basedOn w:val="Normal"/>
    <w:link w:val="CommentTextChar"/>
    <w:uiPriority w:val="99"/>
    <w:unhideWhenUsed/>
    <w:rsid w:val="00DC23C0"/>
    <w:pPr>
      <w:spacing w:line="240" w:lineRule="auto"/>
    </w:pPr>
    <w:rPr>
      <w:sz w:val="20"/>
      <w:szCs w:val="20"/>
    </w:rPr>
  </w:style>
  <w:style w:type="character" w:customStyle="1" w:styleId="CommentTextChar">
    <w:name w:val="Comment Text Char"/>
    <w:basedOn w:val="DefaultParagraphFont"/>
    <w:link w:val="CommentText"/>
    <w:uiPriority w:val="99"/>
    <w:rsid w:val="00DC23C0"/>
    <w:rPr>
      <w:kern w:val="0"/>
      <w:sz w:val="20"/>
      <w:szCs w:val="20"/>
      <w:lang w:val="sv-SE"/>
      <w14:ligatures w14:val="none"/>
    </w:rPr>
  </w:style>
  <w:style w:type="paragraph" w:styleId="CommentSubject">
    <w:name w:val="annotation subject"/>
    <w:basedOn w:val="CommentText"/>
    <w:next w:val="CommentText"/>
    <w:link w:val="CommentSubjectChar"/>
    <w:uiPriority w:val="99"/>
    <w:semiHidden/>
    <w:unhideWhenUsed/>
    <w:rsid w:val="00DC23C0"/>
    <w:rPr>
      <w:b/>
      <w:bCs/>
    </w:rPr>
  </w:style>
  <w:style w:type="character" w:customStyle="1" w:styleId="CommentSubjectChar">
    <w:name w:val="Comment Subject Char"/>
    <w:basedOn w:val="CommentTextChar"/>
    <w:link w:val="CommentSubject"/>
    <w:uiPriority w:val="99"/>
    <w:semiHidden/>
    <w:rsid w:val="00DC23C0"/>
    <w:rPr>
      <w:b/>
      <w:bCs/>
      <w:kern w:val="0"/>
      <w:sz w:val="20"/>
      <w:szCs w:val="20"/>
      <w:lang w:val="sv-SE"/>
      <w14:ligatures w14:val="none"/>
    </w:rPr>
  </w:style>
  <w:style w:type="character" w:styleId="Hyperlink">
    <w:name w:val="Hyperlink"/>
    <w:basedOn w:val="DefaultParagraphFont"/>
    <w:uiPriority w:val="99"/>
    <w:unhideWhenUsed/>
    <w:rsid w:val="00E97588"/>
    <w:rPr>
      <w:color w:val="0000FF"/>
      <w:u w:val="single"/>
    </w:rPr>
  </w:style>
  <w:style w:type="paragraph" w:styleId="ListParagraph">
    <w:name w:val="List Paragraph"/>
    <w:basedOn w:val="Normal"/>
    <w:uiPriority w:val="34"/>
    <w:qFormat/>
    <w:rsid w:val="00E20353"/>
    <w:pPr>
      <w:ind w:left="720"/>
      <w:contextualSpacing/>
    </w:pPr>
  </w:style>
  <w:style w:type="character" w:customStyle="1" w:styleId="UnresolvedMention">
    <w:name w:val="Unresolved Mention"/>
    <w:basedOn w:val="DefaultParagraphFont"/>
    <w:uiPriority w:val="99"/>
    <w:semiHidden/>
    <w:unhideWhenUsed/>
    <w:rsid w:val="003A5CC5"/>
    <w:rPr>
      <w:color w:val="605E5C"/>
      <w:shd w:val="clear" w:color="auto" w:fill="E1DFDD"/>
    </w:rPr>
  </w:style>
  <w:style w:type="character" w:styleId="FollowedHyperlink">
    <w:name w:val="FollowedHyperlink"/>
    <w:basedOn w:val="DefaultParagraphFont"/>
    <w:uiPriority w:val="99"/>
    <w:semiHidden/>
    <w:unhideWhenUsed/>
    <w:rsid w:val="003A5CC5"/>
    <w:rPr>
      <w:color w:val="954F72" w:themeColor="followedHyperlink"/>
      <w:u w:val="single"/>
    </w:rPr>
  </w:style>
  <w:style w:type="character" w:customStyle="1" w:styleId="BodyPlaceholderText">
    <w:name w:val="BodyPlaceholderText"/>
    <w:basedOn w:val="PlaceholderText"/>
    <w:semiHidden/>
    <w:rsid w:val="005F7EC0"/>
    <w:rPr>
      <w:color w:val="3366CC"/>
    </w:rPr>
  </w:style>
  <w:style w:type="character" w:styleId="PlaceholderText">
    <w:name w:val="Placeholder Text"/>
    <w:basedOn w:val="DefaultParagraphFont"/>
    <w:uiPriority w:val="99"/>
    <w:semiHidden/>
    <w:rsid w:val="005F7E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5236">
      <w:bodyDiv w:val="1"/>
      <w:marLeft w:val="0"/>
      <w:marRight w:val="0"/>
      <w:marTop w:val="0"/>
      <w:marBottom w:val="0"/>
      <w:divBdr>
        <w:top w:val="none" w:sz="0" w:space="0" w:color="auto"/>
        <w:left w:val="none" w:sz="0" w:space="0" w:color="auto"/>
        <w:bottom w:val="none" w:sz="0" w:space="0" w:color="auto"/>
        <w:right w:val="none" w:sz="0" w:space="0" w:color="auto"/>
      </w:divBdr>
    </w:div>
    <w:div w:id="1116875150">
      <w:bodyDiv w:val="1"/>
      <w:marLeft w:val="0"/>
      <w:marRight w:val="0"/>
      <w:marTop w:val="0"/>
      <w:marBottom w:val="0"/>
      <w:divBdr>
        <w:top w:val="none" w:sz="0" w:space="0" w:color="auto"/>
        <w:left w:val="none" w:sz="0" w:space="0" w:color="auto"/>
        <w:bottom w:val="none" w:sz="0" w:space="0" w:color="auto"/>
        <w:right w:val="none" w:sz="0" w:space="0" w:color="auto"/>
      </w:divBdr>
    </w:div>
    <w:div w:id="1370687444">
      <w:bodyDiv w:val="1"/>
      <w:marLeft w:val="0"/>
      <w:marRight w:val="0"/>
      <w:marTop w:val="0"/>
      <w:marBottom w:val="0"/>
      <w:divBdr>
        <w:top w:val="none" w:sz="0" w:space="0" w:color="auto"/>
        <w:left w:val="none" w:sz="0" w:space="0" w:color="auto"/>
        <w:bottom w:val="none" w:sz="0" w:space="0" w:color="auto"/>
        <w:right w:val="none" w:sz="0" w:space="0" w:color="auto"/>
      </w:divBdr>
    </w:div>
    <w:div w:id="1491366771">
      <w:bodyDiv w:val="1"/>
      <w:marLeft w:val="0"/>
      <w:marRight w:val="0"/>
      <w:marTop w:val="0"/>
      <w:marBottom w:val="0"/>
      <w:divBdr>
        <w:top w:val="none" w:sz="0" w:space="0" w:color="auto"/>
        <w:left w:val="none" w:sz="0" w:space="0" w:color="auto"/>
        <w:bottom w:val="none" w:sz="0" w:space="0" w:color="auto"/>
        <w:right w:val="none" w:sz="0" w:space="0" w:color="auto"/>
      </w:divBdr>
    </w:div>
    <w:div w:id="1642810729">
      <w:bodyDiv w:val="1"/>
      <w:marLeft w:val="0"/>
      <w:marRight w:val="0"/>
      <w:marTop w:val="0"/>
      <w:marBottom w:val="0"/>
      <w:divBdr>
        <w:top w:val="none" w:sz="0" w:space="0" w:color="auto"/>
        <w:left w:val="none" w:sz="0" w:space="0" w:color="auto"/>
        <w:bottom w:val="none" w:sz="0" w:space="0" w:color="auto"/>
        <w:right w:val="none" w:sz="0" w:space="0" w:color="auto"/>
      </w:divBdr>
    </w:div>
    <w:div w:id="1647008080">
      <w:bodyDiv w:val="1"/>
      <w:marLeft w:val="0"/>
      <w:marRight w:val="0"/>
      <w:marTop w:val="0"/>
      <w:marBottom w:val="0"/>
      <w:divBdr>
        <w:top w:val="none" w:sz="0" w:space="0" w:color="auto"/>
        <w:left w:val="none" w:sz="0" w:space="0" w:color="auto"/>
        <w:bottom w:val="none" w:sz="0" w:space="0" w:color="auto"/>
        <w:right w:val="none" w:sz="0" w:space="0" w:color="auto"/>
      </w:divBdr>
    </w:div>
    <w:div w:id="1929146786">
      <w:bodyDiv w:val="1"/>
      <w:marLeft w:val="0"/>
      <w:marRight w:val="0"/>
      <w:marTop w:val="0"/>
      <w:marBottom w:val="0"/>
      <w:divBdr>
        <w:top w:val="none" w:sz="0" w:space="0" w:color="auto"/>
        <w:left w:val="none" w:sz="0" w:space="0" w:color="auto"/>
        <w:bottom w:val="none" w:sz="0" w:space="0" w:color="auto"/>
        <w:right w:val="none" w:sz="0" w:space="0" w:color="auto"/>
      </w:divBdr>
    </w:div>
    <w:div w:id="19341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_del/2021/723/oj)." TargetMode="External"/><Relationship Id="rId2" Type="http://schemas.openxmlformats.org/officeDocument/2006/relationships/hyperlink" Target="http://data.europa.eu/eli/reg_del/2022/1303/oj)." TargetMode="External"/><Relationship Id="rId1" Type="http://schemas.openxmlformats.org/officeDocument/2006/relationships/hyperlink" Target="https://eur-lex.europa.eu/eli/reg/2019/787/oj?local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D85D-905E-4142-BDE2-BCB975C9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cp:lastPrinted>2024-04-30T07:29:00Z</cp:lastPrinted>
  <dcterms:created xsi:type="dcterms:W3CDTF">2025-05-07T13:51:00Z</dcterms:created>
  <dcterms:modified xsi:type="dcterms:W3CDTF">2025-05-28T06:43:00Z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2024-04-05T14:43:48Z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13d92e9d-0af8-43a0-b6dc-adbce80fb090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9.1, Build 20240808</vt:lpwstr>
  </property>
  <property fmtid="{D5CDD505-2E9C-101B-9397-08002B2CF9AE}" pid="15" name="Created using">
    <vt:lpwstr>LW 9.0, Build 20230317</vt:lpwstr>
  </property>
</Properties>
</file>