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B4A38" w14:textId="55991931" w:rsidR="00EF61CD" w:rsidRPr="00AE6533" w:rsidRDefault="0002766F" w:rsidP="0002766F">
      <w:pPr>
        <w:pStyle w:val="Pagedecouverture"/>
        <w:rPr>
          <w:noProof/>
        </w:rPr>
      </w:pPr>
      <w:bookmarkStart w:id="0" w:name="LW_BM_COVERPAGE"/>
      <w:r>
        <w:rPr>
          <w:noProof/>
        </w:rPr>
        <w:pict w14:anchorId="5CEF1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0002762-72F3-47A8-B54D-4A597703432A" style="width:455.25pt;height:365.25pt">
            <v:imagedata r:id="rId8" o:title=""/>
          </v:shape>
        </w:pict>
      </w:r>
    </w:p>
    <w:bookmarkEnd w:id="0"/>
    <w:p w14:paraId="2AF70823" w14:textId="77777777" w:rsidR="00EF61CD" w:rsidRPr="00AE6533" w:rsidRDefault="00EF61CD" w:rsidP="00EF61CD">
      <w:pPr>
        <w:rPr>
          <w:noProof/>
        </w:rPr>
        <w:sectPr w:rsidR="00EF61CD" w:rsidRPr="00AE6533" w:rsidSect="0002766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99E78ED" w14:textId="0BFEA103" w:rsidR="000F6099" w:rsidRPr="00AE6533" w:rsidRDefault="000F6099" w:rsidP="00544827">
      <w:pPr>
        <w:pStyle w:val="Heading1"/>
        <w:spacing w:after="120" w:line="240" w:lineRule="auto"/>
        <w:rPr>
          <w:rFonts w:ascii="Times New Roman" w:hAnsi="Times New Roman" w:cs="Times New Roman"/>
          <w:b/>
          <w:bCs/>
          <w:noProof/>
          <w:color w:val="auto"/>
          <w:sz w:val="24"/>
          <w:szCs w:val="24"/>
        </w:rPr>
      </w:pPr>
      <w:bookmarkStart w:id="1" w:name="_GoBack"/>
      <w:bookmarkEnd w:id="1"/>
      <w:r w:rsidRPr="00AE6533">
        <w:rPr>
          <w:rFonts w:ascii="Times New Roman" w:hAnsi="Times New Roman"/>
          <w:b/>
          <w:noProof/>
          <w:color w:val="auto"/>
          <w:sz w:val="24"/>
        </w:rPr>
        <w:lastRenderedPageBreak/>
        <w:t xml:space="preserve">1. </w:t>
      </w:r>
      <w:r w:rsidRPr="00AE6533">
        <w:rPr>
          <w:rFonts w:ascii="Times New Roman" w:hAnsi="Times New Roman"/>
          <w:b/>
          <w:smallCaps/>
          <w:noProof/>
          <w:color w:val="auto"/>
          <w:sz w:val="24"/>
        </w:rPr>
        <w:t>Úvod</w:t>
      </w:r>
    </w:p>
    <w:p w14:paraId="2F91F723" w14:textId="3D059B3F" w:rsidR="000F6099" w:rsidRPr="00AE6533" w:rsidRDefault="000F6099" w:rsidP="00ED1561">
      <w:pPr>
        <w:pStyle w:val="Heading2"/>
        <w:spacing w:before="240" w:after="120" w:line="240" w:lineRule="auto"/>
        <w:ind w:firstLine="240"/>
        <w:jc w:val="both"/>
        <w:rPr>
          <w:rFonts w:ascii="Times New Roman" w:hAnsi="Times New Roman" w:cs="Times New Roman"/>
          <w:b/>
          <w:bCs/>
          <w:noProof/>
          <w:color w:val="auto"/>
          <w:sz w:val="24"/>
          <w:szCs w:val="24"/>
        </w:rPr>
      </w:pPr>
      <w:r w:rsidRPr="00AE6533">
        <w:rPr>
          <w:rFonts w:ascii="Times New Roman" w:hAnsi="Times New Roman"/>
          <w:b/>
          <w:noProof/>
          <w:color w:val="auto"/>
          <w:sz w:val="24"/>
        </w:rPr>
        <w:t>1.1. Súvislosti</w:t>
      </w:r>
    </w:p>
    <w:p w14:paraId="7ECE604C" w14:textId="67CCF0E6" w:rsidR="00AE6533" w:rsidRDefault="009A37B8" w:rsidP="005A2EE5">
      <w:pPr>
        <w:spacing w:after="120" w:line="240" w:lineRule="auto"/>
        <w:jc w:val="both"/>
        <w:rPr>
          <w:rFonts w:ascii="Times New Roman" w:hAnsi="Times New Roman"/>
          <w:noProof/>
          <w:sz w:val="24"/>
        </w:rPr>
      </w:pPr>
      <w:r w:rsidRPr="00AE6533">
        <w:rPr>
          <w:rFonts w:ascii="Times New Roman" w:hAnsi="Times New Roman"/>
          <w:noProof/>
          <w:sz w:val="24"/>
        </w:rPr>
        <w:t>Nariadenie Európskeho parlamentu</w:t>
      </w:r>
      <w:r w:rsidR="00AE6533">
        <w:rPr>
          <w:rFonts w:ascii="Times New Roman" w:hAnsi="Times New Roman"/>
          <w:noProof/>
          <w:sz w:val="24"/>
        </w:rPr>
        <w:t xml:space="preserve"> a </w:t>
      </w:r>
      <w:r w:rsidRPr="00AE6533">
        <w:rPr>
          <w:rFonts w:ascii="Times New Roman" w:hAnsi="Times New Roman"/>
          <w:noProof/>
          <w:sz w:val="24"/>
        </w:rPr>
        <w:t xml:space="preserve">Rady (EÚ) </w:t>
      </w:r>
      <w:r w:rsidR="00AE6533">
        <w:rPr>
          <w:rFonts w:ascii="Times New Roman" w:hAnsi="Times New Roman"/>
          <w:noProof/>
          <w:sz w:val="24"/>
        </w:rPr>
        <w:t>č. </w:t>
      </w:r>
      <w:r w:rsidRPr="00AE6533">
        <w:rPr>
          <w:rFonts w:ascii="Times New Roman" w:hAnsi="Times New Roman"/>
          <w:noProof/>
          <w:sz w:val="24"/>
        </w:rPr>
        <w:t>1215/2012</w:t>
      </w:r>
      <w:r w:rsidR="00AE6533">
        <w:rPr>
          <w:rFonts w:ascii="Times New Roman" w:hAnsi="Times New Roman"/>
          <w:noProof/>
          <w:sz w:val="24"/>
        </w:rPr>
        <w:t xml:space="preserve"> z </w:t>
      </w:r>
      <w:r w:rsidRPr="00AE6533">
        <w:rPr>
          <w:rFonts w:ascii="Times New Roman" w:hAnsi="Times New Roman"/>
          <w:noProof/>
          <w:sz w:val="24"/>
        </w:rPr>
        <w:t>12</w:t>
      </w:r>
      <w:r w:rsidR="00AE6533">
        <w:rPr>
          <w:rFonts w:ascii="Times New Roman" w:hAnsi="Times New Roman"/>
          <w:noProof/>
          <w:sz w:val="24"/>
        </w:rPr>
        <w:t>. decembra</w:t>
      </w:r>
      <w:r w:rsidRPr="00AE6533">
        <w:rPr>
          <w:rFonts w:ascii="Times New Roman" w:hAnsi="Times New Roman"/>
          <w:noProof/>
          <w:sz w:val="24"/>
        </w:rPr>
        <w:t xml:space="preserve"> 2012</w:t>
      </w:r>
      <w:r w:rsidR="00AE6533">
        <w:rPr>
          <w:rFonts w:ascii="Times New Roman" w:hAnsi="Times New Roman"/>
          <w:noProof/>
          <w:sz w:val="24"/>
        </w:rPr>
        <w:t xml:space="preserve"> o </w:t>
      </w:r>
      <w:r w:rsidRPr="00AE6533">
        <w:rPr>
          <w:rFonts w:ascii="Times New Roman" w:hAnsi="Times New Roman"/>
          <w:noProof/>
          <w:sz w:val="24"/>
        </w:rPr>
        <w:t>právomoci</w:t>
      </w:r>
      <w:r w:rsidR="00AE6533">
        <w:rPr>
          <w:rFonts w:ascii="Times New Roman" w:hAnsi="Times New Roman"/>
          <w:noProof/>
          <w:sz w:val="24"/>
        </w:rPr>
        <w:t xml:space="preserve"> a o </w:t>
      </w:r>
      <w:r w:rsidRPr="00AE6533">
        <w:rPr>
          <w:rFonts w:ascii="Times New Roman" w:hAnsi="Times New Roman"/>
          <w:noProof/>
          <w:sz w:val="24"/>
        </w:rPr>
        <w:t>uznávaní</w:t>
      </w:r>
      <w:r w:rsidR="00AE6533">
        <w:rPr>
          <w:rFonts w:ascii="Times New Roman" w:hAnsi="Times New Roman"/>
          <w:noProof/>
          <w:sz w:val="24"/>
        </w:rPr>
        <w:t xml:space="preserve"> a </w:t>
      </w:r>
      <w:r w:rsidRPr="00AE6533">
        <w:rPr>
          <w:rFonts w:ascii="Times New Roman" w:hAnsi="Times New Roman"/>
          <w:noProof/>
          <w:sz w:val="24"/>
        </w:rPr>
        <w:t>výkone rozsudkov</w:t>
      </w:r>
      <w:r w:rsidR="00AE6533">
        <w:rPr>
          <w:rFonts w:ascii="Times New Roman" w:hAnsi="Times New Roman"/>
          <w:noProof/>
          <w:sz w:val="24"/>
        </w:rPr>
        <w:t xml:space="preserve"> v </w:t>
      </w:r>
      <w:r w:rsidRPr="00AE6533">
        <w:rPr>
          <w:rFonts w:ascii="Times New Roman" w:hAnsi="Times New Roman"/>
          <w:noProof/>
          <w:sz w:val="24"/>
        </w:rPr>
        <w:t>občianskych</w:t>
      </w:r>
      <w:r w:rsidR="00AE6533">
        <w:rPr>
          <w:rFonts w:ascii="Times New Roman" w:hAnsi="Times New Roman"/>
          <w:noProof/>
          <w:sz w:val="24"/>
        </w:rPr>
        <w:t xml:space="preserve"> a </w:t>
      </w:r>
      <w:r w:rsidRPr="00AE6533">
        <w:rPr>
          <w:rFonts w:ascii="Times New Roman" w:hAnsi="Times New Roman"/>
          <w:noProof/>
          <w:sz w:val="24"/>
        </w:rPr>
        <w:t>obchodných veciach (prepracované znenie)</w:t>
      </w:r>
      <w:r w:rsidR="000F6099" w:rsidRPr="00AE6533">
        <w:rPr>
          <w:rStyle w:val="FootnoteReference"/>
          <w:rFonts w:ascii="Times New Roman" w:hAnsi="Times New Roman" w:cs="Times New Roman"/>
          <w:noProof/>
          <w:sz w:val="24"/>
          <w:szCs w:val="24"/>
        </w:rPr>
        <w:footnoteReference w:id="1"/>
      </w:r>
      <w:r w:rsidRPr="00AE6533">
        <w:rPr>
          <w:rFonts w:ascii="Times New Roman" w:hAnsi="Times New Roman"/>
          <w:noProof/>
          <w:sz w:val="24"/>
        </w:rPr>
        <w:t xml:space="preserve"> (ďalej len „nariadenie“) je nepochybne základom medzinárodného práva súkromného EÚ. Stanovujú sa</w:t>
      </w:r>
      <w:r w:rsidR="00AE6533">
        <w:rPr>
          <w:rFonts w:ascii="Times New Roman" w:hAnsi="Times New Roman"/>
          <w:noProof/>
          <w:sz w:val="24"/>
        </w:rPr>
        <w:t xml:space="preserve"> v </w:t>
      </w:r>
      <w:r w:rsidRPr="00AE6533">
        <w:rPr>
          <w:rFonts w:ascii="Times New Roman" w:hAnsi="Times New Roman"/>
          <w:noProof/>
          <w:sz w:val="24"/>
        </w:rPr>
        <w:t>ňom jednotné normy na riešenie konfliktu právomoci</w:t>
      </w:r>
      <w:r w:rsidR="00AE6533">
        <w:rPr>
          <w:rFonts w:ascii="Times New Roman" w:hAnsi="Times New Roman"/>
          <w:noProof/>
          <w:sz w:val="24"/>
        </w:rPr>
        <w:t xml:space="preserve"> a </w:t>
      </w:r>
      <w:r w:rsidRPr="00AE6533">
        <w:rPr>
          <w:rFonts w:ascii="Times New Roman" w:hAnsi="Times New Roman"/>
          <w:noProof/>
          <w:sz w:val="24"/>
        </w:rPr>
        <w:t>ustanovuje štandard pre voľný obeh rozsudkov, verejné listiny</w:t>
      </w:r>
      <w:r w:rsidR="00AE6533">
        <w:rPr>
          <w:rFonts w:ascii="Times New Roman" w:hAnsi="Times New Roman"/>
          <w:noProof/>
          <w:sz w:val="24"/>
        </w:rPr>
        <w:t xml:space="preserve"> a </w:t>
      </w:r>
      <w:r w:rsidRPr="00AE6533">
        <w:rPr>
          <w:rFonts w:ascii="Times New Roman" w:hAnsi="Times New Roman"/>
          <w:noProof/>
          <w:sz w:val="24"/>
        </w:rPr>
        <w:t>súdne zmiere</w:t>
      </w:r>
      <w:r w:rsidR="00AE6533">
        <w:rPr>
          <w:rFonts w:ascii="Times New Roman" w:hAnsi="Times New Roman"/>
          <w:noProof/>
          <w:sz w:val="24"/>
        </w:rPr>
        <w:t xml:space="preserve"> v </w:t>
      </w:r>
      <w:r w:rsidRPr="00AE6533">
        <w:rPr>
          <w:rFonts w:ascii="Times New Roman" w:hAnsi="Times New Roman"/>
          <w:noProof/>
          <w:sz w:val="24"/>
        </w:rPr>
        <w:t>Európskej únii</w:t>
      </w:r>
      <w:r w:rsidR="00AE6533">
        <w:rPr>
          <w:rFonts w:ascii="Times New Roman" w:hAnsi="Times New Roman"/>
          <w:noProof/>
          <w:sz w:val="24"/>
        </w:rPr>
        <w:t xml:space="preserve"> s </w:t>
      </w:r>
      <w:r w:rsidRPr="00AE6533">
        <w:rPr>
          <w:rFonts w:ascii="Times New Roman" w:hAnsi="Times New Roman"/>
          <w:noProof/>
          <w:sz w:val="24"/>
        </w:rPr>
        <w:t>konečným cieľom uľahčiť prístup</w:t>
      </w:r>
      <w:r w:rsidR="00AE6533">
        <w:rPr>
          <w:rFonts w:ascii="Times New Roman" w:hAnsi="Times New Roman"/>
          <w:noProof/>
          <w:sz w:val="24"/>
        </w:rPr>
        <w:t xml:space="preserve"> k </w:t>
      </w:r>
      <w:r w:rsidRPr="00AE6533">
        <w:rPr>
          <w:rFonts w:ascii="Times New Roman" w:hAnsi="Times New Roman"/>
          <w:noProof/>
          <w:sz w:val="24"/>
        </w:rPr>
        <w:t>spravodlivosti vo všetkých oblastiach občianskeho</w:t>
      </w:r>
      <w:r w:rsidR="00AE6533">
        <w:rPr>
          <w:rFonts w:ascii="Times New Roman" w:hAnsi="Times New Roman"/>
          <w:noProof/>
          <w:sz w:val="24"/>
        </w:rPr>
        <w:t xml:space="preserve"> a </w:t>
      </w:r>
      <w:r w:rsidRPr="00AE6533">
        <w:rPr>
          <w:rFonts w:ascii="Times New Roman" w:hAnsi="Times New Roman"/>
          <w:noProof/>
          <w:sz w:val="24"/>
        </w:rPr>
        <w:t>obchodného práva mimo oblasti rodinného, dedičského</w:t>
      </w:r>
      <w:r w:rsidR="00AE6533">
        <w:rPr>
          <w:rFonts w:ascii="Times New Roman" w:hAnsi="Times New Roman"/>
          <w:noProof/>
          <w:sz w:val="24"/>
        </w:rPr>
        <w:t xml:space="preserve"> a </w:t>
      </w:r>
      <w:r w:rsidRPr="00AE6533">
        <w:rPr>
          <w:rFonts w:ascii="Times New Roman" w:hAnsi="Times New Roman"/>
          <w:noProof/>
          <w:sz w:val="24"/>
        </w:rPr>
        <w:t>konkurzného práva. Zrušilo</w:t>
      </w:r>
      <w:r w:rsidR="00AE6533">
        <w:rPr>
          <w:rFonts w:ascii="Times New Roman" w:hAnsi="Times New Roman"/>
          <w:noProof/>
          <w:sz w:val="24"/>
        </w:rPr>
        <w:t xml:space="preserve"> a </w:t>
      </w:r>
      <w:r w:rsidRPr="00AE6533">
        <w:rPr>
          <w:rFonts w:ascii="Times New Roman" w:hAnsi="Times New Roman"/>
          <w:noProof/>
          <w:sz w:val="24"/>
        </w:rPr>
        <w:t xml:space="preserve">nahradilo sa ním nariadenie Rady (ES) </w:t>
      </w:r>
      <w:r w:rsidR="00AE6533">
        <w:rPr>
          <w:rFonts w:ascii="Times New Roman" w:hAnsi="Times New Roman"/>
          <w:noProof/>
          <w:sz w:val="24"/>
        </w:rPr>
        <w:t>č. </w:t>
      </w:r>
      <w:r w:rsidRPr="00AE6533">
        <w:rPr>
          <w:rFonts w:ascii="Times New Roman" w:hAnsi="Times New Roman"/>
          <w:noProof/>
          <w:sz w:val="24"/>
        </w:rPr>
        <w:t>44/2001</w:t>
      </w:r>
      <w:r w:rsidR="00AE6533">
        <w:rPr>
          <w:rFonts w:ascii="Times New Roman" w:hAnsi="Times New Roman"/>
          <w:noProof/>
          <w:sz w:val="24"/>
        </w:rPr>
        <w:t xml:space="preserve"> o </w:t>
      </w:r>
      <w:r w:rsidRPr="00AE6533">
        <w:rPr>
          <w:rFonts w:ascii="Times New Roman" w:hAnsi="Times New Roman"/>
          <w:noProof/>
          <w:sz w:val="24"/>
        </w:rPr>
        <w:t>právomoci</w:t>
      </w:r>
      <w:r w:rsidR="00AE6533">
        <w:rPr>
          <w:rFonts w:ascii="Times New Roman" w:hAnsi="Times New Roman"/>
          <w:noProof/>
          <w:sz w:val="24"/>
        </w:rPr>
        <w:t xml:space="preserve"> a o </w:t>
      </w:r>
      <w:r w:rsidRPr="00AE6533">
        <w:rPr>
          <w:rFonts w:ascii="Times New Roman" w:hAnsi="Times New Roman"/>
          <w:noProof/>
          <w:sz w:val="24"/>
        </w:rPr>
        <w:t>uznávaní</w:t>
      </w:r>
      <w:r w:rsidR="00AE6533">
        <w:rPr>
          <w:rFonts w:ascii="Times New Roman" w:hAnsi="Times New Roman"/>
          <w:noProof/>
          <w:sz w:val="24"/>
        </w:rPr>
        <w:t xml:space="preserve"> a </w:t>
      </w:r>
      <w:r w:rsidRPr="00AE6533">
        <w:rPr>
          <w:rFonts w:ascii="Times New Roman" w:hAnsi="Times New Roman"/>
          <w:noProof/>
          <w:sz w:val="24"/>
        </w:rPr>
        <w:t>výkone rozsudkov</w:t>
      </w:r>
      <w:r w:rsidR="00AE6533">
        <w:rPr>
          <w:rFonts w:ascii="Times New Roman" w:hAnsi="Times New Roman"/>
          <w:noProof/>
          <w:sz w:val="24"/>
        </w:rPr>
        <w:t xml:space="preserve"> v </w:t>
      </w:r>
      <w:r w:rsidRPr="00AE6533">
        <w:rPr>
          <w:rFonts w:ascii="Times New Roman" w:hAnsi="Times New Roman"/>
          <w:noProof/>
          <w:sz w:val="24"/>
        </w:rPr>
        <w:t>občianskych</w:t>
      </w:r>
      <w:r w:rsidR="00AE6533">
        <w:rPr>
          <w:rFonts w:ascii="Times New Roman" w:hAnsi="Times New Roman"/>
          <w:noProof/>
          <w:sz w:val="24"/>
        </w:rPr>
        <w:t xml:space="preserve"> a </w:t>
      </w:r>
      <w:r w:rsidRPr="00AE6533">
        <w:rPr>
          <w:rFonts w:ascii="Times New Roman" w:hAnsi="Times New Roman"/>
          <w:noProof/>
          <w:sz w:val="24"/>
        </w:rPr>
        <w:t>obchodných veciach</w:t>
      </w:r>
      <w:r w:rsidR="000F6099" w:rsidRPr="00AE6533">
        <w:rPr>
          <w:rStyle w:val="FootnoteReference"/>
          <w:rFonts w:ascii="Times New Roman" w:hAnsi="Times New Roman" w:cs="Times New Roman"/>
          <w:noProof/>
          <w:sz w:val="24"/>
          <w:szCs w:val="24"/>
        </w:rPr>
        <w:footnoteReference w:id="2"/>
      </w:r>
      <w:r w:rsidRPr="00AE6533">
        <w:rPr>
          <w:rFonts w:ascii="Times New Roman" w:hAnsi="Times New Roman"/>
          <w:noProof/>
          <w:sz w:val="24"/>
        </w:rPr>
        <w:t xml:space="preserve"> (ďalej len „nariadenie Brusel I“). Nariadením sa do značnej miery potvrdili</w:t>
      </w:r>
      <w:r w:rsidR="00AE6533">
        <w:rPr>
          <w:rFonts w:ascii="Times New Roman" w:hAnsi="Times New Roman"/>
          <w:noProof/>
          <w:sz w:val="24"/>
        </w:rPr>
        <w:t xml:space="preserve"> a </w:t>
      </w:r>
      <w:r w:rsidRPr="00AE6533">
        <w:rPr>
          <w:rFonts w:ascii="Times New Roman" w:hAnsi="Times New Roman"/>
          <w:noProof/>
          <w:sz w:val="24"/>
        </w:rPr>
        <w:t>posilnili ustanovenia jeho predchodcu, ale zároveň sa ním zaviedli nové relevantné prvky, napríklad zrušenie vyhlásenia vykonateľnosti</w:t>
      </w:r>
      <w:r w:rsidR="00AE6533">
        <w:rPr>
          <w:rFonts w:ascii="Times New Roman" w:hAnsi="Times New Roman"/>
          <w:noProof/>
          <w:sz w:val="24"/>
        </w:rPr>
        <w:t>.</w:t>
      </w:r>
    </w:p>
    <w:p w14:paraId="1BA996A8" w14:textId="304D2409" w:rsidR="00AE6533" w:rsidRDefault="000F6099" w:rsidP="005A2EE5">
      <w:pPr>
        <w:spacing w:after="120" w:line="240" w:lineRule="auto"/>
        <w:jc w:val="both"/>
        <w:rPr>
          <w:rFonts w:ascii="Times New Roman" w:hAnsi="Times New Roman"/>
          <w:noProof/>
          <w:sz w:val="24"/>
        </w:rPr>
      </w:pPr>
      <w:r w:rsidRPr="00AE6533">
        <w:rPr>
          <w:rFonts w:ascii="Times New Roman" w:hAnsi="Times New Roman"/>
          <w:noProof/>
          <w:sz w:val="24"/>
        </w:rPr>
        <w:t>Nariadenie</w:t>
      </w:r>
      <w:r w:rsidR="00AE6533">
        <w:rPr>
          <w:rFonts w:ascii="Times New Roman" w:hAnsi="Times New Roman"/>
          <w:noProof/>
          <w:sz w:val="24"/>
        </w:rPr>
        <w:t xml:space="preserve"> v </w:t>
      </w:r>
      <w:r w:rsidRPr="00AE6533">
        <w:rPr>
          <w:rFonts w:ascii="Times New Roman" w:hAnsi="Times New Roman"/>
          <w:noProof/>
          <w:sz w:val="24"/>
        </w:rPr>
        <w:t>znení zmien</w:t>
      </w:r>
      <w:r w:rsidR="00AE6533">
        <w:rPr>
          <w:rFonts w:ascii="Times New Roman" w:hAnsi="Times New Roman"/>
          <w:noProof/>
          <w:sz w:val="24"/>
        </w:rPr>
        <w:t xml:space="preserve"> z </w:t>
      </w:r>
      <w:r w:rsidRPr="00AE6533">
        <w:rPr>
          <w:rFonts w:ascii="Times New Roman" w:hAnsi="Times New Roman"/>
          <w:noProof/>
          <w:sz w:val="24"/>
        </w:rPr>
        <w:t>roku 2014</w:t>
      </w:r>
      <w:r w:rsidRPr="00AE6533">
        <w:rPr>
          <w:rStyle w:val="FootnoteReference"/>
          <w:rFonts w:ascii="Times New Roman" w:hAnsi="Times New Roman" w:cs="Times New Roman"/>
          <w:noProof/>
          <w:sz w:val="24"/>
          <w:szCs w:val="24"/>
        </w:rPr>
        <w:footnoteReference w:id="3"/>
      </w:r>
      <w:r w:rsidRPr="00AE6533">
        <w:rPr>
          <w:rFonts w:ascii="Times New Roman" w:hAnsi="Times New Roman"/>
          <w:noProof/>
          <w:sz w:val="24"/>
        </w:rPr>
        <w:t xml:space="preserve"> sa uplatňuje medzi všetkými členskými štátmi vrátane Dánska od 10</w:t>
      </w:r>
      <w:r w:rsidR="00AE6533">
        <w:rPr>
          <w:rFonts w:ascii="Times New Roman" w:hAnsi="Times New Roman"/>
          <w:noProof/>
          <w:sz w:val="24"/>
        </w:rPr>
        <w:t>. januára</w:t>
      </w:r>
      <w:r w:rsidRPr="00AE6533">
        <w:rPr>
          <w:rFonts w:ascii="Times New Roman" w:hAnsi="Times New Roman"/>
          <w:noProof/>
          <w:sz w:val="24"/>
        </w:rPr>
        <w:t xml:space="preserve"> 2015</w:t>
      </w:r>
      <w:r w:rsidRPr="00AE6533">
        <w:rPr>
          <w:rStyle w:val="FootnoteReference"/>
          <w:rFonts w:ascii="Times New Roman" w:hAnsi="Times New Roman" w:cs="Times New Roman"/>
          <w:noProof/>
          <w:sz w:val="24"/>
          <w:szCs w:val="24"/>
        </w:rPr>
        <w:footnoteReference w:id="4"/>
      </w:r>
      <w:r w:rsidR="00AE6533">
        <w:rPr>
          <w:rFonts w:ascii="Times New Roman" w:hAnsi="Times New Roman"/>
          <w:noProof/>
          <w:sz w:val="24"/>
        </w:rPr>
        <w:t>.</w:t>
      </w:r>
    </w:p>
    <w:p w14:paraId="75BF8C87" w14:textId="7EC1243C" w:rsidR="000F6099" w:rsidRPr="00AE6533" w:rsidRDefault="000F6099" w:rsidP="00ED1561">
      <w:pPr>
        <w:pStyle w:val="Heading2"/>
        <w:spacing w:before="240" w:after="120" w:line="240" w:lineRule="auto"/>
        <w:ind w:firstLine="240"/>
        <w:jc w:val="both"/>
        <w:rPr>
          <w:rFonts w:ascii="Times New Roman" w:hAnsi="Times New Roman" w:cs="Times New Roman"/>
          <w:b/>
          <w:bCs/>
          <w:noProof/>
          <w:color w:val="auto"/>
          <w:sz w:val="24"/>
          <w:szCs w:val="24"/>
        </w:rPr>
      </w:pPr>
      <w:r w:rsidRPr="00AE6533">
        <w:rPr>
          <w:rFonts w:ascii="Times New Roman" w:hAnsi="Times New Roman"/>
          <w:b/>
          <w:noProof/>
          <w:color w:val="auto"/>
          <w:sz w:val="24"/>
        </w:rPr>
        <w:t>1.2. Vypracovanie</w:t>
      </w:r>
      <w:r w:rsidR="00AE6533">
        <w:rPr>
          <w:rFonts w:ascii="Times New Roman" w:hAnsi="Times New Roman"/>
          <w:b/>
          <w:noProof/>
          <w:color w:val="auto"/>
          <w:sz w:val="24"/>
        </w:rPr>
        <w:t xml:space="preserve"> a </w:t>
      </w:r>
      <w:r w:rsidRPr="00AE6533">
        <w:rPr>
          <w:rFonts w:ascii="Times New Roman" w:hAnsi="Times New Roman"/>
          <w:b/>
          <w:noProof/>
          <w:color w:val="auto"/>
          <w:sz w:val="24"/>
        </w:rPr>
        <w:t>ciele tejto správy</w:t>
      </w:r>
    </w:p>
    <w:p w14:paraId="71BBDCB5" w14:textId="5D4976B4" w:rsidR="00AE6533" w:rsidRPr="00691FFB" w:rsidRDefault="007B265B" w:rsidP="007B265B">
      <w:pPr>
        <w:spacing w:after="120" w:line="240" w:lineRule="auto"/>
        <w:jc w:val="both"/>
        <w:rPr>
          <w:rFonts w:ascii="Times New Roman" w:hAnsi="Times New Roman"/>
          <w:noProof/>
          <w:spacing w:val="-6"/>
          <w:sz w:val="24"/>
        </w:rPr>
      </w:pPr>
      <w:r w:rsidRPr="00691FFB">
        <w:rPr>
          <w:rFonts w:ascii="Times New Roman" w:hAnsi="Times New Roman"/>
          <w:noProof/>
          <w:spacing w:val="-6"/>
          <w:sz w:val="24"/>
        </w:rPr>
        <w:t>Táto správa bola vypracovaná</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súlade</w:t>
      </w:r>
      <w:r w:rsidR="00AE6533" w:rsidRPr="00691FFB">
        <w:rPr>
          <w:rFonts w:ascii="Times New Roman" w:hAnsi="Times New Roman"/>
          <w:noProof/>
          <w:spacing w:val="-6"/>
          <w:sz w:val="24"/>
        </w:rPr>
        <w:t xml:space="preserve"> s </w:t>
      </w:r>
      <w:r w:rsidRPr="00691FFB">
        <w:rPr>
          <w:rFonts w:ascii="Times New Roman" w:hAnsi="Times New Roman"/>
          <w:noProof/>
          <w:spacing w:val="-6"/>
          <w:sz w:val="24"/>
        </w:rPr>
        <w:t>článkom 79 nariadenia. Pri jej vypracúvaní bola kľúčovým zdrojom informácií</w:t>
      </w:r>
      <w:r w:rsidR="00AE6533" w:rsidRPr="00691FFB">
        <w:rPr>
          <w:rFonts w:ascii="Times New Roman" w:hAnsi="Times New Roman"/>
          <w:noProof/>
          <w:spacing w:val="-6"/>
          <w:sz w:val="24"/>
        </w:rPr>
        <w:t xml:space="preserve"> o </w:t>
      </w:r>
      <w:r w:rsidRPr="00691FFB">
        <w:rPr>
          <w:rFonts w:ascii="Times New Roman" w:hAnsi="Times New Roman"/>
          <w:noProof/>
          <w:spacing w:val="-6"/>
          <w:sz w:val="24"/>
        </w:rPr>
        <w:t>uplatňovaní nariadenia judikatúra Súdneho dvora Európskej únie (ďalej len „Súdny dvor Európskej únie“ alebo „Súdny dvor“)</w:t>
      </w:r>
      <w:r w:rsidR="00590AAA" w:rsidRPr="00691FFB">
        <w:rPr>
          <w:rStyle w:val="FootnoteReference"/>
          <w:rFonts w:ascii="Times New Roman" w:hAnsi="Times New Roman" w:cs="Times New Roman"/>
          <w:noProof/>
          <w:spacing w:val="-6"/>
          <w:sz w:val="24"/>
          <w:szCs w:val="24"/>
        </w:rPr>
        <w:footnoteReference w:id="5"/>
      </w:r>
      <w:r w:rsidRPr="00691FFB">
        <w:rPr>
          <w:rFonts w:ascii="Times New Roman" w:hAnsi="Times New Roman"/>
          <w:noProof/>
          <w:spacing w:val="-6"/>
          <w:sz w:val="24"/>
        </w:rPr>
        <w:t>. Správa vychádza aj zo zistení štúdie, ktorú si Komisia objednala</w:t>
      </w:r>
      <w:r w:rsidR="00AE6533" w:rsidRPr="00691FFB">
        <w:rPr>
          <w:rFonts w:ascii="Times New Roman" w:hAnsi="Times New Roman"/>
          <w:noProof/>
          <w:spacing w:val="-6"/>
          <w:sz w:val="24"/>
        </w:rPr>
        <w:t xml:space="preserve"> s </w:t>
      </w:r>
      <w:r w:rsidRPr="00691FFB">
        <w:rPr>
          <w:rFonts w:ascii="Times New Roman" w:hAnsi="Times New Roman"/>
          <w:noProof/>
          <w:spacing w:val="-6"/>
          <w:sz w:val="24"/>
        </w:rPr>
        <w:t>cieľom podporiť vypracovanie tejto správy</w:t>
      </w:r>
      <w:r w:rsidRPr="00691FFB">
        <w:rPr>
          <w:rStyle w:val="FootnoteReference"/>
          <w:rFonts w:ascii="Times New Roman" w:hAnsi="Times New Roman" w:cs="Times New Roman"/>
          <w:noProof/>
          <w:spacing w:val="-6"/>
          <w:sz w:val="24"/>
          <w:szCs w:val="24"/>
        </w:rPr>
        <w:footnoteReference w:id="6"/>
      </w:r>
      <w:r w:rsidRPr="00691FFB">
        <w:rPr>
          <w:rFonts w:ascii="Times New Roman" w:hAnsi="Times New Roman"/>
          <w:noProof/>
          <w:spacing w:val="-6"/>
          <w:sz w:val="24"/>
        </w:rPr>
        <w:t xml:space="preserve"> (ďalej len „štúdia“).</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rámci tejto štúdie sa uskutočnili konzultácie</w:t>
      </w:r>
      <w:r w:rsidR="00AE6533" w:rsidRPr="00691FFB">
        <w:rPr>
          <w:rFonts w:ascii="Times New Roman" w:hAnsi="Times New Roman"/>
          <w:noProof/>
          <w:spacing w:val="-6"/>
          <w:sz w:val="24"/>
        </w:rPr>
        <w:t xml:space="preserve"> s </w:t>
      </w:r>
      <w:r w:rsidRPr="00691FFB">
        <w:rPr>
          <w:rFonts w:ascii="Times New Roman" w:hAnsi="Times New Roman"/>
          <w:noProof/>
          <w:spacing w:val="-6"/>
          <w:sz w:val="24"/>
        </w:rPr>
        <w:t>členskými štátmi</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zohľadnili sa ich názory, ako aj dodatočné stanoviská, ktoré poskytli niektoré členské štáty na základe žiadosti Komisie na zasadnutí pracovnej skupiny Rady pre občianskoprávne veci (všeobecné otázky) 28</w:t>
      </w:r>
      <w:r w:rsidR="00AE6533" w:rsidRPr="00691FFB">
        <w:rPr>
          <w:rFonts w:ascii="Times New Roman" w:hAnsi="Times New Roman"/>
          <w:noProof/>
          <w:spacing w:val="-6"/>
          <w:sz w:val="24"/>
        </w:rPr>
        <w:t>. februára</w:t>
      </w:r>
      <w:r w:rsidRPr="00691FFB">
        <w:rPr>
          <w:rFonts w:ascii="Times New Roman" w:hAnsi="Times New Roman"/>
          <w:noProof/>
          <w:spacing w:val="-6"/>
          <w:sz w:val="24"/>
        </w:rPr>
        <w:t xml:space="preserve"> 2024</w:t>
      </w:r>
      <w:r w:rsidR="00AE6533" w:rsidRPr="00691FFB">
        <w:rPr>
          <w:rFonts w:ascii="Times New Roman" w:hAnsi="Times New Roman"/>
          <w:noProof/>
          <w:spacing w:val="-6"/>
          <w:sz w:val="24"/>
        </w:rPr>
        <w:t>.</w:t>
      </w:r>
    </w:p>
    <w:p w14:paraId="0F2AE91A" w14:textId="57766A98" w:rsidR="00AE6533" w:rsidRDefault="00FC1AA0" w:rsidP="00544827">
      <w:pPr>
        <w:spacing w:after="120" w:line="240" w:lineRule="auto"/>
        <w:jc w:val="both"/>
        <w:rPr>
          <w:rFonts w:ascii="Times New Roman" w:hAnsi="Times New Roman"/>
          <w:noProof/>
          <w:sz w:val="24"/>
        </w:rPr>
      </w:pPr>
      <w:r w:rsidRPr="00AE6533">
        <w:rPr>
          <w:rFonts w:ascii="Times New Roman" w:hAnsi="Times New Roman"/>
          <w:noProof/>
          <w:sz w:val="24"/>
        </w:rPr>
        <w:t>Informácie uvedené</w:t>
      </w:r>
      <w:r w:rsidR="00AE6533">
        <w:rPr>
          <w:rFonts w:ascii="Times New Roman" w:hAnsi="Times New Roman"/>
          <w:noProof/>
          <w:sz w:val="24"/>
        </w:rPr>
        <w:t xml:space="preserve"> v </w:t>
      </w:r>
      <w:r w:rsidRPr="00AE6533">
        <w:rPr>
          <w:rFonts w:ascii="Times New Roman" w:hAnsi="Times New Roman"/>
          <w:noProof/>
          <w:sz w:val="24"/>
        </w:rPr>
        <w:t>tejto správe pochádzajú aj zo zistení</w:t>
      </w:r>
      <w:r w:rsidR="00AE6533">
        <w:rPr>
          <w:rFonts w:ascii="Times New Roman" w:hAnsi="Times New Roman"/>
          <w:noProof/>
          <w:sz w:val="24"/>
        </w:rPr>
        <w:t xml:space="preserve"> v </w:t>
      </w:r>
      <w:r w:rsidRPr="00AE6533">
        <w:rPr>
          <w:rFonts w:ascii="Times New Roman" w:hAnsi="Times New Roman"/>
          <w:noProof/>
          <w:sz w:val="24"/>
        </w:rPr>
        <w:t>rámci projektu JUDGTRUST</w:t>
      </w:r>
      <w:r w:rsidR="007B265B" w:rsidRPr="00AE6533">
        <w:rPr>
          <w:rStyle w:val="FootnoteReference"/>
          <w:rFonts w:ascii="Times New Roman" w:hAnsi="Times New Roman" w:cs="Times New Roman"/>
          <w:noProof/>
          <w:sz w:val="24"/>
          <w:szCs w:val="24"/>
        </w:rPr>
        <w:footnoteReference w:id="7"/>
      </w:r>
      <w:r w:rsidRPr="00AE6533">
        <w:rPr>
          <w:rFonts w:ascii="Times New Roman" w:hAnsi="Times New Roman"/>
          <w:noProof/>
          <w:sz w:val="24"/>
        </w:rPr>
        <w:t>, ako aj</w:t>
      </w:r>
      <w:r w:rsidR="00AE6533">
        <w:rPr>
          <w:rFonts w:ascii="Times New Roman" w:hAnsi="Times New Roman"/>
          <w:noProof/>
          <w:sz w:val="24"/>
        </w:rPr>
        <w:t xml:space="preserve"> z </w:t>
      </w:r>
      <w:r w:rsidRPr="00AE6533">
        <w:rPr>
          <w:rFonts w:ascii="Times New Roman" w:hAnsi="Times New Roman"/>
          <w:noProof/>
          <w:sz w:val="24"/>
        </w:rPr>
        <w:t>informácií</w:t>
      </w:r>
      <w:r w:rsidR="00AE6533">
        <w:rPr>
          <w:rFonts w:ascii="Times New Roman" w:hAnsi="Times New Roman"/>
          <w:noProof/>
          <w:sz w:val="24"/>
        </w:rPr>
        <w:t xml:space="preserve"> o </w:t>
      </w:r>
      <w:r w:rsidRPr="00AE6533">
        <w:rPr>
          <w:rFonts w:ascii="Times New Roman" w:hAnsi="Times New Roman"/>
          <w:noProof/>
          <w:sz w:val="24"/>
        </w:rPr>
        <w:t>praktickom uplatňovaní nariadenia zozbieraných</w:t>
      </w:r>
      <w:r w:rsidR="00AE6533">
        <w:rPr>
          <w:rFonts w:ascii="Times New Roman" w:hAnsi="Times New Roman"/>
          <w:noProof/>
          <w:sz w:val="24"/>
        </w:rPr>
        <w:t xml:space="preserve"> v </w:t>
      </w:r>
      <w:r w:rsidRPr="00AE6533">
        <w:rPr>
          <w:rFonts w:ascii="Times New Roman" w:hAnsi="Times New Roman"/>
          <w:noProof/>
          <w:sz w:val="24"/>
        </w:rPr>
        <w:t>priebehu roka 2023 prostredníctvom Európskej justičnej siete pre občianske</w:t>
      </w:r>
      <w:r w:rsidR="00AE6533">
        <w:rPr>
          <w:rFonts w:ascii="Times New Roman" w:hAnsi="Times New Roman"/>
          <w:noProof/>
          <w:sz w:val="24"/>
        </w:rPr>
        <w:t xml:space="preserve"> a </w:t>
      </w:r>
      <w:r w:rsidRPr="00AE6533">
        <w:rPr>
          <w:rFonts w:ascii="Times New Roman" w:hAnsi="Times New Roman"/>
          <w:noProof/>
          <w:sz w:val="24"/>
        </w:rPr>
        <w:t>obchodné veci. Pri vypracúvaní tejto správy sa konzultovala aj príslušná vnútroštátna judikatúra, ak bola</w:t>
      </w:r>
      <w:r w:rsidR="00AE6533">
        <w:rPr>
          <w:rFonts w:ascii="Times New Roman" w:hAnsi="Times New Roman"/>
          <w:noProof/>
          <w:sz w:val="24"/>
        </w:rPr>
        <w:t xml:space="preserve"> k </w:t>
      </w:r>
      <w:r w:rsidRPr="00AE6533">
        <w:rPr>
          <w:rFonts w:ascii="Times New Roman" w:hAnsi="Times New Roman"/>
          <w:noProof/>
          <w:sz w:val="24"/>
        </w:rPr>
        <w:t>dispozícii</w:t>
      </w:r>
      <w:r w:rsidR="00AE6533">
        <w:rPr>
          <w:rFonts w:ascii="Times New Roman" w:hAnsi="Times New Roman"/>
          <w:noProof/>
          <w:sz w:val="24"/>
        </w:rPr>
        <w:t>.</w:t>
      </w:r>
    </w:p>
    <w:p w14:paraId="0DDD4EE1" w14:textId="41C86A6D" w:rsidR="00614249" w:rsidRPr="00AE6533" w:rsidRDefault="00B61426" w:rsidP="00164B44">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Cieľom správy je prezentovať celkové posúdenie uplatňovania nariadenia</w:t>
      </w:r>
      <w:r w:rsidR="00AE6533">
        <w:rPr>
          <w:rFonts w:ascii="Times New Roman" w:hAnsi="Times New Roman"/>
          <w:noProof/>
          <w:sz w:val="24"/>
        </w:rPr>
        <w:t xml:space="preserve"> s </w:t>
      </w:r>
      <w:r w:rsidRPr="00AE6533">
        <w:rPr>
          <w:rFonts w:ascii="Times New Roman" w:hAnsi="Times New Roman"/>
          <w:noProof/>
          <w:sz w:val="24"/>
        </w:rPr>
        <w:t>osobitným zameraním na jeho najnáročnejšie aspekty, ako aj na aspekty výslovne uvedené</w:t>
      </w:r>
      <w:r w:rsidR="00AE6533">
        <w:rPr>
          <w:rFonts w:ascii="Times New Roman" w:hAnsi="Times New Roman"/>
          <w:noProof/>
          <w:sz w:val="24"/>
        </w:rPr>
        <w:t xml:space="preserve"> v </w:t>
      </w:r>
      <w:r w:rsidRPr="00AE6533">
        <w:rPr>
          <w:rFonts w:ascii="Times New Roman" w:hAnsi="Times New Roman"/>
          <w:noProof/>
          <w:sz w:val="24"/>
        </w:rPr>
        <w:t>článku 79. Okrem toho sa správa zaoberá viacerými novými</w:t>
      </w:r>
      <w:r w:rsidR="00AE6533">
        <w:rPr>
          <w:rFonts w:ascii="Times New Roman" w:hAnsi="Times New Roman"/>
          <w:noProof/>
          <w:sz w:val="24"/>
        </w:rPr>
        <w:t xml:space="preserve"> a </w:t>
      </w:r>
      <w:r w:rsidRPr="00AE6533">
        <w:rPr>
          <w:rFonts w:ascii="Times New Roman" w:hAnsi="Times New Roman"/>
          <w:noProof/>
          <w:sz w:val="24"/>
        </w:rPr>
        <w:t>vznikajúcimi otázkami, ako sú digitalizácia, kolektívne uplatňovanie nárokov na nápravu</w:t>
      </w:r>
      <w:r w:rsidR="00AE6533">
        <w:rPr>
          <w:rFonts w:ascii="Times New Roman" w:hAnsi="Times New Roman"/>
          <w:noProof/>
          <w:sz w:val="24"/>
        </w:rPr>
        <w:t xml:space="preserve"> a </w:t>
      </w:r>
      <w:r w:rsidRPr="00AE6533">
        <w:rPr>
          <w:rFonts w:ascii="Times New Roman" w:hAnsi="Times New Roman"/>
          <w:noProof/>
          <w:sz w:val="24"/>
        </w:rPr>
        <w:t>oblasti,</w:t>
      </w:r>
      <w:r w:rsidR="00AE6533">
        <w:rPr>
          <w:rFonts w:ascii="Times New Roman" w:hAnsi="Times New Roman"/>
          <w:noProof/>
          <w:sz w:val="24"/>
        </w:rPr>
        <w:t xml:space="preserve"> v </w:t>
      </w:r>
      <w:r w:rsidRPr="00AE6533">
        <w:rPr>
          <w:rFonts w:ascii="Times New Roman" w:hAnsi="Times New Roman"/>
          <w:noProof/>
          <w:sz w:val="24"/>
        </w:rPr>
        <w:t>ktorých by zjednodušenie</w:t>
      </w:r>
      <w:r w:rsidR="00AE6533">
        <w:rPr>
          <w:rFonts w:ascii="Times New Roman" w:hAnsi="Times New Roman"/>
          <w:noProof/>
          <w:sz w:val="24"/>
        </w:rPr>
        <w:t xml:space="preserve"> a </w:t>
      </w:r>
      <w:r w:rsidRPr="00AE6533">
        <w:rPr>
          <w:rFonts w:ascii="Times New Roman" w:hAnsi="Times New Roman"/>
          <w:noProof/>
          <w:sz w:val="24"/>
        </w:rPr>
        <w:t>modernizácia súčasných noriem mohli byť prínosom.</w:t>
      </w:r>
    </w:p>
    <w:p w14:paraId="4FA29F0B" w14:textId="7AD6584C" w:rsidR="007B265B" w:rsidRPr="00AE6533" w:rsidRDefault="003B3DD9" w:rsidP="00164B44">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Ďalšie informácie</w:t>
      </w:r>
      <w:r w:rsidR="00AE6533">
        <w:rPr>
          <w:rFonts w:ascii="Times New Roman" w:hAnsi="Times New Roman"/>
          <w:noProof/>
          <w:sz w:val="24"/>
        </w:rPr>
        <w:t xml:space="preserve"> o </w:t>
      </w:r>
      <w:r w:rsidRPr="00AE6533">
        <w:rPr>
          <w:rFonts w:ascii="Times New Roman" w:hAnsi="Times New Roman"/>
          <w:noProof/>
          <w:sz w:val="24"/>
        </w:rPr>
        <w:t>vybraných otázkach vrátane podrobnejšej analýzy</w:t>
      </w:r>
      <w:r w:rsidR="00AE6533">
        <w:rPr>
          <w:rFonts w:ascii="Times New Roman" w:hAnsi="Times New Roman"/>
          <w:noProof/>
          <w:sz w:val="24"/>
        </w:rPr>
        <w:t xml:space="preserve"> a </w:t>
      </w:r>
      <w:r w:rsidRPr="00AE6533">
        <w:rPr>
          <w:rFonts w:ascii="Times New Roman" w:hAnsi="Times New Roman"/>
          <w:noProof/>
          <w:sz w:val="24"/>
        </w:rPr>
        <w:t>odkazov na judikatúru Súdneho dvora Európskej únie sa uvádzajú</w:t>
      </w:r>
      <w:r w:rsidR="00AE6533">
        <w:rPr>
          <w:rFonts w:ascii="Times New Roman" w:hAnsi="Times New Roman"/>
          <w:noProof/>
          <w:sz w:val="24"/>
        </w:rPr>
        <w:t xml:space="preserve"> v </w:t>
      </w:r>
      <w:r w:rsidRPr="00AE6533">
        <w:rPr>
          <w:rFonts w:ascii="Times New Roman" w:hAnsi="Times New Roman"/>
          <w:noProof/>
          <w:sz w:val="24"/>
        </w:rPr>
        <w:t>pracovnom dokumente útvarov Komisie, ktorý je pripojený</w:t>
      </w:r>
      <w:r w:rsidR="00AE6533">
        <w:rPr>
          <w:rFonts w:ascii="Times New Roman" w:hAnsi="Times New Roman"/>
          <w:noProof/>
          <w:sz w:val="24"/>
        </w:rPr>
        <w:t xml:space="preserve"> k </w:t>
      </w:r>
      <w:r w:rsidRPr="00AE6533">
        <w:rPr>
          <w:rFonts w:ascii="Times New Roman" w:hAnsi="Times New Roman"/>
          <w:noProof/>
          <w:sz w:val="24"/>
        </w:rPr>
        <w:t>tejto správe.</w:t>
      </w:r>
    </w:p>
    <w:p w14:paraId="2ED2F581" w14:textId="77777777" w:rsidR="00AE6533" w:rsidRDefault="00777452" w:rsidP="005B3AA7">
      <w:pPr>
        <w:pStyle w:val="Heading2"/>
        <w:tabs>
          <w:tab w:val="left" w:pos="720"/>
        </w:tabs>
        <w:spacing w:before="240" w:after="120" w:line="240" w:lineRule="auto"/>
        <w:ind w:firstLine="240"/>
        <w:jc w:val="both"/>
        <w:rPr>
          <w:rFonts w:ascii="Times New Roman" w:hAnsi="Times New Roman"/>
          <w:b/>
          <w:noProof/>
          <w:color w:val="auto"/>
          <w:sz w:val="24"/>
        </w:rPr>
      </w:pPr>
      <w:r w:rsidRPr="00AE6533">
        <w:rPr>
          <w:rFonts w:ascii="Times New Roman" w:hAnsi="Times New Roman"/>
          <w:b/>
          <w:noProof/>
          <w:color w:val="auto"/>
          <w:sz w:val="24"/>
        </w:rPr>
        <w:t>1.3. Všeobecný prehľad</w:t>
      </w:r>
      <w:r w:rsidR="00AE6533">
        <w:rPr>
          <w:rFonts w:ascii="Times New Roman" w:hAnsi="Times New Roman"/>
          <w:b/>
          <w:noProof/>
          <w:color w:val="auto"/>
          <w:sz w:val="24"/>
        </w:rPr>
        <w:t xml:space="preserve"> o </w:t>
      </w:r>
      <w:r w:rsidRPr="00AE6533">
        <w:rPr>
          <w:rFonts w:ascii="Times New Roman" w:hAnsi="Times New Roman"/>
          <w:b/>
          <w:noProof/>
          <w:color w:val="auto"/>
          <w:sz w:val="24"/>
        </w:rPr>
        <w:t>uplatňovaní nariadenia</w:t>
      </w:r>
    </w:p>
    <w:p w14:paraId="09595645" w14:textId="682000FE" w:rsidR="00E56524" w:rsidRPr="00AE6533" w:rsidRDefault="00777452" w:rsidP="00150FF8">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Všeobecne sa uznáva, že nariadenie je veľmi úspešným nástrojom</w:t>
      </w:r>
      <w:r w:rsidR="00AE6533">
        <w:rPr>
          <w:rFonts w:ascii="Times New Roman" w:hAnsi="Times New Roman"/>
          <w:noProof/>
          <w:sz w:val="24"/>
        </w:rPr>
        <w:t xml:space="preserve"> a </w:t>
      </w:r>
      <w:r w:rsidRPr="00AE6533">
        <w:rPr>
          <w:rFonts w:ascii="Times New Roman" w:hAnsi="Times New Roman"/>
          <w:noProof/>
          <w:sz w:val="24"/>
        </w:rPr>
        <w:t>zlepšeniami, ktoré prinieslo, ako napríklad zrušenie vyhlásenia vykonateľnosti, sa posilnila justičná spolupráca</w:t>
      </w:r>
      <w:r w:rsidR="00AE6533">
        <w:rPr>
          <w:rFonts w:ascii="Times New Roman" w:hAnsi="Times New Roman"/>
          <w:noProof/>
          <w:sz w:val="24"/>
        </w:rPr>
        <w:t xml:space="preserve"> v </w:t>
      </w:r>
      <w:r w:rsidRPr="00AE6533">
        <w:rPr>
          <w:rFonts w:ascii="Times New Roman" w:hAnsi="Times New Roman"/>
          <w:noProof/>
          <w:sz w:val="24"/>
        </w:rPr>
        <w:t>občianskych</w:t>
      </w:r>
      <w:r w:rsidR="00AE6533">
        <w:rPr>
          <w:rFonts w:ascii="Times New Roman" w:hAnsi="Times New Roman"/>
          <w:noProof/>
          <w:sz w:val="24"/>
        </w:rPr>
        <w:t xml:space="preserve"> a </w:t>
      </w:r>
      <w:r w:rsidRPr="00AE6533">
        <w:rPr>
          <w:rFonts w:ascii="Times New Roman" w:hAnsi="Times New Roman"/>
          <w:noProof/>
          <w:sz w:val="24"/>
        </w:rPr>
        <w:t>obchodných veciach, čo členské štáty</w:t>
      </w:r>
      <w:r w:rsidR="00AE6533">
        <w:rPr>
          <w:rFonts w:ascii="Times New Roman" w:hAnsi="Times New Roman"/>
          <w:noProof/>
          <w:sz w:val="24"/>
        </w:rPr>
        <w:t xml:space="preserve"> a </w:t>
      </w:r>
      <w:r w:rsidRPr="00AE6533">
        <w:rPr>
          <w:rFonts w:ascii="Times New Roman" w:hAnsi="Times New Roman"/>
          <w:noProof/>
          <w:sz w:val="24"/>
        </w:rPr>
        <w:t>zainteresované strany uvítali. Normy podľa nariadenia sa ako celok považujú za jasné</w:t>
      </w:r>
      <w:r w:rsidR="00AE6533">
        <w:rPr>
          <w:rFonts w:ascii="Times New Roman" w:hAnsi="Times New Roman"/>
          <w:noProof/>
          <w:sz w:val="24"/>
        </w:rPr>
        <w:t xml:space="preserve"> a </w:t>
      </w:r>
      <w:r w:rsidRPr="00AE6533">
        <w:rPr>
          <w:rFonts w:ascii="Times New Roman" w:hAnsi="Times New Roman"/>
          <w:noProof/>
          <w:sz w:val="24"/>
        </w:rPr>
        <w:t>jednoduché,</w:t>
      </w:r>
      <w:r w:rsidR="00AE6533">
        <w:rPr>
          <w:rFonts w:ascii="Times New Roman" w:hAnsi="Times New Roman"/>
          <w:noProof/>
          <w:sz w:val="24"/>
        </w:rPr>
        <w:t xml:space="preserve"> a </w:t>
      </w:r>
      <w:r w:rsidRPr="00AE6533">
        <w:rPr>
          <w:rFonts w:ascii="Times New Roman" w:hAnsi="Times New Roman"/>
          <w:noProof/>
          <w:sz w:val="24"/>
        </w:rPr>
        <w:t>preto sú medzi odborníkmi pracujúcimi</w:t>
      </w:r>
      <w:r w:rsidR="00AE6533">
        <w:rPr>
          <w:rFonts w:ascii="Times New Roman" w:hAnsi="Times New Roman"/>
          <w:noProof/>
          <w:sz w:val="24"/>
        </w:rPr>
        <w:t xml:space="preserve"> v </w:t>
      </w:r>
      <w:r w:rsidRPr="00AE6533">
        <w:rPr>
          <w:rFonts w:ascii="Times New Roman" w:hAnsi="Times New Roman"/>
          <w:noProof/>
          <w:sz w:val="24"/>
        </w:rPr>
        <w:t>oblasti práva vysoko cenené.</w:t>
      </w:r>
    </w:p>
    <w:p w14:paraId="55776D27" w14:textId="164F041A" w:rsidR="00AE6533" w:rsidRDefault="00150FF8" w:rsidP="00150FF8">
      <w:pPr>
        <w:spacing w:after="120" w:line="240" w:lineRule="auto"/>
        <w:jc w:val="both"/>
        <w:rPr>
          <w:rFonts w:ascii="Times New Roman" w:hAnsi="Times New Roman"/>
          <w:noProof/>
          <w:sz w:val="24"/>
        </w:rPr>
      </w:pPr>
      <w:r w:rsidRPr="00AE6533">
        <w:rPr>
          <w:rFonts w:ascii="Times New Roman" w:hAnsi="Times New Roman"/>
          <w:noProof/>
          <w:sz w:val="24"/>
        </w:rPr>
        <w:t>Prevláda tiež všeobecný konsenzus, že judikatúra Súdneho dvora Európskej únie</w:t>
      </w:r>
      <w:r w:rsidR="00AE6533">
        <w:rPr>
          <w:rFonts w:ascii="Times New Roman" w:hAnsi="Times New Roman"/>
          <w:noProof/>
          <w:sz w:val="24"/>
        </w:rPr>
        <w:t xml:space="preserve"> v </w:t>
      </w:r>
      <w:r w:rsidRPr="00AE6533">
        <w:rPr>
          <w:rFonts w:ascii="Times New Roman" w:hAnsi="Times New Roman"/>
          <w:noProof/>
          <w:sz w:val="24"/>
        </w:rPr>
        <w:t>zásade poskytuje súdnictvu dostatočné usmernenie</w:t>
      </w:r>
      <w:r w:rsidR="00AE6533">
        <w:rPr>
          <w:rFonts w:ascii="Times New Roman" w:hAnsi="Times New Roman"/>
          <w:noProof/>
          <w:sz w:val="24"/>
        </w:rPr>
        <w:t xml:space="preserve"> a </w:t>
      </w:r>
      <w:r w:rsidRPr="00AE6533">
        <w:rPr>
          <w:rFonts w:ascii="Times New Roman" w:hAnsi="Times New Roman"/>
          <w:noProof/>
          <w:sz w:val="24"/>
        </w:rPr>
        <w:t>pomoc pri uplatňovaní noriem podľa nariadenia.</w:t>
      </w:r>
      <w:r w:rsidR="00AE6533">
        <w:rPr>
          <w:rFonts w:ascii="Times New Roman" w:hAnsi="Times New Roman"/>
          <w:noProof/>
          <w:sz w:val="24"/>
        </w:rPr>
        <w:t xml:space="preserve"> V </w:t>
      </w:r>
      <w:r w:rsidRPr="00AE6533">
        <w:rPr>
          <w:rFonts w:ascii="Times New Roman" w:hAnsi="Times New Roman"/>
          <w:noProof/>
          <w:sz w:val="24"/>
        </w:rPr>
        <w:t>niektorých konkrétnych otázkach však viaceré členské štáty zastávajú názor, že výklad nariadenia vyvoláva zložité otázky,</w:t>
      </w:r>
      <w:r w:rsidR="00AE6533">
        <w:rPr>
          <w:rFonts w:ascii="Times New Roman" w:hAnsi="Times New Roman"/>
          <w:noProof/>
          <w:sz w:val="24"/>
        </w:rPr>
        <w:t xml:space="preserve"> a </w:t>
      </w:r>
      <w:r w:rsidRPr="00AE6533">
        <w:rPr>
          <w:rFonts w:ascii="Times New Roman" w:hAnsi="Times New Roman"/>
          <w:noProof/>
          <w:sz w:val="24"/>
        </w:rPr>
        <w:t>navrhujú, aby ho zákonodarca objasnil</w:t>
      </w:r>
      <w:r w:rsidR="00AE6533">
        <w:rPr>
          <w:rFonts w:ascii="Times New Roman" w:hAnsi="Times New Roman"/>
          <w:noProof/>
          <w:sz w:val="24"/>
        </w:rPr>
        <w:t>.</w:t>
      </w:r>
    </w:p>
    <w:p w14:paraId="41082CAF" w14:textId="7B62A552" w:rsidR="00B26AAF" w:rsidRPr="00AE6533" w:rsidRDefault="00E24A03" w:rsidP="00150FF8">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Vzhľadom na všeobecnú spokojnosť</w:t>
      </w:r>
      <w:r w:rsidR="00AE6533">
        <w:rPr>
          <w:rFonts w:ascii="Times New Roman" w:hAnsi="Times New Roman"/>
          <w:noProof/>
          <w:sz w:val="24"/>
        </w:rPr>
        <w:t xml:space="preserve"> s </w:t>
      </w:r>
      <w:r w:rsidRPr="00AE6533">
        <w:rPr>
          <w:rFonts w:ascii="Times New Roman" w:hAnsi="Times New Roman"/>
          <w:noProof/>
          <w:sz w:val="24"/>
        </w:rPr>
        <w:t>fungovaním nariadenia by akékoľvek úpravy mali byť reakciou na skutočné praktické ťažkosti</w:t>
      </w:r>
      <w:r w:rsidR="00AE6533">
        <w:rPr>
          <w:rFonts w:ascii="Times New Roman" w:hAnsi="Times New Roman"/>
          <w:noProof/>
          <w:sz w:val="24"/>
        </w:rPr>
        <w:t xml:space="preserve"> a </w:t>
      </w:r>
      <w:r w:rsidRPr="00AE6533">
        <w:rPr>
          <w:rFonts w:ascii="Times New Roman" w:hAnsi="Times New Roman"/>
          <w:noProof/>
          <w:sz w:val="24"/>
        </w:rPr>
        <w:t>nemali by viesť</w:t>
      </w:r>
      <w:r w:rsidR="00AE6533">
        <w:rPr>
          <w:rFonts w:ascii="Times New Roman" w:hAnsi="Times New Roman"/>
          <w:noProof/>
          <w:sz w:val="24"/>
        </w:rPr>
        <w:t xml:space="preserve"> k </w:t>
      </w:r>
      <w:r w:rsidRPr="00AE6533">
        <w:rPr>
          <w:rFonts w:ascii="Times New Roman" w:hAnsi="Times New Roman"/>
          <w:noProof/>
          <w:sz w:val="24"/>
        </w:rPr>
        <w:t>prepracovaniu dobre fungujúceho systému podľa nariadenia. Cieľom takýchto úprav by malo byť najmä ďalšie zjednodušenie nariadenia</w:t>
      </w:r>
      <w:r w:rsidR="00AE6533">
        <w:rPr>
          <w:rFonts w:ascii="Times New Roman" w:hAnsi="Times New Roman"/>
          <w:noProof/>
          <w:sz w:val="24"/>
        </w:rPr>
        <w:t xml:space="preserve"> a </w:t>
      </w:r>
      <w:r w:rsidRPr="00AE6533">
        <w:rPr>
          <w:rFonts w:ascii="Times New Roman" w:hAnsi="Times New Roman"/>
          <w:noProof/>
          <w:sz w:val="24"/>
        </w:rPr>
        <w:t>zníženie administratívnej záťaže, najmä pre slabších účastníkov konania, ako sú spotrebitelia, alebo pre malé</w:t>
      </w:r>
      <w:r w:rsidR="00AE6533">
        <w:rPr>
          <w:rFonts w:ascii="Times New Roman" w:hAnsi="Times New Roman"/>
          <w:noProof/>
          <w:sz w:val="24"/>
        </w:rPr>
        <w:t xml:space="preserve"> a </w:t>
      </w:r>
      <w:r w:rsidRPr="00AE6533">
        <w:rPr>
          <w:rFonts w:ascii="Times New Roman" w:hAnsi="Times New Roman"/>
          <w:noProof/>
          <w:sz w:val="24"/>
        </w:rPr>
        <w:t>stredné podniky. Zároveň by sa</w:t>
      </w:r>
      <w:r w:rsidR="00AE6533">
        <w:rPr>
          <w:rFonts w:ascii="Times New Roman" w:hAnsi="Times New Roman"/>
          <w:noProof/>
          <w:sz w:val="24"/>
        </w:rPr>
        <w:t xml:space="preserve"> z </w:t>
      </w:r>
      <w:r w:rsidRPr="00AE6533">
        <w:rPr>
          <w:rFonts w:ascii="Times New Roman" w:hAnsi="Times New Roman"/>
          <w:noProof/>
          <w:sz w:val="24"/>
        </w:rPr>
        <w:t>rozsahu pôsobnosti legislatívneho zásahu mali vynechať ťažkosti, ktoré možno primerane vyriešiť prostredníctvom budúcej judikatúry.</w:t>
      </w:r>
    </w:p>
    <w:p w14:paraId="06B7A607" w14:textId="77777777" w:rsidR="00AE6533" w:rsidRDefault="009C0EFA" w:rsidP="00544827">
      <w:pPr>
        <w:pStyle w:val="Heading1"/>
        <w:spacing w:after="120" w:line="240" w:lineRule="auto"/>
        <w:jc w:val="both"/>
        <w:rPr>
          <w:rFonts w:ascii="Times New Roman" w:hAnsi="Times New Roman"/>
          <w:b/>
          <w:smallCaps/>
          <w:noProof/>
          <w:color w:val="auto"/>
          <w:sz w:val="24"/>
        </w:rPr>
      </w:pPr>
      <w:r w:rsidRPr="00AE6533">
        <w:rPr>
          <w:rFonts w:ascii="Times New Roman" w:hAnsi="Times New Roman"/>
          <w:b/>
          <w:noProof/>
          <w:color w:val="auto"/>
          <w:sz w:val="24"/>
        </w:rPr>
        <w:t xml:space="preserve">2. </w:t>
      </w:r>
      <w:r w:rsidRPr="00AE6533">
        <w:rPr>
          <w:rFonts w:ascii="Times New Roman" w:hAnsi="Times New Roman"/>
          <w:b/>
          <w:smallCaps/>
          <w:noProof/>
          <w:color w:val="auto"/>
          <w:sz w:val="24"/>
        </w:rPr>
        <w:t>Rozsah uplatňovania</w:t>
      </w:r>
      <w:r w:rsidR="00AE6533">
        <w:rPr>
          <w:rFonts w:ascii="Times New Roman" w:hAnsi="Times New Roman"/>
          <w:b/>
          <w:smallCaps/>
          <w:noProof/>
          <w:color w:val="auto"/>
          <w:sz w:val="24"/>
        </w:rPr>
        <w:t xml:space="preserve"> a </w:t>
      </w:r>
      <w:r w:rsidRPr="00AE6533">
        <w:rPr>
          <w:rFonts w:ascii="Times New Roman" w:hAnsi="Times New Roman"/>
          <w:b/>
          <w:smallCaps/>
          <w:noProof/>
          <w:color w:val="auto"/>
          <w:sz w:val="24"/>
        </w:rPr>
        <w:t>vymedzenie pojmov</w:t>
      </w:r>
    </w:p>
    <w:p w14:paraId="3059DB55" w14:textId="77777777" w:rsidR="00AE6533" w:rsidRDefault="009C0EFA" w:rsidP="00ED1561">
      <w:pPr>
        <w:pStyle w:val="Heading2"/>
        <w:spacing w:before="240" w:after="120" w:line="240" w:lineRule="auto"/>
        <w:ind w:firstLine="240"/>
        <w:jc w:val="both"/>
        <w:rPr>
          <w:rFonts w:ascii="Times New Roman" w:hAnsi="Times New Roman"/>
          <w:noProof/>
          <w:sz w:val="24"/>
        </w:rPr>
      </w:pPr>
      <w:r w:rsidRPr="00AE6533">
        <w:rPr>
          <w:rFonts w:ascii="Times New Roman" w:hAnsi="Times New Roman"/>
          <w:b/>
          <w:noProof/>
          <w:color w:val="auto"/>
          <w:sz w:val="24"/>
        </w:rPr>
        <w:t>2.1. Rozsah pôsobnosti (článok 1)</w:t>
      </w:r>
    </w:p>
    <w:p w14:paraId="5435F2B8" w14:textId="4E691510" w:rsidR="00AE6533" w:rsidRDefault="00F4126B" w:rsidP="00A870CD">
      <w:pPr>
        <w:spacing w:after="120" w:line="240" w:lineRule="auto"/>
        <w:jc w:val="both"/>
        <w:rPr>
          <w:rFonts w:ascii="Times New Roman" w:hAnsi="Times New Roman"/>
          <w:noProof/>
          <w:sz w:val="24"/>
        </w:rPr>
      </w:pPr>
      <w:r w:rsidRPr="00AE6533">
        <w:rPr>
          <w:rFonts w:ascii="Times New Roman" w:hAnsi="Times New Roman"/>
          <w:noProof/>
          <w:sz w:val="24"/>
        </w:rPr>
        <w:t>Nariadenie sa uplatňuje</w:t>
      </w:r>
      <w:r w:rsidR="00AE6533">
        <w:rPr>
          <w:rFonts w:ascii="Times New Roman" w:hAnsi="Times New Roman"/>
          <w:noProof/>
          <w:sz w:val="24"/>
        </w:rPr>
        <w:t xml:space="preserve"> v </w:t>
      </w:r>
      <w:r w:rsidRPr="00AE6533">
        <w:rPr>
          <w:rFonts w:ascii="Times New Roman" w:hAnsi="Times New Roman"/>
          <w:noProof/>
          <w:sz w:val="24"/>
        </w:rPr>
        <w:t>občianskych</w:t>
      </w:r>
      <w:r w:rsidR="00AE6533">
        <w:rPr>
          <w:rFonts w:ascii="Times New Roman" w:hAnsi="Times New Roman"/>
          <w:noProof/>
          <w:sz w:val="24"/>
        </w:rPr>
        <w:t xml:space="preserve"> a </w:t>
      </w:r>
      <w:r w:rsidRPr="00AE6533">
        <w:rPr>
          <w:rFonts w:ascii="Times New Roman" w:hAnsi="Times New Roman"/>
          <w:noProof/>
          <w:sz w:val="24"/>
        </w:rPr>
        <w:t>obchodných veciach</w:t>
      </w:r>
      <w:r w:rsidR="00AE6533">
        <w:rPr>
          <w:rFonts w:ascii="Times New Roman" w:hAnsi="Times New Roman"/>
          <w:noProof/>
          <w:sz w:val="24"/>
        </w:rPr>
        <w:t xml:space="preserve"> v </w:t>
      </w:r>
      <w:r w:rsidRPr="00AE6533">
        <w:rPr>
          <w:rFonts w:ascii="Times New Roman" w:hAnsi="Times New Roman"/>
          <w:noProof/>
          <w:sz w:val="24"/>
        </w:rPr>
        <w:t>prípadoch</w:t>
      </w:r>
      <w:r w:rsidR="00AE6533">
        <w:rPr>
          <w:rFonts w:ascii="Times New Roman" w:hAnsi="Times New Roman"/>
          <w:noProof/>
          <w:sz w:val="24"/>
        </w:rPr>
        <w:t xml:space="preserve"> s </w:t>
      </w:r>
      <w:r w:rsidRPr="00AE6533">
        <w:rPr>
          <w:rFonts w:ascii="Times New Roman" w:hAnsi="Times New Roman"/>
          <w:noProof/>
          <w:sz w:val="24"/>
        </w:rPr>
        <w:t>cezhraničnými dôsledkami.</w:t>
      </w:r>
      <w:r w:rsidR="00AE6533">
        <w:rPr>
          <w:rFonts w:ascii="Times New Roman" w:hAnsi="Times New Roman"/>
          <w:noProof/>
          <w:sz w:val="24"/>
        </w:rPr>
        <w:t xml:space="preserve"> Z </w:t>
      </w:r>
      <w:r w:rsidRPr="00AE6533">
        <w:rPr>
          <w:rFonts w:ascii="Times New Roman" w:hAnsi="Times New Roman"/>
          <w:noProof/>
          <w:sz w:val="24"/>
        </w:rPr>
        <w:t>rozsahu pôsobnosti je výslovne vylúčených niekoľko predmetov sporov, ktoré by sa inak mohli klasifikovať ako občianske alebo obchodné veci. Vo všeobecnosti možno povedať, že ustanovenia</w:t>
      </w:r>
      <w:r w:rsidR="00AE6533">
        <w:rPr>
          <w:rFonts w:ascii="Times New Roman" w:hAnsi="Times New Roman"/>
          <w:noProof/>
          <w:sz w:val="24"/>
        </w:rPr>
        <w:t xml:space="preserve"> o </w:t>
      </w:r>
      <w:r w:rsidRPr="00AE6533">
        <w:rPr>
          <w:rFonts w:ascii="Times New Roman" w:hAnsi="Times New Roman"/>
          <w:noProof/>
          <w:sz w:val="24"/>
        </w:rPr>
        <w:t>rozsahu pôsobnosti fungujú dobre, zdá sa však, že sa pravidelne opakujú niektoré otázky týkajúce sa výkladu, najmä pokiaľ ide</w:t>
      </w:r>
      <w:r w:rsidR="00AE6533">
        <w:rPr>
          <w:rFonts w:ascii="Times New Roman" w:hAnsi="Times New Roman"/>
          <w:noProof/>
          <w:sz w:val="24"/>
        </w:rPr>
        <w:t xml:space="preserve"> o </w:t>
      </w:r>
      <w:r w:rsidRPr="00AE6533">
        <w:rPr>
          <w:rFonts w:ascii="Times New Roman" w:hAnsi="Times New Roman"/>
          <w:noProof/>
          <w:sz w:val="24"/>
        </w:rPr>
        <w:t>pojem „cezhraničné dôsledky“ alebo vylúčenie rozhodcovského konania</w:t>
      </w:r>
      <w:r w:rsidR="00AE6533">
        <w:rPr>
          <w:rFonts w:ascii="Times New Roman" w:hAnsi="Times New Roman"/>
          <w:noProof/>
          <w:sz w:val="24"/>
        </w:rPr>
        <w:t>.</w:t>
      </w:r>
    </w:p>
    <w:p w14:paraId="271B7F42" w14:textId="19D199FB" w:rsidR="00774B9B" w:rsidRPr="00691FFB" w:rsidRDefault="005B697F" w:rsidP="00A870CD">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Z judikatúry Súdneho dvora Európskej únie</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konzultácií uskutočnených</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rámci štúdie vyplýva, že pri posudzovaní uplatňovania nariadenia si osobitnú pozornosť vyžaduje viacero otázok:</w:t>
      </w:r>
    </w:p>
    <w:p w14:paraId="64EDBD4C" w14:textId="10B9EFEC" w:rsidR="00774B9B" w:rsidRPr="00AE6533" w:rsidRDefault="00774B9B" w:rsidP="00A870CD">
      <w:pPr>
        <w:pStyle w:val="ListParagraph"/>
        <w:numPr>
          <w:ilvl w:val="0"/>
          <w:numId w:val="3"/>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štandard, ktorý sa má použiť na rozhodnutie</w:t>
      </w:r>
      <w:r w:rsidR="00AE6533">
        <w:rPr>
          <w:rFonts w:ascii="Times New Roman" w:hAnsi="Times New Roman"/>
          <w:noProof/>
          <w:sz w:val="24"/>
        </w:rPr>
        <w:t xml:space="preserve"> o </w:t>
      </w:r>
      <w:r w:rsidRPr="00AE6533">
        <w:rPr>
          <w:rFonts w:ascii="Times New Roman" w:hAnsi="Times New Roman"/>
          <w:noProof/>
          <w:sz w:val="24"/>
        </w:rPr>
        <w:t>tom, či má vec cezhraničné dôsledky,</w:t>
      </w:r>
    </w:p>
    <w:p w14:paraId="0F8400E7" w14:textId="2270EC6D" w:rsidR="00774B9B" w:rsidRPr="00AE6533" w:rsidRDefault="00774B9B" w:rsidP="00A870CD">
      <w:pPr>
        <w:pStyle w:val="ListParagraph"/>
        <w:numPr>
          <w:ilvl w:val="0"/>
          <w:numId w:val="3"/>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vymedzenie pojmu „občianske</w:t>
      </w:r>
      <w:r w:rsidR="00AE6533">
        <w:rPr>
          <w:rFonts w:ascii="Times New Roman" w:hAnsi="Times New Roman"/>
          <w:noProof/>
          <w:sz w:val="24"/>
        </w:rPr>
        <w:t xml:space="preserve"> a </w:t>
      </w:r>
      <w:r w:rsidRPr="00AE6533">
        <w:rPr>
          <w:rFonts w:ascii="Times New Roman" w:hAnsi="Times New Roman"/>
          <w:noProof/>
          <w:sz w:val="24"/>
        </w:rPr>
        <w:t>obchodné“,</w:t>
      </w:r>
    </w:p>
    <w:p w14:paraId="56234DCC" w14:textId="6B68CF19" w:rsidR="00774B9B" w:rsidRPr="00691FFB" w:rsidRDefault="00774B9B" w:rsidP="00544827">
      <w:pPr>
        <w:pStyle w:val="ListParagraph"/>
        <w:numPr>
          <w:ilvl w:val="0"/>
          <w:numId w:val="3"/>
        </w:numPr>
        <w:spacing w:after="120" w:line="240" w:lineRule="auto"/>
        <w:ind w:left="0" w:firstLine="360"/>
        <w:contextualSpacing w:val="0"/>
        <w:jc w:val="both"/>
        <w:rPr>
          <w:rFonts w:ascii="Times New Roman" w:hAnsi="Times New Roman" w:cs="Times New Roman"/>
          <w:noProof/>
          <w:spacing w:val="-10"/>
          <w:sz w:val="24"/>
          <w:szCs w:val="24"/>
        </w:rPr>
      </w:pPr>
      <w:r w:rsidRPr="00691FFB">
        <w:rPr>
          <w:rFonts w:ascii="Times New Roman" w:hAnsi="Times New Roman"/>
          <w:noProof/>
          <w:spacing w:val="-10"/>
          <w:sz w:val="24"/>
        </w:rPr>
        <w:t>vymedzenie nárokov súvisiacich</w:t>
      </w:r>
      <w:r w:rsidR="00AE6533" w:rsidRPr="00691FFB">
        <w:rPr>
          <w:rFonts w:ascii="Times New Roman" w:hAnsi="Times New Roman"/>
          <w:noProof/>
          <w:spacing w:val="-10"/>
          <w:sz w:val="24"/>
        </w:rPr>
        <w:t xml:space="preserve"> s </w:t>
      </w:r>
      <w:r w:rsidRPr="00691FFB">
        <w:rPr>
          <w:rFonts w:ascii="Times New Roman" w:hAnsi="Times New Roman"/>
          <w:noProof/>
          <w:spacing w:val="-10"/>
          <w:sz w:val="24"/>
        </w:rPr>
        <w:t>platobnou neschopnosťou (vylúčené</w:t>
      </w:r>
      <w:r w:rsidR="00AE6533" w:rsidRPr="00691FFB">
        <w:rPr>
          <w:rFonts w:ascii="Times New Roman" w:hAnsi="Times New Roman"/>
          <w:noProof/>
          <w:spacing w:val="-10"/>
          <w:sz w:val="24"/>
        </w:rPr>
        <w:t xml:space="preserve"> z </w:t>
      </w:r>
      <w:r w:rsidRPr="00691FFB">
        <w:rPr>
          <w:rFonts w:ascii="Times New Roman" w:hAnsi="Times New Roman"/>
          <w:noProof/>
          <w:spacing w:val="-10"/>
          <w:sz w:val="24"/>
        </w:rPr>
        <w:t>rozsahu pôsobnosti),</w:t>
      </w:r>
    </w:p>
    <w:p w14:paraId="236C6793" w14:textId="27E64177" w:rsidR="00774B9B" w:rsidRPr="00AE6533" w:rsidRDefault="00774B9B" w:rsidP="00544827">
      <w:pPr>
        <w:pStyle w:val="ListParagraph"/>
        <w:numPr>
          <w:ilvl w:val="0"/>
          <w:numId w:val="3"/>
        </w:numPr>
        <w:spacing w:after="120" w:line="240" w:lineRule="auto"/>
        <w:ind w:left="0" w:firstLine="360"/>
        <w:contextualSpacing w:val="0"/>
        <w:jc w:val="both"/>
        <w:rPr>
          <w:rFonts w:ascii="Times New Roman" w:hAnsi="Times New Roman" w:cs="Times New Roman"/>
          <w:noProof/>
          <w:sz w:val="24"/>
          <w:szCs w:val="24"/>
        </w:rPr>
      </w:pPr>
      <w:r w:rsidRPr="00AE6533">
        <w:rPr>
          <w:rFonts w:ascii="Times New Roman" w:hAnsi="Times New Roman"/>
          <w:noProof/>
          <w:sz w:val="24"/>
        </w:rPr>
        <w:t>vylúčenie rozhodcovského konania</w:t>
      </w:r>
      <w:r w:rsidR="00C53407" w:rsidRPr="00AE6533">
        <w:rPr>
          <w:rStyle w:val="FootnoteReference"/>
          <w:rFonts w:ascii="Times New Roman" w:hAnsi="Times New Roman" w:cs="Times New Roman"/>
          <w:noProof/>
          <w:sz w:val="24"/>
          <w:szCs w:val="24"/>
        </w:rPr>
        <w:footnoteReference w:id="8"/>
      </w:r>
      <w:r w:rsidRPr="00AE6533">
        <w:rPr>
          <w:rFonts w:ascii="Times New Roman" w:hAnsi="Times New Roman"/>
          <w:noProof/>
          <w:sz w:val="24"/>
        </w:rPr>
        <w:t>.</w:t>
      </w:r>
    </w:p>
    <w:p w14:paraId="46A425D7" w14:textId="47DFD537" w:rsidR="00774B9B" w:rsidRPr="00AE6533" w:rsidRDefault="00774B9B" w:rsidP="00036D55">
      <w:pPr>
        <w:pStyle w:val="Heading3LL"/>
        <w:spacing w:before="240"/>
        <w:ind w:firstLine="720"/>
        <w:rPr>
          <w:noProof/>
        </w:rPr>
      </w:pPr>
      <w:r w:rsidRPr="00AE6533">
        <w:rPr>
          <w:noProof/>
        </w:rPr>
        <w:t>Vylúčenie rozhodcovského konania</w:t>
      </w:r>
    </w:p>
    <w:p w14:paraId="7BFCA58C" w14:textId="3215AC82" w:rsidR="00AE6533" w:rsidRPr="00691FFB" w:rsidRDefault="00774B9B" w:rsidP="00960041">
      <w:pPr>
        <w:spacing w:after="120" w:line="240" w:lineRule="auto"/>
        <w:jc w:val="both"/>
        <w:rPr>
          <w:rFonts w:ascii="Times New Roman" w:hAnsi="Times New Roman"/>
          <w:noProof/>
          <w:spacing w:val="-6"/>
          <w:sz w:val="24"/>
        </w:rPr>
      </w:pPr>
      <w:r w:rsidRPr="00691FFB">
        <w:rPr>
          <w:rFonts w:ascii="Times New Roman" w:hAnsi="Times New Roman"/>
          <w:noProof/>
          <w:spacing w:val="-6"/>
          <w:sz w:val="24"/>
        </w:rPr>
        <w:t>Od prijatia Bruselského dohovoru</w:t>
      </w:r>
      <w:r w:rsidR="00AE6533" w:rsidRPr="00691FFB">
        <w:rPr>
          <w:rFonts w:ascii="Times New Roman" w:hAnsi="Times New Roman"/>
          <w:noProof/>
          <w:spacing w:val="-6"/>
          <w:sz w:val="24"/>
        </w:rPr>
        <w:t xml:space="preserve"> z </w:t>
      </w:r>
      <w:r w:rsidRPr="00691FFB">
        <w:rPr>
          <w:rFonts w:ascii="Times New Roman" w:hAnsi="Times New Roman"/>
          <w:noProof/>
          <w:spacing w:val="-6"/>
          <w:sz w:val="24"/>
        </w:rPr>
        <w:t>roku 1968 boli</w:t>
      </w:r>
      <w:r w:rsidR="00AE6533" w:rsidRPr="00691FFB">
        <w:rPr>
          <w:rFonts w:ascii="Times New Roman" w:hAnsi="Times New Roman"/>
          <w:noProof/>
          <w:spacing w:val="-6"/>
          <w:sz w:val="24"/>
        </w:rPr>
        <w:t xml:space="preserve"> z </w:t>
      </w:r>
      <w:r w:rsidRPr="00691FFB">
        <w:rPr>
          <w:rFonts w:ascii="Times New Roman" w:hAnsi="Times New Roman"/>
          <w:noProof/>
          <w:spacing w:val="-6"/>
          <w:sz w:val="24"/>
        </w:rPr>
        <w:t>rozsahu pôsobnosti nariadenia vylúčené záležitosti týkajúce sa rozhodcovského konania. Nariadením sa však toto vylúčenie posilnilo,</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to doplnením spresnenia</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odôvodnení 12, ako aj osobitného ustanovenia</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článku 73 ods. 2,</w:t>
      </w:r>
      <w:r w:rsidR="00AE6533" w:rsidRPr="00691FFB">
        <w:rPr>
          <w:rFonts w:ascii="Times New Roman" w:hAnsi="Times New Roman"/>
          <w:noProof/>
          <w:spacing w:val="-6"/>
          <w:sz w:val="24"/>
        </w:rPr>
        <w:t xml:space="preserve"> s </w:t>
      </w:r>
      <w:r w:rsidRPr="00691FFB">
        <w:rPr>
          <w:rFonts w:ascii="Times New Roman" w:hAnsi="Times New Roman"/>
          <w:noProof/>
          <w:spacing w:val="-6"/>
          <w:sz w:val="24"/>
        </w:rPr>
        <w:t>cieľom zabrániť akémukoľvek prekrývaniu</w:t>
      </w:r>
      <w:r w:rsidR="00AE6533" w:rsidRPr="00691FFB">
        <w:rPr>
          <w:rFonts w:ascii="Times New Roman" w:hAnsi="Times New Roman"/>
          <w:noProof/>
          <w:spacing w:val="-6"/>
          <w:sz w:val="24"/>
        </w:rPr>
        <w:t xml:space="preserve"> s </w:t>
      </w:r>
      <w:r w:rsidRPr="00691FFB">
        <w:rPr>
          <w:rFonts w:ascii="Times New Roman" w:hAnsi="Times New Roman"/>
          <w:noProof/>
          <w:spacing w:val="-6"/>
          <w:sz w:val="24"/>
        </w:rPr>
        <w:t>Dohovorom</w:t>
      </w:r>
      <w:r w:rsidR="00AE6533" w:rsidRPr="00691FFB">
        <w:rPr>
          <w:rFonts w:ascii="Times New Roman" w:hAnsi="Times New Roman"/>
          <w:noProof/>
          <w:spacing w:val="-6"/>
          <w:sz w:val="24"/>
        </w:rPr>
        <w:t xml:space="preserve"> o </w:t>
      </w:r>
      <w:r w:rsidRPr="00691FFB">
        <w:rPr>
          <w:rFonts w:ascii="Times New Roman" w:hAnsi="Times New Roman"/>
          <w:noProof/>
          <w:spacing w:val="-6"/>
          <w:sz w:val="24"/>
        </w:rPr>
        <w:t>uznaní</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výkone cudzích rozhodcovských rozhodnutí</w:t>
      </w:r>
      <w:r w:rsidR="00AD29D3" w:rsidRPr="00691FFB">
        <w:rPr>
          <w:rStyle w:val="FootnoteReference"/>
          <w:rFonts w:ascii="Times New Roman" w:hAnsi="Times New Roman" w:cs="Times New Roman"/>
          <w:noProof/>
          <w:spacing w:val="-6"/>
          <w:sz w:val="24"/>
          <w:szCs w:val="24"/>
        </w:rPr>
        <w:footnoteReference w:id="9"/>
      </w:r>
      <w:r w:rsidRPr="00691FFB">
        <w:rPr>
          <w:rFonts w:ascii="Times New Roman" w:hAnsi="Times New Roman"/>
          <w:noProof/>
          <w:spacing w:val="-6"/>
          <w:sz w:val="24"/>
        </w:rPr>
        <w:t xml:space="preserve"> (ďalej len „Dohovor</w:t>
      </w:r>
      <w:r w:rsidR="00AE6533" w:rsidRPr="00691FFB">
        <w:rPr>
          <w:rFonts w:ascii="Times New Roman" w:hAnsi="Times New Roman"/>
          <w:noProof/>
          <w:spacing w:val="-6"/>
          <w:sz w:val="24"/>
        </w:rPr>
        <w:t xml:space="preserve"> o </w:t>
      </w:r>
      <w:r w:rsidRPr="00691FFB">
        <w:rPr>
          <w:rFonts w:ascii="Times New Roman" w:hAnsi="Times New Roman"/>
          <w:noProof/>
          <w:spacing w:val="-6"/>
          <w:sz w:val="24"/>
        </w:rPr>
        <w:t>uznaní</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výkone cudzích rozhodcovských rozhodnutí“)</w:t>
      </w:r>
      <w:r w:rsidR="00AE6533" w:rsidRPr="00691FFB">
        <w:rPr>
          <w:rFonts w:ascii="Times New Roman" w:hAnsi="Times New Roman"/>
          <w:noProof/>
          <w:spacing w:val="-6"/>
          <w:sz w:val="24"/>
        </w:rPr>
        <w:t>.</w:t>
      </w:r>
    </w:p>
    <w:p w14:paraId="5AE7CB46" w14:textId="215472D2" w:rsidR="00AE6533" w:rsidRDefault="00774B9B" w:rsidP="00F314FF">
      <w:pPr>
        <w:spacing w:after="120" w:line="240" w:lineRule="auto"/>
        <w:jc w:val="both"/>
        <w:rPr>
          <w:rFonts w:ascii="Times New Roman" w:hAnsi="Times New Roman"/>
          <w:noProof/>
          <w:sz w:val="24"/>
        </w:rPr>
      </w:pPr>
      <w:r w:rsidRPr="00AE6533">
        <w:rPr>
          <w:rFonts w:ascii="Times New Roman" w:hAnsi="Times New Roman"/>
          <w:noProof/>
          <w:sz w:val="24"/>
        </w:rPr>
        <w:t>Vo veci London Steam-Ship Owners' Mutual Insurance Association (C-700/20),</w:t>
      </w:r>
      <w:r w:rsidR="00AE6533">
        <w:rPr>
          <w:rFonts w:ascii="Times New Roman" w:hAnsi="Times New Roman"/>
          <w:noProof/>
          <w:sz w:val="24"/>
        </w:rPr>
        <w:t xml:space="preserve"> o </w:t>
      </w:r>
      <w:r w:rsidRPr="00AE6533">
        <w:rPr>
          <w:rFonts w:ascii="Times New Roman" w:hAnsi="Times New Roman"/>
          <w:noProof/>
          <w:sz w:val="24"/>
        </w:rPr>
        <w:t>ktorej sa rozhodlo</w:t>
      </w:r>
      <w:r w:rsidR="00AE6533">
        <w:rPr>
          <w:rFonts w:ascii="Times New Roman" w:hAnsi="Times New Roman"/>
          <w:noProof/>
          <w:sz w:val="24"/>
        </w:rPr>
        <w:t xml:space="preserve"> v </w:t>
      </w:r>
      <w:r w:rsidRPr="00AE6533">
        <w:rPr>
          <w:rFonts w:ascii="Times New Roman" w:hAnsi="Times New Roman"/>
          <w:noProof/>
          <w:sz w:val="24"/>
        </w:rPr>
        <w:t>roku 2022 podľa nariadenia Brusel I, Súdny dvor Európskej únie rozhodol, že nezlučiteľný rozsudok vydaný</w:t>
      </w:r>
      <w:r w:rsidR="00AE6533">
        <w:rPr>
          <w:rFonts w:ascii="Times New Roman" w:hAnsi="Times New Roman"/>
          <w:noProof/>
          <w:sz w:val="24"/>
        </w:rPr>
        <w:t xml:space="preserve"> v </w:t>
      </w:r>
      <w:r w:rsidRPr="00AE6533">
        <w:rPr>
          <w:rFonts w:ascii="Times New Roman" w:hAnsi="Times New Roman"/>
          <w:noProof/>
          <w:sz w:val="24"/>
        </w:rPr>
        <w:t>znení rozhodcovského rozsudku môže brániť uznaniu rozsudku</w:t>
      </w:r>
      <w:r w:rsidR="00AE6533">
        <w:rPr>
          <w:rFonts w:ascii="Times New Roman" w:hAnsi="Times New Roman"/>
          <w:noProof/>
          <w:sz w:val="24"/>
        </w:rPr>
        <w:t xml:space="preserve"> z </w:t>
      </w:r>
      <w:r w:rsidRPr="00AE6533">
        <w:rPr>
          <w:rFonts w:ascii="Times New Roman" w:hAnsi="Times New Roman"/>
          <w:noProof/>
          <w:sz w:val="24"/>
        </w:rPr>
        <w:t>iného členského štátu na základe článku 34 ods. 3 nariadenia Brusel I (článok 45 nariadenia), ale potom viazal uplatniteľnosť dôvodu zamietnutia na podmienku, že je</w:t>
      </w:r>
      <w:r w:rsidR="00AE6533">
        <w:rPr>
          <w:rFonts w:ascii="Times New Roman" w:hAnsi="Times New Roman"/>
          <w:noProof/>
          <w:sz w:val="24"/>
        </w:rPr>
        <w:t xml:space="preserve"> k </w:t>
      </w:r>
      <w:r w:rsidRPr="00AE6533">
        <w:rPr>
          <w:rFonts w:ascii="Times New Roman" w:hAnsi="Times New Roman"/>
          <w:noProof/>
          <w:sz w:val="24"/>
        </w:rPr>
        <w:t>dispozícii len vtedy, ak by obsah rozhodcovského rozsudku mohol byť predmetom rozsudku vydaného</w:t>
      </w:r>
      <w:r w:rsidR="00AE6533">
        <w:rPr>
          <w:rFonts w:ascii="Times New Roman" w:hAnsi="Times New Roman"/>
          <w:noProof/>
          <w:sz w:val="24"/>
        </w:rPr>
        <w:t xml:space="preserve"> v </w:t>
      </w:r>
      <w:r w:rsidRPr="00AE6533">
        <w:rPr>
          <w:rFonts w:ascii="Times New Roman" w:hAnsi="Times New Roman"/>
          <w:noProof/>
          <w:sz w:val="24"/>
        </w:rPr>
        <w:t>súlade</w:t>
      </w:r>
      <w:r w:rsidR="00AE6533">
        <w:rPr>
          <w:rFonts w:ascii="Times New Roman" w:hAnsi="Times New Roman"/>
          <w:noProof/>
          <w:sz w:val="24"/>
        </w:rPr>
        <w:t xml:space="preserve"> s </w:t>
      </w:r>
      <w:r w:rsidRPr="00AE6533">
        <w:rPr>
          <w:rFonts w:ascii="Times New Roman" w:hAnsi="Times New Roman"/>
          <w:noProof/>
          <w:sz w:val="24"/>
        </w:rPr>
        <w:t>pravidlami nariadenia Brusel I.</w:t>
      </w:r>
      <w:r w:rsidR="00AE6533">
        <w:rPr>
          <w:rFonts w:ascii="Times New Roman" w:hAnsi="Times New Roman"/>
          <w:noProof/>
          <w:sz w:val="24"/>
        </w:rPr>
        <w:t xml:space="preserve"> V </w:t>
      </w:r>
      <w:r w:rsidRPr="00AE6533">
        <w:rPr>
          <w:rFonts w:ascii="Times New Roman" w:hAnsi="Times New Roman"/>
          <w:noProof/>
          <w:sz w:val="24"/>
        </w:rPr>
        <w:t>tejto súvislosti treba poznamenať, že Súdny dvor</w:t>
      </w:r>
      <w:r w:rsidR="00AE6533">
        <w:rPr>
          <w:rFonts w:ascii="Times New Roman" w:hAnsi="Times New Roman"/>
          <w:noProof/>
          <w:sz w:val="24"/>
        </w:rPr>
        <w:t xml:space="preserve"> k </w:t>
      </w:r>
      <w:r w:rsidRPr="00AE6533">
        <w:rPr>
          <w:rFonts w:ascii="Times New Roman" w:hAnsi="Times New Roman"/>
          <w:noProof/>
          <w:sz w:val="24"/>
        </w:rPr>
        <w:t>tomuto rozhodnutiu nedospel na základe nezlučiteľnosti cudzieho rozsudku</w:t>
      </w:r>
      <w:r w:rsidR="00AE6533">
        <w:rPr>
          <w:rFonts w:ascii="Times New Roman" w:hAnsi="Times New Roman"/>
          <w:noProof/>
          <w:sz w:val="24"/>
        </w:rPr>
        <w:t xml:space="preserve"> s </w:t>
      </w:r>
      <w:r w:rsidRPr="00AE6533">
        <w:rPr>
          <w:rFonts w:ascii="Times New Roman" w:hAnsi="Times New Roman"/>
          <w:noProof/>
          <w:sz w:val="24"/>
        </w:rPr>
        <w:t>rozhodcovským rozsudkom, ale len</w:t>
      </w:r>
      <w:r w:rsidR="00AE6533">
        <w:rPr>
          <w:rFonts w:ascii="Times New Roman" w:hAnsi="Times New Roman"/>
          <w:noProof/>
          <w:sz w:val="24"/>
        </w:rPr>
        <w:t xml:space="preserve"> s </w:t>
      </w:r>
      <w:r w:rsidRPr="00AE6533">
        <w:rPr>
          <w:rFonts w:ascii="Times New Roman" w:hAnsi="Times New Roman"/>
          <w:noProof/>
          <w:sz w:val="24"/>
        </w:rPr>
        <w:t>odkazom na rozsudok potvrdzujúci rozhodcovský rozsudok. Súdny dvor zároveň rozhodol, že na základe takejto nezlučiteľnosti sa nemožno odvolávať na výnimku týkajúcu sa verejného poriadku</w:t>
      </w:r>
      <w:r w:rsidR="00AE6533">
        <w:rPr>
          <w:rFonts w:ascii="Times New Roman" w:hAnsi="Times New Roman"/>
          <w:noProof/>
          <w:sz w:val="24"/>
        </w:rPr>
        <w:t>.</w:t>
      </w:r>
    </w:p>
    <w:p w14:paraId="7DCC1D0E" w14:textId="193BC7F1" w:rsidR="00AE6533" w:rsidRPr="00691FFB" w:rsidRDefault="00774B9B" w:rsidP="00A870CD">
      <w:pPr>
        <w:spacing w:after="120" w:line="240" w:lineRule="auto"/>
        <w:jc w:val="both"/>
        <w:rPr>
          <w:rFonts w:ascii="Times New Roman" w:hAnsi="Times New Roman"/>
          <w:noProof/>
          <w:spacing w:val="-4"/>
          <w:sz w:val="24"/>
        </w:rPr>
      </w:pPr>
      <w:r w:rsidRPr="00691FFB">
        <w:rPr>
          <w:rFonts w:ascii="Times New Roman" w:hAnsi="Times New Roman"/>
          <w:noProof/>
          <w:spacing w:val="-4"/>
          <w:sz w:val="24"/>
        </w:rPr>
        <w:t>Zo štúdie vyplynula nejednoznačná situácia. Zatiaľ čo väčšina respondentov sa nestretla so žiadnymi problémami pri uplatňovaní tejto výnimky,</w:t>
      </w:r>
      <w:r w:rsidR="00AE6533" w:rsidRPr="00691FFB">
        <w:rPr>
          <w:rFonts w:ascii="Times New Roman" w:hAnsi="Times New Roman"/>
          <w:noProof/>
          <w:spacing w:val="-4"/>
          <w:sz w:val="24"/>
        </w:rPr>
        <w:t xml:space="preserve"> z </w:t>
      </w:r>
      <w:r w:rsidRPr="00691FFB">
        <w:rPr>
          <w:rFonts w:ascii="Times New Roman" w:hAnsi="Times New Roman"/>
          <w:noProof/>
          <w:spacing w:val="-4"/>
          <w:sz w:val="24"/>
        </w:rPr>
        <w:t>vnútroštátnej judikatúry</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ôsmich členských štátoch vyplýva, že výnimka týkajúca sa rozhodcovského konania sa vzťahuje nielen na uznávanie</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výkon rozhodcovských rozsudkov, ale aj na uznávanie</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výkon rozsudkov potvrdzujúcich takéto rozhodcovské rozsudky. Zdalo by sa, že tento postup je</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rozpore</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rozsudkom Súdneho dvora vo veci London Steam-Ship Owners' Mutual Insurance Association</w:t>
      </w:r>
      <w:r w:rsidR="00AE6533" w:rsidRPr="00691FFB">
        <w:rPr>
          <w:rFonts w:ascii="Times New Roman" w:hAnsi="Times New Roman"/>
          <w:noProof/>
          <w:spacing w:val="-4"/>
          <w:sz w:val="24"/>
        </w:rPr>
        <w:t>.</w:t>
      </w:r>
    </w:p>
    <w:p w14:paraId="066047FC" w14:textId="24BE54D2" w:rsidR="00774B9B" w:rsidRPr="00AE6533" w:rsidRDefault="005B697F" w:rsidP="00A870C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Rozsudok Súdneho dvora Európskej únie poukazuje aj na ďalší problém,</w:t>
      </w:r>
      <w:r w:rsidR="00AE6533">
        <w:rPr>
          <w:rFonts w:ascii="Times New Roman" w:hAnsi="Times New Roman"/>
          <w:noProof/>
          <w:sz w:val="24"/>
        </w:rPr>
        <w:t xml:space="preserve"> a </w:t>
      </w:r>
      <w:r w:rsidRPr="00AE6533">
        <w:rPr>
          <w:rFonts w:ascii="Times New Roman" w:hAnsi="Times New Roman"/>
          <w:noProof/>
          <w:sz w:val="24"/>
        </w:rPr>
        <w:t>to na neexistenciu pravidla prekážky začatej veci</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rozhodcovským konaním.</w:t>
      </w:r>
      <w:r w:rsidR="00AE6533">
        <w:rPr>
          <w:rFonts w:ascii="Times New Roman" w:hAnsi="Times New Roman"/>
          <w:noProof/>
          <w:sz w:val="24"/>
        </w:rPr>
        <w:t xml:space="preserve"> V </w:t>
      </w:r>
      <w:r w:rsidRPr="00AE6533">
        <w:rPr>
          <w:rFonts w:ascii="Times New Roman" w:hAnsi="Times New Roman"/>
          <w:noProof/>
          <w:sz w:val="24"/>
        </w:rPr>
        <w:t>skutočnosti by sa riziko nezlučiteľnosti rozhodcovských rozsudkov alebo rozsudkov potvrdzujúcich takéto rozhodcovské rozsudky</w:t>
      </w:r>
      <w:r w:rsidR="00AE6533">
        <w:rPr>
          <w:rFonts w:ascii="Times New Roman" w:hAnsi="Times New Roman"/>
          <w:noProof/>
          <w:sz w:val="24"/>
        </w:rPr>
        <w:t xml:space="preserve"> s </w:t>
      </w:r>
      <w:r w:rsidRPr="00AE6533">
        <w:rPr>
          <w:rFonts w:ascii="Times New Roman" w:hAnsi="Times New Roman"/>
          <w:noProof/>
          <w:sz w:val="24"/>
        </w:rPr>
        <w:t>inými rozsudkami pravdepodobne znížilo či dokonca odstránilo, ak by nariadenie obsahovalo jasné pravidlo prednosti za takýchto okolností.</w:t>
      </w:r>
    </w:p>
    <w:p w14:paraId="36B6520F" w14:textId="16A08F1D" w:rsidR="00774B9B" w:rsidRPr="00AE6533" w:rsidRDefault="00774B9B" w:rsidP="00A870C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Prípadné budúce preskúmanie by sa preto mohlo podrobnejšie zaoberať tým, či možno</w:t>
      </w:r>
      <w:r w:rsidR="00AE6533">
        <w:rPr>
          <w:rFonts w:ascii="Times New Roman" w:hAnsi="Times New Roman"/>
          <w:noProof/>
          <w:sz w:val="24"/>
        </w:rPr>
        <w:t xml:space="preserve"> v </w:t>
      </w:r>
      <w:r w:rsidRPr="00AE6533">
        <w:rPr>
          <w:rFonts w:ascii="Times New Roman" w:hAnsi="Times New Roman"/>
          <w:noProof/>
          <w:sz w:val="24"/>
        </w:rPr>
        <w:t>nariadení riešiť určité praktické situácie, napríklad stanovením jasného pravidla prekážky začatej veci, ktoré by mohlo zabrániť situáciám nezlučiteľnosti medzi rozhodcovským rozsudkom/rozsudkom potvrdzujúcim takýto rozhodcovský rozsudok</w:t>
      </w:r>
      <w:r w:rsidR="00AE6533">
        <w:rPr>
          <w:rFonts w:ascii="Times New Roman" w:hAnsi="Times New Roman"/>
          <w:noProof/>
          <w:sz w:val="24"/>
        </w:rPr>
        <w:t xml:space="preserve"> a </w:t>
      </w:r>
      <w:r w:rsidRPr="00AE6533">
        <w:rPr>
          <w:rFonts w:ascii="Times New Roman" w:hAnsi="Times New Roman"/>
          <w:noProof/>
          <w:sz w:val="24"/>
        </w:rPr>
        <w:t>iným rozsudkom.</w:t>
      </w:r>
    </w:p>
    <w:p w14:paraId="6C15EECE" w14:textId="77959D27" w:rsidR="00BF5CD8" w:rsidRPr="00AE6533" w:rsidRDefault="00544827" w:rsidP="00ED1561">
      <w:pPr>
        <w:pStyle w:val="Heading2"/>
        <w:spacing w:before="240" w:after="120" w:line="240" w:lineRule="auto"/>
        <w:ind w:firstLine="240"/>
        <w:jc w:val="both"/>
        <w:rPr>
          <w:rFonts w:ascii="Times New Roman" w:hAnsi="Times New Roman" w:cs="Times New Roman"/>
          <w:b/>
          <w:bCs/>
          <w:noProof/>
          <w:color w:val="auto"/>
          <w:sz w:val="24"/>
          <w:szCs w:val="24"/>
        </w:rPr>
      </w:pPr>
      <w:r w:rsidRPr="00AE6533">
        <w:rPr>
          <w:rFonts w:ascii="Times New Roman" w:hAnsi="Times New Roman"/>
          <w:b/>
          <w:noProof/>
          <w:color w:val="auto"/>
          <w:sz w:val="24"/>
        </w:rPr>
        <w:t>2.2. Vymedzenie pojmov (články 2</w:t>
      </w:r>
      <w:r w:rsidR="00AE6533">
        <w:rPr>
          <w:rFonts w:ascii="Times New Roman" w:hAnsi="Times New Roman"/>
          <w:b/>
          <w:noProof/>
          <w:color w:val="auto"/>
          <w:sz w:val="24"/>
        </w:rPr>
        <w:t xml:space="preserve"> a </w:t>
      </w:r>
      <w:r w:rsidRPr="00AE6533">
        <w:rPr>
          <w:rFonts w:ascii="Times New Roman" w:hAnsi="Times New Roman"/>
          <w:b/>
          <w:noProof/>
          <w:color w:val="auto"/>
          <w:sz w:val="24"/>
        </w:rPr>
        <w:t>3)</w:t>
      </w:r>
    </w:p>
    <w:p w14:paraId="639D7598" w14:textId="77777777" w:rsidR="00AE6533" w:rsidRDefault="00BF5CD8" w:rsidP="00960041">
      <w:pPr>
        <w:spacing w:after="120" w:line="240" w:lineRule="auto"/>
        <w:jc w:val="both"/>
        <w:rPr>
          <w:rFonts w:ascii="Times New Roman" w:hAnsi="Times New Roman"/>
          <w:noProof/>
          <w:sz w:val="24"/>
        </w:rPr>
      </w:pPr>
      <w:r w:rsidRPr="00AE6533">
        <w:rPr>
          <w:rFonts w:ascii="Times New Roman" w:hAnsi="Times New Roman"/>
          <w:noProof/>
          <w:sz w:val="24"/>
        </w:rPr>
        <w:t>V článku 2 nariadenia sa uvádza vymedzenie niekoľkých pojmov, okrem iného pojmov „rozsudok“, „súdny zmier“ alebo „verejná listina“</w:t>
      </w:r>
      <w:r w:rsidR="00AE6533">
        <w:rPr>
          <w:rFonts w:ascii="Times New Roman" w:hAnsi="Times New Roman"/>
          <w:noProof/>
          <w:sz w:val="24"/>
        </w:rPr>
        <w:t>.</w:t>
      </w:r>
    </w:p>
    <w:p w14:paraId="6D6638C1" w14:textId="3A6D3F5C" w:rsidR="00BF5CD8" w:rsidRPr="00AE6533" w:rsidRDefault="00BF5CD8" w:rsidP="005055A3">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Pojem „rozsudok“ odkazuje na každý úkon súdnych orgánov vydaný „súdom alebo tribunálom členského štátu“,</w:t>
      </w:r>
      <w:r w:rsidR="00AE6533">
        <w:rPr>
          <w:rFonts w:ascii="Times New Roman" w:hAnsi="Times New Roman"/>
          <w:noProof/>
          <w:sz w:val="24"/>
        </w:rPr>
        <w:t xml:space="preserve"> a </w:t>
      </w:r>
      <w:r w:rsidRPr="00AE6533">
        <w:rPr>
          <w:rFonts w:ascii="Times New Roman" w:hAnsi="Times New Roman"/>
          <w:noProof/>
          <w:sz w:val="24"/>
        </w:rPr>
        <w:t>to bez ohľadu na jeho označenie.</w:t>
      </w:r>
      <w:r w:rsidR="00AE6533">
        <w:rPr>
          <w:rFonts w:ascii="Times New Roman" w:hAnsi="Times New Roman"/>
          <w:noProof/>
          <w:sz w:val="24"/>
        </w:rPr>
        <w:t xml:space="preserve"> V </w:t>
      </w:r>
      <w:r w:rsidRPr="00AE6533">
        <w:rPr>
          <w:rFonts w:ascii="Times New Roman" w:hAnsi="Times New Roman"/>
          <w:noProof/>
          <w:sz w:val="24"/>
        </w:rPr>
        <w:t>nariadení sa neuvádza vymedzenie pojmu „súd alebo tribunál“.</w:t>
      </w:r>
    </w:p>
    <w:p w14:paraId="43F64516" w14:textId="71E61700" w:rsidR="00AE6533" w:rsidRDefault="009D0115" w:rsidP="005055A3">
      <w:pPr>
        <w:spacing w:after="120" w:line="240" w:lineRule="auto"/>
        <w:jc w:val="both"/>
        <w:rPr>
          <w:rFonts w:ascii="Times New Roman" w:hAnsi="Times New Roman"/>
          <w:noProof/>
          <w:sz w:val="24"/>
        </w:rPr>
      </w:pPr>
      <w:r w:rsidRPr="00AE6533">
        <w:rPr>
          <w:rFonts w:ascii="Times New Roman" w:hAnsi="Times New Roman"/>
          <w:noProof/>
          <w:sz w:val="24"/>
        </w:rPr>
        <w:t>Novinkou</w:t>
      </w:r>
      <w:r w:rsidR="00AE6533">
        <w:rPr>
          <w:rFonts w:ascii="Times New Roman" w:hAnsi="Times New Roman"/>
          <w:noProof/>
          <w:sz w:val="24"/>
        </w:rPr>
        <w:t xml:space="preserve"> v </w:t>
      </w:r>
      <w:r w:rsidRPr="00AE6533">
        <w:rPr>
          <w:rFonts w:ascii="Times New Roman" w:hAnsi="Times New Roman"/>
          <w:noProof/>
          <w:sz w:val="24"/>
        </w:rPr>
        <w:t>nariadení je, že článkom 2 písm. a) sa výslovne rozširuje vymedzenie pojmu rozsudok tak, aby zahŕňal určité druhy predbežných opatrení vrátane ochranných opatrení. Uznávanie</w:t>
      </w:r>
      <w:r w:rsidR="00AE6533">
        <w:rPr>
          <w:rFonts w:ascii="Times New Roman" w:hAnsi="Times New Roman"/>
          <w:noProof/>
          <w:sz w:val="24"/>
        </w:rPr>
        <w:t xml:space="preserve"> a </w:t>
      </w:r>
      <w:r w:rsidRPr="00AE6533">
        <w:rPr>
          <w:rFonts w:ascii="Times New Roman" w:hAnsi="Times New Roman"/>
          <w:noProof/>
          <w:sz w:val="24"/>
        </w:rPr>
        <w:t>výkon takýchto opatrení</w:t>
      </w:r>
      <w:r w:rsidR="00AE6533">
        <w:rPr>
          <w:rFonts w:ascii="Times New Roman" w:hAnsi="Times New Roman"/>
          <w:noProof/>
          <w:sz w:val="24"/>
        </w:rPr>
        <w:t xml:space="preserve"> v </w:t>
      </w:r>
      <w:r w:rsidRPr="00AE6533">
        <w:rPr>
          <w:rFonts w:ascii="Times New Roman" w:hAnsi="Times New Roman"/>
          <w:noProof/>
          <w:sz w:val="24"/>
        </w:rPr>
        <w:t>iných členských štátoch však podľa neho podlieha splneniu dvoch podmienok</w:t>
      </w:r>
      <w:r w:rsidR="00AE6533">
        <w:rPr>
          <w:rFonts w:ascii="Times New Roman" w:hAnsi="Times New Roman"/>
          <w:noProof/>
          <w:sz w:val="24"/>
        </w:rPr>
        <w:t>.</w:t>
      </w:r>
    </w:p>
    <w:p w14:paraId="691994D4" w14:textId="4DD340B7" w:rsidR="009D0115" w:rsidRPr="00AE6533" w:rsidRDefault="00FB343D" w:rsidP="005055A3">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Po prvé, nariadením sa obmedzuje obeh predbežných opatrení na tie, ktoré nariadili súdy, ktoré majú právomoc rozhodnúť vo veci samej na základe nariadenia. Znamená to, že hoci súdy, ktoré majú právomoc rozhodnúť vo veci samej na základe vnútroštátneho práva, môžu nariadiť predbežné opatrenia, takéto rozhodnutia sa podľa nariadenia nemôžu uznať</w:t>
      </w:r>
      <w:r w:rsidR="00AE6533">
        <w:rPr>
          <w:rFonts w:ascii="Times New Roman" w:hAnsi="Times New Roman"/>
          <w:noProof/>
          <w:sz w:val="24"/>
        </w:rPr>
        <w:t xml:space="preserve"> a </w:t>
      </w:r>
      <w:r w:rsidRPr="00AE6533">
        <w:rPr>
          <w:rFonts w:ascii="Times New Roman" w:hAnsi="Times New Roman"/>
          <w:noProof/>
          <w:sz w:val="24"/>
        </w:rPr>
        <w:t>vykonať</w:t>
      </w:r>
      <w:r w:rsidR="00AE6533">
        <w:rPr>
          <w:rFonts w:ascii="Times New Roman" w:hAnsi="Times New Roman"/>
          <w:noProof/>
          <w:sz w:val="24"/>
        </w:rPr>
        <w:t xml:space="preserve"> v </w:t>
      </w:r>
      <w:r w:rsidRPr="00AE6533">
        <w:rPr>
          <w:rFonts w:ascii="Times New Roman" w:hAnsi="Times New Roman"/>
          <w:noProof/>
          <w:sz w:val="24"/>
        </w:rPr>
        <w:t>zahraničí.</w:t>
      </w:r>
    </w:p>
    <w:p w14:paraId="7BEF90E7" w14:textId="42EA5078" w:rsidR="00AE6533" w:rsidRDefault="00984528" w:rsidP="00786D86">
      <w:pPr>
        <w:spacing w:after="120" w:line="240" w:lineRule="auto"/>
        <w:jc w:val="both"/>
        <w:rPr>
          <w:rFonts w:ascii="Times New Roman" w:hAnsi="Times New Roman"/>
          <w:noProof/>
          <w:sz w:val="24"/>
        </w:rPr>
      </w:pPr>
      <w:r w:rsidRPr="00AE6533">
        <w:rPr>
          <w:rFonts w:ascii="Times New Roman" w:hAnsi="Times New Roman"/>
          <w:noProof/>
          <w:sz w:val="24"/>
        </w:rPr>
        <w:t>Po druhé, vymedzením pojmu sa kodifikuje existujúca judikatúra (pozri napríklad vec Denilauler, 125/79)</w:t>
      </w:r>
      <w:r w:rsidR="00AE6533">
        <w:rPr>
          <w:rFonts w:ascii="Times New Roman" w:hAnsi="Times New Roman"/>
          <w:noProof/>
          <w:sz w:val="24"/>
        </w:rPr>
        <w:t xml:space="preserve"> s </w:t>
      </w:r>
      <w:r w:rsidRPr="00AE6533">
        <w:rPr>
          <w:rFonts w:ascii="Times New Roman" w:hAnsi="Times New Roman"/>
          <w:noProof/>
          <w:sz w:val="24"/>
        </w:rPr>
        <w:t>cieľom vylúčiť</w:t>
      </w:r>
      <w:r w:rsidR="00AE6533">
        <w:rPr>
          <w:rFonts w:ascii="Times New Roman" w:hAnsi="Times New Roman"/>
          <w:noProof/>
          <w:sz w:val="24"/>
        </w:rPr>
        <w:t xml:space="preserve"> z </w:t>
      </w:r>
      <w:r w:rsidRPr="00AE6533">
        <w:rPr>
          <w:rFonts w:ascii="Times New Roman" w:hAnsi="Times New Roman"/>
          <w:noProof/>
          <w:sz w:val="24"/>
        </w:rPr>
        <w:t xml:space="preserve">obehu výlučne opatrenia </w:t>
      </w:r>
      <w:r w:rsidRPr="00AE6533">
        <w:rPr>
          <w:rFonts w:ascii="Times New Roman" w:hAnsi="Times New Roman"/>
          <w:i/>
          <w:noProof/>
          <w:sz w:val="24"/>
        </w:rPr>
        <w:t>ex parte</w:t>
      </w:r>
      <w:r w:rsidRPr="00AE6533">
        <w:rPr>
          <w:rFonts w:ascii="Times New Roman" w:hAnsi="Times New Roman"/>
          <w:noProof/>
          <w:sz w:val="24"/>
        </w:rPr>
        <w:t>.</w:t>
      </w:r>
      <w:r w:rsidR="00AE6533">
        <w:rPr>
          <w:rFonts w:ascii="Times New Roman" w:hAnsi="Times New Roman"/>
          <w:noProof/>
          <w:sz w:val="24"/>
        </w:rPr>
        <w:t xml:space="preserve"> V </w:t>
      </w:r>
      <w:r w:rsidRPr="00AE6533">
        <w:rPr>
          <w:rFonts w:ascii="Times New Roman" w:hAnsi="Times New Roman"/>
          <w:noProof/>
          <w:sz w:val="24"/>
        </w:rPr>
        <w:t xml:space="preserve">dôsledku toho možno predbežné opatrenia uznať alebo vykonať len vtedy, ak bol dlžník predvolaný na súd alebo mu bol pred začatím výkonu doručený rozsudok obsahujúci tieto opatrenia. Zdá sa, že toto vylúčenie predbežných opatrení </w:t>
      </w:r>
      <w:r w:rsidRPr="00AE6533">
        <w:rPr>
          <w:rFonts w:ascii="Times New Roman" w:hAnsi="Times New Roman"/>
          <w:i/>
          <w:noProof/>
          <w:sz w:val="24"/>
        </w:rPr>
        <w:t>ex parte</w:t>
      </w:r>
      <w:r w:rsidR="00AE6533">
        <w:rPr>
          <w:rFonts w:ascii="Times New Roman" w:hAnsi="Times New Roman"/>
          <w:noProof/>
          <w:sz w:val="24"/>
        </w:rPr>
        <w:t xml:space="preserve"> z </w:t>
      </w:r>
      <w:r w:rsidRPr="00AE6533">
        <w:rPr>
          <w:rFonts w:ascii="Times New Roman" w:hAnsi="Times New Roman"/>
          <w:noProof/>
          <w:sz w:val="24"/>
        </w:rPr>
        <w:t>obehu podľa nariadenia spôsobuje určité praktické problémy. Zo štúdie napríklad vyplýva, že</w:t>
      </w:r>
      <w:r w:rsidR="00AE6533">
        <w:rPr>
          <w:rFonts w:ascii="Times New Roman" w:hAnsi="Times New Roman"/>
          <w:noProof/>
          <w:sz w:val="24"/>
        </w:rPr>
        <w:t xml:space="preserve"> v </w:t>
      </w:r>
      <w:r w:rsidRPr="00AE6533">
        <w:rPr>
          <w:rFonts w:ascii="Times New Roman" w:hAnsi="Times New Roman"/>
          <w:noProof/>
          <w:sz w:val="24"/>
        </w:rPr>
        <w:t>AT</w:t>
      </w:r>
      <w:r w:rsidR="00AE6533">
        <w:rPr>
          <w:rFonts w:ascii="Times New Roman" w:hAnsi="Times New Roman"/>
          <w:noProof/>
          <w:sz w:val="24"/>
        </w:rPr>
        <w:t xml:space="preserve"> a </w:t>
      </w:r>
      <w:r w:rsidRPr="00AE6533">
        <w:rPr>
          <w:rFonts w:ascii="Times New Roman" w:hAnsi="Times New Roman"/>
          <w:noProof/>
          <w:sz w:val="24"/>
        </w:rPr>
        <w:t xml:space="preserve">CZ je väčšina predbežných opatrení </w:t>
      </w:r>
      <w:r w:rsidRPr="00AE6533">
        <w:rPr>
          <w:rFonts w:ascii="Times New Roman" w:hAnsi="Times New Roman"/>
          <w:i/>
          <w:noProof/>
          <w:sz w:val="24"/>
        </w:rPr>
        <w:t>ex p</w:t>
      </w:r>
      <w:r w:rsidRPr="00AE6533">
        <w:rPr>
          <w:rFonts w:ascii="Times New Roman" w:hAnsi="Times New Roman"/>
          <w:noProof/>
          <w:sz w:val="24"/>
        </w:rPr>
        <w:t>a</w:t>
      </w:r>
      <w:r w:rsidRPr="00AE6533">
        <w:rPr>
          <w:rFonts w:ascii="Times New Roman" w:hAnsi="Times New Roman"/>
          <w:i/>
          <w:noProof/>
          <w:sz w:val="24"/>
        </w:rPr>
        <w:t>rte</w:t>
      </w:r>
      <w:r w:rsidRPr="00AE6533">
        <w:rPr>
          <w:rFonts w:ascii="Times New Roman" w:hAnsi="Times New Roman"/>
          <w:noProof/>
          <w:sz w:val="24"/>
        </w:rPr>
        <w:t>,</w:t>
      </w:r>
      <w:r w:rsidR="00AE6533">
        <w:rPr>
          <w:rFonts w:ascii="Times New Roman" w:hAnsi="Times New Roman"/>
          <w:noProof/>
          <w:sz w:val="24"/>
        </w:rPr>
        <w:t xml:space="preserve"> a </w:t>
      </w:r>
      <w:r w:rsidRPr="00AE6533">
        <w:rPr>
          <w:rFonts w:ascii="Times New Roman" w:hAnsi="Times New Roman"/>
          <w:noProof/>
          <w:sz w:val="24"/>
        </w:rPr>
        <w:t>preto sa na ne nemôže vzťahovať výkon podľa nariadenia. Všeobecnejšie povedané, hoci súčasný systém uprednostňuje ochranu procesných práv žalovaného, ovplyvňuje to kľúčový prvok predbežných opatrení,</w:t>
      </w:r>
      <w:r w:rsidR="00AE6533">
        <w:rPr>
          <w:rFonts w:ascii="Times New Roman" w:hAnsi="Times New Roman"/>
          <w:noProof/>
          <w:sz w:val="24"/>
        </w:rPr>
        <w:t xml:space="preserve"> a </w:t>
      </w:r>
      <w:r w:rsidRPr="00AE6533">
        <w:rPr>
          <w:rFonts w:ascii="Times New Roman" w:hAnsi="Times New Roman"/>
          <w:noProof/>
          <w:sz w:val="24"/>
        </w:rPr>
        <w:t>to, aby mohli byť vykonané rýchlo</w:t>
      </w:r>
      <w:r w:rsidR="00AE6533">
        <w:rPr>
          <w:rFonts w:ascii="Times New Roman" w:hAnsi="Times New Roman"/>
          <w:noProof/>
          <w:sz w:val="24"/>
        </w:rPr>
        <w:t xml:space="preserve"> a </w:t>
      </w:r>
      <w:r w:rsidRPr="00AE6533">
        <w:rPr>
          <w:rFonts w:ascii="Times New Roman" w:hAnsi="Times New Roman"/>
          <w:noProof/>
          <w:sz w:val="24"/>
        </w:rPr>
        <w:t xml:space="preserve">účinne. Podľa súčasného režimu si veriteľ musí vybrať medzi účinkom prekvapenia, ktorý je vlastný konaniu </w:t>
      </w:r>
      <w:r w:rsidRPr="00AE6533">
        <w:rPr>
          <w:rFonts w:ascii="Times New Roman" w:hAnsi="Times New Roman"/>
          <w:i/>
          <w:noProof/>
          <w:sz w:val="24"/>
        </w:rPr>
        <w:t>ex parte</w:t>
      </w:r>
      <w:r w:rsidRPr="00AE6533">
        <w:rPr>
          <w:rFonts w:ascii="Times New Roman" w:hAnsi="Times New Roman"/>
          <w:noProof/>
          <w:sz w:val="24"/>
        </w:rPr>
        <w:t>,</w:t>
      </w:r>
      <w:r w:rsidR="00AE6533">
        <w:rPr>
          <w:rFonts w:ascii="Times New Roman" w:hAnsi="Times New Roman"/>
          <w:noProof/>
          <w:sz w:val="24"/>
        </w:rPr>
        <w:t xml:space="preserve"> a </w:t>
      </w:r>
      <w:r w:rsidRPr="00AE6533">
        <w:rPr>
          <w:rFonts w:ascii="Times New Roman" w:hAnsi="Times New Roman"/>
          <w:noProof/>
          <w:sz w:val="24"/>
        </w:rPr>
        <w:t>obmedzením vykonateľnosti opatrení na členský štát,</w:t>
      </w:r>
      <w:r w:rsidR="00AE6533">
        <w:rPr>
          <w:rFonts w:ascii="Times New Roman" w:hAnsi="Times New Roman"/>
          <w:noProof/>
          <w:sz w:val="24"/>
        </w:rPr>
        <w:t xml:space="preserve"> v </w:t>
      </w:r>
      <w:r w:rsidRPr="00AE6533">
        <w:rPr>
          <w:rFonts w:ascii="Times New Roman" w:hAnsi="Times New Roman"/>
          <w:noProof/>
          <w:sz w:val="24"/>
        </w:rPr>
        <w:t>ktorom boli vydané, alebo rozhodnutím, ktoré môže byť</w:t>
      </w:r>
      <w:r w:rsidR="00AE6533">
        <w:rPr>
          <w:rFonts w:ascii="Times New Roman" w:hAnsi="Times New Roman"/>
          <w:noProof/>
          <w:sz w:val="24"/>
        </w:rPr>
        <w:t xml:space="preserve"> v </w:t>
      </w:r>
      <w:r w:rsidRPr="00AE6533">
        <w:rPr>
          <w:rFonts w:ascii="Times New Roman" w:hAnsi="Times New Roman"/>
          <w:noProof/>
          <w:sz w:val="24"/>
        </w:rPr>
        <w:t>obehu, ale musí byť založené na predchádzajúcom zapojení (a tým varovaní) dlžníka</w:t>
      </w:r>
      <w:r w:rsidR="00AE6533">
        <w:rPr>
          <w:rFonts w:ascii="Times New Roman" w:hAnsi="Times New Roman"/>
          <w:noProof/>
          <w:sz w:val="24"/>
        </w:rPr>
        <w:t>.</w:t>
      </w:r>
    </w:p>
    <w:p w14:paraId="2A0BC37F" w14:textId="405680BB" w:rsidR="00AE6533" w:rsidRDefault="00D71A14" w:rsidP="00786D86">
      <w:pPr>
        <w:spacing w:after="120" w:line="240" w:lineRule="auto"/>
        <w:jc w:val="both"/>
        <w:rPr>
          <w:rFonts w:ascii="Times New Roman" w:hAnsi="Times New Roman"/>
          <w:noProof/>
          <w:sz w:val="24"/>
        </w:rPr>
      </w:pPr>
      <w:r w:rsidRPr="00AE6533">
        <w:rPr>
          <w:rFonts w:ascii="Times New Roman" w:hAnsi="Times New Roman"/>
          <w:noProof/>
          <w:sz w:val="24"/>
        </w:rPr>
        <w:t>Ďalší problém súvisí</w:t>
      </w:r>
      <w:r w:rsidR="00AE6533">
        <w:rPr>
          <w:rFonts w:ascii="Times New Roman" w:hAnsi="Times New Roman"/>
          <w:noProof/>
          <w:sz w:val="24"/>
        </w:rPr>
        <w:t xml:space="preserve"> s </w:t>
      </w:r>
      <w:r w:rsidRPr="00AE6533">
        <w:rPr>
          <w:rFonts w:ascii="Times New Roman" w:hAnsi="Times New Roman"/>
          <w:noProof/>
          <w:sz w:val="24"/>
        </w:rPr>
        <w:t>orgánmi, ktoré sú</w:t>
      </w:r>
      <w:r w:rsidR="00AE6533">
        <w:rPr>
          <w:rFonts w:ascii="Times New Roman" w:hAnsi="Times New Roman"/>
          <w:noProof/>
          <w:sz w:val="24"/>
        </w:rPr>
        <w:t xml:space="preserve"> v </w:t>
      </w:r>
      <w:r w:rsidRPr="00AE6533">
        <w:rPr>
          <w:rFonts w:ascii="Times New Roman" w:hAnsi="Times New Roman"/>
          <w:noProof/>
          <w:sz w:val="24"/>
        </w:rPr>
        <w:t>článku 3 výslovne ustanovené ako „súd“ na účely nariadenia. Súdny dvor Európskej únie vo veci Pula Parking (C-551/15) na otázku, či možno chorvátskych notárov kvalifikovať ako „súd alebo tribunál“ podľa nariadenia, odpovedal záporne, pričom</w:t>
      </w:r>
      <w:r w:rsidR="00AE6533">
        <w:rPr>
          <w:rFonts w:ascii="Times New Roman" w:hAnsi="Times New Roman"/>
          <w:noProof/>
          <w:sz w:val="24"/>
        </w:rPr>
        <w:t xml:space="preserve"> v </w:t>
      </w:r>
      <w:r w:rsidRPr="00AE6533">
        <w:rPr>
          <w:rFonts w:ascii="Times New Roman" w:hAnsi="Times New Roman"/>
          <w:noProof/>
          <w:sz w:val="24"/>
        </w:rPr>
        <w:t>súlade</w:t>
      </w:r>
      <w:r w:rsidR="00AE6533">
        <w:rPr>
          <w:rFonts w:ascii="Times New Roman" w:hAnsi="Times New Roman"/>
          <w:noProof/>
          <w:sz w:val="24"/>
        </w:rPr>
        <w:t xml:space="preserve"> s </w:t>
      </w:r>
      <w:r w:rsidRPr="00AE6533">
        <w:rPr>
          <w:rFonts w:ascii="Times New Roman" w:hAnsi="Times New Roman"/>
          <w:noProof/>
          <w:sz w:val="24"/>
        </w:rPr>
        <w:t xml:space="preserve">predchádzajúcou judikatúrou (Denilauler, 125/79) ako hlavný dôvod uviedol neexistenciu konania </w:t>
      </w:r>
      <w:r w:rsidRPr="00AE6533">
        <w:rPr>
          <w:rFonts w:ascii="Times New Roman" w:hAnsi="Times New Roman"/>
          <w:i/>
          <w:noProof/>
          <w:sz w:val="24"/>
        </w:rPr>
        <w:t>inter partes</w:t>
      </w:r>
      <w:r w:rsidRPr="00AE6533">
        <w:rPr>
          <w:rFonts w:ascii="Times New Roman" w:hAnsi="Times New Roman"/>
          <w:noProof/>
          <w:sz w:val="24"/>
        </w:rPr>
        <w:t>. Treba však brať do úvahy, že chorvátsky postup je veľmi podobný maďarskému skrátenému notárskemu konaniu, ktoré sa týka platobného rozkazu, uvedenému</w:t>
      </w:r>
      <w:r w:rsidR="00AE6533">
        <w:rPr>
          <w:rFonts w:ascii="Times New Roman" w:hAnsi="Times New Roman"/>
          <w:noProof/>
          <w:sz w:val="24"/>
        </w:rPr>
        <w:t xml:space="preserve"> v </w:t>
      </w:r>
      <w:r w:rsidRPr="00AE6533">
        <w:rPr>
          <w:rFonts w:ascii="Times New Roman" w:hAnsi="Times New Roman"/>
          <w:noProof/>
          <w:sz w:val="24"/>
        </w:rPr>
        <w:t>článku 3 písm. a) nariadenia. Aj</w:t>
      </w:r>
      <w:r w:rsidR="00AE6533">
        <w:rPr>
          <w:rFonts w:ascii="Times New Roman" w:hAnsi="Times New Roman"/>
          <w:noProof/>
          <w:sz w:val="24"/>
        </w:rPr>
        <w:t xml:space="preserve"> z </w:t>
      </w:r>
      <w:r w:rsidRPr="00AE6533">
        <w:rPr>
          <w:rFonts w:ascii="Times New Roman" w:hAnsi="Times New Roman"/>
          <w:noProof/>
          <w:sz w:val="24"/>
        </w:rPr>
        <w:t>hľadiska rovnakého zaobchádzania nie je prekvapujúce, že väčšina respondentov, ktorí považovali pojem „súd alebo tribunál“ za problematický, pochádzala</w:t>
      </w:r>
      <w:r w:rsidR="00AE6533">
        <w:rPr>
          <w:rFonts w:ascii="Times New Roman" w:hAnsi="Times New Roman"/>
          <w:noProof/>
          <w:sz w:val="24"/>
        </w:rPr>
        <w:t xml:space="preserve"> z </w:t>
      </w:r>
      <w:r w:rsidRPr="00AE6533">
        <w:rPr>
          <w:rFonts w:ascii="Times New Roman" w:hAnsi="Times New Roman"/>
          <w:noProof/>
          <w:sz w:val="24"/>
        </w:rPr>
        <w:t>Chorvátska</w:t>
      </w:r>
      <w:r w:rsidR="00AE6533">
        <w:rPr>
          <w:rFonts w:ascii="Times New Roman" w:hAnsi="Times New Roman"/>
          <w:noProof/>
          <w:sz w:val="24"/>
        </w:rPr>
        <w:t xml:space="preserve"> a </w:t>
      </w:r>
      <w:r w:rsidRPr="00AE6533">
        <w:rPr>
          <w:rFonts w:ascii="Times New Roman" w:hAnsi="Times New Roman"/>
          <w:noProof/>
          <w:sz w:val="24"/>
        </w:rPr>
        <w:t>že niektoré členské štáty uviedli, že</w:t>
      </w:r>
      <w:r w:rsidR="00AE6533">
        <w:rPr>
          <w:rFonts w:ascii="Times New Roman" w:hAnsi="Times New Roman"/>
          <w:noProof/>
          <w:sz w:val="24"/>
        </w:rPr>
        <w:t xml:space="preserve"> v </w:t>
      </w:r>
      <w:r w:rsidRPr="00AE6533">
        <w:rPr>
          <w:rFonts w:ascii="Times New Roman" w:hAnsi="Times New Roman"/>
          <w:noProof/>
          <w:sz w:val="24"/>
        </w:rPr>
        <w:t>prípade zmeny alebo prepracovania by chceli do výnimiek uvedených</w:t>
      </w:r>
      <w:r w:rsidR="00AE6533">
        <w:rPr>
          <w:rFonts w:ascii="Times New Roman" w:hAnsi="Times New Roman"/>
          <w:noProof/>
          <w:sz w:val="24"/>
        </w:rPr>
        <w:t xml:space="preserve"> v </w:t>
      </w:r>
      <w:r w:rsidRPr="00AE6533">
        <w:rPr>
          <w:rFonts w:ascii="Times New Roman" w:hAnsi="Times New Roman"/>
          <w:noProof/>
          <w:sz w:val="24"/>
        </w:rPr>
        <w:t>článku 3 zahrnúť ďalšie subjekty. Prevažná väčšina respondentov</w:t>
      </w:r>
      <w:r w:rsidR="00AE6533">
        <w:rPr>
          <w:rFonts w:ascii="Times New Roman" w:hAnsi="Times New Roman"/>
          <w:noProof/>
          <w:sz w:val="24"/>
        </w:rPr>
        <w:t xml:space="preserve"> v </w:t>
      </w:r>
      <w:r w:rsidRPr="00AE6533">
        <w:rPr>
          <w:rFonts w:ascii="Times New Roman" w:hAnsi="Times New Roman"/>
          <w:noProof/>
          <w:sz w:val="24"/>
        </w:rPr>
        <w:t>rámci štúdie nekonštatovala</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vymedzením pojmov</w:t>
      </w:r>
      <w:r w:rsidR="00AE6533">
        <w:rPr>
          <w:rFonts w:ascii="Times New Roman" w:hAnsi="Times New Roman"/>
          <w:noProof/>
          <w:sz w:val="24"/>
        </w:rPr>
        <w:t xml:space="preserve"> v </w:t>
      </w:r>
      <w:r w:rsidRPr="00AE6533">
        <w:rPr>
          <w:rFonts w:ascii="Times New Roman" w:hAnsi="Times New Roman"/>
          <w:noProof/>
          <w:sz w:val="24"/>
        </w:rPr>
        <w:t>nariadení žiadne problémy</w:t>
      </w:r>
      <w:r w:rsidR="00AE6533">
        <w:rPr>
          <w:rFonts w:ascii="Times New Roman" w:hAnsi="Times New Roman"/>
          <w:noProof/>
          <w:sz w:val="24"/>
        </w:rPr>
        <w:t>.</w:t>
      </w:r>
    </w:p>
    <w:p w14:paraId="5B77F902" w14:textId="6754C575" w:rsidR="00AE6533" w:rsidRDefault="00BF5CD8" w:rsidP="009D0115">
      <w:pPr>
        <w:spacing w:line="240" w:lineRule="auto"/>
        <w:jc w:val="both"/>
        <w:rPr>
          <w:rFonts w:ascii="Times New Roman" w:hAnsi="Times New Roman"/>
          <w:noProof/>
          <w:sz w:val="24"/>
        </w:rPr>
      </w:pPr>
      <w:r w:rsidRPr="00AE6533">
        <w:rPr>
          <w:rFonts w:ascii="Times New Roman" w:hAnsi="Times New Roman"/>
          <w:noProof/>
          <w:sz w:val="24"/>
        </w:rPr>
        <w:t>Prípadné budúce preskúmanie nariadenia by sa preto mohlo podrobnejšie zaoberať touto otázkou vrátane možnosti uviesť vymedzenie alebo opis pojmu „súd alebo tribunál“, čím by sa na jednej strane zvýšila účinnosť nariadenia</w:t>
      </w:r>
      <w:r w:rsidR="00AE6533">
        <w:rPr>
          <w:rFonts w:ascii="Times New Roman" w:hAnsi="Times New Roman"/>
          <w:noProof/>
          <w:sz w:val="24"/>
        </w:rPr>
        <w:t xml:space="preserve"> a </w:t>
      </w:r>
      <w:r w:rsidRPr="00AE6533">
        <w:rPr>
          <w:rFonts w:ascii="Times New Roman" w:hAnsi="Times New Roman"/>
          <w:noProof/>
          <w:sz w:val="24"/>
        </w:rPr>
        <w:t>na druhej strane by sa prípadne odstránila potreba stanoviť výnimky. Ďalšie úvahy sú potrebné aj pokiaľ ide</w:t>
      </w:r>
      <w:r w:rsidR="00AE6533">
        <w:rPr>
          <w:rFonts w:ascii="Times New Roman" w:hAnsi="Times New Roman"/>
          <w:noProof/>
          <w:sz w:val="24"/>
        </w:rPr>
        <w:t xml:space="preserve"> o </w:t>
      </w:r>
      <w:r w:rsidRPr="00AE6533">
        <w:rPr>
          <w:rFonts w:ascii="Times New Roman" w:hAnsi="Times New Roman"/>
          <w:noProof/>
          <w:sz w:val="24"/>
        </w:rPr>
        <w:t xml:space="preserve">pojem „predbežné opatrenia“, najmä, či by mal zahŕňať opatrenia </w:t>
      </w:r>
      <w:r w:rsidRPr="00AE6533">
        <w:rPr>
          <w:rFonts w:ascii="Times New Roman" w:hAnsi="Times New Roman"/>
          <w:i/>
          <w:noProof/>
          <w:sz w:val="24"/>
        </w:rPr>
        <w:t>ex parte</w:t>
      </w:r>
      <w:r w:rsidR="00AE6533">
        <w:rPr>
          <w:rFonts w:ascii="Times New Roman" w:hAnsi="Times New Roman"/>
          <w:noProof/>
          <w:sz w:val="24"/>
        </w:rPr>
        <w:t>.</w:t>
      </w:r>
    </w:p>
    <w:p w14:paraId="7152DCC1" w14:textId="77777777" w:rsidR="00AE6533" w:rsidRDefault="00363B50" w:rsidP="00036D55">
      <w:pPr>
        <w:pStyle w:val="Heading1"/>
        <w:tabs>
          <w:tab w:val="left" w:pos="240"/>
        </w:tabs>
        <w:spacing w:after="120" w:line="240" w:lineRule="auto"/>
        <w:jc w:val="both"/>
        <w:rPr>
          <w:rFonts w:ascii="Times New Roman" w:hAnsi="Times New Roman"/>
          <w:b/>
          <w:smallCaps/>
          <w:noProof/>
          <w:color w:val="auto"/>
          <w:sz w:val="24"/>
        </w:rPr>
      </w:pPr>
      <w:bookmarkStart w:id="2" w:name="_Hlk167971647"/>
      <w:r w:rsidRPr="00AE6533">
        <w:rPr>
          <w:rFonts w:ascii="Times New Roman" w:hAnsi="Times New Roman"/>
          <w:b/>
          <w:smallCaps/>
          <w:noProof/>
          <w:color w:val="auto"/>
          <w:sz w:val="24"/>
        </w:rPr>
        <w:t>3. Právomoc</w:t>
      </w:r>
    </w:p>
    <w:bookmarkEnd w:id="2"/>
    <w:p w14:paraId="56CC3A9B" w14:textId="02402187" w:rsidR="00A23C3F" w:rsidRPr="00AE6533" w:rsidRDefault="00363B50" w:rsidP="00ED1561">
      <w:pPr>
        <w:pStyle w:val="Heading2"/>
        <w:spacing w:before="240" w:after="120" w:line="240" w:lineRule="auto"/>
        <w:ind w:left="240"/>
        <w:jc w:val="both"/>
        <w:rPr>
          <w:rFonts w:ascii="Times New Roman" w:hAnsi="Times New Roman" w:cs="Times New Roman"/>
          <w:b/>
          <w:bCs/>
          <w:noProof/>
          <w:color w:val="000000" w:themeColor="text1"/>
          <w:sz w:val="24"/>
          <w:szCs w:val="24"/>
        </w:rPr>
      </w:pPr>
      <w:r w:rsidRPr="00AE6533">
        <w:rPr>
          <w:rFonts w:ascii="Times New Roman" w:hAnsi="Times New Roman"/>
          <w:b/>
          <w:noProof/>
          <w:color w:val="000000" w:themeColor="text1"/>
          <w:sz w:val="24"/>
        </w:rPr>
        <w:t>3.1. Možné rozšírenie noriem právomoci na žalovaných</w:t>
      </w:r>
      <w:r w:rsidR="00AE6533">
        <w:rPr>
          <w:rFonts w:ascii="Times New Roman" w:hAnsi="Times New Roman"/>
          <w:b/>
          <w:noProof/>
          <w:color w:val="000000" w:themeColor="text1"/>
          <w:sz w:val="24"/>
        </w:rPr>
        <w:t xml:space="preserve"> s </w:t>
      </w:r>
      <w:r w:rsidRPr="00AE6533">
        <w:rPr>
          <w:rFonts w:ascii="Times New Roman" w:hAnsi="Times New Roman"/>
          <w:b/>
          <w:noProof/>
          <w:color w:val="000000" w:themeColor="text1"/>
          <w:sz w:val="24"/>
        </w:rPr>
        <w:t>bydliskom</w:t>
      </w:r>
      <w:r w:rsidR="00AE6533">
        <w:rPr>
          <w:rFonts w:ascii="Times New Roman" w:hAnsi="Times New Roman"/>
          <w:b/>
          <w:noProof/>
          <w:color w:val="000000" w:themeColor="text1"/>
          <w:sz w:val="24"/>
        </w:rPr>
        <w:t xml:space="preserve"> v </w:t>
      </w:r>
      <w:r w:rsidRPr="00AE6533">
        <w:rPr>
          <w:rFonts w:ascii="Times New Roman" w:hAnsi="Times New Roman"/>
          <w:b/>
          <w:noProof/>
          <w:color w:val="000000" w:themeColor="text1"/>
          <w:sz w:val="24"/>
        </w:rPr>
        <w:t>tretích krajinách</w:t>
      </w:r>
    </w:p>
    <w:p w14:paraId="71CCFC2C" w14:textId="01391809" w:rsidR="00AE6533" w:rsidRDefault="00A23C3F" w:rsidP="00F314FF">
      <w:pPr>
        <w:spacing w:after="120" w:line="240" w:lineRule="auto"/>
        <w:jc w:val="both"/>
        <w:rPr>
          <w:rFonts w:ascii="Times New Roman" w:hAnsi="Times New Roman"/>
          <w:noProof/>
          <w:sz w:val="24"/>
        </w:rPr>
      </w:pPr>
      <w:r w:rsidRPr="00AE6533">
        <w:rPr>
          <w:rFonts w:ascii="Times New Roman" w:hAnsi="Times New Roman"/>
          <w:noProof/>
          <w:sz w:val="24"/>
        </w:rPr>
        <w:t>Normy právomoci stanovené</w:t>
      </w:r>
      <w:r w:rsidR="00AE6533">
        <w:rPr>
          <w:rFonts w:ascii="Times New Roman" w:hAnsi="Times New Roman"/>
          <w:noProof/>
          <w:sz w:val="24"/>
        </w:rPr>
        <w:t xml:space="preserve"> v </w:t>
      </w:r>
      <w:r w:rsidRPr="00AE6533">
        <w:rPr>
          <w:rFonts w:ascii="Times New Roman" w:hAnsi="Times New Roman"/>
          <w:noProof/>
          <w:sz w:val="24"/>
        </w:rPr>
        <w:t>kapitole II nariadenia sa uplatňujú na prípady, keď má žalovaný bydlisko</w:t>
      </w:r>
      <w:r w:rsidR="00AE6533">
        <w:rPr>
          <w:rFonts w:ascii="Times New Roman" w:hAnsi="Times New Roman"/>
          <w:noProof/>
          <w:sz w:val="24"/>
        </w:rPr>
        <w:t xml:space="preserve"> v </w:t>
      </w:r>
      <w:r w:rsidRPr="00AE6533">
        <w:rPr>
          <w:rFonts w:ascii="Times New Roman" w:hAnsi="Times New Roman"/>
          <w:noProof/>
          <w:sz w:val="24"/>
        </w:rPr>
        <w:t>členskom štáte,</w:t>
      </w:r>
      <w:r w:rsidR="00AE6533">
        <w:rPr>
          <w:rFonts w:ascii="Times New Roman" w:hAnsi="Times New Roman"/>
          <w:noProof/>
          <w:sz w:val="24"/>
        </w:rPr>
        <w:t xml:space="preserve"> s </w:t>
      </w:r>
      <w:r w:rsidRPr="00AE6533">
        <w:rPr>
          <w:rFonts w:ascii="Times New Roman" w:hAnsi="Times New Roman"/>
          <w:noProof/>
          <w:sz w:val="24"/>
        </w:rPr>
        <w:t>výnimkou niektorých osobitných situácií (spotrebiteľské zmluvy, individuálne pracovné zmluvy, situácie, keď majú súdy výlučnú právomoc alebo keď si súd zvolia účastníci konania).</w:t>
      </w:r>
      <w:r w:rsidR="00AE6533">
        <w:rPr>
          <w:rFonts w:ascii="Times New Roman" w:hAnsi="Times New Roman"/>
          <w:noProof/>
          <w:sz w:val="24"/>
        </w:rPr>
        <w:t xml:space="preserve"> V </w:t>
      </w:r>
      <w:r w:rsidRPr="00AE6533">
        <w:rPr>
          <w:rFonts w:ascii="Times New Roman" w:hAnsi="Times New Roman"/>
          <w:noProof/>
          <w:sz w:val="24"/>
        </w:rPr>
        <w:t>prípade akýchkoľvek iných sporov týkajúcich sa žalovaného</w:t>
      </w:r>
      <w:r w:rsidR="00AE6533">
        <w:rPr>
          <w:rFonts w:ascii="Times New Roman" w:hAnsi="Times New Roman"/>
          <w:noProof/>
          <w:sz w:val="24"/>
        </w:rPr>
        <w:t xml:space="preserve"> s </w:t>
      </w:r>
      <w:r w:rsidRPr="00AE6533">
        <w:rPr>
          <w:rFonts w:ascii="Times New Roman" w:hAnsi="Times New Roman"/>
          <w:noProof/>
          <w:sz w:val="24"/>
        </w:rPr>
        <w:t>bydliskom mimo Únie sa právomoc riadi vnútroštátnym právom členských štátov</w:t>
      </w:r>
      <w:r w:rsidRPr="00AE6533">
        <w:rPr>
          <w:rStyle w:val="FootnoteReference"/>
          <w:rFonts w:ascii="Times New Roman" w:hAnsi="Times New Roman" w:cs="Times New Roman"/>
          <w:noProof/>
          <w:sz w:val="24"/>
          <w:szCs w:val="24"/>
        </w:rPr>
        <w:footnoteReference w:id="10"/>
      </w:r>
      <w:r w:rsidR="00AE6533">
        <w:rPr>
          <w:rFonts w:ascii="Times New Roman" w:hAnsi="Times New Roman"/>
          <w:noProof/>
          <w:sz w:val="24"/>
        </w:rPr>
        <w:t>.</w:t>
      </w:r>
    </w:p>
    <w:p w14:paraId="137DA82B" w14:textId="0A74FB1B" w:rsidR="00A23C3F" w:rsidRPr="00AE6533" w:rsidRDefault="00A23C3F" w:rsidP="00786D86">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 návrhu Komisie</w:t>
      </w:r>
      <w:r w:rsidR="00AE6533">
        <w:rPr>
          <w:rFonts w:ascii="Times New Roman" w:hAnsi="Times New Roman"/>
          <w:noProof/>
          <w:sz w:val="24"/>
        </w:rPr>
        <w:t xml:space="preserve"> z </w:t>
      </w:r>
      <w:r w:rsidRPr="00AE6533">
        <w:rPr>
          <w:rFonts w:ascii="Times New Roman" w:hAnsi="Times New Roman"/>
          <w:noProof/>
          <w:sz w:val="24"/>
        </w:rPr>
        <w:t>roku 2010 na prepracovanie nariadenia Brusel I</w:t>
      </w:r>
      <w:r w:rsidR="005360B4" w:rsidRPr="00AE6533">
        <w:rPr>
          <w:rStyle w:val="FootnoteReference"/>
          <w:rFonts w:ascii="Times New Roman" w:hAnsi="Times New Roman" w:cs="Times New Roman"/>
          <w:noProof/>
          <w:sz w:val="24"/>
          <w:szCs w:val="24"/>
        </w:rPr>
        <w:footnoteReference w:id="11"/>
      </w:r>
      <w:r w:rsidRPr="00AE6533">
        <w:rPr>
          <w:rFonts w:ascii="Times New Roman" w:hAnsi="Times New Roman"/>
          <w:noProof/>
          <w:sz w:val="24"/>
        </w:rPr>
        <w:t xml:space="preserve"> (ďalej len „návrh</w:t>
      </w:r>
      <w:r w:rsidR="00AE6533">
        <w:rPr>
          <w:rFonts w:ascii="Times New Roman" w:hAnsi="Times New Roman"/>
          <w:noProof/>
          <w:sz w:val="24"/>
        </w:rPr>
        <w:t xml:space="preserve"> z </w:t>
      </w:r>
      <w:r w:rsidRPr="00AE6533">
        <w:rPr>
          <w:rFonts w:ascii="Times New Roman" w:hAnsi="Times New Roman"/>
          <w:noProof/>
          <w:sz w:val="24"/>
        </w:rPr>
        <w:t>roku 2010“) sa navrhlo rozšírenie nariadenia aj na právomoc</w:t>
      </w:r>
      <w:r w:rsidR="00AE6533">
        <w:rPr>
          <w:rFonts w:ascii="Times New Roman" w:hAnsi="Times New Roman"/>
          <w:noProof/>
          <w:sz w:val="24"/>
        </w:rPr>
        <w:t xml:space="preserve"> v </w:t>
      </w:r>
      <w:r w:rsidRPr="00AE6533">
        <w:rPr>
          <w:rFonts w:ascii="Times New Roman" w:hAnsi="Times New Roman"/>
          <w:noProof/>
          <w:sz w:val="24"/>
        </w:rPr>
        <w:t>sporoch,</w:t>
      </w:r>
      <w:r w:rsidR="00AE6533">
        <w:rPr>
          <w:rFonts w:ascii="Times New Roman" w:hAnsi="Times New Roman"/>
          <w:noProof/>
          <w:sz w:val="24"/>
        </w:rPr>
        <w:t xml:space="preserve"> v </w:t>
      </w:r>
      <w:r w:rsidRPr="00AE6533">
        <w:rPr>
          <w:rFonts w:ascii="Times New Roman" w:hAnsi="Times New Roman"/>
          <w:noProof/>
          <w:sz w:val="24"/>
        </w:rPr>
        <w:t>ktorých majú žalovaní bydlisko mimo Únie. Počas legislatívneho procesu sa usúdilo, že takéto riešenie by bolo vhodné</w:t>
      </w:r>
      <w:r w:rsidR="00AE6533">
        <w:rPr>
          <w:rFonts w:ascii="Times New Roman" w:hAnsi="Times New Roman"/>
          <w:noProof/>
          <w:sz w:val="24"/>
        </w:rPr>
        <w:t xml:space="preserve"> v </w:t>
      </w:r>
      <w:r w:rsidRPr="00AE6533">
        <w:rPr>
          <w:rFonts w:ascii="Times New Roman" w:hAnsi="Times New Roman"/>
          <w:noProof/>
          <w:sz w:val="24"/>
        </w:rPr>
        <w:t>niektorých situáciách, napríklad ak sa jedna zo zmluvných strán považuje za slabšieho účastníka (napríklad pri spotrebiteľských zmluvách alebo individuálnych pracovných zmluvách), ale na účely všeobecného uplatňovania by bolo vhodnejšie multilaterálne riešenie.</w:t>
      </w:r>
      <w:r w:rsidR="00AE6533">
        <w:rPr>
          <w:rFonts w:ascii="Times New Roman" w:hAnsi="Times New Roman"/>
          <w:noProof/>
          <w:sz w:val="24"/>
        </w:rPr>
        <w:t xml:space="preserve"> V </w:t>
      </w:r>
      <w:r w:rsidRPr="00AE6533">
        <w:rPr>
          <w:rFonts w:ascii="Times New Roman" w:hAnsi="Times New Roman"/>
          <w:noProof/>
          <w:sz w:val="24"/>
        </w:rPr>
        <w:t>tom čase sa mohlo uvažovať</w:t>
      </w:r>
      <w:r w:rsidR="00AE6533">
        <w:rPr>
          <w:rFonts w:ascii="Times New Roman" w:hAnsi="Times New Roman"/>
          <w:noProof/>
          <w:sz w:val="24"/>
        </w:rPr>
        <w:t xml:space="preserve"> o </w:t>
      </w:r>
      <w:r w:rsidRPr="00AE6533">
        <w:rPr>
          <w:rFonts w:ascii="Times New Roman" w:hAnsi="Times New Roman"/>
          <w:noProof/>
          <w:sz w:val="24"/>
        </w:rPr>
        <w:t>takomto multilaterálnom riešení, najmä</w:t>
      </w:r>
      <w:r w:rsidR="00AE6533">
        <w:rPr>
          <w:rFonts w:ascii="Times New Roman" w:hAnsi="Times New Roman"/>
          <w:noProof/>
          <w:sz w:val="24"/>
        </w:rPr>
        <w:t xml:space="preserve"> v </w:t>
      </w:r>
      <w:r w:rsidRPr="00AE6533">
        <w:rPr>
          <w:rFonts w:ascii="Times New Roman" w:hAnsi="Times New Roman"/>
          <w:noProof/>
          <w:sz w:val="24"/>
        </w:rPr>
        <w:t>rámci Haagskej konferencie medzinárodného práva súkromného.</w:t>
      </w:r>
    </w:p>
    <w:p w14:paraId="09FBF138" w14:textId="5BB68AF9" w:rsidR="00F4126B" w:rsidRPr="00AE6533" w:rsidRDefault="00F4126B" w:rsidP="00786D86">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Takéto riešenie by sa dalo nájsť</w:t>
      </w:r>
      <w:r w:rsidR="00AE6533">
        <w:rPr>
          <w:rFonts w:ascii="Times New Roman" w:hAnsi="Times New Roman"/>
          <w:noProof/>
          <w:sz w:val="24"/>
        </w:rPr>
        <w:t xml:space="preserve"> v </w:t>
      </w:r>
      <w:r w:rsidRPr="00AE6533">
        <w:rPr>
          <w:rFonts w:ascii="Times New Roman" w:hAnsi="Times New Roman"/>
          <w:noProof/>
          <w:sz w:val="24"/>
        </w:rPr>
        <w:t>rámci vtedy prebiehajúcich rokovaní, ktoré napokon viedli</w:t>
      </w:r>
      <w:r w:rsidR="00AE6533">
        <w:rPr>
          <w:rFonts w:ascii="Times New Roman" w:hAnsi="Times New Roman"/>
          <w:noProof/>
          <w:sz w:val="24"/>
        </w:rPr>
        <w:t xml:space="preserve"> k </w:t>
      </w:r>
      <w:r w:rsidRPr="00AE6533">
        <w:rPr>
          <w:rFonts w:ascii="Times New Roman" w:hAnsi="Times New Roman"/>
          <w:noProof/>
          <w:sz w:val="24"/>
        </w:rPr>
        <w:t>prijatiu Dohovoru</w:t>
      </w:r>
      <w:r w:rsidR="00AE6533">
        <w:rPr>
          <w:rFonts w:ascii="Times New Roman" w:hAnsi="Times New Roman"/>
          <w:noProof/>
          <w:sz w:val="24"/>
        </w:rPr>
        <w:t xml:space="preserve"> o </w:t>
      </w:r>
      <w:r w:rsidRPr="00AE6533">
        <w:rPr>
          <w:rFonts w:ascii="Times New Roman" w:hAnsi="Times New Roman"/>
          <w:noProof/>
          <w:sz w:val="24"/>
        </w:rPr>
        <w:t>uznávaní</w:t>
      </w:r>
      <w:r w:rsidR="00AE6533">
        <w:rPr>
          <w:rFonts w:ascii="Times New Roman" w:hAnsi="Times New Roman"/>
          <w:noProof/>
          <w:sz w:val="24"/>
        </w:rPr>
        <w:t xml:space="preserve"> a </w:t>
      </w:r>
      <w:r w:rsidRPr="00AE6533">
        <w:rPr>
          <w:rFonts w:ascii="Times New Roman" w:hAnsi="Times New Roman"/>
          <w:noProof/>
          <w:sz w:val="24"/>
        </w:rPr>
        <w:t>výkone cudzích rozsudkov</w:t>
      </w:r>
      <w:r w:rsidR="00AE6533">
        <w:rPr>
          <w:rFonts w:ascii="Times New Roman" w:hAnsi="Times New Roman"/>
          <w:noProof/>
          <w:sz w:val="24"/>
        </w:rPr>
        <w:t xml:space="preserve"> v </w:t>
      </w:r>
      <w:r w:rsidRPr="00AE6533">
        <w:rPr>
          <w:rFonts w:ascii="Times New Roman" w:hAnsi="Times New Roman"/>
          <w:noProof/>
          <w:sz w:val="24"/>
        </w:rPr>
        <w:t>občianskych alebo obchodných veciach (ďalej len „dohovor</w:t>
      </w:r>
      <w:r w:rsidR="00AE6533">
        <w:rPr>
          <w:rFonts w:ascii="Times New Roman" w:hAnsi="Times New Roman"/>
          <w:noProof/>
          <w:sz w:val="24"/>
        </w:rPr>
        <w:t xml:space="preserve"> o </w:t>
      </w:r>
      <w:r w:rsidRPr="00AE6533">
        <w:rPr>
          <w:rFonts w:ascii="Times New Roman" w:hAnsi="Times New Roman"/>
          <w:noProof/>
          <w:sz w:val="24"/>
        </w:rPr>
        <w:t>rozsudkoch“)</w:t>
      </w:r>
      <w:r w:rsidR="00AE6533">
        <w:rPr>
          <w:rFonts w:ascii="Times New Roman" w:hAnsi="Times New Roman"/>
          <w:noProof/>
          <w:sz w:val="24"/>
        </w:rPr>
        <w:t xml:space="preserve"> v </w:t>
      </w:r>
      <w:r w:rsidRPr="00AE6533">
        <w:rPr>
          <w:rFonts w:ascii="Times New Roman" w:hAnsi="Times New Roman"/>
          <w:noProof/>
          <w:sz w:val="24"/>
        </w:rPr>
        <w:t>roku 2019. Tento nástroj však neobsahuje priame kritériá právomoci, ale len nepriamo odkazuje na právomoc ako podmienku pre uznanie</w:t>
      </w:r>
      <w:r w:rsidR="00AE6533">
        <w:rPr>
          <w:rFonts w:ascii="Times New Roman" w:hAnsi="Times New Roman"/>
          <w:noProof/>
          <w:sz w:val="24"/>
        </w:rPr>
        <w:t xml:space="preserve"> a </w:t>
      </w:r>
      <w:r w:rsidRPr="00AE6533">
        <w:rPr>
          <w:rFonts w:ascii="Times New Roman" w:hAnsi="Times New Roman"/>
          <w:noProof/>
          <w:sz w:val="24"/>
        </w:rPr>
        <w:t>výkon.</w:t>
      </w:r>
      <w:r w:rsidR="00AE6533">
        <w:rPr>
          <w:rFonts w:ascii="Times New Roman" w:hAnsi="Times New Roman"/>
          <w:noProof/>
          <w:sz w:val="24"/>
        </w:rPr>
        <w:t xml:space="preserve"> V </w:t>
      </w:r>
      <w:r w:rsidRPr="00AE6533">
        <w:rPr>
          <w:rFonts w:ascii="Times New Roman" w:hAnsi="Times New Roman"/>
          <w:noProof/>
          <w:sz w:val="24"/>
        </w:rPr>
        <w:t>rámci Haagskej konferencie</w:t>
      </w:r>
      <w:r w:rsidR="00AE6533">
        <w:rPr>
          <w:rFonts w:ascii="Times New Roman" w:hAnsi="Times New Roman"/>
          <w:noProof/>
          <w:sz w:val="24"/>
        </w:rPr>
        <w:t xml:space="preserve"> v </w:t>
      </w:r>
      <w:r w:rsidRPr="00AE6533">
        <w:rPr>
          <w:rFonts w:ascii="Times New Roman" w:hAnsi="Times New Roman"/>
          <w:noProof/>
          <w:sz w:val="24"/>
        </w:rPr>
        <w:t>súčasnosti stále prebiehajú práce</w:t>
      </w:r>
      <w:r w:rsidR="00AE6533">
        <w:rPr>
          <w:rFonts w:ascii="Times New Roman" w:hAnsi="Times New Roman"/>
          <w:noProof/>
          <w:sz w:val="24"/>
        </w:rPr>
        <w:t xml:space="preserve"> v </w:t>
      </w:r>
      <w:r w:rsidRPr="00AE6533">
        <w:rPr>
          <w:rFonts w:ascii="Times New Roman" w:hAnsi="Times New Roman"/>
          <w:noProof/>
          <w:sz w:val="24"/>
        </w:rPr>
        <w:t>oblasti právomoci, je však nepravdepodobné, že by viedli</w:t>
      </w:r>
      <w:r w:rsidR="00AE6533">
        <w:rPr>
          <w:rFonts w:ascii="Times New Roman" w:hAnsi="Times New Roman"/>
          <w:noProof/>
          <w:sz w:val="24"/>
        </w:rPr>
        <w:t xml:space="preserve"> k </w:t>
      </w:r>
      <w:r w:rsidRPr="00AE6533">
        <w:rPr>
          <w:rFonts w:ascii="Times New Roman" w:hAnsi="Times New Roman"/>
          <w:noProof/>
          <w:sz w:val="24"/>
        </w:rPr>
        <w:t>záväznému multilaterálnemu riešeniu</w:t>
      </w:r>
      <w:r w:rsidR="00AE6533">
        <w:rPr>
          <w:rFonts w:ascii="Times New Roman" w:hAnsi="Times New Roman"/>
          <w:noProof/>
          <w:sz w:val="24"/>
        </w:rPr>
        <w:t xml:space="preserve"> v </w:t>
      </w:r>
      <w:r w:rsidRPr="00AE6533">
        <w:rPr>
          <w:rFonts w:ascii="Times New Roman" w:hAnsi="Times New Roman"/>
          <w:noProof/>
          <w:sz w:val="24"/>
        </w:rPr>
        <w:t>oblasti priamych kritérií právomoci.</w:t>
      </w:r>
    </w:p>
    <w:p w14:paraId="56A947C5" w14:textId="059B2FBB" w:rsidR="00A23C3F" w:rsidRPr="00691FFB" w:rsidRDefault="009F4183" w:rsidP="00786D86">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Neexistencia takýchto noriem</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nariadení prináša niekoľko výziev</w:t>
      </w:r>
      <w:r w:rsidRPr="00691FFB">
        <w:rPr>
          <w:rStyle w:val="FootnoteReference"/>
          <w:rFonts w:ascii="Times New Roman" w:hAnsi="Times New Roman" w:cs="Times New Roman"/>
          <w:noProof/>
          <w:spacing w:val="-4"/>
          <w:sz w:val="24"/>
          <w:szCs w:val="24"/>
        </w:rPr>
        <w:footnoteReference w:id="12"/>
      </w:r>
      <w:r w:rsidRPr="00691FFB">
        <w:rPr>
          <w:rFonts w:ascii="Times New Roman" w:hAnsi="Times New Roman"/>
          <w:noProof/>
          <w:spacing w:val="-4"/>
          <w:sz w:val="24"/>
        </w:rPr>
        <w:t>. Po prvé, keďže vnútroštátne právo členských štátov sa značne líši, súčasný stav vytvára nerovnaký prístup</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spravodlivosti</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nerovnaké podmienky pre podniky</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občanov</w:t>
      </w:r>
      <w:r w:rsidR="00AE6533" w:rsidRPr="00691FFB">
        <w:rPr>
          <w:rFonts w:ascii="Times New Roman" w:hAnsi="Times New Roman"/>
          <w:noProof/>
          <w:spacing w:val="-4"/>
          <w:sz w:val="24"/>
        </w:rPr>
        <w:t xml:space="preserve"> z </w:t>
      </w:r>
      <w:r w:rsidRPr="00691FFB">
        <w:rPr>
          <w:rFonts w:ascii="Times New Roman" w:hAnsi="Times New Roman"/>
          <w:noProof/>
          <w:spacing w:val="-4"/>
          <w:sz w:val="24"/>
        </w:rPr>
        <w:t>EÚ</w:t>
      </w:r>
      <w:r w:rsidR="00AE6533" w:rsidRPr="00691FFB">
        <w:rPr>
          <w:rFonts w:ascii="Times New Roman" w:hAnsi="Times New Roman"/>
          <w:noProof/>
          <w:spacing w:val="-4"/>
          <w:sz w:val="24"/>
        </w:rPr>
        <w:t xml:space="preserve"> a z </w:t>
      </w:r>
      <w:r w:rsidRPr="00691FFB">
        <w:rPr>
          <w:rFonts w:ascii="Times New Roman" w:hAnsi="Times New Roman"/>
          <w:noProof/>
          <w:spacing w:val="-4"/>
          <w:sz w:val="24"/>
        </w:rPr>
        <w:t>krajín mimo EÚ zapojených do medzinárodných (mimoeurópskych) transakcií,</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to len</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závislosti od toho, kde majú domicil alebo bydlisko. Zatiaľ čo účastníci</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niektorých členských štátoch môžu žalovať protistrany</w:t>
      </w:r>
      <w:r w:rsidR="00AE6533" w:rsidRPr="00691FFB">
        <w:rPr>
          <w:rFonts w:ascii="Times New Roman" w:hAnsi="Times New Roman"/>
          <w:noProof/>
          <w:spacing w:val="-4"/>
          <w:sz w:val="24"/>
        </w:rPr>
        <w:t xml:space="preserve"> z </w:t>
      </w:r>
      <w:r w:rsidRPr="00691FFB">
        <w:rPr>
          <w:rFonts w:ascii="Times New Roman" w:hAnsi="Times New Roman"/>
          <w:noProof/>
          <w:spacing w:val="-4"/>
          <w:sz w:val="24"/>
        </w:rPr>
        <w:t>tretích krajín na základe širokej škály kritérií právomoci vrátane dôvodov, ktoré sú niekedy neprimerané, iní účastníci</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iných členských štátoch môžu mať</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dispozícii obmedzenejšie spektrum kritérií právomoci na žalovanie takýchto strán</w:t>
      </w:r>
      <w:r w:rsidR="00295C62" w:rsidRPr="00691FFB">
        <w:rPr>
          <w:rStyle w:val="FootnoteReference"/>
          <w:rFonts w:ascii="Times New Roman" w:hAnsi="Times New Roman" w:cs="Times New Roman"/>
          <w:noProof/>
          <w:spacing w:val="-4"/>
          <w:sz w:val="24"/>
          <w:szCs w:val="24"/>
        </w:rPr>
        <w:footnoteReference w:id="13"/>
      </w:r>
      <w:r w:rsidRPr="00691FFB">
        <w:rPr>
          <w:rFonts w:ascii="Times New Roman" w:hAnsi="Times New Roman"/>
          <w:noProof/>
          <w:spacing w:val="-4"/>
          <w:sz w:val="24"/>
        </w:rPr>
        <w:t>. Toto nerovné postavenie ešte viac prehlbuje skutočnosť, že predmetné rozsudky môžu byť na základe nariadenia uznané</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vykonané</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celej Únii,</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to aj</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prípade, že právomoc súdu pôvodu je neprimeraná.</w:t>
      </w:r>
    </w:p>
    <w:p w14:paraId="4386AB94" w14:textId="616E11DD" w:rsidR="00A23C3F" w:rsidRPr="00691FFB" w:rsidRDefault="009F4183" w:rsidP="005055A3">
      <w:pPr>
        <w:spacing w:after="120" w:line="240" w:lineRule="auto"/>
        <w:jc w:val="both"/>
        <w:rPr>
          <w:rFonts w:ascii="Times New Roman" w:hAnsi="Times New Roman" w:cs="Times New Roman"/>
          <w:noProof/>
          <w:spacing w:val="-6"/>
          <w:sz w:val="24"/>
          <w:szCs w:val="24"/>
        </w:rPr>
      </w:pPr>
      <w:r w:rsidRPr="00691FFB">
        <w:rPr>
          <w:rFonts w:ascii="Times New Roman" w:hAnsi="Times New Roman"/>
          <w:noProof/>
          <w:spacing w:val="-6"/>
          <w:sz w:val="24"/>
        </w:rPr>
        <w:t>Navyše sa zdá, že tento stav má nepriaznivý vplyv na obchodné spory</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spory</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oblasti ľudských práv. Pri tomto type súdnych sporov by sa obete</w:t>
      </w:r>
      <w:r w:rsidR="001D20E5" w:rsidRPr="00691FFB">
        <w:rPr>
          <w:rStyle w:val="FootnoteReference"/>
          <w:rFonts w:ascii="Times New Roman" w:hAnsi="Times New Roman" w:cs="Times New Roman"/>
          <w:noProof/>
          <w:spacing w:val="-6"/>
          <w:sz w:val="24"/>
          <w:szCs w:val="24"/>
        </w:rPr>
        <w:footnoteReference w:id="14"/>
      </w:r>
      <w:r w:rsidRPr="00691FFB">
        <w:rPr>
          <w:rFonts w:ascii="Times New Roman" w:hAnsi="Times New Roman"/>
          <w:noProof/>
          <w:spacing w:val="-6"/>
          <w:sz w:val="24"/>
        </w:rPr>
        <w:t xml:space="preserve"> často pokúšali žalovať zahraničný podnik so sídlom mimo EÚ aj kontrolujúcu materskú spoločnosť, ktorá má často sídlo</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EÚ. Rôzne členské štáty majú odlišné pravidlá týkajúce sa možnosti určiť právomoc vo veci dcérskej spoločnosti</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tretej krajine</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krajine sídla materskej spoločnosti. Táto situácia vedie</w:t>
      </w:r>
      <w:r w:rsidR="00AE6533" w:rsidRPr="00691FFB">
        <w:rPr>
          <w:rFonts w:ascii="Times New Roman" w:hAnsi="Times New Roman"/>
          <w:noProof/>
          <w:spacing w:val="-6"/>
          <w:sz w:val="24"/>
        </w:rPr>
        <w:t xml:space="preserve"> k </w:t>
      </w:r>
      <w:r w:rsidRPr="00691FFB">
        <w:rPr>
          <w:rFonts w:ascii="Times New Roman" w:hAnsi="Times New Roman"/>
          <w:noProof/>
          <w:spacing w:val="-6"/>
          <w:sz w:val="24"/>
        </w:rPr>
        <w:t>právnej neistote</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opäť stavia účastníkov konania</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EÚ,</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tomto prípade žalobcu aj žalovanú materskú spoločnosť</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EÚ, do nerovného postavenia. Súčasné normy uvedené</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článku 8, ktoré umožňujú sústredenie konaní</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mieste bydliska jedného zo žalovaných, sa neuplatňujú, ak má jeden</w:t>
      </w:r>
      <w:r w:rsidR="00AE6533" w:rsidRPr="00691FFB">
        <w:rPr>
          <w:rFonts w:ascii="Times New Roman" w:hAnsi="Times New Roman"/>
          <w:noProof/>
          <w:spacing w:val="-6"/>
          <w:sz w:val="24"/>
        </w:rPr>
        <w:t xml:space="preserve"> z </w:t>
      </w:r>
      <w:r w:rsidRPr="00691FFB">
        <w:rPr>
          <w:rFonts w:ascii="Times New Roman" w:hAnsi="Times New Roman"/>
          <w:noProof/>
          <w:spacing w:val="-6"/>
          <w:sz w:val="24"/>
        </w:rPr>
        <w:t>nich bydlisko mimo EÚ [pozri vec Sapirová</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i. (C-645/11)]. Znamená to, že ak vnútroštátne normy neumožňujú sústredenie konaní, mohli by existovať dve paralelné veci, jedna proti materskej spoločnosti</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EÚ</w:t>
      </w:r>
      <w:r w:rsidR="00AE6533" w:rsidRPr="00691FFB">
        <w:rPr>
          <w:rFonts w:ascii="Times New Roman" w:hAnsi="Times New Roman"/>
          <w:noProof/>
          <w:spacing w:val="-6"/>
          <w:sz w:val="24"/>
        </w:rPr>
        <w:t xml:space="preserve"> a </w:t>
      </w:r>
      <w:r w:rsidRPr="00691FFB">
        <w:rPr>
          <w:rFonts w:ascii="Times New Roman" w:hAnsi="Times New Roman"/>
          <w:noProof/>
          <w:spacing w:val="-6"/>
          <w:sz w:val="24"/>
        </w:rPr>
        <w:t>druhá proti dcérskej spoločnosti</w:t>
      </w:r>
      <w:r w:rsidR="00AE6533" w:rsidRPr="00691FFB">
        <w:rPr>
          <w:rFonts w:ascii="Times New Roman" w:hAnsi="Times New Roman"/>
          <w:noProof/>
          <w:spacing w:val="-6"/>
          <w:sz w:val="24"/>
        </w:rPr>
        <w:t xml:space="preserve"> v </w:t>
      </w:r>
      <w:r w:rsidRPr="00691FFB">
        <w:rPr>
          <w:rFonts w:ascii="Times New Roman" w:hAnsi="Times New Roman"/>
          <w:noProof/>
          <w:spacing w:val="-6"/>
          <w:sz w:val="24"/>
        </w:rPr>
        <w:t>tretej krajine,</w:t>
      </w:r>
      <w:r w:rsidR="00AE6533" w:rsidRPr="00691FFB">
        <w:rPr>
          <w:rFonts w:ascii="Times New Roman" w:hAnsi="Times New Roman"/>
          <w:noProof/>
          <w:spacing w:val="-6"/>
          <w:sz w:val="24"/>
        </w:rPr>
        <w:t xml:space="preserve"> s </w:t>
      </w:r>
      <w:r w:rsidRPr="00691FFB">
        <w:rPr>
          <w:rFonts w:ascii="Times New Roman" w:hAnsi="Times New Roman"/>
          <w:noProof/>
          <w:spacing w:val="-6"/>
          <w:sz w:val="24"/>
        </w:rPr>
        <w:t>rizikom nezlučiteľných rozsudkov.</w:t>
      </w:r>
    </w:p>
    <w:p w14:paraId="0E80AE99" w14:textId="0939F1FC" w:rsidR="00AE6533" w:rsidRDefault="00A23C3F" w:rsidP="00786D86">
      <w:pPr>
        <w:spacing w:after="120" w:line="240" w:lineRule="auto"/>
        <w:jc w:val="both"/>
        <w:rPr>
          <w:rFonts w:ascii="Times New Roman" w:hAnsi="Times New Roman"/>
          <w:noProof/>
          <w:sz w:val="24"/>
        </w:rPr>
      </w:pPr>
      <w:r w:rsidRPr="00AE6533">
        <w:rPr>
          <w:rFonts w:ascii="Times New Roman" w:hAnsi="Times New Roman"/>
          <w:noProof/>
          <w:sz w:val="24"/>
        </w:rPr>
        <w:t>Štúdia odhalila nejednoznačnú situáciu, pokiaľ ide</w:t>
      </w:r>
      <w:r w:rsidR="00AE6533">
        <w:rPr>
          <w:rFonts w:ascii="Times New Roman" w:hAnsi="Times New Roman"/>
          <w:noProof/>
          <w:sz w:val="24"/>
        </w:rPr>
        <w:t xml:space="preserve"> o </w:t>
      </w:r>
      <w:r w:rsidRPr="00AE6533">
        <w:rPr>
          <w:rFonts w:ascii="Times New Roman" w:hAnsi="Times New Roman"/>
          <w:noProof/>
          <w:sz w:val="24"/>
        </w:rPr>
        <w:t>rozšírenie noriem právomoci na žalovaných</w:t>
      </w:r>
      <w:r w:rsidR="00AE6533">
        <w:rPr>
          <w:rFonts w:ascii="Times New Roman" w:hAnsi="Times New Roman"/>
          <w:noProof/>
          <w:sz w:val="24"/>
        </w:rPr>
        <w:t xml:space="preserve"> s </w:t>
      </w:r>
      <w:r w:rsidRPr="00AE6533">
        <w:rPr>
          <w:rFonts w:ascii="Times New Roman" w:hAnsi="Times New Roman"/>
          <w:noProof/>
          <w:sz w:val="24"/>
        </w:rPr>
        <w:t>bydliskom</w:t>
      </w:r>
      <w:r w:rsidR="00AE6533">
        <w:rPr>
          <w:rFonts w:ascii="Times New Roman" w:hAnsi="Times New Roman"/>
          <w:noProof/>
          <w:sz w:val="24"/>
        </w:rPr>
        <w:t xml:space="preserve"> v </w:t>
      </w:r>
      <w:r w:rsidRPr="00AE6533">
        <w:rPr>
          <w:rFonts w:ascii="Times New Roman" w:hAnsi="Times New Roman"/>
          <w:noProof/>
          <w:sz w:val="24"/>
        </w:rPr>
        <w:t>tretích krajinách. Mnohí respondenti nemali názor na to, či neexistencia takýchto noriem predstavuje problém. Väčšina členských štátov nepovažovala neexistenciu noriem za problém, niektoré však kritizovali súčasný stav, keďže zvyšuje transakčné náklady</w:t>
      </w:r>
      <w:r w:rsidR="00AE6533">
        <w:rPr>
          <w:rFonts w:ascii="Times New Roman" w:hAnsi="Times New Roman"/>
          <w:noProof/>
          <w:sz w:val="24"/>
        </w:rPr>
        <w:t xml:space="preserve"> a </w:t>
      </w:r>
      <w:r w:rsidRPr="00AE6533">
        <w:rPr>
          <w:rFonts w:ascii="Times New Roman" w:hAnsi="Times New Roman"/>
          <w:noProof/>
          <w:sz w:val="24"/>
        </w:rPr>
        <w:t>žalobcom, odborníkom pracujúcim</w:t>
      </w:r>
      <w:r w:rsidR="00AE6533">
        <w:rPr>
          <w:rFonts w:ascii="Times New Roman" w:hAnsi="Times New Roman"/>
          <w:noProof/>
          <w:sz w:val="24"/>
        </w:rPr>
        <w:t xml:space="preserve"> v </w:t>
      </w:r>
      <w:r w:rsidRPr="00AE6533">
        <w:rPr>
          <w:rFonts w:ascii="Times New Roman" w:hAnsi="Times New Roman"/>
          <w:noProof/>
          <w:sz w:val="24"/>
        </w:rPr>
        <w:t>oblasti práva</w:t>
      </w:r>
      <w:r w:rsidR="00AE6533">
        <w:rPr>
          <w:rFonts w:ascii="Times New Roman" w:hAnsi="Times New Roman"/>
          <w:noProof/>
          <w:sz w:val="24"/>
        </w:rPr>
        <w:t xml:space="preserve"> a </w:t>
      </w:r>
      <w:r w:rsidRPr="00AE6533">
        <w:rPr>
          <w:rFonts w:ascii="Times New Roman" w:hAnsi="Times New Roman"/>
          <w:noProof/>
          <w:sz w:val="24"/>
        </w:rPr>
        <w:t>súdnym orgánom sťažuje situáciu</w:t>
      </w:r>
      <w:r w:rsidR="00AE6533">
        <w:rPr>
          <w:rFonts w:ascii="Times New Roman" w:hAnsi="Times New Roman"/>
          <w:noProof/>
          <w:sz w:val="24"/>
        </w:rPr>
        <w:t>.</w:t>
      </w:r>
    </w:p>
    <w:p w14:paraId="30E2AE79" w14:textId="5D9F3838" w:rsidR="00A23C3F" w:rsidRPr="00691FFB" w:rsidRDefault="00A23C3F" w:rsidP="00786D86">
      <w:pPr>
        <w:spacing w:after="120" w:line="240" w:lineRule="auto"/>
        <w:jc w:val="both"/>
        <w:rPr>
          <w:rFonts w:ascii="Times New Roman" w:hAnsi="Times New Roman" w:cs="Times New Roman"/>
          <w:noProof/>
          <w:sz w:val="24"/>
          <w:szCs w:val="24"/>
        </w:rPr>
      </w:pPr>
      <w:r w:rsidRPr="00691FFB">
        <w:rPr>
          <w:rFonts w:ascii="Times New Roman" w:hAnsi="Times New Roman"/>
          <w:noProof/>
          <w:sz w:val="24"/>
        </w:rPr>
        <w:t>V dôsledku toho by sa prípadné budúce preskúmanie nariadenia mohlo podrobnejšie zaoberať otázkou rozšírenia noriem právomoci na spory, ktorých účastníkmi sú žalovaní</w:t>
      </w:r>
      <w:r w:rsidR="00AE6533" w:rsidRPr="00691FFB">
        <w:rPr>
          <w:rFonts w:ascii="Times New Roman" w:hAnsi="Times New Roman"/>
          <w:noProof/>
          <w:sz w:val="24"/>
        </w:rPr>
        <w:t xml:space="preserve"> s </w:t>
      </w:r>
      <w:r w:rsidRPr="00691FFB">
        <w:rPr>
          <w:rFonts w:ascii="Times New Roman" w:hAnsi="Times New Roman"/>
          <w:noProof/>
          <w:sz w:val="24"/>
        </w:rPr>
        <w:t>bydliskom mimo Únie.</w:t>
      </w:r>
    </w:p>
    <w:p w14:paraId="1DAC4E72" w14:textId="547278ED" w:rsidR="00181D30" w:rsidRPr="00AE6533" w:rsidRDefault="00FB3DC6" w:rsidP="00ED1561">
      <w:pPr>
        <w:pStyle w:val="Heading2"/>
        <w:spacing w:before="240" w:after="120" w:line="240" w:lineRule="auto"/>
        <w:ind w:firstLine="240"/>
        <w:rPr>
          <w:rFonts w:ascii="Times New Roman" w:hAnsi="Times New Roman" w:cs="Times New Roman"/>
          <w:b/>
          <w:bCs/>
          <w:noProof/>
          <w:color w:val="auto"/>
          <w:sz w:val="24"/>
          <w:szCs w:val="24"/>
        </w:rPr>
      </w:pPr>
      <w:r w:rsidRPr="00AE6533">
        <w:rPr>
          <w:rFonts w:ascii="Times New Roman" w:hAnsi="Times New Roman"/>
          <w:b/>
          <w:noProof/>
          <w:color w:val="auto"/>
          <w:sz w:val="24"/>
        </w:rPr>
        <w:t>3.2. Osobitná právomoc (články 7 až 9)</w:t>
      </w:r>
    </w:p>
    <w:p w14:paraId="774841E7" w14:textId="4F0DA520" w:rsidR="00AE6533" w:rsidRDefault="0043717A" w:rsidP="002912B0">
      <w:pPr>
        <w:spacing w:after="120" w:line="240" w:lineRule="auto"/>
        <w:jc w:val="both"/>
        <w:rPr>
          <w:rFonts w:ascii="Times New Roman" w:hAnsi="Times New Roman"/>
          <w:noProof/>
          <w:sz w:val="24"/>
        </w:rPr>
      </w:pPr>
      <w:r w:rsidRPr="00AE6533">
        <w:rPr>
          <w:rFonts w:ascii="Times New Roman" w:hAnsi="Times New Roman"/>
          <w:noProof/>
          <w:sz w:val="24"/>
        </w:rPr>
        <w:t>Nie je prekvapením, že zo štúdie</w:t>
      </w:r>
      <w:r w:rsidR="00AE6533">
        <w:rPr>
          <w:rFonts w:ascii="Times New Roman" w:hAnsi="Times New Roman"/>
          <w:noProof/>
          <w:sz w:val="24"/>
        </w:rPr>
        <w:t xml:space="preserve"> a </w:t>
      </w:r>
      <w:r w:rsidRPr="00AE6533">
        <w:rPr>
          <w:rFonts w:ascii="Times New Roman" w:hAnsi="Times New Roman"/>
          <w:noProof/>
          <w:sz w:val="24"/>
        </w:rPr>
        <w:t>národných správ</w:t>
      </w:r>
      <w:r w:rsidR="00AE6533">
        <w:rPr>
          <w:rFonts w:ascii="Times New Roman" w:hAnsi="Times New Roman"/>
          <w:noProof/>
          <w:sz w:val="24"/>
        </w:rPr>
        <w:t xml:space="preserve"> v </w:t>
      </w:r>
      <w:r w:rsidRPr="00AE6533">
        <w:rPr>
          <w:rFonts w:ascii="Times New Roman" w:hAnsi="Times New Roman"/>
          <w:noProof/>
          <w:sz w:val="24"/>
        </w:rPr>
        <w:t>rámci projektu JUDGTRUST vyplýva, že</w:t>
      </w:r>
      <w:r w:rsidR="00AE6533">
        <w:rPr>
          <w:rFonts w:ascii="Times New Roman" w:hAnsi="Times New Roman"/>
          <w:noProof/>
          <w:sz w:val="24"/>
        </w:rPr>
        <w:t xml:space="preserve"> z </w:t>
      </w:r>
      <w:r w:rsidRPr="00AE6533">
        <w:rPr>
          <w:rFonts w:ascii="Times New Roman" w:hAnsi="Times New Roman"/>
          <w:noProof/>
          <w:sz w:val="24"/>
        </w:rPr>
        <w:t>noriem týkajúcich sa osobitnej právomoci sa najčastejšie uplatňuje článok 7, zatiaľ čo článok 8 sa uplatňuje len zriedkavo</w:t>
      </w:r>
      <w:r w:rsidR="00FB3DC6" w:rsidRPr="00AE6533">
        <w:rPr>
          <w:rStyle w:val="FootnoteReference"/>
          <w:rFonts w:ascii="Times New Roman" w:hAnsi="Times New Roman" w:cs="Times New Roman"/>
          <w:noProof/>
          <w:sz w:val="24"/>
          <w:szCs w:val="24"/>
        </w:rPr>
        <w:footnoteReference w:id="15"/>
      </w:r>
      <w:r w:rsidRPr="00AE6533">
        <w:rPr>
          <w:rFonts w:ascii="Times New Roman" w:hAnsi="Times New Roman"/>
          <w:noProof/>
          <w:sz w:val="24"/>
        </w:rPr>
        <w:t>, pričom</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článkom 9 neexistujú takmer žiadne prípady použitia</w:t>
      </w:r>
      <w:r w:rsidR="00AE6533">
        <w:rPr>
          <w:rFonts w:ascii="Times New Roman" w:hAnsi="Times New Roman"/>
          <w:noProof/>
          <w:sz w:val="24"/>
        </w:rPr>
        <w:t xml:space="preserve"> v </w:t>
      </w:r>
      <w:r w:rsidRPr="00AE6533">
        <w:rPr>
          <w:rFonts w:ascii="Times New Roman" w:hAnsi="Times New Roman"/>
          <w:noProof/>
          <w:sz w:val="24"/>
        </w:rPr>
        <w:t>praxi ani diskusia</w:t>
      </w:r>
      <w:r w:rsidR="00AE6533">
        <w:rPr>
          <w:rFonts w:ascii="Times New Roman" w:hAnsi="Times New Roman"/>
          <w:noProof/>
          <w:sz w:val="24"/>
        </w:rPr>
        <w:t xml:space="preserve"> v </w:t>
      </w:r>
      <w:r w:rsidRPr="00AE6533">
        <w:rPr>
          <w:rFonts w:ascii="Times New Roman" w:hAnsi="Times New Roman"/>
          <w:noProof/>
          <w:sz w:val="24"/>
        </w:rPr>
        <w:t>literatúre</w:t>
      </w:r>
      <w:r w:rsidR="00DB1A42" w:rsidRPr="00AE6533">
        <w:rPr>
          <w:rStyle w:val="FootnoteReference"/>
          <w:rFonts w:ascii="Times New Roman" w:hAnsi="Times New Roman" w:cs="Times New Roman"/>
          <w:noProof/>
          <w:sz w:val="24"/>
          <w:szCs w:val="24"/>
        </w:rPr>
        <w:footnoteReference w:id="16"/>
      </w:r>
      <w:r w:rsidR="00AE6533">
        <w:rPr>
          <w:rFonts w:ascii="Times New Roman" w:hAnsi="Times New Roman"/>
          <w:noProof/>
          <w:sz w:val="24"/>
        </w:rPr>
        <w:t>.</w:t>
      </w:r>
    </w:p>
    <w:p w14:paraId="08AFC6DC" w14:textId="50DD4A43" w:rsidR="00AE6533" w:rsidRDefault="00FB3DC6" w:rsidP="009C3092">
      <w:pPr>
        <w:spacing w:after="120" w:line="240" w:lineRule="auto"/>
        <w:jc w:val="both"/>
        <w:rPr>
          <w:rFonts w:ascii="Times New Roman" w:hAnsi="Times New Roman"/>
          <w:noProof/>
          <w:sz w:val="24"/>
        </w:rPr>
      </w:pPr>
      <w:r w:rsidRPr="00AE6533">
        <w:rPr>
          <w:rFonts w:ascii="Times New Roman" w:hAnsi="Times New Roman"/>
          <w:noProof/>
          <w:sz w:val="24"/>
        </w:rPr>
        <w:t>Článok 7 sa počas predchádzajúceho procesu prepracovania len mierne upravil</w:t>
      </w:r>
      <w:r w:rsidR="00AE6533">
        <w:rPr>
          <w:rFonts w:ascii="Times New Roman" w:hAnsi="Times New Roman"/>
          <w:noProof/>
          <w:sz w:val="24"/>
        </w:rPr>
        <w:t xml:space="preserve"> a </w:t>
      </w:r>
      <w:r w:rsidRPr="00AE6533">
        <w:rPr>
          <w:rFonts w:ascii="Times New Roman" w:hAnsi="Times New Roman"/>
          <w:noProof/>
          <w:sz w:val="24"/>
        </w:rPr>
        <w:t>vnútroštátne súdy ho naďalej vo veľkej miere uplatňujú.</w:t>
      </w:r>
      <w:r w:rsidR="00AE6533">
        <w:rPr>
          <w:rFonts w:ascii="Times New Roman" w:hAnsi="Times New Roman"/>
          <w:noProof/>
          <w:sz w:val="24"/>
        </w:rPr>
        <w:t xml:space="preserve"> V </w:t>
      </w:r>
      <w:r w:rsidRPr="00AE6533">
        <w:rPr>
          <w:rFonts w:ascii="Times New Roman" w:hAnsi="Times New Roman"/>
          <w:noProof/>
          <w:sz w:val="24"/>
        </w:rPr>
        <w:t>dôsledku toho bolo Súdnemu dvoru Európskej únie predložených viac návrhov na začatie prejudiciálneho konania na základe článku 7 než na základe ktorékoľvek iného ustanovenia nariadenia</w:t>
      </w:r>
      <w:r w:rsidR="00AE6533">
        <w:rPr>
          <w:rFonts w:ascii="Times New Roman" w:hAnsi="Times New Roman"/>
          <w:noProof/>
          <w:sz w:val="24"/>
        </w:rPr>
        <w:t>.</w:t>
      </w:r>
    </w:p>
    <w:p w14:paraId="3E645B2A" w14:textId="6ACEADB1" w:rsidR="00A514E5" w:rsidRPr="00AE6533" w:rsidRDefault="00FB3DC6" w:rsidP="009C3092">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Väčšina členských štátov uviedla, že uplatňovanie článku 7 je bezproblémové. Podľa štúdie sa nezaznamenali žiadne problémy, pokiaľ ide</w:t>
      </w:r>
      <w:r w:rsidR="00AE6533">
        <w:rPr>
          <w:rFonts w:ascii="Times New Roman" w:hAnsi="Times New Roman"/>
          <w:noProof/>
          <w:sz w:val="24"/>
        </w:rPr>
        <w:t xml:space="preserve"> o </w:t>
      </w:r>
      <w:r w:rsidRPr="00AE6533">
        <w:rPr>
          <w:rFonts w:ascii="Times New Roman" w:hAnsi="Times New Roman"/>
          <w:noProof/>
          <w:sz w:val="24"/>
        </w:rPr>
        <w:t>fungovanie článku 7 ods. 3 až 7</w:t>
      </w:r>
      <w:r w:rsidR="00567B59" w:rsidRPr="00AE6533">
        <w:rPr>
          <w:rStyle w:val="FootnoteReference"/>
          <w:rFonts w:ascii="Times New Roman" w:hAnsi="Times New Roman" w:cs="Times New Roman"/>
          <w:noProof/>
          <w:sz w:val="24"/>
          <w:szCs w:val="24"/>
        </w:rPr>
        <w:footnoteReference w:id="17"/>
      </w:r>
      <w:r w:rsidRPr="00AE6533">
        <w:rPr>
          <w:rFonts w:ascii="Times New Roman" w:hAnsi="Times New Roman"/>
          <w:noProof/>
          <w:sz w:val="24"/>
        </w:rPr>
        <w:t>, keďže sa</w:t>
      </w:r>
      <w:r w:rsidR="00AE6533">
        <w:rPr>
          <w:rFonts w:ascii="Times New Roman" w:hAnsi="Times New Roman"/>
          <w:noProof/>
          <w:sz w:val="24"/>
        </w:rPr>
        <w:t xml:space="preserve"> v </w:t>
      </w:r>
      <w:r w:rsidRPr="00AE6533">
        <w:rPr>
          <w:rFonts w:ascii="Times New Roman" w:hAnsi="Times New Roman"/>
          <w:noProof/>
          <w:sz w:val="24"/>
        </w:rPr>
        <w:t>praxi naďalej uplatňujú len zriedkavo. Početné veci predložené vnútroštátnymi súdmi Súdnemu dvoru Európskej únie, ako to vyplýva</w:t>
      </w:r>
      <w:r w:rsidR="00AE6533">
        <w:rPr>
          <w:rFonts w:ascii="Times New Roman" w:hAnsi="Times New Roman"/>
          <w:noProof/>
          <w:sz w:val="24"/>
        </w:rPr>
        <w:t xml:space="preserve"> z </w:t>
      </w:r>
      <w:r w:rsidRPr="00AE6533">
        <w:rPr>
          <w:rFonts w:ascii="Times New Roman" w:hAnsi="Times New Roman"/>
          <w:noProof/>
          <w:sz w:val="24"/>
        </w:rPr>
        <w:t>odpovedí viacerých členských štátov, však poukazujú na niekoľko závažných problémov</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článkom 7 ods. 1</w:t>
      </w:r>
      <w:r w:rsidR="00AE6533">
        <w:rPr>
          <w:rFonts w:ascii="Times New Roman" w:hAnsi="Times New Roman"/>
          <w:noProof/>
          <w:sz w:val="24"/>
        </w:rPr>
        <w:t xml:space="preserve"> a </w:t>
      </w:r>
      <w:r w:rsidRPr="00AE6533">
        <w:rPr>
          <w:rFonts w:ascii="Times New Roman" w:hAnsi="Times New Roman"/>
          <w:noProof/>
          <w:sz w:val="24"/>
        </w:rPr>
        <w:t>2:</w:t>
      </w:r>
    </w:p>
    <w:p w14:paraId="2F931AB4" w14:textId="09B59E3E" w:rsidR="00A514E5" w:rsidRPr="00AE6533" w:rsidRDefault="00637D1E" w:rsidP="009C3092">
      <w:pPr>
        <w:pStyle w:val="ListParagraph"/>
        <w:numPr>
          <w:ilvl w:val="0"/>
          <w:numId w:val="14"/>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čoraz širší výklad rozsahu pojmu „zmluvné veci“,</w:t>
      </w:r>
    </w:p>
    <w:p w14:paraId="2059ABCC" w14:textId="5479862A" w:rsidR="00A514E5" w:rsidRPr="00AE6533" w:rsidRDefault="00A514E5" w:rsidP="009C3092">
      <w:pPr>
        <w:pStyle w:val="ListParagraph"/>
        <w:numPr>
          <w:ilvl w:val="0"/>
          <w:numId w:val="14"/>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určenie miesta plnenia zmluvných záväzkov,</w:t>
      </w:r>
    </w:p>
    <w:p w14:paraId="7FE489A0" w14:textId="42CFD33F" w:rsidR="00A514E5" w:rsidRPr="00AE6533" w:rsidRDefault="00BB1517" w:rsidP="009C3092">
      <w:pPr>
        <w:pStyle w:val="ListParagraph"/>
        <w:numPr>
          <w:ilvl w:val="0"/>
          <w:numId w:val="14"/>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určenie miesta vzniku škody</w:t>
      </w:r>
      <w:r w:rsidR="00AE6533">
        <w:rPr>
          <w:rFonts w:ascii="Times New Roman" w:hAnsi="Times New Roman"/>
          <w:noProof/>
          <w:sz w:val="24"/>
        </w:rPr>
        <w:t xml:space="preserve"> v </w:t>
      </w:r>
      <w:r w:rsidRPr="00AE6533">
        <w:rPr>
          <w:rFonts w:ascii="Times New Roman" w:hAnsi="Times New Roman"/>
          <w:noProof/>
          <w:sz w:val="24"/>
        </w:rPr>
        <w:t>prípadoch čisto finančnej straty,</w:t>
      </w:r>
    </w:p>
    <w:p w14:paraId="77586970" w14:textId="1222DEE4" w:rsidR="00040066" w:rsidRPr="00AE6533" w:rsidRDefault="00A514E5" w:rsidP="009C3092">
      <w:pPr>
        <w:pStyle w:val="ListParagraph"/>
        <w:numPr>
          <w:ilvl w:val="0"/>
          <w:numId w:val="14"/>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uplatňovanie zásady tzv. mozaiky</w:t>
      </w:r>
      <w:r w:rsidR="00AE6533">
        <w:rPr>
          <w:rFonts w:ascii="Times New Roman" w:hAnsi="Times New Roman"/>
          <w:noProof/>
          <w:sz w:val="24"/>
        </w:rPr>
        <w:t xml:space="preserve"> v </w:t>
      </w:r>
      <w:r w:rsidRPr="00AE6533">
        <w:rPr>
          <w:rFonts w:ascii="Times New Roman" w:hAnsi="Times New Roman"/>
          <w:noProof/>
          <w:sz w:val="24"/>
        </w:rPr>
        <w:t>prípadoch porušenia práv na súkromie.</w:t>
      </w:r>
    </w:p>
    <w:p w14:paraId="35044B84" w14:textId="689CF543" w:rsidR="000756D7" w:rsidRPr="00AE6533" w:rsidRDefault="00411BD8" w:rsidP="009C3092">
      <w:pPr>
        <w:pStyle w:val="Heading3LL"/>
        <w:spacing w:before="240"/>
        <w:ind w:firstLine="240"/>
        <w:rPr>
          <w:noProof/>
        </w:rPr>
      </w:pPr>
      <w:r w:rsidRPr="00AE6533">
        <w:rPr>
          <w:noProof/>
        </w:rPr>
        <w:t>3.2.1. Článok 7 ods. 1</w:t>
      </w:r>
    </w:p>
    <w:p w14:paraId="15E37199" w14:textId="59C67BF9" w:rsidR="00AE6533" w:rsidRDefault="00040066" w:rsidP="003B76F1">
      <w:pPr>
        <w:spacing w:after="120" w:line="240" w:lineRule="auto"/>
        <w:jc w:val="both"/>
        <w:rPr>
          <w:rFonts w:ascii="Times New Roman" w:hAnsi="Times New Roman"/>
          <w:noProof/>
          <w:sz w:val="24"/>
        </w:rPr>
      </w:pPr>
      <w:r w:rsidRPr="00AE6533">
        <w:rPr>
          <w:rFonts w:ascii="Times New Roman" w:hAnsi="Times New Roman"/>
          <w:noProof/>
          <w:sz w:val="24"/>
        </w:rPr>
        <w:t>V článku 7 ods. 1 sa stanovuje pravidlo</w:t>
      </w:r>
      <w:r w:rsidRPr="00AE6533">
        <w:rPr>
          <w:rFonts w:ascii="Times New Roman" w:hAnsi="Times New Roman"/>
          <w:i/>
          <w:noProof/>
          <w:sz w:val="24"/>
        </w:rPr>
        <w:t xml:space="preserve"> </w:t>
      </w:r>
      <w:r w:rsidRPr="00AE6533">
        <w:rPr>
          <w:rFonts w:ascii="Times New Roman" w:hAnsi="Times New Roman"/>
          <w:noProof/>
          <w:sz w:val="24"/>
        </w:rPr>
        <w:t>osobitnej právomoci</w:t>
      </w:r>
      <w:r w:rsidR="00AE6533">
        <w:rPr>
          <w:rFonts w:ascii="Times New Roman" w:hAnsi="Times New Roman"/>
          <w:noProof/>
          <w:sz w:val="24"/>
        </w:rPr>
        <w:t xml:space="preserve"> v </w:t>
      </w:r>
      <w:r w:rsidRPr="00AE6533">
        <w:rPr>
          <w:rFonts w:ascii="Times New Roman" w:hAnsi="Times New Roman"/>
          <w:noProof/>
          <w:sz w:val="24"/>
        </w:rPr>
        <w:t>sporoch týkajúcich sa zmluvných záväzkov. Nevymedzuje sa</w:t>
      </w:r>
      <w:r w:rsidR="00AE6533">
        <w:rPr>
          <w:rFonts w:ascii="Times New Roman" w:hAnsi="Times New Roman"/>
          <w:noProof/>
          <w:sz w:val="24"/>
        </w:rPr>
        <w:t xml:space="preserve"> v </w:t>
      </w:r>
      <w:r w:rsidRPr="00AE6533">
        <w:rPr>
          <w:rFonts w:ascii="Times New Roman" w:hAnsi="Times New Roman"/>
          <w:noProof/>
          <w:sz w:val="24"/>
        </w:rPr>
        <w:t>ňom však pojem „zmluvné veci“</w:t>
      </w:r>
      <w:r w:rsidR="00AE6533">
        <w:rPr>
          <w:rFonts w:ascii="Times New Roman" w:hAnsi="Times New Roman"/>
          <w:noProof/>
          <w:sz w:val="24"/>
        </w:rPr>
        <w:t xml:space="preserve"> a v </w:t>
      </w:r>
      <w:r w:rsidRPr="00AE6533">
        <w:rPr>
          <w:rFonts w:ascii="Times New Roman" w:hAnsi="Times New Roman"/>
          <w:noProof/>
          <w:sz w:val="24"/>
        </w:rPr>
        <w:t>tejto súvislosti sa</w:t>
      </w:r>
      <w:r w:rsidR="00AE6533">
        <w:rPr>
          <w:rFonts w:ascii="Times New Roman" w:hAnsi="Times New Roman"/>
          <w:noProof/>
          <w:sz w:val="24"/>
        </w:rPr>
        <w:t xml:space="preserve"> v </w:t>
      </w:r>
      <w:r w:rsidRPr="00AE6533">
        <w:rPr>
          <w:rFonts w:ascii="Times New Roman" w:hAnsi="Times New Roman"/>
          <w:noProof/>
          <w:sz w:val="24"/>
        </w:rPr>
        <w:t>ňom ani neuvádzajú žiadne indície</w:t>
      </w:r>
      <w:r w:rsidR="00AE6533">
        <w:rPr>
          <w:rFonts w:ascii="Times New Roman" w:hAnsi="Times New Roman"/>
          <w:noProof/>
          <w:sz w:val="24"/>
        </w:rPr>
        <w:t>.</w:t>
      </w:r>
    </w:p>
    <w:p w14:paraId="29AAE9D7" w14:textId="4E0ED616" w:rsidR="00AE6533" w:rsidRPr="00691FFB" w:rsidRDefault="004000C5" w:rsidP="003B76F1">
      <w:pPr>
        <w:spacing w:after="120" w:line="240" w:lineRule="auto"/>
        <w:jc w:val="both"/>
        <w:rPr>
          <w:rFonts w:ascii="Times New Roman" w:hAnsi="Times New Roman"/>
          <w:noProof/>
          <w:spacing w:val="-4"/>
          <w:sz w:val="24"/>
        </w:rPr>
      </w:pPr>
      <w:r w:rsidRPr="00691FFB">
        <w:rPr>
          <w:rFonts w:ascii="Times New Roman" w:hAnsi="Times New Roman"/>
          <w:noProof/>
          <w:spacing w:val="-4"/>
          <w:sz w:val="24"/>
        </w:rPr>
        <w:t>Nedávne rozsudky Súdneho dvora Európskej únie, napríklad vo veciach flightright GmbH (spojené veci C-274/16, C-447/16</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C-448/16)</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Feniks (C-337/17), poukazujú na to, že pojem „zmluvné veci“ sa vykladá široko. Tento pojem zahŕňa aj žaloby, ktoré môžu súvisieť so zmluvou, aj keď medzi účastníkmi konania nebola uzavretá žiadna zmluva</w:t>
      </w:r>
      <w:r w:rsidRPr="00691FFB">
        <w:rPr>
          <w:rStyle w:val="FootnoteReference"/>
          <w:rFonts w:ascii="Times New Roman" w:hAnsi="Times New Roman" w:cs="Times New Roman"/>
          <w:noProof/>
          <w:spacing w:val="-4"/>
          <w:sz w:val="24"/>
          <w:szCs w:val="24"/>
        </w:rPr>
        <w:footnoteReference w:id="18"/>
      </w:r>
      <w:r w:rsidRPr="00691FFB">
        <w:rPr>
          <w:rFonts w:ascii="Times New Roman" w:hAnsi="Times New Roman"/>
          <w:noProof/>
          <w:spacing w:val="-4"/>
          <w:sz w:val="24"/>
        </w:rPr>
        <w:t>, ak je zmluva sporná alebo neplatná, alebo ak bola uzavretá medzi inými stranami, ako sú účastníci konania</w:t>
      </w:r>
      <w:r w:rsidR="00AE6533" w:rsidRPr="00691FFB">
        <w:rPr>
          <w:rFonts w:ascii="Times New Roman" w:hAnsi="Times New Roman"/>
          <w:noProof/>
          <w:spacing w:val="-4"/>
          <w:sz w:val="24"/>
        </w:rPr>
        <w:t>.</w:t>
      </w:r>
    </w:p>
    <w:p w14:paraId="62F3C5A2" w14:textId="1F02BB74" w:rsidR="00AE6533" w:rsidRPr="00691FFB" w:rsidRDefault="004F6FDF" w:rsidP="009C3092">
      <w:pPr>
        <w:spacing w:after="120" w:line="240" w:lineRule="auto"/>
        <w:jc w:val="both"/>
        <w:rPr>
          <w:rFonts w:ascii="Times New Roman" w:hAnsi="Times New Roman"/>
          <w:noProof/>
          <w:spacing w:val="-4"/>
          <w:sz w:val="24"/>
        </w:rPr>
      </w:pPr>
      <w:r w:rsidRPr="00691FFB">
        <w:rPr>
          <w:rFonts w:ascii="Times New Roman" w:hAnsi="Times New Roman"/>
          <w:noProof/>
          <w:spacing w:val="-4"/>
          <w:sz w:val="24"/>
        </w:rPr>
        <w:t>Zo štúdie</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vecí, ktoré vnútroštátne súdy predložili Súdnemu dvoru Európskej únie, vyplýva, že široký výklad pojmu „zmluvné veci“ môže</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niektorých prípadoch spôsobovať praktické ťažkosti, najmä ak sa takýto výklad líši od výkladu podobných vnútroštátnych pojmov alebo sa jeho zosúladenie so zásadami blízkosti</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predvídateľnosti,</w:t>
      </w:r>
      <w:r w:rsidR="00AE6533" w:rsidRPr="00691FFB">
        <w:rPr>
          <w:rFonts w:ascii="Times New Roman" w:hAnsi="Times New Roman"/>
          <w:noProof/>
          <w:spacing w:val="-4"/>
          <w:sz w:val="24"/>
        </w:rPr>
        <w:t xml:space="preserve"> z </w:t>
      </w:r>
      <w:r w:rsidRPr="00691FFB">
        <w:rPr>
          <w:rFonts w:ascii="Times New Roman" w:hAnsi="Times New Roman"/>
          <w:noProof/>
          <w:spacing w:val="-4"/>
          <w:sz w:val="24"/>
        </w:rPr>
        <w:t>ktorých vychádza článok 7 ods. 1, považuje za náročné.</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tejto súvislosti sa uvádza, že široký výklad pojmu „zmluvné veci“ by mohol viesť</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značnej právnej neistote pre tretie strany, ktoré by mohli byť žalované</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mieste plnenia zmluvy,</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 xml:space="preserve">ktorej nevedeli. Táto obava sa týka najmä nárokov založených na </w:t>
      </w:r>
      <w:r w:rsidRPr="00691FFB">
        <w:rPr>
          <w:rFonts w:ascii="Times New Roman" w:hAnsi="Times New Roman"/>
          <w:i/>
          <w:noProof/>
          <w:spacing w:val="-4"/>
          <w:sz w:val="24"/>
        </w:rPr>
        <w:t>actio pauliana</w:t>
      </w:r>
      <w:r w:rsidRPr="00691FFB">
        <w:rPr>
          <w:rFonts w:ascii="Times New Roman" w:hAnsi="Times New Roman"/>
          <w:noProof/>
          <w:spacing w:val="-4"/>
          <w:sz w:val="24"/>
        </w:rPr>
        <w:t>, ktoré sa podľa rozsudku vo veci Feniks (C-337/17) tiež považujú za „zmluvné veci“</w:t>
      </w:r>
      <w:r w:rsidR="00AE6533" w:rsidRPr="00691FFB">
        <w:rPr>
          <w:rFonts w:ascii="Times New Roman" w:hAnsi="Times New Roman"/>
          <w:noProof/>
          <w:spacing w:val="-4"/>
          <w:sz w:val="24"/>
        </w:rPr>
        <w:t>.</w:t>
      </w:r>
    </w:p>
    <w:p w14:paraId="6BA6311E" w14:textId="3416DD92" w:rsidR="00922E33" w:rsidRPr="00AE6533" w:rsidRDefault="00FD6536" w:rsidP="002912B0">
      <w:pPr>
        <w:pStyle w:val="ListParagraph"/>
        <w:spacing w:after="120" w:line="240" w:lineRule="auto"/>
        <w:ind w:left="0"/>
        <w:contextualSpacing w:val="0"/>
        <w:jc w:val="both"/>
        <w:rPr>
          <w:rFonts w:ascii="Times New Roman" w:hAnsi="Times New Roman" w:cs="Times New Roman"/>
          <w:noProof/>
          <w:sz w:val="24"/>
          <w:szCs w:val="24"/>
        </w:rPr>
      </w:pPr>
      <w:r w:rsidRPr="00AE6533">
        <w:rPr>
          <w:rFonts w:ascii="Times New Roman" w:hAnsi="Times New Roman"/>
          <w:noProof/>
          <w:sz w:val="24"/>
        </w:rPr>
        <w:t>Keď vnútroštátny súd stanoví, že situácia patrí do rozsahu pôsobnosti článku 7 ods. 1, t. j. že ide</w:t>
      </w:r>
      <w:r w:rsidR="00AE6533">
        <w:rPr>
          <w:rFonts w:ascii="Times New Roman" w:hAnsi="Times New Roman"/>
          <w:noProof/>
          <w:sz w:val="24"/>
        </w:rPr>
        <w:t xml:space="preserve"> o </w:t>
      </w:r>
      <w:r w:rsidRPr="00AE6533">
        <w:rPr>
          <w:rFonts w:ascii="Times New Roman" w:hAnsi="Times New Roman"/>
          <w:noProof/>
          <w:sz w:val="24"/>
        </w:rPr>
        <w:t>„zmluvnú vec“, musí určiť miesto plnenia zmluvného záväzku. To sa zdá náročné vzhľadom na skutočnosť, že riešenia prijaté Súdnym dvorom Európskej únie</w:t>
      </w:r>
      <w:r w:rsidR="00922E33" w:rsidRPr="00AE6533">
        <w:rPr>
          <w:rStyle w:val="FootnoteReference"/>
          <w:rFonts w:ascii="Times New Roman" w:hAnsi="Times New Roman" w:cs="Times New Roman"/>
          <w:noProof/>
          <w:sz w:val="24"/>
          <w:szCs w:val="24"/>
        </w:rPr>
        <w:footnoteReference w:id="19"/>
      </w:r>
      <w:r w:rsidR="00AE6533">
        <w:rPr>
          <w:rFonts w:ascii="Times New Roman" w:hAnsi="Times New Roman"/>
          <w:noProof/>
          <w:sz w:val="24"/>
        </w:rPr>
        <w:t xml:space="preserve"> v </w:t>
      </w:r>
      <w:r w:rsidRPr="00AE6533">
        <w:rPr>
          <w:rFonts w:ascii="Times New Roman" w:hAnsi="Times New Roman"/>
          <w:noProof/>
          <w:sz w:val="24"/>
        </w:rPr>
        <w:t>konkrétnych prípadoch nemožno vždy uplatniť na prípady</w:t>
      </w:r>
      <w:r w:rsidR="00AE6533">
        <w:rPr>
          <w:rFonts w:ascii="Times New Roman" w:hAnsi="Times New Roman"/>
          <w:noProof/>
          <w:sz w:val="24"/>
        </w:rPr>
        <w:t xml:space="preserve"> s </w:t>
      </w:r>
      <w:r w:rsidRPr="00AE6533">
        <w:rPr>
          <w:rFonts w:ascii="Times New Roman" w:hAnsi="Times New Roman"/>
          <w:noProof/>
          <w:sz w:val="24"/>
        </w:rPr>
        <w:t>odlišným skutkovým stavom, najmä</w:t>
      </w:r>
      <w:r w:rsidR="00AE6533">
        <w:rPr>
          <w:rFonts w:ascii="Times New Roman" w:hAnsi="Times New Roman"/>
          <w:noProof/>
          <w:sz w:val="24"/>
        </w:rPr>
        <w:t xml:space="preserve"> v </w:t>
      </w:r>
      <w:r w:rsidRPr="00AE6533">
        <w:rPr>
          <w:rFonts w:ascii="Times New Roman" w:hAnsi="Times New Roman"/>
          <w:noProof/>
          <w:sz w:val="24"/>
        </w:rPr>
        <w:t>situáciách</w:t>
      </w:r>
      <w:r w:rsidR="00AE6533">
        <w:rPr>
          <w:rFonts w:ascii="Times New Roman" w:hAnsi="Times New Roman"/>
          <w:noProof/>
          <w:sz w:val="24"/>
        </w:rPr>
        <w:t xml:space="preserve"> s </w:t>
      </w:r>
      <w:r w:rsidRPr="00AE6533">
        <w:rPr>
          <w:rFonts w:ascii="Times New Roman" w:hAnsi="Times New Roman"/>
          <w:noProof/>
          <w:sz w:val="24"/>
        </w:rPr>
        <w:t>viacerými miestami plnenia</w:t>
      </w:r>
      <w:r w:rsidR="00AE6533">
        <w:rPr>
          <w:rFonts w:ascii="Times New Roman" w:hAnsi="Times New Roman"/>
          <w:noProof/>
          <w:sz w:val="24"/>
        </w:rPr>
        <w:t xml:space="preserve"> a </w:t>
      </w:r>
      <w:r w:rsidRPr="00AE6533">
        <w:rPr>
          <w:rFonts w:ascii="Times New Roman" w:hAnsi="Times New Roman"/>
          <w:noProof/>
          <w:sz w:val="24"/>
        </w:rPr>
        <w:t>viacerými záväzkami, alebo</w:t>
      </w:r>
      <w:r w:rsidR="00AE6533">
        <w:rPr>
          <w:rFonts w:ascii="Times New Roman" w:hAnsi="Times New Roman"/>
          <w:noProof/>
          <w:sz w:val="24"/>
        </w:rPr>
        <w:t xml:space="preserve"> v </w:t>
      </w:r>
      <w:r w:rsidRPr="00AE6533">
        <w:rPr>
          <w:rFonts w:ascii="Times New Roman" w:hAnsi="Times New Roman"/>
          <w:noProof/>
          <w:sz w:val="24"/>
        </w:rPr>
        <w:t>súvislosti so zmluvami, ktorých súčasťou nie je žiadne fyzické premiestnenie tovaru, čo je</w:t>
      </w:r>
      <w:r w:rsidR="00AE6533">
        <w:rPr>
          <w:rFonts w:ascii="Times New Roman" w:hAnsi="Times New Roman"/>
          <w:noProof/>
          <w:sz w:val="24"/>
        </w:rPr>
        <w:t xml:space="preserve"> v </w:t>
      </w:r>
      <w:r w:rsidRPr="00AE6533">
        <w:rPr>
          <w:rFonts w:ascii="Times New Roman" w:hAnsi="Times New Roman"/>
          <w:noProof/>
          <w:sz w:val="24"/>
        </w:rPr>
        <w:t>digitálnom hospodárstve čoraz relevantnejšie (napr. zmluvy</w:t>
      </w:r>
      <w:r w:rsidR="00AE6533">
        <w:rPr>
          <w:rFonts w:ascii="Times New Roman" w:hAnsi="Times New Roman"/>
          <w:noProof/>
          <w:sz w:val="24"/>
        </w:rPr>
        <w:t xml:space="preserve"> o </w:t>
      </w:r>
      <w:r w:rsidRPr="00AE6533">
        <w:rPr>
          <w:rFonts w:ascii="Times New Roman" w:hAnsi="Times New Roman"/>
          <w:noProof/>
          <w:sz w:val="24"/>
        </w:rPr>
        <w:t>poskytovaní digitálnych služieb alebo digitálneho obsahu vrátane údajov). Tento druhý aspekt ilustruje nedávny rozsudok vo veci VariusSystems (C-526/23),</w:t>
      </w:r>
      <w:r w:rsidR="00AE6533">
        <w:rPr>
          <w:rFonts w:ascii="Times New Roman" w:hAnsi="Times New Roman"/>
          <w:noProof/>
          <w:sz w:val="24"/>
        </w:rPr>
        <w:t xml:space="preserve"> v </w:t>
      </w:r>
      <w:r w:rsidRPr="00AE6533">
        <w:rPr>
          <w:rFonts w:ascii="Times New Roman" w:hAnsi="Times New Roman"/>
          <w:noProof/>
          <w:sz w:val="24"/>
        </w:rPr>
        <w:t>ktorom bolo potrebné určiť miesto plnenia zmluvy, na základe ktorej žalobca so sídlom</w:t>
      </w:r>
      <w:r w:rsidR="00AE6533">
        <w:rPr>
          <w:rFonts w:ascii="Times New Roman" w:hAnsi="Times New Roman"/>
          <w:noProof/>
          <w:sz w:val="24"/>
        </w:rPr>
        <w:t xml:space="preserve"> v </w:t>
      </w:r>
      <w:r w:rsidRPr="00AE6533">
        <w:rPr>
          <w:rFonts w:ascii="Times New Roman" w:hAnsi="Times New Roman"/>
          <w:noProof/>
          <w:sz w:val="24"/>
        </w:rPr>
        <w:t>Rakúsku vyvinul</w:t>
      </w:r>
      <w:r w:rsidR="00AE6533">
        <w:rPr>
          <w:rFonts w:ascii="Times New Roman" w:hAnsi="Times New Roman"/>
          <w:noProof/>
          <w:sz w:val="24"/>
        </w:rPr>
        <w:t xml:space="preserve"> a </w:t>
      </w:r>
      <w:r w:rsidRPr="00AE6533">
        <w:rPr>
          <w:rFonts w:ascii="Times New Roman" w:hAnsi="Times New Roman"/>
          <w:noProof/>
          <w:sz w:val="24"/>
        </w:rPr>
        <w:t>dodal žalovanému so sídlom</w:t>
      </w:r>
      <w:r w:rsidR="00AE6533">
        <w:rPr>
          <w:rFonts w:ascii="Times New Roman" w:hAnsi="Times New Roman"/>
          <w:noProof/>
          <w:sz w:val="24"/>
        </w:rPr>
        <w:t xml:space="preserve"> v </w:t>
      </w:r>
      <w:r w:rsidRPr="00AE6533">
        <w:rPr>
          <w:rFonts w:ascii="Times New Roman" w:hAnsi="Times New Roman"/>
          <w:noProof/>
          <w:sz w:val="24"/>
        </w:rPr>
        <w:t>Nemecku softvér na hodnotenie skríningových testov na COVID-19 na použitie</w:t>
      </w:r>
      <w:r w:rsidR="00AE6533">
        <w:rPr>
          <w:rFonts w:ascii="Times New Roman" w:hAnsi="Times New Roman"/>
          <w:noProof/>
          <w:sz w:val="24"/>
        </w:rPr>
        <w:t xml:space="preserve"> v </w:t>
      </w:r>
      <w:r w:rsidRPr="00AE6533">
        <w:rPr>
          <w:rFonts w:ascii="Times New Roman" w:hAnsi="Times New Roman"/>
          <w:noProof/>
          <w:sz w:val="24"/>
        </w:rPr>
        <w:t>nemeckých testovacích centrách.</w:t>
      </w:r>
      <w:r w:rsidR="00AE6533">
        <w:rPr>
          <w:rFonts w:ascii="Times New Roman" w:hAnsi="Times New Roman"/>
          <w:noProof/>
          <w:sz w:val="24"/>
        </w:rPr>
        <w:t xml:space="preserve"> V </w:t>
      </w:r>
      <w:r w:rsidRPr="00AE6533">
        <w:rPr>
          <w:rFonts w:ascii="Times New Roman" w:hAnsi="Times New Roman"/>
          <w:noProof/>
          <w:sz w:val="24"/>
        </w:rPr>
        <w:t>tomto prípade mal vnútroštátny súd pochybnosti</w:t>
      </w:r>
      <w:r w:rsidR="00AE6533">
        <w:rPr>
          <w:rFonts w:ascii="Times New Roman" w:hAnsi="Times New Roman"/>
          <w:noProof/>
          <w:sz w:val="24"/>
        </w:rPr>
        <w:t xml:space="preserve"> o </w:t>
      </w:r>
      <w:r w:rsidRPr="00AE6533">
        <w:rPr>
          <w:rFonts w:ascii="Times New Roman" w:hAnsi="Times New Roman"/>
          <w:noProof/>
          <w:sz w:val="24"/>
        </w:rPr>
        <w:t>tom, či sa miesto plnenia nachádza</w:t>
      </w:r>
      <w:r w:rsidR="00AE6533">
        <w:rPr>
          <w:rFonts w:ascii="Times New Roman" w:hAnsi="Times New Roman"/>
          <w:noProof/>
          <w:sz w:val="24"/>
        </w:rPr>
        <w:t xml:space="preserve"> v </w:t>
      </w:r>
      <w:r w:rsidRPr="00AE6533">
        <w:rPr>
          <w:rFonts w:ascii="Times New Roman" w:hAnsi="Times New Roman"/>
          <w:noProof/>
          <w:sz w:val="24"/>
        </w:rPr>
        <w:t>Rakúsku, kde sa vykonáva duševná práca, ktorá je základom návrhu softvéru („programovanie“),</w:t>
      </w:r>
      <w:r w:rsidR="00AE6533">
        <w:rPr>
          <w:rFonts w:ascii="Times New Roman" w:hAnsi="Times New Roman"/>
          <w:noProof/>
          <w:sz w:val="24"/>
        </w:rPr>
        <w:t xml:space="preserve"> a </w:t>
      </w:r>
      <w:r w:rsidRPr="00AE6533">
        <w:rPr>
          <w:rFonts w:ascii="Times New Roman" w:hAnsi="Times New Roman"/>
          <w:noProof/>
          <w:sz w:val="24"/>
        </w:rPr>
        <w:t>kde má sídlo podnik, alebo</w:t>
      </w:r>
      <w:r w:rsidR="00AE6533">
        <w:rPr>
          <w:rFonts w:ascii="Times New Roman" w:hAnsi="Times New Roman"/>
          <w:noProof/>
          <w:sz w:val="24"/>
        </w:rPr>
        <w:t xml:space="preserve"> v </w:t>
      </w:r>
      <w:r w:rsidRPr="00AE6533">
        <w:rPr>
          <w:rFonts w:ascii="Times New Roman" w:hAnsi="Times New Roman"/>
          <w:noProof/>
          <w:sz w:val="24"/>
        </w:rPr>
        <w:t>Nemecku, kde sa softvér dostane</w:t>
      </w:r>
      <w:r w:rsidR="00AE6533">
        <w:rPr>
          <w:rFonts w:ascii="Times New Roman" w:hAnsi="Times New Roman"/>
          <w:noProof/>
          <w:sz w:val="24"/>
        </w:rPr>
        <w:t xml:space="preserve"> k </w:t>
      </w:r>
      <w:r w:rsidRPr="00AE6533">
        <w:rPr>
          <w:rFonts w:ascii="Times New Roman" w:hAnsi="Times New Roman"/>
          <w:noProof/>
          <w:sz w:val="24"/>
        </w:rPr>
        <w:t>zákazníkovi</w:t>
      </w:r>
      <w:r w:rsidR="00AE6533">
        <w:rPr>
          <w:rFonts w:ascii="Times New Roman" w:hAnsi="Times New Roman"/>
          <w:noProof/>
          <w:sz w:val="24"/>
        </w:rPr>
        <w:t xml:space="preserve"> a </w:t>
      </w:r>
      <w:r w:rsidRPr="00AE6533">
        <w:rPr>
          <w:rFonts w:ascii="Times New Roman" w:hAnsi="Times New Roman"/>
          <w:noProof/>
          <w:sz w:val="24"/>
        </w:rPr>
        <w:t>kde sa</w:t>
      </w:r>
      <w:r w:rsidR="00AE6533">
        <w:rPr>
          <w:rFonts w:ascii="Times New Roman" w:hAnsi="Times New Roman"/>
          <w:noProof/>
          <w:sz w:val="24"/>
        </w:rPr>
        <w:t xml:space="preserve"> k </w:t>
      </w:r>
      <w:r w:rsidRPr="00AE6533">
        <w:rPr>
          <w:rFonts w:ascii="Times New Roman" w:hAnsi="Times New Roman"/>
          <w:noProof/>
          <w:sz w:val="24"/>
        </w:rPr>
        <w:t>nemu pristupuje</w:t>
      </w:r>
      <w:r w:rsidR="00AE6533">
        <w:rPr>
          <w:rFonts w:ascii="Times New Roman" w:hAnsi="Times New Roman"/>
          <w:noProof/>
          <w:sz w:val="24"/>
        </w:rPr>
        <w:t xml:space="preserve"> a </w:t>
      </w:r>
      <w:r w:rsidRPr="00AE6533">
        <w:rPr>
          <w:rFonts w:ascii="Times New Roman" w:hAnsi="Times New Roman"/>
          <w:noProof/>
          <w:sz w:val="24"/>
        </w:rPr>
        <w:t>používa sa.</w:t>
      </w:r>
    </w:p>
    <w:p w14:paraId="35DA860E" w14:textId="491FD96D" w:rsidR="000756D7" w:rsidRPr="00AE6533" w:rsidRDefault="00A164C1" w:rsidP="009C3092">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Pokiaľ ide</w:t>
      </w:r>
      <w:r w:rsidR="00AE6533">
        <w:rPr>
          <w:rFonts w:ascii="Times New Roman" w:hAnsi="Times New Roman"/>
          <w:noProof/>
          <w:sz w:val="24"/>
        </w:rPr>
        <w:t xml:space="preserve"> o </w:t>
      </w:r>
      <w:r w:rsidRPr="00AE6533">
        <w:rPr>
          <w:rFonts w:ascii="Times New Roman" w:hAnsi="Times New Roman"/>
          <w:noProof/>
          <w:sz w:val="24"/>
        </w:rPr>
        <w:t>určenie miesta plnenia vo veciach</w:t>
      </w:r>
      <w:r w:rsidR="00AE6533">
        <w:rPr>
          <w:rFonts w:ascii="Times New Roman" w:hAnsi="Times New Roman"/>
          <w:noProof/>
          <w:sz w:val="24"/>
        </w:rPr>
        <w:t xml:space="preserve"> s </w:t>
      </w:r>
      <w:r w:rsidRPr="00AE6533">
        <w:rPr>
          <w:rFonts w:ascii="Times New Roman" w:hAnsi="Times New Roman"/>
          <w:noProof/>
          <w:sz w:val="24"/>
        </w:rPr>
        <w:t>viacerými miestami plnenia, skutočnosť, že vnútroštátne súdy naďalej žiadajú Súdny dvor Európskej únie</w:t>
      </w:r>
      <w:r w:rsidR="00AE6533">
        <w:rPr>
          <w:rFonts w:ascii="Times New Roman" w:hAnsi="Times New Roman"/>
          <w:noProof/>
          <w:sz w:val="24"/>
        </w:rPr>
        <w:t xml:space="preserve"> o </w:t>
      </w:r>
      <w:r w:rsidRPr="00AE6533">
        <w:rPr>
          <w:rFonts w:ascii="Times New Roman" w:hAnsi="Times New Roman"/>
          <w:noProof/>
          <w:sz w:val="24"/>
        </w:rPr>
        <w:t>usmernenie</w:t>
      </w:r>
      <w:r w:rsidR="00AE6533">
        <w:rPr>
          <w:rFonts w:ascii="Times New Roman" w:hAnsi="Times New Roman"/>
          <w:noProof/>
          <w:sz w:val="24"/>
        </w:rPr>
        <w:t xml:space="preserve"> k </w:t>
      </w:r>
      <w:r w:rsidRPr="00AE6533">
        <w:rPr>
          <w:rFonts w:ascii="Times New Roman" w:hAnsi="Times New Roman"/>
          <w:noProof/>
          <w:sz w:val="24"/>
        </w:rPr>
        <w:t>uplatňovaniu článku 7 ods. 1 zakaždým, keď sa situácia</w:t>
      </w:r>
      <w:r w:rsidR="00AE6533">
        <w:rPr>
          <w:rFonts w:ascii="Times New Roman" w:hAnsi="Times New Roman"/>
          <w:noProof/>
          <w:sz w:val="24"/>
        </w:rPr>
        <w:t xml:space="preserve"> v </w:t>
      </w:r>
      <w:r w:rsidRPr="00AE6533">
        <w:rPr>
          <w:rFonts w:ascii="Times New Roman" w:hAnsi="Times New Roman"/>
          <w:noProof/>
          <w:sz w:val="24"/>
        </w:rPr>
        <w:t>konaní vo veci samej líši od situácií, ktorými sa Súdny dvor Európskej únie predtým zaoberal, naznačuje, že môže existovať potreba všeobecnejšieho usmernenia,</w:t>
      </w:r>
      <w:r w:rsidR="00AE6533">
        <w:rPr>
          <w:rFonts w:ascii="Times New Roman" w:hAnsi="Times New Roman"/>
          <w:noProof/>
          <w:sz w:val="24"/>
        </w:rPr>
        <w:t xml:space="preserve"> a </w:t>
      </w:r>
      <w:r w:rsidRPr="00AE6533">
        <w:rPr>
          <w:rFonts w:ascii="Times New Roman" w:hAnsi="Times New Roman"/>
          <w:noProof/>
          <w:sz w:val="24"/>
        </w:rPr>
        <w:t>to tým skôr, že normou uvedenou</w:t>
      </w:r>
      <w:r w:rsidR="00AE6533">
        <w:rPr>
          <w:rFonts w:ascii="Times New Roman" w:hAnsi="Times New Roman"/>
          <w:noProof/>
          <w:sz w:val="24"/>
        </w:rPr>
        <w:t xml:space="preserve"> v </w:t>
      </w:r>
      <w:r w:rsidRPr="00AE6533">
        <w:rPr>
          <w:rFonts w:ascii="Times New Roman" w:hAnsi="Times New Roman"/>
          <w:noProof/>
          <w:sz w:val="24"/>
        </w:rPr>
        <w:t>článku 7 ods. 1 sa riadi nielen medzinárodná právomoc, ale aj miestna príslušnosť</w:t>
      </w:r>
      <w:r w:rsidR="00AE6533">
        <w:rPr>
          <w:rFonts w:ascii="Times New Roman" w:hAnsi="Times New Roman"/>
          <w:noProof/>
          <w:sz w:val="24"/>
        </w:rPr>
        <w:t xml:space="preserve"> v </w:t>
      </w:r>
      <w:r w:rsidRPr="00AE6533">
        <w:rPr>
          <w:rFonts w:ascii="Times New Roman" w:hAnsi="Times New Roman"/>
          <w:noProof/>
          <w:sz w:val="24"/>
        </w:rPr>
        <w:t>rámci členského štátu.</w:t>
      </w:r>
      <w:r w:rsidR="001D22C7" w:rsidRPr="00AE6533">
        <w:rPr>
          <w:rStyle w:val="FootnoteReference"/>
          <w:rFonts w:ascii="Times New Roman" w:hAnsi="Times New Roman" w:cs="Times New Roman"/>
          <w:noProof/>
          <w:sz w:val="24"/>
          <w:szCs w:val="24"/>
        </w:rPr>
        <w:footnoteReference w:id="20"/>
      </w:r>
      <w:r w:rsidR="00B33C17" w:rsidRPr="00AE6533">
        <w:rPr>
          <w:rStyle w:val="FootnoteReference"/>
          <w:rFonts w:ascii="Times New Roman" w:hAnsi="Times New Roman" w:cs="Times New Roman"/>
          <w:noProof/>
          <w:sz w:val="24"/>
          <w:szCs w:val="24"/>
        </w:rPr>
        <w:footnoteReference w:id="21"/>
      </w:r>
    </w:p>
    <w:p w14:paraId="1B559B58" w14:textId="7C1C67B5" w:rsidR="000756D7" w:rsidRPr="00AE6533" w:rsidRDefault="008A7109" w:rsidP="009C3092">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Napokon, pokiaľ ide</w:t>
      </w:r>
      <w:r w:rsidR="00AE6533">
        <w:rPr>
          <w:rFonts w:ascii="Times New Roman" w:hAnsi="Times New Roman"/>
          <w:noProof/>
          <w:sz w:val="24"/>
        </w:rPr>
        <w:t xml:space="preserve"> o </w:t>
      </w:r>
      <w:r w:rsidRPr="00AE6533">
        <w:rPr>
          <w:rFonts w:ascii="Times New Roman" w:hAnsi="Times New Roman"/>
          <w:noProof/>
          <w:sz w:val="24"/>
        </w:rPr>
        <w:t>určenie miesta plnenia, zo štúdie vyplýva, že niektoré členské štáty vyjadrujú obavy týkajúce sa toho, čo vnímajú ako zložitú štruktúru článku 7 ods. 1.</w:t>
      </w:r>
      <w:r w:rsidR="00AE6533">
        <w:rPr>
          <w:rFonts w:ascii="Times New Roman" w:hAnsi="Times New Roman"/>
          <w:noProof/>
          <w:sz w:val="24"/>
        </w:rPr>
        <w:t xml:space="preserve"> V </w:t>
      </w:r>
      <w:r w:rsidRPr="00AE6533">
        <w:rPr>
          <w:rFonts w:ascii="Times New Roman" w:hAnsi="Times New Roman"/>
          <w:noProof/>
          <w:sz w:val="24"/>
        </w:rPr>
        <w:t>článku 7 ods. 1 sa uvádza autonómny pojem „miesto zmluvného plnenia“ pre dva druhy zmlúv (kúpna zmluva</w:t>
      </w:r>
      <w:r w:rsidR="00AE6533">
        <w:rPr>
          <w:rFonts w:ascii="Times New Roman" w:hAnsi="Times New Roman"/>
          <w:noProof/>
          <w:sz w:val="24"/>
        </w:rPr>
        <w:t xml:space="preserve"> a </w:t>
      </w:r>
      <w:r w:rsidRPr="00AE6533">
        <w:rPr>
          <w:rFonts w:ascii="Times New Roman" w:hAnsi="Times New Roman"/>
          <w:noProof/>
          <w:sz w:val="24"/>
        </w:rPr>
        <w:t>zmluva</w:t>
      </w:r>
      <w:r w:rsidR="00AE6533">
        <w:rPr>
          <w:rFonts w:ascii="Times New Roman" w:hAnsi="Times New Roman"/>
          <w:noProof/>
          <w:sz w:val="24"/>
        </w:rPr>
        <w:t xml:space="preserve"> o </w:t>
      </w:r>
      <w:r w:rsidRPr="00AE6533">
        <w:rPr>
          <w:rFonts w:ascii="Times New Roman" w:hAnsi="Times New Roman"/>
          <w:noProof/>
          <w:sz w:val="24"/>
        </w:rPr>
        <w:t>poskytnutí služieb) uvedené</w:t>
      </w:r>
      <w:r w:rsidR="00AE6533">
        <w:rPr>
          <w:rFonts w:ascii="Times New Roman" w:hAnsi="Times New Roman"/>
          <w:noProof/>
          <w:sz w:val="24"/>
        </w:rPr>
        <w:t xml:space="preserve"> v </w:t>
      </w:r>
      <w:r w:rsidRPr="00AE6533">
        <w:rPr>
          <w:rFonts w:ascii="Times New Roman" w:hAnsi="Times New Roman"/>
          <w:noProof/>
          <w:sz w:val="24"/>
        </w:rPr>
        <w:t>článku 7 ods. 1 písm. b), zatiaľ čo</w:t>
      </w:r>
      <w:r w:rsidR="00AE6533">
        <w:rPr>
          <w:rFonts w:ascii="Times New Roman" w:hAnsi="Times New Roman"/>
          <w:noProof/>
          <w:sz w:val="24"/>
        </w:rPr>
        <w:t xml:space="preserve"> v </w:t>
      </w:r>
      <w:r w:rsidRPr="00AE6533">
        <w:rPr>
          <w:rFonts w:ascii="Times New Roman" w:hAnsi="Times New Roman"/>
          <w:noProof/>
          <w:sz w:val="24"/>
        </w:rPr>
        <w:t>článku 7 ods. 1 písm. c) sa zachováva zriedkavo používaná formulácia podľa veci Tessili pre ostatné druhy zmlúv, hoci táto formulácia sa považuje za mimoriadne komplikovanú</w:t>
      </w:r>
      <w:r w:rsidR="00AE6533">
        <w:rPr>
          <w:rFonts w:ascii="Times New Roman" w:hAnsi="Times New Roman"/>
          <w:noProof/>
          <w:sz w:val="24"/>
        </w:rPr>
        <w:t xml:space="preserve"> a v </w:t>
      </w:r>
      <w:r w:rsidRPr="00AE6533">
        <w:rPr>
          <w:rFonts w:ascii="Times New Roman" w:hAnsi="Times New Roman"/>
          <w:noProof/>
          <w:sz w:val="24"/>
        </w:rPr>
        <w:t>praxi nevhodnú.</w:t>
      </w:r>
      <w:r w:rsidR="00AE6533">
        <w:rPr>
          <w:rFonts w:ascii="Times New Roman" w:hAnsi="Times New Roman"/>
          <w:noProof/>
          <w:sz w:val="24"/>
        </w:rPr>
        <w:t xml:space="preserve"> V </w:t>
      </w:r>
      <w:r w:rsidRPr="00AE6533">
        <w:rPr>
          <w:rFonts w:ascii="Times New Roman" w:hAnsi="Times New Roman"/>
          <w:noProof/>
          <w:sz w:val="24"/>
        </w:rPr>
        <w:t>súlade</w:t>
      </w:r>
      <w:r w:rsidR="00AE6533">
        <w:rPr>
          <w:rFonts w:ascii="Times New Roman" w:hAnsi="Times New Roman"/>
          <w:noProof/>
          <w:sz w:val="24"/>
        </w:rPr>
        <w:t xml:space="preserve"> s </w:t>
      </w:r>
      <w:r w:rsidRPr="00AE6533">
        <w:rPr>
          <w:rFonts w:ascii="Times New Roman" w:hAnsi="Times New Roman"/>
          <w:noProof/>
          <w:sz w:val="24"/>
        </w:rPr>
        <w:t>rozsudkom vo veci Tessili (12/76) musia vnútroštátne súdy pri určovaní miesta plnenia vychádzať</w:t>
      </w:r>
      <w:r w:rsidR="00AE6533">
        <w:rPr>
          <w:rFonts w:ascii="Times New Roman" w:hAnsi="Times New Roman"/>
          <w:noProof/>
          <w:sz w:val="24"/>
        </w:rPr>
        <w:t xml:space="preserve"> z </w:t>
      </w:r>
      <w:r w:rsidRPr="00AE6533">
        <w:rPr>
          <w:rFonts w:ascii="Times New Roman" w:hAnsi="Times New Roman"/>
          <w:noProof/>
          <w:sz w:val="24"/>
        </w:rPr>
        <w:t>uplatniteľného vnútroštátneho práva, ak sa účastníci konania</w:t>
      </w:r>
      <w:r w:rsidR="00AE6533">
        <w:rPr>
          <w:rFonts w:ascii="Times New Roman" w:hAnsi="Times New Roman"/>
          <w:noProof/>
          <w:sz w:val="24"/>
        </w:rPr>
        <w:t xml:space="preserve"> v </w:t>
      </w:r>
      <w:r w:rsidRPr="00AE6533">
        <w:rPr>
          <w:rFonts w:ascii="Times New Roman" w:hAnsi="Times New Roman"/>
          <w:noProof/>
          <w:sz w:val="24"/>
        </w:rPr>
        <w:t>tomto ohľade nedohodli. Znamená to, že už vo fáze posudzovania právomoci musia vnútroštátne súdy vykonať viaceré kroky: najprv musia určiť čo je „zmluvné plnenie, ktoré je predmetom žaloby“,</w:t>
      </w:r>
      <w:r w:rsidR="00AE6533">
        <w:rPr>
          <w:rFonts w:ascii="Times New Roman" w:hAnsi="Times New Roman"/>
          <w:noProof/>
          <w:sz w:val="24"/>
        </w:rPr>
        <w:t xml:space="preserve"> v </w:t>
      </w:r>
      <w:r w:rsidRPr="00AE6533">
        <w:rPr>
          <w:rFonts w:ascii="Times New Roman" w:hAnsi="Times New Roman"/>
          <w:noProof/>
          <w:sz w:val="24"/>
        </w:rPr>
        <w:t>druhom kroku musia určiť uplatniteľné hmotné právo na základe kolíznych noriem</w:t>
      </w:r>
      <w:r w:rsidR="00AE6533">
        <w:rPr>
          <w:rFonts w:ascii="Times New Roman" w:hAnsi="Times New Roman"/>
          <w:noProof/>
          <w:sz w:val="24"/>
        </w:rPr>
        <w:t xml:space="preserve"> a </w:t>
      </w:r>
      <w:r w:rsidRPr="00AE6533">
        <w:rPr>
          <w:rFonts w:ascii="Times New Roman" w:hAnsi="Times New Roman"/>
          <w:noProof/>
          <w:sz w:val="24"/>
        </w:rPr>
        <w:t>až potom môžu súdy uplatniť toto vnútroštátne hmotné právo na určenie miesta plnenia.</w:t>
      </w:r>
    </w:p>
    <w:p w14:paraId="22739FDC" w14:textId="17F4F461" w:rsidR="00AE6533" w:rsidRDefault="00631F60" w:rsidP="009C3092">
      <w:pPr>
        <w:spacing w:after="120" w:line="240" w:lineRule="auto"/>
        <w:jc w:val="both"/>
        <w:rPr>
          <w:rFonts w:ascii="Times New Roman" w:hAnsi="Times New Roman"/>
          <w:noProof/>
          <w:sz w:val="24"/>
        </w:rPr>
      </w:pPr>
      <w:r w:rsidRPr="00AE6533">
        <w:rPr>
          <w:rFonts w:ascii="Times New Roman" w:hAnsi="Times New Roman"/>
          <w:noProof/>
          <w:sz w:val="24"/>
        </w:rPr>
        <w:t>V rámci budúceho preskúmania nariadenia by sa mohli preskúmať možnosti zjednodušenia pravidiel týkajúcich sa miesta plnenia uvedených</w:t>
      </w:r>
      <w:r w:rsidR="00AE6533">
        <w:rPr>
          <w:rFonts w:ascii="Times New Roman" w:hAnsi="Times New Roman"/>
          <w:noProof/>
          <w:sz w:val="24"/>
        </w:rPr>
        <w:t xml:space="preserve"> v </w:t>
      </w:r>
      <w:r w:rsidRPr="00AE6533">
        <w:rPr>
          <w:rFonts w:ascii="Times New Roman" w:hAnsi="Times New Roman"/>
          <w:noProof/>
          <w:sz w:val="24"/>
        </w:rPr>
        <w:t>článku 7 ods. 1</w:t>
      </w:r>
      <w:r w:rsidR="00AE6533">
        <w:rPr>
          <w:rFonts w:ascii="Times New Roman" w:hAnsi="Times New Roman"/>
          <w:noProof/>
          <w:sz w:val="24"/>
        </w:rPr>
        <w:t>.</w:t>
      </w:r>
    </w:p>
    <w:p w14:paraId="11DA67D4" w14:textId="3CF1C732" w:rsidR="00266A27" w:rsidRPr="00AE6533" w:rsidRDefault="00C52F3F" w:rsidP="002912B0">
      <w:pPr>
        <w:pStyle w:val="Heading3LL"/>
        <w:ind w:firstLine="240"/>
        <w:rPr>
          <w:noProof/>
          <w:kern w:val="0"/>
        </w:rPr>
      </w:pPr>
      <w:r w:rsidRPr="00AE6533">
        <w:rPr>
          <w:noProof/>
        </w:rPr>
        <w:t>3.2.2. Článok 7 ods. 2</w:t>
      </w:r>
    </w:p>
    <w:p w14:paraId="4D28E640" w14:textId="3F1716E5" w:rsidR="00AE6533" w:rsidRDefault="00697DA6" w:rsidP="000756D7">
      <w:pPr>
        <w:spacing w:after="120" w:line="240" w:lineRule="auto"/>
        <w:jc w:val="both"/>
        <w:rPr>
          <w:rFonts w:ascii="Times New Roman" w:hAnsi="Times New Roman"/>
          <w:noProof/>
          <w:sz w:val="24"/>
        </w:rPr>
      </w:pPr>
      <w:r w:rsidRPr="00AE6533">
        <w:rPr>
          <w:rFonts w:ascii="Times New Roman" w:hAnsi="Times New Roman"/>
          <w:noProof/>
          <w:sz w:val="24"/>
        </w:rPr>
        <w:t>Kým článok 7 ods. 1 sa týka zmluvných záväzkov, článok 7 ods. 2 stanovuje normy osobitnej právomoci vo veciach nárokov</w:t>
      </w:r>
      <w:r w:rsidR="00AE6533">
        <w:rPr>
          <w:rFonts w:ascii="Times New Roman" w:hAnsi="Times New Roman"/>
          <w:noProof/>
          <w:sz w:val="24"/>
        </w:rPr>
        <w:t xml:space="preserve"> z </w:t>
      </w:r>
      <w:r w:rsidRPr="00AE6533">
        <w:rPr>
          <w:rFonts w:ascii="Times New Roman" w:hAnsi="Times New Roman"/>
          <w:noProof/>
          <w:sz w:val="24"/>
        </w:rPr>
        <w:t>mimozmluvnej zodpovednosti. Hoci autonómny výklad pojmu „nárok</w:t>
      </w:r>
      <w:r w:rsidR="00AE6533">
        <w:rPr>
          <w:rFonts w:ascii="Times New Roman" w:hAnsi="Times New Roman"/>
          <w:noProof/>
          <w:sz w:val="24"/>
        </w:rPr>
        <w:t xml:space="preserve"> z </w:t>
      </w:r>
      <w:r w:rsidRPr="00AE6533">
        <w:rPr>
          <w:rFonts w:ascii="Times New Roman" w:hAnsi="Times New Roman"/>
          <w:noProof/>
          <w:sz w:val="24"/>
        </w:rPr>
        <w:t>mimozmluvnej zodpovednosti“ spôsobil určité komplikácie</w:t>
      </w:r>
      <w:r w:rsidR="00367193" w:rsidRPr="00AE6533">
        <w:rPr>
          <w:rFonts w:ascii="Times New Roman" w:hAnsi="Times New Roman" w:cs="Times New Roman"/>
          <w:noProof/>
          <w:sz w:val="24"/>
          <w:szCs w:val="24"/>
          <w:vertAlign w:val="superscript"/>
        </w:rPr>
        <w:footnoteReference w:id="22"/>
      </w:r>
      <w:r w:rsidRPr="00AE6533">
        <w:rPr>
          <w:rFonts w:ascii="Times New Roman" w:hAnsi="Times New Roman"/>
          <w:noProof/>
          <w:sz w:val="24"/>
        </w:rPr>
        <w:t>, rozlíšenie medzi článkom 7 ods. 1</w:t>
      </w:r>
      <w:r w:rsidR="00AE6533">
        <w:rPr>
          <w:rFonts w:ascii="Times New Roman" w:hAnsi="Times New Roman"/>
          <w:noProof/>
          <w:sz w:val="24"/>
        </w:rPr>
        <w:t xml:space="preserve"> a </w:t>
      </w:r>
      <w:r w:rsidRPr="00AE6533">
        <w:rPr>
          <w:rFonts w:ascii="Times New Roman" w:hAnsi="Times New Roman"/>
          <w:noProof/>
          <w:sz w:val="24"/>
        </w:rPr>
        <w:t>článkom 7 ods. 2 nespôsobilo významné problémy</w:t>
      </w:r>
      <w:r w:rsidR="00AE6533">
        <w:rPr>
          <w:rFonts w:ascii="Times New Roman" w:hAnsi="Times New Roman"/>
          <w:noProof/>
          <w:sz w:val="24"/>
        </w:rPr>
        <w:t xml:space="preserve"> v </w:t>
      </w:r>
      <w:r w:rsidRPr="00AE6533">
        <w:rPr>
          <w:rFonts w:ascii="Times New Roman" w:hAnsi="Times New Roman"/>
          <w:noProof/>
          <w:sz w:val="24"/>
        </w:rPr>
        <w:t>praxi,</w:t>
      </w:r>
      <w:r w:rsidR="00AE6533">
        <w:rPr>
          <w:rFonts w:ascii="Times New Roman" w:hAnsi="Times New Roman"/>
          <w:noProof/>
          <w:sz w:val="24"/>
        </w:rPr>
        <w:t xml:space="preserve"> a </w:t>
      </w:r>
      <w:r w:rsidRPr="00AE6533">
        <w:rPr>
          <w:rFonts w:ascii="Times New Roman" w:hAnsi="Times New Roman"/>
          <w:noProof/>
          <w:sz w:val="24"/>
        </w:rPr>
        <w:t>to čiastočne aj vďaka nedávnemu komplexnému usmerneniu, ktoré poskytol Súdny dvor Európskej únie vo veci Wikingerhof (C</w:t>
      </w:r>
      <w:r w:rsidRPr="00AE6533">
        <w:rPr>
          <w:rFonts w:ascii="Times New Roman" w:hAnsi="Times New Roman"/>
          <w:i/>
          <w:noProof/>
          <w:sz w:val="24"/>
        </w:rPr>
        <w:t>-</w:t>
      </w:r>
      <w:r w:rsidRPr="00AE6533">
        <w:rPr>
          <w:rFonts w:ascii="Times New Roman" w:hAnsi="Times New Roman"/>
          <w:noProof/>
          <w:sz w:val="24"/>
        </w:rPr>
        <w:t>59/19)</w:t>
      </w:r>
      <w:r w:rsidR="008A3D49" w:rsidRPr="00AE6533">
        <w:rPr>
          <w:rStyle w:val="FootnoteReference"/>
          <w:rFonts w:ascii="Times New Roman" w:hAnsi="Times New Roman" w:cs="Times New Roman"/>
          <w:noProof/>
          <w:sz w:val="24"/>
          <w:szCs w:val="24"/>
        </w:rPr>
        <w:footnoteReference w:id="23"/>
      </w:r>
      <w:r w:rsidR="00AE6533">
        <w:rPr>
          <w:rFonts w:ascii="Times New Roman" w:hAnsi="Times New Roman"/>
          <w:noProof/>
          <w:sz w:val="24"/>
        </w:rPr>
        <w:t>.</w:t>
      </w:r>
    </w:p>
    <w:p w14:paraId="298E7405" w14:textId="783BFD3C" w:rsidR="00AE6533" w:rsidRDefault="00367193" w:rsidP="00C05853">
      <w:pPr>
        <w:spacing w:after="120" w:line="240" w:lineRule="auto"/>
        <w:jc w:val="both"/>
        <w:rPr>
          <w:rFonts w:ascii="Times New Roman" w:hAnsi="Times New Roman"/>
          <w:noProof/>
          <w:sz w:val="24"/>
        </w:rPr>
      </w:pPr>
      <w:r w:rsidRPr="00AE6533">
        <w:rPr>
          <w:rFonts w:ascii="Times New Roman" w:hAnsi="Times New Roman"/>
          <w:noProof/>
          <w:sz w:val="24"/>
        </w:rPr>
        <w:t>Ako najproblematickejšie aspekty uplatňovania článku 7 ods. 2 sa javia lokalizácia miesta vzniku škody</w:t>
      </w:r>
      <w:r w:rsidR="00AE6533">
        <w:rPr>
          <w:rFonts w:ascii="Times New Roman" w:hAnsi="Times New Roman"/>
          <w:noProof/>
          <w:sz w:val="24"/>
        </w:rPr>
        <w:t xml:space="preserve"> v </w:t>
      </w:r>
      <w:r w:rsidRPr="00AE6533">
        <w:rPr>
          <w:rFonts w:ascii="Times New Roman" w:hAnsi="Times New Roman"/>
          <w:noProof/>
          <w:sz w:val="24"/>
        </w:rPr>
        <w:t>prípadoch čisto finančnej straty</w:t>
      </w:r>
      <w:r w:rsidR="00AE6533">
        <w:rPr>
          <w:rFonts w:ascii="Times New Roman" w:hAnsi="Times New Roman"/>
          <w:noProof/>
          <w:sz w:val="24"/>
        </w:rPr>
        <w:t xml:space="preserve"> a </w:t>
      </w:r>
      <w:r w:rsidRPr="00AE6533">
        <w:rPr>
          <w:rFonts w:ascii="Times New Roman" w:hAnsi="Times New Roman"/>
          <w:noProof/>
          <w:sz w:val="24"/>
        </w:rPr>
        <w:t>zachovanie zásady mozaiky</w:t>
      </w:r>
      <w:r w:rsidR="00AE6533">
        <w:rPr>
          <w:rFonts w:ascii="Times New Roman" w:hAnsi="Times New Roman"/>
          <w:noProof/>
          <w:sz w:val="24"/>
        </w:rPr>
        <w:t xml:space="preserve"> v </w:t>
      </w:r>
      <w:r w:rsidRPr="00AE6533">
        <w:rPr>
          <w:rFonts w:ascii="Times New Roman" w:hAnsi="Times New Roman"/>
          <w:noProof/>
          <w:sz w:val="24"/>
        </w:rPr>
        <w:t>prípadoch týkajúcich sa porušenia práv na ochranu osobnosti</w:t>
      </w:r>
      <w:r w:rsidR="00AE6533">
        <w:rPr>
          <w:rFonts w:ascii="Times New Roman" w:hAnsi="Times New Roman"/>
          <w:noProof/>
          <w:sz w:val="24"/>
        </w:rPr>
        <w:t>.</w:t>
      </w:r>
    </w:p>
    <w:p w14:paraId="0A198AF9" w14:textId="35160A1B" w:rsidR="00A2018E" w:rsidRPr="00AE6533" w:rsidRDefault="00A2018E" w:rsidP="00114F6D">
      <w:pPr>
        <w:pStyle w:val="ListParagraph"/>
        <w:numPr>
          <w:ilvl w:val="0"/>
          <w:numId w:val="15"/>
        </w:numPr>
        <w:spacing w:after="120" w:line="240" w:lineRule="auto"/>
        <w:jc w:val="both"/>
        <w:rPr>
          <w:rFonts w:ascii="Times New Roman" w:hAnsi="Times New Roman" w:cs="Times New Roman"/>
          <w:i/>
          <w:iCs/>
          <w:noProof/>
          <w:sz w:val="24"/>
          <w:szCs w:val="24"/>
        </w:rPr>
      </w:pPr>
      <w:r w:rsidRPr="00AE6533">
        <w:rPr>
          <w:rFonts w:ascii="Times New Roman" w:hAnsi="Times New Roman"/>
          <w:i/>
          <w:noProof/>
          <w:sz w:val="24"/>
        </w:rPr>
        <w:t>Lokalizácia čisto finančnej straty</w:t>
      </w:r>
    </w:p>
    <w:p w14:paraId="47AC3CDB" w14:textId="25B869C1" w:rsidR="00AE6533" w:rsidRDefault="001D05E3" w:rsidP="004E5A72">
      <w:pPr>
        <w:spacing w:after="120" w:line="240" w:lineRule="auto"/>
        <w:jc w:val="both"/>
        <w:rPr>
          <w:rFonts w:ascii="Times New Roman" w:hAnsi="Times New Roman"/>
          <w:noProof/>
          <w:sz w:val="24"/>
        </w:rPr>
      </w:pPr>
      <w:r w:rsidRPr="00AE6533">
        <w:rPr>
          <w:rFonts w:ascii="Times New Roman" w:hAnsi="Times New Roman"/>
          <w:noProof/>
          <w:sz w:val="24"/>
        </w:rPr>
        <w:t>Pokiaľ ide</w:t>
      </w:r>
      <w:r w:rsidR="00AE6533">
        <w:rPr>
          <w:rFonts w:ascii="Times New Roman" w:hAnsi="Times New Roman"/>
          <w:noProof/>
          <w:sz w:val="24"/>
        </w:rPr>
        <w:t xml:space="preserve"> o </w:t>
      </w:r>
      <w:r w:rsidRPr="00AE6533">
        <w:rPr>
          <w:rFonts w:ascii="Times New Roman" w:hAnsi="Times New Roman"/>
          <w:noProof/>
          <w:sz w:val="24"/>
        </w:rPr>
        <w:t>lokalizáciu čisto finančnej škody, Súdny dvor Európskej únie vytvoril rozsiahlu judikatúru, ktorá však nemusí vždy poskytovať požadovanú úroveň právnej istoty. Zdá sa, že napríklad rozsudky vo veci Kolassa (C-375/13)</w:t>
      </w:r>
      <w:r w:rsidR="00AE6533">
        <w:rPr>
          <w:rFonts w:ascii="Times New Roman" w:hAnsi="Times New Roman"/>
          <w:noProof/>
          <w:sz w:val="24"/>
        </w:rPr>
        <w:t xml:space="preserve"> a </w:t>
      </w:r>
      <w:r w:rsidRPr="00AE6533">
        <w:rPr>
          <w:rFonts w:ascii="Times New Roman" w:hAnsi="Times New Roman"/>
          <w:noProof/>
          <w:sz w:val="24"/>
        </w:rPr>
        <w:t>vo veci Universal Music (C-12/15)</w:t>
      </w:r>
      <w:r w:rsidR="004A6AC2" w:rsidRPr="00AE6533">
        <w:rPr>
          <w:rStyle w:val="FootnoteReference"/>
          <w:rFonts w:ascii="Times New Roman" w:hAnsi="Times New Roman" w:cs="Times New Roman"/>
          <w:noProof/>
          <w:sz w:val="24"/>
          <w:szCs w:val="24"/>
        </w:rPr>
        <w:footnoteReference w:id="24"/>
      </w:r>
      <w:r w:rsidRPr="00AE6533">
        <w:rPr>
          <w:rFonts w:ascii="Times New Roman" w:hAnsi="Times New Roman"/>
          <w:noProof/>
          <w:sz w:val="24"/>
        </w:rPr>
        <w:t xml:space="preserve"> neposkytli komplexné usmernenie, čo viedlo</w:t>
      </w:r>
      <w:r w:rsidR="00AE6533">
        <w:rPr>
          <w:rFonts w:ascii="Times New Roman" w:hAnsi="Times New Roman"/>
          <w:noProof/>
          <w:sz w:val="24"/>
        </w:rPr>
        <w:t xml:space="preserve"> k </w:t>
      </w:r>
      <w:r w:rsidRPr="00AE6533">
        <w:rPr>
          <w:rFonts w:ascii="Times New Roman" w:hAnsi="Times New Roman"/>
          <w:noProof/>
          <w:sz w:val="24"/>
        </w:rPr>
        <w:t>ďalším žiadostiam vnútroštátnych súdov</w:t>
      </w:r>
      <w:r w:rsidR="00AE6533">
        <w:rPr>
          <w:rFonts w:ascii="Times New Roman" w:hAnsi="Times New Roman"/>
          <w:noProof/>
          <w:sz w:val="24"/>
        </w:rPr>
        <w:t xml:space="preserve"> o </w:t>
      </w:r>
      <w:r w:rsidRPr="00AE6533">
        <w:rPr>
          <w:rFonts w:ascii="Times New Roman" w:hAnsi="Times New Roman"/>
          <w:noProof/>
          <w:sz w:val="24"/>
        </w:rPr>
        <w:t>objasnenie článku 7 ods. 2</w:t>
      </w:r>
      <w:r w:rsidR="00AE6533">
        <w:rPr>
          <w:rFonts w:ascii="Times New Roman" w:hAnsi="Times New Roman"/>
          <w:noProof/>
          <w:sz w:val="24"/>
        </w:rPr>
        <w:t>.</w:t>
      </w:r>
    </w:p>
    <w:p w14:paraId="75686C8B" w14:textId="445921EE" w:rsidR="00AE6533" w:rsidRDefault="00E80A41" w:rsidP="004E5A72">
      <w:pPr>
        <w:spacing w:after="120" w:line="240" w:lineRule="auto"/>
        <w:jc w:val="both"/>
        <w:rPr>
          <w:rFonts w:ascii="Times New Roman" w:hAnsi="Times New Roman"/>
          <w:noProof/>
          <w:sz w:val="24"/>
          <w:shd w:val="clear" w:color="auto" w:fill="FEFEFD"/>
        </w:rPr>
      </w:pPr>
      <w:r w:rsidRPr="00AE6533">
        <w:rPr>
          <w:rFonts w:ascii="Times New Roman" w:hAnsi="Times New Roman"/>
          <w:noProof/>
          <w:sz w:val="24"/>
        </w:rPr>
        <w:t>Z judikatúry Súdneho dvora vyplýva, že samotné miesto, kde je vedený investičný účet, nemožno považovať za postačujúce na určenie miesta, kde dochádza</w:t>
      </w:r>
      <w:r w:rsidR="00AE6533">
        <w:rPr>
          <w:rFonts w:ascii="Times New Roman" w:hAnsi="Times New Roman"/>
          <w:noProof/>
          <w:sz w:val="24"/>
        </w:rPr>
        <w:t xml:space="preserve"> k </w:t>
      </w:r>
      <w:r w:rsidRPr="00AE6533">
        <w:rPr>
          <w:rFonts w:ascii="Times New Roman" w:hAnsi="Times New Roman"/>
          <w:noProof/>
          <w:sz w:val="24"/>
        </w:rPr>
        <w:t>čisto finančnej strate. Navyše zatiaľ neexistuje prístup, ktorý by bol jasný</w:t>
      </w:r>
      <w:r w:rsidR="00AE6533">
        <w:rPr>
          <w:rFonts w:ascii="Times New Roman" w:hAnsi="Times New Roman"/>
          <w:noProof/>
          <w:sz w:val="24"/>
        </w:rPr>
        <w:t xml:space="preserve"> a </w:t>
      </w:r>
      <w:r w:rsidRPr="00AE6533">
        <w:rPr>
          <w:rFonts w:ascii="Times New Roman" w:hAnsi="Times New Roman"/>
          <w:noProof/>
          <w:sz w:val="24"/>
        </w:rPr>
        <w:t>konzistentný vo všetkých aspektoch, pokiaľ ide</w:t>
      </w:r>
      <w:r w:rsidR="00AE6533">
        <w:rPr>
          <w:rFonts w:ascii="Times New Roman" w:hAnsi="Times New Roman"/>
          <w:noProof/>
          <w:sz w:val="24"/>
        </w:rPr>
        <w:t xml:space="preserve"> o </w:t>
      </w:r>
      <w:r w:rsidRPr="00AE6533">
        <w:rPr>
          <w:rFonts w:ascii="Times New Roman" w:hAnsi="Times New Roman"/>
          <w:noProof/>
          <w:sz w:val="24"/>
        </w:rPr>
        <w:t>konkrétne okolnosti, ktoré musia byť prítomné na určenie právomoci súdu vo veciach týkajúcich sa miesta, kde škoda vznikla. Ilustruje to rozsudok vo veci</w:t>
      </w:r>
      <w:r w:rsidRPr="00AE6533">
        <w:rPr>
          <w:rFonts w:ascii="Times New Roman" w:hAnsi="Times New Roman"/>
          <w:noProof/>
          <w:sz w:val="24"/>
          <w:shd w:val="clear" w:color="auto" w:fill="FEFEFD"/>
        </w:rPr>
        <w:t xml:space="preserve"> Kronhofer (C-168/02),</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 xml:space="preserve">ktorej Súdny dvor Európskej únie rozhodol, že ani miesto bydliska žalobcu, ani </w:t>
      </w:r>
      <w:r w:rsidRPr="00AE6533">
        <w:rPr>
          <w:rFonts w:ascii="Times New Roman" w:hAnsi="Times New Roman"/>
          <w:noProof/>
          <w:sz w:val="24"/>
        </w:rPr>
        <w:t>miesto, kde sa sústreďuje jeho majetok,</w:t>
      </w:r>
      <w:r w:rsidRPr="00AE6533">
        <w:rPr>
          <w:rFonts w:ascii="Times New Roman" w:hAnsi="Times New Roman"/>
          <w:noProof/>
          <w:sz w:val="24"/>
          <w:shd w:val="clear" w:color="auto" w:fill="FEFEFD"/>
        </w:rPr>
        <w:t xml:space="preserve"> nemožno považovať za kritérium určujúce právomoc, ak sa príslušný investičný účet nachádza</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inej jurisdikcii, ale neuviedol, ktoré kolízne kritérium by postačovalo</w:t>
      </w:r>
      <w:r w:rsidR="00AE6533">
        <w:rPr>
          <w:rFonts w:ascii="Times New Roman" w:hAnsi="Times New Roman"/>
          <w:noProof/>
          <w:sz w:val="24"/>
          <w:shd w:val="clear" w:color="auto" w:fill="FEFEFD"/>
        </w:rPr>
        <w:t>.</w:t>
      </w:r>
    </w:p>
    <w:p w14:paraId="508B3DDD" w14:textId="7E17CF51" w:rsidR="004D0216" w:rsidRPr="00AE6533" w:rsidRDefault="004D0216" w:rsidP="000756D7">
      <w:pPr>
        <w:spacing w:after="120" w:line="240" w:lineRule="auto"/>
        <w:jc w:val="both"/>
        <w:rPr>
          <w:rFonts w:ascii="Times New Roman" w:hAnsi="Times New Roman" w:cs="Times New Roman"/>
          <w:noProof/>
          <w:sz w:val="24"/>
          <w:szCs w:val="24"/>
          <w:shd w:val="clear" w:color="auto" w:fill="FFFFFF"/>
        </w:rPr>
      </w:pPr>
      <w:r w:rsidRPr="00AE6533">
        <w:rPr>
          <w:rFonts w:ascii="Times New Roman" w:hAnsi="Times New Roman"/>
          <w:noProof/>
          <w:sz w:val="24"/>
          <w:shd w:val="clear" w:color="auto" w:fill="FFFFFF"/>
        </w:rPr>
        <w:t>Vo svojom nedávnom</w:t>
      </w:r>
      <w:r w:rsidRPr="00AE6533">
        <w:rPr>
          <w:rFonts w:ascii="Times New Roman" w:hAnsi="Times New Roman"/>
          <w:noProof/>
          <w:sz w:val="24"/>
        </w:rPr>
        <w:t xml:space="preserve"> rozsudku vo veci VEB (C-709/19) sa Súdny dvor Európskej únie opieral</w:t>
      </w:r>
      <w:r w:rsidR="00AE6533">
        <w:rPr>
          <w:rFonts w:ascii="Times New Roman" w:hAnsi="Times New Roman"/>
          <w:noProof/>
          <w:sz w:val="24"/>
        </w:rPr>
        <w:t xml:space="preserve"> o </w:t>
      </w:r>
      <w:r w:rsidRPr="00AE6533">
        <w:rPr>
          <w:rFonts w:ascii="Times New Roman" w:hAnsi="Times New Roman"/>
          <w:noProof/>
          <w:sz w:val="24"/>
        </w:rPr>
        <w:t>tzv. trhovú lokalizáciu škody</w:t>
      </w:r>
      <w:r w:rsidR="00AE6533">
        <w:rPr>
          <w:rFonts w:ascii="Times New Roman" w:hAnsi="Times New Roman"/>
          <w:noProof/>
          <w:sz w:val="24"/>
        </w:rPr>
        <w:t xml:space="preserve"> a </w:t>
      </w:r>
      <w:r w:rsidRPr="00AE6533">
        <w:rPr>
          <w:rFonts w:ascii="Times New Roman" w:hAnsi="Times New Roman"/>
          <w:noProof/>
          <w:sz w:val="24"/>
        </w:rPr>
        <w:t xml:space="preserve">rozhodol, že </w:t>
      </w:r>
      <w:r w:rsidRPr="00AE6533">
        <w:rPr>
          <w:rFonts w:ascii="Times New Roman" w:hAnsi="Times New Roman"/>
          <w:noProof/>
          <w:sz w:val="24"/>
          <w:shd w:val="clear" w:color="auto" w:fill="FFFFFF"/>
        </w:rPr>
        <w:t>medzinárodnú právomoc majú len súdy členského štátu,</w:t>
      </w:r>
      <w:r w:rsidR="00AE6533">
        <w:rPr>
          <w:rFonts w:ascii="Times New Roman" w:hAnsi="Times New Roman"/>
          <w:noProof/>
          <w:sz w:val="24"/>
          <w:shd w:val="clear" w:color="auto" w:fill="FFFFFF"/>
        </w:rPr>
        <w:t xml:space="preserve"> v </w:t>
      </w:r>
      <w:r w:rsidRPr="00AE6533">
        <w:rPr>
          <w:rFonts w:ascii="Times New Roman" w:hAnsi="Times New Roman"/>
          <w:noProof/>
          <w:sz w:val="24"/>
          <w:shd w:val="clear" w:color="auto" w:fill="FFFFFF"/>
        </w:rPr>
        <w:t>ktorom musí kótovaná spoločnosť plniť svoje zákonné povinnosti informovania,</w:t>
      </w:r>
      <w:r w:rsidR="00AE6533">
        <w:rPr>
          <w:rFonts w:ascii="Times New Roman" w:hAnsi="Times New Roman"/>
          <w:noProof/>
          <w:sz w:val="24"/>
          <w:shd w:val="clear" w:color="auto" w:fill="FFFFFF"/>
        </w:rPr>
        <w:t xml:space="preserve"> a </w:t>
      </w:r>
      <w:r w:rsidRPr="00AE6533">
        <w:rPr>
          <w:rFonts w:ascii="Times New Roman" w:hAnsi="Times New Roman"/>
          <w:noProof/>
          <w:sz w:val="24"/>
          <w:shd w:val="clear" w:color="auto" w:fill="FFFFFF"/>
        </w:rPr>
        <w:t xml:space="preserve">odmietol bydlisko akcionárov, ktorí utrpeli finančnú stratu na svojich investičných účtoch, ako rozhodujúce kritérium pri určení miesta, kde strata vznikla. Nie je však úplne jasné, či vnútroštátne súdy musia pri </w:t>
      </w:r>
      <w:r w:rsidRPr="00AE6533">
        <w:rPr>
          <w:rFonts w:ascii="Times New Roman" w:hAnsi="Times New Roman"/>
          <w:noProof/>
          <w:sz w:val="24"/>
        </w:rPr>
        <w:t>určovaní miesta vzniku čisto finančnej straty stále zohľadňovať tieto dve kritériá alebo nie</w:t>
      </w:r>
      <w:r w:rsidRPr="00AE6533">
        <w:rPr>
          <w:rFonts w:ascii="Times New Roman" w:hAnsi="Times New Roman"/>
          <w:noProof/>
          <w:sz w:val="24"/>
          <w:shd w:val="clear" w:color="auto" w:fill="FFFFFF"/>
        </w:rPr>
        <w:t>.</w:t>
      </w:r>
    </w:p>
    <w:p w14:paraId="52F67EFD" w14:textId="549C7BF7" w:rsidR="00AE6533" w:rsidRDefault="000756D7" w:rsidP="000756D7">
      <w:pPr>
        <w:spacing w:after="120" w:line="240" w:lineRule="auto"/>
        <w:jc w:val="both"/>
        <w:rPr>
          <w:rFonts w:ascii="Times New Roman" w:hAnsi="Times New Roman"/>
          <w:noProof/>
          <w:sz w:val="24"/>
        </w:rPr>
      </w:pPr>
      <w:r w:rsidRPr="00AE6533">
        <w:rPr>
          <w:rFonts w:ascii="Times New Roman" w:hAnsi="Times New Roman"/>
          <w:noProof/>
          <w:sz w:val="24"/>
        </w:rPr>
        <w:t>Neistota</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kritériami, ktoré musia vnútroštátne súdy zohľadniť pri určovaní miesta vzniku výlučne finančnej straty na účely medzinárodnej</w:t>
      </w:r>
      <w:r w:rsidR="00AE6533">
        <w:rPr>
          <w:rFonts w:ascii="Times New Roman" w:hAnsi="Times New Roman"/>
          <w:noProof/>
          <w:sz w:val="24"/>
        </w:rPr>
        <w:t xml:space="preserve"> a </w:t>
      </w:r>
      <w:r w:rsidRPr="00AE6533">
        <w:rPr>
          <w:rFonts w:ascii="Times New Roman" w:hAnsi="Times New Roman"/>
          <w:noProof/>
          <w:sz w:val="24"/>
        </w:rPr>
        <w:t>miestnej príslušnosti,</w:t>
      </w:r>
      <w:r w:rsidR="00AE6533">
        <w:rPr>
          <w:rFonts w:ascii="Times New Roman" w:hAnsi="Times New Roman"/>
          <w:noProof/>
          <w:sz w:val="24"/>
        </w:rPr>
        <w:t xml:space="preserve"> a </w:t>
      </w:r>
      <w:r w:rsidRPr="00AE6533">
        <w:rPr>
          <w:rFonts w:ascii="Times New Roman" w:hAnsi="Times New Roman"/>
          <w:noProof/>
          <w:sz w:val="24"/>
        </w:rPr>
        <w:t>nejasnosť judikatúry Súdneho dvora Európskej únie</w:t>
      </w:r>
      <w:r w:rsidR="00AE6533">
        <w:rPr>
          <w:rFonts w:ascii="Times New Roman" w:hAnsi="Times New Roman"/>
          <w:noProof/>
          <w:sz w:val="24"/>
        </w:rPr>
        <w:t xml:space="preserve"> v </w:t>
      </w:r>
      <w:r w:rsidRPr="00AE6533">
        <w:rPr>
          <w:rFonts w:ascii="Times New Roman" w:hAnsi="Times New Roman"/>
          <w:noProof/>
          <w:sz w:val="24"/>
        </w:rPr>
        <w:t>tejto súvislosti sú nežiadúce</w:t>
      </w:r>
      <w:r w:rsidR="00AE6533">
        <w:rPr>
          <w:rFonts w:ascii="Times New Roman" w:hAnsi="Times New Roman"/>
          <w:noProof/>
          <w:sz w:val="24"/>
        </w:rPr>
        <w:t xml:space="preserve"> a </w:t>
      </w:r>
      <w:r w:rsidRPr="00AE6533">
        <w:rPr>
          <w:rFonts w:ascii="Times New Roman" w:hAnsi="Times New Roman"/>
          <w:noProof/>
          <w:sz w:val="24"/>
        </w:rPr>
        <w:t>vytvárajú riziko nejednotného uplatňovania článku 7 ods. 2 nariadenia. Preto sa navrhlo upustiť od voľby medzi miestom, kde nastala udalosť, ktorá spôsobila škodu,</w:t>
      </w:r>
      <w:r w:rsidR="00AE6533">
        <w:rPr>
          <w:rFonts w:ascii="Times New Roman" w:hAnsi="Times New Roman"/>
          <w:noProof/>
          <w:sz w:val="24"/>
        </w:rPr>
        <w:t xml:space="preserve"> a </w:t>
      </w:r>
      <w:r w:rsidRPr="00AE6533">
        <w:rPr>
          <w:rFonts w:ascii="Times New Roman" w:hAnsi="Times New Roman"/>
          <w:noProof/>
          <w:sz w:val="24"/>
        </w:rPr>
        <w:t>miestom, kde škoda vznikla,</w:t>
      </w:r>
      <w:r w:rsidR="00AE6533">
        <w:rPr>
          <w:rFonts w:ascii="Times New Roman" w:hAnsi="Times New Roman"/>
          <w:noProof/>
          <w:sz w:val="24"/>
        </w:rPr>
        <w:t xml:space="preserve"> v </w:t>
      </w:r>
      <w:r w:rsidRPr="00AE6533">
        <w:rPr>
          <w:rFonts w:ascii="Times New Roman" w:hAnsi="Times New Roman"/>
          <w:noProof/>
          <w:sz w:val="24"/>
        </w:rPr>
        <w:t>situáciách týkajúcich sa čisto finančnej straty,</w:t>
      </w:r>
      <w:r w:rsidR="00AE6533">
        <w:rPr>
          <w:rFonts w:ascii="Times New Roman" w:hAnsi="Times New Roman"/>
          <w:noProof/>
          <w:sz w:val="24"/>
        </w:rPr>
        <w:t xml:space="preserve"> a </w:t>
      </w:r>
      <w:r w:rsidRPr="00AE6533">
        <w:rPr>
          <w:rFonts w:ascii="Times New Roman" w:hAnsi="Times New Roman"/>
          <w:noProof/>
          <w:sz w:val="24"/>
        </w:rPr>
        <w:t>priznať právomoc len súdom</w:t>
      </w:r>
      <w:r w:rsidR="00AE6533">
        <w:rPr>
          <w:rFonts w:ascii="Times New Roman" w:hAnsi="Times New Roman"/>
          <w:noProof/>
          <w:sz w:val="24"/>
        </w:rPr>
        <w:t xml:space="preserve"> v </w:t>
      </w:r>
      <w:r w:rsidRPr="00AE6533">
        <w:rPr>
          <w:rFonts w:ascii="Times New Roman" w:hAnsi="Times New Roman"/>
          <w:noProof/>
          <w:color w:val="000000"/>
          <w:sz w:val="24"/>
        </w:rPr>
        <w:t>mieste, kde nastala udalosť, ktorá spôsobila škodu (</w:t>
      </w:r>
      <w:r w:rsidRPr="00AE6533">
        <w:rPr>
          <w:rFonts w:ascii="Times New Roman" w:hAnsi="Times New Roman"/>
          <w:i/>
          <w:noProof/>
          <w:sz w:val="24"/>
        </w:rPr>
        <w:t>locus delicti commissi</w:t>
      </w:r>
      <w:r w:rsidRPr="00AE6533">
        <w:rPr>
          <w:rFonts w:ascii="Times New Roman" w:hAnsi="Times New Roman"/>
          <w:noProof/>
          <w:sz w:val="24"/>
        </w:rPr>
        <w:t>).</w:t>
      </w:r>
      <w:r w:rsidR="00AD5E0D" w:rsidRPr="00AE6533">
        <w:rPr>
          <w:rStyle w:val="FootnoteReference"/>
          <w:rFonts w:ascii="Times New Roman" w:hAnsi="Times New Roman" w:cs="Times New Roman"/>
          <w:iCs/>
          <w:noProof/>
          <w:sz w:val="24"/>
          <w:szCs w:val="24"/>
        </w:rPr>
        <w:footnoteReference w:id="25"/>
      </w:r>
      <w:r w:rsidR="00AE6533">
        <w:rPr>
          <w:rFonts w:ascii="Times New Roman" w:hAnsi="Times New Roman"/>
          <w:noProof/>
          <w:sz w:val="24"/>
        </w:rPr>
        <w:t xml:space="preserve"> V </w:t>
      </w:r>
      <w:r w:rsidRPr="00AE6533">
        <w:rPr>
          <w:rFonts w:ascii="Times New Roman" w:hAnsi="Times New Roman"/>
          <w:noProof/>
          <w:sz w:val="24"/>
        </w:rPr>
        <w:t>tejto súvislosti však treba mať na pamäti, že</w:t>
      </w:r>
      <w:r w:rsidR="00AE6533">
        <w:rPr>
          <w:rFonts w:ascii="Times New Roman" w:hAnsi="Times New Roman"/>
          <w:noProof/>
          <w:sz w:val="24"/>
        </w:rPr>
        <w:t xml:space="preserve"> v </w:t>
      </w:r>
      <w:r w:rsidRPr="00AE6533">
        <w:rPr>
          <w:rFonts w:ascii="Times New Roman" w:hAnsi="Times New Roman"/>
          <w:noProof/>
          <w:sz w:val="24"/>
        </w:rPr>
        <w:t>nariadení Rím II</w:t>
      </w:r>
      <w:r w:rsidR="00BA1AE2" w:rsidRPr="00AE6533">
        <w:rPr>
          <w:rStyle w:val="FootnoteReference"/>
          <w:rFonts w:ascii="Times New Roman" w:hAnsi="Times New Roman" w:cs="Times New Roman"/>
          <w:noProof/>
          <w:sz w:val="24"/>
          <w:szCs w:val="24"/>
        </w:rPr>
        <w:footnoteReference w:id="26"/>
      </w:r>
      <w:r w:rsidRPr="00AE6533">
        <w:rPr>
          <w:rFonts w:ascii="Times New Roman" w:hAnsi="Times New Roman"/>
          <w:noProof/>
          <w:sz w:val="24"/>
        </w:rPr>
        <w:t xml:space="preserve"> sa pripúšťa, aby rozhodné právo určovala len krajina,</w:t>
      </w:r>
      <w:r w:rsidR="00AE6533">
        <w:rPr>
          <w:rFonts w:ascii="Times New Roman" w:hAnsi="Times New Roman"/>
          <w:noProof/>
          <w:sz w:val="24"/>
        </w:rPr>
        <w:t xml:space="preserve"> v </w:t>
      </w:r>
      <w:r w:rsidRPr="00AE6533">
        <w:rPr>
          <w:rFonts w:ascii="Times New Roman" w:hAnsi="Times New Roman"/>
          <w:noProof/>
          <w:sz w:val="24"/>
        </w:rPr>
        <w:t>ktorej škoda vzniká</w:t>
      </w:r>
      <w:r w:rsidR="00AE6533">
        <w:rPr>
          <w:rFonts w:ascii="Times New Roman" w:hAnsi="Times New Roman"/>
          <w:noProof/>
          <w:sz w:val="24"/>
        </w:rPr>
        <w:t>.</w:t>
      </w:r>
    </w:p>
    <w:p w14:paraId="63FE1140" w14:textId="4218F832" w:rsidR="00A2018E" w:rsidRPr="00AE6533" w:rsidRDefault="00C84A30" w:rsidP="00C85416">
      <w:pPr>
        <w:pStyle w:val="ListParagraph"/>
        <w:numPr>
          <w:ilvl w:val="0"/>
          <w:numId w:val="15"/>
        </w:numPr>
        <w:spacing w:after="120" w:line="240" w:lineRule="auto"/>
        <w:jc w:val="both"/>
        <w:rPr>
          <w:rFonts w:ascii="Times New Roman" w:hAnsi="Times New Roman" w:cs="Times New Roman"/>
          <w:i/>
          <w:iCs/>
          <w:noProof/>
          <w:sz w:val="24"/>
          <w:szCs w:val="24"/>
        </w:rPr>
      </w:pPr>
      <w:r w:rsidRPr="00AE6533">
        <w:rPr>
          <w:rFonts w:ascii="Times New Roman" w:hAnsi="Times New Roman"/>
          <w:i/>
          <w:noProof/>
          <w:sz w:val="24"/>
        </w:rPr>
        <w:t>Porušenie práv na ochranu osobnosti</w:t>
      </w:r>
    </w:p>
    <w:p w14:paraId="0D73EF93" w14:textId="216541F6" w:rsidR="000756D7" w:rsidRPr="00AE6533" w:rsidRDefault="00A2018E" w:rsidP="000756D7">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Pokiaľ ide</w:t>
      </w:r>
      <w:r w:rsidR="00AE6533">
        <w:rPr>
          <w:rFonts w:ascii="Times New Roman" w:hAnsi="Times New Roman"/>
          <w:noProof/>
          <w:sz w:val="24"/>
        </w:rPr>
        <w:t xml:space="preserve"> o </w:t>
      </w:r>
      <w:r w:rsidRPr="00AE6533">
        <w:rPr>
          <w:rFonts w:ascii="Times New Roman" w:hAnsi="Times New Roman"/>
          <w:noProof/>
          <w:sz w:val="24"/>
        </w:rPr>
        <w:t>ochranu práv na ochranu osobnosti, hlavné sporné otázky sa týkajú uplatňovania kritéria miesta vzniku škody na publikácie</w:t>
      </w:r>
      <w:r w:rsidR="00AE6533">
        <w:rPr>
          <w:rFonts w:ascii="Times New Roman" w:hAnsi="Times New Roman"/>
          <w:noProof/>
          <w:sz w:val="24"/>
        </w:rPr>
        <w:t xml:space="preserve"> a </w:t>
      </w:r>
      <w:r w:rsidRPr="00AE6533">
        <w:rPr>
          <w:rFonts w:ascii="Times New Roman" w:hAnsi="Times New Roman"/>
          <w:noProof/>
          <w:sz w:val="24"/>
        </w:rPr>
        <w:t xml:space="preserve">tzv. zásady mozaiky, ktorá bola </w:t>
      </w:r>
      <w:r w:rsidR="008F4E1C" w:rsidRPr="00AE6533">
        <w:rPr>
          <w:rFonts w:ascii="Times New Roman" w:hAnsi="Times New Roman"/>
          <w:noProof/>
          <w:sz w:val="24"/>
        </w:rPr>
        <w:t>po prvýkrát</w:t>
      </w:r>
      <w:r w:rsidRPr="00AE6533">
        <w:rPr>
          <w:rFonts w:ascii="Times New Roman" w:hAnsi="Times New Roman"/>
          <w:noProof/>
          <w:sz w:val="24"/>
        </w:rPr>
        <w:t xml:space="preserve"> stanovená vo veci Shevill (C-68/93)</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papierovými publikáciami</w:t>
      </w:r>
      <w:r w:rsidR="00AE6533">
        <w:rPr>
          <w:rFonts w:ascii="Times New Roman" w:hAnsi="Times New Roman"/>
          <w:noProof/>
          <w:sz w:val="24"/>
        </w:rPr>
        <w:t xml:space="preserve"> a </w:t>
      </w:r>
      <w:r w:rsidRPr="00AE6533">
        <w:rPr>
          <w:rFonts w:ascii="Times New Roman" w:hAnsi="Times New Roman"/>
          <w:noProof/>
          <w:sz w:val="24"/>
        </w:rPr>
        <w:t>neskôr rozšírená na online publikácie. Súdny dvor Európskej únie vo veci Shevill rozhodol, že článok 7 ods. 2 nariadenia priznáva právomoc súdom každého členského štátu,</w:t>
      </w:r>
      <w:r w:rsidR="00AE6533">
        <w:rPr>
          <w:rFonts w:ascii="Times New Roman" w:hAnsi="Times New Roman"/>
          <w:noProof/>
          <w:sz w:val="24"/>
        </w:rPr>
        <w:t xml:space="preserve"> v </w:t>
      </w:r>
      <w:r w:rsidRPr="00AE6533">
        <w:rPr>
          <w:rFonts w:ascii="Times New Roman" w:hAnsi="Times New Roman"/>
          <w:noProof/>
          <w:sz w:val="24"/>
        </w:rPr>
        <w:t>ktorom bola publikácia distribuovaná a, ak poškodený tvrdí, že utrpel ujmu na svojej povesti, členského štátu</w:t>
      </w:r>
      <w:r w:rsidR="00AE6533">
        <w:rPr>
          <w:rFonts w:ascii="Times New Roman" w:hAnsi="Times New Roman"/>
          <w:noProof/>
          <w:sz w:val="24"/>
        </w:rPr>
        <w:t xml:space="preserve"> v </w:t>
      </w:r>
      <w:r w:rsidRPr="00AE6533">
        <w:rPr>
          <w:rFonts w:ascii="Times New Roman" w:hAnsi="Times New Roman"/>
          <w:noProof/>
          <w:sz w:val="24"/>
        </w:rPr>
        <w:t>ktorom sa škoda prejavila, ale len</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ujmou spôsobenou</w:t>
      </w:r>
      <w:r w:rsidR="00AE6533">
        <w:rPr>
          <w:rFonts w:ascii="Times New Roman" w:hAnsi="Times New Roman"/>
          <w:noProof/>
          <w:sz w:val="24"/>
        </w:rPr>
        <w:t xml:space="preserve"> v </w:t>
      </w:r>
      <w:r w:rsidRPr="00AE6533">
        <w:rPr>
          <w:rFonts w:ascii="Times New Roman" w:hAnsi="Times New Roman"/>
          <w:noProof/>
          <w:sz w:val="24"/>
        </w:rPr>
        <w:t>tomto štáte, nie</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celosvetovou škodou</w:t>
      </w:r>
      <w:r w:rsidR="00E75907" w:rsidRPr="00AE6533">
        <w:rPr>
          <w:rStyle w:val="FootnoteReference"/>
          <w:rFonts w:ascii="Times New Roman" w:hAnsi="Times New Roman" w:cs="Times New Roman"/>
          <w:noProof/>
          <w:sz w:val="24"/>
          <w:szCs w:val="24"/>
        </w:rPr>
        <w:footnoteReference w:id="27"/>
      </w:r>
      <w:r w:rsidRPr="00AE6533">
        <w:rPr>
          <w:rFonts w:ascii="Times New Roman" w:hAnsi="Times New Roman"/>
          <w:noProof/>
          <w:sz w:val="24"/>
        </w:rPr>
        <w:t>. Vo veci eDate (C</w:t>
      </w:r>
      <w:r w:rsidRPr="00AE6533">
        <w:rPr>
          <w:rFonts w:ascii="Times New Roman" w:hAnsi="Times New Roman"/>
          <w:noProof/>
          <w:sz w:val="24"/>
        </w:rPr>
        <w:noBreakHyphen/>
        <w:t>509/09</w:t>
      </w:r>
      <w:r w:rsidR="00AE6533">
        <w:rPr>
          <w:rFonts w:ascii="Times New Roman" w:hAnsi="Times New Roman"/>
          <w:noProof/>
          <w:sz w:val="24"/>
        </w:rPr>
        <w:t xml:space="preserve"> a </w:t>
      </w:r>
      <w:r w:rsidRPr="00AE6533">
        <w:rPr>
          <w:rFonts w:ascii="Times New Roman" w:hAnsi="Times New Roman"/>
          <w:noProof/>
          <w:sz w:val="24"/>
        </w:rPr>
        <w:t>C</w:t>
      </w:r>
      <w:r w:rsidRPr="00AE6533">
        <w:rPr>
          <w:rFonts w:ascii="Times New Roman" w:hAnsi="Times New Roman"/>
          <w:noProof/>
          <w:sz w:val="24"/>
        </w:rPr>
        <w:noBreakHyphen/>
        <w:t>161/10) bola zásada mozaiky rozšírená na prípady porušenia práv na ochranu osobnosti online.</w:t>
      </w:r>
      <w:r w:rsidR="00AE6533">
        <w:rPr>
          <w:rFonts w:ascii="Times New Roman" w:hAnsi="Times New Roman"/>
          <w:noProof/>
          <w:sz w:val="24"/>
        </w:rPr>
        <w:t xml:space="preserve"> V </w:t>
      </w:r>
      <w:r w:rsidRPr="00AE6533">
        <w:rPr>
          <w:rFonts w:ascii="Times New Roman" w:hAnsi="Times New Roman"/>
          <w:noProof/>
          <w:sz w:val="24"/>
        </w:rPr>
        <w:t>prípade online obsahu sa však súdy</w:t>
      </w:r>
      <w:r w:rsidR="00AE6533">
        <w:rPr>
          <w:rFonts w:ascii="Times New Roman" w:hAnsi="Times New Roman"/>
          <w:noProof/>
          <w:sz w:val="24"/>
        </w:rPr>
        <w:t xml:space="preserve"> v </w:t>
      </w:r>
      <w:r w:rsidRPr="00AE6533">
        <w:rPr>
          <w:rFonts w:ascii="Times New Roman" w:hAnsi="Times New Roman"/>
          <w:noProof/>
          <w:sz w:val="24"/>
        </w:rPr>
        <w:t>mieste, kde sa nachádza centrum záujmu obete</w:t>
      </w:r>
      <w:r w:rsidR="0089262E" w:rsidRPr="00AE6533">
        <w:rPr>
          <w:rStyle w:val="FootnoteReference"/>
          <w:rFonts w:ascii="Times New Roman" w:hAnsi="Times New Roman" w:cs="Times New Roman"/>
          <w:noProof/>
          <w:sz w:val="24"/>
          <w:szCs w:val="24"/>
        </w:rPr>
        <w:footnoteReference w:id="28"/>
      </w:r>
      <w:r w:rsidRPr="00AE6533">
        <w:rPr>
          <w:rFonts w:ascii="Times New Roman" w:hAnsi="Times New Roman"/>
          <w:noProof/>
          <w:sz w:val="24"/>
        </w:rPr>
        <w:t>, považovali za súdy príslušné rozhodovať</w:t>
      </w:r>
      <w:r w:rsidR="00AE6533">
        <w:rPr>
          <w:rFonts w:ascii="Times New Roman" w:hAnsi="Times New Roman"/>
          <w:noProof/>
          <w:sz w:val="24"/>
        </w:rPr>
        <w:t xml:space="preserve"> o </w:t>
      </w:r>
      <w:r w:rsidRPr="00AE6533">
        <w:rPr>
          <w:rFonts w:ascii="Times New Roman" w:hAnsi="Times New Roman"/>
          <w:noProof/>
          <w:sz w:val="24"/>
        </w:rPr>
        <w:t>celej škode</w:t>
      </w:r>
      <w:r w:rsidR="0089262E" w:rsidRPr="00AE6533">
        <w:rPr>
          <w:rStyle w:val="FootnoteReference"/>
          <w:rFonts w:ascii="Times New Roman" w:hAnsi="Times New Roman" w:cs="Times New Roman"/>
          <w:noProof/>
          <w:sz w:val="24"/>
          <w:szCs w:val="24"/>
        </w:rPr>
        <w:footnoteReference w:id="29"/>
      </w:r>
      <w:r w:rsidRPr="00AE6533">
        <w:rPr>
          <w:rFonts w:ascii="Times New Roman" w:hAnsi="Times New Roman"/>
          <w:noProof/>
          <w:sz w:val="24"/>
        </w:rPr>
        <w:t>. Rozlišovanie medzi online</w:t>
      </w:r>
      <w:r w:rsidR="00AE6533">
        <w:rPr>
          <w:rFonts w:ascii="Times New Roman" w:hAnsi="Times New Roman"/>
          <w:noProof/>
          <w:sz w:val="24"/>
        </w:rPr>
        <w:t xml:space="preserve"> a </w:t>
      </w:r>
      <w:r w:rsidRPr="00AE6533">
        <w:rPr>
          <w:rFonts w:ascii="Times New Roman" w:hAnsi="Times New Roman"/>
          <w:noProof/>
          <w:sz w:val="24"/>
        </w:rPr>
        <w:t>offline obsahom by sa dalo kritizovať ako ťažko uplatniteľné</w:t>
      </w:r>
      <w:r w:rsidR="00AE6533">
        <w:rPr>
          <w:rFonts w:ascii="Times New Roman" w:hAnsi="Times New Roman"/>
          <w:noProof/>
          <w:sz w:val="24"/>
        </w:rPr>
        <w:t xml:space="preserve"> v </w:t>
      </w:r>
      <w:r w:rsidRPr="00AE6533">
        <w:rPr>
          <w:rFonts w:ascii="Times New Roman" w:hAnsi="Times New Roman"/>
          <w:noProof/>
          <w:sz w:val="24"/>
        </w:rPr>
        <w:t xml:space="preserve">praxi, keďže väčšina </w:t>
      </w:r>
      <w:r w:rsidRPr="00AE6533">
        <w:rPr>
          <w:rStyle w:val="cf01"/>
          <w:rFonts w:ascii="Times New Roman" w:hAnsi="Times New Roman"/>
          <w:noProof/>
          <w:sz w:val="24"/>
        </w:rPr>
        <w:t>novín je dostupná</w:t>
      </w:r>
      <w:r w:rsidR="00AE6533">
        <w:rPr>
          <w:rStyle w:val="cf01"/>
          <w:rFonts w:ascii="Times New Roman" w:hAnsi="Times New Roman"/>
          <w:noProof/>
          <w:sz w:val="24"/>
        </w:rPr>
        <w:t xml:space="preserve"> v </w:t>
      </w:r>
      <w:r w:rsidRPr="00AE6533">
        <w:rPr>
          <w:rStyle w:val="cf01"/>
          <w:rFonts w:ascii="Times New Roman" w:hAnsi="Times New Roman"/>
          <w:noProof/>
          <w:sz w:val="24"/>
        </w:rPr>
        <w:t>tlačenej (offline) podobe aj online</w:t>
      </w:r>
      <w:r w:rsidR="00315950" w:rsidRPr="00AE6533">
        <w:rPr>
          <w:rStyle w:val="FootnoteReference"/>
          <w:rFonts w:ascii="Times New Roman" w:hAnsi="Times New Roman" w:cs="Times New Roman"/>
          <w:noProof/>
          <w:sz w:val="24"/>
          <w:szCs w:val="24"/>
        </w:rPr>
        <w:footnoteReference w:id="30"/>
      </w:r>
      <w:r w:rsidRPr="00AE6533">
        <w:rPr>
          <w:rFonts w:ascii="Times New Roman" w:hAnsi="Times New Roman"/>
          <w:noProof/>
          <w:sz w:val="24"/>
        </w:rPr>
        <w:t>.</w:t>
      </w:r>
    </w:p>
    <w:p w14:paraId="26C4F4CB" w14:textId="0D98EE7E" w:rsidR="00AE6533" w:rsidRDefault="00397C57" w:rsidP="00F314FF">
      <w:pPr>
        <w:spacing w:after="120" w:line="240" w:lineRule="auto"/>
        <w:jc w:val="both"/>
        <w:rPr>
          <w:rFonts w:ascii="Times New Roman" w:hAnsi="Times New Roman"/>
          <w:noProof/>
          <w:sz w:val="24"/>
        </w:rPr>
      </w:pPr>
      <w:r w:rsidRPr="00AE6533">
        <w:rPr>
          <w:rFonts w:ascii="Times New Roman" w:hAnsi="Times New Roman"/>
          <w:noProof/>
          <w:sz w:val="24"/>
        </w:rPr>
        <w:t>Zo štúdie</w:t>
      </w:r>
      <w:r w:rsidR="00AE6533">
        <w:rPr>
          <w:rFonts w:ascii="Times New Roman" w:hAnsi="Times New Roman"/>
          <w:noProof/>
          <w:sz w:val="24"/>
        </w:rPr>
        <w:t xml:space="preserve"> a </w:t>
      </w:r>
      <w:r w:rsidRPr="00AE6533">
        <w:rPr>
          <w:rFonts w:ascii="Times New Roman" w:hAnsi="Times New Roman"/>
          <w:noProof/>
          <w:sz w:val="24"/>
        </w:rPr>
        <w:t>zistení</w:t>
      </w:r>
      <w:r w:rsidR="00AE6533">
        <w:rPr>
          <w:rFonts w:ascii="Times New Roman" w:hAnsi="Times New Roman"/>
          <w:noProof/>
          <w:sz w:val="24"/>
        </w:rPr>
        <w:t xml:space="preserve"> v </w:t>
      </w:r>
      <w:r w:rsidRPr="00AE6533">
        <w:rPr>
          <w:rFonts w:ascii="Times New Roman" w:hAnsi="Times New Roman"/>
          <w:noProof/>
          <w:sz w:val="24"/>
        </w:rPr>
        <w:t>rámci projektu JUDGTRUST vyplýva, že vedeckí odborníci, niektorí generálni advokáti</w:t>
      </w:r>
      <w:r w:rsidR="00AE6533">
        <w:rPr>
          <w:rFonts w:ascii="Times New Roman" w:hAnsi="Times New Roman"/>
          <w:noProof/>
          <w:sz w:val="24"/>
        </w:rPr>
        <w:t xml:space="preserve"> a </w:t>
      </w:r>
      <w:r w:rsidRPr="00AE6533">
        <w:rPr>
          <w:rFonts w:ascii="Times New Roman" w:hAnsi="Times New Roman"/>
          <w:noProof/>
          <w:sz w:val="24"/>
        </w:rPr>
        <w:t>odborníci pracujúci</w:t>
      </w:r>
      <w:r w:rsidR="00AE6533">
        <w:rPr>
          <w:rFonts w:ascii="Times New Roman" w:hAnsi="Times New Roman"/>
          <w:noProof/>
          <w:sz w:val="24"/>
        </w:rPr>
        <w:t xml:space="preserve"> v </w:t>
      </w:r>
      <w:r w:rsidRPr="00AE6533">
        <w:rPr>
          <w:rFonts w:ascii="Times New Roman" w:hAnsi="Times New Roman"/>
          <w:noProof/>
          <w:sz w:val="24"/>
        </w:rPr>
        <w:t>oblasti práva kritizovali judikatúru Súdneho dvora Európskej únie</w:t>
      </w:r>
      <w:r w:rsidR="00AE6533">
        <w:rPr>
          <w:rFonts w:ascii="Times New Roman" w:hAnsi="Times New Roman"/>
          <w:noProof/>
          <w:sz w:val="24"/>
        </w:rPr>
        <w:t xml:space="preserve"> v </w:t>
      </w:r>
      <w:r w:rsidRPr="00AE6533">
        <w:rPr>
          <w:rFonts w:ascii="Times New Roman" w:hAnsi="Times New Roman"/>
          <w:noProof/>
          <w:sz w:val="24"/>
        </w:rPr>
        <w:t>oblasti porušovania práv na ochranu osobnosti. Kritici tvrdia, že samotná prístupnosť obsahu porušujúceho právne predpisy nie je dostatočná na určenie právomoci na základe miesta, kde škoda vznikla,</w:t>
      </w:r>
      <w:r w:rsidR="00AE6533">
        <w:rPr>
          <w:rFonts w:ascii="Times New Roman" w:hAnsi="Times New Roman"/>
          <w:noProof/>
          <w:sz w:val="24"/>
        </w:rPr>
        <w:t xml:space="preserve"> a </w:t>
      </w:r>
      <w:r w:rsidRPr="00AE6533">
        <w:rPr>
          <w:rFonts w:ascii="Times New Roman" w:hAnsi="Times New Roman"/>
          <w:noProof/>
          <w:sz w:val="24"/>
        </w:rPr>
        <w:t>že uplatňovanie zásady mozaiky vedie</w:t>
      </w:r>
      <w:r w:rsidR="00AE6533">
        <w:rPr>
          <w:rFonts w:ascii="Times New Roman" w:hAnsi="Times New Roman"/>
          <w:noProof/>
          <w:sz w:val="24"/>
        </w:rPr>
        <w:t xml:space="preserve"> k </w:t>
      </w:r>
      <w:r w:rsidRPr="00AE6533">
        <w:rPr>
          <w:rFonts w:ascii="Times New Roman" w:hAnsi="Times New Roman"/>
          <w:noProof/>
          <w:sz w:val="24"/>
        </w:rPr>
        <w:t>znásobeniu počtu súdov, čo neslúži oprávnenému záujmu žiadneho</w:t>
      </w:r>
      <w:r w:rsidR="00AE6533">
        <w:rPr>
          <w:rFonts w:ascii="Times New Roman" w:hAnsi="Times New Roman"/>
          <w:noProof/>
          <w:sz w:val="24"/>
        </w:rPr>
        <w:t xml:space="preserve"> z </w:t>
      </w:r>
      <w:r w:rsidRPr="00AE6533">
        <w:rPr>
          <w:rFonts w:ascii="Times New Roman" w:hAnsi="Times New Roman"/>
          <w:noProof/>
          <w:sz w:val="24"/>
        </w:rPr>
        <w:t>účastníkov konania</w:t>
      </w:r>
      <w:r w:rsidR="00AE6533">
        <w:rPr>
          <w:rFonts w:ascii="Times New Roman" w:hAnsi="Times New Roman"/>
          <w:noProof/>
          <w:sz w:val="24"/>
        </w:rPr>
        <w:t xml:space="preserve"> a </w:t>
      </w:r>
      <w:r w:rsidRPr="00AE6533">
        <w:rPr>
          <w:rFonts w:ascii="Times New Roman" w:hAnsi="Times New Roman"/>
          <w:noProof/>
          <w:sz w:val="24"/>
        </w:rPr>
        <w:t>odporuje cieľom predvídateľnosti</w:t>
      </w:r>
      <w:r w:rsidR="00AE6533">
        <w:rPr>
          <w:rFonts w:ascii="Times New Roman" w:hAnsi="Times New Roman"/>
          <w:noProof/>
          <w:sz w:val="24"/>
        </w:rPr>
        <w:t xml:space="preserve"> a </w:t>
      </w:r>
      <w:r w:rsidRPr="00AE6533">
        <w:rPr>
          <w:rFonts w:ascii="Times New Roman" w:hAnsi="Times New Roman"/>
          <w:noProof/>
          <w:sz w:val="24"/>
        </w:rPr>
        <w:t>riadneho výkonu spravodlivosti</w:t>
      </w:r>
      <w:r w:rsidRPr="00AE6533">
        <w:rPr>
          <w:rStyle w:val="FootnoteReference"/>
          <w:rFonts w:ascii="Times New Roman" w:hAnsi="Times New Roman" w:cs="Times New Roman"/>
          <w:noProof/>
          <w:sz w:val="24"/>
          <w:szCs w:val="24"/>
        </w:rPr>
        <w:footnoteReference w:id="31"/>
      </w:r>
      <w:r w:rsidR="00AE6533">
        <w:rPr>
          <w:rFonts w:ascii="Times New Roman" w:hAnsi="Times New Roman"/>
          <w:noProof/>
          <w:sz w:val="24"/>
        </w:rPr>
        <w:t>.</w:t>
      </w:r>
    </w:p>
    <w:p w14:paraId="4C82B62B" w14:textId="5976B300" w:rsidR="00F314FF" w:rsidRPr="00691FFB" w:rsidRDefault="000756D7" w:rsidP="00C85416">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Táto kritika je relevantná najmä</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súvislosti</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fenoménom strategických žalôb proti verejnej účasti (ďalej len „strategické žaloby proti verejnej účasti“), proti ktorému sa snaží bojovať nedávno prijatá smernica na boj proti strategickým žalobám proti verejnej účasti</w:t>
      </w:r>
      <w:r w:rsidRPr="00691FFB">
        <w:rPr>
          <w:rStyle w:val="FootnoteReference"/>
          <w:rFonts w:ascii="Times New Roman" w:hAnsi="Times New Roman" w:cs="Times New Roman"/>
          <w:noProof/>
          <w:spacing w:val="-4"/>
          <w:sz w:val="24"/>
          <w:szCs w:val="24"/>
        </w:rPr>
        <w:footnoteReference w:id="32"/>
      </w:r>
      <w:r w:rsidRPr="00691FFB">
        <w:rPr>
          <w:rFonts w:ascii="Times New Roman" w:hAnsi="Times New Roman"/>
          <w:noProof/>
          <w:spacing w:val="-4"/>
          <w:sz w:val="24"/>
        </w:rPr>
        <w:t>. Strategické žaloby proti verejnej účasti predstavujú zneužitie súdneho konania, pretože ich cieľom nie je skutočné uplatnenie práva na prístup</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spravodlivosti, ale slúžia ako nástroj na zastrašenie žalovaného. Tieto konania sa môžu zakladať na rôznych dôvodoch, pričom najčastejšie ide</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obvinenia týkajúce sa ohovárania alebo iného porušenia práv na súkromie. Žaloby za ohováranie, ktorými sa uplatňuje nárok na náhradu škody, alebo súdne príkazy ukladajúce povinnosť zdržať sa určitého konania často cielia na novinárov</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môžu sa účelovo využívať</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cieľom umlčať kritiku alebo zabrániť médiám vykonávať si svoju úlohu „strážcu“. Takéto súdne obťažovanie možno uľahčiť prostredníctvom uplatnenia mozaikového prístupu, ktorý vedie</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veľkému počtu dostupných jurisdikcií, ktoré môže žalobca využiť,</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to aj súbežne,</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cieľom vyčerpať zdroje žalovaného. Počas rokovaní</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smernici na boj proti strategickým žalobám proti verejnej účasti sa preto Komisia prostredníctvom vyhlásenia zaviazala, že sa bude touto otázkou ďalej zaoberať</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súvislosti</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nadchádzajúcim preskúmaním nariadenia.</w:t>
      </w:r>
      <w:bookmarkStart w:id="3" w:name="_Hlk167346626"/>
    </w:p>
    <w:bookmarkEnd w:id="3"/>
    <w:p w14:paraId="202C97C2" w14:textId="35CADE9C" w:rsidR="00F2496D" w:rsidRPr="00AE6533" w:rsidRDefault="00EC73AD" w:rsidP="00C85416">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Záverom možno konštatovať, že hoci článok 7 vo všeobecnosti funguje dobre, veľký počet vecí predložených vnútroštátnymi súdmi Súdnemu dvoru Európskej únie poukazuje na problémy pri uplatňovaní článku 7 ods. 1</w:t>
      </w:r>
      <w:r w:rsidR="00AE6533">
        <w:rPr>
          <w:rFonts w:ascii="Times New Roman" w:hAnsi="Times New Roman"/>
          <w:noProof/>
          <w:sz w:val="24"/>
        </w:rPr>
        <w:t xml:space="preserve"> a </w:t>
      </w:r>
      <w:r w:rsidRPr="00AE6533">
        <w:rPr>
          <w:rFonts w:ascii="Times New Roman" w:hAnsi="Times New Roman"/>
          <w:noProof/>
          <w:sz w:val="24"/>
        </w:rPr>
        <w:t>2,</w:t>
      </w:r>
      <w:r w:rsidR="00AE6533">
        <w:rPr>
          <w:rFonts w:ascii="Times New Roman" w:hAnsi="Times New Roman"/>
          <w:noProof/>
          <w:sz w:val="24"/>
        </w:rPr>
        <w:t xml:space="preserve"> o </w:t>
      </w:r>
      <w:r w:rsidRPr="00AE6533">
        <w:rPr>
          <w:rFonts w:ascii="Times New Roman" w:hAnsi="Times New Roman"/>
          <w:noProof/>
          <w:sz w:val="24"/>
        </w:rPr>
        <w:t>čom svedčia aj odpovede členských štátov. Pokiaľ ide</w:t>
      </w:r>
      <w:r w:rsidR="00AE6533">
        <w:rPr>
          <w:rFonts w:ascii="Times New Roman" w:hAnsi="Times New Roman"/>
          <w:noProof/>
          <w:sz w:val="24"/>
        </w:rPr>
        <w:t xml:space="preserve"> o </w:t>
      </w:r>
      <w:r w:rsidRPr="00AE6533">
        <w:rPr>
          <w:rFonts w:ascii="Times New Roman" w:hAnsi="Times New Roman"/>
          <w:noProof/>
          <w:sz w:val="24"/>
        </w:rPr>
        <w:t>článok 7 ods. 1, hlavnými problémami sú široký výklad pojmu „zmluvné veci“</w:t>
      </w:r>
      <w:r w:rsidR="00AE6533">
        <w:rPr>
          <w:rFonts w:ascii="Times New Roman" w:hAnsi="Times New Roman"/>
          <w:noProof/>
          <w:sz w:val="24"/>
        </w:rPr>
        <w:t xml:space="preserve"> a </w:t>
      </w:r>
      <w:r w:rsidRPr="00AE6533">
        <w:rPr>
          <w:rFonts w:ascii="Times New Roman" w:hAnsi="Times New Roman"/>
          <w:noProof/>
          <w:sz w:val="24"/>
        </w:rPr>
        <w:t>určenie miesta plnenia. Pokiaľ ide</w:t>
      </w:r>
      <w:r w:rsidR="00AE6533">
        <w:rPr>
          <w:rFonts w:ascii="Times New Roman" w:hAnsi="Times New Roman"/>
          <w:noProof/>
          <w:sz w:val="24"/>
        </w:rPr>
        <w:t xml:space="preserve"> o </w:t>
      </w:r>
      <w:r w:rsidRPr="00AE6533">
        <w:rPr>
          <w:rFonts w:ascii="Times New Roman" w:hAnsi="Times New Roman"/>
          <w:noProof/>
          <w:sz w:val="24"/>
        </w:rPr>
        <w:t>článok 7 ods. 2, diskusie sa zameriavajú na ťažkosti</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určením miesta vzniku škody</w:t>
      </w:r>
      <w:r w:rsidR="00AE6533">
        <w:rPr>
          <w:rFonts w:ascii="Times New Roman" w:hAnsi="Times New Roman"/>
          <w:noProof/>
          <w:sz w:val="24"/>
        </w:rPr>
        <w:t xml:space="preserve"> v </w:t>
      </w:r>
      <w:r w:rsidRPr="00AE6533">
        <w:rPr>
          <w:rFonts w:ascii="Times New Roman" w:hAnsi="Times New Roman"/>
          <w:noProof/>
          <w:sz w:val="24"/>
        </w:rPr>
        <w:t>prípadoch čisto finančnej straty, ako aj na pretrvávajúcu relevantnosť zásady mozaiky</w:t>
      </w:r>
      <w:r w:rsidR="00AE6533">
        <w:rPr>
          <w:rFonts w:ascii="Times New Roman" w:hAnsi="Times New Roman"/>
          <w:noProof/>
          <w:sz w:val="24"/>
        </w:rPr>
        <w:t xml:space="preserve"> v </w:t>
      </w:r>
      <w:r w:rsidRPr="00AE6533">
        <w:rPr>
          <w:rFonts w:ascii="Times New Roman" w:hAnsi="Times New Roman"/>
          <w:noProof/>
          <w:sz w:val="24"/>
        </w:rPr>
        <w:t>prípadoch týkajúcich sa porušenia práv na súkromie.</w:t>
      </w:r>
      <w:r w:rsidR="00AE6533">
        <w:rPr>
          <w:rFonts w:ascii="Times New Roman" w:hAnsi="Times New Roman"/>
          <w:noProof/>
          <w:sz w:val="24"/>
        </w:rPr>
        <w:t xml:space="preserve"> V </w:t>
      </w:r>
      <w:r w:rsidRPr="00AE6533">
        <w:rPr>
          <w:rFonts w:ascii="Times New Roman" w:hAnsi="Times New Roman"/>
          <w:noProof/>
          <w:sz w:val="24"/>
        </w:rPr>
        <w:t>rámci budúceho preskúmania nariadenia by sa preto mohli zvážiť spôsoby, ako zjednodušiť</w:t>
      </w:r>
      <w:r w:rsidR="00AE6533">
        <w:rPr>
          <w:rFonts w:ascii="Times New Roman" w:hAnsi="Times New Roman"/>
          <w:noProof/>
          <w:sz w:val="24"/>
        </w:rPr>
        <w:t xml:space="preserve"> a </w:t>
      </w:r>
      <w:r w:rsidRPr="00AE6533">
        <w:rPr>
          <w:rFonts w:ascii="Times New Roman" w:hAnsi="Times New Roman"/>
          <w:noProof/>
          <w:sz w:val="24"/>
        </w:rPr>
        <w:t>modernizovať článok 7 ods. 1</w:t>
      </w:r>
      <w:r w:rsidR="00AE6533">
        <w:rPr>
          <w:rFonts w:ascii="Times New Roman" w:hAnsi="Times New Roman"/>
          <w:noProof/>
          <w:sz w:val="24"/>
        </w:rPr>
        <w:t xml:space="preserve"> a </w:t>
      </w:r>
      <w:r w:rsidRPr="00AE6533">
        <w:rPr>
          <w:rFonts w:ascii="Times New Roman" w:hAnsi="Times New Roman"/>
          <w:noProof/>
          <w:sz w:val="24"/>
        </w:rPr>
        <w:t>2.</w:t>
      </w:r>
    </w:p>
    <w:p w14:paraId="4BEBF30A" w14:textId="77777777" w:rsidR="00AE6533" w:rsidRDefault="00514BD9" w:rsidP="004D34CA">
      <w:pPr>
        <w:pStyle w:val="Heading2"/>
        <w:spacing w:before="240" w:after="120" w:line="240" w:lineRule="auto"/>
        <w:ind w:firstLine="240"/>
        <w:jc w:val="both"/>
        <w:rPr>
          <w:rFonts w:ascii="Times New Roman" w:hAnsi="Times New Roman"/>
          <w:b/>
          <w:noProof/>
          <w:color w:val="auto"/>
          <w:sz w:val="24"/>
        </w:rPr>
      </w:pPr>
      <w:bookmarkStart w:id="4" w:name="_Hlk168048513"/>
      <w:r w:rsidRPr="00AE6533">
        <w:rPr>
          <w:rFonts w:ascii="Times New Roman" w:hAnsi="Times New Roman"/>
          <w:b/>
          <w:noProof/>
          <w:color w:val="auto"/>
          <w:sz w:val="24"/>
        </w:rPr>
        <w:t>3.3. Normy právomoci</w:t>
      </w:r>
      <w:r w:rsidR="00AE6533">
        <w:rPr>
          <w:rFonts w:ascii="Times New Roman" w:hAnsi="Times New Roman"/>
          <w:b/>
          <w:noProof/>
          <w:color w:val="auto"/>
          <w:sz w:val="24"/>
        </w:rPr>
        <w:t xml:space="preserve"> v </w:t>
      </w:r>
      <w:r w:rsidRPr="00AE6533">
        <w:rPr>
          <w:rFonts w:ascii="Times New Roman" w:hAnsi="Times New Roman"/>
          <w:b/>
          <w:noProof/>
          <w:color w:val="auto"/>
          <w:sz w:val="24"/>
        </w:rPr>
        <w:t>záujme slabšej strany vo veciach spotrebiteľských zmlúv</w:t>
      </w:r>
      <w:r w:rsidR="00822B19" w:rsidRPr="00AE6533">
        <w:rPr>
          <w:rStyle w:val="FootnoteReference"/>
          <w:rFonts w:ascii="Times New Roman" w:hAnsi="Times New Roman" w:cs="Times New Roman"/>
          <w:b/>
          <w:bCs/>
          <w:noProof/>
          <w:color w:val="auto"/>
          <w:sz w:val="24"/>
          <w:szCs w:val="24"/>
        </w:rPr>
        <w:footnoteReference w:id="33"/>
      </w:r>
      <w:r w:rsidRPr="00AE6533">
        <w:rPr>
          <w:rFonts w:ascii="Times New Roman" w:hAnsi="Times New Roman"/>
          <w:b/>
          <w:noProof/>
          <w:color w:val="auto"/>
          <w:sz w:val="24"/>
        </w:rPr>
        <w:t xml:space="preserve"> (články 17 až 19)</w:t>
      </w:r>
    </w:p>
    <w:bookmarkEnd w:id="4"/>
    <w:p w14:paraId="48DE6850" w14:textId="6F41D742" w:rsidR="00AE6533" w:rsidRDefault="002849D9" w:rsidP="00351337">
      <w:pPr>
        <w:spacing w:after="120" w:line="240" w:lineRule="auto"/>
        <w:jc w:val="both"/>
        <w:rPr>
          <w:rFonts w:ascii="Times New Roman" w:hAnsi="Times New Roman"/>
          <w:noProof/>
          <w:sz w:val="24"/>
        </w:rPr>
      </w:pPr>
      <w:r w:rsidRPr="00AE6533">
        <w:rPr>
          <w:rFonts w:ascii="Times New Roman" w:hAnsi="Times New Roman"/>
          <w:noProof/>
          <w:sz w:val="24"/>
        </w:rPr>
        <w:t>V článkoch 10 až 23 nariadenia sa stanovujú normy právomoci, ktorých cieľom je chrániť procesné postavenie slabšej strany</w:t>
      </w:r>
      <w:r w:rsidR="00AE6533">
        <w:rPr>
          <w:rFonts w:ascii="Times New Roman" w:hAnsi="Times New Roman"/>
          <w:noProof/>
          <w:sz w:val="24"/>
        </w:rPr>
        <w:t xml:space="preserve"> v </w:t>
      </w:r>
      <w:r w:rsidRPr="00AE6533">
        <w:rPr>
          <w:rFonts w:ascii="Times New Roman" w:hAnsi="Times New Roman"/>
          <w:noProof/>
          <w:sz w:val="24"/>
        </w:rPr>
        <w:t>sporoch týkajúcich sa poisťovacích, spotrebiteľských</w:t>
      </w:r>
      <w:r w:rsidR="00AE6533">
        <w:rPr>
          <w:rFonts w:ascii="Times New Roman" w:hAnsi="Times New Roman"/>
          <w:noProof/>
          <w:sz w:val="24"/>
        </w:rPr>
        <w:t xml:space="preserve"> a </w:t>
      </w:r>
      <w:r w:rsidRPr="00AE6533">
        <w:rPr>
          <w:rFonts w:ascii="Times New Roman" w:hAnsi="Times New Roman"/>
          <w:noProof/>
          <w:sz w:val="24"/>
        </w:rPr>
        <w:t>pracovných záležitostí</w:t>
      </w:r>
      <w:r w:rsidR="00AE6533">
        <w:rPr>
          <w:rFonts w:ascii="Times New Roman" w:hAnsi="Times New Roman"/>
          <w:noProof/>
          <w:sz w:val="24"/>
        </w:rPr>
        <w:t>.</w:t>
      </w:r>
    </w:p>
    <w:p w14:paraId="25A2C71B" w14:textId="72B8A7C4" w:rsidR="00AE6533" w:rsidRDefault="002849D9" w:rsidP="00822B19">
      <w:pPr>
        <w:spacing w:after="120" w:line="240" w:lineRule="auto"/>
        <w:jc w:val="both"/>
        <w:rPr>
          <w:rFonts w:ascii="Times New Roman" w:hAnsi="Times New Roman"/>
          <w:noProof/>
          <w:sz w:val="24"/>
        </w:rPr>
      </w:pPr>
      <w:r w:rsidRPr="00AE6533">
        <w:rPr>
          <w:rFonts w:ascii="Times New Roman" w:hAnsi="Times New Roman"/>
          <w:noProof/>
          <w:sz w:val="24"/>
        </w:rPr>
        <w:t>V porovnaní</w:t>
      </w:r>
      <w:r w:rsidR="00AE6533">
        <w:rPr>
          <w:rFonts w:ascii="Times New Roman" w:hAnsi="Times New Roman"/>
          <w:noProof/>
          <w:sz w:val="24"/>
        </w:rPr>
        <w:t xml:space="preserve"> s </w:t>
      </w:r>
      <w:r w:rsidRPr="00AE6533">
        <w:rPr>
          <w:rFonts w:ascii="Times New Roman" w:hAnsi="Times New Roman"/>
          <w:noProof/>
          <w:sz w:val="24"/>
        </w:rPr>
        <w:t>predchádzajúcimi nariadeniami sa táto ochrana ešte viac posilnila. Hlavná zmena zavedená prostredníctvom rozšírenia osobného rozsahu pôsobnosti</w:t>
      </w:r>
      <w:r w:rsidR="00AE6533">
        <w:rPr>
          <w:rFonts w:ascii="Times New Roman" w:hAnsi="Times New Roman"/>
          <w:noProof/>
          <w:sz w:val="24"/>
        </w:rPr>
        <w:t xml:space="preserve"> v </w:t>
      </w:r>
      <w:r w:rsidRPr="00AE6533">
        <w:rPr>
          <w:rFonts w:ascii="Times New Roman" w:hAnsi="Times New Roman"/>
          <w:noProof/>
          <w:sz w:val="24"/>
        </w:rPr>
        <w:t>článku 6 ods. 1</w:t>
      </w:r>
      <w:r w:rsidR="00AE6533">
        <w:rPr>
          <w:rFonts w:ascii="Times New Roman" w:hAnsi="Times New Roman"/>
          <w:noProof/>
          <w:sz w:val="24"/>
        </w:rPr>
        <w:t xml:space="preserve"> a </w:t>
      </w:r>
      <w:r w:rsidRPr="00AE6533">
        <w:rPr>
          <w:rFonts w:ascii="Times New Roman" w:hAnsi="Times New Roman"/>
          <w:noProof/>
          <w:sz w:val="24"/>
        </w:rPr>
        <w:t>následných úprav článku 18 ods. 1</w:t>
      </w:r>
      <w:r w:rsidR="00AE6533">
        <w:rPr>
          <w:rFonts w:ascii="Times New Roman" w:hAnsi="Times New Roman"/>
          <w:noProof/>
          <w:sz w:val="24"/>
        </w:rPr>
        <w:t xml:space="preserve"> a </w:t>
      </w:r>
      <w:r w:rsidRPr="00AE6533">
        <w:rPr>
          <w:rFonts w:ascii="Times New Roman" w:hAnsi="Times New Roman"/>
          <w:noProof/>
          <w:sz w:val="24"/>
        </w:rPr>
        <w:t>článku 21 ods. 2 umožnila spotrebiteľom</w:t>
      </w:r>
      <w:r w:rsidR="00AE6533">
        <w:rPr>
          <w:rFonts w:ascii="Times New Roman" w:hAnsi="Times New Roman"/>
          <w:noProof/>
          <w:sz w:val="24"/>
        </w:rPr>
        <w:t xml:space="preserve"> s </w:t>
      </w:r>
      <w:r w:rsidRPr="00AE6533">
        <w:rPr>
          <w:rFonts w:ascii="Times New Roman" w:hAnsi="Times New Roman"/>
          <w:noProof/>
          <w:sz w:val="24"/>
        </w:rPr>
        <w:t>bydliskom</w:t>
      </w:r>
      <w:r w:rsidR="00AE6533">
        <w:rPr>
          <w:rFonts w:ascii="Times New Roman" w:hAnsi="Times New Roman"/>
          <w:noProof/>
          <w:sz w:val="24"/>
        </w:rPr>
        <w:t xml:space="preserve"> v </w:t>
      </w:r>
      <w:r w:rsidRPr="00AE6533">
        <w:rPr>
          <w:rFonts w:ascii="Times New Roman" w:hAnsi="Times New Roman"/>
          <w:noProof/>
          <w:sz w:val="24"/>
        </w:rPr>
        <w:t>členskom štáte</w:t>
      </w:r>
      <w:r w:rsidR="00AE6533">
        <w:rPr>
          <w:rFonts w:ascii="Times New Roman" w:hAnsi="Times New Roman"/>
          <w:noProof/>
          <w:sz w:val="24"/>
        </w:rPr>
        <w:t xml:space="preserve"> a </w:t>
      </w:r>
      <w:r w:rsidRPr="00AE6533">
        <w:rPr>
          <w:rFonts w:ascii="Times New Roman" w:hAnsi="Times New Roman"/>
          <w:noProof/>
          <w:sz w:val="24"/>
        </w:rPr>
        <w:t>zamestnancom využívať normy právomoci</w:t>
      </w:r>
      <w:r w:rsidR="00AE6533">
        <w:rPr>
          <w:rFonts w:ascii="Times New Roman" w:hAnsi="Times New Roman"/>
          <w:noProof/>
          <w:sz w:val="24"/>
        </w:rPr>
        <w:t xml:space="preserve"> v </w:t>
      </w:r>
      <w:r w:rsidRPr="00AE6533">
        <w:rPr>
          <w:rFonts w:ascii="Times New Roman" w:hAnsi="Times New Roman"/>
          <w:noProof/>
          <w:sz w:val="24"/>
        </w:rPr>
        <w:t>záujme slabšej strany</w:t>
      </w:r>
      <w:r w:rsidR="00AE6533">
        <w:rPr>
          <w:rFonts w:ascii="Times New Roman" w:hAnsi="Times New Roman"/>
          <w:noProof/>
          <w:sz w:val="24"/>
        </w:rPr>
        <w:t xml:space="preserve"> v </w:t>
      </w:r>
      <w:r w:rsidRPr="00AE6533">
        <w:rPr>
          <w:rFonts w:ascii="Times New Roman" w:hAnsi="Times New Roman"/>
          <w:noProof/>
          <w:sz w:val="24"/>
        </w:rPr>
        <w:t>sporoch proti obchodníkom</w:t>
      </w:r>
      <w:r w:rsidR="00AE6533">
        <w:rPr>
          <w:rFonts w:ascii="Times New Roman" w:hAnsi="Times New Roman"/>
          <w:noProof/>
          <w:sz w:val="24"/>
        </w:rPr>
        <w:t xml:space="preserve"> a </w:t>
      </w:r>
      <w:r w:rsidRPr="00AE6533">
        <w:rPr>
          <w:rFonts w:ascii="Times New Roman" w:hAnsi="Times New Roman"/>
          <w:noProof/>
          <w:sz w:val="24"/>
        </w:rPr>
        <w:t>zamestnávateľom so sídlom mimo EÚ. Okrem toho zmenou článku 20 ods. 1 sa zamestnancom umožnilo uplatňovať nároky voči viacerým zamestnávateľom podľa článku 8 ods. 1, čím sa upravilo stanovisko, ako bolo predtým formulované vo veci Glaxosmithkline (C-462/06)</w:t>
      </w:r>
      <w:r w:rsidR="0076116C" w:rsidRPr="00AE6533">
        <w:rPr>
          <w:rStyle w:val="FootnoteReference"/>
          <w:rFonts w:ascii="Times New Roman" w:hAnsi="Times New Roman" w:cs="Times New Roman"/>
          <w:noProof/>
          <w:sz w:val="24"/>
          <w:szCs w:val="24"/>
        </w:rPr>
        <w:footnoteReference w:id="34"/>
      </w:r>
      <w:r w:rsidR="00AE6533">
        <w:rPr>
          <w:rFonts w:ascii="Times New Roman" w:hAnsi="Times New Roman"/>
          <w:noProof/>
          <w:sz w:val="24"/>
        </w:rPr>
        <w:t>.</w:t>
      </w:r>
    </w:p>
    <w:p w14:paraId="24C0E4D3" w14:textId="3F3DB36E" w:rsidR="00AE6533" w:rsidRDefault="00F1240C" w:rsidP="005F08C5">
      <w:pPr>
        <w:spacing w:after="120" w:line="240" w:lineRule="auto"/>
        <w:jc w:val="both"/>
        <w:rPr>
          <w:rFonts w:ascii="Times New Roman" w:hAnsi="Times New Roman"/>
          <w:noProof/>
          <w:sz w:val="24"/>
        </w:rPr>
      </w:pPr>
      <w:r w:rsidRPr="00AE6533">
        <w:rPr>
          <w:rFonts w:ascii="Times New Roman" w:hAnsi="Times New Roman"/>
          <w:noProof/>
          <w:sz w:val="24"/>
        </w:rPr>
        <w:t>Normy právomoci</w:t>
      </w:r>
      <w:r w:rsidR="00AE6533">
        <w:rPr>
          <w:rFonts w:ascii="Times New Roman" w:hAnsi="Times New Roman"/>
          <w:noProof/>
          <w:sz w:val="24"/>
        </w:rPr>
        <w:t xml:space="preserve"> v </w:t>
      </w:r>
      <w:r w:rsidRPr="00AE6533">
        <w:rPr>
          <w:rFonts w:ascii="Times New Roman" w:hAnsi="Times New Roman"/>
          <w:noProof/>
          <w:sz w:val="24"/>
        </w:rPr>
        <w:t xml:space="preserve">záujme slabšej strany vo veciach spotrebiteľských zmlúv poskytujú spotrebiteľom možnosť voľby medzi </w:t>
      </w:r>
      <w:r w:rsidRPr="00AE6533">
        <w:rPr>
          <w:rFonts w:ascii="Times New Roman" w:hAnsi="Times New Roman"/>
          <w:i/>
          <w:noProof/>
          <w:sz w:val="24"/>
        </w:rPr>
        <w:t>forum rei</w:t>
      </w:r>
      <w:r w:rsidR="00AE6533">
        <w:rPr>
          <w:rFonts w:ascii="Times New Roman" w:hAnsi="Times New Roman"/>
          <w:noProof/>
          <w:sz w:val="24"/>
        </w:rPr>
        <w:t xml:space="preserve"> a </w:t>
      </w:r>
      <w:r w:rsidRPr="00AE6533">
        <w:rPr>
          <w:rFonts w:ascii="Times New Roman" w:hAnsi="Times New Roman"/>
          <w:i/>
          <w:noProof/>
          <w:sz w:val="24"/>
        </w:rPr>
        <w:t>forum actoris</w:t>
      </w:r>
      <w:r w:rsidR="00AE6533">
        <w:rPr>
          <w:rFonts w:ascii="Times New Roman" w:hAnsi="Times New Roman"/>
          <w:noProof/>
          <w:sz w:val="24"/>
        </w:rPr>
        <w:t xml:space="preserve"> v </w:t>
      </w:r>
      <w:r w:rsidRPr="00AE6533">
        <w:rPr>
          <w:rFonts w:ascii="Times New Roman" w:hAnsi="Times New Roman"/>
          <w:noProof/>
          <w:sz w:val="24"/>
        </w:rPr>
        <w:t>prípade spotrebiteľských zmlúv</w:t>
      </w:r>
      <w:r w:rsidR="00AE6533">
        <w:rPr>
          <w:rFonts w:ascii="Times New Roman" w:hAnsi="Times New Roman"/>
          <w:noProof/>
          <w:sz w:val="24"/>
        </w:rPr>
        <w:t xml:space="preserve"> v </w:t>
      </w:r>
      <w:r w:rsidRPr="00AE6533">
        <w:rPr>
          <w:rFonts w:ascii="Times New Roman" w:hAnsi="Times New Roman"/>
          <w:noProof/>
          <w:sz w:val="24"/>
        </w:rPr>
        <w:t>zmysle článku 17 nariadenia. Naopak článkom 18 ods. 2 sa možnosť žalovať spotrebiteľov obmedzuje výlučne na súdy</w:t>
      </w:r>
      <w:r w:rsidR="00AE6533">
        <w:rPr>
          <w:rFonts w:ascii="Times New Roman" w:hAnsi="Times New Roman"/>
          <w:noProof/>
          <w:sz w:val="24"/>
        </w:rPr>
        <w:t xml:space="preserve"> v </w:t>
      </w:r>
      <w:r w:rsidRPr="00AE6533">
        <w:rPr>
          <w:rFonts w:ascii="Times New Roman" w:hAnsi="Times New Roman"/>
          <w:noProof/>
          <w:sz w:val="24"/>
        </w:rPr>
        <w:t>mieste ich bydliska</w:t>
      </w:r>
      <w:r w:rsidR="00AE6533">
        <w:rPr>
          <w:rFonts w:ascii="Times New Roman" w:hAnsi="Times New Roman"/>
          <w:noProof/>
          <w:sz w:val="24"/>
        </w:rPr>
        <w:t>.</w:t>
      </w:r>
    </w:p>
    <w:p w14:paraId="6A4FBCE6" w14:textId="4CFB0648" w:rsidR="002849D9" w:rsidRPr="00AE6533" w:rsidRDefault="0076116C" w:rsidP="004B427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Podľa národných správ</w:t>
      </w:r>
      <w:r w:rsidR="00AE6533">
        <w:rPr>
          <w:rFonts w:ascii="Times New Roman" w:hAnsi="Times New Roman"/>
          <w:noProof/>
          <w:sz w:val="24"/>
        </w:rPr>
        <w:t xml:space="preserve"> v </w:t>
      </w:r>
      <w:r w:rsidRPr="00AE6533">
        <w:rPr>
          <w:rFonts w:ascii="Times New Roman" w:hAnsi="Times New Roman"/>
          <w:noProof/>
          <w:sz w:val="24"/>
        </w:rPr>
        <w:t>rámci projektu JUDGTRUST väčšina členských štátov konštatuje, že normami uvedenými</w:t>
      </w:r>
      <w:r w:rsidR="00AE6533">
        <w:rPr>
          <w:rFonts w:ascii="Times New Roman" w:hAnsi="Times New Roman"/>
          <w:noProof/>
          <w:sz w:val="24"/>
        </w:rPr>
        <w:t xml:space="preserve"> v </w:t>
      </w:r>
      <w:r w:rsidRPr="00AE6533">
        <w:rPr>
          <w:rFonts w:ascii="Times New Roman" w:hAnsi="Times New Roman"/>
          <w:noProof/>
          <w:sz w:val="24"/>
        </w:rPr>
        <w:t>nariadení sa zabezpečuje dostatočná úroveň ochrany spotrebiteľa, hoci podľa vedeckých poznatkov</w:t>
      </w:r>
      <w:r w:rsidR="00AE6533">
        <w:rPr>
          <w:rFonts w:ascii="Times New Roman" w:hAnsi="Times New Roman"/>
          <w:noProof/>
          <w:sz w:val="24"/>
        </w:rPr>
        <w:t xml:space="preserve"> v </w:t>
      </w:r>
      <w:r w:rsidRPr="00AE6533">
        <w:rPr>
          <w:rFonts w:ascii="Times New Roman" w:hAnsi="Times New Roman"/>
          <w:noProof/>
          <w:sz w:val="24"/>
        </w:rPr>
        <w:t>niektorých členských štátoch by sa táto úroveň mala ešte zvýšiť, napríklad rozšírením rozsahu pôsobnosti článkov 17 až 19 na nároky</w:t>
      </w:r>
      <w:r w:rsidR="00AE6533">
        <w:rPr>
          <w:rFonts w:ascii="Times New Roman" w:hAnsi="Times New Roman"/>
          <w:noProof/>
          <w:sz w:val="24"/>
        </w:rPr>
        <w:t xml:space="preserve"> z </w:t>
      </w:r>
      <w:r w:rsidRPr="00AE6533">
        <w:rPr>
          <w:rFonts w:ascii="Times New Roman" w:hAnsi="Times New Roman"/>
          <w:noProof/>
          <w:sz w:val="24"/>
        </w:rPr>
        <w:t>mimozmluvnej zodpovednosti, ktoré presahujú rámec nárokov neoddeliteľne spojených so zodpovednosťou zo zmluvy, ktorú spotrebiteľ</w:t>
      </w:r>
      <w:r w:rsidR="00AE6533">
        <w:rPr>
          <w:rFonts w:ascii="Times New Roman" w:hAnsi="Times New Roman"/>
          <w:noProof/>
          <w:sz w:val="24"/>
        </w:rPr>
        <w:t xml:space="preserve"> v </w:t>
      </w:r>
      <w:r w:rsidRPr="00AE6533">
        <w:rPr>
          <w:rFonts w:ascii="Times New Roman" w:hAnsi="Times New Roman"/>
          <w:noProof/>
          <w:sz w:val="24"/>
        </w:rPr>
        <w:t>skutočnosti uzavrel</w:t>
      </w:r>
      <w:r w:rsidR="00AE6533">
        <w:rPr>
          <w:rFonts w:ascii="Times New Roman" w:hAnsi="Times New Roman"/>
          <w:noProof/>
          <w:sz w:val="24"/>
        </w:rPr>
        <w:t xml:space="preserve"> s </w:t>
      </w:r>
      <w:r w:rsidRPr="00AE6533">
        <w:rPr>
          <w:rFonts w:ascii="Times New Roman" w:hAnsi="Times New Roman"/>
          <w:noProof/>
          <w:sz w:val="24"/>
        </w:rPr>
        <w:t>predávajúcim alebo dodávateľom.</w:t>
      </w:r>
    </w:p>
    <w:p w14:paraId="62B15B13" w14:textId="7DB5E654" w:rsidR="0076116C" w:rsidRPr="00AE6533" w:rsidRDefault="00E7376C" w:rsidP="004B427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Hlavné ťažkosti</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uplatňovaním noriem právomoci</w:t>
      </w:r>
      <w:r w:rsidR="00AE6533">
        <w:rPr>
          <w:rFonts w:ascii="Times New Roman" w:hAnsi="Times New Roman"/>
          <w:noProof/>
          <w:sz w:val="24"/>
        </w:rPr>
        <w:t xml:space="preserve"> v </w:t>
      </w:r>
      <w:r w:rsidRPr="00AE6533">
        <w:rPr>
          <w:rFonts w:ascii="Times New Roman" w:hAnsi="Times New Roman"/>
          <w:noProof/>
          <w:sz w:val="24"/>
        </w:rPr>
        <w:t>záujme slabšej strany vo veciach spotrebiteľských zmlúv sa týkajú:</w:t>
      </w:r>
    </w:p>
    <w:p w14:paraId="3EE59D3A" w14:textId="77777777" w:rsidR="00AE6533" w:rsidRDefault="0076116C" w:rsidP="00036D55">
      <w:pPr>
        <w:pStyle w:val="ListParagraph"/>
        <w:numPr>
          <w:ilvl w:val="0"/>
          <w:numId w:val="15"/>
        </w:numPr>
        <w:spacing w:after="120" w:line="240" w:lineRule="auto"/>
        <w:contextualSpacing w:val="0"/>
        <w:jc w:val="both"/>
        <w:rPr>
          <w:rFonts w:ascii="Times New Roman" w:hAnsi="Times New Roman"/>
          <w:noProof/>
          <w:sz w:val="24"/>
        </w:rPr>
      </w:pPr>
      <w:r w:rsidRPr="00AE6533">
        <w:rPr>
          <w:rFonts w:ascii="Times New Roman" w:hAnsi="Times New Roman"/>
          <w:noProof/>
          <w:sz w:val="24"/>
        </w:rPr>
        <w:t>pojmu „spotrebiteľ“,</w:t>
      </w:r>
    </w:p>
    <w:p w14:paraId="2BAAE61B" w14:textId="77777777" w:rsidR="00AE6533" w:rsidRDefault="0076116C" w:rsidP="00036D55">
      <w:pPr>
        <w:pStyle w:val="ListParagraph"/>
        <w:numPr>
          <w:ilvl w:val="0"/>
          <w:numId w:val="15"/>
        </w:numPr>
        <w:spacing w:after="120" w:line="240" w:lineRule="auto"/>
        <w:contextualSpacing w:val="0"/>
        <w:jc w:val="both"/>
        <w:rPr>
          <w:rFonts w:ascii="Times New Roman" w:hAnsi="Times New Roman"/>
          <w:noProof/>
          <w:sz w:val="24"/>
        </w:rPr>
      </w:pPr>
      <w:r w:rsidRPr="00AE6533">
        <w:rPr>
          <w:rFonts w:ascii="Times New Roman" w:hAnsi="Times New Roman"/>
          <w:noProof/>
          <w:sz w:val="24"/>
        </w:rPr>
        <w:t>pojmu „smerovanie obchodnej činnosti“,</w:t>
      </w:r>
    </w:p>
    <w:p w14:paraId="0099E09C" w14:textId="77777777" w:rsidR="00AE6533" w:rsidRDefault="0076116C" w:rsidP="00036D55">
      <w:pPr>
        <w:pStyle w:val="ListParagraph"/>
        <w:numPr>
          <w:ilvl w:val="0"/>
          <w:numId w:val="15"/>
        </w:numPr>
        <w:spacing w:after="120" w:line="240" w:lineRule="auto"/>
        <w:contextualSpacing w:val="0"/>
        <w:jc w:val="both"/>
        <w:rPr>
          <w:rFonts w:ascii="Times New Roman" w:hAnsi="Times New Roman"/>
          <w:noProof/>
          <w:sz w:val="24"/>
        </w:rPr>
      </w:pPr>
      <w:r w:rsidRPr="00AE6533">
        <w:rPr>
          <w:rFonts w:ascii="Times New Roman" w:hAnsi="Times New Roman"/>
          <w:noProof/>
          <w:sz w:val="24"/>
        </w:rPr>
        <w:t>vylúčenia prepravných zmlúv</w:t>
      </w:r>
      <w:r w:rsidR="00AE6533">
        <w:rPr>
          <w:rFonts w:ascii="Times New Roman" w:hAnsi="Times New Roman"/>
          <w:noProof/>
          <w:sz w:val="24"/>
        </w:rPr>
        <w:t xml:space="preserve"> v </w:t>
      </w:r>
      <w:r w:rsidRPr="00AE6533">
        <w:rPr>
          <w:rFonts w:ascii="Times New Roman" w:hAnsi="Times New Roman"/>
          <w:noProof/>
          <w:sz w:val="24"/>
        </w:rPr>
        <w:t>článku 17 ods. 3,</w:t>
      </w:r>
    </w:p>
    <w:p w14:paraId="100EA8A3" w14:textId="564A6F3A" w:rsidR="002849D9" w:rsidRPr="00AE6533" w:rsidRDefault="0076116C" w:rsidP="00036D55">
      <w:pPr>
        <w:pStyle w:val="ListParagraph"/>
        <w:numPr>
          <w:ilvl w:val="0"/>
          <w:numId w:val="15"/>
        </w:numPr>
        <w:spacing w:after="120" w:line="240" w:lineRule="auto"/>
        <w:contextualSpacing w:val="0"/>
        <w:jc w:val="both"/>
        <w:rPr>
          <w:rFonts w:ascii="Times New Roman" w:hAnsi="Times New Roman" w:cs="Times New Roman"/>
          <w:noProof/>
          <w:sz w:val="24"/>
          <w:szCs w:val="24"/>
        </w:rPr>
      </w:pPr>
      <w:r w:rsidRPr="00AE6533">
        <w:rPr>
          <w:rFonts w:ascii="Times New Roman" w:hAnsi="Times New Roman"/>
          <w:noProof/>
          <w:sz w:val="24"/>
        </w:rPr>
        <w:t>neuplatniteľnosti noriem právomoci</w:t>
      </w:r>
      <w:r w:rsidR="00AE6533">
        <w:rPr>
          <w:rFonts w:ascii="Times New Roman" w:hAnsi="Times New Roman"/>
          <w:noProof/>
          <w:sz w:val="24"/>
        </w:rPr>
        <w:t xml:space="preserve"> v </w:t>
      </w:r>
      <w:r w:rsidRPr="00AE6533">
        <w:rPr>
          <w:rFonts w:ascii="Times New Roman" w:hAnsi="Times New Roman"/>
          <w:noProof/>
          <w:sz w:val="24"/>
        </w:rPr>
        <w:t>prípade žalôb na účely kolektívneho uplatňovania nárokov na nápravu</w:t>
      </w:r>
      <w:r w:rsidR="00C63056" w:rsidRPr="00AE6533">
        <w:rPr>
          <w:rStyle w:val="FootnoteReference"/>
          <w:rFonts w:ascii="Times New Roman" w:hAnsi="Times New Roman" w:cs="Times New Roman"/>
          <w:noProof/>
          <w:sz w:val="24"/>
          <w:szCs w:val="24"/>
        </w:rPr>
        <w:footnoteReference w:id="35"/>
      </w:r>
      <w:r w:rsidRPr="00AE6533">
        <w:rPr>
          <w:rFonts w:ascii="Times New Roman" w:hAnsi="Times New Roman"/>
          <w:noProof/>
          <w:sz w:val="24"/>
        </w:rPr>
        <w:t>.</w:t>
      </w:r>
    </w:p>
    <w:p w14:paraId="76AAFE0C" w14:textId="10E497D4" w:rsidR="002849D9" w:rsidRPr="00AE6533" w:rsidRDefault="0030149D" w:rsidP="00CC2866">
      <w:pPr>
        <w:numPr>
          <w:ilvl w:val="0"/>
          <w:numId w:val="2"/>
        </w:numPr>
        <w:tabs>
          <w:tab w:val="left" w:pos="360"/>
        </w:tabs>
        <w:spacing w:before="120" w:after="120" w:line="240" w:lineRule="auto"/>
        <w:ind w:left="720" w:hanging="480"/>
        <w:jc w:val="both"/>
        <w:rPr>
          <w:rFonts w:ascii="Times New Roman" w:hAnsi="Times New Roman" w:cs="Times New Roman"/>
          <w:i/>
          <w:iCs/>
          <w:noProof/>
          <w:sz w:val="24"/>
          <w:szCs w:val="24"/>
        </w:rPr>
      </w:pPr>
      <w:r w:rsidRPr="00AE6533">
        <w:rPr>
          <w:rFonts w:ascii="Times New Roman" w:hAnsi="Times New Roman"/>
          <w:i/>
          <w:noProof/>
          <w:sz w:val="24"/>
        </w:rPr>
        <w:t>Pojem „spotrebiteľ“</w:t>
      </w:r>
      <w:r w:rsidR="00AE6533">
        <w:rPr>
          <w:rFonts w:ascii="Times New Roman" w:hAnsi="Times New Roman"/>
          <w:i/>
          <w:noProof/>
          <w:sz w:val="24"/>
        </w:rPr>
        <w:t xml:space="preserve"> a </w:t>
      </w:r>
      <w:r w:rsidRPr="00AE6533">
        <w:rPr>
          <w:rFonts w:ascii="Times New Roman" w:hAnsi="Times New Roman"/>
          <w:i/>
          <w:noProof/>
          <w:sz w:val="24"/>
        </w:rPr>
        <w:t>dôsledky zmeny bydliska spotrebiteľa</w:t>
      </w:r>
    </w:p>
    <w:p w14:paraId="03BFC1CD" w14:textId="05B3F989" w:rsidR="007370D8" w:rsidRPr="00AE6533" w:rsidRDefault="00A87B54" w:rsidP="007370D8">
      <w:pPr>
        <w:widowControl w:val="0"/>
        <w:suppressAutoHyphens/>
        <w:spacing w:before="120" w:after="120"/>
        <w:jc w:val="both"/>
        <w:rPr>
          <w:rFonts w:ascii="Times New Roman" w:hAnsi="Times New Roman" w:cs="Times New Roman"/>
          <w:noProof/>
          <w:sz w:val="24"/>
          <w:szCs w:val="24"/>
        </w:rPr>
      </w:pPr>
      <w:r w:rsidRPr="00AE6533">
        <w:rPr>
          <w:rFonts w:ascii="Times New Roman" w:hAnsi="Times New Roman"/>
          <w:noProof/>
          <w:sz w:val="24"/>
        </w:rPr>
        <w:t>Štúdia poukázala na problémy spojené</w:t>
      </w:r>
      <w:r w:rsidR="00AE6533">
        <w:rPr>
          <w:rFonts w:ascii="Times New Roman" w:hAnsi="Times New Roman"/>
          <w:noProof/>
          <w:sz w:val="24"/>
        </w:rPr>
        <w:t xml:space="preserve"> s </w:t>
      </w:r>
      <w:r w:rsidRPr="00AE6533">
        <w:rPr>
          <w:rFonts w:ascii="Times New Roman" w:hAnsi="Times New Roman"/>
          <w:noProof/>
          <w:sz w:val="24"/>
        </w:rPr>
        <w:t>klasifikáciou osoby ako spotrebiteľa.</w:t>
      </w:r>
    </w:p>
    <w:p w14:paraId="5DC9B257" w14:textId="1C5C453A" w:rsidR="005A54FC" w:rsidRPr="00AE6533" w:rsidRDefault="003D4D2C" w:rsidP="004B427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Súdny dvor Európskej únie spravidla vykladá pojem „spotrebiteľ“ reštriktívne</w:t>
      </w:r>
      <w:r w:rsidR="00AE6533">
        <w:rPr>
          <w:rFonts w:ascii="Times New Roman" w:hAnsi="Times New Roman"/>
          <w:noProof/>
          <w:sz w:val="24"/>
        </w:rPr>
        <w:t xml:space="preserve"> a </w:t>
      </w:r>
      <w:r w:rsidRPr="00AE6533">
        <w:rPr>
          <w:rFonts w:ascii="Times New Roman" w:hAnsi="Times New Roman"/>
          <w:noProof/>
          <w:sz w:val="24"/>
        </w:rPr>
        <w:t>vymedzuje ho</w:t>
      </w:r>
      <w:r w:rsidR="00AE6533">
        <w:rPr>
          <w:rFonts w:ascii="Times New Roman" w:hAnsi="Times New Roman"/>
          <w:noProof/>
          <w:sz w:val="24"/>
        </w:rPr>
        <w:t xml:space="preserve"> v </w:t>
      </w:r>
      <w:r w:rsidRPr="00AE6533">
        <w:rPr>
          <w:rFonts w:ascii="Times New Roman" w:hAnsi="Times New Roman"/>
          <w:noProof/>
          <w:sz w:val="24"/>
          <w:shd w:val="clear" w:color="auto" w:fill="FFFFFF"/>
        </w:rPr>
        <w:t>protiklade</w:t>
      </w:r>
      <w:r w:rsidR="00AE6533">
        <w:rPr>
          <w:rFonts w:ascii="Times New Roman" w:hAnsi="Times New Roman"/>
          <w:noProof/>
          <w:sz w:val="24"/>
          <w:shd w:val="clear" w:color="auto" w:fill="FFFFFF"/>
        </w:rPr>
        <w:t xml:space="preserve"> k </w:t>
      </w:r>
      <w:r w:rsidRPr="00AE6533">
        <w:rPr>
          <w:rFonts w:ascii="Times New Roman" w:hAnsi="Times New Roman"/>
          <w:noProof/>
          <w:sz w:val="24"/>
          <w:shd w:val="clear" w:color="auto" w:fill="FFFFFF"/>
        </w:rPr>
        <w:t>„hospodárskemu subjektu“ (profesionálovi)</w:t>
      </w:r>
      <w:r w:rsidR="00A87B54" w:rsidRPr="00AE6533">
        <w:rPr>
          <w:rStyle w:val="FootnoteReference"/>
          <w:rFonts w:ascii="Times New Roman" w:hAnsi="Times New Roman" w:cs="Times New Roman"/>
          <w:noProof/>
          <w:sz w:val="24"/>
          <w:szCs w:val="24"/>
          <w:shd w:val="clear" w:color="auto" w:fill="FFFFFF"/>
        </w:rPr>
        <w:footnoteReference w:id="36"/>
      </w:r>
      <w:r w:rsidRPr="00AE6533">
        <w:rPr>
          <w:rFonts w:ascii="Times New Roman" w:hAnsi="Times New Roman"/>
          <w:noProof/>
          <w:sz w:val="24"/>
        </w:rPr>
        <w:t>. Napriek tomu sa zdá, že</w:t>
      </w:r>
      <w:r w:rsidR="00AE6533">
        <w:rPr>
          <w:rFonts w:ascii="Times New Roman" w:hAnsi="Times New Roman"/>
          <w:noProof/>
          <w:sz w:val="24"/>
        </w:rPr>
        <w:t xml:space="preserve"> v </w:t>
      </w:r>
      <w:r w:rsidRPr="00AE6533">
        <w:rPr>
          <w:rFonts w:ascii="Times New Roman" w:hAnsi="Times New Roman"/>
          <w:noProof/>
          <w:sz w:val="24"/>
        </w:rPr>
        <w:t>niektorých prípadoch Súdny dvor Európskej únie prijal</w:t>
      </w:r>
      <w:r w:rsidR="00AE6533">
        <w:rPr>
          <w:rFonts w:ascii="Times New Roman" w:hAnsi="Times New Roman"/>
          <w:noProof/>
          <w:sz w:val="24"/>
        </w:rPr>
        <w:t xml:space="preserve"> o </w:t>
      </w:r>
      <w:r w:rsidRPr="00AE6533">
        <w:rPr>
          <w:rFonts w:ascii="Times New Roman" w:hAnsi="Times New Roman"/>
          <w:noProof/>
          <w:sz w:val="24"/>
        </w:rPr>
        <w:t>niečo širší výklad. Napríklad vo veci Petruchová</w:t>
      </w:r>
      <w:r w:rsidRPr="00AE6533">
        <w:rPr>
          <w:rFonts w:ascii="Times New Roman" w:hAnsi="Times New Roman"/>
          <w:noProof/>
          <w:color w:val="333333"/>
          <w:sz w:val="24"/>
          <w:shd w:val="clear" w:color="auto" w:fill="FFFFFF"/>
        </w:rPr>
        <w:t xml:space="preserve"> </w:t>
      </w:r>
      <w:r w:rsidRPr="00AE6533">
        <w:rPr>
          <w:rFonts w:ascii="Times New Roman" w:hAnsi="Times New Roman"/>
          <w:noProof/>
          <w:sz w:val="24"/>
        </w:rPr>
        <w:t>(C-218/18) Súdny dvor Európskej únie dospel</w:t>
      </w:r>
      <w:r w:rsidR="00AE6533">
        <w:rPr>
          <w:rFonts w:ascii="Times New Roman" w:hAnsi="Times New Roman"/>
          <w:noProof/>
          <w:sz w:val="24"/>
        </w:rPr>
        <w:t xml:space="preserve"> v </w:t>
      </w:r>
      <w:r w:rsidRPr="00AE6533">
        <w:rPr>
          <w:rFonts w:ascii="Times New Roman" w:hAnsi="Times New Roman"/>
          <w:noProof/>
          <w:sz w:val="24"/>
        </w:rPr>
        <w:t>prípade online investícií</w:t>
      </w:r>
      <w:r w:rsidR="00AE6533">
        <w:rPr>
          <w:rFonts w:ascii="Times New Roman" w:hAnsi="Times New Roman"/>
          <w:noProof/>
          <w:sz w:val="24"/>
        </w:rPr>
        <w:t xml:space="preserve"> k </w:t>
      </w:r>
      <w:r w:rsidRPr="00AE6533">
        <w:rPr>
          <w:rFonts w:ascii="Times New Roman" w:hAnsi="Times New Roman"/>
          <w:noProof/>
          <w:sz w:val="24"/>
        </w:rPr>
        <w:t>záveru, že samotné finančné znalosti nevylučujú postavenie spotrebiteľa. Podobne vo veci Personal Exchange International (C-774/19) sa hráč online pokru považoval za spotrebiteľa napriek tomu, že hral hru veľký počet hodín denne</w:t>
      </w:r>
      <w:r w:rsidR="00AE6533">
        <w:rPr>
          <w:rFonts w:ascii="Times New Roman" w:hAnsi="Times New Roman"/>
          <w:noProof/>
          <w:sz w:val="24"/>
        </w:rPr>
        <w:t xml:space="preserve"> a </w:t>
      </w:r>
      <w:r w:rsidRPr="00AE6533">
        <w:rPr>
          <w:rFonts w:ascii="Times New Roman" w:hAnsi="Times New Roman"/>
          <w:noProof/>
          <w:sz w:val="24"/>
        </w:rPr>
        <w:t>získaval značné výhry, pokiaľ nemal takúto činnosť formálne registrovanú ani ju neponúkal tretím stranám ako platenú službu. Vo veci Schrems (C-498/16) Súdny dvor Európskej únie rozhodol, že zmena použitia facebookového účtu</w:t>
      </w:r>
      <w:r w:rsidR="00AE6533">
        <w:rPr>
          <w:rFonts w:ascii="Times New Roman" w:hAnsi="Times New Roman"/>
          <w:noProof/>
          <w:sz w:val="24"/>
        </w:rPr>
        <w:t xml:space="preserve"> z </w:t>
      </w:r>
      <w:r w:rsidRPr="00AE6533">
        <w:rPr>
          <w:rFonts w:ascii="Times New Roman" w:hAnsi="Times New Roman"/>
          <w:noProof/>
          <w:sz w:val="24"/>
        </w:rPr>
        <w:t>výlučne súkromných účelov čiastočne na výkon podnikania alebo povolania nemá za následok stratu postavenia „spotrebiteľa“</w:t>
      </w:r>
      <w:r w:rsidR="00AE6533">
        <w:rPr>
          <w:rFonts w:ascii="Times New Roman" w:hAnsi="Times New Roman"/>
          <w:noProof/>
          <w:sz w:val="24"/>
        </w:rPr>
        <w:t xml:space="preserve"> v </w:t>
      </w:r>
      <w:r w:rsidRPr="00AE6533">
        <w:rPr>
          <w:rFonts w:ascii="Times New Roman" w:hAnsi="Times New Roman"/>
          <w:noProof/>
          <w:sz w:val="24"/>
        </w:rPr>
        <w:t xml:space="preserve">zmysle nariadenia za predpokladu, že </w:t>
      </w:r>
      <w:r w:rsidRPr="00AE6533">
        <w:rPr>
          <w:rFonts w:ascii="Times New Roman" w:hAnsi="Times New Roman"/>
          <w:noProof/>
          <w:sz w:val="24"/>
          <w:shd w:val="clear" w:color="auto" w:fill="FFFFFF"/>
        </w:rPr>
        <w:t>používanie týchto služieb najmä na súkromné účely, na ktoré žalobca pôvodne uzavrel zmluvu, nenadobudlo následne povahu</w:t>
      </w:r>
      <w:r w:rsidR="00AE6533">
        <w:rPr>
          <w:rFonts w:ascii="Times New Roman" w:hAnsi="Times New Roman"/>
          <w:noProof/>
          <w:sz w:val="24"/>
          <w:shd w:val="clear" w:color="auto" w:fill="FFFFFF"/>
        </w:rPr>
        <w:t xml:space="preserve"> v </w:t>
      </w:r>
      <w:r w:rsidRPr="00AE6533">
        <w:rPr>
          <w:rFonts w:ascii="Times New Roman" w:hAnsi="Times New Roman"/>
          <w:noProof/>
          <w:sz w:val="24"/>
          <w:shd w:val="clear" w:color="auto" w:fill="FFFFFF"/>
        </w:rPr>
        <w:t>podstate výkonu podnikania alebo povolania</w:t>
      </w:r>
      <w:r w:rsidRPr="00AE6533">
        <w:rPr>
          <w:rFonts w:ascii="Times New Roman" w:hAnsi="Times New Roman"/>
          <w:noProof/>
          <w:sz w:val="24"/>
        </w:rPr>
        <w:t>. Konkrétne Súdny dvor rozhodol, že</w:t>
      </w:r>
      <w:r w:rsidRPr="00AE6533">
        <w:rPr>
          <w:rFonts w:ascii="Times New Roman" w:hAnsi="Times New Roman"/>
          <w:noProof/>
          <w:sz w:val="24"/>
          <w:shd w:val="clear" w:color="auto" w:fill="FFFFFF"/>
        </w:rPr>
        <w:t xml:space="preserve"> používateľ súkromného facebookového účtu nestráca postavenie „spotrebiteľa“, keď vydáva knihy, prednáša, prevádzkuje internetové stránky, zbiera finančné príspevky</w:t>
      </w:r>
      <w:r w:rsidR="00AE6533">
        <w:rPr>
          <w:rFonts w:ascii="Times New Roman" w:hAnsi="Times New Roman"/>
          <w:noProof/>
          <w:sz w:val="24"/>
          <w:shd w:val="clear" w:color="auto" w:fill="FFFFFF"/>
        </w:rPr>
        <w:t xml:space="preserve"> a </w:t>
      </w:r>
      <w:r w:rsidRPr="00AE6533">
        <w:rPr>
          <w:rFonts w:ascii="Times New Roman" w:hAnsi="Times New Roman"/>
          <w:noProof/>
          <w:sz w:val="24"/>
          <w:shd w:val="clear" w:color="auto" w:fill="FFFFFF"/>
        </w:rPr>
        <w:t>nechá si postúpiť nároky viacerých spotrebiteľov na účely ich uplatnenia na súde.</w:t>
      </w:r>
    </w:p>
    <w:p w14:paraId="131DD989" w14:textId="57C75A04" w:rsidR="00E82A5C" w:rsidRPr="00AE6533" w:rsidRDefault="00E82A5C" w:rsidP="00036D55">
      <w:pPr>
        <w:spacing w:after="120" w:line="240" w:lineRule="auto"/>
        <w:jc w:val="both"/>
        <w:rPr>
          <w:rFonts w:ascii="Times New Roman" w:eastAsia="Times New Roman" w:hAnsi="Times New Roman" w:cs="Times New Roman"/>
          <w:noProof/>
          <w:color w:val="000000"/>
          <w:kern w:val="0"/>
          <w:sz w:val="24"/>
          <w:szCs w:val="24"/>
          <w14:ligatures w14:val="none"/>
        </w:rPr>
      </w:pPr>
      <w:r w:rsidRPr="00AE6533">
        <w:rPr>
          <w:rFonts w:ascii="Times New Roman" w:hAnsi="Times New Roman"/>
          <w:noProof/>
          <w:sz w:val="24"/>
        </w:rPr>
        <w:t xml:space="preserve">Naproti tomu vo veci </w:t>
      </w:r>
      <w:r w:rsidRPr="00AE6533">
        <w:rPr>
          <w:rFonts w:ascii="Times New Roman" w:hAnsi="Times New Roman"/>
          <w:noProof/>
          <w:color w:val="000000"/>
          <w:sz w:val="24"/>
        </w:rPr>
        <w:t>Wurth Automotive GmbH (C-177/22) vychádzal Súdny dvor Európskej únie zo svojho skoršieho rozsudku vo veci Gruber (C-464/01)</w:t>
      </w:r>
      <w:r w:rsidR="00AE6533">
        <w:rPr>
          <w:rFonts w:ascii="Times New Roman" w:hAnsi="Times New Roman"/>
          <w:noProof/>
          <w:color w:val="000000"/>
          <w:sz w:val="24"/>
        </w:rPr>
        <w:t xml:space="preserve"> a </w:t>
      </w:r>
      <w:r w:rsidRPr="00AE6533">
        <w:rPr>
          <w:rFonts w:ascii="Times New Roman" w:hAnsi="Times New Roman"/>
          <w:noProof/>
          <w:color w:val="000000"/>
          <w:sz w:val="24"/>
        </w:rPr>
        <w:t>rozhodol, že pri určovaní, či osobu možno považovať za spotrebiteľa, možno zohľadniť aj to, či osoba, ktorá je zákazníkom, svojím vlastným správaním voči svojmu zmluvnému partnerovi</w:t>
      </w:r>
      <w:r w:rsidR="00AE6533">
        <w:rPr>
          <w:rFonts w:ascii="Times New Roman" w:hAnsi="Times New Roman"/>
          <w:noProof/>
          <w:color w:val="000000"/>
          <w:sz w:val="24"/>
        </w:rPr>
        <w:t xml:space="preserve"> v </w:t>
      </w:r>
      <w:r w:rsidRPr="00AE6533">
        <w:rPr>
          <w:rFonts w:ascii="Times New Roman" w:hAnsi="Times New Roman"/>
          <w:noProof/>
          <w:color w:val="000000"/>
          <w:sz w:val="24"/>
        </w:rPr>
        <w:t>skutočnosti vyvolala dojem, že konala na podnikateľské účely,</w:t>
      </w:r>
      <w:r w:rsidR="00AE6533">
        <w:rPr>
          <w:rFonts w:ascii="Times New Roman" w:hAnsi="Times New Roman"/>
          <w:noProof/>
          <w:color w:val="000000"/>
          <w:sz w:val="24"/>
        </w:rPr>
        <w:t xml:space="preserve"> a </w:t>
      </w:r>
      <w:r w:rsidRPr="00AE6533">
        <w:rPr>
          <w:rFonts w:ascii="Times New Roman" w:hAnsi="Times New Roman"/>
          <w:noProof/>
          <w:color w:val="000000"/>
          <w:sz w:val="24"/>
        </w:rPr>
        <w:t>tak zmluvný partner mohol oprávnene prehliadnuť nepodnikateľský účel predmetného plnenia.</w:t>
      </w:r>
      <w:r w:rsidR="00AE6533">
        <w:rPr>
          <w:rFonts w:ascii="Times New Roman" w:hAnsi="Times New Roman"/>
          <w:noProof/>
          <w:color w:val="000000"/>
          <w:sz w:val="24"/>
        </w:rPr>
        <w:t xml:space="preserve"> V </w:t>
      </w:r>
      <w:r w:rsidRPr="00AE6533">
        <w:rPr>
          <w:rFonts w:ascii="Times New Roman" w:hAnsi="Times New Roman"/>
          <w:noProof/>
          <w:color w:val="000000"/>
          <w:sz w:val="24"/>
        </w:rPr>
        <w:t>takom prípade by sa napriek objektívnej existencii spotrebiteľskej zmluvy neuplatnili osobitné normy právomoci vo veciach týkajúcich sa spotrebiteľských zmlúv.</w:t>
      </w:r>
    </w:p>
    <w:p w14:paraId="77F0FE64" w14:textId="0F4E397A" w:rsidR="002849D9" w:rsidRPr="00AE6533" w:rsidRDefault="0030149D" w:rsidP="00CC2866">
      <w:pPr>
        <w:pStyle w:val="ListParagraph"/>
        <w:numPr>
          <w:ilvl w:val="0"/>
          <w:numId w:val="2"/>
        </w:numPr>
        <w:spacing w:after="120" w:line="240" w:lineRule="auto"/>
        <w:ind w:left="720" w:hanging="480"/>
        <w:jc w:val="both"/>
        <w:rPr>
          <w:rFonts w:ascii="Times New Roman" w:hAnsi="Times New Roman" w:cs="Times New Roman"/>
          <w:i/>
          <w:iCs/>
          <w:noProof/>
          <w:sz w:val="24"/>
          <w:szCs w:val="24"/>
        </w:rPr>
      </w:pPr>
      <w:r w:rsidRPr="00AE6533">
        <w:rPr>
          <w:rFonts w:ascii="Times New Roman" w:hAnsi="Times New Roman"/>
          <w:i/>
          <w:noProof/>
          <w:sz w:val="24"/>
        </w:rPr>
        <w:t>Pojem „smerovanie obchodnej činnosti“</w:t>
      </w:r>
    </w:p>
    <w:p w14:paraId="6EB8C627" w14:textId="2DB87EE3" w:rsidR="008D0E61" w:rsidRPr="00691FFB" w:rsidRDefault="00D63FFA" w:rsidP="004A14DA">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Súdny dvor Európskej únie rozhodol vo veciach Pammer (C-585/08)</w:t>
      </w:r>
      <w:r w:rsidR="00AE6533" w:rsidRPr="00691FFB">
        <w:rPr>
          <w:rFonts w:ascii="Times New Roman" w:hAnsi="Times New Roman"/>
          <w:noProof/>
          <w:spacing w:val="-4"/>
          <w:sz w:val="24"/>
        </w:rPr>
        <w:t xml:space="preserve"> a </w:t>
      </w:r>
      <w:r w:rsidRPr="00691FFB">
        <w:rPr>
          <w:rFonts w:ascii="Times New Roman" w:hAnsi="Times New Roman"/>
          <w:noProof/>
          <w:color w:val="000000"/>
          <w:spacing w:val="-4"/>
          <w:sz w:val="24"/>
        </w:rPr>
        <w:t>Hotel Alpenhof</w:t>
      </w:r>
      <w:r w:rsidR="00AE6533" w:rsidRPr="00691FFB">
        <w:rPr>
          <w:rFonts w:ascii="Times New Roman" w:hAnsi="Times New Roman"/>
          <w:noProof/>
          <w:color w:val="000000"/>
          <w:spacing w:val="-4"/>
          <w:sz w:val="24"/>
        </w:rPr>
        <w:t xml:space="preserve"> </w:t>
      </w:r>
      <w:r w:rsidRPr="00691FFB">
        <w:rPr>
          <w:rFonts w:ascii="Times New Roman" w:hAnsi="Times New Roman"/>
          <w:noProof/>
          <w:color w:val="333333"/>
          <w:spacing w:val="-4"/>
          <w:sz w:val="24"/>
          <w:shd w:val="clear" w:color="auto" w:fill="FFFFFF"/>
        </w:rPr>
        <w:t>(C-144/09)</w:t>
      </w:r>
      <w:r w:rsidRPr="00691FFB">
        <w:rPr>
          <w:rFonts w:ascii="Times New Roman" w:hAnsi="Times New Roman"/>
          <w:noProof/>
          <w:spacing w:val="-4"/>
          <w:sz w:val="24"/>
        </w:rPr>
        <w:t xml:space="preserve">, že medzi </w:t>
      </w:r>
      <w:r w:rsidRPr="00691FFB">
        <w:rPr>
          <w:rFonts w:ascii="Times New Roman" w:hAnsi="Times New Roman"/>
          <w:noProof/>
          <w:color w:val="000000"/>
          <w:spacing w:val="-4"/>
          <w:sz w:val="24"/>
        </w:rPr>
        <w:t>kritériá na určenie toho, či je činnosť smerovaná do členského štátu bydliska spotrebiteľa</w:t>
      </w:r>
      <w:r w:rsidRPr="00691FFB">
        <w:rPr>
          <w:rFonts w:ascii="Times New Roman" w:hAnsi="Times New Roman"/>
          <w:noProof/>
          <w:spacing w:val="-4"/>
          <w:sz w:val="24"/>
        </w:rPr>
        <w:t xml:space="preserve">, patria </w:t>
      </w:r>
      <w:r w:rsidRPr="00691FFB">
        <w:rPr>
          <w:rFonts w:ascii="Times New Roman" w:hAnsi="Times New Roman"/>
          <w:noProof/>
          <w:color w:val="333333"/>
          <w:spacing w:val="-4"/>
          <w:sz w:val="24"/>
          <w:shd w:val="clear" w:color="auto" w:fill="FFFFFF"/>
        </w:rPr>
        <w:t>„všetky výslovné prejavy vôle oslovovať spotrebiteľov</w:t>
      </w:r>
      <w:r w:rsidR="00AE6533" w:rsidRPr="00691FFB">
        <w:rPr>
          <w:rFonts w:ascii="Times New Roman" w:hAnsi="Times New Roman"/>
          <w:noProof/>
          <w:color w:val="333333"/>
          <w:spacing w:val="-4"/>
          <w:sz w:val="24"/>
          <w:shd w:val="clear" w:color="auto" w:fill="FFFFFF"/>
        </w:rPr>
        <w:t xml:space="preserve"> z </w:t>
      </w:r>
      <w:r w:rsidRPr="00691FFB">
        <w:rPr>
          <w:rFonts w:ascii="Times New Roman" w:hAnsi="Times New Roman"/>
          <w:noProof/>
          <w:color w:val="333333"/>
          <w:spacing w:val="-4"/>
          <w:sz w:val="24"/>
          <w:shd w:val="clear" w:color="auto" w:fill="FFFFFF"/>
        </w:rPr>
        <w:t>tohto členského štátu“</w:t>
      </w:r>
      <w:r w:rsidR="00AE6533" w:rsidRPr="00691FFB">
        <w:rPr>
          <w:rFonts w:ascii="Times New Roman" w:hAnsi="Times New Roman"/>
          <w:noProof/>
          <w:color w:val="333333"/>
          <w:spacing w:val="-4"/>
          <w:sz w:val="24"/>
          <w:shd w:val="clear" w:color="auto" w:fill="FFFFFF"/>
        </w:rPr>
        <w:t xml:space="preserve"> a </w:t>
      </w:r>
      <w:r w:rsidRPr="00691FFB">
        <w:rPr>
          <w:rFonts w:ascii="Times New Roman" w:hAnsi="Times New Roman"/>
          <w:noProof/>
          <w:spacing w:val="-4"/>
          <w:sz w:val="24"/>
        </w:rPr>
        <w:t>pomerne rozsiahly neúplný zoznam okolností, na ktoré možno na tento účel prihliadať</w:t>
      </w:r>
      <w:r w:rsidR="00120D6E" w:rsidRPr="00691FFB">
        <w:rPr>
          <w:rStyle w:val="FootnoteReference"/>
          <w:rFonts w:ascii="Times New Roman" w:hAnsi="Times New Roman" w:cs="Times New Roman"/>
          <w:noProof/>
          <w:spacing w:val="-4"/>
          <w:sz w:val="24"/>
          <w:szCs w:val="24"/>
        </w:rPr>
        <w:footnoteReference w:id="37"/>
      </w:r>
      <w:r w:rsidRPr="00691FFB">
        <w:rPr>
          <w:rFonts w:ascii="Times New Roman" w:hAnsi="Times New Roman"/>
          <w:noProof/>
          <w:spacing w:val="-4"/>
          <w:sz w:val="24"/>
        </w:rPr>
        <w:t>. Medzi tieto okolnosti patrí</w:t>
      </w:r>
      <w:r w:rsidRPr="00691FFB">
        <w:rPr>
          <w:rFonts w:ascii="Times New Roman" w:hAnsi="Times New Roman"/>
          <w:noProof/>
          <w:spacing w:val="-4"/>
          <w:sz w:val="24"/>
          <w:shd w:val="clear" w:color="auto" w:fill="FFFFFF"/>
        </w:rPr>
        <w:t xml:space="preserve"> medzinárodná povaha predmetnej činnosti, ako sú určité činnosti</w:t>
      </w:r>
      <w:r w:rsidR="00AE6533" w:rsidRPr="00691FFB">
        <w:rPr>
          <w:rFonts w:ascii="Times New Roman" w:hAnsi="Times New Roman"/>
          <w:noProof/>
          <w:spacing w:val="-4"/>
          <w:sz w:val="24"/>
          <w:shd w:val="clear" w:color="auto" w:fill="FFFFFF"/>
        </w:rPr>
        <w:t xml:space="preserve"> v </w:t>
      </w:r>
      <w:r w:rsidRPr="00691FFB">
        <w:rPr>
          <w:rFonts w:ascii="Times New Roman" w:hAnsi="Times New Roman"/>
          <w:noProof/>
          <w:spacing w:val="-4"/>
          <w:sz w:val="24"/>
          <w:shd w:val="clear" w:color="auto" w:fill="FFFFFF"/>
        </w:rPr>
        <w:t>oblasti cestovné ruchu; uvedenie telefónnych čísel</w:t>
      </w:r>
      <w:r w:rsidR="00AE6533" w:rsidRPr="00691FFB">
        <w:rPr>
          <w:rFonts w:ascii="Times New Roman" w:hAnsi="Times New Roman"/>
          <w:noProof/>
          <w:spacing w:val="-4"/>
          <w:sz w:val="24"/>
          <w:shd w:val="clear" w:color="auto" w:fill="FFFFFF"/>
        </w:rPr>
        <w:t xml:space="preserve"> s </w:t>
      </w:r>
      <w:r w:rsidRPr="00691FFB">
        <w:rPr>
          <w:rFonts w:ascii="Times New Roman" w:hAnsi="Times New Roman"/>
          <w:noProof/>
          <w:spacing w:val="-4"/>
          <w:sz w:val="24"/>
          <w:shd w:val="clear" w:color="auto" w:fill="FFFFFF"/>
        </w:rPr>
        <w:t>medzinárodnou predvoľbou; používanie názvu domény najvyššej úrovne iného členského štátu, ako je členský štát,</w:t>
      </w:r>
      <w:r w:rsidR="00AE6533" w:rsidRPr="00691FFB">
        <w:rPr>
          <w:rFonts w:ascii="Times New Roman" w:hAnsi="Times New Roman"/>
          <w:noProof/>
          <w:spacing w:val="-4"/>
          <w:sz w:val="24"/>
          <w:shd w:val="clear" w:color="auto" w:fill="FFFFFF"/>
        </w:rPr>
        <w:t xml:space="preserve"> v </w:t>
      </w:r>
      <w:r w:rsidRPr="00691FFB">
        <w:rPr>
          <w:rFonts w:ascii="Times New Roman" w:hAnsi="Times New Roman"/>
          <w:noProof/>
          <w:spacing w:val="-4"/>
          <w:sz w:val="24"/>
          <w:shd w:val="clear" w:color="auto" w:fill="FFFFFF"/>
        </w:rPr>
        <w:t>ktorom je obchodník usadený, napríklad „.de“, alebo používanie neutrálnych názvov domén najvyššej úrovne, ako sú „.com“ alebo „.eu“; opis trasy</w:t>
      </w:r>
      <w:r w:rsidR="00AE6533" w:rsidRPr="00691FFB">
        <w:rPr>
          <w:rFonts w:ascii="Times New Roman" w:hAnsi="Times New Roman"/>
          <w:noProof/>
          <w:spacing w:val="-4"/>
          <w:sz w:val="24"/>
          <w:shd w:val="clear" w:color="auto" w:fill="FFFFFF"/>
        </w:rPr>
        <w:t xml:space="preserve"> z </w:t>
      </w:r>
      <w:r w:rsidRPr="00691FFB">
        <w:rPr>
          <w:rFonts w:ascii="Times New Roman" w:hAnsi="Times New Roman"/>
          <w:noProof/>
          <w:spacing w:val="-4"/>
          <w:sz w:val="24"/>
          <w:shd w:val="clear" w:color="auto" w:fill="FFFFFF"/>
        </w:rPr>
        <w:t>jedného alebo viacerých iných členských štátov do miesta, kde sa služba poskytuje;</w:t>
      </w:r>
      <w:r w:rsidR="00AE6533" w:rsidRPr="00691FFB">
        <w:rPr>
          <w:rFonts w:ascii="Times New Roman" w:hAnsi="Times New Roman"/>
          <w:noProof/>
          <w:spacing w:val="-4"/>
          <w:sz w:val="24"/>
          <w:shd w:val="clear" w:color="auto" w:fill="FFFFFF"/>
        </w:rPr>
        <w:t xml:space="preserve"> a </w:t>
      </w:r>
      <w:r w:rsidRPr="00691FFB">
        <w:rPr>
          <w:rFonts w:ascii="Times New Roman" w:hAnsi="Times New Roman"/>
          <w:noProof/>
          <w:spacing w:val="-4"/>
          <w:sz w:val="24"/>
          <w:shd w:val="clear" w:color="auto" w:fill="FFFFFF"/>
        </w:rPr>
        <w:t>zmienka</w:t>
      </w:r>
      <w:r w:rsidR="00AE6533" w:rsidRPr="00691FFB">
        <w:rPr>
          <w:rFonts w:ascii="Times New Roman" w:hAnsi="Times New Roman"/>
          <w:noProof/>
          <w:spacing w:val="-4"/>
          <w:sz w:val="24"/>
          <w:shd w:val="clear" w:color="auto" w:fill="FFFFFF"/>
        </w:rPr>
        <w:t xml:space="preserve"> o </w:t>
      </w:r>
      <w:r w:rsidRPr="00691FFB">
        <w:rPr>
          <w:rFonts w:ascii="Times New Roman" w:hAnsi="Times New Roman"/>
          <w:noProof/>
          <w:spacing w:val="-4"/>
          <w:sz w:val="24"/>
          <w:shd w:val="clear" w:color="auto" w:fill="FFFFFF"/>
        </w:rPr>
        <w:t>medzinárodnej klientele tvorenej zákazníkmi</w:t>
      </w:r>
      <w:r w:rsidR="00AE6533" w:rsidRPr="00691FFB">
        <w:rPr>
          <w:rFonts w:ascii="Times New Roman" w:hAnsi="Times New Roman"/>
          <w:noProof/>
          <w:spacing w:val="-4"/>
          <w:sz w:val="24"/>
          <w:shd w:val="clear" w:color="auto" w:fill="FFFFFF"/>
        </w:rPr>
        <w:t xml:space="preserve"> s </w:t>
      </w:r>
      <w:r w:rsidRPr="00691FFB">
        <w:rPr>
          <w:rFonts w:ascii="Times New Roman" w:hAnsi="Times New Roman"/>
          <w:noProof/>
          <w:spacing w:val="-4"/>
          <w:sz w:val="24"/>
          <w:shd w:val="clear" w:color="auto" w:fill="FFFFFF"/>
        </w:rPr>
        <w:t>bydliskom</w:t>
      </w:r>
      <w:r w:rsidR="00AE6533" w:rsidRPr="00691FFB">
        <w:rPr>
          <w:rFonts w:ascii="Times New Roman" w:hAnsi="Times New Roman"/>
          <w:noProof/>
          <w:spacing w:val="-4"/>
          <w:sz w:val="24"/>
          <w:shd w:val="clear" w:color="auto" w:fill="FFFFFF"/>
        </w:rPr>
        <w:t xml:space="preserve"> v </w:t>
      </w:r>
      <w:r w:rsidRPr="00691FFB">
        <w:rPr>
          <w:rFonts w:ascii="Times New Roman" w:hAnsi="Times New Roman"/>
          <w:noProof/>
          <w:spacing w:val="-4"/>
          <w:sz w:val="24"/>
          <w:shd w:val="clear" w:color="auto" w:fill="FFFFFF"/>
        </w:rPr>
        <w:t>rôznych členských štátoch, najmä uvedením vyjadrení takýchto zákazníkov</w:t>
      </w:r>
      <w:r w:rsidR="008D0E61" w:rsidRPr="00691FFB">
        <w:rPr>
          <w:rStyle w:val="FootnoteReference"/>
          <w:rFonts w:ascii="Times New Roman" w:hAnsi="Times New Roman" w:cs="Times New Roman"/>
          <w:noProof/>
          <w:spacing w:val="-4"/>
          <w:sz w:val="24"/>
          <w:szCs w:val="24"/>
          <w:shd w:val="clear" w:color="auto" w:fill="FFFFFF"/>
        </w:rPr>
        <w:footnoteReference w:id="38"/>
      </w:r>
      <w:r w:rsidRPr="00691FFB">
        <w:rPr>
          <w:rFonts w:ascii="Times New Roman" w:hAnsi="Times New Roman"/>
          <w:noProof/>
          <w:spacing w:val="-4"/>
          <w:sz w:val="24"/>
          <w:shd w:val="clear" w:color="auto" w:fill="FFFFFF"/>
        </w:rPr>
        <w:t>.</w:t>
      </w:r>
    </w:p>
    <w:p w14:paraId="7023FA61" w14:textId="298968B5" w:rsidR="00AE6533" w:rsidRDefault="002849D9" w:rsidP="008D0E61">
      <w:pPr>
        <w:spacing w:after="120" w:line="240" w:lineRule="auto"/>
        <w:jc w:val="both"/>
        <w:rPr>
          <w:rFonts w:ascii="Times New Roman" w:hAnsi="Times New Roman"/>
          <w:noProof/>
          <w:sz w:val="24"/>
        </w:rPr>
      </w:pPr>
      <w:r w:rsidRPr="00AE6533">
        <w:rPr>
          <w:rFonts w:ascii="Times New Roman" w:hAnsi="Times New Roman"/>
          <w:noProof/>
          <w:sz w:val="24"/>
        </w:rPr>
        <w:t>Vnútroštátne súdy však naďalej predkladajú prejudiciálne otázky</w:t>
      </w:r>
      <w:r w:rsidR="00AE6533">
        <w:rPr>
          <w:rFonts w:ascii="Times New Roman" w:hAnsi="Times New Roman"/>
          <w:noProof/>
          <w:sz w:val="24"/>
        </w:rPr>
        <w:t xml:space="preserve"> v </w:t>
      </w:r>
      <w:r w:rsidRPr="00AE6533">
        <w:rPr>
          <w:rFonts w:ascii="Times New Roman" w:hAnsi="Times New Roman"/>
          <w:noProof/>
          <w:sz w:val="24"/>
        </w:rPr>
        <w:t>rôznych veciach týkajúcich sa ponuky služieb</w:t>
      </w:r>
      <w:r w:rsidR="00AE6533">
        <w:rPr>
          <w:rFonts w:ascii="Times New Roman" w:hAnsi="Times New Roman"/>
          <w:noProof/>
          <w:sz w:val="24"/>
        </w:rPr>
        <w:t xml:space="preserve"> a </w:t>
      </w:r>
      <w:r w:rsidRPr="00AE6533">
        <w:rPr>
          <w:rFonts w:ascii="Times New Roman" w:hAnsi="Times New Roman"/>
          <w:noProof/>
          <w:sz w:val="24"/>
        </w:rPr>
        <w:t>produktov na internete</w:t>
      </w:r>
      <w:r w:rsidRPr="00AE6533">
        <w:rPr>
          <w:rStyle w:val="FootnoteReference"/>
          <w:rFonts w:ascii="Times New Roman" w:hAnsi="Times New Roman"/>
          <w:noProof/>
          <w:sz w:val="24"/>
        </w:rPr>
        <w:t xml:space="preserve"> </w:t>
      </w:r>
      <w:r w:rsidR="00D63FFA" w:rsidRPr="00AE6533">
        <w:rPr>
          <w:rStyle w:val="FootnoteReference"/>
          <w:rFonts w:ascii="Times New Roman" w:hAnsi="Times New Roman" w:cs="Times New Roman"/>
          <w:noProof/>
          <w:sz w:val="24"/>
          <w:szCs w:val="24"/>
        </w:rPr>
        <w:footnoteReference w:id="39"/>
      </w:r>
      <w:r w:rsidRPr="00AE6533">
        <w:rPr>
          <w:rFonts w:ascii="Times New Roman" w:hAnsi="Times New Roman"/>
          <w:noProof/>
          <w:sz w:val="24"/>
        </w:rPr>
        <w:t>,</w:t>
      </w:r>
      <w:r w:rsidR="00AE6533">
        <w:rPr>
          <w:rFonts w:ascii="Times New Roman" w:hAnsi="Times New Roman"/>
          <w:noProof/>
          <w:sz w:val="24"/>
        </w:rPr>
        <w:t xml:space="preserve"> z </w:t>
      </w:r>
      <w:r w:rsidRPr="00AE6533">
        <w:rPr>
          <w:rFonts w:ascii="Times New Roman" w:hAnsi="Times New Roman"/>
          <w:noProof/>
          <w:sz w:val="24"/>
        </w:rPr>
        <w:t>čoho vyplýva, že výklad</w:t>
      </w:r>
      <w:r w:rsidR="00AE6533">
        <w:rPr>
          <w:rFonts w:ascii="Times New Roman" w:hAnsi="Times New Roman"/>
          <w:noProof/>
          <w:sz w:val="24"/>
        </w:rPr>
        <w:t xml:space="preserve"> a </w:t>
      </w:r>
      <w:r w:rsidRPr="00AE6533">
        <w:rPr>
          <w:rFonts w:ascii="Times New Roman" w:hAnsi="Times New Roman"/>
          <w:noProof/>
          <w:sz w:val="24"/>
        </w:rPr>
        <w:t>uplatňovanie požiadavky na smerovanie obchodnej činnosti</w:t>
      </w:r>
      <w:r w:rsidR="00AE6533">
        <w:rPr>
          <w:rFonts w:ascii="Times New Roman" w:hAnsi="Times New Roman"/>
          <w:noProof/>
          <w:sz w:val="24"/>
        </w:rPr>
        <w:t xml:space="preserve"> v </w:t>
      </w:r>
      <w:r w:rsidRPr="00AE6533">
        <w:rPr>
          <w:rFonts w:ascii="Times New Roman" w:hAnsi="Times New Roman"/>
          <w:noProof/>
          <w:sz w:val="24"/>
        </w:rPr>
        <w:t>zmysle článku 17 ods. 1 písm. c) nariadenia sú</w:t>
      </w:r>
      <w:r w:rsidR="00AE6533">
        <w:rPr>
          <w:rFonts w:ascii="Times New Roman" w:hAnsi="Times New Roman"/>
          <w:noProof/>
          <w:sz w:val="24"/>
        </w:rPr>
        <w:t xml:space="preserve"> v </w:t>
      </w:r>
      <w:r w:rsidRPr="00AE6533">
        <w:rPr>
          <w:rFonts w:ascii="Times New Roman" w:hAnsi="Times New Roman"/>
          <w:noProof/>
          <w:sz w:val="24"/>
        </w:rPr>
        <w:t>digitálnom kontexte naďalej náročné</w:t>
      </w:r>
      <w:r w:rsidR="00AE6533">
        <w:rPr>
          <w:rFonts w:ascii="Times New Roman" w:hAnsi="Times New Roman"/>
          <w:noProof/>
          <w:sz w:val="24"/>
        </w:rPr>
        <w:t>.</w:t>
      </w:r>
    </w:p>
    <w:p w14:paraId="4FF72D89" w14:textId="1BFB9CDC" w:rsidR="002849D9" w:rsidRPr="00AE6533" w:rsidRDefault="00BF3A77" w:rsidP="00CC2866">
      <w:pPr>
        <w:pStyle w:val="ListParagraph"/>
        <w:numPr>
          <w:ilvl w:val="0"/>
          <w:numId w:val="2"/>
        </w:numPr>
        <w:tabs>
          <w:tab w:val="left" w:pos="1080"/>
        </w:tabs>
        <w:spacing w:after="120" w:line="240" w:lineRule="auto"/>
        <w:ind w:left="720" w:hanging="480"/>
        <w:jc w:val="both"/>
        <w:rPr>
          <w:rFonts w:ascii="Times New Roman" w:hAnsi="Times New Roman" w:cs="Times New Roman"/>
          <w:i/>
          <w:iCs/>
          <w:noProof/>
          <w:sz w:val="24"/>
          <w:szCs w:val="24"/>
        </w:rPr>
      </w:pPr>
      <w:r w:rsidRPr="00AE6533">
        <w:rPr>
          <w:rFonts w:ascii="Times New Roman" w:hAnsi="Times New Roman"/>
          <w:i/>
          <w:noProof/>
          <w:sz w:val="24"/>
        </w:rPr>
        <w:t>Vylúčenie prepravných zmlúv</w:t>
      </w:r>
      <w:r w:rsidR="00AE6533">
        <w:rPr>
          <w:rFonts w:ascii="Times New Roman" w:hAnsi="Times New Roman"/>
          <w:i/>
          <w:noProof/>
          <w:sz w:val="24"/>
        </w:rPr>
        <w:t xml:space="preserve"> v </w:t>
      </w:r>
      <w:r w:rsidRPr="00AE6533">
        <w:rPr>
          <w:rFonts w:ascii="Times New Roman" w:hAnsi="Times New Roman"/>
          <w:i/>
          <w:noProof/>
          <w:sz w:val="24"/>
        </w:rPr>
        <w:t>článku 17 ods. 3</w:t>
      </w:r>
    </w:p>
    <w:p w14:paraId="589ACAB8" w14:textId="57668EE7" w:rsidR="002849D9" w:rsidRPr="00AE6533" w:rsidRDefault="00632CF1" w:rsidP="00F87AAB">
      <w:pPr>
        <w:spacing w:after="120" w:line="240" w:lineRule="auto"/>
        <w:jc w:val="both"/>
        <w:rPr>
          <w:rFonts w:ascii="Times New Roman" w:eastAsia="Times New Roman" w:hAnsi="Times New Roman" w:cs="Times New Roman"/>
          <w:noProof/>
          <w:kern w:val="0"/>
          <w:sz w:val="24"/>
          <w:szCs w:val="24"/>
          <w14:ligatures w14:val="none"/>
        </w:rPr>
      </w:pPr>
      <w:r w:rsidRPr="00AE6533">
        <w:rPr>
          <w:rFonts w:ascii="Times New Roman" w:hAnsi="Times New Roman"/>
          <w:noProof/>
          <w:sz w:val="24"/>
        </w:rPr>
        <w:t>Normy uvedené</w:t>
      </w:r>
      <w:r w:rsidR="00AE6533">
        <w:rPr>
          <w:rFonts w:ascii="Times New Roman" w:hAnsi="Times New Roman"/>
          <w:noProof/>
          <w:sz w:val="24"/>
        </w:rPr>
        <w:t xml:space="preserve"> v </w:t>
      </w:r>
      <w:r w:rsidRPr="00AE6533">
        <w:rPr>
          <w:rFonts w:ascii="Times New Roman" w:hAnsi="Times New Roman"/>
          <w:noProof/>
          <w:sz w:val="24"/>
        </w:rPr>
        <w:t>nariadení, ktorými sa upravuje právomoc</w:t>
      </w:r>
      <w:r w:rsidR="00AE6533">
        <w:rPr>
          <w:rFonts w:ascii="Times New Roman" w:hAnsi="Times New Roman"/>
          <w:noProof/>
          <w:sz w:val="24"/>
        </w:rPr>
        <w:t xml:space="preserve"> v </w:t>
      </w:r>
      <w:r w:rsidRPr="00AE6533">
        <w:rPr>
          <w:rFonts w:ascii="Times New Roman" w:hAnsi="Times New Roman"/>
          <w:noProof/>
          <w:sz w:val="24"/>
        </w:rPr>
        <w:t>súvislosti so spotrebiteľskými zmluvami, sa vzťahujú na všetky druhy zmlúv. Jediná výnimka sa uvádza</w:t>
      </w:r>
      <w:r w:rsidR="00AE6533">
        <w:rPr>
          <w:rFonts w:ascii="Times New Roman" w:hAnsi="Times New Roman"/>
          <w:noProof/>
          <w:sz w:val="24"/>
        </w:rPr>
        <w:t xml:space="preserve"> v </w:t>
      </w:r>
      <w:r w:rsidRPr="00AE6533">
        <w:rPr>
          <w:rFonts w:ascii="Times New Roman" w:hAnsi="Times New Roman"/>
          <w:noProof/>
          <w:sz w:val="24"/>
        </w:rPr>
        <w:t>článku 17 ods. 3</w:t>
      </w:r>
      <w:r w:rsidR="00AE6533">
        <w:rPr>
          <w:rFonts w:ascii="Times New Roman" w:hAnsi="Times New Roman"/>
          <w:noProof/>
          <w:sz w:val="24"/>
        </w:rPr>
        <w:t xml:space="preserve"> a </w:t>
      </w:r>
      <w:r w:rsidRPr="00AE6533">
        <w:rPr>
          <w:rFonts w:ascii="Times New Roman" w:hAnsi="Times New Roman"/>
          <w:noProof/>
          <w:sz w:val="24"/>
        </w:rPr>
        <w:t>týka sa prepravných zmlúv iných ako tých, ktorých predmetom je zabezpečenie dopravy</w:t>
      </w:r>
      <w:r w:rsidR="00AE6533">
        <w:rPr>
          <w:rFonts w:ascii="Times New Roman" w:hAnsi="Times New Roman"/>
          <w:noProof/>
          <w:sz w:val="24"/>
        </w:rPr>
        <w:t xml:space="preserve"> a </w:t>
      </w:r>
      <w:r w:rsidRPr="00AE6533">
        <w:rPr>
          <w:rFonts w:ascii="Times New Roman" w:hAnsi="Times New Roman"/>
          <w:noProof/>
          <w:sz w:val="24"/>
        </w:rPr>
        <w:t>ubytovania za pevnú cenu.</w:t>
      </w:r>
    </w:p>
    <w:p w14:paraId="2A4626D2" w14:textId="6EB1BCF5" w:rsidR="00AE6533" w:rsidRPr="00691FFB" w:rsidRDefault="00DD3824" w:rsidP="00F87AAB">
      <w:pPr>
        <w:pStyle w:val="pf0"/>
        <w:spacing w:before="0" w:beforeAutospacing="0" w:after="120" w:afterAutospacing="0"/>
        <w:jc w:val="both"/>
        <w:rPr>
          <w:noProof/>
          <w:spacing w:val="-4"/>
        </w:rPr>
      </w:pPr>
      <w:r w:rsidRPr="00691FFB">
        <w:rPr>
          <w:noProof/>
          <w:spacing w:val="-4"/>
        </w:rPr>
        <w:t>Hoci sa základné dôvody takéhoto vylúčenia nezmenili, t. j. naďalej sa uplatňujú osobitné odvetvové normy uvedené</w:t>
      </w:r>
      <w:r w:rsidR="00AE6533" w:rsidRPr="00691FFB">
        <w:rPr>
          <w:noProof/>
          <w:spacing w:val="-4"/>
        </w:rPr>
        <w:t xml:space="preserve"> v </w:t>
      </w:r>
      <w:r w:rsidRPr="00691FFB">
        <w:rPr>
          <w:noProof/>
          <w:spacing w:val="-4"/>
        </w:rPr>
        <w:t>medzinárodných dohovoroch</w:t>
      </w:r>
      <w:r w:rsidR="00AE6533" w:rsidRPr="00691FFB">
        <w:rPr>
          <w:noProof/>
          <w:spacing w:val="-4"/>
        </w:rPr>
        <w:t xml:space="preserve"> a </w:t>
      </w:r>
      <w:r w:rsidRPr="00691FFB">
        <w:rPr>
          <w:noProof/>
          <w:spacing w:val="-4"/>
        </w:rPr>
        <w:t>iných nástrojoch EÚ</w:t>
      </w:r>
      <w:r w:rsidR="00AE6533" w:rsidRPr="00691FFB">
        <w:rPr>
          <w:noProof/>
          <w:spacing w:val="-4"/>
        </w:rPr>
        <w:t xml:space="preserve"> v </w:t>
      </w:r>
      <w:r w:rsidRPr="00691FFB">
        <w:rPr>
          <w:noProof/>
          <w:spacing w:val="-4"/>
        </w:rPr>
        <w:t>oblasti dopravy, zo štúdie</w:t>
      </w:r>
      <w:r w:rsidR="00AE6533" w:rsidRPr="00691FFB">
        <w:rPr>
          <w:noProof/>
          <w:spacing w:val="-4"/>
        </w:rPr>
        <w:t xml:space="preserve"> a </w:t>
      </w:r>
      <w:r w:rsidRPr="00691FFB">
        <w:rPr>
          <w:noProof/>
          <w:spacing w:val="-4"/>
        </w:rPr>
        <w:t>národných správ vyplýva, že mnohé členské štáty</w:t>
      </w:r>
      <w:r w:rsidR="00AE6533" w:rsidRPr="00691FFB">
        <w:rPr>
          <w:noProof/>
          <w:spacing w:val="-4"/>
        </w:rPr>
        <w:t xml:space="preserve"> v </w:t>
      </w:r>
      <w:r w:rsidRPr="00691FFB">
        <w:rPr>
          <w:noProof/>
          <w:spacing w:val="-4"/>
        </w:rPr>
        <w:t>súčasnosti považujú toto vylúčenie za neopodstatnené</w:t>
      </w:r>
      <w:r w:rsidR="00AE6533" w:rsidRPr="00691FFB">
        <w:rPr>
          <w:noProof/>
          <w:spacing w:val="-4"/>
        </w:rPr>
        <w:t xml:space="preserve"> a </w:t>
      </w:r>
      <w:r w:rsidRPr="00691FFB">
        <w:rPr>
          <w:noProof/>
          <w:spacing w:val="-4"/>
        </w:rPr>
        <w:t>žiadajú jeho vypustenie. Niektoré členské štáty uvádzajú, že týmto vylúčením sa obmedzuje prístup spotrebiteľa</w:t>
      </w:r>
      <w:r w:rsidR="00AE6533" w:rsidRPr="00691FFB">
        <w:rPr>
          <w:noProof/>
          <w:spacing w:val="-4"/>
        </w:rPr>
        <w:t xml:space="preserve"> k </w:t>
      </w:r>
      <w:r w:rsidRPr="00691FFB">
        <w:rPr>
          <w:noProof/>
          <w:spacing w:val="-4"/>
        </w:rPr>
        <w:t>spravodlivosti</w:t>
      </w:r>
      <w:r w:rsidR="00AE6533" w:rsidRPr="00691FFB">
        <w:rPr>
          <w:noProof/>
          <w:spacing w:val="-4"/>
        </w:rPr>
        <w:t xml:space="preserve"> v </w:t>
      </w:r>
      <w:r w:rsidRPr="00691FFB">
        <w:rPr>
          <w:noProof/>
          <w:spacing w:val="-4"/>
        </w:rPr>
        <w:t>sporoch týkajúcich sa práv cestujúcich</w:t>
      </w:r>
      <w:r w:rsidR="00AE6533" w:rsidRPr="00691FFB">
        <w:rPr>
          <w:noProof/>
          <w:spacing w:val="-4"/>
        </w:rPr>
        <w:t xml:space="preserve"> v </w:t>
      </w:r>
      <w:r w:rsidRPr="00691FFB">
        <w:rPr>
          <w:noProof/>
          <w:spacing w:val="-4"/>
        </w:rPr>
        <w:t>leteckej doprave, najmä</w:t>
      </w:r>
      <w:r w:rsidR="00AE6533" w:rsidRPr="00691FFB">
        <w:rPr>
          <w:noProof/>
          <w:spacing w:val="-4"/>
        </w:rPr>
        <w:t xml:space="preserve"> v </w:t>
      </w:r>
      <w:r w:rsidRPr="00691FFB">
        <w:rPr>
          <w:noProof/>
          <w:spacing w:val="-4"/>
        </w:rPr>
        <w:t>prípadoch, keď sa bydlisko spotrebiteľa nezhoduje</w:t>
      </w:r>
      <w:r w:rsidR="00AE6533" w:rsidRPr="00691FFB">
        <w:rPr>
          <w:noProof/>
          <w:spacing w:val="-4"/>
        </w:rPr>
        <w:t xml:space="preserve"> s </w:t>
      </w:r>
      <w:r w:rsidRPr="00691FFB">
        <w:rPr>
          <w:noProof/>
          <w:spacing w:val="-4"/>
        </w:rPr>
        <w:t>miestom odletu alebo príletu lietadla, čo sú miesta dostupných súdov na základe miesta plnenia</w:t>
      </w:r>
      <w:r w:rsidR="00AE6533" w:rsidRPr="00691FFB">
        <w:rPr>
          <w:noProof/>
          <w:spacing w:val="-4"/>
        </w:rPr>
        <w:t>.</w:t>
      </w:r>
    </w:p>
    <w:p w14:paraId="5F65F29B" w14:textId="3FEB8409" w:rsidR="00AE6533" w:rsidRDefault="00FA1983" w:rsidP="00F87AAB">
      <w:pPr>
        <w:pStyle w:val="pf0"/>
        <w:spacing w:before="0" w:beforeAutospacing="0" w:after="120" w:afterAutospacing="0"/>
        <w:jc w:val="both"/>
        <w:rPr>
          <w:noProof/>
        </w:rPr>
      </w:pPr>
      <w:r w:rsidRPr="00AE6533">
        <w:rPr>
          <w:noProof/>
        </w:rPr>
        <w:t>Zo štúdie okrem toho vyplýva, že nedostatočné pokrytie prepravných zmlúv vedie</w:t>
      </w:r>
      <w:r w:rsidR="00AE6533">
        <w:rPr>
          <w:noProof/>
        </w:rPr>
        <w:t xml:space="preserve"> k </w:t>
      </w:r>
      <w:r w:rsidRPr="00AE6533">
        <w:rPr>
          <w:noProof/>
        </w:rPr>
        <w:t>nejednotnému uplatňovaniu nariadenia</w:t>
      </w:r>
      <w:r w:rsidR="00AE6533">
        <w:rPr>
          <w:noProof/>
        </w:rPr>
        <w:t xml:space="preserve"> v </w:t>
      </w:r>
      <w:r w:rsidRPr="00AE6533">
        <w:rPr>
          <w:noProof/>
        </w:rPr>
        <w:t>členských štátoch. Niektoré členské štáty určujú právomoc vo veci takýchto zmlúv na základe všeobecných noriem uvedených</w:t>
      </w:r>
      <w:r w:rsidR="00AE6533">
        <w:rPr>
          <w:noProof/>
        </w:rPr>
        <w:t xml:space="preserve"> v </w:t>
      </w:r>
      <w:r w:rsidRPr="00AE6533">
        <w:rPr>
          <w:noProof/>
        </w:rPr>
        <w:t>nariadení (DE, DK, BG, NL, PT), medzinárodných dohovorov, ktoré majú prednosť pred nariadením (CY, DE, HU, IT, PT), alebo na základe vnútroštátnych noriem (LT, PT)</w:t>
      </w:r>
      <w:r w:rsidR="00AE6533">
        <w:rPr>
          <w:noProof/>
        </w:rPr>
        <w:t>.</w:t>
      </w:r>
    </w:p>
    <w:p w14:paraId="0AC0EAA5" w14:textId="68C6D488" w:rsidR="00AE6533" w:rsidRDefault="00FA1983" w:rsidP="00F87AAB">
      <w:pPr>
        <w:pStyle w:val="pf0"/>
        <w:spacing w:before="0" w:beforeAutospacing="0" w:after="120" w:afterAutospacing="0"/>
        <w:jc w:val="both"/>
        <w:rPr>
          <w:rStyle w:val="cf01"/>
          <w:rFonts w:ascii="Times New Roman" w:hAnsi="Times New Roman"/>
          <w:noProof/>
          <w:sz w:val="24"/>
        </w:rPr>
      </w:pPr>
      <w:r w:rsidRPr="00AE6533">
        <w:rPr>
          <w:noProof/>
        </w:rPr>
        <w:t>Na účely rozhodnutia, či by sa malo vylúčenie zachovať alebo vypustiť</w:t>
      </w:r>
      <w:r w:rsidR="00AE6533">
        <w:rPr>
          <w:noProof/>
        </w:rPr>
        <w:t xml:space="preserve"> z </w:t>
      </w:r>
      <w:r w:rsidRPr="00AE6533">
        <w:rPr>
          <w:noProof/>
        </w:rPr>
        <w:t xml:space="preserve">nariadenia, treba posúdiť najmä to, či </w:t>
      </w:r>
      <w:r w:rsidRPr="00AE6533">
        <w:rPr>
          <w:rStyle w:val="cf01"/>
          <w:rFonts w:ascii="Times New Roman" w:hAnsi="Times New Roman"/>
          <w:noProof/>
          <w:sz w:val="24"/>
        </w:rPr>
        <w:t>iné právne nástroje EÚ alebo medzinárodné dohody zabezpečujú primeranú ochranu spotrebiteľov</w:t>
      </w:r>
      <w:r w:rsidR="00AE6533">
        <w:rPr>
          <w:rStyle w:val="cf01"/>
          <w:rFonts w:ascii="Times New Roman" w:hAnsi="Times New Roman"/>
          <w:noProof/>
          <w:sz w:val="24"/>
        </w:rPr>
        <w:t xml:space="preserve"> v </w:t>
      </w:r>
      <w:r w:rsidRPr="00AE6533">
        <w:rPr>
          <w:rStyle w:val="cf01"/>
          <w:rFonts w:ascii="Times New Roman" w:hAnsi="Times New Roman"/>
          <w:noProof/>
          <w:sz w:val="24"/>
        </w:rPr>
        <w:t>súvislosti</w:t>
      </w:r>
      <w:r w:rsidR="00AE6533">
        <w:rPr>
          <w:rStyle w:val="cf01"/>
          <w:rFonts w:ascii="Times New Roman" w:hAnsi="Times New Roman"/>
          <w:noProof/>
          <w:sz w:val="24"/>
        </w:rPr>
        <w:t xml:space="preserve"> s </w:t>
      </w:r>
      <w:r w:rsidRPr="00AE6533">
        <w:rPr>
          <w:rStyle w:val="cf01"/>
          <w:rFonts w:ascii="Times New Roman" w:hAnsi="Times New Roman"/>
          <w:noProof/>
          <w:sz w:val="24"/>
        </w:rPr>
        <w:t>medzinárodnou právomocou</w:t>
      </w:r>
      <w:r w:rsidR="00AE6533">
        <w:rPr>
          <w:rStyle w:val="cf01"/>
          <w:rFonts w:ascii="Times New Roman" w:hAnsi="Times New Roman"/>
          <w:noProof/>
          <w:sz w:val="24"/>
        </w:rPr>
        <w:t>.</w:t>
      </w:r>
    </w:p>
    <w:p w14:paraId="56A81C3E" w14:textId="416D882C" w:rsidR="002849D9" w:rsidRPr="00AE6533" w:rsidRDefault="002849D9" w:rsidP="00F87AAB">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Záverom možno konštatovať, že normy právomoci</w:t>
      </w:r>
      <w:r w:rsidR="00AE6533">
        <w:rPr>
          <w:rFonts w:ascii="Times New Roman" w:hAnsi="Times New Roman"/>
          <w:noProof/>
          <w:sz w:val="24"/>
        </w:rPr>
        <w:t xml:space="preserve"> v </w:t>
      </w:r>
      <w:r w:rsidRPr="00AE6533">
        <w:rPr>
          <w:rFonts w:ascii="Times New Roman" w:hAnsi="Times New Roman"/>
          <w:noProof/>
          <w:sz w:val="24"/>
        </w:rPr>
        <w:t>záujme slabšej strany, ktoré sa uvádzajú</w:t>
      </w:r>
      <w:r w:rsidR="00AE6533">
        <w:rPr>
          <w:rFonts w:ascii="Times New Roman" w:hAnsi="Times New Roman"/>
          <w:noProof/>
          <w:sz w:val="24"/>
        </w:rPr>
        <w:t xml:space="preserve"> v </w:t>
      </w:r>
      <w:r w:rsidRPr="00AE6533">
        <w:rPr>
          <w:rFonts w:ascii="Times New Roman" w:hAnsi="Times New Roman"/>
          <w:noProof/>
          <w:sz w:val="24"/>
        </w:rPr>
        <w:t>nariadení, vo všeobecnosti fungujú dobre</w:t>
      </w:r>
      <w:r w:rsidR="00AE6533">
        <w:rPr>
          <w:rFonts w:ascii="Times New Roman" w:hAnsi="Times New Roman"/>
          <w:noProof/>
          <w:sz w:val="24"/>
        </w:rPr>
        <w:t xml:space="preserve"> a </w:t>
      </w:r>
      <w:r w:rsidRPr="00AE6533">
        <w:rPr>
          <w:rFonts w:ascii="Times New Roman" w:hAnsi="Times New Roman"/>
          <w:noProof/>
          <w:sz w:val="24"/>
        </w:rPr>
        <w:t>poskytujú uspokojivú úroveň ochrany spotrebiteľa. Niektoré aspekty ochrany spotrebiteľa by sa však mohli ďalej objasniť prostredníctvom judikatúry alebo posilniť legislatívnym zásahom, ktorý by bol predmetom ďalšej analýzy</w:t>
      </w:r>
      <w:r w:rsidR="00AE6533">
        <w:rPr>
          <w:rFonts w:ascii="Times New Roman" w:hAnsi="Times New Roman"/>
          <w:noProof/>
          <w:sz w:val="24"/>
        </w:rPr>
        <w:t xml:space="preserve"> v </w:t>
      </w:r>
      <w:r w:rsidRPr="00AE6533">
        <w:rPr>
          <w:rFonts w:ascii="Times New Roman" w:hAnsi="Times New Roman"/>
          <w:noProof/>
          <w:sz w:val="24"/>
        </w:rPr>
        <w:t>rámci preskúmania.</w:t>
      </w:r>
    </w:p>
    <w:p w14:paraId="73E9BCCC" w14:textId="685FC4EA" w:rsidR="00BF3A77" w:rsidRPr="00AE6533" w:rsidRDefault="00A8496C" w:rsidP="00A95B8E">
      <w:pPr>
        <w:pStyle w:val="Heading2"/>
        <w:spacing w:before="240" w:after="120" w:line="240" w:lineRule="auto"/>
        <w:ind w:firstLine="240"/>
        <w:jc w:val="both"/>
        <w:rPr>
          <w:rStyle w:val="Heading1Char"/>
          <w:rFonts w:ascii="Times New Roman" w:hAnsi="Times New Roman" w:cs="Times New Roman"/>
          <w:b/>
          <w:bCs/>
          <w:noProof/>
          <w:color w:val="auto"/>
          <w:sz w:val="24"/>
          <w:szCs w:val="24"/>
        </w:rPr>
      </w:pPr>
      <w:r w:rsidRPr="00AE6533">
        <w:rPr>
          <w:rFonts w:ascii="Times New Roman" w:hAnsi="Times New Roman"/>
          <w:b/>
          <w:noProof/>
          <w:color w:val="auto"/>
          <w:sz w:val="24"/>
        </w:rPr>
        <w:t>3.4.</w:t>
      </w:r>
      <w:r w:rsidRPr="00AE6533">
        <w:rPr>
          <w:rFonts w:ascii="Times New Roman" w:hAnsi="Times New Roman"/>
          <w:noProof/>
          <w:color w:val="auto"/>
          <w:sz w:val="24"/>
        </w:rPr>
        <w:t xml:space="preserve"> </w:t>
      </w:r>
      <w:r w:rsidRPr="00AE6533">
        <w:rPr>
          <w:rStyle w:val="Heading1Char"/>
          <w:rFonts w:ascii="Times New Roman" w:hAnsi="Times New Roman"/>
          <w:b/>
          <w:noProof/>
          <w:color w:val="auto"/>
          <w:sz w:val="24"/>
        </w:rPr>
        <w:t>Výlučná právomoc (článok 24)</w:t>
      </w:r>
    </w:p>
    <w:p w14:paraId="68FCD099" w14:textId="08C36152" w:rsidR="00BF3A77" w:rsidRPr="00AE6533" w:rsidRDefault="00BF3A77" w:rsidP="00BF3A77">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Ustanovenia</w:t>
      </w:r>
      <w:r w:rsidR="00AE6533">
        <w:rPr>
          <w:rFonts w:ascii="Times New Roman" w:hAnsi="Times New Roman"/>
          <w:noProof/>
          <w:sz w:val="24"/>
        </w:rPr>
        <w:t xml:space="preserve"> o </w:t>
      </w:r>
      <w:r w:rsidRPr="00AE6533">
        <w:rPr>
          <w:rFonts w:ascii="Times New Roman" w:hAnsi="Times New Roman"/>
          <w:noProof/>
          <w:sz w:val="24"/>
        </w:rPr>
        <w:t>výlučnej právomoci, ktoré majú prednosť pred všeobecnými normami</w:t>
      </w:r>
      <w:r w:rsidR="00AE6533">
        <w:rPr>
          <w:rFonts w:ascii="Times New Roman" w:hAnsi="Times New Roman"/>
          <w:noProof/>
          <w:sz w:val="24"/>
        </w:rPr>
        <w:t xml:space="preserve"> a </w:t>
      </w:r>
      <w:r w:rsidRPr="00AE6533">
        <w:rPr>
          <w:rFonts w:ascii="Times New Roman" w:hAnsi="Times New Roman"/>
          <w:noProof/>
          <w:sz w:val="24"/>
        </w:rPr>
        <w:t>sú záväzné, sa uvádzajú</w:t>
      </w:r>
      <w:r w:rsidR="00AE6533">
        <w:rPr>
          <w:rFonts w:ascii="Times New Roman" w:hAnsi="Times New Roman"/>
          <w:noProof/>
          <w:sz w:val="24"/>
        </w:rPr>
        <w:t xml:space="preserve"> v </w:t>
      </w:r>
      <w:r w:rsidRPr="00AE6533">
        <w:rPr>
          <w:rFonts w:ascii="Times New Roman" w:hAnsi="Times New Roman"/>
          <w:noProof/>
          <w:sz w:val="24"/>
        </w:rPr>
        <w:t>kapitole II oddiele 6 nariadenia, ktorý tvorí jediný článok 24. Okrem kodifikácie judikatúry GAT (C-4/03)</w:t>
      </w:r>
      <w:r w:rsidR="00AE6533">
        <w:rPr>
          <w:rFonts w:ascii="Times New Roman" w:hAnsi="Times New Roman"/>
          <w:noProof/>
          <w:sz w:val="24"/>
        </w:rPr>
        <w:t xml:space="preserve"> v </w:t>
      </w:r>
      <w:r w:rsidRPr="00AE6533">
        <w:rPr>
          <w:rFonts w:ascii="Times New Roman" w:hAnsi="Times New Roman"/>
          <w:noProof/>
          <w:sz w:val="24"/>
        </w:rPr>
        <w:t>článku 24 ods. 4 nebola táto oblasť právomoci</w:t>
      </w:r>
      <w:r w:rsidR="00AE6533">
        <w:rPr>
          <w:rFonts w:ascii="Times New Roman" w:hAnsi="Times New Roman"/>
          <w:noProof/>
          <w:sz w:val="24"/>
        </w:rPr>
        <w:t xml:space="preserve"> v </w:t>
      </w:r>
      <w:r w:rsidRPr="00AE6533">
        <w:rPr>
          <w:rFonts w:ascii="Times New Roman" w:hAnsi="Times New Roman"/>
          <w:noProof/>
          <w:sz w:val="24"/>
        </w:rPr>
        <w:t>nariadení ďalej zmenená.</w:t>
      </w:r>
    </w:p>
    <w:p w14:paraId="79DB1084" w14:textId="25C60B02" w:rsidR="00AE6533" w:rsidRDefault="00BF3A77" w:rsidP="00BF3A77">
      <w:pPr>
        <w:spacing w:after="120" w:line="240" w:lineRule="auto"/>
        <w:jc w:val="both"/>
        <w:rPr>
          <w:rFonts w:ascii="Times New Roman" w:hAnsi="Times New Roman"/>
          <w:noProof/>
          <w:sz w:val="24"/>
        </w:rPr>
      </w:pPr>
      <w:r w:rsidRPr="00AE6533">
        <w:rPr>
          <w:rFonts w:ascii="Times New Roman" w:hAnsi="Times New Roman"/>
          <w:noProof/>
          <w:sz w:val="24"/>
        </w:rPr>
        <w:t>Zo štúdie vyplýva, že členské štáty neidentifikovali závažné ťažkosti</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uplatňovaním tejto oblasti právomoci ani neuvádzali nedostatočnú vnútroštátnu judikatúru</w:t>
      </w:r>
      <w:r w:rsidR="00AE6533">
        <w:rPr>
          <w:rFonts w:ascii="Times New Roman" w:hAnsi="Times New Roman"/>
          <w:noProof/>
          <w:sz w:val="24"/>
        </w:rPr>
        <w:t xml:space="preserve"> v </w:t>
      </w:r>
      <w:r w:rsidRPr="00AE6533">
        <w:rPr>
          <w:rFonts w:ascii="Times New Roman" w:hAnsi="Times New Roman"/>
          <w:noProof/>
          <w:sz w:val="24"/>
        </w:rPr>
        <w:t>danej oblasti. Hlavná kritika sa týka jedinečnej zmeny, ktorú prinieslo nariadenie,</w:t>
      </w:r>
      <w:r w:rsidR="00AE6533">
        <w:rPr>
          <w:rFonts w:ascii="Times New Roman" w:hAnsi="Times New Roman"/>
          <w:noProof/>
          <w:sz w:val="24"/>
        </w:rPr>
        <w:t xml:space="preserve"> a </w:t>
      </w:r>
      <w:r w:rsidRPr="00AE6533">
        <w:rPr>
          <w:rFonts w:ascii="Times New Roman" w:hAnsi="Times New Roman"/>
          <w:noProof/>
          <w:sz w:val="24"/>
        </w:rPr>
        <w:t>to rozšírenia rozsahu uplatňovania článku 24 ods. 4 na konania týkajúce sa platnosti patentov, ak je táto otázka vznesená ako obrana proti žalobe</w:t>
      </w:r>
      <w:r w:rsidR="003D4D2C" w:rsidRPr="00AE6533">
        <w:rPr>
          <w:rStyle w:val="FootnoteReference"/>
          <w:rFonts w:ascii="Times New Roman" w:hAnsi="Times New Roman" w:cs="Times New Roman"/>
          <w:noProof/>
          <w:sz w:val="24"/>
          <w:szCs w:val="24"/>
        </w:rPr>
        <w:footnoteReference w:id="40"/>
      </w:r>
      <w:r w:rsidR="00AE6533">
        <w:rPr>
          <w:rFonts w:ascii="Times New Roman" w:hAnsi="Times New Roman"/>
          <w:noProof/>
          <w:sz w:val="24"/>
        </w:rPr>
        <w:t>.</w:t>
      </w:r>
    </w:p>
    <w:p w14:paraId="5E719A2E" w14:textId="44A032F0" w:rsidR="001F6E7A" w:rsidRPr="00691FFB" w:rsidRDefault="00070685" w:rsidP="00BF3A77">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Niektoré členské štáty</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podporou generálneho advokáta Emilioua</w:t>
      </w:r>
      <w:r w:rsidR="00BF3A77" w:rsidRPr="00691FFB">
        <w:rPr>
          <w:rStyle w:val="FootnoteReference"/>
          <w:rFonts w:ascii="Times New Roman" w:hAnsi="Times New Roman" w:cs="Times New Roman"/>
          <w:noProof/>
          <w:spacing w:val="-4"/>
          <w:sz w:val="24"/>
          <w:szCs w:val="24"/>
        </w:rPr>
        <w:footnoteReference w:id="41"/>
      </w:r>
      <w:r w:rsidRPr="00691FFB">
        <w:rPr>
          <w:rFonts w:ascii="Times New Roman" w:hAnsi="Times New Roman"/>
          <w:noProof/>
          <w:spacing w:val="-4"/>
          <w:sz w:val="24"/>
        </w:rPr>
        <w:t xml:space="preserve"> kritizovali kodifikáciu judikatúry </w:t>
      </w:r>
      <w:r w:rsidRPr="00691FFB">
        <w:rPr>
          <w:rFonts w:ascii="Times New Roman" w:hAnsi="Times New Roman"/>
          <w:i/>
          <w:noProof/>
          <w:spacing w:val="-4"/>
          <w:sz w:val="24"/>
        </w:rPr>
        <w:t>GAT</w:t>
      </w:r>
      <w:r w:rsidR="008F4E1C">
        <w:rPr>
          <w:rFonts w:ascii="Times New Roman" w:hAnsi="Times New Roman"/>
          <w:i/>
          <w:noProof/>
          <w:spacing w:val="-4"/>
          <w:sz w:val="24"/>
        </w:rPr>
        <w:t xml:space="preserve"> </w:t>
      </w:r>
      <w:r w:rsidRPr="00691FFB">
        <w:rPr>
          <w:rFonts w:ascii="Times New Roman" w:hAnsi="Times New Roman"/>
          <w:noProof/>
          <w:spacing w:val="-4"/>
          <w:sz w:val="24"/>
        </w:rPr>
        <w:t>v článku 24 ods. 4, pretože jednoznačne nestanovuje, či porušenie práva priemyselného vlastníctva patrí do jeho rozsahu pôsobnosti; rozšírenie riešenia prijatého Súdnym dvorom Európskej únie vo veľmi špecifickom („abnormálnom“)</w:t>
      </w:r>
      <w:r w:rsidRPr="00691FFB">
        <w:rPr>
          <w:rFonts w:ascii="Times New Roman" w:hAnsi="Times New Roman"/>
          <w:noProof/>
          <w:color w:val="000000"/>
          <w:spacing w:val="-4"/>
          <w:sz w:val="24"/>
        </w:rPr>
        <w:t xml:space="preserve"> prípade, ktorý sa týkal žaloby, ktorou sa spoločnosť domáhala, aby </w:t>
      </w:r>
      <w:r w:rsidRPr="00691FFB">
        <w:rPr>
          <w:rFonts w:ascii="Times New Roman" w:hAnsi="Times New Roman"/>
          <w:noProof/>
          <w:spacing w:val="-4"/>
          <w:sz w:val="24"/>
        </w:rPr>
        <w:t>nemecké súdy</w:t>
      </w:r>
      <w:r w:rsidRPr="00691FFB">
        <w:rPr>
          <w:rFonts w:ascii="Times New Roman" w:hAnsi="Times New Roman"/>
          <w:noProof/>
          <w:color w:val="000000"/>
          <w:spacing w:val="-4"/>
          <w:sz w:val="24"/>
        </w:rPr>
        <w:t xml:space="preserve"> vyhlásili, </w:t>
      </w:r>
      <w:r w:rsidRPr="00691FFB">
        <w:rPr>
          <w:rFonts w:ascii="Times New Roman" w:hAnsi="Times New Roman"/>
          <w:noProof/>
          <w:spacing w:val="-4"/>
          <w:sz w:val="24"/>
        </w:rPr>
        <w:t xml:space="preserve">že </w:t>
      </w:r>
      <w:r w:rsidRPr="00691FFB">
        <w:rPr>
          <w:rFonts w:ascii="Times New Roman" w:hAnsi="Times New Roman"/>
          <w:i/>
          <w:noProof/>
          <w:spacing w:val="-4"/>
          <w:sz w:val="24"/>
        </w:rPr>
        <w:t xml:space="preserve">neporušila </w:t>
      </w:r>
      <w:r w:rsidRPr="00691FFB">
        <w:rPr>
          <w:rFonts w:ascii="Times New Roman" w:hAnsi="Times New Roman"/>
          <w:noProof/>
          <w:spacing w:val="-4"/>
          <w:sz w:val="24"/>
        </w:rPr>
        <w:t>dva francúzske patenty, ktoré vlastnila nemecká spoločnosť („negatívna určovacia žaloba“), na „bežné“ prípady porušenia patentu; vyčnievanie</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rámci systému výlučnej právomoci, keďže ostatné normy uvedené</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článku 24 sa nevzťahujú na konania,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ktorých sa otázky, ktoré sú</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nich uvedené, nastoľujú len</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rámci obrany proti žalobe; umožnenie zneužívania prostredníctvom tzv. torpédových žalôb</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 xml:space="preserve">bránenie </w:t>
      </w:r>
      <w:r w:rsidRPr="00691FFB">
        <w:rPr>
          <w:rFonts w:ascii="Times New Roman" w:hAnsi="Times New Roman"/>
          <w:noProof/>
          <w:spacing w:val="-4"/>
          <w:sz w:val="24"/>
          <w:shd w:val="clear" w:color="auto" w:fill="FEFEFD"/>
        </w:rPr>
        <w:t>vykonávaniu práva majiteľa patentu na účinný prostriedok nápravy, ako aj splneniu požiadavky na účinnosť konania</w:t>
      </w:r>
      <w:r w:rsidR="00AE6533" w:rsidRPr="00691FFB">
        <w:rPr>
          <w:rFonts w:ascii="Times New Roman" w:hAnsi="Times New Roman"/>
          <w:noProof/>
          <w:spacing w:val="-4"/>
          <w:sz w:val="24"/>
          <w:shd w:val="clear" w:color="auto" w:fill="FEFEFD"/>
        </w:rPr>
        <w:t xml:space="preserve"> a </w:t>
      </w:r>
      <w:r w:rsidRPr="00691FFB">
        <w:rPr>
          <w:rFonts w:ascii="Times New Roman" w:hAnsi="Times New Roman"/>
          <w:noProof/>
          <w:spacing w:val="-4"/>
          <w:sz w:val="24"/>
          <w:shd w:val="clear" w:color="auto" w:fill="FEFEFD"/>
        </w:rPr>
        <w:t>riadny výkon spravodlivosti</w:t>
      </w:r>
      <w:r w:rsidRPr="00691FFB">
        <w:rPr>
          <w:rFonts w:ascii="Times New Roman" w:hAnsi="Times New Roman"/>
          <w:noProof/>
          <w:spacing w:val="-4"/>
          <w:sz w:val="24"/>
        </w:rPr>
        <w:t>.</w:t>
      </w:r>
    </w:p>
    <w:p w14:paraId="256F5665" w14:textId="00DE1365" w:rsidR="00AC1B3A" w:rsidRPr="008F4E1C" w:rsidRDefault="004E6404" w:rsidP="00AC1B3A">
      <w:pPr>
        <w:spacing w:after="120" w:line="240" w:lineRule="auto"/>
        <w:jc w:val="both"/>
        <w:rPr>
          <w:rFonts w:ascii="Times New Roman" w:hAnsi="Times New Roman" w:cs="Times New Roman"/>
          <w:noProof/>
          <w:color w:val="000000"/>
          <w:spacing w:val="-4"/>
          <w:sz w:val="24"/>
          <w:szCs w:val="24"/>
        </w:rPr>
      </w:pPr>
      <w:r w:rsidRPr="008F4E1C">
        <w:rPr>
          <w:rFonts w:ascii="Times New Roman" w:hAnsi="Times New Roman"/>
          <w:noProof/>
          <w:spacing w:val="-4"/>
          <w:sz w:val="24"/>
        </w:rPr>
        <w:t>Okrem toho bola nastolená otázka, či by článok 24 mohol mať reflexívny účinok (</w:t>
      </w:r>
      <w:r w:rsidRPr="008F4E1C">
        <w:rPr>
          <w:rFonts w:ascii="Times New Roman" w:hAnsi="Times New Roman"/>
          <w:i/>
          <w:noProof/>
          <w:spacing w:val="-4"/>
          <w:sz w:val="24"/>
        </w:rPr>
        <w:t>effet réflexe</w:t>
      </w:r>
      <w:r w:rsidRPr="008F4E1C">
        <w:rPr>
          <w:rFonts w:ascii="Times New Roman" w:hAnsi="Times New Roman"/>
          <w:noProof/>
          <w:spacing w:val="-4"/>
          <w:sz w:val="24"/>
        </w:rPr>
        <w:t>)</w:t>
      </w:r>
      <w:r w:rsidR="00AE6533" w:rsidRPr="008F4E1C">
        <w:rPr>
          <w:rFonts w:ascii="Times New Roman" w:hAnsi="Times New Roman"/>
          <w:noProof/>
          <w:spacing w:val="-4"/>
          <w:sz w:val="24"/>
        </w:rPr>
        <w:t xml:space="preserve"> a </w:t>
      </w:r>
      <w:r w:rsidRPr="008F4E1C">
        <w:rPr>
          <w:rFonts w:ascii="Times New Roman" w:hAnsi="Times New Roman"/>
          <w:noProof/>
          <w:spacing w:val="-4"/>
          <w:sz w:val="24"/>
        </w:rPr>
        <w:t>či sú súdy členských štátov povinné rozhodovať</w:t>
      </w:r>
      <w:r w:rsidR="00AE6533" w:rsidRPr="008F4E1C">
        <w:rPr>
          <w:rFonts w:ascii="Times New Roman" w:hAnsi="Times New Roman"/>
          <w:noProof/>
          <w:spacing w:val="-4"/>
          <w:sz w:val="24"/>
        </w:rPr>
        <w:t xml:space="preserve"> v </w:t>
      </w:r>
      <w:r w:rsidRPr="008F4E1C">
        <w:rPr>
          <w:rFonts w:ascii="Times New Roman" w:hAnsi="Times New Roman"/>
          <w:noProof/>
          <w:spacing w:val="-4"/>
          <w:sz w:val="24"/>
        </w:rPr>
        <w:t>sporoch</w:t>
      </w:r>
      <w:r w:rsidR="00AE6533" w:rsidRPr="008F4E1C">
        <w:rPr>
          <w:rFonts w:ascii="Times New Roman" w:hAnsi="Times New Roman"/>
          <w:noProof/>
          <w:spacing w:val="-4"/>
          <w:sz w:val="24"/>
        </w:rPr>
        <w:t xml:space="preserve"> v </w:t>
      </w:r>
      <w:r w:rsidRPr="008F4E1C">
        <w:rPr>
          <w:rFonts w:ascii="Times New Roman" w:hAnsi="Times New Roman"/>
          <w:noProof/>
          <w:spacing w:val="-4"/>
          <w:sz w:val="24"/>
        </w:rPr>
        <w:t xml:space="preserve">rámci rozsahu pôsobnosti článku 24, ktoré majú silné väzby na tretie štáty. Otázka konkrétne znela, či článok 24 poskytuje </w:t>
      </w:r>
      <w:r w:rsidRPr="008F4E1C">
        <w:rPr>
          <w:rFonts w:ascii="Times New Roman" w:hAnsi="Times New Roman"/>
          <w:noProof/>
          <w:color w:val="000000"/>
          <w:spacing w:val="-4"/>
          <w:sz w:val="24"/>
        </w:rPr>
        <w:t>súdom členských štátov</w:t>
      </w:r>
      <w:r w:rsidR="008F4E1C" w:rsidRPr="008F4E1C">
        <w:rPr>
          <w:rFonts w:ascii="Times New Roman" w:hAnsi="Times New Roman"/>
          <w:noProof/>
          <w:color w:val="000000"/>
          <w:spacing w:val="-4"/>
          <w:sz w:val="24"/>
        </w:rPr>
        <w:t xml:space="preserve"> </w:t>
      </w:r>
      <w:r w:rsidRPr="008F4E1C">
        <w:rPr>
          <w:rFonts w:ascii="Times New Roman" w:hAnsi="Times New Roman"/>
          <w:noProof/>
          <w:spacing w:val="-4"/>
          <w:sz w:val="24"/>
        </w:rPr>
        <w:t xml:space="preserve">možnosť voľby </w:t>
      </w:r>
      <w:r w:rsidRPr="008F4E1C">
        <w:rPr>
          <w:rFonts w:ascii="Times New Roman" w:hAnsi="Times New Roman"/>
          <w:noProof/>
          <w:color w:val="000000"/>
          <w:spacing w:val="-4"/>
          <w:sz w:val="24"/>
        </w:rPr>
        <w:t>alebo ich zaväzuje nerozhodovať vo veci, hoci žalovaný má bydlisko</w:t>
      </w:r>
      <w:r w:rsidR="00AE6533" w:rsidRPr="008F4E1C">
        <w:rPr>
          <w:rFonts w:ascii="Times New Roman" w:hAnsi="Times New Roman"/>
          <w:noProof/>
          <w:color w:val="000000"/>
          <w:spacing w:val="-4"/>
          <w:sz w:val="24"/>
        </w:rPr>
        <w:t xml:space="preserve"> v </w:t>
      </w:r>
      <w:r w:rsidRPr="008F4E1C">
        <w:rPr>
          <w:rFonts w:ascii="Times New Roman" w:hAnsi="Times New Roman"/>
          <w:noProof/>
          <w:color w:val="000000"/>
          <w:spacing w:val="-4"/>
          <w:sz w:val="24"/>
        </w:rPr>
        <w:t>danom členskom štáte, alebo či súd členského štátu môže založiť svoju právomoc na iných normách uvedených</w:t>
      </w:r>
      <w:r w:rsidR="00AE6533" w:rsidRPr="008F4E1C">
        <w:rPr>
          <w:rFonts w:ascii="Times New Roman" w:hAnsi="Times New Roman"/>
          <w:noProof/>
          <w:color w:val="000000"/>
          <w:spacing w:val="-4"/>
          <w:sz w:val="24"/>
        </w:rPr>
        <w:t xml:space="preserve"> v </w:t>
      </w:r>
      <w:r w:rsidRPr="008F4E1C">
        <w:rPr>
          <w:rFonts w:ascii="Times New Roman" w:hAnsi="Times New Roman"/>
          <w:noProof/>
          <w:color w:val="000000"/>
          <w:spacing w:val="-4"/>
          <w:sz w:val="24"/>
        </w:rPr>
        <w:t>nariadení</w:t>
      </w:r>
      <w:r w:rsidR="00AE6533" w:rsidRPr="008F4E1C">
        <w:rPr>
          <w:rFonts w:ascii="Times New Roman" w:hAnsi="Times New Roman"/>
          <w:noProof/>
          <w:color w:val="000000"/>
          <w:spacing w:val="-4"/>
          <w:sz w:val="24"/>
        </w:rPr>
        <w:t xml:space="preserve"> v </w:t>
      </w:r>
      <w:r w:rsidRPr="008F4E1C">
        <w:rPr>
          <w:rFonts w:ascii="Times New Roman" w:hAnsi="Times New Roman"/>
          <w:noProof/>
          <w:color w:val="000000"/>
          <w:spacing w:val="-4"/>
          <w:sz w:val="24"/>
        </w:rPr>
        <w:t>prípadoch, keď je patent zapísaný alebo sa nehnuteľnosť nachádza</w:t>
      </w:r>
      <w:r w:rsidR="00AE6533" w:rsidRPr="008F4E1C">
        <w:rPr>
          <w:rFonts w:ascii="Times New Roman" w:hAnsi="Times New Roman"/>
          <w:noProof/>
          <w:color w:val="000000"/>
          <w:spacing w:val="-4"/>
          <w:sz w:val="24"/>
        </w:rPr>
        <w:t xml:space="preserve"> v </w:t>
      </w:r>
      <w:r w:rsidRPr="008F4E1C">
        <w:rPr>
          <w:rFonts w:ascii="Times New Roman" w:hAnsi="Times New Roman"/>
          <w:noProof/>
          <w:color w:val="000000"/>
          <w:spacing w:val="-4"/>
          <w:sz w:val="24"/>
        </w:rPr>
        <w:t>treťom štáte, ako tak robí</w:t>
      </w:r>
      <w:r w:rsidR="00AE6533" w:rsidRPr="008F4E1C">
        <w:rPr>
          <w:rFonts w:ascii="Times New Roman" w:hAnsi="Times New Roman"/>
          <w:noProof/>
          <w:color w:val="000000"/>
          <w:spacing w:val="-4"/>
          <w:sz w:val="24"/>
        </w:rPr>
        <w:t xml:space="preserve"> v </w:t>
      </w:r>
      <w:r w:rsidRPr="008F4E1C">
        <w:rPr>
          <w:rFonts w:ascii="Times New Roman" w:hAnsi="Times New Roman"/>
          <w:noProof/>
          <w:color w:val="000000"/>
          <w:spacing w:val="-4"/>
          <w:sz w:val="24"/>
        </w:rPr>
        <w:t>prípade patentov zapísaných alebo nehnuteľností nachádzajúcich sa</w:t>
      </w:r>
      <w:r w:rsidR="00AE6533" w:rsidRPr="008F4E1C">
        <w:rPr>
          <w:rFonts w:ascii="Times New Roman" w:hAnsi="Times New Roman"/>
          <w:noProof/>
          <w:color w:val="000000"/>
          <w:spacing w:val="-4"/>
          <w:sz w:val="24"/>
        </w:rPr>
        <w:t xml:space="preserve"> v </w:t>
      </w:r>
      <w:r w:rsidRPr="008F4E1C">
        <w:rPr>
          <w:rFonts w:ascii="Times New Roman" w:hAnsi="Times New Roman"/>
          <w:noProof/>
          <w:color w:val="000000"/>
          <w:spacing w:val="-4"/>
          <w:sz w:val="24"/>
        </w:rPr>
        <w:t>iných členských štátoch.</w:t>
      </w:r>
    </w:p>
    <w:p w14:paraId="5405986F" w14:textId="16B04106" w:rsidR="00BD33B6" w:rsidRPr="00691FFB" w:rsidRDefault="00927CBE" w:rsidP="00927CBE">
      <w:pPr>
        <w:spacing w:after="120" w:line="240" w:lineRule="auto"/>
        <w:jc w:val="both"/>
        <w:rPr>
          <w:rStyle w:val="Emphasis"/>
          <w:rFonts w:ascii="Times New Roman" w:hAnsi="Times New Roman" w:cs="Times New Roman"/>
          <w:i w:val="0"/>
          <w:iCs w:val="0"/>
          <w:noProof/>
          <w:spacing w:val="-4"/>
          <w:sz w:val="24"/>
          <w:szCs w:val="24"/>
          <w:bdr w:val="none" w:sz="0" w:space="0" w:color="auto" w:frame="1"/>
          <w:shd w:val="clear" w:color="auto" w:fill="FEFEFD"/>
        </w:rPr>
      </w:pPr>
      <w:r w:rsidRPr="00691FFB">
        <w:rPr>
          <w:rFonts w:ascii="Times New Roman" w:hAnsi="Times New Roman"/>
          <w:noProof/>
          <w:spacing w:val="-4"/>
          <w:sz w:val="24"/>
        </w:rPr>
        <w:t xml:space="preserve">Nedávny rozsudok Súdneho dvora Európskej únie vo veci BSH </w:t>
      </w:r>
      <w:r w:rsidR="008F4E1C">
        <w:rPr>
          <w:rFonts w:ascii="Times New Roman" w:hAnsi="Times New Roman"/>
          <w:noProof/>
          <w:spacing w:val="-4"/>
          <w:sz w:val="24"/>
        </w:rPr>
        <w:t xml:space="preserve">Hausgeräte </w:t>
      </w:r>
      <w:r w:rsidRPr="00691FFB">
        <w:rPr>
          <w:rFonts w:ascii="Times New Roman" w:hAnsi="Times New Roman"/>
          <w:noProof/>
          <w:spacing w:val="-4"/>
          <w:sz w:val="24"/>
        </w:rPr>
        <w:t>(C</w:t>
      </w:r>
      <w:r w:rsidRPr="00691FFB">
        <w:rPr>
          <w:rFonts w:ascii="Times New Roman" w:hAnsi="Times New Roman"/>
          <w:noProof/>
          <w:spacing w:val="-4"/>
          <w:sz w:val="24"/>
        </w:rPr>
        <w:noBreakHyphen/>
        <w:t>339/22) poskytol odpoveď na otázku, ktorá predtým rozdeľovala súdy členských štátov</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vedeckých odborníkov na dva protichodné tábory. Súdny dvor Európskej únie</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tomto rozsudku objasnil, že článok 24 ods. 4 nemá reflexívny účinok.</w:t>
      </w:r>
      <w:r w:rsidR="005015FB" w:rsidRPr="00691FFB">
        <w:rPr>
          <w:rStyle w:val="FootnoteReference"/>
          <w:rFonts w:ascii="Times New Roman" w:hAnsi="Times New Roman" w:cs="Times New Roman"/>
          <w:noProof/>
          <w:spacing w:val="-4"/>
          <w:sz w:val="24"/>
          <w:szCs w:val="24"/>
          <w:bdr w:val="none" w:sz="0" w:space="0" w:color="auto" w:frame="1"/>
          <w:shd w:val="clear" w:color="auto" w:fill="FEFEFD"/>
        </w:rPr>
        <w:footnoteReference w:id="42"/>
      </w:r>
      <w:r w:rsidRPr="00691FFB">
        <w:rPr>
          <w:rStyle w:val="Emphasis"/>
          <w:rFonts w:ascii="Times New Roman" w:hAnsi="Times New Roman"/>
          <w:i w:val="0"/>
          <w:noProof/>
          <w:spacing w:val="-4"/>
          <w:sz w:val="24"/>
          <w:bdr w:val="none" w:sz="0" w:space="0" w:color="auto" w:frame="1"/>
          <w:shd w:val="clear" w:color="auto" w:fill="FEFEFD"/>
        </w:rPr>
        <w:t xml:space="preserve"> Tento záver možno extrapolovať na celý článok 24.</w:t>
      </w:r>
    </w:p>
    <w:p w14:paraId="285ECC2E" w14:textId="63747978" w:rsidR="00AE6533" w:rsidRDefault="006B74EC" w:rsidP="00927CBE">
      <w:pPr>
        <w:spacing w:after="120" w:line="240" w:lineRule="auto"/>
        <w:jc w:val="both"/>
        <w:rPr>
          <w:rFonts w:ascii="Times New Roman" w:hAnsi="Times New Roman"/>
          <w:noProof/>
          <w:sz w:val="24"/>
          <w:bdr w:val="none" w:sz="0" w:space="0" w:color="auto" w:frame="1"/>
          <w:shd w:val="clear" w:color="auto" w:fill="FEFEFD"/>
        </w:rPr>
      </w:pPr>
      <w:r w:rsidRPr="00AE6533">
        <w:rPr>
          <w:rFonts w:ascii="Times New Roman" w:hAnsi="Times New Roman"/>
          <w:noProof/>
          <w:sz w:val="24"/>
        </w:rPr>
        <w:t xml:space="preserve">Okrem toho Súdny dvor Európskej únie vo svojom rozsudku vo veci BSH </w:t>
      </w:r>
      <w:r w:rsidR="008F4E1C">
        <w:rPr>
          <w:rFonts w:ascii="Times New Roman" w:hAnsi="Times New Roman"/>
          <w:noProof/>
          <w:sz w:val="24"/>
        </w:rPr>
        <w:t xml:space="preserve">Hausgeräte </w:t>
      </w:r>
      <w:r w:rsidRPr="00AE6533">
        <w:rPr>
          <w:rFonts w:ascii="Times New Roman" w:hAnsi="Times New Roman"/>
          <w:noProof/>
          <w:sz w:val="24"/>
        </w:rPr>
        <w:t>(C-339/22) ďalej spresnil svoje rozhodnutie vo veci GAT, pričom uviedol,</w:t>
      </w:r>
      <w:r w:rsidRPr="00AE6533">
        <w:rPr>
          <w:rFonts w:ascii="Times New Roman" w:hAnsi="Times New Roman"/>
          <w:noProof/>
          <w:sz w:val="24"/>
          <w:bdr w:val="none" w:sz="0" w:space="0" w:color="auto" w:frame="1"/>
          <w:shd w:val="clear" w:color="auto" w:fill="FEFEFD"/>
        </w:rPr>
        <w:t xml:space="preserve"> že súd členského štátu,</w:t>
      </w:r>
      <w:r w:rsidR="00AE6533">
        <w:rPr>
          <w:rFonts w:ascii="Times New Roman" w:hAnsi="Times New Roman"/>
          <w:noProof/>
          <w:sz w:val="24"/>
          <w:bdr w:val="none" w:sz="0" w:space="0" w:color="auto" w:frame="1"/>
          <w:shd w:val="clear" w:color="auto" w:fill="FEFEFD"/>
        </w:rPr>
        <w:t xml:space="preserve"> v </w:t>
      </w:r>
      <w:r w:rsidRPr="00AE6533">
        <w:rPr>
          <w:rFonts w:ascii="Times New Roman" w:hAnsi="Times New Roman"/>
          <w:noProof/>
          <w:sz w:val="24"/>
          <w:bdr w:val="none" w:sz="0" w:space="0" w:color="auto" w:frame="1"/>
          <w:shd w:val="clear" w:color="auto" w:fill="FEFEFD"/>
        </w:rPr>
        <w:t>ktorom má žalovaný bydlisko, na ktorý bola na základe článku 4 ods. 1 nariadenia podaná žaloba pre porušenie patentu udeleného</w:t>
      </w:r>
      <w:r w:rsidR="00AE6533">
        <w:rPr>
          <w:rFonts w:ascii="Times New Roman" w:hAnsi="Times New Roman"/>
          <w:noProof/>
          <w:sz w:val="24"/>
          <w:bdr w:val="none" w:sz="0" w:space="0" w:color="auto" w:frame="1"/>
          <w:shd w:val="clear" w:color="auto" w:fill="FEFEFD"/>
        </w:rPr>
        <w:t xml:space="preserve"> v </w:t>
      </w:r>
      <w:r w:rsidRPr="00AE6533">
        <w:rPr>
          <w:rFonts w:ascii="Times New Roman" w:hAnsi="Times New Roman"/>
          <w:noProof/>
          <w:sz w:val="24"/>
          <w:bdr w:val="none" w:sz="0" w:space="0" w:color="auto" w:frame="1"/>
          <w:shd w:val="clear" w:color="auto" w:fill="FEFEFD"/>
        </w:rPr>
        <w:t>inom členskom štáte, má naďalej právomoc rozhodovať</w:t>
      </w:r>
      <w:r w:rsidR="00AE6533">
        <w:rPr>
          <w:rFonts w:ascii="Times New Roman" w:hAnsi="Times New Roman"/>
          <w:noProof/>
          <w:sz w:val="24"/>
          <w:bdr w:val="none" w:sz="0" w:space="0" w:color="auto" w:frame="1"/>
          <w:shd w:val="clear" w:color="auto" w:fill="FEFEFD"/>
        </w:rPr>
        <w:t xml:space="preserve"> o </w:t>
      </w:r>
      <w:r w:rsidRPr="00AE6533">
        <w:rPr>
          <w:rFonts w:ascii="Times New Roman" w:hAnsi="Times New Roman"/>
          <w:noProof/>
          <w:sz w:val="24"/>
          <w:bdr w:val="none" w:sz="0" w:space="0" w:color="auto" w:frame="1"/>
          <w:shd w:val="clear" w:color="auto" w:fill="FEFEFD"/>
        </w:rPr>
        <w:t>tejto žalobe, ak tento žalovaný</w:t>
      </w:r>
      <w:r w:rsidR="00AE6533">
        <w:rPr>
          <w:rFonts w:ascii="Times New Roman" w:hAnsi="Times New Roman"/>
          <w:noProof/>
          <w:sz w:val="24"/>
          <w:bdr w:val="none" w:sz="0" w:space="0" w:color="auto" w:frame="1"/>
          <w:shd w:val="clear" w:color="auto" w:fill="FEFEFD"/>
        </w:rPr>
        <w:t xml:space="preserve"> v </w:t>
      </w:r>
      <w:r w:rsidRPr="00AE6533">
        <w:rPr>
          <w:rFonts w:ascii="Times New Roman" w:hAnsi="Times New Roman"/>
          <w:noProof/>
          <w:sz w:val="24"/>
          <w:bdr w:val="none" w:sz="0" w:space="0" w:color="auto" w:frame="1"/>
          <w:shd w:val="clear" w:color="auto" w:fill="FEFEFD"/>
        </w:rPr>
        <w:t>rámci tejto žaloby spochybňuje prostredníctvom námietky platnosť tohto patentu, hoci právomoc rozhodovať</w:t>
      </w:r>
      <w:r w:rsidR="00AE6533">
        <w:rPr>
          <w:rFonts w:ascii="Times New Roman" w:hAnsi="Times New Roman"/>
          <w:noProof/>
          <w:sz w:val="24"/>
          <w:bdr w:val="none" w:sz="0" w:space="0" w:color="auto" w:frame="1"/>
          <w:shd w:val="clear" w:color="auto" w:fill="FEFEFD"/>
        </w:rPr>
        <w:t xml:space="preserve"> o </w:t>
      </w:r>
      <w:r w:rsidRPr="00AE6533">
        <w:rPr>
          <w:rFonts w:ascii="Times New Roman" w:hAnsi="Times New Roman"/>
          <w:noProof/>
          <w:sz w:val="24"/>
          <w:bdr w:val="none" w:sz="0" w:space="0" w:color="auto" w:frame="1"/>
          <w:shd w:val="clear" w:color="auto" w:fill="FEFEFD"/>
        </w:rPr>
        <w:t>tejto platnosti majú výlučne súdy tohto iného členského štátu</w:t>
      </w:r>
      <w:r w:rsidR="00AE6533">
        <w:rPr>
          <w:rFonts w:ascii="Times New Roman" w:hAnsi="Times New Roman"/>
          <w:noProof/>
          <w:sz w:val="24"/>
          <w:bdr w:val="none" w:sz="0" w:space="0" w:color="auto" w:frame="1"/>
          <w:shd w:val="clear" w:color="auto" w:fill="FEFEFD"/>
        </w:rPr>
        <w:t>.</w:t>
      </w:r>
    </w:p>
    <w:p w14:paraId="3504A240" w14:textId="657478F4" w:rsidR="00C8774D" w:rsidRPr="00AE6533" w:rsidRDefault="00C8774D" w:rsidP="00BD33B6">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Na záver možno konštatovať, že normy uvedené</w:t>
      </w:r>
      <w:r w:rsidR="00AE6533">
        <w:rPr>
          <w:rFonts w:ascii="Times New Roman" w:hAnsi="Times New Roman"/>
          <w:noProof/>
          <w:sz w:val="24"/>
        </w:rPr>
        <w:t xml:space="preserve"> v </w:t>
      </w:r>
      <w:r w:rsidRPr="00AE6533">
        <w:rPr>
          <w:rFonts w:ascii="Times New Roman" w:hAnsi="Times New Roman"/>
          <w:noProof/>
          <w:sz w:val="24"/>
        </w:rPr>
        <w:t>nariadení, ktorými sa určuje výlučná právomoc, vo všeobecnosti fungujú dobre. Napriek tomu by sa</w:t>
      </w:r>
      <w:r w:rsidR="00AE6533">
        <w:rPr>
          <w:rFonts w:ascii="Times New Roman" w:hAnsi="Times New Roman"/>
          <w:noProof/>
          <w:sz w:val="24"/>
        </w:rPr>
        <w:t xml:space="preserve"> v </w:t>
      </w:r>
      <w:r w:rsidRPr="00AE6533">
        <w:rPr>
          <w:rFonts w:ascii="Times New Roman" w:hAnsi="Times New Roman"/>
          <w:noProof/>
          <w:sz w:val="24"/>
        </w:rPr>
        <w:t xml:space="preserve">rámci budúceho preskúmaní nariadenia mohlo prehodnotiť znenie článku 24 ods. 4, ktorého cieľom je kodifikovať judikatúru </w:t>
      </w:r>
      <w:r w:rsidRPr="00AE6533">
        <w:rPr>
          <w:rFonts w:ascii="Times New Roman" w:hAnsi="Times New Roman"/>
          <w:i/>
          <w:noProof/>
          <w:sz w:val="24"/>
        </w:rPr>
        <w:t>GAT</w:t>
      </w:r>
      <w:r w:rsidRPr="00AE6533">
        <w:rPr>
          <w:rFonts w:ascii="Times New Roman" w:hAnsi="Times New Roman"/>
          <w:noProof/>
          <w:sz w:val="24"/>
        </w:rPr>
        <w:t xml:space="preserve"> vzhľadom na nedávny vývoj vo veci BSH </w:t>
      </w:r>
      <w:r w:rsidR="008F4E1C">
        <w:rPr>
          <w:rFonts w:ascii="Times New Roman" w:hAnsi="Times New Roman"/>
          <w:noProof/>
          <w:sz w:val="24"/>
        </w:rPr>
        <w:t>Hausgeräte</w:t>
      </w:r>
      <w:r w:rsidRPr="00AE6533">
        <w:rPr>
          <w:rFonts w:ascii="Times New Roman" w:hAnsi="Times New Roman"/>
          <w:noProof/>
          <w:sz w:val="24"/>
        </w:rPr>
        <w:t>.</w:t>
      </w:r>
    </w:p>
    <w:p w14:paraId="0736B1E2" w14:textId="77777777" w:rsidR="00AE6533" w:rsidRDefault="00A8496C" w:rsidP="005E61E3">
      <w:pPr>
        <w:pStyle w:val="Heading1"/>
        <w:spacing w:after="120" w:line="240" w:lineRule="auto"/>
        <w:rPr>
          <w:rFonts w:ascii="Times New Roman" w:hAnsi="Times New Roman"/>
          <w:b/>
          <w:smallCaps/>
          <w:noProof/>
          <w:color w:val="auto"/>
          <w:sz w:val="24"/>
        </w:rPr>
      </w:pPr>
      <w:r w:rsidRPr="00AE6533">
        <w:rPr>
          <w:rFonts w:ascii="Times New Roman" w:hAnsi="Times New Roman"/>
          <w:b/>
          <w:noProof/>
          <w:color w:val="auto"/>
          <w:sz w:val="24"/>
        </w:rPr>
        <w:t xml:space="preserve">4. </w:t>
      </w:r>
      <w:r w:rsidRPr="00AE6533">
        <w:rPr>
          <w:rFonts w:ascii="Times New Roman" w:hAnsi="Times New Roman"/>
          <w:b/>
          <w:smallCaps/>
          <w:noProof/>
          <w:color w:val="auto"/>
          <w:sz w:val="24"/>
        </w:rPr>
        <w:t>Uznávanie</w:t>
      </w:r>
      <w:r w:rsidR="00AE6533">
        <w:rPr>
          <w:rFonts w:ascii="Times New Roman" w:hAnsi="Times New Roman"/>
          <w:b/>
          <w:smallCaps/>
          <w:noProof/>
          <w:color w:val="auto"/>
          <w:sz w:val="24"/>
        </w:rPr>
        <w:t xml:space="preserve"> a </w:t>
      </w:r>
      <w:r w:rsidRPr="00AE6533">
        <w:rPr>
          <w:rFonts w:ascii="Times New Roman" w:hAnsi="Times New Roman"/>
          <w:b/>
          <w:smallCaps/>
          <w:noProof/>
          <w:color w:val="auto"/>
          <w:sz w:val="24"/>
        </w:rPr>
        <w:t>výkon</w:t>
      </w:r>
    </w:p>
    <w:p w14:paraId="3D6A7FFF" w14:textId="2A4A80AA" w:rsidR="00AE6533" w:rsidRDefault="009D0115" w:rsidP="00577498">
      <w:pPr>
        <w:spacing w:after="120" w:line="240" w:lineRule="auto"/>
        <w:jc w:val="both"/>
        <w:rPr>
          <w:rFonts w:ascii="Times New Roman" w:hAnsi="Times New Roman"/>
          <w:noProof/>
          <w:sz w:val="24"/>
        </w:rPr>
      </w:pPr>
      <w:r w:rsidRPr="00AE6533">
        <w:rPr>
          <w:rFonts w:ascii="Times New Roman" w:hAnsi="Times New Roman"/>
          <w:noProof/>
          <w:sz w:val="24"/>
        </w:rPr>
        <w:t xml:space="preserve">Nariadením sa zrušila potreba vyhlásenia vykonateľnosti </w:t>
      </w:r>
      <w:r w:rsidRPr="00AE6533">
        <w:rPr>
          <w:rFonts w:ascii="Times New Roman" w:hAnsi="Times New Roman"/>
          <w:i/>
          <w:noProof/>
          <w:sz w:val="24"/>
        </w:rPr>
        <w:t>(exequatur)</w:t>
      </w:r>
      <w:r w:rsidRPr="00AE6533">
        <w:rPr>
          <w:rFonts w:ascii="Times New Roman" w:hAnsi="Times New Roman"/>
          <w:noProof/>
          <w:sz w:val="24"/>
        </w:rPr>
        <w:t xml:space="preserve"> na účely výkonu cudzieho rozsudku, čo je zmena, ktorá sa odôvodňuje vzájomnou dôverou vo výkon spravodlivosti medzi členskými štátmi. Nový systém funguje</w:t>
      </w:r>
      <w:r w:rsidR="00AE6533">
        <w:rPr>
          <w:rFonts w:ascii="Times New Roman" w:hAnsi="Times New Roman"/>
          <w:noProof/>
          <w:sz w:val="24"/>
        </w:rPr>
        <w:t xml:space="preserve"> v </w:t>
      </w:r>
      <w:r w:rsidRPr="00AE6533">
        <w:rPr>
          <w:rFonts w:ascii="Times New Roman" w:hAnsi="Times New Roman"/>
          <w:noProof/>
          <w:sz w:val="24"/>
        </w:rPr>
        <w:t>praxi pomerne dobre</w:t>
      </w:r>
      <w:r w:rsidR="00AE6533">
        <w:rPr>
          <w:rFonts w:ascii="Times New Roman" w:hAnsi="Times New Roman"/>
          <w:noProof/>
          <w:sz w:val="24"/>
        </w:rPr>
        <w:t xml:space="preserve"> a </w:t>
      </w:r>
      <w:r w:rsidRPr="00AE6533">
        <w:rPr>
          <w:rFonts w:ascii="Times New Roman" w:hAnsi="Times New Roman"/>
          <w:noProof/>
          <w:sz w:val="24"/>
        </w:rPr>
        <w:t>má pozitívny vplyv na zníženie nákladov</w:t>
      </w:r>
      <w:r w:rsidR="00AE6533">
        <w:rPr>
          <w:rFonts w:ascii="Times New Roman" w:hAnsi="Times New Roman"/>
          <w:noProof/>
          <w:sz w:val="24"/>
        </w:rPr>
        <w:t xml:space="preserve"> a </w:t>
      </w:r>
      <w:r w:rsidRPr="00AE6533">
        <w:rPr>
          <w:rFonts w:ascii="Times New Roman" w:hAnsi="Times New Roman"/>
          <w:noProof/>
          <w:sz w:val="24"/>
        </w:rPr>
        <w:t>pracovného zaťaženia súdov</w:t>
      </w:r>
      <w:r w:rsidR="00A32F96" w:rsidRPr="00AE6533">
        <w:rPr>
          <w:rStyle w:val="FootnoteReference"/>
          <w:rFonts w:ascii="Times New Roman" w:hAnsi="Times New Roman" w:cs="Times New Roman"/>
          <w:noProof/>
          <w:sz w:val="24"/>
          <w:szCs w:val="24"/>
        </w:rPr>
        <w:footnoteReference w:id="43"/>
      </w:r>
      <w:r w:rsidRPr="00AE6533">
        <w:rPr>
          <w:rFonts w:ascii="Times New Roman" w:hAnsi="Times New Roman"/>
          <w:noProof/>
          <w:sz w:val="24"/>
        </w:rPr>
        <w:t>. Existujú určité vnútroštátne rozdiely, ktoré sa týkajú najmä výkladu dôvodov na zamietnutie, to však nemá vplyv na celkovo dobré fungovanie systému uznávania</w:t>
      </w:r>
      <w:r w:rsidR="00AE6533">
        <w:rPr>
          <w:rFonts w:ascii="Times New Roman" w:hAnsi="Times New Roman"/>
          <w:noProof/>
          <w:sz w:val="24"/>
        </w:rPr>
        <w:t xml:space="preserve"> a </w:t>
      </w:r>
      <w:r w:rsidRPr="00AE6533">
        <w:rPr>
          <w:rFonts w:ascii="Times New Roman" w:hAnsi="Times New Roman"/>
          <w:noProof/>
          <w:sz w:val="24"/>
        </w:rPr>
        <w:t>výkonu. Súdny dvor vykladal tieto dôvody na zamietnutie</w:t>
      </w:r>
      <w:r w:rsidR="00AE6533">
        <w:rPr>
          <w:rFonts w:ascii="Times New Roman" w:hAnsi="Times New Roman"/>
          <w:noProof/>
          <w:sz w:val="24"/>
        </w:rPr>
        <w:t xml:space="preserve"> v </w:t>
      </w:r>
      <w:r w:rsidRPr="00AE6533">
        <w:rPr>
          <w:rFonts w:ascii="Times New Roman" w:hAnsi="Times New Roman"/>
          <w:noProof/>
          <w:sz w:val="24"/>
        </w:rPr>
        <w:t>priebehu rokov jednotne</w:t>
      </w:r>
      <w:r w:rsidR="00AE6533">
        <w:rPr>
          <w:rFonts w:ascii="Times New Roman" w:hAnsi="Times New Roman"/>
          <w:noProof/>
          <w:sz w:val="24"/>
        </w:rPr>
        <w:t xml:space="preserve"> a </w:t>
      </w:r>
      <w:r w:rsidRPr="00AE6533">
        <w:rPr>
          <w:rFonts w:ascii="Times New Roman" w:hAnsi="Times New Roman"/>
          <w:noProof/>
          <w:sz w:val="24"/>
        </w:rPr>
        <w:t>niekoľko vecí podaných podľa tohto nariadenia túto situáciu nemení. Hoci sa celkovo nezaznamenali žiadne osobitné problémy súvisiace</w:t>
      </w:r>
      <w:r w:rsidR="00AE6533">
        <w:rPr>
          <w:rFonts w:ascii="Times New Roman" w:hAnsi="Times New Roman"/>
          <w:noProof/>
          <w:sz w:val="24"/>
        </w:rPr>
        <w:t xml:space="preserve"> s </w:t>
      </w:r>
      <w:r w:rsidRPr="00AE6533">
        <w:rPr>
          <w:rFonts w:ascii="Times New Roman" w:hAnsi="Times New Roman"/>
          <w:noProof/>
          <w:sz w:val="24"/>
        </w:rPr>
        <w:t>(novým) systémom uznávania</w:t>
      </w:r>
      <w:r w:rsidR="00AE6533">
        <w:rPr>
          <w:rFonts w:ascii="Times New Roman" w:hAnsi="Times New Roman"/>
          <w:noProof/>
          <w:sz w:val="24"/>
        </w:rPr>
        <w:t xml:space="preserve"> a </w:t>
      </w:r>
      <w:r w:rsidRPr="00AE6533">
        <w:rPr>
          <w:rFonts w:ascii="Times New Roman" w:hAnsi="Times New Roman"/>
          <w:noProof/>
          <w:sz w:val="24"/>
        </w:rPr>
        <w:t>výkonu, viaceré technické otázky si môžu vyžadovať ďalšie uváženie</w:t>
      </w:r>
      <w:r w:rsidR="00AE6533">
        <w:rPr>
          <w:rFonts w:ascii="Times New Roman" w:hAnsi="Times New Roman"/>
          <w:noProof/>
          <w:sz w:val="24"/>
        </w:rPr>
        <w:t xml:space="preserve"> v </w:t>
      </w:r>
      <w:r w:rsidRPr="00AE6533">
        <w:rPr>
          <w:rFonts w:ascii="Times New Roman" w:hAnsi="Times New Roman"/>
          <w:noProof/>
          <w:sz w:val="24"/>
        </w:rPr>
        <w:t>rámci prípadného budúceho procesu preskúmania</w:t>
      </w:r>
      <w:r w:rsidR="00AE6533">
        <w:rPr>
          <w:rFonts w:ascii="Times New Roman" w:hAnsi="Times New Roman"/>
          <w:noProof/>
          <w:sz w:val="24"/>
        </w:rPr>
        <w:t>.</w:t>
      </w:r>
    </w:p>
    <w:p w14:paraId="20318C06" w14:textId="57CBB84E" w:rsidR="009D0115" w:rsidRPr="00AE6533" w:rsidRDefault="009D0115" w:rsidP="002906E6">
      <w:pPr>
        <w:pStyle w:val="Heading2"/>
        <w:spacing w:before="240" w:after="120" w:line="240" w:lineRule="auto"/>
        <w:jc w:val="both"/>
        <w:rPr>
          <w:rFonts w:ascii="Times New Roman" w:hAnsi="Times New Roman" w:cs="Times New Roman"/>
          <w:i/>
          <w:iCs/>
          <w:noProof/>
          <w:color w:val="000000" w:themeColor="text1"/>
          <w:sz w:val="24"/>
          <w:szCs w:val="24"/>
        </w:rPr>
      </w:pPr>
      <w:r w:rsidRPr="00AE6533">
        <w:rPr>
          <w:rFonts w:ascii="Times New Roman" w:hAnsi="Times New Roman"/>
          <w:i/>
          <w:noProof/>
          <w:color w:val="000000" w:themeColor="text1"/>
          <w:sz w:val="24"/>
        </w:rPr>
        <w:t>Uplatnenie dôvodov na zamietnutie</w:t>
      </w:r>
    </w:p>
    <w:p w14:paraId="4362DBF4" w14:textId="0666216D" w:rsidR="009D0115" w:rsidRPr="00AE6533" w:rsidRDefault="009D0115" w:rsidP="003358B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 článku 45 nariadenia sa uvádza niekoľko dôvodov, ktoré môžu viesť</w:t>
      </w:r>
      <w:r w:rsidR="00AE6533">
        <w:rPr>
          <w:rFonts w:ascii="Times New Roman" w:hAnsi="Times New Roman"/>
          <w:noProof/>
          <w:sz w:val="24"/>
        </w:rPr>
        <w:t xml:space="preserve"> k </w:t>
      </w:r>
      <w:r w:rsidRPr="00AE6533">
        <w:rPr>
          <w:rFonts w:ascii="Times New Roman" w:hAnsi="Times New Roman"/>
          <w:noProof/>
          <w:sz w:val="24"/>
        </w:rPr>
        <w:t>zamietnutiu uznania</w:t>
      </w:r>
      <w:r w:rsidR="00AE6533">
        <w:rPr>
          <w:rFonts w:ascii="Times New Roman" w:hAnsi="Times New Roman"/>
          <w:noProof/>
          <w:sz w:val="24"/>
        </w:rPr>
        <w:t xml:space="preserve"> a </w:t>
      </w:r>
      <w:r w:rsidRPr="00AE6533">
        <w:rPr>
          <w:rFonts w:ascii="Times New Roman" w:hAnsi="Times New Roman"/>
          <w:noProof/>
          <w:sz w:val="24"/>
        </w:rPr>
        <w:t>výkonu. Tieto dôvody siahajú od porušenia verejného poriadku</w:t>
      </w:r>
      <w:r w:rsidR="00AE6533">
        <w:rPr>
          <w:rFonts w:ascii="Times New Roman" w:hAnsi="Times New Roman"/>
          <w:noProof/>
          <w:sz w:val="24"/>
        </w:rPr>
        <w:t xml:space="preserve"> v </w:t>
      </w:r>
      <w:r w:rsidRPr="00AE6533">
        <w:rPr>
          <w:rFonts w:ascii="Times New Roman" w:hAnsi="Times New Roman"/>
          <w:noProof/>
          <w:sz w:val="24"/>
        </w:rPr>
        <w:t>dožiadanom členskom štáte cez riadne doručovanie žalovanému, ktorý sa nezúčastnil na konaní, až po nezlučiteľnosť</w:t>
      </w:r>
      <w:r w:rsidR="00AE6533">
        <w:rPr>
          <w:rFonts w:ascii="Times New Roman" w:hAnsi="Times New Roman"/>
          <w:noProof/>
          <w:sz w:val="24"/>
        </w:rPr>
        <w:t xml:space="preserve"> s </w:t>
      </w:r>
      <w:r w:rsidRPr="00AE6533">
        <w:rPr>
          <w:rFonts w:ascii="Times New Roman" w:hAnsi="Times New Roman"/>
          <w:noProof/>
          <w:sz w:val="24"/>
        </w:rPr>
        <w:t>inými rozsudkami.</w:t>
      </w:r>
    </w:p>
    <w:p w14:paraId="2AE27BB1" w14:textId="522DD9AA" w:rsidR="00AE6533" w:rsidRDefault="009D0115" w:rsidP="0018601C">
      <w:pPr>
        <w:spacing w:after="120" w:line="240" w:lineRule="auto"/>
        <w:jc w:val="both"/>
        <w:rPr>
          <w:rFonts w:ascii="Times New Roman" w:hAnsi="Times New Roman"/>
          <w:noProof/>
          <w:sz w:val="24"/>
        </w:rPr>
      </w:pPr>
      <w:r w:rsidRPr="00AE6533">
        <w:rPr>
          <w:rFonts w:ascii="Times New Roman" w:hAnsi="Times New Roman"/>
          <w:noProof/>
          <w:sz w:val="24"/>
        </w:rPr>
        <w:t>Pojem „verejný poriadok“ bol niekoľkokrát predmetom vecí predložených Súdnemu dvoru. Hoci Súdny dvor ponecháva výklad tohto pojmu na vnútroštátnych súdoch, môže preskúmať obmedzenia tohto uplatnenia (Diageo Brands, C</w:t>
      </w:r>
      <w:r w:rsidRPr="00AE6533">
        <w:rPr>
          <w:rFonts w:ascii="Times New Roman" w:hAnsi="Times New Roman"/>
          <w:noProof/>
          <w:sz w:val="24"/>
        </w:rPr>
        <w:noBreakHyphen/>
        <w:t>681/13). Napríklad vo veci H Limited (C-568/20) Súdny dvor zopakoval svoju ustálenú judikatúru, podľa ktorej by sa mal verejný poriadok vykladať reštriktívne</w:t>
      </w:r>
      <w:r w:rsidR="00AE6533">
        <w:rPr>
          <w:rFonts w:ascii="Times New Roman" w:hAnsi="Times New Roman"/>
          <w:noProof/>
          <w:sz w:val="24"/>
        </w:rPr>
        <w:t xml:space="preserve"> a </w:t>
      </w:r>
      <w:r w:rsidRPr="00AE6533">
        <w:rPr>
          <w:rFonts w:ascii="Times New Roman" w:hAnsi="Times New Roman"/>
          <w:noProof/>
          <w:sz w:val="24"/>
        </w:rPr>
        <w:t>mohol by sa uplatniť, „ak by uznanie rozsudku vydaného</w:t>
      </w:r>
      <w:r w:rsidR="00AE6533">
        <w:rPr>
          <w:rFonts w:ascii="Times New Roman" w:hAnsi="Times New Roman"/>
          <w:noProof/>
          <w:sz w:val="24"/>
        </w:rPr>
        <w:t xml:space="preserve"> v </w:t>
      </w:r>
      <w:r w:rsidRPr="00AE6533">
        <w:rPr>
          <w:rFonts w:ascii="Times New Roman" w:hAnsi="Times New Roman"/>
          <w:noProof/>
          <w:sz w:val="24"/>
        </w:rPr>
        <w:t>tomto členskom štáte malo predstavovať zjavné porušenie právnej normy považovanej</w:t>
      </w:r>
      <w:r w:rsidR="00AE6533">
        <w:rPr>
          <w:rFonts w:ascii="Times New Roman" w:hAnsi="Times New Roman"/>
          <w:noProof/>
          <w:sz w:val="24"/>
        </w:rPr>
        <w:t xml:space="preserve"> v </w:t>
      </w:r>
      <w:r w:rsidRPr="00AE6533">
        <w:rPr>
          <w:rFonts w:ascii="Times New Roman" w:hAnsi="Times New Roman"/>
          <w:noProof/>
          <w:sz w:val="24"/>
        </w:rPr>
        <w:t>dožiadanom štáte za zásadnú pre jeho právny poriadok, alebo porušene takého práva, ktoré je</w:t>
      </w:r>
      <w:r w:rsidR="00AE6533">
        <w:rPr>
          <w:rFonts w:ascii="Times New Roman" w:hAnsi="Times New Roman"/>
          <w:noProof/>
          <w:sz w:val="24"/>
        </w:rPr>
        <w:t xml:space="preserve"> v </w:t>
      </w:r>
      <w:r w:rsidRPr="00AE6533">
        <w:rPr>
          <w:rFonts w:ascii="Times New Roman" w:hAnsi="Times New Roman"/>
          <w:noProof/>
          <w:sz w:val="24"/>
        </w:rPr>
        <w:t>jeho právnom poriadku považované za základné“.</w:t>
      </w:r>
      <w:r w:rsidR="00AE6533">
        <w:rPr>
          <w:rFonts w:ascii="Times New Roman" w:hAnsi="Times New Roman"/>
          <w:noProof/>
          <w:sz w:val="24"/>
        </w:rPr>
        <w:t xml:space="preserve"> V </w:t>
      </w:r>
      <w:r w:rsidRPr="00AE6533">
        <w:rPr>
          <w:rFonts w:ascii="Times New Roman" w:hAnsi="Times New Roman"/>
          <w:noProof/>
          <w:sz w:val="24"/>
        </w:rPr>
        <w:t>novšej veci [Real Madrid Club de Fútbol (C-633/22)] Súdny dvor usúdil, že zjavné porušenie základného práva podľa Charty základných práv EÚ môže predstavovať porušenie verejného poriadku, čo odôvodňuje zamietnutie výkonu. Súdny dvor zároveň</w:t>
      </w:r>
      <w:r w:rsidR="00AE6533">
        <w:rPr>
          <w:rFonts w:ascii="Times New Roman" w:hAnsi="Times New Roman"/>
          <w:noProof/>
          <w:sz w:val="24"/>
        </w:rPr>
        <w:t xml:space="preserve"> v </w:t>
      </w:r>
      <w:r w:rsidRPr="00AE6533">
        <w:rPr>
          <w:rFonts w:ascii="Times New Roman" w:hAnsi="Times New Roman"/>
          <w:noProof/>
          <w:sz w:val="24"/>
        </w:rPr>
        <w:t>tom istom rozsudku uznal, že podľa zásady vzájomnej dôvery sa vyžaduje, aby všetky členské štáty predpokladali, že ostatné členské štáty dodržujú právo EÚ, najmä základné práva</w:t>
      </w:r>
      <w:r w:rsidR="00AE6533">
        <w:rPr>
          <w:rFonts w:ascii="Times New Roman" w:hAnsi="Times New Roman"/>
          <w:noProof/>
          <w:sz w:val="24"/>
        </w:rPr>
        <w:t xml:space="preserve"> v </w:t>
      </w:r>
      <w:r w:rsidRPr="00AE6533">
        <w:rPr>
          <w:rFonts w:ascii="Times New Roman" w:hAnsi="Times New Roman"/>
          <w:noProof/>
          <w:sz w:val="24"/>
        </w:rPr>
        <w:t>ňom zakotvené</w:t>
      </w:r>
      <w:r w:rsidR="00AE6533">
        <w:rPr>
          <w:rFonts w:ascii="Times New Roman" w:hAnsi="Times New Roman"/>
          <w:noProof/>
          <w:sz w:val="24"/>
        </w:rPr>
        <w:t>.</w:t>
      </w:r>
    </w:p>
    <w:p w14:paraId="73DD654B" w14:textId="1F12FF63" w:rsidR="00AE6533" w:rsidRDefault="009D0115" w:rsidP="0018601C">
      <w:pPr>
        <w:spacing w:after="120" w:line="240" w:lineRule="auto"/>
        <w:jc w:val="both"/>
        <w:rPr>
          <w:rFonts w:ascii="Times New Roman" w:hAnsi="Times New Roman"/>
          <w:noProof/>
          <w:sz w:val="24"/>
        </w:rPr>
      </w:pPr>
      <w:r w:rsidRPr="00AE6533">
        <w:rPr>
          <w:rFonts w:ascii="Times New Roman" w:hAnsi="Times New Roman"/>
          <w:noProof/>
          <w:sz w:val="24"/>
        </w:rPr>
        <w:t>Na vnútroštátnej úrovni sa verejný poriadok len zriedkavo uplatňuje ako dôvodu na zamietnutie uznania</w:t>
      </w:r>
      <w:r w:rsidR="00AE6533">
        <w:rPr>
          <w:rFonts w:ascii="Times New Roman" w:hAnsi="Times New Roman"/>
          <w:noProof/>
          <w:sz w:val="24"/>
        </w:rPr>
        <w:t xml:space="preserve"> a </w:t>
      </w:r>
      <w:r w:rsidRPr="00AE6533">
        <w:rPr>
          <w:rFonts w:ascii="Times New Roman" w:hAnsi="Times New Roman"/>
          <w:noProof/>
          <w:sz w:val="24"/>
        </w:rPr>
        <w:t>výkonu a, ak sa uplatňuje, len zriedkavo je úspešný</w:t>
      </w:r>
      <w:r w:rsidR="00921203" w:rsidRPr="00AE6533">
        <w:rPr>
          <w:rStyle w:val="FootnoteReference"/>
          <w:rFonts w:ascii="Times New Roman" w:hAnsi="Times New Roman" w:cs="Times New Roman"/>
          <w:noProof/>
          <w:sz w:val="24"/>
          <w:szCs w:val="24"/>
        </w:rPr>
        <w:footnoteReference w:id="44"/>
      </w:r>
      <w:r w:rsidRPr="00AE6533">
        <w:rPr>
          <w:rFonts w:ascii="Times New Roman" w:hAnsi="Times New Roman"/>
          <w:noProof/>
          <w:sz w:val="24"/>
        </w:rPr>
        <w:t>.</w:t>
      </w:r>
      <w:r w:rsidR="00AE6533">
        <w:rPr>
          <w:rFonts w:ascii="Times New Roman" w:hAnsi="Times New Roman"/>
          <w:noProof/>
          <w:sz w:val="24"/>
        </w:rPr>
        <w:t xml:space="preserve"> Z </w:t>
      </w:r>
      <w:r w:rsidRPr="00AE6533">
        <w:rPr>
          <w:rFonts w:ascii="Times New Roman" w:hAnsi="Times New Roman"/>
          <w:noProof/>
          <w:sz w:val="24"/>
        </w:rPr>
        <w:t>toho vyplýva, že vnútroštátne súdy sa vo všeobecnosti riadia judikatúrou Súdneho dvora</w:t>
      </w:r>
      <w:r w:rsidR="00AE6533">
        <w:rPr>
          <w:rFonts w:ascii="Times New Roman" w:hAnsi="Times New Roman"/>
          <w:noProof/>
          <w:sz w:val="24"/>
        </w:rPr>
        <w:t xml:space="preserve"> a </w:t>
      </w:r>
      <w:r w:rsidRPr="00AE6533">
        <w:rPr>
          <w:rFonts w:ascii="Times New Roman" w:hAnsi="Times New Roman"/>
          <w:noProof/>
          <w:sz w:val="24"/>
        </w:rPr>
        <w:t>uplatňujú reštriktívny výklad tohto pojmu</w:t>
      </w:r>
      <w:r w:rsidR="00AE6533">
        <w:rPr>
          <w:rFonts w:ascii="Times New Roman" w:hAnsi="Times New Roman"/>
          <w:noProof/>
          <w:sz w:val="24"/>
        </w:rPr>
        <w:t>.</w:t>
      </w:r>
    </w:p>
    <w:p w14:paraId="529EEC1D" w14:textId="49B87884" w:rsidR="00AE6533" w:rsidRDefault="009D0115" w:rsidP="0018601C">
      <w:pPr>
        <w:spacing w:after="120" w:line="240" w:lineRule="auto"/>
        <w:jc w:val="both"/>
        <w:rPr>
          <w:rFonts w:ascii="Times New Roman" w:hAnsi="Times New Roman"/>
          <w:noProof/>
          <w:sz w:val="24"/>
        </w:rPr>
      </w:pPr>
      <w:r w:rsidRPr="00AE6533">
        <w:rPr>
          <w:rFonts w:ascii="Times New Roman" w:hAnsi="Times New Roman"/>
          <w:noProof/>
          <w:sz w:val="24"/>
        </w:rPr>
        <w:t>V článku 45 ods. 1 písm. c)</w:t>
      </w:r>
      <w:r w:rsidR="00AE6533">
        <w:rPr>
          <w:rFonts w:ascii="Times New Roman" w:hAnsi="Times New Roman"/>
          <w:noProof/>
          <w:sz w:val="24"/>
        </w:rPr>
        <w:t xml:space="preserve"> a </w:t>
      </w:r>
      <w:r w:rsidRPr="00AE6533">
        <w:rPr>
          <w:rFonts w:ascii="Times New Roman" w:hAnsi="Times New Roman"/>
          <w:noProof/>
          <w:sz w:val="24"/>
        </w:rPr>
        <w:t>d) sa uvádzajú dva dôvody na zamietnutie, ktoré sa týkajú nezlučiteľného rozsudku medzi tými istými účastníkmi</w:t>
      </w:r>
      <w:r w:rsidR="00AE6533">
        <w:rPr>
          <w:rFonts w:ascii="Times New Roman" w:hAnsi="Times New Roman"/>
          <w:noProof/>
          <w:sz w:val="24"/>
        </w:rPr>
        <w:t xml:space="preserve"> v </w:t>
      </w:r>
      <w:r w:rsidRPr="00AE6533">
        <w:rPr>
          <w:rFonts w:ascii="Times New Roman" w:hAnsi="Times New Roman"/>
          <w:noProof/>
          <w:sz w:val="24"/>
        </w:rPr>
        <w:t>dožiadanom členskom štáte [písm. c)] alebo skoršieho rozsudku medzi tými istými účastníkmi</w:t>
      </w:r>
      <w:r w:rsidR="00AE6533">
        <w:rPr>
          <w:rFonts w:ascii="Times New Roman" w:hAnsi="Times New Roman"/>
          <w:noProof/>
          <w:sz w:val="24"/>
        </w:rPr>
        <w:t xml:space="preserve"> a v </w:t>
      </w:r>
      <w:r w:rsidRPr="00AE6533">
        <w:rPr>
          <w:rFonts w:ascii="Times New Roman" w:hAnsi="Times New Roman"/>
          <w:noProof/>
          <w:sz w:val="24"/>
        </w:rPr>
        <w:t>tom istom žalobnom dôvode vydaného</w:t>
      </w:r>
      <w:r w:rsidR="00AE6533">
        <w:rPr>
          <w:rFonts w:ascii="Times New Roman" w:hAnsi="Times New Roman"/>
          <w:noProof/>
          <w:sz w:val="24"/>
        </w:rPr>
        <w:t xml:space="preserve"> v </w:t>
      </w:r>
      <w:r w:rsidRPr="00AE6533">
        <w:rPr>
          <w:rFonts w:ascii="Times New Roman" w:hAnsi="Times New Roman"/>
          <w:noProof/>
          <w:sz w:val="24"/>
        </w:rPr>
        <w:t>inom členskom štáte alebo</w:t>
      </w:r>
      <w:r w:rsidR="00AE6533">
        <w:rPr>
          <w:rFonts w:ascii="Times New Roman" w:hAnsi="Times New Roman"/>
          <w:noProof/>
          <w:sz w:val="24"/>
        </w:rPr>
        <w:t xml:space="preserve"> v </w:t>
      </w:r>
      <w:r w:rsidRPr="00AE6533">
        <w:rPr>
          <w:rFonts w:ascii="Times New Roman" w:hAnsi="Times New Roman"/>
          <w:noProof/>
          <w:sz w:val="24"/>
        </w:rPr>
        <w:t>treťom štáte [písm. d)]. Súdny dvor vo veci London Steam-Ship Owners' Mutual Insurance (C-700/20) položil otázky týkajúce sa významu dodržiavania pravidiel prekážky začatej veci uvedených</w:t>
      </w:r>
      <w:r w:rsidR="00AE6533">
        <w:rPr>
          <w:rFonts w:ascii="Times New Roman" w:hAnsi="Times New Roman"/>
          <w:noProof/>
          <w:sz w:val="24"/>
        </w:rPr>
        <w:t xml:space="preserve"> v </w:t>
      </w:r>
      <w:r w:rsidRPr="00AE6533">
        <w:rPr>
          <w:rFonts w:ascii="Times New Roman" w:hAnsi="Times New Roman"/>
          <w:noProof/>
          <w:sz w:val="24"/>
        </w:rPr>
        <w:t>článkoch 29 až 30</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uplatnením nezlučiteľných rozsudkov ako dôvodu na zamietnutie</w:t>
      </w:r>
      <w:r w:rsidR="000407F1" w:rsidRPr="00AE6533">
        <w:rPr>
          <w:rStyle w:val="FootnoteReference"/>
          <w:rFonts w:ascii="Times New Roman" w:hAnsi="Times New Roman" w:cs="Times New Roman"/>
          <w:noProof/>
          <w:sz w:val="24"/>
          <w:szCs w:val="24"/>
        </w:rPr>
        <w:footnoteReference w:id="45"/>
      </w:r>
      <w:r w:rsidR="00AE6533">
        <w:rPr>
          <w:rFonts w:ascii="Times New Roman" w:hAnsi="Times New Roman"/>
          <w:noProof/>
          <w:sz w:val="24"/>
        </w:rPr>
        <w:t>.</w:t>
      </w:r>
    </w:p>
    <w:p w14:paraId="5426D5D2" w14:textId="7412590F" w:rsidR="009D0115" w:rsidRPr="00691FFB" w:rsidRDefault="009D0115" w:rsidP="0018601C">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Okrem prípadu, keď má výlučnú právomoc súd pôvodu, nariadenie skutočne neobsahuje žiadny mechanizmus kontroly pravidiel prekážky začatej veci uplatniteľných na základe článkov 29 až 30</w:t>
      </w:r>
      <w:r w:rsidR="00F212A9" w:rsidRPr="00691FFB">
        <w:rPr>
          <w:rStyle w:val="FootnoteReference"/>
          <w:rFonts w:ascii="Times New Roman" w:hAnsi="Times New Roman" w:cs="Times New Roman"/>
          <w:noProof/>
          <w:spacing w:val="-4"/>
          <w:sz w:val="24"/>
          <w:szCs w:val="24"/>
        </w:rPr>
        <w:footnoteReference w:id="46"/>
      </w:r>
      <w:r w:rsidRPr="00691FFB">
        <w:rPr>
          <w:rFonts w:ascii="Times New Roman" w:hAnsi="Times New Roman"/>
          <w:noProof/>
          <w:spacing w:val="-4"/>
          <w:sz w:val="24"/>
        </w:rPr>
        <w:t>. Na rozdiel od týchto ustanovení, ktoré uprednostňujú súd, ktorý začal konať ako prvý, sa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článku 45 ods. 1 písm. d) uprednostňuje skorší rozsudok,</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to aj</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prípade, že konanie sa začalo po konaní, ktoré viedlo</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rozsudku, ktorý sa má uznať</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vykonať. Na druhej strane sa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článku 45 ods. 1 písm. c) neuvádza žiadna požiadavku na lehotu, ale jeho rozsah pôsobnosti je širší ako rozsah pôsobnosti pravidiel prekážky začatej veci.</w:t>
      </w:r>
    </w:p>
    <w:p w14:paraId="70E5CA21" w14:textId="7D9D6FFA" w:rsidR="009D0115" w:rsidRPr="00691FFB" w:rsidRDefault="009D0115" w:rsidP="0018601C">
      <w:pPr>
        <w:spacing w:after="120" w:line="240" w:lineRule="auto"/>
        <w:jc w:val="both"/>
        <w:rPr>
          <w:rFonts w:ascii="Times New Roman" w:hAnsi="Times New Roman" w:cs="Times New Roman"/>
          <w:noProof/>
          <w:spacing w:val="-8"/>
          <w:sz w:val="24"/>
          <w:szCs w:val="24"/>
        </w:rPr>
      </w:pPr>
      <w:r w:rsidRPr="00691FFB">
        <w:rPr>
          <w:rFonts w:ascii="Times New Roman" w:hAnsi="Times New Roman"/>
          <w:noProof/>
          <w:spacing w:val="-8"/>
          <w:sz w:val="24"/>
        </w:rPr>
        <w:t>Hoci sa zdá, že dôvod na zamietnutie týkajúci sa verejného poriadku nepredstavuje praktické ťažkosti,</w:t>
      </w:r>
      <w:r w:rsidR="00AE6533" w:rsidRPr="00691FFB">
        <w:rPr>
          <w:rFonts w:ascii="Times New Roman" w:hAnsi="Times New Roman"/>
          <w:noProof/>
          <w:spacing w:val="-8"/>
          <w:sz w:val="24"/>
        </w:rPr>
        <w:t xml:space="preserve"> v </w:t>
      </w:r>
      <w:r w:rsidRPr="00691FFB">
        <w:rPr>
          <w:rFonts w:ascii="Times New Roman" w:hAnsi="Times New Roman"/>
          <w:noProof/>
          <w:spacing w:val="-8"/>
          <w:sz w:val="24"/>
        </w:rPr>
        <w:t>rámci prípadného budúceho preskúmania nariadenia by sa mohla podrobnejšie preskúmať konzistentnosť medzi písmenami c)</w:t>
      </w:r>
      <w:r w:rsidR="00AE6533" w:rsidRPr="00691FFB">
        <w:rPr>
          <w:rFonts w:ascii="Times New Roman" w:hAnsi="Times New Roman"/>
          <w:noProof/>
          <w:spacing w:val="-8"/>
          <w:sz w:val="24"/>
        </w:rPr>
        <w:t xml:space="preserve"> a </w:t>
      </w:r>
      <w:r w:rsidRPr="00691FFB">
        <w:rPr>
          <w:rFonts w:ascii="Times New Roman" w:hAnsi="Times New Roman"/>
          <w:noProof/>
          <w:spacing w:val="-8"/>
          <w:sz w:val="24"/>
        </w:rPr>
        <w:t>d) článku 45 ods. 1</w:t>
      </w:r>
      <w:r w:rsidR="00AE6533" w:rsidRPr="00691FFB">
        <w:rPr>
          <w:rFonts w:ascii="Times New Roman" w:hAnsi="Times New Roman"/>
          <w:noProof/>
          <w:spacing w:val="-8"/>
          <w:sz w:val="24"/>
        </w:rPr>
        <w:t xml:space="preserve"> a </w:t>
      </w:r>
      <w:r w:rsidRPr="00691FFB">
        <w:rPr>
          <w:rFonts w:ascii="Times New Roman" w:hAnsi="Times New Roman"/>
          <w:noProof/>
          <w:spacing w:val="-8"/>
          <w:sz w:val="24"/>
        </w:rPr>
        <w:t>pravidlami prekážky začatej veci.</w:t>
      </w:r>
    </w:p>
    <w:p w14:paraId="745E71A8" w14:textId="19E37F18" w:rsidR="00E142E3" w:rsidRPr="00AE6533" w:rsidRDefault="00A8496C" w:rsidP="00E142E3">
      <w:pPr>
        <w:pStyle w:val="Heading1"/>
        <w:spacing w:after="120" w:line="240" w:lineRule="auto"/>
        <w:jc w:val="both"/>
        <w:rPr>
          <w:rFonts w:ascii="Times New Roman" w:hAnsi="Times New Roman" w:cs="Times New Roman"/>
          <w:b/>
          <w:bCs/>
          <w:noProof/>
          <w:color w:val="auto"/>
          <w:sz w:val="24"/>
          <w:szCs w:val="24"/>
        </w:rPr>
      </w:pPr>
      <w:bookmarkStart w:id="5" w:name="_Hlk168050297"/>
      <w:r w:rsidRPr="00AE6533">
        <w:rPr>
          <w:rFonts w:ascii="Times New Roman" w:hAnsi="Times New Roman"/>
          <w:b/>
          <w:noProof/>
          <w:color w:val="auto"/>
          <w:sz w:val="24"/>
        </w:rPr>
        <w:t xml:space="preserve">5. </w:t>
      </w:r>
      <w:r w:rsidRPr="00AE6533">
        <w:rPr>
          <w:rFonts w:ascii="Times New Roman" w:hAnsi="Times New Roman"/>
          <w:b/>
          <w:smallCaps/>
          <w:noProof/>
          <w:color w:val="auto"/>
          <w:sz w:val="24"/>
        </w:rPr>
        <w:t>Vzťah</w:t>
      </w:r>
      <w:r w:rsidR="00AE6533">
        <w:rPr>
          <w:rFonts w:ascii="Times New Roman" w:hAnsi="Times New Roman"/>
          <w:b/>
          <w:smallCaps/>
          <w:noProof/>
          <w:color w:val="auto"/>
          <w:sz w:val="24"/>
        </w:rPr>
        <w:t xml:space="preserve"> k </w:t>
      </w:r>
      <w:r w:rsidRPr="00AE6533">
        <w:rPr>
          <w:rFonts w:ascii="Times New Roman" w:hAnsi="Times New Roman"/>
          <w:b/>
          <w:smallCaps/>
          <w:noProof/>
          <w:color w:val="auto"/>
          <w:sz w:val="24"/>
        </w:rPr>
        <w:t>iným právnym nástrojom (články</w:t>
      </w:r>
      <w:r w:rsidRPr="00AE6533">
        <w:rPr>
          <w:rFonts w:ascii="Times New Roman" w:hAnsi="Times New Roman"/>
          <w:b/>
          <w:noProof/>
          <w:color w:val="auto"/>
          <w:sz w:val="24"/>
        </w:rPr>
        <w:t xml:space="preserve"> 67 až 74)</w:t>
      </w:r>
    </w:p>
    <w:p w14:paraId="45DABE43" w14:textId="775EBBC6" w:rsidR="00AE6533" w:rsidRDefault="00E142E3" w:rsidP="00E142E3">
      <w:pPr>
        <w:pStyle w:val="ListParagraph"/>
        <w:spacing w:after="120" w:line="240" w:lineRule="auto"/>
        <w:ind w:left="0"/>
        <w:contextualSpacing w:val="0"/>
        <w:jc w:val="both"/>
        <w:rPr>
          <w:rFonts w:ascii="Times New Roman" w:hAnsi="Times New Roman"/>
          <w:noProof/>
          <w:sz w:val="24"/>
        </w:rPr>
      </w:pPr>
      <w:r w:rsidRPr="00AE6533">
        <w:rPr>
          <w:rFonts w:ascii="Times New Roman" w:hAnsi="Times New Roman"/>
          <w:noProof/>
          <w:sz w:val="24"/>
        </w:rPr>
        <w:t>Nariadením sa podstatne nezmenili normy upravujúce jeho vzťah</w:t>
      </w:r>
      <w:r w:rsidR="00AE6533">
        <w:rPr>
          <w:rFonts w:ascii="Times New Roman" w:hAnsi="Times New Roman"/>
          <w:noProof/>
          <w:sz w:val="24"/>
        </w:rPr>
        <w:t xml:space="preserve"> k </w:t>
      </w:r>
      <w:r w:rsidRPr="00AE6533">
        <w:rPr>
          <w:rFonts w:ascii="Times New Roman" w:hAnsi="Times New Roman"/>
          <w:noProof/>
          <w:sz w:val="24"/>
        </w:rPr>
        <w:t>iným právnym nástrojom EÚ alebo medzinárodným právnym nástrojom</w:t>
      </w:r>
      <w:r w:rsidR="00AE6533">
        <w:rPr>
          <w:rFonts w:ascii="Times New Roman" w:hAnsi="Times New Roman"/>
          <w:noProof/>
          <w:sz w:val="24"/>
        </w:rPr>
        <w:t xml:space="preserve"> s </w:t>
      </w:r>
      <w:r w:rsidRPr="00AE6533">
        <w:rPr>
          <w:rFonts w:ascii="Times New Roman" w:hAnsi="Times New Roman"/>
          <w:noProof/>
          <w:sz w:val="24"/>
        </w:rPr>
        <w:t>výnimkou nových položiek</w:t>
      </w:r>
      <w:r w:rsidR="00AE6533">
        <w:rPr>
          <w:rFonts w:ascii="Times New Roman" w:hAnsi="Times New Roman"/>
          <w:noProof/>
          <w:sz w:val="24"/>
        </w:rPr>
        <w:t xml:space="preserve"> v </w:t>
      </w:r>
      <w:r w:rsidRPr="00AE6533">
        <w:rPr>
          <w:rFonts w:ascii="Times New Roman" w:hAnsi="Times New Roman"/>
          <w:noProof/>
          <w:sz w:val="24"/>
        </w:rPr>
        <w:t>článkoch 71a až 71d zameraných na umožnenie vykonávania tzv. balíka</w:t>
      </w:r>
      <w:r w:rsidR="00AE6533">
        <w:rPr>
          <w:rFonts w:ascii="Times New Roman" w:hAnsi="Times New Roman"/>
          <w:noProof/>
          <w:sz w:val="24"/>
        </w:rPr>
        <w:t xml:space="preserve"> v </w:t>
      </w:r>
      <w:r w:rsidRPr="00AE6533">
        <w:rPr>
          <w:rFonts w:ascii="Times New Roman" w:hAnsi="Times New Roman"/>
          <w:noProof/>
          <w:sz w:val="24"/>
        </w:rPr>
        <w:t>oblasti patentov</w:t>
      </w:r>
      <w:r w:rsidR="00AE6533">
        <w:rPr>
          <w:rFonts w:ascii="Times New Roman" w:hAnsi="Times New Roman"/>
          <w:noProof/>
          <w:sz w:val="24"/>
        </w:rPr>
        <w:t xml:space="preserve"> a </w:t>
      </w:r>
      <w:r w:rsidRPr="00AE6533">
        <w:rPr>
          <w:rFonts w:ascii="Times New Roman" w:hAnsi="Times New Roman"/>
          <w:noProof/>
          <w:sz w:val="24"/>
        </w:rPr>
        <w:t>položiek</w:t>
      </w:r>
      <w:r w:rsidR="00AE6533">
        <w:rPr>
          <w:rFonts w:ascii="Times New Roman" w:hAnsi="Times New Roman"/>
          <w:noProof/>
          <w:sz w:val="24"/>
        </w:rPr>
        <w:t xml:space="preserve"> v </w:t>
      </w:r>
      <w:r w:rsidRPr="00AE6533">
        <w:rPr>
          <w:rFonts w:ascii="Times New Roman" w:hAnsi="Times New Roman"/>
          <w:noProof/>
          <w:sz w:val="24"/>
        </w:rPr>
        <w:t>článku 73 na objasnenie vzťahu medzi nariadením</w:t>
      </w:r>
      <w:r w:rsidR="00AE6533">
        <w:rPr>
          <w:rFonts w:ascii="Times New Roman" w:hAnsi="Times New Roman"/>
          <w:noProof/>
          <w:sz w:val="24"/>
        </w:rPr>
        <w:t xml:space="preserve"> a </w:t>
      </w:r>
      <w:r w:rsidRPr="00AE6533">
        <w:rPr>
          <w:rFonts w:ascii="Times New Roman" w:hAnsi="Times New Roman"/>
          <w:noProof/>
          <w:sz w:val="24"/>
        </w:rPr>
        <w:t>Lugánskym dohovorom</w:t>
      </w:r>
      <w:r w:rsidRPr="00AE6533">
        <w:rPr>
          <w:rStyle w:val="FootnoteReference"/>
          <w:rFonts w:ascii="Times New Roman" w:hAnsi="Times New Roman" w:cs="Times New Roman"/>
          <w:noProof/>
          <w:sz w:val="24"/>
          <w:szCs w:val="24"/>
        </w:rPr>
        <w:footnoteReference w:id="47"/>
      </w:r>
      <w:r w:rsidRPr="00AE6533">
        <w:rPr>
          <w:rFonts w:ascii="Times New Roman" w:hAnsi="Times New Roman"/>
          <w:noProof/>
          <w:sz w:val="24"/>
        </w:rPr>
        <w:t>, Dohovorom</w:t>
      </w:r>
      <w:r w:rsidR="00AE6533">
        <w:rPr>
          <w:rFonts w:ascii="Times New Roman" w:hAnsi="Times New Roman"/>
          <w:noProof/>
          <w:sz w:val="24"/>
        </w:rPr>
        <w:t xml:space="preserve"> o </w:t>
      </w:r>
      <w:r w:rsidRPr="00AE6533">
        <w:rPr>
          <w:rFonts w:ascii="Times New Roman" w:hAnsi="Times New Roman"/>
          <w:noProof/>
          <w:sz w:val="24"/>
        </w:rPr>
        <w:t>uznaní</w:t>
      </w:r>
      <w:r w:rsidR="00AE6533">
        <w:rPr>
          <w:rFonts w:ascii="Times New Roman" w:hAnsi="Times New Roman"/>
          <w:noProof/>
          <w:sz w:val="24"/>
        </w:rPr>
        <w:t xml:space="preserve"> a </w:t>
      </w:r>
      <w:r w:rsidRPr="00AE6533">
        <w:rPr>
          <w:rFonts w:ascii="Times New Roman" w:hAnsi="Times New Roman"/>
          <w:noProof/>
          <w:sz w:val="24"/>
        </w:rPr>
        <w:t>výkone cudzích rozhodcovských rozhodnutí</w:t>
      </w:r>
      <w:r w:rsidRPr="00AE6533">
        <w:rPr>
          <w:rStyle w:val="FootnoteReference"/>
          <w:rFonts w:ascii="Times New Roman" w:hAnsi="Times New Roman" w:cs="Times New Roman"/>
          <w:noProof/>
          <w:sz w:val="24"/>
          <w:szCs w:val="24"/>
        </w:rPr>
        <w:footnoteReference w:id="48"/>
      </w:r>
      <w:r w:rsidR="00AE6533">
        <w:rPr>
          <w:rFonts w:ascii="Times New Roman" w:hAnsi="Times New Roman"/>
          <w:noProof/>
          <w:sz w:val="24"/>
        </w:rPr>
        <w:t xml:space="preserve"> a </w:t>
      </w:r>
      <w:r w:rsidRPr="00AE6533">
        <w:rPr>
          <w:rFonts w:ascii="Times New Roman" w:hAnsi="Times New Roman"/>
          <w:noProof/>
          <w:sz w:val="24"/>
        </w:rPr>
        <w:t>dvojstrannými dohovormi</w:t>
      </w:r>
      <w:r w:rsidR="00AE6533">
        <w:rPr>
          <w:rFonts w:ascii="Times New Roman" w:hAnsi="Times New Roman"/>
          <w:noProof/>
          <w:sz w:val="24"/>
        </w:rPr>
        <w:t xml:space="preserve"> a </w:t>
      </w:r>
      <w:r w:rsidRPr="00AE6533">
        <w:rPr>
          <w:rFonts w:ascii="Times New Roman" w:hAnsi="Times New Roman"/>
          <w:noProof/>
          <w:sz w:val="24"/>
        </w:rPr>
        <w:t>dohodami medzi tretím štátom</w:t>
      </w:r>
      <w:r w:rsidR="00AE6533">
        <w:rPr>
          <w:rFonts w:ascii="Times New Roman" w:hAnsi="Times New Roman"/>
          <w:noProof/>
          <w:sz w:val="24"/>
        </w:rPr>
        <w:t xml:space="preserve"> a </w:t>
      </w:r>
      <w:r w:rsidRPr="00AE6533">
        <w:rPr>
          <w:rFonts w:ascii="Times New Roman" w:hAnsi="Times New Roman"/>
          <w:noProof/>
          <w:sz w:val="24"/>
        </w:rPr>
        <w:t>členským štátom uzavretými pred 1. marcom 2002</w:t>
      </w:r>
      <w:r w:rsidR="00AE6533">
        <w:rPr>
          <w:rFonts w:ascii="Times New Roman" w:hAnsi="Times New Roman"/>
          <w:noProof/>
          <w:sz w:val="24"/>
        </w:rPr>
        <w:t>.</w:t>
      </w:r>
    </w:p>
    <w:p w14:paraId="7002A6BC" w14:textId="1526255A" w:rsidR="00AE6533" w:rsidRDefault="00E142E3" w:rsidP="00E142E3">
      <w:pPr>
        <w:pStyle w:val="ListParagraph"/>
        <w:spacing w:after="120" w:line="240" w:lineRule="auto"/>
        <w:ind w:left="0"/>
        <w:contextualSpacing w:val="0"/>
        <w:jc w:val="both"/>
        <w:rPr>
          <w:rFonts w:ascii="Times New Roman" w:hAnsi="Times New Roman"/>
          <w:noProof/>
          <w:sz w:val="24"/>
        </w:rPr>
      </w:pPr>
      <w:r w:rsidRPr="00AE6533">
        <w:rPr>
          <w:rFonts w:ascii="Times New Roman" w:hAnsi="Times New Roman"/>
          <w:noProof/>
          <w:sz w:val="24"/>
        </w:rPr>
        <w:t>Uplatňovanie týchto noriem</w:t>
      </w:r>
      <w:r w:rsidR="00AE6533">
        <w:rPr>
          <w:rFonts w:ascii="Times New Roman" w:hAnsi="Times New Roman"/>
          <w:noProof/>
          <w:sz w:val="24"/>
        </w:rPr>
        <w:t xml:space="preserve"> v </w:t>
      </w:r>
      <w:r w:rsidRPr="00AE6533">
        <w:rPr>
          <w:rFonts w:ascii="Times New Roman" w:hAnsi="Times New Roman"/>
          <w:noProof/>
          <w:sz w:val="24"/>
        </w:rPr>
        <w:t>jednotlivých členských štátoch je veľmi nejednotné. Keďže Jednotný patentový súd začal fungovať až 1</w:t>
      </w:r>
      <w:r w:rsidR="00AE6533">
        <w:rPr>
          <w:rFonts w:ascii="Times New Roman" w:hAnsi="Times New Roman"/>
          <w:noProof/>
          <w:sz w:val="24"/>
        </w:rPr>
        <w:t>. júna</w:t>
      </w:r>
      <w:r w:rsidRPr="00AE6533">
        <w:rPr>
          <w:rFonts w:ascii="Times New Roman" w:hAnsi="Times New Roman"/>
          <w:noProof/>
          <w:sz w:val="24"/>
        </w:rPr>
        <w:t xml:space="preserve"> 2023, články 71a až 71d zatiaľ neovplyvnili súdnu prax</w:t>
      </w:r>
      <w:r w:rsidR="00AE6533">
        <w:rPr>
          <w:rFonts w:ascii="Times New Roman" w:hAnsi="Times New Roman"/>
          <w:noProof/>
          <w:sz w:val="24"/>
        </w:rPr>
        <w:t xml:space="preserve"> v </w:t>
      </w:r>
      <w:r w:rsidRPr="00AE6533">
        <w:rPr>
          <w:rFonts w:ascii="Times New Roman" w:hAnsi="Times New Roman"/>
          <w:noProof/>
          <w:sz w:val="24"/>
        </w:rPr>
        <w:t>žiadnom</w:t>
      </w:r>
      <w:r w:rsidR="00AE6533">
        <w:rPr>
          <w:rFonts w:ascii="Times New Roman" w:hAnsi="Times New Roman"/>
          <w:noProof/>
          <w:sz w:val="24"/>
        </w:rPr>
        <w:t xml:space="preserve"> z </w:t>
      </w:r>
      <w:r w:rsidRPr="00AE6533">
        <w:rPr>
          <w:rFonts w:ascii="Times New Roman" w:hAnsi="Times New Roman"/>
          <w:noProof/>
          <w:sz w:val="24"/>
        </w:rPr>
        <w:t>členských štátov ani na justičnej úrovni EÚ. Vo väčšine členských štátov sa naopak zaznamenalo, že vnútroštátne súdy vo veľkej miere uplatňujú článok 71. Zoznam medzinárodných dohovorov, ktoré viedli</w:t>
      </w:r>
      <w:r w:rsidR="00AE6533">
        <w:rPr>
          <w:rFonts w:ascii="Times New Roman" w:hAnsi="Times New Roman"/>
          <w:noProof/>
          <w:sz w:val="24"/>
        </w:rPr>
        <w:t xml:space="preserve"> k </w:t>
      </w:r>
      <w:r w:rsidRPr="00AE6533">
        <w:rPr>
          <w:rFonts w:ascii="Times New Roman" w:hAnsi="Times New Roman"/>
          <w:noProof/>
          <w:sz w:val="24"/>
        </w:rPr>
        <w:t>uplatňovaniu článku 71</w:t>
      </w:r>
      <w:r w:rsidR="00AE6533">
        <w:rPr>
          <w:rFonts w:ascii="Times New Roman" w:hAnsi="Times New Roman"/>
          <w:noProof/>
          <w:sz w:val="24"/>
        </w:rPr>
        <w:t xml:space="preserve"> v </w:t>
      </w:r>
      <w:r w:rsidRPr="00AE6533">
        <w:rPr>
          <w:rFonts w:ascii="Times New Roman" w:hAnsi="Times New Roman"/>
          <w:noProof/>
          <w:sz w:val="24"/>
        </w:rPr>
        <w:t>rôznych členských štátoch, je pomerne široký, pričom najčastejšie sa uvádza dohovor CMR</w:t>
      </w:r>
      <w:r w:rsidRPr="00AE6533">
        <w:rPr>
          <w:rStyle w:val="FootnoteReference"/>
          <w:rFonts w:ascii="Times New Roman" w:hAnsi="Times New Roman" w:cs="Times New Roman"/>
          <w:noProof/>
          <w:sz w:val="24"/>
          <w:szCs w:val="24"/>
        </w:rPr>
        <w:footnoteReference w:id="49"/>
      </w:r>
      <w:r w:rsidR="00AE6533">
        <w:rPr>
          <w:rFonts w:ascii="Times New Roman" w:hAnsi="Times New Roman"/>
          <w:noProof/>
          <w:sz w:val="24"/>
        </w:rPr>
        <w:t xml:space="preserve"> a </w:t>
      </w:r>
      <w:r w:rsidRPr="00AE6533">
        <w:rPr>
          <w:rFonts w:ascii="Times New Roman" w:hAnsi="Times New Roman"/>
          <w:noProof/>
          <w:sz w:val="24"/>
        </w:rPr>
        <w:t>iné dohovory</w:t>
      </w:r>
      <w:r w:rsidR="00AE6533">
        <w:rPr>
          <w:rFonts w:ascii="Times New Roman" w:hAnsi="Times New Roman"/>
          <w:noProof/>
          <w:sz w:val="24"/>
        </w:rPr>
        <w:t xml:space="preserve"> v </w:t>
      </w:r>
      <w:r w:rsidRPr="00AE6533">
        <w:rPr>
          <w:rFonts w:ascii="Times New Roman" w:hAnsi="Times New Roman"/>
          <w:noProof/>
          <w:sz w:val="24"/>
        </w:rPr>
        <w:t>oblasti dopravy</w:t>
      </w:r>
      <w:r w:rsidR="00AE6533">
        <w:rPr>
          <w:rFonts w:ascii="Times New Roman" w:hAnsi="Times New Roman"/>
          <w:noProof/>
          <w:sz w:val="24"/>
        </w:rPr>
        <w:t>.</w:t>
      </w:r>
    </w:p>
    <w:p w14:paraId="210AAE4B" w14:textId="67FC9540" w:rsidR="00E142E3" w:rsidRPr="00691FFB" w:rsidRDefault="00E142E3" w:rsidP="00E142E3">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Súdny dvor vo svojom rozsudku vo veci TNT Express Netherland (C-533/08) rozhodol, že cieľom ustanovenia nariadenia Brusel I, ktoré je totožné so súčasným článkom 71, je koordinovať nariadenie</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osobitnými medzinárodnými dohovormi. Súdny dvor ďalej uviedol, že takáto koordinácia sa má prijať bez toho, aby narušila základné zásady, na ktorých je nariadenie založené, konkrétne voľný pohyb rozsudkov</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občianskych</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obchodných veciach, predvídateľnosť právomoci, riadny výkon spravodlivosti, minimalizácia rizika súbežných konaní</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vzájomná dôvera vo výkon spravodlivosti</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Európskej únii. Súdny dvor</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tomto rozsudku stanovil tzv. kritérium</w:t>
      </w:r>
      <w:r w:rsidR="008F4E1C">
        <w:rPr>
          <w:rFonts w:ascii="Times New Roman" w:hAnsi="Times New Roman"/>
          <w:noProof/>
          <w:spacing w:val="-4"/>
          <w:sz w:val="24"/>
        </w:rPr>
        <w:t xml:space="preserve"> </w:t>
      </w:r>
      <w:r w:rsidRPr="00691FFB">
        <w:rPr>
          <w:rFonts w:ascii="Times New Roman" w:hAnsi="Times New Roman"/>
          <w:i/>
          <w:noProof/>
          <w:spacing w:val="-4"/>
          <w:sz w:val="24"/>
        </w:rPr>
        <w:t>TNT</w:t>
      </w:r>
      <w:r w:rsidRPr="00691FFB">
        <w:rPr>
          <w:rFonts w:ascii="Times New Roman" w:hAnsi="Times New Roman"/>
          <w:noProof/>
          <w:spacing w:val="-4"/>
          <w:sz w:val="24"/>
        </w:rPr>
        <w:t>, ktorého uplatňovanie sa od vnútroštátnych súdov očakáva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situáciách, keď sa uplatňujú normy podľa nariadenia</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normy podľa osobitného dohovoru, ktoré patria do rozsahu pôsobnosti článku 71 uvedeného nariadenia,</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cieľom zabezpečiť, aby sa normy podľa osobitných dohovorov uplatňovali len vtedy, keď nemajú negatívny vplyv na základné zásady, na ktorých je založený bruselský režim. Súdny dvor Európskej únie tieto zásady opakovane zopakoval, naposledy vo veci Gjensidige (C-90/22).</w:t>
      </w:r>
    </w:p>
    <w:p w14:paraId="449B3557" w14:textId="22B314AE" w:rsidR="004734DD" w:rsidRPr="00AE6533" w:rsidRDefault="00E142E3" w:rsidP="004734DD">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Návrh litovského Najvyššieho súdu na začatie prejudiciálneho konania vo veci Gjensidige (C-90/22) dobre ilustruje ťažkosti, ktorým čelia vnútroštátne súdy pri uplatňovaní článku 71 nariadenia. Tieto ťažkosti sa pripisujú najmä vágnosti kritéria TNT</w:t>
      </w:r>
      <w:r w:rsidR="00AE6533">
        <w:rPr>
          <w:rFonts w:ascii="Times New Roman" w:hAnsi="Times New Roman"/>
          <w:noProof/>
          <w:sz w:val="24"/>
        </w:rPr>
        <w:t xml:space="preserve"> a </w:t>
      </w:r>
      <w:r w:rsidRPr="00AE6533">
        <w:rPr>
          <w:rFonts w:ascii="Times New Roman" w:hAnsi="Times New Roman"/>
          <w:noProof/>
          <w:sz w:val="24"/>
        </w:rPr>
        <w:t>považujú sa za ohrozenie jednotného uplatňovania článku 71 vo všetkých členských štátoch, najmä preto, že podobné problémy uvádzali aj iné členské štáty</w:t>
      </w:r>
    </w:p>
    <w:p w14:paraId="55C0D7F0" w14:textId="20177C2C" w:rsidR="00AE6533" w:rsidRDefault="00E142E3" w:rsidP="00E142E3">
      <w:pPr>
        <w:spacing w:after="120" w:line="240" w:lineRule="auto"/>
        <w:jc w:val="both"/>
        <w:rPr>
          <w:rFonts w:ascii="Times New Roman" w:hAnsi="Times New Roman"/>
          <w:noProof/>
          <w:sz w:val="24"/>
        </w:rPr>
      </w:pPr>
      <w:r w:rsidRPr="00AE6533">
        <w:rPr>
          <w:rFonts w:ascii="Times New Roman" w:hAnsi="Times New Roman"/>
          <w:noProof/>
          <w:sz w:val="24"/>
        </w:rPr>
        <w:t>Celkovo sa napokon zdá, že ustanovenia nariadenia upravujúce vzťah medzi nariadením</w:t>
      </w:r>
      <w:r w:rsidR="00AE6533">
        <w:rPr>
          <w:rFonts w:ascii="Times New Roman" w:hAnsi="Times New Roman"/>
          <w:noProof/>
          <w:sz w:val="24"/>
        </w:rPr>
        <w:t xml:space="preserve"> a </w:t>
      </w:r>
      <w:r w:rsidRPr="00AE6533">
        <w:rPr>
          <w:rFonts w:ascii="Times New Roman" w:hAnsi="Times New Roman"/>
          <w:noProof/>
          <w:sz w:val="24"/>
        </w:rPr>
        <w:t>inými právnymi nástrojmi EÚ</w:t>
      </w:r>
      <w:r w:rsidR="00AE6533">
        <w:rPr>
          <w:rFonts w:ascii="Times New Roman" w:hAnsi="Times New Roman"/>
          <w:noProof/>
          <w:sz w:val="24"/>
        </w:rPr>
        <w:t xml:space="preserve"> a </w:t>
      </w:r>
      <w:r w:rsidRPr="00AE6533">
        <w:rPr>
          <w:rFonts w:ascii="Times New Roman" w:hAnsi="Times New Roman"/>
          <w:noProof/>
          <w:sz w:val="24"/>
        </w:rPr>
        <w:t>medzinárodnými dohovormi, ak sa uplatňujú, fungujú dobre</w:t>
      </w:r>
      <w:r w:rsidR="00AE6533">
        <w:rPr>
          <w:rFonts w:ascii="Times New Roman" w:hAnsi="Times New Roman"/>
          <w:noProof/>
          <w:sz w:val="24"/>
        </w:rPr>
        <w:t xml:space="preserve"> a </w:t>
      </w:r>
      <w:r w:rsidRPr="00AE6533">
        <w:rPr>
          <w:rFonts w:ascii="Times New Roman" w:hAnsi="Times New Roman"/>
          <w:noProof/>
          <w:sz w:val="24"/>
        </w:rPr>
        <w:t>prinášajú potrebnú jasnosť, pokiaľ ide</w:t>
      </w:r>
      <w:r w:rsidR="00AE6533">
        <w:rPr>
          <w:rFonts w:ascii="Times New Roman" w:hAnsi="Times New Roman"/>
          <w:noProof/>
          <w:sz w:val="24"/>
        </w:rPr>
        <w:t xml:space="preserve"> o </w:t>
      </w:r>
      <w:r w:rsidRPr="00AE6533">
        <w:rPr>
          <w:rFonts w:ascii="Times New Roman" w:hAnsi="Times New Roman"/>
          <w:noProof/>
          <w:sz w:val="24"/>
        </w:rPr>
        <w:t>miesto nariadenia</w:t>
      </w:r>
      <w:r w:rsidR="00AE6533">
        <w:rPr>
          <w:rFonts w:ascii="Times New Roman" w:hAnsi="Times New Roman"/>
          <w:noProof/>
          <w:sz w:val="24"/>
        </w:rPr>
        <w:t xml:space="preserve"> v </w:t>
      </w:r>
      <w:r w:rsidRPr="00AE6533">
        <w:rPr>
          <w:rFonts w:ascii="Times New Roman" w:hAnsi="Times New Roman"/>
          <w:noProof/>
          <w:sz w:val="24"/>
        </w:rPr>
        <w:t>systéme právnych nástrojov EÚ</w:t>
      </w:r>
      <w:r w:rsidR="00AE6533">
        <w:rPr>
          <w:rFonts w:ascii="Times New Roman" w:hAnsi="Times New Roman"/>
          <w:noProof/>
          <w:sz w:val="24"/>
        </w:rPr>
        <w:t xml:space="preserve"> a </w:t>
      </w:r>
      <w:r w:rsidRPr="00AE6533">
        <w:rPr>
          <w:rFonts w:ascii="Times New Roman" w:hAnsi="Times New Roman"/>
          <w:noProof/>
          <w:sz w:val="24"/>
        </w:rPr>
        <w:t>medzinárodných právnych nástrojov, ktorými sa tiež upravujú otázky medzinárodnej právomoci alebo uznávania</w:t>
      </w:r>
      <w:r w:rsidR="00AE6533">
        <w:rPr>
          <w:rFonts w:ascii="Times New Roman" w:hAnsi="Times New Roman"/>
          <w:noProof/>
          <w:sz w:val="24"/>
        </w:rPr>
        <w:t xml:space="preserve"> a </w:t>
      </w:r>
      <w:r w:rsidRPr="00AE6533">
        <w:rPr>
          <w:rFonts w:ascii="Times New Roman" w:hAnsi="Times New Roman"/>
          <w:noProof/>
          <w:sz w:val="24"/>
        </w:rPr>
        <w:t>výkonu rozsudkov.</w:t>
      </w:r>
      <w:r w:rsidR="00AE6533">
        <w:rPr>
          <w:rFonts w:ascii="Times New Roman" w:hAnsi="Times New Roman"/>
          <w:noProof/>
          <w:sz w:val="24"/>
        </w:rPr>
        <w:t xml:space="preserve"> V </w:t>
      </w:r>
      <w:r w:rsidRPr="00AE6533">
        <w:rPr>
          <w:rFonts w:ascii="Times New Roman" w:hAnsi="Times New Roman"/>
          <w:noProof/>
          <w:sz w:val="24"/>
        </w:rPr>
        <w:t>rámci budúceho preskúmania by sa však mohla preskúmať možnosť ďalšieho objasnenia článku 71 vzhľadom na výklad, ktorý poskytol Súdny dvor Európskej únie</w:t>
      </w:r>
      <w:r w:rsidR="00AE6533">
        <w:rPr>
          <w:rFonts w:ascii="Times New Roman" w:hAnsi="Times New Roman"/>
          <w:noProof/>
          <w:sz w:val="24"/>
        </w:rPr>
        <w:t>.</w:t>
      </w:r>
    </w:p>
    <w:p w14:paraId="0032BE5B" w14:textId="77777777" w:rsidR="00AE6533" w:rsidRDefault="00A8496C" w:rsidP="0018601C">
      <w:pPr>
        <w:pStyle w:val="Heading1"/>
        <w:spacing w:after="120" w:line="240" w:lineRule="auto"/>
        <w:jc w:val="both"/>
        <w:rPr>
          <w:rFonts w:ascii="Times New Roman" w:hAnsi="Times New Roman"/>
          <w:b/>
          <w:smallCaps/>
          <w:noProof/>
          <w:color w:val="auto"/>
          <w:sz w:val="24"/>
        </w:rPr>
      </w:pPr>
      <w:r w:rsidRPr="00AE6533">
        <w:rPr>
          <w:rFonts w:ascii="Times New Roman" w:hAnsi="Times New Roman"/>
          <w:b/>
          <w:noProof/>
          <w:color w:val="auto"/>
          <w:sz w:val="24"/>
        </w:rPr>
        <w:t xml:space="preserve">6. </w:t>
      </w:r>
      <w:r w:rsidRPr="00AE6533">
        <w:rPr>
          <w:rFonts w:ascii="Times New Roman" w:hAnsi="Times New Roman"/>
          <w:b/>
          <w:smallCaps/>
          <w:noProof/>
          <w:color w:val="auto"/>
          <w:sz w:val="24"/>
        </w:rPr>
        <w:t>Horizontálne otázky</w:t>
      </w:r>
    </w:p>
    <w:bookmarkEnd w:id="5"/>
    <w:p w14:paraId="6803257A" w14:textId="5852EBF3" w:rsidR="00834AFF" w:rsidRPr="00AE6533" w:rsidRDefault="00A8496C" w:rsidP="00FE3CE5">
      <w:pPr>
        <w:pStyle w:val="Heading2"/>
        <w:spacing w:before="240" w:after="120" w:line="240" w:lineRule="auto"/>
        <w:ind w:firstLine="240"/>
        <w:rPr>
          <w:rFonts w:ascii="Times New Roman" w:hAnsi="Times New Roman" w:cs="Times New Roman"/>
          <w:b/>
          <w:bCs/>
          <w:noProof/>
          <w:color w:val="auto"/>
          <w:sz w:val="24"/>
          <w:szCs w:val="24"/>
        </w:rPr>
      </w:pPr>
      <w:r w:rsidRPr="00AE6533">
        <w:rPr>
          <w:rFonts w:ascii="Times New Roman" w:hAnsi="Times New Roman"/>
          <w:b/>
          <w:noProof/>
          <w:color w:val="auto"/>
          <w:sz w:val="24"/>
        </w:rPr>
        <w:t>6.1. Kolektívne uplatňovanie nárokov na nápravu</w:t>
      </w:r>
    </w:p>
    <w:p w14:paraId="409D8BEC" w14:textId="45C74440" w:rsidR="00AE6533" w:rsidRDefault="00834AFF" w:rsidP="0018601C">
      <w:pPr>
        <w:spacing w:after="120" w:line="240" w:lineRule="auto"/>
        <w:jc w:val="both"/>
        <w:rPr>
          <w:rFonts w:ascii="Times New Roman" w:hAnsi="Times New Roman"/>
          <w:noProof/>
          <w:sz w:val="24"/>
        </w:rPr>
      </w:pPr>
      <w:r w:rsidRPr="00AE6533">
        <w:rPr>
          <w:rFonts w:ascii="Times New Roman" w:hAnsi="Times New Roman"/>
          <w:noProof/>
          <w:sz w:val="24"/>
        </w:rPr>
        <w:t>V nariadení sa nestanovujú osobitné pravidlá uplatniteľné na hromadné žaloby, čo sú zvyčajne žaloby, ktorými sa skupina žalobcov domáha náhrady škody od jedného alebo viacerých žalovaných</w:t>
      </w:r>
      <w:r w:rsidR="00AE6533">
        <w:rPr>
          <w:rFonts w:ascii="Times New Roman" w:hAnsi="Times New Roman"/>
          <w:noProof/>
          <w:sz w:val="24"/>
        </w:rPr>
        <w:t xml:space="preserve"> a </w:t>
      </w:r>
      <w:r w:rsidRPr="00AE6533">
        <w:rPr>
          <w:rFonts w:ascii="Times New Roman" w:hAnsi="Times New Roman"/>
          <w:noProof/>
          <w:sz w:val="24"/>
        </w:rPr>
        <w:t>ktoré sa označujú ako kolektívne uplatňovanie nárokov na nápravu, ako sa vymedzuje</w:t>
      </w:r>
      <w:r w:rsidR="00AE6533">
        <w:rPr>
          <w:rFonts w:ascii="Times New Roman" w:hAnsi="Times New Roman"/>
          <w:noProof/>
          <w:sz w:val="24"/>
        </w:rPr>
        <w:t xml:space="preserve"> v </w:t>
      </w:r>
      <w:r w:rsidRPr="00AE6533">
        <w:rPr>
          <w:rFonts w:ascii="Times New Roman" w:hAnsi="Times New Roman"/>
          <w:noProof/>
          <w:sz w:val="24"/>
        </w:rPr>
        <w:t>odporúčaní Európskej komisie</w:t>
      </w:r>
      <w:r w:rsidR="00AE6533">
        <w:rPr>
          <w:rFonts w:ascii="Times New Roman" w:hAnsi="Times New Roman"/>
          <w:noProof/>
          <w:sz w:val="24"/>
        </w:rPr>
        <w:t xml:space="preserve"> z </w:t>
      </w:r>
      <w:r w:rsidRPr="00AE6533">
        <w:rPr>
          <w:rFonts w:ascii="Times New Roman" w:hAnsi="Times New Roman"/>
          <w:noProof/>
          <w:sz w:val="24"/>
        </w:rPr>
        <w:t>roku 2013</w:t>
      </w:r>
      <w:r w:rsidRPr="00AE6533">
        <w:rPr>
          <w:rStyle w:val="FootnoteReference"/>
          <w:rFonts w:ascii="Times New Roman" w:hAnsi="Times New Roman" w:cs="Times New Roman"/>
          <w:noProof/>
          <w:sz w:val="24"/>
          <w:szCs w:val="24"/>
        </w:rPr>
        <w:footnoteReference w:id="50"/>
      </w:r>
      <w:r w:rsidRPr="00AE6533">
        <w:rPr>
          <w:rFonts w:ascii="Times New Roman" w:hAnsi="Times New Roman"/>
          <w:noProof/>
          <w:sz w:val="24"/>
        </w:rPr>
        <w:t>. Žaloby</w:t>
      </w:r>
      <w:r w:rsidR="00AE6533">
        <w:rPr>
          <w:rFonts w:ascii="Times New Roman" w:hAnsi="Times New Roman"/>
          <w:noProof/>
          <w:sz w:val="24"/>
        </w:rPr>
        <w:t xml:space="preserve"> v </w:t>
      </w:r>
      <w:r w:rsidRPr="00AE6533">
        <w:rPr>
          <w:rFonts w:ascii="Times New Roman" w:hAnsi="Times New Roman"/>
          <w:noProof/>
          <w:sz w:val="24"/>
        </w:rPr>
        <w:t>zastúpení na ochranu kolektívnych záujmov spotrebiteľov, ako sa stanovuje</w:t>
      </w:r>
      <w:r w:rsidR="00AE6533">
        <w:rPr>
          <w:rFonts w:ascii="Times New Roman" w:hAnsi="Times New Roman"/>
          <w:noProof/>
          <w:sz w:val="24"/>
        </w:rPr>
        <w:t xml:space="preserve"> v </w:t>
      </w:r>
      <w:r w:rsidRPr="00AE6533">
        <w:rPr>
          <w:rFonts w:ascii="Times New Roman" w:hAnsi="Times New Roman"/>
          <w:noProof/>
          <w:sz w:val="24"/>
        </w:rPr>
        <w:t>smernici (EÚ) 2020/1828</w:t>
      </w:r>
      <w:r w:rsidR="00AE6533">
        <w:rPr>
          <w:rFonts w:ascii="Times New Roman" w:hAnsi="Times New Roman"/>
          <w:noProof/>
          <w:sz w:val="24"/>
        </w:rPr>
        <w:t xml:space="preserve"> o </w:t>
      </w:r>
      <w:r w:rsidRPr="00AE6533">
        <w:rPr>
          <w:rFonts w:ascii="Times New Roman" w:hAnsi="Times New Roman"/>
          <w:noProof/>
          <w:sz w:val="24"/>
        </w:rPr>
        <w:t>žalobách</w:t>
      </w:r>
      <w:r w:rsidR="00AE6533">
        <w:rPr>
          <w:rFonts w:ascii="Times New Roman" w:hAnsi="Times New Roman"/>
          <w:noProof/>
          <w:sz w:val="24"/>
        </w:rPr>
        <w:t xml:space="preserve"> v </w:t>
      </w:r>
      <w:r w:rsidRPr="00AE6533">
        <w:rPr>
          <w:rFonts w:ascii="Times New Roman" w:hAnsi="Times New Roman"/>
          <w:noProof/>
          <w:sz w:val="24"/>
        </w:rPr>
        <w:t>zastúpení</w:t>
      </w:r>
      <w:r w:rsidR="0097158F" w:rsidRPr="00AE6533">
        <w:rPr>
          <w:rStyle w:val="FootnoteReference"/>
          <w:rFonts w:ascii="Times New Roman" w:hAnsi="Times New Roman" w:cs="Times New Roman"/>
          <w:noProof/>
          <w:sz w:val="24"/>
          <w:szCs w:val="24"/>
        </w:rPr>
        <w:footnoteReference w:id="51"/>
      </w:r>
      <w:r w:rsidRPr="00AE6533">
        <w:rPr>
          <w:rFonts w:ascii="Times New Roman" w:hAnsi="Times New Roman"/>
          <w:noProof/>
          <w:sz w:val="24"/>
        </w:rPr>
        <w:t>, patria do vymedzenia pojmu „kolektívne uplatňovanie nárokov na nápravu“ uvedeného</w:t>
      </w:r>
      <w:r w:rsidR="00AE6533">
        <w:rPr>
          <w:rFonts w:ascii="Times New Roman" w:hAnsi="Times New Roman"/>
          <w:noProof/>
          <w:sz w:val="24"/>
        </w:rPr>
        <w:t xml:space="preserve"> v </w:t>
      </w:r>
      <w:r w:rsidRPr="00AE6533">
        <w:rPr>
          <w:rFonts w:ascii="Times New Roman" w:hAnsi="Times New Roman"/>
          <w:noProof/>
          <w:sz w:val="24"/>
        </w:rPr>
        <w:t>danom odporúčaní Komisie. Bolo nastolených viacero otázok pokiaľ ide</w:t>
      </w:r>
      <w:r w:rsidR="00AE6533">
        <w:rPr>
          <w:rFonts w:ascii="Times New Roman" w:hAnsi="Times New Roman"/>
          <w:noProof/>
          <w:sz w:val="24"/>
        </w:rPr>
        <w:t xml:space="preserve"> o </w:t>
      </w:r>
      <w:r w:rsidRPr="00AE6533">
        <w:rPr>
          <w:rFonts w:ascii="Times New Roman" w:hAnsi="Times New Roman"/>
          <w:noProof/>
          <w:sz w:val="24"/>
        </w:rPr>
        <w:t>to, či je uplatňovanie bežných noriem právomoci vo veciach súvisiacich</w:t>
      </w:r>
      <w:r w:rsidR="00AE6533">
        <w:rPr>
          <w:rFonts w:ascii="Times New Roman" w:hAnsi="Times New Roman"/>
          <w:noProof/>
          <w:sz w:val="24"/>
        </w:rPr>
        <w:t xml:space="preserve"> s </w:t>
      </w:r>
      <w:r w:rsidRPr="00AE6533">
        <w:rPr>
          <w:rFonts w:ascii="Times New Roman" w:hAnsi="Times New Roman"/>
          <w:noProof/>
          <w:sz w:val="24"/>
        </w:rPr>
        <w:t>nárokmi</w:t>
      </w:r>
      <w:r w:rsidR="00AE6533">
        <w:rPr>
          <w:rFonts w:ascii="Times New Roman" w:hAnsi="Times New Roman"/>
          <w:noProof/>
          <w:sz w:val="24"/>
        </w:rPr>
        <w:t xml:space="preserve"> z </w:t>
      </w:r>
      <w:r w:rsidRPr="00AE6533">
        <w:rPr>
          <w:rFonts w:ascii="Times New Roman" w:hAnsi="Times New Roman"/>
          <w:noProof/>
          <w:sz w:val="24"/>
        </w:rPr>
        <w:t>mimozmluvnej zodpovednosti alebo so spotrebiteľskými zmluvami vhodné na účely účinného riešenia nárokov</w:t>
      </w:r>
      <w:r w:rsidR="00AE6533">
        <w:rPr>
          <w:rFonts w:ascii="Times New Roman" w:hAnsi="Times New Roman"/>
          <w:noProof/>
          <w:sz w:val="24"/>
        </w:rPr>
        <w:t xml:space="preserve"> v </w:t>
      </w:r>
      <w:r w:rsidRPr="00AE6533">
        <w:rPr>
          <w:rFonts w:ascii="Times New Roman" w:hAnsi="Times New Roman"/>
          <w:noProof/>
          <w:sz w:val="24"/>
        </w:rPr>
        <w:t>rámci kolektívneho uplatňovanie nárokov na nápravu</w:t>
      </w:r>
      <w:r w:rsidR="00AE6533">
        <w:rPr>
          <w:rFonts w:ascii="Times New Roman" w:hAnsi="Times New Roman"/>
          <w:noProof/>
          <w:sz w:val="24"/>
        </w:rPr>
        <w:t>.</w:t>
      </w:r>
    </w:p>
    <w:p w14:paraId="61CC11F9" w14:textId="0C5C2B73" w:rsidR="00AE6533" w:rsidRDefault="00834AFF" w:rsidP="0018601C">
      <w:pPr>
        <w:spacing w:after="120" w:line="240" w:lineRule="auto"/>
        <w:jc w:val="both"/>
        <w:rPr>
          <w:rFonts w:ascii="Times New Roman" w:hAnsi="Times New Roman"/>
          <w:noProof/>
          <w:sz w:val="24"/>
        </w:rPr>
      </w:pPr>
      <w:r w:rsidRPr="00AE6533">
        <w:rPr>
          <w:rFonts w:ascii="Times New Roman" w:hAnsi="Times New Roman"/>
          <w:noProof/>
          <w:sz w:val="24"/>
        </w:rPr>
        <w:t>Súdny dvor Európskej únie sa týmto druhom prípadov zaoberal niekoľkokrát: Vo veci Henkel (C-167/00) Súdny dvor dospel</w:t>
      </w:r>
      <w:r w:rsidR="00AE6533">
        <w:rPr>
          <w:rFonts w:ascii="Times New Roman" w:hAnsi="Times New Roman"/>
          <w:noProof/>
          <w:sz w:val="24"/>
        </w:rPr>
        <w:t xml:space="preserve"> k </w:t>
      </w:r>
      <w:r w:rsidRPr="00AE6533">
        <w:rPr>
          <w:rFonts w:ascii="Times New Roman" w:hAnsi="Times New Roman"/>
          <w:noProof/>
          <w:sz w:val="24"/>
        </w:rPr>
        <w:t>záveru, že článok 5 ods. 3 Bruselského dohovoru (článok 7 ods. 2 nariadenia) sa vzťahuje na žaloby podané organizáciou zastupujúcou záujmy spotrebiteľov. Súdny dvor bol však tiež toho názoru, že osobitná ochrana poskytovaná jednotlivým spotrebiteľom</w:t>
      </w:r>
      <w:r w:rsidR="00AE6533">
        <w:rPr>
          <w:rFonts w:ascii="Times New Roman" w:hAnsi="Times New Roman"/>
          <w:noProof/>
          <w:sz w:val="24"/>
        </w:rPr>
        <w:t xml:space="preserve"> v </w:t>
      </w:r>
      <w:r w:rsidRPr="00AE6533">
        <w:rPr>
          <w:rFonts w:ascii="Times New Roman" w:hAnsi="Times New Roman"/>
          <w:noProof/>
          <w:sz w:val="24"/>
        </w:rPr>
        <w:t>článku 4 nariadenia sa na takéto organizácie nevzťahuje. Vo veci Schrems (C-498/16) Súdny dvor rozhodol, že ak boli nároky postúpené žalobcovi, ktorý je spotrebiteľom, inými spotrebiteľmi</w:t>
      </w:r>
      <w:r w:rsidR="00AE6533">
        <w:rPr>
          <w:rFonts w:ascii="Times New Roman" w:hAnsi="Times New Roman"/>
          <w:noProof/>
          <w:sz w:val="24"/>
        </w:rPr>
        <w:t xml:space="preserve"> s </w:t>
      </w:r>
      <w:r w:rsidRPr="00AE6533">
        <w:rPr>
          <w:rFonts w:ascii="Times New Roman" w:hAnsi="Times New Roman"/>
          <w:noProof/>
          <w:sz w:val="24"/>
        </w:rPr>
        <w:t>bydliskom</w:t>
      </w:r>
      <w:r w:rsidR="00AE6533">
        <w:rPr>
          <w:rFonts w:ascii="Times New Roman" w:hAnsi="Times New Roman"/>
          <w:noProof/>
          <w:sz w:val="24"/>
        </w:rPr>
        <w:t xml:space="preserve"> v </w:t>
      </w:r>
      <w:r w:rsidRPr="00AE6533">
        <w:rPr>
          <w:rFonts w:ascii="Times New Roman" w:hAnsi="Times New Roman"/>
          <w:noProof/>
          <w:sz w:val="24"/>
        </w:rPr>
        <w:t>tom istom členskom štáte alebo inde (v inom členskom štáte či dokonca mimo EÚ), žalobca sa nemôže odvolávať na právomoc</w:t>
      </w:r>
      <w:r w:rsidR="00AE6533">
        <w:rPr>
          <w:rFonts w:ascii="Times New Roman" w:hAnsi="Times New Roman"/>
          <w:noProof/>
          <w:sz w:val="24"/>
        </w:rPr>
        <w:t xml:space="preserve"> v </w:t>
      </w:r>
      <w:r w:rsidRPr="00AE6533">
        <w:rPr>
          <w:rFonts w:ascii="Times New Roman" w:hAnsi="Times New Roman"/>
          <w:noProof/>
          <w:sz w:val="24"/>
        </w:rPr>
        <w:t>mieste svojho bydliska</w:t>
      </w:r>
      <w:r w:rsidR="00AE6533">
        <w:rPr>
          <w:rFonts w:ascii="Times New Roman" w:hAnsi="Times New Roman"/>
          <w:noProof/>
          <w:sz w:val="24"/>
        </w:rPr>
        <w:t xml:space="preserve"> v </w:t>
      </w:r>
      <w:r w:rsidRPr="00AE6533">
        <w:rPr>
          <w:rFonts w:ascii="Times New Roman" w:hAnsi="Times New Roman"/>
          <w:noProof/>
          <w:sz w:val="24"/>
        </w:rPr>
        <w:t>prípade týchto postúpených nárokov na základe článku 18 nariadenia</w:t>
      </w:r>
      <w:r w:rsidR="00AE6533">
        <w:rPr>
          <w:rFonts w:ascii="Times New Roman" w:hAnsi="Times New Roman"/>
          <w:noProof/>
          <w:sz w:val="24"/>
        </w:rPr>
        <w:t>.</w:t>
      </w:r>
    </w:p>
    <w:p w14:paraId="11423A0A" w14:textId="6914FA4C" w:rsidR="00AE6533" w:rsidRDefault="00834AFF" w:rsidP="0018601C">
      <w:pPr>
        <w:spacing w:after="120" w:line="240" w:lineRule="auto"/>
        <w:jc w:val="both"/>
        <w:rPr>
          <w:rFonts w:ascii="Times New Roman" w:hAnsi="Times New Roman"/>
          <w:noProof/>
          <w:sz w:val="24"/>
        </w:rPr>
      </w:pPr>
      <w:r w:rsidRPr="00AE6533">
        <w:rPr>
          <w:rFonts w:ascii="Times New Roman" w:hAnsi="Times New Roman"/>
          <w:noProof/>
          <w:sz w:val="24"/>
        </w:rPr>
        <w:t>V dvoch ďalších rozhodnutiach vo veciach kolektívneho uplatňovania nárokov na nápravu Súdny dvor poskytol dodatočné objasnenia týkajúce sa uplatňovania článku 7 ods. 2</w:t>
      </w:r>
      <w:r w:rsidR="00AE6533">
        <w:rPr>
          <w:rFonts w:ascii="Times New Roman" w:hAnsi="Times New Roman"/>
          <w:noProof/>
          <w:sz w:val="24"/>
        </w:rPr>
        <w:t xml:space="preserve"> v </w:t>
      </w:r>
      <w:r w:rsidRPr="00AE6533">
        <w:rPr>
          <w:rFonts w:ascii="Times New Roman" w:hAnsi="Times New Roman"/>
          <w:noProof/>
          <w:sz w:val="24"/>
        </w:rPr>
        <w:t>takýchto situáciách, konkrétne, že umiestnenie skutočnosti, ktorá zakladá nárok na náhradu škody, sa musí preskúmať za každý nárok nezávisle od postúpenia alebo preskupenia, ktorého bola predmetom (vec CDC Hydrogen Peroxide SA, C-352/13), alebo že miesto, kde vznikla škoda</w:t>
      </w:r>
      <w:r w:rsidR="00AE6533">
        <w:rPr>
          <w:rFonts w:ascii="Times New Roman" w:hAnsi="Times New Roman"/>
          <w:noProof/>
          <w:sz w:val="24"/>
        </w:rPr>
        <w:t xml:space="preserve"> v </w:t>
      </w:r>
      <w:r w:rsidRPr="00AE6533">
        <w:rPr>
          <w:rFonts w:ascii="Times New Roman" w:hAnsi="Times New Roman"/>
          <w:noProof/>
          <w:sz w:val="24"/>
        </w:rPr>
        <w:t>prípade vozidiel vybavených zmanipulovaným softvérom, je</w:t>
      </w:r>
      <w:r w:rsidR="00AE6533">
        <w:rPr>
          <w:rFonts w:ascii="Times New Roman" w:hAnsi="Times New Roman"/>
          <w:noProof/>
          <w:sz w:val="24"/>
        </w:rPr>
        <w:t xml:space="preserve"> v </w:t>
      </w:r>
      <w:r w:rsidRPr="00AE6533">
        <w:rPr>
          <w:rFonts w:ascii="Times New Roman" w:hAnsi="Times New Roman"/>
          <w:noProof/>
          <w:sz w:val="24"/>
        </w:rPr>
        <w:t>členskom štáte,</w:t>
      </w:r>
      <w:r w:rsidR="00AE6533">
        <w:rPr>
          <w:rFonts w:ascii="Times New Roman" w:hAnsi="Times New Roman"/>
          <w:noProof/>
          <w:sz w:val="24"/>
        </w:rPr>
        <w:t xml:space="preserve"> v </w:t>
      </w:r>
      <w:r w:rsidRPr="00AE6533">
        <w:rPr>
          <w:rFonts w:ascii="Times New Roman" w:hAnsi="Times New Roman"/>
          <w:noProof/>
          <w:sz w:val="24"/>
        </w:rPr>
        <w:t>ktorom bol chybný tovar zakúpený (</w:t>
      </w:r>
      <w:r w:rsidRPr="00AE6533">
        <w:rPr>
          <w:rFonts w:ascii="Times New Roman" w:hAnsi="Times New Roman"/>
          <w:noProof/>
          <w:sz w:val="24"/>
          <w:shd w:val="clear" w:color="auto" w:fill="FEFEFD"/>
        </w:rPr>
        <w:t>VKI/Volkswagen, C-343/19)</w:t>
      </w:r>
      <w:r w:rsidRPr="00AE6533">
        <w:rPr>
          <w:rFonts w:ascii="Times New Roman" w:hAnsi="Times New Roman"/>
          <w:noProof/>
          <w:sz w:val="24"/>
        </w:rPr>
        <w:t>. Otázka výkladu článku 7 ods. 2 sa</w:t>
      </w:r>
      <w:r w:rsidR="00AE6533">
        <w:rPr>
          <w:rFonts w:ascii="Times New Roman" w:hAnsi="Times New Roman"/>
          <w:noProof/>
          <w:sz w:val="24"/>
        </w:rPr>
        <w:t xml:space="preserve"> v </w:t>
      </w:r>
      <w:r w:rsidRPr="00AE6533">
        <w:rPr>
          <w:rFonts w:ascii="Times New Roman" w:hAnsi="Times New Roman"/>
          <w:noProof/>
          <w:sz w:val="24"/>
        </w:rPr>
        <w:t>tejto súvislosti objavila aj pri nedávnej veci, ktorá sa</w:t>
      </w:r>
      <w:r w:rsidR="00AE6533">
        <w:rPr>
          <w:rFonts w:ascii="Times New Roman" w:hAnsi="Times New Roman"/>
          <w:noProof/>
          <w:sz w:val="24"/>
        </w:rPr>
        <w:t xml:space="preserve"> v </w:t>
      </w:r>
      <w:r w:rsidRPr="00AE6533">
        <w:rPr>
          <w:rFonts w:ascii="Times New Roman" w:hAnsi="Times New Roman"/>
          <w:noProof/>
          <w:sz w:val="24"/>
        </w:rPr>
        <w:t>čase dokončovania tejto správy stále prejednávala (vec Stichting Right to Consumer Justice/Apple, C-34/32).</w:t>
      </w:r>
      <w:r w:rsidR="00AE6533">
        <w:rPr>
          <w:rFonts w:ascii="Times New Roman" w:hAnsi="Times New Roman"/>
          <w:noProof/>
          <w:sz w:val="24"/>
        </w:rPr>
        <w:t xml:space="preserve"> V </w:t>
      </w:r>
      <w:r w:rsidRPr="00AE6533">
        <w:rPr>
          <w:rFonts w:ascii="Times New Roman" w:hAnsi="Times New Roman"/>
          <w:noProof/>
          <w:sz w:val="24"/>
        </w:rPr>
        <w:t>tejto veci bolo Súdnemu dvoru predložených niekoľko otázok týkajúcich sa výkladu miesta, kde došlo</w:t>
      </w:r>
      <w:r w:rsidR="00AE6533">
        <w:rPr>
          <w:rFonts w:ascii="Times New Roman" w:hAnsi="Times New Roman"/>
          <w:noProof/>
          <w:sz w:val="24"/>
        </w:rPr>
        <w:t xml:space="preserve"> k </w:t>
      </w:r>
      <w:r w:rsidRPr="00AE6533">
        <w:rPr>
          <w:rFonts w:ascii="Times New Roman" w:hAnsi="Times New Roman"/>
          <w:noProof/>
          <w:sz w:val="24"/>
        </w:rPr>
        <w:t>škodovej udalosti alebo kde vznikla škoda,</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nárokom na náhradu škody za údajné porušenie práva hospodárskej súťaže EÚ zo strany online platformy, ktorá je</w:t>
      </w:r>
      <w:r w:rsidR="00AE6533">
        <w:rPr>
          <w:rFonts w:ascii="Times New Roman" w:hAnsi="Times New Roman"/>
          <w:noProof/>
          <w:sz w:val="24"/>
        </w:rPr>
        <w:t xml:space="preserve"> v </w:t>
      </w:r>
      <w:r w:rsidRPr="00AE6533">
        <w:rPr>
          <w:rFonts w:ascii="Times New Roman" w:hAnsi="Times New Roman"/>
          <w:noProof/>
          <w:sz w:val="24"/>
        </w:rPr>
        <w:t>zásade prístupná na celom svete. Generálny advokát Sánchez-Bordona vo svojich návrhoch prednesených 27</w:t>
      </w:r>
      <w:r w:rsidR="00AE6533">
        <w:rPr>
          <w:rFonts w:ascii="Times New Roman" w:hAnsi="Times New Roman"/>
          <w:noProof/>
          <w:sz w:val="24"/>
        </w:rPr>
        <w:t>. marca</w:t>
      </w:r>
      <w:r w:rsidRPr="00AE6533">
        <w:rPr>
          <w:rFonts w:ascii="Times New Roman" w:hAnsi="Times New Roman"/>
          <w:noProof/>
          <w:sz w:val="24"/>
        </w:rPr>
        <w:t xml:space="preserve"> 2025 dospel</w:t>
      </w:r>
      <w:r w:rsidR="00AE6533">
        <w:rPr>
          <w:rFonts w:ascii="Times New Roman" w:hAnsi="Times New Roman"/>
          <w:noProof/>
          <w:sz w:val="24"/>
        </w:rPr>
        <w:t xml:space="preserve"> k </w:t>
      </w:r>
      <w:r w:rsidRPr="00AE6533">
        <w:rPr>
          <w:rFonts w:ascii="Times New Roman" w:hAnsi="Times New Roman"/>
          <w:noProof/>
          <w:sz w:val="24"/>
        </w:rPr>
        <w:t>záveru, že pre obe miesta je kľúčovým kolíznym kritériom bydlisko používateľa. Dôležité je, že generálny advokát zastával názor, že článok 7 ods. 2 by sa nemal vykladať odlišne, ak žalobu podáva subjekt, ktorý je podľa vnútroštátneho práva oprávnený podávať žaloby</w:t>
      </w:r>
      <w:r w:rsidR="00AE6533">
        <w:rPr>
          <w:rFonts w:ascii="Times New Roman" w:hAnsi="Times New Roman"/>
          <w:noProof/>
          <w:sz w:val="24"/>
        </w:rPr>
        <w:t xml:space="preserve"> v </w:t>
      </w:r>
      <w:r w:rsidRPr="00AE6533">
        <w:rPr>
          <w:rFonts w:ascii="Times New Roman" w:hAnsi="Times New Roman"/>
          <w:noProof/>
          <w:sz w:val="24"/>
        </w:rPr>
        <w:t>zastúpení. Generálny advokát sa napokon domnieval, že vnútroštátne procesné pravidlo, ktoré súdu umožňuje spojiť podobné žaloby prejednávané</w:t>
      </w:r>
      <w:r w:rsidR="00AE6533">
        <w:rPr>
          <w:rFonts w:ascii="Times New Roman" w:hAnsi="Times New Roman"/>
          <w:noProof/>
          <w:sz w:val="24"/>
        </w:rPr>
        <w:t xml:space="preserve"> v </w:t>
      </w:r>
      <w:r w:rsidRPr="00AE6533">
        <w:rPr>
          <w:rFonts w:ascii="Times New Roman" w:hAnsi="Times New Roman"/>
          <w:noProof/>
          <w:sz w:val="24"/>
        </w:rPr>
        <w:t>tom istom členskom štáte, je zlučiteľné</w:t>
      </w:r>
      <w:r w:rsidR="00AE6533">
        <w:rPr>
          <w:rFonts w:ascii="Times New Roman" w:hAnsi="Times New Roman"/>
          <w:noProof/>
          <w:sz w:val="24"/>
        </w:rPr>
        <w:t xml:space="preserve"> s </w:t>
      </w:r>
      <w:r w:rsidRPr="00AE6533">
        <w:rPr>
          <w:rFonts w:ascii="Times New Roman" w:hAnsi="Times New Roman"/>
          <w:noProof/>
          <w:sz w:val="24"/>
        </w:rPr>
        <w:t>článkom 7 ods. 2</w:t>
      </w:r>
      <w:r w:rsidR="00AE6533">
        <w:rPr>
          <w:rFonts w:ascii="Times New Roman" w:hAnsi="Times New Roman"/>
          <w:noProof/>
          <w:sz w:val="24"/>
        </w:rPr>
        <w:t>.</w:t>
      </w:r>
    </w:p>
    <w:p w14:paraId="4593F2B4" w14:textId="69947202" w:rsidR="00AE6533" w:rsidRDefault="006C539F" w:rsidP="0018601C">
      <w:pPr>
        <w:spacing w:after="120" w:line="240" w:lineRule="auto"/>
        <w:jc w:val="both"/>
        <w:rPr>
          <w:rFonts w:ascii="Times New Roman" w:hAnsi="Times New Roman"/>
          <w:noProof/>
          <w:sz w:val="24"/>
        </w:rPr>
      </w:pPr>
      <w:r w:rsidRPr="00AE6533">
        <w:rPr>
          <w:rFonts w:ascii="Times New Roman" w:hAnsi="Times New Roman"/>
          <w:noProof/>
          <w:sz w:val="24"/>
        </w:rPr>
        <w:t>Všetky otázky nastolené</w:t>
      </w:r>
      <w:r w:rsidR="00AE6533">
        <w:rPr>
          <w:rFonts w:ascii="Times New Roman" w:hAnsi="Times New Roman"/>
          <w:noProof/>
          <w:sz w:val="24"/>
        </w:rPr>
        <w:t xml:space="preserve"> v </w:t>
      </w:r>
      <w:r w:rsidRPr="00AE6533">
        <w:rPr>
          <w:rFonts w:ascii="Times New Roman" w:hAnsi="Times New Roman"/>
          <w:noProof/>
          <w:sz w:val="24"/>
        </w:rPr>
        <w:t>týchto veciach sa týkali právomoci súdov, konkrétne súčasného zložitého uplatňovania článku 7 ods. 2</w:t>
      </w:r>
      <w:r w:rsidR="00AE6533">
        <w:rPr>
          <w:rFonts w:ascii="Times New Roman" w:hAnsi="Times New Roman"/>
          <w:noProof/>
          <w:sz w:val="24"/>
        </w:rPr>
        <w:t xml:space="preserve"> v </w:t>
      </w:r>
      <w:r w:rsidRPr="00AE6533">
        <w:rPr>
          <w:rFonts w:ascii="Times New Roman" w:hAnsi="Times New Roman"/>
          <w:noProof/>
          <w:sz w:val="24"/>
        </w:rPr>
        <w:t>prípade kolektívnych nárokov</w:t>
      </w:r>
      <w:r w:rsidR="00AE6533">
        <w:rPr>
          <w:rFonts w:ascii="Times New Roman" w:hAnsi="Times New Roman"/>
          <w:noProof/>
          <w:sz w:val="24"/>
        </w:rPr>
        <w:t xml:space="preserve"> z </w:t>
      </w:r>
      <w:r w:rsidRPr="00AE6533">
        <w:rPr>
          <w:rFonts w:ascii="Times New Roman" w:hAnsi="Times New Roman"/>
          <w:noProof/>
          <w:sz w:val="24"/>
        </w:rPr>
        <w:t>dôvodu nemožnosti spojiť konania na jednom súde alebo neexistencie možnosti spojiť konania</w:t>
      </w:r>
      <w:r w:rsidR="00AE6533">
        <w:rPr>
          <w:rFonts w:ascii="Times New Roman" w:hAnsi="Times New Roman"/>
          <w:noProof/>
          <w:sz w:val="24"/>
        </w:rPr>
        <w:t xml:space="preserve"> v </w:t>
      </w:r>
      <w:r w:rsidRPr="00AE6533">
        <w:rPr>
          <w:rFonts w:ascii="Times New Roman" w:hAnsi="Times New Roman"/>
          <w:noProof/>
          <w:sz w:val="24"/>
        </w:rPr>
        <w:t>mieste bydliska jedného zo žalobcov (</w:t>
      </w:r>
      <w:r w:rsidRPr="00AE6533">
        <w:rPr>
          <w:rFonts w:ascii="Times New Roman" w:hAnsi="Times New Roman"/>
          <w:i/>
          <w:noProof/>
          <w:sz w:val="24"/>
        </w:rPr>
        <w:t>forum actoris</w:t>
      </w:r>
      <w:r w:rsidRPr="00AE6533">
        <w:rPr>
          <w:rFonts w:ascii="Times New Roman" w:hAnsi="Times New Roman"/>
          <w:noProof/>
          <w:sz w:val="24"/>
        </w:rPr>
        <w:t>)</w:t>
      </w:r>
      <w:r w:rsidR="00AE6533">
        <w:rPr>
          <w:rFonts w:ascii="Times New Roman" w:hAnsi="Times New Roman"/>
          <w:noProof/>
          <w:sz w:val="24"/>
        </w:rPr>
        <w:t xml:space="preserve"> v </w:t>
      </w:r>
      <w:r w:rsidRPr="00AE6533">
        <w:rPr>
          <w:rFonts w:ascii="Times New Roman" w:hAnsi="Times New Roman"/>
          <w:noProof/>
          <w:sz w:val="24"/>
        </w:rPr>
        <w:t>prípade kolektívnych nárokov spotrebiteľov, ak majú spotrebitelia bydlisko</w:t>
      </w:r>
      <w:r w:rsidR="00AE6533">
        <w:rPr>
          <w:rFonts w:ascii="Times New Roman" w:hAnsi="Times New Roman"/>
          <w:noProof/>
          <w:sz w:val="24"/>
        </w:rPr>
        <w:t xml:space="preserve"> v </w:t>
      </w:r>
      <w:r w:rsidRPr="00AE6533">
        <w:rPr>
          <w:rFonts w:ascii="Times New Roman" w:hAnsi="Times New Roman"/>
          <w:noProof/>
          <w:sz w:val="24"/>
        </w:rPr>
        <w:t>tom istom členskom štáte alebo</w:t>
      </w:r>
      <w:r w:rsidR="00AE6533">
        <w:rPr>
          <w:rFonts w:ascii="Times New Roman" w:hAnsi="Times New Roman"/>
          <w:noProof/>
          <w:sz w:val="24"/>
        </w:rPr>
        <w:t xml:space="preserve"> v </w:t>
      </w:r>
      <w:r w:rsidRPr="00AE6533">
        <w:rPr>
          <w:rFonts w:ascii="Times New Roman" w:hAnsi="Times New Roman"/>
          <w:noProof/>
          <w:sz w:val="24"/>
        </w:rPr>
        <w:t>rôznych členských štátoch</w:t>
      </w:r>
      <w:r w:rsidR="00382A2A" w:rsidRPr="00AE6533">
        <w:rPr>
          <w:rStyle w:val="FootnoteReference"/>
          <w:rFonts w:ascii="Times New Roman" w:hAnsi="Times New Roman" w:cs="Times New Roman"/>
          <w:noProof/>
          <w:sz w:val="24"/>
          <w:szCs w:val="24"/>
        </w:rPr>
        <w:footnoteReference w:id="52"/>
      </w:r>
      <w:r w:rsidR="00AE6533">
        <w:rPr>
          <w:rFonts w:ascii="Times New Roman" w:hAnsi="Times New Roman"/>
          <w:noProof/>
          <w:sz w:val="24"/>
        </w:rPr>
        <w:t>.</w:t>
      </w:r>
    </w:p>
    <w:p w14:paraId="33659420" w14:textId="6FF75749" w:rsidR="006C539F" w:rsidRPr="00AE6533" w:rsidRDefault="00A16FBE" w:rsidP="0018601C">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Zdá sa, že nariadením sa môže vytvoriť zbytočná záťaž pre žalobcov</w:t>
      </w:r>
      <w:r w:rsidR="00AE6533">
        <w:rPr>
          <w:rFonts w:ascii="Times New Roman" w:hAnsi="Times New Roman"/>
          <w:noProof/>
          <w:sz w:val="24"/>
        </w:rPr>
        <w:t xml:space="preserve"> v </w:t>
      </w:r>
      <w:r w:rsidRPr="00AE6533">
        <w:rPr>
          <w:rFonts w:ascii="Times New Roman" w:hAnsi="Times New Roman"/>
          <w:noProof/>
          <w:sz w:val="24"/>
        </w:rPr>
        <w:t>prípade kolektívneho uplatňovania nárokov na nápravu, pretože vo väčšine prípadov by sa museli obrátiť na viac ako jeden súd, aby mohli viesť spor. To môže viesť</w:t>
      </w:r>
      <w:r w:rsidR="00AE6533">
        <w:rPr>
          <w:rFonts w:ascii="Times New Roman" w:hAnsi="Times New Roman"/>
          <w:noProof/>
          <w:sz w:val="24"/>
        </w:rPr>
        <w:t xml:space="preserve"> k </w:t>
      </w:r>
      <w:r w:rsidRPr="00AE6533">
        <w:rPr>
          <w:rFonts w:ascii="Times New Roman" w:hAnsi="Times New Roman"/>
          <w:noProof/>
          <w:sz w:val="24"/>
        </w:rPr>
        <w:t>nezlučiteľným rozsudkom. Hoci pravidlo týkajúce sa súvisiacich nárokoch uvedené</w:t>
      </w:r>
      <w:r w:rsidR="00AE6533">
        <w:rPr>
          <w:rFonts w:ascii="Times New Roman" w:hAnsi="Times New Roman"/>
          <w:noProof/>
          <w:sz w:val="24"/>
        </w:rPr>
        <w:t xml:space="preserve"> v </w:t>
      </w:r>
      <w:r w:rsidRPr="00AE6533">
        <w:rPr>
          <w:rFonts w:ascii="Times New Roman" w:hAnsi="Times New Roman"/>
          <w:noProof/>
          <w:sz w:val="24"/>
        </w:rPr>
        <w:t>článku 30 nariadenia môže priniesť riešenia</w:t>
      </w:r>
      <w:r w:rsidR="00AE6533">
        <w:rPr>
          <w:rFonts w:ascii="Times New Roman" w:hAnsi="Times New Roman"/>
          <w:noProof/>
          <w:sz w:val="24"/>
        </w:rPr>
        <w:t xml:space="preserve"> v </w:t>
      </w:r>
      <w:r w:rsidRPr="00AE6533">
        <w:rPr>
          <w:rFonts w:ascii="Times New Roman" w:hAnsi="Times New Roman"/>
          <w:noProof/>
          <w:sz w:val="24"/>
        </w:rPr>
        <w:t>takejto situácii, žalobcovia stále musia pred prípadným spojením na súde, ktorý začal konať ako prvý, podať návrh na rôznych súdoch. Pre žalobcov to predstavuje dodatočnú záťaž, najmä ak sú slabšími účastníkmi konania.</w:t>
      </w:r>
    </w:p>
    <w:p w14:paraId="48902AAD" w14:textId="6E78C37C" w:rsidR="00AE6533" w:rsidRDefault="00834AFF" w:rsidP="00640506">
      <w:pPr>
        <w:spacing w:after="120" w:line="240" w:lineRule="auto"/>
        <w:jc w:val="both"/>
        <w:rPr>
          <w:rFonts w:ascii="Times New Roman" w:hAnsi="Times New Roman"/>
          <w:noProof/>
          <w:sz w:val="24"/>
        </w:rPr>
      </w:pPr>
      <w:r w:rsidRPr="00AE6533">
        <w:rPr>
          <w:rFonts w:ascii="Times New Roman" w:hAnsi="Times New Roman"/>
          <w:noProof/>
          <w:sz w:val="24"/>
        </w:rPr>
        <w:t>V dôsledku toho by sa</w:t>
      </w:r>
      <w:r w:rsidR="00AE6533">
        <w:rPr>
          <w:rFonts w:ascii="Times New Roman" w:hAnsi="Times New Roman"/>
          <w:noProof/>
          <w:sz w:val="24"/>
        </w:rPr>
        <w:t xml:space="preserve"> v </w:t>
      </w:r>
      <w:r w:rsidRPr="00AE6533">
        <w:rPr>
          <w:rFonts w:ascii="Times New Roman" w:hAnsi="Times New Roman"/>
          <w:noProof/>
          <w:sz w:val="24"/>
        </w:rPr>
        <w:t>rámci prípadného budúceho preskúmania nariadenia mohla podrobnejšie preskúmať táto otázka, najmä či sa nariadením uspokojivo upravuje právomoc pri kolektívnych (spotrebiteľských) nárokoch</w:t>
      </w:r>
      <w:r w:rsidR="00AE6533">
        <w:rPr>
          <w:rFonts w:ascii="Times New Roman" w:hAnsi="Times New Roman"/>
          <w:noProof/>
          <w:sz w:val="24"/>
        </w:rPr>
        <w:t>.</w:t>
      </w:r>
    </w:p>
    <w:p w14:paraId="1F412361" w14:textId="57D2AEFE" w:rsidR="00450B64" w:rsidRPr="00AE6533" w:rsidRDefault="00A8496C" w:rsidP="0026248D">
      <w:pPr>
        <w:pStyle w:val="Heading2"/>
        <w:ind w:firstLine="240"/>
        <w:rPr>
          <w:rFonts w:ascii="Times New Roman" w:hAnsi="Times New Roman" w:cs="Times New Roman"/>
          <w:b/>
          <w:bCs/>
          <w:noProof/>
          <w:color w:val="auto"/>
          <w:sz w:val="24"/>
          <w:szCs w:val="24"/>
        </w:rPr>
      </w:pPr>
      <w:r w:rsidRPr="00AE6533">
        <w:rPr>
          <w:rFonts w:ascii="Times New Roman" w:hAnsi="Times New Roman"/>
          <w:b/>
          <w:noProof/>
          <w:color w:val="auto"/>
          <w:sz w:val="24"/>
        </w:rPr>
        <w:t>6.2. Vplyv digitalizácie na nariadenie</w:t>
      </w:r>
    </w:p>
    <w:p w14:paraId="3CB9E79C" w14:textId="5FF6A545" w:rsidR="00450B64" w:rsidRPr="00AE6533" w:rsidRDefault="00450B64" w:rsidP="00804822">
      <w:pPr>
        <w:tabs>
          <w:tab w:val="left" w:pos="240"/>
        </w:tabs>
        <w:spacing w:after="120" w:line="240" w:lineRule="auto"/>
        <w:jc w:val="both"/>
        <w:rPr>
          <w:rFonts w:ascii="Times New Roman" w:hAnsi="Times New Roman" w:cs="Times New Roman"/>
          <w:noProof/>
          <w:sz w:val="24"/>
          <w:szCs w:val="24"/>
        </w:rPr>
      </w:pPr>
      <w:r w:rsidRPr="00AE6533">
        <w:rPr>
          <w:rFonts w:ascii="Times New Roman" w:hAnsi="Times New Roman"/>
          <w:noProof/>
          <w:sz w:val="24"/>
        </w:rPr>
        <w:t>Hoci sa digitálna transformácia začala dávno pred prijatím nariadenia, zrýchlila sa bezprecedentným spôsobom,</w:t>
      </w:r>
      <w:r w:rsidR="00AE6533">
        <w:rPr>
          <w:rFonts w:ascii="Times New Roman" w:hAnsi="Times New Roman"/>
          <w:noProof/>
          <w:sz w:val="24"/>
        </w:rPr>
        <w:t xml:space="preserve"> a </w:t>
      </w:r>
      <w:r w:rsidRPr="00AE6533">
        <w:rPr>
          <w:rFonts w:ascii="Times New Roman" w:hAnsi="Times New Roman"/>
          <w:noProof/>
          <w:sz w:val="24"/>
        </w:rPr>
        <w:t>to aj</w:t>
      </w:r>
      <w:r w:rsidR="00AE6533">
        <w:rPr>
          <w:rFonts w:ascii="Times New Roman" w:hAnsi="Times New Roman"/>
          <w:noProof/>
          <w:sz w:val="24"/>
        </w:rPr>
        <w:t xml:space="preserve"> v </w:t>
      </w:r>
      <w:r w:rsidRPr="00AE6533">
        <w:rPr>
          <w:rFonts w:ascii="Times New Roman" w:hAnsi="Times New Roman"/>
          <w:noProof/>
          <w:sz w:val="24"/>
        </w:rPr>
        <w:t>súvislosti</w:t>
      </w:r>
      <w:r w:rsidR="00AE6533">
        <w:rPr>
          <w:rFonts w:ascii="Times New Roman" w:hAnsi="Times New Roman"/>
          <w:noProof/>
          <w:sz w:val="24"/>
        </w:rPr>
        <w:t xml:space="preserve"> s </w:t>
      </w:r>
      <w:r w:rsidRPr="00AE6533">
        <w:rPr>
          <w:rFonts w:ascii="Times New Roman" w:hAnsi="Times New Roman"/>
          <w:noProof/>
          <w:sz w:val="24"/>
        </w:rPr>
        <w:t>krízou spôsobenou ochorením COVID-19. Nastal bezprecedentný presun obchodných činností</w:t>
      </w:r>
      <w:r w:rsidR="00AE6533">
        <w:rPr>
          <w:rFonts w:ascii="Times New Roman" w:hAnsi="Times New Roman"/>
          <w:noProof/>
          <w:sz w:val="24"/>
        </w:rPr>
        <w:t xml:space="preserve"> z </w:t>
      </w:r>
      <w:r w:rsidRPr="00AE6533">
        <w:rPr>
          <w:rFonts w:ascii="Times New Roman" w:hAnsi="Times New Roman"/>
          <w:noProof/>
          <w:sz w:val="24"/>
        </w:rPr>
        <w:t>prevažne offline priestoru do online priestoru,</w:t>
      </w:r>
      <w:r w:rsidR="00AE6533">
        <w:rPr>
          <w:rFonts w:ascii="Times New Roman" w:hAnsi="Times New Roman"/>
          <w:noProof/>
          <w:sz w:val="24"/>
        </w:rPr>
        <w:t xml:space="preserve"> a </w:t>
      </w:r>
      <w:r w:rsidRPr="00AE6533">
        <w:rPr>
          <w:rFonts w:ascii="Times New Roman" w:hAnsi="Times New Roman"/>
          <w:noProof/>
          <w:sz w:val="24"/>
        </w:rPr>
        <w:t>to vrátane využívania</w:t>
      </w:r>
      <w:r w:rsidR="008F4E1C">
        <w:rPr>
          <w:rFonts w:ascii="Times New Roman" w:hAnsi="Times New Roman"/>
          <w:noProof/>
          <w:sz w:val="24"/>
        </w:rPr>
        <w:t xml:space="preserve"> </w:t>
      </w:r>
      <w:r w:rsidRPr="00AE6533">
        <w:rPr>
          <w:rFonts w:ascii="Times New Roman" w:hAnsi="Times New Roman"/>
          <w:noProof/>
          <w:sz w:val="24"/>
          <w:shd w:val="clear" w:color="auto" w:fill="FFFFFF"/>
        </w:rPr>
        <w:t>sociálnych médií, inteligentných zariadení, kryptomien</w:t>
      </w:r>
      <w:r w:rsidR="00AE6533">
        <w:rPr>
          <w:rFonts w:ascii="Times New Roman" w:hAnsi="Times New Roman"/>
          <w:noProof/>
          <w:sz w:val="24"/>
          <w:shd w:val="clear" w:color="auto" w:fill="FFFFFF"/>
        </w:rPr>
        <w:t xml:space="preserve"> a </w:t>
      </w:r>
      <w:r w:rsidRPr="00AE6533">
        <w:rPr>
          <w:rFonts w:ascii="Times New Roman" w:hAnsi="Times New Roman"/>
          <w:noProof/>
          <w:sz w:val="24"/>
          <w:shd w:val="clear" w:color="auto" w:fill="FFFFFF"/>
        </w:rPr>
        <w:t>technológií blockchain</w:t>
      </w:r>
      <w:r w:rsidRPr="00AE6533">
        <w:rPr>
          <w:rFonts w:ascii="Times New Roman" w:hAnsi="Times New Roman"/>
          <w:noProof/>
          <w:sz w:val="24"/>
        </w:rPr>
        <w:t>, ako aj prudký nárast dopytu po práci na diaľku</w:t>
      </w:r>
      <w:r w:rsidR="00AE6533">
        <w:rPr>
          <w:rFonts w:ascii="Times New Roman" w:hAnsi="Times New Roman"/>
          <w:noProof/>
          <w:sz w:val="24"/>
        </w:rPr>
        <w:t xml:space="preserve"> a </w:t>
      </w:r>
      <w:r w:rsidRPr="00AE6533">
        <w:rPr>
          <w:rFonts w:ascii="Times New Roman" w:hAnsi="Times New Roman"/>
          <w:noProof/>
          <w:sz w:val="24"/>
        </w:rPr>
        <w:t>platformovej práci, čo urýchlilo digitálnu transformáciu pracovísk</w:t>
      </w:r>
      <w:r w:rsidR="00AE6533">
        <w:rPr>
          <w:rFonts w:ascii="Times New Roman" w:hAnsi="Times New Roman"/>
          <w:noProof/>
          <w:sz w:val="24"/>
        </w:rPr>
        <w:t xml:space="preserve"> v </w:t>
      </w:r>
      <w:r w:rsidRPr="00AE6533">
        <w:rPr>
          <w:rFonts w:ascii="Times New Roman" w:hAnsi="Times New Roman"/>
          <w:noProof/>
          <w:sz w:val="24"/>
        </w:rPr>
        <w:t>Európskej únii aj mimo nej. Kríza spôsobená ochorením COVID-19 zároveň zdôraznila význam digitalizácie súdnych konaní pri zabezpečovaní prístupu</w:t>
      </w:r>
      <w:r w:rsidR="00AE6533">
        <w:rPr>
          <w:rFonts w:ascii="Times New Roman" w:hAnsi="Times New Roman"/>
          <w:noProof/>
          <w:sz w:val="24"/>
        </w:rPr>
        <w:t xml:space="preserve"> k </w:t>
      </w:r>
      <w:r w:rsidRPr="00AE6533">
        <w:rPr>
          <w:rFonts w:ascii="Times New Roman" w:hAnsi="Times New Roman"/>
          <w:noProof/>
          <w:sz w:val="24"/>
        </w:rPr>
        <w:t>spravodlivosti.</w:t>
      </w:r>
    </w:p>
    <w:p w14:paraId="4EE1C7B8" w14:textId="5A85FBD3" w:rsidR="00B32830" w:rsidRPr="00AE6533" w:rsidRDefault="00A8496C" w:rsidP="00804822">
      <w:pPr>
        <w:pStyle w:val="Heading3LL"/>
        <w:ind w:firstLine="240"/>
        <w:rPr>
          <w:noProof/>
        </w:rPr>
      </w:pPr>
      <w:r w:rsidRPr="00AE6533">
        <w:rPr>
          <w:noProof/>
        </w:rPr>
        <w:t>6.2.1. Digitalizácia „obsahu“</w:t>
      </w:r>
    </w:p>
    <w:p w14:paraId="7A1E7F39" w14:textId="5E911F66" w:rsidR="00AE6533" w:rsidRPr="00691FFB" w:rsidRDefault="00450B64" w:rsidP="00450B64">
      <w:pPr>
        <w:spacing w:after="120" w:line="240" w:lineRule="auto"/>
        <w:jc w:val="both"/>
        <w:rPr>
          <w:rFonts w:ascii="Times New Roman" w:hAnsi="Times New Roman"/>
          <w:noProof/>
          <w:spacing w:val="-4"/>
          <w:sz w:val="24"/>
          <w:shd w:val="clear" w:color="auto" w:fill="FEFEFD"/>
        </w:rPr>
      </w:pPr>
      <w:r w:rsidRPr="00691FFB">
        <w:rPr>
          <w:rFonts w:ascii="Times New Roman" w:hAnsi="Times New Roman"/>
          <w:noProof/>
          <w:spacing w:val="-4"/>
          <w:sz w:val="24"/>
          <w:shd w:val="clear" w:color="auto" w:fill="FEFEFD"/>
        </w:rPr>
        <w:t>Nie je prekvapujúce, že znásobenie „digitálnych“ vzťahov, ktoré sa vo svojej podstate nevzťahujú na územie,</w:t>
      </w:r>
      <w:r w:rsidR="00AE6533" w:rsidRPr="00691FFB">
        <w:rPr>
          <w:rFonts w:ascii="Times New Roman" w:hAnsi="Times New Roman"/>
          <w:noProof/>
          <w:spacing w:val="-4"/>
          <w:sz w:val="24"/>
          <w:shd w:val="clear" w:color="auto" w:fill="FEFEFD"/>
        </w:rPr>
        <w:t xml:space="preserve"> a </w:t>
      </w:r>
      <w:r w:rsidRPr="00691FFB">
        <w:rPr>
          <w:rFonts w:ascii="Times New Roman" w:hAnsi="Times New Roman"/>
          <w:noProof/>
          <w:spacing w:val="-4"/>
          <w:sz w:val="24"/>
          <w:shd w:val="clear" w:color="auto" w:fill="FEFEFD"/>
        </w:rPr>
        <w:t>stále častejšie využívanie digitálnych technológií, ktoré sú svojou povahou všadeprítomné,</w:t>
      </w:r>
      <w:r w:rsidRPr="00691FFB">
        <w:rPr>
          <w:rFonts w:ascii="Times New Roman" w:hAnsi="Times New Roman"/>
          <w:noProof/>
          <w:spacing w:val="-4"/>
          <w:sz w:val="24"/>
        </w:rPr>
        <w:t xml:space="preserve"> prinieslo viaceré výzvy, pokiaľ ide</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 xml:space="preserve">uplatňovanie nariadenia, ktorým sa stanovujú normy právomoci </w:t>
      </w:r>
      <w:r w:rsidRPr="00691FFB">
        <w:rPr>
          <w:rFonts w:ascii="Times New Roman" w:hAnsi="Times New Roman"/>
          <w:noProof/>
          <w:spacing w:val="-4"/>
          <w:sz w:val="24"/>
          <w:shd w:val="clear" w:color="auto" w:fill="FEFEFD"/>
        </w:rPr>
        <w:t>tradične založené na geografických kolíznych kritériách</w:t>
      </w:r>
      <w:r w:rsidR="00AE6533" w:rsidRPr="00691FFB">
        <w:rPr>
          <w:rFonts w:ascii="Times New Roman" w:hAnsi="Times New Roman"/>
          <w:noProof/>
          <w:spacing w:val="-4"/>
          <w:sz w:val="24"/>
          <w:shd w:val="clear" w:color="auto" w:fill="FEFEFD"/>
        </w:rPr>
        <w:t>.</w:t>
      </w:r>
    </w:p>
    <w:p w14:paraId="4BA0D07A" w14:textId="25B81A55" w:rsidR="00AE6533" w:rsidRPr="00691FFB" w:rsidRDefault="00450B64" w:rsidP="00450B64">
      <w:pPr>
        <w:spacing w:after="120" w:line="240" w:lineRule="auto"/>
        <w:jc w:val="both"/>
        <w:rPr>
          <w:rFonts w:ascii="Times New Roman" w:hAnsi="Times New Roman"/>
          <w:noProof/>
          <w:spacing w:val="-4"/>
          <w:sz w:val="24"/>
        </w:rPr>
      </w:pPr>
      <w:r w:rsidRPr="00691FFB">
        <w:rPr>
          <w:rFonts w:ascii="Times New Roman" w:hAnsi="Times New Roman"/>
          <w:noProof/>
          <w:spacing w:val="-4"/>
          <w:sz w:val="24"/>
          <w:shd w:val="clear" w:color="auto" w:fill="FEFEFD"/>
        </w:rPr>
        <w:t>Tieto hlavné výzvy dobre ilustrujú veci predložené Súdnemu dvoru Európskej únie so žiadosťou</w:t>
      </w:r>
      <w:r w:rsidR="00AE6533" w:rsidRPr="00691FFB">
        <w:rPr>
          <w:rFonts w:ascii="Times New Roman" w:hAnsi="Times New Roman"/>
          <w:noProof/>
          <w:spacing w:val="-4"/>
          <w:sz w:val="24"/>
          <w:shd w:val="clear" w:color="auto" w:fill="FEFEFD"/>
        </w:rPr>
        <w:t xml:space="preserve"> o </w:t>
      </w:r>
      <w:r w:rsidRPr="00691FFB">
        <w:rPr>
          <w:rFonts w:ascii="Times New Roman" w:hAnsi="Times New Roman"/>
          <w:noProof/>
          <w:spacing w:val="-4"/>
          <w:sz w:val="24"/>
          <w:shd w:val="clear" w:color="auto" w:fill="FEFEFD"/>
        </w:rPr>
        <w:t>usmernenie</w:t>
      </w:r>
      <w:r w:rsidR="00AE6533" w:rsidRPr="00691FFB">
        <w:rPr>
          <w:rFonts w:ascii="Times New Roman" w:hAnsi="Times New Roman"/>
          <w:noProof/>
          <w:spacing w:val="-4"/>
          <w:sz w:val="24"/>
          <w:shd w:val="clear" w:color="auto" w:fill="FEFEFD"/>
        </w:rPr>
        <w:t xml:space="preserve"> k </w:t>
      </w:r>
      <w:r w:rsidRPr="00691FFB">
        <w:rPr>
          <w:rFonts w:ascii="Times New Roman" w:hAnsi="Times New Roman"/>
          <w:noProof/>
          <w:spacing w:val="-4"/>
          <w:sz w:val="24"/>
          <w:shd w:val="clear" w:color="auto" w:fill="FEFEFD"/>
        </w:rPr>
        <w:t>uplatňovaniu nariadenia na „digitálny obsah“. Vnútroštátne súdy sa stretávajú</w:t>
      </w:r>
      <w:r w:rsidR="00AE6533" w:rsidRPr="00691FFB">
        <w:rPr>
          <w:rFonts w:ascii="Times New Roman" w:hAnsi="Times New Roman"/>
          <w:noProof/>
          <w:spacing w:val="-4"/>
          <w:sz w:val="24"/>
          <w:shd w:val="clear" w:color="auto" w:fill="FEFEFD"/>
        </w:rPr>
        <w:t xml:space="preserve"> s </w:t>
      </w:r>
      <w:r w:rsidRPr="00691FFB">
        <w:rPr>
          <w:rFonts w:ascii="Times New Roman" w:hAnsi="Times New Roman"/>
          <w:noProof/>
          <w:spacing w:val="-4"/>
          <w:sz w:val="24"/>
          <w:shd w:val="clear" w:color="auto" w:fill="FEFEFD"/>
        </w:rPr>
        <w:t>ťažkosťami pri určovaní, či</w:t>
      </w:r>
      <w:r w:rsidRPr="00691FFB">
        <w:rPr>
          <w:rFonts w:ascii="Times New Roman" w:hAnsi="Times New Roman"/>
          <w:noProof/>
          <w:spacing w:val="-4"/>
          <w:sz w:val="24"/>
        </w:rPr>
        <w:t xml:space="preserve"> dohoda</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voľbe právomoci bola platne uzavretá online (Tilman, C-358/21), pri určovaní miesta plnenia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súvislosti</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dodaním digitálneho tovaru alebo poskytnutím online služieb (VariusSystems, C-526/23), kde vznikla škoda spôsobená aplikáciou, ktorú možno stiahnuť na celom svete (Apple, C-34/24),</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to je len niekoľko príkladov</w:t>
      </w:r>
      <w:r w:rsidR="00AE6533" w:rsidRPr="00691FFB">
        <w:rPr>
          <w:rFonts w:ascii="Times New Roman" w:hAnsi="Times New Roman"/>
          <w:noProof/>
          <w:spacing w:val="-4"/>
          <w:sz w:val="24"/>
        </w:rPr>
        <w:t>.</w:t>
      </w:r>
    </w:p>
    <w:p w14:paraId="5FC5DA9E" w14:textId="3849E2E7" w:rsidR="00AE6533" w:rsidRPr="00691FFB" w:rsidRDefault="0077242F" w:rsidP="00450B64">
      <w:pPr>
        <w:spacing w:after="120" w:line="240" w:lineRule="auto"/>
        <w:jc w:val="both"/>
        <w:rPr>
          <w:rFonts w:ascii="Times New Roman" w:hAnsi="Times New Roman"/>
          <w:noProof/>
          <w:spacing w:val="-4"/>
          <w:sz w:val="24"/>
        </w:rPr>
      </w:pPr>
      <w:r w:rsidRPr="00691FFB">
        <w:rPr>
          <w:rFonts w:ascii="Times New Roman" w:hAnsi="Times New Roman"/>
          <w:noProof/>
          <w:spacing w:val="-4"/>
          <w:sz w:val="24"/>
        </w:rPr>
        <w:t>Očakávaný nárast využívania technológií blockchain, zvýšená digitalizácia zakladania spoločností, zavádzanie umelej inteligencie vo viacerých odvetviach</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vytváranie metaverz určite so sebou prinesú aj nové otázky</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výzvy. Napríklad pseudonymita (alebo anonymita) strán zapojených do transakcií alebo často neznámy počet účastníkov</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sieti blockchain by mohli spôsobiť ťažkosti pri uplatňovaní samotného základného pravidla týkajúceho sa bydliska žalovaného</w:t>
      </w:r>
      <w:r w:rsidR="00AE6533" w:rsidRPr="00691FFB">
        <w:rPr>
          <w:rFonts w:ascii="Times New Roman" w:hAnsi="Times New Roman"/>
          <w:noProof/>
          <w:spacing w:val="-4"/>
          <w:sz w:val="24"/>
        </w:rPr>
        <w:t>.</w:t>
      </w:r>
    </w:p>
    <w:p w14:paraId="1E920253" w14:textId="66EC02BF" w:rsidR="00450B64" w:rsidRPr="00AE6533" w:rsidRDefault="00450B64" w:rsidP="00450B64">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 súčasnosti sa však ťažkosti,</w:t>
      </w:r>
      <w:r w:rsidR="00AE6533">
        <w:rPr>
          <w:rFonts w:ascii="Times New Roman" w:hAnsi="Times New Roman"/>
          <w:noProof/>
          <w:sz w:val="24"/>
        </w:rPr>
        <w:t xml:space="preserve"> s </w:t>
      </w:r>
      <w:r w:rsidRPr="00AE6533">
        <w:rPr>
          <w:rFonts w:ascii="Times New Roman" w:hAnsi="Times New Roman"/>
          <w:noProof/>
          <w:sz w:val="24"/>
        </w:rPr>
        <w:t>ktorými sa vnútroštátne súdy stretávajú pri uplatňovaní nariadenia</w:t>
      </w:r>
      <w:r w:rsidR="00AE6533">
        <w:rPr>
          <w:rFonts w:ascii="Times New Roman" w:hAnsi="Times New Roman"/>
          <w:noProof/>
          <w:sz w:val="24"/>
        </w:rPr>
        <w:t xml:space="preserve"> v </w:t>
      </w:r>
      <w:r w:rsidRPr="00AE6533">
        <w:rPr>
          <w:rFonts w:ascii="Times New Roman" w:hAnsi="Times New Roman"/>
          <w:noProof/>
          <w:sz w:val="24"/>
        </w:rPr>
        <w:t>digitálnom kontexte, príliš nelíšia od ťažkostí, ktoré vznikajú</w:t>
      </w:r>
      <w:r w:rsidR="00AE6533">
        <w:rPr>
          <w:rFonts w:ascii="Times New Roman" w:hAnsi="Times New Roman"/>
          <w:noProof/>
          <w:sz w:val="24"/>
        </w:rPr>
        <w:t xml:space="preserve"> v </w:t>
      </w:r>
      <w:r w:rsidRPr="00AE6533">
        <w:rPr>
          <w:rFonts w:ascii="Times New Roman" w:hAnsi="Times New Roman"/>
          <w:noProof/>
          <w:sz w:val="24"/>
        </w:rPr>
        <w:t>„nedigitálnom“ kontexte. Napríklad počet predložených vecí,</w:t>
      </w:r>
      <w:r w:rsidR="00AE6533">
        <w:rPr>
          <w:rFonts w:ascii="Times New Roman" w:hAnsi="Times New Roman"/>
          <w:noProof/>
          <w:sz w:val="24"/>
        </w:rPr>
        <w:t xml:space="preserve"> v </w:t>
      </w:r>
      <w:r w:rsidRPr="00AE6533">
        <w:rPr>
          <w:rFonts w:ascii="Times New Roman" w:hAnsi="Times New Roman"/>
          <w:noProof/>
          <w:sz w:val="24"/>
        </w:rPr>
        <w:t>ktorých sa požaduje usmernenie</w:t>
      </w:r>
      <w:r w:rsidR="00AE6533">
        <w:rPr>
          <w:rFonts w:ascii="Times New Roman" w:hAnsi="Times New Roman"/>
          <w:noProof/>
          <w:sz w:val="24"/>
        </w:rPr>
        <w:t xml:space="preserve"> k </w:t>
      </w:r>
      <w:r w:rsidRPr="00AE6533">
        <w:rPr>
          <w:rFonts w:ascii="Times New Roman" w:hAnsi="Times New Roman"/>
          <w:noProof/>
          <w:sz w:val="24"/>
        </w:rPr>
        <w:t>určeniu miesta plnenia online zmluvy na účely článku 7 nariadenia, nie je vyšší ako počet postúpení týkajúcich sa offline zmlúv. Okrem toho, podobne ako</w:t>
      </w:r>
      <w:r w:rsidR="00AE6533">
        <w:rPr>
          <w:rFonts w:ascii="Times New Roman" w:hAnsi="Times New Roman"/>
          <w:noProof/>
          <w:sz w:val="24"/>
        </w:rPr>
        <w:t xml:space="preserve"> v </w:t>
      </w:r>
      <w:r w:rsidRPr="00AE6533">
        <w:rPr>
          <w:rFonts w:ascii="Times New Roman" w:hAnsi="Times New Roman"/>
          <w:noProof/>
          <w:sz w:val="24"/>
        </w:rPr>
        <w:t>prípade uplatňovania nariadenia</w:t>
      </w:r>
      <w:r w:rsidR="00AE6533">
        <w:rPr>
          <w:rFonts w:ascii="Times New Roman" w:hAnsi="Times New Roman"/>
          <w:noProof/>
          <w:sz w:val="24"/>
        </w:rPr>
        <w:t xml:space="preserve"> v </w:t>
      </w:r>
      <w:r w:rsidRPr="00AE6533">
        <w:rPr>
          <w:rFonts w:ascii="Times New Roman" w:hAnsi="Times New Roman"/>
          <w:noProof/>
          <w:sz w:val="24"/>
        </w:rPr>
        <w:t>nedigitálnej oblasti, Súdny dvor Európskej únie poskytol užitočné usmernenia týkajúce sa uplatňovania pravidiel podľa nariadenia na digitálny obsah.</w:t>
      </w:r>
    </w:p>
    <w:p w14:paraId="4DF427BA" w14:textId="6450213D" w:rsidR="00AE6533" w:rsidRDefault="00450B64" w:rsidP="00450B64">
      <w:pPr>
        <w:widowControl w:val="0"/>
        <w:suppressAutoHyphens/>
        <w:spacing w:after="120" w:line="240" w:lineRule="auto"/>
        <w:jc w:val="both"/>
        <w:rPr>
          <w:rFonts w:ascii="Times New Roman" w:hAnsi="Times New Roman"/>
          <w:noProof/>
          <w:sz w:val="24"/>
        </w:rPr>
      </w:pPr>
      <w:r w:rsidRPr="00AE6533">
        <w:rPr>
          <w:rFonts w:ascii="Times New Roman" w:hAnsi="Times New Roman"/>
          <w:noProof/>
          <w:sz w:val="24"/>
        </w:rPr>
        <w:t>Na záver možno konštatovať, že</w:t>
      </w:r>
      <w:r w:rsidR="00AE6533">
        <w:rPr>
          <w:rFonts w:ascii="Times New Roman" w:hAnsi="Times New Roman"/>
          <w:noProof/>
          <w:sz w:val="24"/>
        </w:rPr>
        <w:t xml:space="preserve"> v </w:t>
      </w:r>
      <w:r w:rsidRPr="00AE6533">
        <w:rPr>
          <w:rFonts w:ascii="Times New Roman" w:hAnsi="Times New Roman"/>
          <w:noProof/>
          <w:sz w:val="24"/>
        </w:rPr>
        <w:t>tejto fáze ani otázky postúpené na Súdny dvor Európskej únie, ani jeho rozhodnutia,</w:t>
      </w:r>
      <w:r w:rsidR="00AE6533">
        <w:rPr>
          <w:rFonts w:ascii="Times New Roman" w:hAnsi="Times New Roman"/>
          <w:noProof/>
          <w:sz w:val="24"/>
        </w:rPr>
        <w:t xml:space="preserve"> a </w:t>
      </w:r>
      <w:r w:rsidRPr="00AE6533">
        <w:rPr>
          <w:rFonts w:ascii="Times New Roman" w:hAnsi="Times New Roman"/>
          <w:noProof/>
          <w:sz w:val="24"/>
        </w:rPr>
        <w:t>ani nedostatočné údaje zhromaždené na vnútroštátnej úrovni</w:t>
      </w:r>
      <w:r w:rsidR="00500DD2" w:rsidRPr="00AE6533">
        <w:rPr>
          <w:rStyle w:val="FootnoteReference"/>
          <w:rFonts w:ascii="Times New Roman" w:hAnsi="Times New Roman" w:cs="Times New Roman"/>
          <w:noProof/>
          <w:sz w:val="24"/>
          <w:szCs w:val="24"/>
          <w:lang w:eastAsia="en-GB"/>
        </w:rPr>
        <w:footnoteReference w:id="53"/>
      </w:r>
      <w:r w:rsidRPr="00AE6533">
        <w:rPr>
          <w:rFonts w:ascii="Times New Roman" w:hAnsi="Times New Roman"/>
          <w:noProof/>
          <w:sz w:val="24"/>
        </w:rPr>
        <w:t xml:space="preserve"> neumožňujú vyvodiť jasné závery, pokiaľ ide</w:t>
      </w:r>
      <w:r w:rsidR="00AE6533">
        <w:rPr>
          <w:rFonts w:ascii="Times New Roman" w:hAnsi="Times New Roman"/>
          <w:noProof/>
          <w:sz w:val="24"/>
        </w:rPr>
        <w:t xml:space="preserve"> o </w:t>
      </w:r>
      <w:r w:rsidRPr="00AE6533">
        <w:rPr>
          <w:rFonts w:ascii="Times New Roman" w:hAnsi="Times New Roman"/>
          <w:noProof/>
          <w:sz w:val="24"/>
        </w:rPr>
        <w:t>vhodnosť súčasných noriem podľa nariadenia</w:t>
      </w:r>
      <w:r w:rsidR="00AE6533">
        <w:rPr>
          <w:rFonts w:ascii="Times New Roman" w:hAnsi="Times New Roman"/>
          <w:noProof/>
          <w:sz w:val="24"/>
        </w:rPr>
        <w:t xml:space="preserve"> v </w:t>
      </w:r>
      <w:r w:rsidRPr="00AE6533">
        <w:rPr>
          <w:rFonts w:ascii="Times New Roman" w:hAnsi="Times New Roman"/>
          <w:noProof/>
          <w:sz w:val="24"/>
        </w:rPr>
        <w:t>stále sa rozširujúcom digitálnom prostredí</w:t>
      </w:r>
      <w:r w:rsidR="00AE6533">
        <w:rPr>
          <w:rFonts w:ascii="Times New Roman" w:hAnsi="Times New Roman"/>
          <w:noProof/>
          <w:sz w:val="24"/>
        </w:rPr>
        <w:t>.</w:t>
      </w:r>
    </w:p>
    <w:p w14:paraId="32BD8373" w14:textId="4460BB09" w:rsidR="00B32830" w:rsidRPr="00AE6533" w:rsidRDefault="00A8496C" w:rsidP="00B32830">
      <w:pPr>
        <w:pStyle w:val="Heading3LL"/>
        <w:ind w:firstLine="240"/>
        <w:rPr>
          <w:noProof/>
        </w:rPr>
      </w:pPr>
      <w:r w:rsidRPr="00AE6533">
        <w:rPr>
          <w:noProof/>
        </w:rPr>
        <w:t>6.2.2. Digitalizácia súdnych konaní</w:t>
      </w:r>
    </w:p>
    <w:p w14:paraId="38E1E2E6" w14:textId="6214C352" w:rsidR="003933CC" w:rsidRPr="00691FFB" w:rsidRDefault="00B32830" w:rsidP="003933CC">
      <w:pPr>
        <w:widowControl w:val="0"/>
        <w:suppressAutoHyphens/>
        <w:spacing w:after="120" w:line="240" w:lineRule="auto"/>
        <w:jc w:val="both"/>
        <w:rPr>
          <w:rFonts w:ascii="Times New Roman" w:hAnsi="Times New Roman" w:cs="Times New Roman"/>
          <w:noProof/>
          <w:spacing w:val="-4"/>
          <w:sz w:val="24"/>
          <w:szCs w:val="24"/>
        </w:rPr>
      </w:pPr>
      <w:bookmarkStart w:id="6" w:name="_Hlk169525441"/>
      <w:r w:rsidRPr="00691FFB">
        <w:rPr>
          <w:rFonts w:ascii="Times New Roman" w:hAnsi="Times New Roman"/>
          <w:noProof/>
          <w:spacing w:val="-4"/>
          <w:sz w:val="24"/>
        </w:rPr>
        <w:t>Pokiaľ ide</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 xml:space="preserve">digitalizáciu súdnych konaní, </w:t>
      </w:r>
      <w:r w:rsidRPr="00691FFB">
        <w:rPr>
          <w:rFonts w:ascii="Times New Roman" w:hAnsi="Times New Roman"/>
          <w:noProof/>
          <w:spacing w:val="-4"/>
          <w:sz w:val="24"/>
          <w:shd w:val="clear" w:color="auto" w:fill="FFFFFF"/>
        </w:rPr>
        <w:t>Komisia aktívne pracuje na digitalizácii justičných systémov</w:t>
      </w:r>
      <w:r w:rsidR="00AE6533" w:rsidRPr="00691FFB">
        <w:rPr>
          <w:rFonts w:ascii="Times New Roman" w:hAnsi="Times New Roman"/>
          <w:noProof/>
          <w:spacing w:val="-4"/>
          <w:sz w:val="24"/>
          <w:shd w:val="clear" w:color="auto" w:fill="FFFFFF"/>
        </w:rPr>
        <w:t xml:space="preserve"> s </w:t>
      </w:r>
      <w:r w:rsidRPr="00691FFB">
        <w:rPr>
          <w:rFonts w:ascii="Times New Roman" w:hAnsi="Times New Roman"/>
          <w:noProof/>
          <w:spacing w:val="-4"/>
          <w:sz w:val="24"/>
        </w:rPr>
        <w:t>osobitným zameraním na digitálnu cezhraničnú spoluprácu</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občianskych</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obchodných veciach</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cieľom zabezpečiť nepretržitý prístup</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spravodlivosti</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plynulú</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účinnú justičnú spoluprácu, ako aj znížiť prieťahy</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konaní, administratívne zaťaženie</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náklady. Toto úsilie vyvrcholilo prijatím balíka opatrení</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oblasti digitalizácie</w:t>
      </w:r>
      <w:r w:rsidR="00450B64" w:rsidRPr="00691FFB">
        <w:rPr>
          <w:rStyle w:val="FootnoteReference"/>
          <w:rFonts w:ascii="Times New Roman" w:hAnsi="Times New Roman" w:cs="Times New Roman"/>
          <w:noProof/>
          <w:spacing w:val="-4"/>
          <w:sz w:val="24"/>
          <w:szCs w:val="24"/>
        </w:rPr>
        <w:footnoteReference w:id="54"/>
      </w:r>
      <w:r w:rsidRPr="00691FFB">
        <w:rPr>
          <w:rFonts w:ascii="Times New Roman" w:hAnsi="Times New Roman"/>
          <w:noProof/>
          <w:spacing w:val="-4"/>
          <w:sz w:val="24"/>
        </w:rPr>
        <w:t xml:space="preserve"> koncom roka 2023, ktorým sa zmenil komunikačný kanál pre príslušné justičné orgány na účely 24 právnych aktov (okrem iného aj na účely nariadenia) na digitálny</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ktorým sa zriadil digitálny komunikačný kanál (európske elektronické miesto prístupu) medzi fyzickými alebo právnickými osobami</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príslušnými orgánmi pre určité obmedzené prípady komunikácie</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občianskych</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obchodných veciach vrátane konania</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uznaní, vyhlásenia vykonateľnosti alebo zamietnutia uznania</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postupov súvisiacich</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vydávaním, opravou</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zrušením osvedčenia podľa nariadenia. Toto úsilie ide ruka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ruke so zvýšeným vnútroštátnym úsilím členských štátov</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tejto oblasti, čo sa odráža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každoročnom porovnávacom prehľade EÚ</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oblasti justície</w:t>
      </w:r>
      <w:r w:rsidR="00450B64" w:rsidRPr="00691FFB">
        <w:rPr>
          <w:rStyle w:val="FootnoteReference"/>
          <w:rFonts w:ascii="Times New Roman" w:hAnsi="Times New Roman" w:cs="Times New Roman"/>
          <w:noProof/>
          <w:spacing w:val="-4"/>
          <w:sz w:val="24"/>
          <w:szCs w:val="24"/>
        </w:rPr>
        <w:footnoteReference w:id="55"/>
      </w:r>
      <w:r w:rsidR="00AE6533" w:rsidRPr="00691FFB">
        <w:rPr>
          <w:rFonts w:ascii="Times New Roman" w:hAnsi="Times New Roman"/>
          <w:noProof/>
          <w:spacing w:val="-4"/>
          <w:sz w:val="24"/>
        </w:rPr>
        <w:t xml:space="preserve"> a v </w:t>
      </w:r>
      <w:r w:rsidRPr="00691FFB">
        <w:rPr>
          <w:rFonts w:ascii="Times New Roman" w:hAnsi="Times New Roman"/>
          <w:noProof/>
          <w:spacing w:val="-4"/>
          <w:sz w:val="24"/>
        </w:rPr>
        <w:t>Stratégii Rady</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oblasti európskej elektronickej justície na roky 2024 – 2028</w:t>
      </w:r>
      <w:r w:rsidR="0026248D" w:rsidRPr="00691FFB">
        <w:rPr>
          <w:rStyle w:val="FootnoteReference"/>
          <w:rFonts w:ascii="Times New Roman" w:hAnsi="Times New Roman" w:cs="Times New Roman"/>
          <w:noProof/>
          <w:spacing w:val="-4"/>
          <w:sz w:val="24"/>
          <w:szCs w:val="24"/>
        </w:rPr>
        <w:footnoteReference w:id="56"/>
      </w:r>
      <w:r w:rsidRPr="00691FFB">
        <w:rPr>
          <w:rFonts w:ascii="Times New Roman" w:hAnsi="Times New Roman"/>
          <w:noProof/>
          <w:spacing w:val="-4"/>
          <w:sz w:val="24"/>
        </w:rPr>
        <w:t>.</w:t>
      </w:r>
    </w:p>
    <w:p w14:paraId="5BBDCF07" w14:textId="193C6A18" w:rsidR="00450B64" w:rsidRPr="00AE6533" w:rsidRDefault="00450B64" w:rsidP="003933CC">
      <w:pPr>
        <w:widowControl w:val="0"/>
        <w:suppressAutoHyphens/>
        <w:spacing w:after="120" w:line="240" w:lineRule="auto"/>
        <w:jc w:val="both"/>
        <w:rPr>
          <w:rFonts w:ascii="Times New Roman" w:hAnsi="Times New Roman" w:cs="Times New Roman"/>
          <w:noProof/>
          <w:sz w:val="24"/>
          <w:szCs w:val="24"/>
        </w:rPr>
      </w:pPr>
      <w:r w:rsidRPr="00AE6533">
        <w:rPr>
          <w:rFonts w:ascii="Times New Roman" w:hAnsi="Times New Roman"/>
          <w:noProof/>
          <w:sz w:val="24"/>
        </w:rPr>
        <w:t>V záujme splnenia cieľov balíka opatrení</w:t>
      </w:r>
      <w:r w:rsidR="00AE6533">
        <w:rPr>
          <w:rFonts w:ascii="Times New Roman" w:hAnsi="Times New Roman"/>
          <w:noProof/>
          <w:sz w:val="24"/>
        </w:rPr>
        <w:t xml:space="preserve"> v </w:t>
      </w:r>
      <w:r w:rsidRPr="00AE6533">
        <w:rPr>
          <w:rFonts w:ascii="Times New Roman" w:hAnsi="Times New Roman"/>
          <w:noProof/>
          <w:sz w:val="24"/>
        </w:rPr>
        <w:t>oblasti digitalizácie je Komisia povinná prijať niekoľko vykonávacích aktov. Pokiaľ ide</w:t>
      </w:r>
      <w:r w:rsidR="00AE6533">
        <w:rPr>
          <w:rFonts w:ascii="Times New Roman" w:hAnsi="Times New Roman"/>
          <w:noProof/>
          <w:sz w:val="24"/>
        </w:rPr>
        <w:t xml:space="preserve"> o </w:t>
      </w:r>
      <w:r w:rsidRPr="00AE6533">
        <w:rPr>
          <w:rFonts w:ascii="Times New Roman" w:hAnsi="Times New Roman"/>
          <w:noProof/>
          <w:sz w:val="24"/>
        </w:rPr>
        <w:t>nariadenie, vykonávací akt musí byť prijatý do 17</w:t>
      </w:r>
      <w:r w:rsidR="00AE6533">
        <w:rPr>
          <w:rFonts w:ascii="Times New Roman" w:hAnsi="Times New Roman"/>
          <w:noProof/>
          <w:sz w:val="24"/>
        </w:rPr>
        <w:t>. januára</w:t>
      </w:r>
      <w:r w:rsidRPr="00AE6533">
        <w:rPr>
          <w:rFonts w:ascii="Times New Roman" w:hAnsi="Times New Roman"/>
          <w:noProof/>
          <w:sz w:val="24"/>
        </w:rPr>
        <w:t xml:space="preserve"> 2029</w:t>
      </w:r>
      <w:r w:rsidR="00AE6533">
        <w:rPr>
          <w:rFonts w:ascii="Times New Roman" w:hAnsi="Times New Roman"/>
          <w:noProof/>
          <w:sz w:val="24"/>
        </w:rPr>
        <w:t xml:space="preserve"> a </w:t>
      </w:r>
      <w:r w:rsidRPr="00AE6533">
        <w:rPr>
          <w:rFonts w:ascii="Times New Roman" w:hAnsi="Times New Roman"/>
          <w:noProof/>
          <w:sz w:val="24"/>
        </w:rPr>
        <w:t>bude sa týkať najmä vytvorenia decentralizovaného informačného systému na komunikáciu medzi príslušnými súdnymi orgánmi</w:t>
      </w:r>
      <w:r w:rsidR="00AE6533">
        <w:rPr>
          <w:rFonts w:ascii="Times New Roman" w:hAnsi="Times New Roman"/>
          <w:noProof/>
          <w:sz w:val="24"/>
        </w:rPr>
        <w:t xml:space="preserve"> a </w:t>
      </w:r>
      <w:r w:rsidRPr="00AE6533">
        <w:rPr>
          <w:rFonts w:ascii="Times New Roman" w:hAnsi="Times New Roman"/>
          <w:noProof/>
          <w:sz w:val="24"/>
        </w:rPr>
        <w:t>integrácie európskeho elektronického miesta prístupu pre viaceré komunikačné procesy, ako sú konania</w:t>
      </w:r>
      <w:r w:rsidR="00AE6533">
        <w:rPr>
          <w:rFonts w:ascii="Times New Roman" w:hAnsi="Times New Roman"/>
          <w:noProof/>
          <w:sz w:val="24"/>
        </w:rPr>
        <w:t xml:space="preserve"> o </w:t>
      </w:r>
      <w:r w:rsidRPr="00AE6533">
        <w:rPr>
          <w:rFonts w:ascii="Times New Roman" w:hAnsi="Times New Roman"/>
          <w:noProof/>
          <w:sz w:val="24"/>
        </w:rPr>
        <w:t>zamietnutí uznania podľa článku 45 nariadenia, ako aj postupy súvisiace</w:t>
      </w:r>
      <w:r w:rsidR="00AE6533">
        <w:rPr>
          <w:rFonts w:ascii="Times New Roman" w:hAnsi="Times New Roman"/>
          <w:noProof/>
          <w:sz w:val="24"/>
        </w:rPr>
        <w:t xml:space="preserve"> s </w:t>
      </w:r>
      <w:r w:rsidRPr="00AE6533">
        <w:rPr>
          <w:rFonts w:ascii="Times New Roman" w:hAnsi="Times New Roman"/>
          <w:noProof/>
          <w:sz w:val="24"/>
        </w:rPr>
        <w:t>vydávaním, opravou</w:t>
      </w:r>
      <w:r w:rsidR="00AE6533">
        <w:rPr>
          <w:rFonts w:ascii="Times New Roman" w:hAnsi="Times New Roman"/>
          <w:noProof/>
          <w:sz w:val="24"/>
        </w:rPr>
        <w:t xml:space="preserve"> a </w:t>
      </w:r>
      <w:r w:rsidRPr="00AE6533">
        <w:rPr>
          <w:rFonts w:ascii="Times New Roman" w:hAnsi="Times New Roman"/>
          <w:noProof/>
          <w:sz w:val="24"/>
        </w:rPr>
        <w:t>zrušením osvedčení. Po vykonaní sa tieto nové pravidlá začnú uplatňovať</w:t>
      </w:r>
      <w:r w:rsidR="00AE6533">
        <w:rPr>
          <w:rFonts w:ascii="Times New Roman" w:hAnsi="Times New Roman"/>
          <w:noProof/>
          <w:sz w:val="24"/>
        </w:rPr>
        <w:t xml:space="preserve"> v </w:t>
      </w:r>
      <w:r w:rsidRPr="00AE6533">
        <w:rPr>
          <w:rFonts w:ascii="Times New Roman" w:hAnsi="Times New Roman"/>
          <w:noProof/>
          <w:sz w:val="24"/>
        </w:rPr>
        <w:t>členských štátoch začiatkom roka 2031, pričom sa nimi zjednodušia</w:t>
      </w:r>
      <w:r w:rsidR="00AE6533">
        <w:rPr>
          <w:rFonts w:ascii="Times New Roman" w:hAnsi="Times New Roman"/>
          <w:noProof/>
          <w:sz w:val="24"/>
        </w:rPr>
        <w:t xml:space="preserve"> a </w:t>
      </w:r>
      <w:r w:rsidRPr="00AE6533">
        <w:rPr>
          <w:rFonts w:ascii="Times New Roman" w:hAnsi="Times New Roman"/>
          <w:noProof/>
          <w:sz w:val="24"/>
        </w:rPr>
        <w:t>urýchlia postupy</w:t>
      </w:r>
      <w:r w:rsidR="00AE6533">
        <w:rPr>
          <w:rFonts w:ascii="Times New Roman" w:hAnsi="Times New Roman"/>
          <w:noProof/>
          <w:sz w:val="24"/>
        </w:rPr>
        <w:t xml:space="preserve"> v </w:t>
      </w:r>
      <w:r w:rsidRPr="00AE6533">
        <w:rPr>
          <w:rFonts w:ascii="Times New Roman" w:hAnsi="Times New Roman"/>
          <w:noProof/>
          <w:sz w:val="24"/>
        </w:rPr>
        <w:t>občianskych</w:t>
      </w:r>
      <w:r w:rsidR="00AE6533">
        <w:rPr>
          <w:rFonts w:ascii="Times New Roman" w:hAnsi="Times New Roman"/>
          <w:noProof/>
          <w:sz w:val="24"/>
        </w:rPr>
        <w:t xml:space="preserve"> a </w:t>
      </w:r>
      <w:r w:rsidRPr="00AE6533">
        <w:rPr>
          <w:rFonts w:ascii="Times New Roman" w:hAnsi="Times New Roman"/>
          <w:noProof/>
          <w:sz w:val="24"/>
        </w:rPr>
        <w:t>obchodných veciach</w:t>
      </w:r>
      <w:r w:rsidR="00AE6533">
        <w:rPr>
          <w:rFonts w:ascii="Times New Roman" w:hAnsi="Times New Roman"/>
          <w:noProof/>
          <w:sz w:val="24"/>
        </w:rPr>
        <w:t xml:space="preserve"> s </w:t>
      </w:r>
      <w:r w:rsidRPr="00AE6533">
        <w:rPr>
          <w:rFonts w:ascii="Times New Roman" w:hAnsi="Times New Roman"/>
          <w:noProof/>
          <w:sz w:val="24"/>
        </w:rPr>
        <w:t>cezhraničnými dôsledkami.</w:t>
      </w:r>
    </w:p>
    <w:p w14:paraId="1BC1A3C8" w14:textId="3B03D7B6" w:rsidR="00450B64" w:rsidRPr="00AE6533" w:rsidRDefault="00450B64" w:rsidP="00036D55">
      <w:pPr>
        <w:widowControl w:val="0"/>
        <w:suppressAutoHyphens/>
        <w:spacing w:after="120" w:line="240" w:lineRule="auto"/>
        <w:jc w:val="both"/>
        <w:rPr>
          <w:rStyle w:val="normaltextrun"/>
          <w:rFonts w:ascii="Times New Roman" w:hAnsi="Times New Roman" w:cs="Times New Roman"/>
          <w:noProof/>
          <w:color w:val="000000"/>
          <w:sz w:val="24"/>
          <w:szCs w:val="24"/>
          <w:shd w:val="clear" w:color="auto" w:fill="FFFFFF"/>
        </w:rPr>
      </w:pPr>
      <w:r w:rsidRPr="00AE6533">
        <w:rPr>
          <w:rFonts w:ascii="Times New Roman" w:hAnsi="Times New Roman"/>
          <w:noProof/>
          <w:sz w:val="24"/>
          <w:shd w:val="clear" w:color="auto" w:fill="FFFFFF"/>
        </w:rPr>
        <w:t>Okrem</w:t>
      </w:r>
      <w:r w:rsidRPr="00AE6533">
        <w:rPr>
          <w:rStyle w:val="normaltextrun"/>
          <w:rFonts w:ascii="Times New Roman" w:hAnsi="Times New Roman"/>
          <w:noProof/>
          <w:color w:val="000000"/>
          <w:sz w:val="24"/>
          <w:shd w:val="clear" w:color="auto" w:fill="FFFFFF"/>
        </w:rPr>
        <w:t xml:space="preserve"> digitalizácie existujúcich postupov zmenou komunikačného kanála pomocou balíka opatrení</w:t>
      </w:r>
      <w:r w:rsidR="00AE6533">
        <w:rPr>
          <w:rStyle w:val="normaltextrun"/>
          <w:rFonts w:ascii="Times New Roman" w:hAnsi="Times New Roman"/>
          <w:noProof/>
          <w:color w:val="000000"/>
          <w:sz w:val="24"/>
          <w:shd w:val="clear" w:color="auto" w:fill="FFFFFF"/>
        </w:rPr>
        <w:t xml:space="preserve"> v </w:t>
      </w:r>
      <w:r w:rsidRPr="00AE6533">
        <w:rPr>
          <w:rStyle w:val="normaltextrun"/>
          <w:rFonts w:ascii="Times New Roman" w:hAnsi="Times New Roman"/>
          <w:noProof/>
          <w:color w:val="000000"/>
          <w:sz w:val="24"/>
          <w:shd w:val="clear" w:color="auto" w:fill="FFFFFF"/>
        </w:rPr>
        <w:t>oblasti digitalizácie by sa</w:t>
      </w:r>
      <w:r w:rsidR="00AE6533">
        <w:rPr>
          <w:rStyle w:val="normaltextrun"/>
          <w:rFonts w:ascii="Times New Roman" w:hAnsi="Times New Roman"/>
          <w:noProof/>
          <w:color w:val="000000"/>
          <w:sz w:val="24"/>
          <w:shd w:val="clear" w:color="auto" w:fill="FFFFFF"/>
        </w:rPr>
        <w:t xml:space="preserve"> v </w:t>
      </w:r>
      <w:r w:rsidRPr="00AE6533">
        <w:rPr>
          <w:rStyle w:val="normaltextrun"/>
          <w:rFonts w:ascii="Times New Roman" w:hAnsi="Times New Roman"/>
          <w:noProof/>
          <w:color w:val="000000"/>
          <w:sz w:val="24"/>
          <w:shd w:val="clear" w:color="auto" w:fill="FFFFFF"/>
        </w:rPr>
        <w:t>rámci budúceho preskúmania nariadenia mohli preskúmať aj ďalšie spôsoby modernizácie fungovania nariadenia.</w:t>
      </w:r>
      <w:r w:rsidR="00AE6533">
        <w:rPr>
          <w:rStyle w:val="normaltextrun"/>
          <w:rFonts w:ascii="Times New Roman" w:hAnsi="Times New Roman"/>
          <w:noProof/>
          <w:color w:val="000000"/>
          <w:sz w:val="24"/>
          <w:shd w:val="clear" w:color="auto" w:fill="FFFFFF"/>
        </w:rPr>
        <w:t xml:space="preserve"> V </w:t>
      </w:r>
      <w:r w:rsidRPr="00AE6533">
        <w:rPr>
          <w:rStyle w:val="normaltextrun"/>
          <w:rFonts w:ascii="Times New Roman" w:hAnsi="Times New Roman"/>
          <w:noProof/>
          <w:color w:val="000000"/>
          <w:sz w:val="24"/>
          <w:shd w:val="clear" w:color="auto" w:fill="FFFFFF"/>
        </w:rPr>
        <w:t>rámci takejto modernizácie nariadenia by sa mohli zohľadniť prínosy digitalizácie</w:t>
      </w:r>
      <w:r w:rsidR="00AE6533">
        <w:rPr>
          <w:rStyle w:val="normaltextrun"/>
          <w:rFonts w:ascii="Times New Roman" w:hAnsi="Times New Roman"/>
          <w:noProof/>
          <w:color w:val="000000"/>
          <w:sz w:val="24"/>
          <w:shd w:val="clear" w:color="auto" w:fill="FFFFFF"/>
        </w:rPr>
        <w:t xml:space="preserve"> a </w:t>
      </w:r>
      <w:r w:rsidRPr="00AE6533">
        <w:rPr>
          <w:rStyle w:val="normaltextrun"/>
          <w:rFonts w:ascii="Times New Roman" w:hAnsi="Times New Roman"/>
          <w:noProof/>
          <w:color w:val="000000"/>
          <w:sz w:val="24"/>
          <w:shd w:val="clear" w:color="auto" w:fill="FFFFFF"/>
        </w:rPr>
        <w:t>mohlo by sa zvážiť skrátenie rôznych lehôt alebo zlepšenie komunikácie medzi súdmi, napríklad</w:t>
      </w:r>
      <w:r w:rsidR="00AE6533">
        <w:rPr>
          <w:rStyle w:val="normaltextrun"/>
          <w:rFonts w:ascii="Times New Roman" w:hAnsi="Times New Roman"/>
          <w:noProof/>
          <w:color w:val="000000"/>
          <w:sz w:val="24"/>
          <w:shd w:val="clear" w:color="auto" w:fill="FFFFFF"/>
        </w:rPr>
        <w:t xml:space="preserve"> v </w:t>
      </w:r>
      <w:r w:rsidRPr="00AE6533">
        <w:rPr>
          <w:rStyle w:val="normaltextrun"/>
          <w:rFonts w:ascii="Times New Roman" w:hAnsi="Times New Roman"/>
          <w:noProof/>
          <w:color w:val="000000"/>
          <w:sz w:val="24"/>
          <w:shd w:val="clear" w:color="auto" w:fill="FFFFFF"/>
        </w:rPr>
        <w:t xml:space="preserve">prípade súbežného konania. </w:t>
      </w:r>
      <w:bookmarkEnd w:id="6"/>
      <w:r w:rsidRPr="00AE6533">
        <w:rPr>
          <w:rFonts w:ascii="Times New Roman" w:hAnsi="Times New Roman"/>
          <w:noProof/>
          <w:color w:val="000000"/>
          <w:sz w:val="24"/>
          <w:shd w:val="clear" w:color="auto" w:fill="FFFFFF"/>
        </w:rPr>
        <w:t>Mohla by sa preskúmať aj úplná digitalizácia súdnych konaní vo veciach, na ktoré sa vzťahuje nariadenie.</w:t>
      </w:r>
    </w:p>
    <w:p w14:paraId="6EB4FB2E" w14:textId="441DEA75" w:rsidR="00450B64" w:rsidRPr="00AE6533" w:rsidRDefault="00450B64" w:rsidP="003933CC">
      <w:pPr>
        <w:spacing w:after="120" w:line="240" w:lineRule="auto"/>
        <w:jc w:val="both"/>
        <w:rPr>
          <w:rFonts w:ascii="Times New Roman" w:hAnsi="Times New Roman" w:cs="Times New Roman"/>
          <w:noProof/>
          <w:sz w:val="24"/>
          <w:szCs w:val="24"/>
          <w:shd w:val="clear" w:color="auto" w:fill="FEFEFD"/>
        </w:rPr>
      </w:pPr>
      <w:r w:rsidRPr="00AE6533">
        <w:rPr>
          <w:rStyle w:val="normaltextrun"/>
          <w:rFonts w:ascii="Times New Roman" w:hAnsi="Times New Roman"/>
          <w:noProof/>
          <w:color w:val="000000"/>
          <w:sz w:val="24"/>
          <w:shd w:val="clear" w:color="auto" w:fill="FFFFFF"/>
        </w:rPr>
        <w:t xml:space="preserve">Na záver treba uviesť, </w:t>
      </w:r>
      <w:r w:rsidRPr="00AE6533">
        <w:rPr>
          <w:rFonts w:ascii="Times New Roman" w:hAnsi="Times New Roman"/>
          <w:noProof/>
          <w:sz w:val="24"/>
          <w:shd w:val="clear" w:color="auto" w:fill="FEFEFD"/>
        </w:rPr>
        <w:t>že hoci Komisia</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tejto chvíli nemá dostatočné údaje,</w:t>
      </w:r>
      <w:r w:rsidR="00AE6533">
        <w:rPr>
          <w:rFonts w:ascii="Times New Roman" w:hAnsi="Times New Roman"/>
          <w:noProof/>
          <w:sz w:val="24"/>
          <w:shd w:val="clear" w:color="auto" w:fill="FEFEFD"/>
        </w:rPr>
        <w:t xml:space="preserve"> z </w:t>
      </w:r>
      <w:r w:rsidRPr="00AE6533">
        <w:rPr>
          <w:rFonts w:ascii="Times New Roman" w:hAnsi="Times New Roman"/>
          <w:noProof/>
          <w:sz w:val="24"/>
          <w:shd w:val="clear" w:color="auto" w:fill="FEFEFD"/>
        </w:rPr>
        <w:t>ktorých by vyplývala nevhodnosť noriem medzinárodnej právomoci podľa nariadenia na účely digitálnych scenárov</w:t>
      </w:r>
      <w:r w:rsidR="00AE6533">
        <w:rPr>
          <w:rFonts w:ascii="Times New Roman" w:hAnsi="Times New Roman"/>
          <w:noProof/>
          <w:sz w:val="24"/>
          <w:shd w:val="clear" w:color="auto" w:fill="FEFEFD"/>
        </w:rPr>
        <w:t xml:space="preserve"> a </w:t>
      </w:r>
      <w:r w:rsidRPr="00AE6533">
        <w:rPr>
          <w:rFonts w:ascii="Times New Roman" w:hAnsi="Times New Roman"/>
          <w:noProof/>
          <w:sz w:val="24"/>
          <w:shd w:val="clear" w:color="auto" w:fill="FEFEFD"/>
        </w:rPr>
        <w:t>transakcií, vývoj by sa mal naďalej pozorne sledovať. Naopak</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 xml:space="preserve">rámci preskúmania nariadenia by sa mohli preskúmať možné spôsoby </w:t>
      </w:r>
      <w:r w:rsidRPr="00AE6533">
        <w:rPr>
          <w:rStyle w:val="normaltextrun"/>
          <w:rFonts w:ascii="Times New Roman" w:hAnsi="Times New Roman"/>
          <w:noProof/>
          <w:sz w:val="24"/>
          <w:shd w:val="clear" w:color="auto" w:fill="FFFFFF"/>
        </w:rPr>
        <w:t>revízie</w:t>
      </w:r>
      <w:r w:rsidR="00AE6533">
        <w:rPr>
          <w:rStyle w:val="normaltextrun"/>
          <w:rFonts w:ascii="Times New Roman" w:hAnsi="Times New Roman"/>
          <w:noProof/>
          <w:sz w:val="24"/>
          <w:shd w:val="clear" w:color="auto" w:fill="FFFFFF"/>
        </w:rPr>
        <w:t xml:space="preserve"> a </w:t>
      </w:r>
      <w:r w:rsidRPr="00AE6533">
        <w:rPr>
          <w:rStyle w:val="normaltextrun"/>
          <w:rFonts w:ascii="Times New Roman" w:hAnsi="Times New Roman"/>
          <w:noProof/>
          <w:sz w:val="24"/>
          <w:shd w:val="clear" w:color="auto" w:fill="FFFFFF"/>
        </w:rPr>
        <w:t>zjednodušenia postupov</w:t>
      </w:r>
      <w:r w:rsidRPr="00AE6533">
        <w:rPr>
          <w:rFonts w:ascii="Times New Roman" w:hAnsi="Times New Roman"/>
          <w:noProof/>
          <w:sz w:val="24"/>
          <w:shd w:val="clear" w:color="auto" w:fill="FEFEFD"/>
        </w:rPr>
        <w:t xml:space="preserve"> podľa nariadenia</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rámci digitálnej reformy systémov občianskej justície,</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čele ktorej stojí balík opatrení</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oblasti digitalizácie.</w:t>
      </w:r>
    </w:p>
    <w:p w14:paraId="1F601C4A" w14:textId="02E3DEC2" w:rsidR="00834AFF" w:rsidRPr="00AE6533" w:rsidRDefault="00A8496C" w:rsidP="00450B64">
      <w:pPr>
        <w:pStyle w:val="Heading1"/>
        <w:spacing w:after="120" w:line="240" w:lineRule="auto"/>
        <w:jc w:val="both"/>
        <w:rPr>
          <w:rFonts w:ascii="Times New Roman" w:hAnsi="Times New Roman" w:cs="Times New Roman"/>
          <w:b/>
          <w:bCs/>
          <w:noProof/>
          <w:color w:val="000000" w:themeColor="text1"/>
          <w:sz w:val="24"/>
          <w:szCs w:val="24"/>
        </w:rPr>
      </w:pPr>
      <w:r w:rsidRPr="00AE6533">
        <w:rPr>
          <w:rFonts w:ascii="Times New Roman" w:hAnsi="Times New Roman"/>
          <w:b/>
          <w:noProof/>
          <w:color w:val="000000" w:themeColor="text1"/>
          <w:sz w:val="24"/>
        </w:rPr>
        <w:t xml:space="preserve">7. </w:t>
      </w:r>
      <w:r w:rsidRPr="00AE6533">
        <w:rPr>
          <w:rFonts w:ascii="Times New Roman" w:hAnsi="Times New Roman"/>
          <w:b/>
          <w:smallCaps/>
          <w:noProof/>
          <w:color w:val="auto"/>
          <w:sz w:val="24"/>
        </w:rPr>
        <w:t>Záverečné poznámky</w:t>
      </w:r>
    </w:p>
    <w:p w14:paraId="153706A9" w14:textId="02AD62C2" w:rsidR="00AE6533" w:rsidRDefault="00211935" w:rsidP="00AF42A9">
      <w:pPr>
        <w:spacing w:after="120" w:line="240" w:lineRule="auto"/>
        <w:jc w:val="both"/>
        <w:rPr>
          <w:rFonts w:ascii="Times New Roman" w:hAnsi="Times New Roman"/>
          <w:noProof/>
          <w:sz w:val="24"/>
        </w:rPr>
      </w:pPr>
      <w:r w:rsidRPr="00AE6533">
        <w:rPr>
          <w:rFonts w:ascii="Times New Roman" w:hAnsi="Times New Roman"/>
          <w:noProof/>
          <w:sz w:val="24"/>
        </w:rPr>
        <w:t>Počas viac než desiatich rokov uplatňovania fungovalo nariadenie dobre</w:t>
      </w:r>
      <w:r w:rsidR="00AE6533">
        <w:rPr>
          <w:rFonts w:ascii="Times New Roman" w:hAnsi="Times New Roman"/>
          <w:noProof/>
          <w:sz w:val="24"/>
        </w:rPr>
        <w:t xml:space="preserve"> a </w:t>
      </w:r>
      <w:r w:rsidRPr="00AE6533">
        <w:rPr>
          <w:rFonts w:ascii="Times New Roman" w:hAnsi="Times New Roman"/>
          <w:noProof/>
          <w:sz w:val="24"/>
        </w:rPr>
        <w:t>vo všeobecnosti dosiahlo svoje hlavné ciele – zlepšiť právnu istotu, pokiaľ ide</w:t>
      </w:r>
      <w:r w:rsidR="00AE6533">
        <w:rPr>
          <w:rFonts w:ascii="Times New Roman" w:hAnsi="Times New Roman"/>
          <w:noProof/>
          <w:sz w:val="24"/>
        </w:rPr>
        <w:t xml:space="preserve"> o </w:t>
      </w:r>
      <w:r w:rsidRPr="00AE6533">
        <w:rPr>
          <w:rFonts w:ascii="Times New Roman" w:hAnsi="Times New Roman"/>
          <w:noProof/>
          <w:sz w:val="24"/>
        </w:rPr>
        <w:t>súdy</w:t>
      </w:r>
      <w:r w:rsidR="00AE6533">
        <w:rPr>
          <w:rFonts w:ascii="Times New Roman" w:hAnsi="Times New Roman"/>
          <w:noProof/>
          <w:sz w:val="24"/>
        </w:rPr>
        <w:t xml:space="preserve"> s </w:t>
      </w:r>
      <w:r w:rsidRPr="00AE6533">
        <w:rPr>
          <w:rFonts w:ascii="Times New Roman" w:hAnsi="Times New Roman"/>
          <w:noProof/>
          <w:sz w:val="24"/>
        </w:rPr>
        <w:t>právomocou</w:t>
      </w:r>
      <w:r w:rsidR="00AE6533">
        <w:rPr>
          <w:rFonts w:ascii="Times New Roman" w:hAnsi="Times New Roman"/>
          <w:noProof/>
          <w:sz w:val="24"/>
        </w:rPr>
        <w:t xml:space="preserve"> v </w:t>
      </w:r>
      <w:r w:rsidRPr="00AE6533">
        <w:rPr>
          <w:rFonts w:ascii="Times New Roman" w:hAnsi="Times New Roman"/>
          <w:noProof/>
          <w:sz w:val="24"/>
        </w:rPr>
        <w:t>cezhraničných sporoch,</w:t>
      </w:r>
      <w:r w:rsidR="00AE6533">
        <w:rPr>
          <w:rFonts w:ascii="Times New Roman" w:hAnsi="Times New Roman"/>
          <w:noProof/>
          <w:sz w:val="24"/>
        </w:rPr>
        <w:t xml:space="preserve"> a </w:t>
      </w:r>
      <w:r w:rsidRPr="00AE6533">
        <w:rPr>
          <w:rFonts w:ascii="Times New Roman" w:hAnsi="Times New Roman"/>
          <w:noProof/>
          <w:sz w:val="24"/>
        </w:rPr>
        <w:t>zjednodušiť mechanizmus uznávania</w:t>
      </w:r>
      <w:r w:rsidR="00AE6533">
        <w:rPr>
          <w:rFonts w:ascii="Times New Roman" w:hAnsi="Times New Roman"/>
          <w:noProof/>
          <w:sz w:val="24"/>
        </w:rPr>
        <w:t xml:space="preserve"> a </w:t>
      </w:r>
      <w:r w:rsidRPr="00AE6533">
        <w:rPr>
          <w:rFonts w:ascii="Times New Roman" w:hAnsi="Times New Roman"/>
          <w:noProof/>
          <w:sz w:val="24"/>
        </w:rPr>
        <w:t>výkonu rozsudkov</w:t>
      </w:r>
      <w:r w:rsidR="00AE6533">
        <w:rPr>
          <w:rFonts w:ascii="Times New Roman" w:hAnsi="Times New Roman"/>
          <w:noProof/>
          <w:sz w:val="24"/>
        </w:rPr>
        <w:t>.</w:t>
      </w:r>
    </w:p>
    <w:p w14:paraId="60FC843B" w14:textId="1D38A9EB" w:rsidR="00AE6533" w:rsidRDefault="004B74DC" w:rsidP="00AF42A9">
      <w:pPr>
        <w:spacing w:after="120" w:line="240" w:lineRule="auto"/>
        <w:jc w:val="both"/>
        <w:rPr>
          <w:rFonts w:ascii="Times New Roman" w:hAnsi="Times New Roman"/>
          <w:noProof/>
          <w:sz w:val="24"/>
        </w:rPr>
      </w:pPr>
      <w:r w:rsidRPr="00AE6533">
        <w:rPr>
          <w:rFonts w:ascii="Times New Roman" w:hAnsi="Times New Roman"/>
          <w:noProof/>
          <w:sz w:val="24"/>
        </w:rPr>
        <w:t>V oblasti, ktorej sa prepracované znenie nariadenia nevenovalo</w:t>
      </w:r>
      <w:r w:rsidR="00AE6533">
        <w:rPr>
          <w:rFonts w:ascii="Times New Roman" w:hAnsi="Times New Roman"/>
          <w:noProof/>
          <w:sz w:val="24"/>
        </w:rPr>
        <w:t xml:space="preserve"> v </w:t>
      </w:r>
      <w:r w:rsidRPr="00AE6533">
        <w:rPr>
          <w:rFonts w:ascii="Times New Roman" w:hAnsi="Times New Roman"/>
          <w:noProof/>
          <w:sz w:val="24"/>
        </w:rPr>
        <w:t xml:space="preserve">plnej miere, konkrétne </w:t>
      </w:r>
      <w:r w:rsidRPr="00AE6533">
        <w:rPr>
          <w:rFonts w:ascii="Times New Roman" w:hAnsi="Times New Roman"/>
          <w:b/>
          <w:noProof/>
          <w:sz w:val="24"/>
        </w:rPr>
        <w:t>rozšírenie noriem právomoci tak, aby sa vzťahovali na žalovaných, ktorí nemajú bydlisko</w:t>
      </w:r>
      <w:r w:rsidR="00AE6533">
        <w:rPr>
          <w:rFonts w:ascii="Times New Roman" w:hAnsi="Times New Roman"/>
          <w:b/>
          <w:noProof/>
          <w:sz w:val="24"/>
        </w:rPr>
        <w:t xml:space="preserve"> v </w:t>
      </w:r>
      <w:r w:rsidRPr="00AE6533">
        <w:rPr>
          <w:rFonts w:ascii="Times New Roman" w:hAnsi="Times New Roman"/>
          <w:b/>
          <w:noProof/>
          <w:sz w:val="24"/>
        </w:rPr>
        <w:t>členskom štáte</w:t>
      </w:r>
      <w:r w:rsidRPr="00AE6533">
        <w:rPr>
          <w:rFonts w:ascii="Times New Roman" w:hAnsi="Times New Roman"/>
          <w:noProof/>
          <w:sz w:val="24"/>
        </w:rPr>
        <w:t>, je však potrebná ďalšia analýza, aby sa rozhodlo, či by takéto rozšírenie malo byť predmetom legislatívneho zásahu</w:t>
      </w:r>
      <w:r w:rsidR="00AE6533">
        <w:rPr>
          <w:rFonts w:ascii="Times New Roman" w:hAnsi="Times New Roman"/>
          <w:noProof/>
          <w:sz w:val="24"/>
        </w:rPr>
        <w:t>.</w:t>
      </w:r>
    </w:p>
    <w:p w14:paraId="493DFA09" w14:textId="767EBEE5" w:rsidR="004B74DC" w:rsidRPr="00691FFB" w:rsidRDefault="004B74DC" w:rsidP="00AF42A9">
      <w:pPr>
        <w:spacing w:after="120" w:line="240" w:lineRule="auto"/>
        <w:jc w:val="both"/>
        <w:rPr>
          <w:rFonts w:ascii="Times New Roman" w:hAnsi="Times New Roman" w:cs="Times New Roman"/>
          <w:b/>
          <w:bCs/>
          <w:noProof/>
          <w:spacing w:val="-4"/>
          <w:sz w:val="24"/>
          <w:szCs w:val="24"/>
        </w:rPr>
      </w:pPr>
      <w:r w:rsidRPr="00691FFB">
        <w:rPr>
          <w:rFonts w:ascii="Times New Roman" w:hAnsi="Times New Roman"/>
          <w:noProof/>
          <w:spacing w:val="-4"/>
          <w:sz w:val="24"/>
        </w:rPr>
        <w:t>Okrem toho by sa mohlo zvážiť ďalšie objasnenie alebo zjednodušenie viacerých pojmov</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cieľom zlepšiť ich uplatňovanie</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 xml:space="preserve">praxi. Platí to pre viacero ustanovení týkajúcich sa rozsahu pôsobnosti, ako sú </w:t>
      </w:r>
      <w:r w:rsidRPr="00691FFB">
        <w:rPr>
          <w:rFonts w:ascii="Times New Roman" w:hAnsi="Times New Roman"/>
          <w:b/>
          <w:noProof/>
          <w:spacing w:val="-4"/>
          <w:sz w:val="24"/>
        </w:rPr>
        <w:t>vylúčenie rozhodcovského konania,</w:t>
      </w:r>
      <w:r w:rsidRPr="00691FFB">
        <w:rPr>
          <w:rFonts w:ascii="Times New Roman" w:hAnsi="Times New Roman"/>
          <w:noProof/>
          <w:spacing w:val="-4"/>
          <w:sz w:val="24"/>
        </w:rPr>
        <w:t xml:space="preserve"> ako aj pre pojem „</w:t>
      </w:r>
      <w:r w:rsidRPr="00691FFB">
        <w:rPr>
          <w:rFonts w:ascii="Times New Roman" w:hAnsi="Times New Roman"/>
          <w:b/>
          <w:noProof/>
          <w:spacing w:val="-4"/>
          <w:sz w:val="24"/>
        </w:rPr>
        <w:t>súd alebo tribunál</w:t>
      </w:r>
      <w:r w:rsidRPr="00691FFB">
        <w:rPr>
          <w:rFonts w:ascii="Times New Roman" w:hAnsi="Times New Roman"/>
          <w:noProof/>
          <w:spacing w:val="-4"/>
          <w:sz w:val="24"/>
        </w:rPr>
        <w:t xml:space="preserve">“ alebo pre pojem týkajúci sa </w:t>
      </w:r>
      <w:r w:rsidRPr="00691FFB">
        <w:rPr>
          <w:rFonts w:ascii="Times New Roman" w:hAnsi="Times New Roman"/>
          <w:b/>
          <w:noProof/>
          <w:spacing w:val="-4"/>
          <w:sz w:val="24"/>
        </w:rPr>
        <w:t>predbežných opatrení vrátane ochranných opatrení.</w:t>
      </w:r>
    </w:p>
    <w:p w14:paraId="02DFA001" w14:textId="72F33357" w:rsidR="00AE6533" w:rsidRPr="00691FFB" w:rsidRDefault="00B73615" w:rsidP="00AF42A9">
      <w:pPr>
        <w:spacing w:after="120" w:line="240" w:lineRule="auto"/>
        <w:jc w:val="both"/>
        <w:rPr>
          <w:rFonts w:ascii="Times New Roman" w:hAnsi="Times New Roman"/>
          <w:noProof/>
          <w:spacing w:val="-4"/>
          <w:sz w:val="24"/>
        </w:rPr>
      </w:pPr>
      <w:r w:rsidRPr="00691FFB">
        <w:rPr>
          <w:rFonts w:ascii="Times New Roman" w:hAnsi="Times New Roman"/>
          <w:noProof/>
          <w:spacing w:val="-4"/>
          <w:sz w:val="24"/>
        </w:rPr>
        <w:t>Rovnako by sa mohla preskúmať možnosť ďalšieho zjednodušenia</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zvýšenia účinnosti ustanovení</w:t>
      </w:r>
      <w:r w:rsidR="00AE6533" w:rsidRPr="00691FFB">
        <w:rPr>
          <w:rFonts w:ascii="Times New Roman" w:hAnsi="Times New Roman"/>
          <w:noProof/>
          <w:spacing w:val="-4"/>
          <w:sz w:val="24"/>
        </w:rPr>
        <w:t xml:space="preserve"> o </w:t>
      </w:r>
      <w:r w:rsidRPr="00691FFB">
        <w:rPr>
          <w:rFonts w:ascii="Times New Roman" w:hAnsi="Times New Roman"/>
          <w:noProof/>
          <w:spacing w:val="-4"/>
          <w:sz w:val="24"/>
        </w:rPr>
        <w:t>právomoci, najmä ustanovení uvedených</w:t>
      </w:r>
      <w:r w:rsidR="00AE6533" w:rsidRPr="00691FFB">
        <w:rPr>
          <w:rFonts w:ascii="Times New Roman" w:hAnsi="Times New Roman"/>
          <w:noProof/>
          <w:spacing w:val="-4"/>
          <w:sz w:val="24"/>
        </w:rPr>
        <w:t xml:space="preserve"> v </w:t>
      </w:r>
      <w:r w:rsidRPr="00691FFB">
        <w:rPr>
          <w:rFonts w:ascii="Times New Roman" w:hAnsi="Times New Roman"/>
          <w:b/>
          <w:noProof/>
          <w:spacing w:val="-4"/>
          <w:sz w:val="24"/>
        </w:rPr>
        <w:t>článku 7 ods. 1</w:t>
      </w:r>
      <w:r w:rsidR="00AE6533" w:rsidRPr="00691FFB">
        <w:rPr>
          <w:rFonts w:ascii="Times New Roman" w:hAnsi="Times New Roman"/>
          <w:b/>
          <w:noProof/>
          <w:spacing w:val="-4"/>
          <w:sz w:val="24"/>
        </w:rPr>
        <w:t xml:space="preserve"> a </w:t>
      </w:r>
      <w:r w:rsidRPr="00691FFB">
        <w:rPr>
          <w:rFonts w:ascii="Times New Roman" w:hAnsi="Times New Roman"/>
          <w:b/>
          <w:noProof/>
          <w:spacing w:val="-4"/>
          <w:sz w:val="24"/>
        </w:rPr>
        <w:t>2</w:t>
      </w:r>
      <w:r w:rsidRPr="00691FFB">
        <w:rPr>
          <w:rFonts w:ascii="Times New Roman" w:hAnsi="Times New Roman"/>
          <w:noProof/>
          <w:spacing w:val="-4"/>
          <w:sz w:val="24"/>
        </w:rPr>
        <w:t>, ako aj ustanovení týkajúcich sa spotrebiteľských zmlúv.</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 xml:space="preserve">rámci podobnej úvahy by sa mohlo zvážiť, či by sa </w:t>
      </w:r>
      <w:r w:rsidRPr="00691FFB">
        <w:rPr>
          <w:rFonts w:ascii="Times New Roman" w:hAnsi="Times New Roman"/>
          <w:b/>
          <w:noProof/>
          <w:spacing w:val="-4"/>
          <w:sz w:val="24"/>
        </w:rPr>
        <w:t>pravidlá týkajúce sa uznávania</w:t>
      </w:r>
      <w:r w:rsidR="00AE6533" w:rsidRPr="00691FFB">
        <w:rPr>
          <w:rFonts w:ascii="Times New Roman" w:hAnsi="Times New Roman"/>
          <w:b/>
          <w:noProof/>
          <w:spacing w:val="-4"/>
          <w:sz w:val="24"/>
        </w:rPr>
        <w:t xml:space="preserve"> a </w:t>
      </w:r>
      <w:r w:rsidRPr="00691FFB">
        <w:rPr>
          <w:rFonts w:ascii="Times New Roman" w:hAnsi="Times New Roman"/>
          <w:b/>
          <w:noProof/>
          <w:spacing w:val="-4"/>
          <w:sz w:val="24"/>
        </w:rPr>
        <w:t>výkonu</w:t>
      </w:r>
      <w:r w:rsidRPr="00691FFB">
        <w:rPr>
          <w:rFonts w:ascii="Times New Roman" w:hAnsi="Times New Roman"/>
          <w:noProof/>
          <w:spacing w:val="-4"/>
          <w:sz w:val="24"/>
        </w:rPr>
        <w:t xml:space="preserve"> mohli ďalej zefektívniť</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zjednodušiť</w:t>
      </w:r>
      <w:r w:rsidR="00AE6533" w:rsidRPr="00691FFB">
        <w:rPr>
          <w:rFonts w:ascii="Times New Roman" w:hAnsi="Times New Roman"/>
          <w:noProof/>
          <w:spacing w:val="-4"/>
          <w:sz w:val="24"/>
        </w:rPr>
        <w:t>.</w:t>
      </w:r>
    </w:p>
    <w:p w14:paraId="3C07284E" w14:textId="2AB52881" w:rsidR="00AE6533" w:rsidRPr="00691FFB" w:rsidRDefault="00B73615" w:rsidP="00AF42A9">
      <w:pPr>
        <w:spacing w:after="120" w:line="240" w:lineRule="auto"/>
        <w:jc w:val="both"/>
        <w:rPr>
          <w:rFonts w:ascii="Times New Roman" w:hAnsi="Times New Roman"/>
          <w:noProof/>
          <w:spacing w:val="-4"/>
          <w:sz w:val="24"/>
        </w:rPr>
      </w:pPr>
      <w:r w:rsidRPr="00691FFB">
        <w:rPr>
          <w:rFonts w:ascii="Times New Roman" w:hAnsi="Times New Roman"/>
          <w:noProof/>
          <w:spacing w:val="-4"/>
          <w:sz w:val="24"/>
        </w:rPr>
        <w:t xml:space="preserve">Ďalšia analýza je potrebná aj na prijatie rozhodnutia, či by sa prostredníctvom legislatívneho zásahu mohli ďalej posilniť potrebné procesné nástroje, ktoré by sa vzťahovali na určitý druh nárokov, ako sú tie, ktoré sa bežne označujú ako </w:t>
      </w:r>
      <w:r w:rsidRPr="00691FFB">
        <w:rPr>
          <w:rFonts w:ascii="Times New Roman" w:hAnsi="Times New Roman"/>
          <w:b/>
          <w:noProof/>
          <w:spacing w:val="-4"/>
          <w:sz w:val="24"/>
        </w:rPr>
        <w:t>kolektívne uplatňovanie nárokov na nápravu</w:t>
      </w:r>
      <w:r w:rsidR="00AE6533" w:rsidRPr="00691FFB">
        <w:rPr>
          <w:rFonts w:ascii="Times New Roman" w:hAnsi="Times New Roman"/>
          <w:noProof/>
          <w:spacing w:val="-4"/>
          <w:sz w:val="24"/>
        </w:rPr>
        <w:t>.</w:t>
      </w:r>
    </w:p>
    <w:p w14:paraId="312CCDAF" w14:textId="40AAE488" w:rsidR="00B73615" w:rsidRPr="00AE6533" w:rsidRDefault="00B73615" w:rsidP="00AF42A9">
      <w:pPr>
        <w:spacing w:after="120" w:line="240" w:lineRule="auto"/>
        <w:jc w:val="both"/>
        <w:rPr>
          <w:rFonts w:ascii="Times New Roman" w:hAnsi="Times New Roman" w:cs="Times New Roman"/>
          <w:noProof/>
          <w:sz w:val="24"/>
          <w:szCs w:val="24"/>
        </w:rPr>
      </w:pPr>
      <w:r w:rsidRPr="00AE6533">
        <w:rPr>
          <w:rFonts w:ascii="Times New Roman" w:hAnsi="Times New Roman"/>
          <w:noProof/>
          <w:sz w:val="24"/>
        </w:rPr>
        <w:t xml:space="preserve">Napokon by sa mohli preskúmať možnosti </w:t>
      </w:r>
      <w:r w:rsidRPr="00AE6533">
        <w:rPr>
          <w:rFonts w:ascii="Times New Roman" w:hAnsi="Times New Roman"/>
          <w:b/>
          <w:noProof/>
          <w:sz w:val="24"/>
        </w:rPr>
        <w:t>zlepšenia koordinácie medzi nariadením</w:t>
      </w:r>
      <w:r w:rsidR="00AE6533">
        <w:rPr>
          <w:rFonts w:ascii="Times New Roman" w:hAnsi="Times New Roman"/>
          <w:b/>
          <w:noProof/>
          <w:sz w:val="24"/>
        </w:rPr>
        <w:t xml:space="preserve"> a </w:t>
      </w:r>
      <w:r w:rsidRPr="00AE6533">
        <w:rPr>
          <w:rFonts w:ascii="Times New Roman" w:hAnsi="Times New Roman"/>
          <w:b/>
          <w:noProof/>
          <w:sz w:val="24"/>
        </w:rPr>
        <w:t>medzinárodnými právnymi nástrojmi</w:t>
      </w:r>
      <w:r w:rsidR="00AE6533">
        <w:rPr>
          <w:rFonts w:ascii="Times New Roman" w:hAnsi="Times New Roman"/>
          <w:noProof/>
          <w:sz w:val="24"/>
        </w:rPr>
        <w:t xml:space="preserve"> a </w:t>
      </w:r>
      <w:r w:rsidRPr="00AE6533">
        <w:rPr>
          <w:rFonts w:ascii="Times New Roman" w:hAnsi="Times New Roman"/>
          <w:b/>
          <w:noProof/>
          <w:sz w:val="24"/>
          <w:shd w:val="clear" w:color="auto" w:fill="FEFEFD"/>
        </w:rPr>
        <w:t xml:space="preserve">spôsoby, ako </w:t>
      </w:r>
      <w:r w:rsidRPr="00AE6533">
        <w:rPr>
          <w:rStyle w:val="normaltextrun"/>
          <w:rFonts w:ascii="Times New Roman" w:hAnsi="Times New Roman"/>
          <w:b/>
          <w:noProof/>
          <w:color w:val="000000"/>
          <w:sz w:val="24"/>
          <w:shd w:val="clear" w:color="auto" w:fill="FFFFFF"/>
        </w:rPr>
        <w:t>modernizovať</w:t>
      </w:r>
      <w:r w:rsidR="00AE6533">
        <w:rPr>
          <w:rStyle w:val="normaltextrun"/>
          <w:rFonts w:ascii="Times New Roman" w:hAnsi="Times New Roman"/>
          <w:b/>
          <w:noProof/>
          <w:color w:val="000000"/>
          <w:sz w:val="24"/>
          <w:shd w:val="clear" w:color="auto" w:fill="FFFFFF"/>
        </w:rPr>
        <w:t xml:space="preserve"> a </w:t>
      </w:r>
      <w:r w:rsidRPr="00AE6533">
        <w:rPr>
          <w:rStyle w:val="normaltextrun"/>
          <w:rFonts w:ascii="Times New Roman" w:hAnsi="Times New Roman"/>
          <w:b/>
          <w:noProof/>
          <w:color w:val="000000"/>
          <w:sz w:val="24"/>
          <w:shd w:val="clear" w:color="auto" w:fill="FFFFFF"/>
        </w:rPr>
        <w:t>zjednodušiť postupy</w:t>
      </w:r>
      <w:r w:rsidRPr="00AE6533">
        <w:rPr>
          <w:rFonts w:ascii="Times New Roman" w:hAnsi="Times New Roman"/>
          <w:noProof/>
          <w:sz w:val="24"/>
          <w:shd w:val="clear" w:color="auto" w:fill="FEFEFD"/>
        </w:rPr>
        <w:t xml:space="preserve"> podľa nariadenia</w:t>
      </w:r>
      <w:r w:rsidR="00AE6533">
        <w:rPr>
          <w:rFonts w:ascii="Times New Roman" w:hAnsi="Times New Roman"/>
          <w:noProof/>
          <w:sz w:val="24"/>
          <w:shd w:val="clear" w:color="auto" w:fill="FEFEFD"/>
        </w:rPr>
        <w:t xml:space="preserve"> v </w:t>
      </w:r>
      <w:r w:rsidRPr="00AE6533">
        <w:rPr>
          <w:rFonts w:ascii="Times New Roman" w:hAnsi="Times New Roman"/>
          <w:noProof/>
          <w:sz w:val="24"/>
          <w:shd w:val="clear" w:color="auto" w:fill="FEFEFD"/>
        </w:rPr>
        <w:t xml:space="preserve">rámci </w:t>
      </w:r>
      <w:r w:rsidRPr="00AE6533">
        <w:rPr>
          <w:rFonts w:ascii="Times New Roman" w:hAnsi="Times New Roman"/>
          <w:b/>
          <w:noProof/>
          <w:sz w:val="24"/>
          <w:shd w:val="clear" w:color="auto" w:fill="FEFEFD"/>
        </w:rPr>
        <w:t>digitálnej reformy systémov občianskej justície</w:t>
      </w:r>
      <w:r w:rsidRPr="00AE6533">
        <w:rPr>
          <w:rFonts w:ascii="Times New Roman" w:hAnsi="Times New Roman"/>
          <w:noProof/>
          <w:sz w:val="24"/>
          <w:shd w:val="clear" w:color="auto" w:fill="FEFEFD"/>
        </w:rPr>
        <w:t>.</w:t>
      </w:r>
    </w:p>
    <w:p w14:paraId="753D3D3C" w14:textId="6DD6E51A" w:rsidR="006033E2" w:rsidRPr="00691FFB" w:rsidRDefault="006033E2" w:rsidP="00036D55">
      <w:pPr>
        <w:spacing w:after="120" w:line="240" w:lineRule="auto"/>
        <w:jc w:val="both"/>
        <w:rPr>
          <w:rFonts w:ascii="Times New Roman" w:hAnsi="Times New Roman" w:cs="Times New Roman"/>
          <w:noProof/>
          <w:spacing w:val="-4"/>
          <w:sz w:val="24"/>
          <w:szCs w:val="24"/>
        </w:rPr>
      </w:pPr>
      <w:r w:rsidRPr="00691FFB">
        <w:rPr>
          <w:rFonts w:ascii="Times New Roman" w:hAnsi="Times New Roman"/>
          <w:noProof/>
          <w:spacing w:val="-4"/>
          <w:sz w:val="24"/>
        </w:rPr>
        <w:t xml:space="preserve">Komisia </w:t>
      </w:r>
      <w:r w:rsidRPr="00691FFB">
        <w:rPr>
          <w:rFonts w:ascii="Times New Roman" w:hAnsi="Times New Roman"/>
          <w:b/>
          <w:noProof/>
          <w:spacing w:val="-4"/>
          <w:sz w:val="24"/>
        </w:rPr>
        <w:t>preto začne formálne preskúmanie</w:t>
      </w:r>
      <w:r w:rsidRPr="00691FFB">
        <w:rPr>
          <w:rFonts w:ascii="Times New Roman" w:hAnsi="Times New Roman"/>
          <w:noProof/>
          <w:spacing w:val="-4"/>
          <w:sz w:val="24"/>
        </w:rPr>
        <w:t xml:space="preserve"> nariadenia</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cieľom zvážiť</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prípadne vypracovať návrh na zmenu alebo prepracovanie nariadenia</w:t>
      </w:r>
      <w:r w:rsidR="00AE6533" w:rsidRPr="00691FFB">
        <w:rPr>
          <w:rFonts w:ascii="Times New Roman" w:hAnsi="Times New Roman"/>
          <w:noProof/>
          <w:spacing w:val="-4"/>
          <w:sz w:val="24"/>
        </w:rPr>
        <w:t xml:space="preserve"> v </w:t>
      </w:r>
      <w:r w:rsidRPr="00691FFB">
        <w:rPr>
          <w:rFonts w:ascii="Times New Roman" w:hAnsi="Times New Roman"/>
          <w:noProof/>
          <w:spacing w:val="-4"/>
          <w:sz w:val="24"/>
        </w:rPr>
        <w:t>súlade</w:t>
      </w:r>
      <w:r w:rsidR="00AE6533" w:rsidRPr="00691FFB">
        <w:rPr>
          <w:rFonts w:ascii="Times New Roman" w:hAnsi="Times New Roman"/>
          <w:noProof/>
          <w:spacing w:val="-4"/>
          <w:sz w:val="24"/>
        </w:rPr>
        <w:t xml:space="preserve"> s </w:t>
      </w:r>
      <w:r w:rsidRPr="00691FFB">
        <w:rPr>
          <w:rFonts w:ascii="Times New Roman" w:hAnsi="Times New Roman"/>
          <w:noProof/>
          <w:spacing w:val="-4"/>
          <w:sz w:val="24"/>
        </w:rPr>
        <w:t>pravidlami lepšej právnej regulácie, ak sa pri tomto preskúmaní dospeje</w:t>
      </w:r>
      <w:r w:rsidR="00AE6533" w:rsidRPr="00691FFB">
        <w:rPr>
          <w:rFonts w:ascii="Times New Roman" w:hAnsi="Times New Roman"/>
          <w:noProof/>
          <w:spacing w:val="-4"/>
          <w:sz w:val="24"/>
        </w:rPr>
        <w:t xml:space="preserve"> k </w:t>
      </w:r>
      <w:r w:rsidRPr="00691FFB">
        <w:rPr>
          <w:rFonts w:ascii="Times New Roman" w:hAnsi="Times New Roman"/>
          <w:noProof/>
          <w:spacing w:val="-4"/>
          <w:sz w:val="24"/>
        </w:rPr>
        <w:t>záveru, že zmeny sú potrebné</w:t>
      </w:r>
      <w:r w:rsidR="00AE6533" w:rsidRPr="00691FFB">
        <w:rPr>
          <w:rFonts w:ascii="Times New Roman" w:hAnsi="Times New Roman"/>
          <w:noProof/>
          <w:spacing w:val="-4"/>
          <w:sz w:val="24"/>
        </w:rPr>
        <w:t xml:space="preserve"> a </w:t>
      </w:r>
      <w:r w:rsidRPr="00691FFB">
        <w:rPr>
          <w:rFonts w:ascii="Times New Roman" w:hAnsi="Times New Roman"/>
          <w:noProof/>
          <w:spacing w:val="-4"/>
          <w:sz w:val="24"/>
        </w:rPr>
        <w:t>vhodné.</w:t>
      </w:r>
    </w:p>
    <w:p w14:paraId="54C3C3D9" w14:textId="77777777" w:rsidR="006033E2" w:rsidRPr="00AE6533" w:rsidRDefault="006033E2" w:rsidP="00AF42A9">
      <w:pPr>
        <w:spacing w:after="120" w:line="240" w:lineRule="auto"/>
        <w:jc w:val="both"/>
        <w:rPr>
          <w:rFonts w:ascii="Times New Roman" w:hAnsi="Times New Roman" w:cs="Times New Roman"/>
          <w:noProof/>
          <w:sz w:val="24"/>
          <w:szCs w:val="24"/>
        </w:rPr>
      </w:pPr>
    </w:p>
    <w:sectPr w:rsidR="006033E2" w:rsidRPr="00AE6533" w:rsidSect="00EF61C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38BAB" w14:textId="77777777" w:rsidR="00EF61CD" w:rsidRDefault="00EF61CD" w:rsidP="00EF61CD">
      <w:pPr>
        <w:spacing w:after="0" w:line="240" w:lineRule="auto"/>
      </w:pPr>
      <w:r>
        <w:separator/>
      </w:r>
    </w:p>
  </w:endnote>
  <w:endnote w:type="continuationSeparator" w:id="0">
    <w:p w14:paraId="7BFDAFEC" w14:textId="77777777" w:rsidR="00EF61CD" w:rsidRDefault="00EF61CD" w:rsidP="00EF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62F0" w14:textId="544EECCD" w:rsidR="0002766F" w:rsidRPr="0002766F" w:rsidRDefault="0002766F" w:rsidP="0002766F">
    <w:pPr>
      <w:pStyle w:val="FooterCoverPage"/>
      <w:rPr>
        <w:rFonts w:ascii="Arial" w:hAnsi="Arial" w:cs="Arial"/>
        <w:b/>
        <w:sz w:val="48"/>
      </w:rPr>
    </w:pPr>
    <w:r w:rsidRPr="0002766F">
      <w:rPr>
        <w:rFonts w:ascii="Arial" w:hAnsi="Arial" w:cs="Arial"/>
        <w:b/>
        <w:sz w:val="48"/>
      </w:rPr>
      <w:t>SK</w:t>
    </w:r>
    <w:r w:rsidRPr="0002766F">
      <w:rPr>
        <w:rFonts w:ascii="Arial" w:hAnsi="Arial" w:cs="Arial"/>
        <w:b/>
        <w:sz w:val="48"/>
      </w:rPr>
      <w:tab/>
    </w:r>
    <w:r w:rsidRPr="0002766F">
      <w:rPr>
        <w:rFonts w:ascii="Arial" w:hAnsi="Arial" w:cs="Arial"/>
        <w:b/>
        <w:sz w:val="48"/>
      </w:rPr>
      <w:tab/>
    </w:r>
    <w:r w:rsidRPr="0002766F">
      <w:tab/>
    </w:r>
    <w:r w:rsidRPr="0002766F">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BEADB" w14:textId="3BD61CC4" w:rsidR="0002766F" w:rsidRPr="0002766F" w:rsidRDefault="0002766F" w:rsidP="0002766F">
    <w:pPr>
      <w:pStyle w:val="FooterCoverPage"/>
      <w:rPr>
        <w:rFonts w:ascii="Arial" w:hAnsi="Arial" w:cs="Arial"/>
        <w:b/>
        <w:sz w:val="48"/>
      </w:rPr>
    </w:pPr>
    <w:r w:rsidRPr="0002766F">
      <w:rPr>
        <w:rFonts w:ascii="Arial" w:hAnsi="Arial" w:cs="Arial"/>
        <w:b/>
        <w:sz w:val="48"/>
      </w:rPr>
      <w:t>SK</w:t>
    </w:r>
    <w:r w:rsidRPr="0002766F">
      <w:rPr>
        <w:rFonts w:ascii="Arial" w:hAnsi="Arial" w:cs="Arial"/>
        <w:b/>
        <w:sz w:val="48"/>
      </w:rPr>
      <w:tab/>
    </w:r>
    <w:r w:rsidRPr="0002766F">
      <w:rPr>
        <w:rFonts w:ascii="Arial" w:hAnsi="Arial" w:cs="Arial"/>
        <w:b/>
        <w:sz w:val="48"/>
      </w:rPr>
      <w:tab/>
    </w:r>
    <w:r w:rsidRPr="0002766F">
      <w:tab/>
    </w:r>
    <w:r w:rsidRPr="0002766F">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04B32" w14:textId="77777777" w:rsidR="0002766F" w:rsidRPr="0002766F" w:rsidRDefault="0002766F" w:rsidP="0002766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34AD" w14:textId="77777777" w:rsidR="00EF61CD" w:rsidRDefault="00EF61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183003"/>
      <w:docPartObj>
        <w:docPartGallery w:val="Page Numbers (Bottom of Page)"/>
        <w:docPartUnique/>
      </w:docPartObj>
    </w:sdtPr>
    <w:sdtEndPr>
      <w:rPr>
        <w:rFonts w:ascii="Times New Roman" w:hAnsi="Times New Roman" w:cs="Times New Roman"/>
        <w:noProof/>
        <w:sz w:val="20"/>
        <w:szCs w:val="20"/>
      </w:rPr>
    </w:sdtEndPr>
    <w:sdtContent>
      <w:p w14:paraId="2BA68FC0" w14:textId="7C770922" w:rsidR="00D33FA6" w:rsidRPr="00D33FA6" w:rsidRDefault="00D33FA6">
        <w:pPr>
          <w:pStyle w:val="Footer"/>
          <w:jc w:val="center"/>
          <w:rPr>
            <w:rFonts w:ascii="Times New Roman" w:hAnsi="Times New Roman" w:cs="Times New Roman"/>
            <w:sz w:val="20"/>
            <w:szCs w:val="20"/>
          </w:rPr>
        </w:pPr>
        <w:r w:rsidRPr="00D33FA6">
          <w:rPr>
            <w:rFonts w:ascii="Times New Roman" w:hAnsi="Times New Roman" w:cs="Times New Roman"/>
            <w:sz w:val="20"/>
          </w:rPr>
          <w:fldChar w:fldCharType="begin"/>
        </w:r>
        <w:r w:rsidRPr="00D33FA6">
          <w:rPr>
            <w:rFonts w:ascii="Times New Roman" w:hAnsi="Times New Roman" w:cs="Times New Roman"/>
            <w:sz w:val="20"/>
          </w:rPr>
          <w:instrText xml:space="preserve"> PAGE   \* MERGEFORMAT </w:instrText>
        </w:r>
        <w:r w:rsidRPr="00D33FA6">
          <w:rPr>
            <w:rFonts w:ascii="Times New Roman" w:hAnsi="Times New Roman" w:cs="Times New Roman"/>
            <w:sz w:val="20"/>
          </w:rPr>
          <w:fldChar w:fldCharType="separate"/>
        </w:r>
        <w:r w:rsidR="0002766F">
          <w:rPr>
            <w:rFonts w:ascii="Times New Roman" w:hAnsi="Times New Roman" w:cs="Times New Roman"/>
            <w:noProof/>
            <w:sz w:val="20"/>
          </w:rPr>
          <w:t>1</w:t>
        </w:r>
        <w:r w:rsidRPr="00D33FA6">
          <w:rPr>
            <w:rFonts w:ascii="Times New Roman" w:hAnsi="Times New Roman" w:cs="Times New Roman"/>
            <w:sz w:val="20"/>
          </w:rPr>
          <w:fldChar w:fldCharType="end"/>
        </w:r>
      </w:p>
    </w:sdtContent>
  </w:sdt>
  <w:p w14:paraId="10345DE4" w14:textId="77777777" w:rsidR="00EF61CD" w:rsidRDefault="00EF61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702C" w14:textId="77777777" w:rsidR="00EF61CD" w:rsidRDefault="00EF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5D0A" w14:textId="77777777" w:rsidR="00EF61CD" w:rsidRDefault="00EF61CD" w:rsidP="00EF61CD">
      <w:pPr>
        <w:spacing w:after="0" w:line="240" w:lineRule="auto"/>
      </w:pPr>
      <w:r>
        <w:separator/>
      </w:r>
    </w:p>
  </w:footnote>
  <w:footnote w:type="continuationSeparator" w:id="0">
    <w:p w14:paraId="267DF70F" w14:textId="77777777" w:rsidR="00EF61CD" w:rsidRDefault="00EF61CD" w:rsidP="00EF61CD">
      <w:pPr>
        <w:spacing w:after="0" w:line="240" w:lineRule="auto"/>
      </w:pPr>
      <w:r>
        <w:continuationSeparator/>
      </w:r>
    </w:p>
  </w:footnote>
  <w:footnote w:id="1">
    <w:p w14:paraId="1FE5EF07" w14:textId="1FF34BAE" w:rsidR="000F6099" w:rsidRPr="00E53F8D" w:rsidRDefault="000F6099"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E53F8D">
        <w:rPr>
          <w:rStyle w:val="Emphasis"/>
          <w:rFonts w:ascii="Times New Roman" w:hAnsi="Times New Roman"/>
          <w:i w:val="0"/>
          <w:shd w:val="clear" w:color="auto" w:fill="FFFFFF"/>
        </w:rPr>
        <w:t>Ú. v. EÚ L 351, 20.12.2012, s. 1.</w:t>
      </w:r>
    </w:p>
  </w:footnote>
  <w:footnote w:id="2">
    <w:p w14:paraId="530FA2C1" w14:textId="53AB2442" w:rsidR="000F6099" w:rsidRPr="00E53F8D" w:rsidRDefault="000F6099"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E53F8D">
        <w:rPr>
          <w:rStyle w:val="Emphasis"/>
          <w:rFonts w:ascii="Times New Roman" w:hAnsi="Times New Roman"/>
          <w:i w:val="0"/>
          <w:shd w:val="clear" w:color="auto" w:fill="FFFFFF"/>
        </w:rPr>
        <w:t>Ú. v. ES L 12, 16.1.2001, s. 1.</w:t>
      </w:r>
    </w:p>
  </w:footnote>
  <w:footnote w:id="3">
    <w:p w14:paraId="19E39D55" w14:textId="27714AD9" w:rsidR="000F6099" w:rsidRPr="00E53F8D" w:rsidRDefault="000F6099"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w:t>
      </w:r>
      <w:r w:rsidRPr="00E53F8D">
        <w:rPr>
          <w:rFonts w:ascii="Times New Roman" w:hAnsi="Times New Roman"/>
        </w:rPr>
        <w:tab/>
        <w:t>Nariadenie Európskeho parlamentu</w:t>
      </w:r>
      <w:r w:rsidR="00E53F8D" w:rsidRPr="00E53F8D">
        <w:rPr>
          <w:rFonts w:ascii="Times New Roman" w:hAnsi="Times New Roman"/>
        </w:rPr>
        <w:t xml:space="preserve"> a </w:t>
      </w:r>
      <w:r w:rsidRPr="00E53F8D">
        <w:rPr>
          <w:rFonts w:ascii="Times New Roman" w:hAnsi="Times New Roman"/>
        </w:rPr>
        <w:t xml:space="preserve">Rady (EÚ) </w:t>
      </w:r>
      <w:r w:rsidR="00E53F8D" w:rsidRPr="00E53F8D">
        <w:rPr>
          <w:rFonts w:ascii="Times New Roman" w:hAnsi="Times New Roman"/>
        </w:rPr>
        <w:t>č. </w:t>
      </w:r>
      <w:r w:rsidRPr="00E53F8D">
        <w:rPr>
          <w:rFonts w:ascii="Times New Roman" w:hAnsi="Times New Roman"/>
        </w:rPr>
        <w:t>542/2014</w:t>
      </w:r>
      <w:r w:rsidR="00E53F8D" w:rsidRPr="00E53F8D">
        <w:rPr>
          <w:rFonts w:ascii="Times New Roman" w:hAnsi="Times New Roman"/>
        </w:rPr>
        <w:t xml:space="preserve"> z </w:t>
      </w:r>
      <w:r w:rsidRPr="00E53F8D">
        <w:rPr>
          <w:rFonts w:ascii="Times New Roman" w:hAnsi="Times New Roman"/>
        </w:rPr>
        <w:t>15</w:t>
      </w:r>
      <w:r w:rsidR="00E53F8D" w:rsidRPr="00E53F8D">
        <w:rPr>
          <w:rFonts w:ascii="Times New Roman" w:hAnsi="Times New Roman"/>
        </w:rPr>
        <w:t>. mája</w:t>
      </w:r>
      <w:r w:rsidRPr="00E53F8D">
        <w:rPr>
          <w:rFonts w:ascii="Times New Roman" w:hAnsi="Times New Roman"/>
        </w:rPr>
        <w:t xml:space="preserve"> 2014, ktorým sa mení nariadenie (EÚ) </w:t>
      </w:r>
      <w:r w:rsidR="00E53F8D" w:rsidRPr="00E53F8D">
        <w:rPr>
          <w:rFonts w:ascii="Times New Roman" w:hAnsi="Times New Roman"/>
        </w:rPr>
        <w:t>č. </w:t>
      </w:r>
      <w:r w:rsidRPr="00E53F8D">
        <w:rPr>
          <w:rFonts w:ascii="Times New Roman" w:hAnsi="Times New Roman"/>
        </w:rPr>
        <w:t>1215/2012, pokiaľ ide</w:t>
      </w:r>
      <w:r w:rsidR="00E53F8D" w:rsidRPr="00E53F8D">
        <w:rPr>
          <w:rFonts w:ascii="Times New Roman" w:hAnsi="Times New Roman"/>
        </w:rPr>
        <w:t xml:space="preserve"> o </w:t>
      </w:r>
      <w:r w:rsidRPr="00E53F8D">
        <w:rPr>
          <w:rFonts w:ascii="Times New Roman" w:hAnsi="Times New Roman"/>
        </w:rPr>
        <w:t>pravidlá, ktoré sa majú uplatniť</w:t>
      </w:r>
      <w:r w:rsidR="00E53F8D" w:rsidRPr="00E53F8D">
        <w:rPr>
          <w:rFonts w:ascii="Times New Roman" w:hAnsi="Times New Roman"/>
        </w:rPr>
        <w:t xml:space="preserve"> s </w:t>
      </w:r>
      <w:r w:rsidRPr="00E53F8D">
        <w:rPr>
          <w:rFonts w:ascii="Times New Roman" w:hAnsi="Times New Roman"/>
        </w:rPr>
        <w:t>ohľadom na Jednotný patentový súd</w:t>
      </w:r>
      <w:r w:rsidR="00E53F8D" w:rsidRPr="00E53F8D">
        <w:rPr>
          <w:rFonts w:ascii="Times New Roman" w:hAnsi="Times New Roman"/>
        </w:rPr>
        <w:t xml:space="preserve"> a </w:t>
      </w:r>
      <w:r w:rsidRPr="00E53F8D">
        <w:rPr>
          <w:rFonts w:ascii="Times New Roman" w:hAnsi="Times New Roman"/>
        </w:rPr>
        <w:t>Súdny dvor Beneluxu (Ú. v. EÚ L 163, 29.5.2014, s. 1). Cieľom tejto zmeny bolo umožniť vykonávanie tzv. balíka</w:t>
      </w:r>
      <w:r w:rsidR="00E53F8D" w:rsidRPr="00E53F8D">
        <w:rPr>
          <w:rFonts w:ascii="Times New Roman" w:hAnsi="Times New Roman"/>
        </w:rPr>
        <w:t xml:space="preserve"> v </w:t>
      </w:r>
      <w:r w:rsidRPr="00E53F8D">
        <w:rPr>
          <w:rFonts w:ascii="Times New Roman" w:hAnsi="Times New Roman"/>
        </w:rPr>
        <w:t>oblasti patentov,</w:t>
      </w:r>
      <w:r w:rsidR="00E53F8D" w:rsidRPr="00E53F8D">
        <w:rPr>
          <w:rFonts w:ascii="Times New Roman" w:hAnsi="Times New Roman"/>
        </w:rPr>
        <w:t xml:space="preserve"> a </w:t>
      </w:r>
      <w:r w:rsidRPr="00E53F8D">
        <w:rPr>
          <w:rFonts w:ascii="Times New Roman" w:hAnsi="Times New Roman"/>
        </w:rPr>
        <w:t>to po prvé</w:t>
      </w:r>
      <w:r w:rsidRPr="00E53F8D">
        <w:rPr>
          <w:rFonts w:ascii="Times New Roman" w:hAnsi="Times New Roman"/>
          <w:shd w:val="clear" w:color="auto" w:fill="FFFFFF"/>
        </w:rPr>
        <w:t xml:space="preserve"> umožnením nadobudnutia platnosti Dohody</w:t>
      </w:r>
      <w:r w:rsidR="00E53F8D" w:rsidRPr="00E53F8D">
        <w:rPr>
          <w:rFonts w:ascii="Times New Roman" w:hAnsi="Times New Roman"/>
          <w:shd w:val="clear" w:color="auto" w:fill="FFFFFF"/>
        </w:rPr>
        <w:t xml:space="preserve"> o </w:t>
      </w:r>
      <w:r w:rsidRPr="00E53F8D">
        <w:rPr>
          <w:rFonts w:ascii="Times New Roman" w:hAnsi="Times New Roman"/>
          <w:shd w:val="clear" w:color="auto" w:fill="FFFFFF"/>
        </w:rPr>
        <w:t>Jednotnom patentovom súde (Ú. v. EÚ C 175, 20.6.2013, s. 1)</w:t>
      </w:r>
      <w:r w:rsidR="00E53F8D" w:rsidRPr="00E53F8D">
        <w:rPr>
          <w:rFonts w:ascii="Times New Roman" w:hAnsi="Times New Roman"/>
          <w:shd w:val="clear" w:color="auto" w:fill="FFFFFF"/>
        </w:rPr>
        <w:t xml:space="preserve"> a </w:t>
      </w:r>
      <w:r w:rsidRPr="00E53F8D">
        <w:rPr>
          <w:rFonts w:ascii="Times New Roman" w:hAnsi="Times New Roman"/>
          <w:shd w:val="clear" w:color="auto" w:fill="FFFFFF"/>
        </w:rPr>
        <w:t>po druhé zabezpečením súladu tejto dohody, ako aj protokolu</w:t>
      </w:r>
      <w:r w:rsidR="00E53F8D" w:rsidRPr="00E53F8D">
        <w:rPr>
          <w:rFonts w:ascii="Times New Roman" w:hAnsi="Times New Roman"/>
          <w:shd w:val="clear" w:color="auto" w:fill="FFFFFF"/>
        </w:rPr>
        <w:t xml:space="preserve"> k </w:t>
      </w:r>
      <w:r w:rsidRPr="00E53F8D">
        <w:rPr>
          <w:rFonts w:ascii="Times New Roman" w:hAnsi="Times New Roman"/>
          <w:shd w:val="clear" w:color="auto" w:fill="FFFFFF"/>
        </w:rPr>
        <w:t>zmluve členských štátov Beneluxu</w:t>
      </w:r>
      <w:r w:rsidR="00E53F8D" w:rsidRPr="00E53F8D">
        <w:rPr>
          <w:rFonts w:ascii="Times New Roman" w:hAnsi="Times New Roman"/>
          <w:shd w:val="clear" w:color="auto" w:fill="FFFFFF"/>
        </w:rPr>
        <w:t xml:space="preserve"> z </w:t>
      </w:r>
      <w:r w:rsidRPr="00E53F8D">
        <w:rPr>
          <w:rFonts w:ascii="Times New Roman" w:hAnsi="Times New Roman"/>
          <w:shd w:val="clear" w:color="auto" w:fill="FFFFFF"/>
        </w:rPr>
        <w:t>roku 1965</w:t>
      </w:r>
      <w:r w:rsidR="00E53F8D" w:rsidRPr="00E53F8D">
        <w:rPr>
          <w:rFonts w:ascii="Times New Roman" w:hAnsi="Times New Roman"/>
          <w:shd w:val="clear" w:color="auto" w:fill="FFFFFF"/>
        </w:rPr>
        <w:t xml:space="preserve"> s </w:t>
      </w:r>
      <w:r w:rsidRPr="00E53F8D">
        <w:rPr>
          <w:rFonts w:ascii="Times New Roman" w:hAnsi="Times New Roman"/>
          <w:shd w:val="clear" w:color="auto" w:fill="FFFFFF"/>
        </w:rPr>
        <w:t>nariadením</w:t>
      </w:r>
      <w:r w:rsidR="00E53F8D" w:rsidRPr="00E53F8D">
        <w:rPr>
          <w:rFonts w:ascii="Times New Roman" w:hAnsi="Times New Roman"/>
          <w:shd w:val="clear" w:color="auto" w:fill="FFFFFF"/>
        </w:rPr>
        <w:t>.</w:t>
      </w:r>
    </w:p>
  </w:footnote>
  <w:footnote w:id="4">
    <w:p w14:paraId="4C1789D7" w14:textId="4DC12318" w:rsidR="000F6099" w:rsidRPr="00E53F8D" w:rsidRDefault="000F6099"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w:t>
      </w:r>
      <w:r w:rsidRPr="00E53F8D">
        <w:rPr>
          <w:rFonts w:ascii="Times New Roman" w:hAnsi="Times New Roman"/>
        </w:rPr>
        <w:tab/>
        <w:t>Dánsko uplatňuje nariadenie</w:t>
      </w:r>
      <w:r w:rsidR="00E53F8D" w:rsidRPr="00E53F8D">
        <w:rPr>
          <w:rFonts w:ascii="Times New Roman" w:hAnsi="Times New Roman"/>
        </w:rPr>
        <w:t xml:space="preserve"> v </w:t>
      </w:r>
      <w:r w:rsidRPr="00E53F8D">
        <w:rPr>
          <w:rFonts w:ascii="Times New Roman" w:hAnsi="Times New Roman"/>
        </w:rPr>
        <w:t>súlade</w:t>
      </w:r>
      <w:r w:rsidR="00E53F8D" w:rsidRPr="00E53F8D">
        <w:rPr>
          <w:rFonts w:ascii="Times New Roman" w:hAnsi="Times New Roman"/>
        </w:rPr>
        <w:t xml:space="preserve"> s </w:t>
      </w:r>
      <w:r w:rsidRPr="00E53F8D">
        <w:rPr>
          <w:rFonts w:ascii="Times New Roman" w:hAnsi="Times New Roman"/>
        </w:rPr>
        <w:t>Dohodou</w:t>
      </w:r>
      <w:r w:rsidR="00E53F8D" w:rsidRPr="00E53F8D">
        <w:rPr>
          <w:rFonts w:ascii="Times New Roman" w:hAnsi="Times New Roman"/>
        </w:rPr>
        <w:t xml:space="preserve"> z </w:t>
      </w:r>
      <w:r w:rsidRPr="00E53F8D">
        <w:rPr>
          <w:rFonts w:ascii="Times New Roman" w:hAnsi="Times New Roman"/>
        </w:rPr>
        <w:t>19</w:t>
      </w:r>
      <w:r w:rsidR="00E53F8D" w:rsidRPr="00E53F8D">
        <w:rPr>
          <w:rFonts w:ascii="Times New Roman" w:hAnsi="Times New Roman"/>
        </w:rPr>
        <w:t>. októbra</w:t>
      </w:r>
      <w:r w:rsidRPr="00E53F8D">
        <w:rPr>
          <w:rFonts w:ascii="Times New Roman" w:hAnsi="Times New Roman"/>
        </w:rPr>
        <w:t xml:space="preserve"> 2005 </w:t>
      </w:r>
      <w:r w:rsidRPr="00E53F8D">
        <w:rPr>
          <w:rFonts w:ascii="Times New Roman" w:hAnsi="Times New Roman"/>
          <w:shd w:val="clear" w:color="auto" w:fill="FFFFFF"/>
        </w:rPr>
        <w:t>medzi Európskym spoločenstvom</w:t>
      </w:r>
      <w:r w:rsidR="00E53F8D" w:rsidRPr="00E53F8D">
        <w:rPr>
          <w:rFonts w:ascii="Times New Roman" w:hAnsi="Times New Roman"/>
          <w:shd w:val="clear" w:color="auto" w:fill="FFFFFF"/>
        </w:rPr>
        <w:t xml:space="preserve"> a </w:t>
      </w:r>
      <w:r w:rsidRPr="00E53F8D">
        <w:rPr>
          <w:rFonts w:ascii="Times New Roman" w:hAnsi="Times New Roman"/>
          <w:shd w:val="clear" w:color="auto" w:fill="FFFFFF"/>
        </w:rPr>
        <w:t>Dánskym kráľovstvom</w:t>
      </w:r>
      <w:r w:rsidR="00E53F8D" w:rsidRPr="00E53F8D">
        <w:rPr>
          <w:rFonts w:ascii="Times New Roman" w:hAnsi="Times New Roman"/>
        </w:rPr>
        <w:t xml:space="preserve"> o </w:t>
      </w:r>
      <w:r w:rsidRPr="00E53F8D">
        <w:rPr>
          <w:rFonts w:ascii="Times New Roman" w:hAnsi="Times New Roman"/>
        </w:rPr>
        <w:t>právomoci</w:t>
      </w:r>
      <w:r w:rsidR="00E53F8D" w:rsidRPr="00E53F8D">
        <w:rPr>
          <w:rFonts w:ascii="Times New Roman" w:hAnsi="Times New Roman"/>
        </w:rPr>
        <w:t xml:space="preserve"> a o </w:t>
      </w:r>
      <w:r w:rsidRPr="00E53F8D">
        <w:rPr>
          <w:rFonts w:ascii="Times New Roman" w:hAnsi="Times New Roman"/>
        </w:rPr>
        <w:t>uznávaní</w:t>
      </w:r>
      <w:r w:rsidR="00E53F8D" w:rsidRPr="00E53F8D">
        <w:rPr>
          <w:rFonts w:ascii="Times New Roman" w:hAnsi="Times New Roman"/>
        </w:rPr>
        <w:t xml:space="preserve"> a </w:t>
      </w:r>
      <w:r w:rsidRPr="00E53F8D">
        <w:rPr>
          <w:rFonts w:ascii="Times New Roman" w:hAnsi="Times New Roman"/>
        </w:rPr>
        <w:t>výkone rozsudkov</w:t>
      </w:r>
      <w:r w:rsidR="00E53F8D" w:rsidRPr="00E53F8D">
        <w:rPr>
          <w:rFonts w:ascii="Times New Roman" w:hAnsi="Times New Roman"/>
        </w:rPr>
        <w:t xml:space="preserve"> v </w:t>
      </w:r>
      <w:r w:rsidRPr="00E53F8D">
        <w:rPr>
          <w:rFonts w:ascii="Times New Roman" w:hAnsi="Times New Roman"/>
        </w:rPr>
        <w:t>občianskych</w:t>
      </w:r>
      <w:r w:rsidR="00E53F8D" w:rsidRPr="00E53F8D">
        <w:rPr>
          <w:rFonts w:ascii="Times New Roman" w:hAnsi="Times New Roman"/>
        </w:rPr>
        <w:t xml:space="preserve"> a </w:t>
      </w:r>
      <w:r w:rsidRPr="00E53F8D">
        <w:rPr>
          <w:rFonts w:ascii="Times New Roman" w:hAnsi="Times New Roman"/>
        </w:rPr>
        <w:t>obchodných veciach (</w:t>
      </w:r>
      <w:r w:rsidRPr="00E53F8D">
        <w:rPr>
          <w:rFonts w:ascii="Times New Roman" w:hAnsi="Times New Roman"/>
          <w:shd w:val="clear" w:color="auto" w:fill="FFFFFF"/>
        </w:rPr>
        <w:t>Ú. v. EÚ L 299, 16.11.2005, s. 62)</w:t>
      </w:r>
      <w:r w:rsidRPr="00E53F8D">
        <w:rPr>
          <w:rFonts w:ascii="Times New Roman" w:hAnsi="Times New Roman"/>
          <w:color w:val="333333"/>
          <w:shd w:val="clear" w:color="auto" w:fill="FFFFFF"/>
        </w:rPr>
        <w:t>.</w:t>
      </w:r>
    </w:p>
  </w:footnote>
  <w:footnote w:id="5">
    <w:p w14:paraId="01544C8D" w14:textId="36161CC9" w:rsidR="00590AAA" w:rsidRPr="00E53F8D" w:rsidRDefault="00590AAA"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Do úvahy sa brali len rozsudky</w:t>
      </w:r>
      <w:r w:rsidR="00E53F8D" w:rsidRPr="00E53F8D">
        <w:rPr>
          <w:rFonts w:ascii="Times New Roman" w:hAnsi="Times New Roman"/>
        </w:rPr>
        <w:t xml:space="preserve"> a </w:t>
      </w:r>
      <w:r w:rsidRPr="00E53F8D">
        <w:rPr>
          <w:rFonts w:ascii="Times New Roman" w:hAnsi="Times New Roman"/>
        </w:rPr>
        <w:t>návrhy generálnych advokátov vydané pred 1. aprílom 2025</w:t>
      </w:r>
      <w:r w:rsidR="00E53F8D" w:rsidRPr="00E53F8D">
        <w:rPr>
          <w:rFonts w:ascii="Times New Roman" w:hAnsi="Times New Roman"/>
        </w:rPr>
        <w:t>.</w:t>
      </w:r>
    </w:p>
  </w:footnote>
  <w:footnote w:id="6">
    <w:p w14:paraId="4F56C6A7" w14:textId="205BBAF3" w:rsidR="007B265B" w:rsidRPr="00E53F8D" w:rsidRDefault="007B265B"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w:t>
      </w:r>
      <w:r w:rsidRPr="00E53F8D">
        <w:rPr>
          <w:rFonts w:ascii="Times New Roman" w:hAnsi="Times New Roman"/>
        </w:rPr>
        <w:tab/>
        <w:t>Štúdiu vypracovala spoločnosť Milieu SRL</w:t>
      </w:r>
      <w:r w:rsidR="00E53F8D" w:rsidRPr="00E53F8D">
        <w:rPr>
          <w:rFonts w:ascii="Times New Roman" w:hAnsi="Times New Roman"/>
        </w:rPr>
        <w:t xml:space="preserve"> a </w:t>
      </w:r>
      <w:r w:rsidRPr="00E53F8D">
        <w:rPr>
          <w:rFonts w:ascii="Times New Roman" w:hAnsi="Times New Roman"/>
        </w:rPr>
        <w:t>je</w:t>
      </w:r>
      <w:r w:rsidR="00E53F8D" w:rsidRPr="00E53F8D">
        <w:rPr>
          <w:rFonts w:ascii="Times New Roman" w:hAnsi="Times New Roman"/>
        </w:rPr>
        <w:t xml:space="preserve"> k </w:t>
      </w:r>
      <w:r w:rsidRPr="00E53F8D">
        <w:rPr>
          <w:rFonts w:ascii="Times New Roman" w:hAnsi="Times New Roman"/>
        </w:rPr>
        <w:t xml:space="preserve">dispozícii na adrese </w:t>
      </w:r>
      <w:hyperlink r:id="rId1" w:tooltip="Úrad pre vydávanie publikácií Európskej únie" w:history="1">
        <w:r w:rsidRPr="00E53F8D">
          <w:rPr>
            <w:rStyle w:val="Hyperlink"/>
            <w:rFonts w:ascii="Times New Roman" w:hAnsi="Times New Roman"/>
          </w:rPr>
          <w:t>Úrad pre vydávanie publikácií Európskej únie (europa.eu)</w:t>
        </w:r>
      </w:hyperlink>
      <w:r w:rsidRPr="00E53F8D">
        <w:rPr>
          <w:rFonts w:ascii="Times New Roman" w:hAnsi="Times New Roman"/>
        </w:rPr>
        <w:t>.</w:t>
      </w:r>
    </w:p>
  </w:footnote>
  <w:footnote w:id="7">
    <w:p w14:paraId="4F0FD1A7" w14:textId="0B8624F1" w:rsidR="007B265B" w:rsidRPr="00691FFB" w:rsidRDefault="007B265B"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w:t>
      </w:r>
      <w:r w:rsidRPr="00E53F8D">
        <w:rPr>
          <w:rFonts w:ascii="Times New Roman" w:hAnsi="Times New Roman"/>
        </w:rPr>
        <w:tab/>
      </w:r>
      <w:r w:rsidRPr="00691FFB">
        <w:rPr>
          <w:rFonts w:ascii="Times New Roman" w:hAnsi="Times New Roman"/>
          <w:spacing w:val="-4"/>
        </w:rPr>
        <w:t>Projekt</w:t>
      </w:r>
      <w:r w:rsidR="00E53F8D" w:rsidRPr="00691FFB">
        <w:rPr>
          <w:rFonts w:ascii="Times New Roman" w:hAnsi="Times New Roman"/>
          <w:spacing w:val="-4"/>
        </w:rPr>
        <w:t xml:space="preserve"> s </w:t>
      </w:r>
      <w:r w:rsidRPr="00691FFB">
        <w:rPr>
          <w:rFonts w:ascii="Times New Roman" w:hAnsi="Times New Roman"/>
          <w:spacing w:val="-4"/>
        </w:rPr>
        <w:t xml:space="preserve">názvom </w:t>
      </w:r>
      <w:r w:rsidRPr="00691FFB">
        <w:rPr>
          <w:rFonts w:ascii="Times New Roman" w:hAnsi="Times New Roman"/>
          <w:i/>
          <w:spacing w:val="-4"/>
        </w:rPr>
        <w:t>Regulation Brussels Ia:</w:t>
      </w:r>
      <w:r w:rsidR="00E53F8D" w:rsidRPr="00691FFB">
        <w:rPr>
          <w:rFonts w:ascii="Times New Roman" w:hAnsi="Times New Roman"/>
          <w:spacing w:val="-4"/>
        </w:rPr>
        <w:t xml:space="preserve"> a </w:t>
      </w:r>
      <w:r w:rsidRPr="00691FFB">
        <w:rPr>
          <w:rFonts w:ascii="Times New Roman" w:hAnsi="Times New Roman"/>
          <w:i/>
          <w:spacing w:val="-4"/>
        </w:rPr>
        <w:t>standard for free circulation of judgments and mutual trust in the European Union</w:t>
      </w:r>
      <w:r w:rsidRPr="00691FFB">
        <w:rPr>
          <w:rFonts w:ascii="Times New Roman" w:hAnsi="Times New Roman"/>
          <w:spacing w:val="-4"/>
        </w:rPr>
        <w:t xml:space="preserve"> (nariadenie Brusel Ia: štandard pre voľný obeh rozsudkov</w:t>
      </w:r>
      <w:r w:rsidR="00E53F8D" w:rsidRPr="00691FFB">
        <w:rPr>
          <w:rFonts w:ascii="Times New Roman" w:hAnsi="Times New Roman"/>
          <w:spacing w:val="-4"/>
        </w:rPr>
        <w:t xml:space="preserve"> a </w:t>
      </w:r>
      <w:r w:rsidRPr="00691FFB">
        <w:rPr>
          <w:rFonts w:ascii="Times New Roman" w:hAnsi="Times New Roman"/>
          <w:spacing w:val="-4"/>
        </w:rPr>
        <w:t>vzájomnú dôveru</w:t>
      </w:r>
      <w:r w:rsidR="00E53F8D" w:rsidRPr="00691FFB">
        <w:rPr>
          <w:rFonts w:ascii="Times New Roman" w:hAnsi="Times New Roman"/>
          <w:spacing w:val="-4"/>
        </w:rPr>
        <w:t xml:space="preserve"> v </w:t>
      </w:r>
      <w:r w:rsidRPr="00691FFB">
        <w:rPr>
          <w:rFonts w:ascii="Times New Roman" w:hAnsi="Times New Roman"/>
          <w:spacing w:val="-4"/>
        </w:rPr>
        <w:t>Európskej únii) (ďalej len „JUDGTRUST“) financovaný</w:t>
      </w:r>
      <w:r w:rsidR="00E53F8D" w:rsidRPr="00691FFB">
        <w:rPr>
          <w:rFonts w:ascii="Times New Roman" w:hAnsi="Times New Roman"/>
          <w:spacing w:val="-4"/>
        </w:rPr>
        <w:t xml:space="preserve"> z </w:t>
      </w:r>
      <w:r w:rsidRPr="00691FFB">
        <w:rPr>
          <w:rFonts w:ascii="Times New Roman" w:hAnsi="Times New Roman"/>
          <w:spacing w:val="-4"/>
        </w:rPr>
        <w:t>programu Európskej komisie Spravodlivosť (JUST-AG-2017/JUST-JCOO-AG-2017)</w:t>
      </w:r>
      <w:r w:rsidRPr="00691FFB">
        <w:rPr>
          <w:rFonts w:ascii="Times New Roman" w:hAnsi="Times New Roman"/>
          <w:spacing w:val="-4"/>
          <w:shd w:val="clear" w:color="auto" w:fill="FEFEFD"/>
        </w:rPr>
        <w:t>. Asser Instituut</w:t>
      </w:r>
      <w:r w:rsidR="00E53F8D" w:rsidRPr="00691FFB">
        <w:rPr>
          <w:rFonts w:ascii="Times New Roman" w:hAnsi="Times New Roman"/>
          <w:spacing w:val="-4"/>
          <w:shd w:val="clear" w:color="auto" w:fill="FEFEFD"/>
        </w:rPr>
        <w:t xml:space="preserve"> v </w:t>
      </w:r>
      <w:r w:rsidRPr="00691FFB">
        <w:rPr>
          <w:rFonts w:ascii="Times New Roman" w:hAnsi="Times New Roman"/>
          <w:spacing w:val="-4"/>
          <w:shd w:val="clear" w:color="auto" w:fill="FEFEFD"/>
        </w:rPr>
        <w:t>spolupráci</w:t>
      </w:r>
      <w:r w:rsidR="00E53F8D" w:rsidRPr="00691FFB">
        <w:rPr>
          <w:rFonts w:ascii="Times New Roman" w:hAnsi="Times New Roman"/>
          <w:spacing w:val="-4"/>
          <w:shd w:val="clear" w:color="auto" w:fill="FEFEFD"/>
        </w:rPr>
        <w:t xml:space="preserve"> s </w:t>
      </w:r>
      <w:r w:rsidRPr="00691FFB">
        <w:rPr>
          <w:rFonts w:ascii="Times New Roman" w:hAnsi="Times New Roman"/>
          <w:spacing w:val="-4"/>
          <w:shd w:val="clear" w:color="auto" w:fill="FEFEFD"/>
        </w:rPr>
        <w:t>Universität Hamburg, Univerzitou</w:t>
      </w:r>
      <w:r w:rsidR="00E53F8D" w:rsidRPr="00691FFB">
        <w:rPr>
          <w:rFonts w:ascii="Times New Roman" w:hAnsi="Times New Roman"/>
          <w:spacing w:val="-4"/>
          <w:shd w:val="clear" w:color="auto" w:fill="FEFEFD"/>
        </w:rPr>
        <w:t xml:space="preserve"> v </w:t>
      </w:r>
      <w:r w:rsidRPr="00691FFB">
        <w:rPr>
          <w:rFonts w:ascii="Times New Roman" w:hAnsi="Times New Roman"/>
          <w:spacing w:val="-4"/>
          <w:shd w:val="clear" w:color="auto" w:fill="FEFEFD"/>
        </w:rPr>
        <w:t>Antverpách</w:t>
      </w:r>
      <w:r w:rsidR="00E53F8D" w:rsidRPr="00691FFB">
        <w:rPr>
          <w:rFonts w:ascii="Times New Roman" w:hAnsi="Times New Roman"/>
          <w:spacing w:val="-4"/>
          <w:shd w:val="clear" w:color="auto" w:fill="FEFEFD"/>
        </w:rPr>
        <w:t xml:space="preserve"> a </w:t>
      </w:r>
      <w:r w:rsidRPr="00691FFB">
        <w:rPr>
          <w:rFonts w:ascii="Times New Roman" w:hAnsi="Times New Roman"/>
          <w:spacing w:val="-4"/>
          <w:shd w:val="clear" w:color="auto" w:fill="FEFEFD"/>
        </w:rPr>
        <w:t>Internationaal Juridisch Instituut. Hlavné zistenia projektu sú</w:t>
      </w:r>
      <w:r w:rsidR="00E53F8D" w:rsidRPr="00691FFB">
        <w:rPr>
          <w:rFonts w:ascii="Times New Roman" w:hAnsi="Times New Roman"/>
          <w:spacing w:val="-4"/>
          <w:shd w:val="clear" w:color="auto" w:fill="FEFEFD"/>
        </w:rPr>
        <w:t xml:space="preserve"> k </w:t>
      </w:r>
      <w:r w:rsidRPr="00691FFB">
        <w:rPr>
          <w:rFonts w:ascii="Times New Roman" w:hAnsi="Times New Roman"/>
          <w:spacing w:val="-4"/>
          <w:shd w:val="clear" w:color="auto" w:fill="FEFEFD"/>
        </w:rPr>
        <w:t xml:space="preserve">dispozícii na adrese: </w:t>
      </w:r>
      <w:hyperlink r:id="rId2" w:history="1">
        <w:r w:rsidRPr="00691FFB">
          <w:rPr>
            <w:rStyle w:val="Hyperlink"/>
            <w:rFonts w:ascii="Times New Roman" w:hAnsi="Times New Roman"/>
            <w:spacing w:val="-4"/>
          </w:rPr>
          <w:t>Asser.nl</w:t>
        </w:r>
      </w:hyperlink>
      <w:r w:rsidR="00E53F8D" w:rsidRPr="00691FFB">
        <w:rPr>
          <w:rFonts w:ascii="Times New Roman" w:hAnsi="Times New Roman"/>
          <w:spacing w:val="-4"/>
        </w:rPr>
        <w:t>.</w:t>
      </w:r>
    </w:p>
  </w:footnote>
  <w:footnote w:id="8">
    <w:p w14:paraId="476A3C69" w14:textId="1FB495F9" w:rsidR="00C53407" w:rsidRPr="00E53F8D" w:rsidRDefault="00C5340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S výnimkou tohto bodu, ktorý sa analyzuje ďalej</w:t>
      </w:r>
      <w:r w:rsidR="00E53F8D" w:rsidRPr="00E53F8D">
        <w:rPr>
          <w:rFonts w:ascii="Times New Roman" w:hAnsi="Times New Roman"/>
        </w:rPr>
        <w:t xml:space="preserve"> v </w:t>
      </w:r>
      <w:r w:rsidRPr="00E53F8D">
        <w:rPr>
          <w:rFonts w:ascii="Times New Roman" w:hAnsi="Times New Roman"/>
        </w:rPr>
        <w:t>texte, sa ostatnými troma otázkami podrobnejšie zaoberá časť I pracovného dokumentu útvarov Komisie, ktorý je priložený</w:t>
      </w:r>
      <w:r w:rsidR="00E53F8D" w:rsidRPr="00E53F8D">
        <w:rPr>
          <w:rFonts w:ascii="Times New Roman" w:hAnsi="Times New Roman"/>
        </w:rPr>
        <w:t xml:space="preserve"> k </w:t>
      </w:r>
      <w:r w:rsidRPr="00E53F8D">
        <w:rPr>
          <w:rFonts w:ascii="Times New Roman" w:hAnsi="Times New Roman"/>
        </w:rPr>
        <w:t>tejto správe</w:t>
      </w:r>
      <w:r w:rsidR="00E53F8D" w:rsidRPr="00E53F8D">
        <w:rPr>
          <w:rFonts w:ascii="Times New Roman" w:hAnsi="Times New Roman"/>
        </w:rPr>
        <w:t>.</w:t>
      </w:r>
    </w:p>
  </w:footnote>
  <w:footnote w:id="9">
    <w:p w14:paraId="6CF7FD1A" w14:textId="7C803EEC" w:rsidR="00AD29D3" w:rsidRPr="00E53F8D" w:rsidRDefault="00AD29D3"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Dohovor</w:t>
      </w:r>
      <w:r w:rsidR="00E53F8D" w:rsidRPr="00E53F8D">
        <w:rPr>
          <w:rFonts w:ascii="Times New Roman" w:hAnsi="Times New Roman"/>
        </w:rPr>
        <w:t xml:space="preserve"> o </w:t>
      </w:r>
      <w:r w:rsidRPr="00E53F8D">
        <w:rPr>
          <w:rFonts w:ascii="Times New Roman" w:hAnsi="Times New Roman"/>
        </w:rPr>
        <w:t>uznaní</w:t>
      </w:r>
      <w:r w:rsidR="00E53F8D" w:rsidRPr="00E53F8D">
        <w:rPr>
          <w:rFonts w:ascii="Times New Roman" w:hAnsi="Times New Roman"/>
        </w:rPr>
        <w:t xml:space="preserve"> a </w:t>
      </w:r>
      <w:r w:rsidRPr="00E53F8D">
        <w:rPr>
          <w:rFonts w:ascii="Times New Roman" w:hAnsi="Times New Roman"/>
        </w:rPr>
        <w:t>výkone cudzích rozhodcovských rozhodnutí prijatý 10</w:t>
      </w:r>
      <w:r w:rsidR="00E53F8D" w:rsidRPr="00E53F8D">
        <w:rPr>
          <w:rFonts w:ascii="Times New Roman" w:hAnsi="Times New Roman"/>
        </w:rPr>
        <w:t>. júna</w:t>
      </w:r>
      <w:r w:rsidRPr="00E53F8D">
        <w:rPr>
          <w:rFonts w:ascii="Times New Roman" w:hAnsi="Times New Roman"/>
        </w:rPr>
        <w:t xml:space="preserve"> 1958, ktorý nadobudol platnosť 7</w:t>
      </w:r>
      <w:r w:rsidR="00E53F8D" w:rsidRPr="00E53F8D">
        <w:rPr>
          <w:rFonts w:ascii="Times New Roman" w:hAnsi="Times New Roman"/>
        </w:rPr>
        <w:t>. júna</w:t>
      </w:r>
      <w:r w:rsidRPr="00E53F8D">
        <w:rPr>
          <w:rFonts w:ascii="Times New Roman" w:hAnsi="Times New Roman"/>
        </w:rPr>
        <w:t xml:space="preserve"> 1959, 330 UNTS 38.</w:t>
      </w:r>
    </w:p>
  </w:footnote>
  <w:footnote w:id="10">
    <w:p w14:paraId="658647B5" w14:textId="2B7F6CF5" w:rsidR="00A23C3F" w:rsidRPr="00E53F8D" w:rsidRDefault="00A23C3F"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Pozri článok 6 nariadenia.</w:t>
      </w:r>
    </w:p>
  </w:footnote>
  <w:footnote w:id="11">
    <w:p w14:paraId="6C1ED664" w14:textId="7A155486" w:rsidR="005360B4" w:rsidRPr="00E53F8D" w:rsidRDefault="005360B4"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Pozri návrh nariadenia Európskeho parlamentu</w:t>
      </w:r>
      <w:r w:rsidR="00E53F8D" w:rsidRPr="00E53F8D">
        <w:rPr>
          <w:rFonts w:ascii="Times New Roman" w:hAnsi="Times New Roman"/>
        </w:rPr>
        <w:t xml:space="preserve"> a </w:t>
      </w:r>
      <w:r w:rsidRPr="00E53F8D">
        <w:rPr>
          <w:rFonts w:ascii="Times New Roman" w:hAnsi="Times New Roman"/>
        </w:rPr>
        <w:t>Rady</w:t>
      </w:r>
      <w:r w:rsidR="00E53F8D" w:rsidRPr="00E53F8D">
        <w:rPr>
          <w:rFonts w:ascii="Times New Roman" w:hAnsi="Times New Roman"/>
        </w:rPr>
        <w:t xml:space="preserve"> o </w:t>
      </w:r>
      <w:r w:rsidRPr="00E53F8D">
        <w:rPr>
          <w:rFonts w:ascii="Times New Roman" w:hAnsi="Times New Roman"/>
        </w:rPr>
        <w:t>právomoci</w:t>
      </w:r>
      <w:r w:rsidR="00E53F8D" w:rsidRPr="00E53F8D">
        <w:rPr>
          <w:rFonts w:ascii="Times New Roman" w:hAnsi="Times New Roman"/>
        </w:rPr>
        <w:t xml:space="preserve"> a o </w:t>
      </w:r>
      <w:r w:rsidRPr="00E53F8D">
        <w:rPr>
          <w:rFonts w:ascii="Times New Roman" w:hAnsi="Times New Roman"/>
        </w:rPr>
        <w:t>uznávaní</w:t>
      </w:r>
      <w:r w:rsidR="00E53F8D" w:rsidRPr="00E53F8D">
        <w:rPr>
          <w:rFonts w:ascii="Times New Roman" w:hAnsi="Times New Roman"/>
        </w:rPr>
        <w:t xml:space="preserve"> a </w:t>
      </w:r>
      <w:r w:rsidRPr="00E53F8D">
        <w:rPr>
          <w:rFonts w:ascii="Times New Roman" w:hAnsi="Times New Roman"/>
        </w:rPr>
        <w:t>výkone rozsudkov</w:t>
      </w:r>
      <w:r w:rsidR="00E53F8D" w:rsidRPr="00E53F8D">
        <w:rPr>
          <w:rFonts w:ascii="Times New Roman" w:hAnsi="Times New Roman"/>
        </w:rPr>
        <w:t xml:space="preserve"> v </w:t>
      </w:r>
      <w:r w:rsidRPr="00E53F8D">
        <w:rPr>
          <w:rFonts w:ascii="Times New Roman" w:hAnsi="Times New Roman"/>
        </w:rPr>
        <w:t>občianskych</w:t>
      </w:r>
      <w:r w:rsidR="00E53F8D" w:rsidRPr="00E53F8D">
        <w:rPr>
          <w:rFonts w:ascii="Times New Roman" w:hAnsi="Times New Roman"/>
        </w:rPr>
        <w:t xml:space="preserve"> a </w:t>
      </w:r>
      <w:r w:rsidRPr="00E53F8D">
        <w:rPr>
          <w:rFonts w:ascii="Times New Roman" w:hAnsi="Times New Roman"/>
        </w:rPr>
        <w:t>obchodných veciach, 14. 12. 2010, KOM(2010) 748 final</w:t>
      </w:r>
      <w:r w:rsidR="00E53F8D" w:rsidRPr="00E53F8D">
        <w:rPr>
          <w:rFonts w:ascii="Times New Roman" w:hAnsi="Times New Roman"/>
        </w:rPr>
        <w:t>.</w:t>
      </w:r>
    </w:p>
  </w:footnote>
  <w:footnote w:id="12">
    <w:p w14:paraId="3DD30985" w14:textId="5825ABB4" w:rsidR="009F4183" w:rsidRPr="00E53F8D" w:rsidRDefault="009F4183"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Ako to potvrdzujú konzultačné činnosti uskutočnené</w:t>
      </w:r>
      <w:r w:rsidR="00E53F8D" w:rsidRPr="00E53F8D">
        <w:rPr>
          <w:rFonts w:ascii="Times New Roman" w:hAnsi="Times New Roman"/>
        </w:rPr>
        <w:t xml:space="preserve"> v </w:t>
      </w:r>
      <w:r w:rsidRPr="00E53F8D">
        <w:rPr>
          <w:rFonts w:ascii="Times New Roman" w:hAnsi="Times New Roman"/>
        </w:rPr>
        <w:t>rámci štúdie</w:t>
      </w:r>
      <w:r w:rsidR="00E53F8D" w:rsidRPr="00E53F8D">
        <w:rPr>
          <w:rFonts w:ascii="Times New Roman" w:hAnsi="Times New Roman"/>
        </w:rPr>
        <w:t>.</w:t>
      </w:r>
    </w:p>
  </w:footnote>
  <w:footnote w:id="13">
    <w:p w14:paraId="0CE46ADF" w14:textId="46BFE81B" w:rsidR="00295C62" w:rsidRPr="00691FFB" w:rsidRDefault="00295C62"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4"/>
        </w:rPr>
        <w:t>To by mohlo byť relevantné napríklad</w:t>
      </w:r>
      <w:r w:rsidR="00E53F8D" w:rsidRPr="00691FFB">
        <w:rPr>
          <w:rFonts w:ascii="Times New Roman" w:hAnsi="Times New Roman"/>
          <w:spacing w:val="-4"/>
        </w:rPr>
        <w:t xml:space="preserve"> v </w:t>
      </w:r>
      <w:r w:rsidRPr="00691FFB">
        <w:rPr>
          <w:rFonts w:ascii="Times New Roman" w:hAnsi="Times New Roman"/>
          <w:spacing w:val="-4"/>
        </w:rPr>
        <w:t>súvislosti</w:t>
      </w:r>
      <w:r w:rsidR="00E53F8D" w:rsidRPr="00691FFB">
        <w:rPr>
          <w:rFonts w:ascii="Times New Roman" w:hAnsi="Times New Roman"/>
          <w:spacing w:val="-4"/>
        </w:rPr>
        <w:t xml:space="preserve"> s </w:t>
      </w:r>
      <w:r w:rsidRPr="00691FFB">
        <w:rPr>
          <w:rFonts w:ascii="Times New Roman" w:hAnsi="Times New Roman"/>
          <w:spacing w:val="-4"/>
        </w:rPr>
        <w:t>influencermi</w:t>
      </w:r>
      <w:r w:rsidR="00E53F8D" w:rsidRPr="00691FFB">
        <w:rPr>
          <w:rFonts w:ascii="Times New Roman" w:hAnsi="Times New Roman"/>
          <w:spacing w:val="-4"/>
        </w:rPr>
        <w:t xml:space="preserve"> s </w:t>
      </w:r>
      <w:r w:rsidRPr="00691FFB">
        <w:rPr>
          <w:rFonts w:ascii="Times New Roman" w:hAnsi="Times New Roman"/>
          <w:spacing w:val="-4"/>
        </w:rPr>
        <w:t>bydliskom mimo EÚ, ktorí sa podieľajú na marketingu výrobkov vo vzťahu ku kupujúcim</w:t>
      </w:r>
      <w:r w:rsidR="00E53F8D" w:rsidRPr="00691FFB">
        <w:rPr>
          <w:rFonts w:ascii="Times New Roman" w:hAnsi="Times New Roman"/>
          <w:spacing w:val="-4"/>
        </w:rPr>
        <w:t xml:space="preserve"> z </w:t>
      </w:r>
      <w:r w:rsidRPr="00691FFB">
        <w:rPr>
          <w:rFonts w:ascii="Times New Roman" w:hAnsi="Times New Roman"/>
          <w:spacing w:val="-4"/>
        </w:rPr>
        <w:t>EÚ bez toho, aby boli predávajúcimi týchto výrobkov</w:t>
      </w:r>
      <w:r w:rsidR="00E53F8D" w:rsidRPr="00691FFB">
        <w:rPr>
          <w:rFonts w:ascii="Times New Roman" w:hAnsi="Times New Roman"/>
          <w:spacing w:val="-4"/>
        </w:rPr>
        <w:t>.</w:t>
      </w:r>
    </w:p>
  </w:footnote>
  <w:footnote w:id="14">
    <w:p w14:paraId="24A5A021" w14:textId="49186E67" w:rsidR="001D20E5" w:rsidRPr="00E53F8D" w:rsidRDefault="001D20E5"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Bez ohľadu na bydlisko obete</w:t>
      </w:r>
      <w:r w:rsidR="00E53F8D" w:rsidRPr="00E53F8D">
        <w:rPr>
          <w:rFonts w:ascii="Times New Roman" w:hAnsi="Times New Roman"/>
        </w:rPr>
        <w:t xml:space="preserve"> v </w:t>
      </w:r>
      <w:r w:rsidRPr="00E53F8D">
        <w:rPr>
          <w:rFonts w:ascii="Times New Roman" w:hAnsi="Times New Roman"/>
        </w:rPr>
        <w:t>EÚ alebo mimo nej.</w:t>
      </w:r>
    </w:p>
  </w:footnote>
  <w:footnote w:id="15">
    <w:p w14:paraId="3B0D6A1C" w14:textId="36E74A98" w:rsidR="00FB3DC6" w:rsidRPr="00691FFB" w:rsidRDefault="00FB3DC6"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4"/>
        </w:rPr>
        <w:t>Za zmienku však stojí, že</w:t>
      </w:r>
      <w:r w:rsidR="00E53F8D" w:rsidRPr="00691FFB">
        <w:rPr>
          <w:rFonts w:ascii="Times New Roman" w:hAnsi="Times New Roman"/>
          <w:spacing w:val="-4"/>
        </w:rPr>
        <w:t xml:space="preserve"> z </w:t>
      </w:r>
      <w:r w:rsidRPr="00691FFB">
        <w:rPr>
          <w:rFonts w:ascii="Times New Roman" w:hAnsi="Times New Roman"/>
          <w:spacing w:val="-4"/>
        </w:rPr>
        <w:t>nedávnych vecí predložených Súdnemu dvoru Európskej únie vyplýva, že článok 8 ods. 1 sa</w:t>
      </w:r>
      <w:r w:rsidR="00E53F8D" w:rsidRPr="00691FFB">
        <w:rPr>
          <w:rFonts w:ascii="Times New Roman" w:hAnsi="Times New Roman"/>
          <w:spacing w:val="-4"/>
        </w:rPr>
        <w:t xml:space="preserve"> v </w:t>
      </w:r>
      <w:r w:rsidRPr="00691FFB">
        <w:rPr>
          <w:rFonts w:ascii="Times New Roman" w:hAnsi="Times New Roman"/>
          <w:spacing w:val="-4"/>
        </w:rPr>
        <w:t>kartelových prípadoch využíva čoraz častejšie. Podrobná analýza uplatňovania článku 8 ods. 1 sa uvádza</w:t>
      </w:r>
      <w:r w:rsidR="00E53F8D" w:rsidRPr="00691FFB">
        <w:rPr>
          <w:rFonts w:ascii="Times New Roman" w:hAnsi="Times New Roman"/>
          <w:spacing w:val="-4"/>
        </w:rPr>
        <w:t xml:space="preserve"> v </w:t>
      </w:r>
      <w:r w:rsidRPr="00691FFB">
        <w:rPr>
          <w:rFonts w:ascii="Times New Roman" w:hAnsi="Times New Roman"/>
          <w:spacing w:val="-4"/>
        </w:rPr>
        <w:t>časti I pracovného dokumentu útvarov Komisie, ktorý je pripojený</w:t>
      </w:r>
      <w:r w:rsidR="00E53F8D" w:rsidRPr="00691FFB">
        <w:rPr>
          <w:rFonts w:ascii="Times New Roman" w:hAnsi="Times New Roman"/>
          <w:spacing w:val="-4"/>
        </w:rPr>
        <w:t xml:space="preserve"> k </w:t>
      </w:r>
      <w:r w:rsidRPr="00691FFB">
        <w:rPr>
          <w:rFonts w:ascii="Times New Roman" w:hAnsi="Times New Roman"/>
          <w:spacing w:val="-4"/>
        </w:rPr>
        <w:t>tejto správe</w:t>
      </w:r>
      <w:r w:rsidR="00E53F8D" w:rsidRPr="00691FFB">
        <w:rPr>
          <w:rFonts w:ascii="Times New Roman" w:hAnsi="Times New Roman"/>
          <w:spacing w:val="-4"/>
        </w:rPr>
        <w:t>.</w:t>
      </w:r>
    </w:p>
  </w:footnote>
  <w:footnote w:id="16">
    <w:p w14:paraId="3C4E5571" w14:textId="35430D06" w:rsidR="00DB1A42" w:rsidRPr="00E53F8D" w:rsidRDefault="00DB1A42"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Táto správa sa preto nezaoberá uplatňovaním článku 9.</w:t>
      </w:r>
    </w:p>
  </w:footnote>
  <w:footnote w:id="17">
    <w:p w14:paraId="6E2A5E6D" w14:textId="4CC0817A" w:rsidR="00567B59" w:rsidRPr="00E53F8D" w:rsidRDefault="00567B59"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S výnimkou akademických diskusií týkajúcich sa článku 7 ods. 4</w:t>
      </w:r>
      <w:r w:rsidR="00E53F8D" w:rsidRPr="00E53F8D">
        <w:rPr>
          <w:rFonts w:ascii="Times New Roman" w:hAnsi="Times New Roman"/>
        </w:rPr>
        <w:t xml:space="preserve"> a </w:t>
      </w:r>
      <w:r w:rsidRPr="00E53F8D">
        <w:rPr>
          <w:rFonts w:ascii="Times New Roman" w:hAnsi="Times New Roman"/>
        </w:rPr>
        <w:t>5</w:t>
      </w:r>
      <w:r w:rsidR="00E53F8D" w:rsidRPr="00E53F8D">
        <w:rPr>
          <w:rFonts w:ascii="Times New Roman" w:hAnsi="Times New Roman"/>
        </w:rPr>
        <w:t xml:space="preserve"> v </w:t>
      </w:r>
      <w:r w:rsidRPr="00E53F8D">
        <w:rPr>
          <w:rFonts w:ascii="Times New Roman" w:hAnsi="Times New Roman"/>
        </w:rPr>
        <w:t>niekoľkých členských štátoch.</w:t>
      </w:r>
    </w:p>
  </w:footnote>
  <w:footnote w:id="18">
    <w:p w14:paraId="192FF9D1" w14:textId="0500937B" w:rsidR="004000C5" w:rsidRPr="00E53F8D" w:rsidRDefault="004000C5"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ab/>
        <w:t>Napríklad, ak cestujúci žiada od prevádzkujúceho leteckého dopravcu náhradu škody za meškanie letu napriek tomu, že zmluva bola uzavretá</w:t>
      </w:r>
      <w:r w:rsidR="00E53F8D" w:rsidRPr="00E53F8D">
        <w:rPr>
          <w:rFonts w:ascii="Times New Roman" w:hAnsi="Times New Roman"/>
        </w:rPr>
        <w:t xml:space="preserve"> s </w:t>
      </w:r>
      <w:r w:rsidRPr="00E53F8D">
        <w:rPr>
          <w:rFonts w:ascii="Times New Roman" w:hAnsi="Times New Roman"/>
        </w:rPr>
        <w:t>iným dopravcom</w:t>
      </w:r>
      <w:r w:rsidR="00E53F8D" w:rsidRPr="00E53F8D">
        <w:rPr>
          <w:rFonts w:ascii="Times New Roman" w:hAnsi="Times New Roman"/>
        </w:rPr>
        <w:t>.</w:t>
      </w:r>
    </w:p>
  </w:footnote>
  <w:footnote w:id="19">
    <w:p w14:paraId="36178BE8" w14:textId="1A181086" w:rsidR="00922E33" w:rsidRPr="00E53F8D" w:rsidRDefault="00922E33"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Pozri</w:t>
      </w:r>
      <w:r w:rsidR="00E53F8D" w:rsidRPr="00E53F8D">
        <w:rPr>
          <w:rFonts w:ascii="Times New Roman" w:hAnsi="Times New Roman"/>
        </w:rPr>
        <w:t xml:space="preserve"> v </w:t>
      </w:r>
      <w:r w:rsidRPr="00E53F8D">
        <w:rPr>
          <w:rFonts w:ascii="Times New Roman" w:hAnsi="Times New Roman"/>
        </w:rPr>
        <w:t>tomto zmysle rozsudky</w:t>
      </w:r>
      <w:r w:rsidR="00E53F8D" w:rsidRPr="00E53F8D">
        <w:rPr>
          <w:rFonts w:ascii="Times New Roman" w:hAnsi="Times New Roman"/>
        </w:rPr>
        <w:t xml:space="preserve"> z </w:t>
      </w:r>
      <w:r w:rsidRPr="00E53F8D">
        <w:rPr>
          <w:rFonts w:ascii="Times New Roman" w:hAnsi="Times New Roman"/>
        </w:rPr>
        <w:t>3</w:t>
      </w:r>
      <w:r w:rsidR="00E53F8D" w:rsidRPr="00E53F8D">
        <w:rPr>
          <w:rFonts w:ascii="Times New Roman" w:hAnsi="Times New Roman"/>
        </w:rPr>
        <w:t>. mája</w:t>
      </w:r>
      <w:r w:rsidRPr="00E53F8D">
        <w:rPr>
          <w:rFonts w:ascii="Times New Roman" w:hAnsi="Times New Roman"/>
        </w:rPr>
        <w:t xml:space="preserve"> 2007, Color Drack, C-386/05, ECLI:EU:C:2007:262,</w:t>
      </w:r>
      <w:r w:rsidR="00E53F8D" w:rsidRPr="00E53F8D">
        <w:rPr>
          <w:rFonts w:ascii="Times New Roman" w:hAnsi="Times New Roman"/>
        </w:rPr>
        <w:t xml:space="preserve"> z </w:t>
      </w:r>
      <w:r w:rsidRPr="00E53F8D">
        <w:rPr>
          <w:rFonts w:ascii="Times New Roman" w:hAnsi="Times New Roman"/>
        </w:rPr>
        <w:t>9</w:t>
      </w:r>
      <w:r w:rsidR="00E53F8D" w:rsidRPr="00E53F8D">
        <w:rPr>
          <w:rFonts w:ascii="Times New Roman" w:hAnsi="Times New Roman"/>
        </w:rPr>
        <w:t>. júla</w:t>
      </w:r>
      <w:r w:rsidRPr="00E53F8D">
        <w:rPr>
          <w:rFonts w:ascii="Times New Roman" w:hAnsi="Times New Roman"/>
        </w:rPr>
        <w:t xml:space="preserve"> 2009, Rehder, C-204/98, </w:t>
      </w:r>
      <w:r w:rsidRPr="00E53F8D">
        <w:rPr>
          <w:rFonts w:ascii="Times New Roman" w:hAnsi="Times New Roman"/>
          <w:shd w:val="clear" w:color="auto" w:fill="FFFFFF"/>
        </w:rPr>
        <w:t>ECLI:EU:C:2009:439</w:t>
      </w:r>
      <w:r w:rsidR="00E53F8D" w:rsidRPr="00E53F8D">
        <w:rPr>
          <w:rFonts w:ascii="Times New Roman" w:hAnsi="Times New Roman"/>
          <w:shd w:val="clear" w:color="auto" w:fill="FFFFFF"/>
        </w:rPr>
        <w:t xml:space="preserve"> a </w:t>
      </w:r>
      <w:r w:rsidR="00E53F8D" w:rsidRPr="00E53F8D">
        <w:rPr>
          <w:rFonts w:ascii="Times New Roman" w:hAnsi="Times New Roman"/>
        </w:rPr>
        <w:t>z </w:t>
      </w:r>
      <w:r w:rsidRPr="00E53F8D">
        <w:rPr>
          <w:rFonts w:ascii="Times New Roman" w:hAnsi="Times New Roman"/>
        </w:rPr>
        <w:t>11</w:t>
      </w:r>
      <w:r w:rsidR="00E53F8D" w:rsidRPr="00E53F8D">
        <w:rPr>
          <w:rFonts w:ascii="Times New Roman" w:hAnsi="Times New Roman"/>
        </w:rPr>
        <w:t>. marca</w:t>
      </w:r>
      <w:r w:rsidRPr="00E53F8D">
        <w:rPr>
          <w:rFonts w:ascii="Times New Roman" w:hAnsi="Times New Roman"/>
        </w:rPr>
        <w:t xml:space="preserve"> 2010, Wood Floor Solutions Andreas Domberger GmbH/Silva Trade SA, C-19/09, ECLI:EU:C:2010:137.</w:t>
      </w:r>
    </w:p>
  </w:footnote>
  <w:footnote w:id="20">
    <w:p w14:paraId="2E4DEBEE" w14:textId="29FB6E28" w:rsidR="001D22C7" w:rsidRPr="00E53F8D" w:rsidRDefault="001D22C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Na podobné problémy pri uplatňovaní článku 7 ods. 2 vo veciach, keď škoda vzniká na viacerých miestach, poukázal aj holandský súd</w:t>
      </w:r>
      <w:r w:rsidR="00E53F8D" w:rsidRPr="00E53F8D">
        <w:rPr>
          <w:rFonts w:ascii="Times New Roman" w:hAnsi="Times New Roman"/>
        </w:rPr>
        <w:t xml:space="preserve"> v </w:t>
      </w:r>
      <w:r w:rsidRPr="00E53F8D">
        <w:rPr>
          <w:rFonts w:ascii="Times New Roman" w:hAnsi="Times New Roman"/>
        </w:rPr>
        <w:t>prípade nedávno predloženej veci (vec Apple, C-34/24)</w:t>
      </w:r>
      <w:r w:rsidR="00E53F8D" w:rsidRPr="00E53F8D">
        <w:rPr>
          <w:rFonts w:ascii="Times New Roman" w:hAnsi="Times New Roman"/>
        </w:rPr>
        <w:t>.</w:t>
      </w:r>
    </w:p>
  </w:footnote>
  <w:footnote w:id="21">
    <w:p w14:paraId="2DA1A705" w14:textId="01F1F74F" w:rsidR="00B33C17" w:rsidRPr="00E53F8D" w:rsidRDefault="00B33C1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Zo štúdie vyplýva, že niektorí vedeckí odborníci</w:t>
      </w:r>
      <w:r w:rsidR="00E53F8D" w:rsidRPr="00E53F8D">
        <w:rPr>
          <w:rFonts w:ascii="Times New Roman" w:hAnsi="Times New Roman"/>
        </w:rPr>
        <w:t xml:space="preserve"> v </w:t>
      </w:r>
      <w:r w:rsidRPr="00E53F8D">
        <w:rPr>
          <w:rFonts w:ascii="Times New Roman" w:hAnsi="Times New Roman"/>
        </w:rPr>
        <w:t>takýchto prípadoch (a všeobecnejšie vo všetkých prípadoch, keď je ťažké určiť miesto plnenia) navrhujú, aby žalobcovia nemali možnosť uplatniť článok 7 ods. 1. Alternatívne navrhujú, aby sa kritérium uvedené</w:t>
      </w:r>
      <w:r w:rsidR="00E53F8D" w:rsidRPr="00E53F8D">
        <w:rPr>
          <w:rFonts w:ascii="Times New Roman" w:hAnsi="Times New Roman"/>
        </w:rPr>
        <w:t xml:space="preserve"> v </w:t>
      </w:r>
      <w:r w:rsidRPr="00E53F8D">
        <w:rPr>
          <w:rFonts w:ascii="Times New Roman" w:hAnsi="Times New Roman"/>
        </w:rPr>
        <w:t>článku 7 ods. 1 nahradilo bydliskom žiadateľa podliehajúc rôznym podmienkam</w:t>
      </w:r>
      <w:r w:rsidR="00E53F8D" w:rsidRPr="00E53F8D">
        <w:rPr>
          <w:rFonts w:ascii="Times New Roman" w:hAnsi="Times New Roman"/>
        </w:rPr>
        <w:t>.</w:t>
      </w:r>
    </w:p>
  </w:footnote>
  <w:footnote w:id="22">
    <w:p w14:paraId="45F9B79D" w14:textId="46DE0F1B" w:rsidR="00367193" w:rsidRPr="00691FFB" w:rsidRDefault="00367193"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00691FFB">
        <w:rPr>
          <w:rFonts w:ascii="Times New Roman" w:hAnsi="Times New Roman"/>
        </w:rPr>
        <w:tab/>
      </w:r>
      <w:r w:rsidRPr="00691FFB">
        <w:rPr>
          <w:rFonts w:ascii="Times New Roman" w:hAnsi="Times New Roman"/>
          <w:spacing w:val="-4"/>
        </w:rPr>
        <w:t>Niekoľko členských štátov uviedlo, že tento autonómny výklad považujú za zložitý, nekonzistentný</w:t>
      </w:r>
      <w:r w:rsidR="00E53F8D" w:rsidRPr="00691FFB">
        <w:rPr>
          <w:rFonts w:ascii="Times New Roman" w:hAnsi="Times New Roman"/>
          <w:spacing w:val="-4"/>
        </w:rPr>
        <w:t xml:space="preserve"> a </w:t>
      </w:r>
      <w:r w:rsidRPr="00691FFB">
        <w:rPr>
          <w:rFonts w:ascii="Times New Roman" w:hAnsi="Times New Roman"/>
          <w:spacing w:val="-4"/>
        </w:rPr>
        <w:t>za zdroj právnej neistoty. Napríklad vo veci Brogsitter (C-548/12) Súdny dvor Európskej únie rozhodol, že predmetný nárok</w:t>
      </w:r>
      <w:r w:rsidR="00E53F8D" w:rsidRPr="00691FFB">
        <w:rPr>
          <w:rFonts w:ascii="Times New Roman" w:hAnsi="Times New Roman"/>
          <w:spacing w:val="-4"/>
        </w:rPr>
        <w:t xml:space="preserve"> z </w:t>
      </w:r>
      <w:r w:rsidRPr="00691FFB">
        <w:rPr>
          <w:rFonts w:ascii="Times New Roman" w:hAnsi="Times New Roman"/>
          <w:spacing w:val="-4"/>
        </w:rPr>
        <w:t>občianskoprávnej zodpovednosti sa má považovať za „zmluvnú vec“ napriek tomu, že podľa vnútroštátneho práva sa kvalifikuje ako nárok</w:t>
      </w:r>
      <w:r w:rsidR="00E53F8D" w:rsidRPr="00691FFB">
        <w:rPr>
          <w:rFonts w:ascii="Times New Roman" w:hAnsi="Times New Roman"/>
          <w:spacing w:val="-4"/>
        </w:rPr>
        <w:t xml:space="preserve"> z </w:t>
      </w:r>
      <w:r w:rsidRPr="00691FFB">
        <w:rPr>
          <w:rFonts w:ascii="Times New Roman" w:hAnsi="Times New Roman"/>
          <w:spacing w:val="-4"/>
        </w:rPr>
        <w:t>mimozmluvnej zodpovednosti. Okrem toho podľa judikatúry Súdneho dvora Európskej únie jeden pojem</w:t>
      </w:r>
      <w:r w:rsidR="00E53F8D" w:rsidRPr="00691FFB">
        <w:rPr>
          <w:rFonts w:ascii="Times New Roman" w:hAnsi="Times New Roman"/>
          <w:spacing w:val="-4"/>
        </w:rPr>
        <w:t xml:space="preserve"> v </w:t>
      </w:r>
      <w:r w:rsidRPr="00691FFB">
        <w:rPr>
          <w:rFonts w:ascii="Times New Roman" w:hAnsi="Times New Roman"/>
          <w:spacing w:val="-4"/>
        </w:rPr>
        <w:t>rámci pôsobnosti nariadenia Rím II (predzmluvná zodpovednosť) patrí do pôsobnosti článku 7 ods. 2 nariadenia, zatiaľ čo iný (bezdôvodné obohatenie) nie.</w:t>
      </w:r>
    </w:p>
  </w:footnote>
  <w:footnote w:id="23">
    <w:p w14:paraId="33A63F79" w14:textId="629C8294" w:rsidR="008A3D49" w:rsidRPr="00691FFB" w:rsidRDefault="008A3D49" w:rsidP="00E53F8D">
      <w:pPr>
        <w:pStyle w:val="FootnoteText"/>
        <w:spacing w:after="0" w:line="240" w:lineRule="auto"/>
        <w:ind w:left="709" w:hanging="709"/>
        <w:jc w:val="both"/>
        <w:rPr>
          <w:rFonts w:ascii="Times New Roman" w:hAnsi="Times New Roman"/>
          <w:spacing w:val="-4"/>
        </w:rPr>
      </w:pPr>
      <w:r w:rsidRPr="00691FFB">
        <w:rPr>
          <w:rStyle w:val="FootnoteReference"/>
          <w:rFonts w:ascii="Times New Roman" w:hAnsi="Times New Roman"/>
          <w:spacing w:val="-4"/>
        </w:rPr>
        <w:footnoteRef/>
      </w:r>
      <w:r w:rsidRPr="00691FFB">
        <w:rPr>
          <w:rFonts w:ascii="Times New Roman" w:hAnsi="Times New Roman"/>
          <w:spacing w:val="-4"/>
        </w:rPr>
        <w:t xml:space="preserve"> </w:t>
      </w:r>
      <w:r w:rsidRPr="00691FFB">
        <w:rPr>
          <w:rFonts w:ascii="Times New Roman" w:hAnsi="Times New Roman"/>
          <w:spacing w:val="-4"/>
        </w:rPr>
        <w:tab/>
        <w:t>V bodoch 32</w:t>
      </w:r>
      <w:r w:rsidR="00E53F8D" w:rsidRPr="00691FFB">
        <w:rPr>
          <w:rFonts w:ascii="Times New Roman" w:hAnsi="Times New Roman"/>
          <w:spacing w:val="-4"/>
        </w:rPr>
        <w:t xml:space="preserve"> a </w:t>
      </w:r>
      <w:r w:rsidRPr="00691FFB">
        <w:rPr>
          <w:rFonts w:ascii="Times New Roman" w:hAnsi="Times New Roman"/>
          <w:spacing w:val="-4"/>
        </w:rPr>
        <w:t>33 tohto rozsudku Súdny dvor Európskej únie stanovil, že žaloba spadá do oblasti zmluvných vecí, ak sa výklad zmluvy medzi žalovaným</w:t>
      </w:r>
      <w:r w:rsidR="00E53F8D" w:rsidRPr="00691FFB">
        <w:rPr>
          <w:rFonts w:ascii="Times New Roman" w:hAnsi="Times New Roman"/>
          <w:spacing w:val="-4"/>
        </w:rPr>
        <w:t xml:space="preserve"> a </w:t>
      </w:r>
      <w:r w:rsidRPr="00691FFB">
        <w:rPr>
          <w:rFonts w:ascii="Times New Roman" w:hAnsi="Times New Roman"/>
          <w:spacing w:val="-4"/>
        </w:rPr>
        <w:t>žalobcom javí ako nevyhnutný na preukázanie, že je správanie</w:t>
      </w:r>
      <w:r w:rsidR="00E53F8D" w:rsidRPr="00691FFB">
        <w:rPr>
          <w:rFonts w:ascii="Times New Roman" w:hAnsi="Times New Roman"/>
          <w:spacing w:val="-4"/>
        </w:rPr>
        <w:t xml:space="preserve"> v </w:t>
      </w:r>
      <w:r w:rsidRPr="00691FFB">
        <w:rPr>
          <w:rFonts w:ascii="Times New Roman" w:hAnsi="Times New Roman"/>
          <w:spacing w:val="-4"/>
        </w:rPr>
        <w:t>súlade</w:t>
      </w:r>
      <w:r w:rsidR="00E53F8D" w:rsidRPr="00691FFB">
        <w:rPr>
          <w:rFonts w:ascii="Times New Roman" w:hAnsi="Times New Roman"/>
          <w:spacing w:val="-4"/>
        </w:rPr>
        <w:t xml:space="preserve"> s </w:t>
      </w:r>
      <w:r w:rsidRPr="00691FFB">
        <w:rPr>
          <w:rFonts w:ascii="Times New Roman" w:hAnsi="Times New Roman"/>
          <w:spacing w:val="-4"/>
        </w:rPr>
        <w:t>právom, alebo naopak na preukázanie protiprávneho charakteru vytýkaného správania žalovaného žalobcom. Je to tak najmä</w:t>
      </w:r>
      <w:r w:rsidR="00E53F8D" w:rsidRPr="00691FFB">
        <w:rPr>
          <w:rFonts w:ascii="Times New Roman" w:hAnsi="Times New Roman"/>
          <w:spacing w:val="-4"/>
        </w:rPr>
        <w:t xml:space="preserve"> v </w:t>
      </w:r>
      <w:r w:rsidRPr="00691FFB">
        <w:rPr>
          <w:rFonts w:ascii="Times New Roman" w:hAnsi="Times New Roman"/>
          <w:spacing w:val="-4"/>
        </w:rPr>
        <w:t>prípade žaloby, ktorej základ spočíva na ustanoveniach zmluvy alebo právnych predpisov, ktoré sú uplatniteľné na základe tejto zmluvy. Naopak, keď sa žalobca odvoláva na pravidlá týkajúce sa mimozmluvnej zodpovednosti, t. j. porušenie povinnosti uloženej zákonom,</w:t>
      </w:r>
      <w:r w:rsidR="00E53F8D" w:rsidRPr="00691FFB">
        <w:rPr>
          <w:rFonts w:ascii="Times New Roman" w:hAnsi="Times New Roman"/>
          <w:spacing w:val="-4"/>
        </w:rPr>
        <w:t xml:space="preserve"> a </w:t>
      </w:r>
      <w:r w:rsidRPr="00691FFB">
        <w:rPr>
          <w:rFonts w:ascii="Times New Roman" w:hAnsi="Times New Roman"/>
          <w:spacing w:val="-4"/>
        </w:rPr>
        <w:t>nezdá sa, že by bolo nevyhnutné preskúmať obsah zmluvy uzavretej so žalovaným na účely posúdenia, či charakter vytýkaného správania tohto žalovaného je</w:t>
      </w:r>
      <w:r w:rsidR="00E53F8D" w:rsidRPr="00691FFB">
        <w:rPr>
          <w:rFonts w:ascii="Times New Roman" w:hAnsi="Times New Roman"/>
          <w:spacing w:val="-4"/>
        </w:rPr>
        <w:t xml:space="preserve"> v </w:t>
      </w:r>
      <w:r w:rsidRPr="00691FFB">
        <w:rPr>
          <w:rFonts w:ascii="Times New Roman" w:hAnsi="Times New Roman"/>
          <w:spacing w:val="-4"/>
        </w:rPr>
        <w:t>súlade</w:t>
      </w:r>
      <w:r w:rsidR="00E53F8D" w:rsidRPr="00691FFB">
        <w:rPr>
          <w:rFonts w:ascii="Times New Roman" w:hAnsi="Times New Roman"/>
          <w:spacing w:val="-4"/>
        </w:rPr>
        <w:t xml:space="preserve"> s </w:t>
      </w:r>
      <w:r w:rsidRPr="00691FFB">
        <w:rPr>
          <w:rFonts w:ascii="Times New Roman" w:hAnsi="Times New Roman"/>
          <w:spacing w:val="-4"/>
        </w:rPr>
        <w:t>právom alebo má protiprávny charakter, pretože táto povinnosť platí pre žalovaného nezávisle od tejto zmluvy, dôvod žaloby spadá do oblasti nárokov</w:t>
      </w:r>
      <w:r w:rsidR="00E53F8D" w:rsidRPr="00691FFB">
        <w:rPr>
          <w:rFonts w:ascii="Times New Roman" w:hAnsi="Times New Roman"/>
          <w:spacing w:val="-4"/>
        </w:rPr>
        <w:t xml:space="preserve"> z </w:t>
      </w:r>
      <w:r w:rsidRPr="00691FFB">
        <w:rPr>
          <w:rFonts w:ascii="Times New Roman" w:hAnsi="Times New Roman"/>
          <w:spacing w:val="-4"/>
        </w:rPr>
        <w:t>mimozmluvnej zodpovednosti</w:t>
      </w:r>
      <w:r w:rsidR="00E53F8D" w:rsidRPr="00691FFB">
        <w:rPr>
          <w:rFonts w:ascii="Times New Roman" w:hAnsi="Times New Roman"/>
          <w:spacing w:val="-4"/>
        </w:rPr>
        <w:t xml:space="preserve"> v </w:t>
      </w:r>
      <w:r w:rsidRPr="00691FFB">
        <w:rPr>
          <w:rFonts w:ascii="Times New Roman" w:hAnsi="Times New Roman"/>
          <w:spacing w:val="-4"/>
        </w:rPr>
        <w:t>zmysle článku 7 bodu 2 nariadenia.</w:t>
      </w:r>
    </w:p>
  </w:footnote>
  <w:footnote w:id="24">
    <w:p w14:paraId="2968DDB9" w14:textId="00A9A1C1" w:rsidR="004A6AC2" w:rsidRPr="00E53F8D" w:rsidRDefault="004A6AC2"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Vo veciach Kolassa</w:t>
      </w:r>
      <w:r w:rsidR="00E53F8D" w:rsidRPr="00E53F8D">
        <w:rPr>
          <w:rFonts w:ascii="Times New Roman" w:hAnsi="Times New Roman"/>
        </w:rPr>
        <w:t xml:space="preserve"> a </w:t>
      </w:r>
      <w:r w:rsidRPr="00E53F8D">
        <w:rPr>
          <w:rFonts w:ascii="Times New Roman" w:hAnsi="Times New Roman"/>
        </w:rPr>
        <w:t xml:space="preserve">Universal Music účastník konania, ktorý utrpel </w:t>
      </w:r>
      <w:r w:rsidRPr="00E53F8D">
        <w:rPr>
          <w:rFonts w:ascii="Times New Roman" w:hAnsi="Times New Roman"/>
          <w:shd w:val="clear" w:color="auto" w:fill="FFFFFF"/>
        </w:rPr>
        <w:t>čisto finančnú stratu</w:t>
      </w:r>
      <w:r w:rsidR="00E53F8D" w:rsidRPr="00E53F8D">
        <w:rPr>
          <w:rFonts w:ascii="Times New Roman" w:hAnsi="Times New Roman"/>
          <w:shd w:val="clear" w:color="auto" w:fill="FFFFFF"/>
        </w:rPr>
        <w:t xml:space="preserve"> v </w:t>
      </w:r>
      <w:r w:rsidRPr="00E53F8D">
        <w:rPr>
          <w:rFonts w:ascii="Times New Roman" w:hAnsi="Times New Roman"/>
          <w:shd w:val="clear" w:color="auto" w:fill="FFFFFF"/>
        </w:rPr>
        <w:t>dôsledku nevýhodnej zmluvy, požadoval náhradu škody na mimozmluvnom základe od tretej strany, ktorá nebola zmluvnou stranou, ale ktorá bola zodpovedná za nevýhodnú zmluvu</w:t>
      </w:r>
      <w:r w:rsidR="00E53F8D" w:rsidRPr="00E53F8D">
        <w:rPr>
          <w:rFonts w:ascii="Times New Roman" w:hAnsi="Times New Roman"/>
          <w:shd w:val="clear" w:color="auto" w:fill="FFFFFF"/>
        </w:rPr>
        <w:t xml:space="preserve"> a </w:t>
      </w:r>
      <w:r w:rsidRPr="00E53F8D">
        <w:rPr>
          <w:rFonts w:ascii="Times New Roman" w:hAnsi="Times New Roman"/>
          <w:shd w:val="clear" w:color="auto" w:fill="FFFFFF"/>
        </w:rPr>
        <w:t>následnú škodu</w:t>
      </w:r>
      <w:r w:rsidRPr="00E53F8D">
        <w:rPr>
          <w:rFonts w:ascii="Times New Roman" w:hAnsi="Times New Roman"/>
        </w:rPr>
        <w:t xml:space="preserve">. </w:t>
      </w:r>
      <w:r w:rsidRPr="00E53F8D">
        <w:rPr>
          <w:rFonts w:ascii="Times New Roman" w:hAnsi="Times New Roman"/>
          <w:shd w:val="clear" w:color="auto" w:fill="FFFFFF"/>
        </w:rPr>
        <w:t>Súdny dvor Európskej únie vo veci Kolassa rozhodol, že súdy členského štátu,</w:t>
      </w:r>
      <w:r w:rsidR="00E53F8D" w:rsidRPr="00E53F8D">
        <w:rPr>
          <w:rFonts w:ascii="Times New Roman" w:hAnsi="Times New Roman"/>
          <w:shd w:val="clear" w:color="auto" w:fill="FFFFFF"/>
        </w:rPr>
        <w:t xml:space="preserve"> v </w:t>
      </w:r>
      <w:r w:rsidRPr="00E53F8D">
        <w:rPr>
          <w:rFonts w:ascii="Times New Roman" w:hAnsi="Times New Roman"/>
          <w:shd w:val="clear" w:color="auto" w:fill="FFFFFF"/>
        </w:rPr>
        <w:t>ktorom má investor bydlisko</w:t>
      </w:r>
      <w:r w:rsidR="00E53F8D" w:rsidRPr="00E53F8D">
        <w:rPr>
          <w:rFonts w:ascii="Times New Roman" w:hAnsi="Times New Roman"/>
          <w:shd w:val="clear" w:color="auto" w:fill="FFFFFF"/>
        </w:rPr>
        <w:t xml:space="preserve"> a v </w:t>
      </w:r>
      <w:r w:rsidRPr="00E53F8D">
        <w:rPr>
          <w:rFonts w:ascii="Times New Roman" w:hAnsi="Times New Roman"/>
          <w:shd w:val="clear" w:color="auto" w:fill="FFFFFF"/>
        </w:rPr>
        <w:t>ktorom sa nachádza poškodený bankový účet, majú právomoc rozhodovať</w:t>
      </w:r>
      <w:r w:rsidR="00E53F8D" w:rsidRPr="00E53F8D">
        <w:rPr>
          <w:rFonts w:ascii="Times New Roman" w:hAnsi="Times New Roman"/>
          <w:shd w:val="clear" w:color="auto" w:fill="FFFFFF"/>
        </w:rPr>
        <w:t xml:space="preserve"> o </w:t>
      </w:r>
      <w:r w:rsidRPr="00E53F8D">
        <w:rPr>
          <w:rFonts w:ascii="Times New Roman" w:hAnsi="Times New Roman"/>
          <w:shd w:val="clear" w:color="auto" w:fill="FFFFFF"/>
        </w:rPr>
        <w:t>cezhraničných mimozmluvných nárokoch týkajúcich sa čisto finančnej straty. Súdny dvor Európskej únie vo veci Universal Music konštatoval, že by nestačilo skúmať výlučne miesto, kde je vedený bankový účet, na ktorom sa finančná škoda priamo prejavila.</w:t>
      </w:r>
    </w:p>
  </w:footnote>
  <w:footnote w:id="25">
    <w:p w14:paraId="05774CF3" w14:textId="5517BD59" w:rsidR="00AD5E0D" w:rsidRPr="00691FFB" w:rsidRDefault="00AD5E0D"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4"/>
        </w:rPr>
        <w:t>Pozri návrhy generálneho advokáta Sánchez-Bordona prednesené 17</w:t>
      </w:r>
      <w:r w:rsidR="00E53F8D" w:rsidRPr="00691FFB">
        <w:rPr>
          <w:rFonts w:ascii="Times New Roman" w:hAnsi="Times New Roman"/>
          <w:spacing w:val="-4"/>
        </w:rPr>
        <w:t>. decembra</w:t>
      </w:r>
      <w:r w:rsidRPr="00691FFB">
        <w:rPr>
          <w:rFonts w:ascii="Times New Roman" w:hAnsi="Times New Roman"/>
          <w:spacing w:val="-4"/>
        </w:rPr>
        <w:t xml:space="preserve"> 2020 vo veci VEB, bod 33.</w:t>
      </w:r>
    </w:p>
  </w:footnote>
  <w:footnote w:id="26">
    <w:p w14:paraId="2091C667" w14:textId="23820597" w:rsidR="00BA1AE2" w:rsidRPr="00E53F8D" w:rsidRDefault="00BA1AE2"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E53F8D">
        <w:rPr>
          <w:rFonts w:ascii="Times New Roman" w:hAnsi="Times New Roman"/>
          <w:color w:val="333333"/>
          <w:shd w:val="clear" w:color="auto" w:fill="FFFFFF"/>
        </w:rPr>
        <w:t>Nariadenie Európskeho parlamentu</w:t>
      </w:r>
      <w:r w:rsidR="00E53F8D" w:rsidRPr="00E53F8D">
        <w:rPr>
          <w:rFonts w:ascii="Times New Roman" w:hAnsi="Times New Roman"/>
          <w:color w:val="333333"/>
          <w:shd w:val="clear" w:color="auto" w:fill="FFFFFF"/>
        </w:rPr>
        <w:t xml:space="preserve"> a </w:t>
      </w:r>
      <w:r w:rsidRPr="00E53F8D">
        <w:rPr>
          <w:rFonts w:ascii="Times New Roman" w:hAnsi="Times New Roman"/>
          <w:color w:val="333333"/>
          <w:shd w:val="clear" w:color="auto" w:fill="FFFFFF"/>
        </w:rPr>
        <w:t xml:space="preserve">Rady (ES) </w:t>
      </w:r>
      <w:r w:rsidR="00E53F8D" w:rsidRPr="00E53F8D">
        <w:rPr>
          <w:rFonts w:ascii="Times New Roman" w:hAnsi="Times New Roman"/>
          <w:color w:val="333333"/>
          <w:shd w:val="clear" w:color="auto" w:fill="FFFFFF"/>
        </w:rPr>
        <w:t>č. </w:t>
      </w:r>
      <w:r w:rsidRPr="00E53F8D">
        <w:rPr>
          <w:rFonts w:ascii="Times New Roman" w:hAnsi="Times New Roman"/>
          <w:color w:val="333333"/>
          <w:shd w:val="clear" w:color="auto" w:fill="FFFFFF"/>
        </w:rPr>
        <w:t>864/2007</w:t>
      </w:r>
      <w:r w:rsidR="00E53F8D" w:rsidRPr="00E53F8D">
        <w:rPr>
          <w:rFonts w:ascii="Times New Roman" w:hAnsi="Times New Roman"/>
          <w:color w:val="333333"/>
          <w:shd w:val="clear" w:color="auto" w:fill="FFFFFF"/>
        </w:rPr>
        <w:t xml:space="preserve"> z </w:t>
      </w:r>
      <w:r w:rsidRPr="00E53F8D">
        <w:rPr>
          <w:rFonts w:ascii="Times New Roman" w:hAnsi="Times New Roman"/>
          <w:color w:val="333333"/>
          <w:shd w:val="clear" w:color="auto" w:fill="FFFFFF"/>
        </w:rPr>
        <w:t>11</w:t>
      </w:r>
      <w:r w:rsidR="00E53F8D" w:rsidRPr="00E53F8D">
        <w:rPr>
          <w:rFonts w:ascii="Times New Roman" w:hAnsi="Times New Roman"/>
          <w:color w:val="333333"/>
          <w:shd w:val="clear" w:color="auto" w:fill="FFFFFF"/>
        </w:rPr>
        <w:t>. júla</w:t>
      </w:r>
      <w:r w:rsidRPr="00E53F8D">
        <w:rPr>
          <w:rFonts w:ascii="Times New Roman" w:hAnsi="Times New Roman"/>
          <w:color w:val="333333"/>
          <w:shd w:val="clear" w:color="auto" w:fill="FFFFFF"/>
        </w:rPr>
        <w:t xml:space="preserve"> 2007</w:t>
      </w:r>
      <w:r w:rsidR="00E53F8D" w:rsidRPr="00E53F8D">
        <w:rPr>
          <w:rFonts w:ascii="Times New Roman" w:hAnsi="Times New Roman"/>
          <w:color w:val="333333"/>
          <w:shd w:val="clear" w:color="auto" w:fill="FFFFFF"/>
        </w:rPr>
        <w:t xml:space="preserve"> o </w:t>
      </w:r>
      <w:r w:rsidRPr="00E53F8D">
        <w:rPr>
          <w:rFonts w:ascii="Times New Roman" w:hAnsi="Times New Roman"/>
          <w:color w:val="333333"/>
          <w:shd w:val="clear" w:color="auto" w:fill="FFFFFF"/>
        </w:rPr>
        <w:t>rozhodnom práve pre mimozmluvné záväzky (Rím II).</w:t>
      </w:r>
    </w:p>
  </w:footnote>
  <w:footnote w:id="27">
    <w:p w14:paraId="6132DC30" w14:textId="22D11264" w:rsidR="00E75907" w:rsidRPr="00E53F8D" w:rsidRDefault="00E7590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Nárok na náhradu tejto škody možno uplatniť len</w:t>
      </w:r>
      <w:r w:rsidR="00E53F8D" w:rsidRPr="00E53F8D">
        <w:rPr>
          <w:rFonts w:ascii="Times New Roman" w:hAnsi="Times New Roman"/>
        </w:rPr>
        <w:t xml:space="preserve"> v </w:t>
      </w:r>
      <w:r w:rsidRPr="00E53F8D">
        <w:rPr>
          <w:rFonts w:ascii="Times New Roman" w:hAnsi="Times New Roman"/>
        </w:rPr>
        <w:t>členskom štáte,</w:t>
      </w:r>
      <w:r w:rsidR="00E53F8D" w:rsidRPr="00E53F8D">
        <w:rPr>
          <w:rFonts w:ascii="Times New Roman" w:hAnsi="Times New Roman"/>
        </w:rPr>
        <w:t xml:space="preserve"> v </w:t>
      </w:r>
      <w:r w:rsidRPr="00E53F8D">
        <w:rPr>
          <w:rFonts w:ascii="Times New Roman" w:hAnsi="Times New Roman"/>
        </w:rPr>
        <w:t>ktorom má žalovaný bydlisko (článok 4) alebo</w:t>
      </w:r>
      <w:r w:rsidR="00E53F8D" w:rsidRPr="00E53F8D">
        <w:rPr>
          <w:rFonts w:ascii="Times New Roman" w:hAnsi="Times New Roman"/>
        </w:rPr>
        <w:t xml:space="preserve"> v </w:t>
      </w:r>
      <w:r w:rsidRPr="00E53F8D">
        <w:rPr>
          <w:rFonts w:ascii="Times New Roman" w:hAnsi="Times New Roman"/>
        </w:rPr>
        <w:t>ktorom nastala udalosť, ktorá viedla</w:t>
      </w:r>
      <w:r w:rsidR="00E53F8D" w:rsidRPr="00E53F8D">
        <w:rPr>
          <w:rFonts w:ascii="Times New Roman" w:hAnsi="Times New Roman"/>
        </w:rPr>
        <w:t xml:space="preserve"> k </w:t>
      </w:r>
      <w:r w:rsidRPr="00E53F8D">
        <w:rPr>
          <w:rFonts w:ascii="Times New Roman" w:hAnsi="Times New Roman"/>
        </w:rPr>
        <w:t>vzniknutej škode (článok 7 ods. 2)</w:t>
      </w:r>
      <w:r w:rsidR="00E53F8D" w:rsidRPr="00E53F8D">
        <w:rPr>
          <w:rFonts w:ascii="Times New Roman" w:hAnsi="Times New Roman"/>
        </w:rPr>
        <w:t>.</w:t>
      </w:r>
    </w:p>
  </w:footnote>
  <w:footnote w:id="28">
    <w:p w14:paraId="7ABCEEF3" w14:textId="496865B0" w:rsidR="0089262E" w:rsidRPr="00E53F8D" w:rsidRDefault="0089262E"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Treba to chápať tak, že konkrétnejšie odkazuje na miesto,</w:t>
      </w:r>
      <w:r w:rsidR="00E53F8D" w:rsidRPr="00E53F8D">
        <w:rPr>
          <w:rFonts w:ascii="Times New Roman" w:hAnsi="Times New Roman"/>
        </w:rPr>
        <w:t xml:space="preserve"> v </w:t>
      </w:r>
      <w:r w:rsidRPr="00E53F8D">
        <w:rPr>
          <w:rFonts w:ascii="Times New Roman" w:hAnsi="Times New Roman"/>
        </w:rPr>
        <w:t>ktorom má dotknutá osoba najdôležitejšie ekonomické, politické, sociálne či dokonca príbuzenské výhody plynúce</w:t>
      </w:r>
      <w:r w:rsidR="00E53F8D" w:rsidRPr="00E53F8D">
        <w:rPr>
          <w:rFonts w:ascii="Times New Roman" w:hAnsi="Times New Roman"/>
        </w:rPr>
        <w:t xml:space="preserve"> z </w:t>
      </w:r>
      <w:r w:rsidRPr="00E53F8D">
        <w:rPr>
          <w:rFonts w:ascii="Times New Roman" w:hAnsi="Times New Roman"/>
        </w:rPr>
        <w:t>jej dobrého mena.</w:t>
      </w:r>
    </w:p>
  </w:footnote>
  <w:footnote w:id="29">
    <w:p w14:paraId="7B1C71F7" w14:textId="2D3B1C36" w:rsidR="0089262E" w:rsidRPr="00691FFB" w:rsidRDefault="0089262E"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4"/>
        </w:rPr>
        <w:t>To sa potvrdilo vo veciach Bolagsupplysningen (C-194/16), Mittelbayerischer Verlag (C</w:t>
      </w:r>
      <w:r w:rsidRPr="00691FFB">
        <w:rPr>
          <w:rFonts w:ascii="Times New Roman" w:hAnsi="Times New Roman"/>
          <w:spacing w:val="-4"/>
        </w:rPr>
        <w:noBreakHyphen/>
        <w:t>800/19)</w:t>
      </w:r>
      <w:r w:rsidR="00E53F8D" w:rsidRPr="00691FFB">
        <w:rPr>
          <w:rFonts w:ascii="Times New Roman" w:hAnsi="Times New Roman"/>
          <w:spacing w:val="-4"/>
        </w:rPr>
        <w:t xml:space="preserve"> a </w:t>
      </w:r>
      <w:r w:rsidRPr="00691FFB">
        <w:rPr>
          <w:rFonts w:ascii="Times New Roman" w:hAnsi="Times New Roman"/>
          <w:spacing w:val="-4"/>
        </w:rPr>
        <w:t>Gtflix Tv/DR (C-251/20)</w:t>
      </w:r>
      <w:r w:rsidR="00E53F8D" w:rsidRPr="00691FFB">
        <w:rPr>
          <w:rFonts w:ascii="Times New Roman" w:hAnsi="Times New Roman"/>
          <w:spacing w:val="-4"/>
        </w:rPr>
        <w:t xml:space="preserve"> a </w:t>
      </w:r>
      <w:r w:rsidRPr="00691FFB">
        <w:rPr>
          <w:rFonts w:ascii="Times New Roman" w:hAnsi="Times New Roman"/>
          <w:spacing w:val="-4"/>
        </w:rPr>
        <w:t>rovnako sa potvrdila aj skutočnosť, že súdy každého iného členského štátu,</w:t>
      </w:r>
      <w:r w:rsidR="00E53F8D" w:rsidRPr="00691FFB">
        <w:rPr>
          <w:rFonts w:ascii="Times New Roman" w:hAnsi="Times New Roman"/>
          <w:spacing w:val="-4"/>
        </w:rPr>
        <w:t xml:space="preserve"> v </w:t>
      </w:r>
      <w:r w:rsidRPr="00691FFB">
        <w:rPr>
          <w:rFonts w:ascii="Times New Roman" w:hAnsi="Times New Roman"/>
          <w:spacing w:val="-4"/>
        </w:rPr>
        <w:t>ktorom boli informácie prístupné, sú príslušné rozhodovať len</w:t>
      </w:r>
      <w:r w:rsidR="00E53F8D" w:rsidRPr="00691FFB">
        <w:rPr>
          <w:rFonts w:ascii="Times New Roman" w:hAnsi="Times New Roman"/>
          <w:spacing w:val="-4"/>
        </w:rPr>
        <w:t xml:space="preserve"> o </w:t>
      </w:r>
      <w:r w:rsidRPr="00691FFB">
        <w:rPr>
          <w:rFonts w:ascii="Times New Roman" w:hAnsi="Times New Roman"/>
          <w:spacing w:val="-4"/>
        </w:rPr>
        <w:t>škode vzniknutej</w:t>
      </w:r>
      <w:r w:rsidR="00E53F8D" w:rsidRPr="00691FFB">
        <w:rPr>
          <w:rFonts w:ascii="Times New Roman" w:hAnsi="Times New Roman"/>
          <w:spacing w:val="-4"/>
        </w:rPr>
        <w:t xml:space="preserve"> v </w:t>
      </w:r>
      <w:r w:rsidRPr="00691FFB">
        <w:rPr>
          <w:rFonts w:ascii="Times New Roman" w:hAnsi="Times New Roman"/>
          <w:spacing w:val="-4"/>
        </w:rPr>
        <w:t>tomto členskom štáte. Súdny dvor Európskej únie ďalej spresnil, že len súdy, ktoré majú právomoc rozhodovať</w:t>
      </w:r>
      <w:r w:rsidR="00E53F8D" w:rsidRPr="00691FFB">
        <w:rPr>
          <w:rFonts w:ascii="Times New Roman" w:hAnsi="Times New Roman"/>
          <w:spacing w:val="-4"/>
        </w:rPr>
        <w:t xml:space="preserve"> o </w:t>
      </w:r>
      <w:r w:rsidRPr="00691FFB">
        <w:rPr>
          <w:rFonts w:ascii="Times New Roman" w:hAnsi="Times New Roman"/>
          <w:spacing w:val="-4"/>
        </w:rPr>
        <w:t>celej škode, sú príslušné rozhodnúť</w:t>
      </w:r>
      <w:r w:rsidR="00E53F8D" w:rsidRPr="00691FFB">
        <w:rPr>
          <w:rFonts w:ascii="Times New Roman" w:hAnsi="Times New Roman"/>
          <w:spacing w:val="-4"/>
        </w:rPr>
        <w:t xml:space="preserve"> o </w:t>
      </w:r>
      <w:r w:rsidRPr="00691FFB">
        <w:rPr>
          <w:rFonts w:ascii="Times New Roman" w:hAnsi="Times New Roman"/>
          <w:spacing w:val="-4"/>
        </w:rPr>
        <w:t>žiadostiach</w:t>
      </w:r>
      <w:r w:rsidR="00E53F8D" w:rsidRPr="00691FFB">
        <w:rPr>
          <w:rFonts w:ascii="Times New Roman" w:hAnsi="Times New Roman"/>
          <w:spacing w:val="-4"/>
        </w:rPr>
        <w:t xml:space="preserve"> o </w:t>
      </w:r>
      <w:r w:rsidRPr="00691FFB">
        <w:rPr>
          <w:rFonts w:ascii="Times New Roman" w:hAnsi="Times New Roman"/>
          <w:spacing w:val="-4"/>
        </w:rPr>
        <w:t>odstránenie</w:t>
      </w:r>
      <w:r w:rsidR="00E53F8D" w:rsidRPr="00691FFB">
        <w:rPr>
          <w:rFonts w:ascii="Times New Roman" w:hAnsi="Times New Roman"/>
          <w:spacing w:val="-4"/>
        </w:rPr>
        <w:t xml:space="preserve"> a </w:t>
      </w:r>
      <w:r w:rsidRPr="00691FFB">
        <w:rPr>
          <w:rFonts w:ascii="Times New Roman" w:hAnsi="Times New Roman"/>
          <w:spacing w:val="-4"/>
        </w:rPr>
        <w:t>opravu údajne znevažujúceho obsahu, keďže tieto žiadosti sa na rozdiel od výšky škody nedajú oddeliť za jednotlivé členské štáty.</w:t>
      </w:r>
    </w:p>
  </w:footnote>
  <w:footnote w:id="30">
    <w:p w14:paraId="190F5579" w14:textId="17F6CA4B" w:rsidR="00315950" w:rsidRPr="00E53F8D" w:rsidRDefault="00315950"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E53F8D">
        <w:rPr>
          <w:rStyle w:val="cf01"/>
          <w:rFonts w:ascii="Times New Roman" w:hAnsi="Times New Roman"/>
          <w:sz w:val="20"/>
        </w:rPr>
        <w:t>V dôsledku toho sú súdy povinné splniť náročnú úlohu</w:t>
      </w:r>
      <w:r w:rsidR="00E53F8D" w:rsidRPr="00E53F8D">
        <w:rPr>
          <w:rStyle w:val="cf01"/>
          <w:rFonts w:ascii="Times New Roman" w:hAnsi="Times New Roman"/>
          <w:sz w:val="20"/>
        </w:rPr>
        <w:t xml:space="preserve"> a </w:t>
      </w:r>
      <w:r w:rsidRPr="00E53F8D">
        <w:rPr>
          <w:rStyle w:val="cf01"/>
          <w:rFonts w:ascii="Times New Roman" w:hAnsi="Times New Roman"/>
          <w:sz w:val="20"/>
        </w:rPr>
        <w:t>zistiť</w:t>
      </w:r>
      <w:r w:rsidR="00E53F8D" w:rsidRPr="00E53F8D">
        <w:rPr>
          <w:rStyle w:val="cf01"/>
          <w:rFonts w:ascii="Times New Roman" w:hAnsi="Times New Roman"/>
          <w:sz w:val="20"/>
        </w:rPr>
        <w:t xml:space="preserve"> v </w:t>
      </w:r>
      <w:r w:rsidRPr="00E53F8D">
        <w:rPr>
          <w:rStyle w:val="cf01"/>
          <w:rFonts w:ascii="Times New Roman" w:hAnsi="Times New Roman"/>
          <w:sz w:val="20"/>
        </w:rPr>
        <w:t>centre záujmu, ktorá škoda bola spôsobená online (nárok na náhradu škody možno uplatniť celosvetovo) alebo offline (nárok na náhradu škody možno uplatniť len</w:t>
      </w:r>
      <w:r w:rsidR="00E53F8D" w:rsidRPr="00E53F8D">
        <w:rPr>
          <w:rStyle w:val="cf01"/>
          <w:rFonts w:ascii="Times New Roman" w:hAnsi="Times New Roman"/>
          <w:sz w:val="20"/>
        </w:rPr>
        <w:t xml:space="preserve"> v </w:t>
      </w:r>
      <w:r w:rsidRPr="00E53F8D">
        <w:rPr>
          <w:rStyle w:val="cf01"/>
          <w:rFonts w:ascii="Times New Roman" w:hAnsi="Times New Roman"/>
          <w:sz w:val="20"/>
        </w:rPr>
        <w:t>jednom členskom štáte).</w:t>
      </w:r>
    </w:p>
  </w:footnote>
  <w:footnote w:id="31">
    <w:p w14:paraId="4D5136A6" w14:textId="39C8FBBC" w:rsidR="00397C57" w:rsidRPr="00E53F8D" w:rsidRDefault="00397C5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Väčšina členských štátov naopak požaduje, aby Súdny dvor Európskej únie alebo zákonodarca poskytol usmernenia týkajúce sa praktického vyčíslenia náhrady škody, rozlišovania medzi obvyklým pobytom</w:t>
      </w:r>
      <w:r w:rsidR="00E53F8D" w:rsidRPr="00E53F8D">
        <w:rPr>
          <w:rFonts w:ascii="Times New Roman" w:hAnsi="Times New Roman"/>
        </w:rPr>
        <w:t xml:space="preserve"> a </w:t>
      </w:r>
      <w:r w:rsidRPr="00E53F8D">
        <w:rPr>
          <w:rFonts w:ascii="Times New Roman" w:hAnsi="Times New Roman"/>
        </w:rPr>
        <w:t>strediskom záujmu.</w:t>
      </w:r>
    </w:p>
  </w:footnote>
  <w:footnote w:id="32">
    <w:p w14:paraId="1C2111E2" w14:textId="0AEE2B6A" w:rsidR="000756D7" w:rsidRPr="00E53F8D" w:rsidRDefault="000756D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 xml:space="preserve">Smernica </w:t>
      </w:r>
      <w:r w:rsidRPr="00E53F8D">
        <w:rPr>
          <w:rFonts w:ascii="Times New Roman" w:hAnsi="Times New Roman"/>
          <w:shd w:val="clear" w:color="auto" w:fill="FFFFFF"/>
        </w:rPr>
        <w:t>Európskeho parlamentu</w:t>
      </w:r>
      <w:r w:rsidR="00E53F8D" w:rsidRPr="00E53F8D">
        <w:rPr>
          <w:rFonts w:ascii="Times New Roman" w:hAnsi="Times New Roman"/>
          <w:shd w:val="clear" w:color="auto" w:fill="FFFFFF"/>
        </w:rPr>
        <w:t xml:space="preserve"> a </w:t>
      </w:r>
      <w:r w:rsidRPr="00E53F8D">
        <w:rPr>
          <w:rFonts w:ascii="Times New Roman" w:hAnsi="Times New Roman"/>
          <w:shd w:val="clear" w:color="auto" w:fill="FFFFFF"/>
        </w:rPr>
        <w:t>Rady (EÚ) 2024/1069</w:t>
      </w:r>
      <w:r w:rsidR="00E53F8D" w:rsidRPr="00E53F8D">
        <w:rPr>
          <w:rFonts w:ascii="Times New Roman" w:hAnsi="Times New Roman"/>
          <w:shd w:val="clear" w:color="auto" w:fill="FFFFFF"/>
        </w:rPr>
        <w:t xml:space="preserve"> z </w:t>
      </w:r>
      <w:r w:rsidRPr="00E53F8D">
        <w:rPr>
          <w:rFonts w:ascii="Times New Roman" w:hAnsi="Times New Roman"/>
          <w:shd w:val="clear" w:color="auto" w:fill="FFFFFF"/>
        </w:rPr>
        <w:t>11</w:t>
      </w:r>
      <w:r w:rsidR="00E53F8D" w:rsidRPr="00E53F8D">
        <w:rPr>
          <w:rFonts w:ascii="Times New Roman" w:hAnsi="Times New Roman"/>
          <w:shd w:val="clear" w:color="auto" w:fill="FFFFFF"/>
        </w:rPr>
        <w:t>. apríla</w:t>
      </w:r>
      <w:r w:rsidRPr="00E53F8D">
        <w:rPr>
          <w:rFonts w:ascii="Times New Roman" w:hAnsi="Times New Roman"/>
          <w:shd w:val="clear" w:color="auto" w:fill="FFFFFF"/>
        </w:rPr>
        <w:t xml:space="preserve"> 2024</w:t>
      </w:r>
      <w:r w:rsidR="00E53F8D" w:rsidRPr="00E53F8D">
        <w:rPr>
          <w:rFonts w:ascii="Times New Roman" w:hAnsi="Times New Roman"/>
          <w:shd w:val="clear" w:color="auto" w:fill="FFFFFF"/>
        </w:rPr>
        <w:t xml:space="preserve"> o </w:t>
      </w:r>
      <w:r w:rsidRPr="00E53F8D">
        <w:rPr>
          <w:rFonts w:ascii="Times New Roman" w:hAnsi="Times New Roman"/>
          <w:shd w:val="clear" w:color="auto" w:fill="FFFFFF"/>
        </w:rPr>
        <w:t>ochrane osôb zapojených do verejnej účasti pred zjavne neopodstatnenými nárokmi alebo zneužívajúcimi súdnymi konaniami („strategické žaloby proti verejnej účasti“)</w:t>
      </w:r>
      <w:r w:rsidRPr="00E53F8D">
        <w:rPr>
          <w:rFonts w:ascii="Times New Roman" w:hAnsi="Times New Roman"/>
          <w:i/>
          <w:shd w:val="clear" w:color="auto" w:fill="FFFFFF"/>
        </w:rPr>
        <w:t xml:space="preserve"> </w:t>
      </w:r>
      <w:r w:rsidRPr="00E53F8D">
        <w:rPr>
          <w:rStyle w:val="Emphasis"/>
          <w:rFonts w:ascii="Times New Roman" w:hAnsi="Times New Roman"/>
          <w:i w:val="0"/>
          <w:shd w:val="clear" w:color="auto" w:fill="FFFFFF"/>
        </w:rPr>
        <w:t>(Ú. v. EÚ L, 2024/1069, 16.4.2024).</w:t>
      </w:r>
    </w:p>
  </w:footnote>
  <w:footnote w:id="33">
    <w:p w14:paraId="717E0A57" w14:textId="13A58DAE" w:rsidR="00822B19" w:rsidRPr="00E53F8D" w:rsidRDefault="00822B19"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Najviac otázok</w:t>
      </w:r>
      <w:r w:rsidR="00E53F8D" w:rsidRPr="00E53F8D">
        <w:rPr>
          <w:rFonts w:ascii="Times New Roman" w:hAnsi="Times New Roman"/>
        </w:rPr>
        <w:t xml:space="preserve"> v </w:t>
      </w:r>
      <w:r w:rsidRPr="00E53F8D">
        <w:rPr>
          <w:rFonts w:ascii="Times New Roman" w:hAnsi="Times New Roman"/>
        </w:rPr>
        <w:t>praxi vyvolalo uplatňovanie noriem právomoci vo veciach spotrebiteľských zmlúv. Preto je do hlavného textu správy zahrnutá analýza uplatňovania týchto noriem. Analýza uplatňovania noriem právomoci</w:t>
      </w:r>
      <w:r w:rsidR="00E53F8D" w:rsidRPr="00E53F8D">
        <w:rPr>
          <w:rFonts w:ascii="Times New Roman" w:hAnsi="Times New Roman"/>
        </w:rPr>
        <w:t xml:space="preserve"> v </w:t>
      </w:r>
      <w:r w:rsidRPr="00E53F8D">
        <w:rPr>
          <w:rFonts w:ascii="Times New Roman" w:hAnsi="Times New Roman"/>
        </w:rPr>
        <w:t>poisťovacích veciach</w:t>
      </w:r>
      <w:r w:rsidR="00E53F8D" w:rsidRPr="00E53F8D">
        <w:rPr>
          <w:rFonts w:ascii="Times New Roman" w:hAnsi="Times New Roman"/>
        </w:rPr>
        <w:t xml:space="preserve"> a </w:t>
      </w:r>
      <w:r w:rsidRPr="00E53F8D">
        <w:rPr>
          <w:rFonts w:ascii="Times New Roman" w:hAnsi="Times New Roman"/>
        </w:rPr>
        <w:t>vo veciach individuálnych pracovných zmlúv sa uvádza</w:t>
      </w:r>
      <w:r w:rsidR="00E53F8D" w:rsidRPr="00E53F8D">
        <w:rPr>
          <w:rFonts w:ascii="Times New Roman" w:hAnsi="Times New Roman"/>
        </w:rPr>
        <w:t xml:space="preserve"> v </w:t>
      </w:r>
      <w:r w:rsidRPr="00E53F8D">
        <w:rPr>
          <w:rFonts w:ascii="Times New Roman" w:hAnsi="Times New Roman"/>
        </w:rPr>
        <w:t>časti I pracovného dokumentu útvarov Komisie, ktorý je pripojený</w:t>
      </w:r>
      <w:r w:rsidR="00E53F8D" w:rsidRPr="00E53F8D">
        <w:rPr>
          <w:rFonts w:ascii="Times New Roman" w:hAnsi="Times New Roman"/>
        </w:rPr>
        <w:t xml:space="preserve"> k </w:t>
      </w:r>
      <w:r w:rsidRPr="00E53F8D">
        <w:rPr>
          <w:rFonts w:ascii="Times New Roman" w:hAnsi="Times New Roman"/>
        </w:rPr>
        <w:t>tejto správe</w:t>
      </w:r>
      <w:r w:rsidR="00E53F8D" w:rsidRPr="00E53F8D">
        <w:rPr>
          <w:rFonts w:ascii="Times New Roman" w:hAnsi="Times New Roman"/>
        </w:rPr>
        <w:t>.</w:t>
      </w:r>
    </w:p>
  </w:footnote>
  <w:footnote w:id="34">
    <w:p w14:paraId="0518CB32" w14:textId="38824361" w:rsidR="0076116C" w:rsidRPr="00E53F8D" w:rsidRDefault="0076116C"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Okrem toho sa</w:t>
      </w:r>
      <w:r w:rsidR="00E53F8D" w:rsidRPr="00E53F8D">
        <w:rPr>
          <w:rFonts w:ascii="Times New Roman" w:hAnsi="Times New Roman"/>
        </w:rPr>
        <w:t xml:space="preserve"> v </w:t>
      </w:r>
      <w:r w:rsidRPr="00E53F8D">
        <w:rPr>
          <w:rFonts w:ascii="Times New Roman" w:hAnsi="Times New Roman"/>
        </w:rPr>
        <w:t>článku 26 ods. 2 zaviedlo nové pravidlo týkajúce sa implicitnej voľby právomoci</w:t>
      </w:r>
      <w:r w:rsidR="00E53F8D" w:rsidRPr="00E53F8D">
        <w:rPr>
          <w:rFonts w:ascii="Times New Roman" w:hAnsi="Times New Roman"/>
        </w:rPr>
        <w:t xml:space="preserve"> v </w:t>
      </w:r>
      <w:r w:rsidRPr="00E53F8D">
        <w:rPr>
          <w:rFonts w:ascii="Times New Roman" w:hAnsi="Times New Roman"/>
        </w:rPr>
        <w:t xml:space="preserve">nadväznosti na rozsudok Súdneho dvora Európskej únie vo veci </w:t>
      </w:r>
      <w:r w:rsidRPr="00E53F8D">
        <w:rPr>
          <w:rFonts w:ascii="Times New Roman" w:hAnsi="Times New Roman"/>
          <w:color w:val="000000"/>
        </w:rPr>
        <w:t>ČPP Vienna Insurance Group (C-111/09</w:t>
      </w:r>
      <w:r w:rsidRPr="00E53F8D">
        <w:rPr>
          <w:rFonts w:ascii="Times New Roman" w:hAnsi="Times New Roman"/>
        </w:rPr>
        <w:t>): súd, ktorý začal konať, je teraz povinný zabezpečiť, aby slabšia strana (žalovaný) bola informovaná</w:t>
      </w:r>
      <w:r w:rsidR="00E53F8D" w:rsidRPr="00E53F8D">
        <w:rPr>
          <w:rFonts w:ascii="Times New Roman" w:hAnsi="Times New Roman"/>
        </w:rPr>
        <w:t xml:space="preserve"> o </w:t>
      </w:r>
      <w:r w:rsidRPr="00E53F8D">
        <w:rPr>
          <w:rFonts w:ascii="Times New Roman" w:hAnsi="Times New Roman"/>
        </w:rPr>
        <w:t>práve vzniesť námietku nedostatku právomoci</w:t>
      </w:r>
      <w:r w:rsidR="00E53F8D" w:rsidRPr="00E53F8D">
        <w:rPr>
          <w:rFonts w:ascii="Times New Roman" w:hAnsi="Times New Roman"/>
        </w:rPr>
        <w:t xml:space="preserve"> a o </w:t>
      </w:r>
      <w:r w:rsidRPr="00E53F8D">
        <w:rPr>
          <w:rFonts w:ascii="Times New Roman" w:hAnsi="Times New Roman"/>
        </w:rPr>
        <w:t>dôsledkoch, ak tak neurobí.</w:t>
      </w:r>
    </w:p>
  </w:footnote>
  <w:footnote w:id="35">
    <w:p w14:paraId="24CD5036" w14:textId="68E0B464" w:rsidR="00C63056" w:rsidRPr="00E53F8D" w:rsidRDefault="00C63056"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Táto otázka sa rieši</w:t>
      </w:r>
      <w:r w:rsidR="00E53F8D" w:rsidRPr="00E53F8D">
        <w:rPr>
          <w:rFonts w:ascii="Times New Roman" w:hAnsi="Times New Roman"/>
        </w:rPr>
        <w:t xml:space="preserve"> v </w:t>
      </w:r>
      <w:r w:rsidRPr="00E53F8D">
        <w:rPr>
          <w:rFonts w:ascii="Times New Roman" w:hAnsi="Times New Roman"/>
        </w:rPr>
        <w:t>bode 6.1 správy.</w:t>
      </w:r>
    </w:p>
  </w:footnote>
  <w:footnote w:id="36">
    <w:p w14:paraId="40017034" w14:textId="0CD6D2E8" w:rsidR="00A87B54" w:rsidRPr="00E53F8D" w:rsidRDefault="00A87B54"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Pozri</w:t>
      </w:r>
      <w:r w:rsidR="00E53F8D" w:rsidRPr="00E53F8D">
        <w:rPr>
          <w:rFonts w:ascii="Times New Roman" w:hAnsi="Times New Roman"/>
        </w:rPr>
        <w:t xml:space="preserve"> v </w:t>
      </w:r>
      <w:r w:rsidRPr="00E53F8D">
        <w:rPr>
          <w:rFonts w:ascii="Times New Roman" w:hAnsi="Times New Roman"/>
        </w:rPr>
        <w:t>tejto súvislosti rozsudok vo veci Schrems (C</w:t>
      </w:r>
      <w:r w:rsidRPr="00E53F8D">
        <w:rPr>
          <w:rFonts w:ascii="Times New Roman" w:hAnsi="Times New Roman"/>
        </w:rPr>
        <w:noBreakHyphen/>
        <w:t>498/16), bod 29</w:t>
      </w:r>
      <w:r w:rsidR="00E53F8D" w:rsidRPr="00E53F8D">
        <w:rPr>
          <w:rFonts w:ascii="Times New Roman" w:hAnsi="Times New Roman"/>
        </w:rPr>
        <w:t xml:space="preserve"> a </w:t>
      </w:r>
      <w:r w:rsidRPr="00E53F8D">
        <w:rPr>
          <w:rFonts w:ascii="Times New Roman" w:hAnsi="Times New Roman"/>
        </w:rPr>
        <w:t>citovanú judikatúru.</w:t>
      </w:r>
    </w:p>
  </w:footnote>
  <w:footnote w:id="37">
    <w:p w14:paraId="610A8C13" w14:textId="47B25621" w:rsidR="00120D6E" w:rsidRPr="00E53F8D" w:rsidRDefault="00120D6E"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Bod 80.</w:t>
      </w:r>
    </w:p>
  </w:footnote>
  <w:footnote w:id="38">
    <w:p w14:paraId="05BCA89C" w14:textId="302051AE" w:rsidR="008D0E61" w:rsidRPr="00E53F8D" w:rsidRDefault="008D0E61"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Bod 81.</w:t>
      </w:r>
    </w:p>
  </w:footnote>
  <w:footnote w:id="39">
    <w:p w14:paraId="79140073" w14:textId="539D6C77" w:rsidR="00D63FFA" w:rsidRPr="00E53F8D" w:rsidRDefault="00D63FFA"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Najmä pokiaľ ide</w:t>
      </w:r>
      <w:r w:rsidR="00E53F8D" w:rsidRPr="00E53F8D">
        <w:rPr>
          <w:rFonts w:ascii="Times New Roman" w:hAnsi="Times New Roman"/>
        </w:rPr>
        <w:t xml:space="preserve"> o </w:t>
      </w:r>
      <w:r w:rsidRPr="00E53F8D">
        <w:rPr>
          <w:rFonts w:ascii="Times New Roman" w:hAnsi="Times New Roman"/>
        </w:rPr>
        <w:t xml:space="preserve">článok 15 ods. 1 písm. c) nariadenia </w:t>
      </w:r>
      <w:r w:rsidR="00E53F8D" w:rsidRPr="00E53F8D">
        <w:rPr>
          <w:rFonts w:ascii="Times New Roman" w:hAnsi="Times New Roman"/>
        </w:rPr>
        <w:t>č. </w:t>
      </w:r>
      <w:r w:rsidRPr="00E53F8D">
        <w:rPr>
          <w:rFonts w:ascii="Times New Roman" w:hAnsi="Times New Roman"/>
        </w:rPr>
        <w:t>44/2001, pozri rozsudky vo veciach</w:t>
      </w:r>
      <w:r w:rsidR="00AE6533" w:rsidRPr="00E53F8D">
        <w:rPr>
          <w:rFonts w:ascii="Times New Roman" w:hAnsi="Times New Roman"/>
        </w:rPr>
        <w:t xml:space="preserve"> </w:t>
      </w:r>
      <w:r w:rsidRPr="00E53F8D">
        <w:rPr>
          <w:rFonts w:ascii="Times New Roman" w:hAnsi="Times New Roman"/>
        </w:rPr>
        <w:t>Mühlleitner (C</w:t>
      </w:r>
      <w:r w:rsidRPr="00E53F8D">
        <w:rPr>
          <w:rFonts w:ascii="Times New Roman" w:hAnsi="Times New Roman"/>
        </w:rPr>
        <w:noBreakHyphen/>
        <w:t>190/11), Emrek (C-218/12)</w:t>
      </w:r>
      <w:r w:rsidR="00E53F8D" w:rsidRPr="00E53F8D">
        <w:rPr>
          <w:rFonts w:ascii="Times New Roman" w:hAnsi="Times New Roman"/>
        </w:rPr>
        <w:t xml:space="preserve"> a </w:t>
      </w:r>
      <w:r w:rsidRPr="00E53F8D">
        <w:rPr>
          <w:rFonts w:ascii="Times New Roman" w:hAnsi="Times New Roman"/>
        </w:rPr>
        <w:t>Hobohm (C-297/14).</w:t>
      </w:r>
      <w:r w:rsidR="00E53F8D" w:rsidRPr="00E53F8D">
        <w:rPr>
          <w:rFonts w:ascii="Times New Roman" w:hAnsi="Times New Roman"/>
        </w:rPr>
        <w:t xml:space="preserve"> Z </w:t>
      </w:r>
      <w:r w:rsidRPr="00E53F8D">
        <w:rPr>
          <w:rFonts w:ascii="Times New Roman" w:hAnsi="Times New Roman"/>
        </w:rPr>
        <w:t>nedávnejších pozri napríklad návrh na začatie prejudiciálneho konania vo veci Commerzbank (C-296/20), ktorý sa týka výkladu rovnakého ustanovenia Lugánskeho dohovoru; vo veci Lännen MCE (C-104/22), ktorá sa týkala výkladu tohto pojmu</w:t>
      </w:r>
      <w:r w:rsidR="00E53F8D" w:rsidRPr="00E53F8D">
        <w:rPr>
          <w:rFonts w:ascii="Times New Roman" w:hAnsi="Times New Roman"/>
        </w:rPr>
        <w:t xml:space="preserve"> v </w:t>
      </w:r>
      <w:r w:rsidRPr="00E53F8D">
        <w:rPr>
          <w:rFonts w:ascii="Times New Roman" w:hAnsi="Times New Roman"/>
        </w:rPr>
        <w:t>oblasti ochrannej známky EÚ.</w:t>
      </w:r>
    </w:p>
  </w:footnote>
  <w:footnote w:id="40">
    <w:p w14:paraId="28611310" w14:textId="6E9AE552" w:rsidR="003D4D2C" w:rsidRPr="00691FFB" w:rsidRDefault="003D4D2C"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4"/>
        </w:rPr>
        <w:t>Niekoľko členských štátov uviedlo niekoľko ďalších ťažkostí súvisiacich</w:t>
      </w:r>
      <w:r w:rsidR="00E53F8D" w:rsidRPr="00691FFB">
        <w:rPr>
          <w:rFonts w:ascii="Times New Roman" w:hAnsi="Times New Roman"/>
          <w:spacing w:val="-4"/>
        </w:rPr>
        <w:t xml:space="preserve"> s </w:t>
      </w:r>
      <w:r w:rsidRPr="00691FFB">
        <w:rPr>
          <w:rFonts w:ascii="Times New Roman" w:hAnsi="Times New Roman"/>
          <w:spacing w:val="-4"/>
        </w:rPr>
        <w:t>uplatňovaním článku 24: problematické rozlišovanie medzi vecnými</w:t>
      </w:r>
      <w:r w:rsidR="00E53F8D" w:rsidRPr="00691FFB">
        <w:rPr>
          <w:rFonts w:ascii="Times New Roman" w:hAnsi="Times New Roman"/>
          <w:spacing w:val="-4"/>
        </w:rPr>
        <w:t xml:space="preserve"> a </w:t>
      </w:r>
      <w:r w:rsidRPr="00691FFB">
        <w:rPr>
          <w:rFonts w:ascii="Times New Roman" w:hAnsi="Times New Roman"/>
          <w:spacing w:val="-4"/>
        </w:rPr>
        <w:t>osobnými právami</w:t>
      </w:r>
      <w:r w:rsidR="00E53F8D" w:rsidRPr="00691FFB">
        <w:rPr>
          <w:rFonts w:ascii="Times New Roman" w:hAnsi="Times New Roman"/>
          <w:spacing w:val="-4"/>
        </w:rPr>
        <w:t xml:space="preserve"> a </w:t>
      </w:r>
      <w:r w:rsidRPr="00691FFB">
        <w:rPr>
          <w:rFonts w:ascii="Times New Roman" w:hAnsi="Times New Roman"/>
          <w:spacing w:val="-4"/>
        </w:rPr>
        <w:t>nejednotná judikatúra</w:t>
      </w:r>
      <w:r w:rsidR="00E53F8D" w:rsidRPr="00691FFB">
        <w:rPr>
          <w:rFonts w:ascii="Times New Roman" w:hAnsi="Times New Roman"/>
          <w:spacing w:val="-4"/>
        </w:rPr>
        <w:t xml:space="preserve"> v </w:t>
      </w:r>
      <w:r w:rsidRPr="00691FFB">
        <w:rPr>
          <w:rFonts w:ascii="Times New Roman" w:hAnsi="Times New Roman"/>
          <w:spacing w:val="-4"/>
        </w:rPr>
        <w:t>danej oblasti.</w:t>
      </w:r>
    </w:p>
  </w:footnote>
  <w:footnote w:id="41">
    <w:p w14:paraId="24E061CB" w14:textId="73A85A3A" w:rsidR="00BF3A77" w:rsidRPr="00E53F8D" w:rsidRDefault="00BF3A77"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Návrhy generálneho advokáta Emilioua prednesené 22</w:t>
      </w:r>
      <w:r w:rsidR="00E53F8D" w:rsidRPr="00E53F8D">
        <w:rPr>
          <w:rFonts w:ascii="Times New Roman" w:hAnsi="Times New Roman"/>
        </w:rPr>
        <w:t>. februára</w:t>
      </w:r>
      <w:r w:rsidRPr="00E53F8D">
        <w:rPr>
          <w:rFonts w:ascii="Times New Roman" w:hAnsi="Times New Roman"/>
        </w:rPr>
        <w:t xml:space="preserve"> 2024 vo veci BSH Hausgeräte, C-339/22, ECLI:EU:C:2024:159.</w:t>
      </w:r>
    </w:p>
  </w:footnote>
  <w:footnote w:id="42">
    <w:p w14:paraId="30B8D280" w14:textId="41D0350E" w:rsidR="005015FB" w:rsidRPr="00E53F8D" w:rsidRDefault="005015FB"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E53F8D">
        <w:rPr>
          <w:rStyle w:val="Bodytext1"/>
          <w:rFonts w:ascii="Times New Roman" w:hAnsi="Times New Roman"/>
        </w:rPr>
        <w:t>Otázky švédskeho súdu sa týkajú výkladu</w:t>
      </w:r>
      <w:r w:rsidR="00E53F8D" w:rsidRPr="00E53F8D">
        <w:rPr>
          <w:rStyle w:val="Bodytext1"/>
          <w:rFonts w:ascii="Times New Roman" w:hAnsi="Times New Roman"/>
        </w:rPr>
        <w:t xml:space="preserve"> a </w:t>
      </w:r>
      <w:r w:rsidRPr="00E53F8D">
        <w:rPr>
          <w:rStyle w:val="Bodytext1"/>
          <w:rFonts w:ascii="Times New Roman" w:hAnsi="Times New Roman"/>
        </w:rPr>
        <w:t>rozsahu pôsobnosti článku 24 ods. 4 nariadenia</w:t>
      </w:r>
      <w:r w:rsidR="00E53F8D" w:rsidRPr="00E53F8D">
        <w:rPr>
          <w:rStyle w:val="Bodytext1"/>
          <w:rFonts w:ascii="Times New Roman" w:hAnsi="Times New Roman"/>
        </w:rPr>
        <w:t xml:space="preserve"> v </w:t>
      </w:r>
      <w:r w:rsidRPr="00E53F8D">
        <w:rPr>
          <w:rStyle w:val="Bodytext1"/>
          <w:rFonts w:ascii="Times New Roman" w:hAnsi="Times New Roman"/>
        </w:rPr>
        <w:t>spore</w:t>
      </w:r>
      <w:r w:rsidR="00E53F8D" w:rsidRPr="00E53F8D">
        <w:rPr>
          <w:rStyle w:val="Bodytext1"/>
          <w:rFonts w:ascii="Times New Roman" w:hAnsi="Times New Roman"/>
        </w:rPr>
        <w:t xml:space="preserve"> o </w:t>
      </w:r>
      <w:r w:rsidRPr="00E53F8D">
        <w:rPr>
          <w:rStyle w:val="Bodytext1"/>
          <w:rFonts w:ascii="Times New Roman" w:hAnsi="Times New Roman"/>
        </w:rPr>
        <w:t>porušenie patentu,</w:t>
      </w:r>
      <w:r w:rsidR="00E53F8D" w:rsidRPr="00E53F8D">
        <w:rPr>
          <w:rStyle w:val="Bodytext1"/>
          <w:rFonts w:ascii="Times New Roman" w:hAnsi="Times New Roman"/>
        </w:rPr>
        <w:t xml:space="preserve"> v </w:t>
      </w:r>
      <w:r w:rsidRPr="00E53F8D">
        <w:rPr>
          <w:rStyle w:val="Bodytext1"/>
          <w:rFonts w:ascii="Times New Roman" w:hAnsi="Times New Roman"/>
        </w:rPr>
        <w:t>ktorom sa žalovaný odvoláva na neplatnosť dotknutých patentov</w:t>
      </w:r>
      <w:r w:rsidR="00E53F8D" w:rsidRPr="00E53F8D">
        <w:rPr>
          <w:rStyle w:val="Bodytext1"/>
          <w:rFonts w:ascii="Times New Roman" w:hAnsi="Times New Roman"/>
        </w:rPr>
        <w:t xml:space="preserve"> v </w:t>
      </w:r>
      <w:r w:rsidRPr="00E53F8D">
        <w:rPr>
          <w:rStyle w:val="Bodytext1"/>
          <w:rFonts w:ascii="Times New Roman" w:hAnsi="Times New Roman"/>
        </w:rPr>
        <w:t>krajinách,</w:t>
      </w:r>
      <w:r w:rsidR="00E53F8D" w:rsidRPr="00E53F8D">
        <w:rPr>
          <w:rStyle w:val="Bodytext1"/>
          <w:rFonts w:ascii="Times New Roman" w:hAnsi="Times New Roman"/>
        </w:rPr>
        <w:t xml:space="preserve"> v </w:t>
      </w:r>
      <w:r w:rsidRPr="00E53F8D">
        <w:rPr>
          <w:rStyle w:val="Bodytext1"/>
          <w:rFonts w:ascii="Times New Roman" w:hAnsi="Times New Roman"/>
        </w:rPr>
        <w:t>ktorých boli podané alebo zaregistrované.</w:t>
      </w:r>
    </w:p>
  </w:footnote>
  <w:footnote w:id="43">
    <w:p w14:paraId="1502DBCE" w14:textId="58C47140" w:rsidR="00A32F96" w:rsidRPr="00E53F8D" w:rsidRDefault="00A32F96"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Hoci sa štúdiou tieto zistenia potvrdili</w:t>
      </w:r>
      <w:r w:rsidR="00E53F8D" w:rsidRPr="00E53F8D">
        <w:rPr>
          <w:rFonts w:ascii="Times New Roman" w:hAnsi="Times New Roman"/>
        </w:rPr>
        <w:t xml:space="preserve"> v </w:t>
      </w:r>
      <w:r w:rsidRPr="00E53F8D">
        <w:rPr>
          <w:rFonts w:ascii="Times New Roman" w:hAnsi="Times New Roman"/>
        </w:rPr>
        <w:t>mnohých členských štátoch, niektorí respondenti poukázali aj na obmedzenejší vplyv najmä</w:t>
      </w:r>
      <w:r w:rsidR="00E53F8D" w:rsidRPr="00E53F8D">
        <w:rPr>
          <w:rFonts w:ascii="Times New Roman" w:hAnsi="Times New Roman"/>
        </w:rPr>
        <w:t xml:space="preserve"> v </w:t>
      </w:r>
      <w:r w:rsidRPr="00E53F8D">
        <w:rPr>
          <w:rFonts w:ascii="Times New Roman" w:hAnsi="Times New Roman"/>
        </w:rPr>
        <w:t>dôsledku pretrvávania dôvodov na zamietnutie</w:t>
      </w:r>
      <w:r w:rsidR="00E53F8D" w:rsidRPr="00E53F8D">
        <w:rPr>
          <w:rFonts w:ascii="Times New Roman" w:hAnsi="Times New Roman"/>
        </w:rPr>
        <w:t>.</w:t>
      </w:r>
    </w:p>
  </w:footnote>
  <w:footnote w:id="44">
    <w:p w14:paraId="3504E749" w14:textId="56196AD4" w:rsidR="00921203" w:rsidRPr="00E53F8D" w:rsidRDefault="00921203"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Z projektu JUDGTRUST vyplýva, že</w:t>
      </w:r>
      <w:r w:rsidR="00E53F8D" w:rsidRPr="00E53F8D">
        <w:rPr>
          <w:rFonts w:ascii="Times New Roman" w:hAnsi="Times New Roman"/>
        </w:rPr>
        <w:t xml:space="preserve"> v </w:t>
      </w:r>
      <w:r w:rsidRPr="00E53F8D">
        <w:rPr>
          <w:rFonts w:ascii="Times New Roman" w:hAnsi="Times New Roman"/>
        </w:rPr>
        <w:t>niektorých členských štátoch (ET, FR, IT, NL) sa tento dôvod na zamietnutie uplatňuje len zriedkavo. Dokonca aj</w:t>
      </w:r>
      <w:r w:rsidR="00E53F8D" w:rsidRPr="00E53F8D">
        <w:rPr>
          <w:rFonts w:ascii="Times New Roman" w:hAnsi="Times New Roman"/>
        </w:rPr>
        <w:t xml:space="preserve"> v </w:t>
      </w:r>
      <w:r w:rsidRPr="00E53F8D">
        <w:rPr>
          <w:rFonts w:ascii="Times New Roman" w:hAnsi="Times New Roman"/>
        </w:rPr>
        <w:t>prípadoch, keď ho súdy uplatňujú častejšie, len zriedkavo ho uplatňujú na zamietnutie uznania</w:t>
      </w:r>
      <w:r w:rsidR="00E53F8D" w:rsidRPr="00E53F8D">
        <w:rPr>
          <w:rFonts w:ascii="Times New Roman" w:hAnsi="Times New Roman"/>
        </w:rPr>
        <w:t xml:space="preserve"> a </w:t>
      </w:r>
      <w:r w:rsidRPr="00E53F8D">
        <w:rPr>
          <w:rFonts w:ascii="Times New Roman" w:hAnsi="Times New Roman"/>
        </w:rPr>
        <w:t>výkonu (BG, PL)</w:t>
      </w:r>
      <w:r w:rsidR="00E53F8D" w:rsidRPr="00E53F8D">
        <w:rPr>
          <w:rFonts w:ascii="Times New Roman" w:hAnsi="Times New Roman"/>
        </w:rPr>
        <w:t>.</w:t>
      </w:r>
    </w:p>
  </w:footnote>
  <w:footnote w:id="45">
    <w:p w14:paraId="4D2398E2" w14:textId="3D388DA6" w:rsidR="000407F1" w:rsidRPr="00E53F8D" w:rsidRDefault="000407F1"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Predmetná vec sa týkala špecifickej situácie, keď rozsudok súdu, ktorý začal konať ako druhý, bol rozsudkom vydaným</w:t>
      </w:r>
      <w:r w:rsidR="00E53F8D" w:rsidRPr="00E53F8D">
        <w:rPr>
          <w:rFonts w:ascii="Times New Roman" w:hAnsi="Times New Roman"/>
        </w:rPr>
        <w:t xml:space="preserve"> v </w:t>
      </w:r>
      <w:r w:rsidRPr="00E53F8D">
        <w:rPr>
          <w:rFonts w:ascii="Times New Roman" w:hAnsi="Times New Roman"/>
        </w:rPr>
        <w:t>zmysle rozhodcovského rozsudku</w:t>
      </w:r>
      <w:r w:rsidR="00E53F8D" w:rsidRPr="00E53F8D">
        <w:rPr>
          <w:rFonts w:ascii="Times New Roman" w:hAnsi="Times New Roman"/>
        </w:rPr>
        <w:t>.</w:t>
      </w:r>
    </w:p>
  </w:footnote>
  <w:footnote w:id="46">
    <w:p w14:paraId="29567AA6" w14:textId="4FF660F7" w:rsidR="00F212A9" w:rsidRPr="00691FFB" w:rsidRDefault="00F212A9" w:rsidP="00E53F8D">
      <w:pPr>
        <w:pStyle w:val="FootnoteText"/>
        <w:spacing w:after="0" w:line="240" w:lineRule="auto"/>
        <w:ind w:left="709" w:hanging="709"/>
        <w:jc w:val="both"/>
        <w:rPr>
          <w:rFonts w:ascii="Times New Roman" w:hAnsi="Times New Roman"/>
          <w:spacing w:val="-6"/>
        </w:rPr>
      </w:pPr>
      <w:r w:rsidRPr="00E53F8D">
        <w:rPr>
          <w:rStyle w:val="FootnoteReference"/>
          <w:rFonts w:ascii="Times New Roman" w:hAnsi="Times New Roman"/>
        </w:rPr>
        <w:footnoteRef/>
      </w:r>
      <w:r w:rsidRPr="00E53F8D">
        <w:rPr>
          <w:rFonts w:ascii="Times New Roman" w:hAnsi="Times New Roman"/>
        </w:rPr>
        <w:t xml:space="preserve"> </w:t>
      </w:r>
      <w:r w:rsidR="00691FFB">
        <w:rPr>
          <w:rFonts w:ascii="Times New Roman" w:hAnsi="Times New Roman"/>
        </w:rPr>
        <w:tab/>
      </w:r>
      <w:r w:rsidRPr="00691FFB">
        <w:rPr>
          <w:rFonts w:ascii="Times New Roman" w:hAnsi="Times New Roman"/>
          <w:spacing w:val="-6"/>
        </w:rPr>
        <w:t>To sa jasne ukázalo</w:t>
      </w:r>
      <w:r w:rsidR="00E53F8D" w:rsidRPr="00691FFB">
        <w:rPr>
          <w:rFonts w:ascii="Times New Roman" w:hAnsi="Times New Roman"/>
          <w:spacing w:val="-6"/>
        </w:rPr>
        <w:t xml:space="preserve"> v </w:t>
      </w:r>
      <w:r w:rsidRPr="00691FFB">
        <w:rPr>
          <w:rFonts w:ascii="Times New Roman" w:hAnsi="Times New Roman"/>
          <w:spacing w:val="-6"/>
        </w:rPr>
        <w:t>rozsudku vo veci Liberato,</w:t>
      </w:r>
      <w:r w:rsidR="00E53F8D" w:rsidRPr="00691FFB">
        <w:rPr>
          <w:rFonts w:ascii="Times New Roman" w:hAnsi="Times New Roman"/>
          <w:spacing w:val="-6"/>
        </w:rPr>
        <w:t xml:space="preserve"> v </w:t>
      </w:r>
      <w:r w:rsidRPr="00691FFB">
        <w:rPr>
          <w:rFonts w:ascii="Times New Roman" w:hAnsi="Times New Roman"/>
          <w:spacing w:val="-6"/>
        </w:rPr>
        <w:t>ktorej Súdny dvor rozhodol</w:t>
      </w:r>
      <w:r w:rsidR="00E53F8D" w:rsidRPr="00691FFB">
        <w:rPr>
          <w:rFonts w:ascii="Times New Roman" w:hAnsi="Times New Roman"/>
          <w:spacing w:val="-6"/>
        </w:rPr>
        <w:t xml:space="preserve"> v </w:t>
      </w:r>
      <w:r w:rsidRPr="00691FFB">
        <w:rPr>
          <w:rFonts w:ascii="Times New Roman" w:hAnsi="Times New Roman"/>
          <w:spacing w:val="-6"/>
        </w:rPr>
        <w:t>roku 2019 podľa nariadenia Brusel I. Súdny dvor</w:t>
      </w:r>
      <w:r w:rsidR="00E53F8D" w:rsidRPr="00691FFB">
        <w:rPr>
          <w:rFonts w:ascii="Times New Roman" w:hAnsi="Times New Roman"/>
          <w:spacing w:val="-6"/>
        </w:rPr>
        <w:t xml:space="preserve"> v </w:t>
      </w:r>
      <w:r w:rsidRPr="00691FFB">
        <w:rPr>
          <w:rFonts w:ascii="Times New Roman" w:hAnsi="Times New Roman"/>
          <w:spacing w:val="-6"/>
        </w:rPr>
        <w:t>tomto rozsudku uviedol, že aj</w:t>
      </w:r>
      <w:r w:rsidR="00E53F8D" w:rsidRPr="00691FFB">
        <w:rPr>
          <w:rFonts w:ascii="Times New Roman" w:hAnsi="Times New Roman"/>
          <w:spacing w:val="-6"/>
        </w:rPr>
        <w:t xml:space="preserve"> v </w:t>
      </w:r>
      <w:r w:rsidRPr="00691FFB">
        <w:rPr>
          <w:rFonts w:ascii="Times New Roman" w:hAnsi="Times New Roman"/>
          <w:spacing w:val="-6"/>
        </w:rPr>
        <w:t>prípade porušenia pravidla prekážky začatej veci nemôžu súdy</w:t>
      </w:r>
      <w:r w:rsidR="00E53F8D" w:rsidRPr="00691FFB">
        <w:rPr>
          <w:rFonts w:ascii="Times New Roman" w:hAnsi="Times New Roman"/>
          <w:spacing w:val="-6"/>
        </w:rPr>
        <w:t xml:space="preserve"> v </w:t>
      </w:r>
      <w:r w:rsidRPr="00691FFB">
        <w:rPr>
          <w:rFonts w:ascii="Times New Roman" w:hAnsi="Times New Roman"/>
          <w:spacing w:val="-6"/>
        </w:rPr>
        <w:t>členskom štátu súdu, ktorý začal konať ako prvý, zamietnuť uznanie len</w:t>
      </w:r>
      <w:r w:rsidR="00E53F8D" w:rsidRPr="00691FFB">
        <w:rPr>
          <w:rFonts w:ascii="Times New Roman" w:hAnsi="Times New Roman"/>
          <w:spacing w:val="-6"/>
        </w:rPr>
        <w:t xml:space="preserve"> z </w:t>
      </w:r>
      <w:r w:rsidRPr="00691FFB">
        <w:rPr>
          <w:rFonts w:ascii="Times New Roman" w:hAnsi="Times New Roman"/>
          <w:spacing w:val="-6"/>
        </w:rPr>
        <w:t>tohto dôvodu. Takéto porušenie takisto nie je</w:t>
      </w:r>
      <w:r w:rsidR="00E53F8D" w:rsidRPr="00691FFB">
        <w:rPr>
          <w:rFonts w:ascii="Times New Roman" w:hAnsi="Times New Roman"/>
          <w:spacing w:val="-6"/>
        </w:rPr>
        <w:t xml:space="preserve"> v </w:t>
      </w:r>
      <w:r w:rsidRPr="00691FFB">
        <w:rPr>
          <w:rFonts w:ascii="Times New Roman" w:hAnsi="Times New Roman"/>
          <w:spacing w:val="-6"/>
        </w:rPr>
        <w:t>zjavnom rozpore</w:t>
      </w:r>
      <w:r w:rsidR="00E53F8D" w:rsidRPr="00691FFB">
        <w:rPr>
          <w:rFonts w:ascii="Times New Roman" w:hAnsi="Times New Roman"/>
          <w:spacing w:val="-6"/>
        </w:rPr>
        <w:t xml:space="preserve"> s </w:t>
      </w:r>
      <w:r w:rsidRPr="00691FFB">
        <w:rPr>
          <w:rFonts w:ascii="Times New Roman" w:hAnsi="Times New Roman"/>
          <w:spacing w:val="-6"/>
        </w:rPr>
        <w:t>verejným poriadkom členského štátu,</w:t>
      </w:r>
      <w:r w:rsidR="00E53F8D" w:rsidRPr="00691FFB">
        <w:rPr>
          <w:rFonts w:ascii="Times New Roman" w:hAnsi="Times New Roman"/>
          <w:spacing w:val="-6"/>
        </w:rPr>
        <w:t xml:space="preserve"> v </w:t>
      </w:r>
      <w:r w:rsidRPr="00691FFB">
        <w:rPr>
          <w:rFonts w:ascii="Times New Roman" w:hAnsi="Times New Roman"/>
          <w:spacing w:val="-6"/>
        </w:rPr>
        <w:t>ktorom sa žiada</w:t>
      </w:r>
      <w:r w:rsidR="00E53F8D" w:rsidRPr="00691FFB">
        <w:rPr>
          <w:rFonts w:ascii="Times New Roman" w:hAnsi="Times New Roman"/>
          <w:spacing w:val="-6"/>
        </w:rPr>
        <w:t xml:space="preserve"> o </w:t>
      </w:r>
      <w:r w:rsidRPr="00691FFB">
        <w:rPr>
          <w:rFonts w:ascii="Times New Roman" w:hAnsi="Times New Roman"/>
          <w:spacing w:val="-6"/>
        </w:rPr>
        <w:t>uznanie.</w:t>
      </w:r>
    </w:p>
  </w:footnote>
  <w:footnote w:id="47">
    <w:p w14:paraId="2BC1CD64" w14:textId="7C5DB929" w:rsidR="00E142E3" w:rsidRPr="00E53F8D" w:rsidRDefault="00E142E3"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Dohovor</w:t>
      </w:r>
      <w:r w:rsidR="00E53F8D" w:rsidRPr="00E53F8D">
        <w:rPr>
          <w:rFonts w:ascii="Times New Roman" w:hAnsi="Times New Roman"/>
        </w:rPr>
        <w:t xml:space="preserve"> o </w:t>
      </w:r>
      <w:r w:rsidRPr="00E53F8D">
        <w:rPr>
          <w:rFonts w:ascii="Times New Roman" w:hAnsi="Times New Roman"/>
        </w:rPr>
        <w:t>právomoci</w:t>
      </w:r>
      <w:r w:rsidR="00E53F8D" w:rsidRPr="00E53F8D">
        <w:rPr>
          <w:rFonts w:ascii="Times New Roman" w:hAnsi="Times New Roman"/>
        </w:rPr>
        <w:t xml:space="preserve"> a o </w:t>
      </w:r>
      <w:r w:rsidRPr="00E53F8D">
        <w:rPr>
          <w:rFonts w:ascii="Times New Roman" w:hAnsi="Times New Roman"/>
        </w:rPr>
        <w:t>uznávaní</w:t>
      </w:r>
      <w:r w:rsidR="00E53F8D" w:rsidRPr="00E53F8D">
        <w:rPr>
          <w:rFonts w:ascii="Times New Roman" w:hAnsi="Times New Roman"/>
        </w:rPr>
        <w:t xml:space="preserve"> a </w:t>
      </w:r>
      <w:r w:rsidRPr="00E53F8D">
        <w:rPr>
          <w:rFonts w:ascii="Times New Roman" w:hAnsi="Times New Roman"/>
        </w:rPr>
        <w:t>výkone rozsudkov</w:t>
      </w:r>
      <w:r w:rsidR="00E53F8D" w:rsidRPr="00E53F8D">
        <w:rPr>
          <w:rFonts w:ascii="Times New Roman" w:hAnsi="Times New Roman"/>
        </w:rPr>
        <w:t xml:space="preserve"> v </w:t>
      </w:r>
      <w:r w:rsidRPr="00E53F8D">
        <w:rPr>
          <w:rFonts w:ascii="Times New Roman" w:hAnsi="Times New Roman"/>
        </w:rPr>
        <w:t>občianskych</w:t>
      </w:r>
      <w:r w:rsidR="00E53F8D" w:rsidRPr="00E53F8D">
        <w:rPr>
          <w:rFonts w:ascii="Times New Roman" w:hAnsi="Times New Roman"/>
        </w:rPr>
        <w:t xml:space="preserve"> a </w:t>
      </w:r>
      <w:r w:rsidRPr="00E53F8D">
        <w:rPr>
          <w:rFonts w:ascii="Times New Roman" w:hAnsi="Times New Roman"/>
        </w:rPr>
        <w:t>obchodných veciach</w:t>
      </w:r>
      <w:r w:rsidR="00E53F8D" w:rsidRPr="00E53F8D">
        <w:rPr>
          <w:rFonts w:ascii="Times New Roman" w:hAnsi="Times New Roman"/>
        </w:rPr>
        <w:t xml:space="preserve"> z </w:t>
      </w:r>
      <w:r w:rsidRPr="00E53F8D">
        <w:rPr>
          <w:rFonts w:ascii="Times New Roman" w:hAnsi="Times New Roman"/>
        </w:rPr>
        <w:t>30</w:t>
      </w:r>
      <w:r w:rsidR="00E53F8D" w:rsidRPr="00E53F8D">
        <w:rPr>
          <w:rFonts w:ascii="Times New Roman" w:hAnsi="Times New Roman"/>
        </w:rPr>
        <w:t>. októbra</w:t>
      </w:r>
      <w:r w:rsidRPr="00E53F8D">
        <w:rPr>
          <w:rFonts w:ascii="Times New Roman" w:hAnsi="Times New Roman"/>
        </w:rPr>
        <w:t xml:space="preserve"> 2007 (</w:t>
      </w:r>
      <w:r w:rsidRPr="00E53F8D">
        <w:rPr>
          <w:rFonts w:ascii="Times New Roman" w:hAnsi="Times New Roman"/>
          <w:color w:val="000000"/>
        </w:rPr>
        <w:t>Ú. v. EÚ L </w:t>
      </w:r>
      <w:r w:rsidR="008F4E1C">
        <w:rPr>
          <w:rFonts w:ascii="Times New Roman" w:hAnsi="Times New Roman"/>
          <w:color w:val="000000"/>
        </w:rPr>
        <w:t>339</w:t>
      </w:r>
      <w:r w:rsidRPr="00E53F8D">
        <w:rPr>
          <w:rFonts w:ascii="Times New Roman" w:hAnsi="Times New Roman"/>
          <w:color w:val="000000"/>
        </w:rPr>
        <w:t xml:space="preserve">, </w:t>
      </w:r>
      <w:r w:rsidR="008F4E1C">
        <w:rPr>
          <w:rFonts w:ascii="Times New Roman" w:hAnsi="Times New Roman"/>
          <w:color w:val="000000"/>
        </w:rPr>
        <w:t>21.12.</w:t>
      </w:r>
      <w:r w:rsidRPr="00E53F8D">
        <w:rPr>
          <w:rFonts w:ascii="Times New Roman" w:hAnsi="Times New Roman"/>
          <w:color w:val="000000"/>
        </w:rPr>
        <w:t>200</w:t>
      </w:r>
      <w:r w:rsidR="008F4E1C">
        <w:rPr>
          <w:rFonts w:ascii="Times New Roman" w:hAnsi="Times New Roman"/>
          <w:color w:val="000000"/>
        </w:rPr>
        <w:t>7</w:t>
      </w:r>
      <w:r w:rsidRPr="00E53F8D">
        <w:rPr>
          <w:rFonts w:ascii="Times New Roman" w:hAnsi="Times New Roman"/>
          <w:color w:val="000000"/>
        </w:rPr>
        <w:t>, s. 1).</w:t>
      </w:r>
    </w:p>
  </w:footnote>
  <w:footnote w:id="48">
    <w:p w14:paraId="44F13551" w14:textId="67FC9446" w:rsidR="00E142E3" w:rsidRPr="00691FFB" w:rsidRDefault="00E142E3" w:rsidP="00E53F8D">
      <w:pPr>
        <w:pStyle w:val="FootnoteText"/>
        <w:spacing w:after="0" w:line="240" w:lineRule="auto"/>
        <w:ind w:left="709" w:hanging="709"/>
        <w:jc w:val="both"/>
        <w:rPr>
          <w:rFonts w:ascii="Times New Roman" w:hAnsi="Times New Roman"/>
          <w:spacing w:val="-6"/>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6"/>
        </w:rPr>
        <w:t>Dohovor</w:t>
      </w:r>
      <w:r w:rsidR="00E53F8D" w:rsidRPr="00691FFB">
        <w:rPr>
          <w:rFonts w:ascii="Times New Roman" w:hAnsi="Times New Roman"/>
          <w:spacing w:val="-6"/>
        </w:rPr>
        <w:t xml:space="preserve"> o </w:t>
      </w:r>
      <w:r w:rsidRPr="00691FFB">
        <w:rPr>
          <w:rFonts w:ascii="Times New Roman" w:hAnsi="Times New Roman"/>
          <w:spacing w:val="-6"/>
        </w:rPr>
        <w:t>uznaní</w:t>
      </w:r>
      <w:r w:rsidR="00E53F8D" w:rsidRPr="00691FFB">
        <w:rPr>
          <w:rFonts w:ascii="Times New Roman" w:hAnsi="Times New Roman"/>
          <w:spacing w:val="-6"/>
        </w:rPr>
        <w:t xml:space="preserve"> a </w:t>
      </w:r>
      <w:r w:rsidRPr="00691FFB">
        <w:rPr>
          <w:rFonts w:ascii="Times New Roman" w:hAnsi="Times New Roman"/>
          <w:spacing w:val="-6"/>
        </w:rPr>
        <w:t>výkone cudzích rozhodcovských rozhodnutí prijatý 10</w:t>
      </w:r>
      <w:r w:rsidR="00E53F8D" w:rsidRPr="00691FFB">
        <w:rPr>
          <w:rFonts w:ascii="Times New Roman" w:hAnsi="Times New Roman"/>
          <w:spacing w:val="-6"/>
        </w:rPr>
        <w:t>. júna</w:t>
      </w:r>
      <w:r w:rsidRPr="00691FFB">
        <w:rPr>
          <w:rFonts w:ascii="Times New Roman" w:hAnsi="Times New Roman"/>
          <w:spacing w:val="-6"/>
        </w:rPr>
        <w:t xml:space="preserve"> 1958, ktorý nadobudol platnosť 7</w:t>
      </w:r>
      <w:r w:rsidR="00E53F8D" w:rsidRPr="00691FFB">
        <w:rPr>
          <w:rFonts w:ascii="Times New Roman" w:hAnsi="Times New Roman"/>
          <w:spacing w:val="-6"/>
        </w:rPr>
        <w:t>. júna</w:t>
      </w:r>
      <w:r w:rsidRPr="00691FFB">
        <w:rPr>
          <w:rFonts w:ascii="Times New Roman" w:hAnsi="Times New Roman"/>
          <w:spacing w:val="-6"/>
        </w:rPr>
        <w:t xml:space="preserve"> 1959, 330 UNTS 38 (ďalej len „Dohovor</w:t>
      </w:r>
      <w:r w:rsidR="00E53F8D" w:rsidRPr="00691FFB">
        <w:rPr>
          <w:rFonts w:ascii="Times New Roman" w:hAnsi="Times New Roman"/>
          <w:spacing w:val="-6"/>
        </w:rPr>
        <w:t xml:space="preserve"> o </w:t>
      </w:r>
      <w:r w:rsidRPr="00691FFB">
        <w:rPr>
          <w:rFonts w:ascii="Times New Roman" w:hAnsi="Times New Roman"/>
          <w:spacing w:val="-6"/>
        </w:rPr>
        <w:t>uznaní</w:t>
      </w:r>
      <w:r w:rsidR="00E53F8D" w:rsidRPr="00691FFB">
        <w:rPr>
          <w:rFonts w:ascii="Times New Roman" w:hAnsi="Times New Roman"/>
          <w:spacing w:val="-6"/>
        </w:rPr>
        <w:t xml:space="preserve"> a </w:t>
      </w:r>
      <w:r w:rsidRPr="00691FFB">
        <w:rPr>
          <w:rFonts w:ascii="Times New Roman" w:hAnsi="Times New Roman"/>
          <w:spacing w:val="-6"/>
        </w:rPr>
        <w:t>výkone cudzích rozhodcovských rozhodnutí“).</w:t>
      </w:r>
    </w:p>
  </w:footnote>
  <w:footnote w:id="49">
    <w:p w14:paraId="749742E8" w14:textId="3AA82298" w:rsidR="00E142E3" w:rsidRPr="00E53F8D" w:rsidRDefault="00E142E3"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Dohovor</w:t>
      </w:r>
      <w:r w:rsidR="00E53F8D" w:rsidRPr="00E53F8D">
        <w:rPr>
          <w:rFonts w:ascii="Times New Roman" w:hAnsi="Times New Roman"/>
        </w:rPr>
        <w:t xml:space="preserve"> o </w:t>
      </w:r>
      <w:r w:rsidRPr="00E53F8D">
        <w:rPr>
          <w:rFonts w:ascii="Times New Roman" w:hAnsi="Times New Roman"/>
        </w:rPr>
        <w:t>prepravnej zmluve</w:t>
      </w:r>
      <w:r w:rsidR="00E53F8D" w:rsidRPr="00E53F8D">
        <w:rPr>
          <w:rFonts w:ascii="Times New Roman" w:hAnsi="Times New Roman"/>
        </w:rPr>
        <w:t xml:space="preserve"> v </w:t>
      </w:r>
      <w:r w:rsidRPr="00E53F8D">
        <w:rPr>
          <w:rFonts w:ascii="Times New Roman" w:hAnsi="Times New Roman"/>
        </w:rPr>
        <w:t>medzinárodnej cestnej nákladnej doprave podpísaný 19</w:t>
      </w:r>
      <w:r w:rsidR="00E53F8D" w:rsidRPr="00E53F8D">
        <w:rPr>
          <w:rFonts w:ascii="Times New Roman" w:hAnsi="Times New Roman"/>
        </w:rPr>
        <w:t>. mája</w:t>
      </w:r>
      <w:r w:rsidRPr="00E53F8D">
        <w:rPr>
          <w:rFonts w:ascii="Times New Roman" w:hAnsi="Times New Roman"/>
        </w:rPr>
        <w:t xml:space="preserve"> 1956</w:t>
      </w:r>
      <w:r w:rsidR="00E53F8D" w:rsidRPr="00E53F8D">
        <w:rPr>
          <w:rFonts w:ascii="Times New Roman" w:hAnsi="Times New Roman"/>
        </w:rPr>
        <w:t xml:space="preserve"> v </w:t>
      </w:r>
      <w:r w:rsidRPr="00E53F8D">
        <w:rPr>
          <w:rFonts w:ascii="Times New Roman" w:hAnsi="Times New Roman"/>
        </w:rPr>
        <w:t>Ženeve, zmenený protokolom podpísaným 5</w:t>
      </w:r>
      <w:r w:rsidR="00E53F8D" w:rsidRPr="00E53F8D">
        <w:rPr>
          <w:rFonts w:ascii="Times New Roman" w:hAnsi="Times New Roman"/>
        </w:rPr>
        <w:t>. júla</w:t>
      </w:r>
      <w:r w:rsidRPr="00E53F8D">
        <w:rPr>
          <w:rFonts w:ascii="Times New Roman" w:hAnsi="Times New Roman"/>
        </w:rPr>
        <w:t xml:space="preserve"> 1978</w:t>
      </w:r>
      <w:r w:rsidR="00E53F8D" w:rsidRPr="00E53F8D">
        <w:rPr>
          <w:rFonts w:ascii="Times New Roman" w:hAnsi="Times New Roman"/>
        </w:rPr>
        <w:t xml:space="preserve"> v </w:t>
      </w:r>
      <w:r w:rsidRPr="00E53F8D">
        <w:rPr>
          <w:rFonts w:ascii="Times New Roman" w:hAnsi="Times New Roman"/>
        </w:rPr>
        <w:t>Ženeve.</w:t>
      </w:r>
    </w:p>
  </w:footnote>
  <w:footnote w:id="50">
    <w:p w14:paraId="163967A2" w14:textId="18CE0E07" w:rsidR="00834AFF" w:rsidRPr="00691FFB" w:rsidRDefault="00834AFF" w:rsidP="00E53F8D">
      <w:pPr>
        <w:pStyle w:val="FootnoteText"/>
        <w:spacing w:after="0" w:line="240" w:lineRule="auto"/>
        <w:ind w:left="709" w:hanging="709"/>
        <w:jc w:val="both"/>
        <w:rPr>
          <w:rFonts w:ascii="Times New Roman" w:hAnsi="Times New Roman"/>
          <w:spacing w:val="-4"/>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r w:rsidRPr="00691FFB">
        <w:rPr>
          <w:rFonts w:ascii="Times New Roman" w:hAnsi="Times New Roman"/>
          <w:spacing w:val="-4"/>
        </w:rPr>
        <w:t>Pozri odporúčanie Komisie</w:t>
      </w:r>
      <w:r w:rsidR="00E53F8D" w:rsidRPr="00691FFB">
        <w:rPr>
          <w:rFonts w:ascii="Times New Roman" w:hAnsi="Times New Roman"/>
          <w:spacing w:val="-4"/>
        </w:rPr>
        <w:t xml:space="preserve"> z </w:t>
      </w:r>
      <w:r w:rsidRPr="00691FFB">
        <w:rPr>
          <w:rFonts w:ascii="Times New Roman" w:hAnsi="Times New Roman"/>
          <w:spacing w:val="-4"/>
        </w:rPr>
        <w:t>11</w:t>
      </w:r>
      <w:r w:rsidR="00E53F8D" w:rsidRPr="00691FFB">
        <w:rPr>
          <w:rFonts w:ascii="Times New Roman" w:hAnsi="Times New Roman"/>
          <w:spacing w:val="-4"/>
        </w:rPr>
        <w:t>. júna</w:t>
      </w:r>
      <w:r w:rsidRPr="00691FFB">
        <w:rPr>
          <w:rFonts w:ascii="Times New Roman" w:hAnsi="Times New Roman"/>
          <w:spacing w:val="-4"/>
        </w:rPr>
        <w:t xml:space="preserve"> 2013</w:t>
      </w:r>
      <w:r w:rsidR="00E53F8D" w:rsidRPr="00691FFB">
        <w:rPr>
          <w:rFonts w:ascii="Times New Roman" w:hAnsi="Times New Roman"/>
          <w:spacing w:val="-4"/>
        </w:rPr>
        <w:t xml:space="preserve"> o </w:t>
      </w:r>
      <w:r w:rsidRPr="00691FFB">
        <w:rPr>
          <w:rFonts w:ascii="Times New Roman" w:hAnsi="Times New Roman"/>
          <w:spacing w:val="-4"/>
        </w:rPr>
        <w:t>spoločných zásadách pre mechanizmy kolektívneho uplatňovania nárokov na prikázanie zdržania sa určitého konania</w:t>
      </w:r>
      <w:r w:rsidR="00E53F8D" w:rsidRPr="00691FFB">
        <w:rPr>
          <w:rFonts w:ascii="Times New Roman" w:hAnsi="Times New Roman"/>
          <w:spacing w:val="-4"/>
        </w:rPr>
        <w:t xml:space="preserve"> a </w:t>
      </w:r>
      <w:r w:rsidRPr="00691FFB">
        <w:rPr>
          <w:rFonts w:ascii="Times New Roman" w:hAnsi="Times New Roman"/>
          <w:spacing w:val="-4"/>
        </w:rPr>
        <w:t>na náhradu škody</w:t>
      </w:r>
      <w:r w:rsidR="00E53F8D" w:rsidRPr="00691FFB">
        <w:rPr>
          <w:rFonts w:ascii="Times New Roman" w:hAnsi="Times New Roman"/>
          <w:spacing w:val="-4"/>
        </w:rPr>
        <w:t xml:space="preserve"> v </w:t>
      </w:r>
      <w:r w:rsidRPr="00691FFB">
        <w:rPr>
          <w:rFonts w:ascii="Times New Roman" w:hAnsi="Times New Roman"/>
          <w:spacing w:val="-4"/>
        </w:rPr>
        <w:t>členských štátoch</w:t>
      </w:r>
      <w:r w:rsidR="00E53F8D" w:rsidRPr="00691FFB">
        <w:rPr>
          <w:rFonts w:ascii="Times New Roman" w:hAnsi="Times New Roman"/>
          <w:spacing w:val="-4"/>
        </w:rPr>
        <w:t xml:space="preserve"> v </w:t>
      </w:r>
      <w:r w:rsidRPr="00691FFB">
        <w:rPr>
          <w:rFonts w:ascii="Times New Roman" w:hAnsi="Times New Roman"/>
          <w:spacing w:val="-4"/>
        </w:rPr>
        <w:t>súvislosti</w:t>
      </w:r>
      <w:r w:rsidR="00E53F8D" w:rsidRPr="00691FFB">
        <w:rPr>
          <w:rFonts w:ascii="Times New Roman" w:hAnsi="Times New Roman"/>
          <w:spacing w:val="-4"/>
        </w:rPr>
        <w:t xml:space="preserve"> s </w:t>
      </w:r>
      <w:r w:rsidRPr="00691FFB">
        <w:rPr>
          <w:rFonts w:ascii="Times New Roman" w:hAnsi="Times New Roman"/>
          <w:spacing w:val="-4"/>
        </w:rPr>
        <w:t>porušením práv vyplývajúcich</w:t>
      </w:r>
      <w:r w:rsidR="00E53F8D" w:rsidRPr="00691FFB">
        <w:rPr>
          <w:rFonts w:ascii="Times New Roman" w:hAnsi="Times New Roman"/>
          <w:spacing w:val="-4"/>
        </w:rPr>
        <w:t xml:space="preserve"> z </w:t>
      </w:r>
      <w:r w:rsidRPr="00691FFB">
        <w:rPr>
          <w:rFonts w:ascii="Times New Roman" w:hAnsi="Times New Roman"/>
          <w:spacing w:val="-4"/>
        </w:rPr>
        <w:t>práva Únie (2013/396/EÚ) (Ú. v. EÚ L 201, 26.7.2013)</w:t>
      </w:r>
      <w:r w:rsidR="00E53F8D" w:rsidRPr="00691FFB">
        <w:rPr>
          <w:rFonts w:ascii="Times New Roman" w:hAnsi="Times New Roman"/>
          <w:spacing w:val="-4"/>
        </w:rPr>
        <w:t>.</w:t>
      </w:r>
    </w:p>
  </w:footnote>
  <w:footnote w:id="51">
    <w:p w14:paraId="41D9F9FE" w14:textId="39F2BB9F" w:rsidR="0097158F" w:rsidRPr="00E53F8D" w:rsidRDefault="0097158F"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00691FFB">
        <w:rPr>
          <w:rFonts w:ascii="Times New Roman" w:hAnsi="Times New Roman"/>
        </w:rPr>
        <w:tab/>
      </w:r>
      <w:r w:rsidRPr="00E53F8D">
        <w:rPr>
          <w:rFonts w:ascii="Times New Roman" w:hAnsi="Times New Roman"/>
        </w:rPr>
        <w:t>Smernica Európskeho parlamentu</w:t>
      </w:r>
      <w:r w:rsidR="00E53F8D" w:rsidRPr="00E53F8D">
        <w:rPr>
          <w:rFonts w:ascii="Times New Roman" w:hAnsi="Times New Roman"/>
        </w:rPr>
        <w:t xml:space="preserve"> a </w:t>
      </w:r>
      <w:r w:rsidRPr="00E53F8D">
        <w:rPr>
          <w:rFonts w:ascii="Times New Roman" w:hAnsi="Times New Roman"/>
        </w:rPr>
        <w:t>Rady (EÚ) 2020/1828</w:t>
      </w:r>
      <w:r w:rsidR="00E53F8D" w:rsidRPr="00E53F8D">
        <w:rPr>
          <w:rFonts w:ascii="Times New Roman" w:hAnsi="Times New Roman"/>
        </w:rPr>
        <w:t xml:space="preserve"> z </w:t>
      </w:r>
      <w:r w:rsidRPr="00E53F8D">
        <w:rPr>
          <w:rFonts w:ascii="Times New Roman" w:hAnsi="Times New Roman"/>
        </w:rPr>
        <w:t>25</w:t>
      </w:r>
      <w:r w:rsidR="00E53F8D" w:rsidRPr="00E53F8D">
        <w:rPr>
          <w:rFonts w:ascii="Times New Roman" w:hAnsi="Times New Roman"/>
        </w:rPr>
        <w:t>. novembra</w:t>
      </w:r>
      <w:r w:rsidRPr="00E53F8D">
        <w:rPr>
          <w:rFonts w:ascii="Times New Roman" w:hAnsi="Times New Roman"/>
        </w:rPr>
        <w:t> 2020</w:t>
      </w:r>
      <w:r w:rsidR="00E53F8D" w:rsidRPr="00E53F8D">
        <w:rPr>
          <w:rFonts w:ascii="Times New Roman" w:hAnsi="Times New Roman"/>
        </w:rPr>
        <w:t xml:space="preserve"> o </w:t>
      </w:r>
      <w:r w:rsidRPr="00E53F8D">
        <w:rPr>
          <w:rFonts w:ascii="Times New Roman" w:hAnsi="Times New Roman"/>
        </w:rPr>
        <w:t>žalobách</w:t>
      </w:r>
      <w:r w:rsidR="00E53F8D" w:rsidRPr="00E53F8D">
        <w:rPr>
          <w:rFonts w:ascii="Times New Roman" w:hAnsi="Times New Roman"/>
        </w:rPr>
        <w:t xml:space="preserve"> v </w:t>
      </w:r>
      <w:r w:rsidRPr="00E53F8D">
        <w:rPr>
          <w:rFonts w:ascii="Times New Roman" w:hAnsi="Times New Roman"/>
        </w:rPr>
        <w:t>zastúpení na ochranu kolektívnych záujmov spotrebiteľov</w:t>
      </w:r>
      <w:r w:rsidR="00E53F8D" w:rsidRPr="00E53F8D">
        <w:rPr>
          <w:rFonts w:ascii="Times New Roman" w:hAnsi="Times New Roman"/>
        </w:rPr>
        <w:t xml:space="preserve"> a o </w:t>
      </w:r>
      <w:r w:rsidRPr="00E53F8D">
        <w:rPr>
          <w:rFonts w:ascii="Times New Roman" w:hAnsi="Times New Roman"/>
        </w:rPr>
        <w:t>zrušení smernice 2009/22/ES (text</w:t>
      </w:r>
      <w:r w:rsidR="00E53F8D" w:rsidRPr="00E53F8D">
        <w:rPr>
          <w:rFonts w:ascii="Times New Roman" w:hAnsi="Times New Roman"/>
        </w:rPr>
        <w:t xml:space="preserve"> s </w:t>
      </w:r>
      <w:r w:rsidRPr="00E53F8D">
        <w:rPr>
          <w:rFonts w:ascii="Times New Roman" w:hAnsi="Times New Roman"/>
        </w:rPr>
        <w:t>významom pre EHP) (Ú. v. EÚ L 409, 4.12.2020, s. 1).</w:t>
      </w:r>
    </w:p>
  </w:footnote>
  <w:footnote w:id="52">
    <w:p w14:paraId="48484C68" w14:textId="15F11988" w:rsidR="00382A2A" w:rsidRPr="00E53F8D" w:rsidRDefault="00382A2A"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V rámci štúdie sa zistil rovnaký problém,</w:t>
      </w:r>
      <w:r w:rsidR="00E53F8D" w:rsidRPr="00E53F8D">
        <w:rPr>
          <w:rFonts w:ascii="Times New Roman" w:hAnsi="Times New Roman"/>
        </w:rPr>
        <w:t xml:space="preserve"> a </w:t>
      </w:r>
      <w:r w:rsidRPr="00E53F8D">
        <w:rPr>
          <w:rFonts w:ascii="Times New Roman" w:hAnsi="Times New Roman"/>
        </w:rPr>
        <w:t>to veľmi obmedzené možnosti spojenia konaní.</w:t>
      </w:r>
    </w:p>
  </w:footnote>
  <w:footnote w:id="53">
    <w:p w14:paraId="1266330E" w14:textId="43ACA994" w:rsidR="00500DD2" w:rsidRPr="00E53F8D" w:rsidRDefault="00500DD2"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t>Zber údajov</w:t>
      </w:r>
      <w:r w:rsidR="00E53F8D" w:rsidRPr="00E53F8D">
        <w:rPr>
          <w:rFonts w:ascii="Times New Roman" w:hAnsi="Times New Roman"/>
        </w:rPr>
        <w:t xml:space="preserve"> o </w:t>
      </w:r>
      <w:r w:rsidRPr="00E53F8D">
        <w:rPr>
          <w:rFonts w:ascii="Times New Roman" w:hAnsi="Times New Roman"/>
        </w:rPr>
        <w:t>vplyve digitalizácie obsahu na uplatňovanie nariadenia, ktorý sa uskutočnil</w:t>
      </w:r>
      <w:r w:rsidR="00E53F8D" w:rsidRPr="00E53F8D">
        <w:rPr>
          <w:rFonts w:ascii="Times New Roman" w:hAnsi="Times New Roman"/>
        </w:rPr>
        <w:t xml:space="preserve"> v </w:t>
      </w:r>
      <w:r w:rsidRPr="00E53F8D">
        <w:rPr>
          <w:rFonts w:ascii="Times New Roman" w:hAnsi="Times New Roman"/>
        </w:rPr>
        <w:t>rámci štúdie, nepriniesol na úrovni Únie</w:t>
      </w:r>
      <w:r w:rsidR="00E53F8D" w:rsidRPr="00E53F8D">
        <w:rPr>
          <w:rFonts w:ascii="Times New Roman" w:hAnsi="Times New Roman"/>
        </w:rPr>
        <w:t xml:space="preserve"> a </w:t>
      </w:r>
      <w:r w:rsidRPr="00E53F8D">
        <w:rPr>
          <w:rFonts w:ascii="Times New Roman" w:hAnsi="Times New Roman"/>
        </w:rPr>
        <w:t>na vnútroštátnej úrovni dostatočné výsledky. Nie je jasné, či to možno vysvetliť chýbajúcimi informáciami</w:t>
      </w:r>
      <w:r w:rsidR="00E53F8D" w:rsidRPr="00E53F8D">
        <w:rPr>
          <w:rFonts w:ascii="Times New Roman" w:hAnsi="Times New Roman"/>
        </w:rPr>
        <w:t xml:space="preserve"> o </w:t>
      </w:r>
      <w:r w:rsidRPr="00E53F8D">
        <w:rPr>
          <w:rFonts w:ascii="Times New Roman" w:hAnsi="Times New Roman"/>
        </w:rPr>
        <w:t>týchto veciach alebo neexistenciou súdnych sporov.</w:t>
      </w:r>
    </w:p>
  </w:footnote>
  <w:footnote w:id="54">
    <w:p w14:paraId="3433C38C" w14:textId="44EBCB3B" w:rsidR="00450B64" w:rsidRPr="00E53F8D" w:rsidRDefault="00450B64"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ab/>
        <w:t>Nariadenie Európskeho parlamentu</w:t>
      </w:r>
      <w:r w:rsidR="00E53F8D" w:rsidRPr="00E53F8D">
        <w:rPr>
          <w:rFonts w:ascii="Times New Roman" w:hAnsi="Times New Roman"/>
        </w:rPr>
        <w:t xml:space="preserve"> a </w:t>
      </w:r>
      <w:r w:rsidRPr="00E53F8D">
        <w:rPr>
          <w:rFonts w:ascii="Times New Roman" w:hAnsi="Times New Roman"/>
        </w:rPr>
        <w:t>Rady (EÚ) 2023/2844</w:t>
      </w:r>
      <w:r w:rsidR="00E53F8D" w:rsidRPr="00E53F8D">
        <w:rPr>
          <w:rFonts w:ascii="Times New Roman" w:hAnsi="Times New Roman"/>
        </w:rPr>
        <w:t xml:space="preserve"> z </w:t>
      </w:r>
      <w:r w:rsidRPr="00E53F8D">
        <w:rPr>
          <w:rFonts w:ascii="Times New Roman" w:hAnsi="Times New Roman"/>
        </w:rPr>
        <w:t>13</w:t>
      </w:r>
      <w:r w:rsidR="00E53F8D" w:rsidRPr="00E53F8D">
        <w:rPr>
          <w:rFonts w:ascii="Times New Roman" w:hAnsi="Times New Roman"/>
        </w:rPr>
        <w:t>. decembra</w:t>
      </w:r>
      <w:r w:rsidRPr="00E53F8D">
        <w:rPr>
          <w:rFonts w:ascii="Times New Roman" w:hAnsi="Times New Roman"/>
        </w:rPr>
        <w:t xml:space="preserve"> 2023</w:t>
      </w:r>
      <w:r w:rsidR="00E53F8D" w:rsidRPr="00E53F8D">
        <w:rPr>
          <w:rFonts w:ascii="Times New Roman" w:hAnsi="Times New Roman"/>
        </w:rPr>
        <w:t xml:space="preserve"> o </w:t>
      </w:r>
      <w:r w:rsidRPr="00E53F8D">
        <w:rPr>
          <w:rFonts w:ascii="Times New Roman" w:hAnsi="Times New Roman"/>
        </w:rPr>
        <w:t>digitalizácii justičnej spolupráce</w:t>
      </w:r>
      <w:r w:rsidR="00E53F8D" w:rsidRPr="00E53F8D">
        <w:rPr>
          <w:rFonts w:ascii="Times New Roman" w:hAnsi="Times New Roman"/>
        </w:rPr>
        <w:t xml:space="preserve"> a </w:t>
      </w:r>
      <w:r w:rsidRPr="00E53F8D">
        <w:rPr>
          <w:rFonts w:ascii="Times New Roman" w:hAnsi="Times New Roman"/>
        </w:rPr>
        <w:t>prístupu</w:t>
      </w:r>
      <w:r w:rsidR="00E53F8D" w:rsidRPr="00E53F8D">
        <w:rPr>
          <w:rFonts w:ascii="Times New Roman" w:hAnsi="Times New Roman"/>
        </w:rPr>
        <w:t xml:space="preserve"> k </w:t>
      </w:r>
      <w:r w:rsidRPr="00E53F8D">
        <w:rPr>
          <w:rFonts w:ascii="Times New Roman" w:hAnsi="Times New Roman"/>
        </w:rPr>
        <w:t>spravodlivosti</w:t>
      </w:r>
      <w:r w:rsidR="00E53F8D" w:rsidRPr="00E53F8D">
        <w:rPr>
          <w:rFonts w:ascii="Times New Roman" w:hAnsi="Times New Roman"/>
        </w:rPr>
        <w:t xml:space="preserve"> v </w:t>
      </w:r>
      <w:r w:rsidRPr="00E53F8D">
        <w:rPr>
          <w:rFonts w:ascii="Times New Roman" w:hAnsi="Times New Roman"/>
        </w:rPr>
        <w:t>cezhraničných občianskych, obchodných</w:t>
      </w:r>
      <w:r w:rsidR="00E53F8D" w:rsidRPr="00E53F8D">
        <w:rPr>
          <w:rFonts w:ascii="Times New Roman" w:hAnsi="Times New Roman"/>
        </w:rPr>
        <w:t xml:space="preserve"> a </w:t>
      </w:r>
      <w:r w:rsidRPr="00E53F8D">
        <w:rPr>
          <w:rFonts w:ascii="Times New Roman" w:hAnsi="Times New Roman"/>
        </w:rPr>
        <w:t>trestných veciach</w:t>
      </w:r>
      <w:r w:rsidR="00E53F8D" w:rsidRPr="00E53F8D">
        <w:rPr>
          <w:rFonts w:ascii="Times New Roman" w:hAnsi="Times New Roman"/>
        </w:rPr>
        <w:t xml:space="preserve"> a o </w:t>
      </w:r>
      <w:r w:rsidRPr="00E53F8D">
        <w:rPr>
          <w:rFonts w:ascii="Times New Roman" w:hAnsi="Times New Roman"/>
        </w:rPr>
        <w:t>zmene niektorých aktov</w:t>
      </w:r>
      <w:r w:rsidR="00E53F8D" w:rsidRPr="00E53F8D">
        <w:rPr>
          <w:rFonts w:ascii="Times New Roman" w:hAnsi="Times New Roman"/>
        </w:rPr>
        <w:t xml:space="preserve"> v </w:t>
      </w:r>
      <w:r w:rsidRPr="00E53F8D">
        <w:rPr>
          <w:rFonts w:ascii="Times New Roman" w:hAnsi="Times New Roman"/>
        </w:rPr>
        <w:t>oblasti justičnej spolupráce</w:t>
      </w:r>
      <w:r w:rsidR="00E53F8D" w:rsidRPr="00E53F8D">
        <w:rPr>
          <w:rFonts w:ascii="Times New Roman" w:hAnsi="Times New Roman"/>
        </w:rPr>
        <w:t xml:space="preserve"> a </w:t>
      </w:r>
      <w:r w:rsidRPr="00E53F8D">
        <w:rPr>
          <w:rFonts w:ascii="Times New Roman" w:hAnsi="Times New Roman"/>
        </w:rPr>
        <w:t>smernica Európskeho parlamentu</w:t>
      </w:r>
      <w:r w:rsidR="00E53F8D" w:rsidRPr="00E53F8D">
        <w:rPr>
          <w:rFonts w:ascii="Times New Roman" w:hAnsi="Times New Roman"/>
        </w:rPr>
        <w:t xml:space="preserve"> a </w:t>
      </w:r>
      <w:r w:rsidRPr="00E53F8D">
        <w:rPr>
          <w:rFonts w:ascii="Times New Roman" w:hAnsi="Times New Roman"/>
        </w:rPr>
        <w:t>Rady (EÚ) 2023/2843</w:t>
      </w:r>
      <w:r w:rsidR="00E53F8D" w:rsidRPr="00E53F8D">
        <w:rPr>
          <w:rFonts w:ascii="Times New Roman" w:hAnsi="Times New Roman"/>
        </w:rPr>
        <w:t xml:space="preserve"> z </w:t>
      </w:r>
      <w:r w:rsidRPr="00E53F8D">
        <w:rPr>
          <w:rFonts w:ascii="Times New Roman" w:hAnsi="Times New Roman"/>
        </w:rPr>
        <w:t>13</w:t>
      </w:r>
      <w:r w:rsidR="00E53F8D" w:rsidRPr="00E53F8D">
        <w:rPr>
          <w:rFonts w:ascii="Times New Roman" w:hAnsi="Times New Roman"/>
        </w:rPr>
        <w:t>. decembra</w:t>
      </w:r>
      <w:r w:rsidRPr="00E53F8D">
        <w:rPr>
          <w:rFonts w:ascii="Times New Roman" w:hAnsi="Times New Roman"/>
        </w:rPr>
        <w:t xml:space="preserve"> 2023, ktorou sa menia smernice Európskeho parlamentu</w:t>
      </w:r>
      <w:r w:rsidR="00E53F8D" w:rsidRPr="00E53F8D">
        <w:rPr>
          <w:rFonts w:ascii="Times New Roman" w:hAnsi="Times New Roman"/>
        </w:rPr>
        <w:t xml:space="preserve"> a </w:t>
      </w:r>
      <w:r w:rsidRPr="00E53F8D">
        <w:rPr>
          <w:rFonts w:ascii="Times New Roman" w:hAnsi="Times New Roman"/>
        </w:rPr>
        <w:t>Rady 2011/99/EÚ</w:t>
      </w:r>
      <w:r w:rsidR="00E53F8D" w:rsidRPr="00E53F8D">
        <w:rPr>
          <w:rFonts w:ascii="Times New Roman" w:hAnsi="Times New Roman"/>
        </w:rPr>
        <w:t xml:space="preserve"> a </w:t>
      </w:r>
      <w:r w:rsidRPr="00E53F8D">
        <w:rPr>
          <w:rFonts w:ascii="Times New Roman" w:hAnsi="Times New Roman"/>
        </w:rPr>
        <w:t>2014/41/EÚ, smernica Rady 2003/8/ES</w:t>
      </w:r>
      <w:r w:rsidR="00E53F8D" w:rsidRPr="00E53F8D">
        <w:rPr>
          <w:rFonts w:ascii="Times New Roman" w:hAnsi="Times New Roman"/>
        </w:rPr>
        <w:t xml:space="preserve"> a </w:t>
      </w:r>
      <w:r w:rsidRPr="00E53F8D">
        <w:rPr>
          <w:rFonts w:ascii="Times New Roman" w:hAnsi="Times New Roman"/>
        </w:rPr>
        <w:t>rámcové rozhodnutia Rady 2002/584/SVV, 2003/577/SVV, 2005/214/SVV, 2006/783/SVV, 2008/909/SVV, 2008/947/SVV, 2009/829/SVV</w:t>
      </w:r>
      <w:r w:rsidR="00E53F8D" w:rsidRPr="00E53F8D">
        <w:rPr>
          <w:rFonts w:ascii="Times New Roman" w:hAnsi="Times New Roman"/>
        </w:rPr>
        <w:t xml:space="preserve"> a </w:t>
      </w:r>
      <w:r w:rsidRPr="00E53F8D">
        <w:rPr>
          <w:rFonts w:ascii="Times New Roman" w:hAnsi="Times New Roman"/>
        </w:rPr>
        <w:t>2009/948/SVV, pokiaľ ide</w:t>
      </w:r>
      <w:r w:rsidR="00E53F8D" w:rsidRPr="00E53F8D">
        <w:rPr>
          <w:rFonts w:ascii="Times New Roman" w:hAnsi="Times New Roman"/>
        </w:rPr>
        <w:t xml:space="preserve"> o </w:t>
      </w:r>
      <w:r w:rsidRPr="00E53F8D">
        <w:rPr>
          <w:rFonts w:ascii="Times New Roman" w:hAnsi="Times New Roman"/>
        </w:rPr>
        <w:t>digitalizáciu justičnej spolupráce</w:t>
      </w:r>
      <w:r w:rsidR="00E53F8D" w:rsidRPr="00E53F8D">
        <w:rPr>
          <w:rFonts w:ascii="Times New Roman" w:hAnsi="Times New Roman"/>
        </w:rPr>
        <w:t>.</w:t>
      </w:r>
    </w:p>
  </w:footnote>
  <w:footnote w:id="55">
    <w:p w14:paraId="40E1AC39" w14:textId="50817027" w:rsidR="00450B64" w:rsidRPr="00E53F8D" w:rsidRDefault="00450B64"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ab/>
      </w:r>
      <w:r w:rsidRPr="00E53F8D">
        <w:rPr>
          <w:rFonts w:ascii="Times New Roman" w:hAnsi="Times New Roman"/>
          <w:shd w:val="clear" w:color="auto" w:fill="FFFFFF"/>
        </w:rPr>
        <w:t>Oznámenie Komisie Európskemu parlamentu, Rade, Európskej centrálnej banke, Európskemu hospodárskemu</w:t>
      </w:r>
      <w:r w:rsidR="00E53F8D" w:rsidRPr="00E53F8D">
        <w:rPr>
          <w:rFonts w:ascii="Times New Roman" w:hAnsi="Times New Roman"/>
          <w:shd w:val="clear" w:color="auto" w:fill="FFFFFF"/>
        </w:rPr>
        <w:t xml:space="preserve"> a </w:t>
      </w:r>
      <w:r w:rsidRPr="00E53F8D">
        <w:rPr>
          <w:rFonts w:ascii="Times New Roman" w:hAnsi="Times New Roman"/>
          <w:shd w:val="clear" w:color="auto" w:fill="FFFFFF"/>
        </w:rPr>
        <w:t>sociálnemu výboru</w:t>
      </w:r>
      <w:r w:rsidR="00E53F8D" w:rsidRPr="00E53F8D">
        <w:rPr>
          <w:rFonts w:ascii="Times New Roman" w:hAnsi="Times New Roman"/>
          <w:shd w:val="clear" w:color="auto" w:fill="FFFFFF"/>
        </w:rPr>
        <w:t xml:space="preserve"> a </w:t>
      </w:r>
      <w:r w:rsidRPr="00E53F8D">
        <w:rPr>
          <w:rFonts w:ascii="Times New Roman" w:hAnsi="Times New Roman"/>
          <w:shd w:val="clear" w:color="auto" w:fill="FFFFFF"/>
        </w:rPr>
        <w:t>Výboru regiónov</w:t>
      </w:r>
      <w:r w:rsidR="00E53F8D" w:rsidRPr="00E53F8D">
        <w:rPr>
          <w:rFonts w:ascii="Times New Roman" w:hAnsi="Times New Roman"/>
          <w:shd w:val="clear" w:color="auto" w:fill="FFFFFF"/>
        </w:rPr>
        <w:t xml:space="preserve"> z </w:t>
      </w:r>
      <w:r w:rsidRPr="00E53F8D">
        <w:rPr>
          <w:rFonts w:ascii="Times New Roman" w:hAnsi="Times New Roman"/>
          <w:shd w:val="clear" w:color="auto" w:fill="FFFFFF"/>
        </w:rPr>
        <w:t>20</w:t>
      </w:r>
      <w:r w:rsidR="00E53F8D" w:rsidRPr="00E53F8D">
        <w:rPr>
          <w:rFonts w:ascii="Times New Roman" w:hAnsi="Times New Roman"/>
          <w:shd w:val="clear" w:color="auto" w:fill="FFFFFF"/>
        </w:rPr>
        <w:t>. marca</w:t>
      </w:r>
      <w:r w:rsidRPr="00E53F8D">
        <w:rPr>
          <w:rFonts w:ascii="Times New Roman" w:hAnsi="Times New Roman"/>
          <w:shd w:val="clear" w:color="auto" w:fill="FFFFFF"/>
        </w:rPr>
        <w:t xml:space="preserve"> 2024 </w:t>
      </w:r>
      <w:r w:rsidRPr="00E53F8D">
        <w:rPr>
          <w:rFonts w:ascii="Times New Roman" w:hAnsi="Times New Roman"/>
        </w:rPr>
        <w:t>[COM(2023) 309 final]: Porovnávací prehľad EÚ</w:t>
      </w:r>
      <w:r w:rsidR="00E53F8D" w:rsidRPr="00E53F8D">
        <w:rPr>
          <w:rFonts w:ascii="Times New Roman" w:hAnsi="Times New Roman"/>
        </w:rPr>
        <w:t xml:space="preserve"> v </w:t>
      </w:r>
      <w:r w:rsidRPr="00E53F8D">
        <w:rPr>
          <w:rFonts w:ascii="Times New Roman" w:hAnsi="Times New Roman"/>
        </w:rPr>
        <w:t>oblasti justície</w:t>
      </w:r>
      <w:r w:rsidR="00E53F8D" w:rsidRPr="00E53F8D">
        <w:rPr>
          <w:rFonts w:ascii="Times New Roman" w:hAnsi="Times New Roman"/>
        </w:rPr>
        <w:t xml:space="preserve"> z </w:t>
      </w:r>
      <w:r w:rsidRPr="00E53F8D">
        <w:rPr>
          <w:rFonts w:ascii="Times New Roman" w:hAnsi="Times New Roman"/>
        </w:rPr>
        <w:t>roku 2023</w:t>
      </w:r>
      <w:r w:rsidRPr="00E53F8D">
        <w:rPr>
          <w:rFonts w:ascii="Times New Roman" w:hAnsi="Times New Roman"/>
          <w:shd w:val="clear" w:color="auto" w:fill="FFFFFF"/>
        </w:rPr>
        <w:t>.</w:t>
      </w:r>
    </w:p>
  </w:footnote>
  <w:footnote w:id="56">
    <w:p w14:paraId="603F78CC" w14:textId="24E072F9" w:rsidR="0026248D" w:rsidRPr="00E53F8D" w:rsidRDefault="0026248D" w:rsidP="00E53F8D">
      <w:pPr>
        <w:pStyle w:val="FootnoteText"/>
        <w:spacing w:after="0" w:line="240" w:lineRule="auto"/>
        <w:ind w:left="709" w:hanging="709"/>
        <w:jc w:val="both"/>
        <w:rPr>
          <w:rFonts w:ascii="Times New Roman" w:hAnsi="Times New Roman"/>
        </w:rPr>
      </w:pPr>
      <w:r w:rsidRPr="00E53F8D">
        <w:rPr>
          <w:rStyle w:val="FootnoteReference"/>
          <w:rFonts w:ascii="Times New Roman" w:hAnsi="Times New Roman"/>
        </w:rPr>
        <w:footnoteRef/>
      </w:r>
      <w:r w:rsidRPr="00E53F8D">
        <w:rPr>
          <w:rFonts w:ascii="Times New Roman" w:hAnsi="Times New Roman"/>
        </w:rPr>
        <w:t xml:space="preserve"> </w:t>
      </w:r>
      <w:r w:rsidRPr="00E53F8D">
        <w:rPr>
          <w:rFonts w:ascii="Times New Roman" w:hAnsi="Times New Roman"/>
        </w:rPr>
        <w:tab/>
      </w:r>
      <w:hyperlink r:id="rId3" w:history="1">
        <w:r w:rsidRPr="00E53F8D">
          <w:rPr>
            <w:rStyle w:val="Hyperlink"/>
            <w:rFonts w:ascii="Times New Roman" w:hAnsi="Times New Roman"/>
          </w:rPr>
          <w:t>https://data.consilium.europa.eu/doc/document/ST-15509-2023-INIT/sk/pdf</w:t>
        </w:r>
      </w:hyperlink>
      <w:r w:rsidR="00E53F8D" w:rsidRPr="00E53F8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8CB07" w14:textId="77777777" w:rsidR="0002766F" w:rsidRPr="0002766F" w:rsidRDefault="0002766F" w:rsidP="0002766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BBC" w14:textId="77777777" w:rsidR="0002766F" w:rsidRPr="0002766F" w:rsidRDefault="0002766F" w:rsidP="0002766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B4787" w14:textId="77777777" w:rsidR="0002766F" w:rsidRPr="0002766F" w:rsidRDefault="0002766F" w:rsidP="0002766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AB99" w14:textId="77777777" w:rsidR="00EF61CD" w:rsidRDefault="00EF61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CEBFF" w14:textId="77777777" w:rsidR="00EF61CD" w:rsidRDefault="00EF61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299A" w14:textId="77777777" w:rsidR="00EF61CD" w:rsidRDefault="00EF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479"/>
    <w:multiLevelType w:val="hybridMultilevel"/>
    <w:tmpl w:val="CF80FEDA"/>
    <w:lvl w:ilvl="0" w:tplc="1954F6E8">
      <w:start w:val="1"/>
      <w:numFmt w:val="lowerLetter"/>
      <w:lvlText w:val="%1)"/>
      <w:lvlJc w:val="left"/>
      <w:pPr>
        <w:ind w:left="960" w:hanging="360"/>
      </w:pPr>
      <w:rPr>
        <w:rFonts w:hint="default"/>
      </w:rPr>
    </w:lvl>
    <w:lvl w:ilvl="1" w:tplc="18090019" w:tentative="1">
      <w:start w:val="1"/>
      <w:numFmt w:val="lowerLetter"/>
      <w:lvlText w:val="%2."/>
      <w:lvlJc w:val="left"/>
      <w:pPr>
        <w:ind w:left="1680" w:hanging="360"/>
      </w:pPr>
    </w:lvl>
    <w:lvl w:ilvl="2" w:tplc="1809001B" w:tentative="1">
      <w:start w:val="1"/>
      <w:numFmt w:val="lowerRoman"/>
      <w:lvlText w:val="%3."/>
      <w:lvlJc w:val="right"/>
      <w:pPr>
        <w:ind w:left="2400" w:hanging="180"/>
      </w:pPr>
    </w:lvl>
    <w:lvl w:ilvl="3" w:tplc="1809000F" w:tentative="1">
      <w:start w:val="1"/>
      <w:numFmt w:val="decimal"/>
      <w:lvlText w:val="%4."/>
      <w:lvlJc w:val="left"/>
      <w:pPr>
        <w:ind w:left="3120" w:hanging="360"/>
      </w:pPr>
    </w:lvl>
    <w:lvl w:ilvl="4" w:tplc="18090019" w:tentative="1">
      <w:start w:val="1"/>
      <w:numFmt w:val="lowerLetter"/>
      <w:lvlText w:val="%5."/>
      <w:lvlJc w:val="left"/>
      <w:pPr>
        <w:ind w:left="3840" w:hanging="360"/>
      </w:pPr>
    </w:lvl>
    <w:lvl w:ilvl="5" w:tplc="1809001B" w:tentative="1">
      <w:start w:val="1"/>
      <w:numFmt w:val="lowerRoman"/>
      <w:lvlText w:val="%6."/>
      <w:lvlJc w:val="right"/>
      <w:pPr>
        <w:ind w:left="4560" w:hanging="180"/>
      </w:pPr>
    </w:lvl>
    <w:lvl w:ilvl="6" w:tplc="1809000F" w:tentative="1">
      <w:start w:val="1"/>
      <w:numFmt w:val="decimal"/>
      <w:lvlText w:val="%7."/>
      <w:lvlJc w:val="left"/>
      <w:pPr>
        <w:ind w:left="5280" w:hanging="360"/>
      </w:pPr>
    </w:lvl>
    <w:lvl w:ilvl="7" w:tplc="18090019" w:tentative="1">
      <w:start w:val="1"/>
      <w:numFmt w:val="lowerLetter"/>
      <w:lvlText w:val="%8."/>
      <w:lvlJc w:val="left"/>
      <w:pPr>
        <w:ind w:left="6000" w:hanging="360"/>
      </w:pPr>
    </w:lvl>
    <w:lvl w:ilvl="8" w:tplc="1809001B" w:tentative="1">
      <w:start w:val="1"/>
      <w:numFmt w:val="lowerRoman"/>
      <w:lvlText w:val="%9."/>
      <w:lvlJc w:val="right"/>
      <w:pPr>
        <w:ind w:left="6720" w:hanging="180"/>
      </w:pPr>
    </w:lvl>
  </w:abstractNum>
  <w:abstractNum w:abstractNumId="1" w15:restartNumberingAfterBreak="0">
    <w:nsid w:val="10A77727"/>
    <w:multiLevelType w:val="multilevel"/>
    <w:tmpl w:val="FFFFFFFF"/>
    <w:lvl w:ilvl="0">
      <w:start w:val="1"/>
      <w:numFmt w:val="decimal"/>
      <w:lvlText w:val="%1."/>
      <w:lvlJc w:val="left"/>
      <w:pPr>
        <w:ind w:left="1080" w:hanging="720"/>
      </w:pPr>
      <w:rPr>
        <w:rFonts w:cs="Times New Roman" w:hint="default"/>
        <w:b/>
        <w:bCs/>
        <w:i w:val="0"/>
        <w:iCs w:val="0"/>
        <w:sz w:val="28"/>
        <w:szCs w:val="28"/>
      </w:rPr>
    </w:lvl>
    <w:lvl w:ilvl="1">
      <w:start w:val="1"/>
      <w:numFmt w:val="decimal"/>
      <w:isLgl/>
      <w:lvlText w:val="%1.%2."/>
      <w:lvlJc w:val="left"/>
      <w:pPr>
        <w:ind w:left="1680" w:hanging="720"/>
      </w:pPr>
      <w:rPr>
        <w:rFonts w:cs="Times New Roman" w:hint="default"/>
        <w:b w:val="0"/>
        <w:bCs w:val="0"/>
        <w:i w:val="0"/>
        <w:iCs w:val="0"/>
        <w:sz w:val="24"/>
        <w:szCs w:val="24"/>
      </w:rPr>
    </w:lvl>
    <w:lvl w:ilvl="2">
      <w:start w:val="1"/>
      <w:numFmt w:val="decimal"/>
      <w:isLgl/>
      <w:lvlText w:val="%1.%2.%3."/>
      <w:lvlJc w:val="left"/>
      <w:pPr>
        <w:ind w:left="2400" w:hanging="720"/>
      </w:pPr>
      <w:rPr>
        <w:rFonts w:cs="Times New Roman" w:hint="default"/>
        <w:b w:val="0"/>
        <w:bCs w:val="0"/>
      </w:rPr>
    </w:lvl>
    <w:lvl w:ilvl="3">
      <w:start w:val="1"/>
      <w:numFmt w:val="decimal"/>
      <w:isLgl/>
      <w:lvlText w:val="%1.%2.%3.%4."/>
      <w:lvlJc w:val="left"/>
      <w:pPr>
        <w:ind w:left="3480" w:hanging="1080"/>
      </w:pPr>
      <w:rPr>
        <w:rFonts w:cs="Times New Roman" w:hint="default"/>
      </w:rPr>
    </w:lvl>
    <w:lvl w:ilvl="4">
      <w:start w:val="1"/>
      <w:numFmt w:val="decimal"/>
      <w:isLgl/>
      <w:lvlText w:val="%1.%2.%3.%4.%5."/>
      <w:lvlJc w:val="left"/>
      <w:pPr>
        <w:ind w:left="4200" w:hanging="1080"/>
      </w:pPr>
      <w:rPr>
        <w:rFonts w:cs="Times New Roman" w:hint="default"/>
      </w:rPr>
    </w:lvl>
    <w:lvl w:ilvl="5">
      <w:start w:val="1"/>
      <w:numFmt w:val="decimal"/>
      <w:isLgl/>
      <w:lvlText w:val="%1.%2.%3.%4.%5.%6."/>
      <w:lvlJc w:val="left"/>
      <w:pPr>
        <w:ind w:left="5280" w:hanging="1440"/>
      </w:pPr>
      <w:rPr>
        <w:rFonts w:cs="Times New Roman" w:hint="default"/>
      </w:rPr>
    </w:lvl>
    <w:lvl w:ilvl="6">
      <w:start w:val="1"/>
      <w:numFmt w:val="decimal"/>
      <w:isLgl/>
      <w:lvlText w:val="%1.%2.%3.%4.%5.%6.%7."/>
      <w:lvlJc w:val="left"/>
      <w:pPr>
        <w:ind w:left="6360" w:hanging="1800"/>
      </w:pPr>
      <w:rPr>
        <w:rFonts w:cs="Times New Roman" w:hint="default"/>
      </w:rPr>
    </w:lvl>
    <w:lvl w:ilvl="7">
      <w:start w:val="1"/>
      <w:numFmt w:val="decimal"/>
      <w:isLgl/>
      <w:lvlText w:val="%1.%2.%3.%4.%5.%6.%7.%8."/>
      <w:lvlJc w:val="left"/>
      <w:pPr>
        <w:ind w:left="7080" w:hanging="1800"/>
      </w:pPr>
      <w:rPr>
        <w:rFonts w:cs="Times New Roman" w:hint="default"/>
      </w:rPr>
    </w:lvl>
    <w:lvl w:ilvl="8">
      <w:start w:val="1"/>
      <w:numFmt w:val="decimal"/>
      <w:isLgl/>
      <w:lvlText w:val="%1.%2.%3.%4.%5.%6.%7.%8.%9."/>
      <w:lvlJc w:val="left"/>
      <w:pPr>
        <w:ind w:left="8160" w:hanging="2160"/>
      </w:pPr>
      <w:rPr>
        <w:rFonts w:cs="Times New Roman" w:hint="default"/>
      </w:rPr>
    </w:lvl>
  </w:abstractNum>
  <w:abstractNum w:abstractNumId="2" w15:restartNumberingAfterBreak="0">
    <w:nsid w:val="13DD3F0C"/>
    <w:multiLevelType w:val="hybridMultilevel"/>
    <w:tmpl w:val="053885D6"/>
    <w:lvl w:ilvl="0" w:tplc="79A4F288">
      <w:start w:val="1"/>
      <w:numFmt w:val="lowerLetter"/>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3" w15:restartNumberingAfterBreak="0">
    <w:nsid w:val="17AB4131"/>
    <w:multiLevelType w:val="hybridMultilevel"/>
    <w:tmpl w:val="6BDEC4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3A2373"/>
    <w:multiLevelType w:val="hybridMultilevel"/>
    <w:tmpl w:val="0C02247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E986AB9"/>
    <w:multiLevelType w:val="hybridMultilevel"/>
    <w:tmpl w:val="02E668E0"/>
    <w:lvl w:ilvl="0" w:tplc="18090017">
      <w:start w:val="1"/>
      <w:numFmt w:val="lowerLetter"/>
      <w:lvlText w:val="%1)"/>
      <w:lvlJc w:val="left"/>
      <w:pPr>
        <w:ind w:left="960" w:hanging="360"/>
      </w:pPr>
    </w:lvl>
    <w:lvl w:ilvl="1" w:tplc="18090019" w:tentative="1">
      <w:start w:val="1"/>
      <w:numFmt w:val="lowerLetter"/>
      <w:lvlText w:val="%2."/>
      <w:lvlJc w:val="left"/>
      <w:pPr>
        <w:ind w:left="1680" w:hanging="360"/>
      </w:pPr>
    </w:lvl>
    <w:lvl w:ilvl="2" w:tplc="1809001B" w:tentative="1">
      <w:start w:val="1"/>
      <w:numFmt w:val="lowerRoman"/>
      <w:lvlText w:val="%3."/>
      <w:lvlJc w:val="right"/>
      <w:pPr>
        <w:ind w:left="2400" w:hanging="180"/>
      </w:pPr>
    </w:lvl>
    <w:lvl w:ilvl="3" w:tplc="1809000F" w:tentative="1">
      <w:start w:val="1"/>
      <w:numFmt w:val="decimal"/>
      <w:lvlText w:val="%4."/>
      <w:lvlJc w:val="left"/>
      <w:pPr>
        <w:ind w:left="3120" w:hanging="360"/>
      </w:pPr>
    </w:lvl>
    <w:lvl w:ilvl="4" w:tplc="18090019" w:tentative="1">
      <w:start w:val="1"/>
      <w:numFmt w:val="lowerLetter"/>
      <w:lvlText w:val="%5."/>
      <w:lvlJc w:val="left"/>
      <w:pPr>
        <w:ind w:left="3840" w:hanging="360"/>
      </w:pPr>
    </w:lvl>
    <w:lvl w:ilvl="5" w:tplc="1809001B" w:tentative="1">
      <w:start w:val="1"/>
      <w:numFmt w:val="lowerRoman"/>
      <w:lvlText w:val="%6."/>
      <w:lvlJc w:val="right"/>
      <w:pPr>
        <w:ind w:left="4560" w:hanging="180"/>
      </w:pPr>
    </w:lvl>
    <w:lvl w:ilvl="6" w:tplc="1809000F" w:tentative="1">
      <w:start w:val="1"/>
      <w:numFmt w:val="decimal"/>
      <w:lvlText w:val="%7."/>
      <w:lvlJc w:val="left"/>
      <w:pPr>
        <w:ind w:left="5280" w:hanging="360"/>
      </w:pPr>
    </w:lvl>
    <w:lvl w:ilvl="7" w:tplc="18090019" w:tentative="1">
      <w:start w:val="1"/>
      <w:numFmt w:val="lowerLetter"/>
      <w:lvlText w:val="%8."/>
      <w:lvlJc w:val="left"/>
      <w:pPr>
        <w:ind w:left="6000" w:hanging="360"/>
      </w:pPr>
    </w:lvl>
    <w:lvl w:ilvl="8" w:tplc="1809001B" w:tentative="1">
      <w:start w:val="1"/>
      <w:numFmt w:val="lowerRoman"/>
      <w:lvlText w:val="%9."/>
      <w:lvlJc w:val="right"/>
      <w:pPr>
        <w:ind w:left="6720" w:hanging="180"/>
      </w:pPr>
    </w:lvl>
  </w:abstractNum>
  <w:abstractNum w:abstractNumId="6" w15:restartNumberingAfterBreak="0">
    <w:nsid w:val="23D26BDF"/>
    <w:multiLevelType w:val="hybridMultilevel"/>
    <w:tmpl w:val="0DD042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F27155"/>
    <w:multiLevelType w:val="hybridMultilevel"/>
    <w:tmpl w:val="D19C03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7F157F"/>
    <w:multiLevelType w:val="hybridMultilevel"/>
    <w:tmpl w:val="B0B0CF4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68D6BEF"/>
    <w:multiLevelType w:val="hybridMultilevel"/>
    <w:tmpl w:val="EBB87122"/>
    <w:lvl w:ilvl="0" w:tplc="1954F6E8">
      <w:start w:val="1"/>
      <w:numFmt w:val="lowerLetter"/>
      <w:lvlText w:val="%1)"/>
      <w:lvlJc w:val="left"/>
      <w:pPr>
        <w:ind w:left="168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3C467FA6"/>
    <w:multiLevelType w:val="hybridMultilevel"/>
    <w:tmpl w:val="91E81C4A"/>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1" w15:restartNumberingAfterBreak="0">
    <w:nsid w:val="3D703F3A"/>
    <w:multiLevelType w:val="multilevel"/>
    <w:tmpl w:val="8E96A9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9236B09"/>
    <w:multiLevelType w:val="hybridMultilevel"/>
    <w:tmpl w:val="11761B02"/>
    <w:lvl w:ilvl="0" w:tplc="99BA0C02">
      <w:start w:val="1"/>
      <w:numFmt w:val="lowerLetter"/>
      <w:lvlText w:val="%1)"/>
      <w:lvlJc w:val="left"/>
      <w:pPr>
        <w:ind w:left="1440" w:hanging="360"/>
      </w:pPr>
      <w:rPr>
        <w:rFonts w:ascii="Times New Roman" w:hAnsi="Times New Roman" w:cs="Times New Roman" w:hint="default"/>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15:restartNumberingAfterBreak="0">
    <w:nsid w:val="612C1823"/>
    <w:multiLevelType w:val="hybridMultilevel"/>
    <w:tmpl w:val="B11E460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39A26BA"/>
    <w:multiLevelType w:val="hybridMultilevel"/>
    <w:tmpl w:val="D24C4BE6"/>
    <w:lvl w:ilvl="0" w:tplc="1954F6E8">
      <w:start w:val="1"/>
      <w:numFmt w:val="lowerLetter"/>
      <w:lvlText w:val="%1)"/>
      <w:lvlJc w:val="left"/>
      <w:pPr>
        <w:ind w:left="9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A8B687A"/>
    <w:multiLevelType w:val="hybridMultilevel"/>
    <w:tmpl w:val="1D046CF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3D066C"/>
    <w:multiLevelType w:val="hybridMultilevel"/>
    <w:tmpl w:val="E2B280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7"/>
  </w:num>
  <w:num w:numId="5">
    <w:abstractNumId w:val="6"/>
  </w:num>
  <w:num w:numId="6">
    <w:abstractNumId w:val="15"/>
  </w:num>
  <w:num w:numId="7">
    <w:abstractNumId w:val="4"/>
  </w:num>
  <w:num w:numId="8">
    <w:abstractNumId w:val="5"/>
  </w:num>
  <w:num w:numId="9">
    <w:abstractNumId w:val="2"/>
  </w:num>
  <w:num w:numId="10">
    <w:abstractNumId w:val="0"/>
  </w:num>
  <w:num w:numId="11">
    <w:abstractNumId w:val="14"/>
  </w:num>
  <w:num w:numId="12">
    <w:abstractNumId w:val="9"/>
  </w:num>
  <w:num w:numId="13">
    <w:abstractNumId w:val="13"/>
  </w:num>
  <w:num w:numId="14">
    <w:abstractNumId w:val="8"/>
  </w:num>
  <w:num w:numId="15">
    <w:abstractNumId w:val="16"/>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A0002762-72F3-47A8-B54D-4A597703432A"/>
    <w:docVar w:name="LW_COVERPAGE_TYPE" w:val="1"/>
    <w:docVar w:name="LW_CROSSREFERENCE" w:val="{SWD(2025) 135 final}"/>
    <w:docVar w:name="LW_DocType" w:val="NORMAL"/>
    <w:docVar w:name="LW_EMISSION" w:val="2. 6. 2025"/>
    <w:docVar w:name="LW_EMISSION_ISODATE" w:val="2025-06-02"/>
    <w:docVar w:name="LW_EMISSION_LOCATION" w:val="BRX"/>
    <w:docVar w:name="LW_EMISSION_PREFIX" w:val="V Bruseli"/>
    <w:docVar w:name="LW_EMISSION_SUFFIX" w:val=" "/>
    <w:docVar w:name="LW_ID_DOCTYPE_NONLW" w:val="CP-007"/>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5) 26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uplat\u328?ovaní nariadenia Európskeho parlamentu a Rady (EÚ) \u269?. 1215/2012 z 12. decembra 2012 o právomoci a o uznávaní a výkone rozsudkov v ob\u269?ianskych a obchodných veciach (prepracované znenie) _x000d__x000d__x000d__x000d__x000d__x000b_"/>
    <w:docVar w:name="LW_TYPE.DOC.CP" w:val="SPRÁVA KOMISIE EURÓPSKEMU PARLAMENTU, RADE A EURÓPSKEMU HOSPODÁRSKEMU A SOCIÁLNEMU VÝBORU"/>
    <w:docVar w:name="LwApiVersions" w:val="LW4CoDe 1.24.5.0; LW 9.0, Build 20240221"/>
  </w:docVars>
  <w:rsids>
    <w:rsidRoot w:val="00EF61CD"/>
    <w:rsid w:val="00000A19"/>
    <w:rsid w:val="000013F5"/>
    <w:rsid w:val="00002A06"/>
    <w:rsid w:val="0000300F"/>
    <w:rsid w:val="00006083"/>
    <w:rsid w:val="00007929"/>
    <w:rsid w:val="0001790B"/>
    <w:rsid w:val="00017F7C"/>
    <w:rsid w:val="00021522"/>
    <w:rsid w:val="00022D5E"/>
    <w:rsid w:val="000262E4"/>
    <w:rsid w:val="000275A3"/>
    <w:rsid w:val="0002766F"/>
    <w:rsid w:val="00036602"/>
    <w:rsid w:val="00036D55"/>
    <w:rsid w:val="00040066"/>
    <w:rsid w:val="000407F1"/>
    <w:rsid w:val="00041061"/>
    <w:rsid w:val="0004682E"/>
    <w:rsid w:val="0004726F"/>
    <w:rsid w:val="0004741E"/>
    <w:rsid w:val="000559F2"/>
    <w:rsid w:val="0006063F"/>
    <w:rsid w:val="0006099A"/>
    <w:rsid w:val="00066684"/>
    <w:rsid w:val="00067893"/>
    <w:rsid w:val="00070685"/>
    <w:rsid w:val="000715B5"/>
    <w:rsid w:val="00074833"/>
    <w:rsid w:val="000752F9"/>
    <w:rsid w:val="000756D7"/>
    <w:rsid w:val="0007683F"/>
    <w:rsid w:val="00076C2E"/>
    <w:rsid w:val="00082668"/>
    <w:rsid w:val="00082D14"/>
    <w:rsid w:val="0008387F"/>
    <w:rsid w:val="00085F6E"/>
    <w:rsid w:val="000930BE"/>
    <w:rsid w:val="00093E4A"/>
    <w:rsid w:val="000A01EA"/>
    <w:rsid w:val="000A157E"/>
    <w:rsid w:val="000A4034"/>
    <w:rsid w:val="000A61CA"/>
    <w:rsid w:val="000B5104"/>
    <w:rsid w:val="000B56FC"/>
    <w:rsid w:val="000C090B"/>
    <w:rsid w:val="000C3CAB"/>
    <w:rsid w:val="000C7C9F"/>
    <w:rsid w:val="000C7F0C"/>
    <w:rsid w:val="000D0C3B"/>
    <w:rsid w:val="000D2ECA"/>
    <w:rsid w:val="000D3413"/>
    <w:rsid w:val="000E01C9"/>
    <w:rsid w:val="000E23EC"/>
    <w:rsid w:val="000F17A4"/>
    <w:rsid w:val="000F2015"/>
    <w:rsid w:val="000F4F7D"/>
    <w:rsid w:val="000F6099"/>
    <w:rsid w:val="0010036F"/>
    <w:rsid w:val="00105A04"/>
    <w:rsid w:val="001106EF"/>
    <w:rsid w:val="00114F6D"/>
    <w:rsid w:val="00115FF6"/>
    <w:rsid w:val="00120D6E"/>
    <w:rsid w:val="00125FFB"/>
    <w:rsid w:val="00131D5A"/>
    <w:rsid w:val="001405D0"/>
    <w:rsid w:val="0014461D"/>
    <w:rsid w:val="00146896"/>
    <w:rsid w:val="0015072D"/>
    <w:rsid w:val="00150FF8"/>
    <w:rsid w:val="00152B71"/>
    <w:rsid w:val="001551D5"/>
    <w:rsid w:val="001555F8"/>
    <w:rsid w:val="00156AFD"/>
    <w:rsid w:val="00157D8C"/>
    <w:rsid w:val="001608E3"/>
    <w:rsid w:val="001626BF"/>
    <w:rsid w:val="0016384D"/>
    <w:rsid w:val="00163C0F"/>
    <w:rsid w:val="00164B44"/>
    <w:rsid w:val="0016714D"/>
    <w:rsid w:val="001710BE"/>
    <w:rsid w:val="00171E2E"/>
    <w:rsid w:val="0017333A"/>
    <w:rsid w:val="00181D30"/>
    <w:rsid w:val="0018601C"/>
    <w:rsid w:val="0019202A"/>
    <w:rsid w:val="00193820"/>
    <w:rsid w:val="001940A8"/>
    <w:rsid w:val="00195383"/>
    <w:rsid w:val="00196F2F"/>
    <w:rsid w:val="001A2229"/>
    <w:rsid w:val="001A3D5F"/>
    <w:rsid w:val="001A5C70"/>
    <w:rsid w:val="001A6966"/>
    <w:rsid w:val="001B4CEB"/>
    <w:rsid w:val="001B4DD2"/>
    <w:rsid w:val="001B5045"/>
    <w:rsid w:val="001B57BE"/>
    <w:rsid w:val="001B6517"/>
    <w:rsid w:val="001C2B8E"/>
    <w:rsid w:val="001D05E3"/>
    <w:rsid w:val="001D20E5"/>
    <w:rsid w:val="001D22C7"/>
    <w:rsid w:val="001D3211"/>
    <w:rsid w:val="001D638E"/>
    <w:rsid w:val="001E5781"/>
    <w:rsid w:val="001F4FA0"/>
    <w:rsid w:val="001F6E7A"/>
    <w:rsid w:val="00201B47"/>
    <w:rsid w:val="0020283C"/>
    <w:rsid w:val="00203D3E"/>
    <w:rsid w:val="00206B77"/>
    <w:rsid w:val="00207348"/>
    <w:rsid w:val="00211344"/>
    <w:rsid w:val="00211935"/>
    <w:rsid w:val="00212414"/>
    <w:rsid w:val="00213C09"/>
    <w:rsid w:val="002149C4"/>
    <w:rsid w:val="00214D65"/>
    <w:rsid w:val="0022530A"/>
    <w:rsid w:val="002275FA"/>
    <w:rsid w:val="00232416"/>
    <w:rsid w:val="00232AEF"/>
    <w:rsid w:val="002337CB"/>
    <w:rsid w:val="00233AE8"/>
    <w:rsid w:val="002408FD"/>
    <w:rsid w:val="002438F7"/>
    <w:rsid w:val="00244B74"/>
    <w:rsid w:val="002461CB"/>
    <w:rsid w:val="002530FC"/>
    <w:rsid w:val="00262037"/>
    <w:rsid w:val="0026248D"/>
    <w:rsid w:val="0026482E"/>
    <w:rsid w:val="0026562A"/>
    <w:rsid w:val="0026661C"/>
    <w:rsid w:val="00266A27"/>
    <w:rsid w:val="002678DC"/>
    <w:rsid w:val="00271571"/>
    <w:rsid w:val="002720E4"/>
    <w:rsid w:val="00273331"/>
    <w:rsid w:val="002760D9"/>
    <w:rsid w:val="002762D9"/>
    <w:rsid w:val="00280630"/>
    <w:rsid w:val="00283213"/>
    <w:rsid w:val="0028442A"/>
    <w:rsid w:val="002849D9"/>
    <w:rsid w:val="00284A1D"/>
    <w:rsid w:val="00284ED7"/>
    <w:rsid w:val="0028732E"/>
    <w:rsid w:val="002906E6"/>
    <w:rsid w:val="002912B0"/>
    <w:rsid w:val="002919F7"/>
    <w:rsid w:val="00295C62"/>
    <w:rsid w:val="002A2EFF"/>
    <w:rsid w:val="002A42B6"/>
    <w:rsid w:val="002A5719"/>
    <w:rsid w:val="002B0331"/>
    <w:rsid w:val="002B14CA"/>
    <w:rsid w:val="002B33B3"/>
    <w:rsid w:val="002B37B8"/>
    <w:rsid w:val="002B694F"/>
    <w:rsid w:val="002B73E5"/>
    <w:rsid w:val="002C051D"/>
    <w:rsid w:val="002C13FC"/>
    <w:rsid w:val="002C2001"/>
    <w:rsid w:val="002C62B0"/>
    <w:rsid w:val="002D08BA"/>
    <w:rsid w:val="002D2CE5"/>
    <w:rsid w:val="002D4333"/>
    <w:rsid w:val="002D6649"/>
    <w:rsid w:val="002E77F1"/>
    <w:rsid w:val="002F08B6"/>
    <w:rsid w:val="002F0CB6"/>
    <w:rsid w:val="002F1467"/>
    <w:rsid w:val="002F36D5"/>
    <w:rsid w:val="002F4E4E"/>
    <w:rsid w:val="002F4F1A"/>
    <w:rsid w:val="0030149D"/>
    <w:rsid w:val="0030164E"/>
    <w:rsid w:val="00311F63"/>
    <w:rsid w:val="00313A2A"/>
    <w:rsid w:val="00315950"/>
    <w:rsid w:val="00317668"/>
    <w:rsid w:val="00320840"/>
    <w:rsid w:val="0032337C"/>
    <w:rsid w:val="00323643"/>
    <w:rsid w:val="0032439A"/>
    <w:rsid w:val="0032536C"/>
    <w:rsid w:val="003262BB"/>
    <w:rsid w:val="003309BB"/>
    <w:rsid w:val="003358BD"/>
    <w:rsid w:val="0033640D"/>
    <w:rsid w:val="0033761B"/>
    <w:rsid w:val="00340446"/>
    <w:rsid w:val="003439C1"/>
    <w:rsid w:val="00346B36"/>
    <w:rsid w:val="003472A7"/>
    <w:rsid w:val="00351337"/>
    <w:rsid w:val="00352621"/>
    <w:rsid w:val="003555EC"/>
    <w:rsid w:val="003639A0"/>
    <w:rsid w:val="00363B50"/>
    <w:rsid w:val="003656F8"/>
    <w:rsid w:val="00366477"/>
    <w:rsid w:val="00366E4F"/>
    <w:rsid w:val="00367193"/>
    <w:rsid w:val="00370E4A"/>
    <w:rsid w:val="003731C7"/>
    <w:rsid w:val="003749DA"/>
    <w:rsid w:val="003759AA"/>
    <w:rsid w:val="00375F46"/>
    <w:rsid w:val="00380FF9"/>
    <w:rsid w:val="00382A2A"/>
    <w:rsid w:val="0038346B"/>
    <w:rsid w:val="00383B44"/>
    <w:rsid w:val="00386380"/>
    <w:rsid w:val="00386A9C"/>
    <w:rsid w:val="00387031"/>
    <w:rsid w:val="003907D9"/>
    <w:rsid w:val="003928E1"/>
    <w:rsid w:val="003933CC"/>
    <w:rsid w:val="003935EB"/>
    <w:rsid w:val="00395844"/>
    <w:rsid w:val="00395A3D"/>
    <w:rsid w:val="00396514"/>
    <w:rsid w:val="00397C57"/>
    <w:rsid w:val="003A20E5"/>
    <w:rsid w:val="003A27FA"/>
    <w:rsid w:val="003A2FD0"/>
    <w:rsid w:val="003A320A"/>
    <w:rsid w:val="003A6319"/>
    <w:rsid w:val="003B2E42"/>
    <w:rsid w:val="003B3DD9"/>
    <w:rsid w:val="003B5687"/>
    <w:rsid w:val="003B76F1"/>
    <w:rsid w:val="003D4D2C"/>
    <w:rsid w:val="003E15D3"/>
    <w:rsid w:val="003E4426"/>
    <w:rsid w:val="003F3600"/>
    <w:rsid w:val="003F36C6"/>
    <w:rsid w:val="003F4079"/>
    <w:rsid w:val="003F7236"/>
    <w:rsid w:val="004000C5"/>
    <w:rsid w:val="004013F0"/>
    <w:rsid w:val="00411BD8"/>
    <w:rsid w:val="00412074"/>
    <w:rsid w:val="004124AD"/>
    <w:rsid w:val="0041678E"/>
    <w:rsid w:val="004169C6"/>
    <w:rsid w:val="00417DAA"/>
    <w:rsid w:val="00420065"/>
    <w:rsid w:val="0042014D"/>
    <w:rsid w:val="00423FD5"/>
    <w:rsid w:val="00425982"/>
    <w:rsid w:val="00426448"/>
    <w:rsid w:val="00430D44"/>
    <w:rsid w:val="004310C9"/>
    <w:rsid w:val="00431DD2"/>
    <w:rsid w:val="0043692D"/>
    <w:rsid w:val="0043701B"/>
    <w:rsid w:val="0043717A"/>
    <w:rsid w:val="00441523"/>
    <w:rsid w:val="00447827"/>
    <w:rsid w:val="00450B64"/>
    <w:rsid w:val="00451659"/>
    <w:rsid w:val="00451EA9"/>
    <w:rsid w:val="00452A8C"/>
    <w:rsid w:val="004564D8"/>
    <w:rsid w:val="00463906"/>
    <w:rsid w:val="00466384"/>
    <w:rsid w:val="00470AF2"/>
    <w:rsid w:val="00471AD8"/>
    <w:rsid w:val="00472C0C"/>
    <w:rsid w:val="004734DD"/>
    <w:rsid w:val="00473FF3"/>
    <w:rsid w:val="004761F3"/>
    <w:rsid w:val="00484EEE"/>
    <w:rsid w:val="0049264B"/>
    <w:rsid w:val="00493372"/>
    <w:rsid w:val="00494435"/>
    <w:rsid w:val="00494590"/>
    <w:rsid w:val="004945D0"/>
    <w:rsid w:val="004956E0"/>
    <w:rsid w:val="00496D82"/>
    <w:rsid w:val="004A016C"/>
    <w:rsid w:val="004A14DA"/>
    <w:rsid w:val="004A380E"/>
    <w:rsid w:val="004A4031"/>
    <w:rsid w:val="004A4476"/>
    <w:rsid w:val="004A6AC2"/>
    <w:rsid w:val="004B427D"/>
    <w:rsid w:val="004B4708"/>
    <w:rsid w:val="004B4A6E"/>
    <w:rsid w:val="004B4B26"/>
    <w:rsid w:val="004B52CB"/>
    <w:rsid w:val="004B6BE1"/>
    <w:rsid w:val="004B71CE"/>
    <w:rsid w:val="004B74DC"/>
    <w:rsid w:val="004B791E"/>
    <w:rsid w:val="004C07E1"/>
    <w:rsid w:val="004C10AE"/>
    <w:rsid w:val="004C5D67"/>
    <w:rsid w:val="004D0216"/>
    <w:rsid w:val="004D34CA"/>
    <w:rsid w:val="004D3B7B"/>
    <w:rsid w:val="004D46B1"/>
    <w:rsid w:val="004E250E"/>
    <w:rsid w:val="004E2586"/>
    <w:rsid w:val="004E2962"/>
    <w:rsid w:val="004E344A"/>
    <w:rsid w:val="004E3E91"/>
    <w:rsid w:val="004E5A72"/>
    <w:rsid w:val="004E6404"/>
    <w:rsid w:val="004F01FA"/>
    <w:rsid w:val="004F0AE4"/>
    <w:rsid w:val="004F0ED9"/>
    <w:rsid w:val="004F117A"/>
    <w:rsid w:val="004F15E6"/>
    <w:rsid w:val="004F2A1B"/>
    <w:rsid w:val="004F6FDF"/>
    <w:rsid w:val="00500DD2"/>
    <w:rsid w:val="005015FB"/>
    <w:rsid w:val="00503834"/>
    <w:rsid w:val="005055A3"/>
    <w:rsid w:val="005059FA"/>
    <w:rsid w:val="00505B3D"/>
    <w:rsid w:val="00505C6A"/>
    <w:rsid w:val="0051022A"/>
    <w:rsid w:val="00512E7A"/>
    <w:rsid w:val="00514BD9"/>
    <w:rsid w:val="00521694"/>
    <w:rsid w:val="00526EF7"/>
    <w:rsid w:val="0053015B"/>
    <w:rsid w:val="005307C3"/>
    <w:rsid w:val="005360B4"/>
    <w:rsid w:val="0053631D"/>
    <w:rsid w:val="0054122F"/>
    <w:rsid w:val="005434EF"/>
    <w:rsid w:val="00544474"/>
    <w:rsid w:val="00544827"/>
    <w:rsid w:val="00544E79"/>
    <w:rsid w:val="005473A7"/>
    <w:rsid w:val="00551566"/>
    <w:rsid w:val="00553F3A"/>
    <w:rsid w:val="00555A00"/>
    <w:rsid w:val="00555D9C"/>
    <w:rsid w:val="00555EF3"/>
    <w:rsid w:val="00557C4A"/>
    <w:rsid w:val="00560EFE"/>
    <w:rsid w:val="00564152"/>
    <w:rsid w:val="00566040"/>
    <w:rsid w:val="00567B59"/>
    <w:rsid w:val="00574543"/>
    <w:rsid w:val="00574C13"/>
    <w:rsid w:val="00574C82"/>
    <w:rsid w:val="00574F03"/>
    <w:rsid w:val="00574F46"/>
    <w:rsid w:val="00575818"/>
    <w:rsid w:val="00577498"/>
    <w:rsid w:val="00583004"/>
    <w:rsid w:val="00583731"/>
    <w:rsid w:val="00583883"/>
    <w:rsid w:val="00584781"/>
    <w:rsid w:val="00585D7E"/>
    <w:rsid w:val="00590AAA"/>
    <w:rsid w:val="005962A6"/>
    <w:rsid w:val="005A2EE5"/>
    <w:rsid w:val="005A48E3"/>
    <w:rsid w:val="005A54FC"/>
    <w:rsid w:val="005A5D2F"/>
    <w:rsid w:val="005A7110"/>
    <w:rsid w:val="005B1A1D"/>
    <w:rsid w:val="005B3AA7"/>
    <w:rsid w:val="005B697F"/>
    <w:rsid w:val="005C17AF"/>
    <w:rsid w:val="005C2D0E"/>
    <w:rsid w:val="005C61E7"/>
    <w:rsid w:val="005C6606"/>
    <w:rsid w:val="005C7A6C"/>
    <w:rsid w:val="005D0DFD"/>
    <w:rsid w:val="005D3F32"/>
    <w:rsid w:val="005D6E60"/>
    <w:rsid w:val="005D7EF5"/>
    <w:rsid w:val="005D7F1B"/>
    <w:rsid w:val="005E17D2"/>
    <w:rsid w:val="005E35DA"/>
    <w:rsid w:val="005E61E3"/>
    <w:rsid w:val="005E6338"/>
    <w:rsid w:val="005E7952"/>
    <w:rsid w:val="005F02DD"/>
    <w:rsid w:val="005F08C5"/>
    <w:rsid w:val="005F2DFB"/>
    <w:rsid w:val="005F430F"/>
    <w:rsid w:val="005F4AFA"/>
    <w:rsid w:val="005F5EBE"/>
    <w:rsid w:val="00602AA3"/>
    <w:rsid w:val="006033E2"/>
    <w:rsid w:val="00603468"/>
    <w:rsid w:val="00605BED"/>
    <w:rsid w:val="00606086"/>
    <w:rsid w:val="00606BA7"/>
    <w:rsid w:val="00606D3C"/>
    <w:rsid w:val="006100D2"/>
    <w:rsid w:val="00612F82"/>
    <w:rsid w:val="00614249"/>
    <w:rsid w:val="006164A5"/>
    <w:rsid w:val="00617CA6"/>
    <w:rsid w:val="00620C24"/>
    <w:rsid w:val="00626293"/>
    <w:rsid w:val="00631F60"/>
    <w:rsid w:val="00632CF1"/>
    <w:rsid w:val="006355B6"/>
    <w:rsid w:val="006370D6"/>
    <w:rsid w:val="00637D1E"/>
    <w:rsid w:val="00637F94"/>
    <w:rsid w:val="00640506"/>
    <w:rsid w:val="006505F5"/>
    <w:rsid w:val="00653442"/>
    <w:rsid w:val="0065759E"/>
    <w:rsid w:val="0066205A"/>
    <w:rsid w:val="00662A3B"/>
    <w:rsid w:val="00664685"/>
    <w:rsid w:val="006649D3"/>
    <w:rsid w:val="00666CCA"/>
    <w:rsid w:val="00670A80"/>
    <w:rsid w:val="00672076"/>
    <w:rsid w:val="00675861"/>
    <w:rsid w:val="00676453"/>
    <w:rsid w:val="0067727C"/>
    <w:rsid w:val="00677332"/>
    <w:rsid w:val="00680805"/>
    <w:rsid w:val="00681F14"/>
    <w:rsid w:val="00682053"/>
    <w:rsid w:val="006849F3"/>
    <w:rsid w:val="00686D99"/>
    <w:rsid w:val="00691FFB"/>
    <w:rsid w:val="00692BBC"/>
    <w:rsid w:val="00693401"/>
    <w:rsid w:val="00697DA6"/>
    <w:rsid w:val="006A34C6"/>
    <w:rsid w:val="006A75B2"/>
    <w:rsid w:val="006A778C"/>
    <w:rsid w:val="006B644D"/>
    <w:rsid w:val="006B74EC"/>
    <w:rsid w:val="006B7B40"/>
    <w:rsid w:val="006C2308"/>
    <w:rsid w:val="006C43C6"/>
    <w:rsid w:val="006C539F"/>
    <w:rsid w:val="006D0C49"/>
    <w:rsid w:val="006D3C6D"/>
    <w:rsid w:val="006D72BE"/>
    <w:rsid w:val="006D731D"/>
    <w:rsid w:val="006D76F8"/>
    <w:rsid w:val="006D7E4D"/>
    <w:rsid w:val="006E4E18"/>
    <w:rsid w:val="006E7B63"/>
    <w:rsid w:val="006F419E"/>
    <w:rsid w:val="0070241C"/>
    <w:rsid w:val="00704D32"/>
    <w:rsid w:val="007106E0"/>
    <w:rsid w:val="00711DC2"/>
    <w:rsid w:val="00712FFF"/>
    <w:rsid w:val="00714E50"/>
    <w:rsid w:val="007175A9"/>
    <w:rsid w:val="007344CB"/>
    <w:rsid w:val="007370D8"/>
    <w:rsid w:val="007401D6"/>
    <w:rsid w:val="0074110E"/>
    <w:rsid w:val="00744AC9"/>
    <w:rsid w:val="00756160"/>
    <w:rsid w:val="00756E7D"/>
    <w:rsid w:val="0076116C"/>
    <w:rsid w:val="007618AB"/>
    <w:rsid w:val="00761F1E"/>
    <w:rsid w:val="007625CA"/>
    <w:rsid w:val="00764110"/>
    <w:rsid w:val="00766589"/>
    <w:rsid w:val="0077242F"/>
    <w:rsid w:val="00773761"/>
    <w:rsid w:val="00773BA7"/>
    <w:rsid w:val="00774B9B"/>
    <w:rsid w:val="00777452"/>
    <w:rsid w:val="00777F0C"/>
    <w:rsid w:val="00781AD9"/>
    <w:rsid w:val="007827B5"/>
    <w:rsid w:val="00783B3C"/>
    <w:rsid w:val="00786AC9"/>
    <w:rsid w:val="00786B55"/>
    <w:rsid w:val="00786D86"/>
    <w:rsid w:val="00793FB6"/>
    <w:rsid w:val="007A6A86"/>
    <w:rsid w:val="007A7602"/>
    <w:rsid w:val="007B161A"/>
    <w:rsid w:val="007B265B"/>
    <w:rsid w:val="007B43EF"/>
    <w:rsid w:val="007C1637"/>
    <w:rsid w:val="007D42A3"/>
    <w:rsid w:val="007E20A4"/>
    <w:rsid w:val="007E3613"/>
    <w:rsid w:val="007E4494"/>
    <w:rsid w:val="007E5677"/>
    <w:rsid w:val="007E588B"/>
    <w:rsid w:val="007E7FCD"/>
    <w:rsid w:val="007F0C12"/>
    <w:rsid w:val="007F1017"/>
    <w:rsid w:val="007F168C"/>
    <w:rsid w:val="007F1F22"/>
    <w:rsid w:val="007F5028"/>
    <w:rsid w:val="007F6854"/>
    <w:rsid w:val="00801BF5"/>
    <w:rsid w:val="00804636"/>
    <w:rsid w:val="00804822"/>
    <w:rsid w:val="00807329"/>
    <w:rsid w:val="00807ACA"/>
    <w:rsid w:val="008100A3"/>
    <w:rsid w:val="00811757"/>
    <w:rsid w:val="00813B94"/>
    <w:rsid w:val="008149E8"/>
    <w:rsid w:val="00814A6D"/>
    <w:rsid w:val="0081627D"/>
    <w:rsid w:val="00816433"/>
    <w:rsid w:val="0082023B"/>
    <w:rsid w:val="00822B19"/>
    <w:rsid w:val="00827A2A"/>
    <w:rsid w:val="00830759"/>
    <w:rsid w:val="00834793"/>
    <w:rsid w:val="00834AFF"/>
    <w:rsid w:val="008449E1"/>
    <w:rsid w:val="008452D2"/>
    <w:rsid w:val="00851D7B"/>
    <w:rsid w:val="008569EB"/>
    <w:rsid w:val="008604E4"/>
    <w:rsid w:val="0086395E"/>
    <w:rsid w:val="008643F8"/>
    <w:rsid w:val="008652A8"/>
    <w:rsid w:val="008658C8"/>
    <w:rsid w:val="00866A34"/>
    <w:rsid w:val="00867DED"/>
    <w:rsid w:val="00867F02"/>
    <w:rsid w:val="00870751"/>
    <w:rsid w:val="00870BE9"/>
    <w:rsid w:val="00875D5A"/>
    <w:rsid w:val="008777C8"/>
    <w:rsid w:val="0088462A"/>
    <w:rsid w:val="00885E3F"/>
    <w:rsid w:val="008876CA"/>
    <w:rsid w:val="00891155"/>
    <w:rsid w:val="0089262E"/>
    <w:rsid w:val="008956CA"/>
    <w:rsid w:val="00895B66"/>
    <w:rsid w:val="008A0097"/>
    <w:rsid w:val="008A0792"/>
    <w:rsid w:val="008A0832"/>
    <w:rsid w:val="008A1E93"/>
    <w:rsid w:val="008A3D49"/>
    <w:rsid w:val="008A43A4"/>
    <w:rsid w:val="008A7109"/>
    <w:rsid w:val="008B0FD3"/>
    <w:rsid w:val="008B126B"/>
    <w:rsid w:val="008B2D96"/>
    <w:rsid w:val="008B3955"/>
    <w:rsid w:val="008B7B59"/>
    <w:rsid w:val="008C06DF"/>
    <w:rsid w:val="008C08E6"/>
    <w:rsid w:val="008C2FEF"/>
    <w:rsid w:val="008C44E1"/>
    <w:rsid w:val="008C4BA3"/>
    <w:rsid w:val="008D0E61"/>
    <w:rsid w:val="008D1E11"/>
    <w:rsid w:val="008E28A0"/>
    <w:rsid w:val="008F2255"/>
    <w:rsid w:val="008F4199"/>
    <w:rsid w:val="008F4E1C"/>
    <w:rsid w:val="008F7D36"/>
    <w:rsid w:val="00902082"/>
    <w:rsid w:val="009029F9"/>
    <w:rsid w:val="009063B4"/>
    <w:rsid w:val="00906BCB"/>
    <w:rsid w:val="009073D1"/>
    <w:rsid w:val="0091662A"/>
    <w:rsid w:val="009177B1"/>
    <w:rsid w:val="00920AE8"/>
    <w:rsid w:val="00921203"/>
    <w:rsid w:val="00922079"/>
    <w:rsid w:val="00922E33"/>
    <w:rsid w:val="00927644"/>
    <w:rsid w:val="00927CBE"/>
    <w:rsid w:val="00932E02"/>
    <w:rsid w:val="00933C73"/>
    <w:rsid w:val="009354E6"/>
    <w:rsid w:val="00940535"/>
    <w:rsid w:val="009408AA"/>
    <w:rsid w:val="00943504"/>
    <w:rsid w:val="0094362E"/>
    <w:rsid w:val="00943EE0"/>
    <w:rsid w:val="0094499E"/>
    <w:rsid w:val="00945A08"/>
    <w:rsid w:val="00947D3D"/>
    <w:rsid w:val="00947F34"/>
    <w:rsid w:val="00951D19"/>
    <w:rsid w:val="0095391D"/>
    <w:rsid w:val="009549DF"/>
    <w:rsid w:val="00956F9C"/>
    <w:rsid w:val="00960041"/>
    <w:rsid w:val="00960B89"/>
    <w:rsid w:val="00962118"/>
    <w:rsid w:val="00962E6B"/>
    <w:rsid w:val="00964388"/>
    <w:rsid w:val="00965A4E"/>
    <w:rsid w:val="00966386"/>
    <w:rsid w:val="009708BA"/>
    <w:rsid w:val="0097158F"/>
    <w:rsid w:val="00975773"/>
    <w:rsid w:val="00977A3E"/>
    <w:rsid w:val="009808B7"/>
    <w:rsid w:val="00981659"/>
    <w:rsid w:val="00984528"/>
    <w:rsid w:val="00987789"/>
    <w:rsid w:val="0099394B"/>
    <w:rsid w:val="009A0F87"/>
    <w:rsid w:val="009A37B8"/>
    <w:rsid w:val="009A462D"/>
    <w:rsid w:val="009A6C1F"/>
    <w:rsid w:val="009B116E"/>
    <w:rsid w:val="009B2EF6"/>
    <w:rsid w:val="009B749E"/>
    <w:rsid w:val="009B7FEA"/>
    <w:rsid w:val="009C0EFA"/>
    <w:rsid w:val="009C1019"/>
    <w:rsid w:val="009C2A6D"/>
    <w:rsid w:val="009C3092"/>
    <w:rsid w:val="009C4D60"/>
    <w:rsid w:val="009C5582"/>
    <w:rsid w:val="009C5C3A"/>
    <w:rsid w:val="009D0115"/>
    <w:rsid w:val="009D0525"/>
    <w:rsid w:val="009D4568"/>
    <w:rsid w:val="009D4829"/>
    <w:rsid w:val="009E27AA"/>
    <w:rsid w:val="009E4611"/>
    <w:rsid w:val="009E729A"/>
    <w:rsid w:val="009E755E"/>
    <w:rsid w:val="009F2D1F"/>
    <w:rsid w:val="009F3639"/>
    <w:rsid w:val="009F4183"/>
    <w:rsid w:val="009F68ED"/>
    <w:rsid w:val="00A0326B"/>
    <w:rsid w:val="00A04852"/>
    <w:rsid w:val="00A1195F"/>
    <w:rsid w:val="00A164C1"/>
    <w:rsid w:val="00A16FBE"/>
    <w:rsid w:val="00A2018E"/>
    <w:rsid w:val="00A23C3F"/>
    <w:rsid w:val="00A25CD0"/>
    <w:rsid w:val="00A32F96"/>
    <w:rsid w:val="00A36F7C"/>
    <w:rsid w:val="00A37B95"/>
    <w:rsid w:val="00A42602"/>
    <w:rsid w:val="00A447D5"/>
    <w:rsid w:val="00A508A5"/>
    <w:rsid w:val="00A514E5"/>
    <w:rsid w:val="00A56EED"/>
    <w:rsid w:val="00A648F4"/>
    <w:rsid w:val="00A65667"/>
    <w:rsid w:val="00A6606D"/>
    <w:rsid w:val="00A66352"/>
    <w:rsid w:val="00A66ED0"/>
    <w:rsid w:val="00A67F61"/>
    <w:rsid w:val="00A70C1A"/>
    <w:rsid w:val="00A741D7"/>
    <w:rsid w:val="00A743E1"/>
    <w:rsid w:val="00A80C17"/>
    <w:rsid w:val="00A8155B"/>
    <w:rsid w:val="00A8496C"/>
    <w:rsid w:val="00A870CD"/>
    <w:rsid w:val="00A87B54"/>
    <w:rsid w:val="00A90BC6"/>
    <w:rsid w:val="00A9224D"/>
    <w:rsid w:val="00A93F9B"/>
    <w:rsid w:val="00A94677"/>
    <w:rsid w:val="00A95B8E"/>
    <w:rsid w:val="00A96DCC"/>
    <w:rsid w:val="00A9780C"/>
    <w:rsid w:val="00AA30D4"/>
    <w:rsid w:val="00AB2487"/>
    <w:rsid w:val="00AB2665"/>
    <w:rsid w:val="00AB547C"/>
    <w:rsid w:val="00AB65CE"/>
    <w:rsid w:val="00AB6D0F"/>
    <w:rsid w:val="00AB7434"/>
    <w:rsid w:val="00AC1B3A"/>
    <w:rsid w:val="00AC21C5"/>
    <w:rsid w:val="00AC43E4"/>
    <w:rsid w:val="00AC4E83"/>
    <w:rsid w:val="00AC6784"/>
    <w:rsid w:val="00AC6F47"/>
    <w:rsid w:val="00AD0A38"/>
    <w:rsid w:val="00AD22B0"/>
    <w:rsid w:val="00AD29D3"/>
    <w:rsid w:val="00AD2C31"/>
    <w:rsid w:val="00AD3CD4"/>
    <w:rsid w:val="00AD5E0D"/>
    <w:rsid w:val="00AD5FBF"/>
    <w:rsid w:val="00AE00E9"/>
    <w:rsid w:val="00AE158E"/>
    <w:rsid w:val="00AE1E0B"/>
    <w:rsid w:val="00AE2211"/>
    <w:rsid w:val="00AE3FC1"/>
    <w:rsid w:val="00AE6533"/>
    <w:rsid w:val="00AE6646"/>
    <w:rsid w:val="00AF1866"/>
    <w:rsid w:val="00AF323B"/>
    <w:rsid w:val="00AF42A9"/>
    <w:rsid w:val="00AF4EC5"/>
    <w:rsid w:val="00AF5C67"/>
    <w:rsid w:val="00AF6CEF"/>
    <w:rsid w:val="00AF7A08"/>
    <w:rsid w:val="00B00270"/>
    <w:rsid w:val="00B00A13"/>
    <w:rsid w:val="00B0399F"/>
    <w:rsid w:val="00B04396"/>
    <w:rsid w:val="00B10722"/>
    <w:rsid w:val="00B15FC2"/>
    <w:rsid w:val="00B20FB7"/>
    <w:rsid w:val="00B22F9A"/>
    <w:rsid w:val="00B25483"/>
    <w:rsid w:val="00B26AAF"/>
    <w:rsid w:val="00B274EC"/>
    <w:rsid w:val="00B302CD"/>
    <w:rsid w:val="00B302EC"/>
    <w:rsid w:val="00B32830"/>
    <w:rsid w:val="00B32C4C"/>
    <w:rsid w:val="00B334CB"/>
    <w:rsid w:val="00B33C17"/>
    <w:rsid w:val="00B3605D"/>
    <w:rsid w:val="00B36845"/>
    <w:rsid w:val="00B41B81"/>
    <w:rsid w:val="00B42057"/>
    <w:rsid w:val="00B4450F"/>
    <w:rsid w:val="00B50F59"/>
    <w:rsid w:val="00B52748"/>
    <w:rsid w:val="00B52837"/>
    <w:rsid w:val="00B53A08"/>
    <w:rsid w:val="00B543D5"/>
    <w:rsid w:val="00B61426"/>
    <w:rsid w:val="00B615BE"/>
    <w:rsid w:val="00B6190C"/>
    <w:rsid w:val="00B63CA9"/>
    <w:rsid w:val="00B66CF0"/>
    <w:rsid w:val="00B70D0C"/>
    <w:rsid w:val="00B73615"/>
    <w:rsid w:val="00B85913"/>
    <w:rsid w:val="00B869A0"/>
    <w:rsid w:val="00B93FEB"/>
    <w:rsid w:val="00B9531D"/>
    <w:rsid w:val="00B9688F"/>
    <w:rsid w:val="00BA19BE"/>
    <w:rsid w:val="00BA1AE2"/>
    <w:rsid w:val="00BA1BB8"/>
    <w:rsid w:val="00BA20A3"/>
    <w:rsid w:val="00BB1517"/>
    <w:rsid w:val="00BB4EBB"/>
    <w:rsid w:val="00BB654E"/>
    <w:rsid w:val="00BC5AF9"/>
    <w:rsid w:val="00BC68D2"/>
    <w:rsid w:val="00BD1B06"/>
    <w:rsid w:val="00BD33B6"/>
    <w:rsid w:val="00BD4BFD"/>
    <w:rsid w:val="00BF3A77"/>
    <w:rsid w:val="00BF424B"/>
    <w:rsid w:val="00BF5CD8"/>
    <w:rsid w:val="00C01476"/>
    <w:rsid w:val="00C05853"/>
    <w:rsid w:val="00C05AEF"/>
    <w:rsid w:val="00C10239"/>
    <w:rsid w:val="00C1034E"/>
    <w:rsid w:val="00C1778C"/>
    <w:rsid w:val="00C2169F"/>
    <w:rsid w:val="00C221DB"/>
    <w:rsid w:val="00C2558D"/>
    <w:rsid w:val="00C26D99"/>
    <w:rsid w:val="00C319ED"/>
    <w:rsid w:val="00C35740"/>
    <w:rsid w:val="00C35A61"/>
    <w:rsid w:val="00C3649A"/>
    <w:rsid w:val="00C40099"/>
    <w:rsid w:val="00C40961"/>
    <w:rsid w:val="00C417A2"/>
    <w:rsid w:val="00C46447"/>
    <w:rsid w:val="00C477FD"/>
    <w:rsid w:val="00C51A05"/>
    <w:rsid w:val="00C51BD3"/>
    <w:rsid w:val="00C52228"/>
    <w:rsid w:val="00C52F3F"/>
    <w:rsid w:val="00C53407"/>
    <w:rsid w:val="00C53ADC"/>
    <w:rsid w:val="00C56E13"/>
    <w:rsid w:val="00C56FF7"/>
    <w:rsid w:val="00C572AA"/>
    <w:rsid w:val="00C60431"/>
    <w:rsid w:val="00C61A50"/>
    <w:rsid w:val="00C62101"/>
    <w:rsid w:val="00C628F2"/>
    <w:rsid w:val="00C63056"/>
    <w:rsid w:val="00C63713"/>
    <w:rsid w:val="00C63CE7"/>
    <w:rsid w:val="00C66909"/>
    <w:rsid w:val="00C66916"/>
    <w:rsid w:val="00C67F42"/>
    <w:rsid w:val="00C712B9"/>
    <w:rsid w:val="00C72559"/>
    <w:rsid w:val="00C742C9"/>
    <w:rsid w:val="00C7541B"/>
    <w:rsid w:val="00C76555"/>
    <w:rsid w:val="00C810E2"/>
    <w:rsid w:val="00C83170"/>
    <w:rsid w:val="00C84A30"/>
    <w:rsid w:val="00C85416"/>
    <w:rsid w:val="00C85CCD"/>
    <w:rsid w:val="00C8774D"/>
    <w:rsid w:val="00C91B64"/>
    <w:rsid w:val="00C92CEB"/>
    <w:rsid w:val="00C95CDE"/>
    <w:rsid w:val="00C96CB8"/>
    <w:rsid w:val="00CA525D"/>
    <w:rsid w:val="00CA7BAE"/>
    <w:rsid w:val="00CB12BF"/>
    <w:rsid w:val="00CB1AB9"/>
    <w:rsid w:val="00CB1FE3"/>
    <w:rsid w:val="00CB487A"/>
    <w:rsid w:val="00CB4BE2"/>
    <w:rsid w:val="00CB565C"/>
    <w:rsid w:val="00CB5953"/>
    <w:rsid w:val="00CB6549"/>
    <w:rsid w:val="00CB6705"/>
    <w:rsid w:val="00CB7AB5"/>
    <w:rsid w:val="00CC2866"/>
    <w:rsid w:val="00CC3BD8"/>
    <w:rsid w:val="00CD298E"/>
    <w:rsid w:val="00CD3120"/>
    <w:rsid w:val="00CD7D89"/>
    <w:rsid w:val="00CE0E2E"/>
    <w:rsid w:val="00CE0FDC"/>
    <w:rsid w:val="00CE445A"/>
    <w:rsid w:val="00CE5BCC"/>
    <w:rsid w:val="00CF15C3"/>
    <w:rsid w:val="00CF4954"/>
    <w:rsid w:val="00CF7051"/>
    <w:rsid w:val="00CF79C5"/>
    <w:rsid w:val="00D007C6"/>
    <w:rsid w:val="00D009E9"/>
    <w:rsid w:val="00D04652"/>
    <w:rsid w:val="00D062D7"/>
    <w:rsid w:val="00D10EDB"/>
    <w:rsid w:val="00D11D69"/>
    <w:rsid w:val="00D14567"/>
    <w:rsid w:val="00D16C5A"/>
    <w:rsid w:val="00D2347D"/>
    <w:rsid w:val="00D23A04"/>
    <w:rsid w:val="00D30E11"/>
    <w:rsid w:val="00D32F4A"/>
    <w:rsid w:val="00D33FA6"/>
    <w:rsid w:val="00D346F5"/>
    <w:rsid w:val="00D359DA"/>
    <w:rsid w:val="00D41E58"/>
    <w:rsid w:val="00D4221D"/>
    <w:rsid w:val="00D4389A"/>
    <w:rsid w:val="00D43C90"/>
    <w:rsid w:val="00D44A4D"/>
    <w:rsid w:val="00D463D8"/>
    <w:rsid w:val="00D5323B"/>
    <w:rsid w:val="00D56D25"/>
    <w:rsid w:val="00D63BC9"/>
    <w:rsid w:val="00D63FFA"/>
    <w:rsid w:val="00D65A7E"/>
    <w:rsid w:val="00D65C31"/>
    <w:rsid w:val="00D71A14"/>
    <w:rsid w:val="00D72C4F"/>
    <w:rsid w:val="00D73F8A"/>
    <w:rsid w:val="00D75134"/>
    <w:rsid w:val="00D75834"/>
    <w:rsid w:val="00D77CD2"/>
    <w:rsid w:val="00D82582"/>
    <w:rsid w:val="00D82932"/>
    <w:rsid w:val="00D83F90"/>
    <w:rsid w:val="00D84542"/>
    <w:rsid w:val="00D858B5"/>
    <w:rsid w:val="00D90770"/>
    <w:rsid w:val="00DA12B0"/>
    <w:rsid w:val="00DA154F"/>
    <w:rsid w:val="00DA283B"/>
    <w:rsid w:val="00DA3896"/>
    <w:rsid w:val="00DA7735"/>
    <w:rsid w:val="00DB1A42"/>
    <w:rsid w:val="00DC04CB"/>
    <w:rsid w:val="00DC2E56"/>
    <w:rsid w:val="00DC39ED"/>
    <w:rsid w:val="00DC3D23"/>
    <w:rsid w:val="00DC5C50"/>
    <w:rsid w:val="00DC6480"/>
    <w:rsid w:val="00DC6875"/>
    <w:rsid w:val="00DD3824"/>
    <w:rsid w:val="00DD7BEB"/>
    <w:rsid w:val="00DE19D6"/>
    <w:rsid w:val="00DE26CF"/>
    <w:rsid w:val="00DE5B51"/>
    <w:rsid w:val="00DE617E"/>
    <w:rsid w:val="00DF3350"/>
    <w:rsid w:val="00DF39E7"/>
    <w:rsid w:val="00DF4956"/>
    <w:rsid w:val="00DF4ABC"/>
    <w:rsid w:val="00DF661F"/>
    <w:rsid w:val="00DF6778"/>
    <w:rsid w:val="00DF6F16"/>
    <w:rsid w:val="00DF7DC2"/>
    <w:rsid w:val="00E01A76"/>
    <w:rsid w:val="00E04F96"/>
    <w:rsid w:val="00E079B7"/>
    <w:rsid w:val="00E127F8"/>
    <w:rsid w:val="00E142E3"/>
    <w:rsid w:val="00E154DE"/>
    <w:rsid w:val="00E20EE5"/>
    <w:rsid w:val="00E22803"/>
    <w:rsid w:val="00E22E2F"/>
    <w:rsid w:val="00E2382B"/>
    <w:rsid w:val="00E24A03"/>
    <w:rsid w:val="00E4103B"/>
    <w:rsid w:val="00E43CCA"/>
    <w:rsid w:val="00E521B1"/>
    <w:rsid w:val="00E53714"/>
    <w:rsid w:val="00E53CF0"/>
    <w:rsid w:val="00E53F8D"/>
    <w:rsid w:val="00E564C9"/>
    <w:rsid w:val="00E56524"/>
    <w:rsid w:val="00E664D1"/>
    <w:rsid w:val="00E66B74"/>
    <w:rsid w:val="00E72BF8"/>
    <w:rsid w:val="00E7376C"/>
    <w:rsid w:val="00E75907"/>
    <w:rsid w:val="00E77663"/>
    <w:rsid w:val="00E80A41"/>
    <w:rsid w:val="00E81E65"/>
    <w:rsid w:val="00E82A5C"/>
    <w:rsid w:val="00E82E61"/>
    <w:rsid w:val="00E83A73"/>
    <w:rsid w:val="00E850FA"/>
    <w:rsid w:val="00E85411"/>
    <w:rsid w:val="00E8555C"/>
    <w:rsid w:val="00E86288"/>
    <w:rsid w:val="00E902D4"/>
    <w:rsid w:val="00E9280D"/>
    <w:rsid w:val="00E93C4B"/>
    <w:rsid w:val="00E9449F"/>
    <w:rsid w:val="00E96DAE"/>
    <w:rsid w:val="00E96FD9"/>
    <w:rsid w:val="00EA6F37"/>
    <w:rsid w:val="00EB12FB"/>
    <w:rsid w:val="00EC140F"/>
    <w:rsid w:val="00EC146D"/>
    <w:rsid w:val="00EC2945"/>
    <w:rsid w:val="00EC717C"/>
    <w:rsid w:val="00EC73AD"/>
    <w:rsid w:val="00ED1561"/>
    <w:rsid w:val="00ED18F3"/>
    <w:rsid w:val="00ED1EE2"/>
    <w:rsid w:val="00ED4C22"/>
    <w:rsid w:val="00EE523A"/>
    <w:rsid w:val="00EE576E"/>
    <w:rsid w:val="00EE7AF9"/>
    <w:rsid w:val="00EF3B00"/>
    <w:rsid w:val="00EF468F"/>
    <w:rsid w:val="00EF61CD"/>
    <w:rsid w:val="00EF7CC2"/>
    <w:rsid w:val="00F00E81"/>
    <w:rsid w:val="00F052DC"/>
    <w:rsid w:val="00F054B3"/>
    <w:rsid w:val="00F05EBF"/>
    <w:rsid w:val="00F06E02"/>
    <w:rsid w:val="00F11193"/>
    <w:rsid w:val="00F1240C"/>
    <w:rsid w:val="00F12F87"/>
    <w:rsid w:val="00F20007"/>
    <w:rsid w:val="00F20B94"/>
    <w:rsid w:val="00F212A9"/>
    <w:rsid w:val="00F219FC"/>
    <w:rsid w:val="00F21D9C"/>
    <w:rsid w:val="00F23BAF"/>
    <w:rsid w:val="00F2496D"/>
    <w:rsid w:val="00F314FF"/>
    <w:rsid w:val="00F317CE"/>
    <w:rsid w:val="00F36BBD"/>
    <w:rsid w:val="00F3764B"/>
    <w:rsid w:val="00F40411"/>
    <w:rsid w:val="00F40566"/>
    <w:rsid w:val="00F4126B"/>
    <w:rsid w:val="00F4167C"/>
    <w:rsid w:val="00F45241"/>
    <w:rsid w:val="00F50102"/>
    <w:rsid w:val="00F511A1"/>
    <w:rsid w:val="00F54D4A"/>
    <w:rsid w:val="00F57125"/>
    <w:rsid w:val="00F621FC"/>
    <w:rsid w:val="00F64B3F"/>
    <w:rsid w:val="00F64DC6"/>
    <w:rsid w:val="00F659BA"/>
    <w:rsid w:val="00F65A70"/>
    <w:rsid w:val="00F66757"/>
    <w:rsid w:val="00F67F90"/>
    <w:rsid w:val="00F72480"/>
    <w:rsid w:val="00F725AE"/>
    <w:rsid w:val="00F7487E"/>
    <w:rsid w:val="00F76744"/>
    <w:rsid w:val="00F7699D"/>
    <w:rsid w:val="00F80F0C"/>
    <w:rsid w:val="00F821DB"/>
    <w:rsid w:val="00F82864"/>
    <w:rsid w:val="00F844FF"/>
    <w:rsid w:val="00F84798"/>
    <w:rsid w:val="00F848D9"/>
    <w:rsid w:val="00F85A03"/>
    <w:rsid w:val="00F86A26"/>
    <w:rsid w:val="00F87AAB"/>
    <w:rsid w:val="00F95040"/>
    <w:rsid w:val="00F97519"/>
    <w:rsid w:val="00F97FF9"/>
    <w:rsid w:val="00FA1983"/>
    <w:rsid w:val="00FA5673"/>
    <w:rsid w:val="00FA701C"/>
    <w:rsid w:val="00FB2A32"/>
    <w:rsid w:val="00FB343D"/>
    <w:rsid w:val="00FB3DC6"/>
    <w:rsid w:val="00FB4BAE"/>
    <w:rsid w:val="00FC1AA0"/>
    <w:rsid w:val="00FC26E8"/>
    <w:rsid w:val="00FC5946"/>
    <w:rsid w:val="00FC718D"/>
    <w:rsid w:val="00FD0DA4"/>
    <w:rsid w:val="00FD1BEA"/>
    <w:rsid w:val="00FD2CBD"/>
    <w:rsid w:val="00FD62C4"/>
    <w:rsid w:val="00FD6536"/>
    <w:rsid w:val="00FD6DE0"/>
    <w:rsid w:val="00FD7420"/>
    <w:rsid w:val="00FE195D"/>
    <w:rsid w:val="00FE3CE5"/>
    <w:rsid w:val="00FF0D45"/>
    <w:rsid w:val="00FF3007"/>
    <w:rsid w:val="00FF3F0F"/>
    <w:rsid w:val="00FF51AD"/>
    <w:rsid w:val="00FF58C5"/>
    <w:rsid w:val="00FF68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26FC39E"/>
  <w15:docId w15:val="{51698205-F7BC-4942-8E27-8D67449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17A"/>
  </w:style>
  <w:style w:type="paragraph" w:styleId="Heading1">
    <w:name w:val="heading 1"/>
    <w:basedOn w:val="Normal"/>
    <w:next w:val="Normal"/>
    <w:link w:val="Heading1Char"/>
    <w:uiPriority w:val="9"/>
    <w:qFormat/>
    <w:rsid w:val="00D33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3F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71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B3D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F61CD"/>
    <w:rPr>
      <w:color w:val="0000FF"/>
      <w:shd w:val="clear" w:color="auto" w:fill="auto"/>
    </w:rPr>
  </w:style>
  <w:style w:type="paragraph" w:styleId="Header">
    <w:name w:val="header"/>
    <w:basedOn w:val="Normal"/>
    <w:link w:val="HeaderChar"/>
    <w:uiPriority w:val="99"/>
    <w:unhideWhenUsed/>
    <w:rsid w:val="00EF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CD"/>
  </w:style>
  <w:style w:type="paragraph" w:styleId="Footer">
    <w:name w:val="footer"/>
    <w:basedOn w:val="Normal"/>
    <w:link w:val="FooterChar"/>
    <w:uiPriority w:val="99"/>
    <w:unhideWhenUsed/>
    <w:rsid w:val="00EF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CD"/>
  </w:style>
  <w:style w:type="paragraph" w:customStyle="1" w:styleId="Pagedecouverture">
    <w:name w:val="Page de couverture"/>
    <w:basedOn w:val="Normal"/>
    <w:next w:val="Normal"/>
    <w:rsid w:val="00EF61CD"/>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EF61C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F61CD"/>
    <w:rPr>
      <w:rFonts w:ascii="Times New Roman" w:hAnsi="Times New Roman" w:cs="Times New Roman"/>
      <w:sz w:val="24"/>
    </w:rPr>
  </w:style>
  <w:style w:type="paragraph" w:customStyle="1" w:styleId="FooterSensitivity">
    <w:name w:val="Footer Sensitivity"/>
    <w:basedOn w:val="Normal"/>
    <w:link w:val="FooterSensitivityChar"/>
    <w:rsid w:val="00EF61C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F61CD"/>
    <w:rPr>
      <w:rFonts w:ascii="Times New Roman" w:hAnsi="Times New Roman" w:cs="Times New Roman"/>
      <w:b/>
      <w:sz w:val="32"/>
    </w:rPr>
  </w:style>
  <w:style w:type="paragraph" w:customStyle="1" w:styleId="HeaderCoverPage">
    <w:name w:val="Header Cover Page"/>
    <w:basedOn w:val="Normal"/>
    <w:link w:val="HeaderCoverPageChar"/>
    <w:rsid w:val="00EF61C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F61CD"/>
    <w:rPr>
      <w:rFonts w:ascii="Times New Roman" w:hAnsi="Times New Roman" w:cs="Times New Roman"/>
      <w:sz w:val="24"/>
    </w:rPr>
  </w:style>
  <w:style w:type="paragraph" w:customStyle="1" w:styleId="HeaderSensitivity">
    <w:name w:val="Header Sensitivity"/>
    <w:basedOn w:val="Normal"/>
    <w:link w:val="HeaderSensitivityChar"/>
    <w:rsid w:val="00EF61C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F61CD"/>
    <w:rPr>
      <w:rFonts w:ascii="Times New Roman" w:hAnsi="Times New Roman" w:cs="Times New Roman"/>
      <w:b/>
      <w:sz w:val="32"/>
    </w:rPr>
  </w:style>
  <w:style w:type="paragraph" w:customStyle="1" w:styleId="HeaderSensitivityRight">
    <w:name w:val="Header Sensitivity Right"/>
    <w:basedOn w:val="Normal"/>
    <w:link w:val="HeaderSensitivityRightChar"/>
    <w:rsid w:val="00EF61C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F61CD"/>
    <w:rPr>
      <w:rFonts w:ascii="Times New Roman" w:hAnsi="Times New Roman" w:cs="Times New Roman"/>
      <w:sz w:val="28"/>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o,fn,f"/>
    <w:basedOn w:val="Normal"/>
    <w:link w:val="FootnoteTextChar"/>
    <w:uiPriority w:val="99"/>
    <w:unhideWhenUsed/>
    <w:qFormat/>
    <w:rsid w:val="000F6099"/>
    <w:rPr>
      <w:rFonts w:eastAsiaTheme="minorEastAsia" w:cs="Times New Roman"/>
      <w:kern w:val="0"/>
      <w:sz w:val="20"/>
      <w:szCs w:val="20"/>
      <w:lang w:eastAsia="en-IE"/>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o Char,f Char"/>
    <w:basedOn w:val="DefaultParagraphFont"/>
    <w:link w:val="FootnoteText"/>
    <w:uiPriority w:val="99"/>
    <w:rsid w:val="000F6099"/>
    <w:rPr>
      <w:rFonts w:eastAsiaTheme="minorEastAsia" w:cs="Times New Roman"/>
      <w:kern w:val="0"/>
      <w:sz w:val="20"/>
      <w:szCs w:val="20"/>
      <w:lang w:val="sk-SK" w:eastAsia="en-IE"/>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FR, BVI fnr"/>
    <w:basedOn w:val="DefaultParagraphFont"/>
    <w:link w:val="FootnotesymbolCarZchn"/>
    <w:uiPriority w:val="99"/>
    <w:unhideWhenUsed/>
    <w:qFormat/>
    <w:rsid w:val="000F6099"/>
    <w:rPr>
      <w:vertAlign w:val="superscript"/>
    </w:rPr>
  </w:style>
  <w:style w:type="character" w:styleId="Emphasis">
    <w:name w:val="Emphasis"/>
    <w:uiPriority w:val="20"/>
    <w:qFormat/>
    <w:rsid w:val="000F6099"/>
    <w:rPr>
      <w:i/>
      <w:iCs/>
    </w:rPr>
  </w:style>
  <w:style w:type="character" w:styleId="Hyperlink">
    <w:name w:val="Hyperlink"/>
    <w:basedOn w:val="DefaultParagraphFont"/>
    <w:uiPriority w:val="99"/>
    <w:unhideWhenUsed/>
    <w:rsid w:val="009C2A6D"/>
    <w:rPr>
      <w:color w:val="0000FF"/>
      <w:u w:val="single"/>
    </w:rPr>
  </w:style>
  <w:style w:type="character" w:customStyle="1" w:styleId="UnresolvedMention">
    <w:name w:val="Unresolved Mention"/>
    <w:basedOn w:val="DefaultParagraphFont"/>
    <w:uiPriority w:val="99"/>
    <w:semiHidden/>
    <w:unhideWhenUsed/>
    <w:rsid w:val="009C2A6D"/>
    <w:rPr>
      <w:color w:val="605E5C"/>
      <w:shd w:val="clear" w:color="auto" w:fill="E1DFDD"/>
    </w:rPr>
  </w:style>
  <w:style w:type="character" w:styleId="FollowedHyperlink">
    <w:name w:val="FollowedHyperlink"/>
    <w:basedOn w:val="DefaultParagraphFont"/>
    <w:uiPriority w:val="99"/>
    <w:semiHidden/>
    <w:unhideWhenUsed/>
    <w:rsid w:val="009C2A6D"/>
    <w:rPr>
      <w:color w:val="954F72" w:themeColor="followedHyperlink"/>
      <w:u w:val="single"/>
    </w:rPr>
  </w:style>
  <w:style w:type="character" w:customStyle="1" w:styleId="Heading1Char">
    <w:name w:val="Heading 1 Char"/>
    <w:basedOn w:val="DefaultParagraphFont"/>
    <w:link w:val="Heading1"/>
    <w:uiPriority w:val="9"/>
    <w:rsid w:val="00D33F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3FA6"/>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D298E"/>
    <w:rPr>
      <w:sz w:val="16"/>
      <w:szCs w:val="16"/>
    </w:rPr>
  </w:style>
  <w:style w:type="paragraph" w:styleId="CommentText">
    <w:name w:val="annotation text"/>
    <w:basedOn w:val="Normal"/>
    <w:link w:val="CommentTextChar"/>
    <w:uiPriority w:val="99"/>
    <w:unhideWhenUsed/>
    <w:rsid w:val="00CD298E"/>
    <w:pPr>
      <w:spacing w:line="240" w:lineRule="auto"/>
    </w:pPr>
    <w:rPr>
      <w:sz w:val="20"/>
      <w:szCs w:val="20"/>
    </w:rPr>
  </w:style>
  <w:style w:type="character" w:customStyle="1" w:styleId="CommentTextChar">
    <w:name w:val="Comment Text Char"/>
    <w:basedOn w:val="DefaultParagraphFont"/>
    <w:link w:val="CommentText"/>
    <w:uiPriority w:val="99"/>
    <w:rsid w:val="00CD298E"/>
    <w:rPr>
      <w:sz w:val="20"/>
      <w:szCs w:val="20"/>
    </w:rPr>
  </w:style>
  <w:style w:type="paragraph" w:styleId="CommentSubject">
    <w:name w:val="annotation subject"/>
    <w:basedOn w:val="CommentText"/>
    <w:next w:val="CommentText"/>
    <w:link w:val="CommentSubjectChar"/>
    <w:uiPriority w:val="99"/>
    <w:semiHidden/>
    <w:unhideWhenUsed/>
    <w:rsid w:val="00CD298E"/>
    <w:rPr>
      <w:b/>
      <w:bCs/>
    </w:rPr>
  </w:style>
  <w:style w:type="character" w:customStyle="1" w:styleId="CommentSubjectChar">
    <w:name w:val="Comment Subject Char"/>
    <w:basedOn w:val="CommentTextChar"/>
    <w:link w:val="CommentSubject"/>
    <w:uiPriority w:val="99"/>
    <w:semiHidden/>
    <w:rsid w:val="00CD298E"/>
    <w:rPr>
      <w:b/>
      <w:bCs/>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849D9"/>
    <w:pPr>
      <w:spacing w:line="240" w:lineRule="exact"/>
      <w:jc w:val="both"/>
    </w:pPr>
    <w:rPr>
      <w:vertAlign w:val="superscript"/>
    </w:rPr>
  </w:style>
  <w:style w:type="character" w:customStyle="1" w:styleId="Heading3Char">
    <w:name w:val="Heading 3 Char"/>
    <w:basedOn w:val="DefaultParagraphFont"/>
    <w:link w:val="Heading3"/>
    <w:uiPriority w:val="9"/>
    <w:rsid w:val="0043717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93FB6"/>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paragraph" w:styleId="Revision">
    <w:name w:val="Revision"/>
    <w:hidden/>
    <w:uiPriority w:val="99"/>
    <w:semiHidden/>
    <w:rsid w:val="00756160"/>
    <w:pPr>
      <w:spacing w:after="0" w:line="240" w:lineRule="auto"/>
    </w:pPr>
  </w:style>
  <w:style w:type="paragraph" w:styleId="ListParagraph">
    <w:name w:val="List Paragraph"/>
    <w:basedOn w:val="Normal"/>
    <w:uiPriority w:val="34"/>
    <w:qFormat/>
    <w:rsid w:val="00774B9B"/>
    <w:pPr>
      <w:spacing w:after="200" w:line="276" w:lineRule="auto"/>
      <w:ind w:left="720"/>
      <w:contextualSpacing/>
    </w:pPr>
    <w:rPr>
      <w:kern w:val="0"/>
    </w:rPr>
  </w:style>
  <w:style w:type="paragraph" w:customStyle="1" w:styleId="Heading3TNR">
    <w:name w:val="Heading 3 TNR"/>
    <w:basedOn w:val="Heading3"/>
    <w:qFormat/>
    <w:rsid w:val="00682053"/>
    <w:pPr>
      <w:spacing w:before="120" w:after="120" w:line="240" w:lineRule="auto"/>
      <w:ind w:firstLine="360"/>
    </w:pPr>
    <w:rPr>
      <w:rFonts w:ascii="Times New Roman" w:hAnsi="Times New Roman" w:cs="Times New Roman"/>
      <w:i/>
      <w:iCs/>
      <w:color w:val="auto"/>
    </w:rPr>
  </w:style>
  <w:style w:type="paragraph" w:customStyle="1" w:styleId="Heading3LL">
    <w:name w:val="Heading 3 LL"/>
    <w:basedOn w:val="Heading3"/>
    <w:qFormat/>
    <w:rsid w:val="005A48E3"/>
    <w:pPr>
      <w:spacing w:before="0" w:after="120" w:line="240" w:lineRule="auto"/>
      <w:jc w:val="both"/>
    </w:pPr>
    <w:rPr>
      <w:rFonts w:ascii="Times New Roman" w:hAnsi="Times New Roman" w:cs="Times New Roman"/>
      <w:i/>
      <w:iCs/>
      <w:color w:val="auto"/>
    </w:rPr>
  </w:style>
  <w:style w:type="character" w:customStyle="1" w:styleId="normaltextrun">
    <w:name w:val="normaltextrun"/>
    <w:basedOn w:val="DefaultParagraphFont"/>
    <w:rsid w:val="00450B64"/>
  </w:style>
  <w:style w:type="character" w:customStyle="1" w:styleId="eop">
    <w:name w:val="eop"/>
    <w:basedOn w:val="DefaultParagraphFont"/>
    <w:rsid w:val="00450B64"/>
  </w:style>
  <w:style w:type="character" w:customStyle="1" w:styleId="Heading4Char">
    <w:name w:val="Heading 4 Char"/>
    <w:basedOn w:val="DefaultParagraphFont"/>
    <w:link w:val="Heading4"/>
    <w:uiPriority w:val="9"/>
    <w:rsid w:val="00FB3DC6"/>
    <w:rPr>
      <w:rFonts w:asciiTheme="majorHAnsi" w:eastAsiaTheme="majorEastAsia" w:hAnsiTheme="majorHAnsi" w:cstheme="majorBidi"/>
      <w:i/>
      <w:iCs/>
      <w:color w:val="2F5496" w:themeColor="accent1" w:themeShade="BF"/>
    </w:rPr>
  </w:style>
  <w:style w:type="paragraph" w:customStyle="1" w:styleId="c01pointnumerotealtn">
    <w:name w:val="c01pointnumerotealtn"/>
    <w:basedOn w:val="Normal"/>
    <w:rsid w:val="008A3D49"/>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customStyle="1" w:styleId="cf01">
    <w:name w:val="cf01"/>
    <w:basedOn w:val="DefaultParagraphFont"/>
    <w:rsid w:val="00114F6D"/>
    <w:rPr>
      <w:rFonts w:ascii="Segoe UI" w:hAnsi="Segoe UI" w:cs="Segoe UI" w:hint="default"/>
      <w:sz w:val="18"/>
      <w:szCs w:val="18"/>
    </w:rPr>
  </w:style>
  <w:style w:type="paragraph" w:customStyle="1" w:styleId="c02alineaalta">
    <w:name w:val="c02alineaalta"/>
    <w:basedOn w:val="Normal"/>
    <w:rsid w:val="00E82A5C"/>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paragraph" w:customStyle="1" w:styleId="pf0">
    <w:name w:val="pf0"/>
    <w:basedOn w:val="Normal"/>
    <w:rsid w:val="00FA1983"/>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paragraph" w:styleId="EndnoteText">
    <w:name w:val="endnote text"/>
    <w:basedOn w:val="Normal"/>
    <w:link w:val="EndnoteTextChar"/>
    <w:uiPriority w:val="99"/>
    <w:semiHidden/>
    <w:unhideWhenUsed/>
    <w:rsid w:val="00567B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7B59"/>
    <w:rPr>
      <w:sz w:val="20"/>
      <w:szCs w:val="20"/>
    </w:rPr>
  </w:style>
  <w:style w:type="character" w:styleId="EndnoteReference">
    <w:name w:val="endnote reference"/>
    <w:basedOn w:val="DefaultParagraphFont"/>
    <w:uiPriority w:val="99"/>
    <w:semiHidden/>
    <w:unhideWhenUsed/>
    <w:rsid w:val="00567B59"/>
    <w:rPr>
      <w:vertAlign w:val="superscript"/>
    </w:rPr>
  </w:style>
  <w:style w:type="character" w:customStyle="1" w:styleId="Bodytext1">
    <w:name w:val="Body text|1_"/>
    <w:basedOn w:val="DefaultParagraphFont"/>
    <w:link w:val="Bodytext10"/>
    <w:locked/>
    <w:rsid w:val="005015FB"/>
  </w:style>
  <w:style w:type="paragraph" w:customStyle="1" w:styleId="Bodytext10">
    <w:name w:val="Body text|1"/>
    <w:basedOn w:val="Normal"/>
    <w:link w:val="Bodytext1"/>
    <w:rsid w:val="005015FB"/>
    <w:pPr>
      <w:widowControl w:val="0"/>
      <w:spacing w:after="240" w:line="360" w:lineRule="auto"/>
    </w:pPr>
  </w:style>
  <w:style w:type="paragraph" w:customStyle="1" w:styleId="title-bold">
    <w:name w:val="title-bold"/>
    <w:basedOn w:val="Normal"/>
    <w:rsid w:val="0097158F"/>
    <w:pPr>
      <w:spacing w:before="100" w:beforeAutospacing="1" w:after="100" w:afterAutospacing="1" w:line="240" w:lineRule="auto"/>
    </w:pPr>
    <w:rPr>
      <w:rFonts w:ascii="Times New Roman" w:eastAsia="Times New Roman" w:hAnsi="Times New Roman" w:cs="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2923">
      <w:bodyDiv w:val="1"/>
      <w:marLeft w:val="0"/>
      <w:marRight w:val="0"/>
      <w:marTop w:val="0"/>
      <w:marBottom w:val="0"/>
      <w:divBdr>
        <w:top w:val="none" w:sz="0" w:space="0" w:color="auto"/>
        <w:left w:val="none" w:sz="0" w:space="0" w:color="auto"/>
        <w:bottom w:val="none" w:sz="0" w:space="0" w:color="auto"/>
        <w:right w:val="none" w:sz="0" w:space="0" w:color="auto"/>
      </w:divBdr>
    </w:div>
    <w:div w:id="701368840">
      <w:bodyDiv w:val="1"/>
      <w:marLeft w:val="0"/>
      <w:marRight w:val="0"/>
      <w:marTop w:val="0"/>
      <w:marBottom w:val="0"/>
      <w:divBdr>
        <w:top w:val="none" w:sz="0" w:space="0" w:color="auto"/>
        <w:left w:val="none" w:sz="0" w:space="0" w:color="auto"/>
        <w:bottom w:val="none" w:sz="0" w:space="0" w:color="auto"/>
        <w:right w:val="none" w:sz="0" w:space="0" w:color="auto"/>
      </w:divBdr>
    </w:div>
    <w:div w:id="1426075356">
      <w:bodyDiv w:val="1"/>
      <w:marLeft w:val="0"/>
      <w:marRight w:val="0"/>
      <w:marTop w:val="0"/>
      <w:marBottom w:val="0"/>
      <w:divBdr>
        <w:top w:val="none" w:sz="0" w:space="0" w:color="auto"/>
        <w:left w:val="none" w:sz="0" w:space="0" w:color="auto"/>
        <w:bottom w:val="none" w:sz="0" w:space="0" w:color="auto"/>
        <w:right w:val="none" w:sz="0" w:space="0" w:color="auto"/>
      </w:divBdr>
    </w:div>
    <w:div w:id="1684236825">
      <w:bodyDiv w:val="1"/>
      <w:marLeft w:val="0"/>
      <w:marRight w:val="0"/>
      <w:marTop w:val="0"/>
      <w:marBottom w:val="0"/>
      <w:divBdr>
        <w:top w:val="none" w:sz="0" w:space="0" w:color="auto"/>
        <w:left w:val="none" w:sz="0" w:space="0" w:color="auto"/>
        <w:bottom w:val="none" w:sz="0" w:space="0" w:color="auto"/>
        <w:right w:val="none" w:sz="0" w:space="0" w:color="auto"/>
      </w:divBdr>
    </w:div>
    <w:div w:id="1830898104">
      <w:bodyDiv w:val="1"/>
      <w:marLeft w:val="0"/>
      <w:marRight w:val="0"/>
      <w:marTop w:val="0"/>
      <w:marBottom w:val="0"/>
      <w:divBdr>
        <w:top w:val="none" w:sz="0" w:space="0" w:color="auto"/>
        <w:left w:val="none" w:sz="0" w:space="0" w:color="auto"/>
        <w:bottom w:val="none" w:sz="0" w:space="0" w:color="auto"/>
        <w:right w:val="none" w:sz="0" w:space="0" w:color="auto"/>
      </w:divBdr>
    </w:div>
    <w:div w:id="1877308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5509-2023-INIT/sk/pdf" TargetMode="External"/><Relationship Id="rId2" Type="http://schemas.openxmlformats.org/officeDocument/2006/relationships/hyperlink" Target="https://www.asser.nl/judgtrust/judgtrust/" TargetMode="External"/><Relationship Id="rId1" Type="http://schemas.openxmlformats.org/officeDocument/2006/relationships/hyperlink" Target="https://op.europa.eu/en/publication-detail/-/publication/4e4370d0-cead-11ed-a05c-01aa75ed71a1/languag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F628-EEF2-4ACA-822F-858090F0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15</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24</cp:revision>
  <cp:lastPrinted>2024-06-27T06:58:00Z</cp:lastPrinted>
  <dcterms:created xsi:type="dcterms:W3CDTF">2025-04-07T12:08:00Z</dcterms:created>
  <dcterms:modified xsi:type="dcterms:W3CDTF">2025-05-23T09:27:00Z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9.1, Build 20240808</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2024-04-18T07:24:36Z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bc79eabb-886f-42c5-89a5-eff9e1f96054</vt:lpwstr>
  </property>
  <property fmtid="{D5CDD505-2E9C-101B-9397-08002B2CF9AE}" pid="15" name="MSIP_Label_6bd9ddd1-4d20-43f6-abfa-fc3c07406f94_ContentBits">
    <vt:lpwstr>0</vt:lpwstr>
  </property>
</Properties>
</file>