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C71DE" w14:textId="47256E77" w:rsidR="008E6595" w:rsidRPr="00AB0AA0" w:rsidRDefault="00C67D57" w:rsidP="00C67D57">
      <w:pPr>
        <w:pStyle w:val="Pagedecouverture"/>
        <w:rPr>
          <w:noProof/>
        </w:rPr>
      </w:pPr>
      <w:r>
        <w:rPr>
          <w:noProof/>
        </w:rPr>
        <w:pict w14:anchorId="74205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1C7D750-2CCA-48D0-86CE-170A563FB045" style="width:455.4pt;height:369.6pt">
            <v:imagedata r:id="rId11" o:title=""/>
          </v:shape>
        </w:pict>
      </w:r>
    </w:p>
    <w:p w14:paraId="254AE5DC" w14:textId="15F5CC81" w:rsidR="00D4411B" w:rsidRPr="00AB0AA0" w:rsidRDefault="00D4411B" w:rsidP="00D4411B">
      <w:pPr>
        <w:rPr>
          <w:noProof/>
        </w:rPr>
        <w:sectPr w:rsidR="00D4411B" w:rsidRPr="00AB0AA0" w:rsidSect="00C67D57">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4560EFCE" w14:textId="77777777" w:rsidR="00B35235" w:rsidRPr="00AB0AA0" w:rsidRDefault="00B35235" w:rsidP="00B35235">
      <w:pPr>
        <w:pStyle w:val="Exposdesmotifstitre"/>
        <w:rPr>
          <w:noProof/>
        </w:rPr>
      </w:pPr>
      <w:r w:rsidRPr="00AB0AA0">
        <w:rPr>
          <w:noProof/>
        </w:rPr>
        <w:lastRenderedPageBreak/>
        <w:t>EXPOSICIÓN DE MOTIVOS</w:t>
      </w:r>
    </w:p>
    <w:p w14:paraId="32DC853B" w14:textId="77777777" w:rsidR="00B35235" w:rsidRPr="00AB0AA0" w:rsidRDefault="006B1DE0" w:rsidP="006B1DE0">
      <w:pPr>
        <w:pStyle w:val="ManualHeading1"/>
        <w:rPr>
          <w:noProof/>
        </w:rPr>
      </w:pPr>
      <w:bookmarkStart w:id="0" w:name="DQPStarAt1DQPStarAt0F4D73E20FBC44DA84C53"/>
      <w:bookmarkEnd w:id="0"/>
      <w:r w:rsidRPr="00AB0AA0">
        <w:rPr>
          <w:noProof/>
        </w:rPr>
        <w:t>1.</w:t>
      </w:r>
      <w:r w:rsidRPr="00AB0AA0">
        <w:rPr>
          <w:noProof/>
        </w:rPr>
        <w:tab/>
        <w:t>CONTEXTO DE LA PROPUESTA</w:t>
      </w:r>
    </w:p>
    <w:p w14:paraId="50F008A4" w14:textId="77777777" w:rsidR="00B35235" w:rsidRPr="00AB0AA0" w:rsidRDefault="30BAC377" w:rsidP="00B35235">
      <w:pPr>
        <w:pStyle w:val="Text1"/>
        <w:rPr>
          <w:noProof/>
        </w:rPr>
      </w:pPr>
      <w:r w:rsidRPr="00AB0AA0">
        <w:rPr>
          <w:noProof/>
        </w:rPr>
        <w:t>El 4 de junio de 2025, la Comisión formuló una propuesta de Decisión del Consejo de enmarcada en el artículo 140, apartado 2, del Tratado del Funcionamiento de la Unión Europea (en lo sucesivo, «TFUE»). La propuesta establece que Bulgaria reúne las condiciones necesarias para la adopción del euro y se suprime, con efectos desde el 1 de enero de 2026, la excepción a la que estaba acogido ese Estado miembro.</w:t>
      </w:r>
    </w:p>
    <w:p w14:paraId="23885E1C" w14:textId="77777777" w:rsidR="00B35235" w:rsidRPr="00AB0AA0" w:rsidRDefault="30BAC377" w:rsidP="00B35235">
      <w:pPr>
        <w:pStyle w:val="Text1"/>
        <w:rPr>
          <w:noProof/>
        </w:rPr>
      </w:pPr>
      <w:r w:rsidRPr="00AB0AA0">
        <w:rPr>
          <w:noProof/>
        </w:rPr>
        <w:t>Una vez adoptada, en su caso, esa Decisión, el Consejo deberá tomar las demás medidas necesarias para la introducción del euro en Bulgaria.</w:t>
      </w:r>
    </w:p>
    <w:p w14:paraId="418F2C8B" w14:textId="77777777" w:rsidR="00B35235" w:rsidRPr="00AB0AA0" w:rsidRDefault="00B35235" w:rsidP="00B35235">
      <w:pPr>
        <w:pStyle w:val="Text1"/>
        <w:rPr>
          <w:noProof/>
        </w:rPr>
      </w:pPr>
      <w:r w:rsidRPr="00AB0AA0">
        <w:rPr>
          <w:noProof/>
        </w:rPr>
        <w:t xml:space="preserve">El Reglamento (CE) n.º 974/98 del Consejo, sobre la introducción del euro </w:t>
      </w:r>
      <w:r w:rsidRPr="00AB0AA0">
        <w:rPr>
          <w:rStyle w:val="FootnoteReference"/>
          <w:noProof/>
        </w:rPr>
        <w:footnoteReference w:id="2"/>
      </w:r>
      <w:r w:rsidRPr="00AB0AA0">
        <w:rPr>
          <w:noProof/>
        </w:rPr>
        <w:t>, se aplica a la introducción inicial del euro en la primera serie de Estados miembros y en Grecia</w:t>
      </w:r>
      <w:r w:rsidRPr="00AB0AA0">
        <w:rPr>
          <w:rStyle w:val="FootnoteReference"/>
          <w:noProof/>
        </w:rPr>
        <w:footnoteReference w:id="3"/>
      </w:r>
      <w:r w:rsidRPr="00AB0AA0">
        <w:rPr>
          <w:noProof/>
        </w:rPr>
        <w:t>. Dicho Reglamento ha sido modificado por:</w:t>
      </w:r>
    </w:p>
    <w:p w14:paraId="2CAC9834" w14:textId="77777777" w:rsidR="00B35235" w:rsidRPr="00AB0AA0" w:rsidRDefault="009D499C" w:rsidP="00B35235">
      <w:pPr>
        <w:pStyle w:val="Text1"/>
        <w:rPr>
          <w:noProof/>
        </w:rPr>
      </w:pPr>
      <w:r w:rsidRPr="00AB0AA0">
        <w:rPr>
          <w:noProof/>
        </w:rPr>
        <w:t>— el Reglamento (CE) n.º 2169/2005, para preparar las futuras ampliaciones de la zona del euro;</w:t>
      </w:r>
    </w:p>
    <w:p w14:paraId="7457D635" w14:textId="77777777" w:rsidR="00B35235" w:rsidRPr="00AB0AA0" w:rsidRDefault="009D499C" w:rsidP="00B35235">
      <w:pPr>
        <w:pStyle w:val="Text1"/>
        <w:rPr>
          <w:noProof/>
        </w:rPr>
      </w:pPr>
      <w:r w:rsidRPr="00AB0AA0">
        <w:rPr>
          <w:noProof/>
        </w:rPr>
        <w:t>— el Reglamento (CE) n.º 1647/2006, para incluir a Eslovenia (que adoptó el euro el 1 de enero de 2007);</w:t>
      </w:r>
    </w:p>
    <w:p w14:paraId="68C1AEDB" w14:textId="77777777" w:rsidR="00B35235" w:rsidRPr="00AB0AA0" w:rsidRDefault="009D499C" w:rsidP="00B35235">
      <w:pPr>
        <w:pStyle w:val="Text1"/>
        <w:rPr>
          <w:noProof/>
        </w:rPr>
      </w:pPr>
      <w:r w:rsidRPr="00AB0AA0">
        <w:rPr>
          <w:noProof/>
        </w:rPr>
        <w:t>— el Reglamento (CE) n.º 835/2007, para incluir a Chipre (que adoptó el euro el 1 de enero de 2008);</w:t>
      </w:r>
    </w:p>
    <w:p w14:paraId="695DEE48" w14:textId="77777777" w:rsidR="00B35235" w:rsidRPr="00AB0AA0" w:rsidRDefault="009D499C" w:rsidP="00B35235">
      <w:pPr>
        <w:pStyle w:val="Text1"/>
        <w:rPr>
          <w:noProof/>
        </w:rPr>
      </w:pPr>
      <w:r w:rsidRPr="00AB0AA0">
        <w:rPr>
          <w:noProof/>
        </w:rPr>
        <w:t>— el Reglamento (CE) n.º 836/2007, para incluir a Malta (que adoptó el euro el 1 de enero de 2008);</w:t>
      </w:r>
    </w:p>
    <w:p w14:paraId="538B417B" w14:textId="77777777" w:rsidR="00B35235" w:rsidRPr="00AB0AA0" w:rsidRDefault="009D499C" w:rsidP="00B35235">
      <w:pPr>
        <w:pStyle w:val="Text1"/>
        <w:rPr>
          <w:noProof/>
        </w:rPr>
      </w:pPr>
      <w:r w:rsidRPr="00AB0AA0">
        <w:rPr>
          <w:noProof/>
        </w:rPr>
        <w:t>— el Reglamento (CE) n.º 693/2008, para incluir a Eslovaquia (que adoptó el euro en enero de 2009);</w:t>
      </w:r>
    </w:p>
    <w:p w14:paraId="205BF928" w14:textId="77777777" w:rsidR="00B35235" w:rsidRPr="00AB0AA0" w:rsidRDefault="009D499C" w:rsidP="00B35235">
      <w:pPr>
        <w:pStyle w:val="Text1"/>
        <w:rPr>
          <w:noProof/>
        </w:rPr>
      </w:pPr>
      <w:r w:rsidRPr="00AB0AA0">
        <w:rPr>
          <w:noProof/>
        </w:rPr>
        <w:t>— el Reglamento (UE) n.º 670/2010, para incluir a Estonia (que adoptó el euro en enero de 2011);</w:t>
      </w:r>
    </w:p>
    <w:p w14:paraId="03723579" w14:textId="77777777" w:rsidR="00B35235" w:rsidRPr="00AB0AA0" w:rsidRDefault="009D499C" w:rsidP="00B35235">
      <w:pPr>
        <w:pStyle w:val="Text1"/>
        <w:rPr>
          <w:noProof/>
        </w:rPr>
      </w:pPr>
      <w:r w:rsidRPr="00AB0AA0">
        <w:rPr>
          <w:noProof/>
        </w:rPr>
        <w:t>— el Reglamento (CE) n.º 678/2013, para incluir a Letonia (que adoptó el euro en enero de 2014);</w:t>
      </w:r>
    </w:p>
    <w:p w14:paraId="4F7A1070" w14:textId="77777777" w:rsidR="00B35235" w:rsidRPr="00AB0AA0" w:rsidRDefault="009D499C" w:rsidP="2B01EE09">
      <w:pPr>
        <w:pStyle w:val="Text1"/>
        <w:rPr>
          <w:noProof/>
        </w:rPr>
      </w:pPr>
      <w:r w:rsidRPr="00AB0AA0">
        <w:rPr>
          <w:noProof/>
        </w:rPr>
        <w:t>— el Reglamento (UE) n.º 827/2014, para incluir a Lituania (que adoptó el euro en enero de 2015).</w:t>
      </w:r>
    </w:p>
    <w:p w14:paraId="18D57C58" w14:textId="77777777" w:rsidR="00EF3F1C" w:rsidRPr="00AB0AA0" w:rsidRDefault="009D499C" w:rsidP="00B35235">
      <w:pPr>
        <w:pStyle w:val="Text1"/>
        <w:rPr>
          <w:noProof/>
        </w:rPr>
      </w:pPr>
      <w:r w:rsidRPr="00AB0AA0">
        <w:rPr>
          <w:noProof/>
        </w:rPr>
        <w:t>— el Reglamento (UE) 2022/1207, para incluir a Croacia (que adoptó el euro en enero de 2023).</w:t>
      </w:r>
    </w:p>
    <w:p w14:paraId="511005C6" w14:textId="77777777" w:rsidR="00B35235" w:rsidRPr="00AB0AA0" w:rsidRDefault="36734E36" w:rsidP="00B35235">
      <w:pPr>
        <w:pStyle w:val="Text1"/>
        <w:rPr>
          <w:noProof/>
        </w:rPr>
      </w:pPr>
      <w:r w:rsidRPr="00AB0AA0">
        <w:rPr>
          <w:noProof/>
        </w:rPr>
        <w:t>Para que Bulgaria quede cubierta también por el Reglamento (CE) n.º 974/98, es necesario añadir a este una referencia a dicho Estado miembro. La presente propuesta contiene las modificaciones necesarias de ese Reglamento.</w:t>
      </w:r>
    </w:p>
    <w:p w14:paraId="6EBA538B" w14:textId="77777777" w:rsidR="00B35235" w:rsidRPr="00AB0AA0" w:rsidRDefault="07E85C85" w:rsidP="00B35235">
      <w:pPr>
        <w:pStyle w:val="Text1"/>
        <w:rPr>
          <w:noProof/>
        </w:rPr>
      </w:pPr>
      <w:r w:rsidRPr="00AB0AA0">
        <w:rPr>
          <w:noProof/>
        </w:rPr>
        <w:t>El plan nacional búlgaro de introducción del euro dispone que la adopción del euro como moneda de Bulgaria debe coincidir con la introducción de los billetes y monedas en euros en Bulgaria.</w:t>
      </w:r>
    </w:p>
    <w:p w14:paraId="7D23FACC" w14:textId="77777777" w:rsidR="00B35235" w:rsidRPr="00AB0AA0" w:rsidRDefault="006B1DE0" w:rsidP="006B1DE0">
      <w:pPr>
        <w:pStyle w:val="ManualHeading1"/>
        <w:rPr>
          <w:noProof/>
        </w:rPr>
      </w:pPr>
      <w:r w:rsidRPr="00AB0AA0">
        <w:rPr>
          <w:noProof/>
        </w:rPr>
        <w:lastRenderedPageBreak/>
        <w:t>2.</w:t>
      </w:r>
      <w:r w:rsidRPr="00AB0AA0">
        <w:rPr>
          <w:noProof/>
        </w:rPr>
        <w:tab/>
        <w:t>RESULTADOS DE LA CONSULTA DE LAS PARTES INTERESADAS Y EVALUACIÓN DE IMPACTO</w:t>
      </w:r>
    </w:p>
    <w:p w14:paraId="68595553" w14:textId="77777777" w:rsidR="00B35235" w:rsidRPr="00AB0AA0" w:rsidRDefault="0C4E6C78" w:rsidP="00B35235">
      <w:pPr>
        <w:pStyle w:val="Text1"/>
        <w:rPr>
          <w:noProof/>
        </w:rPr>
      </w:pPr>
      <w:r w:rsidRPr="00AB0AA0">
        <w:rPr>
          <w:noProof/>
        </w:rPr>
        <w:t>Los desafíos a que se enfrenta la política económica de los Estados miembros se debaten sistemáticamente con estos, bajo distintos conceptos, en el Comité Económico y Financiero y el Ecofin/Eurogrupo. Estos debates comprenden conversaciones informales sobre cuestiones particularmente pertinentes para preparar el posible ingreso en la zona del euro (entre ellas, las políticas de tipos de cambio).</w:t>
      </w:r>
    </w:p>
    <w:p w14:paraId="462B3CAD" w14:textId="77777777" w:rsidR="00B35235" w:rsidRPr="00AB0AA0" w:rsidRDefault="00B35235" w:rsidP="00B35235">
      <w:pPr>
        <w:pStyle w:val="Text1"/>
        <w:rPr>
          <w:noProof/>
        </w:rPr>
      </w:pPr>
      <w:r w:rsidRPr="00AB0AA0">
        <w:rPr>
          <w:noProof/>
        </w:rPr>
        <w:t>La evolución económica en la zona del euro y en los Estados miembros se evalúa mediante los diversos procedimientos de coordinación y supervisión de las políticas económicas (en particular, al amparo del artículo 121 del TFUE), y como parte del habitual seguimiento y análisis que la Comisión realiza de la evolución registrada por los diversos países, a nivel individual, y en el conjunto de la zona (proceso que comprende la elaboración de previsiones, publicaciones periódicas y aportaciones al Comité Económico y Financiero y al Ecofin/Eurogrupo). De acuerdo con el principio de proporcionalidad y tal como ya se venía haciendo, no es necesaria una evaluación de impacto formal.</w:t>
      </w:r>
    </w:p>
    <w:p w14:paraId="03C3856E" w14:textId="77777777" w:rsidR="00B35235" w:rsidRPr="00AB0AA0" w:rsidRDefault="006B1DE0" w:rsidP="006B1DE0">
      <w:pPr>
        <w:pStyle w:val="ManualHeading1"/>
        <w:rPr>
          <w:noProof/>
        </w:rPr>
      </w:pPr>
      <w:r w:rsidRPr="00AB0AA0">
        <w:rPr>
          <w:noProof/>
        </w:rPr>
        <w:t>3.</w:t>
      </w:r>
      <w:r w:rsidRPr="00AB0AA0">
        <w:rPr>
          <w:noProof/>
        </w:rPr>
        <w:tab/>
        <w:t>ASPECTOS JURÍDICOS DE LA PROPUESTA</w:t>
      </w:r>
    </w:p>
    <w:p w14:paraId="7EE2727F" w14:textId="77777777" w:rsidR="00B35235" w:rsidRPr="00AB0AA0" w:rsidRDefault="006B1DE0" w:rsidP="006B1DE0">
      <w:pPr>
        <w:pStyle w:val="ManualHeading2"/>
        <w:rPr>
          <w:noProof/>
        </w:rPr>
      </w:pPr>
      <w:bookmarkStart w:id="1" w:name="DQPStarAt1DQPStarAt449D5EE33AEC4BCD9CA1F"/>
      <w:bookmarkEnd w:id="1"/>
      <w:r w:rsidRPr="00AB0AA0">
        <w:rPr>
          <w:noProof/>
        </w:rPr>
        <w:t>3.1.</w:t>
      </w:r>
      <w:r w:rsidRPr="00AB0AA0">
        <w:rPr>
          <w:noProof/>
        </w:rPr>
        <w:tab/>
        <w:t>Base jurídica</w:t>
      </w:r>
    </w:p>
    <w:p w14:paraId="504F726A" w14:textId="77777777" w:rsidR="00B35235" w:rsidRPr="00AB0AA0" w:rsidRDefault="00B35235" w:rsidP="00B35235">
      <w:pPr>
        <w:pStyle w:val="Text1"/>
        <w:rPr>
          <w:noProof/>
        </w:rPr>
      </w:pPr>
      <w:r w:rsidRPr="00AB0AA0">
        <w:rPr>
          <w:noProof/>
        </w:rPr>
        <w:t>La base jurídica de la presente propuesta es el artículo 140, apartado 3, del Tratado CE, que permite al Consejo adoptar otras medidas necesarias para introducir el euro en un Estado miembro cuya excepción se haya suprimido en virtud del artículo 140, apartado 2, del TFUE.</w:t>
      </w:r>
    </w:p>
    <w:p w14:paraId="12E52527" w14:textId="77777777" w:rsidR="00B35235" w:rsidRPr="00AB0AA0" w:rsidRDefault="00B35235" w:rsidP="00B35235">
      <w:pPr>
        <w:pStyle w:val="Text1"/>
        <w:rPr>
          <w:noProof/>
        </w:rPr>
      </w:pPr>
      <w:r w:rsidRPr="00AB0AA0">
        <w:rPr>
          <w:noProof/>
        </w:rPr>
        <w:t>El Consejo debe adoptar esas medidas a propuesta de la Comisión, previa consulta al BCE y por unanimidad de aquellos Estados miembros cuya moneda sea el euro y del propio Estado miembro interesado.</w:t>
      </w:r>
    </w:p>
    <w:p w14:paraId="7BCEF812" w14:textId="77777777" w:rsidR="00B35235" w:rsidRPr="00AB0AA0" w:rsidRDefault="006B1DE0" w:rsidP="006B1DE0">
      <w:pPr>
        <w:pStyle w:val="ManualHeading2"/>
        <w:rPr>
          <w:noProof/>
        </w:rPr>
      </w:pPr>
      <w:r w:rsidRPr="00AB0AA0">
        <w:rPr>
          <w:noProof/>
        </w:rPr>
        <w:t>3.2.</w:t>
      </w:r>
      <w:r w:rsidRPr="00AB0AA0">
        <w:rPr>
          <w:noProof/>
        </w:rPr>
        <w:tab/>
        <w:t>Subsidiariedad y proporcionalidad</w:t>
      </w:r>
    </w:p>
    <w:p w14:paraId="4E0FBF80" w14:textId="77777777" w:rsidR="00B35235" w:rsidRPr="00AB0AA0" w:rsidRDefault="00B35235" w:rsidP="00B35235">
      <w:pPr>
        <w:pStyle w:val="Text1"/>
        <w:rPr>
          <w:noProof/>
        </w:rPr>
      </w:pPr>
      <w:r w:rsidRPr="00AB0AA0">
        <w:rPr>
          <w:noProof/>
        </w:rPr>
        <w:t>La propuesta es competencia exclusiva de la Unión. No es por lo tanto aplicable el principio de subsidiariedad.</w:t>
      </w:r>
    </w:p>
    <w:p w14:paraId="4D32802B" w14:textId="77777777" w:rsidR="00B35235" w:rsidRPr="00AB0AA0" w:rsidRDefault="00B35235" w:rsidP="00B35235">
      <w:pPr>
        <w:pStyle w:val="Text1"/>
        <w:rPr>
          <w:noProof/>
        </w:rPr>
      </w:pPr>
      <w:r w:rsidRPr="00AB0AA0">
        <w:rPr>
          <w:noProof/>
        </w:rPr>
        <w:t>La propuesta cumple el principio de proporcionalidad ya que no excede de lo necesario para alcanzar su objetivo.</w:t>
      </w:r>
    </w:p>
    <w:p w14:paraId="256BD654" w14:textId="77777777" w:rsidR="00B35235" w:rsidRPr="00AB0AA0" w:rsidRDefault="006B1DE0" w:rsidP="006B1DE0">
      <w:pPr>
        <w:pStyle w:val="ManualHeading2"/>
        <w:rPr>
          <w:noProof/>
        </w:rPr>
      </w:pPr>
      <w:r w:rsidRPr="00AB0AA0">
        <w:rPr>
          <w:noProof/>
        </w:rPr>
        <w:t>3.3.</w:t>
      </w:r>
      <w:r w:rsidRPr="00AB0AA0">
        <w:rPr>
          <w:noProof/>
        </w:rPr>
        <w:tab/>
        <w:t>Elección del instrumento jurídico</w:t>
      </w:r>
    </w:p>
    <w:p w14:paraId="350A0CCA" w14:textId="77777777" w:rsidR="00B35235" w:rsidRPr="00AB0AA0" w:rsidRDefault="004379E8" w:rsidP="00B35235">
      <w:pPr>
        <w:pStyle w:val="Text1"/>
        <w:rPr>
          <w:noProof/>
        </w:rPr>
      </w:pPr>
      <w:r w:rsidRPr="00AB0AA0">
        <w:rPr>
          <w:noProof/>
        </w:rPr>
        <w:t>Para modificar el Reglamento (CE) n.º 974/98 del Consejo, sobre la introducción del euro, el instrumento jurídico adecuado es un reglamento.</w:t>
      </w:r>
    </w:p>
    <w:p w14:paraId="5D9964AB" w14:textId="77777777" w:rsidR="00B35235" w:rsidRPr="00AB0AA0" w:rsidRDefault="006B1DE0" w:rsidP="006B1DE0">
      <w:pPr>
        <w:pStyle w:val="ManualHeading1"/>
        <w:rPr>
          <w:noProof/>
        </w:rPr>
      </w:pPr>
      <w:r w:rsidRPr="00AB0AA0">
        <w:rPr>
          <w:noProof/>
        </w:rPr>
        <w:t>4.</w:t>
      </w:r>
      <w:r w:rsidRPr="00AB0AA0">
        <w:rPr>
          <w:noProof/>
        </w:rPr>
        <w:tab/>
        <w:t>REPERCUSIONES PRESUPUESTARIAS</w:t>
      </w:r>
    </w:p>
    <w:p w14:paraId="60B7D24E" w14:textId="77777777" w:rsidR="00B35235" w:rsidRPr="00AB0AA0" w:rsidRDefault="00B35235" w:rsidP="00B35235">
      <w:pPr>
        <w:pStyle w:val="Text1"/>
        <w:rPr>
          <w:noProof/>
        </w:rPr>
      </w:pPr>
      <w:r w:rsidRPr="00AB0AA0">
        <w:rPr>
          <w:noProof/>
        </w:rPr>
        <w:t>La propuesta no tiene incidencia alguna en el presupuesto de la Unión.</w:t>
      </w:r>
    </w:p>
    <w:p w14:paraId="070BE08B" w14:textId="77777777" w:rsidR="00B35235" w:rsidRPr="00AB0AA0" w:rsidRDefault="006B1DE0" w:rsidP="006B1DE0">
      <w:pPr>
        <w:pStyle w:val="ManualHeading1"/>
        <w:rPr>
          <w:noProof/>
        </w:rPr>
      </w:pPr>
      <w:r w:rsidRPr="00AB0AA0">
        <w:rPr>
          <w:noProof/>
        </w:rPr>
        <w:t>5.</w:t>
      </w:r>
      <w:r w:rsidRPr="00AB0AA0">
        <w:rPr>
          <w:noProof/>
        </w:rPr>
        <w:tab/>
        <w:t>COMENTARIO SOBRE ALGUNOS ARTÍCULOS</w:t>
      </w:r>
    </w:p>
    <w:p w14:paraId="6DB1DEAE" w14:textId="77777777" w:rsidR="00B35235" w:rsidRPr="00AB0AA0" w:rsidRDefault="006B1DE0" w:rsidP="006B1DE0">
      <w:pPr>
        <w:pStyle w:val="ManualHeading2"/>
        <w:rPr>
          <w:noProof/>
        </w:rPr>
      </w:pPr>
      <w:bookmarkStart w:id="2" w:name="DQPStarAt1DQPStarAt55093608EF8147D681E05"/>
      <w:bookmarkEnd w:id="2"/>
      <w:r w:rsidRPr="00AB0AA0">
        <w:rPr>
          <w:noProof/>
        </w:rPr>
        <w:t>5.1.</w:t>
      </w:r>
      <w:r w:rsidRPr="00AB0AA0">
        <w:rPr>
          <w:noProof/>
        </w:rPr>
        <w:tab/>
        <w:t>Artículo 1</w:t>
      </w:r>
    </w:p>
    <w:p w14:paraId="5BB89D2A" w14:textId="77777777" w:rsidR="00504383" w:rsidRPr="00AB0AA0" w:rsidRDefault="00B35235" w:rsidP="00B35235">
      <w:pPr>
        <w:pStyle w:val="Text1"/>
        <w:rPr>
          <w:noProof/>
        </w:rPr>
      </w:pPr>
      <w:r w:rsidRPr="00AB0AA0">
        <w:rPr>
          <w:noProof/>
        </w:rPr>
        <w:t>De conformidad con el artículo 1, letra a), y el artículo 1 </w:t>
      </w:r>
      <w:r w:rsidRPr="00AB0AA0">
        <w:rPr>
          <w:i/>
          <w:iCs/>
          <w:noProof/>
        </w:rPr>
        <w:t>bis</w:t>
      </w:r>
      <w:r w:rsidRPr="00AB0AA0">
        <w:rPr>
          <w:noProof/>
        </w:rPr>
        <w:t xml:space="preserve"> del Reglamento (CE) n.º 974/98, el cuadro que figura en el anexo de ese Reglamento enumera los Estados miembros participantes e indica para cada uno de ellos la fecha de adopción del euro, la fecha de introducción del efectivo en euros y, en su caso, el período de «desaparición gradual».</w:t>
      </w:r>
    </w:p>
    <w:p w14:paraId="54723A16" w14:textId="77777777" w:rsidR="00504383" w:rsidRPr="00AB0AA0" w:rsidRDefault="00B35235" w:rsidP="00B35235">
      <w:pPr>
        <w:pStyle w:val="Text1"/>
        <w:rPr>
          <w:noProof/>
        </w:rPr>
      </w:pPr>
      <w:r w:rsidRPr="00AB0AA0">
        <w:rPr>
          <w:noProof/>
        </w:rPr>
        <w:t>Por disposición del artículo 1, letra i), del Reglamento (CE) n.º 974/98, ese período solo puede aplicarse a los Estados miembros en los que coincidan en un mismo día la fecha de adopción del euro y la de introducción del efectivo en euros. Esto no ocurrió ni en el caso de los once Estados miembros que adoptaron el euro el 1 de enero de 1999 ni en el de Grecia, que adoptó el euro el 1 de enero de 2001.</w:t>
      </w:r>
    </w:p>
    <w:p w14:paraId="3D2B3210" w14:textId="77777777" w:rsidR="00504383" w:rsidRPr="00AB0AA0" w:rsidRDefault="000E488C" w:rsidP="00B35235">
      <w:pPr>
        <w:pStyle w:val="Text1"/>
        <w:rPr>
          <w:noProof/>
        </w:rPr>
      </w:pPr>
      <w:r w:rsidRPr="00AB0AA0">
        <w:rPr>
          <w:noProof/>
        </w:rPr>
        <w:t>Las fechas de adopción del euro y de introducción del efectivo en euros coincidieron en Eslovenia, Chipre, Malta, Eslovaquia, Estonia, Letonia, Lituania y Croacia (1 de enero de 2007 para Eslovenia, 1 de enero de 2008 para Chipre y Malta, 1 de enero de 2009 para Eslovaquia, 1 de enero de 2011 para Estonia, 1 de enero de 2014 para Letonia, 1 de enero de 2015 para Lituania y 1 de enero de 2023 para Croacia). Pese a ello, dichos países optaron por no disponer de un período de «desaparición gradual».</w:t>
      </w:r>
    </w:p>
    <w:p w14:paraId="3D2C6202" w14:textId="77777777" w:rsidR="00B35235" w:rsidRPr="00AB0AA0" w:rsidRDefault="7E6E52C5" w:rsidP="00B35235">
      <w:pPr>
        <w:pStyle w:val="Text1"/>
        <w:rPr>
          <w:noProof/>
        </w:rPr>
      </w:pPr>
      <w:r w:rsidRPr="00AB0AA0">
        <w:rPr>
          <w:noProof/>
        </w:rPr>
        <w:t>El plan nacional búlgaro de introducción del euro también fija la misma fecha para la adopción del euro y la introducción del efectivo en euros (1 de enero de 2026), y Bulgaria ha optado por no disponer de un período de «desaparición gradual».</w:t>
      </w:r>
    </w:p>
    <w:p w14:paraId="6AB8CA87" w14:textId="77777777" w:rsidR="00B35235" w:rsidRPr="00AB0AA0" w:rsidRDefault="30BAC377" w:rsidP="00B35235">
      <w:pPr>
        <w:pStyle w:val="Text1"/>
        <w:rPr>
          <w:noProof/>
        </w:rPr>
      </w:pPr>
      <w:r w:rsidRPr="00AB0AA0">
        <w:rPr>
          <w:noProof/>
        </w:rPr>
        <w:t>Este artículo añade Bulgaria y los datos pertinentes siguientes relativos a este Estado miembro al cuadro del anexo del Reglamento (CE) n.º 974/98 en el orden protocolario.</w:t>
      </w:r>
    </w:p>
    <w:tbl>
      <w:tblPr>
        <w:tblW w:w="6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1"/>
        <w:gridCol w:w="1521"/>
        <w:gridCol w:w="1695"/>
        <w:gridCol w:w="1809"/>
      </w:tblGrid>
      <w:tr w:rsidR="00B35235" w:rsidRPr="00AB0AA0" w14:paraId="287F79CD" w14:textId="77777777" w:rsidTr="2B01EE09">
        <w:trPr>
          <w:jc w:val="center"/>
        </w:trPr>
        <w:tc>
          <w:tcPr>
            <w:tcW w:w="1521" w:type="dxa"/>
          </w:tcPr>
          <w:p w14:paraId="4E3E9B26" w14:textId="77777777" w:rsidR="00B35235" w:rsidRPr="00AB0AA0" w:rsidRDefault="00B35235" w:rsidP="00956B6B">
            <w:pPr>
              <w:jc w:val="center"/>
              <w:rPr>
                <w:rFonts w:cs="Arial"/>
                <w:noProof/>
                <w:sz w:val="16"/>
                <w:szCs w:val="16"/>
              </w:rPr>
            </w:pPr>
            <w:r w:rsidRPr="00AB0AA0">
              <w:rPr>
                <w:noProof/>
                <w:sz w:val="16"/>
              </w:rPr>
              <w:t>Estado miembro</w:t>
            </w:r>
          </w:p>
        </w:tc>
        <w:tc>
          <w:tcPr>
            <w:tcW w:w="1521" w:type="dxa"/>
          </w:tcPr>
          <w:p w14:paraId="52D2CF2E" w14:textId="77777777" w:rsidR="00B35235" w:rsidRPr="00AB0AA0" w:rsidRDefault="00B35235" w:rsidP="00956B6B">
            <w:pPr>
              <w:jc w:val="center"/>
              <w:rPr>
                <w:rFonts w:cs="Arial"/>
                <w:noProof/>
                <w:sz w:val="16"/>
                <w:szCs w:val="16"/>
              </w:rPr>
            </w:pPr>
            <w:r w:rsidRPr="00AB0AA0">
              <w:rPr>
                <w:noProof/>
                <w:sz w:val="16"/>
              </w:rPr>
              <w:t>Fecha de adopción del euro</w:t>
            </w:r>
          </w:p>
        </w:tc>
        <w:tc>
          <w:tcPr>
            <w:tcW w:w="1695" w:type="dxa"/>
          </w:tcPr>
          <w:p w14:paraId="7C62F166" w14:textId="77777777" w:rsidR="00B35235" w:rsidRPr="00AB0AA0" w:rsidRDefault="00B35235" w:rsidP="00956B6B">
            <w:pPr>
              <w:jc w:val="center"/>
              <w:rPr>
                <w:rFonts w:cs="Arial"/>
                <w:noProof/>
                <w:sz w:val="16"/>
                <w:szCs w:val="16"/>
              </w:rPr>
            </w:pPr>
            <w:r w:rsidRPr="00AB0AA0">
              <w:rPr>
                <w:noProof/>
                <w:sz w:val="16"/>
              </w:rPr>
              <w:t>Fecha de introducción del efectivo en euros</w:t>
            </w:r>
          </w:p>
        </w:tc>
        <w:tc>
          <w:tcPr>
            <w:tcW w:w="1809" w:type="dxa"/>
          </w:tcPr>
          <w:p w14:paraId="7AD3C026" w14:textId="77777777" w:rsidR="00B35235" w:rsidRPr="00AB0AA0" w:rsidRDefault="00B35235" w:rsidP="00956B6B">
            <w:pPr>
              <w:jc w:val="center"/>
              <w:rPr>
                <w:rFonts w:cs="Arial"/>
                <w:noProof/>
                <w:sz w:val="16"/>
                <w:szCs w:val="16"/>
              </w:rPr>
            </w:pPr>
            <w:r w:rsidRPr="00AB0AA0">
              <w:rPr>
                <w:noProof/>
                <w:sz w:val="16"/>
              </w:rPr>
              <w:t>Estado miembro con un período de «desaparición gradual»</w:t>
            </w:r>
          </w:p>
        </w:tc>
      </w:tr>
      <w:tr w:rsidR="00B35235" w:rsidRPr="00AB0AA0" w14:paraId="6299FE7E" w14:textId="77777777" w:rsidTr="2B01EE09">
        <w:trPr>
          <w:jc w:val="center"/>
        </w:trPr>
        <w:tc>
          <w:tcPr>
            <w:tcW w:w="1521" w:type="dxa"/>
          </w:tcPr>
          <w:p w14:paraId="3D707B06" w14:textId="77777777" w:rsidR="00B35235" w:rsidRPr="00AB0AA0" w:rsidRDefault="30BAC377" w:rsidP="00956B6B">
            <w:pPr>
              <w:jc w:val="center"/>
              <w:rPr>
                <w:rFonts w:cs="Arial"/>
                <w:noProof/>
                <w:sz w:val="16"/>
                <w:szCs w:val="16"/>
              </w:rPr>
            </w:pPr>
            <w:r w:rsidRPr="00AB0AA0">
              <w:rPr>
                <w:noProof/>
                <w:sz w:val="16"/>
              </w:rPr>
              <w:t>«Bulgaria</w:t>
            </w:r>
          </w:p>
        </w:tc>
        <w:tc>
          <w:tcPr>
            <w:tcW w:w="1521" w:type="dxa"/>
          </w:tcPr>
          <w:p w14:paraId="1F2C6EF2" w14:textId="77777777" w:rsidR="00B35235" w:rsidRPr="00AB0AA0" w:rsidRDefault="30BAC377" w:rsidP="00956B6B">
            <w:pPr>
              <w:jc w:val="center"/>
              <w:rPr>
                <w:rFonts w:cs="Arial"/>
                <w:noProof/>
                <w:sz w:val="16"/>
                <w:szCs w:val="16"/>
              </w:rPr>
            </w:pPr>
            <w:r w:rsidRPr="00AB0AA0">
              <w:rPr>
                <w:noProof/>
                <w:sz w:val="16"/>
              </w:rPr>
              <w:t>1 de enero de 2026</w:t>
            </w:r>
          </w:p>
        </w:tc>
        <w:tc>
          <w:tcPr>
            <w:tcW w:w="1695" w:type="dxa"/>
          </w:tcPr>
          <w:p w14:paraId="06A9049F" w14:textId="77777777" w:rsidR="00B35235" w:rsidRPr="00AB0AA0" w:rsidRDefault="30BAC377" w:rsidP="00956B6B">
            <w:pPr>
              <w:jc w:val="center"/>
              <w:rPr>
                <w:rFonts w:cs="Arial"/>
                <w:noProof/>
                <w:sz w:val="16"/>
                <w:szCs w:val="16"/>
              </w:rPr>
            </w:pPr>
            <w:r w:rsidRPr="00AB0AA0">
              <w:rPr>
                <w:noProof/>
                <w:sz w:val="16"/>
              </w:rPr>
              <w:t>1 de enero de 2026</w:t>
            </w:r>
          </w:p>
        </w:tc>
        <w:tc>
          <w:tcPr>
            <w:tcW w:w="1809" w:type="dxa"/>
          </w:tcPr>
          <w:p w14:paraId="1D22FEE9" w14:textId="77777777" w:rsidR="00B35235" w:rsidRPr="00AB0AA0" w:rsidRDefault="00B35235" w:rsidP="00956B6B">
            <w:pPr>
              <w:jc w:val="center"/>
              <w:rPr>
                <w:rFonts w:cs="Arial"/>
                <w:noProof/>
                <w:sz w:val="16"/>
                <w:szCs w:val="16"/>
              </w:rPr>
            </w:pPr>
            <w:r w:rsidRPr="00AB0AA0">
              <w:rPr>
                <w:noProof/>
                <w:sz w:val="16"/>
              </w:rPr>
              <w:t>No»</w:t>
            </w:r>
          </w:p>
        </w:tc>
      </w:tr>
    </w:tbl>
    <w:p w14:paraId="48C51D69" w14:textId="77777777" w:rsidR="00B35235" w:rsidRPr="00AB0AA0" w:rsidRDefault="00B35235" w:rsidP="00B35235">
      <w:pPr>
        <w:pStyle w:val="Text1"/>
        <w:rPr>
          <w:noProof/>
        </w:rPr>
      </w:pPr>
    </w:p>
    <w:p w14:paraId="4D0625BA" w14:textId="77777777" w:rsidR="00B35235" w:rsidRPr="00AB0AA0" w:rsidRDefault="006B1DE0" w:rsidP="006B1DE0">
      <w:pPr>
        <w:pStyle w:val="ManualHeading2"/>
        <w:rPr>
          <w:noProof/>
        </w:rPr>
      </w:pPr>
      <w:r w:rsidRPr="00AB0AA0">
        <w:rPr>
          <w:noProof/>
        </w:rPr>
        <w:t>5.2.</w:t>
      </w:r>
      <w:r w:rsidRPr="00AB0AA0">
        <w:rPr>
          <w:noProof/>
        </w:rPr>
        <w:tab/>
        <w:t>Artículo 2</w:t>
      </w:r>
    </w:p>
    <w:p w14:paraId="7FE22F93" w14:textId="77777777" w:rsidR="0067565A" w:rsidRPr="00AB0AA0" w:rsidRDefault="30BAC377" w:rsidP="00B35235">
      <w:pPr>
        <w:rPr>
          <w:noProof/>
        </w:rPr>
      </w:pPr>
      <w:r w:rsidRPr="00AB0AA0">
        <w:rPr>
          <w:noProof/>
        </w:rPr>
        <w:t>Este artículo fija la fecha de 1 de enero de 2026 para la entrada en vigor del Reglamento, garantizando que sea aplicable de conformidad con el calendario de los demás actos del Consejo relacionados con la adopción del euro por Bulgaria, es decir, la misma fecha en la que se suprime la excepción y la fecha de entrada en vigor del tipo de conversión de la leva búlgara.</w:t>
      </w:r>
    </w:p>
    <w:p w14:paraId="234826E5" w14:textId="77777777" w:rsidR="00414613" w:rsidRPr="00AB0AA0" w:rsidRDefault="00414613" w:rsidP="00414613">
      <w:pPr>
        <w:rPr>
          <w:noProof/>
        </w:rPr>
        <w:sectPr w:rsidR="00414613" w:rsidRPr="00AB0AA0" w:rsidSect="00C67D57">
          <w:headerReference w:type="even" r:id="rId18"/>
          <w:footerReference w:type="even" r:id="rId19"/>
          <w:footerReference w:type="default" r:id="rId20"/>
          <w:headerReference w:type="first" r:id="rId21"/>
          <w:footerReference w:type="first" r:id="rId22"/>
          <w:pgSz w:w="11907" w:h="16839"/>
          <w:pgMar w:top="1134" w:right="1417" w:bottom="1134" w:left="1417" w:header="709" w:footer="709" w:gutter="0"/>
          <w:pgNumType w:start="1"/>
          <w:cols w:space="720"/>
          <w:docGrid w:linePitch="360"/>
        </w:sectPr>
      </w:pPr>
    </w:p>
    <w:p w14:paraId="2208E8D9" w14:textId="153EBE90" w:rsidR="005622A3" w:rsidRPr="00AB0AA0" w:rsidRDefault="00C67D57" w:rsidP="00C67D57">
      <w:pPr>
        <w:pStyle w:val="Rfrenceinterinstitutionnelle"/>
        <w:rPr>
          <w:noProof/>
        </w:rPr>
      </w:pPr>
      <w:r w:rsidRPr="00C67D57">
        <w:t>2025/0159 (NLE)</w:t>
      </w:r>
    </w:p>
    <w:p w14:paraId="4AD99583" w14:textId="15DBB112" w:rsidR="00414613" w:rsidRPr="00AB0AA0" w:rsidRDefault="005A51FA" w:rsidP="005A51FA">
      <w:pPr>
        <w:pStyle w:val="Statut"/>
        <w:rPr>
          <w:noProof/>
        </w:rPr>
      </w:pPr>
      <w:r w:rsidRPr="005A51FA">
        <w:rPr>
          <w:noProof/>
        </w:rPr>
        <w:t>Propuesta de</w:t>
      </w:r>
    </w:p>
    <w:p w14:paraId="1849A3C6" w14:textId="21E63E49" w:rsidR="00414613" w:rsidRPr="00AB0AA0" w:rsidRDefault="005A51FA" w:rsidP="005A51FA">
      <w:pPr>
        <w:pStyle w:val="Typedudocument"/>
        <w:rPr>
          <w:noProof/>
        </w:rPr>
      </w:pPr>
      <w:r w:rsidRPr="005A51FA">
        <w:rPr>
          <w:noProof/>
        </w:rPr>
        <w:t>REGLAMENTO DEL CONSEJO</w:t>
      </w:r>
    </w:p>
    <w:p w14:paraId="5C1CACF5" w14:textId="5106679E" w:rsidR="00414613" w:rsidRPr="00AB0AA0" w:rsidRDefault="005A51FA" w:rsidP="005A51FA">
      <w:pPr>
        <w:pStyle w:val="Titreobjet"/>
        <w:rPr>
          <w:noProof/>
        </w:rPr>
      </w:pPr>
      <w:r w:rsidRPr="005A51FA">
        <w:rPr>
          <w:noProof/>
        </w:rPr>
        <w:t>por el que se modifica el Reglamento (CE) n.º 974/98 en lo que se refiere a la introducción del euro en Bulgaria</w:t>
      </w:r>
    </w:p>
    <w:p w14:paraId="53241E86" w14:textId="77777777" w:rsidR="00414613" w:rsidRPr="00AB0AA0" w:rsidRDefault="00414613">
      <w:pPr>
        <w:pStyle w:val="Institutionquiagit"/>
        <w:rPr>
          <w:noProof/>
        </w:rPr>
      </w:pPr>
      <w:r w:rsidRPr="00AB0AA0">
        <w:rPr>
          <w:noProof/>
        </w:rPr>
        <w:t>EL CONSEJO DE LA UNIÓN EUROPEA,</w:t>
      </w:r>
    </w:p>
    <w:p w14:paraId="2BB3ED9F" w14:textId="77777777" w:rsidR="00414613" w:rsidRPr="00AB0AA0" w:rsidRDefault="00414613">
      <w:pPr>
        <w:rPr>
          <w:noProof/>
        </w:rPr>
      </w:pPr>
      <w:r w:rsidRPr="00AB0AA0">
        <w:rPr>
          <w:noProof/>
        </w:rPr>
        <w:t>Visto el Tratado de Funcionamiento de la Unión Europea, y en particular su artículo 140, apartado 3,</w:t>
      </w:r>
    </w:p>
    <w:p w14:paraId="30AFB8AA" w14:textId="77777777" w:rsidR="00414613" w:rsidRPr="00AB0AA0" w:rsidRDefault="00414613">
      <w:pPr>
        <w:rPr>
          <w:noProof/>
        </w:rPr>
      </w:pPr>
      <w:r w:rsidRPr="00AB0AA0">
        <w:rPr>
          <w:noProof/>
        </w:rPr>
        <w:t>Vista la propuesta de la Comisión Europea,</w:t>
      </w:r>
    </w:p>
    <w:p w14:paraId="604C2BAC" w14:textId="77777777" w:rsidR="00414613" w:rsidRPr="00AB0AA0" w:rsidRDefault="7E087140">
      <w:pPr>
        <w:rPr>
          <w:noProof/>
        </w:rPr>
      </w:pPr>
      <w:r w:rsidRPr="00AB0AA0">
        <w:rPr>
          <w:noProof/>
        </w:rPr>
        <w:t xml:space="preserve">Visto el dictamen del Banco Central Europeo </w:t>
      </w:r>
      <w:r w:rsidRPr="00AB0AA0">
        <w:rPr>
          <w:rStyle w:val="FootnoteReference"/>
          <w:noProof/>
        </w:rPr>
        <w:footnoteReference w:id="4"/>
      </w:r>
      <w:r w:rsidRPr="00AB0AA0">
        <w:rPr>
          <w:noProof/>
        </w:rPr>
        <w:t>,</w:t>
      </w:r>
    </w:p>
    <w:p w14:paraId="65343E1F" w14:textId="77777777" w:rsidR="00414613" w:rsidRPr="00AB0AA0" w:rsidRDefault="00414613">
      <w:pPr>
        <w:rPr>
          <w:noProof/>
        </w:rPr>
      </w:pPr>
      <w:r w:rsidRPr="00AB0AA0">
        <w:rPr>
          <w:noProof/>
        </w:rPr>
        <w:t>Considerando lo siguiente:</w:t>
      </w:r>
    </w:p>
    <w:p w14:paraId="204026E5" w14:textId="77777777" w:rsidR="00414613" w:rsidRPr="00AB0AA0" w:rsidRDefault="383E4E3C" w:rsidP="006B1DE0">
      <w:pPr>
        <w:pStyle w:val="ManualConsidrant"/>
        <w:rPr>
          <w:noProof/>
        </w:rPr>
      </w:pPr>
      <w:r w:rsidRPr="00AB0AA0">
        <w:rPr>
          <w:noProof/>
        </w:rPr>
        <w:t>(1)</w:t>
      </w:r>
      <w:r w:rsidRPr="00AB0AA0">
        <w:rPr>
          <w:noProof/>
        </w:rPr>
        <w:tab/>
        <w:t xml:space="preserve">El Reglamento (CE) n.º 974/98 del Consejo </w:t>
      </w:r>
      <w:r w:rsidR="00414613" w:rsidRPr="00AB0AA0">
        <w:rPr>
          <w:rStyle w:val="FootnoteReference"/>
          <w:noProof/>
        </w:rPr>
        <w:footnoteReference w:id="5"/>
      </w:r>
      <w:r w:rsidRPr="00AB0AA0">
        <w:rPr>
          <w:noProof/>
        </w:rPr>
        <w:t xml:space="preserve"> dispuso que el euro sustituyera a las monedas de aquellos Estados miembros que, en el momento de iniciarse la tercera fase de la unión económica y monetaria, cumplieran las condiciones necesarias para la adopción del euro.</w:t>
      </w:r>
    </w:p>
    <w:p w14:paraId="5820EDCA" w14:textId="77777777" w:rsidR="00414613" w:rsidRPr="00AB0AA0" w:rsidRDefault="383E4E3C" w:rsidP="006B1DE0">
      <w:pPr>
        <w:pStyle w:val="ManualConsidrant"/>
        <w:rPr>
          <w:noProof/>
        </w:rPr>
      </w:pPr>
      <w:r w:rsidRPr="00AB0AA0">
        <w:rPr>
          <w:noProof/>
        </w:rPr>
        <w:t>(2)</w:t>
      </w:r>
      <w:r w:rsidRPr="00AB0AA0">
        <w:rPr>
          <w:noProof/>
        </w:rPr>
        <w:tab/>
        <w:t xml:space="preserve">De conformidad con el artículo 5 del Acta de Adhesión </w:t>
      </w:r>
      <w:r w:rsidR="00883AF9" w:rsidRPr="00AB0AA0">
        <w:rPr>
          <w:rStyle w:val="FootnoteReference"/>
          <w:noProof/>
        </w:rPr>
        <w:footnoteReference w:id="6"/>
      </w:r>
      <w:r w:rsidRPr="00AB0AA0">
        <w:rPr>
          <w:noProof/>
        </w:rPr>
        <w:t xml:space="preserve"> de 2005, Bulgaria participa en la Unión Económica y Monetaria desde la fecha de su adhesión como Estado miembro acogida a una excepción en el sentido del artículo 139, apartado 1, del Tratado.</w:t>
      </w:r>
    </w:p>
    <w:p w14:paraId="024F4CFB" w14:textId="77777777" w:rsidR="00414613" w:rsidRPr="00AB0AA0" w:rsidRDefault="6FB03243" w:rsidP="006B1DE0">
      <w:pPr>
        <w:pStyle w:val="ManualConsidrant"/>
        <w:rPr>
          <w:noProof/>
        </w:rPr>
      </w:pPr>
      <w:r w:rsidRPr="00AB0AA0">
        <w:rPr>
          <w:noProof/>
        </w:rPr>
        <w:t>(3)</w:t>
      </w:r>
      <w:r w:rsidRPr="00AB0AA0">
        <w:rPr>
          <w:noProof/>
        </w:rPr>
        <w:tab/>
        <w:t xml:space="preserve">De conformidad con la Decisión (UE) 2025/... del Consejo </w:t>
      </w:r>
      <w:r w:rsidR="00414613" w:rsidRPr="00AB0AA0">
        <w:rPr>
          <w:rStyle w:val="FootnoteReference"/>
          <w:noProof/>
        </w:rPr>
        <w:footnoteReference w:id="7"/>
      </w:r>
      <w:r w:rsidRPr="00AB0AA0">
        <w:rPr>
          <w:noProof/>
        </w:rPr>
        <w:t xml:space="preserve"> Bulgaria cumple las condiciones necesarias para la adopción del euro y la excepción que se le aplica debe suprimirse con efectos a partir del 1 de enero de 2026.</w:t>
      </w:r>
    </w:p>
    <w:p w14:paraId="3748F08E" w14:textId="77777777" w:rsidR="00414613" w:rsidRPr="00AB0AA0" w:rsidRDefault="383E4E3C" w:rsidP="006B1DE0">
      <w:pPr>
        <w:pStyle w:val="ManualConsidrant"/>
        <w:rPr>
          <w:noProof/>
        </w:rPr>
      </w:pPr>
      <w:r w:rsidRPr="00AB0AA0">
        <w:rPr>
          <w:noProof/>
        </w:rPr>
        <w:t>(4)</w:t>
      </w:r>
      <w:r w:rsidRPr="00AB0AA0">
        <w:rPr>
          <w:noProof/>
        </w:rPr>
        <w:tab/>
        <w:t>La introducción del euro en Bulgaria exige hacer extensivas a ese Estado miembro las disposiciones existentes sobre la introducción del euro establecidas en el Reglamento (CE) n.º 974/98.</w:t>
      </w:r>
    </w:p>
    <w:p w14:paraId="04415A59" w14:textId="77777777" w:rsidR="00414613" w:rsidRPr="00AB0AA0" w:rsidRDefault="383E4E3C" w:rsidP="006B1DE0">
      <w:pPr>
        <w:pStyle w:val="ManualConsidrant"/>
        <w:rPr>
          <w:noProof/>
        </w:rPr>
      </w:pPr>
      <w:r w:rsidRPr="00AB0AA0">
        <w:rPr>
          <w:noProof/>
        </w:rPr>
        <w:t>(5)</w:t>
      </w:r>
      <w:r w:rsidRPr="00AB0AA0">
        <w:rPr>
          <w:noProof/>
        </w:rPr>
        <w:tab/>
        <w:t>El plan nacional búlgaro de introducción del euro dispone que los billetes y monedas de euro tengan curso legal en Bulgaria desde el mismo día en que dicho Estado miembro introduzca el euro como moneda propia. Por consiguiente, tanto la fecha de adopción del euro como la de introducción del efectivo en euros deben ser el 1 de enero de 2026. No se aplica un período de «desaparición gradual».</w:t>
      </w:r>
    </w:p>
    <w:p w14:paraId="5A33BBE2" w14:textId="77777777" w:rsidR="00414613" w:rsidRPr="00AB0AA0" w:rsidRDefault="006B1DE0" w:rsidP="006B1DE0">
      <w:pPr>
        <w:pStyle w:val="ManualConsidrant"/>
        <w:rPr>
          <w:noProof/>
        </w:rPr>
      </w:pPr>
      <w:r w:rsidRPr="00AB0AA0">
        <w:rPr>
          <w:noProof/>
        </w:rPr>
        <w:t>(6)</w:t>
      </w:r>
      <w:r w:rsidRPr="00AB0AA0">
        <w:rPr>
          <w:noProof/>
        </w:rPr>
        <w:tab/>
        <w:t>Procede, por tanto, modificar el Reglamento (CE) n.º 974/98 en consecuencia,</w:t>
      </w:r>
    </w:p>
    <w:p w14:paraId="0DBBA5BF" w14:textId="77777777" w:rsidR="00414613" w:rsidRPr="00AB0AA0" w:rsidRDefault="00414613">
      <w:pPr>
        <w:pStyle w:val="Formuledadoption"/>
        <w:rPr>
          <w:noProof/>
        </w:rPr>
      </w:pPr>
      <w:r w:rsidRPr="00AB0AA0">
        <w:rPr>
          <w:noProof/>
        </w:rPr>
        <w:t>HA ADOPTADO EL PRESENTE REGLAMENTO:</w:t>
      </w:r>
    </w:p>
    <w:p w14:paraId="72D23F4A" w14:textId="77777777" w:rsidR="00414613" w:rsidRPr="00AB0AA0" w:rsidRDefault="00414613">
      <w:pPr>
        <w:pStyle w:val="Titrearticle"/>
        <w:rPr>
          <w:noProof/>
        </w:rPr>
      </w:pPr>
      <w:r w:rsidRPr="00AB0AA0">
        <w:rPr>
          <w:noProof/>
        </w:rPr>
        <w:t>Artículo 1</w:t>
      </w:r>
    </w:p>
    <w:p w14:paraId="06D2EEDA" w14:textId="77777777" w:rsidR="00414613" w:rsidRPr="00AB0AA0" w:rsidRDefault="56BE6612" w:rsidP="00B91EB1">
      <w:pPr>
        <w:spacing w:after="240"/>
        <w:rPr>
          <w:noProof/>
        </w:rPr>
      </w:pPr>
      <w:bookmarkStart w:id="3" w:name="texte"/>
      <w:r w:rsidRPr="00AB0AA0">
        <w:rPr>
          <w:noProof/>
        </w:rPr>
        <w:t>En el anexo del Reglamento (CE) n.º 974/98 se inserta la entrada siguiente entre la entrada de Bélgica y la de Alemania:</w:t>
      </w:r>
    </w:p>
    <w:tbl>
      <w:tblPr>
        <w:tblW w:w="6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9"/>
        <w:gridCol w:w="1520"/>
        <w:gridCol w:w="1696"/>
        <w:gridCol w:w="1808"/>
      </w:tblGrid>
      <w:tr w:rsidR="00D13AC3" w:rsidRPr="00AB0AA0" w14:paraId="49FF46ED" w14:textId="77777777" w:rsidTr="2B01EE09">
        <w:tc>
          <w:tcPr>
            <w:tcW w:w="1519" w:type="dxa"/>
          </w:tcPr>
          <w:p w14:paraId="6521C323" w14:textId="77777777" w:rsidR="00805A9B" w:rsidRPr="00AB0AA0" w:rsidRDefault="16DF2206" w:rsidP="00DC3ED2">
            <w:pPr>
              <w:rPr>
                <w:rFonts w:cs="Arial"/>
                <w:noProof/>
                <w:sz w:val="18"/>
                <w:szCs w:val="18"/>
              </w:rPr>
            </w:pPr>
            <w:r w:rsidRPr="00AB0AA0">
              <w:rPr>
                <w:noProof/>
                <w:sz w:val="18"/>
              </w:rPr>
              <w:t>«Bulgaria</w:t>
            </w:r>
          </w:p>
        </w:tc>
        <w:tc>
          <w:tcPr>
            <w:tcW w:w="1520" w:type="dxa"/>
          </w:tcPr>
          <w:p w14:paraId="5B47FA6B" w14:textId="77777777" w:rsidR="00805A9B" w:rsidRPr="00AB0AA0" w:rsidRDefault="16DF2206" w:rsidP="00DC3ED2">
            <w:pPr>
              <w:rPr>
                <w:rFonts w:cs="Arial"/>
                <w:noProof/>
                <w:sz w:val="18"/>
                <w:szCs w:val="18"/>
              </w:rPr>
            </w:pPr>
            <w:r w:rsidRPr="00AB0AA0">
              <w:rPr>
                <w:noProof/>
                <w:sz w:val="18"/>
              </w:rPr>
              <w:t>1 de enero de 2026</w:t>
            </w:r>
          </w:p>
        </w:tc>
        <w:tc>
          <w:tcPr>
            <w:tcW w:w="1696" w:type="dxa"/>
          </w:tcPr>
          <w:p w14:paraId="735EB981" w14:textId="77777777" w:rsidR="00805A9B" w:rsidRPr="00AB0AA0" w:rsidRDefault="16DF2206" w:rsidP="00DC3ED2">
            <w:pPr>
              <w:rPr>
                <w:rFonts w:cs="Arial"/>
                <w:noProof/>
                <w:sz w:val="18"/>
                <w:szCs w:val="18"/>
              </w:rPr>
            </w:pPr>
            <w:r w:rsidRPr="00AB0AA0">
              <w:rPr>
                <w:noProof/>
                <w:sz w:val="18"/>
              </w:rPr>
              <w:t>1 de enero de 2026</w:t>
            </w:r>
          </w:p>
        </w:tc>
        <w:tc>
          <w:tcPr>
            <w:tcW w:w="1808" w:type="dxa"/>
          </w:tcPr>
          <w:p w14:paraId="13FF7384" w14:textId="77777777" w:rsidR="00805A9B" w:rsidRPr="00AB0AA0" w:rsidRDefault="00805A9B" w:rsidP="00DC3ED2">
            <w:pPr>
              <w:rPr>
                <w:rFonts w:cs="Arial"/>
                <w:noProof/>
                <w:sz w:val="18"/>
                <w:szCs w:val="18"/>
              </w:rPr>
            </w:pPr>
            <w:r w:rsidRPr="00AB0AA0">
              <w:rPr>
                <w:noProof/>
                <w:sz w:val="18"/>
              </w:rPr>
              <w:t>No»</w:t>
            </w:r>
          </w:p>
        </w:tc>
      </w:tr>
    </w:tbl>
    <w:bookmarkEnd w:id="3"/>
    <w:p w14:paraId="6150BFDF" w14:textId="77777777" w:rsidR="00414613" w:rsidRPr="00AB0AA0" w:rsidRDefault="00414613">
      <w:pPr>
        <w:pStyle w:val="Titrearticle"/>
        <w:rPr>
          <w:noProof/>
        </w:rPr>
      </w:pPr>
      <w:r w:rsidRPr="00AB0AA0">
        <w:rPr>
          <w:noProof/>
        </w:rPr>
        <w:t>Artículo 2</w:t>
      </w:r>
    </w:p>
    <w:p w14:paraId="71DDBCAE" w14:textId="77777777" w:rsidR="008E6595" w:rsidRPr="00AB0AA0" w:rsidRDefault="7E087140" w:rsidP="008E6595">
      <w:pPr>
        <w:rPr>
          <w:noProof/>
        </w:rPr>
      </w:pPr>
      <w:r w:rsidRPr="00AB0AA0">
        <w:rPr>
          <w:noProof/>
        </w:rPr>
        <w:t>El presente Reglamento entrará en vigor el 1 de enero de 2026.</w:t>
      </w:r>
    </w:p>
    <w:p w14:paraId="629C43EA" w14:textId="77777777" w:rsidR="00414613" w:rsidRPr="00AB0AA0" w:rsidRDefault="00414613" w:rsidP="008E6595">
      <w:pPr>
        <w:pStyle w:val="Applicationdirecte"/>
        <w:rPr>
          <w:noProof/>
        </w:rPr>
      </w:pPr>
      <w:r w:rsidRPr="00AB0AA0">
        <w:rPr>
          <w:noProof/>
        </w:rPr>
        <w:t>El presente Reglamento será obligatorio en todos sus elementos y directamente aplicable en cada Estado miembro.</w:t>
      </w:r>
    </w:p>
    <w:p w14:paraId="1FE646A5" w14:textId="329EE5C9" w:rsidR="00414613" w:rsidRPr="00AB0AA0" w:rsidRDefault="00C67D57" w:rsidP="00C67D57">
      <w:pPr>
        <w:pStyle w:val="Fait"/>
        <w:rPr>
          <w:noProof/>
        </w:rPr>
      </w:pPr>
      <w:r w:rsidRPr="00C67D57">
        <w:t>Hecho en Bruselas, el</w:t>
      </w:r>
    </w:p>
    <w:p w14:paraId="6030EB3A" w14:textId="77777777" w:rsidR="00414613" w:rsidRPr="00AB0AA0" w:rsidRDefault="00414613" w:rsidP="00634917">
      <w:pPr>
        <w:pStyle w:val="Institutionquisigne"/>
        <w:rPr>
          <w:noProof/>
        </w:rPr>
      </w:pPr>
      <w:r w:rsidRPr="00AB0AA0">
        <w:rPr>
          <w:noProof/>
        </w:rPr>
        <w:tab/>
        <w:t>Por el Consejo</w:t>
      </w:r>
    </w:p>
    <w:p w14:paraId="4FBCEE41" w14:textId="77777777" w:rsidR="0048086E" w:rsidRPr="00AB0AA0" w:rsidRDefault="00414613" w:rsidP="00634917">
      <w:pPr>
        <w:pStyle w:val="Personnequisigne"/>
        <w:keepNext/>
        <w:rPr>
          <w:noProof/>
        </w:rPr>
      </w:pPr>
      <w:r w:rsidRPr="00AB0AA0">
        <w:rPr>
          <w:noProof/>
        </w:rPr>
        <w:tab/>
        <w:t>La Presidenta / El Presidente</w:t>
      </w:r>
    </w:p>
    <w:p w14:paraId="1E0D19D1" w14:textId="77777777" w:rsidR="0048086E" w:rsidRPr="00AB0AA0" w:rsidRDefault="0048086E" w:rsidP="0048086E">
      <w:pPr>
        <w:pStyle w:val="Personnequisigne"/>
        <w:rPr>
          <w:noProof/>
        </w:rPr>
      </w:pPr>
    </w:p>
    <w:sectPr w:rsidR="0048086E" w:rsidRPr="00AB0AA0" w:rsidSect="00C67D5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E6AA1" w14:textId="77777777" w:rsidR="00625D57" w:rsidRPr="00E12037" w:rsidRDefault="00625D57" w:rsidP="00414613">
      <w:pPr>
        <w:spacing w:before="0" w:after="0"/>
      </w:pPr>
      <w:r w:rsidRPr="00E12037">
        <w:separator/>
      </w:r>
    </w:p>
  </w:endnote>
  <w:endnote w:type="continuationSeparator" w:id="0">
    <w:p w14:paraId="3322CC90" w14:textId="77777777" w:rsidR="00625D57" w:rsidRPr="00E12037" w:rsidRDefault="00625D57" w:rsidP="00414613">
      <w:pPr>
        <w:spacing w:before="0" w:after="0"/>
      </w:pPr>
      <w:r w:rsidRPr="00E12037">
        <w:continuationSeparator/>
      </w:r>
    </w:p>
  </w:endnote>
  <w:endnote w:type="continuationNotice" w:id="1">
    <w:p w14:paraId="1C4FDD6E" w14:textId="77777777" w:rsidR="00625D57" w:rsidRPr="00E12037" w:rsidRDefault="00625D5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A229" w14:textId="7C72DD70" w:rsidR="00C67D57" w:rsidRPr="00C67D57" w:rsidRDefault="00C67D57" w:rsidP="00C67D57">
    <w:pPr>
      <w:pStyle w:val="Footer"/>
      <w:rPr>
        <w:rFonts w:ascii="Arial" w:hAnsi="Arial" w:cs="Arial"/>
        <w:b/>
        <w:sz w:val="48"/>
      </w:rPr>
    </w:pPr>
    <w:r w:rsidRPr="00C67D57">
      <w:rPr>
        <w:rFonts w:ascii="Arial" w:hAnsi="Arial" w:cs="Arial"/>
        <w:b/>
        <w:sz w:val="48"/>
      </w:rPr>
      <w:t>ES</w:t>
    </w:r>
    <w:r w:rsidRPr="00C67D57">
      <w:rPr>
        <w:rFonts w:ascii="Arial" w:hAnsi="Arial" w:cs="Arial"/>
        <w:b/>
        <w:sz w:val="48"/>
      </w:rPr>
      <w:tab/>
    </w:r>
    <w:r w:rsidRPr="00C67D57">
      <w:rPr>
        <w:rFonts w:ascii="Arial" w:hAnsi="Arial" w:cs="Arial"/>
        <w:b/>
        <w:sz w:val="48"/>
      </w:rPr>
      <w:tab/>
    </w:r>
    <w:r w:rsidRPr="00C67D57">
      <w:tab/>
    </w:r>
    <w:proofErr w:type="spellStart"/>
    <w:r w:rsidRPr="00C67D57">
      <w:rPr>
        <w:rFonts w:ascii="Arial" w:hAnsi="Arial" w:cs="Arial"/>
        <w:b/>
        <w:sz w:val="48"/>
      </w:rPr>
      <w:t>ES</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7400E" w14:textId="3E518578" w:rsidR="00C67D57" w:rsidRPr="00C67D57" w:rsidRDefault="00C67D57" w:rsidP="00C67D57">
    <w:pPr>
      <w:pStyle w:val="Footer"/>
      <w:rPr>
        <w:rFonts w:ascii="Arial" w:hAnsi="Arial" w:cs="Arial"/>
        <w:b/>
        <w:sz w:val="48"/>
      </w:rPr>
    </w:pPr>
    <w:r w:rsidRPr="00C67D57">
      <w:rPr>
        <w:rFonts w:ascii="Arial" w:hAnsi="Arial" w:cs="Arial"/>
        <w:b/>
        <w:sz w:val="48"/>
      </w:rPr>
      <w:t>ES</w:t>
    </w:r>
    <w:r w:rsidRPr="00C67D57">
      <w:rPr>
        <w:rFonts w:ascii="Arial" w:hAnsi="Arial" w:cs="Arial"/>
        <w:b/>
        <w:sz w:val="48"/>
      </w:rPr>
      <w:tab/>
    </w:r>
    <w:r w:rsidRPr="00C67D57">
      <w:rPr>
        <w:rFonts w:ascii="Arial" w:hAnsi="Arial" w:cs="Arial"/>
        <w:b/>
        <w:sz w:val="48"/>
      </w:rPr>
      <w:tab/>
    </w:r>
    <w:r w:rsidRPr="00C67D57">
      <w:tab/>
    </w:r>
    <w:proofErr w:type="spellStart"/>
    <w:r w:rsidRPr="00C67D57">
      <w:rPr>
        <w:rFonts w:ascii="Arial" w:hAnsi="Arial" w:cs="Arial"/>
        <w:b/>
        <w:sz w:val="48"/>
      </w:rPr>
      <w:t>ES</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485A" w14:textId="77777777" w:rsidR="00C67D57" w:rsidRPr="00C67D57" w:rsidRDefault="00C67D57" w:rsidP="00C67D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8251" w14:textId="77777777" w:rsidR="00BE185A" w:rsidRDefault="00BE185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4387" w14:textId="29A5EF63" w:rsidR="00C67D57" w:rsidRPr="00C67D57" w:rsidRDefault="00C67D57" w:rsidP="00C67D57">
    <w:pPr>
      <w:pStyle w:val="Footer"/>
      <w:rPr>
        <w:rFonts w:ascii="Arial" w:hAnsi="Arial" w:cs="Arial"/>
        <w:b/>
        <w:sz w:val="48"/>
      </w:rPr>
    </w:pPr>
    <w:r w:rsidRPr="00C67D57">
      <w:rPr>
        <w:rFonts w:ascii="Arial" w:hAnsi="Arial" w:cs="Arial"/>
        <w:b/>
        <w:sz w:val="48"/>
      </w:rPr>
      <w:t>ES</w:t>
    </w:r>
    <w:r w:rsidRPr="00C67D57">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C67D57">
      <w:tab/>
    </w:r>
    <w:r w:rsidRPr="00C67D57">
      <w:rPr>
        <w:rFonts w:ascii="Arial" w:hAnsi="Arial" w:cs="Arial"/>
        <w:b/>
        <w:sz w:val="48"/>
      </w:rPr>
      <w:t>ES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D97D" w14:textId="77777777" w:rsidR="00BE185A" w:rsidRDefault="00BE185A" w:rsidP="00C67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01E90" w14:textId="77777777" w:rsidR="00625D57" w:rsidRPr="00E12037" w:rsidRDefault="00625D57" w:rsidP="00414613">
      <w:pPr>
        <w:spacing w:before="0" w:after="0"/>
      </w:pPr>
      <w:r w:rsidRPr="00E12037">
        <w:separator/>
      </w:r>
    </w:p>
  </w:footnote>
  <w:footnote w:type="continuationSeparator" w:id="0">
    <w:p w14:paraId="3AF85104" w14:textId="77777777" w:rsidR="00625D57" w:rsidRPr="00E12037" w:rsidRDefault="00625D57" w:rsidP="00414613">
      <w:pPr>
        <w:spacing w:before="0" w:after="0"/>
      </w:pPr>
      <w:r w:rsidRPr="00E12037">
        <w:continuationSeparator/>
      </w:r>
    </w:p>
  </w:footnote>
  <w:footnote w:type="continuationNotice" w:id="1">
    <w:p w14:paraId="7F022135" w14:textId="77777777" w:rsidR="00625D57" w:rsidRPr="00E12037" w:rsidRDefault="00625D57">
      <w:pPr>
        <w:spacing w:before="0" w:after="0"/>
      </w:pPr>
    </w:p>
  </w:footnote>
  <w:footnote w:id="2">
    <w:p w14:paraId="76A84485" w14:textId="77777777" w:rsidR="00B35235" w:rsidRPr="00AB0AA0" w:rsidRDefault="00EF3F1C" w:rsidP="00B35235">
      <w:pPr>
        <w:pStyle w:val="FootnoteText"/>
        <w:rPr>
          <w:lang w:val="es-ES"/>
        </w:rPr>
      </w:pPr>
      <w:r>
        <w:rPr>
          <w:rStyle w:val="FootnoteReference"/>
        </w:rPr>
        <w:footnoteRef/>
      </w:r>
      <w:r w:rsidRPr="00AB0AA0">
        <w:rPr>
          <w:lang w:val="es-ES"/>
        </w:rPr>
        <w:tab/>
        <w:t>DO L 139 de 11.5.1998, p. 1.</w:t>
      </w:r>
    </w:p>
  </w:footnote>
  <w:footnote w:id="3">
    <w:p w14:paraId="3059A884" w14:textId="7F666E99" w:rsidR="00B35235" w:rsidRPr="00AB0AA0" w:rsidRDefault="00EF3F1C" w:rsidP="00B35235">
      <w:pPr>
        <w:pStyle w:val="FootnoteText"/>
        <w:rPr>
          <w:lang w:val="es-ES"/>
        </w:rPr>
      </w:pPr>
      <w:r>
        <w:rPr>
          <w:rStyle w:val="FootnoteReference"/>
        </w:rPr>
        <w:footnoteRef/>
      </w:r>
      <w:r w:rsidRPr="00AB0AA0">
        <w:rPr>
          <w:lang w:val="es-ES"/>
        </w:rPr>
        <w:tab/>
        <w:t>Reglamento (CE) n.º 2596/2000 de la Comisión, de 27 de noviembre de 2000, por el que se modifica el Reglamento (CE) n.º 974/98 del Consejo, sobre la introducción del euro (DO L 300 de 29.11.2000, p. 2).</w:t>
      </w:r>
    </w:p>
  </w:footnote>
  <w:footnote w:id="4">
    <w:p w14:paraId="7AA28FB7" w14:textId="0547F35B" w:rsidR="3211560E" w:rsidRPr="00AB0AA0" w:rsidRDefault="00EF3F1C" w:rsidP="00F42E7E">
      <w:pPr>
        <w:pStyle w:val="FootnoteText"/>
        <w:rPr>
          <w:lang w:val="es-ES"/>
        </w:rPr>
      </w:pPr>
      <w:r>
        <w:rPr>
          <w:rStyle w:val="FootnoteReference"/>
        </w:rPr>
        <w:footnoteRef/>
      </w:r>
      <w:r w:rsidRPr="00AB0AA0">
        <w:rPr>
          <w:lang w:val="es-ES"/>
        </w:rPr>
        <w:tab/>
        <w:t>Dictamen de [...] [...] [...].</w:t>
      </w:r>
    </w:p>
  </w:footnote>
  <w:footnote w:id="5">
    <w:p w14:paraId="49704F6C" w14:textId="77777777" w:rsidR="00414613" w:rsidRPr="00AB0AA0" w:rsidRDefault="00EF3F1C" w:rsidP="00B91EB1">
      <w:pPr>
        <w:pStyle w:val="FootnoteText"/>
        <w:rPr>
          <w:lang w:val="es-ES"/>
        </w:rPr>
      </w:pPr>
      <w:r>
        <w:rPr>
          <w:rStyle w:val="FootnoteReference"/>
        </w:rPr>
        <w:footnoteRef/>
      </w:r>
      <w:r w:rsidRPr="00AB0AA0">
        <w:rPr>
          <w:lang w:val="es-ES"/>
        </w:rPr>
        <w:tab/>
        <w:t>Reglamento (CE) n.º 974/98 del Consejo, de 3 de mayo de 1998, sobre la introducción del euro (DO L 139 de 11.5.1998, p. 1).</w:t>
      </w:r>
    </w:p>
  </w:footnote>
  <w:footnote w:id="6">
    <w:p w14:paraId="74A3CA75" w14:textId="492954FB" w:rsidR="00883AF9" w:rsidRPr="00AB0AA0" w:rsidRDefault="4D4D0E6B" w:rsidP="00883AF9">
      <w:pPr>
        <w:pStyle w:val="FootnoteText"/>
        <w:rPr>
          <w:lang w:val="es-ES"/>
        </w:rPr>
      </w:pPr>
      <w:r>
        <w:rPr>
          <w:rStyle w:val="FootnoteReference"/>
        </w:rPr>
        <w:footnoteRef/>
      </w:r>
      <w:r w:rsidRPr="00AB0AA0">
        <w:rPr>
          <w:lang w:val="es-ES"/>
        </w:rPr>
        <w:tab/>
        <w:t>Acta relativa a las condiciones de adhesión de la República de Bulgaria y de Rumanía y a las adaptaciones de los Tratados en los que se fundamenta la Unión Europea (DO L 157 de 21.6.2005, p. 203).</w:t>
      </w:r>
    </w:p>
  </w:footnote>
  <w:footnote w:id="7">
    <w:p w14:paraId="4A9ADDBE" w14:textId="77777777" w:rsidR="00414613" w:rsidRPr="00AB0AA0" w:rsidRDefault="00EF3F1C" w:rsidP="00B91EB1">
      <w:pPr>
        <w:pStyle w:val="FootnoteText"/>
        <w:rPr>
          <w:rFonts w:ascii="Arial" w:eastAsia="Arial" w:hAnsi="Arial" w:cs="Arial"/>
          <w:lang w:val="es-ES"/>
        </w:rPr>
      </w:pPr>
      <w:r w:rsidRPr="002F435A">
        <w:rPr>
          <w:rStyle w:val="FootnoteReference"/>
        </w:rPr>
        <w:footnoteRef/>
      </w:r>
      <w:r w:rsidRPr="00AB0AA0">
        <w:rPr>
          <w:lang w:val="es-ES"/>
        </w:rPr>
        <w:tab/>
        <w:t>Decisión (UE) 2025/... del Consejo sobre la adopción del euro por Bulgaria el 1 de enero de 2026.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810D" w14:textId="77777777" w:rsidR="00C67D57" w:rsidRPr="00C67D57" w:rsidRDefault="00C67D57" w:rsidP="00C67D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E812" w14:textId="77777777" w:rsidR="00C67D57" w:rsidRPr="00C67D57" w:rsidRDefault="00C67D57" w:rsidP="00C67D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7E776" w14:textId="77777777" w:rsidR="00C67D57" w:rsidRPr="00C67D57" w:rsidRDefault="00C67D57" w:rsidP="00C67D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A44F" w14:textId="77777777" w:rsidR="00BE185A" w:rsidRDefault="00BE18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64AFC" w14:textId="77777777" w:rsidR="00BE185A" w:rsidRDefault="00BE1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DDD24DC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F7F4CFE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94C8EB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90767D3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B68E89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E0E65D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FD0CA9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34F6249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01533231">
    <w:abstractNumId w:val="6"/>
  </w:num>
  <w:num w:numId="2" w16cid:durableId="1036657818">
    <w:abstractNumId w:val="2"/>
  </w:num>
  <w:num w:numId="3" w16cid:durableId="1226919349">
    <w:abstractNumId w:val="1"/>
  </w:num>
  <w:num w:numId="4" w16cid:durableId="621033135">
    <w:abstractNumId w:val="0"/>
  </w:num>
  <w:num w:numId="5" w16cid:durableId="628512054">
    <w:abstractNumId w:val="7"/>
  </w:num>
  <w:num w:numId="6" w16cid:durableId="1321157089">
    <w:abstractNumId w:val="5"/>
  </w:num>
  <w:num w:numId="7" w16cid:durableId="1770543604">
    <w:abstractNumId w:val="4"/>
  </w:num>
  <w:num w:numId="8" w16cid:durableId="2132704455">
    <w:abstractNumId w:val="3"/>
  </w:num>
  <w:num w:numId="9" w16cid:durableId="1595896286">
    <w:abstractNumId w:val="19"/>
  </w:num>
  <w:num w:numId="10" w16cid:durableId="428815706">
    <w:abstractNumId w:val="12"/>
  </w:num>
  <w:num w:numId="11" w16cid:durableId="1288779495">
    <w:abstractNumId w:val="21"/>
  </w:num>
  <w:num w:numId="12" w16cid:durableId="2015839352">
    <w:abstractNumId w:val="11"/>
  </w:num>
  <w:num w:numId="13" w16cid:durableId="243496075">
    <w:abstractNumId w:val="13"/>
  </w:num>
  <w:num w:numId="14" w16cid:durableId="1597715612">
    <w:abstractNumId w:val="14"/>
  </w:num>
  <w:num w:numId="15" w16cid:durableId="1923098292">
    <w:abstractNumId w:val="9"/>
  </w:num>
  <w:num w:numId="16" w16cid:durableId="232200968">
    <w:abstractNumId w:val="20"/>
  </w:num>
  <w:num w:numId="17" w16cid:durableId="2088531444">
    <w:abstractNumId w:val="8"/>
  </w:num>
  <w:num w:numId="18" w16cid:durableId="799348438">
    <w:abstractNumId w:val="15"/>
  </w:num>
  <w:num w:numId="19" w16cid:durableId="302656127">
    <w:abstractNumId w:val="17"/>
  </w:num>
  <w:num w:numId="20" w16cid:durableId="1196845123">
    <w:abstractNumId w:val="18"/>
  </w:num>
  <w:num w:numId="21" w16cid:durableId="1635676515">
    <w:abstractNumId w:val="10"/>
  </w:num>
  <w:num w:numId="22" w16cid:durableId="488403542">
    <w:abstractNumId w:val="16"/>
  </w:num>
  <w:num w:numId="23" w16cid:durableId="1551461135">
    <w:abstractNumId w:val="22"/>
  </w:num>
  <w:num w:numId="24" w16cid:durableId="1314094613">
    <w:abstractNumId w:val="19"/>
  </w:num>
  <w:num w:numId="25" w16cid:durableId="274217838">
    <w:abstractNumId w:val="12"/>
  </w:num>
  <w:num w:numId="26" w16cid:durableId="711610883">
    <w:abstractNumId w:val="21"/>
  </w:num>
  <w:num w:numId="27" w16cid:durableId="1841002978">
    <w:abstractNumId w:val="11"/>
  </w:num>
  <w:num w:numId="28" w16cid:durableId="216086216">
    <w:abstractNumId w:val="13"/>
  </w:num>
  <w:num w:numId="29" w16cid:durableId="1292709076">
    <w:abstractNumId w:val="14"/>
  </w:num>
  <w:num w:numId="30" w16cid:durableId="1616407973">
    <w:abstractNumId w:val="9"/>
  </w:num>
  <w:num w:numId="31" w16cid:durableId="1546524123">
    <w:abstractNumId w:val="20"/>
  </w:num>
  <w:num w:numId="32" w16cid:durableId="701784462">
    <w:abstractNumId w:val="8"/>
  </w:num>
  <w:num w:numId="33" w16cid:durableId="1326624">
    <w:abstractNumId w:val="15"/>
  </w:num>
  <w:num w:numId="34" w16cid:durableId="1962573249">
    <w:abstractNumId w:val="17"/>
  </w:num>
  <w:num w:numId="35" w16cid:durableId="1027605755">
    <w:abstractNumId w:val="18"/>
  </w:num>
  <w:num w:numId="36" w16cid:durableId="1819302065">
    <w:abstractNumId w:val="10"/>
  </w:num>
  <w:num w:numId="37" w16cid:durableId="380330732">
    <w:abstractNumId w:val="16"/>
  </w:num>
  <w:num w:numId="38" w16cid:durableId="581526761">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57"/>
  <w:characterSpacingControl w:val="doNotCompress"/>
  <w:hdrShapeDefaults>
    <o:shapedefaults v:ext="edit" spidmax="205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DQCDateTime" w:val="2025-06-03 18:03:4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EPKit_DocumentHasBeenSaved" w:val="true"/>
    <w:docVar w:name="LW_CORRIGENDUM" w:val="&lt;UNUSED&gt;"/>
    <w:docVar w:name="LW_COVERPAGE_EXISTS" w:val="True"/>
    <w:docVar w:name="LW_COVERPAGE_GUID" w:val="71C7D750-2CCA-48D0-86CE-170A563FB045"/>
    <w:docVar w:name="LW_COVERPAGE_TYPE" w:val="1"/>
    <w:docVar w:name="LW_CROSSREFERENCE" w:val="&lt;UNUSED&gt;"/>
    <w:docVar w:name="LW_DocType" w:val="COM"/>
    <w:docVar w:name="LW_EMISSION" w:val="4.6.2025"/>
    <w:docVar w:name="LW_EMISSION_ISODATE" w:val="2025-06-04"/>
    <w:docVar w:name="LW_EMISSION_LOCATION" w:val="BRX"/>
    <w:docVar w:name="LW_EMISSION_PREFIX" w:val="Bruselas, "/>
    <w:docVar w:name="LW_EMISSION_SUFFIX" w:val=" "/>
    <w:docVar w:name="LW_FAITA" w:val="Done at Brussels,"/>
    <w:docVar w:name="LW_ID_DOCMODEL" w:val="SJ-016"/>
    <w:docVar w:name="LW_ID_DOCSIGNATURE" w:val="SJ-016"/>
    <w:docVar w:name="LW_ID_DOCSTRUCTURE" w:val="COM/PL/ORG"/>
    <w:docVar w:name="LW_ID_DOCTYPE" w:val="SJ-016"/>
    <w:docVar w:name="LW_ID_STATUT" w:val="SJ-016"/>
    <w:docVar w:name="LW_INST.SIGNE" w:val="_x0009_For the Council"/>
    <w:docVar w:name="LW_INTERETEEE.CP" w:val="&lt;UNUSED&gt;"/>
    <w:docVar w:name="LW_LANGUE" w:val="ES"/>
    <w:docVar w:name="LW_LEVEL_OF_SENSITIVITY" w:val="Standard treatment"/>
    <w:docVar w:name="LW_NOM.INST" w:val="COMISIÓN EUROPEA"/>
    <w:docVar w:name="LW_NOM.INST_JOINTDOC" w:val="&lt;EMPTY&gt;"/>
    <w:docVar w:name="LW_PART_NBR" w:val="1"/>
    <w:docVar w:name="LW_PART_NBR_TOTAL" w:val="1"/>
    <w:docVar w:name="LW_PERS.SIGNE" w:val="_x0009_The President"/>
    <w:docVar w:name="LW_REF.II.NEW.CP" w:val="NLE"/>
    <w:docVar w:name="LW_REF.II.NEW.CP_NUMBER" w:val="0159"/>
    <w:docVar w:name="LW_REF.II.NEW.CP_YEAR" w:val="2025"/>
    <w:docVar w:name="LW_REF.INST.NEW" w:val="COM"/>
    <w:docVar w:name="LW_REF.INST.NEW_ADOPTED" w:val="final/2     DOWNGRADED ON 4.6.2025"/>
    <w:docVar w:name="LW_REF.INST.NEW_TEXT" w:val="(2025) 3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esta de"/>
    <w:docVar w:name="LW_SUPERTITRE" w:val="&lt;UNUSED&gt;"/>
    <w:docVar w:name="LW_TITRE.OBJ.CP" w:val="por el que se modifica el Reglamento (CE) n.º 974/98 en lo que se refiere a la introducción del euro en Bulgaria"/>
    <w:docVar w:name="LW_TYPE.DOC.CP" w:val="REGLAMENTO DEL CONSEJO"/>
    <w:docVar w:name="LwApiVersions" w:val="LW4CoDe 1.24.5.0; LW 9.0, Build 20240221"/>
  </w:docVars>
  <w:rsids>
    <w:rsidRoot w:val="00414613"/>
    <w:rsid w:val="00006F6E"/>
    <w:rsid w:val="0001221D"/>
    <w:rsid w:val="00015150"/>
    <w:rsid w:val="00031F00"/>
    <w:rsid w:val="000322CC"/>
    <w:rsid w:val="00037C34"/>
    <w:rsid w:val="000479AC"/>
    <w:rsid w:val="0005353E"/>
    <w:rsid w:val="00072404"/>
    <w:rsid w:val="000724B9"/>
    <w:rsid w:val="000735F1"/>
    <w:rsid w:val="000769C5"/>
    <w:rsid w:val="0008208F"/>
    <w:rsid w:val="00087BA4"/>
    <w:rsid w:val="00094F85"/>
    <w:rsid w:val="000A450C"/>
    <w:rsid w:val="000A479D"/>
    <w:rsid w:val="000A59D6"/>
    <w:rsid w:val="000A6618"/>
    <w:rsid w:val="000A81F8"/>
    <w:rsid w:val="000B6E0F"/>
    <w:rsid w:val="000C4834"/>
    <w:rsid w:val="000C5D6E"/>
    <w:rsid w:val="000D0F11"/>
    <w:rsid w:val="000D4AF7"/>
    <w:rsid w:val="000D7B2F"/>
    <w:rsid w:val="000E2184"/>
    <w:rsid w:val="000E488C"/>
    <w:rsid w:val="000F03FA"/>
    <w:rsid w:val="000F05B0"/>
    <w:rsid w:val="000F1CFA"/>
    <w:rsid w:val="000F2033"/>
    <w:rsid w:val="000F3FA7"/>
    <w:rsid w:val="001023F5"/>
    <w:rsid w:val="001117C7"/>
    <w:rsid w:val="00116792"/>
    <w:rsid w:val="00127B7F"/>
    <w:rsid w:val="00133418"/>
    <w:rsid w:val="00141895"/>
    <w:rsid w:val="0014478C"/>
    <w:rsid w:val="00153A1D"/>
    <w:rsid w:val="001670FE"/>
    <w:rsid w:val="00170B47"/>
    <w:rsid w:val="0017499F"/>
    <w:rsid w:val="001A5BE0"/>
    <w:rsid w:val="001B329E"/>
    <w:rsid w:val="001B3488"/>
    <w:rsid w:val="001B3A94"/>
    <w:rsid w:val="001B4B4E"/>
    <w:rsid w:val="001B6E63"/>
    <w:rsid w:val="001C43D5"/>
    <w:rsid w:val="001C4B0A"/>
    <w:rsid w:val="001C4B70"/>
    <w:rsid w:val="001C5FC8"/>
    <w:rsid w:val="001C6F47"/>
    <w:rsid w:val="001D2E78"/>
    <w:rsid w:val="001D4495"/>
    <w:rsid w:val="001D5676"/>
    <w:rsid w:val="001E4D1A"/>
    <w:rsid w:val="001E5484"/>
    <w:rsid w:val="001F089F"/>
    <w:rsid w:val="001F3520"/>
    <w:rsid w:val="001F5225"/>
    <w:rsid w:val="00201328"/>
    <w:rsid w:val="0020283C"/>
    <w:rsid w:val="00204562"/>
    <w:rsid w:val="00210B66"/>
    <w:rsid w:val="00212814"/>
    <w:rsid w:val="00220178"/>
    <w:rsid w:val="002215D3"/>
    <w:rsid w:val="00230483"/>
    <w:rsid w:val="00233646"/>
    <w:rsid w:val="00246156"/>
    <w:rsid w:val="002468DA"/>
    <w:rsid w:val="0025317B"/>
    <w:rsid w:val="002536BC"/>
    <w:rsid w:val="00262F01"/>
    <w:rsid w:val="002665C5"/>
    <w:rsid w:val="00266C2A"/>
    <w:rsid w:val="00270125"/>
    <w:rsid w:val="00274434"/>
    <w:rsid w:val="00274732"/>
    <w:rsid w:val="002776D7"/>
    <w:rsid w:val="00283180"/>
    <w:rsid w:val="002911D8"/>
    <w:rsid w:val="0029613D"/>
    <w:rsid w:val="00297140"/>
    <w:rsid w:val="002971F9"/>
    <w:rsid w:val="002A0709"/>
    <w:rsid w:val="002A1BF7"/>
    <w:rsid w:val="002B1B57"/>
    <w:rsid w:val="002B373A"/>
    <w:rsid w:val="002B4191"/>
    <w:rsid w:val="002B7EF2"/>
    <w:rsid w:val="002C0139"/>
    <w:rsid w:val="002C3AD3"/>
    <w:rsid w:val="002D059C"/>
    <w:rsid w:val="002D4558"/>
    <w:rsid w:val="002D47D2"/>
    <w:rsid w:val="002D5723"/>
    <w:rsid w:val="002D5C5A"/>
    <w:rsid w:val="002E1A5B"/>
    <w:rsid w:val="002E7FED"/>
    <w:rsid w:val="002F0603"/>
    <w:rsid w:val="002F1708"/>
    <w:rsid w:val="002F3D2A"/>
    <w:rsid w:val="002F435A"/>
    <w:rsid w:val="002F541C"/>
    <w:rsid w:val="002F7E47"/>
    <w:rsid w:val="00300DF9"/>
    <w:rsid w:val="00307470"/>
    <w:rsid w:val="00314FE0"/>
    <w:rsid w:val="00324168"/>
    <w:rsid w:val="00326F17"/>
    <w:rsid w:val="00327EA9"/>
    <w:rsid w:val="003360C3"/>
    <w:rsid w:val="00336DA5"/>
    <w:rsid w:val="00340DAE"/>
    <w:rsid w:val="00346971"/>
    <w:rsid w:val="00346E15"/>
    <w:rsid w:val="00351177"/>
    <w:rsid w:val="0035185F"/>
    <w:rsid w:val="003528E6"/>
    <w:rsid w:val="0035332F"/>
    <w:rsid w:val="00354564"/>
    <w:rsid w:val="00357418"/>
    <w:rsid w:val="0036211D"/>
    <w:rsid w:val="00366762"/>
    <w:rsid w:val="003828BA"/>
    <w:rsid w:val="0038661C"/>
    <w:rsid w:val="003867A1"/>
    <w:rsid w:val="00387178"/>
    <w:rsid w:val="00393C3E"/>
    <w:rsid w:val="003942EC"/>
    <w:rsid w:val="003A3F89"/>
    <w:rsid w:val="003A5DEF"/>
    <w:rsid w:val="003B1407"/>
    <w:rsid w:val="003C70AA"/>
    <w:rsid w:val="003C72D4"/>
    <w:rsid w:val="003C734A"/>
    <w:rsid w:val="003D0A12"/>
    <w:rsid w:val="003D247D"/>
    <w:rsid w:val="003E4922"/>
    <w:rsid w:val="003E6161"/>
    <w:rsid w:val="003E626D"/>
    <w:rsid w:val="003F3D65"/>
    <w:rsid w:val="003F474D"/>
    <w:rsid w:val="00400F45"/>
    <w:rsid w:val="00411D37"/>
    <w:rsid w:val="00414613"/>
    <w:rsid w:val="0041529B"/>
    <w:rsid w:val="00416F74"/>
    <w:rsid w:val="00424642"/>
    <w:rsid w:val="004317EF"/>
    <w:rsid w:val="00431D7B"/>
    <w:rsid w:val="0043404A"/>
    <w:rsid w:val="00435732"/>
    <w:rsid w:val="00436D75"/>
    <w:rsid w:val="004379E8"/>
    <w:rsid w:val="00440765"/>
    <w:rsid w:val="004413D3"/>
    <w:rsid w:val="00444191"/>
    <w:rsid w:val="00451D7F"/>
    <w:rsid w:val="00452242"/>
    <w:rsid w:val="00454EFE"/>
    <w:rsid w:val="00460941"/>
    <w:rsid w:val="0046173E"/>
    <w:rsid w:val="00462F55"/>
    <w:rsid w:val="00466E5B"/>
    <w:rsid w:val="004758A6"/>
    <w:rsid w:val="0048086E"/>
    <w:rsid w:val="0049299F"/>
    <w:rsid w:val="0049349E"/>
    <w:rsid w:val="00494896"/>
    <w:rsid w:val="00494E0A"/>
    <w:rsid w:val="004951B1"/>
    <w:rsid w:val="00497A79"/>
    <w:rsid w:val="004A0EE2"/>
    <w:rsid w:val="004A5F4C"/>
    <w:rsid w:val="004A5FCD"/>
    <w:rsid w:val="004B60A0"/>
    <w:rsid w:val="004C1FA8"/>
    <w:rsid w:val="004C37B9"/>
    <w:rsid w:val="004C4FE1"/>
    <w:rsid w:val="004D1664"/>
    <w:rsid w:val="004D1A88"/>
    <w:rsid w:val="004E02D3"/>
    <w:rsid w:val="004F348F"/>
    <w:rsid w:val="005003EC"/>
    <w:rsid w:val="00500D22"/>
    <w:rsid w:val="005026AA"/>
    <w:rsid w:val="005038A9"/>
    <w:rsid w:val="00504383"/>
    <w:rsid w:val="00504564"/>
    <w:rsid w:val="00506CB3"/>
    <w:rsid w:val="00507223"/>
    <w:rsid w:val="00510482"/>
    <w:rsid w:val="00514257"/>
    <w:rsid w:val="00515735"/>
    <w:rsid w:val="00517FFC"/>
    <w:rsid w:val="00520341"/>
    <w:rsid w:val="00520C23"/>
    <w:rsid w:val="005231DA"/>
    <w:rsid w:val="0052555D"/>
    <w:rsid w:val="0053037C"/>
    <w:rsid w:val="00541D79"/>
    <w:rsid w:val="0054273D"/>
    <w:rsid w:val="0054777B"/>
    <w:rsid w:val="005501B8"/>
    <w:rsid w:val="00553F6C"/>
    <w:rsid w:val="005563A8"/>
    <w:rsid w:val="005603A1"/>
    <w:rsid w:val="005622A3"/>
    <w:rsid w:val="005778E4"/>
    <w:rsid w:val="00585DF5"/>
    <w:rsid w:val="0059199E"/>
    <w:rsid w:val="005940AD"/>
    <w:rsid w:val="00597919"/>
    <w:rsid w:val="005A2483"/>
    <w:rsid w:val="005A34C5"/>
    <w:rsid w:val="005A51FA"/>
    <w:rsid w:val="005A656D"/>
    <w:rsid w:val="005B1504"/>
    <w:rsid w:val="005B4BA0"/>
    <w:rsid w:val="005B5679"/>
    <w:rsid w:val="005B7805"/>
    <w:rsid w:val="005D2998"/>
    <w:rsid w:val="005D3FE2"/>
    <w:rsid w:val="005D46E3"/>
    <w:rsid w:val="005D76C3"/>
    <w:rsid w:val="005E48DF"/>
    <w:rsid w:val="005F0BC6"/>
    <w:rsid w:val="005F1A87"/>
    <w:rsid w:val="005F57F1"/>
    <w:rsid w:val="005F5E2D"/>
    <w:rsid w:val="005F67B5"/>
    <w:rsid w:val="00610465"/>
    <w:rsid w:val="00611698"/>
    <w:rsid w:val="006120FA"/>
    <w:rsid w:val="0061544E"/>
    <w:rsid w:val="00615488"/>
    <w:rsid w:val="00620A9E"/>
    <w:rsid w:val="00621667"/>
    <w:rsid w:val="006229E4"/>
    <w:rsid w:val="006230CA"/>
    <w:rsid w:val="00624FC9"/>
    <w:rsid w:val="006255E8"/>
    <w:rsid w:val="00625D57"/>
    <w:rsid w:val="00627999"/>
    <w:rsid w:val="00627BD1"/>
    <w:rsid w:val="00627E49"/>
    <w:rsid w:val="00634917"/>
    <w:rsid w:val="00644791"/>
    <w:rsid w:val="00654B86"/>
    <w:rsid w:val="00656964"/>
    <w:rsid w:val="00660ECD"/>
    <w:rsid w:val="00661E6C"/>
    <w:rsid w:val="0066551C"/>
    <w:rsid w:val="00673F9E"/>
    <w:rsid w:val="0067565A"/>
    <w:rsid w:val="00675CE5"/>
    <w:rsid w:val="00681391"/>
    <w:rsid w:val="0068205C"/>
    <w:rsid w:val="00692466"/>
    <w:rsid w:val="00692703"/>
    <w:rsid w:val="00693B27"/>
    <w:rsid w:val="006945BE"/>
    <w:rsid w:val="00697315"/>
    <w:rsid w:val="00697DA2"/>
    <w:rsid w:val="006A7612"/>
    <w:rsid w:val="006B070A"/>
    <w:rsid w:val="006B13BC"/>
    <w:rsid w:val="006B1DE0"/>
    <w:rsid w:val="006C1681"/>
    <w:rsid w:val="006C59AA"/>
    <w:rsid w:val="006C7D6B"/>
    <w:rsid w:val="006E0215"/>
    <w:rsid w:val="006E2598"/>
    <w:rsid w:val="006F0223"/>
    <w:rsid w:val="006F4E1F"/>
    <w:rsid w:val="006F6478"/>
    <w:rsid w:val="00702923"/>
    <w:rsid w:val="007167FF"/>
    <w:rsid w:val="00724CB1"/>
    <w:rsid w:val="0072553B"/>
    <w:rsid w:val="0072588C"/>
    <w:rsid w:val="00754F4C"/>
    <w:rsid w:val="00757695"/>
    <w:rsid w:val="0076163B"/>
    <w:rsid w:val="007659B6"/>
    <w:rsid w:val="007674EE"/>
    <w:rsid w:val="00774D8D"/>
    <w:rsid w:val="00774E48"/>
    <w:rsid w:val="0077684D"/>
    <w:rsid w:val="007810BF"/>
    <w:rsid w:val="007847B0"/>
    <w:rsid w:val="00790E27"/>
    <w:rsid w:val="00795BCE"/>
    <w:rsid w:val="007A74C6"/>
    <w:rsid w:val="007B1574"/>
    <w:rsid w:val="007B481A"/>
    <w:rsid w:val="007C181E"/>
    <w:rsid w:val="007C699B"/>
    <w:rsid w:val="007D4101"/>
    <w:rsid w:val="007D5E84"/>
    <w:rsid w:val="007D7EBF"/>
    <w:rsid w:val="007E64C3"/>
    <w:rsid w:val="007F07FF"/>
    <w:rsid w:val="007F5699"/>
    <w:rsid w:val="0080583E"/>
    <w:rsid w:val="00805A9B"/>
    <w:rsid w:val="0082294E"/>
    <w:rsid w:val="0084189E"/>
    <w:rsid w:val="00843978"/>
    <w:rsid w:val="00852F32"/>
    <w:rsid w:val="00853DDB"/>
    <w:rsid w:val="00864642"/>
    <w:rsid w:val="00876B67"/>
    <w:rsid w:val="00877092"/>
    <w:rsid w:val="00877E78"/>
    <w:rsid w:val="00883AF9"/>
    <w:rsid w:val="008915E2"/>
    <w:rsid w:val="008A19BB"/>
    <w:rsid w:val="008B3DA9"/>
    <w:rsid w:val="008C260B"/>
    <w:rsid w:val="008D37D8"/>
    <w:rsid w:val="008D4C58"/>
    <w:rsid w:val="008D6804"/>
    <w:rsid w:val="008D6C03"/>
    <w:rsid w:val="008E2727"/>
    <w:rsid w:val="008E5BF0"/>
    <w:rsid w:val="008E6595"/>
    <w:rsid w:val="008F2AF4"/>
    <w:rsid w:val="008F5BD4"/>
    <w:rsid w:val="008F609D"/>
    <w:rsid w:val="00900939"/>
    <w:rsid w:val="0091553B"/>
    <w:rsid w:val="00915EF7"/>
    <w:rsid w:val="009251B1"/>
    <w:rsid w:val="009313DF"/>
    <w:rsid w:val="0093653C"/>
    <w:rsid w:val="00937E78"/>
    <w:rsid w:val="00941F1D"/>
    <w:rsid w:val="009446F7"/>
    <w:rsid w:val="009568E0"/>
    <w:rsid w:val="00956B6B"/>
    <w:rsid w:val="00957ED7"/>
    <w:rsid w:val="0096015A"/>
    <w:rsid w:val="00967D95"/>
    <w:rsid w:val="00972314"/>
    <w:rsid w:val="00972E2E"/>
    <w:rsid w:val="00981342"/>
    <w:rsid w:val="009970AD"/>
    <w:rsid w:val="009A7080"/>
    <w:rsid w:val="009B57A5"/>
    <w:rsid w:val="009C5EF9"/>
    <w:rsid w:val="009D0040"/>
    <w:rsid w:val="009D499C"/>
    <w:rsid w:val="009D5032"/>
    <w:rsid w:val="009D7964"/>
    <w:rsid w:val="009F0665"/>
    <w:rsid w:val="009F2412"/>
    <w:rsid w:val="009F3EBC"/>
    <w:rsid w:val="00A06A7D"/>
    <w:rsid w:val="00A21985"/>
    <w:rsid w:val="00A245A9"/>
    <w:rsid w:val="00A30D56"/>
    <w:rsid w:val="00A35572"/>
    <w:rsid w:val="00A44FCE"/>
    <w:rsid w:val="00A47B5E"/>
    <w:rsid w:val="00A5270F"/>
    <w:rsid w:val="00A60413"/>
    <w:rsid w:val="00A60DA3"/>
    <w:rsid w:val="00A6282F"/>
    <w:rsid w:val="00A71DD4"/>
    <w:rsid w:val="00A72FA3"/>
    <w:rsid w:val="00A74EE4"/>
    <w:rsid w:val="00A75D30"/>
    <w:rsid w:val="00A76D4A"/>
    <w:rsid w:val="00A84680"/>
    <w:rsid w:val="00A84D9D"/>
    <w:rsid w:val="00A85C59"/>
    <w:rsid w:val="00A8706F"/>
    <w:rsid w:val="00A96CA6"/>
    <w:rsid w:val="00AA5D6D"/>
    <w:rsid w:val="00AB0AA0"/>
    <w:rsid w:val="00AB1211"/>
    <w:rsid w:val="00AB1AF4"/>
    <w:rsid w:val="00AB1C62"/>
    <w:rsid w:val="00AB1D97"/>
    <w:rsid w:val="00AB3736"/>
    <w:rsid w:val="00AB3EF6"/>
    <w:rsid w:val="00AB527A"/>
    <w:rsid w:val="00AC2F9B"/>
    <w:rsid w:val="00AC6EC2"/>
    <w:rsid w:val="00AC7CCC"/>
    <w:rsid w:val="00AD144F"/>
    <w:rsid w:val="00AD5D8F"/>
    <w:rsid w:val="00B03CDA"/>
    <w:rsid w:val="00B0508B"/>
    <w:rsid w:val="00B0781D"/>
    <w:rsid w:val="00B125CD"/>
    <w:rsid w:val="00B177EC"/>
    <w:rsid w:val="00B24F94"/>
    <w:rsid w:val="00B30548"/>
    <w:rsid w:val="00B35235"/>
    <w:rsid w:val="00B41CDA"/>
    <w:rsid w:val="00B421AF"/>
    <w:rsid w:val="00B5141C"/>
    <w:rsid w:val="00B570E4"/>
    <w:rsid w:val="00B65195"/>
    <w:rsid w:val="00B673E5"/>
    <w:rsid w:val="00B70AF6"/>
    <w:rsid w:val="00B72D8F"/>
    <w:rsid w:val="00B73B9F"/>
    <w:rsid w:val="00B74E84"/>
    <w:rsid w:val="00B91A86"/>
    <w:rsid w:val="00B91EB1"/>
    <w:rsid w:val="00BA32BD"/>
    <w:rsid w:val="00BA500B"/>
    <w:rsid w:val="00BA5C44"/>
    <w:rsid w:val="00BA76C1"/>
    <w:rsid w:val="00BB0B40"/>
    <w:rsid w:val="00BB18F3"/>
    <w:rsid w:val="00BC34BE"/>
    <w:rsid w:val="00BC43C3"/>
    <w:rsid w:val="00BC49B1"/>
    <w:rsid w:val="00BC4D0B"/>
    <w:rsid w:val="00BD1607"/>
    <w:rsid w:val="00BE0B08"/>
    <w:rsid w:val="00BE185A"/>
    <w:rsid w:val="00BE2217"/>
    <w:rsid w:val="00BE3FD0"/>
    <w:rsid w:val="00BF0193"/>
    <w:rsid w:val="00BF2F92"/>
    <w:rsid w:val="00C013C4"/>
    <w:rsid w:val="00C0333A"/>
    <w:rsid w:val="00C0466B"/>
    <w:rsid w:val="00C10A76"/>
    <w:rsid w:val="00C20C1D"/>
    <w:rsid w:val="00C20CA0"/>
    <w:rsid w:val="00C21810"/>
    <w:rsid w:val="00C243E7"/>
    <w:rsid w:val="00C267AD"/>
    <w:rsid w:val="00C27AE0"/>
    <w:rsid w:val="00C34CA4"/>
    <w:rsid w:val="00C370C4"/>
    <w:rsid w:val="00C449AF"/>
    <w:rsid w:val="00C44E0E"/>
    <w:rsid w:val="00C52F4D"/>
    <w:rsid w:val="00C62BF6"/>
    <w:rsid w:val="00C63BF0"/>
    <w:rsid w:val="00C67D57"/>
    <w:rsid w:val="00C7096D"/>
    <w:rsid w:val="00CA001F"/>
    <w:rsid w:val="00CA6678"/>
    <w:rsid w:val="00CA7C8D"/>
    <w:rsid w:val="00CB33C0"/>
    <w:rsid w:val="00CC00B6"/>
    <w:rsid w:val="00CC48F0"/>
    <w:rsid w:val="00CD5D08"/>
    <w:rsid w:val="00CD6948"/>
    <w:rsid w:val="00CE5E90"/>
    <w:rsid w:val="00CE5F0C"/>
    <w:rsid w:val="00CF1A22"/>
    <w:rsid w:val="00CF1B78"/>
    <w:rsid w:val="00CF421A"/>
    <w:rsid w:val="00CF73B5"/>
    <w:rsid w:val="00D01D44"/>
    <w:rsid w:val="00D04867"/>
    <w:rsid w:val="00D04E99"/>
    <w:rsid w:val="00D0651A"/>
    <w:rsid w:val="00D13AC3"/>
    <w:rsid w:val="00D20AE9"/>
    <w:rsid w:val="00D216E1"/>
    <w:rsid w:val="00D21EFE"/>
    <w:rsid w:val="00D22869"/>
    <w:rsid w:val="00D2499B"/>
    <w:rsid w:val="00D319FB"/>
    <w:rsid w:val="00D32D34"/>
    <w:rsid w:val="00D4293B"/>
    <w:rsid w:val="00D4411B"/>
    <w:rsid w:val="00D46981"/>
    <w:rsid w:val="00D46DA6"/>
    <w:rsid w:val="00D57E1D"/>
    <w:rsid w:val="00D6488F"/>
    <w:rsid w:val="00D64998"/>
    <w:rsid w:val="00D65572"/>
    <w:rsid w:val="00D7073F"/>
    <w:rsid w:val="00D753CE"/>
    <w:rsid w:val="00D83023"/>
    <w:rsid w:val="00D8303D"/>
    <w:rsid w:val="00D84050"/>
    <w:rsid w:val="00D862B8"/>
    <w:rsid w:val="00D90162"/>
    <w:rsid w:val="00D90716"/>
    <w:rsid w:val="00D91FE7"/>
    <w:rsid w:val="00D94ECD"/>
    <w:rsid w:val="00D9658C"/>
    <w:rsid w:val="00DA03A8"/>
    <w:rsid w:val="00DA4CC5"/>
    <w:rsid w:val="00DA5BC3"/>
    <w:rsid w:val="00DB7B65"/>
    <w:rsid w:val="00DC01E5"/>
    <w:rsid w:val="00DC1457"/>
    <w:rsid w:val="00DC3ED2"/>
    <w:rsid w:val="00DC5F27"/>
    <w:rsid w:val="00DD6DE8"/>
    <w:rsid w:val="00DE7148"/>
    <w:rsid w:val="00DE7DF5"/>
    <w:rsid w:val="00DF0FB0"/>
    <w:rsid w:val="00E00D45"/>
    <w:rsid w:val="00E00D66"/>
    <w:rsid w:val="00E017D4"/>
    <w:rsid w:val="00E042A2"/>
    <w:rsid w:val="00E06612"/>
    <w:rsid w:val="00E10A92"/>
    <w:rsid w:val="00E11CE6"/>
    <w:rsid w:val="00E12037"/>
    <w:rsid w:val="00E1460B"/>
    <w:rsid w:val="00E15509"/>
    <w:rsid w:val="00E40EA9"/>
    <w:rsid w:val="00E47845"/>
    <w:rsid w:val="00E47947"/>
    <w:rsid w:val="00E61539"/>
    <w:rsid w:val="00E74031"/>
    <w:rsid w:val="00E85246"/>
    <w:rsid w:val="00E8652D"/>
    <w:rsid w:val="00E95543"/>
    <w:rsid w:val="00E978FD"/>
    <w:rsid w:val="00EB50A0"/>
    <w:rsid w:val="00EB58D6"/>
    <w:rsid w:val="00EC4277"/>
    <w:rsid w:val="00EC5743"/>
    <w:rsid w:val="00ED19B8"/>
    <w:rsid w:val="00ED22D1"/>
    <w:rsid w:val="00ED3897"/>
    <w:rsid w:val="00ED7B5B"/>
    <w:rsid w:val="00ED7E79"/>
    <w:rsid w:val="00EE094C"/>
    <w:rsid w:val="00EE62E0"/>
    <w:rsid w:val="00EE662F"/>
    <w:rsid w:val="00EF0525"/>
    <w:rsid w:val="00EF3489"/>
    <w:rsid w:val="00EF3DAB"/>
    <w:rsid w:val="00EF3F1C"/>
    <w:rsid w:val="00EF3FF5"/>
    <w:rsid w:val="00EF612F"/>
    <w:rsid w:val="00F0751C"/>
    <w:rsid w:val="00F07ED1"/>
    <w:rsid w:val="00F1661F"/>
    <w:rsid w:val="00F32C55"/>
    <w:rsid w:val="00F42E7E"/>
    <w:rsid w:val="00F43D97"/>
    <w:rsid w:val="00F53D9F"/>
    <w:rsid w:val="00F54769"/>
    <w:rsid w:val="00F57DC3"/>
    <w:rsid w:val="00F62F4D"/>
    <w:rsid w:val="00F637C1"/>
    <w:rsid w:val="00F67301"/>
    <w:rsid w:val="00F83709"/>
    <w:rsid w:val="00F86A3A"/>
    <w:rsid w:val="00F92AC3"/>
    <w:rsid w:val="00FA1376"/>
    <w:rsid w:val="00FA14C1"/>
    <w:rsid w:val="00FB4F7B"/>
    <w:rsid w:val="00FC6508"/>
    <w:rsid w:val="00FC6559"/>
    <w:rsid w:val="00FD1B54"/>
    <w:rsid w:val="00FD5B59"/>
    <w:rsid w:val="00FD6215"/>
    <w:rsid w:val="00FE0DBA"/>
    <w:rsid w:val="00FE1F8E"/>
    <w:rsid w:val="00FE27CE"/>
    <w:rsid w:val="00FE3449"/>
    <w:rsid w:val="00FE4218"/>
    <w:rsid w:val="00FE74EB"/>
    <w:rsid w:val="00FF284A"/>
    <w:rsid w:val="00FF4B4A"/>
    <w:rsid w:val="01F6F810"/>
    <w:rsid w:val="04108180"/>
    <w:rsid w:val="047DA65C"/>
    <w:rsid w:val="05821E51"/>
    <w:rsid w:val="059F197D"/>
    <w:rsid w:val="06D08C30"/>
    <w:rsid w:val="07E85C85"/>
    <w:rsid w:val="08FFD9FB"/>
    <w:rsid w:val="09DE39B6"/>
    <w:rsid w:val="0A12FB08"/>
    <w:rsid w:val="0BEE72F7"/>
    <w:rsid w:val="0C4E6C78"/>
    <w:rsid w:val="0E095E8C"/>
    <w:rsid w:val="0F6C2199"/>
    <w:rsid w:val="102F3040"/>
    <w:rsid w:val="1052B144"/>
    <w:rsid w:val="105E361A"/>
    <w:rsid w:val="111FCF52"/>
    <w:rsid w:val="115F7B20"/>
    <w:rsid w:val="12D38F0B"/>
    <w:rsid w:val="130EFC04"/>
    <w:rsid w:val="1332EA5C"/>
    <w:rsid w:val="133691AB"/>
    <w:rsid w:val="139E5448"/>
    <w:rsid w:val="14E5F932"/>
    <w:rsid w:val="15F747BE"/>
    <w:rsid w:val="16DF2206"/>
    <w:rsid w:val="175487FB"/>
    <w:rsid w:val="17B94D5C"/>
    <w:rsid w:val="1828C22E"/>
    <w:rsid w:val="18CE57C6"/>
    <w:rsid w:val="191BC230"/>
    <w:rsid w:val="1A6EAC25"/>
    <w:rsid w:val="1AA5B339"/>
    <w:rsid w:val="1B4ECC49"/>
    <w:rsid w:val="1B99FF5D"/>
    <w:rsid w:val="1C93D9FD"/>
    <w:rsid w:val="1CD36796"/>
    <w:rsid w:val="1D7D5A2F"/>
    <w:rsid w:val="1D856D3E"/>
    <w:rsid w:val="1DA8735A"/>
    <w:rsid w:val="1E4F42E0"/>
    <w:rsid w:val="1E778DB4"/>
    <w:rsid w:val="1F0F5A2C"/>
    <w:rsid w:val="1F807819"/>
    <w:rsid w:val="1FA9BA76"/>
    <w:rsid w:val="1FC9B356"/>
    <w:rsid w:val="1FFBF4F9"/>
    <w:rsid w:val="214619D9"/>
    <w:rsid w:val="21CEB72D"/>
    <w:rsid w:val="23069C42"/>
    <w:rsid w:val="23547E23"/>
    <w:rsid w:val="23916C1B"/>
    <w:rsid w:val="24D5B613"/>
    <w:rsid w:val="251A4680"/>
    <w:rsid w:val="25CF5065"/>
    <w:rsid w:val="260BF921"/>
    <w:rsid w:val="262C6C35"/>
    <w:rsid w:val="279AE6EE"/>
    <w:rsid w:val="27B628EE"/>
    <w:rsid w:val="2818805B"/>
    <w:rsid w:val="2B01EE09"/>
    <w:rsid w:val="2B5456A4"/>
    <w:rsid w:val="2B776B46"/>
    <w:rsid w:val="2B8888F2"/>
    <w:rsid w:val="2BFF265F"/>
    <w:rsid w:val="2E35DE00"/>
    <w:rsid w:val="2E5DB8C8"/>
    <w:rsid w:val="2EC24744"/>
    <w:rsid w:val="2F05E92E"/>
    <w:rsid w:val="3024BB73"/>
    <w:rsid w:val="30590C91"/>
    <w:rsid w:val="30BAC377"/>
    <w:rsid w:val="313D3E66"/>
    <w:rsid w:val="3211560E"/>
    <w:rsid w:val="3401EA41"/>
    <w:rsid w:val="35FF2142"/>
    <w:rsid w:val="360454FB"/>
    <w:rsid w:val="36106ADE"/>
    <w:rsid w:val="36734E36"/>
    <w:rsid w:val="37729546"/>
    <w:rsid w:val="37871A14"/>
    <w:rsid w:val="37BB2F23"/>
    <w:rsid w:val="381717A5"/>
    <w:rsid w:val="383E4E3C"/>
    <w:rsid w:val="38C7EAA6"/>
    <w:rsid w:val="3ADC39D7"/>
    <w:rsid w:val="3AE97763"/>
    <w:rsid w:val="3AF36E54"/>
    <w:rsid w:val="3B1D5EF8"/>
    <w:rsid w:val="3BB8AB46"/>
    <w:rsid w:val="3CF9DF5C"/>
    <w:rsid w:val="3EF5099E"/>
    <w:rsid w:val="3FF27720"/>
    <w:rsid w:val="414F161C"/>
    <w:rsid w:val="439EB34F"/>
    <w:rsid w:val="44A19C7B"/>
    <w:rsid w:val="44E9FFFE"/>
    <w:rsid w:val="45D3E4C8"/>
    <w:rsid w:val="4668468F"/>
    <w:rsid w:val="4776BA5A"/>
    <w:rsid w:val="47AD3749"/>
    <w:rsid w:val="48185EEE"/>
    <w:rsid w:val="4823C773"/>
    <w:rsid w:val="482A77B1"/>
    <w:rsid w:val="48488DC2"/>
    <w:rsid w:val="495C699B"/>
    <w:rsid w:val="4A7542B9"/>
    <w:rsid w:val="4B618296"/>
    <w:rsid w:val="4B8F8D08"/>
    <w:rsid w:val="4BF2B2FE"/>
    <w:rsid w:val="4C946F15"/>
    <w:rsid w:val="4D4D0E6B"/>
    <w:rsid w:val="4EAF3245"/>
    <w:rsid w:val="4EBE6D42"/>
    <w:rsid w:val="4F53BEB4"/>
    <w:rsid w:val="50FD7E52"/>
    <w:rsid w:val="525FF67C"/>
    <w:rsid w:val="5395E386"/>
    <w:rsid w:val="53F168C0"/>
    <w:rsid w:val="54DB7DA6"/>
    <w:rsid w:val="5526C83A"/>
    <w:rsid w:val="5624A50F"/>
    <w:rsid w:val="56BE6612"/>
    <w:rsid w:val="57470430"/>
    <w:rsid w:val="587448F1"/>
    <w:rsid w:val="5896687F"/>
    <w:rsid w:val="59DDC970"/>
    <w:rsid w:val="5AF49A0C"/>
    <w:rsid w:val="5BC5E3AA"/>
    <w:rsid w:val="5CB9206D"/>
    <w:rsid w:val="5CEF1AED"/>
    <w:rsid w:val="5D1C4F91"/>
    <w:rsid w:val="5D490BB0"/>
    <w:rsid w:val="5ECF69A4"/>
    <w:rsid w:val="5EF203AC"/>
    <w:rsid w:val="5F6413BF"/>
    <w:rsid w:val="613B526A"/>
    <w:rsid w:val="62C90B80"/>
    <w:rsid w:val="63C78056"/>
    <w:rsid w:val="6408E5E6"/>
    <w:rsid w:val="6743DCCD"/>
    <w:rsid w:val="6788C66D"/>
    <w:rsid w:val="67AB9F1C"/>
    <w:rsid w:val="67D39140"/>
    <w:rsid w:val="67D5149B"/>
    <w:rsid w:val="6AEF29A0"/>
    <w:rsid w:val="6BCB3DA8"/>
    <w:rsid w:val="6D25D97D"/>
    <w:rsid w:val="6E64D417"/>
    <w:rsid w:val="6E6963D1"/>
    <w:rsid w:val="6FB03243"/>
    <w:rsid w:val="71F72E58"/>
    <w:rsid w:val="72AE1A5B"/>
    <w:rsid w:val="72D95452"/>
    <w:rsid w:val="7336EE51"/>
    <w:rsid w:val="73A6F5C9"/>
    <w:rsid w:val="75B845C8"/>
    <w:rsid w:val="765409D4"/>
    <w:rsid w:val="77ABA008"/>
    <w:rsid w:val="796BA963"/>
    <w:rsid w:val="798B4571"/>
    <w:rsid w:val="7B8A9939"/>
    <w:rsid w:val="7BB15089"/>
    <w:rsid w:val="7C0FA759"/>
    <w:rsid w:val="7CF3D942"/>
    <w:rsid w:val="7DFC5750"/>
    <w:rsid w:val="7E087140"/>
    <w:rsid w:val="7E6E52C5"/>
    <w:rsid w:val="7EACD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F50A27F"/>
  <w15:chartTrackingRefBased/>
  <w15:docId w15:val="{71168A51-722E-4A29-8523-CE50BC3C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semiHidden/>
    <w:unhideWhenUsed/>
    <w:qFormat/>
    <w:rsid w:val="005A34C5"/>
    <w:rPr>
      <w:b/>
      <w:bCs/>
      <w:sz w:val="20"/>
    </w:rPr>
  </w:style>
  <w:style w:type="paragraph" w:styleId="TableofFigures">
    <w:name w:val="table of figures"/>
    <w:basedOn w:val="Normal"/>
    <w:next w:val="Normal"/>
    <w:rsid w:val="005A34C5"/>
  </w:style>
  <w:style w:type="paragraph" w:styleId="ListNumber">
    <w:name w:val="List Number"/>
    <w:basedOn w:val="Normal"/>
    <w:rsid w:val="00414613"/>
    <w:pPr>
      <w:numPr>
        <w:numId w:val="1"/>
      </w:numPr>
      <w:contextualSpacing/>
    </w:pPr>
  </w:style>
  <w:style w:type="paragraph" w:styleId="ListNumber2">
    <w:name w:val="List Number 2"/>
    <w:basedOn w:val="Normal"/>
    <w:rsid w:val="00414613"/>
    <w:pPr>
      <w:numPr>
        <w:numId w:val="2"/>
      </w:numPr>
      <w:contextualSpacing/>
    </w:pPr>
  </w:style>
  <w:style w:type="paragraph" w:styleId="ListNumber3">
    <w:name w:val="List Number 3"/>
    <w:basedOn w:val="Normal"/>
    <w:rsid w:val="00414613"/>
    <w:pPr>
      <w:numPr>
        <w:numId w:val="3"/>
      </w:numPr>
      <w:contextualSpacing/>
    </w:pPr>
  </w:style>
  <w:style w:type="paragraph" w:styleId="ListNumber4">
    <w:name w:val="List Number 4"/>
    <w:basedOn w:val="Normal"/>
    <w:rsid w:val="00414613"/>
    <w:pPr>
      <w:numPr>
        <w:numId w:val="4"/>
      </w:numPr>
      <w:contextualSpacing/>
    </w:pPr>
  </w:style>
  <w:style w:type="paragraph" w:styleId="ListBullet">
    <w:name w:val="List Bullet"/>
    <w:basedOn w:val="Normal"/>
    <w:rsid w:val="00414613"/>
    <w:pPr>
      <w:numPr>
        <w:numId w:val="5"/>
      </w:numPr>
      <w:contextualSpacing/>
    </w:pPr>
  </w:style>
  <w:style w:type="paragraph" w:styleId="ListBullet2">
    <w:name w:val="List Bullet 2"/>
    <w:basedOn w:val="Normal"/>
    <w:rsid w:val="00414613"/>
    <w:pPr>
      <w:numPr>
        <w:numId w:val="6"/>
      </w:numPr>
      <w:contextualSpacing/>
    </w:pPr>
  </w:style>
  <w:style w:type="paragraph" w:styleId="ListBullet3">
    <w:name w:val="List Bullet 3"/>
    <w:basedOn w:val="Normal"/>
    <w:rsid w:val="00414613"/>
    <w:pPr>
      <w:numPr>
        <w:numId w:val="7"/>
      </w:numPr>
      <w:contextualSpacing/>
    </w:pPr>
  </w:style>
  <w:style w:type="paragraph" w:styleId="ListBullet4">
    <w:name w:val="List Bullet 4"/>
    <w:basedOn w:val="Normal"/>
    <w:rsid w:val="00414613"/>
    <w:pPr>
      <w:numPr>
        <w:numId w:val="8"/>
      </w:numPr>
      <w:contextualSpacing/>
    </w:pPr>
  </w:style>
  <w:style w:type="paragraph" w:styleId="BalloonText">
    <w:name w:val="Balloon Text"/>
    <w:basedOn w:val="Normal"/>
    <w:link w:val="BalloonTextChar"/>
    <w:rsid w:val="009D7964"/>
    <w:pPr>
      <w:spacing w:before="0" w:after="0"/>
    </w:pPr>
    <w:rPr>
      <w:rFonts w:ascii="Tahoma" w:hAnsi="Tahoma" w:cs="Tahoma"/>
      <w:sz w:val="16"/>
      <w:szCs w:val="16"/>
    </w:rPr>
  </w:style>
  <w:style w:type="character" w:customStyle="1" w:styleId="BalloonTextChar">
    <w:name w:val="Balloon Text Char"/>
    <w:link w:val="BalloonText"/>
    <w:rsid w:val="009D7964"/>
    <w:rPr>
      <w:rFonts w:ascii="Tahoma" w:hAnsi="Tahoma" w:cs="Tahoma"/>
      <w:sz w:val="16"/>
      <w:szCs w:val="16"/>
      <w:lang w:eastAsia="en-US"/>
    </w:rPr>
  </w:style>
  <w:style w:type="character" w:styleId="CommentReference">
    <w:name w:val="annotation reference"/>
    <w:rsid w:val="00F637C1"/>
    <w:rPr>
      <w:sz w:val="16"/>
      <w:szCs w:val="16"/>
    </w:rPr>
  </w:style>
  <w:style w:type="paragraph" w:styleId="CommentText">
    <w:name w:val="annotation text"/>
    <w:basedOn w:val="Normal"/>
    <w:link w:val="CommentTextChar"/>
    <w:rsid w:val="00F637C1"/>
    <w:rPr>
      <w:sz w:val="20"/>
      <w:szCs w:val="20"/>
    </w:rPr>
  </w:style>
  <w:style w:type="character" w:customStyle="1" w:styleId="CommentTextChar">
    <w:name w:val="Comment Text Char"/>
    <w:basedOn w:val="DefaultParagraphFont"/>
    <w:link w:val="CommentText"/>
    <w:rsid w:val="00F637C1"/>
  </w:style>
  <w:style w:type="paragraph" w:styleId="CommentSubject">
    <w:name w:val="annotation subject"/>
    <w:basedOn w:val="CommentText"/>
    <w:next w:val="CommentText"/>
    <w:link w:val="CommentSubjectChar"/>
    <w:rsid w:val="00F637C1"/>
    <w:rPr>
      <w:b/>
      <w:bCs/>
    </w:rPr>
  </w:style>
  <w:style w:type="character" w:customStyle="1" w:styleId="CommentSubjectChar">
    <w:name w:val="Comment Subject Char"/>
    <w:link w:val="CommentSubject"/>
    <w:rsid w:val="00F637C1"/>
    <w:rPr>
      <w:b/>
      <w:bCs/>
    </w:rPr>
  </w:style>
  <w:style w:type="character" w:styleId="Hyperlink">
    <w:name w:val="Hyperlink"/>
    <w:rsid w:val="00F637C1"/>
    <w:rPr>
      <w:color w:val="0000FF"/>
      <w:u w:val="single"/>
    </w:rPr>
  </w:style>
  <w:style w:type="paragraph" w:customStyle="1" w:styleId="Sous-titreobjet">
    <w:name w:val="Sous-titre objet"/>
    <w:basedOn w:val="Normal"/>
    <w:rsid w:val="007D53B6"/>
    <w:pPr>
      <w:spacing w:before="0" w:after="0"/>
      <w:jc w:val="center"/>
    </w:pPr>
    <w:rPr>
      <w:b/>
    </w:rPr>
  </w:style>
  <w:style w:type="paragraph" w:customStyle="1" w:styleId="Sous-titreobjetPagedecouverture">
    <w:name w:val="Sous-titre objet (Page de couverture)"/>
    <w:basedOn w:val="Sous-titreobjet"/>
    <w:rsid w:val="007D53B6"/>
  </w:style>
  <w:style w:type="paragraph" w:styleId="Revision">
    <w:name w:val="Revision"/>
    <w:hidden/>
    <w:uiPriority w:val="99"/>
    <w:semiHidden/>
    <w:rsid w:val="00541D79"/>
    <w:rPr>
      <w:rFonts w:ascii="Times New Roman" w:hAnsi="Times New Roman"/>
      <w:sz w:val="24"/>
    </w:rPr>
  </w:style>
  <w:style w:type="character" w:customStyle="1" w:styleId="UnresolvedMention1">
    <w:name w:val="Unresolved Mention1"/>
    <w:basedOn w:val="DefaultParagraphFont"/>
    <w:uiPriority w:val="99"/>
    <w:semiHidden/>
    <w:unhideWhenUsed/>
    <w:rsid w:val="002F435A"/>
    <w:rPr>
      <w:color w:val="605E5C"/>
      <w:shd w:val="clear" w:color="auto" w:fill="E1DFDD"/>
    </w:rPr>
  </w:style>
  <w:style w:type="character" w:customStyle="1" w:styleId="HeaderChar">
    <w:name w:val="Header Char"/>
    <w:link w:val="Header"/>
    <w:uiPriority w:val="99"/>
    <w:rsid w:val="00C67D57"/>
    <w:rPr>
      <w:rFonts w:ascii="Times New Roman" w:hAnsi="Times New Roman" w:cs="Times New Roman"/>
      <w:sz w:val="24"/>
      <w:lang w:val="es-ES_tradnl"/>
    </w:rPr>
  </w:style>
  <w:style w:type="character" w:customStyle="1" w:styleId="FooterChar">
    <w:name w:val="Footer Char"/>
    <w:link w:val="Footer"/>
    <w:uiPriority w:val="99"/>
    <w:rsid w:val="00C67D57"/>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67D5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67D57"/>
    <w:pPr>
      <w:spacing w:before="0"/>
      <w:jc w:val="right"/>
    </w:pPr>
    <w:rPr>
      <w:sz w:val="28"/>
    </w:rPr>
  </w:style>
  <w:style w:type="paragraph" w:customStyle="1" w:styleId="FooterSensitivity">
    <w:name w:val="Footer Sensitivity"/>
    <w:basedOn w:val="Normal"/>
    <w:rsid w:val="00C67D5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ret5">
    <w:name w:val="Tiret 5"/>
    <w:basedOn w:val="Point5"/>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NumPar5">
    <w:name w:val="NumPar 5"/>
    <w:basedOn w:val="Normal"/>
    <w:next w:val="Text2"/>
    <w:pPr>
      <w:numPr>
        <w:ilvl w:val="4"/>
        <w:numId w:val="30"/>
      </w:numPr>
    </w:pPr>
  </w:style>
  <w:style w:type="paragraph" w:customStyle="1" w:styleId="NumPar6">
    <w:name w:val="NumPar 6"/>
    <w:basedOn w:val="Normal"/>
    <w:next w:val="Text2"/>
    <w:pPr>
      <w:numPr>
        <w:ilvl w:val="5"/>
        <w:numId w:val="30"/>
      </w:numPr>
    </w:pPr>
  </w:style>
  <w:style w:type="paragraph" w:customStyle="1" w:styleId="NumPar7">
    <w:name w:val="NumPar 7"/>
    <w:basedOn w:val="Normal"/>
    <w:next w:val="Text2"/>
    <w:pPr>
      <w:numPr>
        <w:ilvl w:val="6"/>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C67D57"/>
    <w:pPr>
      <w:tabs>
        <w:tab w:val="center" w:pos="4535"/>
        <w:tab w:val="right" w:pos="9071"/>
      </w:tabs>
      <w:spacing w:before="0"/>
    </w:pPr>
  </w:style>
  <w:style w:type="paragraph" w:customStyle="1" w:styleId="HeaderLandscape">
    <w:name w:val="HeaderLandscape"/>
    <w:basedOn w:val="Normal"/>
    <w:rsid w:val="00C67D57"/>
    <w:pPr>
      <w:tabs>
        <w:tab w:val="center" w:pos="7285"/>
        <w:tab w:val="right" w:pos="14003"/>
      </w:tabs>
      <w:spacing w:before="0"/>
    </w:pPr>
  </w:style>
  <w:style w:type="paragraph" w:styleId="Footer">
    <w:name w:val="footer"/>
    <w:basedOn w:val="Normal"/>
    <w:link w:val="FooterChar"/>
    <w:uiPriority w:val="99"/>
    <w:unhideWhenUsed/>
    <w:rsid w:val="00C67D57"/>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C67D57"/>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782AF6692CB4E8097BF428225D135" ma:contentTypeVersion="13" ma:contentTypeDescription="Create a new document." ma:contentTypeScope="" ma:versionID="c1fe114fd752ad9ccc310c1b1b03b0e4">
  <xsd:schema xmlns:xsd="http://www.w3.org/2001/XMLSchema" xmlns:xs="http://www.w3.org/2001/XMLSchema" xmlns:p="http://schemas.microsoft.com/office/2006/metadata/properties" xmlns:ns2="5843c966-cb45-4885-93fc-2ce78a94204b" xmlns:ns3="ac131f03-315b-4cd8-8e3a-6189969fd4f0" targetNamespace="http://schemas.microsoft.com/office/2006/metadata/properties" ma:root="true" ma:fieldsID="4a49f1ae8b27401b4ba562f83e91bdf2" ns2:_="" ns3:_="">
    <xsd:import namespace="5843c966-cb45-4885-93fc-2ce78a94204b"/>
    <xsd:import namespace="ac131f03-315b-4cd8-8e3a-6189969fd4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3c966-cb45-4885-93fc-2ce78a942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31f03-315b-4cd8-8e3a-6189969fd4f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80c5cd3-642e-4cca-8698-4a581b2b2d57}" ma:internalName="TaxCatchAll" ma:showField="CatchAllData" ma:web="ac131f03-315b-4cd8-8e3a-6189969fd4f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43c966-cb45-4885-93fc-2ce78a94204b">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ac131f03-315b-4cd8-8e3a-6189969fd4f0" xsi:nil="true"/>
  </documentManagement>
</p:properties>
</file>

<file path=customXml/item3.xml><?xml version="1.0" encoding="utf-8"?>
<b:Sources xmlns:b="http://schemas.openxmlformats.org/officeDocument/2006/bibliography" xmlns="http://schemas.openxmlformats.org/officeDocument/2006/bibliography" SelectedStyle="\ECFINStandard.xsl" StyleName="ECFIN - Standard" Version="2021.02"/>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51C30F-824B-4B24-A081-D54E77FE9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3c966-cb45-4885-93fc-2ce78a94204b"/>
    <ds:schemaRef ds:uri="ac131f03-315b-4cd8-8e3a-6189969fd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6755DF-4ACE-4E95-939C-86530C19F84C}">
  <ds:schemaRefs>
    <ds:schemaRef ds:uri="http://schemas.microsoft.com/office/2006/metadata/properties"/>
    <ds:schemaRef ds:uri="http://schemas.microsoft.com/office/infopath/2007/PartnerControls"/>
    <ds:schemaRef ds:uri="5843c966-cb45-4885-93fc-2ce78a94204b"/>
    <ds:schemaRef ds:uri="ac131f03-315b-4cd8-8e3a-6189969fd4f0"/>
  </ds:schemaRefs>
</ds:datastoreItem>
</file>

<file path=customXml/itemProps3.xml><?xml version="1.0" encoding="utf-8"?>
<ds:datastoreItem xmlns:ds="http://schemas.openxmlformats.org/officeDocument/2006/customXml" ds:itemID="{B76D9AE0-5A01-40FA-A225-73123D62AAAA}">
  <ds:schemaRefs>
    <ds:schemaRef ds:uri="http://schemas.openxmlformats.org/officeDocument/2006/bibliography"/>
  </ds:schemaRefs>
</ds:datastoreItem>
</file>

<file path=customXml/itemProps4.xml><?xml version="1.0" encoding="utf-8"?>
<ds:datastoreItem xmlns:ds="http://schemas.openxmlformats.org/officeDocument/2006/customXml" ds:itemID="{CBA21B03-9DAE-40E7-A92F-DD0CDF9783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Template>
  <TotalTime>92</TotalTime>
  <Pages>6</Pages>
  <Words>1329</Words>
  <Characters>7658</Characters>
  <Application>Microsoft Office Word</Application>
  <DocSecurity>0</DocSecurity>
  <Lines>170</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WOJCIECHOWSKA Eliza (SG)</cp:lastModifiedBy>
  <cp:revision>57</cp:revision>
  <cp:lastPrinted>2013-04-25T18:19:00Z</cp:lastPrinted>
  <dcterms:created xsi:type="dcterms:W3CDTF">2025-05-26T08:37:00Z</dcterms:created>
  <dcterms:modified xsi:type="dcterms:W3CDTF">2025-06-04T08:43:00Z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5.8.64.0</vt:lpwstr>
  </property>
  <property fmtid="{D5CDD505-2E9C-101B-9397-08002B2CF9AE}" pid="4" name="Last edited using">
    <vt:lpwstr>LW 9.1, Build 20240808</vt:lpwstr>
  </property>
  <property fmtid="{D5CDD505-2E9C-101B-9397-08002B2CF9AE}" pid="5" name="Created using">
    <vt:lpwstr>LW 5.8.2, Build 20120919</vt:lpwstr>
  </property>
  <property fmtid="{D5CDD505-2E9C-101B-9397-08002B2CF9AE}" pid="6" name="_NewReviewCycle">
    <vt:lpwstr/>
  </property>
  <property fmtid="{D5CDD505-2E9C-101B-9397-08002B2CF9AE}" pid="7" name="LWTemplateID">
    <vt:lpwstr>SJ-016</vt:lpwstr>
  </property>
  <property fmtid="{D5CDD505-2E9C-101B-9397-08002B2CF9AE}" pid="8" name="Part">
    <vt:lpwstr>1</vt:lpwstr>
  </property>
  <property fmtid="{D5CDD505-2E9C-101B-9397-08002B2CF9AE}" pid="9" name="Total parts">
    <vt:lpwstr>1</vt:lpwstr>
  </property>
  <property fmtid="{D5CDD505-2E9C-101B-9397-08002B2CF9AE}" pid="10" name="Level of sensitivity">
    <vt:lpwstr>Standard treatment</vt:lpwstr>
  </property>
  <property fmtid="{D5CDD505-2E9C-101B-9397-08002B2CF9AE}" pid="11" name="MSIP_Label_6bd9ddd1-4d20-43f6-abfa-fc3c07406f94_Enabled">
    <vt:lpwstr>true</vt:lpwstr>
  </property>
  <property fmtid="{D5CDD505-2E9C-101B-9397-08002B2CF9AE}" pid="12" name="MSIP_Label_6bd9ddd1-4d20-43f6-abfa-fc3c07406f94_SetDate">
    <vt:lpwstr>2025-03-11T13:53:40Z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ae1bf1ba-f335-4abf-8164-6bc6de051467</vt:lpwstr>
  </property>
  <property fmtid="{D5CDD505-2E9C-101B-9397-08002B2CF9AE}" pid="17" name="MSIP_Label_6bd9ddd1-4d20-43f6-abfa-fc3c07406f94_ContentBits">
    <vt:lpwstr>0</vt:lpwstr>
  </property>
  <property fmtid="{D5CDD505-2E9C-101B-9397-08002B2CF9AE}" pid="18" name="ContentTypeId">
    <vt:lpwstr>0x010100199782AF6692CB4E8097BF428225D135</vt:lpwstr>
  </property>
  <property fmtid="{D5CDD505-2E9C-101B-9397-08002B2CF9AE}" pid="19" name="MediaServiceImageTags">
    <vt:lpwstr/>
  </property>
  <property fmtid="{D5CDD505-2E9C-101B-9397-08002B2CF9AE}" pid="20" name="DQCStatus">
    <vt:lpwstr>Yellow (DQC version 03)</vt:lpwstr>
  </property>
</Properties>
</file>