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41780" w14:textId="7AE1B94E" w:rsidR="007F1C63" w:rsidRDefault="00F079F0" w:rsidP="00F079F0">
      <w:pPr>
        <w:pStyle w:val="Pagedecouverture"/>
        <w:rPr>
          <w:rStyle w:val="Heading11"/>
          <w:smallCaps/>
          <w:noProof/>
          <w:sz w:val="24"/>
          <w:szCs w:val="24"/>
        </w:rPr>
      </w:pPr>
      <w:bookmarkStart w:id="0" w:name="LW_BM_COVERPAGE"/>
      <w:r>
        <w:rPr>
          <w:rStyle w:val="Heading11"/>
          <w:smallCaps/>
          <w:noProof/>
          <w:sz w:val="24"/>
          <w:szCs w:val="24"/>
        </w:rPr>
        <w:pict w14:anchorId="488A8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660677B-A1B3-4288-A6DB-08454A0BD3D0" style="width:455.25pt;height:378.75pt">
            <v:imagedata r:id="rId8" o:title=""/>
          </v:shape>
        </w:pict>
      </w:r>
    </w:p>
    <w:bookmarkEnd w:id="0"/>
    <w:p w14:paraId="5C793B7A" w14:textId="77777777" w:rsidR="007F1C63" w:rsidRDefault="007F1C63" w:rsidP="007F1C63">
      <w:pPr>
        <w:rPr>
          <w:rStyle w:val="Heading11"/>
          <w:rFonts w:ascii="Times New Roman" w:hAnsi="Times New Roman" w:cs="Times New Roman"/>
          <w:smallCaps/>
          <w:noProof/>
          <w:sz w:val="24"/>
          <w:szCs w:val="24"/>
        </w:rPr>
        <w:sectPr w:rsidR="007F1C63" w:rsidSect="00F079F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D616DB2" w14:textId="1E638864" w:rsidR="004B181D" w:rsidRPr="001E1863" w:rsidRDefault="004B181D" w:rsidP="004B181D">
      <w:pPr>
        <w:pStyle w:val="Heading110"/>
        <w:keepNext/>
        <w:keepLines/>
        <w:numPr>
          <w:ilvl w:val="0"/>
          <w:numId w:val="1"/>
        </w:numPr>
        <w:tabs>
          <w:tab w:val="left" w:pos="552"/>
          <w:tab w:val="left" w:pos="557"/>
        </w:tabs>
        <w:jc w:val="both"/>
        <w:rPr>
          <w:rFonts w:ascii="Times New Roman" w:hAnsi="Times New Roman" w:cs="Times New Roman"/>
          <w:noProof/>
          <w:sz w:val="24"/>
          <w:szCs w:val="24"/>
        </w:rPr>
      </w:pPr>
      <w:bookmarkStart w:id="1" w:name="_GoBack"/>
      <w:bookmarkEnd w:id="1"/>
      <w:r w:rsidRPr="001E1863">
        <w:rPr>
          <w:rStyle w:val="Heading11"/>
          <w:rFonts w:ascii="Times New Roman" w:hAnsi="Times New Roman" w:cs="Times New Roman"/>
          <w:smallCaps/>
          <w:noProof/>
          <w:sz w:val="24"/>
          <w:szCs w:val="24"/>
        </w:rPr>
        <w:lastRenderedPageBreak/>
        <w:t>Introduction</w:t>
      </w:r>
    </w:p>
    <w:p w14:paraId="6DB9F7CA" w14:textId="41B74DC8" w:rsidR="004B181D" w:rsidRPr="000C6D51" w:rsidRDefault="003A5CC5" w:rsidP="004B181D">
      <w:pPr>
        <w:pStyle w:val="Bodytext10"/>
        <w:ind w:left="580"/>
        <w:jc w:val="both"/>
        <w:rPr>
          <w:rFonts w:ascii="Times New Roman" w:hAnsi="Times New Roman" w:cs="Times New Roman"/>
          <w:noProof/>
          <w:color w:val="333333"/>
          <w:sz w:val="24"/>
          <w:szCs w:val="24"/>
          <w:shd w:val="clear" w:color="auto" w:fill="FFFFFF"/>
        </w:rPr>
      </w:pPr>
      <w:r>
        <w:rPr>
          <w:rStyle w:val="Bodytext1"/>
          <w:rFonts w:ascii="Times New Roman" w:hAnsi="Times New Roman" w:cs="Times New Roman"/>
          <w:noProof/>
          <w:sz w:val="24"/>
          <w:szCs w:val="24"/>
        </w:rPr>
        <w:t>Regulation (EU) 2019/787</w:t>
      </w:r>
      <w:r w:rsidR="006E625E">
        <w:rPr>
          <w:rStyle w:val="Bodytext1"/>
          <w:rFonts w:ascii="Times New Roman" w:hAnsi="Times New Roman" w:cs="Times New Roman"/>
          <w:noProof/>
          <w:sz w:val="24"/>
          <w:szCs w:val="24"/>
        </w:rPr>
        <w:t xml:space="preserve"> </w:t>
      </w:r>
      <w:r w:rsidR="00B8286E" w:rsidRPr="00E46FFC">
        <w:rPr>
          <w:rStyle w:val="Bodytext1"/>
          <w:rFonts w:ascii="Times New Roman" w:hAnsi="Times New Roman" w:cs="Times New Roman"/>
          <w:noProof/>
          <w:sz w:val="24"/>
          <w:szCs w:val="24"/>
        </w:rPr>
        <w:t>of the European Parliament and of the Council</w:t>
      </w:r>
      <w:r w:rsidR="00CC3BF4">
        <w:rPr>
          <w:rStyle w:val="FootnoteReference"/>
          <w:rFonts w:ascii="Times New Roman" w:hAnsi="Times New Roman" w:cs="Times New Roman"/>
          <w:noProof/>
          <w:sz w:val="24"/>
          <w:szCs w:val="24"/>
        </w:rPr>
        <w:footnoteReference w:id="1"/>
      </w:r>
      <w:r w:rsidR="008959AA">
        <w:rPr>
          <w:rStyle w:val="Bodytext1"/>
          <w:rFonts w:ascii="Times New Roman" w:hAnsi="Times New Roman" w:cs="Times New Roman"/>
          <w:noProof/>
          <w:sz w:val="24"/>
          <w:szCs w:val="24"/>
        </w:rPr>
        <w:t>,</w:t>
      </w:r>
      <w:r w:rsidR="009B08C7" w:rsidRPr="00651787">
        <w:rPr>
          <w:rStyle w:val="Bodytext1"/>
          <w:rFonts w:ascii="Times New Roman" w:hAnsi="Times New Roman" w:cs="Times New Roman"/>
          <w:noProof/>
          <w:sz w:val="24"/>
          <w:szCs w:val="24"/>
        </w:rPr>
        <w:t xml:space="preserve"> </w:t>
      </w:r>
      <w:r w:rsidR="008959AA" w:rsidRPr="008959AA">
        <w:rPr>
          <w:rStyle w:val="Bodytext1"/>
          <w:rFonts w:ascii="Times New Roman" w:hAnsi="Times New Roman" w:cs="Times New Roman"/>
          <w:noProof/>
          <w:sz w:val="24"/>
          <w:szCs w:val="24"/>
        </w:rPr>
        <w:t>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w:t>
      </w:r>
      <w:r w:rsidR="008959AA">
        <w:rPr>
          <w:rStyle w:val="Bodytext1"/>
          <w:rFonts w:ascii="Times New Roman" w:hAnsi="Times New Roman" w:cs="Times New Roman"/>
          <w:noProof/>
          <w:sz w:val="24"/>
          <w:szCs w:val="24"/>
        </w:rPr>
        <w:t>,</w:t>
      </w:r>
      <w:r w:rsidR="008959AA" w:rsidRPr="008959AA">
        <w:rPr>
          <w:rStyle w:val="Bodytext1"/>
          <w:rFonts w:ascii="Times New Roman" w:hAnsi="Times New Roman" w:cs="Times New Roman"/>
          <w:noProof/>
          <w:sz w:val="24"/>
          <w:szCs w:val="24"/>
        </w:rPr>
        <w:t xml:space="preserve"> </w:t>
      </w:r>
      <w:r w:rsidR="004B181D" w:rsidRPr="00B23542">
        <w:rPr>
          <w:rFonts w:ascii="Times New Roman" w:hAnsi="Times New Roman" w:cs="Times New Roman"/>
          <w:noProof/>
          <w:color w:val="333333"/>
          <w:sz w:val="24"/>
          <w:szCs w:val="24"/>
          <w:shd w:val="clear" w:color="auto" w:fill="FFFFFF"/>
        </w:rPr>
        <w:t xml:space="preserve">establishes </w:t>
      </w:r>
      <w:r w:rsidR="004B181D" w:rsidRPr="008515EF">
        <w:rPr>
          <w:rFonts w:ascii="Times New Roman" w:hAnsi="Times New Roman" w:cs="Times New Roman"/>
          <w:noProof/>
          <w:color w:val="333333"/>
          <w:sz w:val="24"/>
          <w:szCs w:val="24"/>
          <w:shd w:val="clear" w:color="auto" w:fill="FFFFFF"/>
        </w:rPr>
        <w:t xml:space="preserve">a common legal framework for </w:t>
      </w:r>
      <w:r>
        <w:rPr>
          <w:rFonts w:ascii="Times New Roman" w:hAnsi="Times New Roman" w:cs="Times New Roman"/>
          <w:noProof/>
          <w:color w:val="333333"/>
          <w:sz w:val="24"/>
          <w:szCs w:val="24"/>
          <w:shd w:val="clear" w:color="auto" w:fill="FFFFFF"/>
        </w:rPr>
        <w:t xml:space="preserve">spirit drinks produced in the Union. In particular, it provides rules on </w:t>
      </w:r>
      <w:r w:rsidRPr="003A5CC5">
        <w:rPr>
          <w:rFonts w:ascii="Times New Roman" w:hAnsi="Times New Roman" w:cs="Times New Roman"/>
          <w:noProof/>
          <w:color w:val="333333"/>
          <w:sz w:val="24"/>
          <w:szCs w:val="24"/>
          <w:shd w:val="clear" w:color="auto" w:fill="FFFFFF"/>
        </w:rPr>
        <w:t>the definition, description, presentation and labelling of spirit drinks</w:t>
      </w:r>
      <w:r w:rsidR="00E46FFC">
        <w:rPr>
          <w:rFonts w:ascii="Times New Roman" w:hAnsi="Times New Roman" w:cs="Times New Roman"/>
          <w:noProof/>
          <w:color w:val="333333"/>
          <w:sz w:val="24"/>
          <w:szCs w:val="24"/>
          <w:shd w:val="clear" w:color="auto" w:fill="FFFFFF"/>
        </w:rPr>
        <w:t xml:space="preserve"> and for their control</w:t>
      </w:r>
      <w:r w:rsidR="00876397">
        <w:rPr>
          <w:rFonts w:ascii="Times New Roman" w:hAnsi="Times New Roman" w:cs="Times New Roman"/>
          <w:noProof/>
          <w:color w:val="333333"/>
          <w:sz w:val="24"/>
          <w:szCs w:val="24"/>
          <w:shd w:val="clear" w:color="auto" w:fill="FFFFFF"/>
        </w:rPr>
        <w:t xml:space="preserve"> and supervision</w:t>
      </w:r>
      <w:r w:rsidR="004564AF">
        <w:rPr>
          <w:rFonts w:ascii="Times New Roman" w:hAnsi="Times New Roman" w:cs="Times New Roman"/>
          <w:noProof/>
          <w:color w:val="333333"/>
          <w:sz w:val="24"/>
          <w:szCs w:val="24"/>
          <w:shd w:val="clear" w:color="auto" w:fill="FFFFFF"/>
        </w:rPr>
        <w:t xml:space="preserve"> and it is the basic act for EU schemes on geographical indications in sp</w:t>
      </w:r>
      <w:r w:rsidR="00766E2D">
        <w:rPr>
          <w:rFonts w:ascii="Times New Roman" w:hAnsi="Times New Roman" w:cs="Times New Roman"/>
          <w:noProof/>
          <w:color w:val="333333"/>
          <w:sz w:val="24"/>
          <w:szCs w:val="24"/>
          <w:shd w:val="clear" w:color="auto" w:fill="FFFFFF"/>
        </w:rPr>
        <w:t>i</w:t>
      </w:r>
      <w:r w:rsidR="004564AF">
        <w:rPr>
          <w:rFonts w:ascii="Times New Roman" w:hAnsi="Times New Roman" w:cs="Times New Roman"/>
          <w:noProof/>
          <w:color w:val="333333"/>
          <w:sz w:val="24"/>
          <w:szCs w:val="24"/>
          <w:shd w:val="clear" w:color="auto" w:fill="FFFFFF"/>
        </w:rPr>
        <w:t>r</w:t>
      </w:r>
      <w:r w:rsidR="00766E2D">
        <w:rPr>
          <w:rFonts w:ascii="Times New Roman" w:hAnsi="Times New Roman" w:cs="Times New Roman"/>
          <w:noProof/>
          <w:color w:val="333333"/>
          <w:sz w:val="24"/>
          <w:szCs w:val="24"/>
          <w:shd w:val="clear" w:color="auto" w:fill="FFFFFF"/>
        </w:rPr>
        <w:t>i</w:t>
      </w:r>
      <w:r w:rsidR="004564AF">
        <w:rPr>
          <w:rFonts w:ascii="Times New Roman" w:hAnsi="Times New Roman" w:cs="Times New Roman"/>
          <w:noProof/>
          <w:color w:val="333333"/>
          <w:sz w:val="24"/>
          <w:szCs w:val="24"/>
          <w:shd w:val="clear" w:color="auto" w:fill="FFFFFF"/>
        </w:rPr>
        <w:t>t drinks</w:t>
      </w:r>
      <w:r w:rsidR="00AD2419">
        <w:rPr>
          <w:rFonts w:ascii="Times New Roman" w:hAnsi="Times New Roman" w:cs="Times New Roman"/>
          <w:noProof/>
          <w:color w:val="333333"/>
          <w:sz w:val="24"/>
          <w:szCs w:val="24"/>
          <w:shd w:val="clear" w:color="auto" w:fill="FFFFFF"/>
        </w:rPr>
        <w:t xml:space="preserve"> sector</w:t>
      </w:r>
      <w:r w:rsidR="004B181D">
        <w:rPr>
          <w:rStyle w:val="Bodytext1"/>
          <w:rFonts w:ascii="Times New Roman" w:hAnsi="Times New Roman" w:cs="Times New Roman"/>
          <w:noProof/>
          <w:sz w:val="24"/>
          <w:szCs w:val="24"/>
        </w:rPr>
        <w:t>.</w:t>
      </w:r>
      <w:r w:rsidR="00766E2D" w:rsidRPr="00766E2D">
        <w:rPr>
          <w:noProof/>
        </w:rPr>
        <w:t xml:space="preserve"> </w:t>
      </w:r>
    </w:p>
    <w:p w14:paraId="500270ED" w14:textId="4D396C21" w:rsidR="00766E2D" w:rsidRDefault="00766E2D" w:rsidP="00766E2D">
      <w:pPr>
        <w:pStyle w:val="Bodytext10"/>
        <w:ind w:left="580"/>
        <w:jc w:val="both"/>
        <w:rPr>
          <w:rFonts w:ascii="Times New Roman" w:hAnsi="Times New Roman" w:cs="Times New Roman"/>
          <w:noProof/>
          <w:sz w:val="24"/>
          <w:szCs w:val="24"/>
          <w:lang w:bidi="en-US"/>
        </w:rPr>
      </w:pPr>
      <w:r w:rsidRPr="00766E2D">
        <w:rPr>
          <w:rFonts w:ascii="Times New Roman" w:hAnsi="Times New Roman" w:cs="Times New Roman"/>
          <w:noProof/>
          <w:sz w:val="24"/>
          <w:szCs w:val="24"/>
          <w:lang w:val="en-GB"/>
        </w:rPr>
        <w:t>Th</w:t>
      </w:r>
      <w:r>
        <w:rPr>
          <w:rFonts w:ascii="Times New Roman" w:hAnsi="Times New Roman" w:cs="Times New Roman"/>
          <w:noProof/>
          <w:sz w:val="24"/>
          <w:szCs w:val="24"/>
          <w:lang w:val="en-GB"/>
        </w:rPr>
        <w:t>at Regulation</w:t>
      </w:r>
      <w:r w:rsidRPr="00766E2D">
        <w:rPr>
          <w:rFonts w:ascii="Times New Roman" w:hAnsi="Times New Roman" w:cs="Times New Roman"/>
          <w:noProof/>
          <w:sz w:val="24"/>
          <w:szCs w:val="24"/>
          <w:lang w:bidi="en-US"/>
        </w:rPr>
        <w:t xml:space="preserve"> align</w:t>
      </w:r>
      <w:r w:rsidR="00557BD0">
        <w:rPr>
          <w:rFonts w:ascii="Times New Roman" w:hAnsi="Times New Roman" w:cs="Times New Roman"/>
          <w:noProof/>
          <w:sz w:val="24"/>
          <w:szCs w:val="24"/>
          <w:lang w:bidi="en-US"/>
        </w:rPr>
        <w:t>s</w:t>
      </w:r>
      <w:r w:rsidRPr="00766E2D">
        <w:rPr>
          <w:rFonts w:ascii="Times New Roman" w:hAnsi="Times New Roman" w:cs="Times New Roman"/>
          <w:noProof/>
          <w:sz w:val="24"/>
          <w:szCs w:val="24"/>
          <w:lang w:bidi="en-US"/>
        </w:rPr>
        <w:t xml:space="preserve"> EU legislation on </w:t>
      </w:r>
      <w:r w:rsidRPr="00766E2D">
        <w:rPr>
          <w:rFonts w:ascii="Times New Roman" w:hAnsi="Times New Roman" w:cs="Times New Roman"/>
          <w:noProof/>
          <w:sz w:val="24"/>
          <w:szCs w:val="24"/>
          <w:lang w:bidi="cs-CZ"/>
        </w:rPr>
        <w:t xml:space="preserve">spirit </w:t>
      </w:r>
      <w:r w:rsidRPr="00766E2D">
        <w:rPr>
          <w:rFonts w:ascii="Times New Roman" w:hAnsi="Times New Roman" w:cs="Times New Roman"/>
          <w:noProof/>
          <w:sz w:val="24"/>
          <w:szCs w:val="24"/>
          <w:lang w:bidi="en-US"/>
        </w:rPr>
        <w:t>drinks with the Treaty on the Functioning of the European Union (TFEU)</w:t>
      </w:r>
      <w:r>
        <w:rPr>
          <w:rFonts w:ascii="Times New Roman" w:hAnsi="Times New Roman" w:cs="Times New Roman"/>
          <w:noProof/>
          <w:sz w:val="24"/>
          <w:szCs w:val="24"/>
          <w:lang w:bidi="en-US"/>
        </w:rPr>
        <w:t xml:space="preserve"> as regards </w:t>
      </w:r>
      <w:r w:rsidRPr="00766E2D">
        <w:rPr>
          <w:rFonts w:ascii="Times New Roman" w:hAnsi="Times New Roman" w:cs="Times New Roman"/>
          <w:noProof/>
          <w:sz w:val="24"/>
          <w:szCs w:val="24"/>
          <w:lang w:bidi="en-US"/>
        </w:rPr>
        <w:t xml:space="preserve">the provisions </w:t>
      </w:r>
      <w:r>
        <w:rPr>
          <w:rFonts w:ascii="Times New Roman" w:hAnsi="Times New Roman" w:cs="Times New Roman"/>
          <w:noProof/>
          <w:sz w:val="24"/>
          <w:szCs w:val="24"/>
          <w:lang w:bidi="en-US"/>
        </w:rPr>
        <w:t xml:space="preserve">to be </w:t>
      </w:r>
      <w:r w:rsidRPr="00766E2D">
        <w:rPr>
          <w:rFonts w:ascii="Times New Roman" w:hAnsi="Times New Roman" w:cs="Times New Roman"/>
          <w:noProof/>
          <w:sz w:val="24"/>
          <w:szCs w:val="24"/>
          <w:lang w:bidi="en-US"/>
        </w:rPr>
        <w:t>adopted by the Commission</w:t>
      </w:r>
      <w:r w:rsidR="001555AC">
        <w:rPr>
          <w:rFonts w:ascii="Times New Roman" w:hAnsi="Times New Roman" w:cs="Times New Roman"/>
          <w:noProof/>
          <w:sz w:val="24"/>
          <w:szCs w:val="24"/>
          <w:lang w:bidi="en-US"/>
        </w:rPr>
        <w:t xml:space="preserve"> (</w:t>
      </w:r>
      <w:r w:rsidRPr="00766E2D">
        <w:rPr>
          <w:rFonts w:ascii="Times New Roman" w:hAnsi="Times New Roman" w:cs="Times New Roman"/>
          <w:noProof/>
          <w:sz w:val="24"/>
          <w:szCs w:val="24"/>
          <w:lang w:bidi="en-US"/>
        </w:rPr>
        <w:t>delegated and implementing acts</w:t>
      </w:r>
      <w:r w:rsidR="001555AC">
        <w:rPr>
          <w:rFonts w:ascii="Times New Roman" w:hAnsi="Times New Roman" w:cs="Times New Roman"/>
          <w:noProof/>
          <w:sz w:val="24"/>
          <w:szCs w:val="24"/>
          <w:lang w:bidi="en-US"/>
        </w:rPr>
        <w:t>)</w:t>
      </w:r>
      <w:r w:rsidRPr="00766E2D">
        <w:rPr>
          <w:rFonts w:ascii="Times New Roman" w:hAnsi="Times New Roman" w:cs="Times New Roman"/>
          <w:noProof/>
          <w:sz w:val="24"/>
          <w:szCs w:val="24"/>
          <w:lang w:bidi="en-US"/>
        </w:rPr>
        <w:t xml:space="preserve">. </w:t>
      </w:r>
    </w:p>
    <w:p w14:paraId="281F2D1B" w14:textId="1C7D892C" w:rsidR="00AD2419" w:rsidRDefault="00766E2D" w:rsidP="00766E2D">
      <w:pPr>
        <w:pStyle w:val="Bodytext10"/>
        <w:ind w:left="580"/>
        <w:jc w:val="both"/>
        <w:rPr>
          <w:rFonts w:ascii="Times New Roman" w:hAnsi="Times New Roman" w:cs="Times New Roman"/>
          <w:noProof/>
          <w:sz w:val="24"/>
          <w:szCs w:val="24"/>
          <w:lang w:bidi="en-US"/>
        </w:rPr>
      </w:pPr>
      <w:r>
        <w:rPr>
          <w:rFonts w:ascii="Times New Roman" w:hAnsi="Times New Roman" w:cs="Times New Roman"/>
          <w:noProof/>
          <w:sz w:val="24"/>
          <w:szCs w:val="24"/>
          <w:lang w:bidi="en-US"/>
        </w:rPr>
        <w:t>B</w:t>
      </w:r>
      <w:r w:rsidRPr="00766E2D">
        <w:rPr>
          <w:rFonts w:ascii="Times New Roman" w:hAnsi="Times New Roman" w:cs="Times New Roman"/>
          <w:noProof/>
          <w:sz w:val="24"/>
          <w:szCs w:val="24"/>
          <w:lang w:bidi="en-US"/>
        </w:rPr>
        <w:t xml:space="preserve">esides </w:t>
      </w:r>
      <w:r>
        <w:rPr>
          <w:rFonts w:ascii="Times New Roman" w:hAnsi="Times New Roman" w:cs="Times New Roman"/>
          <w:noProof/>
          <w:sz w:val="24"/>
          <w:szCs w:val="24"/>
          <w:lang w:bidi="en-US"/>
        </w:rPr>
        <w:t xml:space="preserve">the </w:t>
      </w:r>
      <w:r w:rsidRPr="00766E2D">
        <w:rPr>
          <w:rFonts w:ascii="Times New Roman" w:hAnsi="Times New Roman" w:cs="Times New Roman"/>
          <w:noProof/>
          <w:sz w:val="24"/>
          <w:szCs w:val="24"/>
          <w:lang w:bidi="en-US"/>
        </w:rPr>
        <w:t xml:space="preserve">alignment with the TFEU, the </w:t>
      </w:r>
      <w:r>
        <w:rPr>
          <w:rFonts w:ascii="Times New Roman" w:hAnsi="Times New Roman" w:cs="Times New Roman"/>
          <w:noProof/>
          <w:sz w:val="24"/>
          <w:szCs w:val="24"/>
          <w:lang w:bidi="en-US"/>
        </w:rPr>
        <w:t xml:space="preserve">Regulation </w:t>
      </w:r>
      <w:r w:rsidR="00494748" w:rsidRPr="00494748">
        <w:rPr>
          <w:rFonts w:ascii="Times New Roman" w:hAnsi="Times New Roman" w:cs="Times New Roman"/>
          <w:noProof/>
          <w:sz w:val="24"/>
          <w:szCs w:val="24"/>
          <w:lang w:bidi="en-US"/>
        </w:rPr>
        <w:t>improve</w:t>
      </w:r>
      <w:r w:rsidR="00557BD0">
        <w:rPr>
          <w:rFonts w:ascii="Times New Roman" w:hAnsi="Times New Roman" w:cs="Times New Roman"/>
          <w:noProof/>
          <w:sz w:val="24"/>
          <w:szCs w:val="24"/>
          <w:lang w:bidi="en-US"/>
        </w:rPr>
        <w:t>s</w:t>
      </w:r>
      <w:r w:rsidR="00494748" w:rsidRPr="00494748">
        <w:rPr>
          <w:rFonts w:ascii="Times New Roman" w:hAnsi="Times New Roman" w:cs="Times New Roman"/>
          <w:noProof/>
          <w:sz w:val="24"/>
          <w:szCs w:val="24"/>
          <w:lang w:bidi="en-US"/>
        </w:rPr>
        <w:t xml:space="preserve"> and update</w:t>
      </w:r>
      <w:r w:rsidR="00557BD0">
        <w:rPr>
          <w:rFonts w:ascii="Times New Roman" w:hAnsi="Times New Roman" w:cs="Times New Roman"/>
          <w:noProof/>
          <w:sz w:val="24"/>
          <w:szCs w:val="24"/>
          <w:lang w:bidi="en-US"/>
        </w:rPr>
        <w:t>s</w:t>
      </w:r>
      <w:r w:rsidR="00494748" w:rsidRPr="00494748">
        <w:rPr>
          <w:rFonts w:ascii="Times New Roman" w:hAnsi="Times New Roman" w:cs="Times New Roman"/>
          <w:noProof/>
          <w:sz w:val="24"/>
          <w:szCs w:val="24"/>
          <w:lang w:bidi="en-US"/>
        </w:rPr>
        <w:t xml:space="preserve"> the framework for the protection of spirit drinks geographical indications that was already regulated under Regulation (EC) No 110/2008</w:t>
      </w:r>
      <w:r w:rsidR="006E625E">
        <w:rPr>
          <w:rFonts w:ascii="Times New Roman" w:hAnsi="Times New Roman" w:cs="Times New Roman"/>
          <w:noProof/>
          <w:sz w:val="24"/>
          <w:szCs w:val="24"/>
          <w:lang w:bidi="en-US"/>
        </w:rPr>
        <w:t xml:space="preserve"> of the European Parliament and of the Council</w:t>
      </w:r>
      <w:r w:rsidR="006E625E">
        <w:rPr>
          <w:rStyle w:val="FootnoteReference"/>
          <w:rFonts w:ascii="Times New Roman" w:hAnsi="Times New Roman" w:cs="Times New Roman"/>
          <w:noProof/>
          <w:sz w:val="24"/>
          <w:szCs w:val="24"/>
          <w:lang w:bidi="en-US"/>
        </w:rPr>
        <w:footnoteReference w:id="2"/>
      </w:r>
      <w:r w:rsidR="00494748" w:rsidRPr="00494748">
        <w:rPr>
          <w:rFonts w:ascii="Times New Roman" w:hAnsi="Times New Roman" w:cs="Times New Roman"/>
          <w:noProof/>
          <w:sz w:val="24"/>
          <w:szCs w:val="24"/>
          <w:lang w:bidi="en-US"/>
        </w:rPr>
        <w:t xml:space="preserve">, </w:t>
      </w:r>
      <w:r w:rsidR="008959AA" w:rsidRPr="008959AA">
        <w:rPr>
          <w:rFonts w:ascii="Times New Roman" w:hAnsi="Times New Roman" w:cs="Times New Roman"/>
          <w:noProof/>
          <w:sz w:val="24"/>
          <w:szCs w:val="24"/>
          <w:lang w:bidi="en-US"/>
        </w:rPr>
        <w:t>of 15 January 2008 on the definition, description, presentation, labelling and the protection of geographical indications of spirit drinks and repealing Council Regulation (EEC) No 1576/89</w:t>
      </w:r>
      <w:r w:rsidR="00494748" w:rsidRPr="00494748">
        <w:rPr>
          <w:rFonts w:ascii="Times New Roman" w:hAnsi="Times New Roman" w:cs="Times New Roman"/>
          <w:noProof/>
          <w:sz w:val="24"/>
          <w:szCs w:val="24"/>
          <w:lang w:bidi="en-US"/>
        </w:rPr>
        <w:t>.</w:t>
      </w:r>
      <w:r w:rsidR="00494748">
        <w:rPr>
          <w:rFonts w:ascii="Times New Roman" w:hAnsi="Times New Roman" w:cs="Times New Roman"/>
          <w:noProof/>
          <w:sz w:val="24"/>
          <w:szCs w:val="24"/>
          <w:lang w:bidi="en-US"/>
        </w:rPr>
        <w:t xml:space="preserve"> It replace</w:t>
      </w:r>
      <w:r w:rsidR="00557BD0">
        <w:rPr>
          <w:rFonts w:ascii="Times New Roman" w:hAnsi="Times New Roman" w:cs="Times New Roman"/>
          <w:noProof/>
          <w:sz w:val="24"/>
          <w:szCs w:val="24"/>
          <w:lang w:bidi="en-US"/>
        </w:rPr>
        <w:t>s</w:t>
      </w:r>
      <w:r w:rsidR="00494748">
        <w:rPr>
          <w:rFonts w:ascii="Times New Roman" w:hAnsi="Times New Roman" w:cs="Times New Roman"/>
          <w:noProof/>
          <w:sz w:val="24"/>
          <w:szCs w:val="24"/>
          <w:lang w:bidi="en-US"/>
        </w:rPr>
        <w:t xml:space="preserve"> </w:t>
      </w:r>
      <w:r w:rsidR="00AD2419" w:rsidRPr="00AD2419">
        <w:rPr>
          <w:rFonts w:ascii="Times New Roman" w:hAnsi="Times New Roman" w:cs="Times New Roman"/>
          <w:noProof/>
          <w:sz w:val="24"/>
          <w:szCs w:val="24"/>
          <w:lang w:bidi="en-US"/>
        </w:rPr>
        <w:t>the</w:t>
      </w:r>
      <w:r w:rsidR="00494748">
        <w:rPr>
          <w:rFonts w:ascii="Times New Roman" w:hAnsi="Times New Roman" w:cs="Times New Roman"/>
          <w:noProof/>
          <w:sz w:val="24"/>
          <w:szCs w:val="24"/>
          <w:lang w:bidi="en-US"/>
        </w:rPr>
        <w:t xml:space="preserve"> </w:t>
      </w:r>
      <w:r w:rsidR="00AD2419" w:rsidRPr="00AD2419">
        <w:rPr>
          <w:rFonts w:ascii="Times New Roman" w:hAnsi="Times New Roman" w:cs="Times New Roman"/>
          <w:noProof/>
          <w:sz w:val="24"/>
          <w:szCs w:val="24"/>
          <w:lang w:bidi="en-US"/>
        </w:rPr>
        <w:t xml:space="preserve">existing </w:t>
      </w:r>
      <w:r w:rsidR="00494748">
        <w:rPr>
          <w:rFonts w:ascii="Times New Roman" w:hAnsi="Times New Roman" w:cs="Times New Roman"/>
          <w:noProof/>
          <w:sz w:val="24"/>
          <w:szCs w:val="24"/>
          <w:lang w:bidi="en-US"/>
        </w:rPr>
        <w:t xml:space="preserve">rules on protection and the </w:t>
      </w:r>
      <w:r w:rsidR="00AD2419" w:rsidRPr="00AD2419">
        <w:rPr>
          <w:rFonts w:ascii="Times New Roman" w:hAnsi="Times New Roman" w:cs="Times New Roman"/>
          <w:noProof/>
          <w:sz w:val="24"/>
          <w:szCs w:val="24"/>
          <w:lang w:bidi="en-US"/>
        </w:rPr>
        <w:t>procedures for</w:t>
      </w:r>
      <w:r w:rsidR="004D29D4">
        <w:rPr>
          <w:rFonts w:ascii="Times New Roman" w:hAnsi="Times New Roman" w:cs="Times New Roman"/>
          <w:noProof/>
          <w:sz w:val="24"/>
          <w:szCs w:val="24"/>
          <w:lang w:bidi="en-US"/>
        </w:rPr>
        <w:t xml:space="preserve"> registration, amendment and cancellation </w:t>
      </w:r>
      <w:r w:rsidR="00AD2419" w:rsidRPr="00AD2419">
        <w:rPr>
          <w:rFonts w:ascii="Times New Roman" w:hAnsi="Times New Roman" w:cs="Times New Roman"/>
          <w:noProof/>
          <w:sz w:val="24"/>
          <w:szCs w:val="24"/>
          <w:lang w:bidi="en-US"/>
        </w:rPr>
        <w:t xml:space="preserve">of geographical indications in the spirit drinks sector, </w:t>
      </w:r>
      <w:r w:rsidR="004D29D4">
        <w:rPr>
          <w:rFonts w:ascii="Times New Roman" w:hAnsi="Times New Roman" w:cs="Times New Roman"/>
          <w:noProof/>
          <w:sz w:val="24"/>
          <w:szCs w:val="24"/>
          <w:lang w:bidi="en-US"/>
        </w:rPr>
        <w:t xml:space="preserve">as well as for the register, </w:t>
      </w:r>
      <w:r w:rsidR="00AD2419" w:rsidRPr="00AD2419">
        <w:rPr>
          <w:rFonts w:ascii="Times New Roman" w:hAnsi="Times New Roman" w:cs="Times New Roman"/>
          <w:noProof/>
          <w:sz w:val="24"/>
          <w:szCs w:val="24"/>
          <w:lang w:bidi="en-US"/>
        </w:rPr>
        <w:t xml:space="preserve">with new </w:t>
      </w:r>
      <w:r w:rsidR="00494748">
        <w:rPr>
          <w:rFonts w:ascii="Times New Roman" w:hAnsi="Times New Roman" w:cs="Times New Roman"/>
          <w:noProof/>
          <w:sz w:val="24"/>
          <w:szCs w:val="24"/>
          <w:lang w:bidi="en-US"/>
        </w:rPr>
        <w:t xml:space="preserve">rules and </w:t>
      </w:r>
      <w:r w:rsidR="00AD2419" w:rsidRPr="00AD2419">
        <w:rPr>
          <w:rFonts w:ascii="Times New Roman" w:hAnsi="Times New Roman" w:cs="Times New Roman"/>
          <w:noProof/>
          <w:sz w:val="24"/>
          <w:szCs w:val="24"/>
          <w:lang w:bidi="en-US"/>
        </w:rPr>
        <w:t>procedures modelled on the more exhaustive and well tested procedures for agricultural products and foodstuffs.</w:t>
      </w:r>
      <w:r w:rsidR="00494748">
        <w:rPr>
          <w:rFonts w:ascii="Times New Roman" w:hAnsi="Times New Roman" w:cs="Times New Roman"/>
          <w:noProof/>
          <w:sz w:val="24"/>
          <w:szCs w:val="24"/>
          <w:lang w:bidi="en-US"/>
        </w:rPr>
        <w:t xml:space="preserve"> </w:t>
      </w:r>
    </w:p>
    <w:p w14:paraId="55B4793F" w14:textId="36660711" w:rsidR="003A5CC5" w:rsidRDefault="004D29D4" w:rsidP="003A5CC5">
      <w:pPr>
        <w:pStyle w:val="Bodytext10"/>
        <w:ind w:left="580"/>
        <w:jc w:val="both"/>
        <w:rPr>
          <w:rStyle w:val="Bodytext1"/>
          <w:rFonts w:ascii="Times New Roman" w:hAnsi="Times New Roman" w:cs="Times New Roman"/>
          <w:noProof/>
          <w:sz w:val="24"/>
          <w:szCs w:val="24"/>
        </w:rPr>
      </w:pPr>
      <w:r w:rsidRPr="004D29D4">
        <w:rPr>
          <w:rStyle w:val="Bodytext1"/>
          <w:rFonts w:ascii="Times New Roman" w:hAnsi="Times New Roman" w:cs="Times New Roman"/>
          <w:noProof/>
          <w:sz w:val="24"/>
          <w:szCs w:val="24"/>
        </w:rPr>
        <w:t xml:space="preserve">Regulation (EU) 2019/787 </w:t>
      </w:r>
      <w:r w:rsidR="003A5CC5" w:rsidRPr="008515EF">
        <w:rPr>
          <w:rStyle w:val="Bodytext1"/>
          <w:rFonts w:ascii="Times New Roman" w:hAnsi="Times New Roman" w:cs="Times New Roman"/>
          <w:noProof/>
          <w:sz w:val="24"/>
          <w:szCs w:val="24"/>
        </w:rPr>
        <w:t xml:space="preserve">empowers the Commission to </w:t>
      </w:r>
      <w:r w:rsidR="00B23542">
        <w:rPr>
          <w:rStyle w:val="Bodytext1"/>
          <w:rFonts w:ascii="Times New Roman" w:hAnsi="Times New Roman" w:cs="Times New Roman"/>
          <w:noProof/>
          <w:sz w:val="24"/>
          <w:szCs w:val="24"/>
        </w:rPr>
        <w:t xml:space="preserve">adopt delegated acts </w:t>
      </w:r>
      <w:r w:rsidR="009B08C7">
        <w:rPr>
          <w:rStyle w:val="Bodytext1"/>
          <w:rFonts w:ascii="Times New Roman" w:hAnsi="Times New Roman" w:cs="Times New Roman"/>
          <w:noProof/>
          <w:sz w:val="24"/>
          <w:szCs w:val="24"/>
        </w:rPr>
        <w:t xml:space="preserve">supplementing or </w:t>
      </w:r>
      <w:r w:rsidR="00B23542">
        <w:rPr>
          <w:rStyle w:val="Bodytext1"/>
          <w:rFonts w:ascii="Times New Roman" w:hAnsi="Times New Roman" w:cs="Times New Roman"/>
          <w:noProof/>
          <w:sz w:val="24"/>
          <w:szCs w:val="24"/>
        </w:rPr>
        <w:t xml:space="preserve">amending  </w:t>
      </w:r>
      <w:r w:rsidR="002B20C5">
        <w:rPr>
          <w:rStyle w:val="Bodytext1"/>
          <w:rFonts w:ascii="Times New Roman" w:hAnsi="Times New Roman" w:cs="Times New Roman"/>
          <w:noProof/>
          <w:sz w:val="24"/>
          <w:szCs w:val="24"/>
        </w:rPr>
        <w:t>some of those rules</w:t>
      </w:r>
      <w:r w:rsidR="003A5CC5">
        <w:rPr>
          <w:rStyle w:val="Bodytext1"/>
          <w:rFonts w:ascii="Times New Roman" w:hAnsi="Times New Roman" w:cs="Times New Roman"/>
          <w:noProof/>
          <w:sz w:val="24"/>
          <w:szCs w:val="24"/>
        </w:rPr>
        <w:t xml:space="preserve"> and</w:t>
      </w:r>
      <w:r w:rsidR="003A5CC5" w:rsidRPr="008515EF">
        <w:rPr>
          <w:rStyle w:val="Bodytext1"/>
          <w:rFonts w:ascii="Times New Roman" w:hAnsi="Times New Roman" w:cs="Times New Roman"/>
          <w:noProof/>
          <w:sz w:val="24"/>
          <w:szCs w:val="24"/>
        </w:rPr>
        <w:t xml:space="preserve"> </w:t>
      </w:r>
      <w:r w:rsidR="003A5CC5">
        <w:rPr>
          <w:rStyle w:val="Bodytext1"/>
          <w:rFonts w:ascii="Times New Roman" w:hAnsi="Times New Roman" w:cs="Times New Roman"/>
          <w:noProof/>
          <w:sz w:val="24"/>
          <w:szCs w:val="24"/>
        </w:rPr>
        <w:t>– for certain among them – i</w:t>
      </w:r>
      <w:r w:rsidR="003A5CC5" w:rsidRPr="008515EF">
        <w:rPr>
          <w:rStyle w:val="Bodytext1"/>
          <w:rFonts w:ascii="Times New Roman" w:hAnsi="Times New Roman" w:cs="Times New Roman"/>
          <w:noProof/>
          <w:sz w:val="24"/>
          <w:szCs w:val="24"/>
        </w:rPr>
        <w:t xml:space="preserve">mposes on </w:t>
      </w:r>
      <w:r w:rsidR="002B20C5">
        <w:rPr>
          <w:rStyle w:val="Bodytext1"/>
          <w:rFonts w:ascii="Times New Roman" w:hAnsi="Times New Roman" w:cs="Times New Roman"/>
          <w:noProof/>
          <w:sz w:val="24"/>
          <w:szCs w:val="24"/>
        </w:rPr>
        <w:t>the Commission</w:t>
      </w:r>
      <w:r w:rsidR="003A5CC5" w:rsidRPr="008515EF">
        <w:rPr>
          <w:rStyle w:val="Bodytext1"/>
          <w:rFonts w:ascii="Times New Roman" w:hAnsi="Times New Roman" w:cs="Times New Roman"/>
          <w:noProof/>
          <w:sz w:val="24"/>
          <w:szCs w:val="24"/>
        </w:rPr>
        <w:t xml:space="preserve"> </w:t>
      </w:r>
      <w:r w:rsidR="003A5CC5">
        <w:rPr>
          <w:rStyle w:val="Bodytext1"/>
          <w:rFonts w:ascii="Times New Roman" w:hAnsi="Times New Roman" w:cs="Times New Roman"/>
          <w:noProof/>
          <w:sz w:val="24"/>
          <w:szCs w:val="24"/>
        </w:rPr>
        <w:t>an</w:t>
      </w:r>
      <w:r w:rsidR="003A5CC5" w:rsidRPr="008515EF">
        <w:rPr>
          <w:rStyle w:val="Bodytext1"/>
          <w:rFonts w:ascii="Times New Roman" w:hAnsi="Times New Roman" w:cs="Times New Roman"/>
          <w:noProof/>
          <w:sz w:val="24"/>
          <w:szCs w:val="24"/>
        </w:rPr>
        <w:t xml:space="preserve"> obligation to report to the co-legislators on the exercise of the delegated powers it contains.</w:t>
      </w:r>
    </w:p>
    <w:p w14:paraId="4D22B018" w14:textId="773062FE" w:rsidR="004A6981" w:rsidRDefault="00E20F34" w:rsidP="002B20C5">
      <w:pPr>
        <w:pStyle w:val="Bodytext10"/>
        <w:ind w:left="580"/>
        <w:jc w:val="both"/>
        <w:rPr>
          <w:rStyle w:val="Bodytext1"/>
          <w:rFonts w:ascii="Times New Roman" w:hAnsi="Times New Roman" w:cs="Times New Roman"/>
          <w:noProof/>
          <w:sz w:val="24"/>
          <w:szCs w:val="24"/>
        </w:rPr>
      </w:pPr>
      <w:r>
        <w:rPr>
          <w:rFonts w:ascii="Times New Roman" w:hAnsi="Times New Roman" w:cs="Times New Roman"/>
          <w:noProof/>
          <w:sz w:val="24"/>
          <w:szCs w:val="24"/>
        </w:rPr>
        <w:t xml:space="preserve">In </w:t>
      </w:r>
      <w:r w:rsidR="00557BD0">
        <w:rPr>
          <w:rFonts w:ascii="Times New Roman" w:hAnsi="Times New Roman" w:cs="Times New Roman"/>
          <w:noProof/>
          <w:sz w:val="24"/>
          <w:szCs w:val="24"/>
        </w:rPr>
        <w:t xml:space="preserve">particular, in </w:t>
      </w:r>
      <w:r>
        <w:rPr>
          <w:rFonts w:ascii="Times New Roman" w:hAnsi="Times New Roman" w:cs="Times New Roman"/>
          <w:noProof/>
          <w:sz w:val="24"/>
          <w:szCs w:val="24"/>
        </w:rPr>
        <w:t>accordance with Article 46(</w:t>
      </w:r>
      <w:r w:rsidR="00C07284">
        <w:rPr>
          <w:rFonts w:ascii="Times New Roman" w:hAnsi="Times New Roman" w:cs="Times New Roman"/>
          <w:noProof/>
          <w:sz w:val="24"/>
          <w:szCs w:val="24"/>
        </w:rPr>
        <w:t>3</w:t>
      </w:r>
      <w:r>
        <w:rPr>
          <w:rFonts w:ascii="Times New Roman" w:hAnsi="Times New Roman" w:cs="Times New Roman"/>
          <w:noProof/>
          <w:sz w:val="24"/>
          <w:szCs w:val="24"/>
        </w:rPr>
        <w:t>) of Regulation (EU) 2019/787, t</w:t>
      </w:r>
      <w:r w:rsidR="004A6981">
        <w:rPr>
          <w:rFonts w:ascii="Times New Roman" w:hAnsi="Times New Roman" w:cs="Times New Roman"/>
          <w:noProof/>
          <w:sz w:val="24"/>
          <w:szCs w:val="24"/>
        </w:rPr>
        <w:t xml:space="preserve">he Commission </w:t>
      </w:r>
      <w:r w:rsidR="008E0AF5">
        <w:rPr>
          <w:rFonts w:ascii="Times New Roman" w:hAnsi="Times New Roman" w:cs="Times New Roman"/>
          <w:noProof/>
          <w:sz w:val="24"/>
          <w:szCs w:val="24"/>
        </w:rPr>
        <w:t>i</w:t>
      </w:r>
      <w:r w:rsidR="004A6981">
        <w:rPr>
          <w:rFonts w:ascii="Times New Roman" w:hAnsi="Times New Roman" w:cs="Times New Roman"/>
          <w:noProof/>
          <w:sz w:val="24"/>
          <w:szCs w:val="24"/>
        </w:rPr>
        <w:t xml:space="preserve">s conferred on the power to adopt delegated acts </w:t>
      </w:r>
      <w:r w:rsidR="002B20C5" w:rsidRPr="003A5CC5">
        <w:rPr>
          <w:rStyle w:val="Bodytext1"/>
          <w:rFonts w:ascii="Times New Roman" w:hAnsi="Times New Roman" w:cs="Times New Roman"/>
          <w:noProof/>
          <w:sz w:val="24"/>
          <w:szCs w:val="24"/>
        </w:rPr>
        <w:t xml:space="preserve">for a period of </w:t>
      </w:r>
      <w:r w:rsidR="00C959CE">
        <w:rPr>
          <w:rStyle w:val="Bodytext1"/>
          <w:rFonts w:ascii="Times New Roman" w:hAnsi="Times New Roman" w:cs="Times New Roman"/>
          <w:noProof/>
          <w:sz w:val="24"/>
          <w:szCs w:val="24"/>
        </w:rPr>
        <w:t xml:space="preserve">five </w:t>
      </w:r>
      <w:r w:rsidR="002B20C5" w:rsidRPr="003A5CC5">
        <w:rPr>
          <w:rStyle w:val="Bodytext1"/>
          <w:rFonts w:ascii="Times New Roman" w:hAnsi="Times New Roman" w:cs="Times New Roman"/>
          <w:noProof/>
          <w:sz w:val="24"/>
          <w:szCs w:val="24"/>
        </w:rPr>
        <w:t>years</w:t>
      </w:r>
      <w:r w:rsidR="009B08C7">
        <w:rPr>
          <w:rStyle w:val="Bodytext1"/>
          <w:rFonts w:ascii="Times New Roman" w:hAnsi="Times New Roman" w:cs="Times New Roman"/>
          <w:noProof/>
          <w:sz w:val="24"/>
          <w:szCs w:val="24"/>
        </w:rPr>
        <w:t>, starting</w:t>
      </w:r>
      <w:r w:rsidR="002B20C5" w:rsidRPr="003A5CC5">
        <w:rPr>
          <w:rStyle w:val="Bodytext1"/>
          <w:rFonts w:ascii="Times New Roman" w:hAnsi="Times New Roman" w:cs="Times New Roman"/>
          <w:noProof/>
          <w:sz w:val="24"/>
          <w:szCs w:val="24"/>
        </w:rPr>
        <w:t xml:space="preserve"> from 24 May 2019</w:t>
      </w:r>
      <w:r w:rsidR="004A6981">
        <w:rPr>
          <w:rStyle w:val="Bodytext1"/>
          <w:rFonts w:ascii="Times New Roman" w:hAnsi="Times New Roman" w:cs="Times New Roman"/>
          <w:noProof/>
          <w:sz w:val="24"/>
          <w:szCs w:val="24"/>
        </w:rPr>
        <w:t>, under:</w:t>
      </w:r>
      <w:r w:rsidR="004D68A1">
        <w:rPr>
          <w:rStyle w:val="Bodytext1"/>
          <w:rFonts w:ascii="Times New Roman" w:hAnsi="Times New Roman" w:cs="Times New Roman"/>
          <w:noProof/>
          <w:sz w:val="24"/>
          <w:szCs w:val="24"/>
        </w:rPr>
        <w:t xml:space="preserve"> </w:t>
      </w:r>
    </w:p>
    <w:p w14:paraId="64BDD584" w14:textId="114C0C6F" w:rsidR="00C15B67" w:rsidRDefault="002B20C5" w:rsidP="00A42F52">
      <w:pPr>
        <w:pStyle w:val="ListParagraph"/>
        <w:numPr>
          <w:ilvl w:val="0"/>
          <w:numId w:val="10"/>
        </w:numPr>
        <w:ind w:left="993"/>
        <w:jc w:val="both"/>
        <w:rPr>
          <w:rStyle w:val="Bodytext1"/>
          <w:rFonts w:ascii="Times New Roman" w:hAnsi="Times New Roman" w:cs="Times New Roman"/>
          <w:noProof/>
          <w:sz w:val="24"/>
          <w:szCs w:val="24"/>
        </w:rPr>
      </w:pPr>
      <w:r w:rsidRPr="00E46FFC">
        <w:rPr>
          <w:rStyle w:val="Bodytext1"/>
          <w:rFonts w:ascii="Times New Roman" w:hAnsi="Times New Roman" w:cs="Times New Roman"/>
          <w:noProof/>
          <w:sz w:val="24"/>
          <w:szCs w:val="24"/>
        </w:rPr>
        <w:t xml:space="preserve">Article </w:t>
      </w:r>
      <w:r w:rsidR="00C07284">
        <w:rPr>
          <w:rStyle w:val="Bodytext1"/>
          <w:rFonts w:ascii="Times New Roman" w:hAnsi="Times New Roman" w:cs="Times New Roman"/>
          <w:noProof/>
          <w:sz w:val="24"/>
          <w:szCs w:val="24"/>
        </w:rPr>
        <w:t>33</w:t>
      </w:r>
      <w:r w:rsidR="00C15B67">
        <w:rPr>
          <w:rStyle w:val="Bodytext1"/>
          <w:rFonts w:ascii="Times New Roman" w:hAnsi="Times New Roman" w:cs="Times New Roman"/>
          <w:noProof/>
          <w:sz w:val="24"/>
          <w:szCs w:val="24"/>
        </w:rPr>
        <w:t xml:space="preserve">(1): to establish </w:t>
      </w:r>
      <w:r w:rsidR="00C15B67" w:rsidRPr="00C15B67">
        <w:rPr>
          <w:rStyle w:val="Bodytext1"/>
          <w:rFonts w:ascii="Times New Roman" w:hAnsi="Times New Roman" w:cs="Times New Roman"/>
          <w:noProof/>
          <w:sz w:val="24"/>
          <w:szCs w:val="24"/>
        </w:rPr>
        <w:t>a publicly accessible electronic register of geographical indications</w:t>
      </w:r>
      <w:r w:rsidR="00C15B67">
        <w:rPr>
          <w:rStyle w:val="Bodytext1"/>
          <w:rFonts w:ascii="Times New Roman" w:hAnsi="Times New Roman" w:cs="Times New Roman"/>
          <w:noProof/>
          <w:sz w:val="24"/>
          <w:szCs w:val="24"/>
        </w:rPr>
        <w:t xml:space="preserve"> </w:t>
      </w:r>
      <w:r w:rsidR="00C15B67" w:rsidRPr="00C15B67">
        <w:rPr>
          <w:rStyle w:val="Bodytext1"/>
          <w:rFonts w:ascii="Times New Roman" w:hAnsi="Times New Roman" w:cs="Times New Roman"/>
          <w:noProof/>
          <w:sz w:val="24"/>
          <w:szCs w:val="24"/>
        </w:rPr>
        <w:t>of spirit drinks recognised under this scheme (‘the register’)</w:t>
      </w:r>
      <w:r w:rsidR="00C15B67">
        <w:rPr>
          <w:rStyle w:val="Bodytext1"/>
          <w:rFonts w:ascii="Times New Roman" w:hAnsi="Times New Roman" w:cs="Times New Roman"/>
          <w:noProof/>
          <w:sz w:val="24"/>
          <w:szCs w:val="24"/>
        </w:rPr>
        <w:t>;</w:t>
      </w:r>
    </w:p>
    <w:p w14:paraId="7C75FD7A" w14:textId="77777777" w:rsidR="00C15B67" w:rsidRDefault="00C15B67" w:rsidP="00C15B67">
      <w:pPr>
        <w:pStyle w:val="ListParagraph"/>
        <w:ind w:left="993"/>
        <w:jc w:val="both"/>
        <w:rPr>
          <w:rStyle w:val="Bodytext1"/>
          <w:rFonts w:ascii="Times New Roman" w:hAnsi="Times New Roman" w:cs="Times New Roman"/>
          <w:noProof/>
          <w:sz w:val="24"/>
          <w:szCs w:val="24"/>
        </w:rPr>
      </w:pPr>
    </w:p>
    <w:p w14:paraId="4E28C1E1" w14:textId="6E830295" w:rsidR="00C07284" w:rsidRDefault="00C15B67" w:rsidP="00A42F52">
      <w:pPr>
        <w:pStyle w:val="ListParagraph"/>
        <w:numPr>
          <w:ilvl w:val="0"/>
          <w:numId w:val="10"/>
        </w:numPr>
        <w:ind w:left="993"/>
        <w:jc w:val="both"/>
        <w:rPr>
          <w:rStyle w:val="Bodytext1"/>
          <w:rFonts w:ascii="Times New Roman" w:hAnsi="Times New Roman" w:cs="Times New Roman"/>
          <w:noProof/>
          <w:sz w:val="24"/>
          <w:szCs w:val="24"/>
        </w:rPr>
      </w:pPr>
      <w:r>
        <w:rPr>
          <w:rStyle w:val="Bodytext1"/>
          <w:rFonts w:ascii="Times New Roman" w:hAnsi="Times New Roman" w:cs="Times New Roman"/>
          <w:noProof/>
          <w:sz w:val="24"/>
          <w:szCs w:val="24"/>
        </w:rPr>
        <w:t>Article 33</w:t>
      </w:r>
      <w:r w:rsidR="00C07284">
        <w:rPr>
          <w:rStyle w:val="Bodytext1"/>
          <w:rFonts w:ascii="Times New Roman" w:hAnsi="Times New Roman" w:cs="Times New Roman"/>
          <w:noProof/>
          <w:sz w:val="24"/>
          <w:szCs w:val="24"/>
        </w:rPr>
        <w:t>(2), fourt</w:t>
      </w:r>
      <w:r w:rsidR="00BF1E2D">
        <w:rPr>
          <w:rStyle w:val="Bodytext1"/>
          <w:rFonts w:ascii="Times New Roman" w:hAnsi="Times New Roman" w:cs="Times New Roman"/>
          <w:noProof/>
          <w:sz w:val="24"/>
          <w:szCs w:val="24"/>
        </w:rPr>
        <w:t>h</w:t>
      </w:r>
      <w:r w:rsidR="00C07284">
        <w:rPr>
          <w:rStyle w:val="Bodytext1"/>
          <w:rFonts w:ascii="Times New Roman" w:hAnsi="Times New Roman" w:cs="Times New Roman"/>
          <w:noProof/>
          <w:sz w:val="24"/>
          <w:szCs w:val="24"/>
        </w:rPr>
        <w:t xml:space="preserve"> subparagraph</w:t>
      </w:r>
      <w:r w:rsidR="002B20C5" w:rsidRPr="00E46FFC">
        <w:rPr>
          <w:rStyle w:val="Bodytext1"/>
          <w:rFonts w:ascii="Times New Roman" w:hAnsi="Times New Roman" w:cs="Times New Roman"/>
          <w:noProof/>
          <w:sz w:val="24"/>
          <w:szCs w:val="24"/>
        </w:rPr>
        <w:t xml:space="preserve">: to </w:t>
      </w:r>
      <w:r w:rsidR="00C07284" w:rsidRPr="00C07284">
        <w:rPr>
          <w:rStyle w:val="Bodytext1"/>
          <w:rFonts w:ascii="Times New Roman" w:hAnsi="Times New Roman" w:cs="Times New Roman"/>
          <w:noProof/>
          <w:sz w:val="24"/>
          <w:szCs w:val="24"/>
        </w:rPr>
        <w:t>lay down further detailed rules on the form and content of the register</w:t>
      </w:r>
      <w:r w:rsidR="00C07284">
        <w:rPr>
          <w:rStyle w:val="Bodytext1"/>
          <w:rFonts w:ascii="Times New Roman" w:hAnsi="Times New Roman" w:cs="Times New Roman"/>
          <w:noProof/>
          <w:sz w:val="24"/>
          <w:szCs w:val="24"/>
        </w:rPr>
        <w:t xml:space="preserve"> of geographical indications of spirit drinks</w:t>
      </w:r>
      <w:r w:rsidR="00BF1E2D">
        <w:rPr>
          <w:rStyle w:val="Bodytext1"/>
          <w:rFonts w:ascii="Times New Roman" w:hAnsi="Times New Roman" w:cs="Times New Roman"/>
          <w:noProof/>
          <w:sz w:val="24"/>
          <w:szCs w:val="24"/>
        </w:rPr>
        <w:t>;</w:t>
      </w:r>
    </w:p>
    <w:p w14:paraId="54A4F070" w14:textId="633A88DD" w:rsidR="00C15B67" w:rsidRPr="00C15B67" w:rsidRDefault="002B20C5" w:rsidP="005643A6">
      <w:pPr>
        <w:pStyle w:val="Bodytext10"/>
        <w:numPr>
          <w:ilvl w:val="0"/>
          <w:numId w:val="10"/>
        </w:numPr>
        <w:ind w:left="993"/>
        <w:jc w:val="both"/>
        <w:rPr>
          <w:rStyle w:val="Bodytext1"/>
          <w:rFonts w:ascii="Times New Roman" w:hAnsi="Times New Roman" w:cs="Times New Roman"/>
          <w:noProof/>
          <w:kern w:val="0"/>
          <w:sz w:val="24"/>
          <w:szCs w:val="24"/>
          <w:lang w:val="en-US"/>
          <w14:ligatures w14:val="none"/>
        </w:rPr>
      </w:pPr>
      <w:r w:rsidRPr="00C15B67">
        <w:rPr>
          <w:rStyle w:val="Bodytext1"/>
          <w:rFonts w:ascii="Times New Roman" w:hAnsi="Times New Roman" w:cs="Times New Roman"/>
          <w:noProof/>
          <w:kern w:val="0"/>
          <w:sz w:val="24"/>
          <w:szCs w:val="24"/>
          <w:lang w:val="en-US"/>
          <w14:ligatures w14:val="none"/>
        </w:rPr>
        <w:t xml:space="preserve">Article </w:t>
      </w:r>
      <w:r w:rsidR="00C15B67" w:rsidRPr="00C15B67">
        <w:rPr>
          <w:rStyle w:val="Bodytext1"/>
          <w:rFonts w:ascii="Times New Roman" w:hAnsi="Times New Roman" w:cs="Times New Roman"/>
          <w:noProof/>
          <w:kern w:val="0"/>
          <w:sz w:val="24"/>
          <w:szCs w:val="24"/>
          <w:lang w:val="en-US"/>
          <w14:ligatures w14:val="none"/>
        </w:rPr>
        <w:t>41(1)(a)</w:t>
      </w:r>
      <w:r w:rsidRPr="00C15B67">
        <w:rPr>
          <w:rStyle w:val="Bodytext1"/>
          <w:rFonts w:ascii="Times New Roman" w:hAnsi="Times New Roman" w:cs="Times New Roman"/>
          <w:noProof/>
          <w:kern w:val="0"/>
          <w:sz w:val="24"/>
          <w:szCs w:val="24"/>
          <w:lang w:val="en-US"/>
          <w14:ligatures w14:val="none"/>
        </w:rPr>
        <w:t xml:space="preserve">: </w:t>
      </w:r>
      <w:r w:rsidR="00C15B67" w:rsidRPr="00C15B67">
        <w:rPr>
          <w:rStyle w:val="Bodytext1"/>
          <w:rFonts w:ascii="Times New Roman" w:hAnsi="Times New Roman" w:cs="Times New Roman"/>
          <w:noProof/>
          <w:kern w:val="0"/>
          <w:sz w:val="24"/>
          <w:szCs w:val="24"/>
          <w:lang w:val="en-US"/>
          <w14:ligatures w14:val="none"/>
        </w:rPr>
        <w:t xml:space="preserve">to set out further conditions to be followed, including in cases where a geographical area includes more than one country, in respect of applications for the registration of a geographical indication, as referred to in Articles 23 and 24 of that Regulation; </w:t>
      </w:r>
    </w:p>
    <w:p w14:paraId="76B51877" w14:textId="3C6810FB" w:rsidR="00C15B67" w:rsidRPr="00C15B67" w:rsidRDefault="002B20C5" w:rsidP="008D5D1C">
      <w:pPr>
        <w:pStyle w:val="Bodytext10"/>
        <w:numPr>
          <w:ilvl w:val="0"/>
          <w:numId w:val="10"/>
        </w:numPr>
        <w:ind w:left="993"/>
        <w:jc w:val="both"/>
        <w:rPr>
          <w:rStyle w:val="Bodytext1"/>
          <w:rFonts w:ascii="Times New Roman" w:hAnsi="Times New Roman" w:cs="Times New Roman"/>
          <w:noProof/>
          <w:sz w:val="24"/>
          <w:szCs w:val="24"/>
        </w:rPr>
      </w:pPr>
      <w:r w:rsidRPr="00C15B67">
        <w:rPr>
          <w:rStyle w:val="Bodytext1"/>
          <w:rFonts w:ascii="Times New Roman" w:hAnsi="Times New Roman" w:cs="Times New Roman"/>
          <w:noProof/>
          <w:sz w:val="24"/>
          <w:szCs w:val="24"/>
        </w:rPr>
        <w:t xml:space="preserve">Article </w:t>
      </w:r>
      <w:r w:rsidR="00C15B67" w:rsidRPr="00C15B67">
        <w:rPr>
          <w:rStyle w:val="Bodytext1"/>
          <w:rFonts w:ascii="Times New Roman" w:hAnsi="Times New Roman" w:cs="Times New Roman"/>
          <w:noProof/>
          <w:sz w:val="24"/>
          <w:szCs w:val="24"/>
        </w:rPr>
        <w:t>41(1)(b)</w:t>
      </w:r>
      <w:r w:rsidRPr="00C15B67">
        <w:rPr>
          <w:rStyle w:val="Bodytext1"/>
          <w:rFonts w:ascii="Times New Roman" w:hAnsi="Times New Roman" w:cs="Times New Roman"/>
          <w:noProof/>
          <w:sz w:val="24"/>
          <w:szCs w:val="24"/>
        </w:rPr>
        <w:t>:</w:t>
      </w:r>
      <w:r w:rsidR="00C15B67" w:rsidRPr="00C15B67">
        <w:rPr>
          <w:noProof/>
        </w:rPr>
        <w:t xml:space="preserve"> </w:t>
      </w:r>
      <w:r w:rsidR="00C15B67" w:rsidRPr="00C15B67">
        <w:rPr>
          <w:rStyle w:val="Bodytext1"/>
          <w:rFonts w:ascii="Times New Roman" w:hAnsi="Times New Roman" w:cs="Times New Roman"/>
          <w:noProof/>
          <w:sz w:val="24"/>
          <w:szCs w:val="24"/>
        </w:rPr>
        <w:t>to set out further conditions to be followed, including in cases where a geographical area includes more than one country, in respect of preliminary national procedures as referred to in Article 24 of that Regulation, scrutiny by the Commission, the opposition procedure, and the cancellation of geographical indications</w:t>
      </w:r>
      <w:r w:rsidR="00BF1E2D">
        <w:rPr>
          <w:rStyle w:val="Bodytext1"/>
          <w:rFonts w:ascii="Times New Roman" w:hAnsi="Times New Roman" w:cs="Times New Roman"/>
          <w:noProof/>
          <w:sz w:val="24"/>
          <w:szCs w:val="24"/>
        </w:rPr>
        <w:t>;</w:t>
      </w:r>
    </w:p>
    <w:p w14:paraId="331891CB" w14:textId="77777777" w:rsidR="00C15B67" w:rsidRDefault="00C15B67" w:rsidP="00743C3D">
      <w:pPr>
        <w:pStyle w:val="Bodytext10"/>
        <w:numPr>
          <w:ilvl w:val="0"/>
          <w:numId w:val="10"/>
        </w:numPr>
        <w:ind w:left="993"/>
        <w:jc w:val="both"/>
        <w:rPr>
          <w:rFonts w:ascii="Times New Roman" w:hAnsi="Times New Roman" w:cs="Times New Roman"/>
          <w:noProof/>
          <w:sz w:val="24"/>
          <w:szCs w:val="24"/>
        </w:rPr>
      </w:pPr>
      <w:r w:rsidRPr="00C15B67">
        <w:rPr>
          <w:rStyle w:val="Bodytext1"/>
          <w:rFonts w:ascii="Times New Roman" w:hAnsi="Times New Roman" w:cs="Times New Roman"/>
          <w:noProof/>
          <w:sz w:val="24"/>
          <w:szCs w:val="24"/>
        </w:rPr>
        <w:t xml:space="preserve"> </w:t>
      </w:r>
      <w:r w:rsidR="003752CD" w:rsidRPr="00C15B67">
        <w:rPr>
          <w:rFonts w:ascii="Times New Roman" w:hAnsi="Times New Roman" w:cs="Times New Roman"/>
          <w:noProof/>
          <w:sz w:val="24"/>
          <w:szCs w:val="24"/>
        </w:rPr>
        <w:t xml:space="preserve">Article </w:t>
      </w:r>
      <w:r w:rsidRPr="00C15B67">
        <w:rPr>
          <w:rFonts w:ascii="Times New Roman" w:hAnsi="Times New Roman" w:cs="Times New Roman"/>
          <w:noProof/>
          <w:sz w:val="24"/>
          <w:szCs w:val="24"/>
        </w:rPr>
        <w:t>41(2)</w:t>
      </w:r>
      <w:r w:rsidR="003752CD" w:rsidRPr="00C15B67">
        <w:rPr>
          <w:rFonts w:ascii="Times New Roman" w:hAnsi="Times New Roman" w:cs="Times New Roman"/>
          <w:noProof/>
          <w:sz w:val="24"/>
          <w:szCs w:val="24"/>
        </w:rPr>
        <w:t>:</w:t>
      </w:r>
      <w:r w:rsidRPr="00C15B67">
        <w:rPr>
          <w:noProof/>
        </w:rPr>
        <w:t xml:space="preserve"> </w:t>
      </w:r>
      <w:r>
        <w:rPr>
          <w:noProof/>
        </w:rPr>
        <w:t xml:space="preserve">to </w:t>
      </w:r>
      <w:r w:rsidRPr="00C15B67">
        <w:rPr>
          <w:rFonts w:ascii="Times New Roman" w:hAnsi="Times New Roman" w:cs="Times New Roman"/>
          <w:noProof/>
          <w:sz w:val="24"/>
          <w:szCs w:val="24"/>
        </w:rPr>
        <w:t>establish conditions and requirements for the procedure concerning the Union amendments and standard amendments, including temporary amendments, to product specifications as referred to in Article 31</w:t>
      </w:r>
      <w:r>
        <w:rPr>
          <w:rFonts w:ascii="Times New Roman" w:hAnsi="Times New Roman" w:cs="Times New Roman"/>
          <w:noProof/>
          <w:sz w:val="24"/>
          <w:szCs w:val="24"/>
        </w:rPr>
        <w:t xml:space="preserve"> of that Regulation</w:t>
      </w:r>
      <w:r w:rsidRPr="00C15B67">
        <w:rPr>
          <w:rFonts w:ascii="Times New Roman" w:hAnsi="Times New Roman" w:cs="Times New Roman"/>
          <w:noProof/>
          <w:sz w:val="24"/>
          <w:szCs w:val="24"/>
        </w:rPr>
        <w:t>.</w:t>
      </w:r>
      <w:r w:rsidR="003752CD" w:rsidRPr="00C15B67">
        <w:rPr>
          <w:rFonts w:ascii="Times New Roman" w:hAnsi="Times New Roman" w:cs="Times New Roman"/>
          <w:noProof/>
          <w:sz w:val="24"/>
          <w:szCs w:val="24"/>
        </w:rPr>
        <w:t xml:space="preserve"> </w:t>
      </w:r>
    </w:p>
    <w:p w14:paraId="69B8EE20" w14:textId="5BC7E541" w:rsidR="00557BD0" w:rsidRDefault="00557BD0" w:rsidP="00A42F52">
      <w:pPr>
        <w:pStyle w:val="Bodytext10"/>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the obligation to adopt the delegated act establishing a publicly accessible electronic register (Article 33(1)), by 8 June 2021. </w:t>
      </w:r>
    </w:p>
    <w:p w14:paraId="20902414" w14:textId="2B739726" w:rsidR="00BA607F" w:rsidRDefault="00BA607F" w:rsidP="00A42F52">
      <w:pPr>
        <w:pStyle w:val="Bodytext10"/>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t>
      </w:r>
      <w:r w:rsidR="00557BD0">
        <w:rPr>
          <w:rFonts w:ascii="Times New Roman" w:hAnsi="Times New Roman" w:cs="Times New Roman"/>
          <w:noProof/>
          <w:sz w:val="24"/>
          <w:szCs w:val="24"/>
        </w:rPr>
        <w:t>i</w:t>
      </w:r>
      <w:r>
        <w:rPr>
          <w:rFonts w:ascii="Times New Roman" w:hAnsi="Times New Roman" w:cs="Times New Roman"/>
          <w:noProof/>
          <w:sz w:val="24"/>
          <w:szCs w:val="24"/>
        </w:rPr>
        <w:t xml:space="preserve">s required to draw up a report in respect of these delegations of powers not later than </w:t>
      </w:r>
      <w:r w:rsidR="00CB3B19">
        <w:rPr>
          <w:rFonts w:ascii="Times New Roman" w:hAnsi="Times New Roman" w:cs="Times New Roman"/>
          <w:noProof/>
          <w:sz w:val="24"/>
          <w:szCs w:val="24"/>
        </w:rPr>
        <w:t xml:space="preserve">nine </w:t>
      </w:r>
      <w:r>
        <w:rPr>
          <w:rFonts w:ascii="Times New Roman" w:hAnsi="Times New Roman" w:cs="Times New Roman"/>
          <w:noProof/>
          <w:sz w:val="24"/>
          <w:szCs w:val="24"/>
        </w:rPr>
        <w:t xml:space="preserve">months before the end of the </w:t>
      </w:r>
      <w:r w:rsidR="004D68A1">
        <w:rPr>
          <w:rFonts w:ascii="Times New Roman" w:hAnsi="Times New Roman" w:cs="Times New Roman"/>
          <w:noProof/>
          <w:sz w:val="24"/>
          <w:szCs w:val="24"/>
        </w:rPr>
        <w:t>five</w:t>
      </w:r>
      <w:r>
        <w:rPr>
          <w:rFonts w:ascii="Times New Roman" w:hAnsi="Times New Roman" w:cs="Times New Roman"/>
          <w:noProof/>
          <w:sz w:val="24"/>
          <w:szCs w:val="24"/>
        </w:rPr>
        <w:t xml:space="preserve">-year period. The delegation of power must be tacitly extended for periods of an identical duration, unless the European Parliament or the Council opposes such extension not later than </w:t>
      </w:r>
      <w:r w:rsidR="00CB3B19">
        <w:rPr>
          <w:rFonts w:ascii="Times New Roman" w:hAnsi="Times New Roman" w:cs="Times New Roman"/>
          <w:noProof/>
          <w:sz w:val="24"/>
          <w:szCs w:val="24"/>
        </w:rPr>
        <w:t xml:space="preserve">three </w:t>
      </w:r>
      <w:r>
        <w:rPr>
          <w:rFonts w:ascii="Times New Roman" w:hAnsi="Times New Roman" w:cs="Times New Roman"/>
          <w:noProof/>
          <w:sz w:val="24"/>
          <w:szCs w:val="24"/>
        </w:rPr>
        <w:t>months before the end of each period.</w:t>
      </w:r>
    </w:p>
    <w:p w14:paraId="3FC8BD05" w14:textId="2D12B186" w:rsidR="008E0AF5" w:rsidRPr="008E0AF5" w:rsidRDefault="008E0AF5" w:rsidP="008E0AF5">
      <w:pPr>
        <w:pStyle w:val="Bodytext10"/>
        <w:ind w:left="567"/>
        <w:jc w:val="both"/>
        <w:rPr>
          <w:rFonts w:ascii="Times New Roman" w:hAnsi="Times New Roman" w:cs="Times New Roman"/>
          <w:noProof/>
          <w:sz w:val="24"/>
          <w:szCs w:val="24"/>
        </w:rPr>
      </w:pPr>
      <w:r w:rsidRPr="008E0AF5">
        <w:rPr>
          <w:rFonts w:ascii="Times New Roman" w:hAnsi="Times New Roman" w:cs="Times New Roman"/>
          <w:noProof/>
          <w:sz w:val="24"/>
          <w:szCs w:val="24"/>
        </w:rPr>
        <w:t xml:space="preserve">Regulation (EU) 2019/787 entered into force on 24 April 2019. It was generally applicable as of 25 May 2021 but all the </w:t>
      </w:r>
      <w:r>
        <w:rPr>
          <w:rFonts w:ascii="Times New Roman" w:hAnsi="Times New Roman" w:cs="Times New Roman"/>
          <w:noProof/>
          <w:sz w:val="24"/>
          <w:szCs w:val="24"/>
        </w:rPr>
        <w:t xml:space="preserve">provisions </w:t>
      </w:r>
      <w:r w:rsidRPr="008E0AF5">
        <w:rPr>
          <w:rFonts w:ascii="Times New Roman" w:hAnsi="Times New Roman" w:cs="Times New Roman"/>
          <w:noProof/>
          <w:sz w:val="24"/>
          <w:szCs w:val="24"/>
        </w:rPr>
        <w:t>concerning the geographical indications, with the exclusion of some provisions concerning the national stage of the registration procedure (Article 24(4) third subparagraph and Article 24(5 to 7)), were applicable as of 8 June 2019.</w:t>
      </w:r>
    </w:p>
    <w:p w14:paraId="57BA5FD0" w14:textId="17730B8C" w:rsidR="00E20F34" w:rsidRDefault="00E20F34" w:rsidP="00A42F52">
      <w:pPr>
        <w:pStyle w:val="Bodytext10"/>
        <w:ind w:left="567"/>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describes the Commission’s activity in the period starting from </w:t>
      </w:r>
      <w:r w:rsidR="008E0AF5">
        <w:rPr>
          <w:rFonts w:ascii="Times New Roman" w:hAnsi="Times New Roman" w:cs="Times New Roman"/>
          <w:noProof/>
          <w:sz w:val="24"/>
          <w:szCs w:val="24"/>
        </w:rPr>
        <w:t>8 June</w:t>
      </w:r>
      <w:r w:rsidRPr="003A5CC5">
        <w:rPr>
          <w:rStyle w:val="Bodytext1"/>
          <w:rFonts w:ascii="Times New Roman" w:hAnsi="Times New Roman" w:cs="Times New Roman"/>
          <w:noProof/>
          <w:sz w:val="24"/>
          <w:szCs w:val="24"/>
        </w:rPr>
        <w:t xml:space="preserve"> 2019</w:t>
      </w:r>
      <w:r>
        <w:rPr>
          <w:rStyle w:val="Bodytext1"/>
          <w:rFonts w:ascii="Times New Roman" w:hAnsi="Times New Roman" w:cs="Times New Roman"/>
          <w:noProof/>
          <w:sz w:val="24"/>
          <w:szCs w:val="24"/>
        </w:rPr>
        <w:t>.</w:t>
      </w:r>
    </w:p>
    <w:p w14:paraId="4CF990BE" w14:textId="77777777" w:rsidR="004B181D" w:rsidRPr="001623A2" w:rsidRDefault="004B181D" w:rsidP="004B181D">
      <w:pPr>
        <w:pStyle w:val="Heading110"/>
        <w:keepNext/>
        <w:keepLines/>
        <w:numPr>
          <w:ilvl w:val="0"/>
          <w:numId w:val="1"/>
        </w:numPr>
        <w:tabs>
          <w:tab w:val="left" w:pos="552"/>
        </w:tabs>
        <w:jc w:val="both"/>
        <w:rPr>
          <w:rStyle w:val="Heading11"/>
          <w:rFonts w:ascii="Times New Roman" w:hAnsi="Times New Roman" w:cs="Times New Roman"/>
          <w:b/>
          <w:bCs/>
          <w:noProof/>
          <w:sz w:val="24"/>
          <w:szCs w:val="24"/>
        </w:rPr>
      </w:pPr>
      <w:r>
        <w:rPr>
          <w:rStyle w:val="Heading11"/>
          <w:rFonts w:ascii="Times New Roman" w:hAnsi="Times New Roman" w:cs="Times New Roman"/>
          <w:smallCaps/>
          <w:noProof/>
          <w:sz w:val="24"/>
          <w:szCs w:val="24"/>
        </w:rPr>
        <w:t xml:space="preserve">Exercise of delegation  </w:t>
      </w:r>
    </w:p>
    <w:p w14:paraId="41C1B8AB" w14:textId="41312BEF" w:rsidR="006E625E" w:rsidRPr="006E625E" w:rsidRDefault="006E625E" w:rsidP="006E625E">
      <w:pPr>
        <w:pStyle w:val="Bodytext10"/>
        <w:ind w:left="580"/>
        <w:jc w:val="both"/>
        <w:rPr>
          <w:rFonts w:ascii="Times New Roman" w:hAnsi="Times New Roman" w:cs="Times New Roman"/>
          <w:noProof/>
          <w:sz w:val="24"/>
          <w:szCs w:val="24"/>
        </w:rPr>
      </w:pPr>
      <w:r w:rsidRPr="006E625E">
        <w:rPr>
          <w:rFonts w:ascii="Times New Roman" w:hAnsi="Times New Roman" w:cs="Times New Roman"/>
          <w:noProof/>
          <w:sz w:val="24"/>
          <w:szCs w:val="24"/>
        </w:rPr>
        <w:t xml:space="preserve">The power to adopt delegated acts was exercised to ensure the correct and efficient functioning of Regulation (EU) No </w:t>
      </w:r>
      <w:r>
        <w:rPr>
          <w:rFonts w:ascii="Times New Roman" w:hAnsi="Times New Roman" w:cs="Times New Roman"/>
          <w:noProof/>
          <w:sz w:val="24"/>
          <w:szCs w:val="24"/>
        </w:rPr>
        <w:t>2019/787</w:t>
      </w:r>
      <w:r w:rsidR="003E0C63">
        <w:rPr>
          <w:rFonts w:ascii="Times New Roman" w:hAnsi="Times New Roman" w:cs="Times New Roman"/>
          <w:noProof/>
          <w:sz w:val="24"/>
          <w:szCs w:val="24"/>
        </w:rPr>
        <w:t xml:space="preserve"> and</w:t>
      </w:r>
      <w:r w:rsidRPr="006E625E">
        <w:rPr>
          <w:rFonts w:ascii="Times New Roman" w:hAnsi="Times New Roman" w:cs="Times New Roman"/>
          <w:noProof/>
          <w:sz w:val="24"/>
          <w:szCs w:val="24"/>
        </w:rPr>
        <w:t xml:space="preserve"> to ensure a smooth transition to the new scheme from Council Regulation (EC) No </w:t>
      </w:r>
      <w:r>
        <w:rPr>
          <w:rFonts w:ascii="Times New Roman" w:hAnsi="Times New Roman" w:cs="Times New Roman"/>
          <w:noProof/>
          <w:sz w:val="24"/>
          <w:szCs w:val="24"/>
        </w:rPr>
        <w:t>110/2008</w:t>
      </w:r>
      <w:r w:rsidR="003E0C63">
        <w:rPr>
          <w:rFonts w:ascii="Times New Roman" w:hAnsi="Times New Roman" w:cs="Times New Roman"/>
          <w:noProof/>
          <w:sz w:val="24"/>
          <w:szCs w:val="24"/>
        </w:rPr>
        <w:t>.</w:t>
      </w:r>
      <w:r w:rsidRPr="006E625E">
        <w:rPr>
          <w:rFonts w:ascii="Times New Roman" w:hAnsi="Times New Roman" w:cs="Times New Roman"/>
          <w:noProof/>
          <w:sz w:val="24"/>
          <w:szCs w:val="24"/>
        </w:rPr>
        <w:t xml:space="preserve"> </w:t>
      </w:r>
    </w:p>
    <w:p w14:paraId="20AFB4A8" w14:textId="1436F4ED" w:rsidR="0099534C" w:rsidRDefault="006E625E" w:rsidP="0099534C">
      <w:pPr>
        <w:pStyle w:val="Bodytext10"/>
        <w:ind w:left="580"/>
        <w:jc w:val="both"/>
        <w:rPr>
          <w:rFonts w:ascii="Times New Roman" w:hAnsi="Times New Roman" w:cs="Times New Roman"/>
          <w:noProof/>
          <w:sz w:val="24"/>
          <w:szCs w:val="24"/>
        </w:rPr>
      </w:pPr>
      <w:r w:rsidRPr="006E625E">
        <w:rPr>
          <w:rFonts w:ascii="Times New Roman" w:hAnsi="Times New Roman" w:cs="Times New Roman"/>
          <w:noProof/>
          <w:sz w:val="24"/>
          <w:szCs w:val="24"/>
        </w:rPr>
        <w:t xml:space="preserve">The Commission has used that power with restraint, by adopting </w:t>
      </w:r>
      <w:r w:rsidR="003E0C63">
        <w:rPr>
          <w:rFonts w:ascii="Times New Roman" w:hAnsi="Times New Roman" w:cs="Times New Roman"/>
          <w:noProof/>
          <w:sz w:val="24"/>
          <w:szCs w:val="24"/>
        </w:rPr>
        <w:t xml:space="preserve">one </w:t>
      </w:r>
      <w:r w:rsidRPr="006E625E">
        <w:rPr>
          <w:rFonts w:ascii="Times New Roman" w:hAnsi="Times New Roman" w:cs="Times New Roman"/>
          <w:noProof/>
          <w:sz w:val="24"/>
          <w:szCs w:val="24"/>
        </w:rPr>
        <w:t>regulation</w:t>
      </w:r>
      <w:r w:rsidR="008E0AF5">
        <w:rPr>
          <w:rFonts w:ascii="Times New Roman" w:hAnsi="Times New Roman" w:cs="Times New Roman"/>
          <w:noProof/>
          <w:sz w:val="24"/>
          <w:szCs w:val="24"/>
        </w:rPr>
        <w:t>,</w:t>
      </w:r>
      <w:r w:rsidRPr="006E625E">
        <w:rPr>
          <w:rFonts w:ascii="Times New Roman" w:hAnsi="Times New Roman" w:cs="Times New Roman"/>
          <w:noProof/>
          <w:sz w:val="24"/>
          <w:szCs w:val="24"/>
        </w:rPr>
        <w:t xml:space="preserve"> </w:t>
      </w:r>
      <w:r w:rsidR="008E0AF5">
        <w:rPr>
          <w:rFonts w:ascii="Times New Roman" w:hAnsi="Times New Roman" w:cs="Times New Roman"/>
          <w:noProof/>
          <w:sz w:val="24"/>
          <w:szCs w:val="24"/>
        </w:rPr>
        <w:t xml:space="preserve">the </w:t>
      </w:r>
      <w:r w:rsidRPr="006E625E">
        <w:rPr>
          <w:rFonts w:ascii="Times New Roman" w:hAnsi="Times New Roman" w:cs="Times New Roman"/>
          <w:noProof/>
          <w:sz w:val="24"/>
          <w:szCs w:val="24"/>
        </w:rPr>
        <w:t xml:space="preserve">Commission Delegated Regulation (EU) </w:t>
      </w:r>
      <w:r w:rsidR="0099534C">
        <w:rPr>
          <w:rFonts w:ascii="Times New Roman" w:hAnsi="Times New Roman" w:cs="Times New Roman"/>
          <w:noProof/>
          <w:sz w:val="24"/>
          <w:szCs w:val="24"/>
        </w:rPr>
        <w:t>2021/1235</w:t>
      </w:r>
      <w:r w:rsidR="0099534C">
        <w:rPr>
          <w:rStyle w:val="FootnoteReference"/>
          <w:rFonts w:ascii="Times New Roman" w:hAnsi="Times New Roman" w:cs="Times New Roman"/>
          <w:noProof/>
          <w:sz w:val="24"/>
          <w:szCs w:val="24"/>
        </w:rPr>
        <w:footnoteReference w:id="3"/>
      </w:r>
      <w:r w:rsidR="0099534C">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of 12 May 2021</w:t>
      </w:r>
      <w:r w:rsidR="0099534C">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supplementing Regulation (EU) 2019/787 of the European Parliament and of the Council with rules</w:t>
      </w:r>
      <w:r w:rsidR="0099534C">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concerning applications for registration of geographical indications of spirit drinks, amendments to</w:t>
      </w:r>
      <w:r w:rsidR="0099534C">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product specifications, cancellation of the registration and the register</w:t>
      </w:r>
      <w:r w:rsidR="0099534C">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 xml:space="preserve"> </w:t>
      </w:r>
    </w:p>
    <w:p w14:paraId="78EB8CD2" w14:textId="0E34EB63" w:rsidR="006E625E" w:rsidRPr="006E625E" w:rsidRDefault="006E625E" w:rsidP="0099534C">
      <w:pPr>
        <w:pStyle w:val="Bodytext10"/>
        <w:ind w:left="580"/>
        <w:jc w:val="both"/>
        <w:rPr>
          <w:rFonts w:ascii="Times New Roman" w:hAnsi="Times New Roman" w:cs="Times New Roman"/>
          <w:noProof/>
          <w:sz w:val="24"/>
          <w:szCs w:val="24"/>
        </w:rPr>
      </w:pPr>
      <w:r w:rsidRPr="006E625E">
        <w:rPr>
          <w:rFonts w:ascii="Times New Roman" w:hAnsi="Times New Roman" w:cs="Times New Roman"/>
          <w:noProof/>
          <w:sz w:val="24"/>
          <w:szCs w:val="24"/>
        </w:rPr>
        <w:t xml:space="preserve">Commission Delegated Regulation (EU) No </w:t>
      </w:r>
      <w:r w:rsidR="0099534C">
        <w:rPr>
          <w:rFonts w:ascii="Times New Roman" w:hAnsi="Times New Roman" w:cs="Times New Roman"/>
          <w:noProof/>
          <w:sz w:val="24"/>
          <w:szCs w:val="24"/>
        </w:rPr>
        <w:t xml:space="preserve">2021/1235 </w:t>
      </w:r>
      <w:r w:rsidRPr="006E625E">
        <w:rPr>
          <w:rFonts w:ascii="Times New Roman" w:hAnsi="Times New Roman" w:cs="Times New Roman"/>
          <w:noProof/>
          <w:sz w:val="24"/>
          <w:szCs w:val="24"/>
        </w:rPr>
        <w:t xml:space="preserve">provides for specific rules on </w:t>
      </w:r>
      <w:r w:rsidR="0099534C">
        <w:rPr>
          <w:rFonts w:ascii="Times New Roman" w:hAnsi="Times New Roman" w:cs="Times New Roman"/>
          <w:noProof/>
          <w:sz w:val="24"/>
          <w:szCs w:val="24"/>
        </w:rPr>
        <w:t>a</w:t>
      </w:r>
      <w:r w:rsidR="0099534C" w:rsidRPr="0099534C">
        <w:rPr>
          <w:rFonts w:ascii="Times New Roman" w:hAnsi="Times New Roman" w:cs="Times New Roman"/>
          <w:noProof/>
          <w:sz w:val="24"/>
          <w:szCs w:val="24"/>
        </w:rPr>
        <w:t>dditional requirements for the single document</w:t>
      </w:r>
      <w:r w:rsidRPr="006E625E">
        <w:rPr>
          <w:rFonts w:ascii="Times New Roman" w:hAnsi="Times New Roman" w:cs="Times New Roman"/>
          <w:noProof/>
          <w:sz w:val="24"/>
          <w:szCs w:val="24"/>
        </w:rPr>
        <w:t xml:space="preserve"> (Article 2</w:t>
      </w:r>
      <w:r w:rsidR="006A7B76">
        <w:rPr>
          <w:rFonts w:ascii="Times New Roman" w:hAnsi="Times New Roman" w:cs="Times New Roman"/>
          <w:noProof/>
          <w:sz w:val="24"/>
          <w:szCs w:val="24"/>
        </w:rPr>
        <w:t>,</w:t>
      </w:r>
      <w:r w:rsidR="006A7B76" w:rsidRPr="006A7B76">
        <w:rPr>
          <w:noProof/>
        </w:rPr>
        <w:t xml:space="preserve"> </w:t>
      </w:r>
      <w:r w:rsidR="006A7B76" w:rsidRPr="006A7B76">
        <w:rPr>
          <w:rFonts w:ascii="Times New Roman" w:hAnsi="Times New Roman" w:cs="Times New Roman"/>
          <w:noProof/>
          <w:sz w:val="24"/>
          <w:szCs w:val="24"/>
        </w:rPr>
        <w:t>Delegated power Article 41(1)(a) of Regulation (EU) 2019/787)</w:t>
      </w:r>
      <w:r w:rsidRPr="006E625E">
        <w:rPr>
          <w:rFonts w:ascii="Times New Roman" w:hAnsi="Times New Roman" w:cs="Times New Roman"/>
          <w:noProof/>
          <w:sz w:val="24"/>
          <w:szCs w:val="24"/>
        </w:rPr>
        <w:t xml:space="preserve">, </w:t>
      </w:r>
      <w:r w:rsidR="0099534C" w:rsidRPr="0099534C">
        <w:rPr>
          <w:rFonts w:ascii="Times New Roman" w:hAnsi="Times New Roman" w:cs="Times New Roman"/>
          <w:noProof/>
          <w:sz w:val="24"/>
          <w:szCs w:val="24"/>
        </w:rPr>
        <w:t xml:space="preserve">Member State’s application </w:t>
      </w:r>
      <w:r w:rsidR="004D68A1">
        <w:rPr>
          <w:rFonts w:ascii="Times New Roman" w:hAnsi="Times New Roman" w:cs="Times New Roman"/>
          <w:noProof/>
          <w:sz w:val="24"/>
          <w:szCs w:val="24"/>
        </w:rPr>
        <w:t xml:space="preserve">dossier </w:t>
      </w:r>
      <w:r w:rsidRPr="006E625E">
        <w:rPr>
          <w:rFonts w:ascii="Times New Roman" w:hAnsi="Times New Roman" w:cs="Times New Roman"/>
          <w:noProof/>
          <w:sz w:val="24"/>
          <w:szCs w:val="24"/>
        </w:rPr>
        <w:t>(Article 3</w:t>
      </w:r>
      <w:r w:rsidR="006A7B76">
        <w:rPr>
          <w:rFonts w:ascii="Times New Roman" w:hAnsi="Times New Roman" w:cs="Times New Roman"/>
          <w:noProof/>
          <w:sz w:val="24"/>
          <w:szCs w:val="24"/>
        </w:rPr>
        <w:t>,</w:t>
      </w:r>
      <w:r w:rsidR="006A7B76" w:rsidRPr="006A7B76">
        <w:rPr>
          <w:noProof/>
        </w:rPr>
        <w:t xml:space="preserve"> </w:t>
      </w:r>
      <w:r w:rsidR="006A7B76" w:rsidRPr="006A7B76">
        <w:rPr>
          <w:rFonts w:ascii="Times New Roman" w:hAnsi="Times New Roman" w:cs="Times New Roman"/>
          <w:noProof/>
          <w:sz w:val="24"/>
          <w:szCs w:val="24"/>
        </w:rPr>
        <w:t>Delegated power Article 41(1)(a) of Regulation (EU) 2019/787</w:t>
      </w:r>
      <w:r w:rsidRPr="006E625E">
        <w:rPr>
          <w:rFonts w:ascii="Times New Roman" w:hAnsi="Times New Roman" w:cs="Times New Roman"/>
          <w:noProof/>
          <w:sz w:val="24"/>
          <w:szCs w:val="24"/>
        </w:rPr>
        <w:t xml:space="preserve">), </w:t>
      </w:r>
      <w:r w:rsidR="0099534C">
        <w:rPr>
          <w:rFonts w:ascii="Times New Roman" w:hAnsi="Times New Roman" w:cs="Times New Roman"/>
          <w:noProof/>
          <w:sz w:val="24"/>
          <w:szCs w:val="24"/>
        </w:rPr>
        <w:t>a</w:t>
      </w:r>
      <w:r w:rsidR="0099534C" w:rsidRPr="0099534C">
        <w:rPr>
          <w:rFonts w:ascii="Times New Roman" w:hAnsi="Times New Roman" w:cs="Times New Roman"/>
          <w:noProof/>
          <w:sz w:val="24"/>
          <w:szCs w:val="24"/>
        </w:rPr>
        <w:t>dmissibility of the application</w:t>
      </w:r>
      <w:r w:rsidR="0099534C">
        <w:rPr>
          <w:rFonts w:ascii="Times New Roman" w:hAnsi="Times New Roman" w:cs="Times New Roman"/>
          <w:noProof/>
          <w:sz w:val="24"/>
          <w:szCs w:val="24"/>
        </w:rPr>
        <w:t xml:space="preserve"> </w:t>
      </w:r>
      <w:r w:rsidRPr="006E625E">
        <w:rPr>
          <w:rFonts w:ascii="Times New Roman" w:hAnsi="Times New Roman" w:cs="Times New Roman"/>
          <w:noProof/>
          <w:sz w:val="24"/>
          <w:szCs w:val="24"/>
        </w:rPr>
        <w:t>(Article 4</w:t>
      </w:r>
      <w:r w:rsidR="00524434">
        <w:rPr>
          <w:rFonts w:ascii="Times New Roman" w:hAnsi="Times New Roman" w:cs="Times New Roman"/>
          <w:noProof/>
          <w:sz w:val="24"/>
          <w:szCs w:val="24"/>
        </w:rPr>
        <w:t>,</w:t>
      </w:r>
      <w:r w:rsidR="00524434" w:rsidRPr="00524434">
        <w:rPr>
          <w:noProof/>
        </w:rPr>
        <w:t xml:space="preserve"> </w:t>
      </w:r>
      <w:r w:rsidR="00524434" w:rsidRPr="00524434">
        <w:rPr>
          <w:rFonts w:ascii="Times New Roman" w:hAnsi="Times New Roman" w:cs="Times New Roman"/>
          <w:noProof/>
          <w:sz w:val="24"/>
          <w:szCs w:val="24"/>
        </w:rPr>
        <w:t>Delegated power Article 41(1)(b) of Regulation (EU) 2019/787</w:t>
      </w:r>
      <w:r w:rsidRPr="006E625E">
        <w:rPr>
          <w:rFonts w:ascii="Times New Roman" w:hAnsi="Times New Roman" w:cs="Times New Roman"/>
          <w:noProof/>
          <w:sz w:val="24"/>
          <w:szCs w:val="24"/>
        </w:rPr>
        <w:t xml:space="preserve">), </w:t>
      </w:r>
      <w:r w:rsidR="0099534C">
        <w:rPr>
          <w:rFonts w:ascii="Times New Roman" w:hAnsi="Times New Roman" w:cs="Times New Roman"/>
          <w:noProof/>
          <w:sz w:val="24"/>
          <w:szCs w:val="24"/>
        </w:rPr>
        <w:t>n</w:t>
      </w:r>
      <w:r w:rsidR="0099534C" w:rsidRPr="0099534C">
        <w:rPr>
          <w:rFonts w:ascii="Times New Roman" w:hAnsi="Times New Roman" w:cs="Times New Roman"/>
          <w:noProof/>
          <w:sz w:val="24"/>
          <w:szCs w:val="24"/>
        </w:rPr>
        <w:t>ational transitional period</w:t>
      </w:r>
      <w:r w:rsidR="0099534C">
        <w:rPr>
          <w:rFonts w:ascii="Times New Roman" w:hAnsi="Times New Roman" w:cs="Times New Roman"/>
          <w:noProof/>
          <w:sz w:val="24"/>
          <w:szCs w:val="24"/>
        </w:rPr>
        <w:t xml:space="preserve"> </w:t>
      </w:r>
      <w:r w:rsidRPr="006E625E">
        <w:rPr>
          <w:rFonts w:ascii="Times New Roman" w:hAnsi="Times New Roman" w:cs="Times New Roman"/>
          <w:noProof/>
          <w:sz w:val="24"/>
          <w:szCs w:val="24"/>
        </w:rPr>
        <w:t>(Article 5</w:t>
      </w:r>
      <w:r w:rsidR="00524434">
        <w:rPr>
          <w:rFonts w:ascii="Times New Roman" w:hAnsi="Times New Roman" w:cs="Times New Roman"/>
          <w:noProof/>
          <w:sz w:val="24"/>
          <w:szCs w:val="24"/>
        </w:rPr>
        <w:t>,</w:t>
      </w:r>
      <w:r w:rsidR="00524434" w:rsidRPr="00524434">
        <w:rPr>
          <w:noProof/>
        </w:rPr>
        <w:t xml:space="preserve"> </w:t>
      </w:r>
      <w:r w:rsidR="00524434" w:rsidRPr="00524434">
        <w:rPr>
          <w:rFonts w:ascii="Times New Roman" w:hAnsi="Times New Roman" w:cs="Times New Roman"/>
          <w:noProof/>
          <w:sz w:val="24"/>
          <w:szCs w:val="24"/>
        </w:rPr>
        <w:t>Delegated power Article 41(1)(b) of Regulation (EU) 2019/787</w:t>
      </w:r>
      <w:r w:rsidRPr="006E625E">
        <w:rPr>
          <w:rFonts w:ascii="Times New Roman" w:hAnsi="Times New Roman" w:cs="Times New Roman"/>
          <w:noProof/>
          <w:sz w:val="24"/>
          <w:szCs w:val="24"/>
        </w:rPr>
        <w:t>),</w:t>
      </w:r>
      <w:r w:rsidR="0099534C" w:rsidRPr="0099534C">
        <w:rPr>
          <w:noProof/>
        </w:rPr>
        <w:t xml:space="preserve"> </w:t>
      </w:r>
      <w:r w:rsidR="00BF1E2D">
        <w:rPr>
          <w:rFonts w:ascii="Times New Roman" w:hAnsi="Times New Roman" w:cs="Times New Roman"/>
          <w:noProof/>
          <w:sz w:val="24"/>
          <w:szCs w:val="24"/>
        </w:rPr>
        <w:t>ap</w:t>
      </w:r>
      <w:r w:rsidR="0099534C" w:rsidRPr="0099534C">
        <w:rPr>
          <w:rFonts w:ascii="Times New Roman" w:hAnsi="Times New Roman" w:cs="Times New Roman"/>
          <w:noProof/>
          <w:sz w:val="24"/>
          <w:szCs w:val="24"/>
        </w:rPr>
        <w:t>plications for Union amendments to product specification</w:t>
      </w:r>
      <w:r w:rsidR="0099534C">
        <w:rPr>
          <w:rFonts w:ascii="Times New Roman" w:hAnsi="Times New Roman" w:cs="Times New Roman"/>
          <w:noProof/>
          <w:sz w:val="24"/>
          <w:szCs w:val="24"/>
        </w:rPr>
        <w:t>s</w:t>
      </w:r>
      <w:r w:rsidRPr="006E625E">
        <w:rPr>
          <w:rFonts w:ascii="Times New Roman" w:hAnsi="Times New Roman" w:cs="Times New Roman"/>
          <w:noProof/>
          <w:sz w:val="24"/>
          <w:szCs w:val="24"/>
        </w:rPr>
        <w:t xml:space="preserve"> (Article 6</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41(2) of Regulation (EU) 2019/787</w:t>
      </w:r>
      <w:r w:rsidRPr="006E625E">
        <w:rPr>
          <w:rFonts w:ascii="Times New Roman" w:hAnsi="Times New Roman" w:cs="Times New Roman"/>
          <w:noProof/>
          <w:sz w:val="24"/>
          <w:szCs w:val="24"/>
        </w:rPr>
        <w:t>),</w:t>
      </w:r>
      <w:r w:rsidR="0099534C" w:rsidRPr="0099534C">
        <w:rPr>
          <w:noProof/>
        </w:rPr>
        <w:t xml:space="preserve"> </w:t>
      </w:r>
      <w:r w:rsidR="00BF1E2D">
        <w:rPr>
          <w:rFonts w:ascii="Times New Roman" w:hAnsi="Times New Roman" w:cs="Times New Roman"/>
          <w:noProof/>
          <w:sz w:val="24"/>
          <w:szCs w:val="24"/>
        </w:rPr>
        <w:t>ad</w:t>
      </w:r>
      <w:r w:rsidR="0099534C" w:rsidRPr="0099534C">
        <w:rPr>
          <w:rFonts w:ascii="Times New Roman" w:hAnsi="Times New Roman" w:cs="Times New Roman"/>
          <w:noProof/>
          <w:sz w:val="24"/>
          <w:szCs w:val="24"/>
        </w:rPr>
        <w:t>missibility of applications for approval of Union amendment</w:t>
      </w:r>
      <w:r w:rsidR="0099534C">
        <w:rPr>
          <w:rFonts w:ascii="Times New Roman" w:hAnsi="Times New Roman" w:cs="Times New Roman"/>
          <w:noProof/>
          <w:sz w:val="24"/>
          <w:szCs w:val="24"/>
        </w:rPr>
        <w:t>s</w:t>
      </w:r>
      <w:r w:rsidRPr="006E625E">
        <w:rPr>
          <w:rFonts w:ascii="Times New Roman" w:hAnsi="Times New Roman" w:cs="Times New Roman"/>
          <w:noProof/>
          <w:sz w:val="24"/>
          <w:szCs w:val="24"/>
        </w:rPr>
        <w:t xml:space="preserve"> (Article 7</w:t>
      </w:r>
      <w:r w:rsidR="00524434">
        <w:rPr>
          <w:rFonts w:ascii="Times New Roman" w:hAnsi="Times New Roman" w:cs="Times New Roman"/>
          <w:noProof/>
          <w:sz w:val="24"/>
          <w:szCs w:val="24"/>
        </w:rPr>
        <w:t>,</w:t>
      </w:r>
      <w:r w:rsidR="00524434" w:rsidRPr="00524434">
        <w:rPr>
          <w:noProof/>
        </w:rPr>
        <w:t xml:space="preserve"> </w:t>
      </w:r>
      <w:r w:rsidR="00524434" w:rsidRPr="00524434">
        <w:rPr>
          <w:rFonts w:ascii="Times New Roman" w:hAnsi="Times New Roman" w:cs="Times New Roman"/>
          <w:noProof/>
          <w:sz w:val="24"/>
          <w:szCs w:val="24"/>
        </w:rPr>
        <w:t>Delegated power Article 41(2) of Regulation (EU) 2019/787</w:t>
      </w:r>
      <w:r w:rsidRPr="006E625E">
        <w:rPr>
          <w:rFonts w:ascii="Times New Roman" w:hAnsi="Times New Roman" w:cs="Times New Roman"/>
          <w:noProof/>
          <w:sz w:val="24"/>
          <w:szCs w:val="24"/>
        </w:rPr>
        <w:t xml:space="preserve">), </w:t>
      </w:r>
      <w:r w:rsidR="00BF1E2D">
        <w:rPr>
          <w:rFonts w:ascii="Times New Roman" w:hAnsi="Times New Roman" w:cs="Times New Roman"/>
          <w:noProof/>
          <w:sz w:val="24"/>
          <w:szCs w:val="24"/>
        </w:rPr>
        <w:t>s</w:t>
      </w:r>
      <w:r w:rsidR="0099534C" w:rsidRPr="0099534C">
        <w:rPr>
          <w:rFonts w:ascii="Times New Roman" w:hAnsi="Times New Roman" w:cs="Times New Roman"/>
          <w:noProof/>
          <w:sz w:val="24"/>
          <w:szCs w:val="24"/>
        </w:rPr>
        <w:t>tandard amendments to product specifications</w:t>
      </w:r>
      <w:r w:rsidR="0099534C">
        <w:rPr>
          <w:rFonts w:ascii="Times New Roman" w:hAnsi="Times New Roman" w:cs="Times New Roman"/>
          <w:noProof/>
          <w:sz w:val="24"/>
          <w:szCs w:val="24"/>
        </w:rPr>
        <w:t xml:space="preserve"> </w:t>
      </w:r>
      <w:r w:rsidRPr="006E625E">
        <w:rPr>
          <w:rFonts w:ascii="Times New Roman" w:hAnsi="Times New Roman" w:cs="Times New Roman"/>
          <w:noProof/>
          <w:sz w:val="24"/>
          <w:szCs w:val="24"/>
        </w:rPr>
        <w:t>(Article 8</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41(2) of Regulation (EU) 2019/787</w:t>
      </w:r>
      <w:r w:rsidRPr="006E625E">
        <w:rPr>
          <w:rFonts w:ascii="Times New Roman" w:hAnsi="Times New Roman" w:cs="Times New Roman"/>
          <w:noProof/>
          <w:sz w:val="24"/>
          <w:szCs w:val="24"/>
        </w:rPr>
        <w:t>),</w:t>
      </w:r>
      <w:r w:rsidR="0099534C" w:rsidRPr="0099534C">
        <w:rPr>
          <w:noProof/>
        </w:rPr>
        <w:t xml:space="preserve"> </w:t>
      </w:r>
      <w:r w:rsidR="0099534C">
        <w:rPr>
          <w:rFonts w:ascii="Times New Roman" w:hAnsi="Times New Roman" w:cs="Times New Roman"/>
          <w:noProof/>
          <w:sz w:val="24"/>
          <w:szCs w:val="24"/>
        </w:rPr>
        <w:t>r</w:t>
      </w:r>
      <w:r w:rsidR="0099534C" w:rsidRPr="0099534C">
        <w:rPr>
          <w:rFonts w:ascii="Times New Roman" w:hAnsi="Times New Roman" w:cs="Times New Roman"/>
          <w:noProof/>
          <w:sz w:val="24"/>
          <w:szCs w:val="24"/>
        </w:rPr>
        <w:t xml:space="preserve">elationship between Union and standard </w:t>
      </w:r>
      <w:r w:rsidR="0099534C">
        <w:rPr>
          <w:rFonts w:ascii="Times New Roman" w:hAnsi="Times New Roman" w:cs="Times New Roman"/>
          <w:noProof/>
          <w:sz w:val="24"/>
          <w:szCs w:val="24"/>
        </w:rPr>
        <w:t>a</w:t>
      </w:r>
      <w:r w:rsidR="0099534C" w:rsidRPr="0099534C">
        <w:rPr>
          <w:rFonts w:ascii="Times New Roman" w:hAnsi="Times New Roman" w:cs="Times New Roman"/>
          <w:noProof/>
          <w:sz w:val="24"/>
          <w:szCs w:val="24"/>
        </w:rPr>
        <w:t>mendment</w:t>
      </w:r>
      <w:r w:rsidR="0099534C">
        <w:rPr>
          <w:rFonts w:ascii="Times New Roman" w:hAnsi="Times New Roman" w:cs="Times New Roman"/>
          <w:noProof/>
          <w:sz w:val="24"/>
          <w:szCs w:val="24"/>
        </w:rPr>
        <w:t>s (Article 9</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41(2) of Regulation (EU) 2019/787</w:t>
      </w:r>
      <w:r w:rsidR="0099534C">
        <w:rPr>
          <w:rFonts w:ascii="Times New Roman" w:hAnsi="Times New Roman" w:cs="Times New Roman"/>
          <w:noProof/>
          <w:sz w:val="24"/>
          <w:szCs w:val="24"/>
        </w:rPr>
        <w:t>), t</w:t>
      </w:r>
      <w:r w:rsidR="0099534C" w:rsidRPr="0099534C">
        <w:rPr>
          <w:rFonts w:ascii="Times New Roman" w:hAnsi="Times New Roman" w:cs="Times New Roman"/>
          <w:noProof/>
          <w:sz w:val="24"/>
          <w:szCs w:val="24"/>
        </w:rPr>
        <w:t>emporary amendments to product specifications</w:t>
      </w:r>
      <w:r w:rsidR="0099534C">
        <w:rPr>
          <w:rFonts w:ascii="Times New Roman" w:hAnsi="Times New Roman" w:cs="Times New Roman"/>
          <w:noProof/>
          <w:sz w:val="24"/>
          <w:szCs w:val="24"/>
        </w:rPr>
        <w:t xml:space="preserve"> (Article 10</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41(2) of Regulation (EU) 2019/787</w:t>
      </w:r>
      <w:r w:rsidR="0099534C">
        <w:rPr>
          <w:rFonts w:ascii="Times New Roman" w:hAnsi="Times New Roman" w:cs="Times New Roman"/>
          <w:noProof/>
          <w:sz w:val="24"/>
          <w:szCs w:val="24"/>
        </w:rPr>
        <w:t xml:space="preserve">), </w:t>
      </w:r>
      <w:r w:rsidR="006A7B76">
        <w:rPr>
          <w:rFonts w:ascii="Times New Roman" w:hAnsi="Times New Roman" w:cs="Times New Roman"/>
          <w:noProof/>
          <w:sz w:val="24"/>
          <w:szCs w:val="24"/>
        </w:rPr>
        <w:t>c</w:t>
      </w:r>
      <w:r w:rsidR="006A7B76" w:rsidRPr="006A7B76">
        <w:rPr>
          <w:rFonts w:ascii="Times New Roman" w:hAnsi="Times New Roman" w:cs="Times New Roman"/>
          <w:noProof/>
          <w:sz w:val="24"/>
          <w:szCs w:val="24"/>
        </w:rPr>
        <w:t>ancellation procedure</w:t>
      </w:r>
      <w:r w:rsidR="006A7B76">
        <w:rPr>
          <w:rFonts w:ascii="Times New Roman" w:hAnsi="Times New Roman" w:cs="Times New Roman"/>
          <w:noProof/>
          <w:sz w:val="24"/>
          <w:szCs w:val="24"/>
        </w:rPr>
        <w:t xml:space="preserve"> (Article 11</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41(1)(b) of Regulation (EU) 2019/787</w:t>
      </w:r>
      <w:r w:rsidR="006A7B76">
        <w:rPr>
          <w:rFonts w:ascii="Times New Roman" w:hAnsi="Times New Roman" w:cs="Times New Roman"/>
          <w:noProof/>
          <w:sz w:val="24"/>
          <w:szCs w:val="24"/>
        </w:rPr>
        <w:t>), admissibility of cancellation requests (Article 12</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41(1)(b) of Regulation (EU) 2019/787</w:t>
      </w:r>
      <w:r w:rsidR="006A7B76">
        <w:rPr>
          <w:rFonts w:ascii="Times New Roman" w:hAnsi="Times New Roman" w:cs="Times New Roman"/>
          <w:noProof/>
          <w:sz w:val="24"/>
          <w:szCs w:val="24"/>
        </w:rPr>
        <w:t xml:space="preserve">), </w:t>
      </w:r>
      <w:r w:rsidR="00BF1E2D">
        <w:rPr>
          <w:rFonts w:ascii="Times New Roman" w:hAnsi="Times New Roman" w:cs="Times New Roman"/>
          <w:noProof/>
          <w:sz w:val="24"/>
          <w:szCs w:val="24"/>
        </w:rPr>
        <w:t xml:space="preserve">and </w:t>
      </w:r>
      <w:r w:rsidR="006A7B76">
        <w:rPr>
          <w:rFonts w:ascii="Times New Roman" w:hAnsi="Times New Roman" w:cs="Times New Roman"/>
          <w:noProof/>
          <w:sz w:val="24"/>
          <w:szCs w:val="24"/>
        </w:rPr>
        <w:t>register (Article 13</w:t>
      </w:r>
      <w:r w:rsidR="00524434">
        <w:rPr>
          <w:rFonts w:ascii="Times New Roman" w:hAnsi="Times New Roman" w:cs="Times New Roman"/>
          <w:noProof/>
          <w:sz w:val="24"/>
          <w:szCs w:val="24"/>
        </w:rPr>
        <w:t xml:space="preserve">, </w:t>
      </w:r>
      <w:r w:rsidR="00524434" w:rsidRPr="00524434">
        <w:rPr>
          <w:rFonts w:ascii="Times New Roman" w:hAnsi="Times New Roman" w:cs="Times New Roman"/>
          <w:noProof/>
          <w:sz w:val="24"/>
          <w:szCs w:val="24"/>
        </w:rPr>
        <w:t>Delegated power Article 33(1) and (2) of Regulation (EU) 2019/787</w:t>
      </w:r>
      <w:r w:rsidR="006A7B76">
        <w:rPr>
          <w:rFonts w:ascii="Times New Roman" w:hAnsi="Times New Roman" w:cs="Times New Roman"/>
          <w:noProof/>
          <w:sz w:val="24"/>
          <w:szCs w:val="24"/>
        </w:rPr>
        <w:t>).</w:t>
      </w:r>
    </w:p>
    <w:p w14:paraId="5DB7EADD" w14:textId="723B68B3" w:rsidR="006E625E" w:rsidRPr="006E625E" w:rsidRDefault="007746AA" w:rsidP="006E625E">
      <w:pPr>
        <w:pStyle w:val="Bodytext10"/>
        <w:ind w:left="580"/>
        <w:jc w:val="both"/>
        <w:rPr>
          <w:rFonts w:ascii="Times New Roman" w:hAnsi="Times New Roman" w:cs="Times New Roman"/>
          <w:noProof/>
          <w:sz w:val="24"/>
          <w:szCs w:val="24"/>
        </w:rPr>
      </w:pPr>
      <w:r>
        <w:rPr>
          <w:rFonts w:ascii="Times New Roman" w:hAnsi="Times New Roman" w:cs="Times New Roman"/>
          <w:noProof/>
          <w:sz w:val="24"/>
          <w:szCs w:val="24"/>
        </w:rPr>
        <w:t>D</w:t>
      </w:r>
      <w:r w:rsidR="006E625E" w:rsidRPr="006E625E">
        <w:rPr>
          <w:rFonts w:ascii="Times New Roman" w:hAnsi="Times New Roman" w:cs="Times New Roman"/>
          <w:noProof/>
          <w:sz w:val="24"/>
          <w:szCs w:val="24"/>
        </w:rPr>
        <w:t>uring the preparation of the acts</w:t>
      </w:r>
      <w:r w:rsidR="00BF1E2D">
        <w:rPr>
          <w:rFonts w:ascii="Times New Roman" w:hAnsi="Times New Roman" w:cs="Times New Roman"/>
          <w:noProof/>
          <w:sz w:val="24"/>
          <w:szCs w:val="24"/>
        </w:rPr>
        <w:t>,</w:t>
      </w:r>
      <w:r w:rsidR="006E625E" w:rsidRPr="006E625E">
        <w:rPr>
          <w:rFonts w:ascii="Times New Roman" w:hAnsi="Times New Roman" w:cs="Times New Roman"/>
          <w:noProof/>
          <w:sz w:val="24"/>
          <w:szCs w:val="24"/>
        </w:rPr>
        <w:t xml:space="preserve"> experts </w:t>
      </w:r>
      <w:r>
        <w:rPr>
          <w:rFonts w:ascii="Times New Roman" w:hAnsi="Times New Roman" w:cs="Times New Roman"/>
          <w:noProof/>
          <w:sz w:val="24"/>
          <w:szCs w:val="24"/>
        </w:rPr>
        <w:t xml:space="preserve">designated by each Member State </w:t>
      </w:r>
      <w:r w:rsidR="006E625E" w:rsidRPr="006E625E">
        <w:rPr>
          <w:rFonts w:ascii="Times New Roman" w:hAnsi="Times New Roman" w:cs="Times New Roman"/>
          <w:noProof/>
          <w:sz w:val="24"/>
          <w:szCs w:val="24"/>
        </w:rPr>
        <w:t xml:space="preserve">were consulted in the Expert Group </w:t>
      </w:r>
      <w:r w:rsidR="008A1797" w:rsidRPr="008A1797">
        <w:rPr>
          <w:rFonts w:ascii="Times New Roman" w:hAnsi="Times New Roman" w:cs="Times New Roman"/>
          <w:noProof/>
          <w:sz w:val="24"/>
          <w:szCs w:val="24"/>
        </w:rPr>
        <w:t>for spirit drinks</w:t>
      </w:r>
      <w:r w:rsidR="006E625E" w:rsidRPr="006E625E">
        <w:rPr>
          <w:rFonts w:ascii="Times New Roman" w:hAnsi="Times New Roman" w:cs="Times New Roman"/>
          <w:noProof/>
          <w:sz w:val="24"/>
          <w:szCs w:val="24"/>
        </w:rPr>
        <w:t xml:space="preserve">. The Commission ensured a simultaneous, timely and appropriate transmission of the relevant documents to the European Parliament and to the Council. </w:t>
      </w:r>
    </w:p>
    <w:p w14:paraId="73BA07E8" w14:textId="27538287" w:rsidR="006E625E" w:rsidRPr="006E625E" w:rsidRDefault="006E625E" w:rsidP="006E625E">
      <w:pPr>
        <w:pStyle w:val="Bodytext10"/>
        <w:ind w:left="580"/>
        <w:jc w:val="both"/>
        <w:rPr>
          <w:rFonts w:ascii="Times New Roman" w:hAnsi="Times New Roman" w:cs="Times New Roman"/>
          <w:noProof/>
          <w:sz w:val="24"/>
          <w:szCs w:val="24"/>
        </w:rPr>
      </w:pPr>
      <w:r w:rsidRPr="006E625E">
        <w:rPr>
          <w:rFonts w:ascii="Times New Roman" w:hAnsi="Times New Roman" w:cs="Times New Roman"/>
          <w:noProof/>
          <w:sz w:val="24"/>
          <w:szCs w:val="24"/>
        </w:rPr>
        <w:t xml:space="preserve">The Commission adopted Commission Delegated Regulation (EU) </w:t>
      </w:r>
      <w:r w:rsidR="006A7B76">
        <w:rPr>
          <w:rFonts w:ascii="Times New Roman" w:hAnsi="Times New Roman" w:cs="Times New Roman"/>
          <w:noProof/>
          <w:sz w:val="24"/>
          <w:szCs w:val="24"/>
        </w:rPr>
        <w:t xml:space="preserve">2021/1235 </w:t>
      </w:r>
      <w:r w:rsidRPr="006E625E">
        <w:rPr>
          <w:rFonts w:ascii="Times New Roman" w:hAnsi="Times New Roman" w:cs="Times New Roman"/>
          <w:noProof/>
          <w:sz w:val="24"/>
          <w:szCs w:val="24"/>
        </w:rPr>
        <w:t>on 1</w:t>
      </w:r>
      <w:r w:rsidR="006A7B76">
        <w:rPr>
          <w:rFonts w:ascii="Times New Roman" w:hAnsi="Times New Roman" w:cs="Times New Roman"/>
          <w:noProof/>
          <w:sz w:val="24"/>
          <w:szCs w:val="24"/>
        </w:rPr>
        <w:t>2 May 2021</w:t>
      </w:r>
      <w:r w:rsidR="005D131B">
        <w:rPr>
          <w:rFonts w:ascii="Times New Roman" w:hAnsi="Times New Roman" w:cs="Times New Roman"/>
          <w:noProof/>
          <w:sz w:val="24"/>
          <w:szCs w:val="24"/>
        </w:rPr>
        <w:t xml:space="preserve">, respecting the deadline for the establishment of the Register of geographical indication in the spirit drinks sectors set out in Article 33(1). The adopted Delegated Regulation </w:t>
      </w:r>
      <w:r w:rsidR="006A7B76">
        <w:rPr>
          <w:rFonts w:ascii="Times New Roman" w:hAnsi="Times New Roman" w:cs="Times New Roman"/>
          <w:noProof/>
          <w:sz w:val="24"/>
          <w:szCs w:val="24"/>
        </w:rPr>
        <w:t xml:space="preserve">was </w:t>
      </w:r>
      <w:r w:rsidRPr="006E625E">
        <w:rPr>
          <w:rFonts w:ascii="Times New Roman" w:hAnsi="Times New Roman" w:cs="Times New Roman"/>
          <w:noProof/>
          <w:sz w:val="24"/>
          <w:szCs w:val="24"/>
        </w:rPr>
        <w:t xml:space="preserve">then notified to the European Parliament and the Council to allow these Institutions to express objection within two months from the notification of the act. </w:t>
      </w:r>
    </w:p>
    <w:p w14:paraId="62F40280" w14:textId="57809AF6" w:rsidR="006E625E" w:rsidRDefault="006E625E" w:rsidP="006E625E">
      <w:pPr>
        <w:pStyle w:val="Bodytext10"/>
        <w:ind w:left="580"/>
        <w:jc w:val="both"/>
        <w:rPr>
          <w:rFonts w:ascii="Times New Roman" w:hAnsi="Times New Roman" w:cs="Times New Roman"/>
          <w:noProof/>
          <w:sz w:val="24"/>
          <w:szCs w:val="24"/>
        </w:rPr>
      </w:pPr>
      <w:r w:rsidRPr="006E625E">
        <w:rPr>
          <w:rFonts w:ascii="Times New Roman" w:hAnsi="Times New Roman" w:cs="Times New Roman"/>
          <w:noProof/>
          <w:sz w:val="24"/>
          <w:szCs w:val="24"/>
        </w:rPr>
        <w:t xml:space="preserve">Neither the European Parliament nor the Council issued any objection to the Delegated Regulation. After the expiry of the period, the Commission Delegated Regulation (EU) </w:t>
      </w:r>
      <w:r w:rsidR="006A7B76">
        <w:rPr>
          <w:rFonts w:ascii="Times New Roman" w:hAnsi="Times New Roman" w:cs="Times New Roman"/>
          <w:noProof/>
          <w:sz w:val="24"/>
          <w:szCs w:val="24"/>
        </w:rPr>
        <w:t>2021/1235</w:t>
      </w:r>
      <w:r w:rsidRPr="006E625E">
        <w:rPr>
          <w:rFonts w:ascii="Times New Roman" w:hAnsi="Times New Roman" w:cs="Times New Roman"/>
          <w:noProof/>
          <w:sz w:val="24"/>
          <w:szCs w:val="24"/>
        </w:rPr>
        <w:t xml:space="preserve"> was published in the Official Journal of the European Union L </w:t>
      </w:r>
      <w:r w:rsidR="006A7B76">
        <w:rPr>
          <w:rFonts w:ascii="Times New Roman" w:hAnsi="Times New Roman" w:cs="Times New Roman"/>
          <w:noProof/>
          <w:sz w:val="24"/>
          <w:szCs w:val="24"/>
        </w:rPr>
        <w:t xml:space="preserve">270 </w:t>
      </w:r>
      <w:r w:rsidRPr="006E625E">
        <w:rPr>
          <w:rFonts w:ascii="Times New Roman" w:hAnsi="Times New Roman" w:cs="Times New Roman"/>
          <w:noProof/>
          <w:sz w:val="24"/>
          <w:szCs w:val="24"/>
        </w:rPr>
        <w:t xml:space="preserve">of </w:t>
      </w:r>
      <w:r w:rsidR="006A7B76">
        <w:rPr>
          <w:rFonts w:ascii="Times New Roman" w:hAnsi="Times New Roman" w:cs="Times New Roman"/>
          <w:noProof/>
          <w:sz w:val="24"/>
          <w:szCs w:val="24"/>
        </w:rPr>
        <w:t>2</w:t>
      </w:r>
      <w:r w:rsidRPr="006E625E">
        <w:rPr>
          <w:rFonts w:ascii="Times New Roman" w:hAnsi="Times New Roman" w:cs="Times New Roman"/>
          <w:noProof/>
          <w:sz w:val="24"/>
          <w:szCs w:val="24"/>
        </w:rPr>
        <w:t>9 Ju</w:t>
      </w:r>
      <w:r w:rsidR="006A7B76">
        <w:rPr>
          <w:rFonts w:ascii="Times New Roman" w:hAnsi="Times New Roman" w:cs="Times New Roman"/>
          <w:noProof/>
          <w:sz w:val="24"/>
          <w:szCs w:val="24"/>
        </w:rPr>
        <w:t>ly 2021</w:t>
      </w:r>
      <w:r w:rsidRPr="006E625E">
        <w:rPr>
          <w:rFonts w:ascii="Times New Roman" w:hAnsi="Times New Roman" w:cs="Times New Roman"/>
          <w:noProof/>
          <w:sz w:val="24"/>
          <w:szCs w:val="24"/>
        </w:rPr>
        <w:t xml:space="preserve"> and entered into force on </w:t>
      </w:r>
      <w:r w:rsidR="006A7B76">
        <w:rPr>
          <w:rFonts w:ascii="Times New Roman" w:hAnsi="Times New Roman" w:cs="Times New Roman"/>
          <w:noProof/>
          <w:sz w:val="24"/>
          <w:szCs w:val="24"/>
        </w:rPr>
        <w:t>1</w:t>
      </w:r>
      <w:r w:rsidR="006A7B76" w:rsidRPr="006A7B76">
        <w:rPr>
          <w:rFonts w:ascii="Times New Roman" w:hAnsi="Times New Roman" w:cs="Times New Roman"/>
          <w:noProof/>
          <w:sz w:val="24"/>
          <w:szCs w:val="24"/>
          <w:vertAlign w:val="superscript"/>
        </w:rPr>
        <w:t>st</w:t>
      </w:r>
      <w:r w:rsidR="006A7B76">
        <w:rPr>
          <w:rFonts w:ascii="Times New Roman" w:hAnsi="Times New Roman" w:cs="Times New Roman"/>
          <w:noProof/>
          <w:sz w:val="24"/>
          <w:szCs w:val="24"/>
        </w:rPr>
        <w:t xml:space="preserve"> of August 2021</w:t>
      </w:r>
      <w:r w:rsidRPr="006E625E">
        <w:rPr>
          <w:rFonts w:ascii="Times New Roman" w:hAnsi="Times New Roman" w:cs="Times New Roman"/>
          <w:noProof/>
          <w:sz w:val="24"/>
          <w:szCs w:val="24"/>
        </w:rPr>
        <w:t>.</w:t>
      </w:r>
    </w:p>
    <w:p w14:paraId="7E5AA913" w14:textId="0C41EA7A" w:rsidR="001623A2" w:rsidRPr="001623A2" w:rsidRDefault="001623A2" w:rsidP="001623A2">
      <w:pPr>
        <w:pStyle w:val="Heading110"/>
        <w:keepNext/>
        <w:keepLines/>
        <w:numPr>
          <w:ilvl w:val="0"/>
          <w:numId w:val="1"/>
        </w:numPr>
        <w:tabs>
          <w:tab w:val="left" w:pos="552"/>
        </w:tabs>
        <w:jc w:val="both"/>
        <w:rPr>
          <w:rStyle w:val="Heading11"/>
          <w:rFonts w:ascii="Times New Roman" w:hAnsi="Times New Roman" w:cs="Times New Roman"/>
          <w:b/>
          <w:bCs/>
          <w:noProof/>
          <w:sz w:val="24"/>
          <w:szCs w:val="24"/>
        </w:rPr>
      </w:pPr>
      <w:r>
        <w:rPr>
          <w:rStyle w:val="Heading11"/>
          <w:rFonts w:ascii="Times New Roman" w:hAnsi="Times New Roman" w:cs="Times New Roman"/>
          <w:smallCaps/>
          <w:noProof/>
          <w:sz w:val="24"/>
          <w:szCs w:val="24"/>
        </w:rPr>
        <w:t>Current situation</w:t>
      </w:r>
    </w:p>
    <w:p w14:paraId="3CE7C12E" w14:textId="147D4DB9" w:rsidR="000E6959" w:rsidRDefault="000E6959" w:rsidP="000E6959">
      <w:pPr>
        <w:pStyle w:val="Bodytext10"/>
        <w:ind w:left="580"/>
        <w:jc w:val="both"/>
        <w:rPr>
          <w:rStyle w:val="Bodytext1"/>
          <w:rFonts w:ascii="Times New Roman" w:hAnsi="Times New Roman" w:cs="Times New Roman"/>
          <w:noProof/>
          <w:sz w:val="24"/>
          <w:szCs w:val="24"/>
        </w:rPr>
      </w:pPr>
      <w:r>
        <w:rPr>
          <w:rStyle w:val="Bodytext1"/>
          <w:rFonts w:ascii="Times New Roman" w:hAnsi="Times New Roman" w:cs="Times New Roman"/>
          <w:noProof/>
          <w:sz w:val="24"/>
          <w:szCs w:val="24"/>
        </w:rPr>
        <w:t>The above-mentioned Delegated Regulation ha</w:t>
      </w:r>
      <w:r w:rsidR="006A7B76">
        <w:rPr>
          <w:rStyle w:val="Bodytext1"/>
          <w:rFonts w:ascii="Times New Roman" w:hAnsi="Times New Roman" w:cs="Times New Roman"/>
          <w:noProof/>
          <w:sz w:val="24"/>
          <w:szCs w:val="24"/>
        </w:rPr>
        <w:t>s</w:t>
      </w:r>
      <w:r>
        <w:rPr>
          <w:rStyle w:val="Bodytext1"/>
          <w:rFonts w:ascii="Times New Roman" w:hAnsi="Times New Roman" w:cs="Times New Roman"/>
          <w:noProof/>
          <w:sz w:val="24"/>
          <w:szCs w:val="24"/>
        </w:rPr>
        <w:t xml:space="preserve"> satisfactorily reached the objective of supplementing</w:t>
      </w:r>
      <w:r w:rsidR="00E20F34">
        <w:rPr>
          <w:rStyle w:val="Bodytext1"/>
          <w:rFonts w:ascii="Times New Roman" w:hAnsi="Times New Roman" w:cs="Times New Roman"/>
          <w:noProof/>
          <w:sz w:val="24"/>
          <w:szCs w:val="24"/>
        </w:rPr>
        <w:t xml:space="preserve"> and amending</w:t>
      </w:r>
      <w:r>
        <w:rPr>
          <w:rStyle w:val="Bodytext1"/>
          <w:rFonts w:ascii="Times New Roman" w:hAnsi="Times New Roman" w:cs="Times New Roman"/>
          <w:noProof/>
          <w:sz w:val="24"/>
          <w:szCs w:val="24"/>
        </w:rPr>
        <w:t xml:space="preserve"> Regulation (EU) 2019/787 with rules necessary for its proper and efficient functioning.</w:t>
      </w:r>
    </w:p>
    <w:p w14:paraId="216874BB" w14:textId="19F00CB6" w:rsidR="006A7B76" w:rsidRPr="006A7B76" w:rsidRDefault="006A7B76" w:rsidP="006A7B76">
      <w:pPr>
        <w:pStyle w:val="Bodytext10"/>
        <w:ind w:left="580"/>
        <w:jc w:val="both"/>
        <w:rPr>
          <w:rFonts w:ascii="Times New Roman" w:hAnsi="Times New Roman" w:cs="Times New Roman"/>
          <w:noProof/>
          <w:sz w:val="24"/>
          <w:szCs w:val="24"/>
          <w:lang w:val="en-GB"/>
        </w:rPr>
      </w:pPr>
      <w:r w:rsidRPr="006A7B76">
        <w:rPr>
          <w:rFonts w:ascii="Times New Roman" w:hAnsi="Times New Roman" w:cs="Times New Roman"/>
          <w:noProof/>
          <w:sz w:val="24"/>
          <w:szCs w:val="24"/>
          <w:lang w:val="en-GB"/>
        </w:rPr>
        <w:t xml:space="preserve">No request has been received from Member States as to delegated powers possibly be additionally conferred to the Commission or substracted. There were no expectations raised for a change of the balance of powers set out in Regulation (EU) </w:t>
      </w:r>
      <w:r>
        <w:rPr>
          <w:rFonts w:ascii="Times New Roman" w:hAnsi="Times New Roman" w:cs="Times New Roman"/>
          <w:noProof/>
          <w:sz w:val="24"/>
          <w:szCs w:val="24"/>
          <w:lang w:val="en-GB"/>
        </w:rPr>
        <w:t>2019/787</w:t>
      </w:r>
      <w:r w:rsidRPr="006A7B76">
        <w:rPr>
          <w:rFonts w:ascii="Times New Roman" w:hAnsi="Times New Roman" w:cs="Times New Roman"/>
          <w:noProof/>
          <w:sz w:val="24"/>
          <w:szCs w:val="24"/>
          <w:lang w:val="en-GB"/>
        </w:rPr>
        <w:t>. Likewise, no request for amendment of the two Delegated Regulations has been received</w:t>
      </w:r>
      <w:r w:rsidR="004C631B">
        <w:rPr>
          <w:rFonts w:ascii="Times New Roman" w:hAnsi="Times New Roman" w:cs="Times New Roman"/>
          <w:noProof/>
          <w:sz w:val="24"/>
          <w:szCs w:val="24"/>
          <w:lang w:val="en-GB"/>
        </w:rPr>
        <w:t xml:space="preserve"> during the period</w:t>
      </w:r>
      <w:r w:rsidRPr="006A7B76">
        <w:rPr>
          <w:rFonts w:ascii="Times New Roman" w:hAnsi="Times New Roman" w:cs="Times New Roman"/>
          <w:noProof/>
          <w:sz w:val="24"/>
          <w:szCs w:val="24"/>
          <w:lang w:val="en-GB"/>
        </w:rPr>
        <w:t xml:space="preserve">. </w:t>
      </w:r>
    </w:p>
    <w:p w14:paraId="343F7CC6" w14:textId="781C710F" w:rsidR="004C631B" w:rsidRPr="00EF1413" w:rsidRDefault="004C631B" w:rsidP="00860177">
      <w:pPr>
        <w:ind w:left="580"/>
        <w:jc w:val="both"/>
        <w:rPr>
          <w:rFonts w:ascii="Times New Roman" w:eastAsia="Calibri" w:hAnsi="Times New Roman" w:cs="Times New Roman"/>
          <w:noProof/>
          <w:sz w:val="24"/>
          <w:lang w:val="en-GB"/>
        </w:rPr>
      </w:pPr>
      <w:r>
        <w:rPr>
          <w:rStyle w:val="Bodytext1"/>
          <w:rFonts w:ascii="Times New Roman" w:hAnsi="Times New Roman" w:cs="Times New Roman"/>
          <w:noProof/>
          <w:sz w:val="24"/>
          <w:szCs w:val="24"/>
        </w:rPr>
        <w:t>The process of progressive harmonization of the EU procedural and protection rules concerning the geographical indications</w:t>
      </w:r>
      <w:r w:rsidR="001C6C4A">
        <w:rPr>
          <w:rStyle w:val="Bodytext1"/>
          <w:rFonts w:ascii="Times New Roman" w:hAnsi="Times New Roman" w:cs="Times New Roman"/>
          <w:noProof/>
          <w:sz w:val="24"/>
          <w:szCs w:val="24"/>
        </w:rPr>
        <w:t xml:space="preserve"> </w:t>
      </w:r>
      <w:r w:rsidR="007C722A">
        <w:rPr>
          <w:rStyle w:val="Bodytext1"/>
          <w:rFonts w:ascii="Times New Roman" w:hAnsi="Times New Roman" w:cs="Times New Roman"/>
          <w:noProof/>
          <w:sz w:val="24"/>
          <w:szCs w:val="24"/>
        </w:rPr>
        <w:t>in</w:t>
      </w:r>
      <w:r w:rsidR="001C6C4A">
        <w:rPr>
          <w:rStyle w:val="Bodytext1"/>
          <w:rFonts w:ascii="Times New Roman" w:hAnsi="Times New Roman" w:cs="Times New Roman"/>
          <w:noProof/>
          <w:sz w:val="24"/>
          <w:szCs w:val="24"/>
        </w:rPr>
        <w:t xml:space="preserve"> the agricultural sectors</w:t>
      </w:r>
      <w:r w:rsidR="008A1797">
        <w:rPr>
          <w:rStyle w:val="Bodytext1"/>
          <w:rFonts w:ascii="Times New Roman" w:hAnsi="Times New Roman" w:cs="Times New Roman"/>
          <w:noProof/>
          <w:sz w:val="24"/>
          <w:szCs w:val="24"/>
        </w:rPr>
        <w:t xml:space="preserve">, </w:t>
      </w:r>
      <w:r w:rsidR="001C6C4A">
        <w:rPr>
          <w:rStyle w:val="Bodytext1"/>
          <w:rFonts w:ascii="Times New Roman" w:hAnsi="Times New Roman" w:cs="Times New Roman"/>
          <w:noProof/>
          <w:sz w:val="24"/>
          <w:szCs w:val="24"/>
        </w:rPr>
        <w:t>of which Regulation (EU) 2019/787 was a first step,</w:t>
      </w:r>
      <w:r>
        <w:rPr>
          <w:rStyle w:val="Bodytext1"/>
          <w:rFonts w:ascii="Times New Roman" w:hAnsi="Times New Roman" w:cs="Times New Roman"/>
          <w:noProof/>
          <w:sz w:val="24"/>
          <w:szCs w:val="24"/>
        </w:rPr>
        <w:t xml:space="preserve"> was then completed with the adoption of Regulation (EU) </w:t>
      </w:r>
      <w:r w:rsidRPr="00EF1413">
        <w:rPr>
          <w:rFonts w:ascii="Times New Roman" w:eastAsia="Calibri" w:hAnsi="Times New Roman" w:cs="Times New Roman"/>
          <w:noProof/>
          <w:sz w:val="24"/>
          <w:lang w:val="en-GB"/>
        </w:rPr>
        <w:t>2024/1143</w:t>
      </w:r>
      <w:r w:rsidR="00860177">
        <w:rPr>
          <w:rFonts w:ascii="Times New Roman" w:eastAsia="Calibri" w:hAnsi="Times New Roman" w:cs="Times New Roman"/>
          <w:noProof/>
          <w:sz w:val="24"/>
          <w:lang w:val="en-GB"/>
        </w:rPr>
        <w:t xml:space="preserve"> </w:t>
      </w:r>
      <w:r w:rsidRPr="00EF1413">
        <w:rPr>
          <w:rFonts w:ascii="Times New Roman" w:eastAsia="Calibri" w:hAnsi="Times New Roman" w:cs="Times New Roman"/>
          <w:noProof/>
          <w:sz w:val="24"/>
          <w:lang w:val="en-GB"/>
        </w:rPr>
        <w:t>of the European Parliament and of the Council</w:t>
      </w:r>
      <w:r w:rsidR="00860177" w:rsidRPr="00EF1413">
        <w:rPr>
          <w:rFonts w:ascii="Times New Roman" w:eastAsia="Calibri" w:hAnsi="Times New Roman" w:cs="Times New Roman"/>
          <w:noProof/>
          <w:sz w:val="24"/>
          <w:vertAlign w:val="superscript"/>
          <w:lang w:val="en-GB"/>
        </w:rPr>
        <w:footnoteReference w:id="4"/>
      </w:r>
      <w:r w:rsidR="00860177">
        <w:rPr>
          <w:rFonts w:ascii="Times New Roman" w:eastAsia="Calibri" w:hAnsi="Times New Roman" w:cs="Times New Roman"/>
          <w:noProof/>
          <w:sz w:val="24"/>
          <w:lang w:val="en-GB"/>
        </w:rPr>
        <w:t xml:space="preserve">, of 11 April 2024, </w:t>
      </w:r>
      <w:r w:rsidR="00860177" w:rsidRPr="00860177">
        <w:rPr>
          <w:rFonts w:ascii="Times New Roman" w:eastAsia="Calibri" w:hAnsi="Times New Roman" w:cs="Times New Roman"/>
          <w:noProof/>
          <w:sz w:val="24"/>
          <w:lang w:val="en-GB"/>
        </w:rPr>
        <w:t>on geographical indications for wine, spirit drinks and agricultural products, as well as traditional specialities guaranteed and optional quality terms for agricultural products, amending Regulations (EU) No 1308/2013, (EU) 2019/787 and (EU) 2019/1753 and repealing Regulation (EU) No 1151/2012</w:t>
      </w:r>
      <w:r w:rsidR="001C6C4A">
        <w:rPr>
          <w:rFonts w:ascii="Times New Roman" w:eastAsia="Calibri" w:hAnsi="Times New Roman" w:cs="Times New Roman"/>
          <w:noProof/>
          <w:sz w:val="24"/>
          <w:lang w:val="en-GB"/>
        </w:rPr>
        <w:t>. Regulation (EU) 2024/1143</w:t>
      </w:r>
      <w:r w:rsidRPr="00EF1413">
        <w:rPr>
          <w:rFonts w:ascii="Times New Roman" w:eastAsia="Calibri" w:hAnsi="Times New Roman" w:cs="Times New Roman"/>
          <w:noProof/>
          <w:sz w:val="24"/>
          <w:lang w:val="en-GB"/>
        </w:rPr>
        <w:t xml:space="preserve"> establishes a single Union framework</w:t>
      </w:r>
      <w:r>
        <w:rPr>
          <w:rFonts w:ascii="Times New Roman" w:eastAsia="Calibri" w:hAnsi="Times New Roman" w:cs="Times New Roman"/>
          <w:noProof/>
          <w:sz w:val="24"/>
          <w:lang w:val="en-GB"/>
        </w:rPr>
        <w:t xml:space="preserve"> for geographical indications in all the agricultural sectors</w:t>
      </w:r>
      <w:r w:rsidRPr="00EF1413">
        <w:rPr>
          <w:rFonts w:ascii="Times New Roman" w:eastAsia="Calibri" w:hAnsi="Times New Roman" w:cs="Times New Roman"/>
          <w:noProof/>
          <w:sz w:val="24"/>
          <w:lang w:val="en-GB"/>
        </w:rPr>
        <w:t>, i.e. for wine, spirit drinks and agricultural products</w:t>
      </w:r>
      <w:r>
        <w:rPr>
          <w:rFonts w:ascii="Times New Roman" w:eastAsia="Calibri" w:hAnsi="Times New Roman" w:cs="Times New Roman"/>
          <w:noProof/>
          <w:sz w:val="24"/>
          <w:lang w:val="en-GB"/>
        </w:rPr>
        <w:t xml:space="preserve">, setting out a single set of </w:t>
      </w:r>
      <w:r w:rsidRPr="00EF1413">
        <w:rPr>
          <w:rFonts w:ascii="Times New Roman" w:eastAsia="Calibri" w:hAnsi="Times New Roman" w:cs="Times New Roman"/>
          <w:noProof/>
          <w:sz w:val="24"/>
          <w:lang w:val="en-GB"/>
        </w:rPr>
        <w:t>protection and procedural rules</w:t>
      </w:r>
      <w:r>
        <w:rPr>
          <w:rFonts w:ascii="Times New Roman" w:eastAsia="Calibri" w:hAnsi="Times New Roman" w:cs="Times New Roman"/>
          <w:noProof/>
          <w:sz w:val="24"/>
          <w:lang w:val="en-GB"/>
        </w:rPr>
        <w:t xml:space="preserve"> applicable to the three sectors. </w:t>
      </w:r>
      <w:r w:rsidR="001C6C4A">
        <w:rPr>
          <w:rFonts w:ascii="Times New Roman" w:eastAsia="Calibri" w:hAnsi="Times New Roman" w:cs="Times New Roman"/>
          <w:noProof/>
          <w:sz w:val="24"/>
          <w:lang w:val="en-GB"/>
        </w:rPr>
        <w:t xml:space="preserve">It amended </w:t>
      </w:r>
      <w:r w:rsidRPr="00EF1413">
        <w:rPr>
          <w:rFonts w:ascii="Times New Roman" w:eastAsia="Calibri" w:hAnsi="Times New Roman" w:cs="Times New Roman"/>
          <w:noProof/>
          <w:sz w:val="24"/>
          <w:szCs w:val="24"/>
          <w:lang w:val="en-GB"/>
        </w:rPr>
        <w:t>Regulation (EU) 2019/787</w:t>
      </w:r>
      <w:r>
        <w:rPr>
          <w:rFonts w:ascii="Times New Roman" w:eastAsia="Calibri" w:hAnsi="Times New Roman" w:cs="Times New Roman"/>
          <w:noProof/>
          <w:sz w:val="24"/>
          <w:szCs w:val="24"/>
          <w:lang w:val="en-GB"/>
        </w:rPr>
        <w:t xml:space="preserve"> </w:t>
      </w:r>
      <w:r w:rsidR="001C6C4A">
        <w:rPr>
          <w:rFonts w:ascii="Times New Roman" w:eastAsia="Calibri" w:hAnsi="Times New Roman" w:cs="Times New Roman"/>
          <w:noProof/>
          <w:sz w:val="24"/>
          <w:szCs w:val="24"/>
          <w:lang w:val="en-GB"/>
        </w:rPr>
        <w:t>t</w:t>
      </w:r>
      <w:r>
        <w:rPr>
          <w:rFonts w:ascii="Times New Roman" w:eastAsia="Calibri" w:hAnsi="Times New Roman" w:cs="Times New Roman"/>
          <w:noProof/>
          <w:sz w:val="24"/>
          <w:szCs w:val="24"/>
          <w:lang w:val="en-GB"/>
        </w:rPr>
        <w:t xml:space="preserve">o the extent </w:t>
      </w:r>
      <w:r w:rsidR="001C6C4A">
        <w:rPr>
          <w:rFonts w:ascii="Times New Roman" w:eastAsia="Calibri" w:hAnsi="Times New Roman" w:cs="Times New Roman"/>
          <w:noProof/>
          <w:sz w:val="24"/>
          <w:szCs w:val="24"/>
          <w:lang w:val="en-GB"/>
        </w:rPr>
        <w:t xml:space="preserve">that the provisions on protection, procedures </w:t>
      </w:r>
      <w:r w:rsidR="00191A59">
        <w:rPr>
          <w:rFonts w:ascii="Times New Roman" w:eastAsia="Calibri" w:hAnsi="Times New Roman" w:cs="Times New Roman"/>
          <w:noProof/>
          <w:sz w:val="24"/>
          <w:szCs w:val="24"/>
          <w:lang w:val="en-GB"/>
        </w:rPr>
        <w:t xml:space="preserve">(for registration, amendments and cancellation of a geographical indication) </w:t>
      </w:r>
      <w:r w:rsidR="001C6C4A">
        <w:rPr>
          <w:rFonts w:ascii="Times New Roman" w:eastAsia="Calibri" w:hAnsi="Times New Roman" w:cs="Times New Roman"/>
          <w:noProof/>
          <w:sz w:val="24"/>
          <w:szCs w:val="24"/>
          <w:lang w:val="en-GB"/>
        </w:rPr>
        <w:t xml:space="preserve">and </w:t>
      </w:r>
      <w:r w:rsidR="00191A59">
        <w:rPr>
          <w:rFonts w:ascii="Times New Roman" w:eastAsia="Calibri" w:hAnsi="Times New Roman" w:cs="Times New Roman"/>
          <w:noProof/>
          <w:sz w:val="24"/>
          <w:szCs w:val="24"/>
          <w:lang w:val="en-GB"/>
        </w:rPr>
        <w:t xml:space="preserve">the </w:t>
      </w:r>
      <w:r w:rsidR="001C6C4A">
        <w:rPr>
          <w:rFonts w:ascii="Times New Roman" w:eastAsia="Calibri" w:hAnsi="Times New Roman" w:cs="Times New Roman"/>
          <w:noProof/>
          <w:sz w:val="24"/>
          <w:szCs w:val="24"/>
          <w:lang w:val="en-GB"/>
        </w:rPr>
        <w:t xml:space="preserve">register </w:t>
      </w:r>
      <w:r w:rsidR="007C722A">
        <w:rPr>
          <w:rFonts w:ascii="Times New Roman" w:eastAsia="Calibri" w:hAnsi="Times New Roman" w:cs="Times New Roman"/>
          <w:noProof/>
          <w:sz w:val="24"/>
          <w:szCs w:val="24"/>
          <w:lang w:val="en-GB"/>
        </w:rPr>
        <w:t>of the</w:t>
      </w:r>
      <w:r w:rsidR="001C6C4A">
        <w:rPr>
          <w:rFonts w:ascii="Times New Roman" w:eastAsia="Calibri" w:hAnsi="Times New Roman" w:cs="Times New Roman"/>
          <w:noProof/>
          <w:sz w:val="24"/>
          <w:szCs w:val="24"/>
          <w:lang w:val="en-GB"/>
        </w:rPr>
        <w:t xml:space="preserve"> geographical indications </w:t>
      </w:r>
      <w:r w:rsidR="007C722A">
        <w:rPr>
          <w:rFonts w:ascii="Times New Roman" w:eastAsia="Calibri" w:hAnsi="Times New Roman" w:cs="Times New Roman"/>
          <w:noProof/>
          <w:sz w:val="24"/>
          <w:szCs w:val="24"/>
          <w:lang w:val="en-GB"/>
        </w:rPr>
        <w:t xml:space="preserve">of spirit drinks </w:t>
      </w:r>
      <w:r w:rsidR="001C6C4A">
        <w:rPr>
          <w:rFonts w:ascii="Times New Roman" w:eastAsia="Calibri" w:hAnsi="Times New Roman" w:cs="Times New Roman"/>
          <w:noProof/>
          <w:sz w:val="24"/>
          <w:szCs w:val="24"/>
          <w:lang w:val="en-GB"/>
        </w:rPr>
        <w:t xml:space="preserve">are now provided for </w:t>
      </w:r>
      <w:r w:rsidR="00191A59">
        <w:rPr>
          <w:rFonts w:ascii="Times New Roman" w:eastAsia="Calibri" w:hAnsi="Times New Roman" w:cs="Times New Roman"/>
          <w:noProof/>
          <w:sz w:val="24"/>
          <w:szCs w:val="24"/>
          <w:lang w:val="en-GB"/>
        </w:rPr>
        <w:t xml:space="preserve">only </w:t>
      </w:r>
      <w:r w:rsidR="001C6C4A">
        <w:rPr>
          <w:rFonts w:ascii="Times New Roman" w:eastAsia="Calibri" w:hAnsi="Times New Roman" w:cs="Times New Roman"/>
          <w:noProof/>
          <w:sz w:val="24"/>
          <w:szCs w:val="24"/>
          <w:lang w:val="en-GB"/>
        </w:rPr>
        <w:t>in Regulation (EU) 2024/1143.</w:t>
      </w:r>
    </w:p>
    <w:p w14:paraId="74CF7931" w14:textId="7994BB8E" w:rsidR="00191A59" w:rsidRDefault="00191A59" w:rsidP="004C631B">
      <w:pPr>
        <w:ind w:left="580"/>
        <w:jc w:val="both"/>
        <w:rPr>
          <w:rStyle w:val="Bodytext1"/>
          <w:rFonts w:ascii="Times New Roman" w:hAnsi="Times New Roman" w:cs="Times New Roman"/>
          <w:noProof/>
          <w:sz w:val="24"/>
          <w:szCs w:val="24"/>
        </w:rPr>
      </w:pPr>
      <w:r w:rsidRPr="00191A59">
        <w:rPr>
          <w:rStyle w:val="Bodytext1"/>
          <w:rFonts w:ascii="Times New Roman" w:hAnsi="Times New Roman" w:cs="Times New Roman"/>
          <w:noProof/>
          <w:sz w:val="24"/>
          <w:szCs w:val="24"/>
        </w:rPr>
        <w:t>Regulation (EU) 2024/1143</w:t>
      </w:r>
      <w:r>
        <w:rPr>
          <w:rStyle w:val="Bodytext1"/>
          <w:rFonts w:ascii="Times New Roman" w:hAnsi="Times New Roman" w:cs="Times New Roman"/>
          <w:noProof/>
          <w:sz w:val="24"/>
          <w:szCs w:val="24"/>
        </w:rPr>
        <w:t xml:space="preserve"> repealed A</w:t>
      </w:r>
      <w:r w:rsidR="004C631B" w:rsidRPr="004C631B">
        <w:rPr>
          <w:rStyle w:val="Bodytext1"/>
          <w:rFonts w:ascii="Times New Roman" w:hAnsi="Times New Roman" w:cs="Times New Roman"/>
          <w:noProof/>
          <w:sz w:val="24"/>
          <w:szCs w:val="24"/>
        </w:rPr>
        <w:t>rticle 33(1)</w:t>
      </w:r>
      <w:r>
        <w:rPr>
          <w:rStyle w:val="Bodytext1"/>
          <w:rFonts w:ascii="Times New Roman" w:hAnsi="Times New Roman" w:cs="Times New Roman"/>
          <w:noProof/>
          <w:sz w:val="24"/>
          <w:szCs w:val="24"/>
        </w:rPr>
        <w:t xml:space="preserve"> and (2)</w:t>
      </w:r>
      <w:r w:rsidR="00E27986">
        <w:rPr>
          <w:rStyle w:val="Bodytext1"/>
          <w:rFonts w:ascii="Times New Roman" w:hAnsi="Times New Roman" w:cs="Times New Roman"/>
          <w:noProof/>
          <w:sz w:val="24"/>
          <w:szCs w:val="24"/>
        </w:rPr>
        <w:t xml:space="preserve"> </w:t>
      </w:r>
      <w:bookmarkStart w:id="3" w:name="_Hlk194656818"/>
      <w:r w:rsidR="00E27986">
        <w:rPr>
          <w:rStyle w:val="Bodytext1"/>
          <w:rFonts w:ascii="Times New Roman" w:hAnsi="Times New Roman" w:cs="Times New Roman"/>
          <w:noProof/>
          <w:sz w:val="24"/>
          <w:szCs w:val="24"/>
        </w:rPr>
        <w:t>of Regulation (EU) 2019/787</w:t>
      </w:r>
      <w:bookmarkEnd w:id="3"/>
      <w:r>
        <w:rPr>
          <w:rStyle w:val="Bodytext1"/>
          <w:rFonts w:ascii="Times New Roman" w:hAnsi="Times New Roman" w:cs="Times New Roman"/>
          <w:noProof/>
          <w:sz w:val="24"/>
          <w:szCs w:val="24"/>
        </w:rPr>
        <w:t xml:space="preserve">. </w:t>
      </w:r>
    </w:p>
    <w:p w14:paraId="5FBE5C3B" w14:textId="0926A203" w:rsidR="00191A59" w:rsidRDefault="00191A59" w:rsidP="004C631B">
      <w:pPr>
        <w:ind w:left="580"/>
        <w:jc w:val="both"/>
        <w:rPr>
          <w:rStyle w:val="Bodytext1"/>
          <w:rFonts w:ascii="Times New Roman" w:hAnsi="Times New Roman" w:cs="Times New Roman"/>
          <w:noProof/>
          <w:sz w:val="24"/>
          <w:szCs w:val="24"/>
        </w:rPr>
      </w:pPr>
      <w:r>
        <w:rPr>
          <w:rStyle w:val="Bodytext1"/>
          <w:rFonts w:ascii="Times New Roman" w:hAnsi="Times New Roman" w:cs="Times New Roman"/>
          <w:noProof/>
          <w:sz w:val="24"/>
          <w:szCs w:val="24"/>
        </w:rPr>
        <w:t xml:space="preserve">It did not repeal Article 41 </w:t>
      </w:r>
      <w:r w:rsidR="00E27986" w:rsidRPr="00E27986">
        <w:rPr>
          <w:rStyle w:val="Bodytext1"/>
          <w:rFonts w:ascii="Times New Roman" w:hAnsi="Times New Roman" w:cs="Times New Roman"/>
          <w:noProof/>
          <w:sz w:val="24"/>
          <w:szCs w:val="24"/>
        </w:rPr>
        <w:t>of Regulation (EU) 2019/787</w:t>
      </w:r>
      <w:r w:rsidR="00E27986">
        <w:rPr>
          <w:rStyle w:val="Bodytext1"/>
          <w:rFonts w:ascii="Times New Roman" w:hAnsi="Times New Roman" w:cs="Times New Roman"/>
          <w:noProof/>
          <w:sz w:val="24"/>
          <w:szCs w:val="24"/>
        </w:rPr>
        <w:t xml:space="preserve"> </w:t>
      </w:r>
      <w:r>
        <w:rPr>
          <w:rStyle w:val="Bodytext1"/>
          <w:rFonts w:ascii="Times New Roman" w:hAnsi="Times New Roman" w:cs="Times New Roman"/>
          <w:noProof/>
          <w:sz w:val="24"/>
          <w:szCs w:val="24"/>
        </w:rPr>
        <w:t xml:space="preserve">because this legal basis was necessary to repeal </w:t>
      </w:r>
      <w:r w:rsidRPr="00191A59">
        <w:rPr>
          <w:rStyle w:val="Bodytext1"/>
          <w:rFonts w:ascii="Times New Roman" w:hAnsi="Times New Roman" w:cs="Times New Roman"/>
          <w:noProof/>
          <w:sz w:val="24"/>
          <w:szCs w:val="24"/>
        </w:rPr>
        <w:t>Commission Delegated Regulation (EU) No 2021/1235</w:t>
      </w:r>
      <w:r w:rsidR="00E27986">
        <w:rPr>
          <w:rStyle w:val="Bodytext1"/>
          <w:rFonts w:ascii="Times New Roman" w:hAnsi="Times New Roman" w:cs="Times New Roman"/>
          <w:noProof/>
          <w:sz w:val="24"/>
          <w:szCs w:val="24"/>
        </w:rPr>
        <w:t xml:space="preserve"> in view of the adoption of a </w:t>
      </w:r>
      <w:r>
        <w:rPr>
          <w:rStyle w:val="Bodytext1"/>
          <w:rFonts w:ascii="Times New Roman" w:hAnsi="Times New Roman" w:cs="Times New Roman"/>
          <w:noProof/>
          <w:sz w:val="24"/>
          <w:szCs w:val="24"/>
        </w:rPr>
        <w:t>new Commission Delegated Regulation supplementing Regulation (EU) 2024/1143</w:t>
      </w:r>
      <w:r w:rsidR="00E27986">
        <w:rPr>
          <w:rStyle w:val="Bodytext1"/>
          <w:rFonts w:ascii="Times New Roman" w:hAnsi="Times New Roman" w:cs="Times New Roman"/>
          <w:noProof/>
          <w:sz w:val="24"/>
          <w:szCs w:val="24"/>
        </w:rPr>
        <w:t xml:space="preserve"> generally applying to the three agricultural sectors</w:t>
      </w:r>
      <w:r>
        <w:rPr>
          <w:rStyle w:val="Bodytext1"/>
          <w:rFonts w:ascii="Times New Roman" w:hAnsi="Times New Roman" w:cs="Times New Roman"/>
          <w:noProof/>
          <w:sz w:val="24"/>
          <w:szCs w:val="24"/>
        </w:rPr>
        <w:t xml:space="preserve">. </w:t>
      </w:r>
    </w:p>
    <w:p w14:paraId="5DD50A44" w14:textId="60500F26" w:rsidR="004C631B" w:rsidRDefault="00191A59" w:rsidP="00980B60">
      <w:pPr>
        <w:ind w:left="580"/>
        <w:jc w:val="both"/>
        <w:rPr>
          <w:rStyle w:val="Bodytext1"/>
          <w:rFonts w:ascii="Times New Roman" w:hAnsi="Times New Roman" w:cs="Times New Roman"/>
          <w:noProof/>
          <w:sz w:val="24"/>
          <w:szCs w:val="24"/>
        </w:rPr>
      </w:pPr>
      <w:r>
        <w:rPr>
          <w:rStyle w:val="Bodytext1"/>
          <w:rFonts w:ascii="Times New Roman" w:hAnsi="Times New Roman" w:cs="Times New Roman"/>
          <w:noProof/>
          <w:sz w:val="24"/>
          <w:szCs w:val="24"/>
        </w:rPr>
        <w:t>Therefore, on 30 October 2024</w:t>
      </w:r>
      <w:r w:rsidR="00980B60">
        <w:rPr>
          <w:rStyle w:val="Bodytext1"/>
          <w:rFonts w:ascii="Times New Roman" w:hAnsi="Times New Roman" w:cs="Times New Roman"/>
          <w:noProof/>
          <w:sz w:val="24"/>
          <w:szCs w:val="24"/>
        </w:rPr>
        <w:t>, two Commission Delegated Regulations were adopted:</w:t>
      </w:r>
      <w:r>
        <w:rPr>
          <w:rStyle w:val="Bodytext1"/>
          <w:rFonts w:ascii="Times New Roman" w:hAnsi="Times New Roman" w:cs="Times New Roman"/>
          <w:noProof/>
          <w:sz w:val="24"/>
          <w:szCs w:val="24"/>
        </w:rPr>
        <w:t xml:space="preserve"> </w:t>
      </w:r>
      <w:r w:rsidRPr="00191A59">
        <w:rPr>
          <w:rStyle w:val="Bodytext1"/>
          <w:rFonts w:ascii="Times New Roman" w:hAnsi="Times New Roman" w:cs="Times New Roman"/>
          <w:noProof/>
          <w:sz w:val="24"/>
          <w:szCs w:val="24"/>
        </w:rPr>
        <w:t>Commission Delegated Regulation (EU) 2025/27</w:t>
      </w:r>
      <w:r w:rsidR="00860177">
        <w:rPr>
          <w:rStyle w:val="FootnoteReference"/>
          <w:rFonts w:ascii="Times New Roman" w:hAnsi="Times New Roman" w:cs="Times New Roman"/>
          <w:noProof/>
          <w:sz w:val="24"/>
          <w:szCs w:val="24"/>
        </w:rPr>
        <w:footnoteReference w:id="5"/>
      </w:r>
      <w:r w:rsidR="00860177">
        <w:rPr>
          <w:rStyle w:val="Bodytext1"/>
          <w:rFonts w:ascii="Times New Roman" w:hAnsi="Times New Roman" w:cs="Times New Roman"/>
          <w:noProof/>
          <w:sz w:val="24"/>
          <w:szCs w:val="24"/>
        </w:rPr>
        <w:t>,</w:t>
      </w:r>
      <w:r w:rsidRPr="00191A59">
        <w:rPr>
          <w:rStyle w:val="Bodytext1"/>
          <w:rFonts w:ascii="Times New Roman" w:hAnsi="Times New Roman" w:cs="Times New Roman"/>
          <w:noProof/>
          <w:sz w:val="24"/>
          <w:szCs w:val="24"/>
        </w:rPr>
        <w:t xml:space="preserve"> of 30 October 2024 supplementing Regulation (EU) 2024/1143 of the European Parliament and of the Council with rules concerning the registration and the protection of geographical indications, traditional specialities guaranteed and optional quality terms and repealing Delegated Regulation (EU) No 664/2014</w:t>
      </w:r>
      <w:r>
        <w:rPr>
          <w:rStyle w:val="Bodytext1"/>
          <w:rFonts w:ascii="Times New Roman" w:hAnsi="Times New Roman" w:cs="Times New Roman"/>
          <w:noProof/>
          <w:sz w:val="24"/>
          <w:szCs w:val="24"/>
        </w:rPr>
        <w:t xml:space="preserve"> and </w:t>
      </w:r>
      <w:r w:rsidR="000D5CA8" w:rsidRPr="000D5CA8">
        <w:rPr>
          <w:rStyle w:val="Bodytext1"/>
          <w:rFonts w:ascii="Times New Roman" w:hAnsi="Times New Roman" w:cs="Times New Roman"/>
          <w:noProof/>
          <w:sz w:val="24"/>
          <w:szCs w:val="24"/>
        </w:rPr>
        <w:t>Commission Delegated Regulation (EU) 2025/29</w:t>
      </w:r>
      <w:r w:rsidR="00860177">
        <w:rPr>
          <w:rStyle w:val="FootnoteReference"/>
          <w:rFonts w:ascii="Times New Roman" w:hAnsi="Times New Roman" w:cs="Times New Roman"/>
          <w:noProof/>
          <w:sz w:val="24"/>
          <w:szCs w:val="24"/>
        </w:rPr>
        <w:footnoteReference w:id="6"/>
      </w:r>
      <w:r w:rsidR="00860177">
        <w:rPr>
          <w:rStyle w:val="Bodytext1"/>
          <w:rFonts w:ascii="Times New Roman" w:hAnsi="Times New Roman" w:cs="Times New Roman"/>
          <w:noProof/>
          <w:sz w:val="24"/>
          <w:szCs w:val="24"/>
        </w:rPr>
        <w:t>,</w:t>
      </w:r>
      <w:r w:rsidR="000D5CA8" w:rsidRPr="000D5CA8">
        <w:rPr>
          <w:rStyle w:val="Bodytext1"/>
          <w:rFonts w:ascii="Times New Roman" w:hAnsi="Times New Roman" w:cs="Times New Roman"/>
          <w:noProof/>
          <w:sz w:val="24"/>
          <w:szCs w:val="24"/>
        </w:rPr>
        <w:t xml:space="preserve"> of 30 October 2024 repealing Delegated Regulation (EU) 2021/1235 supplementing Regulation (EU) 2019/787 of the European Parliament and of the Council with rules concerning applications for registration of geographical indications of spirit drinks, amendments to product specifications, cancellation of the registration and the register</w:t>
      </w:r>
      <w:r w:rsidR="000D5CA8">
        <w:rPr>
          <w:rStyle w:val="Bodytext1"/>
          <w:rFonts w:ascii="Times New Roman" w:hAnsi="Times New Roman" w:cs="Times New Roman"/>
          <w:noProof/>
          <w:sz w:val="24"/>
          <w:szCs w:val="24"/>
        </w:rPr>
        <w:t xml:space="preserve">. </w:t>
      </w:r>
    </w:p>
    <w:p w14:paraId="3C722650" w14:textId="130999C2" w:rsidR="00E27986" w:rsidRDefault="00E27986" w:rsidP="004C631B">
      <w:pPr>
        <w:ind w:left="580"/>
        <w:jc w:val="both"/>
        <w:rPr>
          <w:rFonts w:ascii="Times New Roman" w:hAnsi="Times New Roman" w:cs="Times New Roman"/>
          <w:noProof/>
          <w:sz w:val="24"/>
          <w:szCs w:val="24"/>
        </w:rPr>
      </w:pPr>
      <w:r>
        <w:rPr>
          <w:rFonts w:ascii="Times New Roman" w:hAnsi="Times New Roman" w:cs="Times New Roman"/>
          <w:noProof/>
          <w:sz w:val="24"/>
          <w:szCs w:val="24"/>
        </w:rPr>
        <w:t>Provisions on the procedures for registration, amendment and cancellation of the geographical indications in the spirit drinks sector, which were in Commission Delegated Regulation (EU) 2021/1235 have been repealed and replaced by the correspond</w:t>
      </w:r>
      <w:r w:rsidR="00980B60">
        <w:rPr>
          <w:rFonts w:ascii="Times New Roman" w:hAnsi="Times New Roman" w:cs="Times New Roman"/>
          <w:noProof/>
          <w:sz w:val="24"/>
          <w:szCs w:val="24"/>
        </w:rPr>
        <w:t>ing</w:t>
      </w:r>
      <w:r>
        <w:rPr>
          <w:rFonts w:ascii="Times New Roman" w:hAnsi="Times New Roman" w:cs="Times New Roman"/>
          <w:noProof/>
          <w:sz w:val="24"/>
          <w:szCs w:val="24"/>
        </w:rPr>
        <w:t xml:space="preserve"> provisions of Commission Delegated Regulat</w:t>
      </w:r>
      <w:r w:rsidR="00126C4B">
        <w:rPr>
          <w:rFonts w:ascii="Times New Roman" w:hAnsi="Times New Roman" w:cs="Times New Roman"/>
          <w:noProof/>
          <w:sz w:val="24"/>
          <w:szCs w:val="24"/>
        </w:rPr>
        <w:t>i</w:t>
      </w:r>
      <w:r>
        <w:rPr>
          <w:rFonts w:ascii="Times New Roman" w:hAnsi="Times New Roman" w:cs="Times New Roman"/>
          <w:noProof/>
          <w:sz w:val="24"/>
          <w:szCs w:val="24"/>
        </w:rPr>
        <w:t xml:space="preserve">on (EU) 2025/27. </w:t>
      </w:r>
      <w:r w:rsidRPr="00E27986">
        <w:rPr>
          <w:rFonts w:ascii="Times New Roman" w:hAnsi="Times New Roman" w:cs="Times New Roman"/>
          <w:noProof/>
          <w:sz w:val="24"/>
          <w:szCs w:val="24"/>
        </w:rPr>
        <w:t xml:space="preserve">Provisions on the </w:t>
      </w:r>
      <w:r>
        <w:rPr>
          <w:rFonts w:ascii="Times New Roman" w:hAnsi="Times New Roman" w:cs="Times New Roman"/>
          <w:noProof/>
          <w:sz w:val="24"/>
          <w:szCs w:val="24"/>
        </w:rPr>
        <w:t xml:space="preserve">Register of the geographical indication in </w:t>
      </w:r>
      <w:r w:rsidRPr="00E27986">
        <w:rPr>
          <w:rFonts w:ascii="Times New Roman" w:hAnsi="Times New Roman" w:cs="Times New Roman"/>
          <w:noProof/>
          <w:sz w:val="24"/>
          <w:szCs w:val="24"/>
        </w:rPr>
        <w:t>spirit drinks sector, which were in Commission Delegated Regulation (EU) 2021/1235 have been repealed and replaced by the correspond</w:t>
      </w:r>
      <w:r w:rsidR="00980B60">
        <w:rPr>
          <w:rFonts w:ascii="Times New Roman" w:hAnsi="Times New Roman" w:cs="Times New Roman"/>
          <w:noProof/>
          <w:sz w:val="24"/>
          <w:szCs w:val="24"/>
        </w:rPr>
        <w:t>ing</w:t>
      </w:r>
      <w:r w:rsidRPr="00E27986">
        <w:rPr>
          <w:rFonts w:ascii="Times New Roman" w:hAnsi="Times New Roman" w:cs="Times New Roman"/>
          <w:noProof/>
          <w:sz w:val="24"/>
          <w:szCs w:val="24"/>
        </w:rPr>
        <w:t xml:space="preserve"> provisions of Commission </w:t>
      </w:r>
      <w:r>
        <w:rPr>
          <w:rFonts w:ascii="Times New Roman" w:hAnsi="Times New Roman" w:cs="Times New Roman"/>
          <w:noProof/>
          <w:sz w:val="24"/>
          <w:szCs w:val="24"/>
        </w:rPr>
        <w:t xml:space="preserve">Implementing </w:t>
      </w:r>
      <w:r w:rsidRPr="00E27986">
        <w:rPr>
          <w:rFonts w:ascii="Times New Roman" w:hAnsi="Times New Roman" w:cs="Times New Roman"/>
          <w:noProof/>
          <w:sz w:val="24"/>
          <w:szCs w:val="24"/>
        </w:rPr>
        <w:t>Regulat</w:t>
      </w:r>
      <w:r w:rsidR="001F36FD">
        <w:rPr>
          <w:rFonts w:ascii="Times New Roman" w:hAnsi="Times New Roman" w:cs="Times New Roman"/>
          <w:noProof/>
          <w:sz w:val="24"/>
          <w:szCs w:val="24"/>
        </w:rPr>
        <w:t>i</w:t>
      </w:r>
      <w:r w:rsidRPr="00E27986">
        <w:rPr>
          <w:rFonts w:ascii="Times New Roman" w:hAnsi="Times New Roman" w:cs="Times New Roman"/>
          <w:noProof/>
          <w:sz w:val="24"/>
          <w:szCs w:val="24"/>
        </w:rPr>
        <w:t>on (EU) 2025/2</w:t>
      </w:r>
      <w:r>
        <w:rPr>
          <w:rFonts w:ascii="Times New Roman" w:hAnsi="Times New Roman" w:cs="Times New Roman"/>
          <w:noProof/>
          <w:sz w:val="24"/>
          <w:szCs w:val="24"/>
        </w:rPr>
        <w:t>6</w:t>
      </w:r>
      <w:r w:rsidR="00860177">
        <w:rPr>
          <w:rStyle w:val="FootnoteReference"/>
          <w:rFonts w:ascii="Times New Roman" w:hAnsi="Times New Roman" w:cs="Times New Roman"/>
          <w:noProof/>
          <w:sz w:val="24"/>
          <w:szCs w:val="24"/>
        </w:rPr>
        <w:footnoteReference w:id="7"/>
      </w:r>
      <w:r w:rsidR="00860177">
        <w:rPr>
          <w:rFonts w:ascii="Times New Roman" w:hAnsi="Times New Roman" w:cs="Times New Roman"/>
          <w:noProof/>
          <w:sz w:val="24"/>
          <w:szCs w:val="24"/>
        </w:rPr>
        <w:t xml:space="preserve"> </w:t>
      </w:r>
      <w:r w:rsidR="001F36FD" w:rsidRPr="001F36FD">
        <w:rPr>
          <w:rFonts w:ascii="Times New Roman" w:hAnsi="Times New Roman" w:cs="Times New Roman"/>
          <w:noProof/>
          <w:sz w:val="24"/>
          <w:szCs w:val="24"/>
        </w:rPr>
        <w:t>of 30 October 2024 laying down rules for the application of Regulation (EU) 2024/1143 of the European Parliament and of the Council as regards registrations, amendments, cancellations, enforcement of the protection, labelling and communication in respect of geographical indications and traditional specialities guaranteed, and amending Implementing Regulation (EU) 2019/34 as regards geographical indications in the wine sector, and repealing Implementing Regulations (EU) No 668/2014 and (EU) 2021/1236</w:t>
      </w:r>
      <w:r w:rsidRPr="00E27986">
        <w:rPr>
          <w:rFonts w:ascii="Times New Roman" w:hAnsi="Times New Roman" w:cs="Times New Roman"/>
          <w:noProof/>
          <w:sz w:val="24"/>
          <w:szCs w:val="24"/>
        </w:rPr>
        <w:t xml:space="preserve">. </w:t>
      </w:r>
    </w:p>
    <w:p w14:paraId="341EF162" w14:textId="5ACBA8EA" w:rsidR="00DC501C" w:rsidRDefault="00DC501C" w:rsidP="004C631B">
      <w:pPr>
        <w:ind w:left="580"/>
        <w:jc w:val="both"/>
        <w:rPr>
          <w:rFonts w:ascii="Times New Roman" w:hAnsi="Times New Roman" w:cs="Times New Roman"/>
          <w:noProof/>
          <w:sz w:val="24"/>
          <w:szCs w:val="24"/>
        </w:rPr>
      </w:pPr>
      <w:r>
        <w:rPr>
          <w:rFonts w:ascii="Times New Roman" w:hAnsi="Times New Roman" w:cs="Times New Roman"/>
          <w:noProof/>
          <w:sz w:val="24"/>
          <w:szCs w:val="24"/>
        </w:rPr>
        <w:t>In conclusion, Articles 31 of Regulation (EU) 2019/787 has been repealed. Article 41 of Regulation (EU) 2019/787 is to be considered as obsolete as containing empowerments that will no longer be used because replaced by the correspond</w:t>
      </w:r>
      <w:r w:rsidR="00980B60">
        <w:rPr>
          <w:rFonts w:ascii="Times New Roman" w:hAnsi="Times New Roman" w:cs="Times New Roman"/>
          <w:noProof/>
          <w:sz w:val="24"/>
          <w:szCs w:val="24"/>
        </w:rPr>
        <w:t>ing</w:t>
      </w:r>
      <w:r>
        <w:rPr>
          <w:rFonts w:ascii="Times New Roman" w:hAnsi="Times New Roman" w:cs="Times New Roman"/>
          <w:noProof/>
          <w:sz w:val="24"/>
          <w:szCs w:val="24"/>
        </w:rPr>
        <w:t xml:space="preserve"> empowerments in Regulation (EU) 2024/1143. </w:t>
      </w:r>
      <w:r w:rsidRPr="00DC501C">
        <w:rPr>
          <w:rFonts w:ascii="Times New Roman" w:hAnsi="Times New Roman" w:cs="Times New Roman"/>
          <w:noProof/>
          <w:sz w:val="24"/>
          <w:szCs w:val="24"/>
        </w:rPr>
        <w:t>Commission Delegated Regulation (EU) No 2021/1235</w:t>
      </w:r>
      <w:r>
        <w:rPr>
          <w:rFonts w:ascii="Times New Roman" w:hAnsi="Times New Roman" w:cs="Times New Roman"/>
          <w:noProof/>
          <w:sz w:val="24"/>
          <w:szCs w:val="24"/>
        </w:rPr>
        <w:t>, which was the only delegated act adopted on the basis of the empowerments provided for in Article 46(3), was repealed.</w:t>
      </w:r>
    </w:p>
    <w:p w14:paraId="5C800A60" w14:textId="5F8D03C7" w:rsidR="00983AB4" w:rsidRPr="00983AB4" w:rsidRDefault="00DC501C" w:rsidP="00983AB4">
      <w:pPr>
        <w:ind w:left="58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the light of the above, n</w:t>
      </w:r>
      <w:r w:rsidR="00983AB4" w:rsidRPr="00983AB4">
        <w:rPr>
          <w:rFonts w:ascii="Times New Roman" w:hAnsi="Times New Roman" w:cs="Times New Roman"/>
          <w:noProof/>
          <w:sz w:val="24"/>
          <w:szCs w:val="24"/>
          <w:lang w:val="en-IE"/>
        </w:rPr>
        <w:t xml:space="preserve">o further use of the empowerment under Articles 46(3) of Regulation (EU) 2019/787 empowering the Commission to adopt delegated acts </w:t>
      </w:r>
      <w:r>
        <w:rPr>
          <w:rFonts w:ascii="Times New Roman" w:hAnsi="Times New Roman" w:cs="Times New Roman"/>
          <w:noProof/>
          <w:sz w:val="24"/>
          <w:szCs w:val="24"/>
          <w:lang w:val="en-IE"/>
        </w:rPr>
        <w:t>may be</w:t>
      </w:r>
      <w:r w:rsidR="00983AB4" w:rsidRPr="00983AB4">
        <w:rPr>
          <w:rFonts w:ascii="Times New Roman" w:hAnsi="Times New Roman" w:cs="Times New Roman"/>
          <w:noProof/>
          <w:sz w:val="24"/>
          <w:szCs w:val="24"/>
          <w:lang w:val="en-IE"/>
        </w:rPr>
        <w:t xml:space="preserve"> envisaged by the Commission.</w:t>
      </w:r>
    </w:p>
    <w:p w14:paraId="6AF865A9" w14:textId="32108716" w:rsidR="000E6959" w:rsidRDefault="000E6959" w:rsidP="00876397">
      <w:pPr>
        <w:pStyle w:val="Bodytext10"/>
        <w:ind w:left="580"/>
        <w:jc w:val="both"/>
        <w:rPr>
          <w:rStyle w:val="Bodytext1"/>
          <w:rFonts w:ascii="Times New Roman" w:hAnsi="Times New Roman" w:cs="Times New Roman"/>
          <w:noProof/>
          <w:sz w:val="24"/>
          <w:szCs w:val="24"/>
        </w:rPr>
      </w:pPr>
      <w:r>
        <w:rPr>
          <w:rStyle w:val="Bodytext1"/>
          <w:rFonts w:ascii="Times New Roman" w:hAnsi="Times New Roman" w:cs="Times New Roman"/>
          <w:noProof/>
          <w:sz w:val="24"/>
          <w:szCs w:val="24"/>
        </w:rPr>
        <w:t xml:space="preserve">For these reasons, the </w:t>
      </w:r>
      <w:r w:rsidR="00043D16">
        <w:rPr>
          <w:rStyle w:val="Bodytext1"/>
          <w:rFonts w:ascii="Times New Roman" w:hAnsi="Times New Roman" w:cs="Times New Roman"/>
          <w:noProof/>
          <w:sz w:val="24"/>
          <w:szCs w:val="24"/>
        </w:rPr>
        <w:t xml:space="preserve">Commission does not request any </w:t>
      </w:r>
      <w:r>
        <w:rPr>
          <w:rStyle w:val="Bodytext1"/>
          <w:rFonts w:ascii="Times New Roman" w:hAnsi="Times New Roman" w:cs="Times New Roman"/>
          <w:noProof/>
          <w:sz w:val="24"/>
          <w:szCs w:val="24"/>
        </w:rPr>
        <w:t>extension of the delegation of powers</w:t>
      </w:r>
      <w:r w:rsidR="00043D16">
        <w:rPr>
          <w:rStyle w:val="Bodytext1"/>
          <w:rFonts w:ascii="Times New Roman" w:hAnsi="Times New Roman" w:cs="Times New Roman"/>
          <w:noProof/>
          <w:sz w:val="24"/>
          <w:szCs w:val="24"/>
        </w:rPr>
        <w:t>.</w:t>
      </w:r>
    </w:p>
    <w:p w14:paraId="73B72466" w14:textId="77777777" w:rsidR="004B181D" w:rsidRPr="00F64939" w:rsidRDefault="004B181D" w:rsidP="004B181D">
      <w:pPr>
        <w:pStyle w:val="Heading110"/>
        <w:keepNext/>
        <w:keepLines/>
        <w:numPr>
          <w:ilvl w:val="0"/>
          <w:numId w:val="1"/>
        </w:numPr>
        <w:tabs>
          <w:tab w:val="left" w:pos="557"/>
        </w:tabs>
        <w:jc w:val="both"/>
        <w:rPr>
          <w:rStyle w:val="Heading11"/>
          <w:rFonts w:ascii="Times New Roman" w:hAnsi="Times New Roman" w:cs="Times New Roman"/>
          <w:b/>
          <w:bCs/>
          <w:noProof/>
          <w:sz w:val="24"/>
          <w:szCs w:val="24"/>
        </w:rPr>
      </w:pPr>
      <w:r w:rsidRPr="001E1863">
        <w:rPr>
          <w:rStyle w:val="Heading11"/>
          <w:rFonts w:ascii="Times New Roman" w:hAnsi="Times New Roman" w:cs="Times New Roman"/>
          <w:noProof/>
          <w:sz w:val="24"/>
          <w:szCs w:val="24"/>
        </w:rPr>
        <w:t>CONCLUSION</w:t>
      </w:r>
    </w:p>
    <w:p w14:paraId="3F85803B" w14:textId="2F8BF9D1" w:rsidR="00BC51EE" w:rsidRPr="000E6959" w:rsidRDefault="00F64939" w:rsidP="000F5BF6">
      <w:pPr>
        <w:pStyle w:val="Bodytext10"/>
        <w:ind w:left="567"/>
        <w:jc w:val="both"/>
        <w:rPr>
          <w:noProof/>
        </w:rPr>
      </w:pPr>
      <w:r w:rsidRPr="00A42F52">
        <w:rPr>
          <w:rStyle w:val="Bodytext1"/>
          <w:rFonts w:ascii="Times New Roman" w:hAnsi="Times New Roman" w:cs="Times New Roman"/>
          <w:noProof/>
          <w:sz w:val="24"/>
          <w:szCs w:val="24"/>
        </w:rPr>
        <w:t>In the period covered by this report, the Commission exercised the delegated powers conferred upon it by</w:t>
      </w:r>
      <w:r>
        <w:rPr>
          <w:rStyle w:val="Bodytext1"/>
          <w:rFonts w:ascii="Times New Roman" w:hAnsi="Times New Roman" w:cs="Times New Roman"/>
          <w:noProof/>
          <w:sz w:val="24"/>
          <w:szCs w:val="24"/>
        </w:rPr>
        <w:t xml:space="preserve"> Articles </w:t>
      </w:r>
      <w:r w:rsidR="000F5BF6" w:rsidRPr="000F5BF6">
        <w:rPr>
          <w:rStyle w:val="Bodytext1"/>
          <w:rFonts w:ascii="Times New Roman" w:hAnsi="Times New Roman" w:cs="Times New Roman"/>
          <w:noProof/>
          <w:sz w:val="24"/>
          <w:szCs w:val="24"/>
        </w:rPr>
        <w:t>33(1)</w:t>
      </w:r>
      <w:r w:rsidR="000F5BF6">
        <w:rPr>
          <w:rStyle w:val="Bodytext1"/>
          <w:rFonts w:ascii="Times New Roman" w:hAnsi="Times New Roman" w:cs="Times New Roman"/>
          <w:noProof/>
          <w:sz w:val="24"/>
          <w:szCs w:val="24"/>
        </w:rPr>
        <w:t>,</w:t>
      </w:r>
      <w:r w:rsidR="000F5BF6" w:rsidRPr="000F5BF6">
        <w:rPr>
          <w:rStyle w:val="Bodytext1"/>
          <w:rFonts w:ascii="Times New Roman" w:hAnsi="Times New Roman" w:cs="Times New Roman"/>
          <w:noProof/>
          <w:sz w:val="24"/>
          <w:szCs w:val="24"/>
        </w:rPr>
        <w:t xml:space="preserve"> 33(2), 41(1)(a)</w:t>
      </w:r>
      <w:r w:rsidR="000F5BF6">
        <w:rPr>
          <w:rStyle w:val="Bodytext1"/>
          <w:rFonts w:ascii="Times New Roman" w:hAnsi="Times New Roman" w:cs="Times New Roman"/>
          <w:noProof/>
          <w:sz w:val="24"/>
          <w:szCs w:val="24"/>
        </w:rPr>
        <w:t>,</w:t>
      </w:r>
      <w:r w:rsidR="000F5BF6" w:rsidRPr="000F5BF6">
        <w:rPr>
          <w:rStyle w:val="Bodytext1"/>
          <w:rFonts w:ascii="Times New Roman" w:hAnsi="Times New Roman" w:cs="Times New Roman"/>
          <w:noProof/>
          <w:sz w:val="24"/>
          <w:szCs w:val="24"/>
        </w:rPr>
        <w:t xml:space="preserve"> 41(1)(b</w:t>
      </w:r>
      <w:r w:rsidR="000F5BF6">
        <w:rPr>
          <w:rStyle w:val="Bodytext1"/>
          <w:rFonts w:ascii="Times New Roman" w:hAnsi="Times New Roman" w:cs="Times New Roman"/>
          <w:noProof/>
          <w:sz w:val="24"/>
          <w:szCs w:val="24"/>
        </w:rPr>
        <w:t xml:space="preserve">) and </w:t>
      </w:r>
      <w:r w:rsidR="000F5BF6" w:rsidRPr="000F5BF6">
        <w:rPr>
          <w:rStyle w:val="Bodytext1"/>
          <w:rFonts w:ascii="Times New Roman" w:hAnsi="Times New Roman" w:cs="Times New Roman"/>
          <w:noProof/>
          <w:sz w:val="24"/>
          <w:szCs w:val="24"/>
        </w:rPr>
        <w:t>41(2)</w:t>
      </w:r>
      <w:r w:rsidR="000F5BF6">
        <w:rPr>
          <w:rStyle w:val="Bodytext1"/>
          <w:rFonts w:ascii="Times New Roman" w:hAnsi="Times New Roman" w:cs="Times New Roman"/>
          <w:noProof/>
          <w:sz w:val="24"/>
          <w:szCs w:val="24"/>
        </w:rPr>
        <w:t xml:space="preserve"> </w:t>
      </w:r>
      <w:r w:rsidRPr="00F20872">
        <w:rPr>
          <w:rStyle w:val="Bodytext1"/>
          <w:rFonts w:ascii="Times New Roman" w:hAnsi="Times New Roman" w:cs="Times New Roman"/>
          <w:noProof/>
          <w:sz w:val="24"/>
          <w:szCs w:val="24"/>
        </w:rPr>
        <w:t>of</w:t>
      </w:r>
      <w:r>
        <w:rPr>
          <w:rStyle w:val="Bodytext1"/>
          <w:rFonts w:ascii="Times New Roman" w:hAnsi="Times New Roman" w:cs="Times New Roman"/>
          <w:noProof/>
          <w:sz w:val="24"/>
          <w:szCs w:val="24"/>
        </w:rPr>
        <w:t xml:space="preserve"> </w:t>
      </w:r>
      <w:r w:rsidRPr="00BC51EE">
        <w:rPr>
          <w:rFonts w:ascii="Times New Roman" w:hAnsi="Times New Roman" w:cs="Times New Roman"/>
          <w:noProof/>
          <w:sz w:val="24"/>
          <w:szCs w:val="24"/>
        </w:rPr>
        <w:t xml:space="preserve">Regulation (EU) </w:t>
      </w:r>
      <w:r>
        <w:rPr>
          <w:rFonts w:ascii="Times New Roman" w:hAnsi="Times New Roman" w:cs="Times New Roman"/>
          <w:noProof/>
          <w:sz w:val="24"/>
          <w:szCs w:val="24"/>
        </w:rPr>
        <w:t>2019/787</w:t>
      </w:r>
      <w:r w:rsidRPr="00A42F52">
        <w:rPr>
          <w:rStyle w:val="Bodytext1"/>
          <w:rFonts w:ascii="Times New Roman" w:hAnsi="Times New Roman" w:cs="Times New Roman"/>
          <w:noProof/>
          <w:sz w:val="24"/>
          <w:szCs w:val="24"/>
        </w:rPr>
        <w:t xml:space="preserve">. </w:t>
      </w:r>
      <w:r w:rsidR="00DC501C" w:rsidRPr="00DC501C">
        <w:rPr>
          <w:rStyle w:val="Bodytext1"/>
          <w:rFonts w:ascii="Times New Roman" w:hAnsi="Times New Roman" w:cs="Times New Roman"/>
          <w:noProof/>
          <w:sz w:val="24"/>
          <w:szCs w:val="24"/>
        </w:rPr>
        <w:t>Commission Delegated Regulation (EU) No 2021/1235</w:t>
      </w:r>
      <w:r w:rsidR="00DC501C">
        <w:rPr>
          <w:rStyle w:val="Bodytext1"/>
          <w:rFonts w:ascii="Times New Roman" w:hAnsi="Times New Roman" w:cs="Times New Roman"/>
          <w:noProof/>
          <w:sz w:val="24"/>
          <w:szCs w:val="24"/>
        </w:rPr>
        <w:t xml:space="preserve"> was adopted on the basis of these empowerments, which has</w:t>
      </w:r>
      <w:r w:rsidR="00414AA1">
        <w:rPr>
          <w:rStyle w:val="Bodytext1"/>
          <w:rFonts w:ascii="Times New Roman" w:hAnsi="Times New Roman" w:cs="Times New Roman"/>
          <w:noProof/>
          <w:sz w:val="24"/>
          <w:szCs w:val="24"/>
        </w:rPr>
        <w:t xml:space="preserve"> </w:t>
      </w:r>
      <w:r w:rsidR="00980B60">
        <w:rPr>
          <w:rStyle w:val="Bodytext1"/>
          <w:rFonts w:ascii="Times New Roman" w:hAnsi="Times New Roman" w:cs="Times New Roman"/>
          <w:noProof/>
          <w:sz w:val="24"/>
          <w:szCs w:val="24"/>
        </w:rPr>
        <w:t>since</w:t>
      </w:r>
      <w:r w:rsidR="00DC501C">
        <w:rPr>
          <w:rStyle w:val="Bodytext1"/>
          <w:rFonts w:ascii="Times New Roman" w:hAnsi="Times New Roman" w:cs="Times New Roman"/>
          <w:noProof/>
          <w:sz w:val="24"/>
          <w:szCs w:val="24"/>
        </w:rPr>
        <w:t xml:space="preserve"> been repealed by </w:t>
      </w:r>
      <w:r w:rsidR="00DC501C" w:rsidRPr="00DC501C">
        <w:rPr>
          <w:rStyle w:val="Bodytext1"/>
          <w:rFonts w:ascii="Times New Roman" w:hAnsi="Times New Roman" w:cs="Times New Roman"/>
          <w:noProof/>
          <w:sz w:val="24"/>
          <w:szCs w:val="24"/>
        </w:rPr>
        <w:t>Commission Delegated Regulation (EU) 2025/29</w:t>
      </w:r>
      <w:r w:rsidR="00DC501C">
        <w:rPr>
          <w:rStyle w:val="Bodytext1"/>
          <w:rFonts w:ascii="Times New Roman" w:hAnsi="Times New Roman" w:cs="Times New Roman"/>
          <w:noProof/>
          <w:sz w:val="24"/>
          <w:szCs w:val="24"/>
        </w:rPr>
        <w:t xml:space="preserve">. </w:t>
      </w:r>
      <w:r w:rsidR="00414AA1">
        <w:rPr>
          <w:rStyle w:val="Bodytext1"/>
          <w:rFonts w:ascii="Times New Roman" w:hAnsi="Times New Roman" w:cs="Times New Roman"/>
          <w:noProof/>
          <w:sz w:val="24"/>
          <w:szCs w:val="24"/>
        </w:rPr>
        <w:t>Article 33</w:t>
      </w:r>
      <w:r w:rsidR="00414AA1" w:rsidRPr="00414AA1">
        <w:rPr>
          <w:noProof/>
        </w:rPr>
        <w:t xml:space="preserve"> </w:t>
      </w:r>
      <w:r w:rsidR="00414AA1" w:rsidRPr="00414AA1">
        <w:rPr>
          <w:rStyle w:val="Bodytext1"/>
          <w:rFonts w:ascii="Times New Roman" w:hAnsi="Times New Roman" w:cs="Times New Roman"/>
          <w:noProof/>
          <w:sz w:val="24"/>
          <w:szCs w:val="24"/>
        </w:rPr>
        <w:t>of Regulation (EU) 2019/787</w:t>
      </w:r>
      <w:r w:rsidR="00414AA1">
        <w:rPr>
          <w:rStyle w:val="Bodytext1"/>
          <w:rFonts w:ascii="Times New Roman" w:hAnsi="Times New Roman" w:cs="Times New Roman"/>
          <w:noProof/>
          <w:sz w:val="24"/>
          <w:szCs w:val="24"/>
        </w:rPr>
        <w:t xml:space="preserve"> has been repealed. Article 41 is to be considered as </w:t>
      </w:r>
      <w:r w:rsidR="00DC501C">
        <w:rPr>
          <w:rStyle w:val="Bodytext1"/>
          <w:rFonts w:ascii="Times New Roman" w:hAnsi="Times New Roman" w:cs="Times New Roman"/>
          <w:noProof/>
          <w:sz w:val="24"/>
          <w:szCs w:val="24"/>
        </w:rPr>
        <w:t xml:space="preserve">obsolete. </w:t>
      </w:r>
      <w:r w:rsidR="00A5431E">
        <w:rPr>
          <w:rStyle w:val="Bodytext1"/>
          <w:rFonts w:ascii="Times New Roman" w:hAnsi="Times New Roman" w:cs="Times New Roman"/>
          <w:noProof/>
          <w:sz w:val="24"/>
          <w:szCs w:val="24"/>
        </w:rPr>
        <w:t xml:space="preserve">The Commission </w:t>
      </w:r>
      <w:r w:rsidR="00A5431E" w:rsidRPr="00A5431E">
        <w:rPr>
          <w:rStyle w:val="Bodytext1"/>
          <w:rFonts w:ascii="Times New Roman" w:hAnsi="Times New Roman" w:cs="Times New Roman"/>
          <w:noProof/>
          <w:sz w:val="24"/>
          <w:szCs w:val="24"/>
        </w:rPr>
        <w:t xml:space="preserve">does not request any extension of the delegation of </w:t>
      </w:r>
      <w:r w:rsidR="00A5431E">
        <w:rPr>
          <w:rStyle w:val="Bodytext1"/>
          <w:rFonts w:ascii="Times New Roman" w:hAnsi="Times New Roman" w:cs="Times New Roman"/>
          <w:noProof/>
          <w:sz w:val="24"/>
          <w:szCs w:val="24"/>
        </w:rPr>
        <w:t xml:space="preserve">such </w:t>
      </w:r>
      <w:r w:rsidR="00A5431E" w:rsidRPr="00A5431E">
        <w:rPr>
          <w:rStyle w:val="Bodytext1"/>
          <w:rFonts w:ascii="Times New Roman" w:hAnsi="Times New Roman" w:cs="Times New Roman"/>
          <w:noProof/>
          <w:sz w:val="24"/>
          <w:szCs w:val="24"/>
        </w:rPr>
        <w:t xml:space="preserve">powers </w:t>
      </w:r>
      <w:r w:rsidR="00A5431E">
        <w:rPr>
          <w:rStyle w:val="Bodytext1"/>
          <w:rFonts w:ascii="Times New Roman" w:hAnsi="Times New Roman" w:cs="Times New Roman"/>
          <w:noProof/>
          <w:sz w:val="24"/>
          <w:szCs w:val="24"/>
        </w:rPr>
        <w:t xml:space="preserve">and </w:t>
      </w:r>
      <w:r w:rsidRPr="00A42F52">
        <w:rPr>
          <w:rStyle w:val="Bodytext1"/>
          <w:rFonts w:ascii="Times New Roman" w:hAnsi="Times New Roman" w:cs="Times New Roman"/>
          <w:noProof/>
          <w:sz w:val="24"/>
          <w:szCs w:val="24"/>
        </w:rPr>
        <w:t>invites the European Parliament and the Council to take note of this report.</w:t>
      </w:r>
    </w:p>
    <w:sectPr w:rsidR="00BC51EE" w:rsidRPr="000E6959" w:rsidSect="007F1C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688F" w14:textId="77777777" w:rsidR="003F0428" w:rsidRDefault="003F0428" w:rsidP="004B181D">
      <w:pPr>
        <w:spacing w:after="0" w:line="240" w:lineRule="auto"/>
      </w:pPr>
      <w:r>
        <w:separator/>
      </w:r>
    </w:p>
  </w:endnote>
  <w:endnote w:type="continuationSeparator" w:id="0">
    <w:p w14:paraId="5FB96C0D" w14:textId="77777777" w:rsidR="003F0428" w:rsidRDefault="003F0428" w:rsidP="004B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5C6E" w14:textId="05F095B7" w:rsidR="00F079F0" w:rsidRPr="00F079F0" w:rsidRDefault="00F079F0" w:rsidP="00F079F0">
    <w:pPr>
      <w:pStyle w:val="FooterCoverPage"/>
      <w:rPr>
        <w:rFonts w:ascii="Arial" w:hAnsi="Arial" w:cs="Arial"/>
        <w:b/>
        <w:sz w:val="48"/>
      </w:rPr>
    </w:pPr>
    <w:r w:rsidRPr="00F079F0">
      <w:rPr>
        <w:rFonts w:ascii="Arial" w:hAnsi="Arial" w:cs="Arial"/>
        <w:b/>
        <w:sz w:val="48"/>
      </w:rPr>
      <w:t>EN</w:t>
    </w:r>
    <w:r w:rsidRPr="00F079F0">
      <w:rPr>
        <w:rFonts w:ascii="Arial" w:hAnsi="Arial" w:cs="Arial"/>
        <w:b/>
        <w:sz w:val="48"/>
      </w:rPr>
      <w:tab/>
    </w:r>
    <w:r w:rsidRPr="00F079F0">
      <w:rPr>
        <w:rFonts w:ascii="Arial" w:hAnsi="Arial" w:cs="Arial"/>
        <w:b/>
        <w:sz w:val="48"/>
      </w:rPr>
      <w:tab/>
    </w:r>
    <w:r w:rsidRPr="00F079F0">
      <w:tab/>
    </w:r>
    <w:r w:rsidRPr="00F079F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7A8C" w14:textId="182FAC0A" w:rsidR="00F079F0" w:rsidRPr="00F079F0" w:rsidRDefault="00F079F0" w:rsidP="00F079F0">
    <w:pPr>
      <w:pStyle w:val="FooterCoverPage"/>
      <w:rPr>
        <w:rFonts w:ascii="Arial" w:hAnsi="Arial" w:cs="Arial"/>
        <w:b/>
        <w:sz w:val="48"/>
      </w:rPr>
    </w:pPr>
    <w:r w:rsidRPr="00F079F0">
      <w:rPr>
        <w:rFonts w:ascii="Arial" w:hAnsi="Arial" w:cs="Arial"/>
        <w:b/>
        <w:sz w:val="48"/>
      </w:rPr>
      <w:t>EN</w:t>
    </w:r>
    <w:r w:rsidRPr="00F079F0">
      <w:rPr>
        <w:rFonts w:ascii="Arial" w:hAnsi="Arial" w:cs="Arial"/>
        <w:b/>
        <w:sz w:val="48"/>
      </w:rPr>
      <w:tab/>
    </w:r>
    <w:r w:rsidRPr="00F079F0">
      <w:rPr>
        <w:rFonts w:ascii="Arial" w:hAnsi="Arial" w:cs="Arial"/>
        <w:b/>
        <w:sz w:val="48"/>
      </w:rPr>
      <w:tab/>
    </w:r>
    <w:r w:rsidRPr="00F079F0">
      <w:tab/>
    </w:r>
    <w:r w:rsidRPr="00F079F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B7D2" w14:textId="77777777" w:rsidR="00F079F0" w:rsidRPr="00F079F0" w:rsidRDefault="00F079F0" w:rsidP="00F079F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8662" w14:textId="77777777" w:rsidR="007F1C63" w:rsidRDefault="007F1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3CB6" w14:textId="25C4485B" w:rsidR="00F704C0" w:rsidRPr="00F704C0" w:rsidRDefault="00F704C0">
    <w:pPr>
      <w:pStyle w:val="Footer"/>
      <w:jc w:val="center"/>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04C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F704C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F704C0">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079F0">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F704C0">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545C194" w14:textId="77777777" w:rsidR="007F1C63" w:rsidRDefault="007F1C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3F9C" w14:textId="77777777" w:rsidR="007F1C63" w:rsidRDefault="007F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C2BD" w14:textId="77777777" w:rsidR="003F0428" w:rsidRDefault="003F0428" w:rsidP="004B181D">
      <w:pPr>
        <w:spacing w:after="0" w:line="240" w:lineRule="auto"/>
      </w:pPr>
      <w:r>
        <w:separator/>
      </w:r>
    </w:p>
  </w:footnote>
  <w:footnote w:type="continuationSeparator" w:id="0">
    <w:p w14:paraId="24A10375" w14:textId="77777777" w:rsidR="003F0428" w:rsidRDefault="003F0428" w:rsidP="004B181D">
      <w:pPr>
        <w:spacing w:after="0" w:line="240" w:lineRule="auto"/>
      </w:pPr>
      <w:r>
        <w:continuationSeparator/>
      </w:r>
    </w:p>
  </w:footnote>
  <w:footnote w:id="1">
    <w:p w14:paraId="302FCE92" w14:textId="3AC2349D" w:rsidR="00CC3BF4" w:rsidRPr="00CC3BF4" w:rsidRDefault="00CC3BF4">
      <w:pPr>
        <w:pStyle w:val="FootnoteText"/>
        <w:rPr>
          <w:lang w:val="it-IT"/>
        </w:rPr>
      </w:pPr>
      <w:r>
        <w:rPr>
          <w:rStyle w:val="FootnoteReference"/>
        </w:rPr>
        <w:footnoteRef/>
      </w:r>
      <w:r>
        <w:tab/>
      </w:r>
      <w:r w:rsidRPr="008959AA">
        <w:rPr>
          <w:color w:val="333333"/>
          <w:lang w:val="it-IT"/>
        </w:rPr>
        <w:t>OJ L 130, 17.5.2019, p. 1, ELI:</w:t>
      </w:r>
      <w:r w:rsidRPr="00CC3BF4">
        <w:rPr>
          <w:rFonts w:asciiTheme="minorHAnsi" w:eastAsiaTheme="minorHAnsi" w:hAnsiTheme="minorHAnsi" w:cstheme="minorBidi"/>
          <w:sz w:val="22"/>
          <w:szCs w:val="22"/>
          <w:lang w:val="it-IT" w:eastAsia="en-US"/>
        </w:rPr>
        <w:t xml:space="preserve"> </w:t>
      </w:r>
      <w:hyperlink r:id="rId1" w:tooltip="Gives access to this document through its ELI URI." w:history="1">
        <w:r w:rsidRPr="00CC3BF4">
          <w:rPr>
            <w:rStyle w:val="Hyperlink"/>
            <w:lang w:val="it-IT"/>
          </w:rPr>
          <w:t>http://data.europa.eu/eli/reg/2019/787/oj</w:t>
        </w:r>
      </w:hyperlink>
      <w:r w:rsidRPr="00CC3BF4">
        <w:rPr>
          <w:rStyle w:val="Hyperlink"/>
          <w:color w:val="auto"/>
          <w:u w:val="none"/>
          <w:lang w:val="it-IT"/>
        </w:rPr>
        <w:t>.</w:t>
      </w:r>
      <w:r w:rsidRPr="008959AA">
        <w:rPr>
          <w:rStyle w:val="Emphasis"/>
          <w:color w:val="333333"/>
          <w:lang w:val="it-IT"/>
        </w:rPr>
        <w:t xml:space="preserve"> </w:t>
      </w:r>
    </w:p>
  </w:footnote>
  <w:footnote w:id="2">
    <w:p w14:paraId="54AC7199" w14:textId="476947DF" w:rsidR="006E625E" w:rsidRPr="008959AA" w:rsidRDefault="006E625E" w:rsidP="006E625E">
      <w:pPr>
        <w:pStyle w:val="FootnoteText"/>
        <w:rPr>
          <w:lang w:val="it-IT"/>
        </w:rPr>
      </w:pPr>
      <w:r>
        <w:rPr>
          <w:rStyle w:val="FootnoteReference"/>
        </w:rPr>
        <w:footnoteRef/>
      </w:r>
      <w:r>
        <w:tab/>
        <w:t>OJ L 39, 13.2.2008, p. 16</w:t>
      </w:r>
      <w:r w:rsidR="008959AA">
        <w:t xml:space="preserve">, ELI: </w:t>
      </w:r>
      <w:hyperlink r:id="rId2" w:history="1">
        <w:r w:rsidR="008959AA" w:rsidRPr="002D2B4D">
          <w:rPr>
            <w:rStyle w:val="Hyperlink"/>
          </w:rPr>
          <w:t>http://data.europa.eu/eli/reg/2008/110(1)/oj</w:t>
        </w:r>
      </w:hyperlink>
      <w:r w:rsidR="00CC3BF4" w:rsidRPr="00CC3BF4">
        <w:rPr>
          <w:rStyle w:val="Hyperlink"/>
          <w:color w:val="auto"/>
          <w:u w:val="none"/>
        </w:rPr>
        <w:t>.</w:t>
      </w:r>
    </w:p>
  </w:footnote>
  <w:footnote w:id="3">
    <w:p w14:paraId="3B66EC9A" w14:textId="41971C16" w:rsidR="008959AA" w:rsidRPr="008959AA" w:rsidRDefault="0099534C">
      <w:pPr>
        <w:pStyle w:val="FootnoteText"/>
        <w:rPr>
          <w:lang w:val="it-IT"/>
        </w:rPr>
      </w:pPr>
      <w:r>
        <w:rPr>
          <w:rStyle w:val="FootnoteReference"/>
        </w:rPr>
        <w:footnoteRef/>
      </w:r>
      <w:r>
        <w:tab/>
      </w:r>
      <w:r w:rsidRPr="008959AA">
        <w:rPr>
          <w:lang w:val="it-IT"/>
        </w:rPr>
        <w:t>OJ L 270</w:t>
      </w:r>
      <w:r w:rsidR="008959AA" w:rsidRPr="008959AA">
        <w:rPr>
          <w:lang w:val="it-IT"/>
        </w:rPr>
        <w:t>,</w:t>
      </w:r>
      <w:r w:rsidR="008959AA" w:rsidRPr="008959AA">
        <w:rPr>
          <w:rFonts w:ascii="Roboto" w:eastAsiaTheme="minorHAnsi" w:hAnsi="Roboto" w:cstheme="minorBidi"/>
          <w:color w:val="333333"/>
          <w:sz w:val="21"/>
          <w:szCs w:val="21"/>
          <w:shd w:val="clear" w:color="auto" w:fill="FFFFFF"/>
          <w:lang w:val="it-IT" w:eastAsia="en-US" w:bidi="ar-SA"/>
        </w:rPr>
        <w:t xml:space="preserve"> </w:t>
      </w:r>
      <w:r w:rsidR="008959AA" w:rsidRPr="008959AA">
        <w:rPr>
          <w:lang w:val="it-IT"/>
        </w:rPr>
        <w:t>29.7.2021,</w:t>
      </w:r>
      <w:r w:rsidRPr="008959AA">
        <w:rPr>
          <w:lang w:val="it-IT"/>
        </w:rPr>
        <w:t xml:space="preserve"> p</w:t>
      </w:r>
      <w:r w:rsidR="008959AA" w:rsidRPr="008959AA">
        <w:rPr>
          <w:lang w:val="it-IT"/>
        </w:rPr>
        <w:t>.</w:t>
      </w:r>
      <w:r w:rsidRPr="008959AA">
        <w:rPr>
          <w:lang w:val="it-IT"/>
        </w:rPr>
        <w:t xml:space="preserve"> 1</w:t>
      </w:r>
      <w:r w:rsidR="008959AA" w:rsidRPr="008959AA">
        <w:rPr>
          <w:lang w:val="it-IT"/>
        </w:rPr>
        <w:t>, ELI:</w:t>
      </w:r>
      <w:r w:rsidR="008959AA" w:rsidRPr="008959AA">
        <w:t xml:space="preserve"> </w:t>
      </w:r>
      <w:hyperlink r:id="rId3" w:history="1">
        <w:r w:rsidR="008959AA" w:rsidRPr="008959AA">
          <w:rPr>
            <w:rStyle w:val="Hyperlink"/>
            <w:lang w:val="it-IT"/>
          </w:rPr>
          <w:t>http://data.europa.eu/eli/reg_del/2021/1235/oj</w:t>
        </w:r>
      </w:hyperlink>
      <w:r w:rsidR="00CC3BF4" w:rsidRPr="00CC3BF4">
        <w:rPr>
          <w:rStyle w:val="Hyperlink"/>
          <w:color w:val="auto"/>
          <w:u w:val="none"/>
          <w:lang w:val="it-IT"/>
        </w:rPr>
        <w:t>.</w:t>
      </w:r>
    </w:p>
  </w:footnote>
  <w:footnote w:id="4">
    <w:p w14:paraId="2834C514" w14:textId="489FACA3" w:rsidR="00860177" w:rsidRPr="00E27BE1" w:rsidRDefault="00860177" w:rsidP="00860177">
      <w:pPr>
        <w:pStyle w:val="FootnoteText"/>
        <w:rPr>
          <w:lang w:val="pl-PL"/>
        </w:rPr>
      </w:pPr>
      <w:r w:rsidRPr="00DA769D">
        <w:rPr>
          <w:rStyle w:val="FootnoteReference"/>
        </w:rPr>
        <w:footnoteRef/>
      </w:r>
      <w:bookmarkStart w:id="2" w:name="_Hlk194659361"/>
      <w:r w:rsidR="00822134">
        <w:rPr>
          <w:lang w:val="pl-PL"/>
        </w:rPr>
        <w:tab/>
      </w:r>
      <w:r w:rsidRPr="00136328">
        <w:rPr>
          <w:lang w:val="pl-PL"/>
        </w:rPr>
        <w:t>OJ L 2024/1143, 23.4.2024</w:t>
      </w:r>
      <w:r>
        <w:rPr>
          <w:lang w:val="pl-PL"/>
        </w:rPr>
        <w:t>,</w:t>
      </w:r>
      <w:r w:rsidRPr="00136328">
        <w:rPr>
          <w:lang w:val="pl-PL"/>
        </w:rPr>
        <w:t xml:space="preserve"> </w:t>
      </w:r>
      <w:bookmarkEnd w:id="2"/>
      <w:r w:rsidRPr="00136328">
        <w:rPr>
          <w:lang w:val="pl-PL"/>
        </w:rPr>
        <w:t xml:space="preserve">ELI: </w:t>
      </w:r>
      <w:hyperlink r:id="rId4" w:history="1">
        <w:r w:rsidRPr="00A539E0">
          <w:rPr>
            <w:rStyle w:val="Hyperlink"/>
            <w:lang w:val="pl-PL"/>
          </w:rPr>
          <w:t>http://data.europa.eu/eli/reg/2024/1143/oj</w:t>
        </w:r>
      </w:hyperlink>
      <w:r w:rsidR="00CC3BF4" w:rsidRPr="00CC3BF4">
        <w:rPr>
          <w:rStyle w:val="Hyperlink"/>
          <w:color w:val="auto"/>
          <w:u w:val="none"/>
          <w:lang w:val="pl-PL"/>
        </w:rPr>
        <w:t>.</w:t>
      </w:r>
    </w:p>
  </w:footnote>
  <w:footnote w:id="5">
    <w:p w14:paraId="736C124C" w14:textId="521E1F9E" w:rsidR="00860177" w:rsidRPr="008959AA" w:rsidRDefault="00860177" w:rsidP="00860177">
      <w:pPr>
        <w:pStyle w:val="FootnoteText"/>
      </w:pPr>
      <w:r>
        <w:rPr>
          <w:rStyle w:val="FootnoteReference"/>
        </w:rPr>
        <w:footnoteRef/>
      </w:r>
      <w:r w:rsidR="00822134">
        <w:tab/>
      </w:r>
      <w:r w:rsidRPr="00136328">
        <w:rPr>
          <w:lang w:val="pl-PL"/>
        </w:rPr>
        <w:t>OJ L 202</w:t>
      </w:r>
      <w:r>
        <w:rPr>
          <w:lang w:val="pl-PL"/>
        </w:rPr>
        <w:t>5</w:t>
      </w:r>
      <w:r w:rsidRPr="00136328">
        <w:rPr>
          <w:lang w:val="pl-PL"/>
        </w:rPr>
        <w:t>/</w:t>
      </w:r>
      <w:r>
        <w:rPr>
          <w:lang w:val="pl-PL"/>
        </w:rPr>
        <w:t>27</w:t>
      </w:r>
      <w:r w:rsidRPr="00136328">
        <w:rPr>
          <w:lang w:val="pl-PL"/>
        </w:rPr>
        <w:t xml:space="preserve">, </w:t>
      </w:r>
      <w:r>
        <w:rPr>
          <w:lang w:val="pl-PL"/>
        </w:rPr>
        <w:t>15</w:t>
      </w:r>
      <w:r w:rsidRPr="00136328">
        <w:rPr>
          <w:lang w:val="pl-PL"/>
        </w:rPr>
        <w:t>.</w:t>
      </w:r>
      <w:r>
        <w:rPr>
          <w:lang w:val="pl-PL"/>
        </w:rPr>
        <w:t>1</w:t>
      </w:r>
      <w:r w:rsidRPr="00136328">
        <w:rPr>
          <w:lang w:val="pl-PL"/>
        </w:rPr>
        <w:t>.202</w:t>
      </w:r>
      <w:r>
        <w:rPr>
          <w:lang w:val="pl-PL"/>
        </w:rPr>
        <w:t>5,</w:t>
      </w:r>
      <w:r w:rsidRPr="00136328">
        <w:rPr>
          <w:lang w:val="pl-PL"/>
        </w:rPr>
        <w:t xml:space="preserve"> </w:t>
      </w:r>
      <w:r>
        <w:t xml:space="preserve">ELI: </w:t>
      </w:r>
      <w:hyperlink r:id="rId5" w:history="1">
        <w:r w:rsidRPr="002D2B4D">
          <w:rPr>
            <w:rStyle w:val="Hyperlink"/>
          </w:rPr>
          <w:t>http://data.europa.eu/eli/reg_del/2025/27/oj</w:t>
        </w:r>
      </w:hyperlink>
      <w:r w:rsidR="00CC3BF4" w:rsidRPr="00CC3BF4">
        <w:rPr>
          <w:rStyle w:val="Hyperlink"/>
          <w:color w:val="auto"/>
          <w:u w:val="none"/>
          <w:lang w:val="pl-PL"/>
        </w:rPr>
        <w:t>.</w:t>
      </w:r>
    </w:p>
  </w:footnote>
  <w:footnote w:id="6">
    <w:p w14:paraId="178DDB8C" w14:textId="68AFCC1C" w:rsidR="00860177" w:rsidRPr="008959AA" w:rsidRDefault="00860177" w:rsidP="00860177">
      <w:pPr>
        <w:pStyle w:val="FootnoteText"/>
      </w:pPr>
      <w:r>
        <w:rPr>
          <w:rStyle w:val="FootnoteReference"/>
        </w:rPr>
        <w:footnoteRef/>
      </w:r>
      <w:r w:rsidR="00822134">
        <w:tab/>
      </w:r>
      <w:r w:rsidRPr="00136328">
        <w:rPr>
          <w:lang w:val="pl-PL"/>
        </w:rPr>
        <w:t>OJ L 202</w:t>
      </w:r>
      <w:r>
        <w:rPr>
          <w:lang w:val="pl-PL"/>
        </w:rPr>
        <w:t>5</w:t>
      </w:r>
      <w:r w:rsidRPr="00136328">
        <w:rPr>
          <w:lang w:val="pl-PL"/>
        </w:rPr>
        <w:t>/</w:t>
      </w:r>
      <w:r>
        <w:rPr>
          <w:lang w:val="pl-PL"/>
        </w:rPr>
        <w:t>29</w:t>
      </w:r>
      <w:r w:rsidRPr="00136328">
        <w:rPr>
          <w:lang w:val="pl-PL"/>
        </w:rPr>
        <w:t xml:space="preserve">, </w:t>
      </w:r>
      <w:r>
        <w:rPr>
          <w:lang w:val="pl-PL"/>
        </w:rPr>
        <w:t>15</w:t>
      </w:r>
      <w:r w:rsidRPr="00136328">
        <w:rPr>
          <w:lang w:val="pl-PL"/>
        </w:rPr>
        <w:t>.</w:t>
      </w:r>
      <w:r>
        <w:rPr>
          <w:lang w:val="pl-PL"/>
        </w:rPr>
        <w:t>1</w:t>
      </w:r>
      <w:r w:rsidRPr="00136328">
        <w:rPr>
          <w:lang w:val="pl-PL"/>
        </w:rPr>
        <w:t>.202</w:t>
      </w:r>
      <w:r>
        <w:rPr>
          <w:lang w:val="pl-PL"/>
        </w:rPr>
        <w:t>5,</w:t>
      </w:r>
      <w:r w:rsidRPr="00136328">
        <w:rPr>
          <w:lang w:val="pl-PL"/>
        </w:rPr>
        <w:t xml:space="preserve"> </w:t>
      </w:r>
      <w:r>
        <w:t xml:space="preserve">ELI: </w:t>
      </w:r>
      <w:hyperlink r:id="rId6" w:history="1">
        <w:r w:rsidRPr="002D2B4D">
          <w:rPr>
            <w:rStyle w:val="Hyperlink"/>
          </w:rPr>
          <w:t>http://data.europa.eu/eli/reg_del/2025/29/oj</w:t>
        </w:r>
      </w:hyperlink>
      <w:r w:rsidR="00CC3BF4" w:rsidRPr="00CC3BF4">
        <w:rPr>
          <w:rStyle w:val="Hyperlink"/>
          <w:color w:val="auto"/>
          <w:u w:val="none"/>
          <w:lang w:val="pl-PL"/>
        </w:rPr>
        <w:t>.</w:t>
      </w:r>
    </w:p>
  </w:footnote>
  <w:footnote w:id="7">
    <w:p w14:paraId="091C37B8" w14:textId="3B363499" w:rsidR="00860177" w:rsidRPr="001F36FD" w:rsidRDefault="00860177" w:rsidP="00860177">
      <w:pPr>
        <w:pStyle w:val="FootnoteText"/>
        <w:rPr>
          <w:lang w:val="pl-PL"/>
        </w:rPr>
      </w:pPr>
      <w:r>
        <w:rPr>
          <w:rStyle w:val="FootnoteReference"/>
        </w:rPr>
        <w:footnoteRef/>
      </w:r>
      <w:r w:rsidR="00822134">
        <w:tab/>
      </w:r>
      <w:r w:rsidRPr="00136328">
        <w:rPr>
          <w:lang w:val="pl-PL"/>
        </w:rPr>
        <w:t>OJ L 202</w:t>
      </w:r>
      <w:r>
        <w:rPr>
          <w:lang w:val="pl-PL"/>
        </w:rPr>
        <w:t>5</w:t>
      </w:r>
      <w:r w:rsidRPr="00136328">
        <w:rPr>
          <w:lang w:val="pl-PL"/>
        </w:rPr>
        <w:t>/</w:t>
      </w:r>
      <w:r>
        <w:rPr>
          <w:lang w:val="pl-PL"/>
        </w:rPr>
        <w:t>26</w:t>
      </w:r>
      <w:r w:rsidRPr="00136328">
        <w:rPr>
          <w:lang w:val="pl-PL"/>
        </w:rPr>
        <w:t xml:space="preserve">, </w:t>
      </w:r>
      <w:r>
        <w:rPr>
          <w:lang w:val="pl-PL"/>
        </w:rPr>
        <w:t>15</w:t>
      </w:r>
      <w:r w:rsidRPr="00136328">
        <w:rPr>
          <w:lang w:val="pl-PL"/>
        </w:rPr>
        <w:t>.</w:t>
      </w:r>
      <w:r>
        <w:rPr>
          <w:lang w:val="pl-PL"/>
        </w:rPr>
        <w:t>1</w:t>
      </w:r>
      <w:r w:rsidRPr="00136328">
        <w:rPr>
          <w:lang w:val="pl-PL"/>
        </w:rPr>
        <w:t>.202</w:t>
      </w:r>
      <w:r>
        <w:rPr>
          <w:lang w:val="pl-PL"/>
        </w:rPr>
        <w:t>5,</w:t>
      </w:r>
      <w:r w:rsidRPr="00136328">
        <w:rPr>
          <w:lang w:val="pl-PL"/>
        </w:rPr>
        <w:t xml:space="preserve"> </w:t>
      </w:r>
      <w:r>
        <w:t xml:space="preserve">ELI: </w:t>
      </w:r>
      <w:hyperlink r:id="rId7" w:history="1">
        <w:r w:rsidRPr="002D2B4D">
          <w:rPr>
            <w:rStyle w:val="Hyperlink"/>
          </w:rPr>
          <w:t>http://data.europa.eu/eli/reg_impl/2025/26/oj</w:t>
        </w:r>
      </w:hyperlink>
      <w:r w:rsidR="00CC3BF4" w:rsidRPr="00CC3BF4">
        <w:rPr>
          <w:rStyle w:val="Hyperlink"/>
          <w:color w:val="auto"/>
          <w:u w:val="none"/>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F861" w14:textId="77777777" w:rsidR="00F079F0" w:rsidRPr="00F079F0" w:rsidRDefault="00F079F0" w:rsidP="00F079F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C56E" w14:textId="77777777" w:rsidR="00F079F0" w:rsidRPr="00F079F0" w:rsidRDefault="00F079F0" w:rsidP="00F079F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32E31" w14:textId="77777777" w:rsidR="00F079F0" w:rsidRPr="00F079F0" w:rsidRDefault="00F079F0" w:rsidP="00F079F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7659" w14:textId="77777777" w:rsidR="007F1C63" w:rsidRDefault="007F1C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E87C" w14:textId="77777777" w:rsidR="007F1C63" w:rsidRDefault="007F1C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AA1B" w14:textId="77777777" w:rsidR="007F1C63" w:rsidRDefault="007F1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60F"/>
    <w:multiLevelType w:val="hybridMultilevel"/>
    <w:tmpl w:val="24F08FEA"/>
    <w:lvl w:ilvl="0" w:tplc="4E102B94">
      <w:start w:val="1"/>
      <w:numFmt w:val="decimal"/>
      <w:lvlText w:val="%1)"/>
      <w:lvlJc w:val="left"/>
      <w:pPr>
        <w:ind w:left="940" w:hanging="360"/>
      </w:pPr>
      <w:rPr>
        <w:rFonts w:hint="default"/>
      </w:rPr>
    </w:lvl>
    <w:lvl w:ilvl="1" w:tplc="18090019" w:tentative="1">
      <w:start w:val="1"/>
      <w:numFmt w:val="lowerLetter"/>
      <w:lvlText w:val="%2."/>
      <w:lvlJc w:val="left"/>
      <w:pPr>
        <w:ind w:left="1660" w:hanging="360"/>
      </w:pPr>
    </w:lvl>
    <w:lvl w:ilvl="2" w:tplc="1809001B" w:tentative="1">
      <w:start w:val="1"/>
      <w:numFmt w:val="lowerRoman"/>
      <w:lvlText w:val="%3."/>
      <w:lvlJc w:val="right"/>
      <w:pPr>
        <w:ind w:left="2380" w:hanging="180"/>
      </w:pPr>
    </w:lvl>
    <w:lvl w:ilvl="3" w:tplc="1809000F" w:tentative="1">
      <w:start w:val="1"/>
      <w:numFmt w:val="decimal"/>
      <w:lvlText w:val="%4."/>
      <w:lvlJc w:val="left"/>
      <w:pPr>
        <w:ind w:left="3100" w:hanging="360"/>
      </w:pPr>
    </w:lvl>
    <w:lvl w:ilvl="4" w:tplc="18090019" w:tentative="1">
      <w:start w:val="1"/>
      <w:numFmt w:val="lowerLetter"/>
      <w:lvlText w:val="%5."/>
      <w:lvlJc w:val="left"/>
      <w:pPr>
        <w:ind w:left="3820" w:hanging="360"/>
      </w:pPr>
    </w:lvl>
    <w:lvl w:ilvl="5" w:tplc="1809001B" w:tentative="1">
      <w:start w:val="1"/>
      <w:numFmt w:val="lowerRoman"/>
      <w:lvlText w:val="%6."/>
      <w:lvlJc w:val="right"/>
      <w:pPr>
        <w:ind w:left="4540" w:hanging="180"/>
      </w:pPr>
    </w:lvl>
    <w:lvl w:ilvl="6" w:tplc="1809000F" w:tentative="1">
      <w:start w:val="1"/>
      <w:numFmt w:val="decimal"/>
      <w:lvlText w:val="%7."/>
      <w:lvlJc w:val="left"/>
      <w:pPr>
        <w:ind w:left="5260" w:hanging="360"/>
      </w:pPr>
    </w:lvl>
    <w:lvl w:ilvl="7" w:tplc="18090019" w:tentative="1">
      <w:start w:val="1"/>
      <w:numFmt w:val="lowerLetter"/>
      <w:lvlText w:val="%8."/>
      <w:lvlJc w:val="left"/>
      <w:pPr>
        <w:ind w:left="5980" w:hanging="360"/>
      </w:pPr>
    </w:lvl>
    <w:lvl w:ilvl="8" w:tplc="1809001B" w:tentative="1">
      <w:start w:val="1"/>
      <w:numFmt w:val="lowerRoman"/>
      <w:lvlText w:val="%9."/>
      <w:lvlJc w:val="right"/>
      <w:pPr>
        <w:ind w:left="6700" w:hanging="180"/>
      </w:pPr>
    </w:lvl>
  </w:abstractNum>
  <w:abstractNum w:abstractNumId="1" w15:restartNumberingAfterBreak="0">
    <w:nsid w:val="11285974"/>
    <w:multiLevelType w:val="hybridMultilevel"/>
    <w:tmpl w:val="8F60BE82"/>
    <w:lvl w:ilvl="0" w:tplc="2A9628D4">
      <w:start w:val="1"/>
      <w:numFmt w:val="lowerLetter"/>
      <w:lvlText w:val="%1)"/>
      <w:lvlJc w:val="left"/>
      <w:pPr>
        <w:ind w:left="1300" w:hanging="360"/>
      </w:pPr>
      <w:rPr>
        <w:rFonts w:hint="default"/>
      </w:rPr>
    </w:lvl>
    <w:lvl w:ilvl="1" w:tplc="18090019" w:tentative="1">
      <w:start w:val="1"/>
      <w:numFmt w:val="lowerLetter"/>
      <w:lvlText w:val="%2."/>
      <w:lvlJc w:val="left"/>
      <w:pPr>
        <w:ind w:left="2020" w:hanging="360"/>
      </w:pPr>
    </w:lvl>
    <w:lvl w:ilvl="2" w:tplc="1809001B" w:tentative="1">
      <w:start w:val="1"/>
      <w:numFmt w:val="lowerRoman"/>
      <w:lvlText w:val="%3."/>
      <w:lvlJc w:val="right"/>
      <w:pPr>
        <w:ind w:left="2740" w:hanging="180"/>
      </w:pPr>
    </w:lvl>
    <w:lvl w:ilvl="3" w:tplc="1809000F" w:tentative="1">
      <w:start w:val="1"/>
      <w:numFmt w:val="decimal"/>
      <w:lvlText w:val="%4."/>
      <w:lvlJc w:val="left"/>
      <w:pPr>
        <w:ind w:left="3460" w:hanging="360"/>
      </w:pPr>
    </w:lvl>
    <w:lvl w:ilvl="4" w:tplc="18090019" w:tentative="1">
      <w:start w:val="1"/>
      <w:numFmt w:val="lowerLetter"/>
      <w:lvlText w:val="%5."/>
      <w:lvlJc w:val="left"/>
      <w:pPr>
        <w:ind w:left="4180" w:hanging="360"/>
      </w:pPr>
    </w:lvl>
    <w:lvl w:ilvl="5" w:tplc="1809001B" w:tentative="1">
      <w:start w:val="1"/>
      <w:numFmt w:val="lowerRoman"/>
      <w:lvlText w:val="%6."/>
      <w:lvlJc w:val="right"/>
      <w:pPr>
        <w:ind w:left="4900" w:hanging="180"/>
      </w:pPr>
    </w:lvl>
    <w:lvl w:ilvl="6" w:tplc="1809000F" w:tentative="1">
      <w:start w:val="1"/>
      <w:numFmt w:val="decimal"/>
      <w:lvlText w:val="%7."/>
      <w:lvlJc w:val="left"/>
      <w:pPr>
        <w:ind w:left="5620" w:hanging="360"/>
      </w:pPr>
    </w:lvl>
    <w:lvl w:ilvl="7" w:tplc="18090019" w:tentative="1">
      <w:start w:val="1"/>
      <w:numFmt w:val="lowerLetter"/>
      <w:lvlText w:val="%8."/>
      <w:lvlJc w:val="left"/>
      <w:pPr>
        <w:ind w:left="6340" w:hanging="360"/>
      </w:pPr>
    </w:lvl>
    <w:lvl w:ilvl="8" w:tplc="1809001B" w:tentative="1">
      <w:start w:val="1"/>
      <w:numFmt w:val="lowerRoman"/>
      <w:lvlText w:val="%9."/>
      <w:lvlJc w:val="right"/>
      <w:pPr>
        <w:ind w:left="7060" w:hanging="180"/>
      </w:pPr>
    </w:lvl>
  </w:abstractNum>
  <w:abstractNum w:abstractNumId="2" w15:restartNumberingAfterBreak="0">
    <w:nsid w:val="2F58072F"/>
    <w:multiLevelType w:val="hybridMultilevel"/>
    <w:tmpl w:val="91469B5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DD255B9"/>
    <w:multiLevelType w:val="hybridMultilevel"/>
    <w:tmpl w:val="E5F47766"/>
    <w:lvl w:ilvl="0" w:tplc="254C2E6A">
      <w:start w:val="4"/>
      <w:numFmt w:val="bullet"/>
      <w:lvlText w:val="-"/>
      <w:lvlJc w:val="left"/>
      <w:pPr>
        <w:ind w:left="940" w:hanging="360"/>
      </w:pPr>
      <w:rPr>
        <w:rFonts w:ascii="Times New Roman" w:eastAsiaTheme="minorHAnsi" w:hAnsi="Times New Roman" w:cs="Times New Roman" w:hint="default"/>
      </w:rPr>
    </w:lvl>
    <w:lvl w:ilvl="1" w:tplc="18090003" w:tentative="1">
      <w:start w:val="1"/>
      <w:numFmt w:val="bullet"/>
      <w:lvlText w:val="o"/>
      <w:lvlJc w:val="left"/>
      <w:pPr>
        <w:ind w:left="1660" w:hanging="360"/>
      </w:pPr>
      <w:rPr>
        <w:rFonts w:ascii="Courier New" w:hAnsi="Courier New" w:cs="Courier New" w:hint="default"/>
      </w:rPr>
    </w:lvl>
    <w:lvl w:ilvl="2" w:tplc="18090005" w:tentative="1">
      <w:start w:val="1"/>
      <w:numFmt w:val="bullet"/>
      <w:lvlText w:val=""/>
      <w:lvlJc w:val="left"/>
      <w:pPr>
        <w:ind w:left="2380" w:hanging="360"/>
      </w:pPr>
      <w:rPr>
        <w:rFonts w:ascii="Wingdings" w:hAnsi="Wingdings" w:hint="default"/>
      </w:rPr>
    </w:lvl>
    <w:lvl w:ilvl="3" w:tplc="18090001" w:tentative="1">
      <w:start w:val="1"/>
      <w:numFmt w:val="bullet"/>
      <w:lvlText w:val=""/>
      <w:lvlJc w:val="left"/>
      <w:pPr>
        <w:ind w:left="3100" w:hanging="360"/>
      </w:pPr>
      <w:rPr>
        <w:rFonts w:ascii="Symbol" w:hAnsi="Symbol" w:hint="default"/>
      </w:rPr>
    </w:lvl>
    <w:lvl w:ilvl="4" w:tplc="18090003" w:tentative="1">
      <w:start w:val="1"/>
      <w:numFmt w:val="bullet"/>
      <w:lvlText w:val="o"/>
      <w:lvlJc w:val="left"/>
      <w:pPr>
        <w:ind w:left="3820" w:hanging="360"/>
      </w:pPr>
      <w:rPr>
        <w:rFonts w:ascii="Courier New" w:hAnsi="Courier New" w:cs="Courier New" w:hint="default"/>
      </w:rPr>
    </w:lvl>
    <w:lvl w:ilvl="5" w:tplc="18090005" w:tentative="1">
      <w:start w:val="1"/>
      <w:numFmt w:val="bullet"/>
      <w:lvlText w:val=""/>
      <w:lvlJc w:val="left"/>
      <w:pPr>
        <w:ind w:left="4540" w:hanging="360"/>
      </w:pPr>
      <w:rPr>
        <w:rFonts w:ascii="Wingdings" w:hAnsi="Wingdings" w:hint="default"/>
      </w:rPr>
    </w:lvl>
    <w:lvl w:ilvl="6" w:tplc="18090001" w:tentative="1">
      <w:start w:val="1"/>
      <w:numFmt w:val="bullet"/>
      <w:lvlText w:val=""/>
      <w:lvlJc w:val="left"/>
      <w:pPr>
        <w:ind w:left="5260" w:hanging="360"/>
      </w:pPr>
      <w:rPr>
        <w:rFonts w:ascii="Symbol" w:hAnsi="Symbol" w:hint="default"/>
      </w:rPr>
    </w:lvl>
    <w:lvl w:ilvl="7" w:tplc="18090003" w:tentative="1">
      <w:start w:val="1"/>
      <w:numFmt w:val="bullet"/>
      <w:lvlText w:val="o"/>
      <w:lvlJc w:val="left"/>
      <w:pPr>
        <w:ind w:left="5980" w:hanging="360"/>
      </w:pPr>
      <w:rPr>
        <w:rFonts w:ascii="Courier New" w:hAnsi="Courier New" w:cs="Courier New" w:hint="default"/>
      </w:rPr>
    </w:lvl>
    <w:lvl w:ilvl="8" w:tplc="18090005" w:tentative="1">
      <w:start w:val="1"/>
      <w:numFmt w:val="bullet"/>
      <w:lvlText w:val=""/>
      <w:lvlJc w:val="left"/>
      <w:pPr>
        <w:ind w:left="6700" w:hanging="360"/>
      </w:pPr>
      <w:rPr>
        <w:rFonts w:ascii="Wingdings" w:hAnsi="Wingdings" w:hint="default"/>
      </w:rPr>
    </w:lvl>
  </w:abstractNum>
  <w:abstractNum w:abstractNumId="4" w15:restartNumberingAfterBreak="0">
    <w:nsid w:val="40AC3A95"/>
    <w:multiLevelType w:val="hybridMultilevel"/>
    <w:tmpl w:val="BA221E54"/>
    <w:lvl w:ilvl="0" w:tplc="870ECF14">
      <w:start w:val="1"/>
      <w:numFmt w:val="lowerRoman"/>
      <w:lvlText w:val="(%1)"/>
      <w:lvlJc w:val="left"/>
      <w:pPr>
        <w:ind w:left="1300" w:hanging="720"/>
      </w:pPr>
      <w:rPr>
        <w:rFonts w:hint="default"/>
      </w:rPr>
    </w:lvl>
    <w:lvl w:ilvl="1" w:tplc="20000019" w:tentative="1">
      <w:start w:val="1"/>
      <w:numFmt w:val="lowerLetter"/>
      <w:lvlText w:val="%2."/>
      <w:lvlJc w:val="left"/>
      <w:pPr>
        <w:ind w:left="1660" w:hanging="360"/>
      </w:pPr>
    </w:lvl>
    <w:lvl w:ilvl="2" w:tplc="2000001B" w:tentative="1">
      <w:start w:val="1"/>
      <w:numFmt w:val="lowerRoman"/>
      <w:lvlText w:val="%3."/>
      <w:lvlJc w:val="right"/>
      <w:pPr>
        <w:ind w:left="2380" w:hanging="180"/>
      </w:pPr>
    </w:lvl>
    <w:lvl w:ilvl="3" w:tplc="2000000F" w:tentative="1">
      <w:start w:val="1"/>
      <w:numFmt w:val="decimal"/>
      <w:lvlText w:val="%4."/>
      <w:lvlJc w:val="left"/>
      <w:pPr>
        <w:ind w:left="3100" w:hanging="360"/>
      </w:pPr>
    </w:lvl>
    <w:lvl w:ilvl="4" w:tplc="20000019" w:tentative="1">
      <w:start w:val="1"/>
      <w:numFmt w:val="lowerLetter"/>
      <w:lvlText w:val="%5."/>
      <w:lvlJc w:val="left"/>
      <w:pPr>
        <w:ind w:left="3820" w:hanging="360"/>
      </w:pPr>
    </w:lvl>
    <w:lvl w:ilvl="5" w:tplc="2000001B" w:tentative="1">
      <w:start w:val="1"/>
      <w:numFmt w:val="lowerRoman"/>
      <w:lvlText w:val="%6."/>
      <w:lvlJc w:val="right"/>
      <w:pPr>
        <w:ind w:left="4540" w:hanging="180"/>
      </w:pPr>
    </w:lvl>
    <w:lvl w:ilvl="6" w:tplc="2000000F" w:tentative="1">
      <w:start w:val="1"/>
      <w:numFmt w:val="decimal"/>
      <w:lvlText w:val="%7."/>
      <w:lvlJc w:val="left"/>
      <w:pPr>
        <w:ind w:left="5260" w:hanging="360"/>
      </w:pPr>
    </w:lvl>
    <w:lvl w:ilvl="7" w:tplc="20000019" w:tentative="1">
      <w:start w:val="1"/>
      <w:numFmt w:val="lowerLetter"/>
      <w:lvlText w:val="%8."/>
      <w:lvlJc w:val="left"/>
      <w:pPr>
        <w:ind w:left="5980" w:hanging="360"/>
      </w:pPr>
    </w:lvl>
    <w:lvl w:ilvl="8" w:tplc="2000001B" w:tentative="1">
      <w:start w:val="1"/>
      <w:numFmt w:val="lowerRoman"/>
      <w:lvlText w:val="%9."/>
      <w:lvlJc w:val="right"/>
      <w:pPr>
        <w:ind w:left="6700" w:hanging="180"/>
      </w:pPr>
    </w:lvl>
  </w:abstractNum>
  <w:abstractNum w:abstractNumId="5" w15:restartNumberingAfterBreak="0">
    <w:nsid w:val="4C7D2AAA"/>
    <w:multiLevelType w:val="hybridMultilevel"/>
    <w:tmpl w:val="DA3A7832"/>
    <w:lvl w:ilvl="0" w:tplc="18090017">
      <w:start w:val="1"/>
      <w:numFmt w:val="lowerLetter"/>
      <w:lvlText w:val="%1)"/>
      <w:lvlJc w:val="left"/>
      <w:pPr>
        <w:ind w:left="2265" w:hanging="360"/>
      </w:pPr>
    </w:lvl>
    <w:lvl w:ilvl="1" w:tplc="18090019" w:tentative="1">
      <w:start w:val="1"/>
      <w:numFmt w:val="lowerLetter"/>
      <w:lvlText w:val="%2."/>
      <w:lvlJc w:val="left"/>
      <w:pPr>
        <w:ind w:left="2985" w:hanging="360"/>
      </w:pPr>
    </w:lvl>
    <w:lvl w:ilvl="2" w:tplc="1809001B" w:tentative="1">
      <w:start w:val="1"/>
      <w:numFmt w:val="lowerRoman"/>
      <w:lvlText w:val="%3."/>
      <w:lvlJc w:val="right"/>
      <w:pPr>
        <w:ind w:left="3705" w:hanging="180"/>
      </w:pPr>
    </w:lvl>
    <w:lvl w:ilvl="3" w:tplc="1809000F" w:tentative="1">
      <w:start w:val="1"/>
      <w:numFmt w:val="decimal"/>
      <w:lvlText w:val="%4."/>
      <w:lvlJc w:val="left"/>
      <w:pPr>
        <w:ind w:left="4425" w:hanging="360"/>
      </w:pPr>
    </w:lvl>
    <w:lvl w:ilvl="4" w:tplc="18090019" w:tentative="1">
      <w:start w:val="1"/>
      <w:numFmt w:val="lowerLetter"/>
      <w:lvlText w:val="%5."/>
      <w:lvlJc w:val="left"/>
      <w:pPr>
        <w:ind w:left="5145" w:hanging="360"/>
      </w:pPr>
    </w:lvl>
    <w:lvl w:ilvl="5" w:tplc="1809001B" w:tentative="1">
      <w:start w:val="1"/>
      <w:numFmt w:val="lowerRoman"/>
      <w:lvlText w:val="%6."/>
      <w:lvlJc w:val="right"/>
      <w:pPr>
        <w:ind w:left="5865" w:hanging="180"/>
      </w:pPr>
    </w:lvl>
    <w:lvl w:ilvl="6" w:tplc="1809000F" w:tentative="1">
      <w:start w:val="1"/>
      <w:numFmt w:val="decimal"/>
      <w:lvlText w:val="%7."/>
      <w:lvlJc w:val="left"/>
      <w:pPr>
        <w:ind w:left="6585" w:hanging="360"/>
      </w:pPr>
    </w:lvl>
    <w:lvl w:ilvl="7" w:tplc="18090019" w:tentative="1">
      <w:start w:val="1"/>
      <w:numFmt w:val="lowerLetter"/>
      <w:lvlText w:val="%8."/>
      <w:lvlJc w:val="left"/>
      <w:pPr>
        <w:ind w:left="7305" w:hanging="360"/>
      </w:pPr>
    </w:lvl>
    <w:lvl w:ilvl="8" w:tplc="1809001B" w:tentative="1">
      <w:start w:val="1"/>
      <w:numFmt w:val="lowerRoman"/>
      <w:lvlText w:val="%9."/>
      <w:lvlJc w:val="right"/>
      <w:pPr>
        <w:ind w:left="8025" w:hanging="180"/>
      </w:pPr>
    </w:lvl>
  </w:abstractNum>
  <w:abstractNum w:abstractNumId="6" w15:restartNumberingAfterBreak="0">
    <w:nsid w:val="527E6BAE"/>
    <w:multiLevelType w:val="hybridMultilevel"/>
    <w:tmpl w:val="5EA2F92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5B72016"/>
    <w:multiLevelType w:val="hybridMultilevel"/>
    <w:tmpl w:val="5378B5A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A9A19A9"/>
    <w:multiLevelType w:val="hybridMultilevel"/>
    <w:tmpl w:val="C434AECA"/>
    <w:lvl w:ilvl="0" w:tplc="18090001">
      <w:start w:val="1"/>
      <w:numFmt w:val="bullet"/>
      <w:lvlText w:val=""/>
      <w:lvlJc w:val="left"/>
      <w:pPr>
        <w:ind w:left="2020" w:hanging="360"/>
      </w:pPr>
      <w:rPr>
        <w:rFonts w:ascii="Symbol" w:hAnsi="Symbol" w:hint="default"/>
      </w:rPr>
    </w:lvl>
    <w:lvl w:ilvl="1" w:tplc="18090003" w:tentative="1">
      <w:start w:val="1"/>
      <w:numFmt w:val="bullet"/>
      <w:lvlText w:val="o"/>
      <w:lvlJc w:val="left"/>
      <w:pPr>
        <w:ind w:left="2740" w:hanging="360"/>
      </w:pPr>
      <w:rPr>
        <w:rFonts w:ascii="Courier New" w:hAnsi="Courier New" w:cs="Courier New" w:hint="default"/>
      </w:rPr>
    </w:lvl>
    <w:lvl w:ilvl="2" w:tplc="18090005" w:tentative="1">
      <w:start w:val="1"/>
      <w:numFmt w:val="bullet"/>
      <w:lvlText w:val=""/>
      <w:lvlJc w:val="left"/>
      <w:pPr>
        <w:ind w:left="3460" w:hanging="360"/>
      </w:pPr>
      <w:rPr>
        <w:rFonts w:ascii="Wingdings" w:hAnsi="Wingdings" w:hint="default"/>
      </w:rPr>
    </w:lvl>
    <w:lvl w:ilvl="3" w:tplc="18090001" w:tentative="1">
      <w:start w:val="1"/>
      <w:numFmt w:val="bullet"/>
      <w:lvlText w:val=""/>
      <w:lvlJc w:val="left"/>
      <w:pPr>
        <w:ind w:left="4180" w:hanging="360"/>
      </w:pPr>
      <w:rPr>
        <w:rFonts w:ascii="Symbol" w:hAnsi="Symbol" w:hint="default"/>
      </w:rPr>
    </w:lvl>
    <w:lvl w:ilvl="4" w:tplc="18090003" w:tentative="1">
      <w:start w:val="1"/>
      <w:numFmt w:val="bullet"/>
      <w:lvlText w:val="o"/>
      <w:lvlJc w:val="left"/>
      <w:pPr>
        <w:ind w:left="4900" w:hanging="360"/>
      </w:pPr>
      <w:rPr>
        <w:rFonts w:ascii="Courier New" w:hAnsi="Courier New" w:cs="Courier New" w:hint="default"/>
      </w:rPr>
    </w:lvl>
    <w:lvl w:ilvl="5" w:tplc="18090005" w:tentative="1">
      <w:start w:val="1"/>
      <w:numFmt w:val="bullet"/>
      <w:lvlText w:val=""/>
      <w:lvlJc w:val="left"/>
      <w:pPr>
        <w:ind w:left="5620" w:hanging="360"/>
      </w:pPr>
      <w:rPr>
        <w:rFonts w:ascii="Wingdings" w:hAnsi="Wingdings" w:hint="default"/>
      </w:rPr>
    </w:lvl>
    <w:lvl w:ilvl="6" w:tplc="18090001" w:tentative="1">
      <w:start w:val="1"/>
      <w:numFmt w:val="bullet"/>
      <w:lvlText w:val=""/>
      <w:lvlJc w:val="left"/>
      <w:pPr>
        <w:ind w:left="6340" w:hanging="360"/>
      </w:pPr>
      <w:rPr>
        <w:rFonts w:ascii="Symbol" w:hAnsi="Symbol" w:hint="default"/>
      </w:rPr>
    </w:lvl>
    <w:lvl w:ilvl="7" w:tplc="18090003" w:tentative="1">
      <w:start w:val="1"/>
      <w:numFmt w:val="bullet"/>
      <w:lvlText w:val="o"/>
      <w:lvlJc w:val="left"/>
      <w:pPr>
        <w:ind w:left="7060" w:hanging="360"/>
      </w:pPr>
      <w:rPr>
        <w:rFonts w:ascii="Courier New" w:hAnsi="Courier New" w:cs="Courier New" w:hint="default"/>
      </w:rPr>
    </w:lvl>
    <w:lvl w:ilvl="8" w:tplc="18090005" w:tentative="1">
      <w:start w:val="1"/>
      <w:numFmt w:val="bullet"/>
      <w:lvlText w:val=""/>
      <w:lvlJc w:val="left"/>
      <w:pPr>
        <w:ind w:left="7780" w:hanging="360"/>
      </w:pPr>
      <w:rPr>
        <w:rFonts w:ascii="Wingdings" w:hAnsi="Wingdings" w:hint="default"/>
      </w:rPr>
    </w:lvl>
  </w:abstractNum>
  <w:abstractNum w:abstractNumId="9" w15:restartNumberingAfterBreak="0">
    <w:nsid w:val="5B145B3C"/>
    <w:multiLevelType w:val="hybridMultilevel"/>
    <w:tmpl w:val="B4746C0E"/>
    <w:lvl w:ilvl="0" w:tplc="D99A7472">
      <w:start w:val="1"/>
      <w:numFmt w:val="lowerLetter"/>
      <w:lvlText w:val="(%1)"/>
      <w:lvlJc w:val="left"/>
      <w:pPr>
        <w:ind w:left="1300" w:hanging="360"/>
      </w:pPr>
      <w:rPr>
        <w:rFonts w:hint="default"/>
      </w:rPr>
    </w:lvl>
    <w:lvl w:ilvl="1" w:tplc="18090019" w:tentative="1">
      <w:start w:val="1"/>
      <w:numFmt w:val="lowerLetter"/>
      <w:lvlText w:val="%2."/>
      <w:lvlJc w:val="left"/>
      <w:pPr>
        <w:ind w:left="2020" w:hanging="360"/>
      </w:pPr>
    </w:lvl>
    <w:lvl w:ilvl="2" w:tplc="1809001B" w:tentative="1">
      <w:start w:val="1"/>
      <w:numFmt w:val="lowerRoman"/>
      <w:lvlText w:val="%3."/>
      <w:lvlJc w:val="right"/>
      <w:pPr>
        <w:ind w:left="2740" w:hanging="180"/>
      </w:pPr>
    </w:lvl>
    <w:lvl w:ilvl="3" w:tplc="1809000F" w:tentative="1">
      <w:start w:val="1"/>
      <w:numFmt w:val="decimal"/>
      <w:lvlText w:val="%4."/>
      <w:lvlJc w:val="left"/>
      <w:pPr>
        <w:ind w:left="3460" w:hanging="360"/>
      </w:pPr>
    </w:lvl>
    <w:lvl w:ilvl="4" w:tplc="18090019" w:tentative="1">
      <w:start w:val="1"/>
      <w:numFmt w:val="lowerLetter"/>
      <w:lvlText w:val="%5."/>
      <w:lvlJc w:val="left"/>
      <w:pPr>
        <w:ind w:left="4180" w:hanging="360"/>
      </w:pPr>
    </w:lvl>
    <w:lvl w:ilvl="5" w:tplc="1809001B" w:tentative="1">
      <w:start w:val="1"/>
      <w:numFmt w:val="lowerRoman"/>
      <w:lvlText w:val="%6."/>
      <w:lvlJc w:val="right"/>
      <w:pPr>
        <w:ind w:left="4900" w:hanging="180"/>
      </w:pPr>
    </w:lvl>
    <w:lvl w:ilvl="6" w:tplc="1809000F" w:tentative="1">
      <w:start w:val="1"/>
      <w:numFmt w:val="decimal"/>
      <w:lvlText w:val="%7."/>
      <w:lvlJc w:val="left"/>
      <w:pPr>
        <w:ind w:left="5620" w:hanging="360"/>
      </w:pPr>
    </w:lvl>
    <w:lvl w:ilvl="7" w:tplc="18090019" w:tentative="1">
      <w:start w:val="1"/>
      <w:numFmt w:val="lowerLetter"/>
      <w:lvlText w:val="%8."/>
      <w:lvlJc w:val="left"/>
      <w:pPr>
        <w:ind w:left="6340" w:hanging="360"/>
      </w:pPr>
    </w:lvl>
    <w:lvl w:ilvl="8" w:tplc="1809001B" w:tentative="1">
      <w:start w:val="1"/>
      <w:numFmt w:val="lowerRoman"/>
      <w:lvlText w:val="%9."/>
      <w:lvlJc w:val="right"/>
      <w:pPr>
        <w:ind w:left="7060" w:hanging="180"/>
      </w:pPr>
    </w:lvl>
  </w:abstractNum>
  <w:abstractNum w:abstractNumId="10" w15:restartNumberingAfterBreak="0">
    <w:nsid w:val="5CB96490"/>
    <w:multiLevelType w:val="hybridMultilevel"/>
    <w:tmpl w:val="1BD65232"/>
    <w:lvl w:ilvl="0" w:tplc="64D84764">
      <w:start w:val="1"/>
      <w:numFmt w:val="lowerLetter"/>
      <w:lvlText w:val="%1)"/>
      <w:lvlJc w:val="left"/>
      <w:pPr>
        <w:ind w:left="940" w:hanging="360"/>
      </w:pPr>
      <w:rPr>
        <w:rFonts w:hint="default"/>
      </w:rPr>
    </w:lvl>
    <w:lvl w:ilvl="1" w:tplc="18090019" w:tentative="1">
      <w:start w:val="1"/>
      <w:numFmt w:val="lowerLetter"/>
      <w:lvlText w:val="%2."/>
      <w:lvlJc w:val="left"/>
      <w:pPr>
        <w:ind w:left="1660" w:hanging="360"/>
      </w:pPr>
    </w:lvl>
    <w:lvl w:ilvl="2" w:tplc="1809001B" w:tentative="1">
      <w:start w:val="1"/>
      <w:numFmt w:val="lowerRoman"/>
      <w:lvlText w:val="%3."/>
      <w:lvlJc w:val="right"/>
      <w:pPr>
        <w:ind w:left="2380" w:hanging="180"/>
      </w:pPr>
    </w:lvl>
    <w:lvl w:ilvl="3" w:tplc="1809000F" w:tentative="1">
      <w:start w:val="1"/>
      <w:numFmt w:val="decimal"/>
      <w:lvlText w:val="%4."/>
      <w:lvlJc w:val="left"/>
      <w:pPr>
        <w:ind w:left="3100" w:hanging="360"/>
      </w:pPr>
    </w:lvl>
    <w:lvl w:ilvl="4" w:tplc="18090019" w:tentative="1">
      <w:start w:val="1"/>
      <w:numFmt w:val="lowerLetter"/>
      <w:lvlText w:val="%5."/>
      <w:lvlJc w:val="left"/>
      <w:pPr>
        <w:ind w:left="3820" w:hanging="360"/>
      </w:pPr>
    </w:lvl>
    <w:lvl w:ilvl="5" w:tplc="1809001B" w:tentative="1">
      <w:start w:val="1"/>
      <w:numFmt w:val="lowerRoman"/>
      <w:lvlText w:val="%6."/>
      <w:lvlJc w:val="right"/>
      <w:pPr>
        <w:ind w:left="4540" w:hanging="180"/>
      </w:pPr>
    </w:lvl>
    <w:lvl w:ilvl="6" w:tplc="1809000F" w:tentative="1">
      <w:start w:val="1"/>
      <w:numFmt w:val="decimal"/>
      <w:lvlText w:val="%7."/>
      <w:lvlJc w:val="left"/>
      <w:pPr>
        <w:ind w:left="5260" w:hanging="360"/>
      </w:pPr>
    </w:lvl>
    <w:lvl w:ilvl="7" w:tplc="18090019" w:tentative="1">
      <w:start w:val="1"/>
      <w:numFmt w:val="lowerLetter"/>
      <w:lvlText w:val="%8."/>
      <w:lvlJc w:val="left"/>
      <w:pPr>
        <w:ind w:left="5980" w:hanging="360"/>
      </w:pPr>
    </w:lvl>
    <w:lvl w:ilvl="8" w:tplc="1809001B" w:tentative="1">
      <w:start w:val="1"/>
      <w:numFmt w:val="lowerRoman"/>
      <w:lvlText w:val="%9."/>
      <w:lvlJc w:val="right"/>
      <w:pPr>
        <w:ind w:left="6700" w:hanging="180"/>
      </w:pPr>
    </w:lvl>
  </w:abstractNum>
  <w:abstractNum w:abstractNumId="11" w15:restartNumberingAfterBreak="0">
    <w:nsid w:val="6DAD4244"/>
    <w:multiLevelType w:val="multilevel"/>
    <w:tmpl w:val="DC8ED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9"/>
  </w:num>
  <w:num w:numId="4">
    <w:abstractNumId w:val="10"/>
  </w:num>
  <w:num w:numId="5">
    <w:abstractNumId w:val="5"/>
  </w:num>
  <w:num w:numId="6">
    <w:abstractNumId w:val="7"/>
  </w:num>
  <w:num w:numId="7">
    <w:abstractNumId w:val="8"/>
  </w:num>
  <w:num w:numId="8">
    <w:abstractNumId w:val="1"/>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6660677B-A1B3-4288-A6DB-08454A0BD3D0"/>
    <w:docVar w:name="LW_COVERPAGE_TYPE" w:val="1"/>
    <w:docVar w:name="LW_CROSSREFERENCE" w:val="&lt;UNUSED&gt;"/>
    <w:docVar w:name="LW_DocType" w:val="NORMAL"/>
    <w:docVar w:name="LW_EMISSION" w:val="12.6.2025"/>
    <w:docVar w:name="LW_EMISSION_ISODATE" w:val="2025-06-1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3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exercice of power to adopt delegated acts pursuant to Article 46(3) of 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w:docVar w:name="LW_TYPE.DOC.CP" w:val="REPORT FROM THE COMMISSION TO THE EUROPEAN PARLIAMENT AND THE COUNCIL"/>
    <w:docVar w:name="LwApiVersions" w:val="LW4CoDe 1.24.5.0; LW 9.0, Build 20240221"/>
  </w:docVars>
  <w:rsids>
    <w:rsidRoot w:val="004B181D"/>
    <w:rsid w:val="00043D16"/>
    <w:rsid w:val="00052D6C"/>
    <w:rsid w:val="0005795A"/>
    <w:rsid w:val="00085834"/>
    <w:rsid w:val="000D2F48"/>
    <w:rsid w:val="000D5CA8"/>
    <w:rsid w:val="000E00ED"/>
    <w:rsid w:val="000E6959"/>
    <w:rsid w:val="000F5BF6"/>
    <w:rsid w:val="001015FA"/>
    <w:rsid w:val="00126C4B"/>
    <w:rsid w:val="001459E0"/>
    <w:rsid w:val="001555AC"/>
    <w:rsid w:val="001623A2"/>
    <w:rsid w:val="00191A59"/>
    <w:rsid w:val="001A382C"/>
    <w:rsid w:val="001C6C4A"/>
    <w:rsid w:val="001D4095"/>
    <w:rsid w:val="001F36FD"/>
    <w:rsid w:val="001F548E"/>
    <w:rsid w:val="00217C9F"/>
    <w:rsid w:val="002207C1"/>
    <w:rsid w:val="002B20C5"/>
    <w:rsid w:val="002D07FF"/>
    <w:rsid w:val="002E5AF9"/>
    <w:rsid w:val="00313BC6"/>
    <w:rsid w:val="00313E09"/>
    <w:rsid w:val="00316507"/>
    <w:rsid w:val="003474A6"/>
    <w:rsid w:val="00355861"/>
    <w:rsid w:val="00357102"/>
    <w:rsid w:val="003752CD"/>
    <w:rsid w:val="00376481"/>
    <w:rsid w:val="003903D7"/>
    <w:rsid w:val="003A2BA6"/>
    <w:rsid w:val="003A4439"/>
    <w:rsid w:val="003A5CC5"/>
    <w:rsid w:val="003E0C63"/>
    <w:rsid w:val="003F0428"/>
    <w:rsid w:val="003F4BD8"/>
    <w:rsid w:val="0041305B"/>
    <w:rsid w:val="00414AA1"/>
    <w:rsid w:val="00455614"/>
    <w:rsid w:val="004564AF"/>
    <w:rsid w:val="00494748"/>
    <w:rsid w:val="004A5189"/>
    <w:rsid w:val="004A6981"/>
    <w:rsid w:val="004B181D"/>
    <w:rsid w:val="004B618A"/>
    <w:rsid w:val="004C631B"/>
    <w:rsid w:val="004D29D4"/>
    <w:rsid w:val="004D68A1"/>
    <w:rsid w:val="004D7B26"/>
    <w:rsid w:val="004F56AA"/>
    <w:rsid w:val="0050241A"/>
    <w:rsid w:val="00515950"/>
    <w:rsid w:val="00524335"/>
    <w:rsid w:val="00524434"/>
    <w:rsid w:val="0055061D"/>
    <w:rsid w:val="00557BD0"/>
    <w:rsid w:val="00564F70"/>
    <w:rsid w:val="00585D9E"/>
    <w:rsid w:val="00585F9B"/>
    <w:rsid w:val="005D131B"/>
    <w:rsid w:val="005D6C58"/>
    <w:rsid w:val="005E2AB0"/>
    <w:rsid w:val="005F7EC0"/>
    <w:rsid w:val="006451C5"/>
    <w:rsid w:val="006A7B76"/>
    <w:rsid w:val="006C3663"/>
    <w:rsid w:val="006E625E"/>
    <w:rsid w:val="00705AE1"/>
    <w:rsid w:val="0071428A"/>
    <w:rsid w:val="00756320"/>
    <w:rsid w:val="007625AB"/>
    <w:rsid w:val="00766445"/>
    <w:rsid w:val="00766E2D"/>
    <w:rsid w:val="007746AA"/>
    <w:rsid w:val="007939C6"/>
    <w:rsid w:val="007C722A"/>
    <w:rsid w:val="007D2068"/>
    <w:rsid w:val="007D2AE5"/>
    <w:rsid w:val="007F1C63"/>
    <w:rsid w:val="0080294A"/>
    <w:rsid w:val="00822134"/>
    <w:rsid w:val="008258DE"/>
    <w:rsid w:val="008351A6"/>
    <w:rsid w:val="0084544A"/>
    <w:rsid w:val="00860177"/>
    <w:rsid w:val="00876397"/>
    <w:rsid w:val="008959AA"/>
    <w:rsid w:val="008A119E"/>
    <w:rsid w:val="008A1797"/>
    <w:rsid w:val="008B758A"/>
    <w:rsid w:val="008E0AF5"/>
    <w:rsid w:val="008E5983"/>
    <w:rsid w:val="008F36AF"/>
    <w:rsid w:val="00922ECC"/>
    <w:rsid w:val="0093406A"/>
    <w:rsid w:val="009577DC"/>
    <w:rsid w:val="009602CE"/>
    <w:rsid w:val="00980B60"/>
    <w:rsid w:val="00983AB4"/>
    <w:rsid w:val="00990AF1"/>
    <w:rsid w:val="0099534C"/>
    <w:rsid w:val="009B08C7"/>
    <w:rsid w:val="009B45C3"/>
    <w:rsid w:val="009C0452"/>
    <w:rsid w:val="00A07509"/>
    <w:rsid w:val="00A16C25"/>
    <w:rsid w:val="00A4217A"/>
    <w:rsid w:val="00A42F52"/>
    <w:rsid w:val="00A5431E"/>
    <w:rsid w:val="00AA48F5"/>
    <w:rsid w:val="00AB00E3"/>
    <w:rsid w:val="00AB10F9"/>
    <w:rsid w:val="00AB37E6"/>
    <w:rsid w:val="00AD2419"/>
    <w:rsid w:val="00B01494"/>
    <w:rsid w:val="00B23542"/>
    <w:rsid w:val="00B27048"/>
    <w:rsid w:val="00B51492"/>
    <w:rsid w:val="00B519C5"/>
    <w:rsid w:val="00B6741F"/>
    <w:rsid w:val="00B70ABA"/>
    <w:rsid w:val="00B8286E"/>
    <w:rsid w:val="00BA0E0E"/>
    <w:rsid w:val="00BA0EA3"/>
    <w:rsid w:val="00BA607F"/>
    <w:rsid w:val="00BB25E8"/>
    <w:rsid w:val="00BC1323"/>
    <w:rsid w:val="00BC51EE"/>
    <w:rsid w:val="00BD34B7"/>
    <w:rsid w:val="00BF1E2D"/>
    <w:rsid w:val="00C07284"/>
    <w:rsid w:val="00C10D64"/>
    <w:rsid w:val="00C15B67"/>
    <w:rsid w:val="00C2747B"/>
    <w:rsid w:val="00C438B7"/>
    <w:rsid w:val="00C61441"/>
    <w:rsid w:val="00C66875"/>
    <w:rsid w:val="00C814A6"/>
    <w:rsid w:val="00C91F8C"/>
    <w:rsid w:val="00C959CE"/>
    <w:rsid w:val="00CB22F0"/>
    <w:rsid w:val="00CB3B19"/>
    <w:rsid w:val="00CC3BF4"/>
    <w:rsid w:val="00D576FE"/>
    <w:rsid w:val="00D75A25"/>
    <w:rsid w:val="00DA487F"/>
    <w:rsid w:val="00DC23C0"/>
    <w:rsid w:val="00DC501C"/>
    <w:rsid w:val="00DF4CA6"/>
    <w:rsid w:val="00DF718E"/>
    <w:rsid w:val="00E02414"/>
    <w:rsid w:val="00E162B9"/>
    <w:rsid w:val="00E20353"/>
    <w:rsid w:val="00E20F34"/>
    <w:rsid w:val="00E27986"/>
    <w:rsid w:val="00E46FFC"/>
    <w:rsid w:val="00E47382"/>
    <w:rsid w:val="00E56ED6"/>
    <w:rsid w:val="00E755AD"/>
    <w:rsid w:val="00E803DF"/>
    <w:rsid w:val="00E8421E"/>
    <w:rsid w:val="00E93E2B"/>
    <w:rsid w:val="00E97588"/>
    <w:rsid w:val="00EB7028"/>
    <w:rsid w:val="00EC1987"/>
    <w:rsid w:val="00ED16DC"/>
    <w:rsid w:val="00ED1CEB"/>
    <w:rsid w:val="00EF1413"/>
    <w:rsid w:val="00F079F0"/>
    <w:rsid w:val="00F64939"/>
    <w:rsid w:val="00F704C0"/>
    <w:rsid w:val="00F9504E"/>
    <w:rsid w:val="00F955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C6BD01"/>
  <w15:chartTrackingRefBased/>
  <w15:docId w15:val="{8D0C2779-6F72-4546-B099-819FA6FB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1D"/>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4B181D"/>
  </w:style>
  <w:style w:type="character" w:customStyle="1" w:styleId="Heading11">
    <w:name w:val="Heading #1|1_"/>
    <w:basedOn w:val="DefaultParagraphFont"/>
    <w:link w:val="Heading110"/>
    <w:rsid w:val="004B181D"/>
    <w:rPr>
      <w:b/>
      <w:bCs/>
      <w:sz w:val="19"/>
      <w:szCs w:val="19"/>
    </w:rPr>
  </w:style>
  <w:style w:type="paragraph" w:customStyle="1" w:styleId="Bodytext10">
    <w:name w:val="Body text|1"/>
    <w:basedOn w:val="Normal"/>
    <w:link w:val="Bodytext1"/>
    <w:rsid w:val="004B181D"/>
    <w:pPr>
      <w:widowControl w:val="0"/>
      <w:spacing w:after="260" w:line="240" w:lineRule="auto"/>
    </w:pPr>
    <w:rPr>
      <w:kern w:val="2"/>
      <w:lang w:val="en-IE"/>
      <w14:ligatures w14:val="standardContextual"/>
    </w:rPr>
  </w:style>
  <w:style w:type="paragraph" w:customStyle="1" w:styleId="Heading110">
    <w:name w:val="Heading #1|1"/>
    <w:basedOn w:val="Normal"/>
    <w:link w:val="Heading11"/>
    <w:rsid w:val="004B181D"/>
    <w:pPr>
      <w:widowControl w:val="0"/>
      <w:spacing w:after="260" w:line="240" w:lineRule="auto"/>
      <w:outlineLvl w:val="0"/>
    </w:pPr>
    <w:rPr>
      <w:b/>
      <w:bCs/>
      <w:kern w:val="2"/>
      <w:sz w:val="19"/>
      <w:szCs w:val="19"/>
      <w:lang w:val="en-IE"/>
      <w14:ligatures w14:val="standardContextual"/>
    </w:rPr>
  </w:style>
  <w:style w:type="character" w:styleId="Emphasis">
    <w:name w:val="Emphasis"/>
    <w:basedOn w:val="DefaultParagraphFont"/>
    <w:uiPriority w:val="20"/>
    <w:qFormat/>
    <w:rsid w:val="004B181D"/>
    <w:rPr>
      <w:i/>
      <w:iCs/>
    </w:rPr>
  </w:style>
  <w:style w:type="paragraph" w:styleId="FootnoteText">
    <w:name w:val="footnote text"/>
    <w:basedOn w:val="Normal"/>
    <w:link w:val="FootnoteTextChar"/>
    <w:uiPriority w:val="99"/>
    <w:semiHidden/>
    <w:unhideWhenUsed/>
    <w:rsid w:val="004B181D"/>
    <w:pPr>
      <w:widowControl w:val="0"/>
      <w:spacing w:after="0" w:line="240" w:lineRule="auto"/>
    </w:pPr>
    <w:rPr>
      <w:rFonts w:ascii="Times New Roman" w:eastAsia="Times New Roman" w:hAnsi="Times New Roman" w:cs="Times New Roman"/>
      <w:color w:val="000000"/>
      <w:sz w:val="20"/>
      <w:szCs w:val="20"/>
      <w:lang w:val="hr-HR" w:eastAsia="hr-HR" w:bidi="hr-HR"/>
    </w:rPr>
  </w:style>
  <w:style w:type="character" w:customStyle="1" w:styleId="FootnoteTextChar">
    <w:name w:val="Footnote Text Char"/>
    <w:basedOn w:val="DefaultParagraphFont"/>
    <w:link w:val="FootnoteText"/>
    <w:uiPriority w:val="99"/>
    <w:semiHidden/>
    <w:rsid w:val="004B181D"/>
    <w:rPr>
      <w:rFonts w:ascii="Times New Roman" w:eastAsia="Times New Roman" w:hAnsi="Times New Roman" w:cs="Times New Roman"/>
      <w:color w:val="000000"/>
      <w:kern w:val="0"/>
      <w:sz w:val="20"/>
      <w:szCs w:val="20"/>
      <w:lang w:val="hr-HR" w:eastAsia="hr-HR" w:bidi="hr-HR"/>
      <w14:ligatures w14:val="none"/>
    </w:rPr>
  </w:style>
  <w:style w:type="character" w:styleId="FootnoteReference">
    <w:name w:val="footnote reference"/>
    <w:basedOn w:val="DefaultParagraphFont"/>
    <w:uiPriority w:val="99"/>
    <w:semiHidden/>
    <w:unhideWhenUsed/>
    <w:rsid w:val="004B181D"/>
    <w:rPr>
      <w:vertAlign w:val="superscript"/>
    </w:rPr>
  </w:style>
  <w:style w:type="paragraph" w:customStyle="1" w:styleId="title-bold">
    <w:name w:val="title-bold"/>
    <w:basedOn w:val="Normal"/>
    <w:rsid w:val="004B181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Marker">
    <w:name w:val="Marker"/>
    <w:basedOn w:val="DefaultParagraphFont"/>
    <w:rsid w:val="007F1C63"/>
    <w:rPr>
      <w:color w:val="0000FF"/>
      <w:shd w:val="clear" w:color="auto" w:fill="auto"/>
    </w:rPr>
  </w:style>
  <w:style w:type="paragraph" w:styleId="Header">
    <w:name w:val="header"/>
    <w:basedOn w:val="Normal"/>
    <w:link w:val="HeaderChar"/>
    <w:uiPriority w:val="99"/>
    <w:unhideWhenUsed/>
    <w:rsid w:val="007F1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C63"/>
    <w:rPr>
      <w:kern w:val="0"/>
      <w:lang w:val="en-US"/>
      <w14:ligatures w14:val="none"/>
    </w:rPr>
  </w:style>
  <w:style w:type="paragraph" w:styleId="Footer">
    <w:name w:val="footer"/>
    <w:basedOn w:val="Normal"/>
    <w:link w:val="FooterChar"/>
    <w:uiPriority w:val="99"/>
    <w:unhideWhenUsed/>
    <w:rsid w:val="007F1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C63"/>
    <w:rPr>
      <w:kern w:val="0"/>
      <w:lang w:val="en-US"/>
      <w14:ligatures w14:val="none"/>
    </w:rPr>
  </w:style>
  <w:style w:type="paragraph" w:customStyle="1" w:styleId="Pagedecouverture">
    <w:name w:val="Page de couverture"/>
    <w:basedOn w:val="Normal"/>
    <w:next w:val="Normal"/>
    <w:link w:val="PagedecouvertureChar"/>
    <w:rsid w:val="007F1C6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F1C6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7F1C63"/>
    <w:rPr>
      <w:rFonts w:ascii="Times New Roman" w:hAnsi="Times New Roman" w:cs="Times New Roman"/>
      <w:kern w:val="0"/>
      <w:sz w:val="24"/>
      <w:lang w:val="en-US"/>
      <w14:ligatures w14:val="none"/>
    </w:rPr>
  </w:style>
  <w:style w:type="character" w:customStyle="1" w:styleId="FooterCoverPageChar">
    <w:name w:val="Footer Cover Page Char"/>
    <w:basedOn w:val="PagedecouvertureChar"/>
    <w:link w:val="FooterCoverPage"/>
    <w:rsid w:val="007F1C63"/>
    <w:rPr>
      <w:rFonts w:ascii="Times New Roman" w:hAnsi="Times New Roman" w:cs="Times New Roman"/>
      <w:kern w:val="0"/>
      <w:sz w:val="24"/>
      <w:lang w:val="en-US"/>
      <w14:ligatures w14:val="none"/>
    </w:rPr>
  </w:style>
  <w:style w:type="paragraph" w:customStyle="1" w:styleId="FooterSensitivity">
    <w:name w:val="Footer Sensitivity"/>
    <w:basedOn w:val="Normal"/>
    <w:link w:val="FooterSensitivityChar"/>
    <w:rsid w:val="007F1C6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7F1C63"/>
    <w:rPr>
      <w:rFonts w:ascii="Times New Roman" w:hAnsi="Times New Roman" w:cs="Times New Roman"/>
      <w:b/>
      <w:kern w:val="0"/>
      <w:sz w:val="32"/>
      <w:lang w:val="en-US"/>
      <w14:ligatures w14:val="none"/>
    </w:rPr>
  </w:style>
  <w:style w:type="paragraph" w:customStyle="1" w:styleId="HeaderCoverPage">
    <w:name w:val="Header Cover Page"/>
    <w:basedOn w:val="Normal"/>
    <w:link w:val="HeaderCoverPageChar"/>
    <w:rsid w:val="007F1C6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7F1C63"/>
    <w:rPr>
      <w:rFonts w:ascii="Times New Roman" w:hAnsi="Times New Roman" w:cs="Times New Roman"/>
      <w:kern w:val="0"/>
      <w:sz w:val="24"/>
      <w:lang w:val="en-US"/>
      <w14:ligatures w14:val="none"/>
    </w:rPr>
  </w:style>
  <w:style w:type="paragraph" w:customStyle="1" w:styleId="HeaderSensitivity">
    <w:name w:val="Header Sensitivity"/>
    <w:basedOn w:val="Normal"/>
    <w:link w:val="HeaderSensitivityChar"/>
    <w:rsid w:val="007F1C6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7F1C63"/>
    <w:rPr>
      <w:rFonts w:ascii="Times New Roman" w:hAnsi="Times New Roman" w:cs="Times New Roman"/>
      <w:b/>
      <w:kern w:val="0"/>
      <w:sz w:val="32"/>
      <w:lang w:val="en-US"/>
      <w14:ligatures w14:val="none"/>
    </w:rPr>
  </w:style>
  <w:style w:type="paragraph" w:customStyle="1" w:styleId="HeaderSensitivityRight">
    <w:name w:val="Header Sensitivity Right"/>
    <w:basedOn w:val="Normal"/>
    <w:link w:val="HeaderSensitivityRightChar"/>
    <w:rsid w:val="007F1C6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7F1C63"/>
    <w:rPr>
      <w:rFonts w:ascii="Times New Roman" w:hAnsi="Times New Roman" w:cs="Times New Roman"/>
      <w:kern w:val="0"/>
      <w:sz w:val="28"/>
      <w:lang w:val="en-US"/>
      <w14:ligatures w14:val="none"/>
    </w:rPr>
  </w:style>
  <w:style w:type="paragraph" w:styleId="Revision">
    <w:name w:val="Revision"/>
    <w:hidden/>
    <w:uiPriority w:val="99"/>
    <w:semiHidden/>
    <w:rsid w:val="00DC23C0"/>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DC23C0"/>
    <w:rPr>
      <w:sz w:val="16"/>
      <w:szCs w:val="16"/>
    </w:rPr>
  </w:style>
  <w:style w:type="paragraph" w:styleId="CommentText">
    <w:name w:val="annotation text"/>
    <w:basedOn w:val="Normal"/>
    <w:link w:val="CommentTextChar"/>
    <w:uiPriority w:val="99"/>
    <w:unhideWhenUsed/>
    <w:rsid w:val="00DC23C0"/>
    <w:pPr>
      <w:spacing w:line="240" w:lineRule="auto"/>
    </w:pPr>
    <w:rPr>
      <w:sz w:val="20"/>
      <w:szCs w:val="20"/>
    </w:rPr>
  </w:style>
  <w:style w:type="character" w:customStyle="1" w:styleId="CommentTextChar">
    <w:name w:val="Comment Text Char"/>
    <w:basedOn w:val="DefaultParagraphFont"/>
    <w:link w:val="CommentText"/>
    <w:uiPriority w:val="99"/>
    <w:rsid w:val="00DC23C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C23C0"/>
    <w:rPr>
      <w:b/>
      <w:bCs/>
    </w:rPr>
  </w:style>
  <w:style w:type="character" w:customStyle="1" w:styleId="CommentSubjectChar">
    <w:name w:val="Comment Subject Char"/>
    <w:basedOn w:val="CommentTextChar"/>
    <w:link w:val="CommentSubject"/>
    <w:uiPriority w:val="99"/>
    <w:semiHidden/>
    <w:rsid w:val="00DC23C0"/>
    <w:rPr>
      <w:b/>
      <w:bCs/>
      <w:kern w:val="0"/>
      <w:sz w:val="20"/>
      <w:szCs w:val="20"/>
      <w:lang w:val="en-US"/>
      <w14:ligatures w14:val="none"/>
    </w:rPr>
  </w:style>
  <w:style w:type="character" w:styleId="Hyperlink">
    <w:name w:val="Hyperlink"/>
    <w:basedOn w:val="DefaultParagraphFont"/>
    <w:uiPriority w:val="99"/>
    <w:unhideWhenUsed/>
    <w:rsid w:val="00E97588"/>
    <w:rPr>
      <w:color w:val="0000FF"/>
      <w:u w:val="single"/>
    </w:rPr>
  </w:style>
  <w:style w:type="paragraph" w:styleId="ListParagraph">
    <w:name w:val="List Paragraph"/>
    <w:basedOn w:val="Normal"/>
    <w:uiPriority w:val="34"/>
    <w:qFormat/>
    <w:rsid w:val="00E20353"/>
    <w:pPr>
      <w:ind w:left="720"/>
      <w:contextualSpacing/>
    </w:pPr>
  </w:style>
  <w:style w:type="character" w:customStyle="1" w:styleId="UnresolvedMention">
    <w:name w:val="Unresolved Mention"/>
    <w:basedOn w:val="DefaultParagraphFont"/>
    <w:uiPriority w:val="99"/>
    <w:semiHidden/>
    <w:unhideWhenUsed/>
    <w:rsid w:val="003A5CC5"/>
    <w:rPr>
      <w:color w:val="605E5C"/>
      <w:shd w:val="clear" w:color="auto" w:fill="E1DFDD"/>
    </w:rPr>
  </w:style>
  <w:style w:type="character" w:styleId="FollowedHyperlink">
    <w:name w:val="FollowedHyperlink"/>
    <w:basedOn w:val="DefaultParagraphFont"/>
    <w:uiPriority w:val="99"/>
    <w:semiHidden/>
    <w:unhideWhenUsed/>
    <w:rsid w:val="003A5CC5"/>
    <w:rPr>
      <w:color w:val="954F72" w:themeColor="followedHyperlink"/>
      <w:u w:val="single"/>
    </w:rPr>
  </w:style>
  <w:style w:type="character" w:customStyle="1" w:styleId="BodyPlaceholderText">
    <w:name w:val="BodyPlaceholderText"/>
    <w:basedOn w:val="PlaceholderText"/>
    <w:semiHidden/>
    <w:rsid w:val="005F7EC0"/>
    <w:rPr>
      <w:color w:val="3366CC"/>
    </w:rPr>
  </w:style>
  <w:style w:type="character" w:styleId="PlaceholderText">
    <w:name w:val="Placeholder Text"/>
    <w:basedOn w:val="DefaultParagraphFont"/>
    <w:uiPriority w:val="99"/>
    <w:semiHidden/>
    <w:rsid w:val="005F7E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5236">
      <w:bodyDiv w:val="1"/>
      <w:marLeft w:val="0"/>
      <w:marRight w:val="0"/>
      <w:marTop w:val="0"/>
      <w:marBottom w:val="0"/>
      <w:divBdr>
        <w:top w:val="none" w:sz="0" w:space="0" w:color="auto"/>
        <w:left w:val="none" w:sz="0" w:space="0" w:color="auto"/>
        <w:bottom w:val="none" w:sz="0" w:space="0" w:color="auto"/>
        <w:right w:val="none" w:sz="0" w:space="0" w:color="auto"/>
      </w:divBdr>
    </w:div>
    <w:div w:id="1116875150">
      <w:bodyDiv w:val="1"/>
      <w:marLeft w:val="0"/>
      <w:marRight w:val="0"/>
      <w:marTop w:val="0"/>
      <w:marBottom w:val="0"/>
      <w:divBdr>
        <w:top w:val="none" w:sz="0" w:space="0" w:color="auto"/>
        <w:left w:val="none" w:sz="0" w:space="0" w:color="auto"/>
        <w:bottom w:val="none" w:sz="0" w:space="0" w:color="auto"/>
        <w:right w:val="none" w:sz="0" w:space="0" w:color="auto"/>
      </w:divBdr>
    </w:div>
    <w:div w:id="1370687444">
      <w:bodyDiv w:val="1"/>
      <w:marLeft w:val="0"/>
      <w:marRight w:val="0"/>
      <w:marTop w:val="0"/>
      <w:marBottom w:val="0"/>
      <w:divBdr>
        <w:top w:val="none" w:sz="0" w:space="0" w:color="auto"/>
        <w:left w:val="none" w:sz="0" w:space="0" w:color="auto"/>
        <w:bottom w:val="none" w:sz="0" w:space="0" w:color="auto"/>
        <w:right w:val="none" w:sz="0" w:space="0" w:color="auto"/>
      </w:divBdr>
    </w:div>
    <w:div w:id="1491366771">
      <w:bodyDiv w:val="1"/>
      <w:marLeft w:val="0"/>
      <w:marRight w:val="0"/>
      <w:marTop w:val="0"/>
      <w:marBottom w:val="0"/>
      <w:divBdr>
        <w:top w:val="none" w:sz="0" w:space="0" w:color="auto"/>
        <w:left w:val="none" w:sz="0" w:space="0" w:color="auto"/>
        <w:bottom w:val="none" w:sz="0" w:space="0" w:color="auto"/>
        <w:right w:val="none" w:sz="0" w:space="0" w:color="auto"/>
      </w:divBdr>
    </w:div>
    <w:div w:id="1642810729">
      <w:bodyDiv w:val="1"/>
      <w:marLeft w:val="0"/>
      <w:marRight w:val="0"/>
      <w:marTop w:val="0"/>
      <w:marBottom w:val="0"/>
      <w:divBdr>
        <w:top w:val="none" w:sz="0" w:space="0" w:color="auto"/>
        <w:left w:val="none" w:sz="0" w:space="0" w:color="auto"/>
        <w:bottom w:val="none" w:sz="0" w:space="0" w:color="auto"/>
        <w:right w:val="none" w:sz="0" w:space="0" w:color="auto"/>
      </w:divBdr>
    </w:div>
    <w:div w:id="1647008080">
      <w:bodyDiv w:val="1"/>
      <w:marLeft w:val="0"/>
      <w:marRight w:val="0"/>
      <w:marTop w:val="0"/>
      <w:marBottom w:val="0"/>
      <w:divBdr>
        <w:top w:val="none" w:sz="0" w:space="0" w:color="auto"/>
        <w:left w:val="none" w:sz="0" w:space="0" w:color="auto"/>
        <w:bottom w:val="none" w:sz="0" w:space="0" w:color="auto"/>
        <w:right w:val="none" w:sz="0" w:space="0" w:color="auto"/>
      </w:divBdr>
    </w:div>
    <w:div w:id="1929146786">
      <w:bodyDiv w:val="1"/>
      <w:marLeft w:val="0"/>
      <w:marRight w:val="0"/>
      <w:marTop w:val="0"/>
      <w:marBottom w:val="0"/>
      <w:divBdr>
        <w:top w:val="none" w:sz="0" w:space="0" w:color="auto"/>
        <w:left w:val="none" w:sz="0" w:space="0" w:color="auto"/>
        <w:bottom w:val="none" w:sz="0" w:space="0" w:color="auto"/>
        <w:right w:val="none" w:sz="0" w:space="0" w:color="auto"/>
      </w:divBdr>
    </w:div>
    <w:div w:id="19341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21/1235/oj" TargetMode="External"/><Relationship Id="rId7" Type="http://schemas.openxmlformats.org/officeDocument/2006/relationships/hyperlink" Target="http://data.europa.eu/eli/reg_impl/2025/26/oj" TargetMode="External"/><Relationship Id="rId2" Type="http://schemas.openxmlformats.org/officeDocument/2006/relationships/hyperlink" Target="http://data.europa.eu/eli/reg/2008/110(1)/oj" TargetMode="External"/><Relationship Id="rId1" Type="http://schemas.openxmlformats.org/officeDocument/2006/relationships/hyperlink" Target="http://data.europa.eu/eli/reg/2019/787/oj" TargetMode="External"/><Relationship Id="rId6" Type="http://schemas.openxmlformats.org/officeDocument/2006/relationships/hyperlink" Target="http://data.europa.eu/eli/reg_del/2025/29/oj" TargetMode="External"/><Relationship Id="rId5" Type="http://schemas.openxmlformats.org/officeDocument/2006/relationships/hyperlink" Target="http://data.europa.eu/eli/reg_del/2025/27/oj" TargetMode="External"/><Relationship Id="rId4" Type="http://schemas.openxmlformats.org/officeDocument/2006/relationships/hyperlink" Target="http://data.europa.eu/eli/reg/2024/1143/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EB13-B611-48D5-BFCF-4D2949E0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cp:lastPrinted>2025-04-04T09:20:00Z</cp:lastPrinted>
  <dcterms:created xsi:type="dcterms:W3CDTF">2025-05-12T15:05:00Z</dcterms:created>
  <dcterms:modified xsi:type="dcterms:W3CDTF">2025-06-11T21:18:00Z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2024-04-05T14:43:48Z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13d92e9d-0af8-43a0-b6dc-adbce80fb090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9.1, Build 20240808</vt:lpwstr>
  </property>
  <property fmtid="{D5CDD505-2E9C-101B-9397-08002B2CF9AE}" pid="15" name="Created using">
    <vt:lpwstr>LW 9.0, Build 20230317</vt:lpwstr>
  </property>
</Properties>
</file>