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53377" w14:textId="6634B889" w:rsidR="00717869" w:rsidRPr="007C0C4B" w:rsidRDefault="00B74DC0" w:rsidP="00B74DC0">
      <w:pPr>
        <w:pStyle w:val="Pagedecouverture"/>
        <w:rPr>
          <w:noProof/>
        </w:rPr>
      </w:pPr>
      <w:bookmarkStart w:id="0" w:name="LW_BM_COVERPAGE"/>
      <w:r>
        <w:rPr>
          <w:noProof/>
        </w:rPr>
        <w:pict w14:anchorId="5CD08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540D064-7DF4-4599-906D-C4CB92ECF274" style="width:455.25pt;height:410.25pt">
            <v:imagedata r:id="rId11" o:title=""/>
          </v:shape>
        </w:pict>
      </w:r>
    </w:p>
    <w:bookmarkEnd w:id="0"/>
    <w:p w14:paraId="5691D132" w14:textId="77777777" w:rsidR="00A666EF" w:rsidRDefault="00A666EF" w:rsidP="00A666EF">
      <w:pPr>
        <w:rPr>
          <w:noProof/>
        </w:rPr>
        <w:sectPr w:rsidR="00A666EF" w:rsidSect="00B74DC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C900785" w14:textId="0CF85858" w:rsidR="0092635F" w:rsidRPr="007C0C4B" w:rsidRDefault="0092635F" w:rsidP="00717869">
      <w:pPr>
        <w:rPr>
          <w:b/>
          <w:bCs/>
          <w:noProof/>
        </w:rPr>
      </w:pPr>
      <w:bookmarkStart w:id="1" w:name="_GoBack"/>
      <w:bookmarkEnd w:id="1"/>
    </w:p>
    <w:p w14:paraId="4DA445F2" w14:textId="0920D1A0" w:rsidR="0092635F" w:rsidRPr="007C0C4B" w:rsidRDefault="0092635F" w:rsidP="00717869">
      <w:pPr>
        <w:rPr>
          <w:b/>
          <w:bCs/>
          <w:noProof/>
        </w:rPr>
      </w:pPr>
    </w:p>
    <w:p w14:paraId="0432DD8B" w14:textId="77777777" w:rsidR="0092635F" w:rsidRPr="007C0C4B" w:rsidRDefault="0092635F" w:rsidP="00717869">
      <w:pPr>
        <w:rPr>
          <w:b/>
          <w:bCs/>
          <w:noProof/>
        </w:rPr>
      </w:pPr>
    </w:p>
    <w:p w14:paraId="2A5ACAF6" w14:textId="743E5671" w:rsidR="0092635F" w:rsidRPr="007C0C4B" w:rsidRDefault="0092635F" w:rsidP="00717869">
      <w:pPr>
        <w:rPr>
          <w:b/>
          <w:bCs/>
          <w:noProof/>
        </w:rPr>
      </w:pPr>
    </w:p>
    <w:p w14:paraId="597FB188" w14:textId="5BEF4873" w:rsidR="0092635F" w:rsidRPr="007C0C4B" w:rsidRDefault="0092635F" w:rsidP="00717869">
      <w:pPr>
        <w:rPr>
          <w:b/>
          <w:bCs/>
          <w:noProof/>
        </w:rPr>
      </w:pPr>
    </w:p>
    <w:p w14:paraId="0055197E" w14:textId="1B0AF2CB" w:rsidR="0092635F" w:rsidRPr="007C0C4B" w:rsidRDefault="00E22B5A" w:rsidP="00717869">
      <w:pPr>
        <w:rPr>
          <w:b/>
          <w:bCs/>
          <w:noProof/>
        </w:rPr>
      </w:pPr>
      <w:r>
        <w:rPr>
          <w:b/>
          <w:bCs/>
          <w:noProof/>
          <w:lang w:val="en-GB" w:eastAsia="en-GB"/>
          <w14:ligatures w14:val="none"/>
        </w:rPr>
        <mc:AlternateContent>
          <mc:Choice Requires="wps">
            <w:drawing>
              <wp:anchor distT="0" distB="0" distL="114300" distR="114300" simplePos="0" relativeHeight="251660289" behindDoc="0" locked="0" layoutInCell="1" allowOverlap="1" wp14:anchorId="1035DDCD" wp14:editId="561F36A2">
                <wp:simplePos x="0" y="0"/>
                <wp:positionH relativeFrom="column">
                  <wp:posOffset>615950</wp:posOffset>
                </wp:positionH>
                <wp:positionV relativeFrom="paragraph">
                  <wp:posOffset>12065</wp:posOffset>
                </wp:positionV>
                <wp:extent cx="5390707" cy="1509824"/>
                <wp:effectExtent l="0" t="0" r="0" b="0"/>
                <wp:wrapNone/>
                <wp:docPr id="942667389" name="Zone de texte 7"/>
                <wp:cNvGraphicFramePr/>
                <a:graphic xmlns:a="http://schemas.openxmlformats.org/drawingml/2006/main">
                  <a:graphicData uri="http://schemas.microsoft.com/office/word/2010/wordprocessingShape">
                    <wps:wsp>
                      <wps:cNvSpPr txBox="1"/>
                      <wps:spPr>
                        <a:xfrm>
                          <a:off x="0" y="0"/>
                          <a:ext cx="5390707" cy="1509824"/>
                        </a:xfrm>
                        <a:prstGeom prst="rect">
                          <a:avLst/>
                        </a:prstGeom>
                        <a:noFill/>
                        <a:ln w="6350">
                          <a:noFill/>
                        </a:ln>
                      </wps:spPr>
                      <wps:txbx>
                        <w:txbxContent>
                          <w:p w14:paraId="2490DB22" w14:textId="77777777" w:rsidR="00E22B5A" w:rsidRPr="00C84883" w:rsidRDefault="00E22B5A" w:rsidP="00E22B5A">
                            <w:pPr>
                              <w:spacing w:after="0" w:line="240" w:lineRule="auto"/>
                              <w:rPr>
                                <w:rFonts w:eastAsia="Times New Roman" w:cs="Calibri (Corps)"/>
                                <w:b/>
                                <w:iCs/>
                                <w:caps/>
                                <w:color w:val="FFFFFF" w:themeColor="background1"/>
                                <w:kern w:val="0"/>
                                <w:sz w:val="96"/>
                                <w:szCs w:val="96"/>
                                <w:lang w:eastAsia="fr-FR"/>
                                <w14:ligatures w14:val="none"/>
                              </w:rPr>
                            </w:pPr>
                            <w:r w:rsidRPr="00C84883">
                              <w:rPr>
                                <w:rFonts w:eastAsia="Times New Roman" w:cs="Calibri (Corps)"/>
                                <w:b/>
                                <w:iCs/>
                                <w:caps/>
                                <w:color w:val="FFFFFF" w:themeColor="background1"/>
                                <w:kern w:val="0"/>
                                <w:sz w:val="96"/>
                                <w:szCs w:val="96"/>
                                <w:lang w:eastAsia="fr-FR"/>
                                <w14:ligatures w14:val="none"/>
                              </w:rPr>
                              <w:t>Short country reports 2025</w:t>
                            </w:r>
                          </w:p>
                          <w:p w14:paraId="64337CD8" w14:textId="77777777" w:rsidR="00E22B5A" w:rsidRPr="00C84883" w:rsidRDefault="00E22B5A" w:rsidP="00E22B5A">
                            <w:pPr>
                              <w:spacing w:line="240" w:lineRule="auto"/>
                              <w:rPr>
                                <w:rFonts w:cs="Calibri (Corps)"/>
                                <w:b/>
                                <w:bCs/>
                                <w:caps/>
                                <w:color w:val="FFFFFF" w:themeColor="background1"/>
                                <w:sz w:val="96"/>
                                <w:szCs w:val="9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5DDCD" id="_x0000_t202" coordsize="21600,21600" o:spt="202" path="m,l,21600r21600,l21600,xe">
                <v:stroke joinstyle="miter"/>
                <v:path gradientshapeok="t" o:connecttype="rect"/>
              </v:shapetype>
              <v:shape id="Zone de texte 7" o:spid="_x0000_s1026" type="#_x0000_t202" style="position:absolute;margin-left:48.5pt;margin-top:.95pt;width:424.45pt;height:118.9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" filled="f" stroked="f" strokeweight=".5pt">
                <v:textbox>
                  <w:txbxContent>
                    <w:p w14:paraId="2490DB22" w14:textId="77777777" w:rsidR="00E22B5A" w:rsidRPr="00C84883" w:rsidRDefault="00E22B5A" w:rsidP="00E22B5A">
                      <w:pPr>
                        <w:spacing w:after="0" w:line="240" w:lineRule="auto"/>
                        <w:rPr>
                          <w:rFonts w:eastAsia="Times New Roman" w:cs="Calibri (Corps)"/>
                          <w:b/>
                          <w:iCs/>
                          <w:caps/>
                          <w:color w:val="FFFFFF" w:themeColor="background1"/>
                          <w:kern w:val="0"/>
                          <w:sz w:val="96"/>
                          <w:szCs w:val="96"/>
                          <w:lang w:eastAsia="fr-FR"/>
                          <w14:ligatures w14:val="none"/>
                        </w:rPr>
                      </w:pPr>
                      <w:r w:rsidRPr="00C84883">
                        <w:rPr>
                          <w:rFonts w:eastAsia="Times New Roman" w:cs="Calibri (Corps)"/>
                          <w:b/>
                          <w:iCs/>
                          <w:caps/>
                          <w:color w:val="FFFFFF" w:themeColor="background1"/>
                          <w:kern w:val="0"/>
                          <w:sz w:val="96"/>
                          <w:szCs w:val="96"/>
                          <w:lang w:eastAsia="fr-FR"/>
                          <w14:ligatures w14:val="none"/>
                        </w:rPr>
                        <w:t>Short country reports 2025</w:t>
                      </w:r>
                    </w:p>
                    <w:p w14:paraId="64337CD8" w14:textId="77777777" w:rsidR="00E22B5A" w:rsidRPr="00C84883" w:rsidRDefault="00E22B5A" w:rsidP="00E22B5A">
                      <w:pPr>
                        <w:spacing w:line="240" w:lineRule="auto"/>
                        <w:rPr>
                          <w:rFonts w:cs="Calibri (Corps)"/>
                          <w:b/>
                          <w:bCs/>
                          <w:caps/>
                          <w:color w:val="FFFFFF" w:themeColor="background1"/>
                          <w:sz w:val="96"/>
                          <w:szCs w:val="96"/>
                          <w:lang w:val="en-US"/>
                        </w:rPr>
                      </w:pPr>
                    </w:p>
                  </w:txbxContent>
                </v:textbox>
              </v:shape>
            </w:pict>
          </mc:Fallback>
        </mc:AlternateContent>
      </w:r>
    </w:p>
    <w:p w14:paraId="7F936443" w14:textId="14444B57" w:rsidR="0092635F" w:rsidRPr="007C0C4B" w:rsidRDefault="0092635F" w:rsidP="00717869">
      <w:pPr>
        <w:rPr>
          <w:b/>
          <w:bCs/>
          <w:noProof/>
        </w:rPr>
      </w:pPr>
    </w:p>
    <w:p w14:paraId="7875D172" w14:textId="1C9F650E" w:rsidR="0092635F" w:rsidRPr="007C0C4B" w:rsidRDefault="0092635F" w:rsidP="00717869">
      <w:pPr>
        <w:rPr>
          <w:b/>
          <w:bCs/>
          <w:noProof/>
        </w:rPr>
      </w:pPr>
    </w:p>
    <w:p w14:paraId="6312F67F" w14:textId="6EFE0F88" w:rsidR="0092635F" w:rsidRPr="007C0C4B" w:rsidRDefault="0092635F" w:rsidP="00717869">
      <w:pPr>
        <w:rPr>
          <w:b/>
          <w:bCs/>
          <w:noProof/>
        </w:rPr>
      </w:pPr>
    </w:p>
    <w:p w14:paraId="088AFF02" w14:textId="6A31ABEA" w:rsidR="0092635F" w:rsidRPr="007C0C4B" w:rsidRDefault="0092635F" w:rsidP="00717869">
      <w:pPr>
        <w:rPr>
          <w:b/>
          <w:bCs/>
          <w:noProof/>
        </w:rPr>
      </w:pPr>
    </w:p>
    <w:p w14:paraId="7166913B" w14:textId="05053EE2" w:rsidR="0092635F" w:rsidRPr="007C0C4B" w:rsidRDefault="0092635F" w:rsidP="00717869">
      <w:pPr>
        <w:rPr>
          <w:b/>
          <w:bCs/>
          <w:noProof/>
        </w:rPr>
      </w:pPr>
    </w:p>
    <w:p w14:paraId="0F8EED95" w14:textId="77777777" w:rsidR="00814FFB" w:rsidRDefault="00814FFB" w:rsidP="00717869">
      <w:pPr>
        <w:rPr>
          <w:noProof/>
        </w:rPr>
      </w:pPr>
    </w:p>
    <w:p w14:paraId="3ABE615B" w14:textId="17075685" w:rsidR="00717869" w:rsidRPr="007C0C4B" w:rsidRDefault="00132040" w:rsidP="00717869">
      <w:pPr>
        <w:rPr>
          <w:noProof/>
        </w:rPr>
      </w:pPr>
      <w:r w:rsidRPr="007C0C4B">
        <w:rPr>
          <w:b/>
          <w:bCs/>
          <w:noProof/>
          <w:lang w:val="en-GB" w:eastAsia="en-GB"/>
          <w14:ligatures w14:val="none"/>
        </w:rPr>
        <mc:AlternateContent>
          <mc:Choice Requires="wps">
            <w:drawing>
              <wp:anchor distT="0" distB="0" distL="114300" distR="114300" simplePos="0" relativeHeight="251658241" behindDoc="0" locked="0" layoutInCell="1" allowOverlap="1" wp14:anchorId="36CA7CAA" wp14:editId="39A3B9B8">
                <wp:simplePos x="0" y="0"/>
                <wp:positionH relativeFrom="column">
                  <wp:posOffset>605155</wp:posOffset>
                </wp:positionH>
                <wp:positionV relativeFrom="paragraph">
                  <wp:posOffset>66675</wp:posOffset>
                </wp:positionV>
                <wp:extent cx="3569335" cy="550736"/>
                <wp:effectExtent l="0" t="0" r="0" b="0"/>
                <wp:wrapNone/>
                <wp:docPr id="1327156838" name="Text Box 2"/>
                <wp:cNvGraphicFramePr/>
                <a:graphic xmlns:a="http://schemas.openxmlformats.org/drawingml/2006/main">
                  <a:graphicData uri="http://schemas.microsoft.com/office/word/2010/wordprocessingShape">
                    <wps:wsp>
                      <wps:cNvSpPr txBox="1"/>
                      <wps:spPr>
                        <a:xfrm>
                          <a:off x="0" y="0"/>
                          <a:ext cx="3569335" cy="550736"/>
                        </a:xfrm>
                        <a:prstGeom prst="rect">
                          <a:avLst/>
                        </a:prstGeom>
                        <a:noFill/>
                        <a:ln w="6350">
                          <a:noFill/>
                        </a:ln>
                      </wps:spPr>
                      <wps:txbx>
                        <w:txbxContent>
                          <w:p w14:paraId="2E200B4F" w14:textId="2CABA8C4" w:rsidR="0092635F" w:rsidRPr="00CB0AF6" w:rsidRDefault="00BF1A01" w:rsidP="00CB0AF6">
                            <w:pPr>
                              <w:jc w:val="center"/>
                              <w:rPr>
                                <w:rFonts w:ascii="Calibri" w:hAnsi="Calibri" w:cs="Calibri"/>
                                <w:b/>
                                <w:bCs/>
                                <w:color w:val="FFFFFF" w:themeColor="background1"/>
                                <w:sz w:val="56"/>
                                <w:szCs w:val="56"/>
                                <w:lang w:val="fr-FR"/>
                              </w:rPr>
                            </w:pPr>
                            <w:r>
                              <w:rPr>
                                <w:rFonts w:ascii="Calibri" w:hAnsi="Calibri" w:cs="Calibri"/>
                                <w:b/>
                                <w:bCs/>
                                <w:color w:val="FFFFFF" w:themeColor="background1"/>
                                <w:sz w:val="56"/>
                                <w:szCs w:val="56"/>
                                <w:lang w:val="fr-FR"/>
                              </w:rPr>
                              <w:t>Malta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A7CAA" id="Text Box 2" o:spid="_x0000_s1027" type="#_x0000_t202" style="position:absolute;margin-left:47.65pt;margin-top:5.25pt;width:281.05pt;height:4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" filled="f" stroked="f" strokeweight=".5pt">
                <v:textbox>
                  <w:txbxContent>
                    <w:p w14:paraId="2E200B4F" w14:textId="2CABA8C4" w:rsidR="0092635F" w:rsidRPr="00CB0AF6" w:rsidRDefault="00BF1A01" w:rsidP="00CB0AF6">
                      <w:pPr>
                        <w:jc w:val="center"/>
                        <w:rPr>
                          <w:rFonts w:ascii="Calibri" w:hAnsi="Calibri" w:cs="Calibri"/>
                          <w:b/>
                          <w:bCs/>
                          <w:color w:val="FFFFFF" w:themeColor="background1"/>
                          <w:sz w:val="56"/>
                          <w:szCs w:val="56"/>
                          <w:lang w:val="fr-FR"/>
                        </w:rPr>
                      </w:pPr>
                      <w:r>
                        <w:rPr>
                          <w:rFonts w:ascii="Calibri" w:hAnsi="Calibri" w:cs="Calibri"/>
                          <w:b/>
                          <w:bCs/>
                          <w:color w:val="FFFFFF" w:themeColor="background1"/>
                          <w:sz w:val="56"/>
                          <w:szCs w:val="56"/>
                          <w:lang w:val="fr-FR"/>
                        </w:rPr>
                        <w:t>Malta</w:t>
                      </w:r>
                    </w:p>
                  </w:txbxContent>
                </v:textbox>
              </v:shape>
            </w:pict>
          </mc:Fallback>
        </mc:AlternateContent>
      </w:r>
      <w:r w:rsidRPr="007C0C4B">
        <w:rPr>
          <w:b/>
          <w:bCs/>
          <w:noProof/>
          <w:lang w:val="en-GB" w:eastAsia="en-GB"/>
          <w14:ligatures w14:val="none"/>
        </w:rPr>
        <mc:AlternateContent>
          <mc:Choice Requires="wps">
            <w:drawing>
              <wp:anchor distT="0" distB="0" distL="114300" distR="114300" simplePos="0" relativeHeight="251658240" behindDoc="0" locked="0" layoutInCell="1" allowOverlap="1" wp14:anchorId="332D7EE7" wp14:editId="13D5DE34">
                <wp:simplePos x="0" y="0"/>
                <wp:positionH relativeFrom="column">
                  <wp:posOffset>605790</wp:posOffset>
                </wp:positionH>
                <wp:positionV relativeFrom="paragraph">
                  <wp:posOffset>61595</wp:posOffset>
                </wp:positionV>
                <wp:extent cx="3569335" cy="572770"/>
                <wp:effectExtent l="0" t="0" r="12065" b="11430"/>
                <wp:wrapNone/>
                <wp:docPr id="1453507066" name="Rounded 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du="http://schemas.microsoft.com/office/word/2023/wordml/word16du" xmlns:w16sdtfl="http://schemas.microsoft.com/office/word/2024/wordml/sdtformatlock" xmlns:arto="http://schemas.microsoft.com/office/word/2006/arto" xmlns="" val="1"/>
                    </a:ext>
                  </a:extLst>
                </wp:docPr>
                <wp:cNvGraphicFramePr/>
                <a:graphic xmlns:a="http://schemas.openxmlformats.org/drawingml/2006/main">
                  <a:graphicData uri="http://schemas.microsoft.com/office/word/2010/wordprocessingShape">
                    <wps:wsp>
                      <wps:cNvSpPr/>
                      <wps:spPr>
                        <a:xfrm>
                          <a:off x="0" y="0"/>
                          <a:ext cx="3569335" cy="572770"/>
                        </a:xfrm>
                        <a:prstGeom prst="roundRect">
                          <a:avLst>
                            <a:gd name="adj" fmla="val 50000"/>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http://schemas.openxmlformats.org/drawingml/2006/main" xmlns:adec="http://schemas.microsoft.com/office/drawing/2017/decorative"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BA1034">
              <v:roundrect id="Rounded Rectangle 3" style="position:absolute;margin-left:47.7pt;margin-top:4.85pt;width:281.05pt;height:45.1pt;z-index:251658240;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ed="f"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" arcsize=".5" w14:anchorId="60F7AE8B">
                <v:stroke joinstyle="miter"/>
              </v:roundrect>
            </w:pict>
          </mc:Fallback>
        </mc:AlternateContent>
      </w:r>
      <w:r w:rsidR="00717869">
        <w:rPr>
          <w:noProof/>
        </w:rPr>
        <w:br/>
      </w:r>
      <w:r w:rsidR="00717869">
        <w:rPr>
          <w:noProof/>
        </w:rPr>
        <w:br/>
      </w:r>
    </w:p>
    <w:p w14:paraId="5524699E" w14:textId="1C529B72" w:rsidR="17E8991A" w:rsidRDefault="17E8991A">
      <w:pPr>
        <w:rPr>
          <w:noProof/>
        </w:rPr>
      </w:pPr>
    </w:p>
    <w:p w14:paraId="344570BB" w14:textId="4920CAD4" w:rsidR="17E8991A" w:rsidRDefault="17E8991A">
      <w:pPr>
        <w:rPr>
          <w:noProof/>
        </w:rPr>
      </w:pPr>
    </w:p>
    <w:p w14:paraId="3E3495F7" w14:textId="50DF5174" w:rsidR="17E8991A" w:rsidRDefault="17E8991A">
      <w:pPr>
        <w:rPr>
          <w:noProof/>
        </w:rPr>
      </w:pPr>
    </w:p>
    <w:p w14:paraId="25AD9548" w14:textId="4B3A04B5" w:rsidR="17E8991A" w:rsidRDefault="17E8991A">
      <w:pPr>
        <w:rPr>
          <w:noProof/>
        </w:rPr>
      </w:pPr>
    </w:p>
    <w:p w14:paraId="49B9BAAB" w14:textId="73C99737" w:rsidR="17E8991A" w:rsidRDefault="17E8991A">
      <w:pPr>
        <w:rPr>
          <w:noProof/>
        </w:rPr>
      </w:pPr>
    </w:p>
    <w:p w14:paraId="579B16B3" w14:textId="7245DF55" w:rsidR="17E8991A" w:rsidRDefault="17E8991A">
      <w:pPr>
        <w:rPr>
          <w:noProof/>
        </w:rPr>
      </w:pPr>
    </w:p>
    <w:p w14:paraId="3F35869E" w14:textId="28635A93" w:rsidR="17E8991A" w:rsidRDefault="17E8991A">
      <w:pPr>
        <w:rPr>
          <w:noProof/>
        </w:rPr>
      </w:pPr>
    </w:p>
    <w:p w14:paraId="7C0CD2D1" w14:textId="0622A7B9" w:rsidR="17E8991A" w:rsidRDefault="17E8991A">
      <w:pPr>
        <w:rPr>
          <w:noProof/>
        </w:rPr>
      </w:pPr>
    </w:p>
    <w:p w14:paraId="3B3B1EEE" w14:textId="0DAB0257" w:rsidR="17E8991A" w:rsidRDefault="17E8991A">
      <w:pPr>
        <w:rPr>
          <w:noProof/>
        </w:rPr>
      </w:pPr>
    </w:p>
    <w:p w14:paraId="243CE651" w14:textId="1D8095E1" w:rsidR="17E8991A" w:rsidRDefault="17E8991A">
      <w:pPr>
        <w:rPr>
          <w:noProof/>
        </w:rPr>
      </w:pPr>
    </w:p>
    <w:p w14:paraId="3F8AA727" w14:textId="0BD9AC2A" w:rsidR="17E8991A" w:rsidRDefault="17E8991A">
      <w:pPr>
        <w:rPr>
          <w:noProof/>
        </w:rPr>
      </w:pPr>
    </w:p>
    <w:p w14:paraId="566467D7" w14:textId="4ABBF9BF" w:rsidR="17E8991A" w:rsidRDefault="17E8991A">
      <w:pPr>
        <w:rPr>
          <w:noProof/>
        </w:rPr>
      </w:pPr>
    </w:p>
    <w:p w14:paraId="4A42F6D7" w14:textId="28290949" w:rsidR="17E8991A" w:rsidRDefault="17E8991A">
      <w:pPr>
        <w:rPr>
          <w:noProof/>
        </w:rPr>
      </w:pPr>
    </w:p>
    <w:p w14:paraId="5190F83F" w14:textId="39AB6B5B" w:rsidR="17E8991A" w:rsidRDefault="17E8991A">
      <w:pPr>
        <w:rPr>
          <w:noProof/>
        </w:rPr>
      </w:pPr>
    </w:p>
    <w:p w14:paraId="1C5B9698" w14:textId="35872436" w:rsidR="17E8991A" w:rsidRDefault="17E8991A">
      <w:pPr>
        <w:rPr>
          <w:noProof/>
        </w:rPr>
      </w:pPr>
    </w:p>
    <w:p w14:paraId="7EF79685" w14:textId="2013A8E9" w:rsidR="008E3DC1" w:rsidRPr="007C0C4B" w:rsidRDefault="008E3DC1" w:rsidP="1C36DCB8">
      <w:pPr>
        <w:spacing w:after="0" w:line="240" w:lineRule="auto"/>
        <w:rPr>
          <w:noProof/>
        </w:rPr>
      </w:pPr>
    </w:p>
    <w:p w14:paraId="043A2A18" w14:textId="77777777" w:rsidR="00BF1A01" w:rsidRDefault="00BF1A01" w:rsidP="00BF1A01">
      <w:pPr>
        <w:pStyle w:val="Heading1"/>
        <w:rPr>
          <w:noProof/>
        </w:rPr>
      </w:pPr>
      <w:r>
        <w:rPr>
          <w:noProof/>
        </w:rPr>
        <w:t>Executive summary</w:t>
      </w:r>
    </w:p>
    <w:p w14:paraId="010A0D75" w14:textId="1FA75B36" w:rsidR="009B4CB9" w:rsidRPr="00FF2AC3" w:rsidRDefault="00BF1A01" w:rsidP="00652BB4">
      <w:pPr>
        <w:jc w:val="both"/>
        <w:rPr>
          <w:b/>
          <w:bCs/>
          <w:noProof/>
        </w:rPr>
      </w:pPr>
      <w:r w:rsidRPr="4BDDBE8A">
        <w:rPr>
          <w:rFonts w:ascii="Calibri" w:eastAsia="Calibri" w:hAnsi="Calibri" w:cs="Calibri"/>
          <w:b/>
          <w:bCs/>
          <w:noProof/>
          <w:color w:val="000000" w:themeColor="text1"/>
        </w:rPr>
        <w:t xml:space="preserve">Malta </w:t>
      </w:r>
      <w:r w:rsidR="00FD0349" w:rsidRPr="4BDDBE8A">
        <w:rPr>
          <w:rFonts w:ascii="Calibri" w:eastAsia="Calibri" w:hAnsi="Calibri" w:cs="Calibri"/>
          <w:b/>
          <w:bCs/>
          <w:noProof/>
          <w:color w:val="000000" w:themeColor="text1"/>
        </w:rPr>
        <w:t>performs very well on the uptake of</w:t>
      </w:r>
      <w:r w:rsidR="00343AF4" w:rsidRPr="4BDDBE8A">
        <w:rPr>
          <w:rFonts w:ascii="Calibri" w:eastAsia="Calibri" w:hAnsi="Calibri" w:cs="Calibri"/>
          <w:b/>
          <w:bCs/>
          <w:noProof/>
          <w:color w:val="000000" w:themeColor="text1"/>
        </w:rPr>
        <w:t xml:space="preserve"> AI and </w:t>
      </w:r>
      <w:r w:rsidR="00D43502" w:rsidRPr="4BDDBE8A">
        <w:rPr>
          <w:rFonts w:ascii="Calibri" w:eastAsia="Calibri" w:hAnsi="Calibri" w:cs="Calibri"/>
          <w:b/>
          <w:bCs/>
          <w:noProof/>
          <w:color w:val="000000" w:themeColor="text1"/>
        </w:rPr>
        <w:t>digitalisation of businesses</w:t>
      </w:r>
      <w:r w:rsidR="00FD0349" w:rsidRPr="4BDDBE8A">
        <w:rPr>
          <w:rFonts w:ascii="Calibri" w:eastAsia="Calibri" w:hAnsi="Calibri" w:cs="Calibri"/>
          <w:b/>
          <w:bCs/>
          <w:noProof/>
          <w:color w:val="000000" w:themeColor="text1"/>
        </w:rPr>
        <w:t xml:space="preserve">, while there is room to further expand the pool of ICT specialists. The country is a top performer in the digitalisation of public services. </w:t>
      </w:r>
      <w:r w:rsidR="009B4CB9" w:rsidRPr="4BDDBE8A">
        <w:rPr>
          <w:b/>
          <w:bCs/>
          <w:noProof/>
        </w:rPr>
        <w:t>Malta shows a moderate level of ambition in its contribution to the Digital Decade having set 12 national targets, 58% of which aligned with the EU 2030 targets. The country is following its trajectories moderately well with 50% of them being on track (considering 2024 trajectories defined for 4 KPIs out of 8 analysed).</w:t>
      </w:r>
      <w:r w:rsidR="00FF2AC3" w:rsidRPr="4BDDBE8A">
        <w:rPr>
          <w:b/>
          <w:bCs/>
          <w:noProof/>
        </w:rPr>
        <w:t xml:space="preserve"> Malta addressed </w:t>
      </w:r>
      <w:r w:rsidR="2C0D2616" w:rsidRPr="4BDDBE8A">
        <w:rPr>
          <w:b/>
          <w:bCs/>
          <w:noProof/>
        </w:rPr>
        <w:t>38</w:t>
      </w:r>
      <w:r w:rsidR="00FF2AC3" w:rsidRPr="4BDDBE8A">
        <w:rPr>
          <w:b/>
          <w:bCs/>
          <w:noProof/>
        </w:rPr>
        <w:t>% of the 8 recommendations issued by the Commission in 2024</w:t>
      </w:r>
      <w:r w:rsidR="00FF2AC3" w:rsidRPr="4BDDBE8A">
        <w:rPr>
          <w:b/>
          <w:bCs/>
          <w:noProof/>
          <w:lang w:val="en-US"/>
        </w:rPr>
        <w:t xml:space="preserve"> by making some changes through new measures.</w:t>
      </w:r>
    </w:p>
    <w:p w14:paraId="4C73FCBD" w14:textId="44AC3F2B" w:rsidR="00BF1A01" w:rsidRDefault="00BF1A01" w:rsidP="00BF1A01">
      <w:pPr>
        <w:jc w:val="both"/>
        <w:rPr>
          <w:rFonts w:ascii="Calibri" w:eastAsia="Calibri" w:hAnsi="Calibri" w:cs="Calibri"/>
          <w:noProof/>
          <w:color w:val="000000" w:themeColor="text1"/>
        </w:rPr>
      </w:pPr>
      <w:r w:rsidRPr="35DBEC6D">
        <w:rPr>
          <w:rFonts w:ascii="Calibri" w:eastAsia="Calibri" w:hAnsi="Calibri" w:cs="Calibri"/>
          <w:noProof/>
          <w:color w:val="000000" w:themeColor="text1"/>
        </w:rPr>
        <w:t xml:space="preserve">Significant progress has been achieved </w:t>
      </w:r>
      <w:r w:rsidR="00E02C77" w:rsidRPr="35DBEC6D">
        <w:rPr>
          <w:rFonts w:ascii="Calibri" w:eastAsia="Calibri" w:hAnsi="Calibri" w:cs="Calibri"/>
          <w:noProof/>
          <w:color w:val="000000" w:themeColor="text1"/>
        </w:rPr>
        <w:t>over the last year</w:t>
      </w:r>
      <w:r w:rsidRPr="35DBEC6D">
        <w:rPr>
          <w:rFonts w:ascii="Calibri" w:eastAsia="Calibri" w:hAnsi="Calibri" w:cs="Calibri"/>
          <w:noProof/>
          <w:color w:val="000000" w:themeColor="text1"/>
        </w:rPr>
        <w:t xml:space="preserve">, particularly in </w:t>
      </w:r>
      <w:r w:rsidR="00EA2CFC" w:rsidRPr="35DBEC6D">
        <w:rPr>
          <w:rFonts w:ascii="Calibri" w:eastAsia="Calibri" w:hAnsi="Calibri" w:cs="Calibri"/>
          <w:noProof/>
          <w:color w:val="000000" w:themeColor="text1"/>
        </w:rPr>
        <w:t xml:space="preserve">the share of enterprises adopting AI, which reached 17.3%, and in </w:t>
      </w:r>
      <w:r w:rsidRPr="35DBEC6D">
        <w:rPr>
          <w:rFonts w:ascii="Calibri" w:eastAsia="Calibri" w:hAnsi="Calibri" w:cs="Calibri"/>
          <w:noProof/>
          <w:color w:val="000000" w:themeColor="text1"/>
        </w:rPr>
        <w:t xml:space="preserve">expanding connectivity infrastructure—most notably through the ongoing roll-out of fibre-to-the-premises (FTTP) networks. Malta has reached the Digital Decade targets for Very High Capacity Networks (VHCN) </w:t>
      </w:r>
      <w:r w:rsidR="002D0DB3" w:rsidRPr="35DBEC6D">
        <w:rPr>
          <w:rFonts w:ascii="Calibri" w:eastAsia="Calibri" w:hAnsi="Calibri" w:cs="Calibri"/>
          <w:noProof/>
          <w:color w:val="000000" w:themeColor="text1"/>
        </w:rPr>
        <w:t xml:space="preserve">in 2019 </w:t>
      </w:r>
      <w:r w:rsidRPr="35DBEC6D">
        <w:rPr>
          <w:rFonts w:ascii="Calibri" w:eastAsia="Calibri" w:hAnsi="Calibri" w:cs="Calibri"/>
          <w:noProof/>
          <w:color w:val="000000" w:themeColor="text1"/>
        </w:rPr>
        <w:t>and basic 5G coverage</w:t>
      </w:r>
      <w:r w:rsidR="002D0DB3" w:rsidRPr="35DBEC6D">
        <w:rPr>
          <w:rFonts w:ascii="Calibri" w:eastAsia="Calibri" w:hAnsi="Calibri" w:cs="Calibri"/>
          <w:noProof/>
          <w:color w:val="000000" w:themeColor="text1"/>
        </w:rPr>
        <w:t xml:space="preserve"> in 2022</w:t>
      </w:r>
      <w:r w:rsidR="00B356E5" w:rsidRPr="35DBEC6D">
        <w:rPr>
          <w:rFonts w:ascii="Calibri" w:eastAsia="Calibri" w:hAnsi="Calibri" w:cs="Calibri"/>
          <w:noProof/>
          <w:color w:val="000000" w:themeColor="text1"/>
        </w:rPr>
        <w:t>.</w:t>
      </w:r>
      <w:r w:rsidRPr="35DBEC6D">
        <w:rPr>
          <w:rFonts w:ascii="Calibri" w:eastAsia="Calibri" w:hAnsi="Calibri" w:cs="Calibri"/>
          <w:noProof/>
          <w:color w:val="000000" w:themeColor="text1"/>
        </w:rPr>
        <w:t xml:space="preserve"> FTTP deployment is still underway</w:t>
      </w:r>
      <w:r w:rsidR="00B356E5" w:rsidRPr="35DBEC6D">
        <w:rPr>
          <w:rFonts w:ascii="Calibri" w:eastAsia="Calibri" w:hAnsi="Calibri" w:cs="Calibri"/>
          <w:noProof/>
          <w:color w:val="000000" w:themeColor="text1"/>
        </w:rPr>
        <w:t xml:space="preserve"> but is progressing rapidly towards full </w:t>
      </w:r>
      <w:r w:rsidR="00557778" w:rsidRPr="35DBEC6D">
        <w:rPr>
          <w:rFonts w:ascii="Calibri" w:eastAsia="Calibri" w:hAnsi="Calibri" w:cs="Calibri"/>
          <w:noProof/>
          <w:color w:val="000000" w:themeColor="text1"/>
        </w:rPr>
        <w:t xml:space="preserve">national </w:t>
      </w:r>
      <w:r w:rsidR="00B356E5" w:rsidRPr="35DBEC6D">
        <w:rPr>
          <w:rFonts w:ascii="Calibri" w:eastAsia="Calibri" w:hAnsi="Calibri" w:cs="Calibri"/>
          <w:noProof/>
          <w:color w:val="000000" w:themeColor="text1"/>
        </w:rPr>
        <w:t>coverage</w:t>
      </w:r>
      <w:r w:rsidRPr="35DBEC6D">
        <w:rPr>
          <w:rFonts w:ascii="Calibri" w:eastAsia="Calibri" w:hAnsi="Calibri" w:cs="Calibri"/>
          <w:noProof/>
          <w:color w:val="000000" w:themeColor="text1"/>
        </w:rPr>
        <w:t>. Challenges remain in improving basic digital skills across the population and addressing the shortage of ICT specialists.</w:t>
      </w:r>
    </w:p>
    <w:p w14:paraId="18B3AEE9" w14:textId="26A701B7" w:rsidR="00BF1A01" w:rsidRDefault="00BF1A01" w:rsidP="00BF1A01">
      <w:pPr>
        <w:jc w:val="both"/>
        <w:rPr>
          <w:rFonts w:ascii="Calibri" w:eastAsia="Calibri" w:hAnsi="Calibri" w:cs="Calibri"/>
          <w:noProof/>
          <w:color w:val="000000" w:themeColor="text1"/>
        </w:rPr>
      </w:pPr>
      <w:r w:rsidRPr="0B4F73E9">
        <w:rPr>
          <w:rFonts w:ascii="Calibri" w:eastAsia="Calibri" w:hAnsi="Calibri" w:cs="Calibri"/>
          <w:noProof/>
          <w:color w:val="000000" w:themeColor="text1"/>
        </w:rPr>
        <w:t xml:space="preserve">Malta has increasingly oriented its digital policies toward enhancing digital sovereignty, to better control and safeguard its digital infrastructure, data, and technologies, through a multi-dimensional approach. Malta is advancing digital sovereignty by strengthening national cybersecurity through initiatives like CYBER+ALT, expanding threat detection, and building secure infrastructure, while promoting local innovation via dedicated start-up funding and digital policy frameworks. </w:t>
      </w:r>
    </w:p>
    <w:tbl>
      <w:tblPr>
        <w:tblW w:w="9016" w:type="dxa"/>
        <w:tblBorders>
          <w:top w:val="single" w:sz="4" w:space="0" w:color="FFCE00"/>
          <w:left w:val="single" w:sz="4" w:space="0" w:color="FFCE00"/>
          <w:bottom w:val="single" w:sz="4" w:space="0" w:color="FFCE00"/>
          <w:right w:val="single" w:sz="4" w:space="0" w:color="FFCE00"/>
          <w:insideH w:val="single" w:sz="4" w:space="0" w:color="FFCE00"/>
          <w:insideV w:val="single" w:sz="4" w:space="0" w:color="FFCE00"/>
        </w:tblBorders>
        <w:tblLook w:val="04A0" w:firstRow="1" w:lastRow="0" w:firstColumn="1" w:lastColumn="0" w:noHBand="0" w:noVBand="1"/>
      </w:tblPr>
      <w:tblGrid>
        <w:gridCol w:w="3277"/>
        <w:gridCol w:w="701"/>
        <w:gridCol w:w="746"/>
        <w:gridCol w:w="712"/>
        <w:gridCol w:w="938"/>
        <w:gridCol w:w="634"/>
        <w:gridCol w:w="784"/>
        <w:gridCol w:w="636"/>
        <w:gridCol w:w="588"/>
      </w:tblGrid>
      <w:tr w:rsidR="0010188F" w:rsidRPr="00A25D8F" w14:paraId="658B35C2" w14:textId="77777777" w:rsidTr="002E4957">
        <w:trPr>
          <w:trHeight w:val="450"/>
        </w:trPr>
        <w:tc>
          <w:tcPr>
            <w:tcW w:w="3277" w:type="dxa"/>
            <w:vMerge w:val="restart"/>
            <w:shd w:val="clear" w:color="auto" w:fill="FFE599" w:themeFill="accent4" w:themeFillTint="66"/>
            <w:noWrap/>
            <w:vAlign w:val="center"/>
            <w:hideMark/>
          </w:tcPr>
          <w:p w14:paraId="7887C44B" w14:textId="77777777" w:rsidR="0010188F" w:rsidRPr="00A25D8F" w:rsidRDefault="0010188F" w:rsidP="00DD6C64">
            <w:pPr>
              <w:spacing w:after="0" w:line="240" w:lineRule="auto"/>
              <w:rPr>
                <w:rFonts w:ascii="Calibri" w:eastAsia="Times New Roman" w:hAnsi="Calibri" w:cs="Calibri"/>
                <w:noProof/>
                <w:color w:val="000000"/>
                <w:sz w:val="14"/>
                <w:szCs w:val="14"/>
                <w:lang w:eastAsia="en-IE"/>
              </w:rPr>
            </w:pPr>
            <w:r w:rsidRPr="00A25D8F">
              <w:rPr>
                <w:rFonts w:ascii="Calibri" w:eastAsia="Times New Roman" w:hAnsi="Calibri" w:cs="Calibri"/>
                <w:noProof/>
                <w:color w:val="000000"/>
                <w:sz w:val="14"/>
                <w:szCs w:val="14"/>
                <w:lang w:eastAsia="en-IE"/>
              </w:rPr>
              <w:t> </w:t>
            </w:r>
          </w:p>
          <w:p w14:paraId="0B8274E6" w14:textId="77777777" w:rsidR="0010188F" w:rsidRPr="00A25D8F" w:rsidRDefault="0010188F" w:rsidP="00DD6C64">
            <w:pPr>
              <w:spacing w:after="0" w:line="240" w:lineRule="auto"/>
              <w:jc w:val="center"/>
              <w:rPr>
                <w:rFonts w:ascii="Calibri" w:eastAsia="Times New Roman" w:hAnsi="Calibri" w:cs="Calibri"/>
                <w:noProof/>
                <w:color w:val="000000"/>
                <w:sz w:val="14"/>
                <w:szCs w:val="14"/>
                <w:lang w:eastAsia="en-IE"/>
              </w:rPr>
            </w:pPr>
            <w:r w:rsidRPr="005822BD">
              <w:rPr>
                <w:rFonts w:ascii="Calibri" w:eastAsia="Times New Roman" w:hAnsi="Calibri" w:cs="Calibri"/>
                <w:noProof/>
                <w:color w:val="000000"/>
                <w:sz w:val="28"/>
                <w:szCs w:val="28"/>
                <w:lang w:eastAsia="en-IE"/>
              </w:rPr>
              <w:t xml:space="preserve">Digital Decade KPI </w:t>
            </w:r>
            <w:r w:rsidRPr="005822BD">
              <w:rPr>
                <w:rFonts w:ascii="Calibri" w:eastAsia="Times New Roman" w:hAnsi="Calibri" w:cs="Calibri"/>
                <w:noProof/>
                <w:color w:val="000000"/>
                <w:sz w:val="28"/>
                <w:szCs w:val="28"/>
                <w:vertAlign w:val="superscript"/>
                <w:lang w:eastAsia="en-IE"/>
              </w:rPr>
              <w:t>(1)</w:t>
            </w:r>
          </w:p>
        </w:tc>
        <w:tc>
          <w:tcPr>
            <w:tcW w:w="3097" w:type="dxa"/>
            <w:gridSpan w:val="4"/>
            <w:shd w:val="clear" w:color="auto" w:fill="FFE599" w:themeFill="accent4" w:themeFillTint="66"/>
            <w:noWrap/>
            <w:vAlign w:val="center"/>
            <w:hideMark/>
          </w:tcPr>
          <w:p w14:paraId="26CB5494" w14:textId="572DA396"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Pr>
                <w:rFonts w:ascii="Calibri" w:eastAsia="Times New Roman" w:hAnsi="Calibri" w:cs="Calibri"/>
                <w:b/>
                <w:bCs/>
                <w:noProof/>
                <w:color w:val="000000"/>
                <w:sz w:val="14"/>
                <w:szCs w:val="14"/>
                <w:lang w:eastAsia="en-IE"/>
              </w:rPr>
              <w:t>Malta</w:t>
            </w:r>
          </w:p>
        </w:tc>
        <w:tc>
          <w:tcPr>
            <w:tcW w:w="1418" w:type="dxa"/>
            <w:gridSpan w:val="2"/>
            <w:shd w:val="clear" w:color="auto" w:fill="FFE599" w:themeFill="accent4" w:themeFillTint="66"/>
            <w:noWrap/>
            <w:vAlign w:val="center"/>
            <w:hideMark/>
          </w:tcPr>
          <w:p w14:paraId="61786E02" w14:textId="77777777"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EU</w:t>
            </w:r>
          </w:p>
        </w:tc>
        <w:tc>
          <w:tcPr>
            <w:tcW w:w="1224" w:type="dxa"/>
            <w:gridSpan w:val="2"/>
            <w:shd w:val="clear" w:color="auto" w:fill="FFE599" w:themeFill="accent4" w:themeFillTint="66"/>
            <w:vAlign w:val="center"/>
            <w:hideMark/>
          </w:tcPr>
          <w:p w14:paraId="64211E10" w14:textId="77777777"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 xml:space="preserve">Digital Decade target by 2030 </w:t>
            </w:r>
          </w:p>
        </w:tc>
      </w:tr>
      <w:tr w:rsidR="0010188F" w:rsidRPr="00A25D8F" w14:paraId="3FBB01BA" w14:textId="77777777" w:rsidTr="002E4957">
        <w:trPr>
          <w:trHeight w:val="465"/>
        </w:trPr>
        <w:tc>
          <w:tcPr>
            <w:tcW w:w="3277" w:type="dxa"/>
            <w:vMerge/>
            <w:noWrap/>
            <w:vAlign w:val="center"/>
            <w:hideMark/>
          </w:tcPr>
          <w:p w14:paraId="289A4D89" w14:textId="77777777" w:rsidR="0010188F" w:rsidRPr="005822BD" w:rsidRDefault="0010188F" w:rsidP="00DD6C64">
            <w:pPr>
              <w:spacing w:after="0" w:line="240" w:lineRule="auto"/>
              <w:jc w:val="center"/>
              <w:rPr>
                <w:rFonts w:ascii="Calibri" w:eastAsia="Times New Roman" w:hAnsi="Calibri" w:cs="Calibri"/>
                <w:noProof/>
                <w:color w:val="000000"/>
                <w:sz w:val="28"/>
                <w:szCs w:val="28"/>
                <w:lang w:eastAsia="en-IE"/>
              </w:rPr>
            </w:pPr>
          </w:p>
        </w:tc>
        <w:tc>
          <w:tcPr>
            <w:tcW w:w="701" w:type="dxa"/>
            <w:shd w:val="clear" w:color="auto" w:fill="FFE599" w:themeFill="accent4" w:themeFillTint="66"/>
            <w:vAlign w:val="center"/>
            <w:hideMark/>
          </w:tcPr>
          <w:p w14:paraId="429D567D" w14:textId="77777777"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DESI 2024 (year 2023)</w:t>
            </w:r>
          </w:p>
        </w:tc>
        <w:tc>
          <w:tcPr>
            <w:tcW w:w="746" w:type="dxa"/>
            <w:shd w:val="clear" w:color="auto" w:fill="FFE599" w:themeFill="accent4" w:themeFillTint="66"/>
            <w:vAlign w:val="center"/>
            <w:hideMark/>
          </w:tcPr>
          <w:p w14:paraId="290BCB75" w14:textId="77777777"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DESI 2025 (year 2024)</w:t>
            </w:r>
          </w:p>
        </w:tc>
        <w:tc>
          <w:tcPr>
            <w:tcW w:w="711" w:type="dxa"/>
            <w:shd w:val="clear" w:color="auto" w:fill="FFE599" w:themeFill="accent4" w:themeFillTint="66"/>
            <w:vAlign w:val="center"/>
            <w:hideMark/>
          </w:tcPr>
          <w:p w14:paraId="44891D5F" w14:textId="77777777"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Annual progress</w:t>
            </w:r>
          </w:p>
        </w:tc>
        <w:tc>
          <w:tcPr>
            <w:tcW w:w="939" w:type="dxa"/>
            <w:shd w:val="clear" w:color="auto" w:fill="FFE599" w:themeFill="accent4" w:themeFillTint="66"/>
            <w:vAlign w:val="center"/>
            <w:hideMark/>
          </w:tcPr>
          <w:p w14:paraId="5B38A57E" w14:textId="77777777"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National trajectory</w:t>
            </w:r>
            <w:r>
              <w:rPr>
                <w:rFonts w:ascii="Calibri" w:eastAsia="Times New Roman" w:hAnsi="Calibri" w:cs="Calibri"/>
                <w:b/>
                <w:bCs/>
                <w:noProof/>
                <w:color w:val="000000"/>
                <w:sz w:val="14"/>
                <w:szCs w:val="14"/>
                <w:lang w:eastAsia="en-IE"/>
              </w:rPr>
              <w:t xml:space="preserve"> 2024 (3)</w:t>
            </w:r>
          </w:p>
        </w:tc>
        <w:tc>
          <w:tcPr>
            <w:tcW w:w="634" w:type="dxa"/>
            <w:shd w:val="clear" w:color="auto" w:fill="FFE599" w:themeFill="accent4" w:themeFillTint="66"/>
            <w:noWrap/>
            <w:vAlign w:val="center"/>
            <w:hideMark/>
          </w:tcPr>
          <w:p w14:paraId="2731C6C4" w14:textId="77777777"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DESI 2025</w:t>
            </w:r>
          </w:p>
        </w:tc>
        <w:tc>
          <w:tcPr>
            <w:tcW w:w="784" w:type="dxa"/>
            <w:shd w:val="clear" w:color="auto" w:fill="FFE599" w:themeFill="accent4" w:themeFillTint="66"/>
            <w:vAlign w:val="center"/>
            <w:hideMark/>
          </w:tcPr>
          <w:p w14:paraId="3BA30793" w14:textId="77777777"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Annual progress</w:t>
            </w:r>
          </w:p>
        </w:tc>
        <w:tc>
          <w:tcPr>
            <w:tcW w:w="636" w:type="dxa"/>
            <w:shd w:val="clear" w:color="auto" w:fill="FFE599" w:themeFill="accent4" w:themeFillTint="66"/>
            <w:vAlign w:val="center"/>
            <w:hideMark/>
          </w:tcPr>
          <w:p w14:paraId="786658FB" w14:textId="56F082B6"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Pr>
                <w:rFonts w:ascii="Calibri" w:eastAsia="Times New Roman" w:hAnsi="Calibri" w:cs="Calibri"/>
                <w:b/>
                <w:bCs/>
                <w:noProof/>
                <w:color w:val="000000"/>
                <w:sz w:val="14"/>
                <w:szCs w:val="14"/>
                <w:lang w:eastAsia="en-IE"/>
              </w:rPr>
              <w:t>MT</w:t>
            </w:r>
          </w:p>
        </w:tc>
        <w:tc>
          <w:tcPr>
            <w:tcW w:w="588" w:type="dxa"/>
            <w:shd w:val="clear" w:color="auto" w:fill="FFE599" w:themeFill="accent4" w:themeFillTint="66"/>
            <w:noWrap/>
            <w:vAlign w:val="center"/>
            <w:hideMark/>
          </w:tcPr>
          <w:p w14:paraId="09709970" w14:textId="77777777" w:rsidR="0010188F" w:rsidRPr="00A25D8F" w:rsidRDefault="0010188F" w:rsidP="00DD6C64">
            <w:pPr>
              <w:spacing w:after="0" w:line="240" w:lineRule="auto"/>
              <w:jc w:val="center"/>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EU</w:t>
            </w:r>
          </w:p>
        </w:tc>
      </w:tr>
      <w:tr w:rsidR="00C8338D" w:rsidRPr="00A25D8F" w14:paraId="3D4693CC" w14:textId="77777777" w:rsidTr="002E4957">
        <w:trPr>
          <w:trHeight w:val="300"/>
        </w:trPr>
        <w:tc>
          <w:tcPr>
            <w:tcW w:w="3277" w:type="dxa"/>
            <w:shd w:val="clear" w:color="auto" w:fill="E7E6E6" w:themeFill="background2"/>
            <w:noWrap/>
            <w:vAlign w:val="center"/>
            <w:hideMark/>
          </w:tcPr>
          <w:p w14:paraId="043E2493"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Fixed Very High Capacity Network (VHCN) coverage</w:t>
            </w:r>
          </w:p>
        </w:tc>
        <w:tc>
          <w:tcPr>
            <w:tcW w:w="701" w:type="dxa"/>
            <w:shd w:val="clear" w:color="auto" w:fill="FFFFFF" w:themeFill="background1"/>
            <w:noWrap/>
            <w:vAlign w:val="center"/>
            <w:hideMark/>
          </w:tcPr>
          <w:p w14:paraId="5F0DD35F" w14:textId="7D148238" w:rsidR="00C8338D" w:rsidRPr="00C8338D" w:rsidRDefault="00C8338D" w:rsidP="3A060378">
            <w:pPr>
              <w:spacing w:after="0" w:line="240" w:lineRule="auto"/>
              <w:jc w:val="center"/>
              <w:rPr>
                <w:rFonts w:eastAsia="Times New Roman"/>
                <w:noProof/>
                <w:color w:val="000000"/>
                <w:sz w:val="14"/>
                <w:szCs w:val="14"/>
                <w:lang w:eastAsia="en-IE"/>
              </w:rPr>
            </w:pPr>
            <w:r w:rsidRPr="3A060378">
              <w:rPr>
                <w:rFonts w:ascii="Calibri" w:hAnsi="Calibri" w:cs="Calibri"/>
                <w:noProof/>
                <w:color w:val="000000" w:themeColor="text1"/>
                <w:sz w:val="14"/>
                <w:szCs w:val="14"/>
              </w:rPr>
              <w:t>100.0</w:t>
            </w:r>
            <w:r w:rsidR="1489FBBE" w:rsidRPr="3A060378">
              <w:rPr>
                <w:rFonts w:ascii="Calibri" w:hAnsi="Calibri" w:cs="Calibri"/>
                <w:noProof/>
                <w:color w:val="000000" w:themeColor="text1"/>
                <w:sz w:val="14"/>
                <w:szCs w:val="14"/>
              </w:rPr>
              <w:t>%</w:t>
            </w:r>
          </w:p>
        </w:tc>
        <w:tc>
          <w:tcPr>
            <w:tcW w:w="746" w:type="dxa"/>
            <w:shd w:val="clear" w:color="auto" w:fill="FFFFFF" w:themeFill="background1"/>
            <w:noWrap/>
            <w:vAlign w:val="center"/>
            <w:hideMark/>
          </w:tcPr>
          <w:p w14:paraId="3072D7A7" w14:textId="5118772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711" w:type="dxa"/>
            <w:shd w:val="clear" w:color="auto" w:fill="FFFFFF" w:themeFill="background1"/>
            <w:vAlign w:val="center"/>
            <w:hideMark/>
          </w:tcPr>
          <w:p w14:paraId="40C7E9F9" w14:textId="4BF58360"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0.0%</w:t>
            </w:r>
          </w:p>
        </w:tc>
        <w:tc>
          <w:tcPr>
            <w:tcW w:w="939" w:type="dxa"/>
            <w:shd w:val="clear" w:color="auto" w:fill="FFFFFF" w:themeFill="background1"/>
            <w:vAlign w:val="center"/>
            <w:hideMark/>
          </w:tcPr>
          <w:p w14:paraId="5067DA29" w14:textId="241086E4"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3B293588" w14:textId="72DFA59E"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82.5%</w:t>
            </w:r>
          </w:p>
        </w:tc>
        <w:tc>
          <w:tcPr>
            <w:tcW w:w="784" w:type="dxa"/>
            <w:shd w:val="clear" w:color="auto" w:fill="FFFFFF" w:themeFill="background1"/>
            <w:vAlign w:val="center"/>
            <w:hideMark/>
          </w:tcPr>
          <w:p w14:paraId="36F765B1" w14:textId="536E819B"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4.9%</w:t>
            </w:r>
          </w:p>
        </w:tc>
        <w:tc>
          <w:tcPr>
            <w:tcW w:w="636" w:type="dxa"/>
            <w:shd w:val="clear" w:color="auto" w:fill="FFFFFF" w:themeFill="background1"/>
            <w:vAlign w:val="center"/>
            <w:hideMark/>
          </w:tcPr>
          <w:p w14:paraId="4C05157C" w14:textId="26F27E5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588" w:type="dxa"/>
            <w:shd w:val="clear" w:color="auto" w:fill="FFFFFF" w:themeFill="background1"/>
            <w:noWrap/>
            <w:vAlign w:val="center"/>
            <w:hideMark/>
          </w:tcPr>
          <w:p w14:paraId="7A161C3F" w14:textId="432A1BA5"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w:t>
            </w:r>
          </w:p>
        </w:tc>
      </w:tr>
      <w:tr w:rsidR="00C8338D" w:rsidRPr="00A25D8F" w14:paraId="635B3E0F" w14:textId="77777777" w:rsidTr="002E4957">
        <w:trPr>
          <w:trHeight w:val="300"/>
        </w:trPr>
        <w:tc>
          <w:tcPr>
            <w:tcW w:w="3277" w:type="dxa"/>
            <w:shd w:val="clear" w:color="auto" w:fill="E7E6E6" w:themeFill="background2"/>
            <w:noWrap/>
            <w:vAlign w:val="center"/>
            <w:hideMark/>
          </w:tcPr>
          <w:p w14:paraId="57A0DD23"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Fibre to the Premises (FTTP) coverage</w:t>
            </w:r>
          </w:p>
        </w:tc>
        <w:tc>
          <w:tcPr>
            <w:tcW w:w="701" w:type="dxa"/>
            <w:shd w:val="clear" w:color="auto" w:fill="FFFFFF" w:themeFill="background1"/>
            <w:noWrap/>
            <w:vAlign w:val="center"/>
            <w:hideMark/>
          </w:tcPr>
          <w:p w14:paraId="5150745C" w14:textId="053F2633"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69.6%</w:t>
            </w:r>
          </w:p>
        </w:tc>
        <w:tc>
          <w:tcPr>
            <w:tcW w:w="746" w:type="dxa"/>
            <w:shd w:val="clear" w:color="auto" w:fill="FFFFFF" w:themeFill="background1"/>
            <w:noWrap/>
            <w:vAlign w:val="center"/>
            <w:hideMark/>
          </w:tcPr>
          <w:p w14:paraId="168CD5CD" w14:textId="0DE768C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86.2%</w:t>
            </w:r>
          </w:p>
        </w:tc>
        <w:tc>
          <w:tcPr>
            <w:tcW w:w="711" w:type="dxa"/>
            <w:shd w:val="clear" w:color="auto" w:fill="FFFFFF" w:themeFill="background1"/>
            <w:vAlign w:val="center"/>
            <w:hideMark/>
          </w:tcPr>
          <w:p w14:paraId="33F2CDEC" w14:textId="02BC2D5E"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23.9%</w:t>
            </w:r>
          </w:p>
        </w:tc>
        <w:tc>
          <w:tcPr>
            <w:tcW w:w="939" w:type="dxa"/>
            <w:shd w:val="clear" w:color="auto" w:fill="FFFFFF" w:themeFill="background1"/>
            <w:vAlign w:val="center"/>
            <w:hideMark/>
          </w:tcPr>
          <w:p w14:paraId="04D2B646" w14:textId="112779E6"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22A73F3F" w14:textId="5D4E2EE9"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69.2%</w:t>
            </w:r>
          </w:p>
        </w:tc>
        <w:tc>
          <w:tcPr>
            <w:tcW w:w="784" w:type="dxa"/>
            <w:shd w:val="clear" w:color="auto" w:fill="FFFFFF" w:themeFill="background1"/>
            <w:vAlign w:val="center"/>
            <w:hideMark/>
          </w:tcPr>
          <w:p w14:paraId="053226FC" w14:textId="5EB5FB0C"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8.4%</w:t>
            </w:r>
          </w:p>
        </w:tc>
        <w:tc>
          <w:tcPr>
            <w:tcW w:w="636" w:type="dxa"/>
            <w:shd w:val="clear" w:color="auto" w:fill="FFFFFF" w:themeFill="background1"/>
            <w:vAlign w:val="center"/>
            <w:hideMark/>
          </w:tcPr>
          <w:p w14:paraId="700E55E1" w14:textId="17C8DC60"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588" w:type="dxa"/>
            <w:shd w:val="clear" w:color="auto" w:fill="FFFFFF" w:themeFill="background1"/>
            <w:noWrap/>
            <w:vAlign w:val="center"/>
            <w:hideMark/>
          </w:tcPr>
          <w:p w14:paraId="71018BC0" w14:textId="15F9B57D"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r>
      <w:tr w:rsidR="00C8338D" w:rsidRPr="00A25D8F" w14:paraId="29CDFEE7" w14:textId="77777777" w:rsidTr="002E4957">
        <w:trPr>
          <w:trHeight w:val="300"/>
        </w:trPr>
        <w:tc>
          <w:tcPr>
            <w:tcW w:w="3277" w:type="dxa"/>
            <w:shd w:val="clear" w:color="auto" w:fill="E7E6E6" w:themeFill="background2"/>
            <w:noWrap/>
            <w:vAlign w:val="center"/>
            <w:hideMark/>
          </w:tcPr>
          <w:p w14:paraId="3E68A249"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Overall 5G coverage</w:t>
            </w:r>
          </w:p>
        </w:tc>
        <w:tc>
          <w:tcPr>
            <w:tcW w:w="701" w:type="dxa"/>
            <w:shd w:val="clear" w:color="auto" w:fill="FFFFFF" w:themeFill="background1"/>
            <w:noWrap/>
            <w:vAlign w:val="center"/>
            <w:hideMark/>
          </w:tcPr>
          <w:p w14:paraId="4F26A662" w14:textId="485E54F6"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746" w:type="dxa"/>
            <w:shd w:val="clear" w:color="auto" w:fill="FFFFFF" w:themeFill="background1"/>
            <w:noWrap/>
            <w:vAlign w:val="center"/>
            <w:hideMark/>
          </w:tcPr>
          <w:p w14:paraId="18C9CB9B" w14:textId="00B562AB"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711" w:type="dxa"/>
            <w:shd w:val="clear" w:color="auto" w:fill="FFFFFF" w:themeFill="background1"/>
            <w:vAlign w:val="center"/>
            <w:hideMark/>
          </w:tcPr>
          <w:p w14:paraId="1094B029" w14:textId="3FF1C390"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0.0%</w:t>
            </w:r>
          </w:p>
        </w:tc>
        <w:tc>
          <w:tcPr>
            <w:tcW w:w="939" w:type="dxa"/>
            <w:shd w:val="clear" w:color="auto" w:fill="FFFFFF" w:themeFill="background1"/>
            <w:vAlign w:val="center"/>
            <w:hideMark/>
          </w:tcPr>
          <w:p w14:paraId="3336C6DF" w14:textId="4244543F"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100.0% </w:t>
            </w:r>
          </w:p>
        </w:tc>
        <w:tc>
          <w:tcPr>
            <w:tcW w:w="634" w:type="dxa"/>
            <w:shd w:val="clear" w:color="auto" w:fill="FFFFFF" w:themeFill="background1"/>
            <w:noWrap/>
            <w:vAlign w:val="center"/>
            <w:hideMark/>
          </w:tcPr>
          <w:p w14:paraId="577838C5" w14:textId="641607B3"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94.3%</w:t>
            </w:r>
          </w:p>
        </w:tc>
        <w:tc>
          <w:tcPr>
            <w:tcW w:w="784" w:type="dxa"/>
            <w:shd w:val="clear" w:color="auto" w:fill="FFFFFF" w:themeFill="background1"/>
            <w:vAlign w:val="center"/>
            <w:hideMark/>
          </w:tcPr>
          <w:p w14:paraId="3A26BCA7" w14:textId="730DF256"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5.9%</w:t>
            </w:r>
          </w:p>
        </w:tc>
        <w:tc>
          <w:tcPr>
            <w:tcW w:w="636" w:type="dxa"/>
            <w:shd w:val="clear" w:color="auto" w:fill="FFFFFF" w:themeFill="background1"/>
            <w:vAlign w:val="center"/>
            <w:hideMark/>
          </w:tcPr>
          <w:p w14:paraId="7B201966" w14:textId="78F455AE"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588" w:type="dxa"/>
            <w:shd w:val="clear" w:color="auto" w:fill="FFFFFF" w:themeFill="background1"/>
            <w:noWrap/>
            <w:vAlign w:val="center"/>
            <w:hideMark/>
          </w:tcPr>
          <w:p w14:paraId="197B49E1" w14:textId="0A50DCE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w:t>
            </w:r>
          </w:p>
        </w:tc>
      </w:tr>
      <w:tr w:rsidR="00C8338D" w:rsidRPr="00A25D8F" w14:paraId="70EB946D" w14:textId="77777777" w:rsidTr="002E4957">
        <w:trPr>
          <w:trHeight w:val="300"/>
        </w:trPr>
        <w:tc>
          <w:tcPr>
            <w:tcW w:w="3277" w:type="dxa"/>
            <w:shd w:val="clear" w:color="auto" w:fill="E7E6E6" w:themeFill="background2"/>
            <w:noWrap/>
            <w:vAlign w:val="center"/>
            <w:hideMark/>
          </w:tcPr>
          <w:p w14:paraId="5EB8A64E"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Edge Nodes (estimate)</w:t>
            </w:r>
          </w:p>
        </w:tc>
        <w:tc>
          <w:tcPr>
            <w:tcW w:w="701" w:type="dxa"/>
            <w:shd w:val="clear" w:color="auto" w:fill="FFFFFF" w:themeFill="background1"/>
            <w:noWrap/>
            <w:vAlign w:val="center"/>
            <w:hideMark/>
          </w:tcPr>
          <w:p w14:paraId="6CD0D5A0" w14:textId="02B0F444"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17</w:t>
            </w:r>
          </w:p>
        </w:tc>
        <w:tc>
          <w:tcPr>
            <w:tcW w:w="746" w:type="dxa"/>
            <w:shd w:val="clear" w:color="auto" w:fill="FFFFFF" w:themeFill="background1"/>
            <w:noWrap/>
            <w:vAlign w:val="center"/>
            <w:hideMark/>
          </w:tcPr>
          <w:p w14:paraId="22A04C6B" w14:textId="250281E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32</w:t>
            </w:r>
          </w:p>
        </w:tc>
        <w:tc>
          <w:tcPr>
            <w:tcW w:w="711" w:type="dxa"/>
            <w:shd w:val="clear" w:color="auto" w:fill="FFFFFF" w:themeFill="background1"/>
            <w:vAlign w:val="center"/>
            <w:hideMark/>
          </w:tcPr>
          <w:p w14:paraId="7AA070EC" w14:textId="08D6D753"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88.2%</w:t>
            </w:r>
          </w:p>
        </w:tc>
        <w:tc>
          <w:tcPr>
            <w:tcW w:w="939" w:type="dxa"/>
            <w:shd w:val="clear" w:color="auto" w:fill="FFFFFF" w:themeFill="background1"/>
            <w:vAlign w:val="center"/>
            <w:hideMark/>
          </w:tcPr>
          <w:p w14:paraId="7818F595" w14:textId="25A5EF5E"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70924C0A" w14:textId="535F8A88"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2257</w:t>
            </w:r>
          </w:p>
        </w:tc>
        <w:tc>
          <w:tcPr>
            <w:tcW w:w="784" w:type="dxa"/>
            <w:shd w:val="clear" w:color="auto" w:fill="FFFFFF" w:themeFill="background1"/>
            <w:vAlign w:val="center"/>
            <w:hideMark/>
          </w:tcPr>
          <w:p w14:paraId="377BFFAA" w14:textId="5C0EF1B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90.5%</w:t>
            </w:r>
          </w:p>
        </w:tc>
        <w:tc>
          <w:tcPr>
            <w:tcW w:w="636" w:type="dxa"/>
            <w:shd w:val="clear" w:color="auto" w:fill="FFFFFF" w:themeFill="background1"/>
            <w:vAlign w:val="center"/>
            <w:hideMark/>
          </w:tcPr>
          <w:p w14:paraId="2B0BE31E" w14:textId="722DEE6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588" w:type="dxa"/>
            <w:shd w:val="clear" w:color="auto" w:fill="FFFFFF" w:themeFill="background1"/>
            <w:noWrap/>
            <w:vAlign w:val="center"/>
            <w:hideMark/>
          </w:tcPr>
          <w:p w14:paraId="0214BEE2" w14:textId="2CCCD1B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10000</w:t>
            </w:r>
          </w:p>
        </w:tc>
      </w:tr>
      <w:tr w:rsidR="00C8338D" w:rsidRPr="00A25D8F" w14:paraId="43C414FF" w14:textId="77777777" w:rsidTr="002E4957">
        <w:trPr>
          <w:trHeight w:val="300"/>
        </w:trPr>
        <w:tc>
          <w:tcPr>
            <w:tcW w:w="3277" w:type="dxa"/>
            <w:shd w:val="clear" w:color="auto" w:fill="E7E6E6" w:themeFill="background2"/>
            <w:noWrap/>
            <w:vAlign w:val="center"/>
            <w:hideMark/>
          </w:tcPr>
          <w:p w14:paraId="18AA1FE0"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SMEs with at least a basic level of digital intensity (2)</w:t>
            </w:r>
          </w:p>
        </w:tc>
        <w:tc>
          <w:tcPr>
            <w:tcW w:w="701" w:type="dxa"/>
            <w:shd w:val="clear" w:color="auto" w:fill="FFFFFF" w:themeFill="background1"/>
            <w:noWrap/>
            <w:vAlign w:val="center"/>
            <w:hideMark/>
          </w:tcPr>
          <w:p w14:paraId="51958BBF" w14:textId="237DC716"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746" w:type="dxa"/>
            <w:shd w:val="clear" w:color="auto" w:fill="FFFFFF" w:themeFill="background1"/>
            <w:noWrap/>
            <w:vAlign w:val="center"/>
            <w:hideMark/>
          </w:tcPr>
          <w:p w14:paraId="711F0124" w14:textId="0700DAE4"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81.3%</w:t>
            </w:r>
          </w:p>
        </w:tc>
        <w:tc>
          <w:tcPr>
            <w:tcW w:w="711" w:type="dxa"/>
            <w:shd w:val="clear" w:color="auto" w:fill="FFFFFF" w:themeFill="background1"/>
            <w:vAlign w:val="center"/>
            <w:hideMark/>
          </w:tcPr>
          <w:p w14:paraId="4D7BAB5A" w14:textId="3976521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2.2%</w:t>
            </w:r>
          </w:p>
        </w:tc>
        <w:tc>
          <w:tcPr>
            <w:tcW w:w="939" w:type="dxa"/>
            <w:shd w:val="clear" w:color="auto" w:fill="FFFFFF" w:themeFill="background1"/>
            <w:vAlign w:val="center"/>
            <w:hideMark/>
          </w:tcPr>
          <w:p w14:paraId="1C697D7B" w14:textId="5C17DF35"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15FF8CBC" w14:textId="56E4E31B"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72.9%</w:t>
            </w:r>
          </w:p>
        </w:tc>
        <w:tc>
          <w:tcPr>
            <w:tcW w:w="784" w:type="dxa"/>
            <w:shd w:val="clear" w:color="auto" w:fill="FFFFFF" w:themeFill="background1"/>
            <w:vAlign w:val="center"/>
            <w:hideMark/>
          </w:tcPr>
          <w:p w14:paraId="07C6D2DB" w14:textId="05FB6DD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2.8%</w:t>
            </w:r>
          </w:p>
        </w:tc>
        <w:tc>
          <w:tcPr>
            <w:tcW w:w="636" w:type="dxa"/>
            <w:shd w:val="clear" w:color="auto" w:fill="FFFFFF" w:themeFill="background1"/>
            <w:vAlign w:val="center"/>
            <w:hideMark/>
          </w:tcPr>
          <w:p w14:paraId="7193C4C4" w14:textId="2532E43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85.0%</w:t>
            </w:r>
          </w:p>
        </w:tc>
        <w:tc>
          <w:tcPr>
            <w:tcW w:w="588" w:type="dxa"/>
            <w:shd w:val="clear" w:color="auto" w:fill="FFFFFF" w:themeFill="background1"/>
            <w:noWrap/>
            <w:vAlign w:val="center"/>
            <w:hideMark/>
          </w:tcPr>
          <w:p w14:paraId="4CF08FA9" w14:textId="4F334DFD"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90%</w:t>
            </w:r>
          </w:p>
        </w:tc>
      </w:tr>
      <w:tr w:rsidR="00C8338D" w:rsidRPr="00A25D8F" w14:paraId="5860D0D5" w14:textId="77777777" w:rsidTr="002E4957">
        <w:trPr>
          <w:trHeight w:val="300"/>
        </w:trPr>
        <w:tc>
          <w:tcPr>
            <w:tcW w:w="3277" w:type="dxa"/>
            <w:shd w:val="clear" w:color="auto" w:fill="E7E6E6" w:themeFill="background2"/>
            <w:noWrap/>
            <w:vAlign w:val="center"/>
            <w:hideMark/>
          </w:tcPr>
          <w:p w14:paraId="546642DE"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Cloud</w:t>
            </w:r>
          </w:p>
        </w:tc>
        <w:tc>
          <w:tcPr>
            <w:tcW w:w="701" w:type="dxa"/>
            <w:shd w:val="clear" w:color="auto" w:fill="FFFFFF" w:themeFill="background1"/>
            <w:noWrap/>
            <w:vAlign w:val="center"/>
            <w:hideMark/>
          </w:tcPr>
          <w:p w14:paraId="72201C62" w14:textId="0953706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58.2%</w:t>
            </w:r>
          </w:p>
        </w:tc>
        <w:tc>
          <w:tcPr>
            <w:tcW w:w="746" w:type="dxa"/>
            <w:shd w:val="clear" w:color="auto" w:fill="FFFFFF" w:themeFill="background1"/>
            <w:noWrap/>
            <w:vAlign w:val="center"/>
            <w:hideMark/>
          </w:tcPr>
          <w:p w14:paraId="54EDBE5B" w14:textId="300AD907"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711" w:type="dxa"/>
            <w:shd w:val="clear" w:color="auto" w:fill="FFFFFF" w:themeFill="background1"/>
            <w:vAlign w:val="center"/>
            <w:hideMark/>
          </w:tcPr>
          <w:p w14:paraId="3FAC927C" w14:textId="21336E35"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939" w:type="dxa"/>
            <w:shd w:val="clear" w:color="auto" w:fill="FFFFFF" w:themeFill="background1"/>
            <w:vAlign w:val="center"/>
            <w:hideMark/>
          </w:tcPr>
          <w:p w14:paraId="5A7C6853" w14:textId="1F2477C3"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71BB2AB7" w14:textId="5BC9953C"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784" w:type="dxa"/>
            <w:shd w:val="clear" w:color="auto" w:fill="FFFFFF" w:themeFill="background1"/>
            <w:vAlign w:val="center"/>
            <w:hideMark/>
          </w:tcPr>
          <w:p w14:paraId="3462A445" w14:textId="3F119937"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636" w:type="dxa"/>
            <w:shd w:val="clear" w:color="auto" w:fill="FFFFFF" w:themeFill="background1"/>
            <w:vAlign w:val="center"/>
            <w:hideMark/>
          </w:tcPr>
          <w:p w14:paraId="4744B339" w14:textId="3C92CB2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80.0%</w:t>
            </w:r>
          </w:p>
        </w:tc>
        <w:tc>
          <w:tcPr>
            <w:tcW w:w="588" w:type="dxa"/>
            <w:shd w:val="clear" w:color="auto" w:fill="FFFFFF" w:themeFill="background1"/>
            <w:noWrap/>
            <w:vAlign w:val="center"/>
            <w:hideMark/>
          </w:tcPr>
          <w:p w14:paraId="319C687A" w14:textId="00492398"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75%</w:t>
            </w:r>
          </w:p>
        </w:tc>
      </w:tr>
      <w:tr w:rsidR="00C8338D" w:rsidRPr="00A25D8F" w14:paraId="3034BC94" w14:textId="77777777" w:rsidTr="002E4957">
        <w:trPr>
          <w:trHeight w:val="300"/>
        </w:trPr>
        <w:tc>
          <w:tcPr>
            <w:tcW w:w="3277" w:type="dxa"/>
            <w:shd w:val="clear" w:color="auto" w:fill="E7E6E6" w:themeFill="background2"/>
            <w:noWrap/>
            <w:vAlign w:val="center"/>
            <w:hideMark/>
          </w:tcPr>
          <w:p w14:paraId="15386448"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Artificial Intelligence</w:t>
            </w:r>
          </w:p>
        </w:tc>
        <w:tc>
          <w:tcPr>
            <w:tcW w:w="701" w:type="dxa"/>
            <w:shd w:val="clear" w:color="auto" w:fill="FFFFFF" w:themeFill="background1"/>
            <w:noWrap/>
            <w:vAlign w:val="center"/>
            <w:hideMark/>
          </w:tcPr>
          <w:p w14:paraId="2F6BDD06" w14:textId="122AB72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13.2%</w:t>
            </w:r>
          </w:p>
        </w:tc>
        <w:tc>
          <w:tcPr>
            <w:tcW w:w="746" w:type="dxa"/>
            <w:shd w:val="clear" w:color="auto" w:fill="FFFFFF" w:themeFill="background1"/>
            <w:noWrap/>
            <w:vAlign w:val="center"/>
            <w:hideMark/>
          </w:tcPr>
          <w:p w14:paraId="580AF1DD" w14:textId="1BE252E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17.3%</w:t>
            </w:r>
          </w:p>
        </w:tc>
        <w:tc>
          <w:tcPr>
            <w:tcW w:w="711" w:type="dxa"/>
            <w:shd w:val="clear" w:color="auto" w:fill="FFFFFF" w:themeFill="background1"/>
            <w:vAlign w:val="center"/>
            <w:hideMark/>
          </w:tcPr>
          <w:p w14:paraId="36ED9E73" w14:textId="3B998719"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31.4%</w:t>
            </w:r>
          </w:p>
        </w:tc>
        <w:tc>
          <w:tcPr>
            <w:tcW w:w="939" w:type="dxa"/>
            <w:shd w:val="clear" w:color="auto" w:fill="FFFFFF" w:themeFill="background1"/>
            <w:vAlign w:val="center"/>
            <w:hideMark/>
          </w:tcPr>
          <w:p w14:paraId="54E48295" w14:textId="43F4C6CB"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18.8% </w:t>
            </w:r>
          </w:p>
        </w:tc>
        <w:tc>
          <w:tcPr>
            <w:tcW w:w="634" w:type="dxa"/>
            <w:shd w:val="clear" w:color="auto" w:fill="FFFFFF" w:themeFill="background1"/>
            <w:noWrap/>
            <w:vAlign w:val="center"/>
            <w:hideMark/>
          </w:tcPr>
          <w:p w14:paraId="5D72820B" w14:textId="333FDE9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13.5%</w:t>
            </w:r>
          </w:p>
        </w:tc>
        <w:tc>
          <w:tcPr>
            <w:tcW w:w="784" w:type="dxa"/>
            <w:shd w:val="clear" w:color="auto" w:fill="FFFFFF" w:themeFill="background1"/>
            <w:vAlign w:val="center"/>
            <w:hideMark/>
          </w:tcPr>
          <w:p w14:paraId="0CF3B9C3" w14:textId="51EA3DC5"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67.2%</w:t>
            </w:r>
          </w:p>
        </w:tc>
        <w:tc>
          <w:tcPr>
            <w:tcW w:w="636" w:type="dxa"/>
            <w:shd w:val="clear" w:color="auto" w:fill="FFFFFF" w:themeFill="background1"/>
            <w:vAlign w:val="center"/>
            <w:hideMark/>
          </w:tcPr>
          <w:p w14:paraId="7D2A388A" w14:textId="06C46D00"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27.2%</w:t>
            </w:r>
          </w:p>
        </w:tc>
        <w:tc>
          <w:tcPr>
            <w:tcW w:w="588" w:type="dxa"/>
            <w:shd w:val="clear" w:color="auto" w:fill="FFFFFF" w:themeFill="background1"/>
            <w:noWrap/>
            <w:vAlign w:val="center"/>
            <w:hideMark/>
          </w:tcPr>
          <w:p w14:paraId="57C80A01" w14:textId="78B3197B"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75%</w:t>
            </w:r>
          </w:p>
        </w:tc>
      </w:tr>
      <w:tr w:rsidR="00C8338D" w:rsidRPr="00A25D8F" w14:paraId="44BB3D40" w14:textId="77777777" w:rsidTr="002E4957">
        <w:trPr>
          <w:trHeight w:val="300"/>
        </w:trPr>
        <w:tc>
          <w:tcPr>
            <w:tcW w:w="3277" w:type="dxa"/>
            <w:shd w:val="clear" w:color="auto" w:fill="E7E6E6" w:themeFill="background2"/>
            <w:noWrap/>
            <w:vAlign w:val="center"/>
            <w:hideMark/>
          </w:tcPr>
          <w:p w14:paraId="72334909"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Data analytics</w:t>
            </w:r>
          </w:p>
        </w:tc>
        <w:tc>
          <w:tcPr>
            <w:tcW w:w="701" w:type="dxa"/>
            <w:shd w:val="clear" w:color="auto" w:fill="FFFFFF" w:themeFill="background1"/>
            <w:noWrap/>
            <w:vAlign w:val="center"/>
            <w:hideMark/>
          </w:tcPr>
          <w:p w14:paraId="3485E537" w14:textId="445D94A8"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35.6%</w:t>
            </w:r>
          </w:p>
        </w:tc>
        <w:tc>
          <w:tcPr>
            <w:tcW w:w="746" w:type="dxa"/>
            <w:shd w:val="clear" w:color="auto" w:fill="FFFFFF" w:themeFill="background1"/>
            <w:noWrap/>
            <w:vAlign w:val="center"/>
            <w:hideMark/>
          </w:tcPr>
          <w:p w14:paraId="0FB74E11" w14:textId="4F5A1F4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711" w:type="dxa"/>
            <w:shd w:val="clear" w:color="auto" w:fill="FFFFFF" w:themeFill="background1"/>
            <w:vAlign w:val="center"/>
            <w:hideMark/>
          </w:tcPr>
          <w:p w14:paraId="063AA8E9" w14:textId="49788B3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939" w:type="dxa"/>
            <w:shd w:val="clear" w:color="auto" w:fill="FFFFFF" w:themeFill="background1"/>
            <w:vAlign w:val="center"/>
            <w:hideMark/>
          </w:tcPr>
          <w:p w14:paraId="136EB81B" w14:textId="09A30BB9"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1999A5E6" w14:textId="1E48C704"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784" w:type="dxa"/>
            <w:shd w:val="clear" w:color="auto" w:fill="FFFFFF" w:themeFill="background1"/>
            <w:vAlign w:val="center"/>
            <w:hideMark/>
          </w:tcPr>
          <w:p w14:paraId="367E23F9" w14:textId="6519E316"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636" w:type="dxa"/>
            <w:shd w:val="clear" w:color="auto" w:fill="FFFFFF" w:themeFill="background1"/>
            <w:vAlign w:val="center"/>
            <w:hideMark/>
          </w:tcPr>
          <w:p w14:paraId="2036E2DF" w14:textId="3263B2AE"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51.1%</w:t>
            </w:r>
          </w:p>
        </w:tc>
        <w:tc>
          <w:tcPr>
            <w:tcW w:w="588" w:type="dxa"/>
            <w:shd w:val="clear" w:color="auto" w:fill="FFFFFF" w:themeFill="background1"/>
            <w:noWrap/>
            <w:vAlign w:val="center"/>
            <w:hideMark/>
          </w:tcPr>
          <w:p w14:paraId="74AA4F90" w14:textId="34A4E6D7"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75%</w:t>
            </w:r>
          </w:p>
        </w:tc>
      </w:tr>
      <w:tr w:rsidR="00C8338D" w:rsidRPr="00A25D8F" w14:paraId="7059B32F" w14:textId="77777777" w:rsidTr="002E4957">
        <w:trPr>
          <w:trHeight w:val="300"/>
        </w:trPr>
        <w:tc>
          <w:tcPr>
            <w:tcW w:w="3277" w:type="dxa"/>
            <w:shd w:val="clear" w:color="auto" w:fill="E7E6E6" w:themeFill="background2"/>
            <w:noWrap/>
            <w:vAlign w:val="center"/>
            <w:hideMark/>
          </w:tcPr>
          <w:p w14:paraId="5E29967E"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AI or Cloud or Data analytics</w:t>
            </w:r>
          </w:p>
        </w:tc>
        <w:tc>
          <w:tcPr>
            <w:tcW w:w="701" w:type="dxa"/>
            <w:shd w:val="clear" w:color="auto" w:fill="FFFFFF" w:themeFill="background1"/>
            <w:noWrap/>
            <w:vAlign w:val="center"/>
            <w:hideMark/>
          </w:tcPr>
          <w:p w14:paraId="7C7F3C3B" w14:textId="56EFC90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68.3%</w:t>
            </w:r>
          </w:p>
        </w:tc>
        <w:tc>
          <w:tcPr>
            <w:tcW w:w="746" w:type="dxa"/>
            <w:shd w:val="clear" w:color="auto" w:fill="FFFFFF" w:themeFill="background1"/>
            <w:noWrap/>
            <w:vAlign w:val="center"/>
            <w:hideMark/>
          </w:tcPr>
          <w:p w14:paraId="3836A92E" w14:textId="26D7A194"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711" w:type="dxa"/>
            <w:shd w:val="clear" w:color="auto" w:fill="FFFFFF" w:themeFill="background1"/>
            <w:vAlign w:val="center"/>
            <w:hideMark/>
          </w:tcPr>
          <w:p w14:paraId="24052C65" w14:textId="75FE8EEC"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939" w:type="dxa"/>
            <w:shd w:val="clear" w:color="auto" w:fill="FFFFFF" w:themeFill="background1"/>
            <w:vAlign w:val="center"/>
            <w:hideMark/>
          </w:tcPr>
          <w:p w14:paraId="7584DAA2" w14:textId="2F2A312D"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04C45EAF" w14:textId="1324813F"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784" w:type="dxa"/>
            <w:shd w:val="clear" w:color="auto" w:fill="FFFFFF" w:themeFill="background1"/>
            <w:vAlign w:val="center"/>
            <w:hideMark/>
          </w:tcPr>
          <w:p w14:paraId="7C710D5A" w14:textId="78246A45"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636" w:type="dxa"/>
            <w:shd w:val="clear" w:color="auto" w:fill="FFFFFF" w:themeFill="background1"/>
            <w:vAlign w:val="center"/>
            <w:hideMark/>
          </w:tcPr>
          <w:p w14:paraId="181A353A" w14:textId="36A57A3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588" w:type="dxa"/>
            <w:shd w:val="clear" w:color="auto" w:fill="FFFFFF" w:themeFill="background1"/>
            <w:noWrap/>
            <w:vAlign w:val="center"/>
            <w:hideMark/>
          </w:tcPr>
          <w:p w14:paraId="4078AB8A" w14:textId="0AAE9185"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75%</w:t>
            </w:r>
          </w:p>
        </w:tc>
      </w:tr>
      <w:tr w:rsidR="00C8338D" w:rsidRPr="00A25D8F" w14:paraId="0433F6C0" w14:textId="77777777" w:rsidTr="002E4957">
        <w:trPr>
          <w:trHeight w:val="300"/>
        </w:trPr>
        <w:tc>
          <w:tcPr>
            <w:tcW w:w="3277" w:type="dxa"/>
            <w:shd w:val="clear" w:color="auto" w:fill="E7E6E6" w:themeFill="background2"/>
            <w:noWrap/>
            <w:vAlign w:val="center"/>
            <w:hideMark/>
          </w:tcPr>
          <w:p w14:paraId="3C3BFB0D"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Unicorns</w:t>
            </w:r>
          </w:p>
        </w:tc>
        <w:tc>
          <w:tcPr>
            <w:tcW w:w="701" w:type="dxa"/>
            <w:shd w:val="clear" w:color="auto" w:fill="FFFFFF" w:themeFill="background1"/>
            <w:noWrap/>
            <w:vAlign w:val="center"/>
            <w:hideMark/>
          </w:tcPr>
          <w:p w14:paraId="641AE7A1" w14:textId="4172EEA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4</w:t>
            </w:r>
          </w:p>
        </w:tc>
        <w:tc>
          <w:tcPr>
            <w:tcW w:w="746" w:type="dxa"/>
            <w:shd w:val="clear" w:color="auto" w:fill="FFFFFF" w:themeFill="background1"/>
            <w:noWrap/>
            <w:vAlign w:val="center"/>
            <w:hideMark/>
          </w:tcPr>
          <w:p w14:paraId="7734F762" w14:textId="496AF51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4</w:t>
            </w:r>
          </w:p>
        </w:tc>
        <w:tc>
          <w:tcPr>
            <w:tcW w:w="711" w:type="dxa"/>
            <w:shd w:val="clear" w:color="auto" w:fill="FFFFFF" w:themeFill="background1"/>
            <w:vAlign w:val="center"/>
            <w:hideMark/>
          </w:tcPr>
          <w:p w14:paraId="46035A05" w14:textId="21038659"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0.0%</w:t>
            </w:r>
          </w:p>
        </w:tc>
        <w:tc>
          <w:tcPr>
            <w:tcW w:w="939" w:type="dxa"/>
            <w:shd w:val="clear" w:color="auto" w:fill="FFFFFF" w:themeFill="background1"/>
            <w:vAlign w:val="center"/>
            <w:hideMark/>
          </w:tcPr>
          <w:p w14:paraId="09A14F8E" w14:textId="55BC976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0C75B6FB" w14:textId="707E264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286</w:t>
            </w:r>
          </w:p>
        </w:tc>
        <w:tc>
          <w:tcPr>
            <w:tcW w:w="784" w:type="dxa"/>
            <w:shd w:val="clear" w:color="auto" w:fill="FFFFFF" w:themeFill="background1"/>
            <w:vAlign w:val="center"/>
            <w:hideMark/>
          </w:tcPr>
          <w:p w14:paraId="1AF97E19" w14:textId="5623456D"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4.4%</w:t>
            </w:r>
          </w:p>
        </w:tc>
        <w:tc>
          <w:tcPr>
            <w:tcW w:w="636" w:type="dxa"/>
            <w:shd w:val="clear" w:color="auto" w:fill="FFFFFF" w:themeFill="background1"/>
            <w:vAlign w:val="center"/>
            <w:hideMark/>
          </w:tcPr>
          <w:p w14:paraId="7067406C" w14:textId="72D4DD84"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588" w:type="dxa"/>
            <w:shd w:val="clear" w:color="auto" w:fill="FFFFFF" w:themeFill="background1"/>
            <w:noWrap/>
            <w:vAlign w:val="center"/>
            <w:hideMark/>
          </w:tcPr>
          <w:p w14:paraId="441F6A0B" w14:textId="0726DB0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500</w:t>
            </w:r>
          </w:p>
        </w:tc>
      </w:tr>
      <w:tr w:rsidR="00C8338D" w:rsidRPr="00A25D8F" w14:paraId="5B16B8D9" w14:textId="77777777" w:rsidTr="002E4957">
        <w:trPr>
          <w:trHeight w:val="300"/>
        </w:trPr>
        <w:tc>
          <w:tcPr>
            <w:tcW w:w="3277" w:type="dxa"/>
            <w:shd w:val="clear" w:color="auto" w:fill="E7E6E6" w:themeFill="background2"/>
            <w:noWrap/>
            <w:vAlign w:val="center"/>
            <w:hideMark/>
          </w:tcPr>
          <w:p w14:paraId="588DD38E"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At least basic digital skills</w:t>
            </w:r>
          </w:p>
        </w:tc>
        <w:tc>
          <w:tcPr>
            <w:tcW w:w="701" w:type="dxa"/>
            <w:shd w:val="clear" w:color="auto" w:fill="FFFFFF" w:themeFill="background1"/>
            <w:noWrap/>
            <w:vAlign w:val="center"/>
            <w:hideMark/>
          </w:tcPr>
          <w:p w14:paraId="53F9C414" w14:textId="0FF004B4"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63.0%</w:t>
            </w:r>
          </w:p>
        </w:tc>
        <w:tc>
          <w:tcPr>
            <w:tcW w:w="746" w:type="dxa"/>
            <w:shd w:val="clear" w:color="auto" w:fill="FFFFFF" w:themeFill="background1"/>
            <w:noWrap/>
            <w:vAlign w:val="center"/>
            <w:hideMark/>
          </w:tcPr>
          <w:p w14:paraId="2FE416C6" w14:textId="0E58B865"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711" w:type="dxa"/>
            <w:shd w:val="clear" w:color="auto" w:fill="FFFFFF" w:themeFill="background1"/>
            <w:vAlign w:val="center"/>
            <w:hideMark/>
          </w:tcPr>
          <w:p w14:paraId="5C4A65CC" w14:textId="1FC54CB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939" w:type="dxa"/>
            <w:shd w:val="clear" w:color="auto" w:fill="FFFFFF" w:themeFill="background1"/>
            <w:vAlign w:val="center"/>
            <w:hideMark/>
          </w:tcPr>
          <w:p w14:paraId="2D3021F8" w14:textId="203A3C07"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2A93FF49" w14:textId="0BE75298"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784" w:type="dxa"/>
            <w:shd w:val="clear" w:color="auto" w:fill="FFFFFF" w:themeFill="background1"/>
            <w:vAlign w:val="center"/>
            <w:hideMark/>
          </w:tcPr>
          <w:p w14:paraId="0AB56558" w14:textId="074AC99E"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w:t>
            </w:r>
          </w:p>
        </w:tc>
        <w:tc>
          <w:tcPr>
            <w:tcW w:w="636" w:type="dxa"/>
            <w:shd w:val="clear" w:color="auto" w:fill="FFFFFF" w:themeFill="background1"/>
            <w:vAlign w:val="center"/>
            <w:hideMark/>
          </w:tcPr>
          <w:p w14:paraId="6BFDA1EE" w14:textId="469F3E94"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75.0%</w:t>
            </w:r>
          </w:p>
        </w:tc>
        <w:tc>
          <w:tcPr>
            <w:tcW w:w="588" w:type="dxa"/>
            <w:shd w:val="clear" w:color="auto" w:fill="FFFFFF" w:themeFill="background1"/>
            <w:noWrap/>
            <w:vAlign w:val="center"/>
            <w:hideMark/>
          </w:tcPr>
          <w:p w14:paraId="7C3A13CE" w14:textId="709B3AA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80%</w:t>
            </w:r>
          </w:p>
        </w:tc>
      </w:tr>
      <w:tr w:rsidR="00C8338D" w:rsidRPr="00A25D8F" w14:paraId="43749E55" w14:textId="77777777" w:rsidTr="002E4957">
        <w:trPr>
          <w:trHeight w:val="300"/>
        </w:trPr>
        <w:tc>
          <w:tcPr>
            <w:tcW w:w="3277" w:type="dxa"/>
            <w:shd w:val="clear" w:color="auto" w:fill="E7E6E6" w:themeFill="background2"/>
            <w:noWrap/>
            <w:vAlign w:val="center"/>
            <w:hideMark/>
          </w:tcPr>
          <w:p w14:paraId="11BE5625"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ICT specialists</w:t>
            </w:r>
          </w:p>
        </w:tc>
        <w:tc>
          <w:tcPr>
            <w:tcW w:w="701" w:type="dxa"/>
            <w:shd w:val="clear" w:color="auto" w:fill="FFFFFF" w:themeFill="background1"/>
            <w:noWrap/>
            <w:vAlign w:val="center"/>
            <w:hideMark/>
          </w:tcPr>
          <w:p w14:paraId="4DFB7FD7" w14:textId="465B27EC"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4.7%</w:t>
            </w:r>
          </w:p>
        </w:tc>
        <w:tc>
          <w:tcPr>
            <w:tcW w:w="746" w:type="dxa"/>
            <w:shd w:val="clear" w:color="auto" w:fill="FFFFFF" w:themeFill="background1"/>
            <w:noWrap/>
            <w:vAlign w:val="center"/>
            <w:hideMark/>
          </w:tcPr>
          <w:p w14:paraId="44643000" w14:textId="48E233E8"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5.2%</w:t>
            </w:r>
          </w:p>
        </w:tc>
        <w:tc>
          <w:tcPr>
            <w:tcW w:w="711" w:type="dxa"/>
            <w:shd w:val="clear" w:color="auto" w:fill="FFFFFF" w:themeFill="background1"/>
            <w:vAlign w:val="center"/>
            <w:hideMark/>
          </w:tcPr>
          <w:p w14:paraId="5292421F" w14:textId="53A58156"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10.6%</w:t>
            </w:r>
          </w:p>
        </w:tc>
        <w:tc>
          <w:tcPr>
            <w:tcW w:w="939" w:type="dxa"/>
            <w:shd w:val="clear" w:color="auto" w:fill="FFFFFF" w:themeFill="background1"/>
            <w:vAlign w:val="center"/>
            <w:hideMark/>
          </w:tcPr>
          <w:p w14:paraId="4FFF7C19" w14:textId="6495278B"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5.5% </w:t>
            </w:r>
          </w:p>
        </w:tc>
        <w:tc>
          <w:tcPr>
            <w:tcW w:w="634" w:type="dxa"/>
            <w:shd w:val="clear" w:color="auto" w:fill="FFFFFF" w:themeFill="background1"/>
            <w:noWrap/>
            <w:vAlign w:val="center"/>
            <w:hideMark/>
          </w:tcPr>
          <w:p w14:paraId="1748A6F2" w14:textId="2B886AEF"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5.0%</w:t>
            </w:r>
          </w:p>
        </w:tc>
        <w:tc>
          <w:tcPr>
            <w:tcW w:w="784" w:type="dxa"/>
            <w:shd w:val="clear" w:color="auto" w:fill="FFFFFF" w:themeFill="background1"/>
            <w:vAlign w:val="center"/>
            <w:hideMark/>
          </w:tcPr>
          <w:p w14:paraId="59395FEA" w14:textId="2D8D3D07"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4.2%</w:t>
            </w:r>
          </w:p>
        </w:tc>
        <w:tc>
          <w:tcPr>
            <w:tcW w:w="636" w:type="dxa"/>
            <w:shd w:val="clear" w:color="auto" w:fill="FFFFFF" w:themeFill="background1"/>
            <w:vAlign w:val="center"/>
            <w:hideMark/>
          </w:tcPr>
          <w:p w14:paraId="09217139" w14:textId="0BCF9910"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8.0%</w:t>
            </w:r>
          </w:p>
        </w:tc>
        <w:tc>
          <w:tcPr>
            <w:tcW w:w="588" w:type="dxa"/>
            <w:shd w:val="clear" w:color="auto" w:fill="FFFFFF" w:themeFill="background1"/>
            <w:noWrap/>
            <w:vAlign w:val="center"/>
            <w:hideMark/>
          </w:tcPr>
          <w:p w14:paraId="630149AF" w14:textId="5E078103"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w:t>
            </w:r>
          </w:p>
        </w:tc>
      </w:tr>
      <w:tr w:rsidR="00C8338D" w:rsidRPr="00A25D8F" w14:paraId="11EAE3CD" w14:textId="77777777" w:rsidTr="002E4957">
        <w:trPr>
          <w:trHeight w:val="300"/>
        </w:trPr>
        <w:tc>
          <w:tcPr>
            <w:tcW w:w="3277" w:type="dxa"/>
            <w:shd w:val="clear" w:color="auto" w:fill="E7E6E6" w:themeFill="background2"/>
            <w:noWrap/>
            <w:vAlign w:val="center"/>
            <w:hideMark/>
          </w:tcPr>
          <w:p w14:paraId="6BEB01F6"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eID scheme notification</w:t>
            </w:r>
          </w:p>
        </w:tc>
        <w:tc>
          <w:tcPr>
            <w:tcW w:w="701" w:type="dxa"/>
            <w:shd w:val="clear" w:color="auto" w:fill="FFFFFF" w:themeFill="background1"/>
            <w:noWrap/>
            <w:vAlign w:val="center"/>
            <w:hideMark/>
          </w:tcPr>
          <w:p w14:paraId="31B72777" w14:textId="60ED2B0D"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w:t>
            </w:r>
          </w:p>
        </w:tc>
        <w:tc>
          <w:tcPr>
            <w:tcW w:w="746" w:type="dxa"/>
            <w:shd w:val="clear" w:color="auto" w:fill="auto"/>
            <w:noWrap/>
            <w:vAlign w:val="center"/>
            <w:hideMark/>
          </w:tcPr>
          <w:p w14:paraId="5A71C5B0" w14:textId="66596A1C"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Yes</w:t>
            </w:r>
          </w:p>
        </w:tc>
        <w:tc>
          <w:tcPr>
            <w:tcW w:w="711" w:type="dxa"/>
            <w:shd w:val="clear" w:color="auto" w:fill="FFFFFF" w:themeFill="background1"/>
            <w:vAlign w:val="center"/>
            <w:hideMark/>
          </w:tcPr>
          <w:p w14:paraId="59B9D963" w14:textId="6C33B04A"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w:t>
            </w:r>
          </w:p>
        </w:tc>
        <w:tc>
          <w:tcPr>
            <w:tcW w:w="939" w:type="dxa"/>
            <w:shd w:val="clear" w:color="auto" w:fill="FFFFFF" w:themeFill="background1"/>
            <w:vAlign w:val="center"/>
            <w:hideMark/>
          </w:tcPr>
          <w:p w14:paraId="49D58CBF" w14:textId="15FEEA9E"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w:t>
            </w:r>
          </w:p>
        </w:tc>
        <w:tc>
          <w:tcPr>
            <w:tcW w:w="634" w:type="dxa"/>
            <w:shd w:val="clear" w:color="auto" w:fill="FFFFFF" w:themeFill="background1"/>
            <w:noWrap/>
            <w:vAlign w:val="center"/>
            <w:hideMark/>
          </w:tcPr>
          <w:p w14:paraId="208556CD" w14:textId="6F7B59E1"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w:t>
            </w:r>
          </w:p>
        </w:tc>
        <w:tc>
          <w:tcPr>
            <w:tcW w:w="784" w:type="dxa"/>
            <w:shd w:val="clear" w:color="auto" w:fill="FFFFFF" w:themeFill="background1"/>
            <w:vAlign w:val="center"/>
            <w:hideMark/>
          </w:tcPr>
          <w:p w14:paraId="365FC107" w14:textId="6A340C90"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w:t>
            </w:r>
          </w:p>
        </w:tc>
        <w:tc>
          <w:tcPr>
            <w:tcW w:w="636" w:type="dxa"/>
            <w:shd w:val="clear" w:color="auto" w:fill="FFFFFF" w:themeFill="background1"/>
            <w:vAlign w:val="center"/>
            <w:hideMark/>
          </w:tcPr>
          <w:p w14:paraId="127CF91F" w14:textId="69D2EC04"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w:t>
            </w:r>
          </w:p>
        </w:tc>
        <w:tc>
          <w:tcPr>
            <w:tcW w:w="588" w:type="dxa"/>
            <w:shd w:val="clear" w:color="auto" w:fill="FFFFFF" w:themeFill="background1"/>
            <w:noWrap/>
            <w:vAlign w:val="center"/>
            <w:hideMark/>
          </w:tcPr>
          <w:p w14:paraId="5F6DC9FD" w14:textId="5BB5516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w:t>
            </w:r>
          </w:p>
        </w:tc>
      </w:tr>
      <w:tr w:rsidR="00C8338D" w:rsidRPr="00A25D8F" w14:paraId="6205BEA6" w14:textId="77777777" w:rsidTr="002E4957">
        <w:trPr>
          <w:trHeight w:val="301"/>
        </w:trPr>
        <w:tc>
          <w:tcPr>
            <w:tcW w:w="3277" w:type="dxa"/>
            <w:shd w:val="clear" w:color="auto" w:fill="E7E6E6" w:themeFill="background2"/>
            <w:noWrap/>
            <w:vAlign w:val="center"/>
            <w:hideMark/>
          </w:tcPr>
          <w:p w14:paraId="7B31F0BB"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Digital public services for citizens</w:t>
            </w:r>
          </w:p>
        </w:tc>
        <w:tc>
          <w:tcPr>
            <w:tcW w:w="701" w:type="dxa"/>
            <w:shd w:val="clear" w:color="auto" w:fill="FFFFFF" w:themeFill="background1"/>
            <w:noWrap/>
            <w:vAlign w:val="center"/>
            <w:hideMark/>
          </w:tcPr>
          <w:p w14:paraId="45ED3E27" w14:textId="5A1C4203"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746" w:type="dxa"/>
            <w:shd w:val="clear" w:color="auto" w:fill="FFFFFF" w:themeFill="background1"/>
            <w:noWrap/>
            <w:vAlign w:val="center"/>
            <w:hideMark/>
          </w:tcPr>
          <w:p w14:paraId="397640B3" w14:textId="4405E0D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99.7</w:t>
            </w:r>
          </w:p>
        </w:tc>
        <w:tc>
          <w:tcPr>
            <w:tcW w:w="711" w:type="dxa"/>
            <w:shd w:val="clear" w:color="auto" w:fill="FFFFFF" w:themeFill="background1"/>
            <w:vAlign w:val="center"/>
            <w:hideMark/>
          </w:tcPr>
          <w:p w14:paraId="089CE766" w14:textId="6ECA1CD8"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-0.3%</w:t>
            </w:r>
          </w:p>
        </w:tc>
        <w:tc>
          <w:tcPr>
            <w:tcW w:w="939" w:type="dxa"/>
            <w:shd w:val="clear" w:color="auto" w:fill="FFFFFF" w:themeFill="background1"/>
            <w:vAlign w:val="center"/>
            <w:hideMark/>
          </w:tcPr>
          <w:p w14:paraId="0665FBC4" w14:textId="4E1438AE"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100.0 </w:t>
            </w:r>
          </w:p>
        </w:tc>
        <w:tc>
          <w:tcPr>
            <w:tcW w:w="634" w:type="dxa"/>
            <w:shd w:val="clear" w:color="auto" w:fill="FFFFFF" w:themeFill="background1"/>
            <w:noWrap/>
            <w:vAlign w:val="center"/>
            <w:hideMark/>
          </w:tcPr>
          <w:p w14:paraId="11783B2A" w14:textId="41E97D49"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82.3</w:t>
            </w:r>
          </w:p>
        </w:tc>
        <w:tc>
          <w:tcPr>
            <w:tcW w:w="784" w:type="dxa"/>
            <w:shd w:val="clear" w:color="auto" w:fill="FFFFFF" w:themeFill="background1"/>
            <w:vAlign w:val="center"/>
            <w:hideMark/>
          </w:tcPr>
          <w:p w14:paraId="4C826D22" w14:textId="5CB6805B"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3.6%</w:t>
            </w:r>
          </w:p>
        </w:tc>
        <w:tc>
          <w:tcPr>
            <w:tcW w:w="636" w:type="dxa"/>
            <w:shd w:val="clear" w:color="auto" w:fill="FFFFFF" w:themeFill="background1"/>
            <w:vAlign w:val="center"/>
            <w:hideMark/>
          </w:tcPr>
          <w:p w14:paraId="42A19801" w14:textId="6AB8CCF3"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588" w:type="dxa"/>
            <w:shd w:val="clear" w:color="auto" w:fill="FFFFFF" w:themeFill="background1"/>
            <w:noWrap/>
            <w:vAlign w:val="center"/>
            <w:hideMark/>
          </w:tcPr>
          <w:p w14:paraId="4C51325C" w14:textId="3A69E912"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w:t>
            </w:r>
          </w:p>
        </w:tc>
      </w:tr>
      <w:tr w:rsidR="00C8338D" w:rsidRPr="00A25D8F" w14:paraId="700A765E" w14:textId="77777777" w:rsidTr="002E4957">
        <w:trPr>
          <w:trHeight w:val="300"/>
        </w:trPr>
        <w:tc>
          <w:tcPr>
            <w:tcW w:w="3277" w:type="dxa"/>
            <w:shd w:val="clear" w:color="auto" w:fill="E7E6E6" w:themeFill="background2"/>
            <w:noWrap/>
            <w:vAlign w:val="center"/>
            <w:hideMark/>
          </w:tcPr>
          <w:p w14:paraId="116FCE3C" w14:textId="77777777" w:rsidR="00C8338D" w:rsidRPr="00A25D8F" w:rsidRDefault="00C8338D" w:rsidP="00C8338D">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Digital public services for businesses</w:t>
            </w:r>
          </w:p>
        </w:tc>
        <w:tc>
          <w:tcPr>
            <w:tcW w:w="701" w:type="dxa"/>
            <w:shd w:val="clear" w:color="auto" w:fill="FFFFFF" w:themeFill="background1"/>
            <w:noWrap/>
            <w:vAlign w:val="center"/>
            <w:hideMark/>
          </w:tcPr>
          <w:p w14:paraId="094784CE" w14:textId="2251B7F3"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746" w:type="dxa"/>
            <w:shd w:val="clear" w:color="auto" w:fill="FFFFFF" w:themeFill="background1"/>
            <w:noWrap/>
            <w:vAlign w:val="center"/>
            <w:hideMark/>
          </w:tcPr>
          <w:p w14:paraId="17BE7E5F" w14:textId="1759215B"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711" w:type="dxa"/>
            <w:shd w:val="clear" w:color="auto" w:fill="FFFFFF" w:themeFill="background1"/>
            <w:vAlign w:val="center"/>
            <w:hideMark/>
          </w:tcPr>
          <w:p w14:paraId="0202CA72" w14:textId="1DE57F69"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0.0%</w:t>
            </w:r>
          </w:p>
        </w:tc>
        <w:tc>
          <w:tcPr>
            <w:tcW w:w="939" w:type="dxa"/>
            <w:shd w:val="clear" w:color="auto" w:fill="FFFFFF" w:themeFill="background1"/>
            <w:vAlign w:val="center"/>
            <w:hideMark/>
          </w:tcPr>
          <w:p w14:paraId="401D3947" w14:textId="56A466E6"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3C2B25AC" w14:textId="011EFE18"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86.2</w:t>
            </w:r>
          </w:p>
        </w:tc>
        <w:tc>
          <w:tcPr>
            <w:tcW w:w="784" w:type="dxa"/>
            <w:shd w:val="clear" w:color="auto" w:fill="FFFFFF" w:themeFill="background1"/>
            <w:vAlign w:val="center"/>
            <w:hideMark/>
          </w:tcPr>
          <w:p w14:paraId="5E510FE6" w14:textId="1DB675C6"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0.9%</w:t>
            </w:r>
          </w:p>
        </w:tc>
        <w:tc>
          <w:tcPr>
            <w:tcW w:w="636" w:type="dxa"/>
            <w:shd w:val="clear" w:color="auto" w:fill="FFFFFF" w:themeFill="background1"/>
            <w:vAlign w:val="center"/>
            <w:hideMark/>
          </w:tcPr>
          <w:p w14:paraId="66DBD148" w14:textId="1A10B6EE"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588" w:type="dxa"/>
            <w:shd w:val="clear" w:color="auto" w:fill="FFFFFF" w:themeFill="background1"/>
            <w:noWrap/>
            <w:vAlign w:val="center"/>
            <w:hideMark/>
          </w:tcPr>
          <w:p w14:paraId="19F8921F" w14:textId="43C51890" w:rsidR="00C8338D" w:rsidRPr="00C8338D" w:rsidRDefault="00C8338D" w:rsidP="00C8338D">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w:t>
            </w:r>
          </w:p>
        </w:tc>
      </w:tr>
      <w:tr w:rsidR="0079613B" w:rsidRPr="00A25D8F" w14:paraId="62F11CBF" w14:textId="77777777" w:rsidTr="002E4957">
        <w:trPr>
          <w:trHeight w:val="315"/>
        </w:trPr>
        <w:tc>
          <w:tcPr>
            <w:tcW w:w="3277" w:type="dxa"/>
            <w:shd w:val="clear" w:color="auto" w:fill="E7E6E6" w:themeFill="background2"/>
            <w:noWrap/>
            <w:vAlign w:val="center"/>
            <w:hideMark/>
          </w:tcPr>
          <w:p w14:paraId="5C6BDC72" w14:textId="77777777" w:rsidR="0079613B" w:rsidRPr="00A25D8F" w:rsidRDefault="0079613B" w:rsidP="0079613B">
            <w:pPr>
              <w:spacing w:after="0" w:line="240" w:lineRule="auto"/>
              <w:rPr>
                <w:rFonts w:ascii="Calibri" w:eastAsia="Times New Roman" w:hAnsi="Calibri" w:cs="Calibri"/>
                <w:b/>
                <w:bCs/>
                <w:noProof/>
                <w:color w:val="000000"/>
                <w:sz w:val="14"/>
                <w:szCs w:val="14"/>
                <w:lang w:eastAsia="en-IE"/>
              </w:rPr>
            </w:pPr>
            <w:r w:rsidRPr="00A25D8F">
              <w:rPr>
                <w:rFonts w:ascii="Calibri" w:eastAsia="Times New Roman" w:hAnsi="Calibri" w:cs="Calibri"/>
                <w:b/>
                <w:bCs/>
                <w:noProof/>
                <w:color w:val="000000"/>
                <w:sz w:val="14"/>
                <w:szCs w:val="14"/>
                <w:lang w:eastAsia="en-IE"/>
              </w:rPr>
              <w:t>Access to e-Health records</w:t>
            </w:r>
          </w:p>
        </w:tc>
        <w:tc>
          <w:tcPr>
            <w:tcW w:w="701" w:type="dxa"/>
            <w:shd w:val="clear" w:color="auto" w:fill="FFFFFF" w:themeFill="background1"/>
            <w:noWrap/>
            <w:vAlign w:val="center"/>
            <w:hideMark/>
          </w:tcPr>
          <w:p w14:paraId="30F4FBA0" w14:textId="3354F85C" w:rsidR="0079613B" w:rsidRPr="00C8338D" w:rsidRDefault="0079613B" w:rsidP="0079613B">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88.0</w:t>
            </w:r>
          </w:p>
        </w:tc>
        <w:tc>
          <w:tcPr>
            <w:tcW w:w="746" w:type="dxa"/>
            <w:shd w:val="clear" w:color="auto" w:fill="FFFFFF" w:themeFill="background1"/>
            <w:noWrap/>
            <w:vAlign w:val="center"/>
            <w:hideMark/>
          </w:tcPr>
          <w:p w14:paraId="4165E66B" w14:textId="7571F14A" w:rsidR="0079613B" w:rsidRPr="00C8338D" w:rsidRDefault="0079613B" w:rsidP="0079613B">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93.7</w:t>
            </w:r>
          </w:p>
        </w:tc>
        <w:tc>
          <w:tcPr>
            <w:tcW w:w="711" w:type="dxa"/>
            <w:shd w:val="clear" w:color="auto" w:fill="FFFFFF" w:themeFill="background1"/>
            <w:vAlign w:val="center"/>
            <w:hideMark/>
          </w:tcPr>
          <w:p w14:paraId="7D4560AC" w14:textId="29617FF7" w:rsidR="0079613B" w:rsidRPr="00C8338D" w:rsidRDefault="0079613B" w:rsidP="0079613B">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6.5%</w:t>
            </w:r>
          </w:p>
        </w:tc>
        <w:tc>
          <w:tcPr>
            <w:tcW w:w="939" w:type="dxa"/>
            <w:shd w:val="clear" w:color="auto" w:fill="FFFFFF" w:themeFill="background1"/>
            <w:vAlign w:val="center"/>
            <w:hideMark/>
          </w:tcPr>
          <w:p w14:paraId="699AA376" w14:textId="1C49939E" w:rsidR="0079613B" w:rsidRPr="00C8338D" w:rsidRDefault="0079613B" w:rsidP="0079613B">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 xml:space="preserve"> - </w:t>
            </w:r>
          </w:p>
        </w:tc>
        <w:tc>
          <w:tcPr>
            <w:tcW w:w="634" w:type="dxa"/>
            <w:shd w:val="clear" w:color="auto" w:fill="FFFFFF" w:themeFill="background1"/>
            <w:noWrap/>
            <w:vAlign w:val="center"/>
            <w:hideMark/>
          </w:tcPr>
          <w:p w14:paraId="6C7DE52B" w14:textId="17BF4F6F" w:rsidR="0079613B" w:rsidRPr="0079613B" w:rsidRDefault="0079613B" w:rsidP="0079613B">
            <w:pPr>
              <w:spacing w:after="0" w:line="240" w:lineRule="auto"/>
              <w:jc w:val="center"/>
              <w:rPr>
                <w:rFonts w:eastAsia="Times New Roman" w:cstheme="minorHAnsi"/>
                <w:noProof/>
                <w:color w:val="000000"/>
                <w:sz w:val="14"/>
                <w:szCs w:val="14"/>
                <w:lang w:eastAsia="en-IE"/>
              </w:rPr>
            </w:pPr>
            <w:r w:rsidRPr="0079613B">
              <w:rPr>
                <w:rFonts w:ascii="Calibri" w:hAnsi="Calibri" w:cs="Calibri"/>
                <w:noProof/>
                <w:color w:val="000000"/>
                <w:sz w:val="14"/>
                <w:szCs w:val="14"/>
              </w:rPr>
              <w:t>82.7</w:t>
            </w:r>
          </w:p>
        </w:tc>
        <w:tc>
          <w:tcPr>
            <w:tcW w:w="784" w:type="dxa"/>
            <w:shd w:val="clear" w:color="auto" w:fill="FFFFFF" w:themeFill="background1"/>
            <w:vAlign w:val="center"/>
            <w:hideMark/>
          </w:tcPr>
          <w:p w14:paraId="34CD93C4" w14:textId="24FEDADE" w:rsidR="0079613B" w:rsidRPr="0079613B" w:rsidRDefault="0079613B" w:rsidP="0079613B">
            <w:pPr>
              <w:spacing w:after="0" w:line="240" w:lineRule="auto"/>
              <w:jc w:val="center"/>
              <w:rPr>
                <w:rFonts w:eastAsia="Times New Roman" w:cstheme="minorHAnsi"/>
                <w:noProof/>
                <w:color w:val="000000"/>
                <w:sz w:val="14"/>
                <w:szCs w:val="14"/>
                <w:lang w:eastAsia="en-IE"/>
              </w:rPr>
            </w:pPr>
            <w:r w:rsidRPr="0079613B">
              <w:rPr>
                <w:rFonts w:ascii="Calibri" w:hAnsi="Calibri" w:cs="Calibri"/>
                <w:noProof/>
                <w:color w:val="000000"/>
                <w:sz w:val="14"/>
                <w:szCs w:val="14"/>
              </w:rPr>
              <w:t>4.5%</w:t>
            </w:r>
          </w:p>
        </w:tc>
        <w:tc>
          <w:tcPr>
            <w:tcW w:w="636" w:type="dxa"/>
            <w:shd w:val="clear" w:color="auto" w:fill="FFFFFF" w:themeFill="background1"/>
            <w:vAlign w:val="center"/>
            <w:hideMark/>
          </w:tcPr>
          <w:p w14:paraId="4DAA8478" w14:textId="06728CED" w:rsidR="0079613B" w:rsidRPr="00C8338D" w:rsidRDefault="0079613B" w:rsidP="0079613B">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100.0</w:t>
            </w:r>
          </w:p>
        </w:tc>
        <w:tc>
          <w:tcPr>
            <w:tcW w:w="588" w:type="dxa"/>
            <w:shd w:val="clear" w:color="auto" w:fill="FFFFFF" w:themeFill="background1"/>
            <w:noWrap/>
            <w:vAlign w:val="center"/>
            <w:hideMark/>
          </w:tcPr>
          <w:p w14:paraId="21A8C743" w14:textId="3753B4A3" w:rsidR="0079613B" w:rsidRPr="00C8338D" w:rsidRDefault="0079613B" w:rsidP="0079613B">
            <w:pPr>
              <w:spacing w:after="0" w:line="240" w:lineRule="auto"/>
              <w:jc w:val="center"/>
              <w:rPr>
                <w:rFonts w:eastAsia="Times New Roman" w:cstheme="minorHAnsi"/>
                <w:noProof/>
                <w:color w:val="000000"/>
                <w:sz w:val="14"/>
                <w:szCs w:val="14"/>
                <w:lang w:eastAsia="en-IE"/>
              </w:rPr>
            </w:pPr>
            <w:r w:rsidRPr="00C8338D">
              <w:rPr>
                <w:rFonts w:ascii="Calibri" w:hAnsi="Calibri" w:cs="Calibri"/>
                <w:noProof/>
                <w:color w:val="000000"/>
                <w:sz w:val="14"/>
                <w:szCs w:val="14"/>
              </w:rPr>
              <w:t>100</w:t>
            </w:r>
          </w:p>
        </w:tc>
      </w:tr>
      <w:tr w:rsidR="0010188F" w:rsidRPr="00A25D8F" w14:paraId="5F68607A" w14:textId="77777777" w:rsidTr="4FAE08D1">
        <w:trPr>
          <w:trHeight w:val="705"/>
        </w:trPr>
        <w:tc>
          <w:tcPr>
            <w:tcW w:w="9016" w:type="dxa"/>
            <w:gridSpan w:val="9"/>
            <w:shd w:val="clear" w:color="auto" w:fill="auto"/>
            <w:vAlign w:val="center"/>
            <w:hideMark/>
          </w:tcPr>
          <w:p w14:paraId="56E8A932" w14:textId="77777777" w:rsidR="0010188F" w:rsidRPr="00E11E57" w:rsidRDefault="0010188F" w:rsidP="00DD6C64">
            <w:pPr>
              <w:spacing w:after="0" w:line="240" w:lineRule="auto"/>
              <w:rPr>
                <w:rFonts w:ascii="Calibri" w:eastAsia="Times New Roman" w:hAnsi="Calibri" w:cs="Calibri"/>
                <w:noProof/>
                <w:color w:val="000000"/>
                <w:sz w:val="14"/>
                <w:szCs w:val="14"/>
                <w:lang w:eastAsia="en-IE"/>
              </w:rPr>
            </w:pPr>
            <w:r w:rsidRPr="00E11E57">
              <w:rPr>
                <w:rFonts w:ascii="Calibri" w:eastAsia="Times New Roman" w:hAnsi="Calibri" w:cs="Calibri"/>
                <w:noProof/>
                <w:color w:val="000000"/>
                <w:sz w:val="14"/>
                <w:szCs w:val="14"/>
                <w:lang w:eastAsia="en-IE"/>
              </w:rPr>
              <w:t>(1) See the methodological note for the description of the indicators and other metrics</w:t>
            </w:r>
          </w:p>
          <w:p w14:paraId="36AFCCE4" w14:textId="77777777" w:rsidR="0010188F" w:rsidRPr="00E11E57" w:rsidRDefault="0010188F" w:rsidP="00DD6C64">
            <w:pPr>
              <w:spacing w:after="0" w:line="240" w:lineRule="auto"/>
              <w:rPr>
                <w:rFonts w:ascii="Calibri" w:eastAsia="Times New Roman" w:hAnsi="Calibri" w:cs="Calibri"/>
                <w:noProof/>
                <w:color w:val="000000"/>
                <w:sz w:val="14"/>
                <w:szCs w:val="14"/>
                <w:lang w:eastAsia="en-IE"/>
              </w:rPr>
            </w:pPr>
            <w:r w:rsidRPr="00E11E57">
              <w:rPr>
                <w:rFonts w:ascii="Calibri" w:eastAsia="Times New Roman" w:hAnsi="Calibri" w:cs="Calibri"/>
                <w:noProof/>
                <w:color w:val="000000"/>
                <w:sz w:val="14"/>
                <w:szCs w:val="14"/>
                <w:lang w:eastAsia="en-IE"/>
              </w:rPr>
              <w:t>(2) DESI 2025 reports the version 4 of the Digital Intensity Index, that is comparable with the DII value from DESI 2023 (referring to year 2022) for the calculation of the annual progress. It is not comparable to the national trajectory that is based on version 3 of the index.</w:t>
            </w:r>
          </w:p>
          <w:p w14:paraId="1154059F" w14:textId="77777777" w:rsidR="0010188F" w:rsidRPr="00A25D8F" w:rsidRDefault="0010188F" w:rsidP="00DD6C64">
            <w:pPr>
              <w:spacing w:after="0" w:line="240" w:lineRule="auto"/>
              <w:rPr>
                <w:rFonts w:ascii="Calibri" w:eastAsia="Times New Roman" w:hAnsi="Calibri" w:cs="Calibri"/>
                <w:noProof/>
                <w:color w:val="000000"/>
                <w:sz w:val="14"/>
                <w:szCs w:val="14"/>
                <w:lang w:eastAsia="en-IE"/>
              </w:rPr>
            </w:pPr>
            <w:r w:rsidRPr="00E11E57">
              <w:rPr>
                <w:rFonts w:ascii="Calibri" w:eastAsia="Times New Roman" w:hAnsi="Calibri" w:cs="Calibri"/>
                <w:noProof/>
                <w:color w:val="000000"/>
                <w:sz w:val="14"/>
                <w:szCs w:val="14"/>
                <w:lang w:eastAsia="en-IE"/>
              </w:rPr>
              <w:t>(3) National trajectory value if present in the national roadmap and if the indicator was measured in DESI2025 (year 2024)</w:t>
            </w:r>
          </w:p>
        </w:tc>
      </w:tr>
    </w:tbl>
    <w:p w14:paraId="20DCB2A1" w14:textId="1F302082" w:rsidR="4CAD0418" w:rsidRDefault="4CAD0418" w:rsidP="0B4F73E9">
      <w:pPr>
        <w:jc w:val="both"/>
        <w:rPr>
          <w:rFonts w:ascii="Calibri" w:eastAsia="Calibri" w:hAnsi="Calibri" w:cs="Calibri"/>
          <w:noProof/>
          <w:color w:val="000000" w:themeColor="text1"/>
        </w:rPr>
      </w:pPr>
      <w:r w:rsidRPr="35DBEC6D">
        <w:rPr>
          <w:rFonts w:ascii="Calibri" w:eastAsia="Calibri" w:hAnsi="Calibri" w:cs="Calibri"/>
          <w:b/>
          <w:bCs/>
          <w:noProof/>
          <w:color w:val="000000" w:themeColor="text1"/>
        </w:rPr>
        <w:t>According to the special Eurobarometer on ‘the Digital Decade’ 2025,</w:t>
      </w:r>
      <w:r w:rsidRPr="35DBEC6D">
        <w:rPr>
          <w:rFonts w:ascii="Calibri" w:eastAsia="Calibri" w:hAnsi="Calibri" w:cs="Calibri"/>
          <w:noProof/>
          <w:color w:val="000000" w:themeColor="text1"/>
        </w:rPr>
        <w:t xml:space="preserve"> 80% of Maltese citizens consider that the digitalisation of daily public and private services is making their lives easier. Concerning the action of the public authorities, 90% consider it important to counter and mitigate the issue of fake news and disinformation online, and regarding competitiveness, 87% consider it important to ensure that European companies can grow and become “European Champions” able to compete globally.</w:t>
      </w:r>
    </w:p>
    <w:p w14:paraId="6B12C77D" w14:textId="4588ADF7" w:rsidR="00BF1A01" w:rsidRPr="000857C1" w:rsidRDefault="00BF1A01" w:rsidP="009156A7">
      <w:pPr>
        <w:pStyle w:val="Heading2"/>
        <w:rPr>
          <w:noProof/>
        </w:rPr>
      </w:pPr>
      <w:r w:rsidRPr="000857C1">
        <w:rPr>
          <w:noProof/>
        </w:rPr>
        <w:t>A competitive, sovereign, and resilient EU based on technological leadership</w:t>
      </w:r>
    </w:p>
    <w:p w14:paraId="25132F40" w14:textId="7AF6DD50" w:rsidR="004715DA" w:rsidRDefault="00BF1A01" w:rsidP="00BF1A01">
      <w:pPr>
        <w:jc w:val="both"/>
        <w:rPr>
          <w:noProof/>
        </w:rPr>
      </w:pPr>
      <w:r w:rsidRPr="35DBEC6D">
        <w:rPr>
          <w:b/>
          <w:bCs/>
          <w:noProof/>
        </w:rPr>
        <w:t xml:space="preserve">Malta has </w:t>
      </w:r>
      <w:r w:rsidR="61ED0B47" w:rsidRPr="35DBEC6D">
        <w:rPr>
          <w:b/>
          <w:bCs/>
          <w:noProof/>
        </w:rPr>
        <w:t>a strong position when it comes to</w:t>
      </w:r>
      <w:r w:rsidR="460079E9" w:rsidRPr="35DBEC6D">
        <w:rPr>
          <w:b/>
          <w:bCs/>
          <w:noProof/>
        </w:rPr>
        <w:t xml:space="preserve"> </w:t>
      </w:r>
      <w:r w:rsidRPr="35DBEC6D">
        <w:rPr>
          <w:b/>
          <w:bCs/>
          <w:noProof/>
        </w:rPr>
        <w:t xml:space="preserve">digital infrastructure, outperforming the EU average </w:t>
      </w:r>
      <w:r w:rsidR="7F2C1EB6" w:rsidRPr="35DBEC6D">
        <w:rPr>
          <w:b/>
          <w:bCs/>
          <w:noProof/>
        </w:rPr>
        <w:t>and reaching</w:t>
      </w:r>
      <w:r w:rsidRPr="35DBEC6D">
        <w:rPr>
          <w:b/>
          <w:bCs/>
          <w:noProof/>
        </w:rPr>
        <w:t xml:space="preserve"> full VHCN and basic 5G coverage.</w:t>
      </w:r>
      <w:r>
        <w:rPr>
          <w:noProof/>
        </w:rPr>
        <w:t xml:space="preserve"> </w:t>
      </w:r>
      <w:r w:rsidR="507B9F66">
        <w:rPr>
          <w:noProof/>
        </w:rPr>
        <w:t>The roll-out of fibr</w:t>
      </w:r>
      <w:r w:rsidR="00B96BDA">
        <w:rPr>
          <w:noProof/>
        </w:rPr>
        <w:t>e</w:t>
      </w:r>
      <w:r w:rsidR="507B9F66">
        <w:rPr>
          <w:noProof/>
        </w:rPr>
        <w:t xml:space="preserve"> networks is</w:t>
      </w:r>
      <w:r w:rsidR="0896FB24">
        <w:rPr>
          <w:noProof/>
        </w:rPr>
        <w:t xml:space="preserve"> </w:t>
      </w:r>
      <w:r w:rsidR="507B9F66">
        <w:rPr>
          <w:noProof/>
        </w:rPr>
        <w:t>continuing</w:t>
      </w:r>
      <w:r w:rsidR="08510A5B">
        <w:rPr>
          <w:noProof/>
        </w:rPr>
        <w:t xml:space="preserve"> </w:t>
      </w:r>
      <w:r w:rsidR="79F7642C">
        <w:rPr>
          <w:noProof/>
        </w:rPr>
        <w:t>and progressing at a fast pace</w:t>
      </w:r>
      <w:r w:rsidR="507B9F66">
        <w:rPr>
          <w:noProof/>
        </w:rPr>
        <w:t xml:space="preserve">. </w:t>
      </w:r>
      <w:r w:rsidR="793C27A7">
        <w:rPr>
          <w:noProof/>
        </w:rPr>
        <w:t>Regarding 5G in the 3.4–3.8 GHz band, Malta still lags behind the EU</w:t>
      </w:r>
      <w:r w:rsidR="3C57A4AC">
        <w:rPr>
          <w:noProof/>
        </w:rPr>
        <w:t xml:space="preserve"> but it is expanding rapidly</w:t>
      </w:r>
      <w:r w:rsidR="73AFE01F">
        <w:rPr>
          <w:noProof/>
        </w:rPr>
        <w:t xml:space="preserve">. </w:t>
      </w:r>
    </w:p>
    <w:p w14:paraId="0F08D58C" w14:textId="6FDA0E26" w:rsidR="00BF1A01" w:rsidRPr="009A06F0" w:rsidRDefault="00DD5DA0" w:rsidP="00BF1A01">
      <w:pPr>
        <w:jc w:val="both"/>
        <w:rPr>
          <w:noProof/>
        </w:rPr>
      </w:pPr>
      <w:r w:rsidRPr="003534A2">
        <w:rPr>
          <w:b/>
          <w:bCs/>
          <w:noProof/>
        </w:rPr>
        <w:t xml:space="preserve">Most of </w:t>
      </w:r>
      <w:r w:rsidR="004715DA" w:rsidRPr="003534A2">
        <w:rPr>
          <w:b/>
          <w:bCs/>
          <w:noProof/>
        </w:rPr>
        <w:t>Maltese enterprises show a</w:t>
      </w:r>
      <w:r w:rsidRPr="003534A2">
        <w:rPr>
          <w:b/>
          <w:bCs/>
          <w:noProof/>
        </w:rPr>
        <w:t>t least a basic level of digital intensity and uptake of AI is above the EU average</w:t>
      </w:r>
      <w:r w:rsidR="003F1970">
        <w:rPr>
          <w:noProof/>
        </w:rPr>
        <w:t>, although</w:t>
      </w:r>
      <w:r>
        <w:rPr>
          <w:noProof/>
        </w:rPr>
        <w:t xml:space="preserve"> </w:t>
      </w:r>
      <w:r w:rsidR="00BF1A01" w:rsidRPr="009A06F0">
        <w:rPr>
          <w:noProof/>
        </w:rPr>
        <w:t xml:space="preserve">challenges persist particularly among </w:t>
      </w:r>
      <w:r w:rsidR="003F1970">
        <w:rPr>
          <w:noProof/>
        </w:rPr>
        <w:t>smaller enterprises</w:t>
      </w:r>
      <w:r w:rsidR="00BF1A01" w:rsidRPr="009A06F0">
        <w:rPr>
          <w:noProof/>
        </w:rPr>
        <w:t>.</w:t>
      </w:r>
      <w:r w:rsidR="003534A2">
        <w:rPr>
          <w:noProof/>
        </w:rPr>
        <w:t xml:space="preserve"> </w:t>
      </w:r>
      <w:r w:rsidR="00BF1A01" w:rsidRPr="009A06F0">
        <w:rPr>
          <w:noProof/>
        </w:rPr>
        <w:t xml:space="preserve">Malta is nurturing a dynamic and expanding start-up ecosystem through concrete support measures such as the </w:t>
      </w:r>
      <w:r w:rsidR="00BF1A01" w:rsidRPr="009A06F0">
        <w:rPr>
          <w:i/>
          <w:iCs/>
          <w:noProof/>
        </w:rPr>
        <w:t>Start-Up Finance scheme</w:t>
      </w:r>
      <w:r w:rsidR="00BF1A01" w:rsidRPr="009A06F0">
        <w:rPr>
          <w:noProof/>
        </w:rPr>
        <w:t xml:space="preserve">, the </w:t>
      </w:r>
      <w:r w:rsidR="00BF1A01" w:rsidRPr="009A06F0">
        <w:rPr>
          <w:i/>
          <w:iCs/>
          <w:noProof/>
        </w:rPr>
        <w:t>Start-Up Residence Programme</w:t>
      </w:r>
      <w:r w:rsidR="00BF1A01" w:rsidRPr="009A06F0">
        <w:rPr>
          <w:noProof/>
        </w:rPr>
        <w:t xml:space="preserve">, and the creation of a €10 million </w:t>
      </w:r>
      <w:r w:rsidR="00BF1A01" w:rsidRPr="009A06F0">
        <w:rPr>
          <w:i/>
          <w:iCs/>
          <w:noProof/>
        </w:rPr>
        <w:t>Venture Capital Fund</w:t>
      </w:r>
      <w:r w:rsidR="00BF1A01" w:rsidRPr="009A06F0">
        <w:rPr>
          <w:noProof/>
        </w:rPr>
        <w:t xml:space="preserve">. The country is also investing in digital skills and innovation infrastructure, including a national roadmap that promotes emerging technologies and supports scale-ups. Malta is actively strengthening its cybersecurity capabilities and digital resilience, </w:t>
      </w:r>
      <w:r w:rsidR="00F52B69">
        <w:rPr>
          <w:noProof/>
        </w:rPr>
        <w:t xml:space="preserve">with </w:t>
      </w:r>
      <w:r w:rsidR="005D26D5">
        <w:rPr>
          <w:noProof/>
        </w:rPr>
        <w:t xml:space="preserve">the </w:t>
      </w:r>
      <w:r w:rsidR="00F52B69">
        <w:rPr>
          <w:noProof/>
        </w:rPr>
        <w:t xml:space="preserve">goal of </w:t>
      </w:r>
      <w:r w:rsidR="00F52B69" w:rsidRPr="001552EF">
        <w:rPr>
          <w:rFonts w:ascii="Calibri" w:eastAsia="Calibri" w:hAnsi="Calibri" w:cs="Calibri"/>
          <w:noProof/>
          <w:color w:val="000000" w:themeColor="text1"/>
        </w:rPr>
        <w:t>reduc</w:t>
      </w:r>
      <w:r w:rsidR="00F52B69">
        <w:rPr>
          <w:rFonts w:ascii="Calibri" w:eastAsia="Calibri" w:hAnsi="Calibri" w:cs="Calibri"/>
          <w:noProof/>
          <w:color w:val="000000" w:themeColor="text1"/>
        </w:rPr>
        <w:t>ing</w:t>
      </w:r>
      <w:r w:rsidR="00F52B69" w:rsidRPr="001552EF">
        <w:rPr>
          <w:rFonts w:ascii="Calibri" w:eastAsia="Calibri" w:hAnsi="Calibri" w:cs="Calibri"/>
          <w:noProof/>
          <w:color w:val="000000" w:themeColor="text1"/>
        </w:rPr>
        <w:t xml:space="preserve"> dependency on external technologies and enhanc</w:t>
      </w:r>
      <w:r w:rsidR="00F52B69">
        <w:rPr>
          <w:rFonts w:ascii="Calibri" w:eastAsia="Calibri" w:hAnsi="Calibri" w:cs="Calibri"/>
          <w:noProof/>
          <w:color w:val="000000" w:themeColor="text1"/>
        </w:rPr>
        <w:t>ing</w:t>
      </w:r>
      <w:r w:rsidR="00F52B69" w:rsidRPr="001552EF">
        <w:rPr>
          <w:rFonts w:ascii="Calibri" w:eastAsia="Calibri" w:hAnsi="Calibri" w:cs="Calibri"/>
          <w:noProof/>
          <w:color w:val="000000" w:themeColor="text1"/>
        </w:rPr>
        <w:t xml:space="preserve"> control over its digital ecosystem</w:t>
      </w:r>
      <w:r w:rsidR="00F52B69">
        <w:rPr>
          <w:noProof/>
        </w:rPr>
        <w:t xml:space="preserve">, </w:t>
      </w:r>
      <w:r w:rsidR="00BC0033">
        <w:rPr>
          <w:noProof/>
        </w:rPr>
        <w:t>although c</w:t>
      </w:r>
      <w:r w:rsidR="00D221E1" w:rsidRPr="001552EF">
        <w:rPr>
          <w:rFonts w:ascii="Calibri" w:eastAsia="Calibri" w:hAnsi="Calibri" w:cs="Calibri"/>
          <w:noProof/>
          <w:color w:val="000000" w:themeColor="text1"/>
        </w:rPr>
        <w:t>hallenges remain in adopting key internet standards like IPv6 and DNSSEC.</w:t>
      </w:r>
    </w:p>
    <w:p w14:paraId="60F5145B" w14:textId="77777777" w:rsidR="00BF1A01" w:rsidRDefault="00BF1A01" w:rsidP="009156A7">
      <w:pPr>
        <w:pStyle w:val="Heading2"/>
        <w:rPr>
          <w:noProof/>
        </w:rPr>
      </w:pPr>
      <w:r w:rsidRPr="41564AF6">
        <w:rPr>
          <w:noProof/>
        </w:rPr>
        <w:t>Protecting and empowering EU people and society</w:t>
      </w:r>
    </w:p>
    <w:p w14:paraId="7B86B7EA" w14:textId="5E20EB9B" w:rsidR="00AC6FD5" w:rsidRDefault="00D75617" w:rsidP="00BF1A01">
      <w:pPr>
        <w:jc w:val="both"/>
        <w:rPr>
          <w:rFonts w:cstheme="minorHAnsi"/>
          <w:noProof/>
        </w:rPr>
      </w:pPr>
      <w:r>
        <w:rPr>
          <w:rFonts w:cstheme="minorHAnsi"/>
          <w:b/>
          <w:bCs/>
          <w:noProof/>
        </w:rPr>
        <w:t xml:space="preserve">Most of the people in Malta have at least basic digital skills and the country </w:t>
      </w:r>
      <w:r w:rsidR="0039275C">
        <w:rPr>
          <w:rFonts w:cstheme="minorHAnsi"/>
          <w:b/>
          <w:bCs/>
          <w:noProof/>
        </w:rPr>
        <w:t xml:space="preserve">made some progress on </w:t>
      </w:r>
      <w:r w:rsidR="00642696">
        <w:rPr>
          <w:rFonts w:cstheme="minorHAnsi"/>
          <w:b/>
          <w:bCs/>
          <w:noProof/>
        </w:rPr>
        <w:t>the share of ICT specialists in em</w:t>
      </w:r>
      <w:r w:rsidR="00AC6FD5">
        <w:rPr>
          <w:rFonts w:cstheme="minorHAnsi"/>
          <w:b/>
          <w:bCs/>
          <w:noProof/>
        </w:rPr>
        <w:t>ployment</w:t>
      </w:r>
      <w:r w:rsidR="00BF1A01" w:rsidRPr="009A06F0">
        <w:rPr>
          <w:rFonts w:cstheme="minorHAnsi"/>
          <w:b/>
          <w:bCs/>
          <w:noProof/>
        </w:rPr>
        <w:t xml:space="preserve">, but </w:t>
      </w:r>
      <w:r w:rsidR="0004494C">
        <w:rPr>
          <w:rFonts w:cstheme="minorHAnsi"/>
          <w:b/>
          <w:bCs/>
          <w:noProof/>
        </w:rPr>
        <w:t>there is room to improve gender balance</w:t>
      </w:r>
      <w:r w:rsidR="00BF1A01" w:rsidRPr="0015064B">
        <w:rPr>
          <w:rFonts w:cstheme="minorHAnsi"/>
          <w:noProof/>
        </w:rPr>
        <w:t xml:space="preserve">. </w:t>
      </w:r>
      <w:r w:rsidR="001B4B7D" w:rsidRPr="0015064B">
        <w:rPr>
          <w:rFonts w:cstheme="minorHAnsi"/>
          <w:noProof/>
        </w:rPr>
        <w:t xml:space="preserve">In 2024, the share of ICT specialists in employment grew to 5.2%. </w:t>
      </w:r>
      <w:r w:rsidR="00BF1A01" w:rsidRPr="0015064B">
        <w:rPr>
          <w:rFonts w:cstheme="minorHAnsi"/>
          <w:noProof/>
        </w:rPr>
        <w:t>While interest in STEM and ICT careers is growing, skill shortages remain a concern.</w:t>
      </w:r>
      <w:r w:rsidR="00BF1A01" w:rsidRPr="009A06F0">
        <w:rPr>
          <w:rFonts w:cstheme="minorHAnsi"/>
          <w:noProof/>
        </w:rPr>
        <w:t xml:space="preserve"> </w:t>
      </w:r>
      <w:r w:rsidR="003F2553">
        <w:rPr>
          <w:rFonts w:cstheme="minorHAnsi"/>
          <w:noProof/>
        </w:rPr>
        <w:t xml:space="preserve">The majority of the Maltese population </w:t>
      </w:r>
      <w:r w:rsidR="0015064B">
        <w:rPr>
          <w:rFonts w:cstheme="minorHAnsi"/>
          <w:noProof/>
        </w:rPr>
        <w:t xml:space="preserve">(63%) </w:t>
      </w:r>
      <w:r w:rsidR="003F2553">
        <w:rPr>
          <w:rFonts w:cstheme="minorHAnsi"/>
          <w:noProof/>
        </w:rPr>
        <w:t xml:space="preserve">has at least basic digital skills, and the country </w:t>
      </w:r>
      <w:r w:rsidR="005263CF">
        <w:rPr>
          <w:rFonts w:cstheme="minorHAnsi"/>
          <w:noProof/>
        </w:rPr>
        <w:t xml:space="preserve">prioritises inclusivity in the implementation of the </w:t>
      </w:r>
      <w:r w:rsidR="005263CF" w:rsidRPr="00D35A28">
        <w:rPr>
          <w:noProof/>
        </w:rPr>
        <w:t>National eSkills Strategy 2022-2025</w:t>
      </w:r>
      <w:r w:rsidR="005263CF">
        <w:rPr>
          <w:noProof/>
        </w:rPr>
        <w:t>.</w:t>
      </w:r>
    </w:p>
    <w:p w14:paraId="351ABF40" w14:textId="3D0C4E64" w:rsidR="00BF1A01" w:rsidRPr="009A06F0" w:rsidRDefault="00AC6FD5" w:rsidP="00BF1A01">
      <w:pPr>
        <w:jc w:val="both"/>
        <w:rPr>
          <w:noProof/>
        </w:rPr>
      </w:pPr>
      <w:r w:rsidRPr="00652BB4">
        <w:rPr>
          <w:rFonts w:cstheme="minorHAnsi"/>
          <w:b/>
          <w:bCs/>
          <w:noProof/>
        </w:rPr>
        <w:t>D</w:t>
      </w:r>
      <w:r w:rsidR="00BF1A01" w:rsidRPr="00652BB4">
        <w:rPr>
          <w:rFonts w:cstheme="minorHAnsi"/>
          <w:b/>
          <w:bCs/>
          <w:noProof/>
        </w:rPr>
        <w:t>igital public services are well-developed and widely accessible</w:t>
      </w:r>
      <w:r w:rsidR="00BF1A01" w:rsidRPr="009A06F0">
        <w:rPr>
          <w:rFonts w:cstheme="minorHAnsi"/>
          <w:noProof/>
        </w:rPr>
        <w:t>, reflecting Malta’s focus on user-centric, simplified administration. National strategies promote sovereign digital solutions, aiming to ensure a secure and inclusive digital transformation for all citizens.</w:t>
      </w:r>
    </w:p>
    <w:p w14:paraId="5E27CC12" w14:textId="77777777" w:rsidR="00BF1A01" w:rsidRDefault="00BF1A01" w:rsidP="009156A7">
      <w:pPr>
        <w:pStyle w:val="Heading2"/>
        <w:rPr>
          <w:noProof/>
        </w:rPr>
      </w:pPr>
      <w:r w:rsidRPr="41564AF6">
        <w:rPr>
          <w:noProof/>
        </w:rPr>
        <w:t>Leveraging digital transformation for a smart greening</w:t>
      </w:r>
    </w:p>
    <w:p w14:paraId="37CCB5DE" w14:textId="6B953DCC" w:rsidR="00BF1A01" w:rsidRPr="00A9697E" w:rsidRDefault="00BF1A01" w:rsidP="00652BB4">
      <w:pPr>
        <w:jc w:val="both"/>
        <w:rPr>
          <w:noProof/>
        </w:rPr>
      </w:pPr>
      <w:r>
        <w:rPr>
          <w:noProof/>
        </w:rPr>
        <w:t>Malta is committed to achieving carbon neutrality by 2050, with a focus on sustainability, resilience, and innovation across all sectors. Digital technologies are recognised as a key enabler in this transition, helping businesses adopt sustainable practices and boosting overall competitiveness. The government is fostering collaborations with the private sector</w:t>
      </w:r>
      <w:r w:rsidR="3E1C81D8">
        <w:rPr>
          <w:noProof/>
        </w:rPr>
        <w:t xml:space="preserve"> </w:t>
      </w:r>
      <w:r>
        <w:rPr>
          <w:noProof/>
        </w:rPr>
        <w:t>to drive forward sustainability goals and integrate digital solutions in the green transition.</w:t>
      </w:r>
    </w:p>
    <w:p w14:paraId="4369CBA2" w14:textId="137F563B" w:rsidR="00BF1A01" w:rsidRPr="007C0C4B" w:rsidRDefault="00BF1A01" w:rsidP="009156A7">
      <w:pPr>
        <w:pStyle w:val="Heading2"/>
        <w:rPr>
          <w:noProof/>
        </w:rPr>
      </w:pPr>
      <w:r w:rsidRPr="41564AF6">
        <w:rPr>
          <w:noProof/>
        </w:rPr>
        <w:t xml:space="preserve">National </w:t>
      </w:r>
      <w:r w:rsidR="007C62BF">
        <w:rPr>
          <w:noProof/>
        </w:rPr>
        <w:t>D</w:t>
      </w:r>
      <w:r w:rsidRPr="41564AF6">
        <w:rPr>
          <w:noProof/>
        </w:rPr>
        <w:t xml:space="preserve">igital </w:t>
      </w:r>
      <w:r w:rsidR="007C62BF">
        <w:rPr>
          <w:noProof/>
        </w:rPr>
        <w:t>D</w:t>
      </w:r>
      <w:r w:rsidRPr="41564AF6">
        <w:rPr>
          <w:noProof/>
        </w:rPr>
        <w:t>ecade strategic roadmap</w:t>
      </w:r>
    </w:p>
    <w:p w14:paraId="4CB5D25A" w14:textId="641DBED7" w:rsidR="00BF1A01" w:rsidRDefault="00BF1A01" w:rsidP="00BF1A01">
      <w:pPr>
        <w:jc w:val="both"/>
        <w:rPr>
          <w:rFonts w:ascii="Calibri" w:eastAsia="Calibri" w:hAnsi="Calibri" w:cs="Calibri"/>
          <w:noProof/>
          <w:color w:val="000000" w:themeColor="text1"/>
        </w:rPr>
      </w:pPr>
      <w:r>
        <w:rPr>
          <w:noProof/>
        </w:rPr>
        <w:t>Malta did not submit a</w:t>
      </w:r>
      <w:r w:rsidR="00754F3E">
        <w:rPr>
          <w:noProof/>
        </w:rPr>
        <w:t xml:space="preserve">n </w:t>
      </w:r>
      <w:r>
        <w:rPr>
          <w:noProof/>
        </w:rPr>
        <w:t xml:space="preserve">updated national Digital Decade roadmap in 2025; therefore, the measures and targets for 2030 remain unchanged from those outlined in the initial 2023 roadmap. </w:t>
      </w:r>
      <w:r w:rsidRPr="35DBEC6D">
        <w:rPr>
          <w:noProof/>
          <w:lang w:val="en-US"/>
        </w:rPr>
        <w:t xml:space="preserve">In 2024, Malta continued the implementation of existing measures but did not take any new measure. </w:t>
      </w:r>
      <w:r>
        <w:rPr>
          <w:noProof/>
        </w:rPr>
        <w:t>In total three targets (i.e., VHCN, 5G and Digital Public Service for Citizen) have already been reached</w:t>
      </w:r>
      <w:r w:rsidR="003B4961">
        <w:rPr>
          <w:noProof/>
        </w:rPr>
        <w:t>. A</w:t>
      </w:r>
      <w:r>
        <w:rPr>
          <w:noProof/>
        </w:rPr>
        <w:t xml:space="preserve">ll the other targets align with the EU level goals for 2030, except for three national targets (basic digital skills, number of ICT specialist and SMEs with at least a basic level of digital intensity) </w:t>
      </w:r>
      <w:r w:rsidR="003B4961">
        <w:rPr>
          <w:noProof/>
        </w:rPr>
        <w:t xml:space="preserve">that </w:t>
      </w:r>
      <w:r>
        <w:rPr>
          <w:noProof/>
        </w:rPr>
        <w:t xml:space="preserve">fall slightly below the EU targets. Trajectories for edge nodes, e-Health and unicorns are missing. Although the roadmap covers nearly all objectives of the Digital Decade, some aspects may require more effort. </w:t>
      </w:r>
      <w:r w:rsidR="00C258C8">
        <w:rPr>
          <w:noProof/>
        </w:rPr>
        <w:t xml:space="preserve">Furthermore, the roadmap </w:t>
      </w:r>
      <w:r>
        <w:rPr>
          <w:noProof/>
        </w:rPr>
        <w:t>is composed of 66 measures with a total budget of EUR</w:t>
      </w:r>
      <w:r w:rsidR="1800A2C1">
        <w:rPr>
          <w:noProof/>
        </w:rPr>
        <w:t xml:space="preserve"> 285</w:t>
      </w:r>
      <w:r>
        <w:rPr>
          <w:noProof/>
        </w:rPr>
        <w:t xml:space="preserve"> million (</w:t>
      </w:r>
      <w:r w:rsidR="617AC083">
        <w:rPr>
          <w:noProof/>
        </w:rPr>
        <w:t>equivalent to 1.27%</w:t>
      </w:r>
      <w:r>
        <w:rPr>
          <w:noProof/>
        </w:rPr>
        <w:t xml:space="preserve"> of GDP) covering most of the targets. It still covers all objectives of the Digital Decade such as a human-centred digital space, resilience and security, sovereignty, green, and protection of the society.</w:t>
      </w:r>
      <w:r w:rsidR="006E7F1C">
        <w:rPr>
          <w:noProof/>
        </w:rPr>
        <w:t xml:space="preserve"> </w:t>
      </w:r>
      <w:r w:rsidR="006E7F1C" w:rsidRPr="35DBEC6D">
        <w:rPr>
          <w:noProof/>
          <w:lang w:val="en-GB"/>
        </w:rPr>
        <w:t xml:space="preserve">These achievements are the result of targeted public policies under the </w:t>
      </w:r>
      <w:r w:rsidR="006E7F1C" w:rsidRPr="35DBEC6D">
        <w:rPr>
          <w:i/>
          <w:iCs/>
          <w:noProof/>
          <w:lang w:val="en-GB"/>
        </w:rPr>
        <w:t>Malta Diġitali 2022–2027</w:t>
      </w:r>
      <w:r w:rsidR="006E7F1C" w:rsidRPr="35DBEC6D">
        <w:rPr>
          <w:noProof/>
          <w:lang w:val="en-GB"/>
        </w:rPr>
        <w:t xml:space="preserve"> strategy, with a strong focus on enhancing public digital services and connectivity.</w:t>
      </w:r>
    </w:p>
    <w:p w14:paraId="7653B1FD" w14:textId="77777777" w:rsidR="00BF1A01" w:rsidRDefault="00BF1A01" w:rsidP="009156A7">
      <w:pPr>
        <w:pStyle w:val="Heading2"/>
        <w:rPr>
          <w:noProof/>
        </w:rPr>
      </w:pPr>
      <w:r w:rsidRPr="1C36DCB8">
        <w:rPr>
          <w:noProof/>
        </w:rPr>
        <w:t>Funding &amp; projects for digital</w:t>
      </w:r>
    </w:p>
    <w:p w14:paraId="1F8CED2A" w14:textId="02F709AC" w:rsidR="00BF1A01" w:rsidRPr="00652BB4" w:rsidDel="00E43C18" w:rsidRDefault="00E43C18" w:rsidP="00BF1A01">
      <w:pPr>
        <w:jc w:val="both"/>
        <w:rPr>
          <w:noProof/>
          <w:lang w:val="en-US"/>
        </w:rPr>
      </w:pPr>
      <w:r>
        <w:rPr>
          <w:noProof/>
        </w:rPr>
        <w:t>Malta allocates 26</w:t>
      </w:r>
      <w:r w:rsidRPr="00CE296D">
        <w:rPr>
          <w:noProof/>
        </w:rPr>
        <w:t>% of its total</w:t>
      </w:r>
      <w:r>
        <w:rPr>
          <w:noProof/>
        </w:rPr>
        <w:t xml:space="preserve"> recovery and resilience plan</w:t>
      </w:r>
      <w:r w:rsidRPr="00CE296D">
        <w:rPr>
          <w:noProof/>
        </w:rPr>
        <w:t xml:space="preserve"> to digital (EUR </w:t>
      </w:r>
      <w:r>
        <w:rPr>
          <w:noProof/>
        </w:rPr>
        <w:t>68</w:t>
      </w:r>
      <w:r w:rsidRPr="00CE296D">
        <w:rPr>
          <w:noProof/>
        </w:rPr>
        <w:t xml:space="preserve"> </w:t>
      </w:r>
      <w:r>
        <w:rPr>
          <w:noProof/>
        </w:rPr>
        <w:t>m</w:t>
      </w:r>
      <w:r w:rsidRPr="00CE296D">
        <w:rPr>
          <w:noProof/>
        </w:rPr>
        <w:t>illion)</w:t>
      </w:r>
      <w:r>
        <w:rPr>
          <w:rStyle w:val="FootnoteReference"/>
          <w:noProof/>
        </w:rPr>
        <w:footnoteReference w:id="2"/>
      </w:r>
      <w:r>
        <w:rPr>
          <w:noProof/>
        </w:rPr>
        <w:t>. In addition, under cohesion policy, EUR 129 million, representing 17% of the country’s total cohesion policy funding, is dedicated to advancing Malta’s digital transformation</w:t>
      </w:r>
      <w:r>
        <w:rPr>
          <w:rStyle w:val="FootnoteReference"/>
          <w:noProof/>
        </w:rPr>
        <w:footnoteReference w:id="3"/>
      </w:r>
      <w:r>
        <w:rPr>
          <w:noProof/>
        </w:rPr>
        <w:t>.</w:t>
      </w:r>
      <w:r w:rsidR="007C62BF">
        <w:rPr>
          <w:noProof/>
        </w:rPr>
        <w:t xml:space="preserve"> </w:t>
      </w:r>
      <w:r w:rsidR="00D9477D" w:rsidRPr="35DBEC6D">
        <w:rPr>
          <w:noProof/>
          <w:lang w:val="en-US"/>
        </w:rPr>
        <w:t xml:space="preserve">Malta is directly participating in the IPCEI on Microelectronics and Communication Technologies (IPCEI-ME/CT). Malta is a participating state of the EuroHPC Joint Undertaking (JU) </w:t>
      </w:r>
      <w:r w:rsidR="00D9477D" w:rsidRPr="35DBEC6D">
        <w:rPr>
          <w:rFonts w:ascii="Calibri" w:eastAsia="Calibri" w:hAnsi="Calibri" w:cs="Calibri"/>
          <w:noProof/>
          <w:lang w:val="en-US"/>
        </w:rPr>
        <w:t>and of the Chips JU</w:t>
      </w:r>
      <w:r w:rsidR="00D9477D" w:rsidRPr="35DBEC6D">
        <w:rPr>
          <w:noProof/>
          <w:lang w:val="en-US"/>
        </w:rPr>
        <w:t>.</w:t>
      </w:r>
    </w:p>
    <w:p w14:paraId="4C1DC0FB" w14:textId="054ABEF8" w:rsidR="00BF1A01" w:rsidRDefault="00BF1A01" w:rsidP="00BF1A01">
      <w:pPr>
        <w:jc w:val="both"/>
        <w:rPr>
          <w:noProof/>
        </w:rPr>
      </w:pPr>
      <w:r w:rsidRPr="190E8061">
        <w:rPr>
          <w:rFonts w:ascii="Calibri" w:eastAsia="Calibri" w:hAnsi="Calibri" w:cs="Calibri"/>
          <w:noProof/>
          <w:color w:val="000000" w:themeColor="text1"/>
        </w:rPr>
        <w:t>Malta has not yet presented any project in the framework of Digital Decade’s Best Practice Accelerator</w:t>
      </w:r>
      <w:r w:rsidRPr="00EF3DFB">
        <w:rPr>
          <w:rFonts w:ascii="Calibri" w:eastAsia="Calibri" w:hAnsi="Calibri" w:cs="Calibri"/>
          <w:noProof/>
          <w:color w:val="000000" w:themeColor="text1"/>
          <w:sz w:val="20"/>
          <w:szCs w:val="20"/>
          <w:vertAlign w:val="superscript"/>
        </w:rPr>
        <w:footnoteReference w:id="4"/>
      </w:r>
      <w:r>
        <w:rPr>
          <w:noProof/>
        </w:rPr>
        <w:t>.</w:t>
      </w:r>
    </w:p>
    <w:p w14:paraId="3FAEDA64" w14:textId="77777777" w:rsidR="00233832" w:rsidRPr="00233832" w:rsidRDefault="00233832" w:rsidP="35DBEC6D">
      <w:pPr>
        <w:pStyle w:val="paragraph"/>
        <w:spacing w:before="0" w:beforeAutospacing="0" w:after="160" w:afterAutospacing="0" w:line="259" w:lineRule="auto"/>
        <w:jc w:val="both"/>
        <w:textAlignment w:val="baseline"/>
        <w:rPr>
          <w:rFonts w:asciiTheme="majorHAnsi" w:hAnsiTheme="majorHAnsi" w:cstheme="majorBidi"/>
          <w:b/>
          <w:bCs/>
          <w:noProof/>
          <w:color w:val="0046FF"/>
          <w:sz w:val="30"/>
          <w:szCs w:val="30"/>
        </w:rPr>
      </w:pPr>
      <w:r w:rsidRPr="35DBEC6D">
        <w:rPr>
          <w:rStyle w:val="normaltextrun"/>
          <w:rFonts w:asciiTheme="majorHAnsi" w:eastAsia="Calibri" w:hAnsiTheme="majorHAnsi" w:cstheme="majorBidi"/>
          <w:b/>
          <w:bCs/>
          <w:noProof/>
          <w:color w:val="0046FF"/>
          <w:sz w:val="30"/>
          <w:szCs w:val="30"/>
        </w:rPr>
        <w:t xml:space="preserve">Digital Rights and Principles </w:t>
      </w:r>
    </w:p>
    <w:p w14:paraId="4FDAF673" w14:textId="6B0D8457" w:rsidR="00233832" w:rsidRPr="00233832" w:rsidRDefault="00566FFB" w:rsidP="00BF1A01">
      <w:pPr>
        <w:jc w:val="both"/>
        <w:rPr>
          <w:rStyle w:val="normaltextrun"/>
          <w:rFonts w:ascii="Calibri" w:hAnsi="Calibri" w:cs="Calibri"/>
          <w:noProof/>
        </w:rPr>
      </w:pPr>
      <w:r>
        <w:rPr>
          <w:noProof/>
          <w:lang w:val="en-US"/>
        </w:rPr>
        <w:t xml:space="preserve">According to a support study, </w:t>
      </w:r>
      <w:r w:rsidRPr="35DBEC6D">
        <w:rPr>
          <w:rFonts w:ascii="Calibri" w:hAnsi="Calibri" w:cs="Calibri"/>
          <w:noProof/>
          <w:lang w:val="en-GB"/>
        </w:rPr>
        <w:t xml:space="preserve">Malta has been one of the most active Member States in implementing </w:t>
      </w:r>
      <w:r w:rsidRPr="4A029906">
        <w:rPr>
          <w:rFonts w:ascii="Calibri" w:eastAsia="Calibri" w:hAnsi="Calibri" w:cs="Calibri"/>
          <w:noProof/>
          <w:color w:val="000000" w:themeColor="text1"/>
        </w:rPr>
        <w:t xml:space="preserve">the </w:t>
      </w:r>
      <w:hyperlink r:id="rId18" w:history="1">
        <w:r w:rsidRPr="4A029906">
          <w:rPr>
            <w:rStyle w:val="Hyperlink"/>
            <w:rFonts w:ascii="Calibri" w:eastAsia="Calibri" w:hAnsi="Calibri" w:cs="Calibri"/>
            <w:b/>
            <w:bCs/>
            <w:noProof/>
          </w:rPr>
          <w:t>European Declaration on Digital Rights and Principles</w:t>
        </w:r>
      </w:hyperlink>
      <w:r w:rsidRPr="0097708D">
        <w:rPr>
          <w:noProof/>
          <w:lang w:val="en-US"/>
        </w:rPr>
        <w:t>,</w:t>
      </w:r>
      <w:r w:rsidRPr="35DBEC6D">
        <w:rPr>
          <w:rFonts w:ascii="Calibri" w:hAnsi="Calibri" w:cs="Calibri"/>
          <w:noProof/>
          <w:lang w:val="en-GB"/>
        </w:rPr>
        <w:t xml:space="preserve"> with over 100 initiatives overall and 35 new initiatives launched in 2024. </w:t>
      </w:r>
      <w:r w:rsidRPr="35DBEC6D">
        <w:rPr>
          <w:rFonts w:ascii="Calibri" w:hAnsi="Calibri" w:cs="Calibri"/>
          <w:noProof/>
        </w:rPr>
        <w:t xml:space="preserve">Malta is most active in the area of </w:t>
      </w:r>
      <w:r>
        <w:rPr>
          <w:rFonts w:ascii="Calibri" w:hAnsi="Calibri" w:cs="Calibri"/>
          <w:noProof/>
        </w:rPr>
        <w:t>s</w:t>
      </w:r>
      <w:r w:rsidRPr="35DBEC6D">
        <w:rPr>
          <w:rFonts w:ascii="Calibri" w:hAnsi="Calibri" w:cs="Calibri"/>
          <w:noProof/>
        </w:rPr>
        <w:t xml:space="preserve">olidarity and inclusion and </w:t>
      </w:r>
      <w:r>
        <w:rPr>
          <w:rFonts w:ascii="Calibri" w:hAnsi="Calibri" w:cs="Calibri"/>
          <w:noProof/>
        </w:rPr>
        <w:t>d</w:t>
      </w:r>
      <w:r w:rsidRPr="35DBEC6D">
        <w:rPr>
          <w:rFonts w:ascii="Calibri" w:hAnsi="Calibri" w:cs="Calibri"/>
          <w:noProof/>
        </w:rPr>
        <w:t>igital education, training and skills.</w:t>
      </w:r>
      <w:r w:rsidRPr="35DBEC6D">
        <w:rPr>
          <w:rFonts w:ascii="Calibri" w:hAnsi="Calibri" w:cs="Calibri"/>
          <w:noProof/>
          <w:lang w:val="en-GB"/>
        </w:rPr>
        <w:t xml:space="preserve"> Less activity has been identified with regards to </w:t>
      </w:r>
      <w:r>
        <w:rPr>
          <w:rFonts w:ascii="Calibri" w:hAnsi="Calibri" w:cs="Calibri"/>
          <w:noProof/>
        </w:rPr>
        <w:t>c</w:t>
      </w:r>
      <w:r w:rsidRPr="35DBEC6D">
        <w:rPr>
          <w:rFonts w:ascii="Calibri" w:hAnsi="Calibri" w:cs="Calibri"/>
          <w:noProof/>
        </w:rPr>
        <w:t xml:space="preserve">onnectivity and Sustainability. Measures in the area of </w:t>
      </w:r>
      <w:r>
        <w:rPr>
          <w:rFonts w:ascii="Calibri" w:hAnsi="Calibri" w:cs="Calibri"/>
          <w:noProof/>
          <w:lang w:val="en-GB"/>
        </w:rPr>
        <w:t>s</w:t>
      </w:r>
      <w:r w:rsidRPr="35DBEC6D">
        <w:rPr>
          <w:rFonts w:ascii="Calibri" w:hAnsi="Calibri" w:cs="Calibri"/>
          <w:noProof/>
          <w:lang w:val="en-GB"/>
        </w:rPr>
        <w:t>olidarity and inclusion</w:t>
      </w:r>
      <w:r>
        <w:rPr>
          <w:rFonts w:ascii="Calibri" w:hAnsi="Calibri" w:cs="Calibri"/>
          <w:noProof/>
          <w:lang w:val="en-GB"/>
        </w:rPr>
        <w:t xml:space="preserve"> </w:t>
      </w:r>
      <w:r w:rsidRPr="35DBEC6D">
        <w:rPr>
          <w:rFonts w:ascii="Calibri" w:hAnsi="Calibri" w:cs="Calibri"/>
          <w:noProof/>
          <w:lang w:val="en-GB"/>
        </w:rPr>
        <w:t xml:space="preserve">appear to have most impact on the ground, in contrast to those addressing </w:t>
      </w:r>
      <w:r>
        <w:rPr>
          <w:rFonts w:ascii="Calibri" w:hAnsi="Calibri" w:cs="Calibri"/>
          <w:noProof/>
          <w:lang w:val="en-GB"/>
        </w:rPr>
        <w:t>f</w:t>
      </w:r>
      <w:r w:rsidRPr="35DBEC6D">
        <w:rPr>
          <w:rFonts w:ascii="Calibri" w:hAnsi="Calibri" w:cs="Calibri"/>
          <w:noProof/>
          <w:lang w:val="en-GB"/>
        </w:rPr>
        <w:t>reedom of choice.</w:t>
      </w:r>
    </w:p>
    <w:tbl>
      <w:tblPr>
        <w:tblStyle w:val="TableGrid"/>
        <w:tblW w:w="9322"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9322"/>
      </w:tblGrid>
      <w:tr w:rsidR="00BF1A01" w:rsidRPr="007C0C4B" w14:paraId="1D2B31DE" w14:textId="77777777" w:rsidTr="4FAE08D1">
        <w:tc>
          <w:tcPr>
            <w:tcW w:w="9322" w:type="dxa"/>
          </w:tcPr>
          <w:p w14:paraId="2C8145A3" w14:textId="02C5A8BA" w:rsidR="00BF1A01" w:rsidRPr="00A80D72" w:rsidRDefault="00BF1A01" w:rsidP="00DD6C64">
            <w:pPr>
              <w:spacing w:after="0" w:line="240" w:lineRule="auto"/>
              <w:rPr>
                <w:b/>
                <w:noProof/>
                <w:color w:val="0046FF"/>
                <w:u w:val="single"/>
              </w:rPr>
            </w:pPr>
            <w:r w:rsidRPr="00A80D72">
              <w:rPr>
                <w:b/>
                <w:noProof/>
                <w:color w:val="0046FF"/>
                <w:u w:val="single"/>
              </w:rPr>
              <w:t>Recommendations</w:t>
            </w:r>
          </w:p>
          <w:p w14:paraId="765939A1" w14:textId="77777777" w:rsidR="00BF1A01" w:rsidRPr="00A80D72" w:rsidRDefault="00BF1A01" w:rsidP="00DD6C64">
            <w:pPr>
              <w:spacing w:after="0" w:line="240" w:lineRule="auto"/>
              <w:rPr>
                <w:b/>
                <w:noProof/>
                <w:color w:val="025F76"/>
                <w:u w:val="single"/>
              </w:rPr>
            </w:pPr>
          </w:p>
          <w:p w14:paraId="65F49416" w14:textId="054FB5BB" w:rsidR="00D221E1" w:rsidRPr="00A80D72" w:rsidRDefault="00D221E1" w:rsidP="00D221E1">
            <w:pPr>
              <w:pStyle w:val="ListParagraph"/>
              <w:numPr>
                <w:ilvl w:val="0"/>
                <w:numId w:val="5"/>
              </w:numPr>
              <w:ind w:right="172"/>
              <w:rPr>
                <w:rFonts w:ascii="Calibri" w:eastAsia="Calibri" w:hAnsi="Calibri" w:cs="Arial"/>
                <w:noProof/>
              </w:rPr>
            </w:pPr>
            <w:r w:rsidRPr="35DBEC6D">
              <w:rPr>
                <w:b/>
                <w:bCs/>
                <w:noProof/>
              </w:rPr>
              <w:t>ICT specialists:</w:t>
            </w:r>
            <w:r w:rsidRPr="35DBEC6D">
              <w:rPr>
                <w:rFonts w:ascii="Calibri" w:eastAsia="Calibri" w:hAnsi="Calibri" w:cs="Arial"/>
                <w:noProof/>
              </w:rPr>
              <w:t xml:space="preserve"> </w:t>
            </w:r>
            <w:r w:rsidR="6BE70E10" w:rsidRPr="35DBEC6D">
              <w:rPr>
                <w:rFonts w:ascii="Calibri" w:eastAsia="Calibri" w:hAnsi="Calibri" w:cs="Arial"/>
                <w:noProof/>
              </w:rPr>
              <w:t>P</w:t>
            </w:r>
            <w:r w:rsidRPr="35DBEC6D">
              <w:rPr>
                <w:rFonts w:ascii="Calibri" w:eastAsia="Calibri" w:hAnsi="Calibri" w:cs="Arial"/>
                <w:noProof/>
              </w:rPr>
              <w:t xml:space="preserve">romote ICT and </w:t>
            </w:r>
            <w:r w:rsidR="5EE434DE" w:rsidRPr="35DBEC6D">
              <w:rPr>
                <w:rFonts w:ascii="Calibri" w:eastAsia="Calibri" w:hAnsi="Calibri" w:cs="Arial"/>
                <w:noProof/>
              </w:rPr>
              <w:t xml:space="preserve">STEM </w:t>
            </w:r>
            <w:r w:rsidRPr="35DBEC6D">
              <w:rPr>
                <w:rFonts w:ascii="Calibri" w:eastAsia="Calibri" w:hAnsi="Calibri" w:cs="Arial"/>
                <w:noProof/>
              </w:rPr>
              <w:t xml:space="preserve">career opportunities and related education programmes, especially among women.  </w:t>
            </w:r>
          </w:p>
          <w:p w14:paraId="4CC31642" w14:textId="2F265EAB" w:rsidR="00BF1A01" w:rsidRPr="00A80D72" w:rsidRDefault="00BF1A01" w:rsidP="0B4F73E9">
            <w:pPr>
              <w:pStyle w:val="ListParagraph"/>
              <w:numPr>
                <w:ilvl w:val="0"/>
                <w:numId w:val="5"/>
              </w:numPr>
              <w:ind w:right="172"/>
              <w:rPr>
                <w:rFonts w:ascii="Calibri" w:eastAsia="Calibri" w:hAnsi="Calibri" w:cs="Arial"/>
                <w:noProof/>
                <w:lang w:val="en-IE"/>
              </w:rPr>
            </w:pPr>
            <w:r w:rsidRPr="35DBEC6D">
              <w:rPr>
                <w:b/>
                <w:bCs/>
                <w:noProof/>
                <w:lang w:val="en-IE"/>
              </w:rPr>
              <w:t xml:space="preserve">Basic digital skills: </w:t>
            </w:r>
            <w:r w:rsidR="4C01F8BF">
              <w:rPr>
                <w:noProof/>
              </w:rPr>
              <w:t>P</w:t>
            </w:r>
            <w:r>
              <w:rPr>
                <w:noProof/>
              </w:rPr>
              <w:t xml:space="preserve">rioritise reskilling and upskilling initiatives, leveraging public-private partnerships and EU funding, and </w:t>
            </w:r>
            <w:r w:rsidR="1A4C9A51">
              <w:rPr>
                <w:noProof/>
              </w:rPr>
              <w:t>promote</w:t>
            </w:r>
            <w:r w:rsidR="1A4C9A51" w:rsidRPr="35DBEC6D">
              <w:rPr>
                <w:rFonts w:ascii="Calibri" w:eastAsia="Calibri" w:hAnsi="Calibri" w:cs="Calibri"/>
                <w:noProof/>
              </w:rPr>
              <w:t xml:space="preserve"> digital literacy particularly among those with lower educational backgrounds</w:t>
            </w:r>
            <w:r>
              <w:rPr>
                <w:noProof/>
              </w:rPr>
              <w:t xml:space="preserve">. </w:t>
            </w:r>
          </w:p>
          <w:p w14:paraId="7339B18C" w14:textId="5874ED4F" w:rsidR="00BF1A01" w:rsidRPr="00A80D72" w:rsidRDefault="00BF1A01" w:rsidP="0B4F73E9">
            <w:pPr>
              <w:pStyle w:val="ListParagraph"/>
              <w:numPr>
                <w:ilvl w:val="0"/>
                <w:numId w:val="5"/>
              </w:numPr>
              <w:ind w:right="172"/>
              <w:rPr>
                <w:rFonts w:ascii="Calibri" w:eastAsia="Calibri" w:hAnsi="Calibri" w:cs="Arial"/>
                <w:noProof/>
                <w:lang w:val="en-IE"/>
              </w:rPr>
            </w:pPr>
            <w:r w:rsidRPr="0B4F73E9">
              <w:rPr>
                <w:rFonts w:ascii="Calibri" w:eastAsia="Calibri" w:hAnsi="Calibri" w:cs="Arial"/>
                <w:b/>
                <w:bCs/>
                <w:noProof/>
                <w:lang w:val="en-IE"/>
              </w:rPr>
              <w:t>Cybersecurity</w:t>
            </w:r>
            <w:r w:rsidRPr="0B4F73E9">
              <w:rPr>
                <w:rFonts w:ascii="Calibri" w:eastAsia="Calibri" w:hAnsi="Calibri" w:cs="Arial"/>
                <w:noProof/>
                <w:lang w:val="en-IE"/>
              </w:rPr>
              <w:t xml:space="preserve">: Implement targeted initiatives to </w:t>
            </w:r>
            <w:r w:rsidR="505C1953" w:rsidRPr="0B4F73E9">
              <w:rPr>
                <w:rFonts w:ascii="Calibri" w:eastAsia="Calibri" w:hAnsi="Calibri" w:cs="Arial"/>
                <w:noProof/>
                <w:lang w:val="en-IE"/>
              </w:rPr>
              <w:t xml:space="preserve">strengthen internet security and </w:t>
            </w:r>
            <w:r w:rsidRPr="0B4F73E9">
              <w:rPr>
                <w:rFonts w:ascii="Calibri" w:eastAsia="Calibri" w:hAnsi="Calibri" w:cs="Arial"/>
                <w:noProof/>
                <w:lang w:val="en-IE"/>
              </w:rPr>
              <w:t>enhance DNSSEC adoption</w:t>
            </w:r>
            <w:r w:rsidR="086AD26E" w:rsidRPr="0B4F73E9">
              <w:rPr>
                <w:rFonts w:ascii="Calibri" w:eastAsia="Calibri" w:hAnsi="Calibri" w:cs="Arial"/>
                <w:noProof/>
                <w:lang w:val="en-IE"/>
              </w:rPr>
              <w:t>,</w:t>
            </w:r>
            <w:r w:rsidRPr="0B4F73E9">
              <w:rPr>
                <w:rFonts w:ascii="Calibri" w:eastAsia="Calibri" w:hAnsi="Calibri" w:cs="Arial"/>
                <w:noProof/>
                <w:lang w:val="en-IE"/>
              </w:rPr>
              <w:t xml:space="preserve"> and </w:t>
            </w:r>
            <w:r w:rsidR="4A5904B2" w:rsidRPr="0B4F73E9">
              <w:rPr>
                <w:rFonts w:ascii="Calibri" w:eastAsia="Calibri" w:hAnsi="Calibri" w:cs="Arial"/>
                <w:noProof/>
                <w:lang w:val="en-IE"/>
              </w:rPr>
              <w:t xml:space="preserve">support the development and deployment of </w:t>
            </w:r>
            <w:r w:rsidR="73AC92D5" w:rsidRPr="0B4F73E9">
              <w:rPr>
                <w:rFonts w:ascii="Calibri" w:eastAsia="Calibri" w:hAnsi="Calibri" w:cs="Arial"/>
                <w:noProof/>
                <w:lang w:val="en-IE"/>
              </w:rPr>
              <w:t>cybersecurity</w:t>
            </w:r>
            <w:r w:rsidR="169B4329" w:rsidRPr="0B4F73E9">
              <w:rPr>
                <w:rFonts w:ascii="Calibri" w:eastAsia="Calibri" w:hAnsi="Calibri" w:cs="Arial"/>
                <w:noProof/>
                <w:lang w:val="en-IE"/>
              </w:rPr>
              <w:t xml:space="preserve"> capabilities</w:t>
            </w:r>
            <w:r w:rsidRPr="0B4F73E9">
              <w:rPr>
                <w:rFonts w:ascii="Calibri" w:eastAsia="Calibri" w:hAnsi="Calibri" w:cs="Arial"/>
                <w:noProof/>
                <w:lang w:val="en-IE"/>
              </w:rPr>
              <w:t>.</w:t>
            </w:r>
          </w:p>
          <w:p w14:paraId="5373AABC" w14:textId="00945575" w:rsidR="001914E2" w:rsidRPr="00A80D72" w:rsidRDefault="4766743B" w:rsidP="0B4F73E9">
            <w:pPr>
              <w:pStyle w:val="ListParagraph"/>
              <w:numPr>
                <w:ilvl w:val="0"/>
                <w:numId w:val="5"/>
              </w:numPr>
              <w:ind w:right="172"/>
              <w:rPr>
                <w:rFonts w:ascii="Calibri" w:eastAsia="Calibri" w:hAnsi="Calibri" w:cs="Arial"/>
                <w:noProof/>
                <w:lang w:val="en-IE"/>
              </w:rPr>
            </w:pPr>
            <w:r w:rsidRPr="4FAE08D1">
              <w:rPr>
                <w:b/>
                <w:bCs/>
                <w:noProof/>
                <w:lang w:val="en-IE"/>
              </w:rPr>
              <w:t>AI:</w:t>
            </w:r>
            <w:r w:rsidRPr="4FAE08D1">
              <w:rPr>
                <w:rFonts w:ascii="Calibri" w:eastAsia="Calibri" w:hAnsi="Calibri" w:cs="Arial"/>
                <w:noProof/>
                <w:lang w:val="en-IE"/>
              </w:rPr>
              <w:t xml:space="preserve"> </w:t>
            </w:r>
            <w:r w:rsidR="7485AAFF" w:rsidRPr="4FAE08D1">
              <w:rPr>
                <w:rFonts w:ascii="Calibri" w:eastAsia="Calibri" w:hAnsi="Calibri" w:cs="Arial"/>
                <w:noProof/>
                <w:lang w:val="en-IE"/>
              </w:rPr>
              <w:t>C</w:t>
            </w:r>
            <w:r w:rsidRPr="4FAE08D1">
              <w:rPr>
                <w:rFonts w:ascii="Calibri" w:eastAsia="Calibri" w:hAnsi="Calibri" w:cs="Arial"/>
                <w:noProof/>
                <w:lang w:val="en-IE"/>
              </w:rPr>
              <w:t xml:space="preserve">ontinue the efforts to strengthen the uptake of AI, especially among SMEs, and in connection with the deployment of other </w:t>
            </w:r>
            <w:r>
              <w:rPr>
                <w:noProof/>
              </w:rPr>
              <w:t>technologies, such as cloud and edge nodes.</w:t>
            </w:r>
          </w:p>
          <w:p w14:paraId="12F3BA17" w14:textId="521D7467" w:rsidR="001914E2" w:rsidRPr="00A80D72" w:rsidRDefault="42F8603D" w:rsidP="0B4F73E9">
            <w:pPr>
              <w:pStyle w:val="ListParagraph"/>
              <w:numPr>
                <w:ilvl w:val="0"/>
                <w:numId w:val="5"/>
              </w:numPr>
              <w:ind w:right="172"/>
              <w:rPr>
                <w:rFonts w:ascii="Calibri" w:eastAsia="Calibri" w:hAnsi="Calibri" w:cs="Arial"/>
                <w:noProof/>
                <w:lang w:val="en-IE"/>
              </w:rPr>
            </w:pPr>
            <w:r w:rsidRPr="0B4F73E9">
              <w:rPr>
                <w:b/>
                <w:bCs/>
                <w:noProof/>
                <w:lang w:val="en-IE"/>
              </w:rPr>
              <w:t>Connectivity infrastructure</w:t>
            </w:r>
            <w:r w:rsidRPr="0B4F73E9">
              <w:rPr>
                <w:noProof/>
                <w:lang w:val="en-IE"/>
              </w:rPr>
              <w:t xml:space="preserve">: Continue efforts to deploy fibre networks and 5G pioneer bands and </w:t>
            </w:r>
            <w:r>
              <w:rPr>
                <w:noProof/>
              </w:rPr>
              <w:t>promote uptake.</w:t>
            </w:r>
          </w:p>
          <w:p w14:paraId="6D5CD383" w14:textId="1EDB961E" w:rsidR="001914E2" w:rsidRPr="00A80D72" w:rsidRDefault="0026345C" w:rsidP="0B4F73E9">
            <w:pPr>
              <w:pStyle w:val="ListParagraph"/>
              <w:numPr>
                <w:ilvl w:val="0"/>
                <w:numId w:val="5"/>
              </w:numPr>
              <w:ind w:right="172"/>
              <w:rPr>
                <w:rFonts w:ascii="Calibri" w:eastAsia="Calibri" w:hAnsi="Calibri" w:cs="Arial"/>
                <w:noProof/>
                <w:lang w:val="en-IE"/>
              </w:rPr>
            </w:pPr>
            <w:r w:rsidRPr="0B4F73E9">
              <w:rPr>
                <w:b/>
                <w:bCs/>
                <w:noProof/>
                <w:lang w:val="en-IE"/>
              </w:rPr>
              <w:t xml:space="preserve">Digitalisation of </w:t>
            </w:r>
            <w:r w:rsidR="00BF1A01" w:rsidRPr="0B4F73E9">
              <w:rPr>
                <w:b/>
                <w:bCs/>
                <w:noProof/>
                <w:lang w:val="en-IE"/>
              </w:rPr>
              <w:t xml:space="preserve">SMEs: </w:t>
            </w:r>
            <w:r w:rsidR="00EF4F58" w:rsidRPr="0B4F73E9">
              <w:rPr>
                <w:noProof/>
                <w:lang w:val="en-IE"/>
              </w:rPr>
              <w:t>E</w:t>
            </w:r>
            <w:r w:rsidR="00BF1A01" w:rsidRPr="0B4F73E9">
              <w:rPr>
                <w:noProof/>
                <w:lang w:val="en-IE"/>
              </w:rPr>
              <w:t>nhance efforts to close the digitalisation gap between SMEs and large enterprises, in order to</w:t>
            </w:r>
            <w:r w:rsidR="00BF1A01" w:rsidRPr="0B4F73E9">
              <w:rPr>
                <w:b/>
                <w:bCs/>
                <w:noProof/>
                <w:lang w:val="en-IE"/>
              </w:rPr>
              <w:t xml:space="preserve"> </w:t>
            </w:r>
            <w:r w:rsidR="00BF1A01" w:rsidRPr="0B4F73E9">
              <w:rPr>
                <w:noProof/>
                <w:lang w:val="en-US"/>
              </w:rPr>
              <w:t>maximise the economic potential of SMEs.</w:t>
            </w:r>
          </w:p>
        </w:tc>
      </w:tr>
    </w:tbl>
    <w:p w14:paraId="7A1061B5" w14:textId="77777777" w:rsidR="005C7895" w:rsidRPr="005E470C" w:rsidRDefault="005C7895" w:rsidP="00652BB4">
      <w:pPr>
        <w:jc w:val="both"/>
        <w:rPr>
          <w:rFonts w:ascii="Calibri" w:eastAsia="Calibri" w:hAnsi="Calibri" w:cs="Calibri"/>
          <w:noProof/>
          <w:color w:val="000000" w:themeColor="text1"/>
        </w:rPr>
      </w:pPr>
    </w:p>
    <w:sectPr w:rsidR="005C7895" w:rsidRPr="005E470C" w:rsidSect="00A666EF">
      <w:headerReference w:type="even" r:id="rId19"/>
      <w:headerReference w:type="default" r:id="rId20"/>
      <w:footerReference w:type="even" r:id="rId21"/>
      <w:footerReference w:type="default" r:id="rId22"/>
      <w:headerReference w:type="first" r:id="rId23"/>
      <w:footerReference w:type="first" r:id="rId24"/>
      <w:pgSz w:w="11906" w:h="16838"/>
      <w:pgMar w:top="1636" w:right="1440" w:bottom="1440" w:left="144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94C11" w14:textId="77777777" w:rsidR="00D30E9D" w:rsidRDefault="00D30E9D" w:rsidP="00115654">
      <w:pPr>
        <w:spacing w:after="0" w:line="240" w:lineRule="auto"/>
      </w:pPr>
      <w:r>
        <w:separator/>
      </w:r>
    </w:p>
  </w:endnote>
  <w:endnote w:type="continuationSeparator" w:id="0">
    <w:p w14:paraId="25D416A4" w14:textId="77777777" w:rsidR="00D30E9D" w:rsidRDefault="00D30E9D" w:rsidP="00115654">
      <w:pPr>
        <w:spacing w:after="0" w:line="240" w:lineRule="auto"/>
      </w:pPr>
      <w:r>
        <w:continuationSeparator/>
      </w:r>
    </w:p>
  </w:endnote>
  <w:endnote w:type="continuationNotice" w:id="1">
    <w:p w14:paraId="37677C64" w14:textId="77777777" w:rsidR="00D30E9D" w:rsidRDefault="00D30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Corps)">
    <w:panose1 w:val="00000000000000000000"/>
    <w:charset w:val="00"/>
    <w:family w:val="roman"/>
    <w:notTrueType/>
    <w:pitch w:val="default"/>
  </w:font>
  <w:font w:name="Times New Roman (Corp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D07C" w14:textId="7B6BA7DD" w:rsidR="00B74DC0" w:rsidRPr="00B74DC0" w:rsidRDefault="00B74DC0" w:rsidP="00B74DC0">
    <w:pPr>
      <w:pStyle w:val="FooterCoverPage"/>
      <w:rPr>
        <w:rFonts w:ascii="Arial" w:hAnsi="Arial" w:cs="Arial"/>
        <w:b/>
        <w:sz w:val="48"/>
      </w:rPr>
    </w:pPr>
    <w:r w:rsidRPr="00B74DC0">
      <w:rPr>
        <w:rFonts w:ascii="Arial" w:hAnsi="Arial" w:cs="Arial"/>
        <w:b/>
        <w:sz w:val="48"/>
      </w:rPr>
      <w:t>EN</w:t>
    </w:r>
    <w:r w:rsidRPr="00B74DC0">
      <w:rPr>
        <w:rFonts w:ascii="Arial" w:hAnsi="Arial" w:cs="Arial"/>
        <w:b/>
        <w:sz w:val="48"/>
      </w:rPr>
      <w:tab/>
    </w:r>
    <w:r w:rsidRPr="00B74DC0">
      <w:rPr>
        <w:rFonts w:ascii="Arial" w:hAnsi="Arial" w:cs="Arial"/>
        <w:b/>
        <w:sz w:val="48"/>
      </w:rPr>
      <w:tab/>
    </w:r>
    <w:r w:rsidRPr="00B74DC0">
      <w:tab/>
    </w:r>
    <w:r w:rsidRPr="00B74DC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16E7" w14:textId="03FD1A69" w:rsidR="00B74DC0" w:rsidRPr="00B74DC0" w:rsidRDefault="00B74DC0" w:rsidP="00B74DC0">
    <w:pPr>
      <w:pStyle w:val="FooterCoverPage"/>
      <w:rPr>
        <w:rFonts w:ascii="Arial" w:hAnsi="Arial" w:cs="Arial"/>
        <w:b/>
        <w:sz w:val="48"/>
      </w:rPr>
    </w:pPr>
    <w:r w:rsidRPr="00B74DC0">
      <w:rPr>
        <w:rFonts w:ascii="Arial" w:hAnsi="Arial" w:cs="Arial"/>
        <w:b/>
        <w:sz w:val="48"/>
      </w:rPr>
      <w:t>EN</w:t>
    </w:r>
    <w:r w:rsidRPr="00B74DC0">
      <w:rPr>
        <w:rFonts w:ascii="Arial" w:hAnsi="Arial" w:cs="Arial"/>
        <w:b/>
        <w:sz w:val="48"/>
      </w:rPr>
      <w:tab/>
    </w:r>
    <w:r w:rsidRPr="00B74DC0">
      <w:rPr>
        <w:rFonts w:ascii="Arial" w:hAnsi="Arial" w:cs="Arial"/>
        <w:b/>
        <w:sz w:val="48"/>
      </w:rPr>
      <w:tab/>
    </w:r>
    <w:r w:rsidRPr="00B74DC0">
      <w:tab/>
    </w:r>
    <w:r w:rsidRPr="00B74DC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5B4F" w14:textId="77777777" w:rsidR="00B74DC0" w:rsidRPr="00B74DC0" w:rsidRDefault="00B74DC0" w:rsidP="00B74DC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BA428" w14:textId="77777777" w:rsidR="00A666EF" w:rsidRDefault="00A666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76802"/>
      <w:docPartObj>
        <w:docPartGallery w:val="Page Numbers (Bottom of Page)"/>
        <w:docPartUnique/>
      </w:docPartObj>
    </w:sdtPr>
    <w:sdtEndPr>
      <w:rPr>
        <w:noProof/>
      </w:rPr>
    </w:sdtEndPr>
    <w:sdtContent>
      <w:p w14:paraId="26C586D0" w14:textId="754429F2" w:rsidR="00A666EF" w:rsidRDefault="00A666EF" w:rsidP="002E4957">
        <w:pPr>
          <w:pStyle w:val="Footer"/>
          <w:jc w:val="center"/>
        </w:pPr>
        <w:r>
          <w:fldChar w:fldCharType="begin"/>
        </w:r>
        <w:r>
          <w:instrText xml:space="preserve"> PAGE   \* MERGEFORMAT </w:instrText>
        </w:r>
        <w:r>
          <w:fldChar w:fldCharType="separate"/>
        </w:r>
        <w:r w:rsidR="00B74DC0">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F96C" w14:textId="77777777" w:rsidR="00A666EF" w:rsidRDefault="00A66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8230" w14:textId="77777777" w:rsidR="00D30E9D" w:rsidRDefault="00D30E9D" w:rsidP="00115654">
      <w:pPr>
        <w:spacing w:after="0" w:line="240" w:lineRule="auto"/>
      </w:pPr>
      <w:r>
        <w:separator/>
      </w:r>
    </w:p>
  </w:footnote>
  <w:footnote w:type="continuationSeparator" w:id="0">
    <w:p w14:paraId="6BD22B31" w14:textId="77777777" w:rsidR="00D30E9D" w:rsidRDefault="00D30E9D" w:rsidP="00115654">
      <w:pPr>
        <w:spacing w:after="0" w:line="240" w:lineRule="auto"/>
      </w:pPr>
      <w:r>
        <w:continuationSeparator/>
      </w:r>
    </w:p>
  </w:footnote>
  <w:footnote w:type="continuationNotice" w:id="1">
    <w:p w14:paraId="5A5E147A" w14:textId="77777777" w:rsidR="00D30E9D" w:rsidRDefault="00D30E9D">
      <w:pPr>
        <w:spacing w:after="0" w:line="240" w:lineRule="auto"/>
      </w:pPr>
    </w:p>
  </w:footnote>
  <w:footnote w:id="2">
    <w:p w14:paraId="12B420CF" w14:textId="32F0A965" w:rsidR="00E43C18" w:rsidRPr="00452891" w:rsidRDefault="00E43C18" w:rsidP="00E43C18">
      <w:pPr>
        <w:pStyle w:val="FootnoteText"/>
      </w:pPr>
      <w:r w:rsidRPr="00452891">
        <w:rPr>
          <w:rStyle w:val="FootnoteReference"/>
          <w:szCs w:val="18"/>
        </w:rPr>
        <w:footnoteRef/>
      </w:r>
      <w:r w:rsidR="35DBEC6D" w:rsidRPr="35DBEC6D">
        <w:t xml:space="preserve"> The share of financial allocations that contribute to digital objectives has been calculated using Annex VII to the Recovery and Resilience Facility Regulation. Last data update: 16 May 2025.</w:t>
      </w:r>
    </w:p>
  </w:footnote>
  <w:footnote w:id="3">
    <w:p w14:paraId="235B5DB2" w14:textId="77777777" w:rsidR="00E43C18" w:rsidRPr="00452891" w:rsidRDefault="00E43C18" w:rsidP="00E43C18">
      <w:pPr>
        <w:pStyle w:val="FootnoteText"/>
      </w:pPr>
      <w:r w:rsidRPr="00452891">
        <w:rPr>
          <w:rStyle w:val="FootnoteReference"/>
          <w:szCs w:val="18"/>
        </w:rPr>
        <w:footnoteRef/>
      </w:r>
      <w:r w:rsidR="35DBEC6D" w:rsidRPr="35DBEC6D">
        <w:t xml:space="preserve"> This amount includes all investment specifically aimed at or substantially contributing to digital transformation in the 2021-2027 Cohesion policy programming period. The source funds are the European Regional Development Fund, the Cohesion Fund, the European Social Fund Plus, and the Just Transition Fund.</w:t>
      </w:r>
    </w:p>
  </w:footnote>
  <w:footnote w:id="4">
    <w:p w14:paraId="7CA9A984" w14:textId="042B7153" w:rsidR="00BF1A01" w:rsidRDefault="00BF1A01" w:rsidP="00417DBE">
      <w:pPr>
        <w:pStyle w:val="FootnoteText"/>
        <w:rPr>
          <w:rFonts w:ascii="Calibri" w:eastAsia="Calibri" w:hAnsi="Calibri" w:cs="Calibri"/>
        </w:rPr>
      </w:pPr>
      <w:r w:rsidRPr="00086C30">
        <w:rPr>
          <w:vertAlign w:val="superscript"/>
        </w:rPr>
        <w:footnoteRef/>
      </w:r>
      <w:r w:rsidR="190E8061">
        <w:t xml:space="preserve"> </w:t>
      </w:r>
      <w:r w:rsidR="190E8061" w:rsidRPr="190E8061">
        <w:t>The Best Practice Accelerator (BPA) is a platform that enables Member States to share successful measures and challenges encountered in their efforts to meet their Digital Decade targets and objectives. Best practices are made available to Member States via the BPA Repository and showcased in regular workshops, currently focused on three thematic clusters: Digital Skills, Green IT, and the Uptake of Digital Technologies.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E4BFB" w14:textId="77777777" w:rsidR="00B74DC0" w:rsidRPr="00B74DC0" w:rsidRDefault="00B74DC0" w:rsidP="00B74DC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08B7" w14:textId="77777777" w:rsidR="00B74DC0" w:rsidRPr="00B74DC0" w:rsidRDefault="00B74DC0" w:rsidP="00B74DC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2B436" w14:textId="77777777" w:rsidR="00B74DC0" w:rsidRPr="00B74DC0" w:rsidRDefault="00B74DC0" w:rsidP="00B74DC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CA7C6" w14:textId="77777777" w:rsidR="00A666EF" w:rsidRDefault="00A66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C249E" w14:textId="77777777" w:rsidR="00A666EF" w:rsidRDefault="00A666EF">
    <w:pPr>
      <w:pStyle w:val="Header"/>
    </w:pPr>
    <w:r>
      <w:rPr>
        <w:rFonts w:cs="Times New Roman (Corps CS)"/>
        <w:caps/>
        <w:noProof/>
        <w:color w:val="FFFFFF" w:themeColor="background1"/>
        <w:sz w:val="44"/>
        <w:szCs w:val="44"/>
        <w:lang w:val="en-GB" w:eastAsia="en-GB"/>
      </w:rPr>
      <mc:AlternateContent>
        <mc:Choice Requires="wps">
          <w:drawing>
            <wp:anchor distT="0" distB="0" distL="114300" distR="114300" simplePos="0" relativeHeight="251658242" behindDoc="0" locked="0" layoutInCell="1" allowOverlap="1" wp14:anchorId="5635B683" wp14:editId="65A795C1">
              <wp:simplePos x="0" y="0"/>
              <wp:positionH relativeFrom="column">
                <wp:posOffset>76200</wp:posOffset>
              </wp:positionH>
              <wp:positionV relativeFrom="paragraph">
                <wp:posOffset>-163830</wp:posOffset>
              </wp:positionV>
              <wp:extent cx="3437263" cy="402850"/>
              <wp:effectExtent l="0" t="0" r="0" b="0"/>
              <wp:wrapNone/>
              <wp:docPr id="990263557" name="Zone de texte 3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 xmlns:a="http://schemas.openxmlformats.org/drawingml/2006/main">
                <a:graphicData uri="http://schemas.microsoft.com/office/word/2010/wordprocessingShape">
                  <wps:wsp>
                    <wps:cNvSpPr txBox="1"/>
                    <wps:spPr>
                      <a:xfrm>
                        <a:off x="0" y="0"/>
                        <a:ext cx="3437263" cy="402850"/>
                      </a:xfrm>
                      <a:prstGeom prst="rect">
                        <a:avLst/>
                      </a:prstGeom>
                      <a:noFill/>
                      <a:ln w="6350">
                        <a:noFill/>
                      </a:ln>
                    </wps:spPr>
                    <wps:txbx>
                      <w:txbxContent>
                        <w:p w14:paraId="5659AB82" w14:textId="77777777" w:rsidR="00A666EF" w:rsidRPr="001C4FA3" w:rsidRDefault="00A666EF" w:rsidP="009149A7">
                          <w:pPr>
                            <w:rPr>
                              <w:color w:val="FFFFFF" w:themeColor="background1"/>
                              <w:sz w:val="40"/>
                              <w:szCs w:val="40"/>
                              <w:lang w:val="nl-NL"/>
                            </w:rPr>
                          </w:pPr>
                          <w:r>
                            <w:rPr>
                              <w:color w:val="FFFFFF" w:themeColor="background1"/>
                              <w:sz w:val="40"/>
                              <w:szCs w:val="40"/>
                              <w:lang w:val="nl-NL"/>
                            </w:rPr>
                            <w:t>Malta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5B683" id="_x0000_t202" coordsize="21600,21600" o:spt="202" path="m,l,21600r21600,l21600,xe">
              <v:stroke joinstyle="miter"/>
              <v:path gradientshapeok="t" o:connecttype="rect"/>
            </v:shapetype>
            <v:shape id="Zone de texte 33" o:spid="_x0000_s1028" type="#_x0000_t202" style="position:absolute;margin-left:6pt;margin-top:-12.9pt;width:270.65pt;height:31.7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" filled="f" stroked="f" strokeweight=".5pt">
              <v:textbox>
                <w:txbxContent>
                  <w:p w14:paraId="5659AB82" w14:textId="77777777" w:rsidR="00A666EF" w:rsidRPr="001C4FA3" w:rsidRDefault="00A666EF" w:rsidP="009149A7">
                    <w:pPr>
                      <w:rPr>
                        <w:color w:val="FFFFFF" w:themeColor="background1"/>
                        <w:sz w:val="40"/>
                        <w:szCs w:val="40"/>
                        <w:lang w:val="nl-NL"/>
                      </w:rPr>
                    </w:pPr>
                    <w:r>
                      <w:rPr>
                        <w:color w:val="FFFFFF" w:themeColor="background1"/>
                        <w:sz w:val="40"/>
                        <w:szCs w:val="40"/>
                        <w:lang w:val="nl-NL"/>
                      </w:rPr>
                      <w:t>Malta</w:t>
                    </w:r>
                  </w:p>
                </w:txbxContent>
              </v:textbox>
            </v:shape>
          </w:pict>
        </mc:Fallback>
      </mc:AlternateContent>
    </w:r>
    <w:r>
      <w:rPr>
        <w:noProof/>
        <w:lang w:val="en-GB" w:eastAsia="en-GB"/>
        <w14:ligatures w14:val="none"/>
      </w:rPr>
      <w:drawing>
        <wp:anchor distT="0" distB="0" distL="114300" distR="114300" simplePos="0" relativeHeight="251658241" behindDoc="0" locked="0" layoutInCell="1" allowOverlap="1" wp14:anchorId="692908F8" wp14:editId="6649F599">
          <wp:simplePos x="0" y="0"/>
          <wp:positionH relativeFrom="column">
            <wp:posOffset>-901700</wp:posOffset>
          </wp:positionH>
          <wp:positionV relativeFrom="paragraph">
            <wp:posOffset>-451485</wp:posOffset>
          </wp:positionV>
          <wp:extent cx="6514124" cy="1745615"/>
          <wp:effectExtent l="0" t="0" r="0" b="0"/>
          <wp:wrapNone/>
          <wp:docPr id="103727107"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14124" cy="174561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5F38" w14:textId="219D683E" w:rsidR="00A666EF" w:rsidRDefault="00F42BEA" w:rsidP="00132040">
    <w:pPr>
      <w:pStyle w:val="Header"/>
    </w:pPr>
    <w:r>
      <w:rPr>
        <w:noProof/>
        <w:lang w:val="en-GB" w:eastAsia="en-GB"/>
        <w14:ligatures w14:val="none"/>
      </w:rPr>
      <w:drawing>
        <wp:anchor distT="0" distB="0" distL="114300" distR="114300" simplePos="0" relativeHeight="251660290" behindDoc="1" locked="0" layoutInCell="1" allowOverlap="1" wp14:anchorId="530F7FA8" wp14:editId="638D731F">
          <wp:simplePos x="0" y="0"/>
          <wp:positionH relativeFrom="column">
            <wp:posOffset>-901700</wp:posOffset>
          </wp:positionH>
          <wp:positionV relativeFrom="paragraph">
            <wp:posOffset>-623570</wp:posOffset>
          </wp:positionV>
          <wp:extent cx="7604964" cy="10749201"/>
          <wp:effectExtent l="0" t="0" r="2540" b="0"/>
          <wp:wrapNone/>
          <wp:docPr id="1088498453" name="Imag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4964" cy="10749201"/>
                  </a:xfrm>
                  <a:prstGeom prst="rect">
                    <a:avLst/>
                  </a:prstGeom>
                </pic:spPr>
              </pic:pic>
            </a:graphicData>
          </a:graphic>
          <wp14:sizeRelH relativeFrom="margin">
            <wp14:pctWidth>0</wp14:pctWidth>
          </wp14:sizeRelH>
          <wp14:sizeRelV relativeFrom="margin">
            <wp14:pctHeight>0</wp14:pctHeight>
          </wp14:sizeRelV>
        </wp:anchor>
      </w:drawing>
    </w:r>
  </w:p>
  <w:p w14:paraId="02B3A7B6" w14:textId="509FE83E" w:rsidR="00A666EF" w:rsidRPr="0064145C" w:rsidRDefault="00A666EF" w:rsidP="00641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064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D7922"/>
    <w:multiLevelType w:val="hybridMultilevel"/>
    <w:tmpl w:val="39A85098"/>
    <w:lvl w:ilvl="0" w:tplc="281AF93E">
      <w:start w:val="1"/>
      <w:numFmt w:val="bullet"/>
      <w:lvlText w:val="-"/>
      <w:lvlJc w:val="left"/>
      <w:pPr>
        <w:ind w:left="720" w:hanging="360"/>
      </w:pPr>
      <w:rPr>
        <w:rFonts w:ascii="Aptos" w:hAnsi="Aptos" w:hint="default"/>
      </w:rPr>
    </w:lvl>
    <w:lvl w:ilvl="1" w:tplc="8CFC404E">
      <w:start w:val="1"/>
      <w:numFmt w:val="bullet"/>
      <w:lvlText w:val="o"/>
      <w:lvlJc w:val="left"/>
      <w:pPr>
        <w:ind w:left="1440" w:hanging="360"/>
      </w:pPr>
      <w:rPr>
        <w:rFonts w:ascii="Courier New" w:hAnsi="Courier New" w:hint="default"/>
      </w:rPr>
    </w:lvl>
    <w:lvl w:ilvl="2" w:tplc="4F2480BE">
      <w:start w:val="1"/>
      <w:numFmt w:val="bullet"/>
      <w:lvlText w:val=""/>
      <w:lvlJc w:val="left"/>
      <w:pPr>
        <w:ind w:left="2160" w:hanging="360"/>
      </w:pPr>
      <w:rPr>
        <w:rFonts w:ascii="Wingdings" w:hAnsi="Wingdings" w:hint="default"/>
      </w:rPr>
    </w:lvl>
    <w:lvl w:ilvl="3" w:tplc="754C858A">
      <w:start w:val="1"/>
      <w:numFmt w:val="bullet"/>
      <w:lvlText w:val=""/>
      <w:lvlJc w:val="left"/>
      <w:pPr>
        <w:ind w:left="2880" w:hanging="360"/>
      </w:pPr>
      <w:rPr>
        <w:rFonts w:ascii="Symbol" w:hAnsi="Symbol" w:hint="default"/>
      </w:rPr>
    </w:lvl>
    <w:lvl w:ilvl="4" w:tplc="7DB40978">
      <w:start w:val="1"/>
      <w:numFmt w:val="bullet"/>
      <w:lvlText w:val="o"/>
      <w:lvlJc w:val="left"/>
      <w:pPr>
        <w:ind w:left="3600" w:hanging="360"/>
      </w:pPr>
      <w:rPr>
        <w:rFonts w:ascii="Courier New" w:hAnsi="Courier New" w:hint="default"/>
      </w:rPr>
    </w:lvl>
    <w:lvl w:ilvl="5" w:tplc="7F6CEBEC">
      <w:start w:val="1"/>
      <w:numFmt w:val="bullet"/>
      <w:lvlText w:val=""/>
      <w:lvlJc w:val="left"/>
      <w:pPr>
        <w:ind w:left="4320" w:hanging="360"/>
      </w:pPr>
      <w:rPr>
        <w:rFonts w:ascii="Wingdings" w:hAnsi="Wingdings" w:hint="default"/>
      </w:rPr>
    </w:lvl>
    <w:lvl w:ilvl="6" w:tplc="6A92DEB8">
      <w:start w:val="1"/>
      <w:numFmt w:val="bullet"/>
      <w:lvlText w:val=""/>
      <w:lvlJc w:val="left"/>
      <w:pPr>
        <w:ind w:left="5040" w:hanging="360"/>
      </w:pPr>
      <w:rPr>
        <w:rFonts w:ascii="Symbol" w:hAnsi="Symbol" w:hint="default"/>
      </w:rPr>
    </w:lvl>
    <w:lvl w:ilvl="7" w:tplc="D414B5E8">
      <w:start w:val="1"/>
      <w:numFmt w:val="bullet"/>
      <w:lvlText w:val="o"/>
      <w:lvlJc w:val="left"/>
      <w:pPr>
        <w:ind w:left="5760" w:hanging="360"/>
      </w:pPr>
      <w:rPr>
        <w:rFonts w:ascii="Courier New" w:hAnsi="Courier New" w:hint="default"/>
      </w:rPr>
    </w:lvl>
    <w:lvl w:ilvl="8" w:tplc="28E413BE">
      <w:start w:val="1"/>
      <w:numFmt w:val="bullet"/>
      <w:lvlText w:val=""/>
      <w:lvlJc w:val="left"/>
      <w:pPr>
        <w:ind w:left="6480" w:hanging="360"/>
      </w:pPr>
      <w:rPr>
        <w:rFonts w:ascii="Wingdings" w:hAnsi="Wingdings" w:hint="default"/>
      </w:rPr>
    </w:lvl>
  </w:abstractNum>
  <w:abstractNum w:abstractNumId="2" w15:restartNumberingAfterBreak="0">
    <w:nsid w:val="14996626"/>
    <w:multiLevelType w:val="hybridMultilevel"/>
    <w:tmpl w:val="4CE8D84E"/>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8DC09C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744ED"/>
    <w:multiLevelType w:val="hybridMultilevel"/>
    <w:tmpl w:val="CBE8188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8D83C8E"/>
    <w:multiLevelType w:val="hybridMultilevel"/>
    <w:tmpl w:val="9C12D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ACCOMPAGNANT.CP" w:val="to the "/>
    <w:docVar w:name="LW_ANNEX_NBR_FIRST" w:val="20"/>
    <w:docVar w:name="LW_ANNEX_NBR_LAST" w:val="20"/>
    <w:docVar w:name="LW_ANNEX_UNIQUE" w:val="0"/>
    <w:docVar w:name="LW_CORRIGENDUM" w:val="&lt;UNUSED&gt;"/>
    <w:docVar w:name="LW_COVERPAGE_EXISTS" w:val="True"/>
    <w:docVar w:name="LW_COVERPAGE_GUID" w:val="0540D064-7DF4-4599-906D-C4CB92ECF274"/>
    <w:docVar w:name="LW_COVERPAGE_TYPE" w:val="1"/>
    <w:docVar w:name="LW_CROSSREFERENCE" w:val="{SWD(2025) 290 final} - {SWD(2025) 291 final} - {SWD(2025) 292 final} - {SWD(2025) 293 final} - {SWD(2025) 294 final} - {SWD(2025) 295 final}"/>
    <w:docVar w:name="LW_DocType" w:val="NORMAL"/>
    <w:docVar w:name="LW_EMISSION" w:val="16.6.2025"/>
    <w:docVar w:name="LW_EMISSION_ISODATE" w:val="2025-06-16"/>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State of the Digital Decade 2025: Keep building the EU's sovereignty and digital future"/>
    <w:docVar w:name="LW_PART_NBR" w:val="1"/>
    <w:docVar w:name="LW_PART_NBR_TOTAL" w:val="1"/>
    <w:docVar w:name="LW_REF.INST.NEW" w:val="COM"/>
    <w:docVar w:name="LW_REF.INST.NEW_ADOPTED" w:val="final"/>
    <w:docVar w:name="LW_REF.INST.NEW_TEXT" w:val="(2025) 29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unication from the Commission to the European Parliament, the Council and the European Economic and Social Committee and the Committee of the Regions "/>
    <w:docVar w:name="LwApiVersions" w:val="LW4CoDe 1.24.5.0; LW 9.0, Build 20240221"/>
  </w:docVars>
  <w:rsids>
    <w:rsidRoot w:val="00717869"/>
    <w:rsid w:val="0000147A"/>
    <w:rsid w:val="00003540"/>
    <w:rsid w:val="000056B3"/>
    <w:rsid w:val="00007616"/>
    <w:rsid w:val="00007909"/>
    <w:rsid w:val="0001051E"/>
    <w:rsid w:val="000133A4"/>
    <w:rsid w:val="00013D20"/>
    <w:rsid w:val="0001505B"/>
    <w:rsid w:val="0001672A"/>
    <w:rsid w:val="000235C9"/>
    <w:rsid w:val="00027377"/>
    <w:rsid w:val="000300C6"/>
    <w:rsid w:val="000301ED"/>
    <w:rsid w:val="000405B2"/>
    <w:rsid w:val="0004138C"/>
    <w:rsid w:val="00042565"/>
    <w:rsid w:val="0004494C"/>
    <w:rsid w:val="00046D8E"/>
    <w:rsid w:val="000470A6"/>
    <w:rsid w:val="00047974"/>
    <w:rsid w:val="000542D2"/>
    <w:rsid w:val="00055AA7"/>
    <w:rsid w:val="0006001E"/>
    <w:rsid w:val="00062BEF"/>
    <w:rsid w:val="00065B8D"/>
    <w:rsid w:val="0006719A"/>
    <w:rsid w:val="00067F2F"/>
    <w:rsid w:val="00071BD2"/>
    <w:rsid w:val="00073AF5"/>
    <w:rsid w:val="00073B50"/>
    <w:rsid w:val="00074B3F"/>
    <w:rsid w:val="00075205"/>
    <w:rsid w:val="00077F9D"/>
    <w:rsid w:val="00080026"/>
    <w:rsid w:val="00080174"/>
    <w:rsid w:val="00081DD2"/>
    <w:rsid w:val="000849CC"/>
    <w:rsid w:val="00085404"/>
    <w:rsid w:val="000857C1"/>
    <w:rsid w:val="000872EF"/>
    <w:rsid w:val="00087A4E"/>
    <w:rsid w:val="00087FA1"/>
    <w:rsid w:val="00092686"/>
    <w:rsid w:val="00092E1D"/>
    <w:rsid w:val="000930B2"/>
    <w:rsid w:val="00096B6F"/>
    <w:rsid w:val="00096E85"/>
    <w:rsid w:val="000A53D4"/>
    <w:rsid w:val="000A5747"/>
    <w:rsid w:val="000A633A"/>
    <w:rsid w:val="000A639C"/>
    <w:rsid w:val="000A6FF5"/>
    <w:rsid w:val="000A71F0"/>
    <w:rsid w:val="000A7745"/>
    <w:rsid w:val="000B285D"/>
    <w:rsid w:val="000C1C50"/>
    <w:rsid w:val="000C1DA1"/>
    <w:rsid w:val="000C2831"/>
    <w:rsid w:val="000C661D"/>
    <w:rsid w:val="000C6FAC"/>
    <w:rsid w:val="000D0917"/>
    <w:rsid w:val="000D2F7A"/>
    <w:rsid w:val="000D3BB2"/>
    <w:rsid w:val="000D7216"/>
    <w:rsid w:val="000E1180"/>
    <w:rsid w:val="000E6A02"/>
    <w:rsid w:val="000E6F64"/>
    <w:rsid w:val="000F05A0"/>
    <w:rsid w:val="000F4869"/>
    <w:rsid w:val="000F5ED4"/>
    <w:rsid w:val="000F7DDE"/>
    <w:rsid w:val="0010188F"/>
    <w:rsid w:val="001022AC"/>
    <w:rsid w:val="00111D91"/>
    <w:rsid w:val="00112D96"/>
    <w:rsid w:val="00113AA1"/>
    <w:rsid w:val="0011523F"/>
    <w:rsid w:val="00115654"/>
    <w:rsid w:val="001162FE"/>
    <w:rsid w:val="00116BC4"/>
    <w:rsid w:val="00117032"/>
    <w:rsid w:val="00117715"/>
    <w:rsid w:val="00122E50"/>
    <w:rsid w:val="00122EF4"/>
    <w:rsid w:val="0012759D"/>
    <w:rsid w:val="00132040"/>
    <w:rsid w:val="00134A93"/>
    <w:rsid w:val="00134B40"/>
    <w:rsid w:val="0013622C"/>
    <w:rsid w:val="00137915"/>
    <w:rsid w:val="00137A52"/>
    <w:rsid w:val="00146018"/>
    <w:rsid w:val="00146C78"/>
    <w:rsid w:val="0015064B"/>
    <w:rsid w:val="00151B4B"/>
    <w:rsid w:val="001521E5"/>
    <w:rsid w:val="00152CC1"/>
    <w:rsid w:val="00156A28"/>
    <w:rsid w:val="00164C05"/>
    <w:rsid w:val="00170040"/>
    <w:rsid w:val="00171515"/>
    <w:rsid w:val="001728C0"/>
    <w:rsid w:val="00177FCB"/>
    <w:rsid w:val="00184988"/>
    <w:rsid w:val="001854ED"/>
    <w:rsid w:val="001914E2"/>
    <w:rsid w:val="00197D96"/>
    <w:rsid w:val="001A26D0"/>
    <w:rsid w:val="001A3485"/>
    <w:rsid w:val="001B2B38"/>
    <w:rsid w:val="001B4B7D"/>
    <w:rsid w:val="001C0ED0"/>
    <w:rsid w:val="001C58B3"/>
    <w:rsid w:val="001C5A1E"/>
    <w:rsid w:val="001C6F27"/>
    <w:rsid w:val="001D130B"/>
    <w:rsid w:val="001D2D7F"/>
    <w:rsid w:val="001D337F"/>
    <w:rsid w:val="001D41E1"/>
    <w:rsid w:val="001E06BC"/>
    <w:rsid w:val="001E28A1"/>
    <w:rsid w:val="001F0942"/>
    <w:rsid w:val="001F0DA0"/>
    <w:rsid w:val="001F6433"/>
    <w:rsid w:val="0020134F"/>
    <w:rsid w:val="00201F53"/>
    <w:rsid w:val="00203A89"/>
    <w:rsid w:val="002053EC"/>
    <w:rsid w:val="002064F6"/>
    <w:rsid w:val="0021154D"/>
    <w:rsid w:val="0021660E"/>
    <w:rsid w:val="002169FF"/>
    <w:rsid w:val="00216EDD"/>
    <w:rsid w:val="00217771"/>
    <w:rsid w:val="00217998"/>
    <w:rsid w:val="00220FF4"/>
    <w:rsid w:val="00225E44"/>
    <w:rsid w:val="00226B8B"/>
    <w:rsid w:val="00232444"/>
    <w:rsid w:val="002332D8"/>
    <w:rsid w:val="00233832"/>
    <w:rsid w:val="00237696"/>
    <w:rsid w:val="002421E4"/>
    <w:rsid w:val="00244234"/>
    <w:rsid w:val="00244448"/>
    <w:rsid w:val="002463B6"/>
    <w:rsid w:val="00247CD8"/>
    <w:rsid w:val="00252BAD"/>
    <w:rsid w:val="002618A7"/>
    <w:rsid w:val="00261B91"/>
    <w:rsid w:val="002624A5"/>
    <w:rsid w:val="0026345C"/>
    <w:rsid w:val="002640A9"/>
    <w:rsid w:val="00270731"/>
    <w:rsid w:val="002707AC"/>
    <w:rsid w:val="00272B5E"/>
    <w:rsid w:val="00272D08"/>
    <w:rsid w:val="00272DB0"/>
    <w:rsid w:val="00276B95"/>
    <w:rsid w:val="00280EBB"/>
    <w:rsid w:val="002827BA"/>
    <w:rsid w:val="00295487"/>
    <w:rsid w:val="00295543"/>
    <w:rsid w:val="0029625E"/>
    <w:rsid w:val="002965BF"/>
    <w:rsid w:val="002966B1"/>
    <w:rsid w:val="002A06DC"/>
    <w:rsid w:val="002B4F94"/>
    <w:rsid w:val="002C0250"/>
    <w:rsid w:val="002C22F6"/>
    <w:rsid w:val="002C42C4"/>
    <w:rsid w:val="002C4462"/>
    <w:rsid w:val="002C7952"/>
    <w:rsid w:val="002D00EA"/>
    <w:rsid w:val="002D0DB3"/>
    <w:rsid w:val="002D301A"/>
    <w:rsid w:val="002D7919"/>
    <w:rsid w:val="002E1406"/>
    <w:rsid w:val="002E4957"/>
    <w:rsid w:val="002E4E51"/>
    <w:rsid w:val="002E4E55"/>
    <w:rsid w:val="002E5E21"/>
    <w:rsid w:val="002E6B80"/>
    <w:rsid w:val="002F20E6"/>
    <w:rsid w:val="002F5570"/>
    <w:rsid w:val="002F7CD0"/>
    <w:rsid w:val="00300411"/>
    <w:rsid w:val="00303BB8"/>
    <w:rsid w:val="0031082C"/>
    <w:rsid w:val="00312551"/>
    <w:rsid w:val="003128CC"/>
    <w:rsid w:val="003139A8"/>
    <w:rsid w:val="00313D58"/>
    <w:rsid w:val="003145DA"/>
    <w:rsid w:val="003149E0"/>
    <w:rsid w:val="003224B3"/>
    <w:rsid w:val="00323532"/>
    <w:rsid w:val="00323E4B"/>
    <w:rsid w:val="00326DFC"/>
    <w:rsid w:val="003303C7"/>
    <w:rsid w:val="00333D5E"/>
    <w:rsid w:val="00336633"/>
    <w:rsid w:val="00343AF4"/>
    <w:rsid w:val="00345E6B"/>
    <w:rsid w:val="00350504"/>
    <w:rsid w:val="003519A3"/>
    <w:rsid w:val="003534A2"/>
    <w:rsid w:val="003540A9"/>
    <w:rsid w:val="0036041F"/>
    <w:rsid w:val="00363ACE"/>
    <w:rsid w:val="0036549D"/>
    <w:rsid w:val="0037048F"/>
    <w:rsid w:val="00370D47"/>
    <w:rsid w:val="0037232E"/>
    <w:rsid w:val="0037385C"/>
    <w:rsid w:val="00376AF8"/>
    <w:rsid w:val="003774DB"/>
    <w:rsid w:val="00381E0F"/>
    <w:rsid w:val="003839F4"/>
    <w:rsid w:val="00383C8E"/>
    <w:rsid w:val="003865BD"/>
    <w:rsid w:val="00391691"/>
    <w:rsid w:val="0039275C"/>
    <w:rsid w:val="00393156"/>
    <w:rsid w:val="00394A21"/>
    <w:rsid w:val="003A17C1"/>
    <w:rsid w:val="003A52FC"/>
    <w:rsid w:val="003A7ED7"/>
    <w:rsid w:val="003B087D"/>
    <w:rsid w:val="003B2EC0"/>
    <w:rsid w:val="003B3C07"/>
    <w:rsid w:val="003B4810"/>
    <w:rsid w:val="003B4961"/>
    <w:rsid w:val="003C2435"/>
    <w:rsid w:val="003C3B5E"/>
    <w:rsid w:val="003C3CD5"/>
    <w:rsid w:val="003C56F5"/>
    <w:rsid w:val="003D019F"/>
    <w:rsid w:val="003D19B5"/>
    <w:rsid w:val="003D1BF6"/>
    <w:rsid w:val="003D2477"/>
    <w:rsid w:val="003D7315"/>
    <w:rsid w:val="003E0885"/>
    <w:rsid w:val="003E0AA0"/>
    <w:rsid w:val="003E1B44"/>
    <w:rsid w:val="003E45D1"/>
    <w:rsid w:val="003E4946"/>
    <w:rsid w:val="003E6A51"/>
    <w:rsid w:val="003F1970"/>
    <w:rsid w:val="003F2553"/>
    <w:rsid w:val="003F4314"/>
    <w:rsid w:val="00400C96"/>
    <w:rsid w:val="0040110D"/>
    <w:rsid w:val="00401CA1"/>
    <w:rsid w:val="00402195"/>
    <w:rsid w:val="0041587A"/>
    <w:rsid w:val="00417DBE"/>
    <w:rsid w:val="00421A2D"/>
    <w:rsid w:val="00423534"/>
    <w:rsid w:val="004249DC"/>
    <w:rsid w:val="00440E57"/>
    <w:rsid w:val="00441385"/>
    <w:rsid w:val="00442590"/>
    <w:rsid w:val="00442822"/>
    <w:rsid w:val="00443F80"/>
    <w:rsid w:val="00450A23"/>
    <w:rsid w:val="00450BFF"/>
    <w:rsid w:val="00450F30"/>
    <w:rsid w:val="00452A39"/>
    <w:rsid w:val="00453DC6"/>
    <w:rsid w:val="00455FE8"/>
    <w:rsid w:val="004607DE"/>
    <w:rsid w:val="004715DA"/>
    <w:rsid w:val="00473457"/>
    <w:rsid w:val="00474C42"/>
    <w:rsid w:val="00475FB8"/>
    <w:rsid w:val="00476AD0"/>
    <w:rsid w:val="00484748"/>
    <w:rsid w:val="00484A55"/>
    <w:rsid w:val="004854C1"/>
    <w:rsid w:val="00486AA4"/>
    <w:rsid w:val="004905FD"/>
    <w:rsid w:val="004937D5"/>
    <w:rsid w:val="004944DF"/>
    <w:rsid w:val="00496600"/>
    <w:rsid w:val="004967E4"/>
    <w:rsid w:val="004A37D5"/>
    <w:rsid w:val="004A5A7E"/>
    <w:rsid w:val="004C47CE"/>
    <w:rsid w:val="004C4876"/>
    <w:rsid w:val="004C4A25"/>
    <w:rsid w:val="004C6C90"/>
    <w:rsid w:val="004D1FE5"/>
    <w:rsid w:val="004D2B59"/>
    <w:rsid w:val="004D3666"/>
    <w:rsid w:val="004D4650"/>
    <w:rsid w:val="004D6DAD"/>
    <w:rsid w:val="004E29E2"/>
    <w:rsid w:val="004E5FE4"/>
    <w:rsid w:val="004E60F4"/>
    <w:rsid w:val="004E6512"/>
    <w:rsid w:val="004E6F8E"/>
    <w:rsid w:val="004E722C"/>
    <w:rsid w:val="004E7BB1"/>
    <w:rsid w:val="004F36F1"/>
    <w:rsid w:val="004F6644"/>
    <w:rsid w:val="004F7FD4"/>
    <w:rsid w:val="00500746"/>
    <w:rsid w:val="005007F8"/>
    <w:rsid w:val="005018B0"/>
    <w:rsid w:val="00504736"/>
    <w:rsid w:val="00506568"/>
    <w:rsid w:val="00506C32"/>
    <w:rsid w:val="00507896"/>
    <w:rsid w:val="00510D2B"/>
    <w:rsid w:val="00513891"/>
    <w:rsid w:val="00513B1F"/>
    <w:rsid w:val="00515708"/>
    <w:rsid w:val="0052085D"/>
    <w:rsid w:val="0052089E"/>
    <w:rsid w:val="005263CF"/>
    <w:rsid w:val="00526438"/>
    <w:rsid w:val="0052688F"/>
    <w:rsid w:val="00531532"/>
    <w:rsid w:val="005322A9"/>
    <w:rsid w:val="00534B32"/>
    <w:rsid w:val="00535476"/>
    <w:rsid w:val="005364B9"/>
    <w:rsid w:val="00540E73"/>
    <w:rsid w:val="00541EC2"/>
    <w:rsid w:val="005421E1"/>
    <w:rsid w:val="005451B4"/>
    <w:rsid w:val="005475D4"/>
    <w:rsid w:val="005503AA"/>
    <w:rsid w:val="00551266"/>
    <w:rsid w:val="0055187E"/>
    <w:rsid w:val="00554571"/>
    <w:rsid w:val="00557778"/>
    <w:rsid w:val="0056125E"/>
    <w:rsid w:val="00566FFB"/>
    <w:rsid w:val="00572C97"/>
    <w:rsid w:val="00580A4E"/>
    <w:rsid w:val="005822BD"/>
    <w:rsid w:val="00582A3D"/>
    <w:rsid w:val="00585C76"/>
    <w:rsid w:val="00586D6B"/>
    <w:rsid w:val="00590C3C"/>
    <w:rsid w:val="0059136A"/>
    <w:rsid w:val="00595AAC"/>
    <w:rsid w:val="005A1E37"/>
    <w:rsid w:val="005A44AF"/>
    <w:rsid w:val="005B35B6"/>
    <w:rsid w:val="005B4D4C"/>
    <w:rsid w:val="005B51E8"/>
    <w:rsid w:val="005C4918"/>
    <w:rsid w:val="005C57CA"/>
    <w:rsid w:val="005C63AC"/>
    <w:rsid w:val="005C7596"/>
    <w:rsid w:val="005C7895"/>
    <w:rsid w:val="005D220B"/>
    <w:rsid w:val="005D26D5"/>
    <w:rsid w:val="005D3BFB"/>
    <w:rsid w:val="005D4B70"/>
    <w:rsid w:val="005D7408"/>
    <w:rsid w:val="005E092E"/>
    <w:rsid w:val="005E1C4F"/>
    <w:rsid w:val="005E470C"/>
    <w:rsid w:val="005E7708"/>
    <w:rsid w:val="005F438E"/>
    <w:rsid w:val="005F5AD6"/>
    <w:rsid w:val="00600F83"/>
    <w:rsid w:val="00602BDA"/>
    <w:rsid w:val="00603830"/>
    <w:rsid w:val="0060EAA6"/>
    <w:rsid w:val="00610C6D"/>
    <w:rsid w:val="00610CAF"/>
    <w:rsid w:val="00610E14"/>
    <w:rsid w:val="0061130E"/>
    <w:rsid w:val="006118BE"/>
    <w:rsid w:val="00611F01"/>
    <w:rsid w:val="006123B4"/>
    <w:rsid w:val="006142D1"/>
    <w:rsid w:val="00621D72"/>
    <w:rsid w:val="006222F6"/>
    <w:rsid w:val="00625727"/>
    <w:rsid w:val="00631B2F"/>
    <w:rsid w:val="00632022"/>
    <w:rsid w:val="00634699"/>
    <w:rsid w:val="00640562"/>
    <w:rsid w:val="00640B61"/>
    <w:rsid w:val="00640C4A"/>
    <w:rsid w:val="00641362"/>
    <w:rsid w:val="0064145C"/>
    <w:rsid w:val="0064211A"/>
    <w:rsid w:val="00642696"/>
    <w:rsid w:val="00644CA9"/>
    <w:rsid w:val="00645F02"/>
    <w:rsid w:val="00652BAC"/>
    <w:rsid w:val="00652BB4"/>
    <w:rsid w:val="00657295"/>
    <w:rsid w:val="006633BA"/>
    <w:rsid w:val="00663825"/>
    <w:rsid w:val="00664F71"/>
    <w:rsid w:val="006652B4"/>
    <w:rsid w:val="00666372"/>
    <w:rsid w:val="00667F27"/>
    <w:rsid w:val="00671149"/>
    <w:rsid w:val="00674AEE"/>
    <w:rsid w:val="00676D28"/>
    <w:rsid w:val="00677596"/>
    <w:rsid w:val="00677B4C"/>
    <w:rsid w:val="006814A1"/>
    <w:rsid w:val="00681B3E"/>
    <w:rsid w:val="00682A01"/>
    <w:rsid w:val="00684769"/>
    <w:rsid w:val="00685331"/>
    <w:rsid w:val="00687B57"/>
    <w:rsid w:val="00693256"/>
    <w:rsid w:val="00693ACB"/>
    <w:rsid w:val="00694786"/>
    <w:rsid w:val="006955CF"/>
    <w:rsid w:val="00696122"/>
    <w:rsid w:val="0069617A"/>
    <w:rsid w:val="0069662E"/>
    <w:rsid w:val="006A54BF"/>
    <w:rsid w:val="006B0EB1"/>
    <w:rsid w:val="006B230A"/>
    <w:rsid w:val="006C0A28"/>
    <w:rsid w:val="006D0E22"/>
    <w:rsid w:val="006D1E3F"/>
    <w:rsid w:val="006D3336"/>
    <w:rsid w:val="006D63AC"/>
    <w:rsid w:val="006E2E2B"/>
    <w:rsid w:val="006E5A01"/>
    <w:rsid w:val="006E5CCF"/>
    <w:rsid w:val="006E77AF"/>
    <w:rsid w:val="006E7F1C"/>
    <w:rsid w:val="006F0C54"/>
    <w:rsid w:val="006F120F"/>
    <w:rsid w:val="006F380A"/>
    <w:rsid w:val="006F3EAE"/>
    <w:rsid w:val="006F55F0"/>
    <w:rsid w:val="007117C4"/>
    <w:rsid w:val="00711C25"/>
    <w:rsid w:val="007125A0"/>
    <w:rsid w:val="00713C24"/>
    <w:rsid w:val="00715164"/>
    <w:rsid w:val="007175DC"/>
    <w:rsid w:val="00717869"/>
    <w:rsid w:val="0073448A"/>
    <w:rsid w:val="00736A11"/>
    <w:rsid w:val="00742328"/>
    <w:rsid w:val="00745307"/>
    <w:rsid w:val="007466C7"/>
    <w:rsid w:val="007504F6"/>
    <w:rsid w:val="00750E99"/>
    <w:rsid w:val="00751945"/>
    <w:rsid w:val="0075202F"/>
    <w:rsid w:val="007532E2"/>
    <w:rsid w:val="00754933"/>
    <w:rsid w:val="00754F3E"/>
    <w:rsid w:val="007574DD"/>
    <w:rsid w:val="007603BC"/>
    <w:rsid w:val="0076391D"/>
    <w:rsid w:val="00763AF3"/>
    <w:rsid w:val="007649DF"/>
    <w:rsid w:val="00765CC8"/>
    <w:rsid w:val="00771868"/>
    <w:rsid w:val="00773343"/>
    <w:rsid w:val="00785AEB"/>
    <w:rsid w:val="00791B41"/>
    <w:rsid w:val="00792486"/>
    <w:rsid w:val="00793189"/>
    <w:rsid w:val="00793D07"/>
    <w:rsid w:val="007951A3"/>
    <w:rsid w:val="00795559"/>
    <w:rsid w:val="0079613B"/>
    <w:rsid w:val="00796C66"/>
    <w:rsid w:val="007A0834"/>
    <w:rsid w:val="007A0913"/>
    <w:rsid w:val="007A15E0"/>
    <w:rsid w:val="007A1F57"/>
    <w:rsid w:val="007A24F3"/>
    <w:rsid w:val="007A353D"/>
    <w:rsid w:val="007A37DD"/>
    <w:rsid w:val="007A4A39"/>
    <w:rsid w:val="007B06FC"/>
    <w:rsid w:val="007B1640"/>
    <w:rsid w:val="007B2CBF"/>
    <w:rsid w:val="007B60F5"/>
    <w:rsid w:val="007C0C4B"/>
    <w:rsid w:val="007C62BF"/>
    <w:rsid w:val="007C664D"/>
    <w:rsid w:val="007D5618"/>
    <w:rsid w:val="007D70DF"/>
    <w:rsid w:val="007E36F8"/>
    <w:rsid w:val="007E6903"/>
    <w:rsid w:val="007E7E6E"/>
    <w:rsid w:val="007F08C1"/>
    <w:rsid w:val="007F32F6"/>
    <w:rsid w:val="007F41E4"/>
    <w:rsid w:val="00800181"/>
    <w:rsid w:val="00805EDC"/>
    <w:rsid w:val="00812826"/>
    <w:rsid w:val="00814FFB"/>
    <w:rsid w:val="00817ADE"/>
    <w:rsid w:val="00821218"/>
    <w:rsid w:val="00823C62"/>
    <w:rsid w:val="00830434"/>
    <w:rsid w:val="00831878"/>
    <w:rsid w:val="00836504"/>
    <w:rsid w:val="00836BEF"/>
    <w:rsid w:val="00842476"/>
    <w:rsid w:val="008474D4"/>
    <w:rsid w:val="00847832"/>
    <w:rsid w:val="00856FF3"/>
    <w:rsid w:val="00857A9B"/>
    <w:rsid w:val="00862830"/>
    <w:rsid w:val="008637AD"/>
    <w:rsid w:val="00865B03"/>
    <w:rsid w:val="008739CF"/>
    <w:rsid w:val="00882151"/>
    <w:rsid w:val="00882794"/>
    <w:rsid w:val="00884898"/>
    <w:rsid w:val="00884FB1"/>
    <w:rsid w:val="0089192F"/>
    <w:rsid w:val="00895095"/>
    <w:rsid w:val="008A668E"/>
    <w:rsid w:val="008A6DEA"/>
    <w:rsid w:val="008A724F"/>
    <w:rsid w:val="008B1FBB"/>
    <w:rsid w:val="008B354D"/>
    <w:rsid w:val="008B556A"/>
    <w:rsid w:val="008B5ED5"/>
    <w:rsid w:val="008C05E4"/>
    <w:rsid w:val="008C0F76"/>
    <w:rsid w:val="008C5C86"/>
    <w:rsid w:val="008D17D1"/>
    <w:rsid w:val="008D6625"/>
    <w:rsid w:val="008D7054"/>
    <w:rsid w:val="008D7367"/>
    <w:rsid w:val="008E01FB"/>
    <w:rsid w:val="008E1BB1"/>
    <w:rsid w:val="008E1EB3"/>
    <w:rsid w:val="008E2DFC"/>
    <w:rsid w:val="008E39AE"/>
    <w:rsid w:val="008E3D1C"/>
    <w:rsid w:val="008E3DC1"/>
    <w:rsid w:val="008E5F45"/>
    <w:rsid w:val="008F5CD1"/>
    <w:rsid w:val="008F67A7"/>
    <w:rsid w:val="0090180C"/>
    <w:rsid w:val="009026A2"/>
    <w:rsid w:val="00902E20"/>
    <w:rsid w:val="009057B1"/>
    <w:rsid w:val="00905D8C"/>
    <w:rsid w:val="00905FD9"/>
    <w:rsid w:val="00912093"/>
    <w:rsid w:val="009149A7"/>
    <w:rsid w:val="009156A7"/>
    <w:rsid w:val="00915975"/>
    <w:rsid w:val="00915C3A"/>
    <w:rsid w:val="00915DEB"/>
    <w:rsid w:val="0091670B"/>
    <w:rsid w:val="00920797"/>
    <w:rsid w:val="00922ADA"/>
    <w:rsid w:val="00925303"/>
    <w:rsid w:val="0092635F"/>
    <w:rsid w:val="00926BA6"/>
    <w:rsid w:val="00930032"/>
    <w:rsid w:val="009441A1"/>
    <w:rsid w:val="009441BD"/>
    <w:rsid w:val="00944859"/>
    <w:rsid w:val="0095347E"/>
    <w:rsid w:val="009537E5"/>
    <w:rsid w:val="00960203"/>
    <w:rsid w:val="00963149"/>
    <w:rsid w:val="00964C6D"/>
    <w:rsid w:val="00965C2B"/>
    <w:rsid w:val="00966E5D"/>
    <w:rsid w:val="00986F79"/>
    <w:rsid w:val="00987400"/>
    <w:rsid w:val="009908FC"/>
    <w:rsid w:val="00990A89"/>
    <w:rsid w:val="00991A61"/>
    <w:rsid w:val="009929F1"/>
    <w:rsid w:val="009933A5"/>
    <w:rsid w:val="009A0EA9"/>
    <w:rsid w:val="009B2962"/>
    <w:rsid w:val="009B47D5"/>
    <w:rsid w:val="009B4CB9"/>
    <w:rsid w:val="009B4CC6"/>
    <w:rsid w:val="009B4EE6"/>
    <w:rsid w:val="009B55CB"/>
    <w:rsid w:val="009B6262"/>
    <w:rsid w:val="009C6049"/>
    <w:rsid w:val="009C766D"/>
    <w:rsid w:val="009D5A2C"/>
    <w:rsid w:val="009D5DF4"/>
    <w:rsid w:val="009E25D6"/>
    <w:rsid w:val="009E687A"/>
    <w:rsid w:val="009F0670"/>
    <w:rsid w:val="009F32FD"/>
    <w:rsid w:val="009F6791"/>
    <w:rsid w:val="00A00BC6"/>
    <w:rsid w:val="00A015F1"/>
    <w:rsid w:val="00A01F10"/>
    <w:rsid w:val="00A053D0"/>
    <w:rsid w:val="00A13638"/>
    <w:rsid w:val="00A154A6"/>
    <w:rsid w:val="00A16B82"/>
    <w:rsid w:val="00A20F27"/>
    <w:rsid w:val="00A21355"/>
    <w:rsid w:val="00A25D8F"/>
    <w:rsid w:val="00A2695B"/>
    <w:rsid w:val="00A42DA2"/>
    <w:rsid w:val="00A44304"/>
    <w:rsid w:val="00A57CAC"/>
    <w:rsid w:val="00A65D6D"/>
    <w:rsid w:val="00A666EF"/>
    <w:rsid w:val="00A72A64"/>
    <w:rsid w:val="00A75A14"/>
    <w:rsid w:val="00A80D72"/>
    <w:rsid w:val="00A81748"/>
    <w:rsid w:val="00A82112"/>
    <w:rsid w:val="00A92542"/>
    <w:rsid w:val="00A94DAA"/>
    <w:rsid w:val="00A9666C"/>
    <w:rsid w:val="00AA11CC"/>
    <w:rsid w:val="00AA3614"/>
    <w:rsid w:val="00AB395F"/>
    <w:rsid w:val="00AB46D5"/>
    <w:rsid w:val="00AB5AE0"/>
    <w:rsid w:val="00AB68E1"/>
    <w:rsid w:val="00AC14BF"/>
    <w:rsid w:val="00AC648B"/>
    <w:rsid w:val="00AC6B55"/>
    <w:rsid w:val="00AC6FD5"/>
    <w:rsid w:val="00AD1C68"/>
    <w:rsid w:val="00AD208F"/>
    <w:rsid w:val="00AD4E02"/>
    <w:rsid w:val="00AD795B"/>
    <w:rsid w:val="00AD7F23"/>
    <w:rsid w:val="00AE4181"/>
    <w:rsid w:val="00AE52D8"/>
    <w:rsid w:val="00AF35A4"/>
    <w:rsid w:val="00AF4B8C"/>
    <w:rsid w:val="00AF5845"/>
    <w:rsid w:val="00AF5872"/>
    <w:rsid w:val="00B038C9"/>
    <w:rsid w:val="00B05A1C"/>
    <w:rsid w:val="00B069BE"/>
    <w:rsid w:val="00B073F4"/>
    <w:rsid w:val="00B116FD"/>
    <w:rsid w:val="00B1174E"/>
    <w:rsid w:val="00B1197E"/>
    <w:rsid w:val="00B11E0C"/>
    <w:rsid w:val="00B13219"/>
    <w:rsid w:val="00B136BE"/>
    <w:rsid w:val="00B14430"/>
    <w:rsid w:val="00B14917"/>
    <w:rsid w:val="00B22A2F"/>
    <w:rsid w:val="00B23320"/>
    <w:rsid w:val="00B2461E"/>
    <w:rsid w:val="00B27A87"/>
    <w:rsid w:val="00B31873"/>
    <w:rsid w:val="00B31D26"/>
    <w:rsid w:val="00B3282D"/>
    <w:rsid w:val="00B356E5"/>
    <w:rsid w:val="00B36BAE"/>
    <w:rsid w:val="00B429FB"/>
    <w:rsid w:val="00B451D4"/>
    <w:rsid w:val="00B45FB4"/>
    <w:rsid w:val="00B51D38"/>
    <w:rsid w:val="00B558D7"/>
    <w:rsid w:val="00B57CD3"/>
    <w:rsid w:val="00B610A0"/>
    <w:rsid w:val="00B631D6"/>
    <w:rsid w:val="00B64D19"/>
    <w:rsid w:val="00B666CB"/>
    <w:rsid w:val="00B67184"/>
    <w:rsid w:val="00B70C8C"/>
    <w:rsid w:val="00B71940"/>
    <w:rsid w:val="00B741D7"/>
    <w:rsid w:val="00B74DC0"/>
    <w:rsid w:val="00B75418"/>
    <w:rsid w:val="00B75F97"/>
    <w:rsid w:val="00B80B78"/>
    <w:rsid w:val="00B82393"/>
    <w:rsid w:val="00B85048"/>
    <w:rsid w:val="00B85354"/>
    <w:rsid w:val="00B91362"/>
    <w:rsid w:val="00B96B7B"/>
    <w:rsid w:val="00B96BDA"/>
    <w:rsid w:val="00B97B6C"/>
    <w:rsid w:val="00BA0725"/>
    <w:rsid w:val="00BA4040"/>
    <w:rsid w:val="00BA59E9"/>
    <w:rsid w:val="00BB3A30"/>
    <w:rsid w:val="00BB7505"/>
    <w:rsid w:val="00BB7789"/>
    <w:rsid w:val="00BB7FDB"/>
    <w:rsid w:val="00BC0033"/>
    <w:rsid w:val="00BC3197"/>
    <w:rsid w:val="00BC5EBB"/>
    <w:rsid w:val="00BD0D95"/>
    <w:rsid w:val="00BD19C3"/>
    <w:rsid w:val="00BD30C2"/>
    <w:rsid w:val="00BD49D1"/>
    <w:rsid w:val="00BD56D2"/>
    <w:rsid w:val="00BD769D"/>
    <w:rsid w:val="00BE1CD6"/>
    <w:rsid w:val="00BE2D61"/>
    <w:rsid w:val="00BE518D"/>
    <w:rsid w:val="00BE6BC9"/>
    <w:rsid w:val="00BE6D77"/>
    <w:rsid w:val="00BE721E"/>
    <w:rsid w:val="00BF1A01"/>
    <w:rsid w:val="00BF4E5B"/>
    <w:rsid w:val="00BF7433"/>
    <w:rsid w:val="00C025E9"/>
    <w:rsid w:val="00C0502C"/>
    <w:rsid w:val="00C1126D"/>
    <w:rsid w:val="00C12060"/>
    <w:rsid w:val="00C14AE5"/>
    <w:rsid w:val="00C1538B"/>
    <w:rsid w:val="00C16283"/>
    <w:rsid w:val="00C16662"/>
    <w:rsid w:val="00C17515"/>
    <w:rsid w:val="00C2016E"/>
    <w:rsid w:val="00C208BA"/>
    <w:rsid w:val="00C23D0D"/>
    <w:rsid w:val="00C258C8"/>
    <w:rsid w:val="00C34291"/>
    <w:rsid w:val="00C36BBE"/>
    <w:rsid w:val="00C45991"/>
    <w:rsid w:val="00C46C41"/>
    <w:rsid w:val="00C5031F"/>
    <w:rsid w:val="00C53507"/>
    <w:rsid w:val="00C579CA"/>
    <w:rsid w:val="00C57C7C"/>
    <w:rsid w:val="00C57DEA"/>
    <w:rsid w:val="00C62BEC"/>
    <w:rsid w:val="00C64442"/>
    <w:rsid w:val="00C732E7"/>
    <w:rsid w:val="00C76812"/>
    <w:rsid w:val="00C77C3F"/>
    <w:rsid w:val="00C80B1D"/>
    <w:rsid w:val="00C8338D"/>
    <w:rsid w:val="00C83553"/>
    <w:rsid w:val="00C84201"/>
    <w:rsid w:val="00C86618"/>
    <w:rsid w:val="00C86EBE"/>
    <w:rsid w:val="00C90B24"/>
    <w:rsid w:val="00C90BA1"/>
    <w:rsid w:val="00C92AB4"/>
    <w:rsid w:val="00C94A18"/>
    <w:rsid w:val="00C94C60"/>
    <w:rsid w:val="00C94D3C"/>
    <w:rsid w:val="00CA3A88"/>
    <w:rsid w:val="00CA4EF0"/>
    <w:rsid w:val="00CB0AF6"/>
    <w:rsid w:val="00CB136E"/>
    <w:rsid w:val="00CB1875"/>
    <w:rsid w:val="00CB1C51"/>
    <w:rsid w:val="00CB3AAA"/>
    <w:rsid w:val="00CB6ECA"/>
    <w:rsid w:val="00CC0151"/>
    <w:rsid w:val="00CC110C"/>
    <w:rsid w:val="00CC505E"/>
    <w:rsid w:val="00CD2246"/>
    <w:rsid w:val="00CD306E"/>
    <w:rsid w:val="00CE0C3F"/>
    <w:rsid w:val="00CE4170"/>
    <w:rsid w:val="00CF0679"/>
    <w:rsid w:val="00CF7599"/>
    <w:rsid w:val="00CF7E82"/>
    <w:rsid w:val="00D046CF"/>
    <w:rsid w:val="00D053FE"/>
    <w:rsid w:val="00D06701"/>
    <w:rsid w:val="00D10292"/>
    <w:rsid w:val="00D11A9D"/>
    <w:rsid w:val="00D120F4"/>
    <w:rsid w:val="00D1219F"/>
    <w:rsid w:val="00D13E72"/>
    <w:rsid w:val="00D1431A"/>
    <w:rsid w:val="00D150F3"/>
    <w:rsid w:val="00D20F95"/>
    <w:rsid w:val="00D20FDF"/>
    <w:rsid w:val="00D2111A"/>
    <w:rsid w:val="00D21157"/>
    <w:rsid w:val="00D221E1"/>
    <w:rsid w:val="00D238B5"/>
    <w:rsid w:val="00D23C73"/>
    <w:rsid w:val="00D27EEE"/>
    <w:rsid w:val="00D30E9D"/>
    <w:rsid w:val="00D31E40"/>
    <w:rsid w:val="00D41BD6"/>
    <w:rsid w:val="00D43502"/>
    <w:rsid w:val="00D53F0A"/>
    <w:rsid w:val="00D5758A"/>
    <w:rsid w:val="00D61ADE"/>
    <w:rsid w:val="00D62483"/>
    <w:rsid w:val="00D706AA"/>
    <w:rsid w:val="00D73B7F"/>
    <w:rsid w:val="00D74D75"/>
    <w:rsid w:val="00D75617"/>
    <w:rsid w:val="00D76A64"/>
    <w:rsid w:val="00D80240"/>
    <w:rsid w:val="00D82541"/>
    <w:rsid w:val="00D86A40"/>
    <w:rsid w:val="00D9064C"/>
    <w:rsid w:val="00D906EB"/>
    <w:rsid w:val="00D937C6"/>
    <w:rsid w:val="00D9477D"/>
    <w:rsid w:val="00D95973"/>
    <w:rsid w:val="00D9743B"/>
    <w:rsid w:val="00DA01FB"/>
    <w:rsid w:val="00DA0F93"/>
    <w:rsid w:val="00DA1509"/>
    <w:rsid w:val="00DA1F7A"/>
    <w:rsid w:val="00DA3232"/>
    <w:rsid w:val="00DA3AB7"/>
    <w:rsid w:val="00DA407C"/>
    <w:rsid w:val="00DA523C"/>
    <w:rsid w:val="00DA6D92"/>
    <w:rsid w:val="00DB482F"/>
    <w:rsid w:val="00DC0004"/>
    <w:rsid w:val="00DC2988"/>
    <w:rsid w:val="00DC3A2F"/>
    <w:rsid w:val="00DC6950"/>
    <w:rsid w:val="00DC733C"/>
    <w:rsid w:val="00DD0E23"/>
    <w:rsid w:val="00DD3ED1"/>
    <w:rsid w:val="00DD5DA0"/>
    <w:rsid w:val="00DD5F01"/>
    <w:rsid w:val="00DD633B"/>
    <w:rsid w:val="00DD692C"/>
    <w:rsid w:val="00DD6C64"/>
    <w:rsid w:val="00DE2E67"/>
    <w:rsid w:val="00DE5060"/>
    <w:rsid w:val="00DE6578"/>
    <w:rsid w:val="00DE67E6"/>
    <w:rsid w:val="00DF048F"/>
    <w:rsid w:val="00DF0EFC"/>
    <w:rsid w:val="00DF38BD"/>
    <w:rsid w:val="00DF3F4C"/>
    <w:rsid w:val="00DF5BBC"/>
    <w:rsid w:val="00E00AC9"/>
    <w:rsid w:val="00E01461"/>
    <w:rsid w:val="00E01517"/>
    <w:rsid w:val="00E022D0"/>
    <w:rsid w:val="00E02C77"/>
    <w:rsid w:val="00E034B7"/>
    <w:rsid w:val="00E069DD"/>
    <w:rsid w:val="00E13E63"/>
    <w:rsid w:val="00E1750B"/>
    <w:rsid w:val="00E201BE"/>
    <w:rsid w:val="00E2242F"/>
    <w:rsid w:val="00E22B5A"/>
    <w:rsid w:val="00E23783"/>
    <w:rsid w:val="00E24C2C"/>
    <w:rsid w:val="00E25179"/>
    <w:rsid w:val="00E3056C"/>
    <w:rsid w:val="00E3084A"/>
    <w:rsid w:val="00E32504"/>
    <w:rsid w:val="00E36220"/>
    <w:rsid w:val="00E400CB"/>
    <w:rsid w:val="00E40597"/>
    <w:rsid w:val="00E41A3C"/>
    <w:rsid w:val="00E425C2"/>
    <w:rsid w:val="00E43C18"/>
    <w:rsid w:val="00E46C30"/>
    <w:rsid w:val="00E47940"/>
    <w:rsid w:val="00E5070C"/>
    <w:rsid w:val="00E51004"/>
    <w:rsid w:val="00E52455"/>
    <w:rsid w:val="00E52483"/>
    <w:rsid w:val="00E537C3"/>
    <w:rsid w:val="00E550DA"/>
    <w:rsid w:val="00E65AD4"/>
    <w:rsid w:val="00E66EA9"/>
    <w:rsid w:val="00E70458"/>
    <w:rsid w:val="00E74E8D"/>
    <w:rsid w:val="00E75478"/>
    <w:rsid w:val="00E77A3F"/>
    <w:rsid w:val="00E865E8"/>
    <w:rsid w:val="00E86638"/>
    <w:rsid w:val="00E87789"/>
    <w:rsid w:val="00E93A0C"/>
    <w:rsid w:val="00E95CA9"/>
    <w:rsid w:val="00E96DF5"/>
    <w:rsid w:val="00EA0935"/>
    <w:rsid w:val="00EA2BAD"/>
    <w:rsid w:val="00EA2CFC"/>
    <w:rsid w:val="00EA3027"/>
    <w:rsid w:val="00EA30BB"/>
    <w:rsid w:val="00EA3203"/>
    <w:rsid w:val="00EA3464"/>
    <w:rsid w:val="00EA3CA6"/>
    <w:rsid w:val="00EB39A3"/>
    <w:rsid w:val="00EB4B30"/>
    <w:rsid w:val="00EC21ED"/>
    <w:rsid w:val="00ED1AE0"/>
    <w:rsid w:val="00ED1D8C"/>
    <w:rsid w:val="00ED62E2"/>
    <w:rsid w:val="00ED688D"/>
    <w:rsid w:val="00EE0BD6"/>
    <w:rsid w:val="00EE698E"/>
    <w:rsid w:val="00EE7710"/>
    <w:rsid w:val="00EF2487"/>
    <w:rsid w:val="00EF28F1"/>
    <w:rsid w:val="00EF4F58"/>
    <w:rsid w:val="00EF75A4"/>
    <w:rsid w:val="00F03A87"/>
    <w:rsid w:val="00F071DF"/>
    <w:rsid w:val="00F07C5E"/>
    <w:rsid w:val="00F11DAE"/>
    <w:rsid w:val="00F12EFB"/>
    <w:rsid w:val="00F1363A"/>
    <w:rsid w:val="00F13D13"/>
    <w:rsid w:val="00F146A7"/>
    <w:rsid w:val="00F175EB"/>
    <w:rsid w:val="00F22B3A"/>
    <w:rsid w:val="00F240DE"/>
    <w:rsid w:val="00F25568"/>
    <w:rsid w:val="00F27F22"/>
    <w:rsid w:val="00F30790"/>
    <w:rsid w:val="00F31DB9"/>
    <w:rsid w:val="00F32976"/>
    <w:rsid w:val="00F35FC5"/>
    <w:rsid w:val="00F37BCC"/>
    <w:rsid w:val="00F40AC0"/>
    <w:rsid w:val="00F420D6"/>
    <w:rsid w:val="00F42613"/>
    <w:rsid w:val="00F42BEA"/>
    <w:rsid w:val="00F52B69"/>
    <w:rsid w:val="00F56E6A"/>
    <w:rsid w:val="00F56FFB"/>
    <w:rsid w:val="00F6124D"/>
    <w:rsid w:val="00F64D2D"/>
    <w:rsid w:val="00F67CA8"/>
    <w:rsid w:val="00F7060B"/>
    <w:rsid w:val="00F712A0"/>
    <w:rsid w:val="00F71F78"/>
    <w:rsid w:val="00F7201B"/>
    <w:rsid w:val="00F72096"/>
    <w:rsid w:val="00F76C6F"/>
    <w:rsid w:val="00F913D9"/>
    <w:rsid w:val="00F94CBC"/>
    <w:rsid w:val="00F9525A"/>
    <w:rsid w:val="00F97177"/>
    <w:rsid w:val="00F97733"/>
    <w:rsid w:val="00F979DF"/>
    <w:rsid w:val="00FB16A5"/>
    <w:rsid w:val="00FB35BD"/>
    <w:rsid w:val="00FB4560"/>
    <w:rsid w:val="00FB4612"/>
    <w:rsid w:val="00FB6442"/>
    <w:rsid w:val="00FC3293"/>
    <w:rsid w:val="00FC53B5"/>
    <w:rsid w:val="00FC6E67"/>
    <w:rsid w:val="00FD0349"/>
    <w:rsid w:val="00FD0D1F"/>
    <w:rsid w:val="00FD10F1"/>
    <w:rsid w:val="00FD5112"/>
    <w:rsid w:val="00FD592D"/>
    <w:rsid w:val="00FD658F"/>
    <w:rsid w:val="00FD6815"/>
    <w:rsid w:val="00FE2D5C"/>
    <w:rsid w:val="00FF08CF"/>
    <w:rsid w:val="00FF2AC3"/>
    <w:rsid w:val="00FF3B3B"/>
    <w:rsid w:val="00FF697D"/>
    <w:rsid w:val="00FF6F25"/>
    <w:rsid w:val="018EAC24"/>
    <w:rsid w:val="020EBAB4"/>
    <w:rsid w:val="03FC3F55"/>
    <w:rsid w:val="061A856C"/>
    <w:rsid w:val="08510A5B"/>
    <w:rsid w:val="086AD26E"/>
    <w:rsid w:val="0896FB24"/>
    <w:rsid w:val="092C7222"/>
    <w:rsid w:val="0B4F73E9"/>
    <w:rsid w:val="0BE3315B"/>
    <w:rsid w:val="0D1E36A4"/>
    <w:rsid w:val="10076F8A"/>
    <w:rsid w:val="1489FBBE"/>
    <w:rsid w:val="14A54BCA"/>
    <w:rsid w:val="169B4329"/>
    <w:rsid w:val="17E8991A"/>
    <w:rsid w:val="1800A2C1"/>
    <w:rsid w:val="190E8061"/>
    <w:rsid w:val="1934BFC1"/>
    <w:rsid w:val="1A4C9A51"/>
    <w:rsid w:val="1AC921EC"/>
    <w:rsid w:val="1BF02FCD"/>
    <w:rsid w:val="1C36DCB8"/>
    <w:rsid w:val="1D22E423"/>
    <w:rsid w:val="1FEDE330"/>
    <w:rsid w:val="2063786F"/>
    <w:rsid w:val="23793932"/>
    <w:rsid w:val="24C6644D"/>
    <w:rsid w:val="25E6BF53"/>
    <w:rsid w:val="27B4E746"/>
    <w:rsid w:val="289BF175"/>
    <w:rsid w:val="2987AC4B"/>
    <w:rsid w:val="2A0CD564"/>
    <w:rsid w:val="2B5C0814"/>
    <w:rsid w:val="2C0D2616"/>
    <w:rsid w:val="2DA20257"/>
    <w:rsid w:val="2E199BD8"/>
    <w:rsid w:val="2EB97F37"/>
    <w:rsid w:val="30496893"/>
    <w:rsid w:val="3229C0F5"/>
    <w:rsid w:val="32F50938"/>
    <w:rsid w:val="343A8726"/>
    <w:rsid w:val="3598A8A4"/>
    <w:rsid w:val="35DBEC6D"/>
    <w:rsid w:val="38FBCD43"/>
    <w:rsid w:val="3A060378"/>
    <w:rsid w:val="3C57A4AC"/>
    <w:rsid w:val="3E1C81D8"/>
    <w:rsid w:val="3E3BCAB4"/>
    <w:rsid w:val="40FD64BC"/>
    <w:rsid w:val="41564AF6"/>
    <w:rsid w:val="42F8603D"/>
    <w:rsid w:val="4467ED17"/>
    <w:rsid w:val="460079E9"/>
    <w:rsid w:val="4766743B"/>
    <w:rsid w:val="479E9562"/>
    <w:rsid w:val="4A5904B2"/>
    <w:rsid w:val="4BBF8F8E"/>
    <w:rsid w:val="4BD8DD54"/>
    <w:rsid w:val="4BDDBE8A"/>
    <w:rsid w:val="4C01F8BF"/>
    <w:rsid w:val="4CAD0418"/>
    <w:rsid w:val="4FAE08D1"/>
    <w:rsid w:val="50566305"/>
    <w:rsid w:val="505C1953"/>
    <w:rsid w:val="507B9F66"/>
    <w:rsid w:val="5259BD6E"/>
    <w:rsid w:val="52E8F1EB"/>
    <w:rsid w:val="535624A0"/>
    <w:rsid w:val="550882A3"/>
    <w:rsid w:val="5577C6B9"/>
    <w:rsid w:val="56BFD29F"/>
    <w:rsid w:val="58BFF041"/>
    <w:rsid w:val="59DCE5E7"/>
    <w:rsid w:val="5A47B33E"/>
    <w:rsid w:val="5CA4BC12"/>
    <w:rsid w:val="5DBE6A0A"/>
    <w:rsid w:val="5EAE9B01"/>
    <w:rsid w:val="5EE434DE"/>
    <w:rsid w:val="617AC083"/>
    <w:rsid w:val="61ED0B47"/>
    <w:rsid w:val="6492AB43"/>
    <w:rsid w:val="65B5E006"/>
    <w:rsid w:val="6814C99F"/>
    <w:rsid w:val="6BE70E10"/>
    <w:rsid w:val="6C8FFB33"/>
    <w:rsid w:val="714A8C44"/>
    <w:rsid w:val="73AC92D5"/>
    <w:rsid w:val="73AFE01F"/>
    <w:rsid w:val="7485AAFF"/>
    <w:rsid w:val="7630550F"/>
    <w:rsid w:val="768451F0"/>
    <w:rsid w:val="793C27A7"/>
    <w:rsid w:val="79F7642C"/>
    <w:rsid w:val="7D0FAE71"/>
    <w:rsid w:val="7E153EC0"/>
    <w:rsid w:val="7EC7731A"/>
    <w:rsid w:val="7F2C1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522D4F"/>
  <w14:defaultImageDpi w14:val="32767"/>
  <w15:chartTrackingRefBased/>
  <w15:docId w15:val="{2FFE38AA-EF0A-41E2-8B45-50C06134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69"/>
    <w:pPr>
      <w:spacing w:after="160" w:line="259" w:lineRule="auto"/>
    </w:pPr>
    <w:rPr>
      <w:kern w:val="2"/>
      <w:sz w:val="22"/>
      <w:szCs w:val="22"/>
      <w:lang w:val="en-IE"/>
      <w14:ligatures w14:val="standardContextual"/>
    </w:rPr>
  </w:style>
  <w:style w:type="paragraph" w:styleId="Heading1">
    <w:name w:val="heading 1"/>
    <w:basedOn w:val="Title"/>
    <w:next w:val="Normal"/>
    <w:link w:val="Heading1Char"/>
    <w:autoRedefine/>
    <w:uiPriority w:val="9"/>
    <w:qFormat/>
    <w:rsid w:val="00496600"/>
    <w:pPr>
      <w:jc w:val="left"/>
      <w:outlineLvl w:val="0"/>
    </w:pPr>
    <w:rPr>
      <w:color w:val="0046FF"/>
      <w:lang w:val="en-IE"/>
    </w:rPr>
  </w:style>
  <w:style w:type="paragraph" w:styleId="Heading2">
    <w:name w:val="heading 2"/>
    <w:basedOn w:val="Normal"/>
    <w:next w:val="Normal"/>
    <w:link w:val="Heading2Char"/>
    <w:autoRedefine/>
    <w:uiPriority w:val="9"/>
    <w:unhideWhenUsed/>
    <w:qFormat/>
    <w:rsid w:val="009156A7"/>
    <w:pPr>
      <w:keepNext/>
      <w:keepLines/>
      <w:spacing w:before="160"/>
      <w:jc w:val="both"/>
      <w:outlineLvl w:val="1"/>
    </w:pPr>
    <w:rPr>
      <w:rFonts w:ascii="Calibri Light" w:eastAsia="Calibri Light" w:hAnsi="Calibri Light" w:cs="Calibri Light"/>
      <w:b/>
      <w:iCs/>
      <w:color w:val="0046FF"/>
      <w:sz w:val="30"/>
      <w:szCs w:val="30"/>
    </w:rPr>
  </w:style>
  <w:style w:type="paragraph" w:styleId="Heading3">
    <w:name w:val="heading 3"/>
    <w:basedOn w:val="Normal"/>
    <w:next w:val="Normal"/>
    <w:link w:val="Heading3Char"/>
    <w:uiPriority w:val="9"/>
    <w:unhideWhenUsed/>
    <w:qFormat/>
    <w:rsid w:val="00B136BE"/>
    <w:pPr>
      <w:keepNext/>
      <w:keepLines/>
      <w:spacing w:before="40" w:after="0"/>
      <w:outlineLvl w:val="2"/>
    </w:pPr>
    <w:rPr>
      <w:rFonts w:asciiTheme="majorHAnsi" w:eastAsiaTheme="majorEastAsia" w:hAnsiTheme="majorHAnsi" w:cstheme="majorBidi"/>
      <w:color w:val="025F76"/>
      <w:sz w:val="24"/>
      <w:szCs w:val="24"/>
    </w:rPr>
  </w:style>
  <w:style w:type="paragraph" w:styleId="Heading4">
    <w:name w:val="heading 4"/>
    <w:basedOn w:val="Normal"/>
    <w:next w:val="Normal"/>
    <w:link w:val="Heading4Char"/>
    <w:uiPriority w:val="9"/>
    <w:unhideWhenUsed/>
    <w:qFormat/>
    <w:rsid w:val="00B136BE"/>
    <w:pPr>
      <w:keepNext/>
      <w:keepLines/>
      <w:spacing w:before="40" w:after="0"/>
      <w:outlineLvl w:val="3"/>
    </w:pPr>
    <w:rPr>
      <w:rFonts w:asciiTheme="majorHAnsi" w:eastAsiaTheme="majorEastAsia" w:hAnsiTheme="majorHAnsi" w:cstheme="majorBidi"/>
      <w:i/>
      <w:iCs/>
      <w:color w:val="025F7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imple table,HTG,simple table"/>
    <w:basedOn w:val="TableNormal"/>
    <w:uiPriority w:val="39"/>
    <w:rsid w:val="00717869"/>
    <w:rPr>
      <w:kern w:val="2"/>
      <w:sz w:val="22"/>
      <w:szCs w:val="2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sk Body,Viñetas (Inicio Parrafo),3 Txt tabla,Zerrenda-paragrafoa,Lista multicolor - Énfasis 11,Fiche List Paragraph,List Paragraph compact,Dot pt,F5 List Paragraph,List Paragraph1,No Spacing1,List Paragraph Char Char Char,Indicator Text"/>
    <w:basedOn w:val="Normal"/>
    <w:link w:val="ListParagraphChar"/>
    <w:uiPriority w:val="34"/>
    <w:qFormat/>
    <w:rsid w:val="00717869"/>
    <w:pPr>
      <w:spacing w:after="60"/>
      <w:ind w:left="720"/>
      <w:contextualSpacing/>
      <w:jc w:val="both"/>
    </w:pPr>
    <w:rPr>
      <w:kern w:val="0"/>
      <w:lang w:val="en-GB"/>
    </w:rPr>
  </w:style>
  <w:style w:type="table" w:customStyle="1" w:styleId="GridTable5Dark-Accent63">
    <w:name w:val="Grid Table 5 Dark - Accent 63"/>
    <w:basedOn w:val="TableNormal"/>
    <w:next w:val="GridTable5Dark-Accent6"/>
    <w:uiPriority w:val="50"/>
    <w:rsid w:val="00717869"/>
    <w:rPr>
      <w:sz w:val="22"/>
      <w:szCs w:val="22"/>
      <w:lang w:val="en-GB"/>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3F5"/>
    </w:tcPr>
    <w:tblStylePr w:type="firstRow">
      <w:rPr>
        <w:b/>
        <w:bCs/>
        <w:color w:val="FFFFFF" w:themeColor="background1"/>
      </w:rPr>
      <w:tblPr/>
      <w:tcPr>
        <w:shd w:val="clear" w:color="auto" w:fill="E85ACA"/>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shd w:val="clear" w:color="auto" w:fill="7F1597"/>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F8BEEC"/>
      </w:tcPr>
    </w:tblStylePr>
    <w:tblStylePr w:type="band2Horz">
      <w:tblPr/>
      <w:tcPr>
        <w:shd w:val="clear" w:color="auto" w:fill="FFFFFF" w:themeFill="background1"/>
      </w:tcPr>
    </w:tblStylePr>
  </w:style>
  <w:style w:type="character" w:customStyle="1" w:styleId="ListParagraphChar">
    <w:name w:val="List Paragraph Char"/>
    <w:aliases w:val="Task Body Char,Viñetas (Inicio Parrafo) Char,3 Txt tabla Char,Zerrenda-paragrafoa Char,Lista multicolor - Énfasis 11 Char,Fiche List Paragraph Char,List Paragraph compact Char,Dot pt Char,F5 List Paragraph Char,List Paragraph1 Char"/>
    <w:basedOn w:val="DefaultParagraphFont"/>
    <w:link w:val="ListParagraph"/>
    <w:uiPriority w:val="34"/>
    <w:qFormat/>
    <w:locked/>
    <w:rsid w:val="00717869"/>
    <w:rPr>
      <w:sz w:val="22"/>
      <w:szCs w:val="22"/>
      <w:lang w:val="en-GB"/>
      <w14:ligatures w14:val="standardContextual"/>
    </w:rPr>
  </w:style>
  <w:style w:type="character" w:styleId="Hyperlink">
    <w:name w:val="Hyperlink"/>
    <w:basedOn w:val="DefaultParagraphFont"/>
    <w:uiPriority w:val="99"/>
    <w:unhideWhenUsed/>
    <w:rsid w:val="00717869"/>
    <w:rPr>
      <w:color w:val="0563C1" w:themeColor="hyperlink"/>
      <w:u w:val="single"/>
    </w:rPr>
  </w:style>
  <w:style w:type="character" w:styleId="CommentReference">
    <w:name w:val="annotation reference"/>
    <w:basedOn w:val="DefaultParagraphFont"/>
    <w:uiPriority w:val="99"/>
    <w:unhideWhenUsed/>
    <w:qFormat/>
    <w:rsid w:val="00717869"/>
    <w:rPr>
      <w:sz w:val="16"/>
      <w:szCs w:val="16"/>
    </w:rPr>
  </w:style>
  <w:style w:type="paragraph" w:styleId="CommentText">
    <w:name w:val="annotation text"/>
    <w:basedOn w:val="Normal"/>
    <w:link w:val="CommentTextChar"/>
    <w:uiPriority w:val="99"/>
    <w:unhideWhenUsed/>
    <w:rsid w:val="00717869"/>
    <w:pPr>
      <w:spacing w:line="240" w:lineRule="auto"/>
    </w:pPr>
    <w:rPr>
      <w:sz w:val="20"/>
      <w:szCs w:val="20"/>
    </w:rPr>
  </w:style>
  <w:style w:type="character" w:customStyle="1" w:styleId="CommentTextChar">
    <w:name w:val="Comment Text Char"/>
    <w:basedOn w:val="DefaultParagraphFont"/>
    <w:link w:val="CommentText"/>
    <w:uiPriority w:val="99"/>
    <w:rsid w:val="00717869"/>
    <w:rPr>
      <w:kern w:val="2"/>
      <w:sz w:val="20"/>
      <w:szCs w:val="20"/>
      <w:lang w:val="en-IE"/>
      <w14:ligatures w14:val="standardContextual"/>
    </w:rPr>
  </w:style>
  <w:style w:type="table" w:styleId="GridTable5Dark-Accent6">
    <w:name w:val="Grid Table 5 Dark Accent 6"/>
    <w:basedOn w:val="TableNormal"/>
    <w:uiPriority w:val="50"/>
    <w:rsid w:val="007178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1156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5654"/>
    <w:rPr>
      <w:kern w:val="2"/>
      <w:sz w:val="22"/>
      <w:szCs w:val="22"/>
      <w:lang w:val="en-IE"/>
      <w14:ligatures w14:val="standardContextual"/>
    </w:rPr>
  </w:style>
  <w:style w:type="paragraph" w:styleId="Footer">
    <w:name w:val="footer"/>
    <w:basedOn w:val="Normal"/>
    <w:link w:val="FooterChar"/>
    <w:uiPriority w:val="99"/>
    <w:unhideWhenUsed/>
    <w:rsid w:val="001156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5654"/>
    <w:rPr>
      <w:kern w:val="2"/>
      <w:sz w:val="22"/>
      <w:szCs w:val="22"/>
      <w:lang w:val="en-IE"/>
      <w14:ligatures w14:val="standardContextual"/>
    </w:rPr>
  </w:style>
  <w:style w:type="paragraph" w:styleId="Title">
    <w:name w:val="Title"/>
    <w:basedOn w:val="Normal"/>
    <w:next w:val="Normal"/>
    <w:link w:val="TitleChar"/>
    <w:uiPriority w:val="10"/>
    <w:qFormat/>
    <w:rsid w:val="001C0ED0"/>
    <w:pPr>
      <w:jc w:val="center"/>
    </w:pPr>
    <w:rPr>
      <w:b/>
      <w:bCs/>
      <w:color w:val="FFFFFF" w:themeColor="background1"/>
      <w:sz w:val="52"/>
      <w:szCs w:val="52"/>
      <w:lang w:val="fr-FR"/>
    </w:rPr>
  </w:style>
  <w:style w:type="character" w:customStyle="1" w:styleId="TitleChar">
    <w:name w:val="Title Char"/>
    <w:basedOn w:val="DefaultParagraphFont"/>
    <w:link w:val="Title"/>
    <w:uiPriority w:val="10"/>
    <w:rsid w:val="001C0ED0"/>
    <w:rPr>
      <w:b/>
      <w:bCs/>
      <w:color w:val="FFFFFF" w:themeColor="background1"/>
      <w:kern w:val="2"/>
      <w:sz w:val="52"/>
      <w:szCs w:val="52"/>
      <w14:ligatures w14:val="standardContextual"/>
    </w:rPr>
  </w:style>
  <w:style w:type="character" w:customStyle="1" w:styleId="Heading1Char">
    <w:name w:val="Heading 1 Char"/>
    <w:basedOn w:val="DefaultParagraphFont"/>
    <w:link w:val="Heading1"/>
    <w:uiPriority w:val="9"/>
    <w:rsid w:val="00496600"/>
    <w:rPr>
      <w:b/>
      <w:bCs/>
      <w:color w:val="0046FF"/>
      <w:kern w:val="2"/>
      <w:sz w:val="52"/>
      <w:szCs w:val="52"/>
      <w:lang w:val="en-IE"/>
      <w14:ligatures w14:val="standardContextual"/>
    </w:rPr>
  </w:style>
  <w:style w:type="character" w:customStyle="1" w:styleId="Heading2Char">
    <w:name w:val="Heading 2 Char"/>
    <w:basedOn w:val="DefaultParagraphFont"/>
    <w:link w:val="Heading2"/>
    <w:uiPriority w:val="9"/>
    <w:rsid w:val="009156A7"/>
    <w:rPr>
      <w:rFonts w:ascii="Calibri Light" w:eastAsia="Calibri Light" w:hAnsi="Calibri Light" w:cs="Calibri Light"/>
      <w:b/>
      <w:iCs/>
      <w:color w:val="0046FF"/>
      <w:kern w:val="2"/>
      <w:sz w:val="30"/>
      <w:szCs w:val="30"/>
      <w:lang w:val="en-IE"/>
      <w14:ligatures w14:val="standardContextual"/>
    </w:rPr>
  </w:style>
  <w:style w:type="character" w:customStyle="1" w:styleId="Mention">
    <w:name w:val="Mention"/>
    <w:basedOn w:val="DefaultParagraphFont"/>
    <w:uiPriority w:val="99"/>
    <w:unhideWhenUsed/>
    <w:rsid w:val="00D61ADE"/>
    <w:rPr>
      <w:color w:val="2B579A"/>
      <w:shd w:val="clear" w:color="auto" w:fill="E1DFDD"/>
    </w:rPr>
  </w:style>
  <w:style w:type="paragraph" w:styleId="FootnoteText">
    <w:name w:val="footnote text"/>
    <w:aliases w:val="Footnotes,Schriftart: 9 pt,Schriftart: 10 pt,Schriftart: 8 pt,WB-Fußnotentext,fn,Footnote ak,Footnote Text Char1 Char,Footnote Text Char Char Char,Footnote Text Char1 Char Char Char,Footnote Text Char Char Char Char Char,C,f"/>
    <w:basedOn w:val="Normal"/>
    <w:link w:val="FootnoteTextChar"/>
    <w:uiPriority w:val="99"/>
    <w:unhideWhenUsed/>
    <w:qFormat/>
    <w:rsid w:val="00417DBE"/>
    <w:pPr>
      <w:spacing w:after="0" w:line="240" w:lineRule="auto"/>
    </w:pPr>
    <w:rPr>
      <w:sz w:val="18"/>
      <w:szCs w:val="20"/>
    </w:rPr>
  </w:style>
  <w:style w:type="character" w:customStyle="1" w:styleId="FootnoteTextChar">
    <w:name w:val="Footnote Text Char"/>
    <w:aliases w:val="Footnotes Char,Schriftart: 9 pt Char,Schriftart: 10 pt Char,Schriftart: 8 pt Char,WB-Fußnotentext Char,fn Char,Footnote ak Char,Footnote Text Char1 Char Char,Footnote Text Char Char Char Char,Footnote Text Char1 Char Char Char Char"/>
    <w:basedOn w:val="DefaultParagraphFont"/>
    <w:link w:val="FootnoteText"/>
    <w:uiPriority w:val="99"/>
    <w:qFormat/>
    <w:rsid w:val="00417DBE"/>
    <w:rPr>
      <w:kern w:val="2"/>
      <w:sz w:val="18"/>
      <w:szCs w:val="20"/>
      <w:lang w:val="en-IE"/>
      <w14:ligatures w14:val="standardContextual"/>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SUPE"/>
    <w:basedOn w:val="DefaultParagraphFont"/>
    <w:link w:val="CharCharChar"/>
    <w:uiPriority w:val="99"/>
    <w:unhideWhenUsed/>
    <w:qFormat/>
    <w:rsid w:val="00D61ADE"/>
    <w:rPr>
      <w:rFonts w:eastAsiaTheme="minorEastAsia"/>
      <w:vertAlign w:val="superscript"/>
    </w:rPr>
  </w:style>
  <w:style w:type="character" w:customStyle="1" w:styleId="Heading3Char">
    <w:name w:val="Heading 3 Char"/>
    <w:basedOn w:val="DefaultParagraphFont"/>
    <w:link w:val="Heading3"/>
    <w:uiPriority w:val="9"/>
    <w:rsid w:val="00B136BE"/>
    <w:rPr>
      <w:rFonts w:asciiTheme="majorHAnsi" w:eastAsiaTheme="majorEastAsia" w:hAnsiTheme="majorHAnsi" w:cstheme="majorBidi"/>
      <w:color w:val="025F76"/>
      <w:kern w:val="2"/>
      <w:lang w:val="en-IE"/>
      <w14:ligatures w14:val="standardContextual"/>
    </w:rPr>
  </w:style>
  <w:style w:type="character" w:customStyle="1" w:styleId="UnresolvedMention">
    <w:name w:val="Unresolved Mention"/>
    <w:basedOn w:val="DefaultParagraphFont"/>
    <w:uiPriority w:val="99"/>
    <w:rsid w:val="00BB7789"/>
    <w:rPr>
      <w:color w:val="605E5C"/>
      <w:shd w:val="clear" w:color="auto" w:fill="E1DFDD"/>
    </w:rPr>
  </w:style>
  <w:style w:type="paragraph" w:customStyle="1" w:styleId="CharCharChar">
    <w:name w:val="Char Char Char"/>
    <w:basedOn w:val="Normal"/>
    <w:link w:val="FootnoteReference"/>
    <w:uiPriority w:val="99"/>
    <w:rsid w:val="00B51D38"/>
    <w:pPr>
      <w:spacing w:line="240" w:lineRule="exact"/>
    </w:pPr>
    <w:rPr>
      <w:rFonts w:eastAsiaTheme="minorEastAsia"/>
      <w:kern w:val="0"/>
      <w:sz w:val="24"/>
      <w:szCs w:val="24"/>
      <w:vertAlign w:val="superscript"/>
      <w:lang w:val="fr-FR"/>
      <w14:ligatures w14:val="none"/>
    </w:rPr>
  </w:style>
  <w:style w:type="character" w:customStyle="1" w:styleId="cf01">
    <w:name w:val="cf01"/>
    <w:basedOn w:val="DefaultParagraphFont"/>
    <w:rsid w:val="00B51D38"/>
    <w:rPr>
      <w:rFonts w:ascii="Segoe UI" w:hAnsi="Segoe UI" w:cs="Segoe UI" w:hint="default"/>
      <w:sz w:val="18"/>
      <w:szCs w:val="18"/>
    </w:rPr>
  </w:style>
  <w:style w:type="character" w:customStyle="1" w:styleId="Heading4Char">
    <w:name w:val="Heading 4 Char"/>
    <w:basedOn w:val="DefaultParagraphFont"/>
    <w:link w:val="Heading4"/>
    <w:uiPriority w:val="9"/>
    <w:rsid w:val="00B136BE"/>
    <w:rPr>
      <w:rFonts w:asciiTheme="majorHAnsi" w:eastAsiaTheme="majorEastAsia" w:hAnsiTheme="majorHAnsi" w:cstheme="majorBidi"/>
      <w:i/>
      <w:iCs/>
      <w:color w:val="025F76"/>
      <w:kern w:val="2"/>
      <w:sz w:val="22"/>
      <w:szCs w:val="22"/>
      <w:lang w:val="en-IE"/>
      <w14:ligatures w14:val="standardContextual"/>
    </w:rPr>
  </w:style>
  <w:style w:type="paragraph" w:styleId="TOCHeading">
    <w:name w:val="TOC Heading"/>
    <w:basedOn w:val="Heading1"/>
    <w:next w:val="Normal"/>
    <w:uiPriority w:val="39"/>
    <w:unhideWhenUsed/>
    <w:qFormat/>
    <w:rsid w:val="006D63AC"/>
    <w:pPr>
      <w:keepNext/>
      <w:keepLines/>
      <w:spacing w:before="240" w:after="0"/>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6D63AC"/>
    <w:pPr>
      <w:spacing w:after="100"/>
    </w:pPr>
  </w:style>
  <w:style w:type="paragraph" w:styleId="TOC2">
    <w:name w:val="toc 2"/>
    <w:basedOn w:val="Normal"/>
    <w:next w:val="Normal"/>
    <w:autoRedefine/>
    <w:uiPriority w:val="39"/>
    <w:unhideWhenUsed/>
    <w:rsid w:val="006D63AC"/>
    <w:pPr>
      <w:spacing w:after="100"/>
      <w:ind w:left="220"/>
    </w:pPr>
  </w:style>
  <w:style w:type="paragraph" w:styleId="TOC3">
    <w:name w:val="toc 3"/>
    <w:basedOn w:val="Normal"/>
    <w:next w:val="Normal"/>
    <w:autoRedefine/>
    <w:uiPriority w:val="39"/>
    <w:unhideWhenUsed/>
    <w:rsid w:val="006D63AC"/>
    <w:pPr>
      <w:spacing w:after="100"/>
      <w:ind w:left="440"/>
    </w:pPr>
  </w:style>
  <w:style w:type="character" w:customStyle="1" w:styleId="normaltextrun">
    <w:name w:val="normaltextrun"/>
    <w:basedOn w:val="DefaultParagraphFont"/>
    <w:rsid w:val="0075202F"/>
  </w:style>
  <w:style w:type="character" w:customStyle="1" w:styleId="eop">
    <w:name w:val="eop"/>
    <w:basedOn w:val="DefaultParagraphFont"/>
    <w:rsid w:val="0075202F"/>
  </w:style>
  <w:style w:type="character" w:styleId="IntenseEmphasis">
    <w:name w:val="Intense Emphasis"/>
    <w:basedOn w:val="DefaultParagraphFont"/>
    <w:uiPriority w:val="21"/>
    <w:qFormat/>
    <w:rsid w:val="0075202F"/>
    <w:rPr>
      <w:rFonts w:ascii="Calibri" w:hAnsi="Calibri"/>
      <w:b/>
      <w:i w:val="0"/>
      <w:iCs/>
      <w:color w:val="1F3864" w:themeColor="accent1" w:themeShade="80"/>
      <w:sz w:val="24"/>
    </w:rPr>
  </w:style>
  <w:style w:type="character" w:customStyle="1" w:styleId="ui-provider">
    <w:name w:val="ui-provider"/>
    <w:basedOn w:val="DefaultParagraphFont"/>
    <w:rsid w:val="005475D4"/>
  </w:style>
  <w:style w:type="paragraph" w:styleId="ListBullet">
    <w:name w:val="List Bullet"/>
    <w:basedOn w:val="Normal"/>
    <w:uiPriority w:val="99"/>
    <w:unhideWhenUsed/>
    <w:rsid w:val="00AB46D5"/>
    <w:pPr>
      <w:widowControl w:val="0"/>
      <w:numPr>
        <w:numId w:val="1"/>
      </w:numPr>
      <w:spacing w:after="0" w:line="240" w:lineRule="auto"/>
      <w:contextualSpacing/>
    </w:pPr>
    <w:rPr>
      <w:rFonts w:ascii="Times New Roman" w:eastAsia="Times New Roman" w:hAnsi="Times New Roman" w:cs="Times New Roman"/>
      <w:color w:val="000000"/>
      <w:kern w:val="0"/>
      <w:sz w:val="24"/>
      <w:szCs w:val="24"/>
      <w:lang w:val="en-US"/>
      <w14:ligatures w14:val="none"/>
    </w:rPr>
  </w:style>
  <w:style w:type="character" w:styleId="Strong">
    <w:name w:val="Strong"/>
    <w:basedOn w:val="DefaultParagraphFont"/>
    <w:uiPriority w:val="22"/>
    <w:qFormat/>
    <w:rsid w:val="00AB46D5"/>
    <w:rPr>
      <w:b/>
      <w:bCs/>
    </w:rPr>
  </w:style>
  <w:style w:type="paragraph" w:customStyle="1" w:styleId="paragraph">
    <w:name w:val="paragraph"/>
    <w:basedOn w:val="Normal"/>
    <w:rsid w:val="00C57DE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rmalWeb">
    <w:name w:val="Normal (Web)"/>
    <w:basedOn w:val="Normal"/>
    <w:uiPriority w:val="99"/>
    <w:unhideWhenUsed/>
    <w:rsid w:val="00C57DEA"/>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Briefinglist1">
    <w:name w:val="Briefing list 1"/>
    <w:basedOn w:val="Normal"/>
    <w:link w:val="Briefinglist1Char"/>
    <w:rsid w:val="00C57DEA"/>
    <w:pPr>
      <w:keepLines/>
      <w:numPr>
        <w:numId w:val="2"/>
      </w:numPr>
      <w:spacing w:after="120" w:line="240" w:lineRule="auto"/>
      <w:jc w:val="both"/>
    </w:pPr>
    <w:rPr>
      <w:rFonts w:ascii="Arial" w:eastAsia="Times New Roman" w:hAnsi="Arial" w:cs="Arial"/>
      <w:kern w:val="0"/>
      <w:szCs w:val="24"/>
      <w:lang w:val="en-GB"/>
      <w14:ligatures w14:val="none"/>
    </w:rPr>
  </w:style>
  <w:style w:type="character" w:customStyle="1" w:styleId="Briefinglist1Char">
    <w:name w:val="Briefing list 1 Char"/>
    <w:basedOn w:val="DefaultParagraphFont"/>
    <w:link w:val="Briefinglist1"/>
    <w:rsid w:val="00C57DEA"/>
    <w:rPr>
      <w:rFonts w:ascii="Arial" w:eastAsia="Times New Roman" w:hAnsi="Arial" w:cs="Arial"/>
      <w:sz w:val="22"/>
      <w:lang w:val="en-GB"/>
    </w:rPr>
  </w:style>
  <w:style w:type="paragraph" w:customStyle="1" w:styleId="Normal-text">
    <w:name w:val="Normal-text"/>
    <w:basedOn w:val="Normal"/>
    <w:qFormat/>
    <w:rsid w:val="008E1EB3"/>
    <w:pPr>
      <w:spacing w:before="120" w:after="120" w:line="276" w:lineRule="auto"/>
      <w:jc w:val="both"/>
    </w:pPr>
    <w:rPr>
      <w:rFonts w:ascii="Arial" w:eastAsia="Calibri" w:hAnsi="Arial" w:cs="Times New Roman"/>
      <w:kern w:val="0"/>
      <w:lang w:val="en-GB"/>
      <w14:ligatures w14:val="none"/>
    </w:rPr>
  </w:style>
  <w:style w:type="character" w:customStyle="1" w:styleId="findhit">
    <w:name w:val="findhit"/>
    <w:basedOn w:val="DefaultParagraphFont"/>
    <w:rsid w:val="009933A5"/>
  </w:style>
  <w:style w:type="paragraph" w:styleId="CommentSubject">
    <w:name w:val="annotation subject"/>
    <w:basedOn w:val="CommentText"/>
    <w:next w:val="CommentText"/>
    <w:link w:val="CommentSubjectChar"/>
    <w:uiPriority w:val="99"/>
    <w:semiHidden/>
    <w:unhideWhenUsed/>
    <w:rsid w:val="00DB482F"/>
    <w:rPr>
      <w:b/>
      <w:bCs/>
    </w:rPr>
  </w:style>
  <w:style w:type="character" w:customStyle="1" w:styleId="CommentSubjectChar">
    <w:name w:val="Comment Subject Char"/>
    <w:basedOn w:val="CommentTextChar"/>
    <w:link w:val="CommentSubject"/>
    <w:uiPriority w:val="99"/>
    <w:semiHidden/>
    <w:rsid w:val="00DB482F"/>
    <w:rPr>
      <w:b/>
      <w:bCs/>
      <w:kern w:val="2"/>
      <w:sz w:val="20"/>
      <w:szCs w:val="20"/>
      <w:lang w:val="en-IE"/>
      <w14:ligatures w14:val="standardContextual"/>
    </w:rPr>
  </w:style>
  <w:style w:type="table" w:styleId="GridTable1Light-Accent4">
    <w:name w:val="Grid Table 1 Light Accent 4"/>
    <w:basedOn w:val="TableNormal"/>
    <w:uiPriority w:val="46"/>
    <w:rsid w:val="0021777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Revision">
    <w:name w:val="Revision"/>
    <w:hidden/>
    <w:uiPriority w:val="99"/>
    <w:semiHidden/>
    <w:rsid w:val="003D19B5"/>
    <w:rPr>
      <w:kern w:val="2"/>
      <w:sz w:val="22"/>
      <w:szCs w:val="22"/>
      <w:lang w:val="en-IE"/>
      <w14:ligatures w14:val="standardContextual"/>
    </w:rPr>
  </w:style>
  <w:style w:type="character" w:customStyle="1" w:styleId="Marker">
    <w:name w:val="Marker"/>
    <w:basedOn w:val="DefaultParagraphFont"/>
    <w:rsid w:val="00A666EF"/>
    <w:rPr>
      <w:color w:val="0000FF"/>
      <w:shd w:val="clear" w:color="auto" w:fill="auto"/>
    </w:rPr>
  </w:style>
  <w:style w:type="paragraph" w:customStyle="1" w:styleId="Pagedecouverture">
    <w:name w:val="Page de couverture"/>
    <w:basedOn w:val="Normal"/>
    <w:next w:val="Normal"/>
    <w:rsid w:val="00A666EF"/>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A666E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666EF"/>
    <w:rPr>
      <w:rFonts w:ascii="Times New Roman" w:hAnsi="Times New Roman" w:cs="Times New Roman"/>
      <w:kern w:val="2"/>
      <w:szCs w:val="22"/>
      <w:lang w:val="en-IE"/>
      <w14:ligatures w14:val="standardContextual"/>
    </w:rPr>
  </w:style>
  <w:style w:type="paragraph" w:customStyle="1" w:styleId="FooterSensitivity">
    <w:name w:val="Footer Sensitivity"/>
    <w:basedOn w:val="Normal"/>
    <w:link w:val="FooterSensitivityChar"/>
    <w:rsid w:val="00A666E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666EF"/>
    <w:rPr>
      <w:rFonts w:ascii="Times New Roman" w:hAnsi="Times New Roman" w:cs="Times New Roman"/>
      <w:b/>
      <w:kern w:val="2"/>
      <w:sz w:val="32"/>
      <w:szCs w:val="22"/>
      <w:lang w:val="en-IE"/>
      <w14:ligatures w14:val="standardContextual"/>
    </w:rPr>
  </w:style>
  <w:style w:type="paragraph" w:customStyle="1" w:styleId="HeaderCoverPage">
    <w:name w:val="Header Cover Page"/>
    <w:basedOn w:val="Normal"/>
    <w:link w:val="HeaderCoverPageChar"/>
    <w:rsid w:val="00A666E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666EF"/>
    <w:rPr>
      <w:rFonts w:ascii="Times New Roman" w:hAnsi="Times New Roman" w:cs="Times New Roman"/>
      <w:kern w:val="2"/>
      <w:szCs w:val="22"/>
      <w:lang w:val="en-IE"/>
      <w14:ligatures w14:val="standardContextual"/>
    </w:rPr>
  </w:style>
  <w:style w:type="paragraph" w:customStyle="1" w:styleId="HeaderSensitivity">
    <w:name w:val="Header Sensitivity"/>
    <w:basedOn w:val="Normal"/>
    <w:link w:val="HeaderSensitivityChar"/>
    <w:rsid w:val="00A666E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666EF"/>
    <w:rPr>
      <w:rFonts w:ascii="Times New Roman" w:hAnsi="Times New Roman" w:cs="Times New Roman"/>
      <w:b/>
      <w:kern w:val="2"/>
      <w:sz w:val="32"/>
      <w:szCs w:val="22"/>
      <w:lang w:val="en-IE"/>
      <w14:ligatures w14:val="standardContextual"/>
    </w:rPr>
  </w:style>
  <w:style w:type="paragraph" w:customStyle="1" w:styleId="HeaderSensitivityRight">
    <w:name w:val="Header Sensitivity Right"/>
    <w:basedOn w:val="Normal"/>
    <w:link w:val="HeaderSensitivityRightChar"/>
    <w:rsid w:val="00A666E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666EF"/>
    <w:rPr>
      <w:rFonts w:ascii="Times New Roman" w:hAnsi="Times New Roman" w:cs="Times New Roman"/>
      <w:kern w:val="2"/>
      <w:sz w:val="28"/>
      <w:szCs w:val="22"/>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1589">
      <w:bodyDiv w:val="1"/>
      <w:marLeft w:val="0"/>
      <w:marRight w:val="0"/>
      <w:marTop w:val="0"/>
      <w:marBottom w:val="0"/>
      <w:divBdr>
        <w:top w:val="none" w:sz="0" w:space="0" w:color="auto"/>
        <w:left w:val="none" w:sz="0" w:space="0" w:color="auto"/>
        <w:bottom w:val="none" w:sz="0" w:space="0" w:color="auto"/>
        <w:right w:val="none" w:sz="0" w:space="0" w:color="auto"/>
      </w:divBdr>
    </w:div>
    <w:div w:id="70398518">
      <w:bodyDiv w:val="1"/>
      <w:marLeft w:val="0"/>
      <w:marRight w:val="0"/>
      <w:marTop w:val="0"/>
      <w:marBottom w:val="0"/>
      <w:divBdr>
        <w:top w:val="none" w:sz="0" w:space="0" w:color="auto"/>
        <w:left w:val="none" w:sz="0" w:space="0" w:color="auto"/>
        <w:bottom w:val="none" w:sz="0" w:space="0" w:color="auto"/>
        <w:right w:val="none" w:sz="0" w:space="0" w:color="auto"/>
      </w:divBdr>
    </w:div>
    <w:div w:id="75440719">
      <w:bodyDiv w:val="1"/>
      <w:marLeft w:val="0"/>
      <w:marRight w:val="0"/>
      <w:marTop w:val="0"/>
      <w:marBottom w:val="0"/>
      <w:divBdr>
        <w:top w:val="none" w:sz="0" w:space="0" w:color="auto"/>
        <w:left w:val="none" w:sz="0" w:space="0" w:color="auto"/>
        <w:bottom w:val="none" w:sz="0" w:space="0" w:color="auto"/>
        <w:right w:val="none" w:sz="0" w:space="0" w:color="auto"/>
      </w:divBdr>
    </w:div>
    <w:div w:id="125585637">
      <w:bodyDiv w:val="1"/>
      <w:marLeft w:val="0"/>
      <w:marRight w:val="0"/>
      <w:marTop w:val="0"/>
      <w:marBottom w:val="0"/>
      <w:divBdr>
        <w:top w:val="none" w:sz="0" w:space="0" w:color="auto"/>
        <w:left w:val="none" w:sz="0" w:space="0" w:color="auto"/>
        <w:bottom w:val="none" w:sz="0" w:space="0" w:color="auto"/>
        <w:right w:val="none" w:sz="0" w:space="0" w:color="auto"/>
      </w:divBdr>
    </w:div>
    <w:div w:id="166290927">
      <w:bodyDiv w:val="1"/>
      <w:marLeft w:val="0"/>
      <w:marRight w:val="0"/>
      <w:marTop w:val="0"/>
      <w:marBottom w:val="0"/>
      <w:divBdr>
        <w:top w:val="none" w:sz="0" w:space="0" w:color="auto"/>
        <w:left w:val="none" w:sz="0" w:space="0" w:color="auto"/>
        <w:bottom w:val="none" w:sz="0" w:space="0" w:color="auto"/>
        <w:right w:val="none" w:sz="0" w:space="0" w:color="auto"/>
      </w:divBdr>
    </w:div>
    <w:div w:id="199169341">
      <w:bodyDiv w:val="1"/>
      <w:marLeft w:val="0"/>
      <w:marRight w:val="0"/>
      <w:marTop w:val="0"/>
      <w:marBottom w:val="0"/>
      <w:divBdr>
        <w:top w:val="none" w:sz="0" w:space="0" w:color="auto"/>
        <w:left w:val="none" w:sz="0" w:space="0" w:color="auto"/>
        <w:bottom w:val="none" w:sz="0" w:space="0" w:color="auto"/>
        <w:right w:val="none" w:sz="0" w:space="0" w:color="auto"/>
      </w:divBdr>
    </w:div>
    <w:div w:id="203755109">
      <w:bodyDiv w:val="1"/>
      <w:marLeft w:val="0"/>
      <w:marRight w:val="0"/>
      <w:marTop w:val="0"/>
      <w:marBottom w:val="0"/>
      <w:divBdr>
        <w:top w:val="none" w:sz="0" w:space="0" w:color="auto"/>
        <w:left w:val="none" w:sz="0" w:space="0" w:color="auto"/>
        <w:bottom w:val="none" w:sz="0" w:space="0" w:color="auto"/>
        <w:right w:val="none" w:sz="0" w:space="0" w:color="auto"/>
      </w:divBdr>
    </w:div>
    <w:div w:id="238642435">
      <w:bodyDiv w:val="1"/>
      <w:marLeft w:val="0"/>
      <w:marRight w:val="0"/>
      <w:marTop w:val="0"/>
      <w:marBottom w:val="0"/>
      <w:divBdr>
        <w:top w:val="none" w:sz="0" w:space="0" w:color="auto"/>
        <w:left w:val="none" w:sz="0" w:space="0" w:color="auto"/>
        <w:bottom w:val="none" w:sz="0" w:space="0" w:color="auto"/>
        <w:right w:val="none" w:sz="0" w:space="0" w:color="auto"/>
      </w:divBdr>
    </w:div>
    <w:div w:id="257099610">
      <w:bodyDiv w:val="1"/>
      <w:marLeft w:val="0"/>
      <w:marRight w:val="0"/>
      <w:marTop w:val="0"/>
      <w:marBottom w:val="0"/>
      <w:divBdr>
        <w:top w:val="none" w:sz="0" w:space="0" w:color="auto"/>
        <w:left w:val="none" w:sz="0" w:space="0" w:color="auto"/>
        <w:bottom w:val="none" w:sz="0" w:space="0" w:color="auto"/>
        <w:right w:val="none" w:sz="0" w:space="0" w:color="auto"/>
      </w:divBdr>
    </w:div>
    <w:div w:id="293104915">
      <w:bodyDiv w:val="1"/>
      <w:marLeft w:val="0"/>
      <w:marRight w:val="0"/>
      <w:marTop w:val="0"/>
      <w:marBottom w:val="0"/>
      <w:divBdr>
        <w:top w:val="none" w:sz="0" w:space="0" w:color="auto"/>
        <w:left w:val="none" w:sz="0" w:space="0" w:color="auto"/>
        <w:bottom w:val="none" w:sz="0" w:space="0" w:color="auto"/>
        <w:right w:val="none" w:sz="0" w:space="0" w:color="auto"/>
      </w:divBdr>
    </w:div>
    <w:div w:id="297498310">
      <w:bodyDiv w:val="1"/>
      <w:marLeft w:val="0"/>
      <w:marRight w:val="0"/>
      <w:marTop w:val="0"/>
      <w:marBottom w:val="0"/>
      <w:divBdr>
        <w:top w:val="none" w:sz="0" w:space="0" w:color="auto"/>
        <w:left w:val="none" w:sz="0" w:space="0" w:color="auto"/>
        <w:bottom w:val="none" w:sz="0" w:space="0" w:color="auto"/>
        <w:right w:val="none" w:sz="0" w:space="0" w:color="auto"/>
      </w:divBdr>
    </w:div>
    <w:div w:id="306980049">
      <w:bodyDiv w:val="1"/>
      <w:marLeft w:val="0"/>
      <w:marRight w:val="0"/>
      <w:marTop w:val="0"/>
      <w:marBottom w:val="0"/>
      <w:divBdr>
        <w:top w:val="none" w:sz="0" w:space="0" w:color="auto"/>
        <w:left w:val="none" w:sz="0" w:space="0" w:color="auto"/>
        <w:bottom w:val="none" w:sz="0" w:space="0" w:color="auto"/>
        <w:right w:val="none" w:sz="0" w:space="0" w:color="auto"/>
      </w:divBdr>
    </w:div>
    <w:div w:id="308020232">
      <w:bodyDiv w:val="1"/>
      <w:marLeft w:val="0"/>
      <w:marRight w:val="0"/>
      <w:marTop w:val="0"/>
      <w:marBottom w:val="0"/>
      <w:divBdr>
        <w:top w:val="none" w:sz="0" w:space="0" w:color="auto"/>
        <w:left w:val="none" w:sz="0" w:space="0" w:color="auto"/>
        <w:bottom w:val="none" w:sz="0" w:space="0" w:color="auto"/>
        <w:right w:val="none" w:sz="0" w:space="0" w:color="auto"/>
      </w:divBdr>
    </w:div>
    <w:div w:id="357049084">
      <w:bodyDiv w:val="1"/>
      <w:marLeft w:val="0"/>
      <w:marRight w:val="0"/>
      <w:marTop w:val="0"/>
      <w:marBottom w:val="0"/>
      <w:divBdr>
        <w:top w:val="none" w:sz="0" w:space="0" w:color="auto"/>
        <w:left w:val="none" w:sz="0" w:space="0" w:color="auto"/>
        <w:bottom w:val="none" w:sz="0" w:space="0" w:color="auto"/>
        <w:right w:val="none" w:sz="0" w:space="0" w:color="auto"/>
      </w:divBdr>
    </w:div>
    <w:div w:id="366494035">
      <w:bodyDiv w:val="1"/>
      <w:marLeft w:val="0"/>
      <w:marRight w:val="0"/>
      <w:marTop w:val="0"/>
      <w:marBottom w:val="0"/>
      <w:divBdr>
        <w:top w:val="none" w:sz="0" w:space="0" w:color="auto"/>
        <w:left w:val="none" w:sz="0" w:space="0" w:color="auto"/>
        <w:bottom w:val="none" w:sz="0" w:space="0" w:color="auto"/>
        <w:right w:val="none" w:sz="0" w:space="0" w:color="auto"/>
      </w:divBdr>
    </w:div>
    <w:div w:id="405032101">
      <w:bodyDiv w:val="1"/>
      <w:marLeft w:val="0"/>
      <w:marRight w:val="0"/>
      <w:marTop w:val="0"/>
      <w:marBottom w:val="0"/>
      <w:divBdr>
        <w:top w:val="none" w:sz="0" w:space="0" w:color="auto"/>
        <w:left w:val="none" w:sz="0" w:space="0" w:color="auto"/>
        <w:bottom w:val="none" w:sz="0" w:space="0" w:color="auto"/>
        <w:right w:val="none" w:sz="0" w:space="0" w:color="auto"/>
      </w:divBdr>
    </w:div>
    <w:div w:id="414283403">
      <w:bodyDiv w:val="1"/>
      <w:marLeft w:val="0"/>
      <w:marRight w:val="0"/>
      <w:marTop w:val="0"/>
      <w:marBottom w:val="0"/>
      <w:divBdr>
        <w:top w:val="none" w:sz="0" w:space="0" w:color="auto"/>
        <w:left w:val="none" w:sz="0" w:space="0" w:color="auto"/>
        <w:bottom w:val="none" w:sz="0" w:space="0" w:color="auto"/>
        <w:right w:val="none" w:sz="0" w:space="0" w:color="auto"/>
      </w:divBdr>
    </w:div>
    <w:div w:id="484273919">
      <w:bodyDiv w:val="1"/>
      <w:marLeft w:val="0"/>
      <w:marRight w:val="0"/>
      <w:marTop w:val="0"/>
      <w:marBottom w:val="0"/>
      <w:divBdr>
        <w:top w:val="none" w:sz="0" w:space="0" w:color="auto"/>
        <w:left w:val="none" w:sz="0" w:space="0" w:color="auto"/>
        <w:bottom w:val="none" w:sz="0" w:space="0" w:color="auto"/>
        <w:right w:val="none" w:sz="0" w:space="0" w:color="auto"/>
      </w:divBdr>
    </w:div>
    <w:div w:id="503209948">
      <w:bodyDiv w:val="1"/>
      <w:marLeft w:val="0"/>
      <w:marRight w:val="0"/>
      <w:marTop w:val="0"/>
      <w:marBottom w:val="0"/>
      <w:divBdr>
        <w:top w:val="none" w:sz="0" w:space="0" w:color="auto"/>
        <w:left w:val="none" w:sz="0" w:space="0" w:color="auto"/>
        <w:bottom w:val="none" w:sz="0" w:space="0" w:color="auto"/>
        <w:right w:val="none" w:sz="0" w:space="0" w:color="auto"/>
      </w:divBdr>
    </w:div>
    <w:div w:id="587933612">
      <w:bodyDiv w:val="1"/>
      <w:marLeft w:val="0"/>
      <w:marRight w:val="0"/>
      <w:marTop w:val="0"/>
      <w:marBottom w:val="0"/>
      <w:divBdr>
        <w:top w:val="none" w:sz="0" w:space="0" w:color="auto"/>
        <w:left w:val="none" w:sz="0" w:space="0" w:color="auto"/>
        <w:bottom w:val="none" w:sz="0" w:space="0" w:color="auto"/>
        <w:right w:val="none" w:sz="0" w:space="0" w:color="auto"/>
      </w:divBdr>
    </w:div>
    <w:div w:id="589899567">
      <w:bodyDiv w:val="1"/>
      <w:marLeft w:val="0"/>
      <w:marRight w:val="0"/>
      <w:marTop w:val="0"/>
      <w:marBottom w:val="0"/>
      <w:divBdr>
        <w:top w:val="none" w:sz="0" w:space="0" w:color="auto"/>
        <w:left w:val="none" w:sz="0" w:space="0" w:color="auto"/>
        <w:bottom w:val="none" w:sz="0" w:space="0" w:color="auto"/>
        <w:right w:val="none" w:sz="0" w:space="0" w:color="auto"/>
      </w:divBdr>
    </w:div>
    <w:div w:id="601915153">
      <w:bodyDiv w:val="1"/>
      <w:marLeft w:val="0"/>
      <w:marRight w:val="0"/>
      <w:marTop w:val="0"/>
      <w:marBottom w:val="0"/>
      <w:divBdr>
        <w:top w:val="none" w:sz="0" w:space="0" w:color="auto"/>
        <w:left w:val="none" w:sz="0" w:space="0" w:color="auto"/>
        <w:bottom w:val="none" w:sz="0" w:space="0" w:color="auto"/>
        <w:right w:val="none" w:sz="0" w:space="0" w:color="auto"/>
      </w:divBdr>
    </w:div>
    <w:div w:id="722750839">
      <w:bodyDiv w:val="1"/>
      <w:marLeft w:val="0"/>
      <w:marRight w:val="0"/>
      <w:marTop w:val="0"/>
      <w:marBottom w:val="0"/>
      <w:divBdr>
        <w:top w:val="none" w:sz="0" w:space="0" w:color="auto"/>
        <w:left w:val="none" w:sz="0" w:space="0" w:color="auto"/>
        <w:bottom w:val="none" w:sz="0" w:space="0" w:color="auto"/>
        <w:right w:val="none" w:sz="0" w:space="0" w:color="auto"/>
      </w:divBdr>
    </w:div>
    <w:div w:id="812794004">
      <w:bodyDiv w:val="1"/>
      <w:marLeft w:val="0"/>
      <w:marRight w:val="0"/>
      <w:marTop w:val="0"/>
      <w:marBottom w:val="0"/>
      <w:divBdr>
        <w:top w:val="none" w:sz="0" w:space="0" w:color="auto"/>
        <w:left w:val="none" w:sz="0" w:space="0" w:color="auto"/>
        <w:bottom w:val="none" w:sz="0" w:space="0" w:color="auto"/>
        <w:right w:val="none" w:sz="0" w:space="0" w:color="auto"/>
      </w:divBdr>
    </w:div>
    <w:div w:id="879779996">
      <w:bodyDiv w:val="1"/>
      <w:marLeft w:val="0"/>
      <w:marRight w:val="0"/>
      <w:marTop w:val="0"/>
      <w:marBottom w:val="0"/>
      <w:divBdr>
        <w:top w:val="none" w:sz="0" w:space="0" w:color="auto"/>
        <w:left w:val="none" w:sz="0" w:space="0" w:color="auto"/>
        <w:bottom w:val="none" w:sz="0" w:space="0" w:color="auto"/>
        <w:right w:val="none" w:sz="0" w:space="0" w:color="auto"/>
      </w:divBdr>
    </w:div>
    <w:div w:id="882523154">
      <w:bodyDiv w:val="1"/>
      <w:marLeft w:val="0"/>
      <w:marRight w:val="0"/>
      <w:marTop w:val="0"/>
      <w:marBottom w:val="0"/>
      <w:divBdr>
        <w:top w:val="none" w:sz="0" w:space="0" w:color="auto"/>
        <w:left w:val="none" w:sz="0" w:space="0" w:color="auto"/>
        <w:bottom w:val="none" w:sz="0" w:space="0" w:color="auto"/>
        <w:right w:val="none" w:sz="0" w:space="0" w:color="auto"/>
      </w:divBdr>
    </w:div>
    <w:div w:id="886260576">
      <w:bodyDiv w:val="1"/>
      <w:marLeft w:val="0"/>
      <w:marRight w:val="0"/>
      <w:marTop w:val="0"/>
      <w:marBottom w:val="0"/>
      <w:divBdr>
        <w:top w:val="none" w:sz="0" w:space="0" w:color="auto"/>
        <w:left w:val="none" w:sz="0" w:space="0" w:color="auto"/>
        <w:bottom w:val="none" w:sz="0" w:space="0" w:color="auto"/>
        <w:right w:val="none" w:sz="0" w:space="0" w:color="auto"/>
      </w:divBdr>
    </w:div>
    <w:div w:id="903641172">
      <w:bodyDiv w:val="1"/>
      <w:marLeft w:val="0"/>
      <w:marRight w:val="0"/>
      <w:marTop w:val="0"/>
      <w:marBottom w:val="0"/>
      <w:divBdr>
        <w:top w:val="none" w:sz="0" w:space="0" w:color="auto"/>
        <w:left w:val="none" w:sz="0" w:space="0" w:color="auto"/>
        <w:bottom w:val="none" w:sz="0" w:space="0" w:color="auto"/>
        <w:right w:val="none" w:sz="0" w:space="0" w:color="auto"/>
      </w:divBdr>
    </w:div>
    <w:div w:id="912666924">
      <w:bodyDiv w:val="1"/>
      <w:marLeft w:val="0"/>
      <w:marRight w:val="0"/>
      <w:marTop w:val="0"/>
      <w:marBottom w:val="0"/>
      <w:divBdr>
        <w:top w:val="none" w:sz="0" w:space="0" w:color="auto"/>
        <w:left w:val="none" w:sz="0" w:space="0" w:color="auto"/>
        <w:bottom w:val="none" w:sz="0" w:space="0" w:color="auto"/>
        <w:right w:val="none" w:sz="0" w:space="0" w:color="auto"/>
      </w:divBdr>
    </w:div>
    <w:div w:id="994069571">
      <w:bodyDiv w:val="1"/>
      <w:marLeft w:val="0"/>
      <w:marRight w:val="0"/>
      <w:marTop w:val="0"/>
      <w:marBottom w:val="0"/>
      <w:divBdr>
        <w:top w:val="none" w:sz="0" w:space="0" w:color="auto"/>
        <w:left w:val="none" w:sz="0" w:space="0" w:color="auto"/>
        <w:bottom w:val="none" w:sz="0" w:space="0" w:color="auto"/>
        <w:right w:val="none" w:sz="0" w:space="0" w:color="auto"/>
      </w:divBdr>
    </w:div>
    <w:div w:id="1021053352">
      <w:bodyDiv w:val="1"/>
      <w:marLeft w:val="0"/>
      <w:marRight w:val="0"/>
      <w:marTop w:val="0"/>
      <w:marBottom w:val="0"/>
      <w:divBdr>
        <w:top w:val="none" w:sz="0" w:space="0" w:color="auto"/>
        <w:left w:val="none" w:sz="0" w:space="0" w:color="auto"/>
        <w:bottom w:val="none" w:sz="0" w:space="0" w:color="auto"/>
        <w:right w:val="none" w:sz="0" w:space="0" w:color="auto"/>
      </w:divBdr>
    </w:div>
    <w:div w:id="1086540822">
      <w:bodyDiv w:val="1"/>
      <w:marLeft w:val="0"/>
      <w:marRight w:val="0"/>
      <w:marTop w:val="0"/>
      <w:marBottom w:val="0"/>
      <w:divBdr>
        <w:top w:val="none" w:sz="0" w:space="0" w:color="auto"/>
        <w:left w:val="none" w:sz="0" w:space="0" w:color="auto"/>
        <w:bottom w:val="none" w:sz="0" w:space="0" w:color="auto"/>
        <w:right w:val="none" w:sz="0" w:space="0" w:color="auto"/>
      </w:divBdr>
    </w:div>
    <w:div w:id="1109083561">
      <w:bodyDiv w:val="1"/>
      <w:marLeft w:val="0"/>
      <w:marRight w:val="0"/>
      <w:marTop w:val="0"/>
      <w:marBottom w:val="0"/>
      <w:divBdr>
        <w:top w:val="none" w:sz="0" w:space="0" w:color="auto"/>
        <w:left w:val="none" w:sz="0" w:space="0" w:color="auto"/>
        <w:bottom w:val="none" w:sz="0" w:space="0" w:color="auto"/>
        <w:right w:val="none" w:sz="0" w:space="0" w:color="auto"/>
      </w:divBdr>
    </w:div>
    <w:div w:id="1160191467">
      <w:bodyDiv w:val="1"/>
      <w:marLeft w:val="0"/>
      <w:marRight w:val="0"/>
      <w:marTop w:val="0"/>
      <w:marBottom w:val="0"/>
      <w:divBdr>
        <w:top w:val="none" w:sz="0" w:space="0" w:color="auto"/>
        <w:left w:val="none" w:sz="0" w:space="0" w:color="auto"/>
        <w:bottom w:val="none" w:sz="0" w:space="0" w:color="auto"/>
        <w:right w:val="none" w:sz="0" w:space="0" w:color="auto"/>
      </w:divBdr>
    </w:div>
    <w:div w:id="1285193223">
      <w:bodyDiv w:val="1"/>
      <w:marLeft w:val="0"/>
      <w:marRight w:val="0"/>
      <w:marTop w:val="0"/>
      <w:marBottom w:val="0"/>
      <w:divBdr>
        <w:top w:val="none" w:sz="0" w:space="0" w:color="auto"/>
        <w:left w:val="none" w:sz="0" w:space="0" w:color="auto"/>
        <w:bottom w:val="none" w:sz="0" w:space="0" w:color="auto"/>
        <w:right w:val="none" w:sz="0" w:space="0" w:color="auto"/>
      </w:divBdr>
    </w:div>
    <w:div w:id="1437141323">
      <w:bodyDiv w:val="1"/>
      <w:marLeft w:val="0"/>
      <w:marRight w:val="0"/>
      <w:marTop w:val="0"/>
      <w:marBottom w:val="0"/>
      <w:divBdr>
        <w:top w:val="none" w:sz="0" w:space="0" w:color="auto"/>
        <w:left w:val="none" w:sz="0" w:space="0" w:color="auto"/>
        <w:bottom w:val="none" w:sz="0" w:space="0" w:color="auto"/>
        <w:right w:val="none" w:sz="0" w:space="0" w:color="auto"/>
      </w:divBdr>
    </w:div>
    <w:div w:id="1654872467">
      <w:bodyDiv w:val="1"/>
      <w:marLeft w:val="0"/>
      <w:marRight w:val="0"/>
      <w:marTop w:val="0"/>
      <w:marBottom w:val="0"/>
      <w:divBdr>
        <w:top w:val="none" w:sz="0" w:space="0" w:color="auto"/>
        <w:left w:val="none" w:sz="0" w:space="0" w:color="auto"/>
        <w:bottom w:val="none" w:sz="0" w:space="0" w:color="auto"/>
        <w:right w:val="none" w:sz="0" w:space="0" w:color="auto"/>
      </w:divBdr>
    </w:div>
    <w:div w:id="1813596746">
      <w:bodyDiv w:val="1"/>
      <w:marLeft w:val="0"/>
      <w:marRight w:val="0"/>
      <w:marTop w:val="0"/>
      <w:marBottom w:val="0"/>
      <w:divBdr>
        <w:top w:val="none" w:sz="0" w:space="0" w:color="auto"/>
        <w:left w:val="none" w:sz="0" w:space="0" w:color="auto"/>
        <w:bottom w:val="none" w:sz="0" w:space="0" w:color="auto"/>
        <w:right w:val="none" w:sz="0" w:space="0" w:color="auto"/>
      </w:divBdr>
    </w:div>
    <w:div w:id="1831867928">
      <w:bodyDiv w:val="1"/>
      <w:marLeft w:val="0"/>
      <w:marRight w:val="0"/>
      <w:marTop w:val="0"/>
      <w:marBottom w:val="0"/>
      <w:divBdr>
        <w:top w:val="none" w:sz="0" w:space="0" w:color="auto"/>
        <w:left w:val="none" w:sz="0" w:space="0" w:color="auto"/>
        <w:bottom w:val="none" w:sz="0" w:space="0" w:color="auto"/>
        <w:right w:val="none" w:sz="0" w:space="0" w:color="auto"/>
      </w:divBdr>
    </w:div>
    <w:div w:id="1850874473">
      <w:bodyDiv w:val="1"/>
      <w:marLeft w:val="0"/>
      <w:marRight w:val="0"/>
      <w:marTop w:val="0"/>
      <w:marBottom w:val="0"/>
      <w:divBdr>
        <w:top w:val="none" w:sz="0" w:space="0" w:color="auto"/>
        <w:left w:val="none" w:sz="0" w:space="0" w:color="auto"/>
        <w:bottom w:val="none" w:sz="0" w:space="0" w:color="auto"/>
        <w:right w:val="none" w:sz="0" w:space="0" w:color="auto"/>
      </w:divBdr>
    </w:div>
    <w:div w:id="1890191150">
      <w:bodyDiv w:val="1"/>
      <w:marLeft w:val="0"/>
      <w:marRight w:val="0"/>
      <w:marTop w:val="0"/>
      <w:marBottom w:val="0"/>
      <w:divBdr>
        <w:top w:val="none" w:sz="0" w:space="0" w:color="auto"/>
        <w:left w:val="none" w:sz="0" w:space="0" w:color="auto"/>
        <w:bottom w:val="none" w:sz="0" w:space="0" w:color="auto"/>
        <w:right w:val="none" w:sz="0" w:space="0" w:color="auto"/>
      </w:divBdr>
    </w:div>
    <w:div w:id="1904632373">
      <w:bodyDiv w:val="1"/>
      <w:marLeft w:val="0"/>
      <w:marRight w:val="0"/>
      <w:marTop w:val="0"/>
      <w:marBottom w:val="0"/>
      <w:divBdr>
        <w:top w:val="none" w:sz="0" w:space="0" w:color="auto"/>
        <w:left w:val="none" w:sz="0" w:space="0" w:color="auto"/>
        <w:bottom w:val="none" w:sz="0" w:space="0" w:color="auto"/>
        <w:right w:val="none" w:sz="0" w:space="0" w:color="auto"/>
      </w:divBdr>
    </w:div>
    <w:div w:id="1932660215">
      <w:bodyDiv w:val="1"/>
      <w:marLeft w:val="0"/>
      <w:marRight w:val="0"/>
      <w:marTop w:val="0"/>
      <w:marBottom w:val="0"/>
      <w:divBdr>
        <w:top w:val="none" w:sz="0" w:space="0" w:color="auto"/>
        <w:left w:val="none" w:sz="0" w:space="0" w:color="auto"/>
        <w:bottom w:val="none" w:sz="0" w:space="0" w:color="auto"/>
        <w:right w:val="none" w:sz="0" w:space="0" w:color="auto"/>
      </w:divBdr>
    </w:div>
    <w:div w:id="1945840463">
      <w:bodyDiv w:val="1"/>
      <w:marLeft w:val="0"/>
      <w:marRight w:val="0"/>
      <w:marTop w:val="0"/>
      <w:marBottom w:val="0"/>
      <w:divBdr>
        <w:top w:val="none" w:sz="0" w:space="0" w:color="auto"/>
        <w:left w:val="none" w:sz="0" w:space="0" w:color="auto"/>
        <w:bottom w:val="none" w:sz="0" w:space="0" w:color="auto"/>
        <w:right w:val="none" w:sz="0" w:space="0" w:color="auto"/>
      </w:divBdr>
    </w:div>
    <w:div w:id="1956525094">
      <w:bodyDiv w:val="1"/>
      <w:marLeft w:val="0"/>
      <w:marRight w:val="0"/>
      <w:marTop w:val="0"/>
      <w:marBottom w:val="0"/>
      <w:divBdr>
        <w:top w:val="none" w:sz="0" w:space="0" w:color="auto"/>
        <w:left w:val="none" w:sz="0" w:space="0" w:color="auto"/>
        <w:bottom w:val="none" w:sz="0" w:space="0" w:color="auto"/>
        <w:right w:val="none" w:sz="0" w:space="0" w:color="auto"/>
      </w:divBdr>
    </w:div>
    <w:div w:id="2025784916">
      <w:bodyDiv w:val="1"/>
      <w:marLeft w:val="0"/>
      <w:marRight w:val="0"/>
      <w:marTop w:val="0"/>
      <w:marBottom w:val="0"/>
      <w:divBdr>
        <w:top w:val="none" w:sz="0" w:space="0" w:color="auto"/>
        <w:left w:val="none" w:sz="0" w:space="0" w:color="auto"/>
        <w:bottom w:val="none" w:sz="0" w:space="0" w:color="auto"/>
        <w:right w:val="none" w:sz="0" w:space="0" w:color="auto"/>
      </w:divBdr>
    </w:div>
    <w:div w:id="2038117792">
      <w:bodyDiv w:val="1"/>
      <w:marLeft w:val="0"/>
      <w:marRight w:val="0"/>
      <w:marTop w:val="0"/>
      <w:marBottom w:val="0"/>
      <w:divBdr>
        <w:top w:val="none" w:sz="0" w:space="0" w:color="auto"/>
        <w:left w:val="none" w:sz="0" w:space="0" w:color="auto"/>
        <w:bottom w:val="none" w:sz="0" w:space="0" w:color="auto"/>
        <w:right w:val="none" w:sz="0" w:space="0" w:color="auto"/>
      </w:divBdr>
    </w:div>
    <w:div w:id="2064862423">
      <w:bodyDiv w:val="1"/>
      <w:marLeft w:val="0"/>
      <w:marRight w:val="0"/>
      <w:marTop w:val="0"/>
      <w:marBottom w:val="0"/>
      <w:divBdr>
        <w:top w:val="none" w:sz="0" w:space="0" w:color="auto"/>
        <w:left w:val="none" w:sz="0" w:space="0" w:color="auto"/>
        <w:bottom w:val="none" w:sz="0" w:space="0" w:color="auto"/>
        <w:right w:val="none" w:sz="0" w:space="0" w:color="auto"/>
      </w:divBdr>
    </w:div>
    <w:div w:id="2120561039">
      <w:bodyDiv w:val="1"/>
      <w:marLeft w:val="0"/>
      <w:marRight w:val="0"/>
      <w:marTop w:val="0"/>
      <w:marBottom w:val="0"/>
      <w:divBdr>
        <w:top w:val="none" w:sz="0" w:space="0" w:color="auto"/>
        <w:left w:val="none" w:sz="0" w:space="0" w:color="auto"/>
        <w:bottom w:val="none" w:sz="0" w:space="0" w:color="auto"/>
        <w:right w:val="none" w:sz="0" w:space="0" w:color="auto"/>
      </w:divBdr>
    </w:div>
    <w:div w:id="2136631532">
      <w:bodyDiv w:val="1"/>
      <w:marLeft w:val="0"/>
      <w:marRight w:val="0"/>
      <w:marTop w:val="0"/>
      <w:marBottom w:val="0"/>
      <w:divBdr>
        <w:top w:val="none" w:sz="0" w:space="0" w:color="auto"/>
        <w:left w:val="none" w:sz="0" w:space="0" w:color="auto"/>
        <w:bottom w:val="none" w:sz="0" w:space="0" w:color="auto"/>
        <w:right w:val="none" w:sz="0" w:space="0" w:color="auto"/>
      </w:divBdr>
    </w:div>
    <w:div w:id="21451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igital-strategy.ec.europa.eu/en/policies/digital-princip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5" ma:contentTypeDescription="Create a new document." ma:contentTypeScope="" ma:versionID="4725968d816d366dd62feac2f1e8dbaf">
  <xsd:schema xmlns:xsd="http://www.w3.org/2001/XMLSchema" xmlns:xs="http://www.w3.org/2001/XMLSchema" xmlns:p="http://schemas.microsoft.com/office/2006/metadata/properties" xmlns:ns1="http://schemas.microsoft.com/sharepoint/v3" xmlns:ns2="1bece07b-d03c-423c-b8a0-beed4db0bbc2" xmlns:ns3="e1debc6b-b43f-4dc7-a7b0-dc87a290d3c1" targetNamespace="http://schemas.microsoft.com/office/2006/metadata/properties" ma:root="true" ma:fieldsID="8e5d79f0bc9d2a152b1baef1a12d426f" ns1:_="" ns2:_="" ns3:_="">
    <xsd:import namespace="http://schemas.microsoft.com/sharepoint/v3"/>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KDESI22April"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Year" minOccurs="0"/>
                <xsd:element ref="ns2:Ref_x002e_" minOccurs="0"/>
                <xsd:element ref="ns2:Categor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KDESI22April" ma:index="19" nillable="true" ma:displayName="DK DESI 22 April" ma:format="Dropdown" ma:internalName="DKDESI22Apr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Year" ma:index="27" nillable="true" ma:displayName="Ref.: Date/ Ares" ma:description="Requested/ initiated in the system" ma:format="Dropdown" ma:internalName="Year">
      <xsd:simpleType>
        <xsd:restriction base="dms:Text">
          <xsd:maxLength value="255"/>
        </xsd:restriction>
      </xsd:simpleType>
    </xsd:element>
    <xsd:element name="Ref_x002e_" ma:index="28" nillable="true" ma:displayName="Keywords" ma:default="Council" ma:format="Dropdown" ma:internalName="Ref_x002e_">
      <xsd:simpleType>
        <xsd:restriction base="dms:Text">
          <xsd:maxLength value="255"/>
        </xsd:restriction>
      </xsd:simpleType>
    </xsd:element>
    <xsd:element name="Category" ma:index="29" nillable="true" ma:displayName="Category" ma:format="Dropdown" ma:internalName="Category">
      <xsd:simpleType>
        <xsd:restriction base="dms:Choice">
          <xsd:enumeration value="Logistics"/>
          <xsd:enumeration value="Invitation"/>
          <xsd:enumeration value="Follow-up"/>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7fcd7-210e-4af6-a994-0c88156f1b4b}"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KDESI22April xmlns="1bece07b-d03c-423c-b8a0-beed4db0bbc2" xsi:nil="true"/>
    <_ip_UnifiedCompliancePolicyUIAction xmlns="http://schemas.microsoft.com/sharepoint/v3" xsi:nil="true"/>
    <TaxCatchAll xmlns="e1debc6b-b43f-4dc7-a7b0-dc87a290d3c1" xsi:nil="true"/>
    <Ref_x002e_ xmlns="1bece07b-d03c-423c-b8a0-beed4db0bbc2">Council</Ref_x002e_>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Year xmlns="1bece07b-d03c-423c-b8a0-beed4db0bbc2" xsi:nil="true"/>
    <Category xmlns="1bece07b-d03c-423c-b8a0-beed4db0bb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58C9-6925-4D1D-8E83-955883468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2D427-BE52-4275-9C9B-614446F8B136}">
  <ds:schemaRefs>
    <ds:schemaRef ds:uri="http://schemas.microsoft.com/sharepoint/v3/contenttype/forms"/>
  </ds:schemaRefs>
</ds:datastoreItem>
</file>

<file path=customXml/itemProps3.xml><?xml version="1.0" encoding="utf-8"?>
<ds:datastoreItem xmlns:ds="http://schemas.openxmlformats.org/officeDocument/2006/customXml" ds:itemID="{8FD43260-02D6-4AF7-911A-6565FAF56876}">
  <ds:schemaRefs>
    <ds:schemaRef ds:uri="1bece07b-d03c-423c-b8a0-beed4db0bbc2"/>
    <ds:schemaRef ds:uri="http://www.w3.org/XML/1998/namespace"/>
    <ds:schemaRef ds:uri="http://schemas.microsoft.com/office/2006/documentManagement/types"/>
    <ds:schemaRef ds:uri="http://purl.org/dc/terms/"/>
    <ds:schemaRef ds:uri="e1debc6b-b43f-4dc7-a7b0-dc87a290d3c1"/>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378F1036-AE75-48F7-B87B-04C848C0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1531</Words>
  <Characters>8733</Characters>
  <Application>Microsoft Office Word</Application>
  <DocSecurity>0</DocSecurity>
  <Lines>72</Lines>
  <Paragraphs>20</Paragraphs>
  <ScaleCrop>false</ScaleCrop>
  <Manager/>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cp:revision>
  <cp:lastPrinted>2024-09-22T02:51:00Z</cp:lastPrinted>
  <dcterms:created xsi:type="dcterms:W3CDTF">2025-06-06T14:48:00Z</dcterms:created>
  <dcterms:modified xsi:type="dcterms:W3CDTF">2025-06-15T09:22:00Z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2024-06-10T15:50:03Z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4b9aaad4-1ec6-4aca-a557-21d81067217c</vt:lpwstr>
  </property>
  <property fmtid="{D5CDD505-2E9C-101B-9397-08002B2CF9AE}" pid="8" name="MSIP_Label_6bd9ddd1-4d20-43f6-abfa-fc3c07406f94_ContentBits">
    <vt:lpwstr>0</vt:lpwstr>
  </property>
  <property fmtid="{D5CDD505-2E9C-101B-9397-08002B2CF9AE}" pid="9" name="ContentTypeId">
    <vt:lpwstr>0x010100263B1F5D7841074CBE2E963D24797DAD</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First annex">
    <vt:lpwstr>20</vt:lpwstr>
  </property>
  <property fmtid="{D5CDD505-2E9C-101B-9397-08002B2CF9AE}" pid="13" name="Last annex">
    <vt:lpwstr>20</vt:lpwstr>
  </property>
  <property fmtid="{D5CDD505-2E9C-101B-9397-08002B2CF9AE}" pid="14" name="Unique annex">
    <vt:lpwstr>0</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CP-039</vt:lpwstr>
  </property>
  <property fmtid="{D5CDD505-2E9C-101B-9397-08002B2CF9AE}" pid="19" name="Last edited using">
    <vt:lpwstr>LW 9.1, Build 20240808</vt:lpwstr>
  </property>
  <property fmtid="{D5CDD505-2E9C-101B-9397-08002B2CF9AE}" pid="20" name="Created using">
    <vt:lpwstr>LW 9.1, Build 20240808</vt:lpwstr>
  </property>
</Properties>
</file>