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A77" w:rsidRPr="00253C15" w:rsidRDefault="006F53F5" w:rsidP="006F53F5">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4353BB18-9E4E-4B84-B1D1-8CADD9475092" style="width:455.25pt;height:369.75pt">
            <v:imagedata r:id="rId11" o:title=""/>
          </v:shape>
        </w:pict>
      </w:r>
    </w:p>
    <w:p w:rsidR="00201A77" w:rsidRPr="00253C15" w:rsidRDefault="00201A77" w:rsidP="00201A77">
      <w:pPr>
        <w:rPr>
          <w:noProof/>
        </w:rPr>
        <w:sectPr w:rsidR="00201A77" w:rsidRPr="00253C15" w:rsidSect="006F53F5">
          <w:footerReference w:type="even" r:id="rId12"/>
          <w:footerReference w:type="default" r:id="rId13"/>
          <w:pgSz w:w="11907" w:h="16839"/>
          <w:pgMar w:top="1134" w:right="1417" w:bottom="1134" w:left="1417" w:header="709" w:footer="709" w:gutter="0"/>
          <w:pgNumType w:start="0"/>
          <w:cols w:space="720"/>
          <w:docGrid w:linePitch="360"/>
        </w:sectPr>
      </w:pPr>
    </w:p>
    <w:p w:rsidR="00201A77" w:rsidRPr="00253C15" w:rsidRDefault="00201A77">
      <w:pPr>
        <w:pStyle w:val="Exposdesmotifstitre"/>
        <w:rPr>
          <w:noProof/>
        </w:rPr>
      </w:pPr>
      <w:bookmarkStart w:id="0" w:name="_GoBack"/>
      <w:bookmarkEnd w:id="0"/>
      <w:r w:rsidRPr="00253C15">
        <w:rPr>
          <w:noProof/>
        </w:rPr>
        <w:lastRenderedPageBreak/>
        <w:t>BEGRÜNDUNG</w:t>
      </w:r>
    </w:p>
    <w:p w:rsidR="00693ED0" w:rsidRPr="00253C15" w:rsidRDefault="00693ED0" w:rsidP="00693ED0">
      <w:pPr>
        <w:pStyle w:val="ManualHeading1"/>
        <w:rPr>
          <w:noProof/>
        </w:rPr>
      </w:pPr>
      <w:r w:rsidRPr="00253C15">
        <w:rPr>
          <w:noProof/>
        </w:rPr>
        <w:t>KONTEXT DES VORSCHLAGS</w:t>
      </w:r>
    </w:p>
    <w:p w:rsidR="00693ED0" w:rsidRPr="00253C15" w:rsidRDefault="00693ED0" w:rsidP="00693ED0">
      <w:pPr>
        <w:pStyle w:val="ManualHeading2"/>
        <w:rPr>
          <w:rFonts w:eastAsia="Arial Unicode MS"/>
          <w:noProof/>
        </w:rPr>
      </w:pPr>
      <w:r w:rsidRPr="00253C15">
        <w:rPr>
          <w:noProof/>
          <w:color w:val="000000"/>
          <w:bdr w:val="nil"/>
        </w:rPr>
        <w:t>•</w:t>
      </w:r>
      <w:r w:rsidRPr="00253C15">
        <w:rPr>
          <w:noProof/>
        </w:rPr>
        <w:tab/>
        <w:t>Kontext und Gründe für den Vorschlag</w:t>
      </w:r>
    </w:p>
    <w:p w:rsidR="00AF69A8" w:rsidRPr="00253C15" w:rsidRDefault="00AF69A8" w:rsidP="00AF69A8">
      <w:pPr>
        <w:rPr>
          <w:noProof/>
        </w:rPr>
      </w:pPr>
      <w:r w:rsidRPr="00253C15">
        <w:rPr>
          <w:noProof/>
        </w:rPr>
        <w:t xml:space="preserve">Gemäß Artikel 77 der Asylverfahrensverordnung (EU) 2024/1348 muss die Kommission bis zum 12. Juni 2025 das Konzept des sicheren Drittstaats überprüfen und gegebenenfalls gezielte Änderungen vorschlagen. Auf dieser Grundlage hat die Kommission eine ganzheitliche Überprüfung des Konzepts des sicheren Drittstaats durchgeführt. </w:t>
      </w:r>
    </w:p>
    <w:p w:rsidR="00807F41" w:rsidRPr="00253C15" w:rsidRDefault="00AF69A8" w:rsidP="00AF69A8">
      <w:pPr>
        <w:rPr>
          <w:noProof/>
        </w:rPr>
      </w:pPr>
      <w:r w:rsidRPr="00253C15">
        <w:rPr>
          <w:noProof/>
        </w:rPr>
        <w:t>In diesem Zusammenhang prüfte die Kommission, ob das Völkerrecht (die Genfer Konvention von 1951 und die Europäische Menschenrechtskonvention von 1950) und das Primärrecht der EU, einschließlich der Charta der Grundrechte der Europäischen Union, weitere Überarbeitungen der Bedingungen für die Anwendung des Konzepts des sicheren Drittstaats und seiner rechtlichen Garantien zulassen, um diese Anwendung durch die Mitgliedstaaten weiter zu erleichtern. Die Kommission berücksichtigte dabei auch die Erfahrungen und Herausforderungen der Mitgliedstaaten bei der Anwendung des Konzepts des sicheren Drittstaats, wie sie in verschiedenen Foren zum Ausdruck gebracht wurden, und bewertete, ob diese Probleme mit den im Rahmen der Asylverfahrensverordnung eingeführten Änderungen bereits gelöst wurden oder ob noch Lücken bestehen. Und schließlich analysierte die Kommission die einschlägige Rechtsprechung des Gerichtshofs der Europäischen Union (im Folgenden „EuGH“) und des Europäischen Gerichtshofs für Menschenrechte (im Folgenden „EGMR“).</w:t>
      </w:r>
    </w:p>
    <w:p w:rsidR="005D4B74" w:rsidRPr="00253C15" w:rsidRDefault="00693ED0" w:rsidP="00693ED0">
      <w:pPr>
        <w:rPr>
          <w:noProof/>
        </w:rPr>
      </w:pPr>
      <w:r w:rsidRPr="00253C15">
        <w:rPr>
          <w:noProof/>
        </w:rPr>
        <w:t>Das Konzept des sicheren Drittstaats, das derzeit in Artikel 33 Absatz 2 Buchstabe c der Asylverfahrensrichtlinie 2013/32/EU</w:t>
      </w:r>
      <w:r w:rsidRPr="00253C15">
        <w:rPr>
          <w:rStyle w:val="FootnoteReference"/>
          <w:noProof/>
        </w:rPr>
        <w:footnoteReference w:id="2"/>
      </w:r>
      <w:r w:rsidRPr="00253C15">
        <w:rPr>
          <w:noProof/>
        </w:rPr>
        <w:t xml:space="preserve"> geregelt ist, wurde im Rahmen des im Mai 2024 angenommenen Migrations- und Asylpakets überarbeitet. </w:t>
      </w:r>
    </w:p>
    <w:p w:rsidR="005D4B74" w:rsidRPr="00253C15" w:rsidRDefault="00E8698A" w:rsidP="00693ED0">
      <w:pPr>
        <w:rPr>
          <w:noProof/>
        </w:rPr>
      </w:pPr>
      <w:r w:rsidRPr="00253C15">
        <w:rPr>
          <w:noProof/>
        </w:rPr>
        <w:t xml:space="preserve">Bei der Anwendung des Konzepts des „sicheren Drittstaats“ können die Mitgliedstaaten Asylanträge als unzulässig ablehnen, ohne zu prüfen, ob die betroffenen Personen die Voraussetzungen für die Gewährung von Schutz in der EU erfüllen. Das Konzept des sicheren Drittstaats kann im Rahmen des Grenzverfahrens angewandt werden. </w:t>
      </w:r>
    </w:p>
    <w:p w:rsidR="00693ED0" w:rsidRPr="00253C15" w:rsidRDefault="005D4B74" w:rsidP="00693ED0">
      <w:pPr>
        <w:rPr>
          <w:noProof/>
        </w:rPr>
      </w:pPr>
      <w:r w:rsidRPr="00253C15">
        <w:rPr>
          <w:noProof/>
        </w:rPr>
        <w:t>Mit der Asylverfahrensverordnung (EU) 2024/1348</w:t>
      </w:r>
      <w:r w:rsidRPr="00253C15">
        <w:rPr>
          <w:rStyle w:val="FootnoteReference"/>
          <w:noProof/>
        </w:rPr>
        <w:footnoteReference w:id="3"/>
      </w:r>
      <w:r w:rsidRPr="00253C15">
        <w:rPr>
          <w:noProof/>
        </w:rPr>
        <w:t xml:space="preserve"> wurden mehrere Änderungen der Vorschriften zu sicheren Drittstaaten eingeführt, um eine breitere und flexiblere Anwendbarkeit des Konzepts des sicheren Drittstaats zu ermöglichen. Die Änderungen umfassen: </w:t>
      </w:r>
    </w:p>
    <w:p w:rsidR="00693ED0" w:rsidRPr="00253C15" w:rsidRDefault="00693ED0" w:rsidP="00485AF7">
      <w:pPr>
        <w:pStyle w:val="Tiret0"/>
        <w:numPr>
          <w:ilvl w:val="0"/>
          <w:numId w:val="17"/>
        </w:numPr>
        <w:rPr>
          <w:noProof/>
        </w:rPr>
      </w:pPr>
      <w:r w:rsidRPr="00253C15">
        <w:rPr>
          <w:noProof/>
        </w:rPr>
        <w:t>die Ausweitung der Kriterien, nach denen ein Drittstaat als „sicher“ eingestuft werden kann, insbesondere die Möglichkeit, auch solche Länder, die nicht Vertragsparteien der Genfer Konvention sind, als sichere Drittstaaten zu benennen, sofern sie einen „wirksamen Schutz“</w:t>
      </w:r>
      <w:r w:rsidRPr="00253C15">
        <w:rPr>
          <w:rStyle w:val="FootnoteReference"/>
          <w:noProof/>
        </w:rPr>
        <w:footnoteReference w:id="4"/>
      </w:r>
      <w:r w:rsidRPr="00253C15">
        <w:rPr>
          <w:noProof/>
        </w:rPr>
        <w:t xml:space="preserve"> bieten können; </w:t>
      </w:r>
    </w:p>
    <w:p w:rsidR="00693ED0" w:rsidRPr="00253C15" w:rsidRDefault="00693ED0" w:rsidP="00693ED0">
      <w:pPr>
        <w:pStyle w:val="Tiret0"/>
        <w:rPr>
          <w:noProof/>
        </w:rPr>
      </w:pPr>
      <w:r w:rsidRPr="00253C15">
        <w:rPr>
          <w:noProof/>
        </w:rPr>
        <w:t>einen ausdrücklichen Verweis auf familiäre Bindungen und den Aufenthalt im Drittstaat als mögliche Anhaltspunkte für eine Verbindung (Erwägungsgrund 48 der Asylverfahrensverordnung);</w:t>
      </w:r>
    </w:p>
    <w:p w:rsidR="00693ED0" w:rsidRPr="00253C15" w:rsidRDefault="00693ED0" w:rsidP="00693ED0">
      <w:pPr>
        <w:pStyle w:val="Tiret0"/>
        <w:rPr>
          <w:noProof/>
        </w:rPr>
      </w:pPr>
      <w:r w:rsidRPr="00253C15">
        <w:rPr>
          <w:noProof/>
        </w:rPr>
        <w:t>die Möglichkeit, einen Drittstaat unter Ausnahme bestimmter Teile seines Hoheitsgebiets oder eindeutig identifizierbarer Personengruppen als „sicher“ zu benennen (Erwägungsgrund 46 und Artikel 59 Absatz 2 der Asylverfahrensverordnung);</w:t>
      </w:r>
    </w:p>
    <w:p w:rsidR="00693ED0" w:rsidRPr="00253C15" w:rsidRDefault="00693ED0" w:rsidP="00693ED0">
      <w:pPr>
        <w:pStyle w:val="Tiret0"/>
        <w:rPr>
          <w:noProof/>
        </w:rPr>
      </w:pPr>
      <w:r w:rsidRPr="00253C15">
        <w:rPr>
          <w:noProof/>
        </w:rPr>
        <w:t>die Einführung einer Sicherheitsvermutung für Drittstaaten, mit denen die EU eine Übereinkunft hinsichtlich sicherer Drittstaaten gemäß Artikel 218 AEUV geschlossen hat (Artikel 59 Absatz 7 der Asylverfahrensverordnung);</w:t>
      </w:r>
    </w:p>
    <w:p w:rsidR="004C7BE1" w:rsidRPr="00253C15" w:rsidRDefault="00693ED0" w:rsidP="004C7BE1">
      <w:pPr>
        <w:pStyle w:val="Tiret0"/>
        <w:rPr>
          <w:noProof/>
        </w:rPr>
      </w:pPr>
      <w:r w:rsidRPr="00253C15">
        <w:rPr>
          <w:noProof/>
        </w:rPr>
        <w:t>die Einführung der Möglichkeit, gemeinsame Listen der auf EU-Ebene benannten sicheren Drittstaaten anzunehmen, ohne die Möglichkeit für die Mitgliedstaaten auszuschließen, zusätzliche sichere Drittstaaten auf nationaler Ebene zu benennen (Erwägungsgrund 81 sowie Artikel 60, 63 und 64 der Asylverfahrensverordnung).</w:t>
      </w:r>
    </w:p>
    <w:p w:rsidR="005D4B74" w:rsidRPr="00253C15" w:rsidRDefault="005D4B74" w:rsidP="004C7BE1">
      <w:pPr>
        <w:rPr>
          <w:noProof/>
        </w:rPr>
      </w:pPr>
      <w:r w:rsidRPr="00253C15">
        <w:rPr>
          <w:noProof/>
        </w:rPr>
        <w:t>Die neuen Bestimmungen gelten ab Juni 2026. In Bezug auf Artikel 59 Absatz 2 der Asylverfahrensverordnung, in dem es um die Möglichkeit geht, einen Drittstaat mit territorialen und/oder kategoriespezifischen Ausnahmen als „sicher“ einzustufen, hat die Kommission kürzlich vorgeschlagen, die Anwendung vorzuziehen</w:t>
      </w:r>
      <w:r w:rsidRPr="00253C15">
        <w:rPr>
          <w:rStyle w:val="FootnoteReference"/>
          <w:noProof/>
        </w:rPr>
        <w:footnoteReference w:id="5"/>
      </w:r>
      <w:r w:rsidRPr="00253C15">
        <w:rPr>
          <w:noProof/>
        </w:rPr>
        <w:t xml:space="preserve">. </w:t>
      </w:r>
    </w:p>
    <w:p w:rsidR="004C7BE1" w:rsidRPr="00253C15" w:rsidRDefault="003E5D9E" w:rsidP="004C7BE1">
      <w:pPr>
        <w:rPr>
          <w:noProof/>
        </w:rPr>
      </w:pPr>
      <w:r w:rsidRPr="00253C15">
        <w:rPr>
          <w:noProof/>
        </w:rPr>
        <w:t xml:space="preserve">Das Europäische Parlament und der Rat vertraten die Auffassung, dass weitere legislative Änderungen erforderlich sein könnten, noch bevor die Asylverfahrensverordnung in Kraft tritt. Folglich ist die Kommission gemäß Artikel 77 der </w:t>
      </w:r>
      <w:bookmarkStart w:id="1" w:name="_Hlk190544825"/>
      <w:r w:rsidRPr="00253C15">
        <w:rPr>
          <w:noProof/>
        </w:rPr>
        <w:t>Asylverfahrensverordnung</w:t>
      </w:r>
      <w:bookmarkEnd w:id="1"/>
      <w:r w:rsidRPr="00253C15">
        <w:rPr>
          <w:noProof/>
        </w:rPr>
        <w:t xml:space="preserve"> verpflichtet, das Konzept des sicheren Drittstaats bis zum 12. Juni 2025 zu überprüfen und gegebenenfalls gezielte Änderungen vorzuschlagen.</w:t>
      </w:r>
    </w:p>
    <w:p w:rsidR="00693ED0" w:rsidRPr="00253C15" w:rsidRDefault="00693ED0" w:rsidP="00693ED0">
      <w:pPr>
        <w:pStyle w:val="ManualHeading2"/>
        <w:rPr>
          <w:noProof/>
          <w:color w:val="000000"/>
          <w:bdr w:val="nil"/>
        </w:rPr>
      </w:pPr>
      <w:r w:rsidRPr="00253C15">
        <w:rPr>
          <w:noProof/>
          <w:color w:val="000000"/>
          <w:bdr w:val="nil"/>
        </w:rPr>
        <w:t>•</w:t>
      </w:r>
      <w:r w:rsidRPr="00253C15">
        <w:rPr>
          <w:noProof/>
        </w:rPr>
        <w:tab/>
        <w:t>Überprüfung des Konzepts des sicheren Drittstaats</w:t>
      </w:r>
    </w:p>
    <w:p w:rsidR="005C3255" w:rsidRPr="00253C15" w:rsidRDefault="005C3255" w:rsidP="005C3255">
      <w:pPr>
        <w:rPr>
          <w:bCs/>
          <w:noProof/>
        </w:rPr>
      </w:pPr>
      <w:r w:rsidRPr="00253C15">
        <w:rPr>
          <w:noProof/>
        </w:rPr>
        <w:t>Die Kommission hat im Einklang mit der Verpflichtung aus Artikel 77 der Asylverfahrensverordnung bei der Überprüfung einen ganzheitlichen Ansatz verfolgt</w:t>
      </w:r>
      <w:r w:rsidRPr="00253C15">
        <w:rPr>
          <w:rStyle w:val="FootnoteReference"/>
          <w:bCs/>
          <w:noProof/>
        </w:rPr>
        <w:footnoteReference w:id="6"/>
      </w:r>
      <w:r w:rsidRPr="00253C15">
        <w:rPr>
          <w:noProof/>
        </w:rPr>
        <w:t xml:space="preserve">. </w:t>
      </w:r>
    </w:p>
    <w:p w:rsidR="005C3255" w:rsidRPr="00253C15" w:rsidRDefault="005C3255" w:rsidP="005C3255">
      <w:pPr>
        <w:rPr>
          <w:noProof/>
        </w:rPr>
      </w:pPr>
      <w:r w:rsidRPr="00253C15">
        <w:rPr>
          <w:noProof/>
        </w:rPr>
        <w:t xml:space="preserve">Während dieser Überprüfung betrachtete die Kommission die Elemente im Zusammenhang mit dem Konzept des sicheren Drittstaats und seiner Anwendung im Rahmen der Asylverfahrensverordnung, darunter: </w:t>
      </w:r>
    </w:p>
    <w:p w:rsidR="005C3255" w:rsidRPr="00253C15" w:rsidRDefault="00C31355" w:rsidP="00C31355">
      <w:pPr>
        <w:pStyle w:val="Point0"/>
        <w:rPr>
          <w:noProof/>
        </w:rPr>
      </w:pPr>
      <w:r>
        <w:rPr>
          <w:noProof/>
        </w:rPr>
        <w:t>1)</w:t>
      </w:r>
      <w:r w:rsidRPr="00C31355">
        <w:rPr>
          <w:noProof/>
        </w:rPr>
        <w:tab/>
      </w:r>
      <w:r w:rsidR="005C3255" w:rsidRPr="00253C15">
        <w:rPr>
          <w:noProof/>
        </w:rPr>
        <w:t xml:space="preserve">die Voraussetzungen, die ein Drittstaat erfüllen muss, um als </w:t>
      </w:r>
      <w:r w:rsidR="005C3255" w:rsidRPr="00253C15">
        <w:rPr>
          <w:b/>
          <w:noProof/>
        </w:rPr>
        <w:t>„sicher“</w:t>
      </w:r>
      <w:r w:rsidR="005C3255" w:rsidRPr="00253C15">
        <w:rPr>
          <w:noProof/>
        </w:rPr>
        <w:t xml:space="preserve"> im Sinne von Artikel 59 der Asylverfahrensverordnung zu gelten. </w:t>
      </w:r>
      <w:bookmarkStart w:id="2" w:name="_Int_nwHjy98B"/>
      <w:r w:rsidR="005C3255" w:rsidRPr="00253C15">
        <w:rPr>
          <w:noProof/>
        </w:rPr>
        <w:t>Im Wesentlichen sollte</w:t>
      </w:r>
      <w:bookmarkEnd w:id="2"/>
      <w:r w:rsidR="005C3255" w:rsidRPr="00253C15">
        <w:rPr>
          <w:noProof/>
        </w:rPr>
        <w:t xml:space="preserve"> in diesem Drittstaat keine Gefahr der Verfolgung oder eines ernsthaften Schadens bestehen; es muss die Möglichkeit bestehen, einen </w:t>
      </w:r>
      <w:r w:rsidR="005C3255" w:rsidRPr="00253C15">
        <w:rPr>
          <w:b/>
          <w:noProof/>
        </w:rPr>
        <w:t>wirksamen</w:t>
      </w:r>
      <w:r w:rsidR="005C3255" w:rsidRPr="00253C15">
        <w:rPr>
          <w:noProof/>
        </w:rPr>
        <w:t xml:space="preserve"> </w:t>
      </w:r>
      <w:r w:rsidR="005C3255" w:rsidRPr="00253C15">
        <w:rPr>
          <w:b/>
          <w:noProof/>
        </w:rPr>
        <w:t>Schutz</w:t>
      </w:r>
      <w:r w:rsidR="005C3255" w:rsidRPr="00253C15">
        <w:rPr>
          <w:noProof/>
        </w:rPr>
        <w:t xml:space="preserve"> gemäß Artikel 57 der Asylverfahrensverordnung zu beantragen und, sofern die Voraussetzungen erfüllt sind, zu erhalten; und der Grundsatz der Nichtzurückweisung muss geachtet werden;</w:t>
      </w:r>
    </w:p>
    <w:p w:rsidR="005C3255" w:rsidRPr="00253C15" w:rsidRDefault="00C31355" w:rsidP="00C31355">
      <w:pPr>
        <w:pStyle w:val="Point0"/>
        <w:rPr>
          <w:noProof/>
        </w:rPr>
      </w:pPr>
      <w:r>
        <w:rPr>
          <w:noProof/>
        </w:rPr>
        <w:t>2)</w:t>
      </w:r>
      <w:r w:rsidRPr="00C31355">
        <w:rPr>
          <w:noProof/>
        </w:rPr>
        <w:tab/>
      </w:r>
      <w:r w:rsidR="005C3255" w:rsidRPr="00253C15">
        <w:rPr>
          <w:noProof/>
        </w:rPr>
        <w:t xml:space="preserve">das Bestehen einer </w:t>
      </w:r>
      <w:r w:rsidR="005C3255" w:rsidRPr="00253C15">
        <w:rPr>
          <w:b/>
          <w:noProof/>
        </w:rPr>
        <w:t>Verbindung</w:t>
      </w:r>
      <w:r w:rsidR="005C3255" w:rsidRPr="00253C15">
        <w:rPr>
          <w:noProof/>
        </w:rPr>
        <w:t xml:space="preserve"> zwischen dem Antragsteller und dem Drittstaat, was bedeutet, dass eine Verknüpfung zwischen dem Asylbewerber und dem sicheren Drittstaat bestehen muss, durch die die Überstellung des Antragstellers in diesen sicheren Drittstaat als sinnvoll betrachtet werden kann; </w:t>
      </w:r>
    </w:p>
    <w:p w:rsidR="005C3255" w:rsidRPr="00253C15" w:rsidRDefault="00C31355" w:rsidP="00C31355">
      <w:pPr>
        <w:pStyle w:val="Point0"/>
        <w:rPr>
          <w:noProof/>
          <w:sz w:val="22"/>
        </w:rPr>
      </w:pPr>
      <w:r>
        <w:rPr>
          <w:noProof/>
        </w:rPr>
        <w:t>3)</w:t>
      </w:r>
      <w:r w:rsidRPr="00C31355">
        <w:rPr>
          <w:noProof/>
        </w:rPr>
        <w:tab/>
      </w:r>
      <w:r w:rsidR="005C3255" w:rsidRPr="00253C15">
        <w:rPr>
          <w:noProof/>
        </w:rPr>
        <w:t xml:space="preserve">in der Asylverfahrensverordnung festgelegte </w:t>
      </w:r>
      <w:r w:rsidR="005C3255" w:rsidRPr="00253C15">
        <w:rPr>
          <w:b/>
          <w:noProof/>
        </w:rPr>
        <w:t>Verfahrensgarantien</w:t>
      </w:r>
      <w:r w:rsidR="005C3255" w:rsidRPr="00253C15">
        <w:rPr>
          <w:noProof/>
        </w:rPr>
        <w:t xml:space="preserve">, die von den Mitgliedstaaten, die das Konzept anwenden, eingehalten werden müssen, insbesondere eine </w:t>
      </w:r>
      <w:r w:rsidR="005C3255" w:rsidRPr="00253C15">
        <w:rPr>
          <w:noProof/>
          <w:u w:val="single"/>
        </w:rPr>
        <w:t>Einzelfallprüfung</w:t>
      </w:r>
      <w:r w:rsidR="005C3255" w:rsidRPr="00253C15">
        <w:rPr>
          <w:noProof/>
        </w:rPr>
        <w:t xml:space="preserve">, ob der Staat für den individuellen betroffenen Antragsteller sicher ist, die </w:t>
      </w:r>
      <w:r w:rsidR="005C3255" w:rsidRPr="00253C15">
        <w:rPr>
          <w:noProof/>
          <w:u w:val="single"/>
        </w:rPr>
        <w:t>Möglichkeit für den Antragsteller</w:t>
      </w:r>
      <w:r w:rsidR="005C3255" w:rsidRPr="00253C15">
        <w:rPr>
          <w:noProof/>
        </w:rPr>
        <w:t xml:space="preserve">, das Bestehen einer Verbindung zu dem betreffenden Drittstaat und die Tatsache, dass der Staat angesichts seiner besonderen Umstände sicher wäre (Möglichkeit der Widerlegung der Sicherheitsvermutung), vor Gericht </w:t>
      </w:r>
      <w:r w:rsidR="005C3255" w:rsidRPr="00253C15">
        <w:rPr>
          <w:noProof/>
          <w:u w:val="single"/>
        </w:rPr>
        <w:t>anzufechten</w:t>
      </w:r>
      <w:r w:rsidR="005C3255" w:rsidRPr="00253C15">
        <w:rPr>
          <w:noProof/>
        </w:rPr>
        <w:t xml:space="preserve">, sowie die </w:t>
      </w:r>
      <w:r w:rsidR="005C3255" w:rsidRPr="00253C15">
        <w:rPr>
          <w:noProof/>
          <w:u w:val="single"/>
        </w:rPr>
        <w:t>automatische aufschiebende Wirkung des Rechtsbehelfs</w:t>
      </w:r>
      <w:r w:rsidR="005C3255" w:rsidRPr="00253C15">
        <w:rPr>
          <w:noProof/>
        </w:rPr>
        <w:t xml:space="preserve">. </w:t>
      </w:r>
    </w:p>
    <w:p w:rsidR="00693ED0" w:rsidRPr="00253C15" w:rsidRDefault="005C3255" w:rsidP="005C3255">
      <w:pPr>
        <w:rPr>
          <w:noProof/>
        </w:rPr>
      </w:pPr>
      <w:r w:rsidRPr="00253C15">
        <w:rPr>
          <w:noProof/>
        </w:rPr>
        <w:t>Als Ergebnis dieser Überprüfung kam die Kommission nach sorgfältiger Analyse zu dem Schluss, dass es Spielraum für eine Überarbeitung des Verbindungskriteriums, da es sich nicht um eine völkerrechtliche Anforderung handelt, und der automatischen aufschiebenden Wirkung des Rechtsbehelfs gibt. Die Kommission stellte jedoch fest, dass es keinen Spielraum für eine Überarbeitung der Kriterien für die „Sicherheit“ des Drittstaats gibt, da sie bereits den nach dem Völkerrecht erforderlichen Mindeststandards entsprechen</w:t>
      </w:r>
      <w:r w:rsidRPr="00253C15">
        <w:rPr>
          <w:rStyle w:val="FootnoteReference"/>
          <w:noProof/>
        </w:rPr>
        <w:footnoteReference w:id="7"/>
      </w:r>
      <w:r w:rsidRPr="00253C15">
        <w:rPr>
          <w:noProof/>
        </w:rPr>
        <w:t>. Weitere Aspekte im Zusammenhang mit einem ordnungsgemäßen Verfahren, einschließlich der individuellen Bewertung, sind Anforderungen des EU-Rechts und des Völkerrechts sowie der Rechtsprechung und sind für den Schutz von Personen vor Zurückweisung und die Wahrung ihrer Grundrechte von wesentlicher Bedeutung. Da diese Garantien nach EU-Recht und internationalem Recht verbindlich sind, müssen sie beibehalten werden</w:t>
      </w:r>
      <w:r w:rsidRPr="00253C15">
        <w:rPr>
          <w:rStyle w:val="FootnoteReference"/>
          <w:noProof/>
        </w:rPr>
        <w:footnoteReference w:id="8"/>
      </w:r>
      <w:r w:rsidRPr="00253C15">
        <w:rPr>
          <w:noProof/>
        </w:rPr>
        <w:t xml:space="preserve">. </w:t>
      </w:r>
    </w:p>
    <w:p w:rsidR="00693ED0" w:rsidRPr="00253C15" w:rsidRDefault="008C6481" w:rsidP="00693ED0">
      <w:pPr>
        <w:rPr>
          <w:noProof/>
        </w:rPr>
      </w:pPr>
      <w:r w:rsidRPr="00253C15">
        <w:rPr>
          <w:noProof/>
        </w:rPr>
        <w:t xml:space="preserve">Daher wurden die folgenden beiden Elemente für eine gezielte Änderung der Asylverfahrensverordnung ermittelt: </w:t>
      </w:r>
    </w:p>
    <w:p w:rsidR="00693ED0" w:rsidRPr="00253C15" w:rsidRDefault="00C31355" w:rsidP="00C31355">
      <w:pPr>
        <w:pStyle w:val="Point1"/>
        <w:rPr>
          <w:noProof/>
        </w:rPr>
      </w:pPr>
      <w:r>
        <w:rPr>
          <w:noProof/>
        </w:rPr>
        <w:t>a)</w:t>
      </w:r>
      <w:r w:rsidRPr="00C31355">
        <w:rPr>
          <w:noProof/>
        </w:rPr>
        <w:tab/>
      </w:r>
      <w:r w:rsidR="00693ED0" w:rsidRPr="00253C15">
        <w:rPr>
          <w:noProof/>
        </w:rPr>
        <w:t>die Anforderung einer Verbindung zwischen dem Antragsteller und dem Drittstaat (</w:t>
      </w:r>
      <w:r w:rsidR="00693ED0" w:rsidRPr="00253C15">
        <w:rPr>
          <w:b/>
          <w:noProof/>
        </w:rPr>
        <w:t>Verbindungskriterium</w:t>
      </w:r>
      <w:r w:rsidR="00693ED0" w:rsidRPr="00253C15">
        <w:rPr>
          <w:noProof/>
        </w:rPr>
        <w:t>) und</w:t>
      </w:r>
    </w:p>
    <w:p w:rsidR="00693ED0" w:rsidRPr="00253C15" w:rsidRDefault="00C31355" w:rsidP="00C31355">
      <w:pPr>
        <w:pStyle w:val="Point1"/>
        <w:rPr>
          <w:noProof/>
        </w:rPr>
      </w:pPr>
      <w:r>
        <w:rPr>
          <w:noProof/>
        </w:rPr>
        <w:t>b)</w:t>
      </w:r>
      <w:r w:rsidRPr="00C31355">
        <w:rPr>
          <w:noProof/>
        </w:rPr>
        <w:tab/>
      </w:r>
      <w:r w:rsidR="00693ED0" w:rsidRPr="00253C15">
        <w:rPr>
          <w:noProof/>
        </w:rPr>
        <w:t xml:space="preserve">die </w:t>
      </w:r>
      <w:r w:rsidR="00693ED0" w:rsidRPr="00253C15">
        <w:rPr>
          <w:b/>
          <w:noProof/>
        </w:rPr>
        <w:t>aufschiebende Wirkung des Rechtsbehelfs</w:t>
      </w:r>
      <w:r w:rsidR="00693ED0" w:rsidRPr="00253C15">
        <w:rPr>
          <w:noProof/>
        </w:rPr>
        <w:t xml:space="preserve"> gegen Entscheidungen, mit denen ein Antrag aufgrund der Sicherheit eines Drittstaats als unzulässig abgelehnt wurde. </w:t>
      </w:r>
    </w:p>
    <w:p w:rsidR="00AD23EE" w:rsidRPr="00253C15" w:rsidRDefault="00AD23EE" w:rsidP="007B112E">
      <w:pPr>
        <w:rPr>
          <w:noProof/>
        </w:rPr>
      </w:pPr>
      <w:r w:rsidRPr="00253C15">
        <w:rPr>
          <w:noProof/>
        </w:rPr>
        <w:t>Die Interessenträger nannten verschiedene Vorteile und Risiken für jede Alternative, wie im Abschnitt „Konsultation der Interessenträger“ zusammengefasst.</w:t>
      </w:r>
    </w:p>
    <w:p w:rsidR="00693ED0" w:rsidRPr="00253C15" w:rsidRDefault="00693ED0" w:rsidP="00693ED0">
      <w:pPr>
        <w:pStyle w:val="ManualHeading2"/>
        <w:rPr>
          <w:noProof/>
        </w:rPr>
      </w:pPr>
      <w:r w:rsidRPr="00253C15">
        <w:rPr>
          <w:noProof/>
        </w:rPr>
        <w:t>A. Verbindungskriterium</w:t>
      </w:r>
    </w:p>
    <w:p w:rsidR="00D00F07" w:rsidRPr="00253C15" w:rsidRDefault="001334C4" w:rsidP="00D00F07">
      <w:pPr>
        <w:rPr>
          <w:noProof/>
        </w:rPr>
      </w:pPr>
      <w:r w:rsidRPr="00253C15">
        <w:rPr>
          <w:noProof/>
        </w:rPr>
        <w:t>Die Überprüfung durch die Kommission ergab, dass der unverbindliche Charakter des Verbindungskriteriums im Völkerrecht Raum für eine Überarbeitung lässt. Dies war auch das Element des Konzepts des sicheren Drittstaats im Rahmen der Asylverfahrensverordnung, das laut der überwiegenden Mehrheit der Mitgliedstaaten die größten Auswirkungen auf die Erleichterung der Anwendung des Konzepts hat. Auf dieser Grundlage ermittelte und bewertete die Kommission drei Alternativen für die Überarbeitung des Verbindungskriteriums im Zusammenhang mit der Asylverfahrensverordnung</w:t>
      </w:r>
      <w:r w:rsidRPr="00253C15">
        <w:rPr>
          <w:rStyle w:val="FootnoteReference"/>
          <w:noProof/>
        </w:rPr>
        <w:footnoteReference w:id="9"/>
      </w:r>
      <w:r w:rsidRPr="00253C15">
        <w:rPr>
          <w:noProof/>
        </w:rPr>
        <w:t>.</w:t>
      </w:r>
    </w:p>
    <w:p w:rsidR="00DB2CC3" w:rsidRPr="00C31355" w:rsidRDefault="00C31355" w:rsidP="00C31355">
      <w:pPr>
        <w:pStyle w:val="Point0"/>
        <w:rPr>
          <w:i/>
          <w:iCs/>
          <w:noProof/>
        </w:rPr>
      </w:pPr>
      <w:r>
        <w:rPr>
          <w:i/>
          <w:iCs/>
          <w:noProof/>
        </w:rPr>
        <w:t>1.</w:t>
      </w:r>
      <w:r w:rsidRPr="00C31355">
        <w:rPr>
          <w:i/>
          <w:iCs/>
          <w:noProof/>
        </w:rPr>
        <w:tab/>
      </w:r>
      <w:r w:rsidR="00DB2CC3" w:rsidRPr="00C31355">
        <w:rPr>
          <w:i/>
          <w:iCs/>
          <w:noProof/>
        </w:rPr>
        <w:t>Wegfall des Verbindungskriteriums als zwingende unionsrechtliche Anforderung</w:t>
      </w:r>
    </w:p>
    <w:p w:rsidR="00A157E1" w:rsidRPr="00253C15" w:rsidRDefault="00DB2CC3" w:rsidP="00A157E1">
      <w:pPr>
        <w:rPr>
          <w:noProof/>
        </w:rPr>
      </w:pPr>
      <w:r w:rsidRPr="00253C15">
        <w:rPr>
          <w:noProof/>
        </w:rPr>
        <w:t xml:space="preserve">Da das Verbindungskriterium völkerrechtlich nicht erforderlich ist, bestand eine der erwogenen Alternativen darin, den zwingenden Charakter des Kriteriums aus dem Unionsrecht zu streichen und den Mitgliedstaaten somit die Möglichkeit zu geben, bei der Anwendung des Konzepts des sicheren Drittstaats zu entscheiden, ob das Verbindungskriterium angewandt wird oder nicht und wie es im nationalen Recht definiert werden soll. </w:t>
      </w:r>
    </w:p>
    <w:p w:rsidR="003E74F1" w:rsidRPr="00253C15" w:rsidRDefault="00FD7A85" w:rsidP="00FD7A85">
      <w:pPr>
        <w:rPr>
          <w:noProof/>
        </w:rPr>
      </w:pPr>
      <w:r w:rsidRPr="00253C15">
        <w:rPr>
          <w:noProof/>
        </w:rPr>
        <w:t xml:space="preserve">Diese Alternative würde die Anwendung des Konzepts des sicheren Drittstaats durch die Mitgliedstaaten erleichtern, indem die Zahl der Antragsteller, auf die das Konzept des sicheren Drittstaats angewandt werden könnte, erhöht, die Zahl der Drittstaaten, mit denen sie bei der Anwendung des Konzepts des sicheren Drittstaats zusammenarbeiten können, erweitert und die Notwendigkeit, das Bestehen einer Verbindung zu einem bestimmten sicheren Drittstaat nachzuweisen, entfallen würde. Dies würde den Verwaltungsaufwand verringern und die Effektivität der Bearbeitung von Asylanträgen erhöhen. Es könnte auch zu einer stärkeren Aufteilung der Verantwortung und möglicherweise zu einer Ausweitung des globalen Schutzraums beitragen. Diese Alternative muss im Einklang mit der Charta der Grundrechte der Europäischen Union, einschließlich der Rechte der Kinder, angewandt werden. </w:t>
      </w:r>
    </w:p>
    <w:p w:rsidR="002D0876" w:rsidRPr="00253C15" w:rsidRDefault="007B46F0" w:rsidP="00A46C05">
      <w:pPr>
        <w:rPr>
          <w:noProof/>
        </w:rPr>
      </w:pPr>
      <w:r w:rsidRPr="00253C15">
        <w:rPr>
          <w:noProof/>
        </w:rPr>
        <w:t xml:space="preserve">Sie umfasste auch die Möglichkeit, bestimmte Gruppen schutzbedürftiger Antragsteller auszuschließen oder spezifische Maßnahmen zur Verhinderung der Flucht zu ergreifen (z. B. Vermutung der Fluchtgefahr bei der Anwendung des Konzepts des sicheren Drittstaats oder Einführung eines neuen Haftgrundes in der Richtlinie über Aufnahmebedingungen). Außerdem umfasste diese Alternative die Möglichkeit, Abkommen oder Vereinbarungen mit Drittstaaten zu schließen, die die Prüfung der Begründetheit von Anträgen auf wirksamen Schutz erfordern, die von Antragstellern gestellt wurden, deren Antrag aufgrund des Konzepts des sicheren Drittstaats als unzulässig abgelehnt wurde. </w:t>
      </w:r>
    </w:p>
    <w:p w:rsidR="00A8564C" w:rsidRPr="00253C15" w:rsidRDefault="00C51C8F" w:rsidP="00A46C05">
      <w:pPr>
        <w:rPr>
          <w:noProof/>
        </w:rPr>
      </w:pPr>
      <w:r w:rsidRPr="00253C15">
        <w:rPr>
          <w:noProof/>
        </w:rPr>
        <w:t xml:space="preserve">Diese Elemente sind Teil des vorliegenden Legislativvorschlags. </w:t>
      </w:r>
    </w:p>
    <w:p w:rsidR="00DB2CC3" w:rsidRPr="00C31355" w:rsidRDefault="00C31355" w:rsidP="00C31355">
      <w:pPr>
        <w:pStyle w:val="Point0"/>
        <w:rPr>
          <w:i/>
          <w:iCs/>
          <w:noProof/>
        </w:rPr>
      </w:pPr>
      <w:r w:rsidRPr="00C31355">
        <w:rPr>
          <w:i/>
          <w:iCs/>
          <w:noProof/>
        </w:rPr>
        <w:t>2.</w:t>
      </w:r>
      <w:r w:rsidRPr="00C31355">
        <w:rPr>
          <w:i/>
          <w:iCs/>
          <w:noProof/>
        </w:rPr>
        <w:tab/>
      </w:r>
      <w:r w:rsidR="00DB2CC3" w:rsidRPr="00C31355">
        <w:rPr>
          <w:i/>
          <w:iCs/>
          <w:noProof/>
        </w:rPr>
        <w:t>Berücksichtigung der Durchreise als ausreichendes Kriterium</w:t>
      </w:r>
    </w:p>
    <w:p w:rsidR="003E74F1" w:rsidRPr="00253C15" w:rsidRDefault="003E74F1" w:rsidP="001F7A07">
      <w:pPr>
        <w:widowControl w:val="0"/>
        <w:rPr>
          <w:noProof/>
        </w:rPr>
      </w:pPr>
      <w:r w:rsidRPr="00253C15">
        <w:rPr>
          <w:noProof/>
        </w:rPr>
        <w:t xml:space="preserve">Eine zweite Alternative bestand darin, die bloße Durchreise des Antragstellers durch einen sicheren Drittstaat als ausreichendes Kriterium für die Anwendung des Konzepts des sicheren Drittstaats auf die betroffene Person anzusehen. </w:t>
      </w:r>
    </w:p>
    <w:p w:rsidR="002E49B8" w:rsidRPr="00253C15" w:rsidRDefault="001B7301" w:rsidP="002E49B8">
      <w:pPr>
        <w:rPr>
          <w:noProof/>
        </w:rPr>
      </w:pPr>
      <w:r w:rsidRPr="00253C15">
        <w:rPr>
          <w:noProof/>
        </w:rPr>
        <w:t>Die Aufnahme der Durchreise als Kriterium würde eine zusätzliche objektive Verbindung zwischen dem Antragsteller und dem sicheren Drittstaat schaffen, da vernünftigerweise davon ausgegangen werden kann, dass eine Person, die internationalen Schutz sucht, Schutz in dem sicheren Drittstaat, durch den sie durchgereist ist, hätte beantragen können. Diese Auslegung steht im Einklang mit dem Ansatz, den die Kommission in ihrem Vorschlag für eine Asylverfahrensverordnung von 2016</w:t>
      </w:r>
      <w:r w:rsidRPr="00253C15">
        <w:rPr>
          <w:rStyle w:val="FootnoteReference"/>
          <w:noProof/>
        </w:rPr>
        <w:footnoteReference w:id="10"/>
      </w:r>
      <w:r w:rsidRPr="00253C15">
        <w:rPr>
          <w:noProof/>
        </w:rPr>
        <w:t xml:space="preserve"> verfolgt hat, in dem sie einräumte, dass die Durchreise durch einen sicheren Drittstaat ausreichen könnte, um das Konzept des sicheren Drittstaats anzuwenden. Die Anerkennung der Durchreise als gültige objektive Verbindung erleichtert die Anwendung des Konzepts und erhöht möglicherweise die Zahl der Drittstaaten, mit denen die Mitgliedstaaten in Asylfragen zusammenarbeiten können. Der Nachweis der Durchreise liegt in der Verantwortung der zuständigen Asylbehörden der Mitgliedstaaten. </w:t>
      </w:r>
    </w:p>
    <w:p w:rsidR="00A8564C" w:rsidRPr="00253C15" w:rsidRDefault="007B46F0" w:rsidP="003E74F1">
      <w:pPr>
        <w:rPr>
          <w:noProof/>
          <w:highlight w:val="yellow"/>
        </w:rPr>
      </w:pPr>
      <w:r w:rsidRPr="00253C15">
        <w:rPr>
          <w:noProof/>
        </w:rPr>
        <w:t>Es wurde die Möglichkeit geprüft, eine konkrete widerlegbare Durchreisevermutung einzuführen, wonach davon ausgegangen werden könnte, dass eine Person, die irregulär in das Gebiet der Union einreist und nicht in der Lage ist, eine direkte Ankunftsroute nachzuweisen, mindestens einen Drittstaat durchquert haben muss. Es wurde jedoch der Schluss gezogen, dass die Einführung einer widerlegbaren Vermutung zu den Gründen für Rechtsstreitigkeiten beitragen würde, was der gewünschten Vereinfachung der Anwendung des Konzepts des sicheren Drittstaats entgegengewirkte. Aus diesem Grund wurde die Möglichkeit, eine widerlegbare Vermutung einzuführen, verworfen.</w:t>
      </w:r>
    </w:p>
    <w:p w:rsidR="00A157E1" w:rsidRPr="00C31355" w:rsidRDefault="00C31355" w:rsidP="00C31355">
      <w:pPr>
        <w:pStyle w:val="Point0"/>
        <w:rPr>
          <w:i/>
          <w:iCs/>
          <w:noProof/>
        </w:rPr>
      </w:pPr>
      <w:r w:rsidRPr="00C31355">
        <w:rPr>
          <w:i/>
          <w:iCs/>
          <w:noProof/>
        </w:rPr>
        <w:t>3.</w:t>
      </w:r>
      <w:r w:rsidRPr="00C31355">
        <w:rPr>
          <w:i/>
          <w:iCs/>
          <w:noProof/>
        </w:rPr>
        <w:tab/>
      </w:r>
      <w:r w:rsidR="00A157E1" w:rsidRPr="00C31355">
        <w:rPr>
          <w:i/>
          <w:iCs/>
          <w:noProof/>
        </w:rPr>
        <w:t>Festlegung des Verbindungskriteriums in der Asylverfahrensverordnung, aber mit einer flexibleren Gestaltung (was auch die Durchreise einschließen würde)</w:t>
      </w:r>
    </w:p>
    <w:p w:rsidR="00742C36" w:rsidRPr="00253C15" w:rsidRDefault="003E74F1" w:rsidP="00742C36">
      <w:pPr>
        <w:rPr>
          <w:noProof/>
        </w:rPr>
      </w:pPr>
      <w:r w:rsidRPr="00253C15">
        <w:rPr>
          <w:noProof/>
        </w:rPr>
        <w:t xml:space="preserve">Eine dritte Alternative bestand darin, den Begriff „Verbindung“ im Unionsrecht so zu definieren, dass kulturelle Bindungen oder Kenntnisse der Sprache ebenso wie die Durchreise als ausreichende Verbindungen betrachtet würden, gegebenenfalls zusammen mit einem Leitfaden. </w:t>
      </w:r>
    </w:p>
    <w:p w:rsidR="00525C10" w:rsidRPr="00253C15" w:rsidRDefault="006F40C9" w:rsidP="00525C10">
      <w:pPr>
        <w:rPr>
          <w:noProof/>
        </w:rPr>
      </w:pPr>
      <w:r w:rsidRPr="00253C15">
        <w:rPr>
          <w:noProof/>
        </w:rPr>
        <w:t xml:space="preserve">Diese Alternative könnte die Gruppe potenzieller sicherer Drittstaaten erweitern, da sie über Drittstaaten auf dem Weg in die EU hinausgeht, und gleichzeitig die Zusammenarbeit mit dem betreffenden Drittstaat erleichtern und zu einer stärkeren Aufteilung der Verantwortlichkeiten beitragen. Darüber hinaus könnte sie die Integration des Antragstellers nach seiner Überstellung unterstützen und dadurch die Tragfähigkeit der Überstellung verbessern. Die Beweislast für eine Verbindung läge jedoch immer bei den Asylbehörden der Mitgliedstaaten. Diese Alternative wurde daher nicht als Möglichkeit für die Erzielung der gewünschten Wirkung angesehen, die Anwendung des Konzepts des sicheren Drittstaats zu vereinfachen. </w:t>
      </w:r>
    </w:p>
    <w:p w:rsidR="00693ED0" w:rsidRPr="00253C15" w:rsidRDefault="00693ED0" w:rsidP="00693ED0">
      <w:pPr>
        <w:pStyle w:val="ManualHeading2"/>
        <w:rPr>
          <w:noProof/>
        </w:rPr>
      </w:pPr>
      <w:r w:rsidRPr="00253C15">
        <w:rPr>
          <w:noProof/>
        </w:rPr>
        <w:t xml:space="preserve">B. Aufschiebende Wirkung des Rechtsbehelfs </w:t>
      </w:r>
    </w:p>
    <w:p w:rsidR="00693ED0" w:rsidRPr="00253C15" w:rsidRDefault="00693ED0" w:rsidP="00693ED0">
      <w:pPr>
        <w:rPr>
          <w:noProof/>
        </w:rPr>
      </w:pPr>
      <w:r w:rsidRPr="00253C15">
        <w:rPr>
          <w:noProof/>
        </w:rPr>
        <w:t xml:space="preserve">Die Kommission hat ferner geprüft, ob es möglich ist, die Rechtsbehelfsverfahren in Bezug auf die Anwendung des Konzepts des sicheren Drittstaats dadurch zu vereinfachen, dass die aufschiebende Wirkung von Rechtsbehelfen gegen Unzulässigkeitsentscheidungen nicht automatisch erfolgt. </w:t>
      </w:r>
    </w:p>
    <w:p w:rsidR="00693ED0" w:rsidRPr="00253C15" w:rsidRDefault="00568A21" w:rsidP="73238BF7">
      <w:pPr>
        <w:rPr>
          <w:noProof/>
        </w:rPr>
      </w:pPr>
      <w:r w:rsidRPr="00253C15">
        <w:rPr>
          <w:noProof/>
        </w:rPr>
        <w:t>Die Frage, ob ein Rechtsbehelf gegen die Anwendung des Konzepts des sicheren Drittstaats eine automatische aufschiebende Wirkung hat, ist besonders wichtig in Fällen von Unzulässigkeitsentscheidungen, die auf dem Konzept des sicheren Drittstaats beruhen und in denen der Antrag nicht in der Sache geprüft wird. Aufgrund der Art der gefährdeten Grundrechte und insbesondere der Gefahr der Zurückweisung ist die Gewährleistung der aufschiebenden Wirkung des Rechtsbehelfs in der Asylverfahrensverordnung besonders wichtig. Diese Risiken wurden während des Konsultationsprozesses von einigen Mitgliedstaaten, dem UNHCR und Organisationen der Zivilgesellschaft aufgezeigt.</w:t>
      </w:r>
    </w:p>
    <w:p w:rsidR="000A20A8" w:rsidRPr="00253C15" w:rsidRDefault="001614BC" w:rsidP="004F7E22">
      <w:pPr>
        <w:rPr>
          <w:noProof/>
        </w:rPr>
      </w:pPr>
      <w:bookmarkStart w:id="3" w:name="_Hlk194075360"/>
      <w:r w:rsidRPr="00253C15">
        <w:rPr>
          <w:noProof/>
        </w:rPr>
        <w:t xml:space="preserve">Die Aufhebung der automatischen aufschiebenden Wirkung des Rechtsbehelfs könnte jedoch dazu beitragen, die Verfahrensverzögerungen bei der Anwendung des Konzepts des sicheren Drittstaats zu verringern und einen möglichen Missbrauch der Rechtsbehelfsmöglichkeiten durch die Antragsteller zu verhindern, während gleichzeitig der Schutz der Grundrechte der Antragsteller gewährleistet wird, indem ihnen die Geltendmachung der aufschiebenden Wirkung ermöglicht wird. Um den Schutz der Rechte von Antragstellern vor der Gefahr der Zurückweisung zu gewährleisten, besteht darüber hinaus eine automatische aufschiebende Wirkung gegen die Rückkehrentscheidung nach Artikel 37 der Asylverfahrensverordnung in Bezug auf die Unzulässigkeitsentscheidung, wenn die Gefahr besteht, dass der Grundsatz der Nichtzurückweisung verletzt wird. Dadurch sollte sichergestellt werden, dass die Personen nicht in ein Land überstellt werden, wenn die Gefahr der Zurückweisung in dem Drittstaat besteht oder wenn die Gefahr eines ernsthaften Schadens oder einer unmenschlichen oder erniedrigenden Behandlung in dem Drittstaat besteht. </w:t>
      </w:r>
      <w:bookmarkEnd w:id="3"/>
    </w:p>
    <w:p w:rsidR="00693ED0" w:rsidRPr="00253C15" w:rsidRDefault="00693ED0" w:rsidP="004F7E22">
      <w:pPr>
        <w:rPr>
          <w:b/>
          <w:bCs/>
          <w:noProof/>
        </w:rPr>
      </w:pPr>
      <w:r w:rsidRPr="00253C15">
        <w:rPr>
          <w:b/>
          <w:noProof/>
        </w:rPr>
        <w:t>Schlussfolgerungen aus der Überprüfung</w:t>
      </w:r>
    </w:p>
    <w:p w:rsidR="00D778A3" w:rsidRPr="00253C15" w:rsidRDefault="00AC3C3F" w:rsidP="718C9B44">
      <w:pPr>
        <w:rPr>
          <w:noProof/>
        </w:rPr>
      </w:pPr>
      <w:r w:rsidRPr="00253C15">
        <w:rPr>
          <w:noProof/>
        </w:rPr>
        <w:t xml:space="preserve">Die Kommission hat die Vor- und Nachteile aller Alternativen zur Überarbeitung der Bestimmungen der Asylverfahrensverordnung über die Anwendung des Konzepts des sicheren Drittstaats sorgfältig abgewogen. Alles in allem ist sie der Auffassung, dass eine </w:t>
      </w:r>
      <w:r w:rsidRPr="00253C15">
        <w:rPr>
          <w:b/>
          <w:noProof/>
        </w:rPr>
        <w:t>Kombination von Maßnahmen</w:t>
      </w:r>
      <w:r w:rsidRPr="00253C15">
        <w:rPr>
          <w:noProof/>
        </w:rPr>
        <w:t xml:space="preserve"> am ehesten geeignet ist, die gewünschte Flexibilität zu erreichen und die Anwendung des Konzepts des sicheren Drittstaats durch die Mitgliedstaaten zu erleichtern sowie gleichzeitig die wesentlichen Garantien aufrechtzuerhalten, die Grundrechte zu schützen und die von einigen Interessenträgern geäußerten Bedenken, wie sie in diesem Vorschlag zum Ausdruck kommen, auszuräumen. </w:t>
      </w:r>
      <w:bookmarkStart w:id="4" w:name="_Hlk194075468"/>
    </w:p>
    <w:p w:rsidR="003E47CA" w:rsidRPr="00253C15" w:rsidRDefault="003E47CA" w:rsidP="003E47CA">
      <w:pPr>
        <w:rPr>
          <w:noProof/>
        </w:rPr>
      </w:pPr>
      <w:r w:rsidRPr="00253C15">
        <w:rPr>
          <w:noProof/>
        </w:rPr>
        <w:t>Gemäß diesem Vorschlag wäre es für die Mitgliedstaaten daher möglich, aber nicht erforderlich, das Konzept des sicheren Drittstaats anzuwenden, i) wenn eine Verbindung zwischen dem Antragsteller und einem betreffenden sicheren Drittstaat besteht, ii) wenn der Antragsteller durch einen sicheren Drittstaat durchgereist ist oder iii) sofern keine Verbindung besteht oder keine Durchreise erfolgt ist, wenn ein Abkommen oder eine Vereinbarung mit einem sicheren Drittstaat besteht, das bzw. die die Prüfung der Begründetheit der Anträge auf wirksamen Schutz erfordert, die von Antragstellern gestellt wurden, die unter dieses Abkommen oder diese Vereinbarung fallen. Die letzte Option sollte nicht für unbegleitete Minderjährige gelten, für die immer eine Verbindung oder eine Durchreise erforderlich wäre. Darüber hinaus sollten die Mitgliedstaaten sicherstellen, dass das Kindeswohl bei allen Entscheidungen, die Minderjährige betreffen, eine vorrangige Erwägung ist.</w:t>
      </w:r>
    </w:p>
    <w:p w:rsidR="003E47CA" w:rsidRPr="00253C15" w:rsidRDefault="003E47CA" w:rsidP="003E47CA">
      <w:pPr>
        <w:rPr>
          <w:noProof/>
        </w:rPr>
      </w:pPr>
      <w:r w:rsidRPr="00253C15">
        <w:rPr>
          <w:noProof/>
        </w:rPr>
        <w:t>Außerdem werden die Rechtsbehelfsverfahren zur Anwendung des Konzepts des sicheren Drittstaats durch den Vorschlag vereinfacht, dass die aufschiebende Wirkung von Rechtsbehelfen gegen Unzulässigkeitsentscheidungen, die aufgrund des Konzepts des sicheren Drittstaats getroffen wurden, nicht automatisch erfolgt.</w:t>
      </w:r>
    </w:p>
    <w:bookmarkEnd w:id="4"/>
    <w:p w:rsidR="00693ED0" w:rsidRPr="00253C15" w:rsidRDefault="00693ED0" w:rsidP="00693ED0">
      <w:pPr>
        <w:pStyle w:val="ManualHeading2"/>
        <w:rPr>
          <w:rFonts w:eastAsia="Arial Unicode MS"/>
          <w:noProof/>
        </w:rPr>
      </w:pPr>
      <w:r w:rsidRPr="00253C15">
        <w:rPr>
          <w:noProof/>
          <w:color w:val="000000"/>
          <w:u w:color="000000"/>
          <w:bdr w:val="nil"/>
        </w:rPr>
        <w:t>•</w:t>
      </w:r>
      <w:r w:rsidRPr="00253C15">
        <w:rPr>
          <w:noProof/>
        </w:rPr>
        <w:tab/>
        <w:t>Ziele des Vorschlags</w:t>
      </w:r>
    </w:p>
    <w:p w:rsidR="00693ED0" w:rsidRPr="00253C15" w:rsidRDefault="00693ED0" w:rsidP="00693ED0">
      <w:pPr>
        <w:pBdr>
          <w:top w:val="nil"/>
          <w:left w:val="nil"/>
          <w:bottom w:val="nil"/>
          <w:right w:val="nil"/>
          <w:between w:val="nil"/>
          <w:bar w:val="nil"/>
        </w:pBdr>
        <w:spacing w:after="240"/>
        <w:rPr>
          <w:noProof/>
          <w:szCs w:val="24"/>
        </w:rPr>
      </w:pPr>
      <w:r w:rsidRPr="00253C15">
        <w:rPr>
          <w:noProof/>
        </w:rPr>
        <w:t xml:space="preserve">Hauptziel dieses Vorschlags ist eine gezielte Änderung der Asylverfahrensverordnung (EU) 2024/1348, um die Anwendung des Konzepts des sicheren Drittstaats zu erleichtern. </w:t>
      </w:r>
    </w:p>
    <w:p w:rsidR="00693ED0" w:rsidRPr="00253C15" w:rsidRDefault="00693ED0" w:rsidP="00693ED0">
      <w:pPr>
        <w:pStyle w:val="ManualHeading2"/>
        <w:rPr>
          <w:rFonts w:eastAsia="Arial Unicode MS"/>
          <w:noProof/>
        </w:rPr>
      </w:pPr>
      <w:r w:rsidRPr="00253C15">
        <w:rPr>
          <w:noProof/>
          <w:color w:val="000000"/>
          <w:u w:color="000000"/>
          <w:bdr w:val="nil"/>
        </w:rPr>
        <w:t>•</w:t>
      </w:r>
      <w:r w:rsidRPr="00253C15">
        <w:rPr>
          <w:noProof/>
        </w:rPr>
        <w:tab/>
        <w:t>Kohärenz mit den bestehenden Vorschriften in diesem Bereich</w:t>
      </w:r>
    </w:p>
    <w:p w:rsidR="00693ED0" w:rsidRPr="00253C15" w:rsidRDefault="00693ED0" w:rsidP="00693ED0">
      <w:pPr>
        <w:rPr>
          <w:noProof/>
          <w:szCs w:val="24"/>
        </w:rPr>
      </w:pPr>
      <w:r w:rsidRPr="00253C15">
        <w:rPr>
          <w:noProof/>
        </w:rPr>
        <w:t xml:space="preserve">Dieser Vorschlag geht auf Artikel 77 der Asylverfahrensverordnung zurück, in dem die Kommission beauftragt wird, das Konzept des sicheren Drittstaats bis zum 12. Juni 2025 zu überprüfen und gegebenenfalls gezielte Änderungen vorzuschlagen. Er steht voll und ganz im Einklang mit den Zielen der Asylverfahrensverordnung, die am 14. Mai 2024 angenommen wurde. Er steht auch im Einklang mit den anderen Rechtsinstrumenten, die im Zusammenhang mit dem Migrations- und Asylpaket angenommen wurden, insbesondere der Anerkennungsverordnung, der Neufassung der Richtlinie über Aufnahmebedingungen, der Verordnung über Asyl- und Migrationsmanagement, der Screening-Verordnung und der Eurodac-Verordnung. </w:t>
      </w:r>
    </w:p>
    <w:p w:rsidR="00693ED0" w:rsidRPr="00253C15" w:rsidRDefault="00567560" w:rsidP="00766565">
      <w:pPr>
        <w:rPr>
          <w:rFonts w:eastAsia="Arial Unicode MS"/>
          <w:noProof/>
          <w:color w:val="000000"/>
          <w:bdr w:val="nil"/>
        </w:rPr>
      </w:pPr>
      <w:r w:rsidRPr="00253C15">
        <w:rPr>
          <w:noProof/>
        </w:rPr>
        <w:t xml:space="preserve">Darüber hinaus steht der Vorschlag für die Überarbeitung des Konzepts </w:t>
      </w:r>
      <w:r w:rsidRPr="00253C15">
        <w:rPr>
          <w:noProof/>
          <w:color w:val="000000" w:themeColor="text1"/>
        </w:rPr>
        <w:t>des</w:t>
      </w:r>
      <w:r w:rsidRPr="00253C15">
        <w:rPr>
          <w:noProof/>
        </w:rPr>
        <w:t xml:space="preserve"> </w:t>
      </w:r>
      <w:r w:rsidRPr="00253C15">
        <w:rPr>
          <w:noProof/>
          <w:color w:val="000000" w:themeColor="text1"/>
        </w:rPr>
        <w:t>sicheren</w:t>
      </w:r>
      <w:r w:rsidRPr="00253C15">
        <w:rPr>
          <w:noProof/>
        </w:rPr>
        <w:t xml:space="preserve"> </w:t>
      </w:r>
      <w:r w:rsidRPr="00253C15">
        <w:rPr>
          <w:noProof/>
          <w:color w:val="000000" w:themeColor="text1"/>
        </w:rPr>
        <w:t>Drittstaats</w:t>
      </w:r>
      <w:r w:rsidRPr="00253C15">
        <w:rPr>
          <w:noProof/>
          <w:color w:val="000000"/>
          <w:bdr w:val="nil"/>
        </w:rPr>
        <w:t xml:space="preserve"> insoweit im Einklang mit dem Vorschlag für eine Rückführungsverordnung</w:t>
      </w:r>
      <w:r w:rsidRPr="00253C15">
        <w:rPr>
          <w:rStyle w:val="FootnoteReference"/>
          <w:rFonts w:eastAsia="Arial Unicode MS"/>
          <w:noProof/>
          <w:color w:val="000000"/>
          <w:bdr w:val="nil"/>
          <w:lang w:eastAsia="en-GB"/>
        </w:rPr>
        <w:footnoteReference w:id="11"/>
      </w:r>
      <w:r w:rsidRPr="00253C15">
        <w:rPr>
          <w:noProof/>
          <w:color w:val="000000"/>
          <w:bdr w:val="nil"/>
        </w:rPr>
        <w:t xml:space="preserve">, als diese den Anwendungsbereich der EU-Rückkehrvorschriften auf Rückführungen im Rahmen des Konzepts des sicheren Drittstaats ausweitet und die den Rückkehrern nach den EU-Rückkehrvorschriften, der Charta der </w:t>
      </w:r>
      <w:r w:rsidRPr="00253C15">
        <w:rPr>
          <w:noProof/>
        </w:rPr>
        <w:t xml:space="preserve">Grundrechte der Europäischen Union und </w:t>
      </w:r>
      <w:r w:rsidRPr="00253C15">
        <w:rPr>
          <w:noProof/>
          <w:color w:val="000000"/>
          <w:bdr w:val="nil"/>
        </w:rPr>
        <w:t xml:space="preserve">der Europäischen Menschenrechtskonvention (bereits) zur Verfügung stehenden Garantien in Bezug auf die Achtung des Grundsatzes der Nichtzurückweisung wahrt. </w:t>
      </w:r>
    </w:p>
    <w:p w:rsidR="00693ED0" w:rsidRPr="00253C15" w:rsidRDefault="00693ED0" w:rsidP="00693ED0">
      <w:pPr>
        <w:pStyle w:val="ManualHeading2"/>
        <w:rPr>
          <w:rFonts w:eastAsia="Arial Unicode MS"/>
          <w:noProof/>
        </w:rPr>
      </w:pPr>
      <w:r w:rsidRPr="00253C15">
        <w:rPr>
          <w:noProof/>
          <w:color w:val="000000"/>
          <w:u w:color="000000"/>
          <w:bdr w:val="nil"/>
        </w:rPr>
        <w:t>•</w:t>
      </w:r>
      <w:r w:rsidRPr="00253C15">
        <w:rPr>
          <w:noProof/>
        </w:rPr>
        <w:tab/>
        <w:t>Kohärenz mit der Politik der Union in anderen Bereichen</w:t>
      </w:r>
    </w:p>
    <w:p w:rsidR="00693ED0" w:rsidRPr="00253C15" w:rsidRDefault="00693ED0" w:rsidP="00693ED0">
      <w:pPr>
        <w:rPr>
          <w:noProof/>
          <w:szCs w:val="24"/>
        </w:rPr>
      </w:pPr>
      <w:r w:rsidRPr="00253C15">
        <w:rPr>
          <w:noProof/>
        </w:rPr>
        <w:t xml:space="preserve">Dieser Vorschlag steht im Einklang mit dem umfassenden, langfristigen Ansatz für ein wirksameres und kohärenteres Migrationsmanagement </w:t>
      </w:r>
      <w:r w:rsidRPr="00253C15">
        <w:rPr>
          <w:noProof/>
          <w:u w:color="000000"/>
          <w:bdr w:val="nil"/>
        </w:rPr>
        <w:t>gemäß dem</w:t>
      </w:r>
      <w:r w:rsidRPr="00253C15">
        <w:rPr>
          <w:noProof/>
        </w:rPr>
        <w:t xml:space="preserve"> Migrations- und Asylpaket, der unter anderem vorsieht, die Migration in den Mittelpunkt der Partnerschaft und der Kooperationsbeziehungen mit Drittstaaten zu stellen. Aus dieser Perspektive und unter Berücksichtigung des Ziels des Vorschlags, das Recht auf Asyl zu gewährleisten und die Grundrechte von Flüchtlingen, Asylbewerbern und Migranten unabhängig von ihrem Status zu wahren, steht der Vorschlag im Einklang mit der Verpflichtung der EU für die Ziele des Globalen Pakts für Flüchtlinge. </w:t>
      </w:r>
    </w:p>
    <w:p w:rsidR="00693ED0" w:rsidRPr="00253C15" w:rsidRDefault="00693ED0" w:rsidP="00693ED0">
      <w:pPr>
        <w:rPr>
          <w:noProof/>
          <w:szCs w:val="24"/>
        </w:rPr>
      </w:pPr>
      <w:r w:rsidRPr="00253C15">
        <w:rPr>
          <w:noProof/>
        </w:rPr>
        <w:t>Der Vorschlag unterstützt die allgemeinen Ziele des Pakts, insbesondere das Ziel, die Bearbeitung von Asylanträgen in der EU effizienter zu gestalten und Lösungen für die Zusammenarbeit und Lastenteilung mit Drittstaaten zu finden.</w:t>
      </w:r>
    </w:p>
    <w:p w:rsidR="00693ED0" w:rsidRPr="00253C15" w:rsidRDefault="00693ED0" w:rsidP="00693ED0">
      <w:pPr>
        <w:pStyle w:val="ManualHeading1"/>
        <w:rPr>
          <w:noProof/>
        </w:rPr>
      </w:pPr>
      <w:r w:rsidRPr="00253C15">
        <w:rPr>
          <w:noProof/>
        </w:rPr>
        <w:t>2.</w:t>
      </w:r>
      <w:r w:rsidRPr="00253C15">
        <w:rPr>
          <w:noProof/>
        </w:rPr>
        <w:tab/>
        <w:t>RECHTSGRUNDLAGE, SUBSIDIARITÄT UND VERHÄLTNISMÄẞIGKEIT</w:t>
      </w:r>
    </w:p>
    <w:p w:rsidR="00693ED0" w:rsidRPr="00253C15" w:rsidRDefault="00693ED0" w:rsidP="00693ED0">
      <w:pPr>
        <w:pStyle w:val="ManualHeading2"/>
        <w:rPr>
          <w:rFonts w:eastAsia="Arial Unicode MS"/>
          <w:noProof/>
          <w:u w:color="000000"/>
          <w:bdr w:val="nil"/>
        </w:rPr>
      </w:pPr>
      <w:r w:rsidRPr="00253C15">
        <w:rPr>
          <w:noProof/>
          <w:u w:color="000000"/>
          <w:bdr w:val="nil"/>
        </w:rPr>
        <w:t>•</w:t>
      </w:r>
      <w:r w:rsidRPr="00253C15">
        <w:rPr>
          <w:noProof/>
        </w:rPr>
        <w:tab/>
      </w:r>
      <w:r w:rsidRPr="00253C15">
        <w:rPr>
          <w:noProof/>
          <w:u w:color="000000"/>
          <w:bdr w:val="nil"/>
        </w:rPr>
        <w:t>Rechtsgrundlage</w:t>
      </w:r>
    </w:p>
    <w:p w:rsidR="00693ED0" w:rsidRPr="00253C15" w:rsidRDefault="00693ED0" w:rsidP="00693ED0">
      <w:pPr>
        <w:pBdr>
          <w:top w:val="nil"/>
          <w:left w:val="nil"/>
          <w:bottom w:val="nil"/>
          <w:right w:val="nil"/>
          <w:between w:val="nil"/>
          <w:bar w:val="nil"/>
        </w:pBdr>
        <w:spacing w:before="0" w:after="240"/>
        <w:rPr>
          <w:rFonts w:eastAsia="Arial Unicode MS"/>
          <w:noProof/>
        </w:rPr>
      </w:pPr>
      <w:r w:rsidRPr="00253C15">
        <w:rPr>
          <w:noProof/>
        </w:rPr>
        <w:t xml:space="preserve">Rechtsgrundlage des Vorschlags ist Artikel 78 Absatz 2 Buchstabe d des Vertrags über die Arbeitsweise der Europäischen Union (AEUV). </w:t>
      </w:r>
    </w:p>
    <w:p w:rsidR="00693ED0" w:rsidRPr="00253C15" w:rsidRDefault="00693ED0" w:rsidP="00693ED0">
      <w:pPr>
        <w:pStyle w:val="ManualHeading2"/>
        <w:rPr>
          <w:rFonts w:eastAsia="Arial Unicode MS"/>
          <w:noProof/>
          <w:u w:color="000000"/>
          <w:bdr w:val="nil"/>
        </w:rPr>
      </w:pPr>
      <w:r w:rsidRPr="00253C15">
        <w:rPr>
          <w:noProof/>
          <w:u w:color="000000"/>
          <w:bdr w:val="nil"/>
        </w:rPr>
        <w:t>•</w:t>
      </w:r>
      <w:r w:rsidRPr="00253C15">
        <w:rPr>
          <w:noProof/>
        </w:rPr>
        <w:tab/>
      </w:r>
      <w:r w:rsidRPr="00253C15">
        <w:rPr>
          <w:noProof/>
          <w:u w:color="000000"/>
          <w:bdr w:val="nil"/>
        </w:rPr>
        <w:t>Unterschiede im Geltungsbereich</w:t>
      </w:r>
    </w:p>
    <w:p w:rsidR="005459C8" w:rsidRPr="00253C15" w:rsidRDefault="005459C8" w:rsidP="000A20A8">
      <w:pPr>
        <w:rPr>
          <w:noProof/>
        </w:rPr>
      </w:pPr>
      <w:r w:rsidRPr="00253C15">
        <w:rPr>
          <w:noProof/>
        </w:rPr>
        <w:t>Nach den Artikeln 1 und 2 des dem Vertrag über die Europäische Union (EUV) und dem AEUV beigefügten Protokolls Nr. 21 über die Position Irlands hinsichtlich des Raums der Freiheit, der Sicherheit und des Rechts beteiligt sich Irland nicht an der Annahme von Maßnahmen, die nach dem Dritten Teil Titel V AEUV erlassen wurden, wozu auch Maßnahmen zur Schaffung eines Gemeinsamen Europäischen Asylsystems gehören, und ist nicht an diese gebunden. Gemäß Artikel 3 des genannten Protokolls kann Irland jedoch beschließen, sich an der Annahme und Anwendung dieser Maßnahmen zu beteiligen. Irland hat mitgeteilt, dass es sich an der Asylverfahrensverordnung beteiligen möchte. Im Einklang mit den Artikeln 3 und 4a des Protokolls Nr. 21 kann Irland auch beschließen, sich an der Annahme und Anwendung des vorliegenden Vorschlags zur Änderung der Asylverfahrensverordnung zu beteiligen.</w:t>
      </w:r>
    </w:p>
    <w:p w:rsidR="00693ED0" w:rsidRPr="00253C15" w:rsidRDefault="005459C8" w:rsidP="000A20A8">
      <w:pPr>
        <w:rPr>
          <w:noProof/>
        </w:rPr>
      </w:pPr>
      <w:r w:rsidRPr="00253C15">
        <w:rPr>
          <w:noProof/>
        </w:rPr>
        <w:t xml:space="preserve">Nach den Artikeln 1 und 2 des dem Vertrag über die Europäische Union und dem Vertrag über die Arbeitsweise der Europäischen Union beigefügten Protokolls Nr. 22 über die Position Dänemarks beteiligt sich Dänemark nicht an der Annahme dieser Verordnung und ist weder durch diese Verordnung gebunden noch zu ihrer Anwendung verpflichtet. </w:t>
      </w:r>
    </w:p>
    <w:p w:rsidR="00693ED0" w:rsidRPr="00253C15" w:rsidRDefault="00693ED0" w:rsidP="00693ED0">
      <w:pPr>
        <w:pStyle w:val="ManualHeading2"/>
        <w:rPr>
          <w:rFonts w:eastAsia="Arial Unicode MS"/>
          <w:noProof/>
          <w:u w:color="000000"/>
          <w:bdr w:val="nil"/>
        </w:rPr>
      </w:pPr>
      <w:r w:rsidRPr="00253C15">
        <w:rPr>
          <w:noProof/>
          <w:u w:color="000000"/>
          <w:bdr w:val="nil"/>
        </w:rPr>
        <w:t>•</w:t>
      </w:r>
      <w:r w:rsidRPr="00253C15">
        <w:rPr>
          <w:noProof/>
        </w:rPr>
        <w:tab/>
      </w:r>
      <w:r w:rsidRPr="00253C15">
        <w:rPr>
          <w:noProof/>
          <w:u w:color="000000"/>
          <w:bdr w:val="nil"/>
        </w:rPr>
        <w:t>Subsidiarität</w:t>
      </w:r>
    </w:p>
    <w:p w:rsidR="00693ED0" w:rsidRPr="00253C15" w:rsidRDefault="00693ED0" w:rsidP="000A20A8">
      <w:pPr>
        <w:rPr>
          <w:noProof/>
          <w:szCs w:val="24"/>
        </w:rPr>
      </w:pPr>
      <w:r w:rsidRPr="00253C15">
        <w:rPr>
          <w:noProof/>
          <w:sz w:val="23"/>
        </w:rPr>
        <w:t>Ziel dieses Vorschlags ist es,</w:t>
      </w:r>
      <w:r w:rsidRPr="00253C15">
        <w:rPr>
          <w:noProof/>
        </w:rPr>
        <w:t xml:space="preserve"> eine gezielte Änderung der Asylverfahrensverordnung vorzunehmen, um die Anwendung des Konzepts des sicheren Drittstaats für die Mitgliedstaaten flexibler zu gestalten. Der Vorschlag behält den fakultativen Charakter der Anwendung des Konzepts des sicheren Drittstaats bei.</w:t>
      </w:r>
    </w:p>
    <w:p w:rsidR="00693ED0" w:rsidRPr="00253C15" w:rsidRDefault="00693ED0" w:rsidP="000A20A8">
      <w:pPr>
        <w:rPr>
          <w:noProof/>
        </w:rPr>
      </w:pPr>
      <w:r w:rsidRPr="00253C15">
        <w:rPr>
          <w:noProof/>
        </w:rPr>
        <w:t xml:space="preserve">Für die neuen Verfahren sollten unabhängig von dem Mitgliedstaat, der sie anwendet, dieselben Regeln gelten, um eine Gleichbehandlung der betroffenen Antragsteller, Drittstaatsangehörigen oder Staatenlosen sicherzustellen sowie Klarheit und Rechtssicherheit für den Einzelnen zu gewährleisten. Darüber hinaus könnten allein handelnde Mitgliedstaaten Anreize für unerlaubte Migrationsbewegungen von einem Mitgliedstaat in einen anderen schaffen, je nachdem, ob und wie sie das Konzept des sicheren Drittstaats anwenden, oder die Dublin-Überstellungen aufgrund der unterschiedlichen Anwendung des Konzepts behindern. </w:t>
      </w:r>
    </w:p>
    <w:p w:rsidR="00693ED0" w:rsidRPr="00253C15" w:rsidRDefault="00693ED0" w:rsidP="00693ED0">
      <w:pPr>
        <w:pBdr>
          <w:top w:val="nil"/>
          <w:left w:val="nil"/>
          <w:bottom w:val="nil"/>
          <w:right w:val="nil"/>
          <w:between w:val="nil"/>
          <w:bar w:val="nil"/>
        </w:pBdr>
        <w:spacing w:after="240"/>
        <w:rPr>
          <w:noProof/>
        </w:rPr>
      </w:pPr>
      <w:r w:rsidRPr="00253C15">
        <w:rPr>
          <w:noProof/>
        </w:rPr>
        <w:t xml:space="preserve">Die Mitgliedstaaten können die Ziele dieses Vorschlags allein nicht verwirklichen. Das Ziel, einige der Hindernisse für die wirksame Anwendung des Konzepts des sicheren Drittstaats zu beseitigen, erfordert einen EU-Rahmen, der notwendig ist, um eine konsistente und kohärente Anwendung des Konzepts des sicheren Drittstaats in allen Mitgliedstaaten zu gewährleisten. Die Union muss daher tätig werden und kann im Einklang mit dem in Artikel 5 des Vertrags über die Europäische Union verankerten Subsidiaritätsprinzip Maßnahmen annehmen. </w:t>
      </w:r>
    </w:p>
    <w:p w:rsidR="00693ED0" w:rsidRPr="00253C15" w:rsidRDefault="00693ED0" w:rsidP="00693ED0">
      <w:pPr>
        <w:pStyle w:val="ManualHeading2"/>
        <w:rPr>
          <w:rFonts w:eastAsia="Arial Unicode MS"/>
          <w:noProof/>
          <w:u w:color="000000"/>
          <w:bdr w:val="nil"/>
        </w:rPr>
      </w:pPr>
      <w:r w:rsidRPr="00253C15">
        <w:rPr>
          <w:noProof/>
          <w:u w:color="000000"/>
          <w:bdr w:val="nil"/>
        </w:rPr>
        <w:t>•</w:t>
      </w:r>
      <w:r w:rsidRPr="00253C15">
        <w:rPr>
          <w:noProof/>
        </w:rPr>
        <w:tab/>
      </w:r>
      <w:r w:rsidRPr="00253C15">
        <w:rPr>
          <w:noProof/>
          <w:u w:color="000000"/>
          <w:bdr w:val="nil"/>
        </w:rPr>
        <w:t>Verhältnismäßigkeit</w:t>
      </w:r>
    </w:p>
    <w:p w:rsidR="00693ED0" w:rsidRPr="00253C15" w:rsidRDefault="00693ED0" w:rsidP="000A20A8">
      <w:pPr>
        <w:rPr>
          <w:rFonts w:eastAsia="Arial Unicode MS"/>
          <w:noProof/>
        </w:rPr>
      </w:pPr>
      <w:r w:rsidRPr="00253C15">
        <w:rPr>
          <w:noProof/>
        </w:rPr>
        <w:t>Gemäß dem in Artikel 5 des Vertrags über die Europäische Union verankerten Grundsatz der Verhältnismäßigkeit geht dieser Vorschlag für eine gezielte Änderung der Asylverfahrensverordnung (EU) 2024/1348 nicht über das für die Erreichung seiner Ziele erforderliche Maß hinaus, nämlich den Mitgliedstaaten mehr Flexibilität bei der Anwendung des Konzepts des sicheren Drittstaats im Einklang mit dem Völkerrecht und unter uneingeschränkter Achtung der in der Charta der Grundrechte der Europäischen Union und der Europäischen Menschenrechtskonvention verankerten Grundrechte zu gewähren.</w:t>
      </w:r>
    </w:p>
    <w:p w:rsidR="00693ED0" w:rsidRPr="00253C15" w:rsidRDefault="00693ED0" w:rsidP="00693ED0">
      <w:pPr>
        <w:pStyle w:val="ManualHeading2"/>
        <w:rPr>
          <w:rFonts w:eastAsia="Arial Unicode MS"/>
          <w:noProof/>
          <w:u w:color="000000"/>
          <w:bdr w:val="nil"/>
        </w:rPr>
      </w:pPr>
      <w:r w:rsidRPr="00253C15">
        <w:rPr>
          <w:noProof/>
          <w:u w:color="000000"/>
          <w:bdr w:val="nil"/>
        </w:rPr>
        <w:t>•</w:t>
      </w:r>
      <w:r w:rsidRPr="00253C15">
        <w:rPr>
          <w:noProof/>
        </w:rPr>
        <w:tab/>
      </w:r>
      <w:r w:rsidRPr="00253C15">
        <w:rPr>
          <w:noProof/>
          <w:u w:color="000000"/>
          <w:bdr w:val="nil"/>
        </w:rPr>
        <w:t>Wahl des Instruments</w:t>
      </w:r>
    </w:p>
    <w:p w:rsidR="00693ED0" w:rsidRPr="00253C15" w:rsidRDefault="00693ED0" w:rsidP="00693ED0">
      <w:pPr>
        <w:pBdr>
          <w:top w:val="nil"/>
          <w:left w:val="nil"/>
          <w:bottom w:val="nil"/>
          <w:right w:val="nil"/>
          <w:between w:val="nil"/>
          <w:bar w:val="nil"/>
        </w:pBdr>
        <w:spacing w:before="0" w:after="240"/>
        <w:rPr>
          <w:noProof/>
        </w:rPr>
      </w:pPr>
      <w:r w:rsidRPr="00253C15">
        <w:rPr>
          <w:noProof/>
        </w:rPr>
        <w:t>Das gewählte Instrument ist ein Vorschlag für eine Verordnung zur Änderung der Asylverfahrensverordnung.</w:t>
      </w:r>
    </w:p>
    <w:p w:rsidR="00693ED0" w:rsidRPr="00253C15" w:rsidRDefault="00693ED0" w:rsidP="00693ED0">
      <w:pPr>
        <w:pStyle w:val="ManualHeading1"/>
        <w:rPr>
          <w:noProof/>
        </w:rPr>
      </w:pPr>
      <w:r w:rsidRPr="00253C15">
        <w:rPr>
          <w:noProof/>
        </w:rPr>
        <w:t>3.</w:t>
      </w:r>
      <w:r w:rsidRPr="00253C15">
        <w:rPr>
          <w:noProof/>
        </w:rPr>
        <w:tab/>
        <w:t>ERGEBNISSE DER EX-POST-BEWERTUNG, DER KONSULTATION DER INTERESSENTRÄGER UND DER FOLGENABSCHÄTZUNG</w:t>
      </w:r>
    </w:p>
    <w:p w:rsidR="00693ED0" w:rsidRPr="00253C15" w:rsidRDefault="00693ED0" w:rsidP="00693ED0">
      <w:pPr>
        <w:pStyle w:val="ManualHeading2"/>
        <w:rPr>
          <w:rFonts w:eastAsia="Arial Unicode MS"/>
          <w:noProof/>
          <w:u w:color="000000"/>
          <w:bdr w:val="nil"/>
        </w:rPr>
      </w:pPr>
      <w:r w:rsidRPr="00253C15">
        <w:rPr>
          <w:noProof/>
          <w:u w:color="000000"/>
          <w:bdr w:val="nil"/>
        </w:rPr>
        <w:t>•</w:t>
      </w:r>
      <w:r w:rsidRPr="00253C15">
        <w:rPr>
          <w:noProof/>
        </w:rPr>
        <w:tab/>
      </w:r>
      <w:r w:rsidRPr="00253C15">
        <w:rPr>
          <w:noProof/>
          <w:u w:color="000000"/>
          <w:bdr w:val="nil"/>
        </w:rPr>
        <w:t>Sammlung von Wissen über die Umsetzung und Anwendung bestehender Rechtsvorschriften</w:t>
      </w:r>
    </w:p>
    <w:p w:rsidR="00693ED0" w:rsidRPr="00253C15" w:rsidRDefault="00693ED0" w:rsidP="000A20A8">
      <w:pPr>
        <w:rPr>
          <w:noProof/>
        </w:rPr>
      </w:pPr>
      <w:r w:rsidRPr="00253C15">
        <w:rPr>
          <w:noProof/>
        </w:rPr>
        <w:t xml:space="preserve">Im Hinblick auf die Überprüfung des Konzepts des sicheren Drittstaats prüfte die Kommission, ob nach dem Völkerrecht (Genfer Konvention von 1951 und Europäische Menschenrechtskonvention von 1950) Spielraum für eine weitere Überarbeitung der Bedingungen für die Anwendung des Konzepts des sicheren Drittstaats und der damit verbundenen rechtlichen Garantien besteht, um die Anwendung des Konzepts in den Mitgliedstaaten zu erleichtern. Die Kommission berücksichtigte auch die bisherigen Erfahrungen der Mitgliedstaaten bei der Anwendung des Konzepts des sicheren Drittstaats, einschließlich der Herausforderungen bei der Anwendung des Konzepts, wie sie in verschiedenen Foren zum Ausdruck gebracht wurden. Und schließlich analysierte die Kommission die einschlägige Rechtsprechung des EuGH und des EGMR. </w:t>
      </w:r>
    </w:p>
    <w:p w:rsidR="00693ED0" w:rsidRPr="00253C15" w:rsidRDefault="00693ED0" w:rsidP="000A20A8">
      <w:pPr>
        <w:rPr>
          <w:rFonts w:eastAsia="Times New Roman"/>
          <w:noProof/>
        </w:rPr>
      </w:pPr>
      <w:r w:rsidRPr="00253C15">
        <w:rPr>
          <w:noProof/>
        </w:rPr>
        <w:t>Was die Sachinformationen über die bisherige Anwendung des Konzepts des sicheren Drittstaats durch die EU-Mitgliedstaaten betrifft, so sind die verfügbaren Daten zwar nicht sehr tiefgehend, doch gibt es Hinweise darauf, dass die Vorgehensweise in der Praxis bestenfalls uneinheitlich war</w:t>
      </w:r>
      <w:r w:rsidRPr="00253C15">
        <w:rPr>
          <w:rStyle w:val="FootnoteReference"/>
          <w:noProof/>
        </w:rPr>
        <w:footnoteReference w:id="12"/>
      </w:r>
      <w:r w:rsidRPr="00253C15">
        <w:rPr>
          <w:noProof/>
        </w:rPr>
        <w:t>. In drei Mitgliedstaaten ist das Konzept des sicheren Drittstaats in den nationalen Rechtsvorschriften nicht geregelt</w:t>
      </w:r>
      <w:r w:rsidRPr="00253C15">
        <w:rPr>
          <w:rStyle w:val="FootnoteReference"/>
          <w:rFonts w:eastAsia="Times New Roman"/>
          <w:noProof/>
        </w:rPr>
        <w:footnoteReference w:id="13"/>
      </w:r>
      <w:r w:rsidRPr="00253C15">
        <w:rPr>
          <w:noProof/>
        </w:rPr>
        <w:t>. In allen anderen Mitgliedstaaten ist das Konzept in den nationalen Rechtsvorschriften enthalten, es gibt jedoch Unterschiede bei seiner Anwendung: Fünf Mitgliedstaaten haben Listen sicherer Drittstaaten angenommen</w:t>
      </w:r>
      <w:r w:rsidRPr="00253C15">
        <w:rPr>
          <w:rStyle w:val="FootnoteReference"/>
          <w:rFonts w:eastAsia="Times New Roman"/>
          <w:noProof/>
        </w:rPr>
        <w:footnoteReference w:id="14"/>
      </w:r>
      <w:r w:rsidRPr="00253C15">
        <w:rPr>
          <w:noProof/>
        </w:rPr>
        <w:t>, in zwölf Mitgliedstaaten wird das Konzept nur von Fall zu Fall angewandt</w:t>
      </w:r>
      <w:r w:rsidRPr="00253C15">
        <w:rPr>
          <w:rStyle w:val="FootnoteReference"/>
          <w:rFonts w:eastAsia="Times New Roman"/>
          <w:noProof/>
        </w:rPr>
        <w:footnoteReference w:id="15"/>
      </w:r>
      <w:r w:rsidRPr="00253C15">
        <w:rPr>
          <w:noProof/>
        </w:rPr>
        <w:t>, und sechs Mitgliedstaaten wenden das Konzept in der Praxis nicht an</w:t>
      </w:r>
      <w:r w:rsidRPr="00253C15">
        <w:rPr>
          <w:rStyle w:val="FootnoteReference"/>
          <w:rFonts w:eastAsia="Times New Roman"/>
          <w:noProof/>
        </w:rPr>
        <w:footnoteReference w:id="16"/>
      </w:r>
      <w:r w:rsidRPr="00253C15">
        <w:rPr>
          <w:noProof/>
        </w:rPr>
        <w:t>.</w:t>
      </w:r>
    </w:p>
    <w:p w:rsidR="00693ED0" w:rsidRPr="00253C15" w:rsidRDefault="00693ED0" w:rsidP="00693ED0">
      <w:pPr>
        <w:pStyle w:val="ManualHeading2"/>
        <w:rPr>
          <w:rFonts w:eastAsia="Arial Unicode MS"/>
          <w:noProof/>
          <w:u w:color="000000"/>
          <w:bdr w:val="nil"/>
        </w:rPr>
      </w:pPr>
      <w:r w:rsidRPr="00253C15">
        <w:rPr>
          <w:noProof/>
          <w:u w:color="000000"/>
          <w:bdr w:val="nil"/>
        </w:rPr>
        <w:t>•</w:t>
      </w:r>
      <w:r w:rsidRPr="00253C15">
        <w:rPr>
          <w:noProof/>
        </w:rPr>
        <w:tab/>
      </w:r>
      <w:r w:rsidRPr="00253C15">
        <w:rPr>
          <w:noProof/>
          <w:u w:color="000000"/>
          <w:bdr w:val="nil"/>
        </w:rPr>
        <w:t>Konsultation der Interessenträger</w:t>
      </w:r>
    </w:p>
    <w:p w:rsidR="00693ED0" w:rsidRPr="00253C15" w:rsidRDefault="00693ED0" w:rsidP="000A20A8">
      <w:pPr>
        <w:rPr>
          <w:noProof/>
        </w:rPr>
      </w:pPr>
      <w:r w:rsidRPr="00253C15">
        <w:rPr>
          <w:noProof/>
        </w:rPr>
        <w:t xml:space="preserve">Die Kommission konsultierte zwischen Dezember 2024 und Februar 2025 die Mitgliedstaaten, das Europäische Parlament, Organisationen der Zivilgesellschaft und den UNHCR. Im Mittelpunkt der Gespräche standen das Verbindungskriterium und die automatische aufschiebende Wirkung von Rechtsbehelfen gegen Unzulässigkeitsentscheidungen aufgrund des Konzepts des sicheren Drittstaats. </w:t>
      </w:r>
    </w:p>
    <w:p w:rsidR="00693ED0" w:rsidRPr="00253C15" w:rsidRDefault="00693ED0" w:rsidP="000A20A8">
      <w:pPr>
        <w:rPr>
          <w:noProof/>
        </w:rPr>
      </w:pPr>
      <w:r w:rsidRPr="00253C15">
        <w:rPr>
          <w:noProof/>
        </w:rPr>
        <w:t>Gespräche mit den Mitgliedstaaten fanden in verschiedenen Foren statt, darunter der AStV, die Arbeitsgruppe „Asyl“, der Strategische Ausschuss für Einwanderungs-, Grenz- und Asylfragen (SCIFA) und informelle Konsultationen, die von der Kommission am 27. Januar und 27. Februar 2025 organisiert wurden. Gespräche mit Mitgliedern des Europäischen Parlaments fanden am 18. Februar und mit Organisationen der Zivilgesellschaft am 19. Februar 2025 statt.</w:t>
      </w:r>
    </w:p>
    <w:p w:rsidR="009D5A9E" w:rsidRPr="00253C15" w:rsidRDefault="00D761F0" w:rsidP="000A20A8">
      <w:pPr>
        <w:rPr>
          <w:noProof/>
        </w:rPr>
      </w:pPr>
      <w:r w:rsidRPr="00253C15">
        <w:rPr>
          <w:noProof/>
        </w:rPr>
        <w:t xml:space="preserve">In diesem Austausch brachte eine große Mehrheit der </w:t>
      </w:r>
      <w:r w:rsidRPr="00253C15">
        <w:rPr>
          <w:b/>
          <w:noProof/>
        </w:rPr>
        <w:t>Mitgliedstaaten</w:t>
      </w:r>
      <w:r w:rsidRPr="00253C15">
        <w:rPr>
          <w:noProof/>
        </w:rPr>
        <w:t xml:space="preserve"> ihre Unterstützung für die Überarbeitung des Konzepts des sicheren Drittstaats zum Ausdruck und befürwortete eine gezielte Änderung der Asylverfahrensverordnung, um das Verbindungskriterium und die automatische aufschiebende Wirkung von Rechtsbehelfen zu streichen, und betrachtete diese Änderungen als Mittel zur Steigerung der Effizienz, zur Gewährleistung einer größeren Flexibilität bei der Bearbeitung von Asylanträgen, insbesondere in Zeiten eines unverhältnismäßigen Migrationsdrucks, und zur Verringerung des Verwaltungsaufwands. Eine Minderheit der Mitgliedstaaten sprach sich gegen die Streichung der Anforderung des Verbindungskriteriums aus und würde eine flexible Definition des Begriffs „Verbindung“ bevorzugen.</w:t>
      </w:r>
    </w:p>
    <w:p w:rsidR="004103DC" w:rsidRPr="00253C15" w:rsidRDefault="004103DC" w:rsidP="000A20A8">
      <w:pPr>
        <w:rPr>
          <w:noProof/>
        </w:rPr>
      </w:pPr>
      <w:r w:rsidRPr="00253C15">
        <w:rPr>
          <w:noProof/>
        </w:rPr>
        <w:t xml:space="preserve">Die Mitgliedstaaten, die sich für die Abschaffung des Verbindungskriteriums als obligatorische Anforderung aussprachen, betonten, dass dadurch der potenzielle Anwendungsbereich der Antragsteller, die für das Konzept des sicheren Drittstaats infrage kommen, erweitert würde, sodass mehr Asylbewerber in diesem Rahmen berücksichtigt werden könnten. Sie argumentierten, dass diese Änderung auch für mehr Flexibilität bei der Zusammenarbeit mit Drittstaaten sorgen und die Etablierung neuer Partnerschaften erleichtern würde. Ferner brachten sie vor, dass die Mitgliedstaaten durch die Aufhebung dieser Anforderung besser in der Lage wären, wirksamer auf Migrationsdruck und Krisen zu reagieren. Sie wiesen auch auf potenzielle Effizienzgewinne hin und argumentierten, dass die Abschaffung des Verbindungskriteriums die Antragsbearbeitung straffen, den Verwaltungsaufwand für die nationalen Behörden verringern (da die Verbindung nicht mehr nachgewiesen werden muss) und die Entscheidungsfindung beschleunigen würde. </w:t>
      </w:r>
    </w:p>
    <w:p w:rsidR="004103DC" w:rsidRPr="00253C15" w:rsidRDefault="00420C39" w:rsidP="000A20A8">
      <w:pPr>
        <w:rPr>
          <w:noProof/>
        </w:rPr>
      </w:pPr>
      <w:r w:rsidRPr="00253C15">
        <w:rPr>
          <w:noProof/>
        </w:rPr>
        <w:t>Mitgliedstaaten, die die Abschaffung der Anforderung des Verbindungskriteriums nicht unterstützten, warnten, dass die Abschaffung die Integration von Personen in sicheren Drittstaaten und die Etablierung von Partnerschaften mit Drittstaaten behindern könnte und das Risiko der irregulären Migration aus dem sicheren Drittstaat in die EU verschärfen sowie die Gefahr erhöhen könnte, dass Personen im sicheren Drittstaat ohne Bindungen oder garantierten Schutz bleiben. In der EU könne dies auch das Risiko von Gerichtsverfahren und der Sekundärmigration in Mitgliedstaaten erhöhen, in denen das Konzept des sicheren Drittstaats entweder nicht angewandt oder mit der Verbindungsanforderung angewandt wird. Einige Mitgliedstaaten warnten davor, dass die nationalen Gerichte Überstellungen im Rahmen des Dublin-Verfahrens an Mitgliedstaaten aussetzen könnten, wenn sie der Auffassung sind, dass das Konzept des sicheren Drittstaats zu nachsichtig oder falsch angewandt wird, da die Verbindung einen Schutz bietet. Einige Mitgliedstaaten betonten ferner die Notwendigkeit, die Einhaltung der internationalen Rechtsvorschriften und der Menschenrechtsnormen sicherzustellen, schutzbedürftige Antragsteller zu schützen, eine Verlagerung der Verantwortung auf Drittstaaten zu vermeiden und für eine realistische Umsetzung zu sorgen.</w:t>
      </w:r>
    </w:p>
    <w:p w:rsidR="003D4897" w:rsidRPr="00253C15" w:rsidRDefault="00735076" w:rsidP="00735076">
      <w:pPr>
        <w:rPr>
          <w:noProof/>
          <w:szCs w:val="24"/>
        </w:rPr>
      </w:pPr>
      <w:r w:rsidRPr="00253C15">
        <w:rPr>
          <w:noProof/>
        </w:rPr>
        <w:t xml:space="preserve">Mehrere Mitgliedstaaten wiesen zudem darauf hin, dass die Anwendung des Konzepts des sicheren Drittstaats die Fluchtgefahr von Antragstellern, auf die dieses Konzept angewandt wird, erhöhen könnte. Um diesem Risiko entgegenzuwirken, vertrat die Mehrheit der Mitgliedstaaten die Auffassung, dass die in der Richtlinie über Aufnahmebedingungen vorgesehenen Vorschriften, wie etwa Artikel 9 (Beschränkungen der Bewegungsfreiheit) und Artikel 10 (Haft), ausreichend sind, wenngleich einige wenige Mitgliedstaaten vorgeschlagen haben, mögliche Änderungen zu prüfen, und ein Mitgliedstaat vorgeschlagen hat, einen Erwägungsgrund aufzunehmen. </w:t>
      </w:r>
    </w:p>
    <w:p w:rsidR="00D633A7" w:rsidRPr="00253C15" w:rsidRDefault="00693ED0" w:rsidP="000A20A8">
      <w:pPr>
        <w:rPr>
          <w:noProof/>
          <w:szCs w:val="24"/>
        </w:rPr>
      </w:pPr>
      <w:r w:rsidRPr="00253C15">
        <w:rPr>
          <w:noProof/>
        </w:rPr>
        <w:t xml:space="preserve">Konsultationen mit Mitgliedern des </w:t>
      </w:r>
      <w:r w:rsidRPr="00253C15">
        <w:rPr>
          <w:b/>
          <w:noProof/>
        </w:rPr>
        <w:t>Europäischen Parlaments</w:t>
      </w:r>
      <w:r w:rsidRPr="00253C15">
        <w:rPr>
          <w:noProof/>
        </w:rPr>
        <w:t xml:space="preserve"> ergaben erhebliche Meinungsverschiedenheiten zwischen den Mitgliedern. Einige Mitglieder befürworteten die Streichung des Verbindungskriteriums und die Abschaffung der automatischen aufschiebenden Wirkung von Rechtsbehelfen und argumentierten, dass diese Änderungen die Effizienz verbessern und die Sekundärmigration eindämmen würden. Andere Mitglieder lehnten beide Vorschläge ab und warnten, dass das Fehlen eines Verbindungskriteriums die Integration in den Drittstaat behindern, die Sekundärmigration erhöhen und Personen, die in den Drittstaat überstellt werden, ohne Schutz belassen könnte. Gleichzeitig betonten sie, wie wichtig es sei, das Recht des Einzelnen auf Asyl in der EU zu wahren und die langfristige Tragfähigkeit der Überstellungen zu gewährleisten. Darüber hinaus wurden Bedenken hinsichtlich der Gefahr einer Zunahme von Gerichtsverfahren und der potenziellen Gefahr einer Zurückweisung geäußert, wenn die aufschiebende Wirkung von Rechtsbehelfen beseitigt würde. Ferner wurde argumentiert, dass der Schwerpunkt weiterhin auf der Umsetzung des Pakets liegen sollte, anstatt Änderungen einzuführen, die sein sorgfältig ausgehandeltes Gleichgewicht stören könnten. Einige Mitglieder wiesen darauf hin, dass jede Änderung des Konzepts des sicheren Drittstaats mit starken Kooperationsvereinbarungen mit Drittstaaten einhergehen müsse, die auch gewährleisten würden, dass überstellte Personen Zugang zu wirksamem Schutz hätten. </w:t>
      </w:r>
    </w:p>
    <w:p w:rsidR="00693ED0" w:rsidRPr="00253C15" w:rsidRDefault="001546F3" w:rsidP="000A20A8">
      <w:pPr>
        <w:rPr>
          <w:noProof/>
        </w:rPr>
      </w:pPr>
      <w:r w:rsidRPr="00253C15">
        <w:rPr>
          <w:noProof/>
        </w:rPr>
        <w:t xml:space="preserve">Die </w:t>
      </w:r>
      <w:r w:rsidRPr="00253C15">
        <w:rPr>
          <w:b/>
          <w:noProof/>
        </w:rPr>
        <w:t>Organisationen der Zivilgesellschaft</w:t>
      </w:r>
      <w:r w:rsidRPr="00253C15">
        <w:rPr>
          <w:noProof/>
        </w:rPr>
        <w:t xml:space="preserve"> lehnten die Überarbeitung des Konzepts des sicheren Drittstaats generell ab und wiesen auf mehrere zentrale Bedenken hinsichtlich der praktischen Umsetzung dieses Konzepts hin. Sie warnten davor, dass die Überarbeitung zu einer Zunahme von Rechtsstreitigkeiten, gerichtlichen Eingriffen und Verwaltungsaufwand führen und sich negativ auf das Dublin-System und die Zusammenarbeit mit Drittstaaten auswirken könnte. Die Auswirkungen auf schutzbedürftige Antragsteller waren ein weiteres wichtiges Anliegen und es wurde gefordert, dass das Verbindungskriterium für diese Gruppe verbindlich bleibt.</w:t>
      </w:r>
    </w:p>
    <w:p w:rsidR="00B20373" w:rsidRPr="00253C15" w:rsidRDefault="00C20F41" w:rsidP="000A20A8">
      <w:pPr>
        <w:rPr>
          <w:noProof/>
        </w:rPr>
      </w:pPr>
      <w:r w:rsidRPr="00253C15">
        <w:rPr>
          <w:noProof/>
        </w:rPr>
        <w:t xml:space="preserve">Der </w:t>
      </w:r>
      <w:r w:rsidRPr="00253C15">
        <w:rPr>
          <w:b/>
          <w:noProof/>
        </w:rPr>
        <w:t>UNHCR</w:t>
      </w:r>
      <w:r w:rsidRPr="00253C15">
        <w:rPr>
          <w:noProof/>
        </w:rPr>
        <w:t xml:space="preserve"> räumte zwar ein, dass das Verbindungskriterium keine völkerrechtliche Anforderung ist, bekräftigte jedoch seine Vorbehalte gegen seine Streichung, darunter Bedenken hinsichtlich der langfristigen Tragfähigkeit der Überstellungen ohne Verbindung und des Risikos, dass überstellte Personen aufgrund möglicher späterer Ablehnungen von Schutzansprüchen auch im sicheren Drittstaat in einer unklaren Rechtslage bleiben könnten. Der UNHCR betonte die Notwendigkeit solider zusätzlicher Garantien für den Fall, dass das Verbindungskriterium gestrichen wird. Der UNHCR äußerte auch einige Bedenken in Bezug auf das Konzept des sicheren Drittstaats, die jedoch nicht direkt mit den Überarbeitungsvorschlägen zusammenhingen. </w:t>
      </w:r>
    </w:p>
    <w:p w:rsidR="00693ED0" w:rsidRPr="00253C15" w:rsidRDefault="00693ED0" w:rsidP="000A20A8">
      <w:pPr>
        <w:rPr>
          <w:noProof/>
        </w:rPr>
      </w:pPr>
      <w:r w:rsidRPr="00253C15">
        <w:rPr>
          <w:noProof/>
        </w:rPr>
        <w:t xml:space="preserve">Was die </w:t>
      </w:r>
      <w:r w:rsidRPr="00253C15">
        <w:rPr>
          <w:b/>
          <w:noProof/>
        </w:rPr>
        <w:t>aufschiebende Wirkung von Rechtsbehelfen</w:t>
      </w:r>
      <w:r w:rsidRPr="00253C15">
        <w:rPr>
          <w:noProof/>
        </w:rPr>
        <w:t xml:space="preserve"> betrifft, so befürworteten die meisten Mitgliedstaaten und einige Mitglieder des Europäischen Parlaments die Option einer nicht automatischen aufschiebenden Wirkung. Sie argumentierten, dass die Abschaffung der automatischen aufschiebenden Wirkung die Verfahrensverzögerungen verringern könnte, und wiesen darauf hin, dass dies auch im Einklang mit der kurzen Dauer von beschleunigten Verfahren und Grenzverfahren im Rahmen der derzeitigen Asylverfahrensverordnung stünde. Darüber hinaus könnte die Abschaffung der automatischen aufschiebenden Wirkung die finanziellen Belastungen im Zusammenhang mit der Bereitstellung von Aufnahmebedingungen für Antragsteller, deren Schutzanträge geprüft werden, verringern. Sie machten ferner geltend, dass diese Maßnahme den Missbrauch von Rechtsbehelfsmöglichkeiten durch Antragsteller, die ihre Abschiebung verzögern wollten, verhindern und dazu beitragen könnte, die Gefahr von Flucht und Sekundärmigration zu reduzieren.</w:t>
      </w:r>
    </w:p>
    <w:p w:rsidR="00693ED0" w:rsidRPr="00253C15" w:rsidRDefault="000A7729" w:rsidP="000A20A8">
      <w:pPr>
        <w:rPr>
          <w:noProof/>
        </w:rPr>
      </w:pPr>
      <w:r w:rsidRPr="00253C15">
        <w:rPr>
          <w:noProof/>
        </w:rPr>
        <w:t>Einige wenige Mitgliedstaaten, einige Mitglieder des Europäischen Parlaments, der UNHCR und die Organisationen der Zivilgesellschaft äußerten sich besorgt über die Aufhebung der automatischen aufschiebenden Wirkung. Ihrer Ansicht nach könnte eine solche Änderung die Arbeitsbelastung der für die Rechtsbehelfe zuständigen Gerichte erheblich erhöhen und sie warnten vor potenziellen Zurückweisungsrisiken. Der UNHCR vertrat die Auffassung, dass die Aufhebung der automatischen aufschiebenden Wirkung das Haftrisiko bei Rechtsbehelfen erhöhen könnte und dass, selbst wenn die Rückkehrentscheidung eine aufschiebende Wirkung beibehält, ein erhebliches Risiko einer unrechtmäßigen Überstellung gefährdeter Antragsteller besteht sowie dass selbst dann, wenn eine Abschiebungsmaßnahme automatisch ausgesetzt wird, dies möglicherweise keinen wirksamen Rechtsbehelf gegen Asylverweigerungen aufgrund des Konzepts des sicheren Drittstaats gewährleistet.</w:t>
      </w:r>
    </w:p>
    <w:p w:rsidR="00693ED0" w:rsidRPr="00253C15" w:rsidRDefault="00693ED0" w:rsidP="00693ED0">
      <w:pPr>
        <w:pStyle w:val="ManualHeading2"/>
        <w:rPr>
          <w:rFonts w:eastAsia="Arial Unicode MS"/>
          <w:noProof/>
          <w:bdr w:val="nil"/>
        </w:rPr>
      </w:pPr>
      <w:r w:rsidRPr="00253C15">
        <w:rPr>
          <w:noProof/>
          <w:bdr w:val="nil"/>
        </w:rPr>
        <w:t>•</w:t>
      </w:r>
      <w:r w:rsidRPr="00253C15">
        <w:rPr>
          <w:noProof/>
        </w:rPr>
        <w:tab/>
      </w:r>
      <w:r w:rsidRPr="00253C15">
        <w:rPr>
          <w:noProof/>
          <w:bdr w:val="nil"/>
        </w:rPr>
        <w:t>Faktengestützte Politikgestaltung</w:t>
      </w:r>
    </w:p>
    <w:p w:rsidR="00693ED0" w:rsidRPr="00253C15" w:rsidRDefault="00693ED0" w:rsidP="000A20A8">
      <w:pPr>
        <w:rPr>
          <w:noProof/>
        </w:rPr>
      </w:pPr>
      <w:r w:rsidRPr="00253C15">
        <w:rPr>
          <w:noProof/>
        </w:rPr>
        <w:t xml:space="preserve">In Artikel 77 der Asylverfahrensverordnung wird die Kommission aufgefordert, das Konzept des sicheren Drittstaats bis Juni 2025, d. h. vor der Anwendung der Verordnung im Juni 2026, zu überprüfen und erforderlichenfalls legislative Änderungen vorzuschlagen. </w:t>
      </w:r>
    </w:p>
    <w:p w:rsidR="00693ED0" w:rsidRPr="00253C15" w:rsidRDefault="002168F8" w:rsidP="000A20A8">
      <w:pPr>
        <w:rPr>
          <w:noProof/>
        </w:rPr>
      </w:pPr>
      <w:r w:rsidRPr="00253C15">
        <w:rPr>
          <w:noProof/>
        </w:rPr>
        <w:t xml:space="preserve">Bei der Überprüfung des Konzepts des sicheren Drittstaats berücksichtigte die Kommission die Erfahrungen der Mitgliedstaaten mit seiner bisherigen Anwendung, einschließlich der in verschiedenen Foren geäußerten Herausforderungen. Die Kommission führte auch breit angelegte Konsultationen der Interessenträger durch, um Erkenntnisse zu sammeln. Schließlich analysierte die Kommission die einschlägige Rechtsprechung des Gerichtshofs der Europäischen Union und des Europäischen Gerichtshofs für Menschenrechte. </w:t>
      </w:r>
    </w:p>
    <w:p w:rsidR="00693ED0" w:rsidRPr="00253C15" w:rsidRDefault="00693ED0" w:rsidP="00693ED0">
      <w:pPr>
        <w:pStyle w:val="ManualHeading2"/>
        <w:rPr>
          <w:rFonts w:eastAsia="Arial Unicode MS"/>
          <w:noProof/>
          <w:u w:color="000000"/>
          <w:bdr w:val="nil"/>
        </w:rPr>
      </w:pPr>
      <w:r w:rsidRPr="00253C15">
        <w:rPr>
          <w:noProof/>
          <w:u w:color="000000"/>
          <w:bdr w:val="nil"/>
        </w:rPr>
        <w:t>•</w:t>
      </w:r>
      <w:r w:rsidRPr="00253C15">
        <w:rPr>
          <w:noProof/>
        </w:rPr>
        <w:tab/>
      </w:r>
      <w:r w:rsidRPr="00253C15">
        <w:rPr>
          <w:noProof/>
          <w:u w:color="000000"/>
          <w:bdr w:val="nil"/>
        </w:rPr>
        <w:t>Grundrechte</w:t>
      </w:r>
    </w:p>
    <w:p w:rsidR="00693ED0" w:rsidRPr="00253C15" w:rsidRDefault="00693ED0" w:rsidP="000A20A8">
      <w:pPr>
        <w:rPr>
          <w:noProof/>
          <w:szCs w:val="24"/>
        </w:rPr>
      </w:pPr>
      <w:r w:rsidRPr="00253C15">
        <w:rPr>
          <w:noProof/>
        </w:rPr>
        <w:t>Dieser Vorschlag achtet die Grundrechte und wahrt die Grundsätze, die insbesondere in der Charta der Grundrechte der Europäischen Union verankert sind und sich aus völkerrechtlichen Verpflichtungen ergeben, etwa aus der Genfer Flüchtlingskonvention, der Europäischen Konvention zum Schutz der Menschenrechte und Grundfreiheiten, dem Internationalen Pakt über bürgerliche und politische Rechte, dem Übereinkommen der Vereinten Nationen gegen Folter und dem Übereinkommen der Vereinten Nationen über die Rechte des Kindes.</w:t>
      </w:r>
    </w:p>
    <w:p w:rsidR="00F204C1" w:rsidRPr="00253C15" w:rsidRDefault="2EC87945" w:rsidP="000A20A8">
      <w:pPr>
        <w:rPr>
          <w:noProof/>
        </w:rPr>
      </w:pPr>
      <w:r w:rsidRPr="00253C15">
        <w:rPr>
          <w:noProof/>
        </w:rPr>
        <w:t xml:space="preserve">Der Vorschlag steht im Einklang mit Artikel 18 der EU-Charta, in dem ein Recht auf Asyl in der EU verankert ist. Die Tatsache, dass ein Abkommen oder eine Vereinbarung mit einem Drittstaat die Prüfung der Begründetheit der Anträge auf wirksamen Schutz erfordert, die von Antragstellern gestellt werden, die unter dieses Abkommen oder diese Vereinbarung fallen, stellt sicher, dass die überstellte Person, sofern sie dazu berechtigt ist, in dem sicheren Drittstaat Schutz erhält. Der Vorschlag steht auch im Einklang mit Artikel 24 der EU-Charta, in dem bei allen Kinder betreffenden Maßnahmen deren Recht auf den Schutz und die Fürsorge, die für ihr Wohlergehen notwendig sind, und das Wohl des Kindes als vorrangige Erwägung festgelegt sind. Darüber hinaus garantiert der Vorschlag, dass jeder einzelne Antragsteller, auf den das Konzept des sicheren Drittstaats in einem Mitgliedstaat angewandt wird, in vollem Umfang in den Genuss aller Verfahrensgarantien kommt, die in der Asylverfahrensverordnung im Zusammenhang mit Unzulässigkeitsverfahren und Rechtsbehelfen gegen Unzulässigkeitsentscheidungen zur Verfügung stehen, die wiederum vollständig mit den Artikeln 3 und 4 des Protokolls Nr. 4 der Europäischen Menschenrechtskonvention und der Rechtsprechung des EGMR zu diesen Rechten in Einklang stehen. </w:t>
      </w:r>
    </w:p>
    <w:p w:rsidR="00693ED0" w:rsidRPr="00253C15" w:rsidRDefault="00693ED0" w:rsidP="000A20A8">
      <w:pPr>
        <w:rPr>
          <w:noProof/>
        </w:rPr>
      </w:pPr>
      <w:r w:rsidRPr="00253C15">
        <w:rPr>
          <w:noProof/>
        </w:rPr>
        <w:t xml:space="preserve">Der Vorschlag steht auch im Einklang mit der Verpflichtung, den Grundsatz der Nichtzurückweisung zu achten, der im Rahmen der Asylverfahrensverordnung gewährleistet ist und im Rahmen der neuen Vorschriften über die Anwendung des Konzepts des sicheren Drittstaats weiterhin gewährleistet wird. Die Gefahr der Zurückweisung muss bei der Prüfung der Zulässigkeit des Asylantrags auf der Grundlage des Konzepts des sicheren Drittstaats, bei der Beurteilung, ob ein Drittstaat im Allgemeinen „sicher“ ist, und für jede Person im Besonderen berücksichtigt werden. In dem Vorschlag wird festgelegt, dass die Wirkungen einer Rückkehrentscheidung im Zusammenhang mit der Unzulässigkeitsentscheidung, die auf der Anwendung des Konzepts des sicheren Drittstaats beruht und gemäß Artikel 37 der Asylverfahrensverordnung erlassen wurde, automatisch ausgesetzt werden, solange der Antragsteller über einen anhängigen Rechtsbehelf verfügt, bei dem er Ansprüche im Zusammenhang mit der Gefahr der Zurückweisung hat. Der Vorschlag für eine Rückführungsverordnung bekräftigt diese Garantie erneut, die bereits im Rahmen der geltenden Rückführungsrichtlinie zur Verfügung stand. </w:t>
      </w:r>
    </w:p>
    <w:p w:rsidR="00693ED0" w:rsidRPr="00253C15" w:rsidRDefault="2EC87945" w:rsidP="5E58FB0C">
      <w:pPr>
        <w:rPr>
          <w:noProof/>
        </w:rPr>
      </w:pPr>
      <w:r w:rsidRPr="00253C15">
        <w:rPr>
          <w:noProof/>
        </w:rPr>
        <w:t>Der Vorschlag trägt auch den besonderen Bedürfnissen unbegleiteter Minderjähriger Rechnung und steht im Einklang mit der EU-Politik zum Schutz der Rechte von Kindern. Für unbegleitete Minderjährige ergänzt die Anwendung des Konzepts des sicheren Drittstaats, die auf dem Bestehen einer Verbindung oder einer Durchreise beruht, die bereits in der Asylverfahrensverordnung festgelegten Garantien. Wenn die Mitgliedstaaten das Konzept des sicheren Drittstaats auf unbegleitete Minderjährige anwenden, erfordert die Asylverfahrensverordnung bereits eine individuelle Bewertung auf der Grundlage des Kindeswohls. Im Kontext des Konzepts des sicheren Drittstaats wird im Rahmen dieser Bewertung auch überprüft, ob in dem Drittstaat geeignete Vorkehrungen zum Schutz des unbegleiteten Minderjährigen bestehen und sichergestellt wird, dass er Unterstützung, die auf seine spezifischen Bedürfnisse zugeschnitten ist, und sofortigen Zugang zu wirksamem Schutz erhält. Unbegleitete Minderjährige befinden sich in einer besonderen Situation der Schutzbedürftigkeit und benötigen spezifische Unterstützung, die häufig von privaten Akteuren im Aufnahmeland geleistet werden kann.</w:t>
      </w:r>
    </w:p>
    <w:p w:rsidR="00693ED0" w:rsidRPr="00253C15" w:rsidRDefault="00693ED0" w:rsidP="000A20A8">
      <w:pPr>
        <w:rPr>
          <w:noProof/>
          <w:szCs w:val="24"/>
        </w:rPr>
      </w:pPr>
      <w:r w:rsidRPr="00253C15">
        <w:rPr>
          <w:noProof/>
        </w:rPr>
        <w:t xml:space="preserve">Das Recht auf einen wirksamen Rechtsbehelf ist angemessen gewährleistet, wenn die automatische aufschiebende Wirkung des Rechtsbehelfs gegen die Unzulässigkeitsentscheidung aufgrund des Konzepts des sicheren Drittstaats aufgehoben wird, da Antragsteller das Recht haben, vor Gericht das Recht auf Verbleib bis zum Abschluss des anhängigen Rechtsbehelfs zu beantragen. </w:t>
      </w:r>
    </w:p>
    <w:p w:rsidR="00693ED0" w:rsidRPr="00253C15" w:rsidRDefault="00693ED0" w:rsidP="00693ED0">
      <w:pPr>
        <w:pStyle w:val="ManualHeading1"/>
        <w:rPr>
          <w:noProof/>
        </w:rPr>
      </w:pPr>
      <w:r w:rsidRPr="00253C15">
        <w:rPr>
          <w:noProof/>
        </w:rPr>
        <w:t>4.</w:t>
      </w:r>
      <w:r w:rsidRPr="00253C15">
        <w:rPr>
          <w:noProof/>
        </w:rPr>
        <w:tab/>
        <w:t>AUSWIRKUNGEN AUF DEN HAUSHALT</w:t>
      </w:r>
    </w:p>
    <w:p w:rsidR="00693ED0" w:rsidRPr="00253C15" w:rsidRDefault="00693ED0" w:rsidP="000A20A8">
      <w:pPr>
        <w:rPr>
          <w:rFonts w:eastAsia="Arial Unicode MS"/>
          <w:noProof/>
        </w:rPr>
      </w:pPr>
      <w:r w:rsidRPr="00253C15">
        <w:rPr>
          <w:noProof/>
        </w:rPr>
        <w:t>Dieser Vorschlag beinhaltet keine finanziellen oder administrativen Belastungen für die Union. Er hat daher keine Auswirkungen auf den Unionshaushalt. Dieser Vorschlag geht auf die Asylverfahrensverordnung (EU) 2024/1348 zurück, mit der mehrere Änderungen der Vorschriften über sichere Drittstaaten eingeführt wurden und die daher Teil des im Mai 2024 angenommenen Migrations- und Asylpakets ist, für das bereits Mittel vorgesehen sind. Die Anwendung des Konzepts des sicheren Drittstaats ist für die Mitgliedstaaten nicht neu und die Unterstützung für Investitionen, die für die Anwendung dieses Konzepts erforderlich sind, ist im Rahmen des bestehenden Asyl-, Migrations- und Integrationsfonds förderfähig. Die Asylagentur der Europäischen Union (EUAA) kann die Mitgliedstaaten im Rahmen ihrer jeweiligen Mandate zu demselben Zweck mit Personal unterstützen.</w:t>
      </w:r>
    </w:p>
    <w:p w:rsidR="00693ED0" w:rsidRPr="00253C15" w:rsidRDefault="00693ED0" w:rsidP="00693ED0">
      <w:pPr>
        <w:pStyle w:val="ManualHeading1"/>
        <w:rPr>
          <w:noProof/>
        </w:rPr>
      </w:pPr>
      <w:r w:rsidRPr="00253C15">
        <w:rPr>
          <w:noProof/>
        </w:rPr>
        <w:t>5.</w:t>
      </w:r>
      <w:r w:rsidRPr="00253C15">
        <w:rPr>
          <w:noProof/>
        </w:rPr>
        <w:tab/>
        <w:t>WEITERE ANGABEN</w:t>
      </w:r>
    </w:p>
    <w:p w:rsidR="00693ED0" w:rsidRPr="00253C15" w:rsidRDefault="00693ED0" w:rsidP="00693ED0">
      <w:pPr>
        <w:pStyle w:val="ManualHeading2"/>
        <w:rPr>
          <w:rFonts w:eastAsia="Arial Unicode MS"/>
          <w:noProof/>
          <w:u w:color="000000"/>
          <w:bdr w:val="nil"/>
        </w:rPr>
      </w:pPr>
      <w:r w:rsidRPr="00253C15">
        <w:rPr>
          <w:noProof/>
          <w:u w:color="000000"/>
          <w:bdr w:val="nil"/>
        </w:rPr>
        <w:t>•</w:t>
      </w:r>
      <w:r w:rsidRPr="00253C15">
        <w:rPr>
          <w:noProof/>
        </w:rPr>
        <w:tab/>
      </w:r>
      <w:r w:rsidRPr="00253C15">
        <w:rPr>
          <w:noProof/>
          <w:u w:color="000000"/>
          <w:bdr w:val="nil"/>
        </w:rPr>
        <w:t>Durchführungspläne sowie Monitoring-, Bewertungs- und Berichterstattungsmodalitäten</w:t>
      </w:r>
    </w:p>
    <w:p w:rsidR="006120F6" w:rsidRPr="00253C15" w:rsidRDefault="00693ED0" w:rsidP="000A20A8">
      <w:pPr>
        <w:rPr>
          <w:rFonts w:eastAsia="Arial Unicode MS"/>
          <w:noProof/>
        </w:rPr>
      </w:pPr>
      <w:r w:rsidRPr="00253C15">
        <w:rPr>
          <w:noProof/>
        </w:rPr>
        <w:t xml:space="preserve">Gemäß Artikel 75 der Asylverfahrensverordnung sind die Mitgliedstaaten verpflichtet, nationale Durchführungspläne auf der Grundlage des von der Kommission ausgearbeiteten gemeinsamen Durchführungsplans zu erstellen. Die Kommission muss die Durchführung dieser nationalen Pläne sorgfältig überwachen. Sobald die Rechtstexte im Rahmen des Pakets in Kraft treten, wird die Asylagentur der Europäischen Union gemäß Artikel 14 der EUAA-Verordnung (EU) 2021/2303 die operative und technische Anwendung des Gemeinsamen Europäischen Asylsystems überwachen. Die Anwendung des Konzepts des sicheren Drittstaats wird in die von der EUAA durchgeführte Überwachung einbezogen. Darüber hinaus müssen die Jahresberichte, die die Kommission gemäß Artikel 9 der Verordnung über Asyl- und Migrationsmanagement annehmen muss, die Ergebnisse der Überwachung durch die EUAA enthalten. </w:t>
      </w:r>
    </w:p>
    <w:p w:rsidR="00693ED0" w:rsidRPr="00253C15" w:rsidRDefault="00693ED0" w:rsidP="000A20A8">
      <w:pPr>
        <w:rPr>
          <w:rFonts w:eastAsia="Arial Unicode MS"/>
          <w:noProof/>
        </w:rPr>
      </w:pPr>
      <w:r w:rsidRPr="00253C15">
        <w:rPr>
          <w:noProof/>
        </w:rPr>
        <w:t xml:space="preserve">Diese verschiedenen Elemente müssen von der Kommission bei der Beurteilung der Frage berücksichtigt werden, ob Mitgliedstaaten einem Migrationsdruck ausgesetzt sind, der Gefahr des Entstehens eines solchen Drucks ausgesetzt sind oder mit einer ausgeprägten Migrationslage konfrontiert sind. Sie sind auch für die Feststellung relevant, ob ein Mitgliedstaat systemische Mängel aufweist, die schwerwiegende negative Auswirkungen auf das Funktionieren des Dublin-Systems haben könnten. </w:t>
      </w:r>
    </w:p>
    <w:p w:rsidR="00693ED0" w:rsidRPr="00253C15" w:rsidRDefault="00693ED0" w:rsidP="000A20A8">
      <w:pPr>
        <w:rPr>
          <w:rFonts w:eastAsia="Arial Unicode MS"/>
          <w:noProof/>
        </w:rPr>
      </w:pPr>
      <w:r w:rsidRPr="00253C15">
        <w:rPr>
          <w:noProof/>
        </w:rPr>
        <w:t xml:space="preserve">Die in diesem Vorschlag enthaltene Transparenzklausel, die die Mitgliedstaaten verpflichtet, die Kommission und die anderen Mitgliedstaaten vor dem Abschluss von Abkommen oder Vereinbarungen mit Drittstaaten zu unterrichten, würde es der Kommission auch ermöglichen, sich einen vollständigen Überblick über die Umsetzung des Konzepts des sicheren Drittstaats zu verschaffen. </w:t>
      </w:r>
    </w:p>
    <w:p w:rsidR="00693ED0" w:rsidRPr="00253C15" w:rsidRDefault="00693ED0" w:rsidP="00693ED0">
      <w:pPr>
        <w:pStyle w:val="ManualHeading2"/>
        <w:rPr>
          <w:rFonts w:eastAsia="Arial Unicode MS"/>
          <w:noProof/>
          <w:bdr w:val="nil"/>
        </w:rPr>
      </w:pPr>
      <w:r w:rsidRPr="00253C15">
        <w:rPr>
          <w:noProof/>
          <w:bdr w:val="nil"/>
        </w:rPr>
        <w:t>•</w:t>
      </w:r>
      <w:r w:rsidRPr="00253C15">
        <w:rPr>
          <w:noProof/>
        </w:rPr>
        <w:tab/>
      </w:r>
      <w:r w:rsidRPr="00253C15">
        <w:rPr>
          <w:noProof/>
          <w:bdr w:val="nil"/>
        </w:rPr>
        <w:t>Ausführliche Erläuterung einzelner Bestimmungen des Vorschlags</w:t>
      </w:r>
    </w:p>
    <w:p w:rsidR="00693ED0" w:rsidRPr="00253C15" w:rsidRDefault="00B46BD6" w:rsidP="00693ED0">
      <w:pPr>
        <w:spacing w:before="0" w:after="0"/>
        <w:rPr>
          <w:b/>
          <w:bCs/>
          <w:noProof/>
        </w:rPr>
      </w:pPr>
      <w:r w:rsidRPr="00253C15">
        <w:rPr>
          <w:b/>
          <w:noProof/>
        </w:rPr>
        <w:t xml:space="preserve">Optionen für die Anwendung des Konzepts des sicheren Drittstaats </w:t>
      </w:r>
    </w:p>
    <w:p w:rsidR="00FD3F99" w:rsidRPr="00253C15" w:rsidRDefault="00626ECE" w:rsidP="00D76805">
      <w:pPr>
        <w:rPr>
          <w:noProof/>
        </w:rPr>
      </w:pPr>
      <w:r w:rsidRPr="00253C15">
        <w:rPr>
          <w:noProof/>
        </w:rPr>
        <w:t xml:space="preserve">Die Anwendung des völkerrechtlich nicht erforderlichen Verbindungskriteriums ist unionsrechtlich nicht mehr zwingend erforderlich, was bedeutet, dass die Mitgliedstaaten die Wahl haben, ob sie es anwenden oder nicht. </w:t>
      </w:r>
    </w:p>
    <w:p w:rsidR="004A5C94" w:rsidRPr="00253C15" w:rsidRDefault="51DEA5B1" w:rsidP="004A5C94">
      <w:pPr>
        <w:rPr>
          <w:noProof/>
        </w:rPr>
      </w:pPr>
      <w:r w:rsidRPr="00253C15">
        <w:rPr>
          <w:noProof/>
        </w:rPr>
        <w:t>Bei der Anwendung des Konzepts des sicheren Drittstaats haben die Mitgliedstaaten drei Optionen:</w:t>
      </w:r>
    </w:p>
    <w:p w:rsidR="20DC8698" w:rsidRPr="00253C15" w:rsidRDefault="005752BD" w:rsidP="006B0911">
      <w:pPr>
        <w:pStyle w:val="Numberedpara"/>
        <w:rPr>
          <w:noProof/>
        </w:rPr>
      </w:pPr>
      <w:r w:rsidRPr="00253C15">
        <w:rPr>
          <w:noProof/>
        </w:rPr>
        <w:t>das Konzept des sicheren Drittstaats anzuwenden, wenn eine Verbindung im Sinne des nationalen Rechts im Einklang mit den in der Rechtsprechung des EuGH und internationalen Standards festgelegten Parametern besteht,</w:t>
      </w:r>
      <w:r w:rsidRPr="00253C15">
        <w:rPr>
          <w:i/>
          <w:noProof/>
        </w:rPr>
        <w:t xml:space="preserve"> oder</w:t>
      </w:r>
    </w:p>
    <w:p w:rsidR="004A5C94" w:rsidRPr="00253C15" w:rsidRDefault="005752BD" w:rsidP="006B0911">
      <w:pPr>
        <w:pStyle w:val="Numberedpara"/>
        <w:rPr>
          <w:i/>
          <w:noProof/>
        </w:rPr>
      </w:pPr>
      <w:r w:rsidRPr="00253C15">
        <w:rPr>
          <w:noProof/>
        </w:rPr>
        <w:t xml:space="preserve">das Konzept des sicheren Drittstaats anzuwenden, indem die Durchreise als ausreichendes Kriterium betrachtet wird, </w:t>
      </w:r>
      <w:r w:rsidRPr="00253C15">
        <w:rPr>
          <w:i/>
          <w:noProof/>
        </w:rPr>
        <w:t>oder</w:t>
      </w:r>
    </w:p>
    <w:p w:rsidR="00D014D5" w:rsidRPr="00253C15" w:rsidRDefault="005752BD" w:rsidP="000A549A">
      <w:pPr>
        <w:pStyle w:val="Numberedpara"/>
        <w:rPr>
          <w:noProof/>
        </w:rPr>
      </w:pPr>
      <w:r w:rsidRPr="00253C15">
        <w:rPr>
          <w:noProof/>
        </w:rPr>
        <w:t>das Konzept des sicheren Drittstaats auf der Grundlage eines Abkommens oder einer Vereinbarung mit einem Drittstaat anzuwenden, das bzw. die die Prüfung der Begründetheit der Anträge auf wirksamen Schutz erfordert, die von Antragstellern gestellt wurden, die unter dieses Abkommen oder diese Vereinbarung fallen. Dies gilt nicht für unbegleitete Minderjährige.</w:t>
      </w:r>
    </w:p>
    <w:p w:rsidR="0095279A" w:rsidRPr="00253C15" w:rsidRDefault="7E1E006A" w:rsidP="005752BD">
      <w:pPr>
        <w:rPr>
          <w:noProof/>
        </w:rPr>
      </w:pPr>
      <w:bookmarkStart w:id="5" w:name="_Hlk196493190"/>
      <w:r w:rsidRPr="00253C15">
        <w:rPr>
          <w:noProof/>
        </w:rPr>
        <w:t xml:space="preserve">Die Anforderung, dass das Konzept des sicheren Drittstaats, sofern keine Verbindung und keine Durchreise vorliegen, nur auf der Grundlage eines Abkommens oder einer Vereinbarung mit einem Drittstaat angewandt werden sollte, bedeutet, dass Antragsteller Zugang zu einem Verfahren in sicheren Drittstaaten haben und gegebenenfalls wirksamen Schutz erhalten könnten, unbeschadet der Entscheidung des Drittstaats, ob die Person die Voraussetzungen für die Gewährung dieses Schutzes erfüllt. </w:t>
      </w:r>
      <w:bookmarkEnd w:id="5"/>
    </w:p>
    <w:p w:rsidR="005752BD" w:rsidRPr="00253C15" w:rsidRDefault="70894AE1" w:rsidP="1E7FF2FC">
      <w:pPr>
        <w:rPr>
          <w:noProof/>
        </w:rPr>
      </w:pPr>
      <w:r w:rsidRPr="00253C15">
        <w:rPr>
          <w:noProof/>
        </w:rPr>
        <w:t>Das Bestehen einer Verbindung oder einer vorherigen Durchreise, die eine Verbindung zu dem sicheren Drittstaat herstellt, ist obligatorisch, wenn das Konzept des sicheren Drittstaats auf unbegleitete Minderjährige angewandt wird. Diese Anforderung verringert ihre Exposition gegenüber unzureichendem Schutz und sozialer Isolation. Unbegleitete Minderjährige befinden sich in einer Situation der Schutzbedürftigkeit und benötigen zusätzliche Unterstützung, wenn das Konzept des sicheren Drittstaats auf sie angewandt wird. Dies wird in Artikel 59 Absatz 6 der Asylverfahrensverordnung anerkannt, wonach ein Drittstaat nur dann als für einen unbegleiteten Minderjährigen sicher angesehen werden kann, wenn dies dem Wohl des Kindes nicht zuwiderläuft und wenn Garantien bestehen, dass die Behörden des Drittstaats den unbegleiteten Minderjährigen betreuen und ihm unverzüglich Unterstützung und Zugang zu wirksamem Schutz gewähren.</w:t>
      </w:r>
    </w:p>
    <w:p w:rsidR="00693ED0" w:rsidRPr="00253C15" w:rsidRDefault="00222AF6" w:rsidP="262547B6">
      <w:pPr>
        <w:rPr>
          <w:noProof/>
        </w:rPr>
      </w:pPr>
      <w:r w:rsidRPr="00253C15">
        <w:rPr>
          <w:noProof/>
        </w:rPr>
        <w:t xml:space="preserve">Mit dem Migrations- und Asylpaket wird ein stärker integriertes gemeinsames europäisches System geschaffen, in dem sich Entscheidungen eines Mitgliedstaats auf andere Mitgliedstaaten auswirken. Das Asyl- und Migrationssystem des Pakets beruht auf Vertrauen und umfasst verschiedene Instrumente zur Gewährleistung der Transparenz (z. B. Überwachung der Überprüfungen und des Grenzverfahrens, Überwachungsmechanismus der EUAA), die auch für das Konzept des sicheren Drittstaats gelten sollten. Aus diesem Grund wird mit dem Vorschlag eine Transparenzklausel eingeführt, die die Mitgliedstaaten verpflichtet, die Kommission und die anderen Mitgliedstaaten vor dem Abschluss von Abkommen oder Vereinbarungen mit sicheren Drittstaaten zu unterrichten. Dies würde den Mitgliedstaaten und der Kommission auch dabei helfen, ihre Anstrengungen gegenüber Drittstaaten im Hinblick auf den Abschluss von Abkommen oder Vereinbarungen besser zu koordinieren, und den umfassenden Ansatz in Bezug auf die externe Dimension der Migration unterstützen. Zudem könnte die Kommission überwachen, ob Abkommen oder Vereinbarungen mit Drittstaaten die in der Asylverfahrensverordnung festgelegten Bedingungen erfüllen. </w:t>
      </w:r>
    </w:p>
    <w:p w:rsidR="00066806" w:rsidRPr="00253C15" w:rsidRDefault="29D483DD" w:rsidP="00E06D11">
      <w:pPr>
        <w:rPr>
          <w:noProof/>
        </w:rPr>
      </w:pPr>
      <w:r w:rsidRPr="00253C15">
        <w:rPr>
          <w:noProof/>
        </w:rPr>
        <w:t>Um die Risiken im Zusammenhang mit der Flucht aus den Mitgliedstaaten, die das Konzept des sicheren Drittstaats anwenden, in andere Mitgliedstaaten, die es nicht anwenden, zu begrenzen, sollten die Mitgliedstaaten darüber hinaus die erforderlichen Maßnahmen ergreifen können, um unerlaubte Migrationsbewegungen der Antragsteller, auf die das Konzept des sicheren Drittstaats angewandt wird, zu verhindern. Diese Maßnahmen können die Beschränkungen der Bewegungsfreiheit gemäß Artikel 9 der Richtlinie (EU) 2024/1346 oder die Inhaftnahme des betreffenden Antragstellers gemäß Artikel 10 der genannten Richtlinie bis zur Prüfung der Zulässigkeit des Antrags umfassen. In diesem Zusammenhang kann bei der Anwendung des Konzepts möglicherweise davon ausgegangen werden, dass Fluchtgefahr besteht.</w:t>
      </w:r>
    </w:p>
    <w:p w:rsidR="00693ED0" w:rsidRPr="00253C15" w:rsidRDefault="00693ED0" w:rsidP="00693ED0">
      <w:pPr>
        <w:spacing w:before="0"/>
        <w:rPr>
          <w:b/>
          <w:bCs/>
          <w:noProof/>
        </w:rPr>
      </w:pPr>
      <w:r w:rsidRPr="00253C15">
        <w:rPr>
          <w:b/>
          <w:noProof/>
        </w:rPr>
        <w:t>Nicht automatische aufschiebende Wirkung des Rechtsbehelfs gegen Unzulässigkeitsentscheidungen, die aufgrund des Konzepts des sicheren Drittstaats ergangen sind</w:t>
      </w:r>
    </w:p>
    <w:p w:rsidR="00693ED0" w:rsidRPr="00253C15" w:rsidRDefault="00693ED0" w:rsidP="000A20A8">
      <w:pPr>
        <w:rPr>
          <w:noProof/>
        </w:rPr>
      </w:pPr>
      <w:r w:rsidRPr="00253C15">
        <w:rPr>
          <w:noProof/>
        </w:rPr>
        <w:t>Um die Verfahrenseffizienz zu erhöhen, schlägt die Kommission ferner vor, Rechtsbehelfen gegen Unzulässigkeitsentscheidungen nicht automatisch aufschiebende Wirkung zu verleihen, unbeschadet von Rechtsbehelfen gegen damit zusammenhängende Rückkehrentscheidungen, bei denen die Gefahr besteht, dass der Grundsatz der Nichtzurückweisung verletzt wird. Zu diesem Zweck wird der auf der Anwendung des Konzepts des sicheren Drittstaats beruhende Grund für Unzulässigkeitsprüfungen in Artikel 68 Absatz 3 Buchstabe b hinzugefügt.</w:t>
      </w:r>
    </w:p>
    <w:p w:rsidR="00201A77" w:rsidRPr="00253C15" w:rsidRDefault="00201A77">
      <w:pPr>
        <w:rPr>
          <w:noProof/>
        </w:rPr>
        <w:sectPr w:rsidR="00201A77" w:rsidRPr="00253C15" w:rsidSect="006F53F5">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003074" w:rsidRDefault="00465262">
      <w:pPr>
        <w:pStyle w:val="Rfrenceinterinstitutionnelle"/>
        <w:rPr>
          <w:noProof/>
        </w:rPr>
      </w:pPr>
      <w:r>
        <w:rPr>
          <w:noProof/>
        </w:rPr>
        <w:t>2025/0132 (COD)</w:t>
      </w:r>
    </w:p>
    <w:p w:rsidR="00201A77" w:rsidRPr="00253C15" w:rsidRDefault="00D015ED" w:rsidP="00D015ED">
      <w:pPr>
        <w:pStyle w:val="Statut"/>
        <w:rPr>
          <w:noProof/>
        </w:rPr>
      </w:pPr>
      <w:r w:rsidRPr="00253C15">
        <w:rPr>
          <w:noProof/>
        </w:rPr>
        <w:t>Vorschlag für eine</w:t>
      </w:r>
    </w:p>
    <w:p w:rsidR="00201A77" w:rsidRPr="00253C15" w:rsidRDefault="00D015ED" w:rsidP="00D015ED">
      <w:pPr>
        <w:pStyle w:val="Typedudocument"/>
        <w:rPr>
          <w:noProof/>
        </w:rPr>
      </w:pPr>
      <w:r w:rsidRPr="00253C15">
        <w:rPr>
          <w:noProof/>
        </w:rPr>
        <w:t>VERORDNUNG DES EUROPÄISCHEN PARLAMENTS UND DES RATES</w:t>
      </w:r>
    </w:p>
    <w:p w:rsidR="00201A77" w:rsidRPr="00253C15" w:rsidRDefault="00D015ED" w:rsidP="00D015ED">
      <w:pPr>
        <w:pStyle w:val="Titreobjet"/>
        <w:rPr>
          <w:noProof/>
        </w:rPr>
      </w:pPr>
      <w:r w:rsidRPr="00253C15">
        <w:rPr>
          <w:noProof/>
        </w:rPr>
        <w:t>zur Änderung der Verordnung (EU) 2024/1348 in Bezug auf die Anwendung des Konzepts des „sicheren Drittstaats“</w:t>
      </w:r>
    </w:p>
    <w:p w:rsidR="00693ED0" w:rsidRPr="00253C15" w:rsidRDefault="00693ED0" w:rsidP="00693ED0">
      <w:pPr>
        <w:pStyle w:val="Institutionquiagit"/>
        <w:rPr>
          <w:noProof/>
        </w:rPr>
      </w:pPr>
      <w:r w:rsidRPr="00253C15">
        <w:rPr>
          <w:noProof/>
        </w:rPr>
        <w:t>DAS EUROPÄISCHE PARLAMENT UND DER RAT DER EUROPÄISCHEN UNION —</w:t>
      </w:r>
    </w:p>
    <w:p w:rsidR="00693ED0" w:rsidRPr="00253C15" w:rsidRDefault="00693ED0" w:rsidP="00693ED0">
      <w:pPr>
        <w:rPr>
          <w:noProof/>
        </w:rPr>
      </w:pPr>
      <w:r w:rsidRPr="00253C15">
        <w:rPr>
          <w:noProof/>
        </w:rPr>
        <w:t xml:space="preserve">gestützt auf den Vertrag über die Arbeitsweise der Europäischen Union, insbesondere auf Artikel 78 Absatz 2 Buchstabe d, </w:t>
      </w:r>
    </w:p>
    <w:p w:rsidR="00693ED0" w:rsidRPr="00253C15" w:rsidRDefault="00693ED0" w:rsidP="00693ED0">
      <w:pPr>
        <w:rPr>
          <w:noProof/>
        </w:rPr>
      </w:pPr>
      <w:r w:rsidRPr="00253C15">
        <w:rPr>
          <w:noProof/>
        </w:rPr>
        <w:t>auf Vorschlag der Europäischen Kommission,</w:t>
      </w:r>
    </w:p>
    <w:p w:rsidR="00693ED0" w:rsidRPr="00253C15" w:rsidRDefault="00693ED0" w:rsidP="00693ED0">
      <w:pPr>
        <w:rPr>
          <w:noProof/>
        </w:rPr>
      </w:pPr>
      <w:r w:rsidRPr="00253C15">
        <w:rPr>
          <w:noProof/>
        </w:rPr>
        <w:t>nach Zuleitung des Entwurfs des Gesetzgebungsakts an die nationalen Parlamente,</w:t>
      </w:r>
    </w:p>
    <w:p w:rsidR="00693ED0" w:rsidRPr="00253C15" w:rsidRDefault="00693ED0" w:rsidP="00693ED0">
      <w:pPr>
        <w:rPr>
          <w:noProof/>
        </w:rPr>
      </w:pPr>
      <w:r w:rsidRPr="00253C15">
        <w:rPr>
          <w:noProof/>
        </w:rPr>
        <w:t>nach Stellungnahmen des Europäischen Wirtschafts- und Sozialausschusses,</w:t>
      </w:r>
    </w:p>
    <w:p w:rsidR="00693ED0" w:rsidRPr="00253C15" w:rsidRDefault="00693ED0" w:rsidP="00693ED0">
      <w:pPr>
        <w:rPr>
          <w:noProof/>
        </w:rPr>
      </w:pPr>
      <w:r w:rsidRPr="00253C15">
        <w:rPr>
          <w:noProof/>
        </w:rPr>
        <w:t>nach Stellungnahmen des Ausschusses der Regionen,</w:t>
      </w:r>
    </w:p>
    <w:p w:rsidR="00693ED0" w:rsidRPr="00253C15" w:rsidRDefault="00693ED0" w:rsidP="00693ED0">
      <w:pPr>
        <w:rPr>
          <w:noProof/>
        </w:rPr>
      </w:pPr>
      <w:r w:rsidRPr="00253C15">
        <w:rPr>
          <w:noProof/>
        </w:rPr>
        <w:t>gemäß dem ordentlichen Gesetzgebungsverfahren,</w:t>
      </w:r>
    </w:p>
    <w:p w:rsidR="00693ED0" w:rsidRPr="00253C15" w:rsidRDefault="00693ED0" w:rsidP="00693ED0">
      <w:pPr>
        <w:rPr>
          <w:noProof/>
        </w:rPr>
      </w:pPr>
      <w:r w:rsidRPr="00253C15">
        <w:rPr>
          <w:noProof/>
        </w:rPr>
        <w:t>in Erwägung nachstehender Gründe:</w:t>
      </w:r>
    </w:p>
    <w:p w:rsidR="00693ED0" w:rsidRPr="00253C15" w:rsidRDefault="00355F75" w:rsidP="00355F75">
      <w:pPr>
        <w:pStyle w:val="ManualConsidrant"/>
        <w:rPr>
          <w:noProof/>
        </w:rPr>
      </w:pPr>
      <w:r w:rsidRPr="00355F75">
        <w:rPr>
          <w:noProof/>
        </w:rPr>
        <w:t>(1)</w:t>
      </w:r>
      <w:r w:rsidRPr="00355F75">
        <w:rPr>
          <w:noProof/>
        </w:rPr>
        <w:tab/>
      </w:r>
      <w:r w:rsidR="00693ED0" w:rsidRPr="00253C15">
        <w:rPr>
          <w:noProof/>
        </w:rPr>
        <w:t>Mit der Verordnung (EU) 2024/1348 des Europäischen Parlaments und des Rates</w:t>
      </w:r>
      <w:r w:rsidR="00693ED0" w:rsidRPr="00253C15">
        <w:rPr>
          <w:rStyle w:val="FootnoteReference"/>
          <w:noProof/>
        </w:rPr>
        <w:footnoteReference w:id="17"/>
      </w:r>
      <w:r w:rsidR="00693ED0" w:rsidRPr="00253C15">
        <w:rPr>
          <w:noProof/>
        </w:rPr>
        <w:t xml:space="preserve"> wurde ein gemeinsames Verfahren für die Zuerkennung und den Entzug des internationalen Schutzes in der Union eingeführt. Die Kommission hat die verschiedenen Elemente des Konzepts des sicheren Drittstaats überprüft, einschließlich der Sicherheitskriterien, des ordnungsgemäßen Verfahrens, des Verbindungskriteriums und der Bestimmungen über einen wirksamen Rechtsbehelf. Die Überprüfung führte zu dem Schluss, dass es Spielraum für eine Verbesserung der Anwendbarkeit des Konzepts des sicheren Drittstaats bei gleichzeitiger Wahrung der rechtlichen Garantien für Antragsteller und Wahrung der Grundrechte gibt.</w:t>
      </w:r>
    </w:p>
    <w:p w:rsidR="008C52C4" w:rsidRPr="00253C15" w:rsidRDefault="00355F75" w:rsidP="00355F75">
      <w:pPr>
        <w:pStyle w:val="ManualConsidrant"/>
        <w:rPr>
          <w:noProof/>
        </w:rPr>
      </w:pPr>
      <w:r w:rsidRPr="00355F75">
        <w:rPr>
          <w:noProof/>
        </w:rPr>
        <w:t>(2)</w:t>
      </w:r>
      <w:r w:rsidRPr="00355F75">
        <w:rPr>
          <w:noProof/>
        </w:rPr>
        <w:tab/>
      </w:r>
      <w:r w:rsidR="00693ED0" w:rsidRPr="00253C15">
        <w:rPr>
          <w:noProof/>
        </w:rPr>
        <w:t>Das Bestehen einer Verbindung zwischen dem Antragsteller und dem sicheren Drittstaat ist weder nach dem internationalen Flüchtlingsrecht, insbesondere der Genfer Konvention, noch nach den internationalen Menschenrechtsnormen, insbesondere der Europäischen Menschenrechtskonvention, erforderlich. Daher sollten die Mitgliedstaaten die Möglichkeit haben, das Konzept des sicheren Drittstaats anzuwenden, wenn keine Verbindung zwischen dem Antragsteller und dem betreffenden sicheren Drittstaat hergestellt werden kann, sofern ein Abkommen oder eine Vereinbarung mit dem betreffenden Drittstaat die Prüfung der Begründetheit von Anträgen auf wirksamen Schutz erfordert, die von Antragstellern gestellt werden, die unter dieses Abkommen oder diese Vereinbarung fallen.</w:t>
      </w:r>
    </w:p>
    <w:p w:rsidR="00693ED0" w:rsidRPr="00253C15" w:rsidRDefault="00355F75" w:rsidP="00355F75">
      <w:pPr>
        <w:pStyle w:val="ManualConsidrant"/>
        <w:rPr>
          <w:noProof/>
        </w:rPr>
      </w:pPr>
      <w:r w:rsidRPr="00355F75">
        <w:rPr>
          <w:noProof/>
        </w:rPr>
        <w:t>(3)</w:t>
      </w:r>
      <w:r w:rsidRPr="00355F75">
        <w:rPr>
          <w:noProof/>
        </w:rPr>
        <w:tab/>
      </w:r>
      <w:r w:rsidR="00693ED0" w:rsidRPr="00253C15">
        <w:rPr>
          <w:noProof/>
        </w:rPr>
        <w:t>Die Mitgliedstaaten sollten die Möglichkeit haben, das Konzept des sicheren Drittstaats auf der Grundlage einer Verbindung zwischen dem Antragsteller und dem betreffenden Drittstaat anzuwenden, nach der es sinnvoll wäre, dass sich der Antragsteller in diesen Drittstaat begibt.</w:t>
      </w:r>
    </w:p>
    <w:p w:rsidR="008D0A8A" w:rsidRPr="00253C15" w:rsidRDefault="00355F75" w:rsidP="00355F75">
      <w:pPr>
        <w:pStyle w:val="ManualConsidrant"/>
        <w:rPr>
          <w:noProof/>
        </w:rPr>
      </w:pPr>
      <w:r w:rsidRPr="00355F75">
        <w:rPr>
          <w:noProof/>
        </w:rPr>
        <w:t>(4)</w:t>
      </w:r>
      <w:r w:rsidRPr="00355F75">
        <w:rPr>
          <w:noProof/>
        </w:rPr>
        <w:tab/>
      </w:r>
      <w:r w:rsidR="00FB7BF6" w:rsidRPr="00253C15">
        <w:rPr>
          <w:noProof/>
        </w:rPr>
        <w:t>Die Mitgliedstaaten sollten auch die Möglichkeit haben, das Konzept des sicheren Drittstaats auf Antragsteller anzuwenden, die vor der Einreise in die Union durch das Hoheitsgebiet eines Drittstaats durchgereist sind, da vernünftigerweise davon ausgegangen werden kann, dass eine Person, die internationalen Schutz sucht, Schutz in einem sicheren Drittstaat, durch den sie durchgereist ist, hätte beantragen können. Eine vorherige Durchreise durch einen sicheren Drittstaat stellt eine objektive Verbindung zwischen dem Antragsteller und dem betreffenden Drittstaat dar.</w:t>
      </w:r>
    </w:p>
    <w:p w:rsidR="0090141B" w:rsidRPr="00253C15" w:rsidRDefault="00355F75" w:rsidP="00355F75">
      <w:pPr>
        <w:pStyle w:val="ManualConsidrant"/>
        <w:rPr>
          <w:noProof/>
        </w:rPr>
      </w:pPr>
      <w:r w:rsidRPr="00355F75">
        <w:rPr>
          <w:noProof/>
        </w:rPr>
        <w:t>(5)</w:t>
      </w:r>
      <w:r w:rsidRPr="00355F75">
        <w:rPr>
          <w:noProof/>
        </w:rPr>
        <w:tab/>
      </w:r>
      <w:r w:rsidR="6DF0F26F" w:rsidRPr="00253C15">
        <w:rPr>
          <w:noProof/>
        </w:rPr>
        <w:t>Angesichts der Schutzbedürftigkeit unbegleiteter Minderjähriger und der Notwendigkeit einer gezielten Unterstützung sollte das Konzept des sicheren Drittstaats auf unbegleitete Minderjährige nur dann angewandt werden, wenn eine Verbindung mit oder eine Durchreise durch den betreffenden Drittstaat festgestellt werden kann und die Bedingungen des Artikels 59 Absatz 6 der Verordnung (EU) 2024/1348 des Europäischen Parlaments und des Rates erfüllt sind. Die Mitgliedstaaten sollten sicherstellen, dass bei allen Entscheidungen, die Minderjährige betreffen, das Kindeswohl eine vorrangige Erwägung ist.</w:t>
      </w:r>
    </w:p>
    <w:p w:rsidR="0065072A" w:rsidRPr="00253C15" w:rsidRDefault="00355F75" w:rsidP="00355F75">
      <w:pPr>
        <w:pStyle w:val="ManualConsidrant"/>
        <w:rPr>
          <w:noProof/>
        </w:rPr>
      </w:pPr>
      <w:r w:rsidRPr="00355F75">
        <w:rPr>
          <w:noProof/>
        </w:rPr>
        <w:t>(6)</w:t>
      </w:r>
      <w:r w:rsidRPr="00355F75">
        <w:rPr>
          <w:noProof/>
        </w:rPr>
        <w:tab/>
      </w:r>
      <w:r w:rsidR="050C070E" w:rsidRPr="00253C15">
        <w:rPr>
          <w:noProof/>
        </w:rPr>
        <w:t xml:space="preserve">Es ist notwendig, die Transparenz in Bezug auf den Abschluss von Abkommen und Vereinbarungen mit sicheren Drittstaaten durch die Mitgliedstaaten zu erhöhen, um die Mitgliedstaaten und die Kommission bei der Festlegung eines umfassenden Ansatzes für die externe Dimension der Migration und bei der Koordinierung ihrer Anstrengungen gegenüber Drittstaaten zur Anwendung des Konzepts des sicheren Drittstaats zu unterstützen. Dadurch könnte auch überwacht werden, ob Abkommen oder Vereinbarungen mit Drittstaaten die in dieser Verordnung festgelegten Bedingungen erfüllen. Dies sollte auch eine konsistentere und kohärentere Anwendung des Konzepts des sicheren Drittstaats in der gesamten Union ermöglichen und zum allgemeinen reibungslosen Funktionieren des Gemeinsamen Europäischen Asylsystems beitragen. Zu diesem Zweck sollten die Mitgliedstaaten verpflichtet werden, die Kommission und die anderen Mitgliedstaaten vor dem Abschluss von Abkommen oder Vereinbarungen mit Drittstaaten zu unterrichten. </w:t>
      </w:r>
    </w:p>
    <w:p w:rsidR="00693ED0" w:rsidRPr="00253C15" w:rsidRDefault="00355F75" w:rsidP="00355F75">
      <w:pPr>
        <w:pStyle w:val="ManualConsidrant"/>
        <w:rPr>
          <w:noProof/>
        </w:rPr>
      </w:pPr>
      <w:r w:rsidRPr="00355F75">
        <w:rPr>
          <w:noProof/>
        </w:rPr>
        <w:t>(7)</w:t>
      </w:r>
      <w:r w:rsidRPr="00355F75">
        <w:rPr>
          <w:noProof/>
        </w:rPr>
        <w:tab/>
      </w:r>
      <w:r w:rsidR="2EC87945" w:rsidRPr="00253C15">
        <w:rPr>
          <w:noProof/>
        </w:rPr>
        <w:t>Die Mitgliedstaaten sollten in der Lage sein, die erforderlichen Maßnahmen zu ergreifen, um das Risiko einzudämmen, dass Antragsteller, auf die das Konzept des sicheren Drittstaats angewandt wird, flüchten, unter anderem indem sie die Bewegungsfreiheit gemäß Artikel 9 der Richtlinie (EU) 2024/1346 des Europäischen Parlaments und des Rates</w:t>
      </w:r>
      <w:r w:rsidR="2EC87945" w:rsidRPr="00253C15">
        <w:rPr>
          <w:rStyle w:val="FootnoteReference"/>
          <w:noProof/>
        </w:rPr>
        <w:footnoteReference w:id="18"/>
      </w:r>
      <w:r w:rsidR="2EC87945" w:rsidRPr="00253C15">
        <w:rPr>
          <w:noProof/>
        </w:rPr>
        <w:t xml:space="preserve"> beschränken oder den betreffenden Antragsteller gemäß Artikel 10 der genannten Richtlinie in Haft nehmen, um die Zulässigkeit von Anträgen zu prüfen.</w:t>
      </w:r>
    </w:p>
    <w:p w:rsidR="00693ED0" w:rsidRPr="00253C15" w:rsidRDefault="00355F75" w:rsidP="00355F75">
      <w:pPr>
        <w:pStyle w:val="ManualConsidrant"/>
        <w:rPr>
          <w:noProof/>
        </w:rPr>
      </w:pPr>
      <w:r w:rsidRPr="00355F75">
        <w:rPr>
          <w:noProof/>
        </w:rPr>
        <w:t>(8)</w:t>
      </w:r>
      <w:r w:rsidRPr="00355F75">
        <w:rPr>
          <w:noProof/>
        </w:rPr>
        <w:tab/>
      </w:r>
      <w:r w:rsidR="2EC87945" w:rsidRPr="00253C15">
        <w:rPr>
          <w:noProof/>
        </w:rPr>
        <w:t>Um die Verfahrenseffizienz zu erhöhen, sollte der Antragsteller für die Zwecke eines Rechtsbehelfs gegen Unzulässigkeitsentscheidungen, die aufgrund des Konzepts des sicheren Drittstaats getroffen wurden, nicht automatisch das Recht haben, im Hoheitsgebiet eines Mitgliedstaats zu verbleiben. Die Vollstreckung der entsprechenden Rückkehrentscheidung ist jedoch während der Frist auszusetzen, innerhalb derer die betreffende Person ihr Recht auf einen wirksamen Rechtsbehelf vor einem erstinstanzlichen Gericht ausüben kann, und – wenn ein solcher Rechtsbehelf eingelegt wird – sofern die Gefahr eines Verstoßes gegen den Grundsatz der Nichtzurückweisung besteht.</w:t>
      </w:r>
    </w:p>
    <w:p w:rsidR="008772B4" w:rsidRPr="00253C15" w:rsidRDefault="00355F75" w:rsidP="00355F75">
      <w:pPr>
        <w:pStyle w:val="ManualConsidrant"/>
        <w:rPr>
          <w:noProof/>
        </w:rPr>
      </w:pPr>
      <w:r w:rsidRPr="00355F75">
        <w:rPr>
          <w:noProof/>
        </w:rPr>
        <w:t>(9)</w:t>
      </w:r>
      <w:r w:rsidRPr="00355F75">
        <w:rPr>
          <w:noProof/>
        </w:rPr>
        <w:tab/>
      </w:r>
      <w:r w:rsidR="008772B4" w:rsidRPr="00253C15">
        <w:rPr>
          <w:noProof/>
        </w:rPr>
        <w:t>Da das Ziel dieser Verordnung, nämlich die Überarbeitung der Bedingungen für die Anwendung des Konzepts des sicheren Drittstaats, auf Ebene der Mitgliedstaaten nicht ausreichend verwirklicht werden kann und nur auf Unionsebene erreicht werden kann, kann die Union im Einklang mit dem in Artikel 5 des Vertrags über die Europäische Union (EUV) verankerten Subsidiaritätsprinzip tätig werden. Entsprechend dem in demselben Artikel genannten Grundsatz der Verhältnismäßigkeit geht diese Verordnung nicht über das für die Erreichung dieses Ziels erforderliche Maß hinaus.</w:t>
      </w:r>
    </w:p>
    <w:p w:rsidR="008772B4" w:rsidRPr="00253C15" w:rsidRDefault="00355F75" w:rsidP="00355F75">
      <w:pPr>
        <w:pStyle w:val="ManualConsidrant"/>
        <w:rPr>
          <w:noProof/>
        </w:rPr>
      </w:pPr>
      <w:r w:rsidRPr="00355F75">
        <w:rPr>
          <w:noProof/>
        </w:rPr>
        <w:t>(10)</w:t>
      </w:r>
      <w:r w:rsidRPr="00355F75">
        <w:rPr>
          <w:noProof/>
        </w:rPr>
        <w:tab/>
      </w:r>
      <w:r w:rsidR="008772B4" w:rsidRPr="00253C15">
        <w:rPr>
          <w:noProof/>
        </w:rPr>
        <w:t xml:space="preserve">[Nach Artikel 3 und Artikel 4a Absatz 1 des dem Vertrag über die Europäische Union und dem Vertrag über die Arbeitsweise der Europäischen Union beigefügten Protokolls Nr. 21 über die Position des Vereinigten Königreichs und Irlands hinsichtlich des Raums der Freiheit, der Sicherheit und des Rechts hat Irland [mit Schreiben vom…] mitgeteilt, dass es sich an der Annahme und Anwendung dieses [Rechtsakts] beteiligen möchte.] </w:t>
      </w:r>
    </w:p>
    <w:p w:rsidR="008772B4" w:rsidRPr="00253C15" w:rsidRDefault="008772B4" w:rsidP="007B112E">
      <w:pPr>
        <w:ind w:left="720"/>
        <w:rPr>
          <w:noProof/>
        </w:rPr>
      </w:pPr>
      <w:r w:rsidRPr="00253C15">
        <w:rPr>
          <w:noProof/>
        </w:rPr>
        <w:t xml:space="preserve">ODER </w:t>
      </w:r>
      <w:r w:rsidRPr="00253C15">
        <w:rPr>
          <w:noProof/>
        </w:rPr>
        <w:tab/>
      </w:r>
    </w:p>
    <w:p w:rsidR="008772B4" w:rsidRPr="00253C15" w:rsidRDefault="008772B4" w:rsidP="007B112E">
      <w:pPr>
        <w:ind w:left="720"/>
        <w:rPr>
          <w:noProof/>
        </w:rPr>
      </w:pPr>
      <w:r w:rsidRPr="00253C15">
        <w:rPr>
          <w:noProof/>
        </w:rPr>
        <w:t>[Nach den Artikeln 1 und 2 und Artikel 4a Absatz 1 des dem Vertrag über die Europäische Union und dem Vertrag über die Arbeitsweise der Europäischen Union beigefügten Protokolls Nr. 21 über die Position des Vereinigten Königreichs und Irlands hinsichtlich des Raums der Freiheit, der Sicherheit und des Rechts und unbeschadet des Artikels 4 dieses Protokolls beteiligt sich Irland nicht an der Annahme dieses [Rechtsakts] und ist weder durch diesen [Rechtsakt] gebunden noch zu seiner Anwendung verpflichtet.]</w:t>
      </w:r>
    </w:p>
    <w:p w:rsidR="008772B4" w:rsidRPr="00253C15" w:rsidRDefault="00355F75" w:rsidP="00355F75">
      <w:pPr>
        <w:pStyle w:val="ManualConsidrant"/>
        <w:rPr>
          <w:noProof/>
        </w:rPr>
      </w:pPr>
      <w:r w:rsidRPr="00355F75">
        <w:rPr>
          <w:noProof/>
        </w:rPr>
        <w:t>(11)</w:t>
      </w:r>
      <w:r w:rsidRPr="00355F75">
        <w:rPr>
          <w:noProof/>
        </w:rPr>
        <w:tab/>
      </w:r>
      <w:r w:rsidR="008772B4" w:rsidRPr="00253C15">
        <w:rPr>
          <w:noProof/>
        </w:rPr>
        <w:t>Nach den Artikeln 1 und 2 des dem Vertrag über die Europäische Union und dem Vertrag über die Arbeitsweise der Europäischen Union beigefügten Protokolls Nr. 22 über die Position Dänemarks beteiligt sich Dänemark nicht an der Annahme dieser Verordnung und ist weder durch diese Verordnung gebunden noch zu ihrer Anwendung verpflichtet.</w:t>
      </w:r>
    </w:p>
    <w:p w:rsidR="008772B4" w:rsidRPr="00253C15" w:rsidRDefault="00355F75" w:rsidP="00355F75">
      <w:pPr>
        <w:pStyle w:val="ManualConsidrant"/>
        <w:rPr>
          <w:noProof/>
        </w:rPr>
      </w:pPr>
      <w:r w:rsidRPr="00355F75">
        <w:rPr>
          <w:noProof/>
        </w:rPr>
        <w:t>(12)</w:t>
      </w:r>
      <w:r w:rsidRPr="00355F75">
        <w:rPr>
          <w:noProof/>
        </w:rPr>
        <w:tab/>
      </w:r>
      <w:r w:rsidR="008772B4" w:rsidRPr="00253C15">
        <w:rPr>
          <w:noProof/>
        </w:rPr>
        <w:t>Diese Verordnung steht im Einklang mit den Grundrechten und Grundsätzen, die insbesondere mit der Charta der Grundrechte der Europäischen Union anerkannt wurden.</w:t>
      </w:r>
    </w:p>
    <w:p w:rsidR="00693ED0" w:rsidRPr="00253C15" w:rsidRDefault="00355F75" w:rsidP="00355F75">
      <w:pPr>
        <w:pStyle w:val="ManualConsidrant"/>
        <w:rPr>
          <w:noProof/>
        </w:rPr>
      </w:pPr>
      <w:r w:rsidRPr="00355F75">
        <w:rPr>
          <w:noProof/>
        </w:rPr>
        <w:t>(13)</w:t>
      </w:r>
      <w:r w:rsidRPr="00355F75">
        <w:rPr>
          <w:noProof/>
        </w:rPr>
        <w:tab/>
      </w:r>
      <w:r w:rsidR="00693ED0" w:rsidRPr="00253C15">
        <w:rPr>
          <w:noProof/>
        </w:rPr>
        <w:t>Die Verordnung (EU) 2024/1348 sollte daher entsprechend geändert werden —</w:t>
      </w:r>
    </w:p>
    <w:p w:rsidR="00693ED0" w:rsidRPr="00253C15" w:rsidRDefault="00693ED0" w:rsidP="00693ED0">
      <w:pPr>
        <w:pStyle w:val="Formuledadoption"/>
        <w:rPr>
          <w:noProof/>
        </w:rPr>
      </w:pPr>
      <w:r w:rsidRPr="00253C15">
        <w:rPr>
          <w:noProof/>
        </w:rPr>
        <w:t>HABEN FOLGENDE VERORDNUNG ERLASSEN:</w:t>
      </w:r>
    </w:p>
    <w:p w:rsidR="00693ED0" w:rsidRPr="00253C15" w:rsidRDefault="00693ED0" w:rsidP="00693ED0">
      <w:pPr>
        <w:pStyle w:val="Titrearticle"/>
        <w:rPr>
          <w:noProof/>
        </w:rPr>
      </w:pPr>
      <w:r w:rsidRPr="00253C15">
        <w:rPr>
          <w:noProof/>
        </w:rPr>
        <w:t>Artikel 1</w:t>
      </w:r>
    </w:p>
    <w:p w:rsidR="00693ED0" w:rsidRPr="00253C15" w:rsidRDefault="00693ED0" w:rsidP="00693ED0">
      <w:pPr>
        <w:rPr>
          <w:noProof/>
        </w:rPr>
      </w:pPr>
      <w:r w:rsidRPr="00253C15">
        <w:rPr>
          <w:noProof/>
        </w:rPr>
        <w:t>Die Verordnung (EU) 2024/1348 wird wie folgt geändert:</w:t>
      </w:r>
    </w:p>
    <w:p w:rsidR="00693ED0" w:rsidRPr="00253C15" w:rsidRDefault="00AF51D7" w:rsidP="00AF51D7">
      <w:pPr>
        <w:pStyle w:val="Point0"/>
        <w:rPr>
          <w:noProof/>
        </w:rPr>
      </w:pPr>
      <w:r>
        <w:rPr>
          <w:noProof/>
        </w:rPr>
        <w:t>1.</w:t>
      </w:r>
      <w:r w:rsidRPr="00AF51D7">
        <w:rPr>
          <w:noProof/>
        </w:rPr>
        <w:tab/>
      </w:r>
      <w:r w:rsidR="00693ED0" w:rsidRPr="00253C15">
        <w:rPr>
          <w:noProof/>
        </w:rPr>
        <w:t>Artikel 59 Absatz 5 wird wie folgt geändert:</w:t>
      </w:r>
    </w:p>
    <w:p w:rsidR="00693ED0" w:rsidRPr="00253C15" w:rsidRDefault="00AF51D7" w:rsidP="00AF51D7">
      <w:pPr>
        <w:pStyle w:val="Point1"/>
        <w:rPr>
          <w:noProof/>
        </w:rPr>
      </w:pPr>
      <w:r>
        <w:rPr>
          <w:noProof/>
        </w:rPr>
        <w:t>a)</w:t>
      </w:r>
      <w:r w:rsidRPr="00AF51D7">
        <w:rPr>
          <w:noProof/>
        </w:rPr>
        <w:tab/>
      </w:r>
      <w:r w:rsidR="00693ED0" w:rsidRPr="00253C15">
        <w:rPr>
          <w:noProof/>
        </w:rPr>
        <w:t xml:space="preserve">Buchstabe b erhält folgende Fassung: </w:t>
      </w:r>
    </w:p>
    <w:p w:rsidR="00373D5E" w:rsidRPr="00253C15" w:rsidRDefault="00693ED0" w:rsidP="5E2CA672">
      <w:pPr>
        <w:ind w:left="1440"/>
        <w:rPr>
          <w:noProof/>
        </w:rPr>
      </w:pPr>
      <w:r w:rsidRPr="00253C15">
        <w:rPr>
          <w:noProof/>
        </w:rPr>
        <w:t>„b) eine der folgenden Bedingungen erfüllt ist:</w:t>
      </w:r>
    </w:p>
    <w:p w:rsidR="00373D5E" w:rsidRPr="00253C15" w:rsidRDefault="104F5D30" w:rsidP="007B112E">
      <w:pPr>
        <w:pStyle w:val="Num"/>
        <w:rPr>
          <w:b/>
          <w:bCs/>
          <w:noProof/>
        </w:rPr>
      </w:pPr>
      <w:r w:rsidRPr="00253C15">
        <w:rPr>
          <w:noProof/>
        </w:rPr>
        <w:t>Es besteht eine Verbindung zwischen dem Antragsteller und dem betreffenden Drittstaat, aufgrund deren es angemessen wäre, dass er sich in diesen Staat begibt;</w:t>
      </w:r>
    </w:p>
    <w:p w:rsidR="00706323" w:rsidRPr="00253C15" w:rsidRDefault="007C0B96" w:rsidP="00706323">
      <w:pPr>
        <w:pStyle w:val="Num"/>
        <w:rPr>
          <w:b/>
          <w:bCs/>
          <w:noProof/>
        </w:rPr>
      </w:pPr>
      <w:r w:rsidRPr="00253C15">
        <w:rPr>
          <w:noProof/>
        </w:rPr>
        <w:t>der Antragsteller ist durch den betreffenden Drittstaat durchgereist;</w:t>
      </w:r>
    </w:p>
    <w:p w:rsidR="00693ED0" w:rsidRPr="00253C15" w:rsidRDefault="00568A21" w:rsidP="007B112E">
      <w:pPr>
        <w:pStyle w:val="Num"/>
        <w:rPr>
          <w:b/>
          <w:bCs/>
          <w:noProof/>
        </w:rPr>
      </w:pPr>
      <w:r w:rsidRPr="00253C15">
        <w:rPr>
          <w:noProof/>
        </w:rPr>
        <w:t xml:space="preserve">es besteht ein Abkommen oder eine Vereinbarung mit dem betreffenden Drittstaat, das bzw. die die Prüfung der Begründetheit der Anträge auf wirksamen Schutz erfordert, die von Antragstellern gestellt werden, die unter dieses Abkommen oder diese Vereinbarung fallen.“ </w:t>
      </w:r>
    </w:p>
    <w:p w:rsidR="00693ED0" w:rsidRPr="00253C15" w:rsidRDefault="00AF51D7" w:rsidP="00AF51D7">
      <w:pPr>
        <w:pStyle w:val="Point1"/>
        <w:rPr>
          <w:noProof/>
        </w:rPr>
      </w:pPr>
      <w:r>
        <w:rPr>
          <w:noProof/>
        </w:rPr>
        <w:t>b)</w:t>
      </w:r>
      <w:r w:rsidRPr="00AF51D7">
        <w:rPr>
          <w:noProof/>
        </w:rPr>
        <w:tab/>
      </w:r>
      <w:r w:rsidR="00693ED0" w:rsidRPr="00253C15">
        <w:rPr>
          <w:noProof/>
        </w:rPr>
        <w:t>Folgende zwei Unterabsätze werden angefügt:</w:t>
      </w:r>
    </w:p>
    <w:p w:rsidR="00682229" w:rsidRPr="00253C15" w:rsidRDefault="2EC87945" w:rsidP="009F59FA">
      <w:pPr>
        <w:ind w:left="1440"/>
        <w:rPr>
          <w:noProof/>
        </w:rPr>
      </w:pPr>
      <w:r w:rsidRPr="00253C15">
        <w:rPr>
          <w:noProof/>
        </w:rPr>
        <w:t xml:space="preserve">„Bei der Anwendung von Buchstabe b ist das Wohl des Kindes eine vorrangige Erwägung. Buchstabe b Ziffer iii findet keine Anwendung, wenn es sich bei dem Antragsteller um einen unbegleiteten Minderjährigen handelt. </w:t>
      </w:r>
    </w:p>
    <w:p w:rsidR="00693ED0" w:rsidRPr="00253C15" w:rsidRDefault="008F1AFF" w:rsidP="009F59FA">
      <w:pPr>
        <w:ind w:left="1440"/>
        <w:rPr>
          <w:noProof/>
        </w:rPr>
      </w:pPr>
      <w:r w:rsidRPr="00253C15">
        <w:rPr>
          <w:noProof/>
        </w:rPr>
        <w:t>Die Mitgliedstaaten unterrichten die Kommission und die anderen Mitgliedstaaten, bevor sie ein Abkommen oder eine Vereinbarung gemäß Buchstabe b Ziffer iii schließen.“</w:t>
      </w:r>
    </w:p>
    <w:p w:rsidR="00693ED0" w:rsidRPr="00253C15" w:rsidRDefault="00AF51D7" w:rsidP="00AF51D7">
      <w:pPr>
        <w:pStyle w:val="Point0"/>
        <w:rPr>
          <w:noProof/>
        </w:rPr>
      </w:pPr>
      <w:r>
        <w:rPr>
          <w:noProof/>
        </w:rPr>
        <w:t>2.</w:t>
      </w:r>
      <w:r w:rsidRPr="00AF51D7">
        <w:rPr>
          <w:noProof/>
        </w:rPr>
        <w:tab/>
      </w:r>
      <w:r w:rsidR="00693ED0" w:rsidRPr="00253C15">
        <w:rPr>
          <w:noProof/>
        </w:rPr>
        <w:t>Artikel 68 Absatz 3 Buchstabe b erhält folgende Fassung:</w:t>
      </w:r>
    </w:p>
    <w:p w:rsidR="00693ED0" w:rsidRPr="00253C15" w:rsidRDefault="00693ED0" w:rsidP="00693ED0">
      <w:pPr>
        <w:ind w:left="1440"/>
        <w:rPr>
          <w:noProof/>
        </w:rPr>
      </w:pPr>
      <w:r w:rsidRPr="00253C15">
        <w:rPr>
          <w:noProof/>
        </w:rPr>
        <w:t>„b) eine Entscheidung, mit der ein Antrag gemäß Artikel 38 Absatz 1 Buchstabe a, b, d oder e oder Artikel 38 Absatz 2 als unzulässig abgelehnt wird, es sei denn, der Antragsteller ist ein unbegleiteter Minderjähriger, der dem Verfahren an der Grenze unterliegt.“</w:t>
      </w:r>
    </w:p>
    <w:p w:rsidR="00693ED0" w:rsidRPr="00253C15" w:rsidRDefault="00693ED0" w:rsidP="00693ED0">
      <w:pPr>
        <w:pStyle w:val="Titrearticle"/>
        <w:rPr>
          <w:noProof/>
        </w:rPr>
      </w:pPr>
      <w:r w:rsidRPr="00253C15">
        <w:rPr>
          <w:noProof/>
        </w:rPr>
        <w:t>Artikel 2</w:t>
      </w:r>
    </w:p>
    <w:p w:rsidR="00693ED0" w:rsidRPr="00253C15" w:rsidRDefault="00693ED0" w:rsidP="00693ED0">
      <w:pPr>
        <w:rPr>
          <w:noProof/>
        </w:rPr>
      </w:pPr>
      <w:r w:rsidRPr="00253C15">
        <w:rPr>
          <w:noProof/>
        </w:rPr>
        <w:t xml:space="preserve">Diese Verordnung tritt am  Tag nach ihrer Veröffentlichung im </w:t>
      </w:r>
      <w:r w:rsidRPr="00253C15">
        <w:rPr>
          <w:i/>
          <w:noProof/>
        </w:rPr>
        <w:t>Amtsblatt der Europäischen Union</w:t>
      </w:r>
      <w:r w:rsidRPr="00253C15">
        <w:rPr>
          <w:noProof/>
        </w:rPr>
        <w:t xml:space="preserve"> in Kraft.</w:t>
      </w:r>
    </w:p>
    <w:p w:rsidR="00693ED0" w:rsidRPr="00253C15" w:rsidRDefault="00693ED0" w:rsidP="00693ED0">
      <w:pPr>
        <w:pStyle w:val="Applicationdirecte"/>
        <w:rPr>
          <w:noProof/>
        </w:rPr>
      </w:pPr>
      <w:r w:rsidRPr="00253C15">
        <w:rPr>
          <w:noProof/>
        </w:rPr>
        <w:t>Diese Verordnung ist in allen ihren Teilen verbindlich und gilt gemäß den Verträgen unmittelbar in den Mitgliedstaaten.</w:t>
      </w:r>
    </w:p>
    <w:p w:rsidR="00201A77" w:rsidRPr="00253C15" w:rsidRDefault="00D015ED" w:rsidP="00DE56DB">
      <w:pPr>
        <w:pStyle w:val="Fait"/>
        <w:rPr>
          <w:noProof/>
        </w:rPr>
      </w:pPr>
      <w:r>
        <w:rPr>
          <w:noProof/>
        </w:rPr>
        <w:t xml:space="preserve">Geschehen zu Brüssel am </w:t>
      </w:r>
    </w:p>
    <w:p w:rsidR="00201A77" w:rsidRPr="00253C15" w:rsidRDefault="00201A77" w:rsidP="00DE56DB">
      <w:pPr>
        <w:pStyle w:val="Institutionquisigne"/>
        <w:rPr>
          <w:noProof/>
        </w:rPr>
      </w:pPr>
      <w:r w:rsidRPr="00253C15">
        <w:rPr>
          <w:noProof/>
        </w:rPr>
        <w:t>Im Namen des Europäischen Parlaments</w:t>
      </w:r>
      <w:r w:rsidRPr="00253C15">
        <w:rPr>
          <w:noProof/>
        </w:rPr>
        <w:tab/>
        <w:t>Im Namen des Rates</w:t>
      </w:r>
    </w:p>
    <w:p w:rsidR="00201A77" w:rsidRPr="00253C15" w:rsidRDefault="00201A77" w:rsidP="00201A77">
      <w:pPr>
        <w:pStyle w:val="Personnequisigne"/>
        <w:rPr>
          <w:noProof/>
        </w:rPr>
      </w:pPr>
      <w:r w:rsidRPr="00253C15">
        <w:rPr>
          <w:noProof/>
        </w:rPr>
        <w:t>Die Präsidentin</w:t>
      </w:r>
      <w:r w:rsidRPr="00253C15">
        <w:rPr>
          <w:noProof/>
        </w:rPr>
        <w:tab/>
        <w:t>Die Präsidentin</w:t>
      </w:r>
    </w:p>
    <w:p w:rsidR="00201A77" w:rsidRPr="00253C15" w:rsidRDefault="00201A77" w:rsidP="00201A77">
      <w:pPr>
        <w:rPr>
          <w:noProof/>
        </w:rPr>
        <w:sectPr w:rsidR="00201A77" w:rsidRPr="00253C15" w:rsidSect="006F53F5">
          <w:pgSz w:w="11907" w:h="16839"/>
          <w:pgMar w:top="1134" w:right="1417" w:bottom="1134" w:left="1417" w:header="709" w:footer="709" w:gutter="0"/>
          <w:cols w:space="708"/>
          <w:docGrid w:linePitch="360"/>
        </w:sectPr>
      </w:pPr>
    </w:p>
    <w:p w:rsidR="00693ED0" w:rsidRPr="00253C15" w:rsidRDefault="00693ED0" w:rsidP="00693ED0">
      <w:pPr>
        <w:pStyle w:val="Fichefinanciretitre"/>
        <w:keepNext/>
        <w:rPr>
          <w:noProof/>
        </w:rPr>
      </w:pPr>
      <w:r w:rsidRPr="00253C15">
        <w:rPr>
          <w:noProof/>
        </w:rPr>
        <w:t>FINANZ- UND DIGITALBOGEN ZU RECHTSAKTEN</w:t>
      </w:r>
    </w:p>
    <w:p w:rsidR="00693ED0" w:rsidRPr="00253C15" w:rsidRDefault="00693ED0" w:rsidP="00693ED0">
      <w:pPr>
        <w:pStyle w:val="TOC1"/>
        <w:rPr>
          <w:rFonts w:asciiTheme="minorHAnsi" w:eastAsiaTheme="minorEastAsia" w:hAnsiTheme="minorHAnsi" w:cstheme="minorBidi"/>
          <w:noProof/>
          <w:kern w:val="2"/>
          <w:sz w:val="22"/>
          <w14:ligatures w14:val="standardContextual"/>
        </w:rPr>
      </w:pPr>
      <w:r w:rsidRPr="00253C15">
        <w:rPr>
          <w:noProof/>
        </w:rPr>
        <w:t>1.</w:t>
      </w:r>
      <w:r w:rsidRPr="00253C15">
        <w:rPr>
          <w:noProof/>
        </w:rPr>
        <w:tab/>
        <w:t>RAHMEN DES VORSCHLAGS/DER INITIATIVE</w:t>
      </w:r>
      <w:r w:rsidRPr="00253C15">
        <w:rPr>
          <w:noProof/>
        </w:rPr>
        <w:tab/>
      </w:r>
      <w:r w:rsidRPr="00253C15">
        <w:rPr>
          <w:noProof/>
          <w:webHidden/>
        </w:rPr>
        <w:t>3</w:t>
      </w:r>
    </w:p>
    <w:p w:rsidR="00693ED0" w:rsidRPr="00253C15" w:rsidRDefault="00693ED0" w:rsidP="00693ED0">
      <w:pPr>
        <w:pStyle w:val="TOC2"/>
        <w:rPr>
          <w:rFonts w:asciiTheme="minorHAnsi" w:eastAsiaTheme="minorEastAsia" w:hAnsiTheme="minorHAnsi" w:cstheme="minorBidi"/>
          <w:noProof/>
          <w:kern w:val="2"/>
          <w:sz w:val="22"/>
          <w14:ligatures w14:val="standardContextual"/>
        </w:rPr>
      </w:pPr>
      <w:r w:rsidRPr="00253C15">
        <w:rPr>
          <w:noProof/>
        </w:rPr>
        <w:t>1.1.</w:t>
      </w:r>
      <w:r w:rsidRPr="00253C15">
        <w:rPr>
          <w:noProof/>
        </w:rPr>
        <w:tab/>
        <w:t>Bezeichnung des Vorschlags/der Initiative</w:t>
      </w:r>
      <w:r w:rsidRPr="00253C15">
        <w:rPr>
          <w:noProof/>
        </w:rPr>
        <w:tab/>
      </w:r>
      <w:r w:rsidRPr="00253C15">
        <w:rPr>
          <w:noProof/>
          <w:webHidden/>
        </w:rPr>
        <w:t>3</w:t>
      </w:r>
    </w:p>
    <w:p w:rsidR="00693ED0" w:rsidRPr="00253C15" w:rsidRDefault="00693ED0" w:rsidP="00693ED0">
      <w:pPr>
        <w:pStyle w:val="TOC2"/>
        <w:rPr>
          <w:rFonts w:asciiTheme="minorHAnsi" w:eastAsiaTheme="minorEastAsia" w:hAnsiTheme="minorHAnsi" w:cstheme="minorBidi"/>
          <w:noProof/>
          <w:kern w:val="2"/>
          <w:sz w:val="22"/>
          <w14:ligatures w14:val="standardContextual"/>
        </w:rPr>
      </w:pPr>
      <w:r w:rsidRPr="00253C15">
        <w:rPr>
          <w:noProof/>
        </w:rPr>
        <w:t>1.2.</w:t>
      </w:r>
      <w:r w:rsidRPr="00253C15">
        <w:rPr>
          <w:noProof/>
        </w:rPr>
        <w:tab/>
        <w:t>Politikbereich(e)</w:t>
      </w:r>
      <w:r w:rsidRPr="00253C15">
        <w:rPr>
          <w:noProof/>
        </w:rPr>
        <w:tab/>
      </w:r>
      <w:r w:rsidRPr="00253C15">
        <w:rPr>
          <w:noProof/>
          <w:webHidden/>
        </w:rPr>
        <w:t>3</w:t>
      </w:r>
    </w:p>
    <w:p w:rsidR="00693ED0" w:rsidRPr="00253C15" w:rsidRDefault="00693ED0" w:rsidP="00693ED0">
      <w:pPr>
        <w:pStyle w:val="TOC2"/>
        <w:rPr>
          <w:rFonts w:asciiTheme="minorHAnsi" w:eastAsiaTheme="minorEastAsia" w:hAnsiTheme="minorHAnsi" w:cstheme="minorBidi"/>
          <w:noProof/>
          <w:kern w:val="2"/>
          <w:sz w:val="22"/>
          <w14:ligatures w14:val="standardContextual"/>
        </w:rPr>
      </w:pPr>
      <w:r w:rsidRPr="00253C15">
        <w:rPr>
          <w:noProof/>
        </w:rPr>
        <w:t>1.3.</w:t>
      </w:r>
      <w:r w:rsidRPr="00253C15">
        <w:rPr>
          <w:noProof/>
        </w:rPr>
        <w:tab/>
        <w:t>Ziel(e)</w:t>
      </w:r>
      <w:r w:rsidRPr="00253C15">
        <w:rPr>
          <w:noProof/>
        </w:rPr>
        <w:tab/>
      </w:r>
      <w:r w:rsidRPr="00253C15">
        <w:rPr>
          <w:noProof/>
          <w:webHidden/>
        </w:rPr>
        <w:t>3</w:t>
      </w:r>
    </w:p>
    <w:p w:rsidR="00693ED0" w:rsidRPr="00253C15" w:rsidRDefault="00693ED0" w:rsidP="00693ED0">
      <w:pPr>
        <w:pStyle w:val="TOC3"/>
        <w:rPr>
          <w:rFonts w:asciiTheme="minorHAnsi" w:eastAsiaTheme="minorEastAsia" w:hAnsiTheme="minorHAnsi" w:cstheme="minorBidi"/>
          <w:noProof/>
          <w:kern w:val="2"/>
          <w:sz w:val="22"/>
          <w14:ligatures w14:val="standardContextual"/>
        </w:rPr>
      </w:pPr>
      <w:r w:rsidRPr="00253C15">
        <w:rPr>
          <w:noProof/>
        </w:rPr>
        <w:t>1.3.1.</w:t>
      </w:r>
      <w:r w:rsidRPr="00253C15">
        <w:rPr>
          <w:noProof/>
        </w:rPr>
        <w:tab/>
        <w:t>Allgemeine(s) Ziel(e)</w:t>
      </w:r>
      <w:r w:rsidRPr="00253C15">
        <w:rPr>
          <w:noProof/>
        </w:rPr>
        <w:tab/>
      </w:r>
      <w:r w:rsidRPr="00253C15">
        <w:rPr>
          <w:noProof/>
          <w:webHidden/>
        </w:rPr>
        <w:t>3</w:t>
      </w:r>
    </w:p>
    <w:p w:rsidR="00693ED0" w:rsidRPr="00253C15" w:rsidRDefault="00693ED0" w:rsidP="00693ED0">
      <w:pPr>
        <w:pStyle w:val="TOC3"/>
        <w:rPr>
          <w:rFonts w:asciiTheme="minorHAnsi" w:eastAsiaTheme="minorEastAsia" w:hAnsiTheme="minorHAnsi" w:cstheme="minorBidi"/>
          <w:noProof/>
          <w:kern w:val="2"/>
          <w:sz w:val="22"/>
          <w14:ligatures w14:val="standardContextual"/>
        </w:rPr>
      </w:pPr>
      <w:r w:rsidRPr="00253C15">
        <w:rPr>
          <w:noProof/>
        </w:rPr>
        <w:t>1.3.2.</w:t>
      </w:r>
      <w:r w:rsidRPr="00253C15">
        <w:rPr>
          <w:noProof/>
        </w:rPr>
        <w:tab/>
        <w:t>Einzelziel(e)</w:t>
      </w:r>
      <w:r w:rsidRPr="00253C15">
        <w:rPr>
          <w:noProof/>
        </w:rPr>
        <w:tab/>
      </w:r>
      <w:r w:rsidRPr="00253C15">
        <w:rPr>
          <w:noProof/>
          <w:webHidden/>
        </w:rPr>
        <w:t>3</w:t>
      </w:r>
    </w:p>
    <w:p w:rsidR="00693ED0" w:rsidRPr="00253C15" w:rsidRDefault="00693ED0" w:rsidP="00693ED0">
      <w:pPr>
        <w:pStyle w:val="TOC3"/>
        <w:rPr>
          <w:rFonts w:asciiTheme="minorHAnsi" w:eastAsiaTheme="minorEastAsia" w:hAnsiTheme="minorHAnsi" w:cstheme="minorBidi"/>
          <w:noProof/>
          <w:kern w:val="2"/>
          <w:sz w:val="22"/>
          <w14:ligatures w14:val="standardContextual"/>
        </w:rPr>
      </w:pPr>
      <w:r w:rsidRPr="00253C15">
        <w:rPr>
          <w:noProof/>
        </w:rPr>
        <w:t>1.3.3.</w:t>
      </w:r>
      <w:r w:rsidRPr="00253C15">
        <w:rPr>
          <w:noProof/>
        </w:rPr>
        <w:tab/>
        <w:t>Erwartete Ergebnisse und Auswirkungen</w:t>
      </w:r>
      <w:r w:rsidRPr="00253C15">
        <w:rPr>
          <w:noProof/>
        </w:rPr>
        <w:tab/>
      </w:r>
      <w:r w:rsidRPr="00253C15">
        <w:rPr>
          <w:noProof/>
          <w:webHidden/>
        </w:rPr>
        <w:t>3</w:t>
      </w:r>
    </w:p>
    <w:p w:rsidR="00693ED0" w:rsidRPr="00253C15" w:rsidRDefault="00693ED0" w:rsidP="00693ED0">
      <w:pPr>
        <w:pStyle w:val="TOC3"/>
        <w:rPr>
          <w:rFonts w:asciiTheme="minorHAnsi" w:eastAsiaTheme="minorEastAsia" w:hAnsiTheme="minorHAnsi" w:cstheme="minorBidi"/>
          <w:noProof/>
          <w:kern w:val="2"/>
          <w:sz w:val="22"/>
          <w14:ligatures w14:val="standardContextual"/>
        </w:rPr>
      </w:pPr>
      <w:r w:rsidRPr="00253C15">
        <w:rPr>
          <w:noProof/>
        </w:rPr>
        <w:t>1.3.4.</w:t>
      </w:r>
      <w:r w:rsidRPr="00253C15">
        <w:rPr>
          <w:noProof/>
        </w:rPr>
        <w:tab/>
        <w:t>Leistungsindikatoren</w:t>
      </w:r>
      <w:r w:rsidRPr="00253C15">
        <w:rPr>
          <w:noProof/>
        </w:rPr>
        <w:tab/>
      </w:r>
      <w:r w:rsidRPr="00253C15">
        <w:rPr>
          <w:noProof/>
          <w:webHidden/>
        </w:rPr>
        <w:t>3</w:t>
      </w:r>
    </w:p>
    <w:p w:rsidR="00693ED0" w:rsidRPr="00253C15" w:rsidRDefault="00693ED0" w:rsidP="00693ED0">
      <w:pPr>
        <w:pStyle w:val="TOC2"/>
        <w:rPr>
          <w:rFonts w:asciiTheme="minorHAnsi" w:eastAsiaTheme="minorEastAsia" w:hAnsiTheme="minorHAnsi" w:cstheme="minorBidi"/>
          <w:noProof/>
          <w:kern w:val="2"/>
          <w:sz w:val="22"/>
          <w14:ligatures w14:val="standardContextual"/>
        </w:rPr>
      </w:pPr>
      <w:r w:rsidRPr="00253C15">
        <w:rPr>
          <w:noProof/>
        </w:rPr>
        <w:t>1.4.</w:t>
      </w:r>
      <w:r w:rsidRPr="00253C15">
        <w:rPr>
          <w:noProof/>
        </w:rPr>
        <w:tab/>
        <w:t>Der Vorschlag/Die Initiative betrifft</w:t>
      </w:r>
      <w:r w:rsidRPr="00253C15">
        <w:rPr>
          <w:noProof/>
        </w:rPr>
        <w:tab/>
      </w:r>
      <w:r w:rsidRPr="00253C15">
        <w:rPr>
          <w:noProof/>
          <w:webHidden/>
        </w:rPr>
        <w:t>4</w:t>
      </w:r>
    </w:p>
    <w:p w:rsidR="00693ED0" w:rsidRPr="00253C15" w:rsidRDefault="00693ED0" w:rsidP="00693ED0">
      <w:pPr>
        <w:pStyle w:val="TOC2"/>
        <w:rPr>
          <w:rFonts w:asciiTheme="minorHAnsi" w:eastAsiaTheme="minorEastAsia" w:hAnsiTheme="minorHAnsi" w:cstheme="minorBidi"/>
          <w:noProof/>
          <w:kern w:val="2"/>
          <w:sz w:val="22"/>
          <w14:ligatures w14:val="standardContextual"/>
        </w:rPr>
      </w:pPr>
      <w:r w:rsidRPr="00253C15">
        <w:rPr>
          <w:noProof/>
        </w:rPr>
        <w:t>1.5.</w:t>
      </w:r>
      <w:r w:rsidRPr="00253C15">
        <w:rPr>
          <w:noProof/>
        </w:rPr>
        <w:tab/>
        <w:t>Begründung des Vorschlags/der Initiative</w:t>
      </w:r>
      <w:r w:rsidRPr="00253C15">
        <w:rPr>
          <w:noProof/>
        </w:rPr>
        <w:tab/>
      </w:r>
      <w:r w:rsidRPr="00253C15">
        <w:rPr>
          <w:noProof/>
          <w:webHidden/>
        </w:rPr>
        <w:t>4</w:t>
      </w:r>
    </w:p>
    <w:p w:rsidR="00693ED0" w:rsidRPr="00253C15" w:rsidRDefault="00693ED0" w:rsidP="00693ED0">
      <w:pPr>
        <w:pStyle w:val="TOC3"/>
        <w:rPr>
          <w:rFonts w:asciiTheme="minorHAnsi" w:eastAsiaTheme="minorEastAsia" w:hAnsiTheme="minorHAnsi" w:cstheme="minorBidi"/>
          <w:noProof/>
          <w:kern w:val="2"/>
          <w:sz w:val="22"/>
          <w14:ligatures w14:val="standardContextual"/>
        </w:rPr>
      </w:pPr>
      <w:r w:rsidRPr="00253C15">
        <w:rPr>
          <w:noProof/>
        </w:rPr>
        <w:t>1.5.1.</w:t>
      </w:r>
      <w:r w:rsidRPr="00253C15">
        <w:rPr>
          <w:noProof/>
        </w:rPr>
        <w:tab/>
        <w:t>Kurz- oder langfristig zu deckender Bedarf, einschließlich einer detaillierten Zeitleiste für die Durchführung der Initiative</w:t>
      </w:r>
      <w:r w:rsidRPr="00253C15">
        <w:rPr>
          <w:noProof/>
        </w:rPr>
        <w:tab/>
      </w:r>
      <w:r w:rsidRPr="00253C15">
        <w:rPr>
          <w:noProof/>
          <w:webHidden/>
        </w:rPr>
        <w:t>4</w:t>
      </w:r>
    </w:p>
    <w:p w:rsidR="00693ED0" w:rsidRPr="00253C15" w:rsidRDefault="00693ED0" w:rsidP="00693ED0">
      <w:pPr>
        <w:pStyle w:val="TOC3"/>
        <w:rPr>
          <w:rFonts w:asciiTheme="minorHAnsi" w:eastAsiaTheme="minorEastAsia" w:hAnsiTheme="minorHAnsi" w:cstheme="minorBidi"/>
          <w:noProof/>
          <w:kern w:val="2"/>
          <w:sz w:val="22"/>
          <w14:ligatures w14:val="standardContextual"/>
        </w:rPr>
      </w:pPr>
      <w:r w:rsidRPr="00253C15">
        <w:rPr>
          <w:noProof/>
        </w:rPr>
        <w:t>1.5.2.</w:t>
      </w:r>
      <w:r w:rsidRPr="00253C15">
        <w:rPr>
          <w:noProof/>
        </w:rPr>
        <w:tab/>
        <w:t>Mehrwert aufgrund des Tätigwerdens der EU (kann sich aus unterschiedlichen Faktoren ergeben, z. B. Vorteile durch Koordinierung, Rechtssicherheit, größere Wirksamkeit oder Komplementarität). Für die Zwecke dieses Abschnitts bezeichnet der Ausdruck „Mehrwert aufgrund des Tätigwerdens der EU“ den Wert, der sich aus dem Tätigwerden der EU ergibt und den Wert ergänzt, der andernfalls allein von den Mitgliedstaaten geschaffen worden wäre.</w:t>
      </w:r>
      <w:r w:rsidRPr="00253C15">
        <w:rPr>
          <w:noProof/>
        </w:rPr>
        <w:tab/>
      </w:r>
      <w:r w:rsidRPr="00253C15">
        <w:rPr>
          <w:noProof/>
          <w:webHidden/>
        </w:rPr>
        <w:t>4</w:t>
      </w:r>
    </w:p>
    <w:p w:rsidR="00693ED0" w:rsidRPr="00253C15" w:rsidRDefault="00693ED0" w:rsidP="00693ED0">
      <w:pPr>
        <w:pStyle w:val="TOC3"/>
        <w:rPr>
          <w:rFonts w:asciiTheme="minorHAnsi" w:eastAsiaTheme="minorEastAsia" w:hAnsiTheme="minorHAnsi" w:cstheme="minorBidi"/>
          <w:noProof/>
          <w:kern w:val="2"/>
          <w:sz w:val="22"/>
          <w14:ligatures w14:val="standardContextual"/>
        </w:rPr>
      </w:pPr>
      <w:r w:rsidRPr="00253C15">
        <w:rPr>
          <w:noProof/>
        </w:rPr>
        <w:t>1.5.3.</w:t>
      </w:r>
      <w:r w:rsidRPr="00253C15">
        <w:rPr>
          <w:noProof/>
        </w:rPr>
        <w:tab/>
        <w:t>Aus früheren ähnlichen Maßnahmen gewonnene Erkenntnisse</w:t>
      </w:r>
      <w:r w:rsidRPr="00253C15">
        <w:rPr>
          <w:noProof/>
        </w:rPr>
        <w:tab/>
      </w:r>
      <w:r w:rsidRPr="00253C15">
        <w:rPr>
          <w:noProof/>
          <w:webHidden/>
        </w:rPr>
        <w:t>4</w:t>
      </w:r>
    </w:p>
    <w:p w:rsidR="00693ED0" w:rsidRPr="00253C15" w:rsidRDefault="00693ED0" w:rsidP="00693ED0">
      <w:pPr>
        <w:pStyle w:val="TOC3"/>
        <w:rPr>
          <w:rFonts w:asciiTheme="minorHAnsi" w:eastAsiaTheme="minorEastAsia" w:hAnsiTheme="minorHAnsi" w:cstheme="minorBidi"/>
          <w:noProof/>
          <w:kern w:val="2"/>
          <w:sz w:val="22"/>
          <w14:ligatures w14:val="standardContextual"/>
        </w:rPr>
      </w:pPr>
      <w:r w:rsidRPr="00253C15">
        <w:rPr>
          <w:noProof/>
        </w:rPr>
        <w:t>1.5.4.</w:t>
      </w:r>
      <w:r w:rsidRPr="00253C15">
        <w:rPr>
          <w:noProof/>
        </w:rPr>
        <w:tab/>
        <w:t>Vereinbarkeit mit dem Mehrjährigen Finanzrahmen sowie mögliche Synergieeffekte mit anderen geeigneten Instrumenten</w:t>
      </w:r>
      <w:r w:rsidRPr="00253C15">
        <w:rPr>
          <w:noProof/>
        </w:rPr>
        <w:tab/>
      </w:r>
      <w:r w:rsidRPr="00253C15">
        <w:rPr>
          <w:noProof/>
          <w:webHidden/>
        </w:rPr>
        <w:t>5</w:t>
      </w:r>
    </w:p>
    <w:p w:rsidR="00693ED0" w:rsidRPr="00253C15" w:rsidRDefault="00693ED0" w:rsidP="00693ED0">
      <w:pPr>
        <w:pStyle w:val="TOC3"/>
        <w:rPr>
          <w:rFonts w:asciiTheme="minorHAnsi" w:eastAsiaTheme="minorEastAsia" w:hAnsiTheme="minorHAnsi" w:cstheme="minorBidi"/>
          <w:noProof/>
          <w:kern w:val="2"/>
          <w:sz w:val="22"/>
          <w14:ligatures w14:val="standardContextual"/>
        </w:rPr>
      </w:pPr>
      <w:r w:rsidRPr="00253C15">
        <w:rPr>
          <w:noProof/>
        </w:rPr>
        <w:t>1.5.5.</w:t>
      </w:r>
      <w:r w:rsidRPr="00253C15">
        <w:rPr>
          <w:noProof/>
        </w:rPr>
        <w:tab/>
        <w:t>Bewertung der verschiedenen verfügbaren Finanzierungsoptionen, einschließlich der Möglichkeiten für eine Umschichtung</w:t>
      </w:r>
      <w:r w:rsidRPr="00253C15">
        <w:rPr>
          <w:noProof/>
        </w:rPr>
        <w:tab/>
      </w:r>
      <w:r w:rsidRPr="00253C15">
        <w:rPr>
          <w:noProof/>
          <w:webHidden/>
        </w:rPr>
        <w:t>5</w:t>
      </w:r>
    </w:p>
    <w:p w:rsidR="00693ED0" w:rsidRPr="00253C15" w:rsidRDefault="00693ED0" w:rsidP="00693ED0">
      <w:pPr>
        <w:pStyle w:val="TOC2"/>
        <w:rPr>
          <w:rFonts w:asciiTheme="minorHAnsi" w:eastAsiaTheme="minorEastAsia" w:hAnsiTheme="minorHAnsi" w:cstheme="minorBidi"/>
          <w:noProof/>
          <w:kern w:val="2"/>
          <w:sz w:val="22"/>
          <w14:ligatures w14:val="standardContextual"/>
        </w:rPr>
      </w:pPr>
      <w:r w:rsidRPr="00253C15">
        <w:rPr>
          <w:noProof/>
        </w:rPr>
        <w:t>1.6.</w:t>
      </w:r>
      <w:r w:rsidRPr="00253C15">
        <w:rPr>
          <w:noProof/>
        </w:rPr>
        <w:tab/>
        <w:t>Laufzeit der vorgeschlagenen Maßnahme/der Initiative und Dauer der finanziellen Auswirkungen</w:t>
      </w:r>
      <w:r w:rsidRPr="00253C15">
        <w:rPr>
          <w:noProof/>
        </w:rPr>
        <w:tab/>
      </w:r>
      <w:r w:rsidRPr="00253C15">
        <w:rPr>
          <w:noProof/>
          <w:webHidden/>
        </w:rPr>
        <w:t>6</w:t>
      </w:r>
    </w:p>
    <w:p w:rsidR="00693ED0" w:rsidRPr="00253C15" w:rsidRDefault="00693ED0" w:rsidP="00693ED0">
      <w:pPr>
        <w:pStyle w:val="TOC2"/>
        <w:rPr>
          <w:rFonts w:asciiTheme="minorHAnsi" w:eastAsiaTheme="minorEastAsia" w:hAnsiTheme="minorHAnsi" w:cstheme="minorBidi"/>
          <w:noProof/>
          <w:kern w:val="2"/>
          <w:sz w:val="22"/>
          <w14:ligatures w14:val="standardContextual"/>
        </w:rPr>
      </w:pPr>
      <w:r w:rsidRPr="00253C15">
        <w:rPr>
          <w:noProof/>
        </w:rPr>
        <w:t>1.7.</w:t>
      </w:r>
      <w:r w:rsidRPr="00253C15">
        <w:rPr>
          <w:noProof/>
        </w:rPr>
        <w:tab/>
        <w:t>Vorgeschlagene Haushaltsvollzugsart(en)</w:t>
      </w:r>
      <w:r w:rsidRPr="00253C15">
        <w:rPr>
          <w:noProof/>
        </w:rPr>
        <w:tab/>
      </w:r>
      <w:r w:rsidRPr="00253C15">
        <w:rPr>
          <w:noProof/>
          <w:webHidden/>
        </w:rPr>
        <w:t>6</w:t>
      </w:r>
    </w:p>
    <w:p w:rsidR="00693ED0" w:rsidRPr="00253C15" w:rsidRDefault="00693ED0" w:rsidP="00693ED0">
      <w:pPr>
        <w:pStyle w:val="TOC1"/>
        <w:rPr>
          <w:rFonts w:asciiTheme="minorHAnsi" w:eastAsiaTheme="minorEastAsia" w:hAnsiTheme="minorHAnsi" w:cstheme="minorBidi"/>
          <w:noProof/>
          <w:kern w:val="2"/>
          <w:sz w:val="22"/>
          <w14:ligatures w14:val="standardContextual"/>
        </w:rPr>
      </w:pPr>
      <w:r w:rsidRPr="00253C15">
        <w:rPr>
          <w:noProof/>
        </w:rPr>
        <w:t>2.</w:t>
      </w:r>
      <w:r w:rsidRPr="00253C15">
        <w:rPr>
          <w:noProof/>
        </w:rPr>
        <w:tab/>
        <w:t>VERWALTUNGSMAẞNAHMEN</w:t>
      </w:r>
      <w:r w:rsidRPr="00253C15">
        <w:rPr>
          <w:noProof/>
        </w:rPr>
        <w:tab/>
      </w:r>
      <w:r w:rsidRPr="00253C15">
        <w:rPr>
          <w:noProof/>
          <w:webHidden/>
        </w:rPr>
        <w:t>8</w:t>
      </w:r>
    </w:p>
    <w:p w:rsidR="00693ED0" w:rsidRPr="00253C15" w:rsidRDefault="00693ED0" w:rsidP="00693ED0">
      <w:pPr>
        <w:pStyle w:val="TOC2"/>
        <w:rPr>
          <w:rFonts w:asciiTheme="minorHAnsi" w:eastAsiaTheme="minorEastAsia" w:hAnsiTheme="minorHAnsi" w:cstheme="minorBidi"/>
          <w:noProof/>
          <w:kern w:val="2"/>
          <w:sz w:val="22"/>
          <w14:ligatures w14:val="standardContextual"/>
        </w:rPr>
      </w:pPr>
      <w:r w:rsidRPr="00253C15">
        <w:rPr>
          <w:noProof/>
        </w:rPr>
        <w:t>2.1.</w:t>
      </w:r>
      <w:r w:rsidRPr="00253C15">
        <w:rPr>
          <w:noProof/>
        </w:rPr>
        <w:tab/>
        <w:t>Überwachung und Berichterstattung</w:t>
      </w:r>
      <w:r w:rsidRPr="00253C15">
        <w:rPr>
          <w:noProof/>
        </w:rPr>
        <w:tab/>
      </w:r>
      <w:r w:rsidRPr="00253C15">
        <w:rPr>
          <w:noProof/>
          <w:webHidden/>
        </w:rPr>
        <w:t>8</w:t>
      </w:r>
    </w:p>
    <w:p w:rsidR="00693ED0" w:rsidRPr="00253C15" w:rsidRDefault="00693ED0" w:rsidP="00693ED0">
      <w:pPr>
        <w:pStyle w:val="TOC2"/>
        <w:rPr>
          <w:rFonts w:asciiTheme="minorHAnsi" w:eastAsiaTheme="minorEastAsia" w:hAnsiTheme="minorHAnsi" w:cstheme="minorBidi"/>
          <w:noProof/>
          <w:kern w:val="2"/>
          <w:sz w:val="22"/>
          <w14:ligatures w14:val="standardContextual"/>
        </w:rPr>
      </w:pPr>
      <w:r w:rsidRPr="00253C15">
        <w:rPr>
          <w:noProof/>
        </w:rPr>
        <w:t>2.2.</w:t>
      </w:r>
      <w:r w:rsidRPr="00253C15">
        <w:rPr>
          <w:noProof/>
        </w:rPr>
        <w:tab/>
        <w:t>Verwaltungs- und Kontrollsystem(e)</w:t>
      </w:r>
      <w:r w:rsidRPr="00253C15">
        <w:rPr>
          <w:noProof/>
        </w:rPr>
        <w:tab/>
      </w:r>
      <w:r w:rsidRPr="00253C15">
        <w:rPr>
          <w:noProof/>
          <w:webHidden/>
        </w:rPr>
        <w:t>8</w:t>
      </w:r>
    </w:p>
    <w:p w:rsidR="00693ED0" w:rsidRPr="00253C15" w:rsidRDefault="00693ED0" w:rsidP="00693ED0">
      <w:pPr>
        <w:pStyle w:val="TOC3"/>
        <w:rPr>
          <w:rFonts w:asciiTheme="minorHAnsi" w:eastAsiaTheme="minorEastAsia" w:hAnsiTheme="minorHAnsi" w:cstheme="minorBidi"/>
          <w:noProof/>
          <w:kern w:val="2"/>
          <w:sz w:val="22"/>
          <w14:ligatures w14:val="standardContextual"/>
        </w:rPr>
      </w:pPr>
      <w:r w:rsidRPr="00253C15">
        <w:rPr>
          <w:noProof/>
        </w:rPr>
        <w:t>2.2.1.</w:t>
      </w:r>
      <w:r w:rsidRPr="00253C15">
        <w:rPr>
          <w:noProof/>
        </w:rPr>
        <w:tab/>
        <w:t>Begründung der Haushaltsvollzugsart(en), des Durchführungsmechanismus/der Durchführungsmechanismen für die Finanzierung, der Zahlungsmodalitäten und der Kontrollstrategie, wie vorgeschlagen</w:t>
      </w:r>
      <w:r w:rsidRPr="00253C15">
        <w:rPr>
          <w:noProof/>
        </w:rPr>
        <w:tab/>
      </w:r>
      <w:r w:rsidRPr="00253C15">
        <w:rPr>
          <w:noProof/>
          <w:webHidden/>
        </w:rPr>
        <w:t>8</w:t>
      </w:r>
    </w:p>
    <w:p w:rsidR="00693ED0" w:rsidRPr="00253C15" w:rsidRDefault="00693ED0" w:rsidP="00693ED0">
      <w:pPr>
        <w:pStyle w:val="TOC3"/>
        <w:rPr>
          <w:rFonts w:asciiTheme="minorHAnsi" w:eastAsiaTheme="minorEastAsia" w:hAnsiTheme="minorHAnsi" w:cstheme="minorBidi"/>
          <w:noProof/>
          <w:kern w:val="2"/>
          <w:sz w:val="22"/>
          <w14:ligatures w14:val="standardContextual"/>
        </w:rPr>
      </w:pPr>
      <w:r w:rsidRPr="00253C15">
        <w:rPr>
          <w:noProof/>
        </w:rPr>
        <w:t>2.2.2.</w:t>
      </w:r>
      <w:r w:rsidRPr="00253C15">
        <w:rPr>
          <w:noProof/>
        </w:rPr>
        <w:tab/>
        <w:t>Angaben zu den ermittelten Risiken und dem/den zu deren Eindämmung eingerichteten System(en) der internen Kontrolle</w:t>
      </w:r>
      <w:r w:rsidRPr="00253C15">
        <w:rPr>
          <w:noProof/>
        </w:rPr>
        <w:tab/>
      </w:r>
      <w:r w:rsidRPr="00253C15">
        <w:rPr>
          <w:noProof/>
          <w:webHidden/>
        </w:rPr>
        <w:t>8</w:t>
      </w:r>
    </w:p>
    <w:p w:rsidR="00693ED0" w:rsidRPr="00253C15" w:rsidRDefault="00693ED0" w:rsidP="00693ED0">
      <w:pPr>
        <w:pStyle w:val="TOC3"/>
        <w:rPr>
          <w:rFonts w:asciiTheme="minorHAnsi" w:eastAsiaTheme="minorEastAsia" w:hAnsiTheme="minorHAnsi" w:cstheme="minorBidi"/>
          <w:noProof/>
          <w:kern w:val="2"/>
          <w:sz w:val="22"/>
          <w14:ligatures w14:val="standardContextual"/>
        </w:rPr>
      </w:pPr>
      <w:r w:rsidRPr="00253C15">
        <w:rPr>
          <w:noProof/>
        </w:rPr>
        <w:t>2.2.3.</w:t>
      </w:r>
      <w:r w:rsidRPr="00253C15">
        <w:rPr>
          <w:noProof/>
        </w:rPr>
        <w:tab/>
        <w:t>Schätzung und Begründung der Kosteneffizienz der Kontrollen (Verhältnis zwischen den Kontrollkosten und dem Wert der betreffenden verwalteten Mittel) sowie Bewertung des erwarteten Ausmaßes des Fehlerrisikos (bei Zahlung und beim Abschluss)</w:t>
      </w:r>
      <w:r w:rsidRPr="00253C15">
        <w:rPr>
          <w:noProof/>
        </w:rPr>
        <w:tab/>
      </w:r>
      <w:r w:rsidRPr="00253C15">
        <w:rPr>
          <w:noProof/>
          <w:webHidden/>
        </w:rPr>
        <w:t>8</w:t>
      </w:r>
    </w:p>
    <w:p w:rsidR="00693ED0" w:rsidRPr="00253C15" w:rsidRDefault="00693ED0" w:rsidP="00693ED0">
      <w:pPr>
        <w:pStyle w:val="TOC2"/>
        <w:rPr>
          <w:rFonts w:asciiTheme="minorHAnsi" w:eastAsiaTheme="minorEastAsia" w:hAnsiTheme="minorHAnsi" w:cstheme="minorBidi"/>
          <w:noProof/>
          <w:kern w:val="2"/>
          <w:sz w:val="22"/>
          <w14:ligatures w14:val="standardContextual"/>
        </w:rPr>
      </w:pPr>
      <w:r w:rsidRPr="00253C15">
        <w:rPr>
          <w:noProof/>
        </w:rPr>
        <w:t>2.3.</w:t>
      </w:r>
      <w:r w:rsidRPr="00253C15">
        <w:rPr>
          <w:noProof/>
        </w:rPr>
        <w:tab/>
        <w:t>Prävention von Betrug und Unregelmäßigkeiten</w:t>
      </w:r>
      <w:r w:rsidRPr="00253C15">
        <w:rPr>
          <w:noProof/>
        </w:rPr>
        <w:tab/>
      </w:r>
      <w:r w:rsidRPr="00253C15">
        <w:rPr>
          <w:noProof/>
          <w:webHidden/>
        </w:rPr>
        <w:t>9</w:t>
      </w:r>
    </w:p>
    <w:p w:rsidR="00693ED0" w:rsidRPr="00253C15" w:rsidRDefault="00693ED0" w:rsidP="00693ED0">
      <w:pPr>
        <w:pStyle w:val="TOC1"/>
        <w:rPr>
          <w:rFonts w:asciiTheme="minorHAnsi" w:eastAsiaTheme="minorEastAsia" w:hAnsiTheme="minorHAnsi" w:cstheme="minorBidi"/>
          <w:noProof/>
          <w:kern w:val="2"/>
          <w:sz w:val="22"/>
          <w14:ligatures w14:val="standardContextual"/>
        </w:rPr>
      </w:pPr>
      <w:r w:rsidRPr="00253C15">
        <w:rPr>
          <w:noProof/>
        </w:rPr>
        <w:t>3.</w:t>
      </w:r>
      <w:r w:rsidRPr="00253C15">
        <w:rPr>
          <w:noProof/>
        </w:rPr>
        <w:tab/>
        <w:t>GESCHÄTZTE FINANZIELLE AUSWIRKUNGEN DES VORSCHLAGS/DER INITIATIVE</w:t>
      </w:r>
      <w:r w:rsidRPr="00253C15">
        <w:rPr>
          <w:noProof/>
        </w:rPr>
        <w:tab/>
      </w:r>
      <w:r w:rsidRPr="00253C15">
        <w:rPr>
          <w:noProof/>
          <w:webHidden/>
        </w:rPr>
        <w:t>10</w:t>
      </w:r>
    </w:p>
    <w:p w:rsidR="00693ED0" w:rsidRPr="00253C15" w:rsidRDefault="00693ED0" w:rsidP="00693ED0">
      <w:pPr>
        <w:pStyle w:val="TOC2"/>
        <w:rPr>
          <w:rFonts w:asciiTheme="minorHAnsi" w:eastAsiaTheme="minorEastAsia" w:hAnsiTheme="minorHAnsi" w:cstheme="minorBidi"/>
          <w:noProof/>
          <w:kern w:val="2"/>
          <w:sz w:val="22"/>
          <w14:ligatures w14:val="standardContextual"/>
        </w:rPr>
      </w:pPr>
      <w:r w:rsidRPr="00253C15">
        <w:rPr>
          <w:noProof/>
        </w:rPr>
        <w:t>3.1.</w:t>
      </w:r>
      <w:r w:rsidRPr="00253C15">
        <w:rPr>
          <w:noProof/>
        </w:rPr>
        <w:tab/>
        <w:t>Betroffene Rubrik(en) des Mehrjährigen Finanzrahmens und Ausgabenlinie(n) im Haushaltsplan</w:t>
      </w:r>
      <w:r w:rsidRPr="00253C15">
        <w:rPr>
          <w:noProof/>
        </w:rPr>
        <w:tab/>
      </w:r>
      <w:r w:rsidRPr="00253C15">
        <w:rPr>
          <w:noProof/>
          <w:webHidden/>
        </w:rPr>
        <w:t>10</w:t>
      </w:r>
    </w:p>
    <w:p w:rsidR="00693ED0" w:rsidRPr="00253C15" w:rsidRDefault="00693ED0" w:rsidP="00693ED0">
      <w:pPr>
        <w:pStyle w:val="TOC2"/>
        <w:rPr>
          <w:rFonts w:asciiTheme="minorHAnsi" w:eastAsiaTheme="minorEastAsia" w:hAnsiTheme="minorHAnsi" w:cstheme="minorBidi"/>
          <w:noProof/>
          <w:kern w:val="2"/>
          <w:sz w:val="22"/>
          <w14:ligatures w14:val="standardContextual"/>
        </w:rPr>
      </w:pPr>
      <w:r w:rsidRPr="00253C15">
        <w:rPr>
          <w:noProof/>
        </w:rPr>
        <w:t>3.2.</w:t>
      </w:r>
      <w:r w:rsidRPr="00253C15">
        <w:rPr>
          <w:noProof/>
        </w:rPr>
        <w:tab/>
        <w:t>Geschätzte finanzielle Auswirkungen des Vorschlags auf die Mittel</w:t>
      </w:r>
      <w:r w:rsidRPr="00253C15">
        <w:rPr>
          <w:noProof/>
        </w:rPr>
        <w:tab/>
      </w:r>
      <w:r w:rsidRPr="00253C15">
        <w:rPr>
          <w:noProof/>
          <w:webHidden/>
        </w:rPr>
        <w:t>12</w:t>
      </w:r>
    </w:p>
    <w:p w:rsidR="00693ED0" w:rsidRPr="00253C15" w:rsidRDefault="00693ED0" w:rsidP="00693ED0">
      <w:pPr>
        <w:pStyle w:val="TOC3"/>
        <w:rPr>
          <w:rFonts w:asciiTheme="minorHAnsi" w:eastAsiaTheme="minorEastAsia" w:hAnsiTheme="minorHAnsi" w:cstheme="minorBidi"/>
          <w:noProof/>
          <w:kern w:val="2"/>
          <w:sz w:val="22"/>
          <w14:ligatures w14:val="standardContextual"/>
        </w:rPr>
      </w:pPr>
      <w:r w:rsidRPr="00253C15">
        <w:rPr>
          <w:noProof/>
        </w:rPr>
        <w:t>3.2.1.</w:t>
      </w:r>
      <w:r w:rsidRPr="00253C15">
        <w:rPr>
          <w:noProof/>
        </w:rPr>
        <w:tab/>
        <w:t>Übersicht über die geschätzten Auswirkungen auf die operativen Mittel</w:t>
      </w:r>
      <w:r w:rsidRPr="00253C15">
        <w:rPr>
          <w:noProof/>
        </w:rPr>
        <w:tab/>
      </w:r>
      <w:r w:rsidRPr="00253C15">
        <w:rPr>
          <w:noProof/>
          <w:webHidden/>
        </w:rPr>
        <w:t>12</w:t>
      </w:r>
    </w:p>
    <w:p w:rsidR="00693ED0" w:rsidRPr="00253C15" w:rsidRDefault="00693ED0" w:rsidP="00693ED0">
      <w:pPr>
        <w:pStyle w:val="TOC3"/>
        <w:rPr>
          <w:rFonts w:asciiTheme="minorHAnsi" w:eastAsiaTheme="minorEastAsia" w:hAnsiTheme="minorHAnsi" w:cstheme="minorBidi"/>
          <w:noProof/>
          <w:kern w:val="2"/>
          <w:sz w:val="22"/>
          <w14:ligatures w14:val="standardContextual"/>
        </w:rPr>
      </w:pPr>
      <w:r w:rsidRPr="00253C15">
        <w:rPr>
          <w:noProof/>
        </w:rPr>
        <w:t>3.2.1.1.</w:t>
      </w:r>
      <w:r w:rsidRPr="00253C15">
        <w:rPr>
          <w:noProof/>
        </w:rPr>
        <w:tab/>
        <w:t>Mittel aus dem verabschiedeten Haushaltsplan</w:t>
      </w:r>
      <w:r w:rsidRPr="00253C15">
        <w:rPr>
          <w:noProof/>
        </w:rPr>
        <w:tab/>
      </w:r>
      <w:r w:rsidRPr="00253C15">
        <w:rPr>
          <w:noProof/>
          <w:webHidden/>
        </w:rPr>
        <w:t>12</w:t>
      </w:r>
    </w:p>
    <w:p w:rsidR="00693ED0" w:rsidRPr="00253C15" w:rsidRDefault="00693ED0" w:rsidP="00693ED0">
      <w:pPr>
        <w:pStyle w:val="TOC3"/>
        <w:rPr>
          <w:rFonts w:asciiTheme="minorHAnsi" w:eastAsiaTheme="minorEastAsia" w:hAnsiTheme="minorHAnsi" w:cstheme="minorBidi"/>
          <w:noProof/>
          <w:kern w:val="2"/>
          <w:sz w:val="22"/>
          <w14:ligatures w14:val="standardContextual"/>
        </w:rPr>
      </w:pPr>
      <w:r w:rsidRPr="00253C15">
        <w:rPr>
          <w:noProof/>
        </w:rPr>
        <w:t>3.2.1.2.</w:t>
      </w:r>
      <w:r w:rsidRPr="00253C15">
        <w:rPr>
          <w:noProof/>
        </w:rPr>
        <w:tab/>
        <w:t>Mittel aus externen zweckgebundenen Einnahmen</w:t>
      </w:r>
      <w:r w:rsidRPr="00253C15">
        <w:rPr>
          <w:noProof/>
        </w:rPr>
        <w:tab/>
      </w:r>
      <w:r w:rsidRPr="00253C15">
        <w:rPr>
          <w:noProof/>
          <w:webHidden/>
        </w:rPr>
        <w:t>17</w:t>
      </w:r>
    </w:p>
    <w:p w:rsidR="00693ED0" w:rsidRPr="00253C15" w:rsidRDefault="00693ED0" w:rsidP="00693ED0">
      <w:pPr>
        <w:pStyle w:val="TOC3"/>
        <w:rPr>
          <w:rFonts w:asciiTheme="minorHAnsi" w:eastAsiaTheme="minorEastAsia" w:hAnsiTheme="minorHAnsi" w:cstheme="minorBidi"/>
          <w:noProof/>
          <w:kern w:val="2"/>
          <w:sz w:val="22"/>
          <w14:ligatures w14:val="standardContextual"/>
        </w:rPr>
      </w:pPr>
      <w:r w:rsidRPr="00253C15">
        <w:rPr>
          <w:noProof/>
        </w:rPr>
        <w:t>3.2.2.</w:t>
      </w:r>
      <w:r w:rsidRPr="00253C15">
        <w:rPr>
          <w:noProof/>
        </w:rPr>
        <w:tab/>
        <w:t>Geschätzter Output, der mit operativen Mitteln finanziert wird</w:t>
      </w:r>
      <w:r w:rsidRPr="00253C15">
        <w:rPr>
          <w:noProof/>
        </w:rPr>
        <w:tab/>
      </w:r>
      <w:r w:rsidRPr="00253C15">
        <w:rPr>
          <w:noProof/>
          <w:webHidden/>
        </w:rPr>
        <w:t>22</w:t>
      </w:r>
    </w:p>
    <w:p w:rsidR="00693ED0" w:rsidRPr="00253C15" w:rsidRDefault="00693ED0" w:rsidP="00693ED0">
      <w:pPr>
        <w:pStyle w:val="TOC3"/>
        <w:rPr>
          <w:rFonts w:asciiTheme="minorHAnsi" w:eastAsiaTheme="minorEastAsia" w:hAnsiTheme="minorHAnsi" w:cstheme="minorBidi"/>
          <w:noProof/>
          <w:kern w:val="2"/>
          <w:sz w:val="22"/>
          <w14:ligatures w14:val="standardContextual"/>
        </w:rPr>
      </w:pPr>
      <w:r w:rsidRPr="00253C15">
        <w:rPr>
          <w:noProof/>
        </w:rPr>
        <w:t>3.2.3.</w:t>
      </w:r>
      <w:r w:rsidRPr="00253C15">
        <w:rPr>
          <w:noProof/>
        </w:rPr>
        <w:tab/>
        <w:t>Übersicht über die geschätzten Auswirkungen auf die Verwaltungsmittel</w:t>
      </w:r>
      <w:r w:rsidRPr="00253C15">
        <w:rPr>
          <w:noProof/>
        </w:rPr>
        <w:tab/>
      </w:r>
      <w:r w:rsidRPr="00253C15">
        <w:rPr>
          <w:noProof/>
          <w:webHidden/>
        </w:rPr>
        <w:t>24</w:t>
      </w:r>
    </w:p>
    <w:p w:rsidR="00693ED0" w:rsidRPr="00253C15" w:rsidRDefault="00693ED0" w:rsidP="00693ED0">
      <w:pPr>
        <w:pStyle w:val="TOC3"/>
        <w:rPr>
          <w:rFonts w:asciiTheme="minorHAnsi" w:eastAsiaTheme="minorEastAsia" w:hAnsiTheme="minorHAnsi" w:cstheme="minorBidi"/>
          <w:noProof/>
          <w:kern w:val="2"/>
          <w:sz w:val="22"/>
          <w14:ligatures w14:val="standardContextual"/>
        </w:rPr>
      </w:pPr>
      <w:r w:rsidRPr="00253C15">
        <w:rPr>
          <w:noProof/>
        </w:rPr>
        <w:t>3.2.3.1. Mittel aus dem verabschiedeten Haushaltsplan</w:t>
      </w:r>
      <w:r w:rsidRPr="00253C15">
        <w:rPr>
          <w:noProof/>
        </w:rPr>
        <w:tab/>
      </w:r>
      <w:r w:rsidRPr="00253C15">
        <w:rPr>
          <w:noProof/>
          <w:webHidden/>
        </w:rPr>
        <w:t>24</w:t>
      </w:r>
    </w:p>
    <w:p w:rsidR="00693ED0" w:rsidRPr="00253C15" w:rsidRDefault="00693ED0" w:rsidP="00693ED0">
      <w:pPr>
        <w:pStyle w:val="TOC3"/>
        <w:rPr>
          <w:rFonts w:asciiTheme="minorHAnsi" w:eastAsiaTheme="minorEastAsia" w:hAnsiTheme="minorHAnsi" w:cstheme="minorBidi"/>
          <w:noProof/>
          <w:kern w:val="2"/>
          <w:sz w:val="22"/>
          <w14:ligatures w14:val="standardContextual"/>
        </w:rPr>
      </w:pPr>
      <w:r w:rsidRPr="00253C15">
        <w:rPr>
          <w:noProof/>
        </w:rPr>
        <w:t>3.2.3.2.</w:t>
      </w:r>
      <w:r w:rsidRPr="00253C15">
        <w:rPr>
          <w:noProof/>
        </w:rPr>
        <w:tab/>
        <w:t>Mittel aus externen zweckgebundenen Einnahmen</w:t>
      </w:r>
      <w:r w:rsidRPr="00253C15">
        <w:rPr>
          <w:noProof/>
        </w:rPr>
        <w:tab/>
      </w:r>
      <w:r w:rsidRPr="00253C15">
        <w:rPr>
          <w:noProof/>
          <w:webHidden/>
        </w:rPr>
        <w:t>24</w:t>
      </w:r>
    </w:p>
    <w:p w:rsidR="00693ED0" w:rsidRPr="00253C15" w:rsidRDefault="00693ED0" w:rsidP="00693ED0">
      <w:pPr>
        <w:pStyle w:val="TOC3"/>
        <w:rPr>
          <w:rFonts w:asciiTheme="minorHAnsi" w:eastAsiaTheme="minorEastAsia" w:hAnsiTheme="minorHAnsi" w:cstheme="minorBidi"/>
          <w:noProof/>
          <w:kern w:val="2"/>
          <w:sz w:val="22"/>
          <w14:ligatures w14:val="standardContextual"/>
        </w:rPr>
      </w:pPr>
      <w:r w:rsidRPr="00253C15">
        <w:rPr>
          <w:noProof/>
        </w:rPr>
        <w:t>3.2.3.3.</w:t>
      </w:r>
      <w:r w:rsidRPr="00253C15">
        <w:rPr>
          <w:noProof/>
        </w:rPr>
        <w:tab/>
        <w:t>Mittel insgesamt</w:t>
      </w:r>
      <w:r w:rsidRPr="00253C15">
        <w:rPr>
          <w:noProof/>
        </w:rPr>
        <w:tab/>
      </w:r>
      <w:r w:rsidRPr="00253C15">
        <w:rPr>
          <w:noProof/>
          <w:webHidden/>
        </w:rPr>
        <w:t>24</w:t>
      </w:r>
    </w:p>
    <w:p w:rsidR="00693ED0" w:rsidRPr="00253C15" w:rsidRDefault="00693ED0" w:rsidP="00693ED0">
      <w:pPr>
        <w:pStyle w:val="TOC3"/>
        <w:rPr>
          <w:rFonts w:asciiTheme="minorHAnsi" w:eastAsiaTheme="minorEastAsia" w:hAnsiTheme="minorHAnsi" w:cstheme="minorBidi"/>
          <w:noProof/>
          <w:kern w:val="2"/>
          <w:sz w:val="22"/>
          <w14:ligatures w14:val="standardContextual"/>
        </w:rPr>
      </w:pPr>
      <w:r w:rsidRPr="00253C15">
        <w:rPr>
          <w:noProof/>
        </w:rPr>
        <w:t>3.2.4.</w:t>
      </w:r>
      <w:r w:rsidRPr="00253C15">
        <w:rPr>
          <w:noProof/>
        </w:rPr>
        <w:tab/>
        <w:t>Geschätzter Personalbedarf</w:t>
      </w:r>
      <w:r w:rsidRPr="00253C15">
        <w:rPr>
          <w:noProof/>
        </w:rPr>
        <w:tab/>
      </w:r>
      <w:r w:rsidRPr="00253C15">
        <w:rPr>
          <w:noProof/>
          <w:webHidden/>
        </w:rPr>
        <w:t>25</w:t>
      </w:r>
    </w:p>
    <w:p w:rsidR="00693ED0" w:rsidRPr="00253C15" w:rsidRDefault="00693ED0" w:rsidP="00693ED0">
      <w:pPr>
        <w:pStyle w:val="TOC3"/>
        <w:rPr>
          <w:rFonts w:asciiTheme="minorHAnsi" w:eastAsiaTheme="minorEastAsia" w:hAnsiTheme="minorHAnsi" w:cstheme="minorBidi"/>
          <w:noProof/>
          <w:kern w:val="2"/>
          <w:sz w:val="22"/>
          <w14:ligatures w14:val="standardContextual"/>
        </w:rPr>
      </w:pPr>
      <w:r w:rsidRPr="00253C15">
        <w:rPr>
          <w:noProof/>
        </w:rPr>
        <w:t>3.2.4.1.</w:t>
      </w:r>
      <w:r w:rsidRPr="00253C15">
        <w:rPr>
          <w:noProof/>
        </w:rPr>
        <w:tab/>
        <w:t>Finanziert aus dem verabschiedeten Haushalt</w:t>
      </w:r>
      <w:r w:rsidRPr="00253C15">
        <w:rPr>
          <w:noProof/>
        </w:rPr>
        <w:tab/>
      </w:r>
      <w:r w:rsidRPr="00253C15">
        <w:rPr>
          <w:noProof/>
          <w:webHidden/>
        </w:rPr>
        <w:t>25</w:t>
      </w:r>
    </w:p>
    <w:p w:rsidR="00693ED0" w:rsidRPr="00253C15" w:rsidRDefault="00693ED0" w:rsidP="00693ED0">
      <w:pPr>
        <w:pStyle w:val="TOC3"/>
        <w:rPr>
          <w:rFonts w:asciiTheme="minorHAnsi" w:eastAsiaTheme="minorEastAsia" w:hAnsiTheme="minorHAnsi" w:cstheme="minorBidi"/>
          <w:noProof/>
          <w:kern w:val="2"/>
          <w:sz w:val="22"/>
          <w14:ligatures w14:val="standardContextual"/>
        </w:rPr>
      </w:pPr>
      <w:r w:rsidRPr="00253C15">
        <w:rPr>
          <w:noProof/>
        </w:rPr>
        <w:t>3.2.4.2.</w:t>
      </w:r>
      <w:r w:rsidRPr="00253C15">
        <w:rPr>
          <w:noProof/>
        </w:rPr>
        <w:tab/>
        <w:t>Finanziert aus externen zweckgebundenen Einnahmen</w:t>
      </w:r>
      <w:r w:rsidRPr="00253C15">
        <w:rPr>
          <w:noProof/>
        </w:rPr>
        <w:tab/>
      </w:r>
      <w:r w:rsidRPr="00253C15">
        <w:rPr>
          <w:noProof/>
          <w:webHidden/>
        </w:rPr>
        <w:t>26</w:t>
      </w:r>
    </w:p>
    <w:p w:rsidR="00693ED0" w:rsidRPr="00253C15" w:rsidRDefault="00693ED0" w:rsidP="00693ED0">
      <w:pPr>
        <w:pStyle w:val="TOC3"/>
        <w:rPr>
          <w:rFonts w:asciiTheme="minorHAnsi" w:eastAsiaTheme="minorEastAsia" w:hAnsiTheme="minorHAnsi" w:cstheme="minorBidi"/>
          <w:noProof/>
          <w:kern w:val="2"/>
          <w:sz w:val="22"/>
          <w14:ligatures w14:val="standardContextual"/>
        </w:rPr>
      </w:pPr>
      <w:r w:rsidRPr="00253C15">
        <w:rPr>
          <w:noProof/>
        </w:rPr>
        <w:t>3.2.4.3.</w:t>
      </w:r>
      <w:r w:rsidRPr="00253C15">
        <w:rPr>
          <w:noProof/>
        </w:rPr>
        <w:tab/>
        <w:t>Geschätzter Personalbedarf insgesamt</w:t>
      </w:r>
      <w:r w:rsidRPr="00253C15">
        <w:rPr>
          <w:noProof/>
        </w:rPr>
        <w:tab/>
      </w:r>
      <w:r w:rsidRPr="00253C15">
        <w:rPr>
          <w:noProof/>
          <w:webHidden/>
        </w:rPr>
        <w:t>26</w:t>
      </w:r>
    </w:p>
    <w:p w:rsidR="00693ED0" w:rsidRPr="00253C15" w:rsidRDefault="00693ED0" w:rsidP="00693ED0">
      <w:pPr>
        <w:pStyle w:val="TOC3"/>
        <w:rPr>
          <w:rFonts w:asciiTheme="minorHAnsi" w:eastAsiaTheme="minorEastAsia" w:hAnsiTheme="minorHAnsi" w:cstheme="minorBidi"/>
          <w:noProof/>
          <w:kern w:val="2"/>
          <w:sz w:val="22"/>
          <w14:ligatures w14:val="standardContextual"/>
        </w:rPr>
      </w:pPr>
      <w:r w:rsidRPr="00253C15">
        <w:rPr>
          <w:noProof/>
        </w:rPr>
        <w:t>3.2.5.</w:t>
      </w:r>
      <w:r w:rsidRPr="00253C15">
        <w:rPr>
          <w:noProof/>
        </w:rPr>
        <w:tab/>
        <w:t>Einschätzung der Auswirkungen auf die Investitionen im Zusammenhang mit digitalen Technologien</w:t>
      </w:r>
      <w:r w:rsidRPr="00253C15">
        <w:rPr>
          <w:noProof/>
        </w:rPr>
        <w:tab/>
      </w:r>
      <w:r w:rsidRPr="00253C15">
        <w:rPr>
          <w:noProof/>
          <w:webHidden/>
        </w:rPr>
        <w:t>28</w:t>
      </w:r>
    </w:p>
    <w:p w:rsidR="00693ED0" w:rsidRPr="00253C15" w:rsidRDefault="00693ED0" w:rsidP="00693ED0">
      <w:pPr>
        <w:pStyle w:val="TOC3"/>
        <w:rPr>
          <w:rFonts w:asciiTheme="minorHAnsi" w:eastAsiaTheme="minorEastAsia" w:hAnsiTheme="minorHAnsi" w:cstheme="minorBidi"/>
          <w:noProof/>
          <w:kern w:val="2"/>
          <w:sz w:val="22"/>
          <w14:ligatures w14:val="standardContextual"/>
        </w:rPr>
      </w:pPr>
      <w:r w:rsidRPr="00253C15">
        <w:rPr>
          <w:noProof/>
        </w:rPr>
        <w:t>3.2.6.</w:t>
      </w:r>
      <w:r w:rsidRPr="00253C15">
        <w:rPr>
          <w:noProof/>
        </w:rPr>
        <w:tab/>
        <w:t>Vereinbarkeit mit dem derzeitigen Mehrjährigen Finanzrahmen</w:t>
      </w:r>
      <w:r w:rsidRPr="00253C15">
        <w:rPr>
          <w:noProof/>
        </w:rPr>
        <w:tab/>
      </w:r>
      <w:r w:rsidRPr="00253C15">
        <w:rPr>
          <w:noProof/>
          <w:webHidden/>
        </w:rPr>
        <w:t>28</w:t>
      </w:r>
    </w:p>
    <w:p w:rsidR="00693ED0" w:rsidRPr="00253C15" w:rsidRDefault="00693ED0" w:rsidP="00693ED0">
      <w:pPr>
        <w:pStyle w:val="TOC3"/>
        <w:rPr>
          <w:rFonts w:asciiTheme="minorHAnsi" w:eastAsiaTheme="minorEastAsia" w:hAnsiTheme="minorHAnsi" w:cstheme="minorBidi"/>
          <w:noProof/>
          <w:kern w:val="2"/>
          <w:sz w:val="22"/>
          <w14:ligatures w14:val="standardContextual"/>
        </w:rPr>
      </w:pPr>
      <w:r w:rsidRPr="00253C15">
        <w:rPr>
          <w:noProof/>
        </w:rPr>
        <w:t>3.2.7.</w:t>
      </w:r>
      <w:r w:rsidRPr="00253C15">
        <w:rPr>
          <w:noProof/>
        </w:rPr>
        <w:tab/>
        <w:t>Beiträge Dritter</w:t>
      </w:r>
      <w:r w:rsidRPr="00253C15">
        <w:rPr>
          <w:noProof/>
        </w:rPr>
        <w:tab/>
      </w:r>
      <w:r w:rsidRPr="00253C15">
        <w:rPr>
          <w:noProof/>
          <w:webHidden/>
        </w:rPr>
        <w:t>28</w:t>
      </w:r>
    </w:p>
    <w:p w:rsidR="00693ED0" w:rsidRPr="00253C15" w:rsidRDefault="00693ED0" w:rsidP="00693ED0">
      <w:pPr>
        <w:pStyle w:val="TOC2"/>
        <w:rPr>
          <w:rFonts w:asciiTheme="minorHAnsi" w:eastAsiaTheme="minorEastAsia" w:hAnsiTheme="minorHAnsi" w:cstheme="minorBidi"/>
          <w:noProof/>
          <w:kern w:val="2"/>
          <w:sz w:val="22"/>
          <w14:ligatures w14:val="standardContextual"/>
        </w:rPr>
      </w:pPr>
      <w:r w:rsidRPr="00253C15">
        <w:rPr>
          <w:noProof/>
        </w:rPr>
        <w:t>3.3.</w:t>
      </w:r>
      <w:r w:rsidRPr="00253C15">
        <w:rPr>
          <w:noProof/>
        </w:rPr>
        <w:tab/>
        <w:t>Geschätzte Auswirkungen auf die Einnahmen</w:t>
      </w:r>
      <w:r w:rsidRPr="00253C15">
        <w:rPr>
          <w:noProof/>
        </w:rPr>
        <w:tab/>
      </w:r>
      <w:r w:rsidRPr="00253C15">
        <w:rPr>
          <w:noProof/>
          <w:webHidden/>
        </w:rPr>
        <w:t>29</w:t>
      </w:r>
    </w:p>
    <w:p w:rsidR="00693ED0" w:rsidRPr="00253C15" w:rsidRDefault="00693ED0" w:rsidP="00693ED0">
      <w:pPr>
        <w:pStyle w:val="TOC1"/>
        <w:rPr>
          <w:rFonts w:asciiTheme="minorHAnsi" w:eastAsiaTheme="minorEastAsia" w:hAnsiTheme="minorHAnsi" w:cstheme="minorBidi"/>
          <w:noProof/>
          <w:kern w:val="2"/>
          <w:sz w:val="22"/>
          <w14:ligatures w14:val="standardContextual"/>
        </w:rPr>
      </w:pPr>
      <w:r w:rsidRPr="00253C15">
        <w:rPr>
          <w:noProof/>
        </w:rPr>
        <w:t>4.</w:t>
      </w:r>
      <w:r w:rsidRPr="00253C15">
        <w:rPr>
          <w:noProof/>
        </w:rPr>
        <w:tab/>
      </w:r>
      <w:r w:rsidRPr="00253C15">
        <w:rPr>
          <w:caps/>
          <w:noProof/>
        </w:rPr>
        <w:t>Digitale Aspekte</w:t>
      </w:r>
      <w:r w:rsidRPr="00253C15">
        <w:rPr>
          <w:noProof/>
        </w:rPr>
        <w:tab/>
      </w:r>
      <w:r w:rsidRPr="00253C15">
        <w:rPr>
          <w:noProof/>
          <w:webHidden/>
        </w:rPr>
        <w:t>29</w:t>
      </w:r>
    </w:p>
    <w:p w:rsidR="00693ED0" w:rsidRPr="00253C15" w:rsidRDefault="00693ED0" w:rsidP="00693ED0">
      <w:pPr>
        <w:pStyle w:val="TOC2"/>
        <w:rPr>
          <w:rFonts w:asciiTheme="minorHAnsi" w:eastAsiaTheme="minorEastAsia" w:hAnsiTheme="minorHAnsi" w:cstheme="minorBidi"/>
          <w:noProof/>
          <w:kern w:val="2"/>
          <w:sz w:val="22"/>
          <w14:ligatures w14:val="standardContextual"/>
        </w:rPr>
      </w:pPr>
      <w:r w:rsidRPr="00253C15">
        <w:rPr>
          <w:noProof/>
        </w:rPr>
        <w:t>4.1.</w:t>
      </w:r>
      <w:r w:rsidRPr="00253C15">
        <w:rPr>
          <w:noProof/>
        </w:rPr>
        <w:tab/>
        <w:t>Anforderungen von digitaler Relevanz</w:t>
      </w:r>
      <w:r w:rsidRPr="00253C15">
        <w:rPr>
          <w:noProof/>
        </w:rPr>
        <w:tab/>
      </w:r>
      <w:r w:rsidRPr="00253C15">
        <w:rPr>
          <w:noProof/>
          <w:webHidden/>
        </w:rPr>
        <w:t>30</w:t>
      </w:r>
    </w:p>
    <w:p w:rsidR="00693ED0" w:rsidRPr="00253C15" w:rsidRDefault="00693ED0" w:rsidP="00693ED0">
      <w:pPr>
        <w:pStyle w:val="TOC2"/>
        <w:rPr>
          <w:rFonts w:asciiTheme="minorHAnsi" w:eastAsiaTheme="minorEastAsia" w:hAnsiTheme="minorHAnsi" w:cstheme="minorBidi"/>
          <w:noProof/>
          <w:kern w:val="2"/>
          <w:sz w:val="22"/>
          <w14:ligatures w14:val="standardContextual"/>
        </w:rPr>
      </w:pPr>
      <w:r w:rsidRPr="00253C15">
        <w:rPr>
          <w:noProof/>
        </w:rPr>
        <w:t>4.2.</w:t>
      </w:r>
      <w:r w:rsidRPr="00253C15">
        <w:rPr>
          <w:noProof/>
        </w:rPr>
        <w:tab/>
        <w:t>Daten</w:t>
      </w:r>
      <w:r w:rsidRPr="00253C15">
        <w:rPr>
          <w:noProof/>
        </w:rPr>
        <w:tab/>
      </w:r>
      <w:r w:rsidRPr="00253C15">
        <w:rPr>
          <w:noProof/>
          <w:webHidden/>
        </w:rPr>
        <w:t>30</w:t>
      </w:r>
    </w:p>
    <w:p w:rsidR="00693ED0" w:rsidRPr="00253C15" w:rsidRDefault="00693ED0" w:rsidP="00693ED0">
      <w:pPr>
        <w:pStyle w:val="TOC2"/>
        <w:rPr>
          <w:rFonts w:asciiTheme="minorHAnsi" w:eastAsiaTheme="minorEastAsia" w:hAnsiTheme="minorHAnsi" w:cstheme="minorBidi"/>
          <w:noProof/>
          <w:kern w:val="2"/>
          <w:sz w:val="22"/>
          <w14:ligatures w14:val="standardContextual"/>
        </w:rPr>
      </w:pPr>
      <w:r w:rsidRPr="00253C15">
        <w:rPr>
          <w:noProof/>
        </w:rPr>
        <w:t>4.3.</w:t>
      </w:r>
      <w:r w:rsidRPr="00253C15">
        <w:rPr>
          <w:noProof/>
        </w:rPr>
        <w:tab/>
        <w:t>Digitale Lösungen</w:t>
      </w:r>
      <w:r w:rsidRPr="00253C15">
        <w:rPr>
          <w:noProof/>
        </w:rPr>
        <w:tab/>
      </w:r>
      <w:r w:rsidRPr="00253C15">
        <w:rPr>
          <w:noProof/>
          <w:webHidden/>
        </w:rPr>
        <w:t>31</w:t>
      </w:r>
    </w:p>
    <w:p w:rsidR="00693ED0" w:rsidRPr="00253C15" w:rsidRDefault="00693ED0" w:rsidP="00693ED0">
      <w:pPr>
        <w:pStyle w:val="TOC2"/>
        <w:rPr>
          <w:rFonts w:asciiTheme="minorHAnsi" w:eastAsiaTheme="minorEastAsia" w:hAnsiTheme="minorHAnsi" w:cstheme="minorBidi"/>
          <w:noProof/>
          <w:kern w:val="2"/>
          <w:sz w:val="22"/>
          <w14:ligatures w14:val="standardContextual"/>
        </w:rPr>
      </w:pPr>
      <w:r w:rsidRPr="00253C15">
        <w:rPr>
          <w:noProof/>
        </w:rPr>
        <w:t>4.4.</w:t>
      </w:r>
      <w:r w:rsidRPr="00253C15">
        <w:rPr>
          <w:noProof/>
        </w:rPr>
        <w:tab/>
        <w:t>Interoperabilitätsbewertung</w:t>
      </w:r>
      <w:r w:rsidRPr="00253C15">
        <w:rPr>
          <w:noProof/>
        </w:rPr>
        <w:tab/>
      </w:r>
      <w:r w:rsidRPr="00253C15">
        <w:rPr>
          <w:noProof/>
          <w:webHidden/>
        </w:rPr>
        <w:t>31</w:t>
      </w:r>
    </w:p>
    <w:p w:rsidR="00693ED0" w:rsidRPr="00253C15" w:rsidRDefault="00693ED0" w:rsidP="00693ED0">
      <w:pPr>
        <w:pStyle w:val="TOC2"/>
        <w:rPr>
          <w:rFonts w:asciiTheme="minorHAnsi" w:eastAsiaTheme="minorEastAsia" w:hAnsiTheme="minorHAnsi" w:cstheme="minorBidi"/>
          <w:noProof/>
          <w:kern w:val="2"/>
          <w:sz w:val="22"/>
          <w14:ligatures w14:val="standardContextual"/>
        </w:rPr>
      </w:pPr>
      <w:r w:rsidRPr="00253C15">
        <w:rPr>
          <w:noProof/>
        </w:rPr>
        <w:t>4.5.</w:t>
      </w:r>
      <w:r w:rsidRPr="00253C15">
        <w:rPr>
          <w:noProof/>
        </w:rPr>
        <w:tab/>
        <w:t>Unterstützungsmaßnahmen für die digitale Umsetzung</w:t>
      </w:r>
      <w:r w:rsidRPr="00253C15">
        <w:rPr>
          <w:noProof/>
        </w:rPr>
        <w:tab/>
      </w:r>
      <w:r w:rsidRPr="00253C15">
        <w:rPr>
          <w:noProof/>
          <w:webHidden/>
        </w:rPr>
        <w:t>32</w:t>
      </w:r>
    </w:p>
    <w:p w:rsidR="00693ED0" w:rsidRPr="00253C15" w:rsidRDefault="00693ED0" w:rsidP="00693ED0">
      <w:pPr>
        <w:pStyle w:val="TOC1"/>
        <w:ind w:left="0" w:firstLine="0"/>
        <w:rPr>
          <w:noProof/>
        </w:rPr>
        <w:sectPr w:rsidR="00693ED0" w:rsidRPr="00253C15" w:rsidSect="006F53F5">
          <w:pgSz w:w="11907" w:h="16840" w:code="9"/>
          <w:pgMar w:top="1134" w:right="1418" w:bottom="1134" w:left="1418" w:header="709" w:footer="709" w:gutter="0"/>
          <w:pgNumType w:start="1"/>
          <w:cols w:space="720"/>
          <w:docGrid w:linePitch="360"/>
        </w:sectPr>
      </w:pPr>
    </w:p>
    <w:p w:rsidR="00693ED0" w:rsidRPr="00253C15" w:rsidRDefault="00693ED0" w:rsidP="00693ED0">
      <w:pPr>
        <w:pStyle w:val="ManualHeading1"/>
        <w:rPr>
          <w:noProof/>
        </w:rPr>
      </w:pPr>
      <w:bookmarkStart w:id="6" w:name="_Toc514938007"/>
      <w:bookmarkStart w:id="7" w:name="_Toc520485025"/>
      <w:bookmarkStart w:id="8" w:name="_Toc160804567"/>
      <w:bookmarkStart w:id="9" w:name="_Toc167220259"/>
      <w:bookmarkStart w:id="10" w:name="_Toc177548992"/>
      <w:r w:rsidRPr="00253C15">
        <w:rPr>
          <w:noProof/>
        </w:rPr>
        <w:t>1.</w:t>
      </w:r>
      <w:r w:rsidRPr="00253C15">
        <w:rPr>
          <w:noProof/>
        </w:rPr>
        <w:tab/>
        <w:t>RAHMEN DES VORSCHLAGS/DER INITIATIVE</w:t>
      </w:r>
      <w:bookmarkEnd w:id="6"/>
      <w:bookmarkEnd w:id="7"/>
      <w:bookmarkEnd w:id="8"/>
      <w:bookmarkEnd w:id="9"/>
      <w:bookmarkEnd w:id="10"/>
      <w:r w:rsidRPr="00253C15">
        <w:rPr>
          <w:noProof/>
        </w:rPr>
        <w:t xml:space="preserve"> </w:t>
      </w:r>
    </w:p>
    <w:p w:rsidR="00693ED0" w:rsidRPr="00253C15" w:rsidRDefault="00693ED0" w:rsidP="00693ED0">
      <w:pPr>
        <w:pStyle w:val="ManualHeading2"/>
        <w:rPr>
          <w:noProof/>
        </w:rPr>
      </w:pPr>
      <w:bookmarkStart w:id="11" w:name="_Toc514938008"/>
      <w:bookmarkStart w:id="12" w:name="_Toc520485026"/>
      <w:bookmarkStart w:id="13" w:name="_Toc160804568"/>
      <w:bookmarkStart w:id="14" w:name="_Toc167220260"/>
      <w:bookmarkStart w:id="15" w:name="_Toc177548993"/>
      <w:r w:rsidRPr="00253C15">
        <w:rPr>
          <w:noProof/>
        </w:rPr>
        <w:t>1.1.</w:t>
      </w:r>
      <w:r w:rsidRPr="00253C15">
        <w:rPr>
          <w:noProof/>
        </w:rPr>
        <w:tab/>
        <w:t>Bezeichnung des Vorschlags/der Initiative</w:t>
      </w:r>
      <w:bookmarkEnd w:id="11"/>
      <w:bookmarkEnd w:id="12"/>
      <w:bookmarkEnd w:id="13"/>
      <w:bookmarkEnd w:id="14"/>
      <w:bookmarkEnd w:id="15"/>
    </w:p>
    <w:p w:rsidR="00693ED0" w:rsidRPr="00253C15" w:rsidRDefault="00CE5824" w:rsidP="00CE5824">
      <w:pPr>
        <w:pStyle w:val="Text1"/>
        <w:pBdr>
          <w:top w:val="single" w:sz="4" w:space="1" w:color="auto"/>
          <w:left w:val="single" w:sz="4" w:space="4" w:color="auto"/>
          <w:bottom w:val="single" w:sz="4" w:space="1" w:color="auto"/>
          <w:right w:val="single" w:sz="4" w:space="4" w:color="auto"/>
        </w:pBdr>
        <w:rPr>
          <w:noProof/>
        </w:rPr>
      </w:pPr>
      <w:r w:rsidRPr="00253C15">
        <w:rPr>
          <w:noProof/>
        </w:rPr>
        <w:t xml:space="preserve">Vorschlag für eine Verordnung des Europäischen Parlaments und des Rates zur Änderung der Verordnung (EU) 2024/1348 hinsichtlich der Anwendung des Konzepts des „sicheren Drittstaats“ </w:t>
      </w:r>
    </w:p>
    <w:p w:rsidR="00693ED0" w:rsidRPr="00253C15" w:rsidRDefault="00693ED0" w:rsidP="00693ED0">
      <w:pPr>
        <w:pStyle w:val="ManualHeading2"/>
        <w:rPr>
          <w:i/>
          <w:noProof/>
        </w:rPr>
      </w:pPr>
      <w:bookmarkStart w:id="16" w:name="_Toc514938011"/>
      <w:bookmarkStart w:id="17" w:name="_Toc520485027"/>
      <w:bookmarkStart w:id="18" w:name="_Toc160804569"/>
      <w:bookmarkStart w:id="19" w:name="_Toc167220261"/>
      <w:bookmarkStart w:id="20" w:name="_Toc177548994"/>
      <w:r w:rsidRPr="00253C15">
        <w:rPr>
          <w:noProof/>
        </w:rPr>
        <w:t>1.2.</w:t>
      </w:r>
      <w:r w:rsidRPr="00253C15">
        <w:rPr>
          <w:noProof/>
        </w:rPr>
        <w:tab/>
        <w:t>Politikbereich(e)</w:t>
      </w:r>
      <w:bookmarkEnd w:id="16"/>
      <w:bookmarkEnd w:id="17"/>
      <w:bookmarkEnd w:id="18"/>
      <w:bookmarkEnd w:id="19"/>
      <w:bookmarkEnd w:id="20"/>
      <w:r w:rsidRPr="00253C15">
        <w:rPr>
          <w:i/>
          <w:noProof/>
        </w:rPr>
        <w:t xml:space="preserve"> </w:t>
      </w:r>
    </w:p>
    <w:p w:rsidR="00693ED0" w:rsidRPr="00253C15" w:rsidRDefault="00693ED0" w:rsidP="00693ED0">
      <w:pPr>
        <w:pStyle w:val="Text1"/>
        <w:pBdr>
          <w:top w:val="single" w:sz="4" w:space="1" w:color="auto"/>
          <w:left w:val="single" w:sz="4" w:space="4" w:color="auto"/>
          <w:bottom w:val="single" w:sz="4" w:space="1" w:color="auto"/>
          <w:right w:val="single" w:sz="4" w:space="4" w:color="auto"/>
        </w:pBdr>
        <w:rPr>
          <w:noProof/>
        </w:rPr>
      </w:pPr>
      <w:r w:rsidRPr="00253C15">
        <w:rPr>
          <w:noProof/>
        </w:rPr>
        <w:t>Asyl</w:t>
      </w:r>
    </w:p>
    <w:p w:rsidR="00693ED0" w:rsidRPr="00253C15" w:rsidRDefault="00693ED0" w:rsidP="00693ED0">
      <w:pPr>
        <w:pStyle w:val="ManualHeading2"/>
        <w:rPr>
          <w:noProof/>
        </w:rPr>
      </w:pPr>
      <w:bookmarkStart w:id="21" w:name="_Toc514938015"/>
      <w:bookmarkStart w:id="22" w:name="_Toc520485029"/>
      <w:bookmarkStart w:id="23" w:name="_Toc160804571"/>
      <w:bookmarkStart w:id="24" w:name="_Toc167220263"/>
      <w:bookmarkStart w:id="25" w:name="_Toc177548995"/>
      <w:r w:rsidRPr="00253C15">
        <w:rPr>
          <w:noProof/>
        </w:rPr>
        <w:t>1.3.</w:t>
      </w:r>
      <w:r w:rsidRPr="00253C15">
        <w:rPr>
          <w:noProof/>
        </w:rPr>
        <w:tab/>
        <w:t>Ziel(e)</w:t>
      </w:r>
      <w:bookmarkEnd w:id="21"/>
      <w:bookmarkEnd w:id="22"/>
      <w:bookmarkEnd w:id="23"/>
      <w:bookmarkEnd w:id="24"/>
      <w:bookmarkEnd w:id="25"/>
    </w:p>
    <w:p w:rsidR="00693ED0" w:rsidRPr="00253C15" w:rsidRDefault="00693ED0" w:rsidP="00693ED0">
      <w:pPr>
        <w:pStyle w:val="ManualHeading3"/>
        <w:rPr>
          <w:noProof/>
        </w:rPr>
      </w:pPr>
      <w:bookmarkStart w:id="26" w:name="_Toc514938016"/>
      <w:bookmarkStart w:id="27" w:name="_Toc520485030"/>
      <w:bookmarkStart w:id="28" w:name="_Toc160804572"/>
      <w:bookmarkStart w:id="29" w:name="_Toc167220264"/>
      <w:bookmarkStart w:id="30" w:name="_Toc177548996"/>
      <w:r w:rsidRPr="00253C15">
        <w:rPr>
          <w:noProof/>
        </w:rPr>
        <w:t>1.3.1.</w:t>
      </w:r>
      <w:r w:rsidRPr="00253C15">
        <w:rPr>
          <w:noProof/>
        </w:rPr>
        <w:tab/>
        <w:t>Allgemeine(s) Ziel(e)</w:t>
      </w:r>
      <w:bookmarkEnd w:id="26"/>
      <w:bookmarkEnd w:id="27"/>
      <w:bookmarkEnd w:id="28"/>
      <w:bookmarkEnd w:id="29"/>
      <w:bookmarkEnd w:id="30"/>
    </w:p>
    <w:p w:rsidR="00693ED0" w:rsidRPr="00253C15"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31" w:name="_Toc514938018"/>
      <w:bookmarkStart w:id="32" w:name="_Toc520485031"/>
      <w:bookmarkStart w:id="33" w:name="_Toc160804573"/>
      <w:bookmarkStart w:id="34" w:name="_Toc167220265"/>
      <w:bookmarkStart w:id="35" w:name="_Toc177548997"/>
      <w:r w:rsidRPr="00253C15">
        <w:rPr>
          <w:noProof/>
        </w:rPr>
        <w:t xml:space="preserve">Dieser Vorschlag entspricht der Anforderung der Asylverfahrensverordnung (EU) 2024/1348 an die Kommission, das Konzept des sicheren Drittstaats zu überprüfen und gegebenenfalls gezielte Änderungen vorzuschlagen, um seine Anwendung zu erleichtern. Ziel ist es, die Anwendung des Konzepts des sicheren Drittstaats im Asylrahmen der EU zu verbessern. </w:t>
      </w:r>
    </w:p>
    <w:p w:rsidR="00693ED0" w:rsidRPr="00253C15" w:rsidRDefault="00693ED0" w:rsidP="00693ED0">
      <w:pPr>
        <w:pStyle w:val="Text1"/>
        <w:pBdr>
          <w:top w:val="single" w:sz="4" w:space="1" w:color="auto"/>
          <w:left w:val="single" w:sz="4" w:space="4" w:color="auto"/>
          <w:bottom w:val="single" w:sz="4" w:space="1" w:color="auto"/>
          <w:right w:val="single" w:sz="4" w:space="4" w:color="auto"/>
        </w:pBdr>
        <w:rPr>
          <w:noProof/>
        </w:rPr>
      </w:pPr>
      <w:r w:rsidRPr="00253C15">
        <w:rPr>
          <w:noProof/>
        </w:rPr>
        <w:t>Im Einklang mit dem Migrations- und Asylpaket stärkt dieser Vorschlag die partnerschaftliche Zusammenarbeit mit Drittstaaten, indem er sicherstellt, dass Abkommen und Vereinbarungen hinsichtlich sicherer Drittstaaten für beide Seiten vorteilhaft sind, die Grundsätze der geteilten Verantwortung wahren und die Grundrechte uneingeschränkt achten. Durch die Berücksichtigung des Schutzbedarfs und die Gewährleistung der Einhaltung internationaler Verpflichtungen trägt der Vorschlag auch zum Engagement der EU im Rahmen des Globalen Pakts für Flüchtlinge bei.</w:t>
      </w:r>
    </w:p>
    <w:p w:rsidR="00693ED0" w:rsidRPr="00253C15" w:rsidRDefault="00693ED0" w:rsidP="00693ED0">
      <w:pPr>
        <w:pStyle w:val="ManualHeading3"/>
        <w:rPr>
          <w:noProof/>
        </w:rPr>
      </w:pPr>
      <w:r w:rsidRPr="00253C15">
        <w:rPr>
          <w:noProof/>
        </w:rPr>
        <w:t>1.3.2.</w:t>
      </w:r>
      <w:r w:rsidRPr="00253C15">
        <w:rPr>
          <w:noProof/>
        </w:rPr>
        <w:tab/>
        <w:t>Einzelziel(e)</w:t>
      </w:r>
      <w:bookmarkEnd w:id="31"/>
      <w:bookmarkEnd w:id="32"/>
      <w:bookmarkEnd w:id="33"/>
      <w:bookmarkEnd w:id="34"/>
      <w:bookmarkEnd w:id="35"/>
    </w:p>
    <w:p w:rsidR="00693ED0" w:rsidRPr="00253C15" w:rsidRDefault="00693ED0" w:rsidP="00693ED0">
      <w:pPr>
        <w:pStyle w:val="Text1"/>
        <w:pBdr>
          <w:top w:val="single" w:sz="4" w:space="1" w:color="auto"/>
          <w:left w:val="single" w:sz="4" w:space="4" w:color="auto"/>
          <w:bottom w:val="single" w:sz="4" w:space="1" w:color="auto"/>
          <w:right w:val="single" w:sz="4" w:space="4" w:color="auto"/>
        </w:pBdr>
        <w:rPr>
          <w:noProof/>
          <w:u w:val="single"/>
        </w:rPr>
      </w:pPr>
      <w:r w:rsidRPr="00253C15">
        <w:rPr>
          <w:noProof/>
          <w:u w:val="single"/>
        </w:rPr>
        <w:t>Einzelziel Nr. 1</w:t>
      </w:r>
    </w:p>
    <w:p w:rsidR="00693ED0" w:rsidRPr="00253C15" w:rsidRDefault="00693ED0" w:rsidP="006D513D">
      <w:pPr>
        <w:pStyle w:val="Text1"/>
        <w:pBdr>
          <w:top w:val="single" w:sz="4" w:space="1" w:color="auto"/>
          <w:left w:val="single" w:sz="4" w:space="4" w:color="auto"/>
          <w:bottom w:val="single" w:sz="4" w:space="1" w:color="auto"/>
          <w:right w:val="single" w:sz="4" w:space="4" w:color="auto"/>
        </w:pBdr>
        <w:rPr>
          <w:noProof/>
        </w:rPr>
      </w:pPr>
      <w:bookmarkStart w:id="36" w:name="_Toc514938019"/>
      <w:bookmarkStart w:id="37" w:name="_Toc520485032"/>
      <w:bookmarkStart w:id="38" w:name="_Toc160804574"/>
      <w:bookmarkStart w:id="39" w:name="_Toc167220266"/>
      <w:bookmarkStart w:id="40" w:name="_Toc177548998"/>
      <w:r w:rsidRPr="00253C15">
        <w:rPr>
          <w:noProof/>
        </w:rPr>
        <w:t xml:space="preserve">Das erste Ziel dieses Vorschlags sind gezielte Änderungen der Asylverfahrensverordnung (EU) 2024/1348, um die Anwendung des Konzepts des sicheren Drittstaats durch die Mitgliedstaaten zu erleichtern. </w:t>
      </w:r>
    </w:p>
    <w:p w:rsidR="00693ED0" w:rsidRPr="00253C15" w:rsidRDefault="00693ED0" w:rsidP="00693ED0">
      <w:pPr>
        <w:pStyle w:val="ManualHeading3"/>
        <w:rPr>
          <w:noProof/>
        </w:rPr>
      </w:pPr>
      <w:r w:rsidRPr="00253C15">
        <w:rPr>
          <w:noProof/>
        </w:rPr>
        <w:t>1.3.3.</w:t>
      </w:r>
      <w:r w:rsidRPr="00253C15">
        <w:rPr>
          <w:noProof/>
        </w:rPr>
        <w:tab/>
        <w:t>Erwartete Ergebnisse und Auswirkungen</w:t>
      </w:r>
      <w:bookmarkEnd w:id="36"/>
      <w:bookmarkEnd w:id="37"/>
      <w:bookmarkEnd w:id="38"/>
      <w:bookmarkEnd w:id="39"/>
      <w:bookmarkEnd w:id="40"/>
    </w:p>
    <w:p w:rsidR="00693ED0" w:rsidRPr="00253C15" w:rsidRDefault="00693ED0" w:rsidP="00693ED0">
      <w:pPr>
        <w:pStyle w:val="Text1"/>
        <w:rPr>
          <w:i/>
          <w:noProof/>
          <w:sz w:val="20"/>
        </w:rPr>
      </w:pPr>
      <w:r w:rsidRPr="00253C15">
        <w:rPr>
          <w:i/>
          <w:noProof/>
          <w:sz w:val="20"/>
        </w:rPr>
        <w:t>Bitte geben Sie an, wie sich der Vorschlag/die Initiative auf die Begünstigten/Zielgruppen auswirken sollte.</w:t>
      </w:r>
    </w:p>
    <w:p w:rsidR="00693ED0" w:rsidRPr="00253C15"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41" w:name="_Toc514938023"/>
      <w:bookmarkStart w:id="42" w:name="_Toc520485033"/>
      <w:bookmarkStart w:id="43" w:name="_Toc160804575"/>
      <w:bookmarkStart w:id="44" w:name="_Toc167220267"/>
      <w:bookmarkStart w:id="45" w:name="_Toc177548999"/>
      <w:r w:rsidRPr="00253C15">
        <w:rPr>
          <w:noProof/>
        </w:rPr>
        <w:t>1.</w:t>
      </w:r>
      <w:r w:rsidRPr="00253C15">
        <w:rPr>
          <w:noProof/>
        </w:rPr>
        <w:tab/>
        <w:t xml:space="preserve">Verbesserung der Rechtsklarheit und der Kohärenz bei der Anwendung des Konzepts des sicheren Drittstaats. </w:t>
      </w:r>
    </w:p>
    <w:p w:rsidR="00693ED0" w:rsidRPr="00253C15" w:rsidRDefault="00693ED0" w:rsidP="00693ED0">
      <w:pPr>
        <w:pStyle w:val="Text1"/>
        <w:pBdr>
          <w:top w:val="single" w:sz="4" w:space="1" w:color="auto"/>
          <w:left w:val="single" w:sz="4" w:space="4" w:color="auto"/>
          <w:bottom w:val="single" w:sz="4" w:space="1" w:color="auto"/>
          <w:right w:val="single" w:sz="4" w:space="4" w:color="auto"/>
        </w:pBdr>
        <w:rPr>
          <w:noProof/>
        </w:rPr>
      </w:pPr>
      <w:r w:rsidRPr="00253C15">
        <w:rPr>
          <w:noProof/>
        </w:rPr>
        <w:t>2.</w:t>
      </w:r>
      <w:r w:rsidRPr="00253C15">
        <w:rPr>
          <w:noProof/>
        </w:rPr>
        <w:tab/>
        <w:t xml:space="preserve">Bereitstellung von mehr Flexibilität für die Mitgliedstaaten bei der Anwendung des Konzepts und gleichzeitig Sicherstellung der Einhaltung internationaler Verpflichtungen und der Achtung der Grundrechte. </w:t>
      </w:r>
    </w:p>
    <w:p w:rsidR="00693ED0" w:rsidRPr="00253C15" w:rsidRDefault="00693ED0" w:rsidP="00693ED0">
      <w:pPr>
        <w:pStyle w:val="Text1"/>
        <w:pBdr>
          <w:top w:val="single" w:sz="4" w:space="1" w:color="auto"/>
          <w:left w:val="single" w:sz="4" w:space="4" w:color="auto"/>
          <w:bottom w:val="single" w:sz="4" w:space="1" w:color="auto"/>
          <w:right w:val="single" w:sz="4" w:space="4" w:color="auto"/>
        </w:pBdr>
        <w:rPr>
          <w:noProof/>
        </w:rPr>
      </w:pPr>
      <w:r w:rsidRPr="00253C15">
        <w:rPr>
          <w:noProof/>
        </w:rPr>
        <w:t>3.</w:t>
      </w:r>
      <w:r w:rsidRPr="00253C15">
        <w:rPr>
          <w:noProof/>
        </w:rPr>
        <w:tab/>
        <w:t>Steigerung der Effizienz der Asylverfahren und Verringerung des Drucks auf die Asylsysteme der EU und des Missbrauchs der Asylsysteme.</w:t>
      </w:r>
    </w:p>
    <w:p w:rsidR="00693ED0" w:rsidRPr="00253C15" w:rsidRDefault="00693ED0" w:rsidP="00693ED0">
      <w:pPr>
        <w:pStyle w:val="ManualHeading3"/>
        <w:rPr>
          <w:noProof/>
        </w:rPr>
      </w:pPr>
      <w:r w:rsidRPr="00253C15">
        <w:rPr>
          <w:noProof/>
        </w:rPr>
        <w:t>1.3.4.</w:t>
      </w:r>
      <w:r w:rsidRPr="00253C15">
        <w:rPr>
          <w:noProof/>
        </w:rPr>
        <w:tab/>
        <w:t>Leistungsindikatoren</w:t>
      </w:r>
      <w:bookmarkEnd w:id="41"/>
      <w:bookmarkEnd w:id="42"/>
      <w:bookmarkEnd w:id="43"/>
      <w:bookmarkEnd w:id="44"/>
      <w:bookmarkEnd w:id="45"/>
    </w:p>
    <w:p w:rsidR="00693ED0" w:rsidRPr="00253C15" w:rsidRDefault="00693ED0" w:rsidP="00693ED0">
      <w:pPr>
        <w:pStyle w:val="Text1"/>
        <w:rPr>
          <w:i/>
          <w:noProof/>
          <w:sz w:val="20"/>
        </w:rPr>
      </w:pPr>
      <w:r w:rsidRPr="00253C15">
        <w:rPr>
          <w:i/>
          <w:noProof/>
          <w:sz w:val="20"/>
        </w:rPr>
        <w:t>Bitte geben Sie an, anhand welcher Indikatoren die Fortschritte und Ergebnisse verfolgt werden sollen.</w:t>
      </w:r>
    </w:p>
    <w:p w:rsidR="00693ED0" w:rsidRPr="00253C15"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46" w:name="_Toc177549000"/>
      <w:r w:rsidRPr="00253C15">
        <w:rPr>
          <w:noProof/>
        </w:rPr>
        <w:t>Auswirkungen der Änderungen auf Folgendes:</w:t>
      </w:r>
    </w:p>
    <w:p w:rsidR="008C0BF3" w:rsidRPr="00253C15" w:rsidRDefault="00693ED0" w:rsidP="008C0BF3">
      <w:pPr>
        <w:pStyle w:val="Text1"/>
        <w:pBdr>
          <w:top w:val="single" w:sz="4" w:space="1" w:color="auto"/>
          <w:left w:val="single" w:sz="4" w:space="4" w:color="auto"/>
          <w:bottom w:val="single" w:sz="4" w:space="1" w:color="auto"/>
          <w:right w:val="single" w:sz="4" w:space="4" w:color="auto"/>
        </w:pBdr>
        <w:ind w:left="1440" w:hanging="590"/>
        <w:rPr>
          <w:noProof/>
        </w:rPr>
      </w:pPr>
      <w:r w:rsidRPr="00253C15">
        <w:rPr>
          <w:noProof/>
        </w:rPr>
        <w:t>1.</w:t>
      </w:r>
      <w:r w:rsidRPr="00253C15">
        <w:rPr>
          <w:noProof/>
        </w:rPr>
        <w:tab/>
        <w:t>Zahl der Mitgliedstaaten, die das Konzept des sicheren Drittstaats anwenden (unter Anwendung des Verbindungskriteriums, des Durchreisekriteriums oder auf der Grundlage von Abkommen oder Vereinbarungen mit sicheren Drittstaaten).</w:t>
      </w:r>
    </w:p>
    <w:p w:rsidR="00693ED0" w:rsidRPr="00253C15" w:rsidRDefault="008C0BF3" w:rsidP="008C0BF3">
      <w:pPr>
        <w:pStyle w:val="Text1"/>
        <w:pBdr>
          <w:top w:val="single" w:sz="4" w:space="1" w:color="auto"/>
          <w:left w:val="single" w:sz="4" w:space="4" w:color="auto"/>
          <w:bottom w:val="single" w:sz="4" w:space="1" w:color="auto"/>
          <w:right w:val="single" w:sz="4" w:space="4" w:color="auto"/>
        </w:pBdr>
        <w:ind w:left="1440" w:hanging="590"/>
        <w:rPr>
          <w:noProof/>
        </w:rPr>
      </w:pPr>
      <w:r w:rsidRPr="00253C15">
        <w:rPr>
          <w:noProof/>
        </w:rPr>
        <w:t>2.</w:t>
      </w:r>
      <w:r w:rsidRPr="00253C15">
        <w:rPr>
          <w:noProof/>
        </w:rPr>
        <w:tab/>
        <w:t xml:space="preserve">Zahl der Asylanträge, die aufgrund des Konzepts des sicheren Drittstaats als unzulässig abgelehnt wurden, und Anzahl der Rechtsbehelfe. </w:t>
      </w:r>
    </w:p>
    <w:p w:rsidR="00693ED0" w:rsidRPr="00253C15" w:rsidRDefault="00693ED0" w:rsidP="006D513D">
      <w:pPr>
        <w:pStyle w:val="Text1"/>
        <w:pBdr>
          <w:top w:val="single" w:sz="4" w:space="1" w:color="auto"/>
          <w:left w:val="single" w:sz="4" w:space="4" w:color="auto"/>
          <w:bottom w:val="single" w:sz="4" w:space="1" w:color="auto"/>
          <w:right w:val="single" w:sz="4" w:space="4" w:color="auto"/>
        </w:pBdr>
        <w:rPr>
          <w:noProof/>
        </w:rPr>
      </w:pPr>
      <w:r w:rsidRPr="00253C15">
        <w:rPr>
          <w:noProof/>
        </w:rPr>
        <w:t>3.</w:t>
      </w:r>
      <w:r w:rsidRPr="00253C15">
        <w:rPr>
          <w:noProof/>
        </w:rPr>
        <w:tab/>
        <w:t>Anzahl der Abkommen oder Vereinbarungen mit sicheren Drittstaaten auf Ebene der Union oder der Mitgliedstaaten.</w:t>
      </w:r>
    </w:p>
    <w:p w:rsidR="00693ED0" w:rsidRPr="00253C15" w:rsidRDefault="00693ED0" w:rsidP="00693ED0">
      <w:pPr>
        <w:pStyle w:val="ManualHeading2"/>
        <w:rPr>
          <w:noProof/>
        </w:rPr>
      </w:pPr>
      <w:r w:rsidRPr="00253C15">
        <w:rPr>
          <w:noProof/>
        </w:rPr>
        <w:t>1.4.</w:t>
      </w:r>
      <w:r w:rsidRPr="00253C15">
        <w:rPr>
          <w:noProof/>
        </w:rPr>
        <w:tab/>
        <w:t>Der Vorschlag/Die Initiative betrifft</w:t>
      </w:r>
      <w:bookmarkEnd w:id="46"/>
      <w:r w:rsidRPr="00253C15">
        <w:rPr>
          <w:noProof/>
        </w:rPr>
        <w:t xml:space="preserve"> </w:t>
      </w:r>
    </w:p>
    <w:p w:rsidR="00693ED0" w:rsidRPr="00253C15" w:rsidRDefault="00693ED0" w:rsidP="00693ED0">
      <w:pPr>
        <w:pStyle w:val="Text1"/>
        <w:rPr>
          <w:noProof/>
          <w:sz w:val="22"/>
        </w:rPr>
      </w:pPr>
      <w:r w:rsidRPr="00253C15">
        <w:rPr>
          <w:rFonts w:ascii="Wingdings" w:hAnsi="Wingdings"/>
          <w:noProof/>
          <w:sz w:val="22"/>
        </w:rPr>
        <w:t></w:t>
      </w:r>
      <w:r w:rsidRPr="00253C15">
        <w:rPr>
          <w:i/>
          <w:noProof/>
          <w:sz w:val="22"/>
        </w:rPr>
        <w:t xml:space="preserve"> </w:t>
      </w:r>
      <w:r w:rsidRPr="00253C15">
        <w:rPr>
          <w:noProof/>
        </w:rPr>
        <w:t>eine neue Maßnahme</w:t>
      </w:r>
      <w:r w:rsidRPr="00253C15">
        <w:rPr>
          <w:noProof/>
          <w:sz w:val="22"/>
        </w:rPr>
        <w:t xml:space="preserve"> </w:t>
      </w:r>
    </w:p>
    <w:p w:rsidR="00693ED0" w:rsidRPr="00253C15" w:rsidRDefault="00693ED0" w:rsidP="00693ED0">
      <w:pPr>
        <w:pStyle w:val="Text1"/>
        <w:rPr>
          <w:noProof/>
          <w:sz w:val="22"/>
        </w:rPr>
      </w:pPr>
      <w:r w:rsidRPr="00253C15">
        <w:rPr>
          <w:rFonts w:ascii="Wingdings" w:hAnsi="Wingdings"/>
          <w:noProof/>
          <w:sz w:val="22"/>
        </w:rPr>
        <w:t></w:t>
      </w:r>
      <w:r w:rsidRPr="00253C15">
        <w:rPr>
          <w:i/>
          <w:noProof/>
          <w:sz w:val="22"/>
        </w:rPr>
        <w:t xml:space="preserve"> </w:t>
      </w:r>
      <w:r w:rsidRPr="00253C15">
        <w:rPr>
          <w:noProof/>
        </w:rPr>
        <w:t>eine neue Maßnahme im Anschluss an ein Pilotprojekt/eine vorbereitende Maßnahme</w:t>
      </w:r>
      <w:r w:rsidRPr="00253C15">
        <w:rPr>
          <w:rStyle w:val="FootnoteReference"/>
          <w:noProof/>
        </w:rPr>
        <w:footnoteReference w:id="19"/>
      </w:r>
      <w:r w:rsidRPr="00253C15">
        <w:rPr>
          <w:noProof/>
          <w:sz w:val="22"/>
        </w:rPr>
        <w:t xml:space="preserve"> </w:t>
      </w:r>
    </w:p>
    <w:p w:rsidR="00693ED0" w:rsidRPr="00253C15" w:rsidRDefault="00693ED0" w:rsidP="00693ED0">
      <w:pPr>
        <w:pStyle w:val="Text1"/>
        <w:rPr>
          <w:noProof/>
          <w:sz w:val="22"/>
        </w:rPr>
      </w:pPr>
      <w:r w:rsidRPr="00253C15">
        <w:rPr>
          <w:rFonts w:ascii="Wingdings" w:hAnsi="Wingdings"/>
          <w:noProof/>
          <w:sz w:val="22"/>
        </w:rPr>
        <w:t></w:t>
      </w:r>
      <w:r w:rsidRPr="00253C15">
        <w:rPr>
          <w:i/>
          <w:noProof/>
          <w:sz w:val="22"/>
        </w:rPr>
        <w:t xml:space="preserve"> </w:t>
      </w:r>
      <w:r w:rsidRPr="00253C15">
        <w:rPr>
          <w:noProof/>
        </w:rPr>
        <w:t>die Verlängerung einer bestehenden Maßnahme</w:t>
      </w:r>
      <w:r w:rsidRPr="00253C15">
        <w:rPr>
          <w:noProof/>
          <w:sz w:val="22"/>
        </w:rPr>
        <w:t xml:space="preserve"> </w:t>
      </w:r>
    </w:p>
    <w:p w:rsidR="00693ED0" w:rsidRPr="00253C15" w:rsidRDefault="00693ED0" w:rsidP="00693ED0">
      <w:pPr>
        <w:pStyle w:val="Text1"/>
        <w:rPr>
          <w:noProof/>
        </w:rPr>
      </w:pPr>
      <w:r w:rsidRPr="00253C15">
        <w:rPr>
          <w:rFonts w:ascii="Wingdings" w:hAnsi="Wingdings"/>
          <w:noProof/>
          <w:sz w:val="22"/>
        </w:rPr>
        <w:t></w:t>
      </w:r>
      <w:r w:rsidRPr="00253C15">
        <w:rPr>
          <w:i/>
          <w:noProof/>
          <w:sz w:val="22"/>
        </w:rPr>
        <w:t xml:space="preserve"> </w:t>
      </w:r>
      <w:r w:rsidRPr="00253C15">
        <w:rPr>
          <w:noProof/>
        </w:rPr>
        <w:t>die Zusammenführung mehrerer Maßnahmen oder die Neuausrichtung mindestens einer Maßnahme</w:t>
      </w:r>
    </w:p>
    <w:p w:rsidR="00693ED0" w:rsidRPr="00253C15" w:rsidRDefault="00693ED0" w:rsidP="00693ED0">
      <w:pPr>
        <w:pStyle w:val="ManualHeading2"/>
        <w:rPr>
          <w:bCs/>
          <w:noProof/>
          <w:szCs w:val="24"/>
        </w:rPr>
      </w:pPr>
      <w:bookmarkStart w:id="47" w:name="_Toc514938025"/>
      <w:bookmarkStart w:id="48" w:name="_Toc520485034"/>
      <w:bookmarkStart w:id="49" w:name="_Toc160804576"/>
      <w:bookmarkStart w:id="50" w:name="_Toc167220268"/>
      <w:bookmarkStart w:id="51" w:name="_Toc177549001"/>
      <w:r w:rsidRPr="00253C15">
        <w:rPr>
          <w:noProof/>
        </w:rPr>
        <w:t>1.5.</w:t>
      </w:r>
      <w:r w:rsidRPr="00253C15">
        <w:rPr>
          <w:noProof/>
        </w:rPr>
        <w:tab/>
        <w:t>Begründung des Vorschlags/der Initiative</w:t>
      </w:r>
      <w:bookmarkEnd w:id="47"/>
      <w:bookmarkEnd w:id="48"/>
      <w:bookmarkEnd w:id="49"/>
      <w:bookmarkEnd w:id="50"/>
      <w:bookmarkEnd w:id="51"/>
      <w:r w:rsidRPr="00253C15">
        <w:rPr>
          <w:noProof/>
        </w:rPr>
        <w:t xml:space="preserve"> </w:t>
      </w:r>
    </w:p>
    <w:p w:rsidR="00693ED0" w:rsidRPr="00253C15" w:rsidRDefault="00693ED0" w:rsidP="00693ED0">
      <w:pPr>
        <w:pStyle w:val="ManualHeading3"/>
        <w:rPr>
          <w:noProof/>
        </w:rPr>
      </w:pPr>
      <w:bookmarkStart w:id="52" w:name="_Toc514938026"/>
      <w:bookmarkStart w:id="53" w:name="_Toc520485035"/>
      <w:bookmarkStart w:id="54" w:name="_Toc160804577"/>
      <w:bookmarkStart w:id="55" w:name="_Toc167220269"/>
      <w:bookmarkStart w:id="56" w:name="_Toc177549002"/>
      <w:r w:rsidRPr="00253C15">
        <w:rPr>
          <w:noProof/>
        </w:rPr>
        <w:t>1.5.1.</w:t>
      </w:r>
      <w:r w:rsidRPr="00253C15">
        <w:rPr>
          <w:noProof/>
        </w:rPr>
        <w:tab/>
        <w:t>Kurz- oder langfristig zu deckender Bedarf, einschließlich einer detaillierten Zeitleiste für die Durchführung der Initiative</w:t>
      </w:r>
      <w:bookmarkEnd w:id="52"/>
      <w:bookmarkEnd w:id="53"/>
      <w:bookmarkEnd w:id="54"/>
      <w:bookmarkEnd w:id="55"/>
      <w:bookmarkEnd w:id="56"/>
    </w:p>
    <w:p w:rsidR="00693ED0" w:rsidRPr="00253C15"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57" w:name="_Toc514938029"/>
      <w:bookmarkStart w:id="58" w:name="_Toc520485036"/>
      <w:bookmarkStart w:id="59" w:name="_Toc160804578"/>
      <w:bookmarkStart w:id="60" w:name="_Toc167220270"/>
      <w:bookmarkStart w:id="61" w:name="_Toc177549003"/>
      <w:r w:rsidRPr="00253C15">
        <w:rPr>
          <w:noProof/>
        </w:rPr>
        <w:t xml:space="preserve">Gemäß Artikel 75 der Asylverfahrensverordnung sind die Mitgliedstaaten verpflichtet, nationale Durchführungspläne auf der Grundlage des von der Kommission ausgearbeiteten gemeinsamen Durchführungsplans zu erstellen. Die Kommission muss die Durchführung der nationalen Durchführungspläne sorgfältig überwachen. Sobald die Bestimmungen des Pakets im Juni 2026 in Kraft treten, wird die Asylagentur der Europäischen Union gemäß Artikel 14 der EUAA-Verordnung (EU) 2021/2303 die operative und technische Anwendung des Gemeinsamen Europäischen Asylsystems überwachen. Die Anwendung des Konzepts des sicheren Drittstaats wird in die von der EUAA durchgeführte Überwachung einbezogen. Darüber hinaus müssen die Jahresberichte, die die Kommission gemäß Artikel 9 der Verordnung über Asyl- und Migrationsmanagement annehmen muss, die Ergebnisse der Überwachung durch die EUAA enthalten. Diese verschiedenen Elemente müssen von der Kommission bei der Beurteilung der Frage berücksichtigt werden, ob Mitgliedstaaten einem Migrationsdruck ausgesetzt sind, der Gefahr des Entstehens eines solchen Drucks ausgesetzt sind oder mit einer ausgeprägten Migrationslage konfrontiert sind, ebenso wie bei der Feststellung, ob ein Mitgliedstaat systemische Mängel aufweist, die schwerwiegende negative Auswirkungen auf das Funktionieren des Dublin-Systems haben könnten. </w:t>
      </w:r>
    </w:p>
    <w:p w:rsidR="00693ED0" w:rsidRPr="00253C15" w:rsidRDefault="00693ED0" w:rsidP="00693ED0">
      <w:pPr>
        <w:pStyle w:val="ManualHeading3"/>
        <w:rPr>
          <w:bCs/>
          <w:noProof/>
          <w:szCs w:val="24"/>
        </w:rPr>
      </w:pPr>
      <w:r w:rsidRPr="00253C15">
        <w:rPr>
          <w:noProof/>
        </w:rPr>
        <w:t>1.5.2.</w:t>
      </w:r>
      <w:r w:rsidRPr="00253C15">
        <w:rPr>
          <w:noProof/>
        </w:rPr>
        <w:tab/>
        <w:t>Mehrwert aufgrund des Tätigwerdens der EU (kann sich aus unterschiedlichen Faktoren ergeben, z. B. Vorteile durch Koordinierung, Rechtssicherheit, größere Wirksamkeit oder Komplementarität). Für die Zwecke dieses Abschnitts bezeichnet der Ausdruck „Mehrwert aufgrund des Tätigwerdens der EU“ den Wert, der sich aus dem Tätigwerden der EU ergibt und den Wert ergänzt, der andernfalls allein von den Mitgliedstaaten geschaffen worden wäre.</w:t>
      </w:r>
      <w:bookmarkEnd w:id="57"/>
      <w:bookmarkEnd w:id="58"/>
      <w:bookmarkEnd w:id="59"/>
      <w:bookmarkEnd w:id="60"/>
      <w:bookmarkEnd w:id="61"/>
    </w:p>
    <w:p w:rsidR="00693ED0" w:rsidRPr="00253C15"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62" w:name="_Toc514938030"/>
      <w:bookmarkStart w:id="63" w:name="_Toc520485037"/>
      <w:bookmarkStart w:id="64" w:name="_Toc160804579"/>
      <w:bookmarkStart w:id="65" w:name="_Toc167220271"/>
      <w:bookmarkStart w:id="66" w:name="_Toc177549004"/>
      <w:r w:rsidRPr="00253C15">
        <w:rPr>
          <w:noProof/>
        </w:rPr>
        <w:t>Gründe für Maßnahmen auf EU-Ebene (ex ante): Das Konzept des sicheren Drittstaats und das Asylverfahren unterliegen dem EU-Recht gemäß der Asylverfahrensverordnung (EU) 2024/1348. Ohne Maßnahmen auf EU-Ebene würden die Mitgliedstaaten das Konzept des sicheren Drittstaats weiterhin fragmentiert anwenden, was zu Unstimmigkeiten bei der rechtlichen Auslegung und den Verfahrensgarantien führen würde. Unterschiedliche nationale Ansätze würden zu Rechtsunsicherheit führen, das Risiko von Rechtsstreitigkeiten erhöhen und die einheitliche Anwendung der Asylvorschriften in der gesamten Union untergraben. Ein Fehlen koordinierter Maßnahmen würde auch eine gerechte Lastenteilung zwischen den Mitgliedstaaten behindern und die Fähigkeit der EU schwächen, in Migrationsfragen wirksam mit Drittstaaten zusammenzuarbeiten. Durch Maßnahmen auf EU-Ebene gewährleistet dieser Vorschlag Harmonisierung, Rechtssicherheit und Verfahrensgarantien und räumt den Mitgliedstaaten mehr Flexibilität dafür ein, das Konzept des sicheren Drittstaats rechtlich solide und operativ wirksam umzusetzen.</w:t>
      </w:r>
    </w:p>
    <w:p w:rsidR="00693ED0" w:rsidRPr="00253C15" w:rsidRDefault="00693ED0" w:rsidP="00693ED0">
      <w:pPr>
        <w:pStyle w:val="Text1"/>
        <w:pBdr>
          <w:top w:val="single" w:sz="4" w:space="1" w:color="auto"/>
          <w:left w:val="single" w:sz="4" w:space="4" w:color="auto"/>
          <w:bottom w:val="single" w:sz="4" w:space="1" w:color="auto"/>
          <w:right w:val="single" w:sz="4" w:space="4" w:color="auto"/>
        </w:pBdr>
        <w:rPr>
          <w:noProof/>
        </w:rPr>
      </w:pPr>
      <w:r w:rsidRPr="00253C15">
        <w:rPr>
          <w:noProof/>
        </w:rPr>
        <w:t xml:space="preserve">Erwarteter EU-Mehrwert (ex post): Sobald dieser Vorschlag umgesetzt ist, wird er die Rechtssicherheit und die Verfahrenseffizienz erhöhen, indem sichergestellt wird, dass alle Mitgliedstaaten das Konzept des sicheren Drittstaats konsistent anwenden. Durch die Abschaffung der automatischen aufschiebenden Wirkung von Rechtsbehelfen werden die Verzögerungen bei der Asylentscheidung verringert und eine schnellere Bearbeitung unzulässiger Anträge ermöglicht, während gleichzeitig der Zugang zu wirksamen Rechtsbehelfen aufrechterhalten wird. </w:t>
      </w:r>
    </w:p>
    <w:p w:rsidR="00693ED0" w:rsidRPr="00253C15" w:rsidRDefault="00693ED0" w:rsidP="00693ED0">
      <w:pPr>
        <w:pStyle w:val="Text1"/>
        <w:pBdr>
          <w:top w:val="single" w:sz="4" w:space="1" w:color="auto"/>
          <w:left w:val="single" w:sz="4" w:space="4" w:color="auto"/>
          <w:bottom w:val="single" w:sz="4" w:space="1" w:color="auto"/>
          <w:right w:val="single" w:sz="4" w:space="4" w:color="auto"/>
        </w:pBdr>
        <w:rPr>
          <w:noProof/>
        </w:rPr>
      </w:pPr>
      <w:r w:rsidRPr="00253C15">
        <w:rPr>
          <w:noProof/>
        </w:rPr>
        <w:t>Der Vorschlag wird auch die Zusammenarbeit mit Drittstaaten stärken, indem er einen klaren Rechtsrahmen für die Anwendung des Konzepts des sicheren Drittstaats schafft, unabhängig davon, ob eine Verbindung besteht oder nicht, sofern Abkommen oder Vereinbarungen bestehen. Darüber hinaus wird die Kommission durch die Transparenzklausel in die Lage versetzt, die Übereinstimmung von Abkommen oder Vereinbarungen mit der Asylverfahrensverordnung zu überwachen und so die Glaubwürdigkeit der EU in Migrationspartnerschaften zu wahren.</w:t>
      </w:r>
    </w:p>
    <w:p w:rsidR="00693ED0" w:rsidRPr="00253C15" w:rsidRDefault="00693ED0" w:rsidP="00693ED0">
      <w:pPr>
        <w:pStyle w:val="Text1"/>
        <w:pBdr>
          <w:top w:val="single" w:sz="4" w:space="1" w:color="auto"/>
          <w:left w:val="single" w:sz="4" w:space="4" w:color="auto"/>
          <w:bottom w:val="single" w:sz="4" w:space="1" w:color="auto"/>
          <w:right w:val="single" w:sz="4" w:space="4" w:color="auto"/>
        </w:pBdr>
        <w:rPr>
          <w:noProof/>
        </w:rPr>
      </w:pPr>
      <w:r w:rsidRPr="00253C15">
        <w:rPr>
          <w:noProof/>
        </w:rPr>
        <w:t>Auf EU-Ebene wird durch die Überwachung durch die EUAA und die Kommission sichergestellt, dass die Mitgliedstaaten die überarbeiteten Vorschriften über sichere Drittstaaten unter uneingeschränkter Achtung der Grundrechte und Verfahrensgarantien anwenden. Der Vorschlag beschränkt zwar die automatische aufschiebende Wirkung von Rechtsbehelfen, erhält jedoch einen wesentlichen Rechtsschutz aufrecht, indem er vorschreibt, dass Rückkehrentscheidungen auf der ersten Ebene des Rechtsbehelfs ausgesetzt werden müssen, wenn die Gefahr besteht, dass gegen den Grundsatz der Nichtzurückweisung verstoßen wird. Mit diesen Maßnahmen wird ein Gleichgewicht zwischen Effizienz und Fairness hergestellt und es wird sichergestellt, dass das Asylsystem der EU wirksam und berechenbar bleibt und mit den internationalen Menschenrechtsverpflichtungen im Einklang steht.</w:t>
      </w:r>
    </w:p>
    <w:p w:rsidR="00693ED0" w:rsidRPr="00253C15" w:rsidRDefault="00693ED0" w:rsidP="00693ED0">
      <w:pPr>
        <w:pStyle w:val="ManualHeading3"/>
        <w:rPr>
          <w:noProof/>
        </w:rPr>
      </w:pPr>
      <w:r w:rsidRPr="00253C15">
        <w:rPr>
          <w:noProof/>
        </w:rPr>
        <w:t>1.5.3.</w:t>
      </w:r>
      <w:r w:rsidRPr="00253C15">
        <w:rPr>
          <w:noProof/>
        </w:rPr>
        <w:tab/>
        <w:t>Aus früheren ähnlichen Maßnahmen gewonnene Erkenntnisse</w:t>
      </w:r>
      <w:bookmarkEnd w:id="62"/>
      <w:bookmarkEnd w:id="63"/>
      <w:bookmarkEnd w:id="64"/>
      <w:bookmarkEnd w:id="65"/>
      <w:bookmarkEnd w:id="66"/>
    </w:p>
    <w:p w:rsidR="00693ED0" w:rsidRPr="00253C15"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67" w:name="_Toc514938033"/>
      <w:bookmarkStart w:id="68" w:name="_Toc520485038"/>
      <w:bookmarkStart w:id="69" w:name="_Toc160804580"/>
      <w:bookmarkStart w:id="70" w:name="_Toc167220272"/>
      <w:bookmarkStart w:id="71" w:name="_Toc177549005"/>
      <w:r w:rsidRPr="00253C15">
        <w:rPr>
          <w:noProof/>
        </w:rPr>
        <w:t>Die Anwendung des Konzepts des sicheren Drittstaats erfolgt von Mitgliedstaat zu Mitgliedstaat unterschiedlich und das Konzept wird nicht von allen Mitgliedstaaten angewandt, was Vergleiche erschwert. Die Kommission verfolgte bei der Überprüfung des Konzepts des sicheren Drittstaats einen ganzheitlichen Ansatz. Sie prüfte, ob das Völkerrecht (Genfer Konvention von 1951 und Europäische Menschenrechtskonvention von 1950) weitere Änderungen der Bedingungen für die Anwendung des Konzepts des sicheren Drittstaats und seiner rechtlichen Garantien zulässt, um die Anwendung des Konzepts in den Mitgliedstaaten zu erleichtern. Die Kommission berücksichtigte auch die Erfahrungen und Herausforderungen der Mitgliedstaaten bei der Anwendung des Konzepts des sicheren Drittstaats, wie sie in verschiedenen Foren zum Ausdruck gebracht wurden, und bewertete, ob diese Probleme mit den im Rahmen der Asylverfahrensverordnung eingeführten Änderungen bereits gelöst wurden oder ob noch Lücken bestehen. Und schließlich analysierte die Kommission die einschlägige Rechtsprechung des Gerichtshofs der Europäischen Union und des Europäischen Gerichtshofs für Menschenrechte.</w:t>
      </w:r>
    </w:p>
    <w:p w:rsidR="00693ED0" w:rsidRPr="00253C15" w:rsidRDefault="00693ED0" w:rsidP="00693ED0">
      <w:pPr>
        <w:pStyle w:val="ManualHeading3"/>
        <w:rPr>
          <w:noProof/>
        </w:rPr>
      </w:pPr>
      <w:r w:rsidRPr="00253C15">
        <w:rPr>
          <w:noProof/>
        </w:rPr>
        <w:t>1.5.4.</w:t>
      </w:r>
      <w:r w:rsidRPr="00253C15">
        <w:rPr>
          <w:noProof/>
        </w:rPr>
        <w:tab/>
        <w:t>Vereinbarkeit mit dem Mehrjährigen Finanzrahmen sowie mögliche Synergieeffekte mit anderen geeigneten Instrumenten</w:t>
      </w:r>
      <w:bookmarkEnd w:id="67"/>
      <w:bookmarkEnd w:id="68"/>
      <w:bookmarkEnd w:id="69"/>
      <w:bookmarkEnd w:id="70"/>
      <w:bookmarkEnd w:id="71"/>
    </w:p>
    <w:p w:rsidR="00693ED0" w:rsidRPr="00253C15"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72" w:name="_Toc514938036"/>
      <w:bookmarkStart w:id="73" w:name="_Toc520485039"/>
      <w:bookmarkStart w:id="74" w:name="_Toc160804581"/>
      <w:bookmarkStart w:id="75" w:name="_Toc167220273"/>
      <w:bookmarkStart w:id="76" w:name="_Toc177549006"/>
      <w:r w:rsidRPr="00253C15">
        <w:rPr>
          <w:noProof/>
        </w:rPr>
        <w:t>Dieser Vorschlag geht auf die Asylverfahrensverordnung zurück, mit der mehrere Änderungen der Vorschriften über sichere Drittstaaten eingeführt wurden und die daher Teil des im Mai 2024 angenommenen Migrations- und Asylpakets ist, für das bereits Mittel vorgesehen sind. Dieser Vorschlag beinhaltet keine finanziellen oder administrativen Belastungen für die Union. Er hat daher keine Auswirkungen auf den Unionshaushalt. Die Anwendung des Konzepts des sicheren Drittstaats ist für die Mitgliedstaaten nicht neu. Die Mitgliedstaaten können die in ihren nationalen Programmen im Rahmen des bestehenden Asyl-, Migrations- und Integrationsfonds zugewiesenen Mittel nutzen, um Investitionen zu unterstützen, die für die Anwendung des Konzepts des sicheren Drittstaats erforderlich sind. Die EUAA kann die Mitgliedstaaten im Rahmen ihrer jeweiligen Mandate zu demselben Zweck mit Personal unterstützen.</w:t>
      </w:r>
    </w:p>
    <w:p w:rsidR="00693ED0" w:rsidRPr="00253C15" w:rsidRDefault="00693ED0" w:rsidP="00693ED0">
      <w:pPr>
        <w:pStyle w:val="ManualHeading3"/>
        <w:rPr>
          <w:noProof/>
        </w:rPr>
      </w:pPr>
      <w:r w:rsidRPr="00253C15">
        <w:rPr>
          <w:noProof/>
        </w:rPr>
        <w:t>1.5.5.</w:t>
      </w:r>
      <w:r w:rsidRPr="00253C15">
        <w:rPr>
          <w:noProof/>
        </w:rPr>
        <w:tab/>
        <w:t>Bewertung der verschiedenen verfügbaren Finanzierungsoptionen, einschließlich der Möglichkeiten für eine Umschichtung</w:t>
      </w:r>
      <w:bookmarkEnd w:id="72"/>
      <w:bookmarkEnd w:id="73"/>
      <w:bookmarkEnd w:id="74"/>
      <w:bookmarkEnd w:id="75"/>
      <w:bookmarkEnd w:id="76"/>
    </w:p>
    <w:p w:rsidR="00693ED0" w:rsidRPr="00253C15" w:rsidRDefault="00693ED0" w:rsidP="00693ED0">
      <w:pPr>
        <w:pStyle w:val="Text1"/>
        <w:pBdr>
          <w:top w:val="single" w:sz="4" w:space="1" w:color="auto"/>
          <w:left w:val="single" w:sz="4" w:space="4" w:color="auto"/>
          <w:bottom w:val="single" w:sz="4" w:space="1" w:color="auto"/>
          <w:right w:val="single" w:sz="4" w:space="4" w:color="auto"/>
        </w:pBdr>
        <w:rPr>
          <w:noProof/>
        </w:rPr>
      </w:pPr>
      <w:r w:rsidRPr="00253C15">
        <w:rPr>
          <w:noProof/>
        </w:rPr>
        <w:t>Entfällt.</w:t>
      </w:r>
    </w:p>
    <w:p w:rsidR="00693ED0" w:rsidRPr="00253C15" w:rsidRDefault="00693ED0" w:rsidP="00693ED0">
      <w:pPr>
        <w:pStyle w:val="ManualHeading2"/>
        <w:rPr>
          <w:bCs/>
          <w:noProof/>
          <w:szCs w:val="24"/>
        </w:rPr>
      </w:pPr>
      <w:r w:rsidRPr="00253C15">
        <w:rPr>
          <w:noProof/>
        </w:rPr>
        <w:br w:type="page"/>
      </w:r>
      <w:bookmarkStart w:id="77" w:name="_Toc514938039"/>
      <w:bookmarkStart w:id="78" w:name="_Toc520485040"/>
      <w:bookmarkStart w:id="79" w:name="_Toc160804582"/>
      <w:bookmarkStart w:id="80" w:name="_Toc167220274"/>
      <w:bookmarkStart w:id="81" w:name="_Toc177549007"/>
      <w:r w:rsidRPr="00253C15">
        <w:rPr>
          <w:noProof/>
        </w:rPr>
        <w:t>1.6.</w:t>
      </w:r>
      <w:r w:rsidRPr="00253C15">
        <w:rPr>
          <w:noProof/>
        </w:rPr>
        <w:tab/>
        <w:t>Laufzeit der vorgeschlagenen Maßnahme/der Initiative</w:t>
      </w:r>
      <w:bookmarkEnd w:id="77"/>
      <w:bookmarkEnd w:id="78"/>
      <w:r w:rsidRPr="00253C15">
        <w:rPr>
          <w:noProof/>
        </w:rPr>
        <w:t xml:space="preserve"> und Dauer der finanziellen Auswirkungen</w:t>
      </w:r>
      <w:bookmarkEnd w:id="79"/>
      <w:bookmarkEnd w:id="80"/>
      <w:bookmarkEnd w:id="81"/>
    </w:p>
    <w:p w:rsidR="00693ED0" w:rsidRPr="00253C15" w:rsidRDefault="00693ED0" w:rsidP="00693ED0">
      <w:pPr>
        <w:pStyle w:val="Text1"/>
        <w:rPr>
          <w:noProof/>
        </w:rPr>
      </w:pPr>
      <w:r w:rsidRPr="00253C15">
        <w:rPr>
          <w:rFonts w:ascii="Wingdings" w:hAnsi="Wingdings"/>
          <w:noProof/>
        </w:rPr>
        <w:t></w:t>
      </w:r>
      <w:r w:rsidRPr="00253C15">
        <w:rPr>
          <w:b/>
          <w:i/>
          <w:noProof/>
        </w:rPr>
        <w:t xml:space="preserve"> </w:t>
      </w:r>
      <w:r w:rsidRPr="00253C15">
        <w:rPr>
          <w:b/>
          <w:noProof/>
        </w:rPr>
        <w:t xml:space="preserve">Befristete Laufzeit </w:t>
      </w:r>
    </w:p>
    <w:p w:rsidR="00693ED0" w:rsidRPr="00253C15" w:rsidRDefault="00693ED0" w:rsidP="00693ED0">
      <w:pPr>
        <w:pStyle w:val="ListDash2"/>
        <w:rPr>
          <w:noProof/>
        </w:rPr>
      </w:pPr>
      <w:r w:rsidRPr="00253C15">
        <w:rPr>
          <w:rFonts w:ascii="Wingdings" w:hAnsi="Wingdings"/>
          <w:noProof/>
        </w:rPr>
        <w:t></w:t>
      </w:r>
      <w:r w:rsidRPr="00253C15">
        <w:rPr>
          <w:noProof/>
        </w:rPr>
        <w:tab/>
        <w:t xml:space="preserve">Laufzeit: [TT.MM.]JJJJ bis [TT.MM.]JJJJ </w:t>
      </w:r>
    </w:p>
    <w:p w:rsidR="00693ED0" w:rsidRPr="00253C15" w:rsidRDefault="00693ED0" w:rsidP="00693ED0">
      <w:pPr>
        <w:pStyle w:val="ListDash2"/>
        <w:rPr>
          <w:noProof/>
        </w:rPr>
      </w:pPr>
      <w:r w:rsidRPr="00253C15">
        <w:rPr>
          <w:rFonts w:ascii="Wingdings" w:hAnsi="Wingdings"/>
          <w:noProof/>
        </w:rPr>
        <w:t></w:t>
      </w:r>
      <w:r w:rsidRPr="00253C15">
        <w:rPr>
          <w:noProof/>
        </w:rPr>
        <w:tab/>
        <w:t xml:space="preserve">Finanzielle Auswirkungen auf die Mittel für Verpflichtungen von JJJJ bis JJJJ und auf die Mittel für Zahlungen von JJJJ bis JJJJ </w:t>
      </w:r>
    </w:p>
    <w:p w:rsidR="00693ED0" w:rsidRPr="00253C15" w:rsidRDefault="00693ED0" w:rsidP="00693ED0">
      <w:pPr>
        <w:pStyle w:val="Text1"/>
        <w:rPr>
          <w:noProof/>
        </w:rPr>
      </w:pPr>
      <w:r w:rsidRPr="00253C15">
        <w:rPr>
          <w:rFonts w:ascii="Wingdings" w:hAnsi="Wingdings"/>
          <w:noProof/>
        </w:rPr>
        <w:t></w:t>
      </w:r>
      <w:r w:rsidRPr="00253C15">
        <w:rPr>
          <w:b/>
          <w:i/>
          <w:noProof/>
        </w:rPr>
        <w:t xml:space="preserve"> </w:t>
      </w:r>
      <w:r w:rsidRPr="00253C15">
        <w:rPr>
          <w:b/>
          <w:noProof/>
        </w:rPr>
        <w:t>Unbefristete Laufzeit</w:t>
      </w:r>
    </w:p>
    <w:p w:rsidR="00693ED0" w:rsidRPr="00253C15" w:rsidRDefault="00693ED0" w:rsidP="00693ED0">
      <w:pPr>
        <w:pStyle w:val="ListDash1"/>
        <w:rPr>
          <w:noProof/>
        </w:rPr>
      </w:pPr>
      <w:r w:rsidRPr="00253C15">
        <w:rPr>
          <w:noProof/>
        </w:rPr>
        <w:t>Anlaufphase von JJJJ bis JJJJ</w:t>
      </w:r>
    </w:p>
    <w:p w:rsidR="00693ED0" w:rsidRPr="00253C15" w:rsidRDefault="00693ED0" w:rsidP="00693ED0">
      <w:pPr>
        <w:pStyle w:val="ListDash1"/>
        <w:rPr>
          <w:noProof/>
        </w:rPr>
      </w:pPr>
      <w:r w:rsidRPr="00253C15">
        <w:rPr>
          <w:noProof/>
        </w:rPr>
        <w:t>Anschließend reguläre Umsetzung</w:t>
      </w:r>
    </w:p>
    <w:p w:rsidR="00693ED0" w:rsidRPr="00253C15" w:rsidRDefault="00693ED0" w:rsidP="00693ED0">
      <w:pPr>
        <w:pStyle w:val="ManualHeading2"/>
        <w:rPr>
          <w:bCs/>
          <w:noProof/>
          <w:szCs w:val="24"/>
        </w:rPr>
      </w:pPr>
      <w:bookmarkStart w:id="82" w:name="_Toc514938040"/>
      <w:bookmarkStart w:id="83" w:name="_Toc520485041"/>
      <w:bookmarkStart w:id="84" w:name="_Toc160804583"/>
      <w:bookmarkStart w:id="85" w:name="_Toc167220275"/>
      <w:bookmarkStart w:id="86" w:name="_Toc177549008"/>
      <w:r w:rsidRPr="00253C15">
        <w:rPr>
          <w:noProof/>
        </w:rPr>
        <w:t>1.7.</w:t>
      </w:r>
      <w:r w:rsidRPr="00253C15">
        <w:rPr>
          <w:noProof/>
        </w:rPr>
        <w:tab/>
        <w:t>Vorgeschlagene Haushaltsvollzugsart(en)</w:t>
      </w:r>
      <w:r w:rsidRPr="00253C15">
        <w:rPr>
          <w:rStyle w:val="FootnoteReference"/>
          <w:noProof/>
        </w:rPr>
        <w:footnoteReference w:id="20"/>
      </w:r>
      <w:r w:rsidRPr="00253C15">
        <w:rPr>
          <w:rStyle w:val="FootnoteReference"/>
          <w:noProof/>
        </w:rPr>
        <w:t xml:space="preserve"> </w:t>
      </w:r>
      <w:bookmarkEnd w:id="82"/>
      <w:bookmarkEnd w:id="83"/>
      <w:bookmarkEnd w:id="84"/>
      <w:bookmarkEnd w:id="85"/>
      <w:bookmarkEnd w:id="86"/>
      <w:r w:rsidRPr="00253C15">
        <w:rPr>
          <w:rStyle w:val="FootnoteReference"/>
          <w:noProof/>
        </w:rPr>
        <w:t xml:space="preserve"> </w:t>
      </w:r>
    </w:p>
    <w:p w:rsidR="00693ED0" w:rsidRPr="00253C15" w:rsidRDefault="00693ED0" w:rsidP="00693ED0">
      <w:pPr>
        <w:pStyle w:val="Text1"/>
        <w:rPr>
          <w:noProof/>
        </w:rPr>
      </w:pPr>
      <w:r w:rsidRPr="00253C15">
        <w:rPr>
          <w:rFonts w:ascii="Wingdings" w:hAnsi="Wingdings"/>
          <w:noProof/>
        </w:rPr>
        <w:t></w:t>
      </w:r>
      <w:r w:rsidRPr="00253C15">
        <w:rPr>
          <w:i/>
          <w:noProof/>
        </w:rPr>
        <w:t xml:space="preserve"> </w:t>
      </w:r>
      <w:r w:rsidRPr="00253C15">
        <w:rPr>
          <w:b/>
          <w:noProof/>
        </w:rPr>
        <w:t>Direkte Mittelverwaltung</w:t>
      </w:r>
      <w:r w:rsidRPr="00253C15">
        <w:rPr>
          <w:noProof/>
        </w:rPr>
        <w:t xml:space="preserve"> durch die Kommission</w:t>
      </w:r>
    </w:p>
    <w:p w:rsidR="00693ED0" w:rsidRPr="00253C15" w:rsidRDefault="00693ED0" w:rsidP="00693ED0">
      <w:pPr>
        <w:pStyle w:val="ListDash2"/>
        <w:rPr>
          <w:rFonts w:cs="EUAlbertina"/>
          <w:noProof/>
        </w:rPr>
      </w:pPr>
      <w:r w:rsidRPr="00253C15">
        <w:rPr>
          <w:rFonts w:ascii="Wingdings" w:hAnsi="Wingdings"/>
          <w:noProof/>
        </w:rPr>
        <w:t></w:t>
      </w:r>
      <w:r w:rsidRPr="00253C15">
        <w:rPr>
          <w:noProof/>
        </w:rPr>
        <w:t xml:space="preserve"> über ihre Dienststellen, einschließlich ihres Personals in den EU-Delegationen </w:t>
      </w:r>
    </w:p>
    <w:p w:rsidR="00693ED0" w:rsidRPr="00253C15" w:rsidRDefault="00693ED0" w:rsidP="00693ED0">
      <w:pPr>
        <w:pStyle w:val="ListDash2"/>
        <w:rPr>
          <w:noProof/>
        </w:rPr>
      </w:pPr>
      <w:r w:rsidRPr="00253C15">
        <w:rPr>
          <w:rFonts w:ascii="Wingdings" w:hAnsi="Wingdings"/>
          <w:noProof/>
        </w:rPr>
        <w:t></w:t>
      </w:r>
      <w:r w:rsidRPr="00253C15">
        <w:rPr>
          <w:noProof/>
        </w:rPr>
        <w:tab/>
        <w:t xml:space="preserve">über Exekutivagenturen </w:t>
      </w:r>
    </w:p>
    <w:p w:rsidR="00693ED0" w:rsidRPr="00253C15" w:rsidRDefault="00693ED0" w:rsidP="00693ED0">
      <w:pPr>
        <w:pStyle w:val="Text1"/>
        <w:rPr>
          <w:noProof/>
        </w:rPr>
      </w:pPr>
      <w:r w:rsidRPr="00253C15">
        <w:rPr>
          <w:rFonts w:ascii="Wingdings" w:hAnsi="Wingdings"/>
          <w:noProof/>
        </w:rPr>
        <w:t></w:t>
      </w:r>
      <w:r w:rsidRPr="00253C15">
        <w:rPr>
          <w:b/>
          <w:i/>
          <w:noProof/>
        </w:rPr>
        <w:t xml:space="preserve"> </w:t>
      </w:r>
      <w:r w:rsidRPr="00253C15">
        <w:rPr>
          <w:b/>
          <w:noProof/>
        </w:rPr>
        <w:t>Geteilte Mittelverwaltung</w:t>
      </w:r>
      <w:r w:rsidRPr="00253C15">
        <w:rPr>
          <w:noProof/>
        </w:rPr>
        <w:t xml:space="preserve"> mit Mitgliedstaaten </w:t>
      </w:r>
    </w:p>
    <w:p w:rsidR="00693ED0" w:rsidRPr="00253C15" w:rsidRDefault="00693ED0" w:rsidP="00693ED0">
      <w:pPr>
        <w:pStyle w:val="Text1"/>
        <w:rPr>
          <w:noProof/>
        </w:rPr>
      </w:pPr>
      <w:r w:rsidRPr="00253C15">
        <w:rPr>
          <w:rFonts w:ascii="Wingdings" w:hAnsi="Wingdings"/>
          <w:noProof/>
        </w:rPr>
        <w:t></w:t>
      </w:r>
      <w:r w:rsidRPr="00253C15">
        <w:rPr>
          <w:i/>
          <w:noProof/>
        </w:rPr>
        <w:t xml:space="preserve"> </w:t>
      </w:r>
      <w:r w:rsidRPr="00253C15">
        <w:rPr>
          <w:b/>
          <w:noProof/>
        </w:rPr>
        <w:t>Indirekte Mittelverwaltung</w:t>
      </w:r>
      <w:r w:rsidRPr="00253C15">
        <w:rPr>
          <w:noProof/>
        </w:rPr>
        <w:t xml:space="preserve"> durch Übertragung von Haushaltsvollzugsaufgaben an:</w:t>
      </w:r>
    </w:p>
    <w:p w:rsidR="00693ED0" w:rsidRPr="00253C15" w:rsidRDefault="00693ED0" w:rsidP="00693ED0">
      <w:pPr>
        <w:pStyle w:val="ListDash2"/>
        <w:rPr>
          <w:noProof/>
        </w:rPr>
      </w:pPr>
      <w:r w:rsidRPr="00253C15">
        <w:rPr>
          <w:rFonts w:ascii="Wingdings" w:hAnsi="Wingdings"/>
          <w:noProof/>
        </w:rPr>
        <w:t></w:t>
      </w:r>
      <w:r w:rsidRPr="00253C15">
        <w:rPr>
          <w:noProof/>
        </w:rPr>
        <w:t xml:space="preserve"> Drittländer oder die von ihnen benannten Einrichtungen</w:t>
      </w:r>
    </w:p>
    <w:p w:rsidR="00693ED0" w:rsidRPr="00253C15" w:rsidRDefault="00693ED0" w:rsidP="00693ED0">
      <w:pPr>
        <w:pStyle w:val="ListDash2"/>
        <w:rPr>
          <w:noProof/>
        </w:rPr>
      </w:pPr>
      <w:r w:rsidRPr="00253C15">
        <w:rPr>
          <w:rFonts w:ascii="Wingdings" w:hAnsi="Wingdings"/>
          <w:noProof/>
        </w:rPr>
        <w:t></w:t>
      </w:r>
      <w:r w:rsidRPr="00253C15">
        <w:rPr>
          <w:noProof/>
        </w:rPr>
        <w:t xml:space="preserve"> internationale Einrichtungen und deren Agenturen (bitte angeben)</w:t>
      </w:r>
    </w:p>
    <w:p w:rsidR="00693ED0" w:rsidRPr="00253C15" w:rsidRDefault="00693ED0" w:rsidP="00693ED0">
      <w:pPr>
        <w:pStyle w:val="ListDash2"/>
        <w:rPr>
          <w:noProof/>
        </w:rPr>
      </w:pPr>
      <w:r w:rsidRPr="00253C15">
        <w:rPr>
          <w:rFonts w:ascii="Wingdings" w:hAnsi="Wingdings"/>
          <w:noProof/>
        </w:rPr>
        <w:t></w:t>
      </w:r>
      <w:r w:rsidRPr="00253C15">
        <w:rPr>
          <w:noProof/>
        </w:rPr>
        <w:t xml:space="preserve"> die Europäische Investitionsbank und den Europäischen Investitionsfonds</w:t>
      </w:r>
    </w:p>
    <w:p w:rsidR="00693ED0" w:rsidRPr="00253C15" w:rsidRDefault="00693ED0" w:rsidP="00693ED0">
      <w:pPr>
        <w:pStyle w:val="ListDash2"/>
        <w:rPr>
          <w:noProof/>
        </w:rPr>
      </w:pPr>
      <w:r w:rsidRPr="00253C15">
        <w:rPr>
          <w:rFonts w:ascii="Wingdings" w:hAnsi="Wingdings"/>
          <w:noProof/>
        </w:rPr>
        <w:t></w:t>
      </w:r>
      <w:r w:rsidRPr="00253C15">
        <w:rPr>
          <w:noProof/>
        </w:rPr>
        <w:t xml:space="preserve"> Einrichtungen im Sinne der Artikel 70 und 71 der Haushaltsordnung</w:t>
      </w:r>
    </w:p>
    <w:p w:rsidR="00693ED0" w:rsidRPr="00253C15" w:rsidRDefault="00693ED0" w:rsidP="00693ED0">
      <w:pPr>
        <w:pStyle w:val="ListDash2"/>
        <w:rPr>
          <w:noProof/>
        </w:rPr>
      </w:pPr>
      <w:r w:rsidRPr="00253C15">
        <w:rPr>
          <w:rFonts w:ascii="Wingdings" w:hAnsi="Wingdings"/>
          <w:noProof/>
        </w:rPr>
        <w:t></w:t>
      </w:r>
      <w:r w:rsidRPr="00253C15">
        <w:rPr>
          <w:noProof/>
        </w:rPr>
        <w:t xml:space="preserve"> öffentlich-rechtliche Körperschaften</w:t>
      </w:r>
    </w:p>
    <w:p w:rsidR="00693ED0" w:rsidRPr="00253C15" w:rsidRDefault="00693ED0" w:rsidP="00693ED0">
      <w:pPr>
        <w:pStyle w:val="ListDash2"/>
        <w:rPr>
          <w:noProof/>
        </w:rPr>
      </w:pPr>
      <w:r w:rsidRPr="00253C15">
        <w:rPr>
          <w:rFonts w:ascii="Wingdings" w:hAnsi="Wingdings"/>
          <w:noProof/>
        </w:rPr>
        <w:t></w:t>
      </w:r>
      <w:r w:rsidRPr="00253C15">
        <w:rPr>
          <w:noProof/>
        </w:rPr>
        <w:t xml:space="preserve"> privatrechtliche Einrichtungen, die im öffentlichen Auftrag tätig werden, sofern ihnen ausreichende finanzielle Garantien bereitgestellt werden</w:t>
      </w:r>
    </w:p>
    <w:p w:rsidR="00693ED0" w:rsidRPr="00253C15" w:rsidRDefault="00693ED0" w:rsidP="00693ED0">
      <w:pPr>
        <w:pStyle w:val="ListDash2"/>
        <w:rPr>
          <w:noProof/>
        </w:rPr>
      </w:pPr>
      <w:r w:rsidRPr="00253C15">
        <w:rPr>
          <w:rFonts w:ascii="Wingdings" w:hAnsi="Wingdings"/>
          <w:noProof/>
        </w:rPr>
        <w:t></w:t>
      </w:r>
      <w:r w:rsidRPr="00253C15">
        <w:rPr>
          <w:noProof/>
        </w:rPr>
        <w:t xml:space="preserve"> privatrechtliche Einrichtungen eines Mitgliedstaats, die mit der Einrichtung einer öffentlich-privaten Partnerschaft betraut werden und denen ausreichende finanzielle Garantien bereitgestellt werden</w:t>
      </w:r>
    </w:p>
    <w:p w:rsidR="00693ED0" w:rsidRPr="00253C15" w:rsidRDefault="00693ED0" w:rsidP="00693ED0">
      <w:pPr>
        <w:pStyle w:val="ListDash2"/>
        <w:rPr>
          <w:noProof/>
        </w:rPr>
      </w:pPr>
      <w:r w:rsidRPr="00253C15">
        <w:rPr>
          <w:rFonts w:ascii="Wingdings" w:hAnsi="Wingdings"/>
          <w:noProof/>
        </w:rPr>
        <w:t></w:t>
      </w:r>
      <w:r w:rsidRPr="00253C15">
        <w:rPr>
          <w:noProof/>
        </w:rPr>
        <w:t xml:space="preserve"> Einrichtungen oder Personen, die mit der Durchführung bestimmter Maßnahmen im Bereich der Gemeinsamen Außen- und Sicherheitspolitik im Rahmen des Titels V des Vertrags über die Europäische Union betraut und die in dem maßgeblichen Basisrechtsakt benannt sind</w:t>
      </w:r>
    </w:p>
    <w:p w:rsidR="00693ED0" w:rsidRPr="00253C15" w:rsidRDefault="00693ED0" w:rsidP="00693ED0">
      <w:pPr>
        <w:pStyle w:val="ListDash2"/>
        <w:rPr>
          <w:noProof/>
        </w:rPr>
      </w:pPr>
      <w:r w:rsidRPr="00253C15">
        <w:rPr>
          <w:rFonts w:ascii="Wingdings" w:hAnsi="Wingdings"/>
          <w:noProof/>
        </w:rPr>
        <w:t></w:t>
      </w:r>
      <w:r w:rsidRPr="00253C15">
        <w:rPr>
          <w:rFonts w:ascii="Wingdings" w:hAnsi="Wingdings"/>
          <w:noProof/>
        </w:rPr>
        <w:t></w:t>
      </w:r>
      <w:r w:rsidRPr="00253C15">
        <w:rPr>
          <w:noProof/>
        </w:rPr>
        <w:t>in einem Mitgliedstaat ansässige Einrichtungen, die dem Privatrecht eines Mitgliedstaats oder dem Unionsrecht unterliegen und im Einklang mit sektorspezifischen Vorschriften für die Betrauung mit der Ausführung von Unionsmitteln oder mit der Erteilung von Haushaltsgarantien in Betracht kommen, insofern diese Einrichtungen von privatrechtlichen, im öffentlichen Auftrag tätig werdenden Einrichtungen kontrolliert und von den Kontrollstellen mit angemessenen finanziellen Garantien mit gesamtschuldnerischer Haftung oder gleichwertigen finanziellen Garantien ausgestattet werden, die bei jeder Maßnahme auf den Höchstbetrag der Unionsunterstützung begrenzt sein können</w:t>
      </w:r>
    </w:p>
    <w:p w:rsidR="00693ED0" w:rsidRPr="00253C15" w:rsidRDefault="00693ED0" w:rsidP="00693ED0">
      <w:pPr>
        <w:rPr>
          <w:noProof/>
        </w:rPr>
        <w:sectPr w:rsidR="00693ED0" w:rsidRPr="00253C15" w:rsidSect="006F53F5">
          <w:pgSz w:w="11907" w:h="16840" w:code="9"/>
          <w:pgMar w:top="1134" w:right="1418" w:bottom="1134" w:left="1418" w:header="709" w:footer="709" w:gutter="0"/>
          <w:cols w:space="708"/>
          <w:docGrid w:linePitch="360"/>
        </w:sectPr>
      </w:pPr>
    </w:p>
    <w:p w:rsidR="00693ED0" w:rsidRPr="00253C15" w:rsidRDefault="00693ED0" w:rsidP="00693ED0">
      <w:pPr>
        <w:pStyle w:val="ManualHeading1"/>
        <w:rPr>
          <w:bCs/>
          <w:noProof/>
          <w:szCs w:val="24"/>
        </w:rPr>
      </w:pPr>
      <w:bookmarkStart w:id="87" w:name="_Toc514938041"/>
      <w:bookmarkStart w:id="88" w:name="_Toc520485042"/>
      <w:bookmarkStart w:id="89" w:name="_Toc160804584"/>
      <w:bookmarkStart w:id="90" w:name="_Toc167220276"/>
      <w:bookmarkStart w:id="91" w:name="_Toc177549009"/>
      <w:r w:rsidRPr="00253C15">
        <w:rPr>
          <w:noProof/>
        </w:rPr>
        <w:t>2.</w:t>
      </w:r>
      <w:r w:rsidRPr="00253C15">
        <w:rPr>
          <w:noProof/>
        </w:rPr>
        <w:tab/>
        <w:t>VERWALTUNGSMAẞNAHMEN</w:t>
      </w:r>
      <w:bookmarkEnd w:id="87"/>
      <w:bookmarkEnd w:id="88"/>
      <w:bookmarkEnd w:id="89"/>
      <w:bookmarkEnd w:id="90"/>
      <w:bookmarkEnd w:id="91"/>
      <w:r w:rsidRPr="00253C15">
        <w:rPr>
          <w:noProof/>
        </w:rPr>
        <w:t xml:space="preserve"> </w:t>
      </w:r>
    </w:p>
    <w:p w:rsidR="00693ED0" w:rsidRPr="00253C15" w:rsidRDefault="00693ED0" w:rsidP="00693ED0">
      <w:pPr>
        <w:pStyle w:val="ManualHeading2"/>
        <w:rPr>
          <w:noProof/>
        </w:rPr>
      </w:pPr>
      <w:bookmarkStart w:id="92" w:name="_Toc514938042"/>
      <w:bookmarkStart w:id="93" w:name="_Toc520485043"/>
      <w:bookmarkStart w:id="94" w:name="_Toc160804585"/>
      <w:bookmarkStart w:id="95" w:name="_Toc167220277"/>
      <w:bookmarkStart w:id="96" w:name="_Toc177549010"/>
      <w:r w:rsidRPr="00253C15">
        <w:rPr>
          <w:noProof/>
        </w:rPr>
        <w:t>2.1.</w:t>
      </w:r>
      <w:r w:rsidRPr="00253C15">
        <w:rPr>
          <w:noProof/>
        </w:rPr>
        <w:tab/>
        <w:t>Überwachung und Berichterstattung</w:t>
      </w:r>
      <w:bookmarkEnd w:id="92"/>
      <w:bookmarkEnd w:id="93"/>
      <w:bookmarkEnd w:id="94"/>
      <w:bookmarkEnd w:id="95"/>
      <w:bookmarkEnd w:id="96"/>
      <w:r w:rsidRPr="00253C15">
        <w:rPr>
          <w:noProof/>
        </w:rPr>
        <w:t xml:space="preserve"> </w:t>
      </w:r>
    </w:p>
    <w:p w:rsidR="00693ED0" w:rsidRPr="00253C15"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97" w:name="_Toc514938045"/>
      <w:bookmarkStart w:id="98" w:name="_Toc520485044"/>
      <w:bookmarkStart w:id="99" w:name="_Toc160804586"/>
      <w:bookmarkStart w:id="100" w:name="_Toc167220278"/>
      <w:bookmarkStart w:id="101" w:name="_Toc177549011"/>
      <w:r w:rsidRPr="00253C15">
        <w:rPr>
          <w:noProof/>
        </w:rPr>
        <w:t>Gemäß Artikel 75 der Asylverfahrensverordnung (EU) 2024/1348 müssen die Mitgliedstaaten nationale Durchführungspläne auf der Grundlage des von der Kommission ausgearbeiteten gemeinsamen Durchführungsplans erstellen, und die Kommission überwacht sorgfältig die Durchführung dieser nationalen Durchführungspläne. Sobald die Bestimmungen des Pakets im Juni 2026 in Kraft treten, wird die EUAA gemäß Artikel 14 der EUAA-Verordnung (EU) 2021/2303 die operative und technische Anwendung des Gemeinsamen Europäischen Asylsystems überwachen, einschließlich der Umsetzung des Konzepts des sicheren Drittstaats.</w:t>
      </w:r>
    </w:p>
    <w:p w:rsidR="00693ED0" w:rsidRPr="00253C15" w:rsidRDefault="00693ED0" w:rsidP="00693ED0">
      <w:pPr>
        <w:pStyle w:val="Text1"/>
        <w:pBdr>
          <w:top w:val="single" w:sz="4" w:space="1" w:color="auto"/>
          <w:left w:val="single" w:sz="4" w:space="4" w:color="auto"/>
          <w:bottom w:val="single" w:sz="4" w:space="1" w:color="auto"/>
          <w:right w:val="single" w:sz="4" w:space="4" w:color="auto"/>
        </w:pBdr>
        <w:rPr>
          <w:noProof/>
        </w:rPr>
      </w:pPr>
      <w:r w:rsidRPr="00253C15">
        <w:rPr>
          <w:noProof/>
        </w:rPr>
        <w:t>Die Jahresberichte der Kommission gemäß Artikel 9 der Verordnung über Asyl- und Migrationsmanagement werden die Überwachungsergebnisse der EUAA sowie eine Bewertung enthalten, ob die Mitgliedstaaten einem Migrationsdruck ausgesetzt sind oder systemische Mängel aufweisen, die das Funktionieren des Dublin-Systems beeinträchtigen könnten, auch im Zusammenhang mit der Anwendung des Konzepts des sicheren Drittstaats. Die zusätzliche Transparenzklausel wird es der Kommission ermöglichen, Abkommen und Vereinbarungen mit Drittstaaten im Lichte der Anforderungen der Asylverfahrensverordnung zu überwachen.</w:t>
      </w:r>
    </w:p>
    <w:p w:rsidR="00693ED0" w:rsidRPr="00253C15" w:rsidRDefault="00693ED0" w:rsidP="00693ED0">
      <w:pPr>
        <w:pStyle w:val="ManualHeading2"/>
        <w:rPr>
          <w:bCs/>
          <w:noProof/>
          <w:szCs w:val="24"/>
        </w:rPr>
      </w:pPr>
      <w:r w:rsidRPr="00253C15">
        <w:rPr>
          <w:noProof/>
        </w:rPr>
        <w:t>2.2.</w:t>
      </w:r>
      <w:r w:rsidRPr="00253C15">
        <w:rPr>
          <w:noProof/>
        </w:rPr>
        <w:tab/>
        <w:t>Verwaltungs- und Kontrollsystem(e)</w:t>
      </w:r>
      <w:bookmarkEnd w:id="97"/>
      <w:bookmarkEnd w:id="98"/>
      <w:bookmarkEnd w:id="99"/>
      <w:bookmarkEnd w:id="100"/>
      <w:bookmarkEnd w:id="101"/>
      <w:r w:rsidRPr="00253C15">
        <w:rPr>
          <w:noProof/>
        </w:rPr>
        <w:t xml:space="preserve"> </w:t>
      </w:r>
    </w:p>
    <w:p w:rsidR="00693ED0" w:rsidRPr="00253C15" w:rsidRDefault="00693ED0" w:rsidP="00693ED0">
      <w:pPr>
        <w:pStyle w:val="ManualHeading3"/>
        <w:rPr>
          <w:noProof/>
        </w:rPr>
      </w:pPr>
      <w:bookmarkStart w:id="102" w:name="_Toc514938046"/>
      <w:bookmarkStart w:id="103" w:name="_Toc520485045"/>
      <w:bookmarkStart w:id="104" w:name="_Toc160804587"/>
      <w:bookmarkStart w:id="105" w:name="_Toc167220279"/>
      <w:bookmarkStart w:id="106" w:name="_Toc177549012"/>
      <w:r w:rsidRPr="00253C15">
        <w:rPr>
          <w:noProof/>
        </w:rPr>
        <w:t>2.2.1.</w:t>
      </w:r>
      <w:r w:rsidRPr="00253C15">
        <w:rPr>
          <w:noProof/>
        </w:rPr>
        <w:tab/>
        <w:t>Begründung der Haushaltsvollzugsart(en), des Durchführungsmechanismus/der Durchführungsmechanismen für die Finanzierung, der Zahlungsmodalitäten und der Kontrollstrategie, wie vorgeschlagen</w:t>
      </w:r>
      <w:bookmarkEnd w:id="102"/>
      <w:bookmarkEnd w:id="103"/>
      <w:bookmarkEnd w:id="104"/>
      <w:bookmarkEnd w:id="105"/>
      <w:bookmarkEnd w:id="106"/>
    </w:p>
    <w:p w:rsidR="00693ED0" w:rsidRPr="00253C15"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07" w:name="_Toc514938047"/>
      <w:bookmarkStart w:id="108" w:name="_Toc520485046"/>
      <w:bookmarkStart w:id="109" w:name="_Toc160804588"/>
      <w:bookmarkStart w:id="110" w:name="_Toc167220280"/>
      <w:bookmarkStart w:id="111" w:name="_Toc177549013"/>
      <w:r w:rsidRPr="00253C15">
        <w:rPr>
          <w:noProof/>
        </w:rPr>
        <w:t>Entfällt.</w:t>
      </w:r>
    </w:p>
    <w:p w:rsidR="00693ED0" w:rsidRPr="00253C15" w:rsidRDefault="00693ED0" w:rsidP="00693ED0">
      <w:pPr>
        <w:pStyle w:val="ManualHeading3"/>
        <w:rPr>
          <w:bCs/>
          <w:noProof/>
          <w:szCs w:val="24"/>
        </w:rPr>
      </w:pPr>
      <w:r w:rsidRPr="00253C15">
        <w:rPr>
          <w:noProof/>
        </w:rPr>
        <w:t>2.2.2.</w:t>
      </w:r>
      <w:r w:rsidRPr="00253C15">
        <w:rPr>
          <w:noProof/>
        </w:rPr>
        <w:tab/>
        <w:t>Angaben zu den ermittelten Risiken und dem/den zu deren Eindämmung eingerichteten System(en) der internen Kontrolle</w:t>
      </w:r>
      <w:bookmarkEnd w:id="107"/>
      <w:bookmarkEnd w:id="108"/>
      <w:bookmarkEnd w:id="109"/>
      <w:bookmarkEnd w:id="110"/>
      <w:bookmarkEnd w:id="111"/>
    </w:p>
    <w:p w:rsidR="00693ED0" w:rsidRPr="00253C15"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12" w:name="_Toc514938048"/>
      <w:bookmarkStart w:id="113" w:name="_Toc520485047"/>
      <w:bookmarkStart w:id="114" w:name="_Toc160804589"/>
      <w:bookmarkStart w:id="115" w:name="_Toc167220281"/>
      <w:bookmarkStart w:id="116" w:name="_Toc177549014"/>
      <w:r w:rsidRPr="00253C15">
        <w:rPr>
          <w:noProof/>
        </w:rPr>
        <w:t xml:space="preserve">Eines der mit dem Vorschlag verbundenen Risiken besteht darin, dass die Mitgliedstaaten möglicherweise mit Drittstaaten Abkommen oder Vereinbarungen schließen, die nicht den erforderlichen Standards entsprechen. Um dieses Risiko zu mindern, wurde eine Transparenzklausel eingeführt, nach der die Mitgliedstaaten die Kommission und die anderen Mitgliedstaaten vor dem Abschluss von Abkommen oder Vereinbarungen unterrichten müssen. </w:t>
      </w:r>
    </w:p>
    <w:p w:rsidR="00693ED0" w:rsidRPr="00253C15" w:rsidRDefault="00693ED0" w:rsidP="00693ED0">
      <w:pPr>
        <w:pStyle w:val="ManualHeading3"/>
        <w:rPr>
          <w:noProof/>
        </w:rPr>
      </w:pPr>
      <w:r w:rsidRPr="00253C15">
        <w:rPr>
          <w:noProof/>
        </w:rPr>
        <w:t>2.2.3.</w:t>
      </w:r>
      <w:r w:rsidRPr="00253C15">
        <w:rPr>
          <w:noProof/>
        </w:rPr>
        <w:tab/>
        <w:t>Schätzung und Begründung der Kosteneffizienz der Kontrollen (Verhältnis zwischen den Kontrollkosten und dem Wert der betreffenden verwalteten Mittel) sowie Bewertung des erwarteten Ausmaßes des Fehlerrisikos (bei Zahlung und beim Abschluss)</w:t>
      </w:r>
      <w:bookmarkEnd w:id="112"/>
      <w:bookmarkEnd w:id="113"/>
      <w:bookmarkEnd w:id="114"/>
      <w:bookmarkEnd w:id="115"/>
      <w:bookmarkEnd w:id="116"/>
      <w:r w:rsidRPr="00253C15">
        <w:rPr>
          <w:noProof/>
        </w:rPr>
        <w:t xml:space="preserve"> </w:t>
      </w:r>
    </w:p>
    <w:p w:rsidR="00693ED0" w:rsidRPr="00253C15"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17" w:name="_Toc514938049"/>
      <w:bookmarkStart w:id="118" w:name="_Toc520485048"/>
      <w:bookmarkStart w:id="119" w:name="_Toc160804590"/>
      <w:bookmarkStart w:id="120" w:name="_Toc167220282"/>
      <w:bookmarkStart w:id="121" w:name="_Toc177549015"/>
      <w:r w:rsidRPr="00253C15">
        <w:rPr>
          <w:noProof/>
        </w:rPr>
        <w:t>Entfällt.</w:t>
      </w:r>
    </w:p>
    <w:p w:rsidR="00693ED0" w:rsidRPr="00253C15" w:rsidRDefault="00693ED0" w:rsidP="00693ED0">
      <w:pPr>
        <w:pStyle w:val="ManualHeading2"/>
        <w:rPr>
          <w:bCs/>
          <w:noProof/>
          <w:szCs w:val="24"/>
        </w:rPr>
      </w:pPr>
      <w:r w:rsidRPr="00253C15">
        <w:rPr>
          <w:noProof/>
        </w:rPr>
        <w:t>2.3.</w:t>
      </w:r>
      <w:r w:rsidRPr="00253C15">
        <w:rPr>
          <w:noProof/>
        </w:rPr>
        <w:tab/>
        <w:t>Prävention von Betrug und Unregelmäßigkeiten</w:t>
      </w:r>
      <w:bookmarkEnd w:id="117"/>
      <w:bookmarkEnd w:id="118"/>
      <w:bookmarkEnd w:id="119"/>
      <w:bookmarkEnd w:id="120"/>
      <w:bookmarkEnd w:id="121"/>
      <w:r w:rsidRPr="00253C15">
        <w:rPr>
          <w:noProof/>
        </w:rPr>
        <w:t xml:space="preserve"> </w:t>
      </w:r>
    </w:p>
    <w:p w:rsidR="00693ED0" w:rsidRPr="00253C15" w:rsidRDefault="00693ED0" w:rsidP="00693ED0">
      <w:pPr>
        <w:pStyle w:val="Text1"/>
        <w:pBdr>
          <w:top w:val="single" w:sz="4" w:space="1" w:color="auto"/>
          <w:left w:val="single" w:sz="4" w:space="4" w:color="auto"/>
          <w:bottom w:val="single" w:sz="4" w:space="1" w:color="auto"/>
          <w:right w:val="single" w:sz="4" w:space="4" w:color="auto"/>
        </w:pBdr>
        <w:rPr>
          <w:noProof/>
        </w:rPr>
      </w:pPr>
      <w:r w:rsidRPr="00253C15">
        <w:rPr>
          <w:noProof/>
        </w:rPr>
        <w:t>Entfällt.</w:t>
      </w:r>
    </w:p>
    <w:p w:rsidR="00693ED0" w:rsidRPr="00253C15" w:rsidRDefault="00693ED0" w:rsidP="00693ED0">
      <w:pPr>
        <w:rPr>
          <w:noProof/>
        </w:rPr>
        <w:sectPr w:rsidR="00693ED0" w:rsidRPr="00253C15" w:rsidSect="006F53F5">
          <w:pgSz w:w="11907" w:h="16840" w:code="9"/>
          <w:pgMar w:top="1134" w:right="1418" w:bottom="1134" w:left="1418" w:header="709" w:footer="709" w:gutter="0"/>
          <w:cols w:space="708"/>
          <w:docGrid w:linePitch="360"/>
        </w:sectPr>
      </w:pPr>
    </w:p>
    <w:p w:rsidR="00693ED0" w:rsidRPr="00253C15" w:rsidRDefault="00693ED0" w:rsidP="00693ED0">
      <w:pPr>
        <w:pStyle w:val="ManualHeading1"/>
        <w:rPr>
          <w:bCs/>
          <w:noProof/>
          <w:szCs w:val="24"/>
        </w:rPr>
      </w:pPr>
      <w:bookmarkStart w:id="122" w:name="_Toc514938050"/>
      <w:bookmarkStart w:id="123" w:name="_Toc520485049"/>
      <w:bookmarkStart w:id="124" w:name="_Toc160804591"/>
      <w:bookmarkStart w:id="125" w:name="_Toc167220283"/>
      <w:bookmarkStart w:id="126" w:name="_Toc177549016"/>
      <w:r w:rsidRPr="00253C15">
        <w:rPr>
          <w:noProof/>
        </w:rPr>
        <w:t>3.</w:t>
      </w:r>
      <w:r w:rsidRPr="00253C15">
        <w:rPr>
          <w:noProof/>
        </w:rPr>
        <w:tab/>
        <w:t>GESCHÄTZTE FINANZIELLE AUSWIRKUNGEN DES VORSCHLAGS/DER INITIATIVE</w:t>
      </w:r>
      <w:bookmarkEnd w:id="122"/>
      <w:bookmarkEnd w:id="123"/>
      <w:bookmarkEnd w:id="124"/>
      <w:bookmarkEnd w:id="125"/>
      <w:bookmarkEnd w:id="126"/>
      <w:r w:rsidRPr="00253C15">
        <w:rPr>
          <w:noProof/>
        </w:rPr>
        <w:t xml:space="preserve"> </w:t>
      </w:r>
    </w:p>
    <w:p w:rsidR="00693ED0" w:rsidRPr="00253C15" w:rsidRDefault="00693ED0" w:rsidP="00693ED0">
      <w:pPr>
        <w:pStyle w:val="ManualHeading2"/>
        <w:rPr>
          <w:noProof/>
        </w:rPr>
      </w:pPr>
      <w:bookmarkStart w:id="127" w:name="_Toc514938051"/>
      <w:bookmarkStart w:id="128" w:name="_Toc520485050"/>
      <w:bookmarkStart w:id="129" w:name="_Toc160804592"/>
      <w:bookmarkStart w:id="130" w:name="_Toc167220284"/>
      <w:bookmarkStart w:id="131" w:name="_Toc177549017"/>
      <w:r w:rsidRPr="00253C15">
        <w:rPr>
          <w:noProof/>
        </w:rPr>
        <w:t>3.1.</w:t>
      </w:r>
      <w:r w:rsidRPr="00253C15">
        <w:rPr>
          <w:noProof/>
        </w:rPr>
        <w:tab/>
        <w:t>Betroffene Rubrik(en) des Mehrjährigen Finanzrahmens und Ausgabenlinie(n) im Haushaltsplan</w:t>
      </w:r>
      <w:bookmarkEnd w:id="127"/>
      <w:bookmarkEnd w:id="128"/>
      <w:bookmarkEnd w:id="129"/>
      <w:bookmarkEnd w:id="130"/>
      <w:bookmarkEnd w:id="131"/>
      <w:r w:rsidRPr="00253C15">
        <w:rPr>
          <w:noProof/>
        </w:rPr>
        <w:t xml:space="preserve"> </w:t>
      </w:r>
    </w:p>
    <w:p w:rsidR="00693ED0" w:rsidRPr="00253C15"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32" w:name="_Hlk157691648"/>
      <w:r w:rsidRPr="00253C15">
        <w:rPr>
          <w:noProof/>
        </w:rPr>
        <w:t xml:space="preserve">Abschnitt 3 entfällt, da es keine finanziellen oder personellen Auswirkungen gibt. </w:t>
      </w:r>
      <w:bookmarkEnd w:id="132"/>
    </w:p>
    <w:p w:rsidR="00693ED0" w:rsidRPr="00253C15" w:rsidRDefault="00693ED0" w:rsidP="00693ED0">
      <w:pPr>
        <w:rPr>
          <w:noProof/>
        </w:rPr>
        <w:sectPr w:rsidR="00693ED0" w:rsidRPr="00253C15" w:rsidSect="006F53F5">
          <w:pgSz w:w="11907" w:h="16840" w:code="1"/>
          <w:pgMar w:top="1134" w:right="1418" w:bottom="1134" w:left="1418" w:header="709" w:footer="709" w:gutter="0"/>
          <w:cols w:space="708"/>
          <w:docGrid w:linePitch="360"/>
        </w:sectPr>
      </w:pPr>
    </w:p>
    <w:p w:rsidR="00693ED0" w:rsidRPr="00253C15" w:rsidRDefault="00693ED0" w:rsidP="00693ED0">
      <w:pPr>
        <w:pStyle w:val="ManualHeading2"/>
        <w:rPr>
          <w:bCs/>
          <w:noProof/>
          <w:szCs w:val="24"/>
        </w:rPr>
      </w:pPr>
      <w:bookmarkStart w:id="133" w:name="_Toc514938052"/>
      <w:bookmarkStart w:id="134" w:name="_Toc520485051"/>
      <w:bookmarkStart w:id="135" w:name="_Toc160804593"/>
      <w:bookmarkStart w:id="136" w:name="_Toc167220285"/>
      <w:bookmarkStart w:id="137" w:name="_Toc177549018"/>
      <w:r w:rsidRPr="00253C15">
        <w:rPr>
          <w:noProof/>
        </w:rPr>
        <w:t>3.2.</w:t>
      </w:r>
      <w:r w:rsidRPr="00253C15">
        <w:rPr>
          <w:noProof/>
        </w:rPr>
        <w:tab/>
        <w:t>Geschätzte finanzielle Auswirkungen des Vorschlags auf die Mittel</w:t>
      </w:r>
      <w:bookmarkEnd w:id="133"/>
      <w:bookmarkEnd w:id="134"/>
      <w:bookmarkEnd w:id="135"/>
      <w:bookmarkEnd w:id="136"/>
      <w:bookmarkEnd w:id="137"/>
      <w:r w:rsidRPr="00253C15">
        <w:rPr>
          <w:noProof/>
        </w:rPr>
        <w:t xml:space="preserve"> </w:t>
      </w:r>
    </w:p>
    <w:p w:rsidR="00693ED0" w:rsidRPr="00253C15" w:rsidRDefault="00693ED0" w:rsidP="00693ED0">
      <w:pPr>
        <w:pStyle w:val="ManualHeading3"/>
        <w:rPr>
          <w:noProof/>
        </w:rPr>
      </w:pPr>
      <w:bookmarkStart w:id="138" w:name="_Toc514938053"/>
      <w:bookmarkStart w:id="139" w:name="_Toc520485052"/>
      <w:bookmarkStart w:id="140" w:name="_Toc160804594"/>
      <w:bookmarkStart w:id="141" w:name="_Toc167220286"/>
      <w:bookmarkStart w:id="142" w:name="_Toc177549019"/>
      <w:r w:rsidRPr="00253C15">
        <w:rPr>
          <w:noProof/>
        </w:rPr>
        <w:t>3.2.1.</w:t>
      </w:r>
      <w:r w:rsidRPr="00253C15">
        <w:rPr>
          <w:noProof/>
        </w:rPr>
        <w:tab/>
        <w:t>Übersicht über die geschätzten Auswirkungen auf die operativen Mittel</w:t>
      </w:r>
      <w:bookmarkEnd w:id="138"/>
      <w:bookmarkEnd w:id="139"/>
      <w:bookmarkEnd w:id="140"/>
      <w:bookmarkEnd w:id="141"/>
      <w:bookmarkEnd w:id="142"/>
      <w:r w:rsidRPr="00253C15">
        <w:rPr>
          <w:noProof/>
        </w:rPr>
        <w:t xml:space="preserve"> </w:t>
      </w:r>
    </w:p>
    <w:p w:rsidR="00693ED0" w:rsidRPr="00253C15" w:rsidRDefault="00693ED0" w:rsidP="00693ED0">
      <w:pPr>
        <w:pStyle w:val="ListDash1"/>
        <w:rPr>
          <w:noProof/>
        </w:rPr>
      </w:pPr>
      <w:r w:rsidRPr="00253C15">
        <w:rPr>
          <w:rFonts w:ascii="Wingdings" w:hAnsi="Wingdings"/>
          <w:noProof/>
        </w:rPr>
        <w:t></w:t>
      </w:r>
      <w:r w:rsidRPr="00253C15">
        <w:rPr>
          <w:noProof/>
        </w:rPr>
        <w:tab/>
        <w:t xml:space="preserve">Für den Vorschlag/die Initiative werden keine operativen Mittel benötigt. </w:t>
      </w:r>
    </w:p>
    <w:p w:rsidR="00693ED0" w:rsidRPr="00253C15" w:rsidRDefault="00693ED0" w:rsidP="00693ED0">
      <w:pPr>
        <w:pStyle w:val="ListDash1"/>
        <w:rPr>
          <w:noProof/>
        </w:rPr>
      </w:pPr>
      <w:r w:rsidRPr="00253C15">
        <w:rPr>
          <w:rFonts w:ascii="Wingdings" w:hAnsi="Wingdings"/>
          <w:noProof/>
        </w:rPr>
        <w:t></w:t>
      </w:r>
      <w:r w:rsidRPr="00253C15">
        <w:rPr>
          <w:noProof/>
        </w:rPr>
        <w:tab/>
        <w:t>Für den Vorschlag/die Initiative werden die folgenden operativen Mittel benötigt:</w:t>
      </w:r>
    </w:p>
    <w:p w:rsidR="00693ED0" w:rsidRPr="00253C15" w:rsidRDefault="00693ED0" w:rsidP="00693ED0">
      <w:pPr>
        <w:pStyle w:val="ManualHeading3"/>
        <w:rPr>
          <w:noProof/>
        </w:rPr>
      </w:pPr>
      <w:bookmarkStart w:id="143" w:name="_Toc160804595"/>
      <w:bookmarkStart w:id="144" w:name="_Toc167220287"/>
      <w:bookmarkStart w:id="145" w:name="_Toc177549020"/>
      <w:r w:rsidRPr="00253C15">
        <w:rPr>
          <w:noProof/>
        </w:rPr>
        <w:t>3.2.1.1.</w:t>
      </w:r>
      <w:r w:rsidRPr="00253C15">
        <w:rPr>
          <w:noProof/>
        </w:rPr>
        <w:tab/>
        <w:t>Mittel aus dem verabschiedeten Haushaltsplan</w:t>
      </w:r>
      <w:bookmarkEnd w:id="143"/>
      <w:bookmarkEnd w:id="144"/>
      <w:bookmarkEnd w:id="145"/>
    </w:p>
    <w:p w:rsidR="00693ED0" w:rsidRPr="00253C15" w:rsidRDefault="00693ED0" w:rsidP="00693ED0">
      <w:pPr>
        <w:jc w:val="right"/>
        <w:rPr>
          <w:noProof/>
          <w:sz w:val="18"/>
          <w:szCs w:val="18"/>
        </w:rPr>
      </w:pPr>
      <w:r w:rsidRPr="00253C15">
        <w:rPr>
          <w:noProof/>
          <w:sz w:val="18"/>
        </w:rPr>
        <w:t>in Mio. EUR (3 Dezimalstellen)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2"/>
        <w:gridCol w:w="643"/>
        <w:gridCol w:w="290"/>
        <w:gridCol w:w="572"/>
        <w:gridCol w:w="555"/>
        <w:gridCol w:w="845"/>
        <w:gridCol w:w="337"/>
        <w:gridCol w:w="727"/>
        <w:gridCol w:w="338"/>
        <w:gridCol w:w="391"/>
        <w:gridCol w:w="1011"/>
        <w:gridCol w:w="12"/>
        <w:gridCol w:w="1023"/>
        <w:gridCol w:w="367"/>
        <w:gridCol w:w="656"/>
        <w:gridCol w:w="746"/>
        <w:gridCol w:w="278"/>
        <w:gridCol w:w="1417"/>
      </w:tblGrid>
      <w:tr w:rsidR="00693ED0" w:rsidRPr="00253C15" w:rsidTr="00E06D11">
        <w:tc>
          <w:tcPr>
            <w:tcW w:w="1739" w:type="pct"/>
            <w:gridSpan w:val="3"/>
            <w:shd w:val="clear" w:color="auto" w:fill="auto"/>
            <w:vAlign w:val="center"/>
          </w:tcPr>
          <w:p w:rsidR="00693ED0" w:rsidRPr="00253C15" w:rsidRDefault="00693ED0">
            <w:pPr>
              <w:spacing w:before="60" w:after="60"/>
              <w:jc w:val="center"/>
              <w:rPr>
                <w:b/>
                <w:noProof/>
              </w:rPr>
            </w:pPr>
            <w:r w:rsidRPr="00253C15">
              <w:rPr>
                <w:b/>
                <w:noProof/>
                <w:sz w:val="22"/>
              </w:rPr>
              <w:t xml:space="preserve">Rubrik des Mehrjährigen Finanzrahmens </w:t>
            </w:r>
          </w:p>
        </w:tc>
        <w:tc>
          <w:tcPr>
            <w:tcW w:w="396" w:type="pct"/>
            <w:gridSpan w:val="2"/>
            <w:vAlign w:val="center"/>
          </w:tcPr>
          <w:p w:rsidR="00693ED0" w:rsidRPr="00253C15" w:rsidRDefault="00693ED0">
            <w:pPr>
              <w:spacing w:before="60" w:after="60"/>
              <w:jc w:val="center"/>
              <w:rPr>
                <w:noProof/>
              </w:rPr>
            </w:pPr>
            <w:r w:rsidRPr="00253C15">
              <w:rPr>
                <w:noProof/>
                <w:sz w:val="22"/>
              </w:rPr>
              <w:t>Nummer</w:t>
            </w:r>
          </w:p>
        </w:tc>
        <w:tc>
          <w:tcPr>
            <w:tcW w:w="2865" w:type="pct"/>
            <w:gridSpan w:val="13"/>
            <w:vAlign w:val="center"/>
          </w:tcPr>
          <w:p w:rsidR="00693ED0" w:rsidRPr="00253C15" w:rsidRDefault="00693ED0">
            <w:pPr>
              <w:spacing w:before="60" w:after="60"/>
              <w:rPr>
                <w:noProof/>
              </w:rPr>
            </w:pPr>
          </w:p>
        </w:tc>
      </w:tr>
      <w:tr w:rsidR="00DF2D2B" w:rsidRPr="00253C15"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432" w:type="pct"/>
            <w:gridSpan w:val="6"/>
            <w:vMerge w:val="restart"/>
            <w:tcBorders>
              <w:top w:val="single" w:sz="8" w:space="0" w:color="auto"/>
              <w:left w:val="single" w:sz="8" w:space="0" w:color="auto"/>
              <w:bottom w:val="single" w:sz="8" w:space="0" w:color="000000" w:themeColor="text1"/>
              <w:right w:val="single" w:sz="8" w:space="0" w:color="000000" w:themeColor="text1"/>
            </w:tcBorders>
            <w:shd w:val="clear" w:color="auto" w:fill="auto"/>
            <w:vAlign w:val="center"/>
            <w:hideMark/>
          </w:tcPr>
          <w:p w:rsidR="00693ED0" w:rsidRPr="00253C15" w:rsidRDefault="00693ED0">
            <w:pPr>
              <w:spacing w:before="0" w:after="0"/>
              <w:jc w:val="center"/>
              <w:rPr>
                <w:b/>
                <w:bCs/>
                <w:noProof/>
                <w:color w:val="000000"/>
                <w:sz w:val="22"/>
              </w:rPr>
            </w:pPr>
            <w:r w:rsidRPr="00253C15">
              <w:rPr>
                <w:b/>
                <w:noProof/>
                <w:color w:val="000000"/>
                <w:sz w:val="22"/>
              </w:rPr>
              <w:t xml:space="preserve"> </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596"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2021-2027 INSGESAMT</w:t>
            </w:r>
          </w:p>
        </w:tc>
      </w:tr>
      <w:tr w:rsidR="00693ED0" w:rsidRPr="00253C15" w:rsidTr="004B061E">
        <w:trPr>
          <w:trHeight w:val="300"/>
        </w:trPr>
        <w:tc>
          <w:tcPr>
            <w:tcW w:w="2432" w:type="pct"/>
            <w:gridSpan w:val="6"/>
            <w:vMerge/>
            <w:vAlign w:val="center"/>
            <w:hideMark/>
          </w:tcPr>
          <w:p w:rsidR="00693ED0" w:rsidRPr="00253C15" w:rsidRDefault="00693ED0">
            <w:pPr>
              <w:spacing w:before="0" w:after="0"/>
              <w:jc w:val="left"/>
              <w:rPr>
                <w:b/>
                <w:bCs/>
                <w:noProof/>
                <w:color w:val="000000"/>
                <w:sz w:val="22"/>
                <w:lang w:eastAsia="en-IE"/>
              </w:rPr>
            </w:pPr>
          </w:p>
        </w:tc>
        <w:tc>
          <w:tcPr>
            <w:tcW w:w="493" w:type="pct"/>
            <w:gridSpan w:val="3"/>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2024</w:t>
            </w:r>
          </w:p>
        </w:tc>
        <w:tc>
          <w:tcPr>
            <w:tcW w:w="493" w:type="pct"/>
            <w:gridSpan w:val="2"/>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2025</w:t>
            </w:r>
          </w:p>
        </w:tc>
        <w:tc>
          <w:tcPr>
            <w:tcW w:w="493" w:type="pct"/>
            <w:gridSpan w:val="3"/>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2026</w:t>
            </w:r>
          </w:p>
        </w:tc>
        <w:tc>
          <w:tcPr>
            <w:tcW w:w="493" w:type="pct"/>
            <w:gridSpan w:val="2"/>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2027</w:t>
            </w:r>
          </w:p>
        </w:tc>
        <w:tc>
          <w:tcPr>
            <w:tcW w:w="596" w:type="pct"/>
            <w:gridSpan w:val="2"/>
            <w:vMerge/>
            <w:vAlign w:val="center"/>
            <w:hideMark/>
          </w:tcPr>
          <w:p w:rsidR="00693ED0" w:rsidRPr="00253C15" w:rsidRDefault="00693ED0">
            <w:pPr>
              <w:spacing w:before="0" w:after="0"/>
              <w:jc w:val="left"/>
              <w:rPr>
                <w:b/>
                <w:bCs/>
                <w:noProof/>
                <w:color w:val="000000"/>
                <w:sz w:val="20"/>
                <w:szCs w:val="20"/>
                <w:lang w:eastAsia="en-IE"/>
              </w:rPr>
            </w:pPr>
          </w:p>
        </w:tc>
      </w:tr>
      <w:tr w:rsidR="00DF2D2B" w:rsidRPr="00253C15"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rPr>
                <w:noProof/>
                <w:color w:val="000000"/>
                <w:sz w:val="21"/>
                <w:szCs w:val="21"/>
              </w:rPr>
            </w:pPr>
            <w:r w:rsidRPr="00253C15">
              <w:rPr>
                <w:noProof/>
                <w:color w:val="000000"/>
                <w:sz w:val="21"/>
              </w:rPr>
              <w:t xml:space="preserve">Operative Mittel INSGESAMT </w:t>
            </w:r>
            <w:r w:rsidRPr="00253C15">
              <w:rPr>
                <w:noProof/>
              </w:rPr>
              <w:t xml:space="preserve"> </w:t>
            </w:r>
            <w:r w:rsidRPr="00253C15">
              <w:rPr>
                <w:noProof/>
              </w:rPr>
              <w:br/>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rPr>
                <w:noProof/>
                <w:color w:val="000000"/>
                <w:sz w:val="18"/>
                <w:szCs w:val="18"/>
              </w:rPr>
            </w:pPr>
            <w:r w:rsidRPr="00253C15">
              <w:rPr>
                <w:noProof/>
                <w:color w:val="000000"/>
                <w:sz w:val="18"/>
              </w:rPr>
              <w:t>Verpflichtungen</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 w:val="14"/>
                <w:szCs w:val="14"/>
              </w:rPr>
            </w:pPr>
            <w:r w:rsidRPr="00253C15">
              <w:rPr>
                <w:noProof/>
                <w:color w:val="000000"/>
                <w:sz w:val="14"/>
              </w:rPr>
              <w:t>(4)</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r>
      <w:tr w:rsidR="00DF2D2B" w:rsidRPr="00253C15"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6"/>
        </w:trPr>
        <w:tc>
          <w:tcPr>
            <w:tcW w:w="1411" w:type="pct"/>
            <w:vMerge/>
            <w:vAlign w:val="center"/>
            <w:hideMark/>
          </w:tcPr>
          <w:p w:rsidR="00693ED0" w:rsidRPr="00253C15" w:rsidRDefault="00693ED0">
            <w:pPr>
              <w:spacing w:before="0" w:after="0"/>
              <w:jc w:val="left"/>
              <w:rPr>
                <w:noProof/>
                <w:color w:val="000000"/>
                <w:sz w:val="21"/>
                <w:szCs w:val="21"/>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rPr>
                <w:noProof/>
                <w:color w:val="000000"/>
                <w:sz w:val="18"/>
                <w:szCs w:val="18"/>
              </w:rPr>
            </w:pPr>
            <w:r w:rsidRPr="00253C15">
              <w:rPr>
                <w:noProof/>
                <w:color w:val="000000"/>
                <w:sz w:val="18"/>
              </w:rPr>
              <w:t>Zahlungen</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 w:val="14"/>
                <w:szCs w:val="14"/>
              </w:rPr>
            </w:pPr>
            <w:r w:rsidRPr="00253C15">
              <w:rPr>
                <w:noProof/>
                <w:color w:val="000000"/>
                <w:sz w:val="14"/>
              </w:rPr>
              <w:t>(5)</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r>
      <w:tr w:rsidR="00DF2D2B" w:rsidRPr="00253C15"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24"/>
        </w:trPr>
        <w:tc>
          <w:tcPr>
            <w:tcW w:w="1940"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rPr>
                <w:noProof/>
                <w:color w:val="000000"/>
                <w:sz w:val="21"/>
                <w:szCs w:val="21"/>
              </w:rPr>
            </w:pPr>
            <w:r w:rsidRPr="00253C15">
              <w:rPr>
                <w:noProof/>
                <w:color w:val="000000"/>
                <w:sz w:val="21"/>
              </w:rPr>
              <w:t xml:space="preserve">Aus der Dotation bestimmter spezifischer Programme finanzierte Verwaltungsmittel INSGESAMT </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 w:val="14"/>
                <w:szCs w:val="14"/>
              </w:rPr>
            </w:pPr>
            <w:r w:rsidRPr="00253C15">
              <w:rPr>
                <w:noProof/>
                <w:color w:val="000000"/>
                <w:sz w:val="14"/>
              </w:rPr>
              <w:t>(6)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r>
      <w:tr w:rsidR="00DF2D2B" w:rsidRPr="00253C15"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4"/>
        </w:trPr>
        <w:tc>
          <w:tcPr>
            <w:tcW w:w="1411" w:type="pct"/>
            <w:tcBorders>
              <w:top w:val="nil"/>
              <w:left w:val="single" w:sz="8" w:space="0" w:color="auto"/>
              <w:bottom w:val="nil"/>
              <w:right w:val="single" w:sz="8" w:space="0" w:color="auto"/>
            </w:tcBorders>
            <w:shd w:val="clear" w:color="auto" w:fill="F1F1F1"/>
            <w:vAlign w:val="center"/>
            <w:hideMark/>
          </w:tcPr>
          <w:p w:rsidR="00693ED0" w:rsidRPr="00253C15" w:rsidRDefault="00693ED0">
            <w:pPr>
              <w:spacing w:before="0" w:after="0"/>
              <w:jc w:val="center"/>
              <w:rPr>
                <w:b/>
                <w:bCs/>
                <w:noProof/>
                <w:color w:val="000000"/>
                <w:sz w:val="22"/>
              </w:rPr>
            </w:pPr>
            <w:r w:rsidRPr="00253C15">
              <w:rPr>
                <w:b/>
                <w:noProof/>
                <w:color w:val="000000"/>
                <w:sz w:val="22"/>
              </w:rPr>
              <w:t>Mittel INSGESAMT unter der RUBRIK &lt;….&gt;</w:t>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rPr>
                <w:noProof/>
                <w:color w:val="000000"/>
                <w:sz w:val="18"/>
                <w:szCs w:val="18"/>
              </w:rPr>
            </w:pPr>
            <w:r w:rsidRPr="00253C15">
              <w:rPr>
                <w:noProof/>
                <w:color w:val="000000"/>
                <w:sz w:val="18"/>
              </w:rPr>
              <w:t>Verpflichtungen</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 w:val="14"/>
                <w:szCs w:val="14"/>
              </w:rPr>
            </w:pPr>
            <w:r w:rsidRPr="00253C15">
              <w:rPr>
                <w:noProof/>
                <w:color w:val="000000"/>
                <w:sz w:val="14"/>
              </w:rPr>
              <w:t>= 4+6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r>
      <w:tr w:rsidR="00DF2D2B" w:rsidRPr="00253C15"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8"/>
        </w:trPr>
        <w:tc>
          <w:tcPr>
            <w:tcW w:w="1411" w:type="pct"/>
            <w:tcBorders>
              <w:top w:val="nil"/>
              <w:left w:val="single" w:sz="8" w:space="0" w:color="auto"/>
              <w:bottom w:val="single" w:sz="8" w:space="0" w:color="auto"/>
              <w:right w:val="single" w:sz="8" w:space="0" w:color="auto"/>
            </w:tcBorders>
            <w:shd w:val="clear" w:color="auto" w:fill="F1F1F1"/>
            <w:vAlign w:val="center"/>
            <w:hideMark/>
          </w:tcPr>
          <w:p w:rsidR="00693ED0" w:rsidRPr="00253C15" w:rsidRDefault="00693ED0">
            <w:pPr>
              <w:spacing w:before="0" w:after="0"/>
              <w:jc w:val="center"/>
              <w:rPr>
                <w:noProof/>
                <w:color w:val="000000"/>
                <w:sz w:val="22"/>
              </w:rPr>
            </w:pPr>
            <w:r w:rsidRPr="00253C15">
              <w:rPr>
                <w:noProof/>
                <w:color w:val="000000"/>
                <w:sz w:val="22"/>
              </w:rPr>
              <w:t>des Mehrjährigen Finanzrahmens</w:t>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rPr>
                <w:noProof/>
                <w:color w:val="000000"/>
                <w:sz w:val="18"/>
                <w:szCs w:val="18"/>
              </w:rPr>
            </w:pPr>
            <w:r w:rsidRPr="00253C15">
              <w:rPr>
                <w:noProof/>
                <w:color w:val="000000"/>
                <w:sz w:val="18"/>
              </w:rPr>
              <w:t>Zahlungen</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 w:val="14"/>
                <w:szCs w:val="14"/>
              </w:rPr>
            </w:pPr>
            <w:r w:rsidRPr="00253C15">
              <w:rPr>
                <w:noProof/>
                <w:color w:val="000000"/>
                <w:sz w:val="14"/>
              </w:rPr>
              <w:t>= 5+6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r>
      <w:tr w:rsidR="00693ED0" w:rsidRPr="00253C15" w:rsidTr="00E06D11">
        <w:tblPrEx>
          <w:jc w:val="center"/>
        </w:tblPrEx>
        <w:trPr>
          <w:jc w:val="center"/>
        </w:trPr>
        <w:tc>
          <w:tcPr>
            <w:tcW w:w="1739" w:type="pct"/>
            <w:gridSpan w:val="3"/>
            <w:shd w:val="clear" w:color="auto" w:fill="auto"/>
            <w:vAlign w:val="center"/>
          </w:tcPr>
          <w:p w:rsidR="00693ED0" w:rsidRPr="00253C15" w:rsidRDefault="00693ED0">
            <w:pPr>
              <w:spacing w:before="60" w:after="60"/>
              <w:jc w:val="center"/>
              <w:rPr>
                <w:b/>
                <w:noProof/>
              </w:rPr>
            </w:pPr>
            <w:r w:rsidRPr="00253C15">
              <w:rPr>
                <w:noProof/>
              </w:rPr>
              <w:br w:type="page"/>
            </w:r>
            <w:r w:rsidRPr="00253C15">
              <w:rPr>
                <w:b/>
                <w:noProof/>
                <w:sz w:val="22"/>
              </w:rPr>
              <w:t xml:space="preserve">Rubrik des Mehrjährigen Finanzrahmens </w:t>
            </w:r>
          </w:p>
        </w:tc>
        <w:tc>
          <w:tcPr>
            <w:tcW w:w="396" w:type="pct"/>
            <w:gridSpan w:val="2"/>
            <w:shd w:val="clear" w:color="auto" w:fill="auto"/>
            <w:vAlign w:val="center"/>
          </w:tcPr>
          <w:p w:rsidR="00693ED0" w:rsidRPr="00253C15" w:rsidRDefault="00693ED0">
            <w:pPr>
              <w:spacing w:before="60" w:after="60"/>
              <w:jc w:val="center"/>
              <w:rPr>
                <w:noProof/>
              </w:rPr>
            </w:pPr>
            <w:r w:rsidRPr="00253C15">
              <w:rPr>
                <w:b/>
                <w:noProof/>
                <w:sz w:val="22"/>
              </w:rPr>
              <w:t>7</w:t>
            </w:r>
          </w:p>
        </w:tc>
        <w:tc>
          <w:tcPr>
            <w:tcW w:w="2865" w:type="pct"/>
            <w:gridSpan w:val="13"/>
            <w:vAlign w:val="center"/>
          </w:tcPr>
          <w:p w:rsidR="00693ED0" w:rsidRPr="00253C15" w:rsidRDefault="00693ED0">
            <w:pPr>
              <w:spacing w:before="60" w:after="60"/>
              <w:rPr>
                <w:noProof/>
              </w:rPr>
            </w:pPr>
            <w:r w:rsidRPr="00253C15">
              <w:rPr>
                <w:noProof/>
                <w:sz w:val="22"/>
              </w:rPr>
              <w:t>„Verwaltungsausgaben“</w:t>
            </w:r>
            <w:r w:rsidRPr="00253C15">
              <w:rPr>
                <w:rStyle w:val="FootnoteReference"/>
                <w:noProof/>
                <w:sz w:val="22"/>
              </w:rPr>
              <w:footnoteReference w:id="21"/>
            </w:r>
          </w:p>
        </w:tc>
      </w:tr>
      <w:tr w:rsidR="00693ED0" w:rsidRPr="00253C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3032" w:type="pct"/>
            <w:gridSpan w:val="1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Cs w:val="24"/>
              </w:rPr>
            </w:pPr>
            <w:r w:rsidRPr="00253C15">
              <w:rPr>
                <w:noProof/>
                <w:color w:val="000000"/>
              </w:rPr>
              <w:t>GD: &lt;…….&gt;</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376" w:type="pct"/>
            <w:tcBorders>
              <w:top w:val="single" w:sz="8" w:space="0" w:color="auto"/>
              <w:left w:val="nil"/>
              <w:bottom w:val="nil"/>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2021-2027 INSGESAMT</w:t>
            </w:r>
          </w:p>
        </w:tc>
      </w:tr>
      <w:tr w:rsidR="00693ED0" w:rsidRPr="00253C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vMerge/>
            <w:tcBorders>
              <w:top w:val="single" w:sz="8" w:space="0" w:color="auto"/>
              <w:left w:val="single" w:sz="8" w:space="0" w:color="auto"/>
              <w:bottom w:val="single" w:sz="8" w:space="0" w:color="auto"/>
              <w:right w:val="single" w:sz="8" w:space="0" w:color="auto"/>
            </w:tcBorders>
            <w:vAlign w:val="center"/>
            <w:hideMark/>
          </w:tcPr>
          <w:p w:rsidR="00693ED0" w:rsidRPr="00253C15" w:rsidRDefault="00693ED0">
            <w:pPr>
              <w:spacing w:before="0" w:after="0"/>
              <w:jc w:val="left"/>
              <w:rPr>
                <w:noProof/>
                <w:color w:val="000000"/>
                <w:szCs w:val="24"/>
                <w:lang w:eastAsia="en-IE"/>
              </w:rPr>
            </w:pP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2024</w:t>
            </w:r>
          </w:p>
        </w:tc>
        <w:tc>
          <w:tcPr>
            <w:tcW w:w="376"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2025</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2026</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rsidR="00693ED0" w:rsidRPr="00253C15" w:rsidRDefault="00693ED0">
            <w:pPr>
              <w:spacing w:before="0" w:after="0"/>
              <w:jc w:val="left"/>
              <w:rPr>
                <w:b/>
                <w:bCs/>
                <w:noProof/>
                <w:color w:val="000000"/>
                <w:sz w:val="20"/>
                <w:szCs w:val="20"/>
                <w:lang w:eastAsia="en-IE"/>
              </w:rPr>
            </w:pPr>
          </w:p>
        </w:tc>
      </w:tr>
      <w:tr w:rsidR="00693ED0" w:rsidRPr="00253C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jc w:val="left"/>
              <w:rPr>
                <w:rFonts w:ascii="Wingdings" w:hAnsi="Wingdings" w:cs="Calibri"/>
                <w:noProof/>
                <w:color w:val="000000"/>
                <w:sz w:val="22"/>
              </w:rPr>
            </w:pPr>
            <w:r w:rsidRPr="00253C15">
              <w:rPr>
                <w:rFonts w:ascii="Wingdings" w:hAnsi="Wingdings"/>
                <w:noProof/>
                <w:color w:val="000000"/>
                <w:sz w:val="22"/>
              </w:rPr>
              <w:t></w:t>
            </w:r>
            <w:r w:rsidRPr="00253C15">
              <w:rPr>
                <w:noProof/>
                <w:color w:val="000000"/>
                <w:sz w:val="22"/>
              </w:rPr>
              <w:t xml:space="preserve"> Personalausgaben </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r>
      <w:tr w:rsidR="00693ED0" w:rsidRPr="00253C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jc w:val="left"/>
              <w:rPr>
                <w:rFonts w:ascii="Wingdings" w:hAnsi="Wingdings" w:cs="Calibri"/>
                <w:noProof/>
                <w:color w:val="000000"/>
                <w:sz w:val="22"/>
              </w:rPr>
            </w:pPr>
            <w:r w:rsidRPr="00253C15">
              <w:rPr>
                <w:rFonts w:ascii="Wingdings" w:hAnsi="Wingdings"/>
                <w:noProof/>
                <w:color w:val="000000"/>
                <w:sz w:val="22"/>
              </w:rPr>
              <w:t></w:t>
            </w:r>
            <w:r w:rsidRPr="00253C15">
              <w:rPr>
                <w:noProof/>
                <w:color w:val="000000"/>
                <w:sz w:val="22"/>
              </w:rPr>
              <w:t xml:space="preserve"> Sonstige Verwaltungsausgaben </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r>
      <w:tr w:rsidR="00693ED0" w:rsidRPr="00253C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2"/>
              </w:rPr>
            </w:pPr>
            <w:r w:rsidRPr="00253C15">
              <w:rPr>
                <w:b/>
                <w:noProof/>
                <w:color w:val="000000"/>
                <w:sz w:val="22"/>
              </w:rPr>
              <w:t>GD &lt;…….&gt; INSGESAMT</w:t>
            </w:r>
          </w:p>
        </w:tc>
        <w:tc>
          <w:tcPr>
            <w:tcW w:w="1378" w:type="pct"/>
            <w:gridSpan w:val="8"/>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jc w:val="left"/>
              <w:rPr>
                <w:noProof/>
                <w:color w:val="000000"/>
                <w:sz w:val="18"/>
                <w:szCs w:val="18"/>
              </w:rPr>
            </w:pPr>
            <w:r w:rsidRPr="00253C15">
              <w:rPr>
                <w:noProof/>
                <w:color w:val="000000"/>
                <w:sz w:val="18"/>
              </w:rPr>
              <w:t xml:space="preserve">Mittel </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r>
      <w:tr w:rsidR="00693ED0" w:rsidRPr="00253C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nil"/>
              <w:bottom w:val="nil"/>
              <w:right w:val="nil"/>
            </w:tcBorders>
            <w:shd w:val="clear" w:color="auto" w:fill="auto"/>
            <w:noWrap/>
            <w:vAlign w:val="bottom"/>
            <w:hideMark/>
          </w:tcPr>
          <w:p w:rsidR="00693ED0" w:rsidRPr="00253C15" w:rsidRDefault="00693ED0">
            <w:pPr>
              <w:spacing w:before="0" w:after="0"/>
              <w:jc w:val="right"/>
              <w:rPr>
                <w:b/>
                <w:bCs/>
                <w:noProof/>
                <w:color w:val="000000"/>
                <w:sz w:val="20"/>
                <w:szCs w:val="20"/>
                <w:lang w:eastAsia="en-IE"/>
              </w:rPr>
            </w:pPr>
          </w:p>
        </w:tc>
        <w:tc>
          <w:tcPr>
            <w:tcW w:w="929" w:type="pct"/>
            <w:gridSpan w:val="5"/>
            <w:tcBorders>
              <w:top w:val="nil"/>
              <w:left w:val="nil"/>
              <w:bottom w:val="nil"/>
              <w:right w:val="nil"/>
            </w:tcBorders>
            <w:shd w:val="clear" w:color="auto" w:fill="auto"/>
            <w:noWrap/>
            <w:vAlign w:val="bottom"/>
            <w:hideMark/>
          </w:tcPr>
          <w:p w:rsidR="00693ED0" w:rsidRPr="00253C15" w:rsidRDefault="00693ED0">
            <w:pPr>
              <w:spacing w:before="0" w:after="0"/>
              <w:jc w:val="left"/>
              <w:rPr>
                <w:noProof/>
                <w:sz w:val="20"/>
                <w:szCs w:val="20"/>
                <w:lang w:eastAsia="en-IE"/>
              </w:rPr>
            </w:pPr>
          </w:p>
        </w:tc>
        <w:tc>
          <w:tcPr>
            <w:tcW w:w="224" w:type="pct"/>
            <w:tcBorders>
              <w:top w:val="nil"/>
              <w:left w:val="nil"/>
              <w:bottom w:val="nil"/>
              <w:right w:val="nil"/>
            </w:tcBorders>
            <w:shd w:val="clear" w:color="auto" w:fill="auto"/>
            <w:noWrap/>
            <w:vAlign w:val="bottom"/>
            <w:hideMark/>
          </w:tcPr>
          <w:p w:rsidR="00693ED0" w:rsidRPr="00253C15" w:rsidRDefault="00693ED0">
            <w:pPr>
              <w:spacing w:before="0" w:after="0"/>
              <w:jc w:val="left"/>
              <w:rPr>
                <w:noProof/>
                <w:sz w:val="20"/>
                <w:szCs w:val="20"/>
                <w:lang w:eastAsia="en-IE"/>
              </w:rPr>
            </w:pPr>
          </w:p>
        </w:tc>
        <w:tc>
          <w:tcPr>
            <w:tcW w:w="225" w:type="pct"/>
            <w:gridSpan w:val="2"/>
            <w:tcBorders>
              <w:top w:val="nil"/>
              <w:left w:val="nil"/>
              <w:bottom w:val="nil"/>
              <w:right w:val="nil"/>
            </w:tcBorders>
            <w:shd w:val="clear" w:color="auto" w:fill="auto"/>
            <w:noWrap/>
            <w:vAlign w:val="bottom"/>
            <w:hideMark/>
          </w:tcPr>
          <w:p w:rsidR="00693ED0" w:rsidRPr="00253C15"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253C15" w:rsidRDefault="00693ED0">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693ED0" w:rsidRPr="00253C15"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253C15"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253C15" w:rsidRDefault="00693ED0">
            <w:pPr>
              <w:spacing w:before="0" w:after="0"/>
              <w:jc w:val="left"/>
              <w:rPr>
                <w:noProof/>
                <w:sz w:val="20"/>
                <w:szCs w:val="20"/>
                <w:lang w:eastAsia="en-IE"/>
              </w:rPr>
            </w:pPr>
          </w:p>
        </w:tc>
        <w:tc>
          <w:tcPr>
            <w:tcW w:w="465" w:type="pct"/>
            <w:tcBorders>
              <w:top w:val="nil"/>
              <w:left w:val="nil"/>
              <w:bottom w:val="nil"/>
              <w:right w:val="nil"/>
            </w:tcBorders>
            <w:shd w:val="clear" w:color="auto" w:fill="auto"/>
            <w:noWrap/>
            <w:vAlign w:val="bottom"/>
            <w:hideMark/>
          </w:tcPr>
          <w:p w:rsidR="00693ED0" w:rsidRPr="00253C15" w:rsidRDefault="00693ED0">
            <w:pPr>
              <w:spacing w:before="0" w:after="0"/>
              <w:jc w:val="left"/>
              <w:rPr>
                <w:noProof/>
                <w:sz w:val="20"/>
                <w:szCs w:val="20"/>
                <w:lang w:eastAsia="en-IE"/>
              </w:rPr>
            </w:pPr>
          </w:p>
        </w:tc>
      </w:tr>
      <w:tr w:rsidR="00693ED0" w:rsidRPr="00253C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3032" w:type="pct"/>
            <w:gridSpan w:val="1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Cs w:val="24"/>
              </w:rPr>
            </w:pPr>
            <w:r w:rsidRPr="00253C15">
              <w:rPr>
                <w:noProof/>
                <w:color w:val="000000"/>
              </w:rPr>
              <w:t>GD: &lt;…….&gt;</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376" w:type="pct"/>
            <w:tcBorders>
              <w:top w:val="single" w:sz="8" w:space="0" w:color="auto"/>
              <w:left w:val="nil"/>
              <w:bottom w:val="nil"/>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2021-2027 INSGESAMT</w:t>
            </w:r>
          </w:p>
        </w:tc>
      </w:tr>
      <w:tr w:rsidR="00693ED0" w:rsidRPr="00253C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vMerge/>
            <w:tcBorders>
              <w:top w:val="single" w:sz="8" w:space="0" w:color="auto"/>
              <w:left w:val="single" w:sz="8" w:space="0" w:color="auto"/>
              <w:bottom w:val="single" w:sz="8" w:space="0" w:color="auto"/>
              <w:right w:val="single" w:sz="8" w:space="0" w:color="auto"/>
            </w:tcBorders>
            <w:vAlign w:val="center"/>
            <w:hideMark/>
          </w:tcPr>
          <w:p w:rsidR="00693ED0" w:rsidRPr="00253C15" w:rsidRDefault="00693ED0">
            <w:pPr>
              <w:spacing w:before="0" w:after="0"/>
              <w:jc w:val="left"/>
              <w:rPr>
                <w:noProof/>
                <w:color w:val="000000"/>
                <w:szCs w:val="24"/>
                <w:lang w:eastAsia="en-IE"/>
              </w:rPr>
            </w:pP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2024</w:t>
            </w:r>
          </w:p>
        </w:tc>
        <w:tc>
          <w:tcPr>
            <w:tcW w:w="376"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2025</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2026</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rsidR="00693ED0" w:rsidRPr="00253C15" w:rsidRDefault="00693ED0">
            <w:pPr>
              <w:spacing w:before="0" w:after="0"/>
              <w:jc w:val="left"/>
              <w:rPr>
                <w:b/>
                <w:bCs/>
                <w:noProof/>
                <w:color w:val="000000"/>
                <w:sz w:val="20"/>
                <w:szCs w:val="20"/>
                <w:lang w:eastAsia="en-IE"/>
              </w:rPr>
            </w:pPr>
          </w:p>
        </w:tc>
      </w:tr>
      <w:tr w:rsidR="00693ED0" w:rsidRPr="00253C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jc w:val="left"/>
              <w:rPr>
                <w:rFonts w:ascii="Wingdings" w:hAnsi="Wingdings" w:cs="Calibri"/>
                <w:noProof/>
                <w:color w:val="000000"/>
                <w:sz w:val="22"/>
              </w:rPr>
            </w:pPr>
            <w:r w:rsidRPr="00253C15">
              <w:rPr>
                <w:rFonts w:ascii="Wingdings" w:hAnsi="Wingdings"/>
                <w:noProof/>
                <w:color w:val="000000"/>
                <w:sz w:val="22"/>
              </w:rPr>
              <w:t></w:t>
            </w:r>
            <w:r w:rsidRPr="00253C15">
              <w:rPr>
                <w:noProof/>
                <w:color w:val="000000"/>
                <w:sz w:val="22"/>
              </w:rPr>
              <w:t xml:space="preserve"> Personalausgaben </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r>
      <w:tr w:rsidR="00693ED0" w:rsidRPr="00253C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jc w:val="left"/>
              <w:rPr>
                <w:rFonts w:ascii="Wingdings" w:hAnsi="Wingdings" w:cs="Calibri"/>
                <w:noProof/>
                <w:color w:val="000000"/>
                <w:sz w:val="22"/>
              </w:rPr>
            </w:pPr>
            <w:r w:rsidRPr="00253C15">
              <w:rPr>
                <w:rFonts w:ascii="Wingdings" w:hAnsi="Wingdings"/>
                <w:noProof/>
                <w:color w:val="000000"/>
                <w:sz w:val="22"/>
              </w:rPr>
              <w:t></w:t>
            </w:r>
            <w:r w:rsidRPr="00253C15">
              <w:rPr>
                <w:noProof/>
                <w:color w:val="000000"/>
                <w:sz w:val="22"/>
              </w:rPr>
              <w:t xml:space="preserve"> Sonstige Verwaltungsausgaben </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r>
      <w:tr w:rsidR="00693ED0" w:rsidRPr="00253C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2"/>
              </w:rPr>
            </w:pPr>
            <w:r w:rsidRPr="00253C15">
              <w:rPr>
                <w:b/>
                <w:noProof/>
                <w:color w:val="000000"/>
                <w:sz w:val="22"/>
              </w:rPr>
              <w:t>GD &lt;…….&gt; INSGESAMT</w:t>
            </w:r>
          </w:p>
        </w:tc>
        <w:tc>
          <w:tcPr>
            <w:tcW w:w="1378" w:type="pct"/>
            <w:gridSpan w:val="8"/>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jc w:val="left"/>
              <w:rPr>
                <w:noProof/>
                <w:color w:val="000000"/>
                <w:sz w:val="18"/>
                <w:szCs w:val="18"/>
              </w:rPr>
            </w:pPr>
            <w:r w:rsidRPr="00253C15">
              <w:rPr>
                <w:noProof/>
                <w:color w:val="000000"/>
                <w:sz w:val="18"/>
              </w:rPr>
              <w:t xml:space="preserve">Mittel </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r>
      <w:tr w:rsidR="00693ED0" w:rsidRPr="00253C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nil"/>
              <w:bottom w:val="nil"/>
              <w:right w:val="nil"/>
            </w:tcBorders>
            <w:shd w:val="clear" w:color="auto" w:fill="auto"/>
            <w:noWrap/>
            <w:vAlign w:val="bottom"/>
            <w:hideMark/>
          </w:tcPr>
          <w:p w:rsidR="00693ED0" w:rsidRPr="00253C15" w:rsidRDefault="00693ED0">
            <w:pPr>
              <w:spacing w:before="0" w:after="0"/>
              <w:jc w:val="right"/>
              <w:rPr>
                <w:b/>
                <w:bCs/>
                <w:noProof/>
                <w:color w:val="000000"/>
                <w:sz w:val="20"/>
                <w:szCs w:val="20"/>
                <w:lang w:eastAsia="en-IE"/>
              </w:rPr>
            </w:pPr>
          </w:p>
        </w:tc>
        <w:tc>
          <w:tcPr>
            <w:tcW w:w="929" w:type="pct"/>
            <w:gridSpan w:val="5"/>
            <w:tcBorders>
              <w:top w:val="nil"/>
              <w:left w:val="nil"/>
              <w:bottom w:val="nil"/>
              <w:right w:val="nil"/>
            </w:tcBorders>
            <w:shd w:val="clear" w:color="auto" w:fill="auto"/>
            <w:noWrap/>
            <w:vAlign w:val="bottom"/>
            <w:hideMark/>
          </w:tcPr>
          <w:p w:rsidR="00693ED0" w:rsidRPr="00253C15" w:rsidRDefault="00693ED0">
            <w:pPr>
              <w:spacing w:before="0" w:after="0"/>
              <w:jc w:val="left"/>
              <w:rPr>
                <w:noProof/>
                <w:sz w:val="20"/>
                <w:szCs w:val="20"/>
                <w:lang w:eastAsia="en-IE"/>
              </w:rPr>
            </w:pPr>
          </w:p>
        </w:tc>
        <w:tc>
          <w:tcPr>
            <w:tcW w:w="224" w:type="pct"/>
            <w:tcBorders>
              <w:top w:val="nil"/>
              <w:left w:val="nil"/>
              <w:bottom w:val="nil"/>
              <w:right w:val="nil"/>
            </w:tcBorders>
            <w:shd w:val="clear" w:color="auto" w:fill="auto"/>
            <w:noWrap/>
            <w:vAlign w:val="bottom"/>
            <w:hideMark/>
          </w:tcPr>
          <w:p w:rsidR="00693ED0" w:rsidRPr="00253C15" w:rsidRDefault="00693ED0">
            <w:pPr>
              <w:spacing w:before="0" w:after="0"/>
              <w:jc w:val="left"/>
              <w:rPr>
                <w:noProof/>
                <w:sz w:val="20"/>
                <w:szCs w:val="20"/>
                <w:lang w:eastAsia="en-IE"/>
              </w:rPr>
            </w:pPr>
          </w:p>
        </w:tc>
        <w:tc>
          <w:tcPr>
            <w:tcW w:w="225" w:type="pct"/>
            <w:gridSpan w:val="2"/>
            <w:tcBorders>
              <w:top w:val="nil"/>
              <w:left w:val="nil"/>
              <w:bottom w:val="nil"/>
              <w:right w:val="nil"/>
            </w:tcBorders>
            <w:shd w:val="clear" w:color="auto" w:fill="auto"/>
            <w:noWrap/>
            <w:vAlign w:val="bottom"/>
            <w:hideMark/>
          </w:tcPr>
          <w:p w:rsidR="00693ED0" w:rsidRPr="00253C15"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253C15" w:rsidRDefault="00693ED0">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693ED0" w:rsidRPr="00253C15"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253C15"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253C15" w:rsidRDefault="00693ED0">
            <w:pPr>
              <w:spacing w:before="0" w:after="0"/>
              <w:jc w:val="left"/>
              <w:rPr>
                <w:noProof/>
                <w:sz w:val="20"/>
                <w:szCs w:val="20"/>
                <w:lang w:eastAsia="en-IE"/>
              </w:rPr>
            </w:pPr>
          </w:p>
        </w:tc>
        <w:tc>
          <w:tcPr>
            <w:tcW w:w="465" w:type="pct"/>
            <w:tcBorders>
              <w:top w:val="nil"/>
              <w:left w:val="nil"/>
              <w:bottom w:val="nil"/>
              <w:right w:val="nil"/>
            </w:tcBorders>
            <w:shd w:val="clear" w:color="auto" w:fill="auto"/>
            <w:noWrap/>
            <w:vAlign w:val="bottom"/>
            <w:hideMark/>
          </w:tcPr>
          <w:p w:rsidR="00693ED0" w:rsidRPr="00253C15" w:rsidRDefault="00693ED0">
            <w:pPr>
              <w:spacing w:before="0" w:after="0"/>
              <w:jc w:val="left"/>
              <w:rPr>
                <w:noProof/>
                <w:sz w:val="20"/>
                <w:szCs w:val="20"/>
                <w:lang w:eastAsia="en-IE"/>
              </w:rPr>
            </w:pPr>
          </w:p>
        </w:tc>
      </w:tr>
      <w:tr w:rsidR="00693ED0" w:rsidRPr="00253C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00"/>
        </w:trPr>
        <w:tc>
          <w:tcPr>
            <w:tcW w:w="2583" w:type="pct"/>
            <w:gridSpan w:val="7"/>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693ED0" w:rsidRPr="00253C15" w:rsidRDefault="00693ED0">
            <w:pPr>
              <w:spacing w:before="0" w:after="0"/>
              <w:jc w:val="center"/>
              <w:rPr>
                <w:b/>
                <w:bCs/>
                <w:noProof/>
                <w:color w:val="000000"/>
                <w:sz w:val="22"/>
              </w:rPr>
            </w:pPr>
            <w:r w:rsidRPr="00253C15">
              <w:rPr>
                <w:b/>
                <w:noProof/>
                <w:color w:val="000000"/>
                <w:sz w:val="22"/>
              </w:rPr>
              <w:t xml:space="preserve">Mittel INSGESAMT unter der RUBRIK 7 des Mehrjährigen Finanzrahmens </w:t>
            </w:r>
          </w:p>
        </w:tc>
        <w:tc>
          <w:tcPr>
            <w:tcW w:w="449"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 w:val="18"/>
                <w:szCs w:val="18"/>
              </w:rPr>
            </w:pPr>
            <w:r w:rsidRPr="00253C15">
              <w:rPr>
                <w:noProof/>
                <w:color w:val="000000"/>
                <w:sz w:val="18"/>
              </w:rPr>
              <w:t>(Verpflichtungen insges. = Zahlungen insges.)</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465" w:type="pct"/>
            <w:tcBorders>
              <w:top w:val="single" w:sz="8" w:space="0" w:color="auto"/>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r>
    </w:tbl>
    <w:p w:rsidR="00693ED0" w:rsidRPr="00253C15" w:rsidRDefault="00693ED0" w:rsidP="00693ED0">
      <w:pPr>
        <w:jc w:val="right"/>
        <w:rPr>
          <w:noProof/>
          <w:sz w:val="20"/>
        </w:rPr>
      </w:pPr>
      <w:r w:rsidRPr="00253C15">
        <w:rPr>
          <w:noProof/>
          <w:sz w:val="20"/>
        </w:rPr>
        <w:t>in Mio. EUR (3 Dezimalstellen)</w:t>
      </w:r>
    </w:p>
    <w:tbl>
      <w:tblPr>
        <w:tblW w:w="5000" w:type="pct"/>
        <w:tblLook w:val="04A0" w:firstRow="1" w:lastRow="0" w:firstColumn="1" w:lastColumn="0" w:noHBand="0" w:noVBand="1"/>
      </w:tblPr>
      <w:tblGrid>
        <w:gridCol w:w="5607"/>
        <w:gridCol w:w="2080"/>
        <w:gridCol w:w="1255"/>
        <w:gridCol w:w="1254"/>
        <w:gridCol w:w="1254"/>
        <w:gridCol w:w="1254"/>
        <w:gridCol w:w="1516"/>
      </w:tblGrid>
      <w:tr w:rsidR="00693ED0" w:rsidRPr="00253C15">
        <w:trPr>
          <w:trHeight w:val="288"/>
        </w:trPr>
        <w:tc>
          <w:tcPr>
            <w:tcW w:w="2702"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Cs w:val="24"/>
              </w:rPr>
            </w:pPr>
            <w:r w:rsidRPr="00253C15">
              <w:rPr>
                <w:noProof/>
                <w:color w:val="000000"/>
              </w:rPr>
              <w:t xml:space="preserve"> </w:t>
            </w:r>
          </w:p>
        </w:tc>
        <w:tc>
          <w:tcPr>
            <w:tcW w:w="441" w:type="pct"/>
            <w:tcBorders>
              <w:top w:val="single" w:sz="8" w:space="0" w:color="auto"/>
              <w:left w:val="nil"/>
              <w:bottom w:val="nil"/>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441" w:type="pct"/>
            <w:tcBorders>
              <w:top w:val="single" w:sz="8" w:space="0" w:color="auto"/>
              <w:left w:val="nil"/>
              <w:bottom w:val="nil"/>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441" w:type="pct"/>
            <w:tcBorders>
              <w:top w:val="single" w:sz="8" w:space="0" w:color="auto"/>
              <w:left w:val="nil"/>
              <w:bottom w:val="nil"/>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441" w:type="pct"/>
            <w:tcBorders>
              <w:top w:val="single" w:sz="8" w:space="0" w:color="auto"/>
              <w:left w:val="nil"/>
              <w:bottom w:val="nil"/>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53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2021-2027 INSGESAMT</w:t>
            </w:r>
          </w:p>
        </w:tc>
      </w:tr>
      <w:tr w:rsidR="00693ED0" w:rsidRPr="00253C15">
        <w:trPr>
          <w:trHeight w:val="300"/>
        </w:trPr>
        <w:tc>
          <w:tcPr>
            <w:tcW w:w="2702" w:type="pct"/>
            <w:gridSpan w:val="2"/>
            <w:vMerge/>
            <w:tcBorders>
              <w:top w:val="single" w:sz="8" w:space="0" w:color="auto"/>
              <w:left w:val="single" w:sz="8" w:space="0" w:color="auto"/>
              <w:bottom w:val="single" w:sz="8" w:space="0" w:color="auto"/>
              <w:right w:val="single" w:sz="8" w:space="0" w:color="auto"/>
            </w:tcBorders>
            <w:vAlign w:val="center"/>
            <w:hideMark/>
          </w:tcPr>
          <w:p w:rsidR="00693ED0" w:rsidRPr="00253C15" w:rsidRDefault="00693ED0">
            <w:pPr>
              <w:spacing w:before="0" w:after="0"/>
              <w:jc w:val="left"/>
              <w:rPr>
                <w:noProof/>
                <w:color w:val="000000"/>
                <w:szCs w:val="24"/>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2024</w:t>
            </w:r>
          </w:p>
        </w:tc>
        <w:tc>
          <w:tcPr>
            <w:tcW w:w="441"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2025</w:t>
            </w:r>
          </w:p>
        </w:tc>
        <w:tc>
          <w:tcPr>
            <w:tcW w:w="441"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2026</w:t>
            </w:r>
          </w:p>
        </w:tc>
        <w:tc>
          <w:tcPr>
            <w:tcW w:w="441"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2027</w:t>
            </w:r>
          </w:p>
        </w:tc>
        <w:tc>
          <w:tcPr>
            <w:tcW w:w="533" w:type="pct"/>
            <w:vMerge/>
            <w:tcBorders>
              <w:top w:val="single" w:sz="8" w:space="0" w:color="auto"/>
              <w:left w:val="single" w:sz="8" w:space="0" w:color="auto"/>
              <w:bottom w:val="single" w:sz="8" w:space="0" w:color="000000"/>
              <w:right w:val="single" w:sz="8" w:space="0" w:color="auto"/>
            </w:tcBorders>
            <w:vAlign w:val="center"/>
            <w:hideMark/>
          </w:tcPr>
          <w:p w:rsidR="00693ED0" w:rsidRPr="00253C15" w:rsidRDefault="00693ED0">
            <w:pPr>
              <w:spacing w:before="0" w:after="0"/>
              <w:jc w:val="left"/>
              <w:rPr>
                <w:b/>
                <w:bCs/>
                <w:noProof/>
                <w:color w:val="000000"/>
                <w:sz w:val="20"/>
                <w:szCs w:val="20"/>
                <w:lang w:eastAsia="en-IE"/>
              </w:rPr>
            </w:pPr>
          </w:p>
        </w:tc>
      </w:tr>
      <w:tr w:rsidR="00693ED0" w:rsidRPr="00253C15">
        <w:trPr>
          <w:trHeight w:val="564"/>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253C15" w:rsidRDefault="00693ED0">
            <w:pPr>
              <w:spacing w:before="0" w:after="0"/>
              <w:jc w:val="center"/>
              <w:rPr>
                <w:b/>
                <w:bCs/>
                <w:noProof/>
                <w:color w:val="000000"/>
                <w:sz w:val="22"/>
              </w:rPr>
            </w:pPr>
            <w:r w:rsidRPr="00253C15">
              <w:rPr>
                <w:b/>
                <w:noProof/>
                <w:color w:val="000000"/>
                <w:sz w:val="22"/>
              </w:rPr>
              <w:t>Mittel INSGESAMT unter den RUBRIKEN 1 bis 7</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rPr>
                <w:noProof/>
                <w:color w:val="000000"/>
                <w:sz w:val="18"/>
                <w:szCs w:val="18"/>
              </w:rPr>
            </w:pPr>
            <w:r w:rsidRPr="00253C15">
              <w:rPr>
                <w:noProof/>
                <w:color w:val="000000"/>
                <w:sz w:val="18"/>
              </w:rPr>
              <w:t>Verpflichtungen</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Cs w:val="24"/>
              </w:rPr>
            </w:pPr>
            <w:r w:rsidRPr="00253C15">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Cs w:val="24"/>
              </w:rPr>
            </w:pPr>
            <w:r w:rsidRPr="00253C15">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Cs w:val="24"/>
              </w:rPr>
            </w:pPr>
            <w:r w:rsidRPr="00253C15">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Cs w:val="24"/>
              </w:rPr>
            </w:pPr>
            <w:r w:rsidRPr="00253C15">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Cs w:val="24"/>
              </w:rPr>
            </w:pPr>
            <w:r w:rsidRPr="00253C15">
              <w:rPr>
                <w:b/>
                <w:noProof/>
                <w:color w:val="000000"/>
              </w:rPr>
              <w:t>0,000</w:t>
            </w:r>
          </w:p>
        </w:tc>
      </w:tr>
      <w:tr w:rsidR="00693ED0" w:rsidRPr="00253C15">
        <w:trPr>
          <w:trHeight w:val="540"/>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253C15" w:rsidRDefault="00693ED0">
            <w:pPr>
              <w:spacing w:before="0" w:after="0"/>
              <w:jc w:val="center"/>
              <w:rPr>
                <w:noProof/>
                <w:color w:val="000000"/>
                <w:sz w:val="22"/>
              </w:rPr>
            </w:pPr>
            <w:r w:rsidRPr="00253C15">
              <w:rPr>
                <w:noProof/>
                <w:color w:val="000000"/>
                <w:sz w:val="22"/>
              </w:rPr>
              <w:t>des Mehrjährigen Finanzrahmens</w:t>
            </w:r>
            <w:r w:rsidRPr="00253C15">
              <w:rPr>
                <w:b/>
                <w:noProof/>
                <w:color w:val="000000"/>
                <w:sz w:val="22"/>
              </w:rPr>
              <w:t xml:space="preserve"> </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rPr>
                <w:noProof/>
                <w:color w:val="000000"/>
                <w:sz w:val="18"/>
                <w:szCs w:val="18"/>
              </w:rPr>
            </w:pPr>
            <w:r w:rsidRPr="00253C15">
              <w:rPr>
                <w:noProof/>
                <w:color w:val="000000"/>
                <w:sz w:val="18"/>
              </w:rPr>
              <w:t>Zahlungen</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Cs w:val="24"/>
              </w:rPr>
            </w:pPr>
            <w:r w:rsidRPr="00253C15">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Cs w:val="24"/>
              </w:rPr>
            </w:pPr>
            <w:r w:rsidRPr="00253C15">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Cs w:val="24"/>
              </w:rPr>
            </w:pPr>
            <w:r w:rsidRPr="00253C15">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Cs w:val="24"/>
              </w:rPr>
            </w:pPr>
            <w:r w:rsidRPr="00253C15">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Cs w:val="24"/>
              </w:rPr>
            </w:pPr>
            <w:r w:rsidRPr="00253C15">
              <w:rPr>
                <w:b/>
                <w:noProof/>
                <w:color w:val="000000"/>
              </w:rPr>
              <w:t>0,000</w:t>
            </w:r>
          </w:p>
        </w:tc>
      </w:tr>
    </w:tbl>
    <w:p w:rsidR="00693ED0" w:rsidRPr="00253C15" w:rsidRDefault="00693ED0" w:rsidP="00693ED0">
      <w:pPr>
        <w:pStyle w:val="ManualHeading3"/>
        <w:rPr>
          <w:noProof/>
        </w:rPr>
      </w:pPr>
      <w:bookmarkStart w:id="146" w:name="_Toc160804596"/>
      <w:bookmarkStart w:id="147" w:name="_Toc167220288"/>
      <w:bookmarkStart w:id="148" w:name="_Toc177549021"/>
      <w:r w:rsidRPr="00253C15">
        <w:rPr>
          <w:noProof/>
        </w:rPr>
        <w:t>3.2.1.2.</w:t>
      </w:r>
      <w:r w:rsidRPr="00253C15">
        <w:rPr>
          <w:noProof/>
        </w:rPr>
        <w:tab/>
        <w:t>Mittel aus externen zweckgebundenen Einnahmen</w:t>
      </w:r>
      <w:bookmarkEnd w:id="146"/>
      <w:bookmarkEnd w:id="147"/>
      <w:bookmarkEnd w:id="148"/>
    </w:p>
    <w:p w:rsidR="00693ED0" w:rsidRPr="00253C15" w:rsidRDefault="00693ED0" w:rsidP="00693ED0">
      <w:pPr>
        <w:jc w:val="right"/>
        <w:rPr>
          <w:noProof/>
          <w:sz w:val="18"/>
          <w:szCs w:val="18"/>
        </w:rPr>
      </w:pPr>
      <w:r w:rsidRPr="00253C15">
        <w:rPr>
          <w:noProof/>
          <w:sz w:val="18"/>
        </w:rPr>
        <w:t>in Mio. EUR (3 Dezimalstellen)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693ED0" w:rsidRPr="00253C15">
        <w:trPr>
          <w:jc w:val="center"/>
        </w:trPr>
        <w:tc>
          <w:tcPr>
            <w:tcW w:w="1739" w:type="pct"/>
            <w:shd w:val="thinDiagStripe" w:color="C0C0C0" w:fill="auto"/>
            <w:vAlign w:val="center"/>
          </w:tcPr>
          <w:p w:rsidR="00693ED0" w:rsidRPr="00253C15" w:rsidRDefault="00693ED0">
            <w:pPr>
              <w:spacing w:before="60" w:after="60"/>
              <w:jc w:val="center"/>
              <w:rPr>
                <w:b/>
                <w:noProof/>
              </w:rPr>
            </w:pPr>
            <w:r w:rsidRPr="00253C15">
              <w:rPr>
                <w:b/>
                <w:noProof/>
                <w:sz w:val="22"/>
              </w:rPr>
              <w:t xml:space="preserve">Rubrik des Mehrjährigen Finanzrahmens </w:t>
            </w:r>
          </w:p>
        </w:tc>
        <w:tc>
          <w:tcPr>
            <w:tcW w:w="396" w:type="pct"/>
            <w:vAlign w:val="center"/>
          </w:tcPr>
          <w:p w:rsidR="00693ED0" w:rsidRPr="00253C15" w:rsidRDefault="00693ED0">
            <w:pPr>
              <w:spacing w:before="60" w:after="60"/>
              <w:jc w:val="center"/>
              <w:rPr>
                <w:noProof/>
              </w:rPr>
            </w:pPr>
            <w:r w:rsidRPr="00253C15">
              <w:rPr>
                <w:noProof/>
                <w:sz w:val="22"/>
              </w:rPr>
              <w:t>Nummer</w:t>
            </w:r>
          </w:p>
        </w:tc>
        <w:tc>
          <w:tcPr>
            <w:tcW w:w="2865" w:type="pct"/>
            <w:vAlign w:val="center"/>
          </w:tcPr>
          <w:p w:rsidR="00693ED0" w:rsidRPr="00253C15" w:rsidRDefault="00693ED0">
            <w:pPr>
              <w:spacing w:before="60" w:after="60"/>
              <w:rPr>
                <w:noProof/>
              </w:rPr>
            </w:pPr>
          </w:p>
        </w:tc>
      </w:tr>
    </w:tbl>
    <w:p w:rsidR="00693ED0" w:rsidRPr="00253C15" w:rsidRDefault="00693ED0" w:rsidP="00693ED0">
      <w:pPr>
        <w:rPr>
          <w:noProof/>
          <w:sz w:val="16"/>
        </w:rPr>
      </w:pPr>
    </w:p>
    <w:tbl>
      <w:tblPr>
        <w:tblW w:w="5000" w:type="pct"/>
        <w:tblLook w:val="04A0" w:firstRow="1" w:lastRow="0" w:firstColumn="1" w:lastColumn="0" w:noHBand="0" w:noVBand="1"/>
      </w:tblPr>
      <w:tblGrid>
        <w:gridCol w:w="4035"/>
        <w:gridCol w:w="1504"/>
        <w:gridCol w:w="1411"/>
        <w:gridCol w:w="1411"/>
        <w:gridCol w:w="1411"/>
        <w:gridCol w:w="1411"/>
        <w:gridCol w:w="1359"/>
        <w:gridCol w:w="1678"/>
      </w:tblGrid>
      <w:tr w:rsidR="00693ED0" w:rsidRPr="00253C15" w:rsidTr="17618B6F">
        <w:trPr>
          <w:trHeight w:val="420"/>
        </w:trPr>
        <w:tc>
          <w:tcPr>
            <w:tcW w:w="2444" w:type="pct"/>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 w:val="22"/>
              </w:rPr>
            </w:pPr>
            <w:r w:rsidRPr="00253C15">
              <w:rPr>
                <w:noProof/>
                <w:color w:val="000000"/>
                <w:sz w:val="22"/>
              </w:rPr>
              <w:t>GD: &lt;…….&gt;</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478" w:type="pct"/>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59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2021-2027 INSGESAMT</w:t>
            </w:r>
          </w:p>
        </w:tc>
      </w:tr>
      <w:tr w:rsidR="00693ED0" w:rsidRPr="00253C15" w:rsidTr="004B061E">
        <w:trPr>
          <w:trHeight w:val="288"/>
        </w:trPr>
        <w:tc>
          <w:tcPr>
            <w:tcW w:w="2444" w:type="pct"/>
            <w:gridSpan w:val="3"/>
            <w:vMerge/>
            <w:vAlign w:val="center"/>
            <w:hideMark/>
          </w:tcPr>
          <w:p w:rsidR="00693ED0" w:rsidRPr="00253C15" w:rsidRDefault="00693ED0">
            <w:pPr>
              <w:spacing w:before="0" w:after="0"/>
              <w:jc w:val="left"/>
              <w:rPr>
                <w:noProof/>
                <w:color w:val="000000"/>
                <w:sz w:val="22"/>
                <w:lang w:eastAsia="en-IE"/>
              </w:rPr>
            </w:pPr>
          </w:p>
        </w:tc>
        <w:tc>
          <w:tcPr>
            <w:tcW w:w="496"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2024</w:t>
            </w:r>
          </w:p>
        </w:tc>
        <w:tc>
          <w:tcPr>
            <w:tcW w:w="496"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2025</w:t>
            </w:r>
          </w:p>
        </w:tc>
        <w:tc>
          <w:tcPr>
            <w:tcW w:w="496"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2026</w:t>
            </w:r>
          </w:p>
        </w:tc>
        <w:tc>
          <w:tcPr>
            <w:tcW w:w="478"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2027</w:t>
            </w:r>
          </w:p>
        </w:tc>
        <w:tc>
          <w:tcPr>
            <w:tcW w:w="590" w:type="pct"/>
            <w:vMerge/>
            <w:vAlign w:val="center"/>
            <w:hideMark/>
          </w:tcPr>
          <w:p w:rsidR="00693ED0" w:rsidRPr="00253C15" w:rsidRDefault="00693ED0">
            <w:pPr>
              <w:spacing w:before="0" w:after="0"/>
              <w:jc w:val="left"/>
              <w:rPr>
                <w:b/>
                <w:bCs/>
                <w:noProof/>
                <w:color w:val="000000"/>
                <w:sz w:val="20"/>
                <w:szCs w:val="20"/>
                <w:lang w:eastAsia="en-IE"/>
              </w:rPr>
            </w:pPr>
          </w:p>
        </w:tc>
      </w:tr>
      <w:tr w:rsidR="00693ED0" w:rsidRPr="00253C15" w:rsidTr="17618B6F">
        <w:trPr>
          <w:trHeight w:val="300"/>
        </w:trPr>
        <w:tc>
          <w:tcPr>
            <w:tcW w:w="5000" w:type="pct"/>
            <w:gridSpan w:val="8"/>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jc w:val="left"/>
              <w:rPr>
                <w:noProof/>
                <w:color w:val="000000"/>
                <w:sz w:val="21"/>
                <w:szCs w:val="21"/>
              </w:rPr>
            </w:pPr>
            <w:r w:rsidRPr="00253C15">
              <w:rPr>
                <w:noProof/>
                <w:color w:val="000000"/>
                <w:sz w:val="21"/>
              </w:rPr>
              <w:t xml:space="preserve">Operative Mittel </w:t>
            </w:r>
          </w:p>
        </w:tc>
      </w:tr>
      <w:tr w:rsidR="00DF2D2B" w:rsidRPr="00253C15" w:rsidTr="00DF2D2B">
        <w:trPr>
          <w:trHeight w:val="288"/>
        </w:trPr>
        <w:tc>
          <w:tcPr>
            <w:tcW w:w="1419" w:type="pct"/>
            <w:vMerge w:val="restart"/>
            <w:tcBorders>
              <w:top w:val="nil"/>
              <w:left w:val="single" w:sz="8" w:space="0" w:color="auto"/>
              <w:bottom w:val="single" w:sz="8" w:space="0" w:color="auto"/>
              <w:right w:val="single" w:sz="8" w:space="0" w:color="auto"/>
            </w:tcBorders>
            <w:shd w:val="clear" w:color="auto" w:fill="auto"/>
            <w:noWrap/>
            <w:vAlign w:val="center"/>
            <w:hideMark/>
          </w:tcPr>
          <w:p w:rsidR="00693ED0" w:rsidRPr="00253C15" w:rsidRDefault="00693ED0">
            <w:pPr>
              <w:spacing w:before="0" w:after="0"/>
              <w:jc w:val="left"/>
              <w:rPr>
                <w:noProof/>
                <w:color w:val="000000"/>
                <w:sz w:val="22"/>
              </w:rPr>
            </w:pPr>
            <w:r w:rsidRPr="00253C15">
              <w:rPr>
                <w:noProof/>
                <w:color w:val="000000"/>
                <w:sz w:val="22"/>
              </w:rPr>
              <w:t>Haushaltslinie</w:t>
            </w:r>
          </w:p>
        </w:tc>
        <w:tc>
          <w:tcPr>
            <w:tcW w:w="529"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rPr>
                <w:noProof/>
                <w:color w:val="000000"/>
                <w:sz w:val="18"/>
                <w:szCs w:val="18"/>
              </w:rPr>
            </w:pPr>
            <w:r w:rsidRPr="00253C15">
              <w:rPr>
                <w:noProof/>
                <w:color w:val="000000"/>
                <w:sz w:val="18"/>
              </w:rPr>
              <w:t>Verpflichtungen</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 w:val="14"/>
                <w:szCs w:val="14"/>
              </w:rPr>
            </w:pPr>
            <w:r w:rsidRPr="00253C15">
              <w:rPr>
                <w:noProof/>
                <w:color w:val="000000"/>
                <w:sz w:val="14"/>
              </w:rPr>
              <w:t>(1a)</w:t>
            </w:r>
          </w:p>
        </w:tc>
        <w:tc>
          <w:tcPr>
            <w:tcW w:w="496"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right"/>
              <w:rPr>
                <w:noProof/>
                <w:color w:val="000000"/>
                <w:sz w:val="20"/>
                <w:szCs w:val="20"/>
              </w:rPr>
            </w:pPr>
            <w:r w:rsidRPr="00253C15">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right"/>
              <w:rPr>
                <w:noProof/>
                <w:color w:val="000000"/>
                <w:sz w:val="20"/>
                <w:szCs w:val="20"/>
              </w:rPr>
            </w:pPr>
            <w:r w:rsidRPr="00253C15">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right"/>
              <w:rPr>
                <w:noProof/>
                <w:color w:val="000000"/>
                <w:sz w:val="20"/>
                <w:szCs w:val="20"/>
              </w:rPr>
            </w:pPr>
            <w:r w:rsidRPr="00253C15">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right"/>
              <w:rPr>
                <w:noProof/>
                <w:color w:val="000000"/>
                <w:sz w:val="20"/>
                <w:szCs w:val="20"/>
              </w:rPr>
            </w:pPr>
            <w:r w:rsidRPr="00253C15">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r>
      <w:tr w:rsidR="00DF2D2B" w:rsidRPr="00253C15" w:rsidTr="00DF2D2B">
        <w:trPr>
          <w:trHeight w:val="315"/>
        </w:trPr>
        <w:tc>
          <w:tcPr>
            <w:tcW w:w="1419" w:type="pct"/>
            <w:vMerge/>
            <w:vAlign w:val="center"/>
            <w:hideMark/>
          </w:tcPr>
          <w:p w:rsidR="00693ED0" w:rsidRPr="00253C15" w:rsidRDefault="00693ED0">
            <w:pPr>
              <w:spacing w:before="0" w:after="0"/>
              <w:jc w:val="left"/>
              <w:rPr>
                <w:noProof/>
                <w:color w:val="000000"/>
                <w:sz w:val="22"/>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rPr>
                <w:noProof/>
                <w:color w:val="000000"/>
                <w:sz w:val="18"/>
                <w:szCs w:val="18"/>
              </w:rPr>
            </w:pPr>
            <w:r w:rsidRPr="00253C15">
              <w:rPr>
                <w:noProof/>
                <w:color w:val="000000"/>
                <w:sz w:val="18"/>
              </w:rPr>
              <w:t>Zahlungen</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 w:val="14"/>
                <w:szCs w:val="14"/>
              </w:rPr>
            </w:pPr>
            <w:r w:rsidRPr="00253C15">
              <w:rPr>
                <w:noProof/>
                <w:color w:val="000000"/>
                <w:sz w:val="14"/>
              </w:rPr>
              <w:t>(2a)</w:t>
            </w:r>
          </w:p>
        </w:tc>
        <w:tc>
          <w:tcPr>
            <w:tcW w:w="496"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right"/>
              <w:rPr>
                <w:noProof/>
                <w:color w:val="000000"/>
                <w:sz w:val="20"/>
                <w:szCs w:val="20"/>
              </w:rPr>
            </w:pPr>
            <w:r w:rsidRPr="00253C15">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right"/>
              <w:rPr>
                <w:noProof/>
                <w:color w:val="000000"/>
                <w:sz w:val="20"/>
                <w:szCs w:val="20"/>
              </w:rPr>
            </w:pPr>
            <w:r w:rsidRPr="00253C15">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right"/>
              <w:rPr>
                <w:noProof/>
                <w:color w:val="000000"/>
                <w:sz w:val="20"/>
                <w:szCs w:val="20"/>
              </w:rPr>
            </w:pPr>
            <w:r w:rsidRPr="00253C15">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right"/>
              <w:rPr>
                <w:noProof/>
                <w:color w:val="000000"/>
                <w:sz w:val="20"/>
                <w:szCs w:val="20"/>
              </w:rPr>
            </w:pPr>
            <w:r w:rsidRPr="00253C15">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r>
      <w:tr w:rsidR="00DF2D2B" w:rsidRPr="00253C15" w:rsidTr="00DF2D2B">
        <w:trPr>
          <w:trHeight w:val="315"/>
        </w:trPr>
        <w:tc>
          <w:tcPr>
            <w:tcW w:w="1419"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rPr>
                <w:noProof/>
                <w:color w:val="000000"/>
                <w:sz w:val="20"/>
                <w:szCs w:val="20"/>
              </w:rPr>
            </w:pPr>
            <w:r w:rsidRPr="00253C15">
              <w:rPr>
                <w:noProof/>
                <w:color w:val="000000"/>
                <w:sz w:val="20"/>
              </w:rPr>
              <w:t>Haushaltslinie</w:t>
            </w:r>
          </w:p>
        </w:tc>
        <w:tc>
          <w:tcPr>
            <w:tcW w:w="529"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rPr>
                <w:noProof/>
                <w:color w:val="000000"/>
                <w:sz w:val="18"/>
                <w:szCs w:val="18"/>
              </w:rPr>
            </w:pPr>
            <w:r w:rsidRPr="00253C15">
              <w:rPr>
                <w:noProof/>
                <w:color w:val="000000"/>
                <w:sz w:val="18"/>
              </w:rPr>
              <w:t>Verpflichtungen</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 w:val="14"/>
                <w:szCs w:val="14"/>
              </w:rPr>
            </w:pPr>
            <w:r w:rsidRPr="00253C15">
              <w:rPr>
                <w:noProof/>
                <w:color w:val="000000"/>
                <w:sz w:val="14"/>
              </w:rPr>
              <w:t>(1b)</w:t>
            </w:r>
          </w:p>
        </w:tc>
        <w:tc>
          <w:tcPr>
            <w:tcW w:w="496"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right"/>
              <w:rPr>
                <w:noProof/>
                <w:color w:val="000000"/>
                <w:sz w:val="20"/>
                <w:szCs w:val="20"/>
              </w:rPr>
            </w:pPr>
            <w:r w:rsidRPr="00253C15">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right"/>
              <w:rPr>
                <w:noProof/>
                <w:color w:val="000000"/>
                <w:sz w:val="20"/>
                <w:szCs w:val="20"/>
              </w:rPr>
            </w:pPr>
            <w:r w:rsidRPr="00253C15">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right"/>
              <w:rPr>
                <w:noProof/>
                <w:color w:val="000000"/>
                <w:sz w:val="20"/>
                <w:szCs w:val="20"/>
              </w:rPr>
            </w:pPr>
            <w:r w:rsidRPr="00253C15">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right"/>
              <w:rPr>
                <w:noProof/>
                <w:color w:val="000000"/>
                <w:sz w:val="20"/>
                <w:szCs w:val="20"/>
              </w:rPr>
            </w:pPr>
            <w:r w:rsidRPr="00253C15">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r>
      <w:tr w:rsidR="00DF2D2B" w:rsidRPr="00253C15" w:rsidTr="00DF2D2B">
        <w:trPr>
          <w:trHeight w:val="315"/>
        </w:trPr>
        <w:tc>
          <w:tcPr>
            <w:tcW w:w="1419" w:type="pct"/>
            <w:vMerge/>
            <w:vAlign w:val="center"/>
            <w:hideMark/>
          </w:tcPr>
          <w:p w:rsidR="00693ED0" w:rsidRPr="00253C15" w:rsidRDefault="00693ED0">
            <w:pPr>
              <w:spacing w:before="0" w:after="0"/>
              <w:jc w:val="left"/>
              <w:rPr>
                <w:noProof/>
                <w:color w:val="000000"/>
                <w:sz w:val="20"/>
                <w:szCs w:val="20"/>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rPr>
                <w:noProof/>
                <w:color w:val="000000"/>
                <w:sz w:val="18"/>
                <w:szCs w:val="18"/>
              </w:rPr>
            </w:pPr>
            <w:r w:rsidRPr="00253C15">
              <w:rPr>
                <w:noProof/>
                <w:color w:val="000000"/>
                <w:sz w:val="18"/>
              </w:rPr>
              <w:t>Zahlungen</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 w:val="14"/>
                <w:szCs w:val="14"/>
              </w:rPr>
            </w:pPr>
            <w:r w:rsidRPr="00253C15">
              <w:rPr>
                <w:noProof/>
                <w:color w:val="000000"/>
                <w:sz w:val="14"/>
              </w:rPr>
              <w:t>(2b)</w:t>
            </w:r>
          </w:p>
        </w:tc>
        <w:tc>
          <w:tcPr>
            <w:tcW w:w="496"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right"/>
              <w:rPr>
                <w:noProof/>
                <w:color w:val="000000"/>
                <w:sz w:val="20"/>
                <w:szCs w:val="20"/>
              </w:rPr>
            </w:pPr>
            <w:r w:rsidRPr="00253C15">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right"/>
              <w:rPr>
                <w:noProof/>
                <w:color w:val="000000"/>
                <w:sz w:val="20"/>
                <w:szCs w:val="20"/>
              </w:rPr>
            </w:pPr>
            <w:r w:rsidRPr="00253C15">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right"/>
              <w:rPr>
                <w:noProof/>
                <w:color w:val="000000"/>
                <w:sz w:val="20"/>
                <w:szCs w:val="20"/>
              </w:rPr>
            </w:pPr>
            <w:r w:rsidRPr="00253C15">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right"/>
              <w:rPr>
                <w:noProof/>
                <w:color w:val="000000"/>
                <w:sz w:val="20"/>
                <w:szCs w:val="20"/>
              </w:rPr>
            </w:pPr>
            <w:r w:rsidRPr="00253C15">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r>
      <w:tr w:rsidR="00693ED0" w:rsidRPr="00253C15" w:rsidTr="17618B6F">
        <w:trPr>
          <w:trHeight w:val="288"/>
        </w:trPr>
        <w:tc>
          <w:tcPr>
            <w:tcW w:w="5000" w:type="pct"/>
            <w:gridSpan w:val="8"/>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93ED0" w:rsidRPr="00253C15" w:rsidRDefault="00693ED0">
            <w:pPr>
              <w:spacing w:before="0" w:after="0"/>
              <w:jc w:val="left"/>
              <w:rPr>
                <w:noProof/>
                <w:color w:val="000000"/>
                <w:sz w:val="22"/>
              </w:rPr>
            </w:pPr>
            <w:r w:rsidRPr="00253C15">
              <w:rPr>
                <w:noProof/>
                <w:color w:val="000000"/>
                <w:sz w:val="22"/>
              </w:rPr>
              <w:t>Aus der Dotation bestimmter spezifischer Programme finanzierte Verwaltungsmittel</w:t>
            </w:r>
            <w:r w:rsidRPr="00253C15">
              <w:rPr>
                <w:rStyle w:val="FootnoteReference"/>
                <w:noProof/>
                <w:color w:val="000000"/>
                <w:sz w:val="22"/>
                <w:lang w:eastAsia="en-IE"/>
              </w:rPr>
              <w:footnoteReference w:id="22"/>
            </w:r>
          </w:p>
        </w:tc>
      </w:tr>
      <w:tr w:rsidR="00DF2D2B" w:rsidRPr="00253C15" w:rsidTr="00DF2D2B">
        <w:trPr>
          <w:trHeight w:val="288"/>
        </w:trPr>
        <w:tc>
          <w:tcPr>
            <w:tcW w:w="1419" w:type="pct"/>
            <w:tcBorders>
              <w:top w:val="nil"/>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rPr>
                <w:noProof/>
                <w:color w:val="000000"/>
                <w:sz w:val="20"/>
                <w:szCs w:val="20"/>
              </w:rPr>
            </w:pPr>
            <w:r w:rsidRPr="00253C15">
              <w:rPr>
                <w:noProof/>
                <w:color w:val="000000"/>
                <w:sz w:val="20"/>
              </w:rPr>
              <w:t>Haushaltslinie</w:t>
            </w:r>
          </w:p>
        </w:tc>
        <w:tc>
          <w:tcPr>
            <w:tcW w:w="529"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right"/>
              <w:rPr>
                <w:noProof/>
                <w:color w:val="000000"/>
                <w:sz w:val="18"/>
                <w:szCs w:val="18"/>
              </w:rPr>
            </w:pPr>
            <w:r w:rsidRPr="00253C15">
              <w:rPr>
                <w:noProof/>
                <w:color w:val="000000"/>
                <w:sz w:val="18"/>
              </w:rPr>
              <w:t xml:space="preserve"> </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 w:val="14"/>
                <w:szCs w:val="14"/>
              </w:rPr>
            </w:pPr>
            <w:r w:rsidRPr="00253C15">
              <w:rPr>
                <w:noProof/>
                <w:color w:val="000000"/>
                <w:sz w:val="14"/>
              </w:rPr>
              <w:t>(3)</w:t>
            </w:r>
          </w:p>
        </w:tc>
        <w:tc>
          <w:tcPr>
            <w:tcW w:w="496"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r>
      <w:tr w:rsidR="00DF2D2B" w:rsidRPr="00253C15" w:rsidTr="00DF2D2B">
        <w:trPr>
          <w:trHeight w:val="288"/>
        </w:trPr>
        <w:tc>
          <w:tcPr>
            <w:tcW w:w="1419" w:type="pct"/>
            <w:vMerge w:val="restart"/>
            <w:tcBorders>
              <w:top w:val="nil"/>
              <w:left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2"/>
              </w:rPr>
            </w:pPr>
            <w:r w:rsidRPr="00253C15">
              <w:rPr>
                <w:b/>
                <w:noProof/>
                <w:color w:val="000000"/>
                <w:sz w:val="22"/>
              </w:rPr>
              <w:t>Mittel INSGESAMT</w:t>
            </w:r>
          </w:p>
          <w:p w:rsidR="00693ED0" w:rsidRPr="00253C15" w:rsidRDefault="00693ED0">
            <w:pPr>
              <w:spacing w:before="0" w:after="0"/>
              <w:jc w:val="center"/>
              <w:rPr>
                <w:b/>
                <w:bCs/>
                <w:noProof/>
                <w:color w:val="000000"/>
                <w:sz w:val="22"/>
              </w:rPr>
            </w:pPr>
            <w:r w:rsidRPr="00253C15">
              <w:rPr>
                <w:b/>
                <w:noProof/>
                <w:color w:val="000000"/>
                <w:sz w:val="22"/>
              </w:rPr>
              <w:t>für die GD</w:t>
            </w:r>
            <w:r w:rsidRPr="00253C15">
              <w:rPr>
                <w:noProof/>
                <w:color w:val="000000"/>
                <w:sz w:val="22"/>
              </w:rPr>
              <w:t xml:space="preserve"> &lt;….&gt;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rPr>
                <w:noProof/>
                <w:color w:val="000000"/>
                <w:sz w:val="18"/>
                <w:szCs w:val="18"/>
              </w:rPr>
            </w:pPr>
            <w:r w:rsidRPr="00253C15">
              <w:rPr>
                <w:noProof/>
                <w:color w:val="000000"/>
                <w:sz w:val="18"/>
              </w:rPr>
              <w:t>Verpflichtungen</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 w:val="14"/>
                <w:szCs w:val="14"/>
              </w:rPr>
            </w:pPr>
            <w:r w:rsidRPr="00253C15">
              <w:rPr>
                <w:noProof/>
                <w:color w:val="000000"/>
                <w:sz w:val="14"/>
              </w:rPr>
              <w:t>=1a+1b+3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r>
      <w:tr w:rsidR="00DF2D2B" w:rsidRPr="00253C15" w:rsidTr="00DF2D2B">
        <w:trPr>
          <w:trHeight w:val="288"/>
        </w:trPr>
        <w:tc>
          <w:tcPr>
            <w:tcW w:w="1419" w:type="pct"/>
            <w:vMerge/>
            <w:vAlign w:val="center"/>
            <w:hideMark/>
          </w:tcPr>
          <w:p w:rsidR="00693ED0" w:rsidRPr="00253C15" w:rsidRDefault="00693ED0">
            <w:pPr>
              <w:spacing w:before="0" w:after="0"/>
              <w:jc w:val="center"/>
              <w:rPr>
                <w:b/>
                <w:bCs/>
                <w:noProof/>
                <w:color w:val="000000"/>
                <w:sz w:val="22"/>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rPr>
                <w:noProof/>
                <w:color w:val="000000"/>
                <w:sz w:val="18"/>
                <w:szCs w:val="18"/>
              </w:rPr>
            </w:pPr>
            <w:r w:rsidRPr="00253C15">
              <w:rPr>
                <w:noProof/>
                <w:color w:val="000000"/>
                <w:sz w:val="18"/>
              </w:rPr>
              <w:t>Zahlungen</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 w:val="14"/>
                <w:szCs w:val="14"/>
              </w:rPr>
            </w:pPr>
            <w:r w:rsidRPr="00253C15">
              <w:rPr>
                <w:noProof/>
                <w:color w:val="000000"/>
                <w:sz w:val="14"/>
              </w:rPr>
              <w:t>=2a+2b+3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r>
    </w:tbl>
    <w:p w:rsidR="00693ED0" w:rsidRPr="00253C15" w:rsidRDefault="00693ED0" w:rsidP="00693ED0">
      <w:pPr>
        <w:spacing w:after="40"/>
        <w:rPr>
          <w:noProof/>
        </w:rPr>
      </w:pPr>
      <w:r w:rsidRPr="00253C15">
        <w:rPr>
          <w:noProof/>
        </w:rPr>
        <w:t>Obligatorische Tabelle:</w:t>
      </w:r>
    </w:p>
    <w:tbl>
      <w:tblPr>
        <w:tblW w:w="5000" w:type="pct"/>
        <w:tblLook w:val="04A0" w:firstRow="1" w:lastRow="0" w:firstColumn="1" w:lastColumn="0" w:noHBand="0" w:noVBand="1"/>
      </w:tblPr>
      <w:tblGrid>
        <w:gridCol w:w="4014"/>
        <w:gridCol w:w="1504"/>
        <w:gridCol w:w="1399"/>
        <w:gridCol w:w="1402"/>
        <w:gridCol w:w="1402"/>
        <w:gridCol w:w="1402"/>
        <w:gridCol w:w="1402"/>
        <w:gridCol w:w="1695"/>
      </w:tblGrid>
      <w:tr w:rsidR="00693ED0" w:rsidRPr="00253C15">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253C15" w:rsidRDefault="00693ED0">
            <w:pPr>
              <w:spacing w:before="0" w:after="0"/>
              <w:jc w:val="center"/>
              <w:rPr>
                <w:b/>
                <w:bCs/>
                <w:noProof/>
                <w:color w:val="000000"/>
                <w:sz w:val="22"/>
              </w:rPr>
            </w:pPr>
            <w:r w:rsidRPr="00253C15">
              <w:rPr>
                <w:b/>
                <w:noProof/>
                <w:color w:val="000000"/>
                <w:sz w:val="22"/>
              </w:rPr>
              <w:t xml:space="preserve"> </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59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2021-2027 INSGESAMT</w:t>
            </w:r>
          </w:p>
        </w:tc>
      </w:tr>
      <w:tr w:rsidR="00693ED0" w:rsidRPr="00253C15">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693ED0" w:rsidRPr="00253C15" w:rsidRDefault="00693ED0">
            <w:pPr>
              <w:spacing w:before="0" w:after="0"/>
              <w:jc w:val="left"/>
              <w:rPr>
                <w:b/>
                <w:bCs/>
                <w:noProof/>
                <w:color w:val="000000"/>
                <w:sz w:val="22"/>
                <w:lang w:eastAsia="en-IE"/>
              </w:rPr>
            </w:pPr>
          </w:p>
        </w:tc>
        <w:tc>
          <w:tcPr>
            <w:tcW w:w="493"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2024</w:t>
            </w:r>
          </w:p>
        </w:tc>
        <w:tc>
          <w:tcPr>
            <w:tcW w:w="493"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2025</w:t>
            </w:r>
          </w:p>
        </w:tc>
        <w:tc>
          <w:tcPr>
            <w:tcW w:w="493"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2026</w:t>
            </w:r>
          </w:p>
        </w:tc>
        <w:tc>
          <w:tcPr>
            <w:tcW w:w="493"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693ED0" w:rsidRPr="00253C15" w:rsidRDefault="00693ED0">
            <w:pPr>
              <w:spacing w:before="0" w:after="0"/>
              <w:jc w:val="left"/>
              <w:rPr>
                <w:b/>
                <w:bCs/>
                <w:noProof/>
                <w:color w:val="000000"/>
                <w:sz w:val="20"/>
                <w:szCs w:val="20"/>
                <w:lang w:eastAsia="en-IE"/>
              </w:rPr>
            </w:pPr>
          </w:p>
        </w:tc>
      </w:tr>
      <w:tr w:rsidR="00693ED0" w:rsidRPr="00253C15">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rPr>
                <w:noProof/>
                <w:color w:val="000000"/>
                <w:sz w:val="21"/>
                <w:szCs w:val="21"/>
              </w:rPr>
            </w:pPr>
            <w:r w:rsidRPr="00253C15">
              <w:rPr>
                <w:noProof/>
                <w:color w:val="000000"/>
                <w:sz w:val="21"/>
              </w:rPr>
              <w:t xml:space="preserve">Operative Mittel INSGESAMT </w:t>
            </w:r>
            <w:r w:rsidRPr="00253C15">
              <w:rPr>
                <w:noProof/>
              </w:rPr>
              <w:t xml:space="preserve"> </w:t>
            </w:r>
            <w:r w:rsidRPr="00253C15">
              <w:rPr>
                <w:noProof/>
              </w:rPr>
              <w:br/>
            </w:r>
          </w:p>
        </w:tc>
        <w:tc>
          <w:tcPr>
            <w:tcW w:w="529"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rPr>
                <w:noProof/>
                <w:color w:val="000000"/>
                <w:sz w:val="18"/>
                <w:szCs w:val="18"/>
              </w:rPr>
            </w:pPr>
            <w:r w:rsidRPr="00253C15">
              <w:rPr>
                <w:noProof/>
                <w:color w:val="000000"/>
                <w:sz w:val="18"/>
              </w:rPr>
              <w:t>Verpflichtungen</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 w:val="14"/>
                <w:szCs w:val="14"/>
              </w:rPr>
            </w:pPr>
            <w:r w:rsidRPr="00253C15">
              <w:rPr>
                <w:noProof/>
                <w:color w:val="000000"/>
                <w:sz w:val="14"/>
              </w:rPr>
              <w:t>(4)</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r>
      <w:tr w:rsidR="00693ED0" w:rsidRPr="00253C15">
        <w:trPr>
          <w:trHeight w:val="456"/>
        </w:trPr>
        <w:tc>
          <w:tcPr>
            <w:tcW w:w="1411" w:type="pct"/>
            <w:vMerge/>
            <w:tcBorders>
              <w:top w:val="nil"/>
              <w:left w:val="single" w:sz="8" w:space="0" w:color="auto"/>
              <w:bottom w:val="single" w:sz="8" w:space="0" w:color="auto"/>
              <w:right w:val="single" w:sz="8" w:space="0" w:color="auto"/>
            </w:tcBorders>
            <w:vAlign w:val="center"/>
            <w:hideMark/>
          </w:tcPr>
          <w:p w:rsidR="00693ED0" w:rsidRPr="00253C15" w:rsidRDefault="00693ED0">
            <w:pPr>
              <w:spacing w:before="0" w:after="0"/>
              <w:jc w:val="left"/>
              <w:rPr>
                <w:noProof/>
                <w:color w:val="000000"/>
                <w:sz w:val="21"/>
                <w:szCs w:val="21"/>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rPr>
                <w:noProof/>
                <w:color w:val="000000"/>
                <w:sz w:val="18"/>
                <w:szCs w:val="18"/>
              </w:rPr>
            </w:pPr>
            <w:r w:rsidRPr="00253C15">
              <w:rPr>
                <w:noProof/>
                <w:color w:val="000000"/>
                <w:sz w:val="18"/>
              </w:rPr>
              <w:t>Zahlungen</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 w:val="14"/>
                <w:szCs w:val="14"/>
              </w:rPr>
            </w:pPr>
            <w:r w:rsidRPr="00253C15">
              <w:rPr>
                <w:noProof/>
                <w:color w:val="000000"/>
                <w:sz w:val="14"/>
              </w:rPr>
              <w:t>(5)</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r>
      <w:tr w:rsidR="00693ED0" w:rsidRPr="00253C15">
        <w:trPr>
          <w:trHeight w:val="924"/>
        </w:trPr>
        <w:tc>
          <w:tcPr>
            <w:tcW w:w="193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rPr>
                <w:noProof/>
                <w:color w:val="000000"/>
                <w:sz w:val="21"/>
                <w:szCs w:val="21"/>
              </w:rPr>
            </w:pPr>
            <w:r w:rsidRPr="00253C15">
              <w:rPr>
                <w:noProof/>
                <w:color w:val="000000"/>
                <w:sz w:val="21"/>
              </w:rPr>
              <w:t xml:space="preserve">Aus der Dotation bestimmter spezifischer Programme finanzierte Verwaltungsmittel INSGESAMT </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 w:val="14"/>
                <w:szCs w:val="14"/>
              </w:rPr>
            </w:pPr>
            <w:r w:rsidRPr="00253C15">
              <w:rPr>
                <w:noProof/>
                <w:color w:val="000000"/>
                <w:sz w:val="14"/>
              </w:rPr>
              <w:t>(6)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r>
      <w:tr w:rsidR="00693ED0" w:rsidRPr="00253C15">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693ED0" w:rsidRPr="00253C15" w:rsidRDefault="00693ED0">
            <w:pPr>
              <w:spacing w:before="0" w:after="0"/>
              <w:jc w:val="center"/>
              <w:rPr>
                <w:b/>
                <w:bCs/>
                <w:noProof/>
                <w:color w:val="000000"/>
                <w:sz w:val="22"/>
              </w:rPr>
            </w:pPr>
            <w:r w:rsidRPr="00253C15">
              <w:rPr>
                <w:b/>
                <w:noProof/>
                <w:color w:val="000000"/>
                <w:sz w:val="22"/>
              </w:rPr>
              <w:t>Mittel INSGESAMT unter der RUBRIK &lt;….&gt;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rPr>
                <w:noProof/>
                <w:color w:val="000000"/>
                <w:sz w:val="18"/>
                <w:szCs w:val="18"/>
              </w:rPr>
            </w:pPr>
            <w:r w:rsidRPr="00253C15">
              <w:rPr>
                <w:noProof/>
                <w:color w:val="000000"/>
                <w:sz w:val="18"/>
              </w:rPr>
              <w:t>Verpflichtungen</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 w:val="14"/>
                <w:szCs w:val="14"/>
              </w:rPr>
            </w:pPr>
            <w:r w:rsidRPr="00253C15">
              <w:rPr>
                <w:noProof/>
                <w:color w:val="000000"/>
                <w:sz w:val="14"/>
              </w:rPr>
              <w:t>= 4+6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r>
      <w:tr w:rsidR="00693ED0" w:rsidRPr="00253C15">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253C15" w:rsidRDefault="00693ED0">
            <w:pPr>
              <w:spacing w:before="0" w:after="0"/>
              <w:jc w:val="center"/>
              <w:rPr>
                <w:noProof/>
                <w:color w:val="000000"/>
                <w:sz w:val="22"/>
              </w:rPr>
            </w:pPr>
            <w:r w:rsidRPr="00253C15">
              <w:rPr>
                <w:noProof/>
                <w:color w:val="000000"/>
                <w:sz w:val="22"/>
              </w:rPr>
              <w:t>des Mehrjährigen Finanzrahmens</w:t>
            </w:r>
          </w:p>
        </w:tc>
        <w:tc>
          <w:tcPr>
            <w:tcW w:w="529"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rPr>
                <w:noProof/>
                <w:color w:val="000000"/>
                <w:sz w:val="18"/>
                <w:szCs w:val="18"/>
              </w:rPr>
            </w:pPr>
            <w:r w:rsidRPr="00253C15">
              <w:rPr>
                <w:noProof/>
                <w:color w:val="000000"/>
                <w:sz w:val="18"/>
              </w:rPr>
              <w:t>Zahlungen</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 w:val="14"/>
                <w:szCs w:val="14"/>
              </w:rPr>
            </w:pPr>
            <w:r w:rsidRPr="00253C15">
              <w:rPr>
                <w:noProof/>
                <w:color w:val="000000"/>
                <w:sz w:val="14"/>
              </w:rPr>
              <w:t>= 5+6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r>
    </w:tbl>
    <w:p w:rsidR="00693ED0" w:rsidRPr="00253C15" w:rsidRDefault="00693ED0" w:rsidP="00693ED0">
      <w:pPr>
        <w:spacing w:after="40"/>
        <w:rPr>
          <w:noProof/>
        </w:rPr>
      </w:pPr>
      <w:r w:rsidRPr="00253C15">
        <w:rPr>
          <w:noProof/>
        </w:rPr>
        <w:t>Obligatorische Tabelle</w:t>
      </w:r>
    </w:p>
    <w:tbl>
      <w:tblPr>
        <w:tblW w:w="5000" w:type="pct"/>
        <w:tblLook w:val="04A0" w:firstRow="1" w:lastRow="0" w:firstColumn="1" w:lastColumn="0" w:noHBand="0" w:noVBand="1"/>
      </w:tblPr>
      <w:tblGrid>
        <w:gridCol w:w="4014"/>
        <w:gridCol w:w="1504"/>
        <w:gridCol w:w="1399"/>
        <w:gridCol w:w="1402"/>
        <w:gridCol w:w="1402"/>
        <w:gridCol w:w="1402"/>
        <w:gridCol w:w="1402"/>
        <w:gridCol w:w="1695"/>
      </w:tblGrid>
      <w:tr w:rsidR="00693ED0" w:rsidRPr="00253C15">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253C15" w:rsidRDefault="00693ED0">
            <w:pPr>
              <w:spacing w:before="0" w:after="0"/>
              <w:jc w:val="center"/>
              <w:rPr>
                <w:b/>
                <w:bCs/>
                <w:noProof/>
                <w:color w:val="000000"/>
                <w:sz w:val="22"/>
              </w:rPr>
            </w:pPr>
            <w:r w:rsidRPr="00253C15">
              <w:rPr>
                <w:b/>
                <w:noProof/>
                <w:color w:val="000000"/>
                <w:sz w:val="22"/>
              </w:rPr>
              <w:t xml:space="preserve"> </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59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2021-2027 INSGESAMT</w:t>
            </w:r>
          </w:p>
        </w:tc>
      </w:tr>
      <w:tr w:rsidR="00693ED0" w:rsidRPr="00253C15">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693ED0" w:rsidRPr="00253C15" w:rsidRDefault="00693ED0">
            <w:pPr>
              <w:spacing w:before="0" w:after="0"/>
              <w:jc w:val="left"/>
              <w:rPr>
                <w:b/>
                <w:bCs/>
                <w:noProof/>
                <w:color w:val="000000"/>
                <w:sz w:val="22"/>
                <w:lang w:eastAsia="en-IE"/>
              </w:rPr>
            </w:pPr>
          </w:p>
        </w:tc>
        <w:tc>
          <w:tcPr>
            <w:tcW w:w="493"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2024</w:t>
            </w:r>
          </w:p>
        </w:tc>
        <w:tc>
          <w:tcPr>
            <w:tcW w:w="493"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2025</w:t>
            </w:r>
          </w:p>
        </w:tc>
        <w:tc>
          <w:tcPr>
            <w:tcW w:w="493"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2026</w:t>
            </w:r>
          </w:p>
        </w:tc>
        <w:tc>
          <w:tcPr>
            <w:tcW w:w="493"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693ED0" w:rsidRPr="00253C15" w:rsidRDefault="00693ED0">
            <w:pPr>
              <w:spacing w:before="0" w:after="0"/>
              <w:jc w:val="left"/>
              <w:rPr>
                <w:b/>
                <w:bCs/>
                <w:noProof/>
                <w:color w:val="000000"/>
                <w:sz w:val="20"/>
                <w:szCs w:val="20"/>
                <w:lang w:eastAsia="en-IE"/>
              </w:rPr>
            </w:pPr>
          </w:p>
        </w:tc>
      </w:tr>
      <w:tr w:rsidR="00693ED0" w:rsidRPr="00253C15">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rPr>
                <w:noProof/>
                <w:color w:val="000000"/>
                <w:sz w:val="21"/>
                <w:szCs w:val="21"/>
              </w:rPr>
            </w:pPr>
            <w:r w:rsidRPr="00253C15">
              <w:rPr>
                <w:noProof/>
                <w:color w:val="000000"/>
                <w:sz w:val="21"/>
              </w:rPr>
              <w:t xml:space="preserve">Operative Mittel INSGESAMT </w:t>
            </w:r>
            <w:r w:rsidRPr="00253C15">
              <w:rPr>
                <w:noProof/>
              </w:rPr>
              <w:t xml:space="preserve"> </w:t>
            </w:r>
            <w:r w:rsidRPr="00253C15">
              <w:rPr>
                <w:noProof/>
              </w:rPr>
              <w:br/>
            </w:r>
          </w:p>
        </w:tc>
        <w:tc>
          <w:tcPr>
            <w:tcW w:w="529"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rPr>
                <w:noProof/>
                <w:color w:val="000000"/>
                <w:sz w:val="18"/>
                <w:szCs w:val="18"/>
              </w:rPr>
            </w:pPr>
            <w:r w:rsidRPr="00253C15">
              <w:rPr>
                <w:noProof/>
                <w:color w:val="000000"/>
                <w:sz w:val="18"/>
              </w:rPr>
              <w:t>Verpflichtungen</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 w:val="14"/>
                <w:szCs w:val="14"/>
              </w:rPr>
            </w:pPr>
            <w:r w:rsidRPr="00253C15">
              <w:rPr>
                <w:noProof/>
                <w:color w:val="000000"/>
                <w:sz w:val="14"/>
              </w:rPr>
              <w:t>(4)</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r>
      <w:tr w:rsidR="00693ED0" w:rsidRPr="00253C15">
        <w:trPr>
          <w:trHeight w:val="456"/>
        </w:trPr>
        <w:tc>
          <w:tcPr>
            <w:tcW w:w="1411" w:type="pct"/>
            <w:vMerge/>
            <w:tcBorders>
              <w:top w:val="nil"/>
              <w:left w:val="single" w:sz="8" w:space="0" w:color="auto"/>
              <w:bottom w:val="single" w:sz="8" w:space="0" w:color="auto"/>
              <w:right w:val="single" w:sz="8" w:space="0" w:color="auto"/>
            </w:tcBorders>
            <w:vAlign w:val="center"/>
            <w:hideMark/>
          </w:tcPr>
          <w:p w:rsidR="00693ED0" w:rsidRPr="00253C15" w:rsidRDefault="00693ED0">
            <w:pPr>
              <w:spacing w:before="0" w:after="0"/>
              <w:jc w:val="left"/>
              <w:rPr>
                <w:noProof/>
                <w:color w:val="000000"/>
                <w:sz w:val="21"/>
                <w:szCs w:val="21"/>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rPr>
                <w:noProof/>
                <w:color w:val="000000"/>
                <w:sz w:val="18"/>
                <w:szCs w:val="18"/>
              </w:rPr>
            </w:pPr>
            <w:r w:rsidRPr="00253C15">
              <w:rPr>
                <w:noProof/>
                <w:color w:val="000000"/>
                <w:sz w:val="18"/>
              </w:rPr>
              <w:t>Zahlungen</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 w:val="14"/>
                <w:szCs w:val="14"/>
              </w:rPr>
            </w:pPr>
            <w:r w:rsidRPr="00253C15">
              <w:rPr>
                <w:noProof/>
                <w:color w:val="000000"/>
                <w:sz w:val="14"/>
              </w:rPr>
              <w:t>(5)</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r>
      <w:tr w:rsidR="00693ED0" w:rsidRPr="00253C15">
        <w:trPr>
          <w:trHeight w:val="924"/>
        </w:trPr>
        <w:tc>
          <w:tcPr>
            <w:tcW w:w="193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rPr>
                <w:noProof/>
                <w:color w:val="000000"/>
                <w:sz w:val="21"/>
                <w:szCs w:val="21"/>
              </w:rPr>
            </w:pPr>
            <w:r w:rsidRPr="00253C15">
              <w:rPr>
                <w:noProof/>
                <w:color w:val="000000"/>
                <w:sz w:val="21"/>
              </w:rPr>
              <w:t xml:space="preserve">Aus der Dotation bestimmter spezifischer Programme finanzierte Verwaltungsmittel INSGESAMT </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 w:val="14"/>
                <w:szCs w:val="14"/>
              </w:rPr>
            </w:pPr>
            <w:r w:rsidRPr="00253C15">
              <w:rPr>
                <w:noProof/>
                <w:color w:val="000000"/>
                <w:sz w:val="14"/>
              </w:rPr>
              <w:t>(6)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r>
      <w:tr w:rsidR="00693ED0" w:rsidRPr="00253C15">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693ED0" w:rsidRPr="00253C15" w:rsidRDefault="00693ED0">
            <w:pPr>
              <w:spacing w:before="0" w:after="0"/>
              <w:jc w:val="center"/>
              <w:rPr>
                <w:b/>
                <w:bCs/>
                <w:noProof/>
                <w:color w:val="000000"/>
                <w:sz w:val="22"/>
              </w:rPr>
            </w:pPr>
            <w:r w:rsidRPr="00253C15">
              <w:rPr>
                <w:b/>
                <w:noProof/>
                <w:color w:val="000000"/>
                <w:sz w:val="22"/>
              </w:rPr>
              <w:t>Mittel INSGESAMT unter der RUBRIK &lt;….&gt;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rPr>
                <w:noProof/>
                <w:color w:val="000000"/>
                <w:sz w:val="18"/>
                <w:szCs w:val="18"/>
              </w:rPr>
            </w:pPr>
            <w:r w:rsidRPr="00253C15">
              <w:rPr>
                <w:noProof/>
                <w:color w:val="000000"/>
                <w:sz w:val="18"/>
              </w:rPr>
              <w:t>Verpflichtungen</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 w:val="14"/>
                <w:szCs w:val="14"/>
              </w:rPr>
            </w:pPr>
            <w:r w:rsidRPr="00253C15">
              <w:rPr>
                <w:noProof/>
                <w:color w:val="000000"/>
                <w:sz w:val="14"/>
              </w:rPr>
              <w:t>= 4+6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r>
      <w:tr w:rsidR="00693ED0" w:rsidRPr="00253C15">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253C15" w:rsidRDefault="00693ED0">
            <w:pPr>
              <w:spacing w:before="0" w:after="0"/>
              <w:jc w:val="center"/>
              <w:rPr>
                <w:noProof/>
                <w:color w:val="000000"/>
                <w:sz w:val="22"/>
              </w:rPr>
            </w:pPr>
            <w:r w:rsidRPr="00253C15">
              <w:rPr>
                <w:noProof/>
                <w:color w:val="000000"/>
                <w:sz w:val="22"/>
              </w:rPr>
              <w:t>des Mehrjährigen Finanzrahmens</w:t>
            </w:r>
          </w:p>
        </w:tc>
        <w:tc>
          <w:tcPr>
            <w:tcW w:w="529"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rPr>
                <w:noProof/>
                <w:color w:val="000000"/>
                <w:sz w:val="18"/>
                <w:szCs w:val="18"/>
              </w:rPr>
            </w:pPr>
            <w:r w:rsidRPr="00253C15">
              <w:rPr>
                <w:noProof/>
                <w:color w:val="000000"/>
                <w:sz w:val="18"/>
              </w:rPr>
              <w:t>Zahlungen</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 w:val="14"/>
                <w:szCs w:val="14"/>
              </w:rPr>
            </w:pPr>
            <w:r w:rsidRPr="00253C15">
              <w:rPr>
                <w:noProof/>
                <w:color w:val="000000"/>
                <w:sz w:val="14"/>
              </w:rPr>
              <w:t>= 5+6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r>
    </w:tbl>
    <w:p w:rsidR="00693ED0" w:rsidRPr="00253C15" w:rsidRDefault="00693ED0" w:rsidP="00693ED0">
      <w:pPr>
        <w:spacing w:after="40"/>
        <w:rPr>
          <w:noProof/>
        </w:rPr>
      </w:pPr>
    </w:p>
    <w:tbl>
      <w:tblPr>
        <w:tblW w:w="5000" w:type="pct"/>
        <w:tblLook w:val="04A0" w:firstRow="1" w:lastRow="0" w:firstColumn="1" w:lastColumn="0" w:noHBand="0" w:noVBand="1"/>
      </w:tblPr>
      <w:tblGrid>
        <w:gridCol w:w="4321"/>
        <w:gridCol w:w="1396"/>
        <w:gridCol w:w="1030"/>
        <w:gridCol w:w="1034"/>
        <w:gridCol w:w="1236"/>
        <w:gridCol w:w="1236"/>
        <w:gridCol w:w="1236"/>
        <w:gridCol w:w="1236"/>
        <w:gridCol w:w="1495"/>
      </w:tblGrid>
      <w:tr w:rsidR="00693ED0" w:rsidRPr="00253C15">
        <w:trPr>
          <w:trHeight w:val="288"/>
        </w:trPr>
        <w:tc>
          <w:tcPr>
            <w:tcW w:w="1522" w:type="pct"/>
            <w:tcBorders>
              <w:top w:val="nil"/>
              <w:left w:val="nil"/>
              <w:bottom w:val="nil"/>
              <w:right w:val="nil"/>
            </w:tcBorders>
            <w:shd w:val="clear" w:color="auto" w:fill="auto"/>
            <w:noWrap/>
            <w:vAlign w:val="bottom"/>
            <w:hideMark/>
          </w:tcPr>
          <w:p w:rsidR="00693ED0" w:rsidRPr="00253C15" w:rsidRDefault="00693ED0">
            <w:pPr>
              <w:spacing w:before="0" w:after="0"/>
              <w:jc w:val="left"/>
              <w:rPr>
                <w:noProof/>
                <w:sz w:val="20"/>
                <w:szCs w:val="24"/>
                <w:lang w:eastAsia="en-IE"/>
              </w:rPr>
            </w:pPr>
          </w:p>
        </w:tc>
        <w:tc>
          <w:tcPr>
            <w:tcW w:w="471" w:type="pct"/>
            <w:tcBorders>
              <w:top w:val="nil"/>
              <w:left w:val="nil"/>
              <w:bottom w:val="nil"/>
              <w:right w:val="nil"/>
            </w:tcBorders>
            <w:shd w:val="clear" w:color="auto" w:fill="auto"/>
            <w:noWrap/>
            <w:vAlign w:val="bottom"/>
            <w:hideMark/>
          </w:tcPr>
          <w:p w:rsidR="00693ED0" w:rsidRPr="00253C15" w:rsidRDefault="00693ED0">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693ED0" w:rsidRPr="00253C15" w:rsidRDefault="00693ED0">
            <w:pPr>
              <w:spacing w:before="0" w:after="0"/>
              <w:jc w:val="left"/>
              <w:rPr>
                <w:noProof/>
                <w:sz w:val="20"/>
                <w:szCs w:val="20"/>
                <w:lang w:eastAsia="en-IE"/>
              </w:rPr>
            </w:pPr>
          </w:p>
        </w:tc>
        <w:tc>
          <w:tcPr>
            <w:tcW w:w="366" w:type="pct"/>
            <w:tcBorders>
              <w:top w:val="nil"/>
              <w:left w:val="nil"/>
              <w:bottom w:val="nil"/>
              <w:right w:val="single" w:sz="4" w:space="0" w:color="auto"/>
            </w:tcBorders>
            <w:shd w:val="clear" w:color="auto" w:fill="auto"/>
            <w:noWrap/>
            <w:vAlign w:val="bottom"/>
            <w:hideMark/>
          </w:tcPr>
          <w:p w:rsidR="00693ED0" w:rsidRPr="00253C15" w:rsidRDefault="00693ED0">
            <w:pPr>
              <w:spacing w:before="0" w:after="0"/>
              <w:jc w:val="left"/>
              <w:rPr>
                <w:noProof/>
                <w:sz w:val="20"/>
                <w:szCs w:val="20"/>
                <w:lang w:eastAsia="en-IE"/>
              </w:rPr>
            </w:pPr>
          </w:p>
        </w:tc>
        <w:tc>
          <w:tcPr>
            <w:tcW w:w="437" w:type="pct"/>
            <w:tcBorders>
              <w:top w:val="single" w:sz="8" w:space="0" w:color="auto"/>
              <w:left w:val="single" w:sz="4" w:space="0" w:color="auto"/>
              <w:bottom w:val="nil"/>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437" w:type="pct"/>
            <w:tcBorders>
              <w:top w:val="single" w:sz="8" w:space="0" w:color="auto"/>
              <w:left w:val="nil"/>
              <w:bottom w:val="nil"/>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437" w:type="pct"/>
            <w:tcBorders>
              <w:top w:val="single" w:sz="8" w:space="0" w:color="auto"/>
              <w:left w:val="nil"/>
              <w:bottom w:val="nil"/>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437" w:type="pct"/>
            <w:tcBorders>
              <w:top w:val="single" w:sz="8" w:space="0" w:color="auto"/>
              <w:left w:val="nil"/>
              <w:bottom w:val="nil"/>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52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2021-2027 INSGESAMT</w:t>
            </w:r>
          </w:p>
        </w:tc>
      </w:tr>
      <w:tr w:rsidR="00693ED0" w:rsidRPr="00253C15">
        <w:trPr>
          <w:trHeight w:val="300"/>
        </w:trPr>
        <w:tc>
          <w:tcPr>
            <w:tcW w:w="1522" w:type="pct"/>
            <w:tcBorders>
              <w:top w:val="nil"/>
              <w:left w:val="nil"/>
              <w:bottom w:val="nil"/>
              <w:right w:val="nil"/>
            </w:tcBorders>
            <w:shd w:val="clear" w:color="auto" w:fill="auto"/>
            <w:noWrap/>
            <w:vAlign w:val="bottom"/>
            <w:hideMark/>
          </w:tcPr>
          <w:p w:rsidR="00693ED0" w:rsidRPr="00253C15" w:rsidRDefault="00693ED0">
            <w:pPr>
              <w:spacing w:before="0" w:after="0"/>
              <w:jc w:val="center"/>
              <w:rPr>
                <w:b/>
                <w:bCs/>
                <w:noProof/>
                <w:color w:val="000000"/>
                <w:sz w:val="20"/>
                <w:szCs w:val="20"/>
                <w:lang w:eastAsia="en-IE"/>
              </w:rPr>
            </w:pPr>
          </w:p>
        </w:tc>
        <w:tc>
          <w:tcPr>
            <w:tcW w:w="471" w:type="pct"/>
            <w:tcBorders>
              <w:top w:val="nil"/>
              <w:left w:val="nil"/>
              <w:bottom w:val="nil"/>
              <w:right w:val="nil"/>
            </w:tcBorders>
            <w:shd w:val="clear" w:color="auto" w:fill="auto"/>
            <w:noWrap/>
            <w:vAlign w:val="bottom"/>
            <w:hideMark/>
          </w:tcPr>
          <w:p w:rsidR="00693ED0" w:rsidRPr="00253C15" w:rsidRDefault="00693ED0">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693ED0" w:rsidRPr="00253C15" w:rsidRDefault="00693ED0">
            <w:pPr>
              <w:spacing w:before="0" w:after="0"/>
              <w:jc w:val="left"/>
              <w:rPr>
                <w:noProof/>
                <w:sz w:val="20"/>
                <w:szCs w:val="20"/>
                <w:lang w:eastAsia="en-IE"/>
              </w:rPr>
            </w:pPr>
          </w:p>
        </w:tc>
        <w:tc>
          <w:tcPr>
            <w:tcW w:w="366" w:type="pct"/>
            <w:tcBorders>
              <w:top w:val="nil"/>
              <w:left w:val="nil"/>
              <w:bottom w:val="nil"/>
              <w:right w:val="single" w:sz="4" w:space="0" w:color="auto"/>
            </w:tcBorders>
            <w:shd w:val="clear" w:color="auto" w:fill="auto"/>
            <w:noWrap/>
            <w:vAlign w:val="bottom"/>
            <w:hideMark/>
          </w:tcPr>
          <w:p w:rsidR="00693ED0" w:rsidRPr="00253C15" w:rsidRDefault="00693ED0">
            <w:pPr>
              <w:spacing w:before="0" w:after="0"/>
              <w:jc w:val="left"/>
              <w:rPr>
                <w:noProof/>
                <w:sz w:val="20"/>
                <w:szCs w:val="20"/>
                <w:lang w:eastAsia="en-IE"/>
              </w:rPr>
            </w:pPr>
          </w:p>
        </w:tc>
        <w:tc>
          <w:tcPr>
            <w:tcW w:w="437" w:type="pct"/>
            <w:tcBorders>
              <w:top w:val="nil"/>
              <w:left w:val="single" w:sz="4" w:space="0" w:color="auto"/>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2024</w:t>
            </w:r>
          </w:p>
        </w:tc>
        <w:tc>
          <w:tcPr>
            <w:tcW w:w="437"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2025</w:t>
            </w:r>
          </w:p>
        </w:tc>
        <w:tc>
          <w:tcPr>
            <w:tcW w:w="437"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2026</w:t>
            </w:r>
          </w:p>
        </w:tc>
        <w:tc>
          <w:tcPr>
            <w:tcW w:w="437"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2027</w:t>
            </w:r>
          </w:p>
        </w:tc>
        <w:tc>
          <w:tcPr>
            <w:tcW w:w="528" w:type="pct"/>
            <w:vMerge/>
            <w:tcBorders>
              <w:top w:val="single" w:sz="8" w:space="0" w:color="auto"/>
              <w:left w:val="single" w:sz="8" w:space="0" w:color="auto"/>
              <w:bottom w:val="single" w:sz="8" w:space="0" w:color="000000"/>
              <w:right w:val="single" w:sz="8" w:space="0" w:color="auto"/>
            </w:tcBorders>
            <w:vAlign w:val="center"/>
            <w:hideMark/>
          </w:tcPr>
          <w:p w:rsidR="00693ED0" w:rsidRPr="00253C15" w:rsidRDefault="00693ED0">
            <w:pPr>
              <w:spacing w:before="0" w:after="0"/>
              <w:jc w:val="left"/>
              <w:rPr>
                <w:b/>
                <w:bCs/>
                <w:noProof/>
                <w:color w:val="000000"/>
                <w:sz w:val="20"/>
                <w:szCs w:val="20"/>
                <w:lang w:eastAsia="en-IE"/>
              </w:rPr>
            </w:pPr>
          </w:p>
        </w:tc>
      </w:tr>
      <w:tr w:rsidR="00693ED0" w:rsidRPr="00253C15">
        <w:trPr>
          <w:trHeight w:val="300"/>
        </w:trPr>
        <w:tc>
          <w:tcPr>
            <w:tcW w:w="15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rPr>
                <w:noProof/>
                <w:color w:val="000000"/>
                <w:sz w:val="21"/>
                <w:szCs w:val="21"/>
              </w:rPr>
            </w:pPr>
            <w:r w:rsidRPr="00253C15">
              <w:rPr>
                <w:rFonts w:ascii="Calibri" w:hAnsi="Calibri"/>
                <w:noProof/>
                <w:color w:val="000000"/>
                <w:sz w:val="21"/>
              </w:rPr>
              <w:t>•</w:t>
            </w:r>
            <w:r w:rsidRPr="00253C15">
              <w:rPr>
                <w:noProof/>
                <w:color w:val="000000"/>
                <w:sz w:val="21"/>
              </w:rPr>
              <w:t xml:space="preserve"> Operative Mittel INSGESAMT (alle operativen Rubriken)</w:t>
            </w:r>
          </w:p>
        </w:tc>
        <w:tc>
          <w:tcPr>
            <w:tcW w:w="471" w:type="pct"/>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rPr>
                <w:noProof/>
                <w:color w:val="000000"/>
                <w:sz w:val="18"/>
                <w:szCs w:val="18"/>
              </w:rPr>
            </w:pPr>
            <w:r w:rsidRPr="00253C15">
              <w:rPr>
                <w:noProof/>
                <w:color w:val="000000"/>
                <w:sz w:val="18"/>
              </w:rPr>
              <w:t>Verpflichtungen</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253C15" w:rsidRDefault="00693ED0">
            <w:pPr>
              <w:spacing w:before="0" w:after="0"/>
              <w:jc w:val="center"/>
              <w:rPr>
                <w:noProof/>
                <w:color w:val="000000"/>
                <w:sz w:val="14"/>
                <w:szCs w:val="14"/>
              </w:rPr>
            </w:pPr>
            <w:r w:rsidRPr="00253C15">
              <w:rPr>
                <w:noProof/>
                <w:color w:val="000000"/>
                <w:sz w:val="14"/>
              </w:rPr>
              <w:t>(4)</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r>
      <w:tr w:rsidR="00693ED0" w:rsidRPr="00253C15">
        <w:trPr>
          <w:trHeight w:val="300"/>
        </w:trPr>
        <w:tc>
          <w:tcPr>
            <w:tcW w:w="1522" w:type="pct"/>
            <w:vMerge/>
            <w:tcBorders>
              <w:top w:val="single" w:sz="8" w:space="0" w:color="auto"/>
              <w:left w:val="single" w:sz="8" w:space="0" w:color="auto"/>
              <w:bottom w:val="single" w:sz="8" w:space="0" w:color="auto"/>
              <w:right w:val="single" w:sz="8" w:space="0" w:color="auto"/>
            </w:tcBorders>
            <w:vAlign w:val="center"/>
            <w:hideMark/>
          </w:tcPr>
          <w:p w:rsidR="00693ED0" w:rsidRPr="00253C15" w:rsidRDefault="00693ED0">
            <w:pPr>
              <w:spacing w:before="0" w:after="0"/>
              <w:jc w:val="left"/>
              <w:rPr>
                <w:noProof/>
                <w:color w:val="000000"/>
                <w:sz w:val="21"/>
                <w:szCs w:val="21"/>
                <w:lang w:eastAsia="en-IE"/>
              </w:rPr>
            </w:pPr>
          </w:p>
        </w:tc>
        <w:tc>
          <w:tcPr>
            <w:tcW w:w="471"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rPr>
                <w:noProof/>
                <w:color w:val="000000"/>
                <w:sz w:val="18"/>
                <w:szCs w:val="18"/>
              </w:rPr>
            </w:pPr>
            <w:r w:rsidRPr="00253C15">
              <w:rPr>
                <w:noProof/>
                <w:color w:val="000000"/>
                <w:sz w:val="18"/>
              </w:rPr>
              <w:t>Zahlungen</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253C15" w:rsidRDefault="00693ED0">
            <w:pPr>
              <w:spacing w:before="0" w:after="0"/>
              <w:jc w:val="center"/>
              <w:rPr>
                <w:noProof/>
                <w:color w:val="000000"/>
                <w:sz w:val="14"/>
                <w:szCs w:val="14"/>
              </w:rPr>
            </w:pPr>
            <w:r w:rsidRPr="00253C15">
              <w:rPr>
                <w:noProof/>
                <w:color w:val="000000"/>
                <w:sz w:val="14"/>
              </w:rPr>
              <w:t>(5)</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r>
      <w:tr w:rsidR="00693ED0" w:rsidRPr="00253C15">
        <w:trPr>
          <w:trHeight w:val="990"/>
        </w:trPr>
        <w:tc>
          <w:tcPr>
            <w:tcW w:w="1993"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93ED0" w:rsidRPr="00253C15" w:rsidRDefault="00693ED0">
            <w:pPr>
              <w:spacing w:before="0" w:after="0"/>
              <w:rPr>
                <w:noProof/>
                <w:color w:val="000000"/>
                <w:sz w:val="21"/>
                <w:szCs w:val="21"/>
              </w:rPr>
            </w:pPr>
            <w:r w:rsidRPr="00253C15">
              <w:rPr>
                <w:rFonts w:ascii="Calibri" w:hAnsi="Calibri"/>
                <w:noProof/>
                <w:color w:val="000000"/>
                <w:sz w:val="21"/>
              </w:rPr>
              <w:t>•</w:t>
            </w:r>
            <w:r w:rsidRPr="00253C15">
              <w:rPr>
                <w:noProof/>
                <w:color w:val="000000"/>
                <w:sz w:val="21"/>
              </w:rPr>
              <w:t xml:space="preserve"> Aus der Dotation bestimmter spezifischer Programme finanzierte Verwaltungsmittel INSGESAMT (alle operativen Rubriken)</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253C15" w:rsidRDefault="00693ED0">
            <w:pPr>
              <w:spacing w:before="0" w:after="0"/>
              <w:jc w:val="center"/>
              <w:rPr>
                <w:noProof/>
                <w:color w:val="000000"/>
                <w:sz w:val="14"/>
                <w:szCs w:val="14"/>
              </w:rPr>
            </w:pPr>
            <w:r w:rsidRPr="00253C15">
              <w:rPr>
                <w:noProof/>
                <w:color w:val="000000"/>
                <w:sz w:val="14"/>
              </w:rPr>
              <w:t>(6)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r>
      <w:tr w:rsidR="00693ED0" w:rsidRPr="00253C15">
        <w:trPr>
          <w:trHeight w:val="564"/>
        </w:trPr>
        <w:tc>
          <w:tcPr>
            <w:tcW w:w="1522" w:type="pct"/>
            <w:tcBorders>
              <w:top w:val="nil"/>
              <w:left w:val="single" w:sz="8" w:space="0" w:color="auto"/>
              <w:bottom w:val="nil"/>
              <w:right w:val="single" w:sz="8" w:space="0" w:color="auto"/>
            </w:tcBorders>
            <w:shd w:val="thinDiagStripe" w:color="C0C0C0" w:fill="F1F1F1"/>
            <w:vAlign w:val="center"/>
            <w:hideMark/>
          </w:tcPr>
          <w:p w:rsidR="00693ED0" w:rsidRPr="00253C15" w:rsidRDefault="00693ED0">
            <w:pPr>
              <w:spacing w:before="0" w:after="0"/>
              <w:jc w:val="center"/>
              <w:rPr>
                <w:b/>
                <w:bCs/>
                <w:noProof/>
                <w:color w:val="000000"/>
                <w:sz w:val="22"/>
              </w:rPr>
            </w:pPr>
            <w:r w:rsidRPr="00253C15">
              <w:rPr>
                <w:b/>
                <w:noProof/>
                <w:color w:val="000000"/>
                <w:sz w:val="22"/>
              </w:rPr>
              <w:t>Mittel INSGESAMT unter den RUBRIKEN 1 bis 6</w:t>
            </w:r>
          </w:p>
        </w:tc>
        <w:tc>
          <w:tcPr>
            <w:tcW w:w="471" w:type="pct"/>
            <w:tcBorders>
              <w:top w:val="nil"/>
              <w:left w:val="nil"/>
              <w:bottom w:val="nil"/>
              <w:right w:val="single" w:sz="8" w:space="0" w:color="auto"/>
            </w:tcBorders>
            <w:shd w:val="clear" w:color="auto" w:fill="auto"/>
            <w:vAlign w:val="center"/>
            <w:hideMark/>
          </w:tcPr>
          <w:p w:rsidR="00693ED0" w:rsidRPr="00253C15" w:rsidRDefault="00693ED0">
            <w:pPr>
              <w:spacing w:before="0" w:after="0"/>
              <w:rPr>
                <w:noProof/>
                <w:color w:val="000000"/>
                <w:sz w:val="18"/>
                <w:szCs w:val="18"/>
              </w:rPr>
            </w:pPr>
            <w:r w:rsidRPr="00253C15">
              <w:rPr>
                <w:noProof/>
                <w:color w:val="000000"/>
                <w:sz w:val="18"/>
              </w:rPr>
              <w:t>Verpflichtungen</w:t>
            </w:r>
          </w:p>
        </w:tc>
        <w:tc>
          <w:tcPr>
            <w:tcW w:w="731" w:type="pct"/>
            <w:gridSpan w:val="2"/>
            <w:tcBorders>
              <w:top w:val="single" w:sz="8" w:space="0" w:color="auto"/>
              <w:left w:val="nil"/>
              <w:bottom w:val="nil"/>
              <w:right w:val="single" w:sz="8" w:space="0" w:color="000000"/>
            </w:tcBorders>
            <w:shd w:val="clear" w:color="auto" w:fill="auto"/>
            <w:vAlign w:val="center"/>
            <w:hideMark/>
          </w:tcPr>
          <w:p w:rsidR="00693ED0" w:rsidRPr="00253C15" w:rsidRDefault="00693ED0">
            <w:pPr>
              <w:spacing w:before="0" w:after="0"/>
              <w:jc w:val="center"/>
              <w:rPr>
                <w:noProof/>
                <w:color w:val="000000"/>
                <w:sz w:val="14"/>
                <w:szCs w:val="14"/>
              </w:rPr>
            </w:pPr>
            <w:r w:rsidRPr="00253C15">
              <w:rPr>
                <w:noProof/>
                <w:color w:val="000000"/>
                <w:sz w:val="14"/>
              </w:rPr>
              <w:t>= 4+6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r>
      <w:tr w:rsidR="00693ED0" w:rsidRPr="00253C15">
        <w:trPr>
          <w:trHeight w:val="588"/>
        </w:trPr>
        <w:tc>
          <w:tcPr>
            <w:tcW w:w="1522"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253C15" w:rsidRDefault="00693ED0">
            <w:pPr>
              <w:spacing w:before="0" w:after="0"/>
              <w:jc w:val="center"/>
              <w:rPr>
                <w:noProof/>
                <w:color w:val="000000"/>
                <w:sz w:val="20"/>
                <w:szCs w:val="20"/>
              </w:rPr>
            </w:pPr>
            <w:r w:rsidRPr="00253C15">
              <w:rPr>
                <w:noProof/>
                <w:color w:val="000000"/>
                <w:sz w:val="20"/>
              </w:rPr>
              <w:t>des Mehrjährigen Finanzrahmens (Referenzbetrag)</w:t>
            </w:r>
          </w:p>
        </w:tc>
        <w:tc>
          <w:tcPr>
            <w:tcW w:w="471"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rPr>
                <w:noProof/>
                <w:color w:val="000000"/>
                <w:sz w:val="18"/>
                <w:szCs w:val="18"/>
              </w:rPr>
            </w:pPr>
            <w:r w:rsidRPr="00253C15">
              <w:rPr>
                <w:noProof/>
                <w:color w:val="000000"/>
                <w:sz w:val="18"/>
              </w:rPr>
              <w:t>Zahlungen</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253C15" w:rsidRDefault="00693ED0">
            <w:pPr>
              <w:spacing w:before="0" w:after="0"/>
              <w:jc w:val="center"/>
              <w:rPr>
                <w:noProof/>
                <w:color w:val="000000"/>
                <w:sz w:val="14"/>
                <w:szCs w:val="14"/>
              </w:rPr>
            </w:pPr>
            <w:r w:rsidRPr="00253C15">
              <w:rPr>
                <w:noProof/>
                <w:color w:val="000000"/>
                <w:sz w:val="14"/>
              </w:rPr>
              <w:t>= 5+6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r>
    </w:tbl>
    <w:p w:rsidR="00693ED0" w:rsidRPr="00253C15" w:rsidRDefault="00693ED0" w:rsidP="00693ED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693ED0" w:rsidRPr="00253C15" w:rsidTr="00E06D11">
        <w:trPr>
          <w:jc w:val="center"/>
        </w:trPr>
        <w:tc>
          <w:tcPr>
            <w:tcW w:w="1668" w:type="pct"/>
            <w:shd w:val="clear" w:color="auto" w:fill="auto"/>
            <w:vAlign w:val="center"/>
          </w:tcPr>
          <w:p w:rsidR="00693ED0" w:rsidRPr="00253C15" w:rsidRDefault="00693ED0">
            <w:pPr>
              <w:spacing w:before="60" w:after="60"/>
              <w:jc w:val="center"/>
              <w:rPr>
                <w:b/>
                <w:noProof/>
              </w:rPr>
            </w:pPr>
            <w:r w:rsidRPr="00253C15">
              <w:rPr>
                <w:noProof/>
              </w:rPr>
              <w:br w:type="page"/>
            </w:r>
            <w:r w:rsidRPr="00253C15">
              <w:rPr>
                <w:b/>
                <w:noProof/>
                <w:sz w:val="22"/>
              </w:rPr>
              <w:t xml:space="preserve">Rubrik des Mehrjährigen Finanzrahmens </w:t>
            </w:r>
          </w:p>
        </w:tc>
        <w:tc>
          <w:tcPr>
            <w:tcW w:w="380" w:type="pct"/>
            <w:shd w:val="clear" w:color="auto" w:fill="auto"/>
            <w:vAlign w:val="center"/>
          </w:tcPr>
          <w:p w:rsidR="00693ED0" w:rsidRPr="00253C15" w:rsidRDefault="00693ED0">
            <w:pPr>
              <w:spacing w:before="60" w:after="60"/>
              <w:jc w:val="center"/>
              <w:rPr>
                <w:noProof/>
              </w:rPr>
            </w:pPr>
            <w:r w:rsidRPr="00253C15">
              <w:rPr>
                <w:b/>
                <w:noProof/>
                <w:sz w:val="22"/>
              </w:rPr>
              <w:t>7</w:t>
            </w:r>
          </w:p>
        </w:tc>
        <w:tc>
          <w:tcPr>
            <w:tcW w:w="2749" w:type="pct"/>
            <w:vAlign w:val="center"/>
          </w:tcPr>
          <w:p w:rsidR="00693ED0" w:rsidRPr="00253C15" w:rsidRDefault="00693ED0">
            <w:pPr>
              <w:spacing w:before="60" w:after="60"/>
              <w:rPr>
                <w:noProof/>
              </w:rPr>
            </w:pPr>
            <w:r w:rsidRPr="00253C15">
              <w:rPr>
                <w:noProof/>
                <w:sz w:val="22"/>
              </w:rPr>
              <w:t>„Verwaltungsausgaben“</w:t>
            </w:r>
            <w:r w:rsidRPr="00253C15">
              <w:rPr>
                <w:rStyle w:val="FootnoteReference"/>
                <w:noProof/>
                <w:sz w:val="22"/>
              </w:rPr>
              <w:footnoteReference w:id="23"/>
            </w:r>
          </w:p>
        </w:tc>
      </w:tr>
    </w:tbl>
    <w:p w:rsidR="00693ED0" w:rsidRPr="00253C15" w:rsidRDefault="00693ED0" w:rsidP="00693ED0">
      <w:pPr>
        <w:jc w:val="right"/>
        <w:rPr>
          <w:noProof/>
          <w:sz w:val="20"/>
        </w:rPr>
      </w:pPr>
      <w:r w:rsidRPr="00253C15">
        <w:rPr>
          <w:noProof/>
          <w:sz w:val="20"/>
        </w:rPr>
        <w:t>in Mio. EUR (3 Dezimalstellen)</w:t>
      </w:r>
    </w:p>
    <w:tbl>
      <w:tblPr>
        <w:tblW w:w="13140" w:type="dxa"/>
        <w:tblInd w:w="118" w:type="dxa"/>
        <w:tblLook w:val="04A0" w:firstRow="1" w:lastRow="0" w:firstColumn="1" w:lastColumn="0" w:noHBand="0" w:noVBand="1"/>
      </w:tblPr>
      <w:tblGrid>
        <w:gridCol w:w="4405"/>
        <w:gridCol w:w="2477"/>
        <w:gridCol w:w="728"/>
        <w:gridCol w:w="728"/>
        <w:gridCol w:w="1001"/>
        <w:gridCol w:w="1001"/>
        <w:gridCol w:w="1001"/>
        <w:gridCol w:w="1001"/>
        <w:gridCol w:w="1417"/>
      </w:tblGrid>
      <w:tr w:rsidR="00693ED0" w:rsidRPr="00253C15">
        <w:trPr>
          <w:trHeight w:val="288"/>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Cs w:val="24"/>
              </w:rPr>
            </w:pPr>
            <w:r w:rsidRPr="00253C15">
              <w:rPr>
                <w:noProof/>
                <w:color w:val="000000"/>
              </w:rPr>
              <w:t>GD: &lt;…….&gt;</w:t>
            </w:r>
          </w:p>
        </w:tc>
        <w:tc>
          <w:tcPr>
            <w:tcW w:w="1001" w:type="dxa"/>
            <w:tcBorders>
              <w:top w:val="single" w:sz="8" w:space="0" w:color="auto"/>
              <w:left w:val="nil"/>
              <w:bottom w:val="nil"/>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1001" w:type="dxa"/>
            <w:tcBorders>
              <w:top w:val="single" w:sz="8" w:space="0" w:color="auto"/>
              <w:left w:val="nil"/>
              <w:bottom w:val="nil"/>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1001" w:type="dxa"/>
            <w:tcBorders>
              <w:top w:val="single" w:sz="8" w:space="0" w:color="auto"/>
              <w:left w:val="nil"/>
              <w:bottom w:val="nil"/>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1001" w:type="dxa"/>
            <w:tcBorders>
              <w:top w:val="single" w:sz="8" w:space="0" w:color="auto"/>
              <w:left w:val="nil"/>
              <w:bottom w:val="nil"/>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2021-2027 INSGESAMT</w:t>
            </w:r>
          </w:p>
        </w:tc>
      </w:tr>
      <w:tr w:rsidR="00693ED0" w:rsidRPr="00253C15">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rsidR="00693ED0" w:rsidRPr="00253C15" w:rsidRDefault="00693ED0">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2024</w:t>
            </w:r>
          </w:p>
        </w:tc>
        <w:tc>
          <w:tcPr>
            <w:tcW w:w="1001" w:type="dxa"/>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2025</w:t>
            </w:r>
          </w:p>
        </w:tc>
        <w:tc>
          <w:tcPr>
            <w:tcW w:w="1001" w:type="dxa"/>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2026</w:t>
            </w:r>
          </w:p>
        </w:tc>
        <w:tc>
          <w:tcPr>
            <w:tcW w:w="1001" w:type="dxa"/>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693ED0" w:rsidRPr="00253C15" w:rsidRDefault="00693ED0">
            <w:pPr>
              <w:spacing w:before="0" w:after="0"/>
              <w:jc w:val="left"/>
              <w:rPr>
                <w:b/>
                <w:bCs/>
                <w:noProof/>
                <w:color w:val="000000"/>
                <w:sz w:val="20"/>
                <w:szCs w:val="20"/>
                <w:lang w:eastAsia="en-IE"/>
              </w:rPr>
            </w:pPr>
          </w:p>
        </w:tc>
      </w:tr>
      <w:tr w:rsidR="00693ED0" w:rsidRPr="00253C15">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jc w:val="left"/>
              <w:rPr>
                <w:rFonts w:ascii="Wingdings" w:hAnsi="Wingdings" w:cs="Calibri"/>
                <w:noProof/>
                <w:color w:val="000000"/>
                <w:sz w:val="22"/>
              </w:rPr>
            </w:pPr>
            <w:r w:rsidRPr="00253C15">
              <w:rPr>
                <w:rFonts w:ascii="Wingdings" w:hAnsi="Wingdings"/>
                <w:noProof/>
                <w:color w:val="000000"/>
                <w:sz w:val="22"/>
              </w:rPr>
              <w:t></w:t>
            </w:r>
            <w:r w:rsidRPr="00253C15">
              <w:rPr>
                <w:noProof/>
                <w:color w:val="000000"/>
                <w:sz w:val="22"/>
              </w:rPr>
              <w:t xml:space="preserve"> Personalausgaben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r>
      <w:tr w:rsidR="00693ED0" w:rsidRPr="00253C15">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jc w:val="left"/>
              <w:rPr>
                <w:rFonts w:ascii="Wingdings" w:hAnsi="Wingdings" w:cs="Calibri"/>
                <w:noProof/>
                <w:color w:val="000000"/>
                <w:sz w:val="22"/>
              </w:rPr>
            </w:pPr>
            <w:r w:rsidRPr="00253C15">
              <w:rPr>
                <w:rFonts w:ascii="Wingdings" w:hAnsi="Wingdings"/>
                <w:noProof/>
                <w:color w:val="000000"/>
                <w:sz w:val="22"/>
              </w:rPr>
              <w:t></w:t>
            </w:r>
            <w:r w:rsidRPr="00253C15">
              <w:rPr>
                <w:noProof/>
                <w:color w:val="000000"/>
                <w:sz w:val="22"/>
              </w:rPr>
              <w:t xml:space="preserve"> Sonstige Verwaltungsausgaben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r>
      <w:tr w:rsidR="00693ED0" w:rsidRPr="00253C15">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2"/>
              </w:rPr>
            </w:pPr>
            <w:r w:rsidRPr="00253C15">
              <w:rPr>
                <w:b/>
                <w:noProof/>
                <w:color w:val="000000"/>
                <w:sz w:val="22"/>
              </w:rPr>
              <w:t>GD &lt;…….&gt; INSGESAMT</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jc w:val="left"/>
              <w:rPr>
                <w:noProof/>
                <w:color w:val="000000"/>
                <w:sz w:val="18"/>
                <w:szCs w:val="18"/>
              </w:rPr>
            </w:pPr>
            <w:r w:rsidRPr="00253C15">
              <w:rPr>
                <w:noProof/>
                <w:color w:val="000000"/>
                <w:sz w:val="18"/>
              </w:rPr>
              <w:t xml:space="preserve">Mittel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r>
      <w:tr w:rsidR="00693ED0" w:rsidRPr="00253C15">
        <w:trPr>
          <w:trHeight w:val="300"/>
        </w:trPr>
        <w:tc>
          <w:tcPr>
            <w:tcW w:w="4405" w:type="dxa"/>
            <w:tcBorders>
              <w:top w:val="nil"/>
              <w:left w:val="nil"/>
              <w:bottom w:val="nil"/>
              <w:right w:val="nil"/>
            </w:tcBorders>
            <w:shd w:val="clear" w:color="auto" w:fill="auto"/>
            <w:noWrap/>
            <w:vAlign w:val="bottom"/>
            <w:hideMark/>
          </w:tcPr>
          <w:p w:rsidR="00693ED0" w:rsidRPr="00253C15" w:rsidRDefault="00693ED0">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rsidR="00693ED0" w:rsidRPr="00253C15"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253C15"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253C15"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253C15"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253C15"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253C15"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253C15" w:rsidRDefault="00693ED0">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rsidR="00693ED0" w:rsidRPr="00253C15" w:rsidRDefault="00693ED0">
            <w:pPr>
              <w:spacing w:before="0" w:after="0"/>
              <w:jc w:val="left"/>
              <w:rPr>
                <w:noProof/>
                <w:sz w:val="20"/>
                <w:szCs w:val="20"/>
                <w:lang w:eastAsia="en-IE"/>
              </w:rPr>
            </w:pPr>
          </w:p>
        </w:tc>
      </w:tr>
      <w:tr w:rsidR="00693ED0" w:rsidRPr="00253C15">
        <w:trPr>
          <w:trHeight w:val="315"/>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Cs w:val="24"/>
              </w:rPr>
            </w:pPr>
            <w:r w:rsidRPr="00253C15">
              <w:rPr>
                <w:noProof/>
                <w:color w:val="000000"/>
              </w:rPr>
              <w:t>GD: &lt;…….&gt;</w:t>
            </w:r>
          </w:p>
        </w:tc>
        <w:tc>
          <w:tcPr>
            <w:tcW w:w="1001" w:type="dxa"/>
            <w:tcBorders>
              <w:top w:val="single" w:sz="8" w:space="0" w:color="auto"/>
              <w:left w:val="nil"/>
              <w:bottom w:val="nil"/>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1001" w:type="dxa"/>
            <w:tcBorders>
              <w:top w:val="single" w:sz="8" w:space="0" w:color="auto"/>
              <w:left w:val="nil"/>
              <w:bottom w:val="nil"/>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1001" w:type="dxa"/>
            <w:tcBorders>
              <w:top w:val="single" w:sz="8" w:space="0" w:color="auto"/>
              <w:left w:val="nil"/>
              <w:bottom w:val="nil"/>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1001" w:type="dxa"/>
            <w:tcBorders>
              <w:top w:val="single" w:sz="8" w:space="0" w:color="auto"/>
              <w:left w:val="nil"/>
              <w:bottom w:val="nil"/>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2021-2027 INSGESAMT</w:t>
            </w:r>
          </w:p>
        </w:tc>
      </w:tr>
      <w:tr w:rsidR="00693ED0" w:rsidRPr="00253C15">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rsidR="00693ED0" w:rsidRPr="00253C15" w:rsidRDefault="00693ED0">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2024</w:t>
            </w:r>
          </w:p>
        </w:tc>
        <w:tc>
          <w:tcPr>
            <w:tcW w:w="1001" w:type="dxa"/>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2025</w:t>
            </w:r>
          </w:p>
        </w:tc>
        <w:tc>
          <w:tcPr>
            <w:tcW w:w="1001" w:type="dxa"/>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2026</w:t>
            </w:r>
          </w:p>
        </w:tc>
        <w:tc>
          <w:tcPr>
            <w:tcW w:w="1001" w:type="dxa"/>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693ED0" w:rsidRPr="00253C15" w:rsidRDefault="00693ED0">
            <w:pPr>
              <w:spacing w:before="0" w:after="0"/>
              <w:jc w:val="left"/>
              <w:rPr>
                <w:b/>
                <w:bCs/>
                <w:noProof/>
                <w:color w:val="000000"/>
                <w:sz w:val="20"/>
                <w:szCs w:val="20"/>
                <w:lang w:eastAsia="en-IE"/>
              </w:rPr>
            </w:pPr>
          </w:p>
        </w:tc>
      </w:tr>
      <w:tr w:rsidR="00693ED0" w:rsidRPr="00253C15">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jc w:val="left"/>
              <w:rPr>
                <w:rFonts w:ascii="Wingdings" w:hAnsi="Wingdings" w:cs="Calibri"/>
                <w:noProof/>
                <w:color w:val="000000"/>
                <w:sz w:val="22"/>
              </w:rPr>
            </w:pPr>
            <w:r w:rsidRPr="00253C15">
              <w:rPr>
                <w:rFonts w:ascii="Wingdings" w:hAnsi="Wingdings"/>
                <w:noProof/>
                <w:color w:val="000000"/>
                <w:sz w:val="22"/>
              </w:rPr>
              <w:t></w:t>
            </w:r>
            <w:r w:rsidRPr="00253C15">
              <w:rPr>
                <w:noProof/>
                <w:color w:val="000000"/>
                <w:sz w:val="22"/>
              </w:rPr>
              <w:t xml:space="preserve"> Personalausgaben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r>
      <w:tr w:rsidR="00693ED0" w:rsidRPr="00253C15">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jc w:val="left"/>
              <w:rPr>
                <w:rFonts w:ascii="Wingdings" w:hAnsi="Wingdings" w:cs="Calibri"/>
                <w:noProof/>
                <w:color w:val="000000"/>
                <w:sz w:val="22"/>
              </w:rPr>
            </w:pPr>
            <w:r w:rsidRPr="00253C15">
              <w:rPr>
                <w:rFonts w:ascii="Wingdings" w:hAnsi="Wingdings"/>
                <w:noProof/>
                <w:color w:val="000000"/>
                <w:sz w:val="22"/>
              </w:rPr>
              <w:t></w:t>
            </w:r>
            <w:r w:rsidRPr="00253C15">
              <w:rPr>
                <w:noProof/>
                <w:color w:val="000000"/>
                <w:sz w:val="22"/>
              </w:rPr>
              <w:t xml:space="preserve"> Sonstige Verwaltungsausgaben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20"/>
                <w:szCs w:val="20"/>
              </w:rPr>
            </w:pPr>
            <w:r w:rsidRPr="00253C15">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r>
      <w:tr w:rsidR="00693ED0" w:rsidRPr="00253C15">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2"/>
              </w:rPr>
            </w:pPr>
            <w:r w:rsidRPr="00253C15">
              <w:rPr>
                <w:b/>
                <w:noProof/>
                <w:color w:val="000000"/>
                <w:sz w:val="22"/>
              </w:rPr>
              <w:t>GD &lt;…….&gt; INSGESAMT</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jc w:val="left"/>
              <w:rPr>
                <w:noProof/>
                <w:color w:val="000000"/>
                <w:sz w:val="18"/>
                <w:szCs w:val="18"/>
              </w:rPr>
            </w:pPr>
            <w:r w:rsidRPr="00253C15">
              <w:rPr>
                <w:noProof/>
                <w:color w:val="000000"/>
                <w:sz w:val="18"/>
              </w:rPr>
              <w:t xml:space="preserve">Mittel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r>
      <w:tr w:rsidR="00693ED0" w:rsidRPr="00253C15">
        <w:trPr>
          <w:trHeight w:val="300"/>
        </w:trPr>
        <w:tc>
          <w:tcPr>
            <w:tcW w:w="4405" w:type="dxa"/>
            <w:tcBorders>
              <w:top w:val="nil"/>
              <w:left w:val="nil"/>
              <w:bottom w:val="nil"/>
              <w:right w:val="nil"/>
            </w:tcBorders>
            <w:shd w:val="clear" w:color="auto" w:fill="auto"/>
            <w:noWrap/>
            <w:vAlign w:val="bottom"/>
            <w:hideMark/>
          </w:tcPr>
          <w:p w:rsidR="00693ED0" w:rsidRPr="00253C15" w:rsidRDefault="00693ED0">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rsidR="00693ED0" w:rsidRPr="00253C15"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253C15"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253C15"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253C15"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253C15"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253C15"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253C15" w:rsidRDefault="00693ED0">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rsidR="00693ED0" w:rsidRPr="00253C15" w:rsidRDefault="00693ED0">
            <w:pPr>
              <w:spacing w:before="0" w:after="0"/>
              <w:jc w:val="left"/>
              <w:rPr>
                <w:noProof/>
                <w:sz w:val="20"/>
                <w:szCs w:val="20"/>
                <w:lang w:eastAsia="en-IE"/>
              </w:rPr>
            </w:pPr>
          </w:p>
        </w:tc>
      </w:tr>
      <w:tr w:rsidR="00693ED0" w:rsidRPr="00253C15">
        <w:trPr>
          <w:trHeight w:val="900"/>
        </w:trPr>
        <w:tc>
          <w:tcPr>
            <w:tcW w:w="6882" w:type="dxa"/>
            <w:gridSpan w:val="2"/>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693ED0" w:rsidRPr="00253C15" w:rsidRDefault="00693ED0">
            <w:pPr>
              <w:spacing w:before="0" w:after="0"/>
              <w:jc w:val="center"/>
              <w:rPr>
                <w:b/>
                <w:bCs/>
                <w:noProof/>
                <w:color w:val="000000"/>
                <w:sz w:val="22"/>
              </w:rPr>
            </w:pPr>
            <w:r w:rsidRPr="00253C15">
              <w:rPr>
                <w:b/>
                <w:noProof/>
                <w:color w:val="000000"/>
                <w:sz w:val="22"/>
              </w:rPr>
              <w:t xml:space="preserve">Mittel INSGESAMT unter der RUBRIK 7 des Mehrjährigen Finanzrahmens </w:t>
            </w:r>
          </w:p>
        </w:tc>
        <w:tc>
          <w:tcPr>
            <w:tcW w:w="1010" w:type="dxa"/>
            <w:gridSpan w:val="2"/>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 w:val="18"/>
                <w:szCs w:val="18"/>
              </w:rPr>
            </w:pPr>
            <w:r w:rsidRPr="00253C15">
              <w:rPr>
                <w:noProof/>
                <w:color w:val="000000"/>
                <w:sz w:val="18"/>
              </w:rPr>
              <w:t>(Verpflichtungen insges. = Zahlungen insges.)</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c>
          <w:tcPr>
            <w:tcW w:w="1244" w:type="dxa"/>
            <w:tcBorders>
              <w:top w:val="single" w:sz="8" w:space="0" w:color="auto"/>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20"/>
                <w:szCs w:val="20"/>
              </w:rPr>
            </w:pPr>
            <w:r w:rsidRPr="00253C15">
              <w:rPr>
                <w:b/>
                <w:noProof/>
                <w:color w:val="000000"/>
                <w:sz w:val="20"/>
              </w:rPr>
              <w:t>0,000</w:t>
            </w:r>
          </w:p>
        </w:tc>
      </w:tr>
    </w:tbl>
    <w:p w:rsidR="00693ED0" w:rsidRPr="00253C15" w:rsidRDefault="00693ED0" w:rsidP="00693ED0">
      <w:pPr>
        <w:jc w:val="right"/>
        <w:rPr>
          <w:noProof/>
          <w:sz w:val="20"/>
        </w:rPr>
      </w:pPr>
      <w:r w:rsidRPr="00253C15">
        <w:rPr>
          <w:noProof/>
          <w:sz w:val="20"/>
        </w:rPr>
        <w:t>in Mio. EUR (3 Dezimalstellen)</w:t>
      </w:r>
    </w:p>
    <w:tbl>
      <w:tblPr>
        <w:tblW w:w="13140" w:type="dxa"/>
        <w:tblInd w:w="118" w:type="dxa"/>
        <w:tblLook w:val="04A0" w:firstRow="1" w:lastRow="0" w:firstColumn="1" w:lastColumn="0" w:noHBand="0" w:noVBand="1"/>
      </w:tblPr>
      <w:tblGrid>
        <w:gridCol w:w="5169"/>
        <w:gridCol w:w="1918"/>
        <w:gridCol w:w="1159"/>
        <w:gridCol w:w="1159"/>
        <w:gridCol w:w="1159"/>
        <w:gridCol w:w="1159"/>
        <w:gridCol w:w="1417"/>
      </w:tblGrid>
      <w:tr w:rsidR="00693ED0" w:rsidRPr="00253C15">
        <w:trPr>
          <w:trHeight w:val="288"/>
        </w:trPr>
        <w:tc>
          <w:tcPr>
            <w:tcW w:w="710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Cs w:val="24"/>
              </w:rPr>
            </w:pPr>
            <w:r w:rsidRPr="00253C15">
              <w:rPr>
                <w:noProof/>
                <w:color w:val="000000"/>
              </w:rPr>
              <w:t xml:space="preserve"> </w:t>
            </w:r>
          </w:p>
        </w:tc>
        <w:tc>
          <w:tcPr>
            <w:tcW w:w="1160" w:type="dxa"/>
            <w:tcBorders>
              <w:top w:val="single" w:sz="8" w:space="0" w:color="auto"/>
              <w:left w:val="nil"/>
              <w:bottom w:val="nil"/>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1160" w:type="dxa"/>
            <w:tcBorders>
              <w:top w:val="single" w:sz="8" w:space="0" w:color="auto"/>
              <w:left w:val="nil"/>
              <w:bottom w:val="nil"/>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1160" w:type="dxa"/>
            <w:tcBorders>
              <w:top w:val="single" w:sz="8" w:space="0" w:color="auto"/>
              <w:left w:val="nil"/>
              <w:bottom w:val="nil"/>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1160" w:type="dxa"/>
            <w:tcBorders>
              <w:top w:val="single" w:sz="8" w:space="0" w:color="auto"/>
              <w:left w:val="nil"/>
              <w:bottom w:val="nil"/>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2021-2027 INSGESAMT</w:t>
            </w:r>
          </w:p>
        </w:tc>
      </w:tr>
      <w:tr w:rsidR="00693ED0" w:rsidRPr="00253C15">
        <w:trPr>
          <w:trHeight w:val="300"/>
        </w:trPr>
        <w:tc>
          <w:tcPr>
            <w:tcW w:w="7100" w:type="dxa"/>
            <w:gridSpan w:val="2"/>
            <w:vMerge/>
            <w:tcBorders>
              <w:top w:val="single" w:sz="8" w:space="0" w:color="auto"/>
              <w:left w:val="single" w:sz="8" w:space="0" w:color="auto"/>
              <w:bottom w:val="single" w:sz="8" w:space="0" w:color="auto"/>
              <w:right w:val="single" w:sz="8" w:space="0" w:color="auto"/>
            </w:tcBorders>
            <w:vAlign w:val="center"/>
            <w:hideMark/>
          </w:tcPr>
          <w:p w:rsidR="00693ED0" w:rsidRPr="00253C15" w:rsidRDefault="00693ED0">
            <w:pPr>
              <w:spacing w:before="0" w:after="0"/>
              <w:jc w:val="left"/>
              <w:rPr>
                <w:noProof/>
                <w:color w:val="000000"/>
                <w:szCs w:val="24"/>
                <w:lang w:eastAsia="en-IE"/>
              </w:rPr>
            </w:pPr>
          </w:p>
        </w:tc>
        <w:tc>
          <w:tcPr>
            <w:tcW w:w="1160" w:type="dxa"/>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2024</w:t>
            </w:r>
          </w:p>
        </w:tc>
        <w:tc>
          <w:tcPr>
            <w:tcW w:w="1160" w:type="dxa"/>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2025</w:t>
            </w:r>
          </w:p>
        </w:tc>
        <w:tc>
          <w:tcPr>
            <w:tcW w:w="1160" w:type="dxa"/>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2026</w:t>
            </w:r>
          </w:p>
        </w:tc>
        <w:tc>
          <w:tcPr>
            <w:tcW w:w="1160" w:type="dxa"/>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2027</w:t>
            </w:r>
          </w:p>
        </w:tc>
        <w:tc>
          <w:tcPr>
            <w:tcW w:w="1400" w:type="dxa"/>
            <w:vMerge/>
            <w:tcBorders>
              <w:top w:val="single" w:sz="8" w:space="0" w:color="auto"/>
              <w:left w:val="single" w:sz="8" w:space="0" w:color="auto"/>
              <w:bottom w:val="single" w:sz="8" w:space="0" w:color="000000"/>
              <w:right w:val="single" w:sz="8" w:space="0" w:color="auto"/>
            </w:tcBorders>
            <w:vAlign w:val="center"/>
            <w:hideMark/>
          </w:tcPr>
          <w:p w:rsidR="00693ED0" w:rsidRPr="00253C15" w:rsidRDefault="00693ED0">
            <w:pPr>
              <w:spacing w:before="0" w:after="0"/>
              <w:jc w:val="left"/>
              <w:rPr>
                <w:b/>
                <w:bCs/>
                <w:noProof/>
                <w:color w:val="000000"/>
                <w:sz w:val="20"/>
                <w:szCs w:val="20"/>
                <w:lang w:eastAsia="en-IE"/>
              </w:rPr>
            </w:pPr>
          </w:p>
        </w:tc>
      </w:tr>
      <w:tr w:rsidR="00693ED0" w:rsidRPr="00253C15">
        <w:trPr>
          <w:trHeight w:val="564"/>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253C15" w:rsidRDefault="00693ED0">
            <w:pPr>
              <w:spacing w:before="0" w:after="0"/>
              <w:jc w:val="center"/>
              <w:rPr>
                <w:b/>
                <w:bCs/>
                <w:noProof/>
                <w:color w:val="000000"/>
                <w:sz w:val="22"/>
              </w:rPr>
            </w:pPr>
            <w:r w:rsidRPr="00253C15">
              <w:rPr>
                <w:b/>
                <w:noProof/>
                <w:color w:val="000000"/>
                <w:sz w:val="22"/>
              </w:rPr>
              <w:t>Mittel INSGESAMT unter den RUBRIKEN 1 bis 7</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rPr>
                <w:noProof/>
                <w:color w:val="000000"/>
                <w:sz w:val="18"/>
                <w:szCs w:val="18"/>
              </w:rPr>
            </w:pPr>
            <w:r w:rsidRPr="00253C15">
              <w:rPr>
                <w:noProof/>
                <w:color w:val="000000"/>
                <w:sz w:val="18"/>
              </w:rPr>
              <w:t>Verpflichtungen</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Cs w:val="24"/>
              </w:rPr>
            </w:pPr>
            <w:r w:rsidRPr="00253C15">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Cs w:val="24"/>
              </w:rPr>
            </w:pPr>
            <w:r w:rsidRPr="00253C15">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Cs w:val="24"/>
              </w:rPr>
            </w:pPr>
            <w:r w:rsidRPr="00253C15">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Cs w:val="24"/>
              </w:rPr>
            </w:pPr>
            <w:r w:rsidRPr="00253C15">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Cs w:val="24"/>
              </w:rPr>
            </w:pPr>
            <w:r w:rsidRPr="00253C15">
              <w:rPr>
                <w:b/>
                <w:noProof/>
                <w:color w:val="000000"/>
              </w:rPr>
              <w:t>0,000</w:t>
            </w:r>
          </w:p>
        </w:tc>
      </w:tr>
      <w:tr w:rsidR="00693ED0" w:rsidRPr="00253C15">
        <w:trPr>
          <w:trHeight w:val="540"/>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253C15" w:rsidRDefault="00693ED0">
            <w:pPr>
              <w:spacing w:before="0" w:after="0"/>
              <w:jc w:val="center"/>
              <w:rPr>
                <w:noProof/>
                <w:color w:val="000000"/>
                <w:sz w:val="22"/>
              </w:rPr>
            </w:pPr>
            <w:r w:rsidRPr="00253C15">
              <w:rPr>
                <w:noProof/>
                <w:color w:val="000000"/>
                <w:sz w:val="22"/>
              </w:rPr>
              <w:t>des Mehrjährigen Finanzrahmens</w:t>
            </w:r>
            <w:r w:rsidRPr="00253C15">
              <w:rPr>
                <w:b/>
                <w:noProof/>
                <w:color w:val="000000"/>
                <w:sz w:val="22"/>
              </w:rPr>
              <w:t xml:space="preserve"> </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rPr>
                <w:noProof/>
                <w:color w:val="000000"/>
                <w:sz w:val="18"/>
                <w:szCs w:val="18"/>
              </w:rPr>
            </w:pPr>
            <w:r w:rsidRPr="00253C15">
              <w:rPr>
                <w:noProof/>
                <w:color w:val="000000"/>
                <w:sz w:val="18"/>
              </w:rPr>
              <w:t>Zahlungen</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Cs w:val="24"/>
              </w:rPr>
            </w:pPr>
            <w:r w:rsidRPr="00253C15">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Cs w:val="24"/>
              </w:rPr>
            </w:pPr>
            <w:r w:rsidRPr="00253C15">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Cs w:val="24"/>
              </w:rPr>
            </w:pPr>
            <w:r w:rsidRPr="00253C15">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Cs w:val="24"/>
              </w:rPr>
            </w:pPr>
            <w:r w:rsidRPr="00253C15">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Cs w:val="24"/>
              </w:rPr>
            </w:pPr>
            <w:r w:rsidRPr="00253C15">
              <w:rPr>
                <w:b/>
                <w:noProof/>
                <w:color w:val="000000"/>
              </w:rPr>
              <w:t>0,000</w:t>
            </w:r>
          </w:p>
        </w:tc>
      </w:tr>
    </w:tbl>
    <w:p w:rsidR="00693ED0" w:rsidRPr="00253C15" w:rsidRDefault="00693ED0" w:rsidP="00693ED0">
      <w:pPr>
        <w:pStyle w:val="ManualHeading3"/>
        <w:rPr>
          <w:bCs/>
          <w:noProof/>
          <w:szCs w:val="24"/>
        </w:rPr>
      </w:pPr>
      <w:bookmarkStart w:id="149" w:name="_Toc514938054"/>
      <w:bookmarkStart w:id="150" w:name="_Toc520485053"/>
      <w:bookmarkStart w:id="151" w:name="_Toc160804597"/>
      <w:bookmarkStart w:id="152" w:name="_Toc167220289"/>
      <w:bookmarkStart w:id="153" w:name="_Toc177549022"/>
      <w:r w:rsidRPr="00253C15">
        <w:rPr>
          <w:noProof/>
        </w:rPr>
        <w:t>3.2.2.</w:t>
      </w:r>
      <w:r w:rsidRPr="00253C15">
        <w:rPr>
          <w:noProof/>
        </w:rPr>
        <w:tab/>
        <w:t>Geschätzter Output, der mit operativen Mitteln finanziert wird</w:t>
      </w:r>
      <w:bookmarkEnd w:id="149"/>
      <w:bookmarkEnd w:id="150"/>
      <w:r w:rsidRPr="00253C15">
        <w:rPr>
          <w:noProof/>
        </w:rPr>
        <w:t xml:space="preserve"> (nicht auszufüllen im Fall dezentraler Agenturen)</w:t>
      </w:r>
      <w:bookmarkEnd w:id="151"/>
      <w:bookmarkEnd w:id="152"/>
      <w:bookmarkEnd w:id="153"/>
    </w:p>
    <w:p w:rsidR="00693ED0" w:rsidRPr="00253C15" w:rsidRDefault="00693ED0" w:rsidP="00693ED0">
      <w:pPr>
        <w:jc w:val="right"/>
        <w:rPr>
          <w:noProof/>
          <w:sz w:val="20"/>
        </w:rPr>
      </w:pPr>
      <w:r w:rsidRPr="00253C15">
        <w:rPr>
          <w:noProof/>
          <w:sz w:val="20"/>
        </w:rPr>
        <w:t>Mittel für Verpflichtungen, in Mio. EUR (3 Dezimalstellen)</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693ED0" w:rsidRPr="00253C15" w:rsidTr="17618B6F">
        <w:trPr>
          <w:jc w:val="center"/>
        </w:trPr>
        <w:tc>
          <w:tcPr>
            <w:tcW w:w="1423" w:type="dxa"/>
            <w:vMerge w:val="restart"/>
            <w:vAlign w:val="center"/>
          </w:tcPr>
          <w:p w:rsidR="00693ED0" w:rsidRPr="00253C15" w:rsidRDefault="00693ED0">
            <w:pPr>
              <w:ind w:right="-29"/>
              <w:jc w:val="center"/>
              <w:rPr>
                <w:b/>
                <w:noProof/>
                <w:sz w:val="18"/>
                <w:szCs w:val="18"/>
              </w:rPr>
            </w:pPr>
            <w:r w:rsidRPr="00253C15">
              <w:rPr>
                <w:b/>
                <w:noProof/>
                <w:sz w:val="18"/>
              </w:rPr>
              <w:t xml:space="preserve">Ziele und Outputs angeben </w:t>
            </w:r>
          </w:p>
          <w:p w:rsidR="00693ED0" w:rsidRPr="00253C15" w:rsidRDefault="00693ED0">
            <w:pPr>
              <w:ind w:right="-29"/>
              <w:jc w:val="center"/>
              <w:rPr>
                <w:b/>
                <w:noProof/>
                <w:sz w:val="18"/>
                <w:szCs w:val="18"/>
              </w:rPr>
            </w:pPr>
          </w:p>
          <w:p w:rsidR="00693ED0" w:rsidRPr="00253C15" w:rsidRDefault="00693ED0">
            <w:pPr>
              <w:ind w:right="-29"/>
              <w:jc w:val="center"/>
              <w:rPr>
                <w:noProof/>
                <w:sz w:val="18"/>
                <w:szCs w:val="18"/>
              </w:rPr>
            </w:pPr>
            <w:r w:rsidRPr="00253C15">
              <w:rPr>
                <w:rFonts w:ascii="Wingdings" w:hAnsi="Wingdings"/>
                <w:noProof/>
                <w:sz w:val="18"/>
              </w:rPr>
              <w:t></w:t>
            </w:r>
          </w:p>
        </w:tc>
        <w:tc>
          <w:tcPr>
            <w:tcW w:w="720" w:type="dxa"/>
            <w:vAlign w:val="center"/>
          </w:tcPr>
          <w:p w:rsidR="00693ED0" w:rsidRPr="00253C15" w:rsidRDefault="00693ED0">
            <w:pPr>
              <w:ind w:right="-29"/>
              <w:jc w:val="center"/>
              <w:rPr>
                <w:noProof/>
                <w:sz w:val="18"/>
                <w:szCs w:val="18"/>
              </w:rPr>
            </w:pPr>
          </w:p>
        </w:tc>
        <w:tc>
          <w:tcPr>
            <w:tcW w:w="701" w:type="dxa"/>
            <w:vAlign w:val="center"/>
          </w:tcPr>
          <w:p w:rsidR="00693ED0" w:rsidRPr="00253C15" w:rsidRDefault="00693ED0">
            <w:pPr>
              <w:ind w:right="-29"/>
              <w:jc w:val="center"/>
              <w:rPr>
                <w:noProof/>
                <w:sz w:val="18"/>
                <w:szCs w:val="18"/>
              </w:rPr>
            </w:pPr>
          </w:p>
        </w:tc>
        <w:tc>
          <w:tcPr>
            <w:tcW w:w="1224" w:type="dxa"/>
            <w:gridSpan w:val="2"/>
            <w:tcBorders>
              <w:left w:val="nil"/>
            </w:tcBorders>
            <w:vAlign w:val="center"/>
          </w:tcPr>
          <w:p w:rsidR="00693ED0" w:rsidRPr="00253C15" w:rsidRDefault="00693ED0">
            <w:pPr>
              <w:ind w:right="-29"/>
              <w:jc w:val="center"/>
              <w:rPr>
                <w:noProof/>
                <w:sz w:val="18"/>
                <w:szCs w:val="18"/>
              </w:rPr>
            </w:pPr>
            <w:r w:rsidRPr="00253C15">
              <w:rPr>
                <w:noProof/>
                <w:sz w:val="18"/>
              </w:rPr>
              <w:t xml:space="preserve">Jahr </w:t>
            </w:r>
            <w:r w:rsidRPr="00253C15">
              <w:rPr>
                <w:noProof/>
              </w:rPr>
              <w:cr/>
            </w:r>
            <w:r w:rsidRPr="00253C15">
              <w:rPr>
                <w:noProof/>
              </w:rPr>
              <w:br/>
            </w:r>
            <w:r w:rsidRPr="00253C15">
              <w:rPr>
                <w:b/>
                <w:noProof/>
                <w:sz w:val="18"/>
              </w:rPr>
              <w:t>2024</w:t>
            </w:r>
          </w:p>
        </w:tc>
        <w:tc>
          <w:tcPr>
            <w:tcW w:w="1260" w:type="dxa"/>
            <w:gridSpan w:val="2"/>
            <w:vAlign w:val="center"/>
          </w:tcPr>
          <w:p w:rsidR="00693ED0" w:rsidRPr="00253C15" w:rsidRDefault="00693ED0">
            <w:pPr>
              <w:ind w:right="-29"/>
              <w:jc w:val="center"/>
              <w:rPr>
                <w:noProof/>
                <w:sz w:val="18"/>
                <w:szCs w:val="18"/>
              </w:rPr>
            </w:pPr>
            <w:r w:rsidRPr="00253C15">
              <w:rPr>
                <w:noProof/>
                <w:sz w:val="18"/>
              </w:rPr>
              <w:t xml:space="preserve">Jahr </w:t>
            </w:r>
            <w:r w:rsidRPr="00253C15">
              <w:rPr>
                <w:noProof/>
              </w:rPr>
              <w:cr/>
            </w:r>
            <w:r w:rsidRPr="00253C15">
              <w:rPr>
                <w:noProof/>
              </w:rPr>
              <w:br/>
            </w:r>
            <w:r w:rsidRPr="00253C15">
              <w:rPr>
                <w:b/>
                <w:noProof/>
                <w:sz w:val="18"/>
              </w:rPr>
              <w:t>2025</w:t>
            </w:r>
          </w:p>
        </w:tc>
        <w:tc>
          <w:tcPr>
            <w:tcW w:w="1440" w:type="dxa"/>
            <w:gridSpan w:val="2"/>
            <w:vAlign w:val="center"/>
          </w:tcPr>
          <w:p w:rsidR="00693ED0" w:rsidRPr="00253C15" w:rsidRDefault="00693ED0">
            <w:pPr>
              <w:ind w:right="-29"/>
              <w:jc w:val="center"/>
              <w:rPr>
                <w:noProof/>
                <w:sz w:val="18"/>
                <w:szCs w:val="18"/>
              </w:rPr>
            </w:pPr>
            <w:r w:rsidRPr="00253C15">
              <w:rPr>
                <w:noProof/>
                <w:sz w:val="18"/>
              </w:rPr>
              <w:t xml:space="preserve">Jahr </w:t>
            </w:r>
            <w:r w:rsidRPr="00253C15">
              <w:rPr>
                <w:noProof/>
              </w:rPr>
              <w:cr/>
            </w:r>
            <w:r w:rsidRPr="00253C15">
              <w:rPr>
                <w:noProof/>
              </w:rPr>
              <w:br/>
            </w:r>
            <w:r w:rsidRPr="00253C15">
              <w:rPr>
                <w:b/>
                <w:noProof/>
                <w:sz w:val="18"/>
              </w:rPr>
              <w:t>2026</w:t>
            </w:r>
          </w:p>
        </w:tc>
        <w:tc>
          <w:tcPr>
            <w:tcW w:w="1620" w:type="dxa"/>
            <w:gridSpan w:val="3"/>
            <w:vAlign w:val="center"/>
          </w:tcPr>
          <w:p w:rsidR="00693ED0" w:rsidRPr="00253C15" w:rsidRDefault="00693ED0">
            <w:pPr>
              <w:ind w:right="-29"/>
              <w:jc w:val="center"/>
              <w:rPr>
                <w:noProof/>
                <w:sz w:val="18"/>
                <w:szCs w:val="18"/>
              </w:rPr>
            </w:pPr>
            <w:r w:rsidRPr="00253C15">
              <w:rPr>
                <w:noProof/>
                <w:sz w:val="18"/>
              </w:rPr>
              <w:t xml:space="preserve">Jahr </w:t>
            </w:r>
            <w:r w:rsidRPr="00253C15">
              <w:rPr>
                <w:noProof/>
              </w:rPr>
              <w:cr/>
            </w:r>
            <w:r w:rsidRPr="00253C15">
              <w:rPr>
                <w:noProof/>
              </w:rPr>
              <w:br/>
            </w:r>
            <w:r w:rsidRPr="00253C15">
              <w:rPr>
                <w:b/>
                <w:noProof/>
                <w:sz w:val="18"/>
              </w:rPr>
              <w:t>2027</w:t>
            </w:r>
          </w:p>
        </w:tc>
        <w:tc>
          <w:tcPr>
            <w:tcW w:w="3600" w:type="dxa"/>
            <w:gridSpan w:val="6"/>
            <w:vAlign w:val="center"/>
          </w:tcPr>
          <w:p w:rsidR="00693ED0" w:rsidRPr="00253C15" w:rsidRDefault="00693ED0">
            <w:pPr>
              <w:jc w:val="center"/>
              <w:rPr>
                <w:noProof/>
                <w:sz w:val="18"/>
                <w:szCs w:val="18"/>
              </w:rPr>
            </w:pPr>
            <w:r w:rsidRPr="00253C15">
              <w:rPr>
                <w:noProof/>
                <w:sz w:val="18"/>
              </w:rPr>
              <w:t>Bei länger andauernden Auswirkungen bitte weitere Spalten einfügen (siehe 1.6)</w:t>
            </w:r>
          </w:p>
        </w:tc>
        <w:tc>
          <w:tcPr>
            <w:tcW w:w="1620" w:type="dxa"/>
            <w:gridSpan w:val="2"/>
            <w:tcBorders>
              <w:left w:val="nil"/>
              <w:bottom w:val="nil"/>
            </w:tcBorders>
            <w:vAlign w:val="center"/>
          </w:tcPr>
          <w:p w:rsidR="00693ED0" w:rsidRPr="00253C15" w:rsidRDefault="00693ED0">
            <w:pPr>
              <w:ind w:right="-29"/>
              <w:jc w:val="center"/>
              <w:rPr>
                <w:noProof/>
                <w:sz w:val="18"/>
                <w:szCs w:val="18"/>
              </w:rPr>
            </w:pPr>
            <w:r w:rsidRPr="00253C15">
              <w:rPr>
                <w:b/>
                <w:noProof/>
                <w:sz w:val="18"/>
              </w:rPr>
              <w:t>INSGESAMT</w:t>
            </w:r>
          </w:p>
        </w:tc>
      </w:tr>
      <w:tr w:rsidR="00693ED0" w:rsidRPr="00253C15" w:rsidTr="17618B6F">
        <w:trPr>
          <w:jc w:val="center"/>
        </w:trPr>
        <w:tc>
          <w:tcPr>
            <w:tcW w:w="1423" w:type="dxa"/>
            <w:vMerge/>
            <w:vAlign w:val="center"/>
          </w:tcPr>
          <w:p w:rsidR="00693ED0" w:rsidRPr="00253C15" w:rsidRDefault="00693ED0">
            <w:pPr>
              <w:ind w:right="-29"/>
              <w:jc w:val="center"/>
              <w:rPr>
                <w:noProof/>
                <w:sz w:val="18"/>
                <w:szCs w:val="18"/>
              </w:rPr>
            </w:pPr>
          </w:p>
        </w:tc>
        <w:tc>
          <w:tcPr>
            <w:tcW w:w="12185" w:type="dxa"/>
            <w:gridSpan w:val="19"/>
            <w:vAlign w:val="center"/>
          </w:tcPr>
          <w:p w:rsidR="00693ED0" w:rsidRPr="00253C15" w:rsidRDefault="00693ED0">
            <w:pPr>
              <w:spacing w:before="60" w:after="60"/>
              <w:ind w:right="-29"/>
              <w:jc w:val="center"/>
              <w:rPr>
                <w:noProof/>
                <w:sz w:val="18"/>
                <w:szCs w:val="18"/>
              </w:rPr>
            </w:pPr>
            <w:r w:rsidRPr="00253C15">
              <w:rPr>
                <w:b/>
                <w:noProof/>
                <w:sz w:val="18"/>
              </w:rPr>
              <w:t>OUTPUTS</w:t>
            </w:r>
          </w:p>
        </w:tc>
      </w:tr>
      <w:tr w:rsidR="00DF2D2B" w:rsidRPr="00253C15" w:rsidTr="00DF2D2B">
        <w:trPr>
          <w:cantSplit/>
          <w:trHeight w:val="1134"/>
          <w:jc w:val="center"/>
        </w:trPr>
        <w:tc>
          <w:tcPr>
            <w:tcW w:w="1423" w:type="dxa"/>
            <w:vMerge/>
            <w:vAlign w:val="center"/>
          </w:tcPr>
          <w:p w:rsidR="00693ED0" w:rsidRPr="00253C15" w:rsidRDefault="00693ED0">
            <w:pPr>
              <w:rPr>
                <w:noProof/>
                <w:sz w:val="18"/>
                <w:szCs w:val="18"/>
              </w:rPr>
            </w:pPr>
          </w:p>
        </w:tc>
        <w:tc>
          <w:tcPr>
            <w:tcW w:w="720" w:type="dxa"/>
            <w:vAlign w:val="center"/>
          </w:tcPr>
          <w:p w:rsidR="00693ED0" w:rsidRPr="00253C15" w:rsidRDefault="00693ED0">
            <w:pPr>
              <w:jc w:val="center"/>
              <w:rPr>
                <w:noProof/>
                <w:sz w:val="18"/>
                <w:szCs w:val="18"/>
              </w:rPr>
            </w:pPr>
            <w:r w:rsidRPr="00253C15">
              <w:rPr>
                <w:noProof/>
                <w:sz w:val="18"/>
              </w:rPr>
              <w:t>Art</w:t>
            </w:r>
            <w:r w:rsidRPr="00253C15">
              <w:rPr>
                <w:rStyle w:val="FootnoteReference"/>
                <w:noProof/>
                <w:sz w:val="18"/>
                <w:szCs w:val="18"/>
              </w:rPr>
              <w:footnoteReference w:id="24"/>
            </w:r>
          </w:p>
          <w:p w:rsidR="00693ED0" w:rsidRPr="00253C15" w:rsidRDefault="00693ED0">
            <w:pPr>
              <w:spacing w:before="0" w:after="0"/>
              <w:jc w:val="center"/>
              <w:rPr>
                <w:noProof/>
                <w:sz w:val="18"/>
                <w:szCs w:val="18"/>
              </w:rPr>
            </w:pPr>
          </w:p>
        </w:tc>
        <w:tc>
          <w:tcPr>
            <w:tcW w:w="701" w:type="dxa"/>
            <w:vAlign w:val="center"/>
          </w:tcPr>
          <w:p w:rsidR="00693ED0" w:rsidRPr="00253C15" w:rsidRDefault="00693ED0">
            <w:pPr>
              <w:jc w:val="center"/>
              <w:rPr>
                <w:noProof/>
                <w:sz w:val="18"/>
                <w:szCs w:val="18"/>
              </w:rPr>
            </w:pPr>
            <w:r w:rsidRPr="00253C15">
              <w:rPr>
                <w:noProof/>
                <w:sz w:val="18"/>
              </w:rPr>
              <w:t>Durchschnittskosten</w:t>
            </w:r>
          </w:p>
        </w:tc>
        <w:tc>
          <w:tcPr>
            <w:tcW w:w="504" w:type="dxa"/>
            <w:tcBorders>
              <w:left w:val="nil"/>
              <w:right w:val="dashSmallGap" w:sz="4" w:space="0" w:color="auto"/>
            </w:tcBorders>
            <w:shd w:val="clear" w:color="auto" w:fill="auto"/>
            <w:textDirection w:val="btLr"/>
            <w:vAlign w:val="center"/>
          </w:tcPr>
          <w:p w:rsidR="00693ED0" w:rsidRPr="00253C15" w:rsidRDefault="00693ED0">
            <w:pPr>
              <w:ind w:left="113" w:right="113"/>
              <w:jc w:val="center"/>
              <w:rPr>
                <w:noProof/>
                <w:sz w:val="18"/>
                <w:szCs w:val="18"/>
              </w:rPr>
            </w:pPr>
            <w:r w:rsidRPr="00253C15">
              <w:rPr>
                <w:noProof/>
                <w:sz w:val="18"/>
              </w:rPr>
              <w:t>Anzahl</w:t>
            </w:r>
          </w:p>
        </w:tc>
        <w:tc>
          <w:tcPr>
            <w:tcW w:w="720" w:type="dxa"/>
            <w:tcBorders>
              <w:left w:val="dashSmallGap" w:sz="4" w:space="0" w:color="auto"/>
            </w:tcBorders>
            <w:shd w:val="clear" w:color="auto" w:fill="auto"/>
            <w:vAlign w:val="center"/>
          </w:tcPr>
          <w:p w:rsidR="00693ED0" w:rsidRPr="00253C15" w:rsidRDefault="00693ED0">
            <w:pPr>
              <w:jc w:val="center"/>
              <w:rPr>
                <w:noProof/>
                <w:sz w:val="18"/>
                <w:szCs w:val="18"/>
              </w:rPr>
            </w:pPr>
            <w:r w:rsidRPr="00253C15">
              <w:rPr>
                <w:noProof/>
                <w:sz w:val="18"/>
              </w:rPr>
              <w:t>Kosten</w:t>
            </w:r>
          </w:p>
        </w:tc>
        <w:tc>
          <w:tcPr>
            <w:tcW w:w="540" w:type="dxa"/>
            <w:tcBorders>
              <w:right w:val="dashSmallGap" w:sz="4" w:space="0" w:color="auto"/>
            </w:tcBorders>
            <w:shd w:val="clear" w:color="auto" w:fill="auto"/>
            <w:textDirection w:val="btLr"/>
            <w:vAlign w:val="center"/>
          </w:tcPr>
          <w:p w:rsidR="00693ED0" w:rsidRPr="00253C15" w:rsidRDefault="00693ED0">
            <w:pPr>
              <w:ind w:left="113" w:right="113"/>
              <w:jc w:val="center"/>
              <w:rPr>
                <w:noProof/>
                <w:sz w:val="18"/>
                <w:szCs w:val="18"/>
              </w:rPr>
            </w:pPr>
            <w:r w:rsidRPr="00253C15">
              <w:rPr>
                <w:noProof/>
                <w:sz w:val="18"/>
              </w:rPr>
              <w:t>Anzahl</w:t>
            </w:r>
          </w:p>
        </w:tc>
        <w:tc>
          <w:tcPr>
            <w:tcW w:w="720" w:type="dxa"/>
            <w:tcBorders>
              <w:left w:val="dashSmallGap" w:sz="4" w:space="0" w:color="auto"/>
            </w:tcBorders>
            <w:shd w:val="clear" w:color="auto" w:fill="auto"/>
            <w:vAlign w:val="center"/>
          </w:tcPr>
          <w:p w:rsidR="00693ED0" w:rsidRPr="00253C15" w:rsidRDefault="00693ED0">
            <w:pPr>
              <w:jc w:val="center"/>
              <w:rPr>
                <w:noProof/>
                <w:sz w:val="18"/>
                <w:szCs w:val="18"/>
              </w:rPr>
            </w:pPr>
            <w:r w:rsidRPr="00253C15">
              <w:rPr>
                <w:noProof/>
                <w:sz w:val="18"/>
              </w:rPr>
              <w:t>Kosten</w:t>
            </w:r>
          </w:p>
        </w:tc>
        <w:tc>
          <w:tcPr>
            <w:tcW w:w="720" w:type="dxa"/>
            <w:tcBorders>
              <w:right w:val="dashSmallGap" w:sz="4" w:space="0" w:color="auto"/>
            </w:tcBorders>
            <w:shd w:val="clear" w:color="auto" w:fill="auto"/>
            <w:textDirection w:val="btLr"/>
            <w:vAlign w:val="center"/>
          </w:tcPr>
          <w:p w:rsidR="00693ED0" w:rsidRPr="00253C15" w:rsidRDefault="00693ED0">
            <w:pPr>
              <w:ind w:left="113" w:right="113"/>
              <w:jc w:val="center"/>
              <w:rPr>
                <w:noProof/>
                <w:sz w:val="18"/>
                <w:szCs w:val="18"/>
              </w:rPr>
            </w:pPr>
            <w:r w:rsidRPr="00253C15">
              <w:rPr>
                <w:noProof/>
                <w:sz w:val="18"/>
              </w:rPr>
              <w:t>Anzahl</w:t>
            </w:r>
          </w:p>
        </w:tc>
        <w:tc>
          <w:tcPr>
            <w:tcW w:w="720" w:type="dxa"/>
            <w:tcBorders>
              <w:left w:val="dashSmallGap" w:sz="4" w:space="0" w:color="auto"/>
            </w:tcBorders>
            <w:shd w:val="clear" w:color="auto" w:fill="auto"/>
            <w:vAlign w:val="center"/>
          </w:tcPr>
          <w:p w:rsidR="00693ED0" w:rsidRPr="00253C15" w:rsidRDefault="00693ED0">
            <w:pPr>
              <w:jc w:val="center"/>
              <w:rPr>
                <w:noProof/>
                <w:sz w:val="18"/>
                <w:szCs w:val="18"/>
              </w:rPr>
            </w:pPr>
            <w:r w:rsidRPr="00253C15">
              <w:rPr>
                <w:noProof/>
                <w:sz w:val="18"/>
              </w:rPr>
              <w:t>Kosten</w:t>
            </w:r>
          </w:p>
        </w:tc>
        <w:tc>
          <w:tcPr>
            <w:tcW w:w="900" w:type="dxa"/>
            <w:tcBorders>
              <w:right w:val="dashSmallGap" w:sz="4" w:space="0" w:color="auto"/>
            </w:tcBorders>
            <w:shd w:val="clear" w:color="auto" w:fill="auto"/>
            <w:textDirection w:val="btLr"/>
            <w:vAlign w:val="center"/>
          </w:tcPr>
          <w:p w:rsidR="00693ED0" w:rsidRPr="00253C15" w:rsidRDefault="00693ED0">
            <w:pPr>
              <w:ind w:left="113" w:right="113"/>
              <w:jc w:val="center"/>
              <w:rPr>
                <w:noProof/>
                <w:sz w:val="18"/>
                <w:szCs w:val="18"/>
              </w:rPr>
            </w:pPr>
            <w:r w:rsidRPr="00253C15">
              <w:rPr>
                <w:noProof/>
                <w:sz w:val="18"/>
              </w:rPr>
              <w:t>Anzahl</w:t>
            </w:r>
          </w:p>
        </w:tc>
        <w:tc>
          <w:tcPr>
            <w:tcW w:w="720" w:type="dxa"/>
            <w:gridSpan w:val="2"/>
            <w:tcBorders>
              <w:left w:val="dashSmallGap" w:sz="4" w:space="0" w:color="auto"/>
            </w:tcBorders>
            <w:shd w:val="clear" w:color="auto" w:fill="auto"/>
            <w:vAlign w:val="center"/>
          </w:tcPr>
          <w:p w:rsidR="00693ED0" w:rsidRPr="00253C15" w:rsidRDefault="00693ED0">
            <w:pPr>
              <w:jc w:val="center"/>
              <w:rPr>
                <w:noProof/>
                <w:sz w:val="18"/>
                <w:szCs w:val="18"/>
              </w:rPr>
            </w:pPr>
            <w:r w:rsidRPr="00253C15">
              <w:rPr>
                <w:noProof/>
                <w:sz w:val="18"/>
              </w:rPr>
              <w:t>Kosten</w:t>
            </w:r>
          </w:p>
        </w:tc>
        <w:tc>
          <w:tcPr>
            <w:tcW w:w="540" w:type="dxa"/>
            <w:tcBorders>
              <w:right w:val="dashSmallGap" w:sz="4" w:space="0" w:color="auto"/>
            </w:tcBorders>
            <w:shd w:val="clear" w:color="auto" w:fill="auto"/>
            <w:textDirection w:val="btLr"/>
            <w:vAlign w:val="center"/>
          </w:tcPr>
          <w:p w:rsidR="00693ED0" w:rsidRPr="00253C15" w:rsidRDefault="00693ED0">
            <w:pPr>
              <w:ind w:left="113" w:right="113"/>
              <w:jc w:val="center"/>
              <w:rPr>
                <w:noProof/>
                <w:sz w:val="18"/>
                <w:szCs w:val="18"/>
              </w:rPr>
            </w:pPr>
            <w:r w:rsidRPr="00253C15">
              <w:rPr>
                <w:noProof/>
                <w:sz w:val="18"/>
              </w:rPr>
              <w:t>Anzahl</w:t>
            </w:r>
          </w:p>
        </w:tc>
        <w:tc>
          <w:tcPr>
            <w:tcW w:w="648" w:type="dxa"/>
            <w:tcBorders>
              <w:left w:val="dashSmallGap" w:sz="4" w:space="0" w:color="auto"/>
            </w:tcBorders>
            <w:shd w:val="clear" w:color="auto" w:fill="auto"/>
            <w:vAlign w:val="center"/>
          </w:tcPr>
          <w:p w:rsidR="00693ED0" w:rsidRPr="00253C15" w:rsidRDefault="00693ED0">
            <w:pPr>
              <w:jc w:val="center"/>
              <w:rPr>
                <w:noProof/>
                <w:sz w:val="18"/>
                <w:szCs w:val="18"/>
              </w:rPr>
            </w:pPr>
            <w:r w:rsidRPr="00253C15">
              <w:rPr>
                <w:noProof/>
                <w:sz w:val="18"/>
              </w:rPr>
              <w:t>Kosten</w:t>
            </w:r>
          </w:p>
        </w:tc>
        <w:tc>
          <w:tcPr>
            <w:tcW w:w="432" w:type="dxa"/>
            <w:tcBorders>
              <w:right w:val="dashSmallGap" w:sz="4" w:space="0" w:color="auto"/>
            </w:tcBorders>
            <w:shd w:val="clear" w:color="auto" w:fill="auto"/>
            <w:textDirection w:val="btLr"/>
            <w:vAlign w:val="center"/>
          </w:tcPr>
          <w:p w:rsidR="00693ED0" w:rsidRPr="00253C15" w:rsidRDefault="00693ED0">
            <w:pPr>
              <w:ind w:left="113" w:right="113"/>
              <w:jc w:val="center"/>
              <w:rPr>
                <w:noProof/>
                <w:sz w:val="18"/>
                <w:szCs w:val="18"/>
              </w:rPr>
            </w:pPr>
            <w:r w:rsidRPr="00253C15">
              <w:rPr>
                <w:noProof/>
                <w:sz w:val="18"/>
              </w:rPr>
              <w:t>Anzahl</w:t>
            </w:r>
          </w:p>
        </w:tc>
        <w:tc>
          <w:tcPr>
            <w:tcW w:w="720" w:type="dxa"/>
            <w:tcBorders>
              <w:left w:val="dashSmallGap" w:sz="4" w:space="0" w:color="auto"/>
            </w:tcBorders>
            <w:shd w:val="clear" w:color="auto" w:fill="auto"/>
            <w:vAlign w:val="center"/>
          </w:tcPr>
          <w:p w:rsidR="00693ED0" w:rsidRPr="00253C15" w:rsidRDefault="00693ED0">
            <w:pPr>
              <w:jc w:val="center"/>
              <w:rPr>
                <w:noProof/>
                <w:sz w:val="18"/>
                <w:szCs w:val="18"/>
              </w:rPr>
            </w:pPr>
            <w:r w:rsidRPr="00253C15">
              <w:rPr>
                <w:noProof/>
                <w:sz w:val="18"/>
              </w:rPr>
              <w:t>Kosten</w:t>
            </w:r>
          </w:p>
        </w:tc>
        <w:tc>
          <w:tcPr>
            <w:tcW w:w="540" w:type="dxa"/>
            <w:tcBorders>
              <w:right w:val="dashSmallGap" w:sz="4" w:space="0" w:color="auto"/>
            </w:tcBorders>
            <w:shd w:val="clear" w:color="auto" w:fill="auto"/>
            <w:textDirection w:val="btLr"/>
            <w:vAlign w:val="center"/>
          </w:tcPr>
          <w:p w:rsidR="00693ED0" w:rsidRPr="00253C15" w:rsidRDefault="00693ED0">
            <w:pPr>
              <w:ind w:left="113" w:right="113"/>
              <w:jc w:val="center"/>
              <w:rPr>
                <w:noProof/>
                <w:sz w:val="18"/>
                <w:szCs w:val="18"/>
              </w:rPr>
            </w:pPr>
            <w:r w:rsidRPr="00253C15">
              <w:rPr>
                <w:noProof/>
                <w:sz w:val="18"/>
              </w:rPr>
              <w:t>Anzahl</w:t>
            </w:r>
          </w:p>
        </w:tc>
        <w:tc>
          <w:tcPr>
            <w:tcW w:w="720" w:type="dxa"/>
            <w:tcBorders>
              <w:left w:val="dashSmallGap" w:sz="4" w:space="0" w:color="auto"/>
            </w:tcBorders>
            <w:shd w:val="clear" w:color="auto" w:fill="auto"/>
            <w:vAlign w:val="center"/>
          </w:tcPr>
          <w:p w:rsidR="00693ED0" w:rsidRPr="00253C15" w:rsidRDefault="00693ED0">
            <w:pPr>
              <w:jc w:val="center"/>
              <w:rPr>
                <w:noProof/>
                <w:sz w:val="18"/>
                <w:szCs w:val="18"/>
              </w:rPr>
            </w:pPr>
            <w:r w:rsidRPr="00253C15">
              <w:rPr>
                <w:noProof/>
                <w:sz w:val="18"/>
              </w:rPr>
              <w:t>Kosten</w:t>
            </w:r>
          </w:p>
        </w:tc>
        <w:tc>
          <w:tcPr>
            <w:tcW w:w="720" w:type="dxa"/>
            <w:tcBorders>
              <w:right w:val="dashSmallGap" w:sz="4" w:space="0" w:color="auto"/>
            </w:tcBorders>
            <w:shd w:val="clear" w:color="auto" w:fill="auto"/>
            <w:vAlign w:val="center"/>
          </w:tcPr>
          <w:p w:rsidR="00693ED0" w:rsidRPr="00253C15" w:rsidRDefault="00693ED0">
            <w:pPr>
              <w:jc w:val="center"/>
              <w:rPr>
                <w:noProof/>
                <w:sz w:val="18"/>
                <w:szCs w:val="18"/>
              </w:rPr>
            </w:pPr>
            <w:r w:rsidRPr="00253C15">
              <w:rPr>
                <w:noProof/>
                <w:sz w:val="18"/>
              </w:rPr>
              <w:t>Gesamtzahl</w:t>
            </w:r>
          </w:p>
        </w:tc>
        <w:tc>
          <w:tcPr>
            <w:tcW w:w="900" w:type="dxa"/>
            <w:tcBorders>
              <w:left w:val="dashSmallGap" w:sz="4" w:space="0" w:color="auto"/>
            </w:tcBorders>
            <w:shd w:val="clear" w:color="auto" w:fill="auto"/>
            <w:vAlign w:val="center"/>
          </w:tcPr>
          <w:p w:rsidR="00693ED0" w:rsidRPr="00253C15" w:rsidRDefault="00693ED0">
            <w:pPr>
              <w:jc w:val="center"/>
              <w:rPr>
                <w:noProof/>
                <w:sz w:val="18"/>
                <w:szCs w:val="18"/>
              </w:rPr>
            </w:pPr>
            <w:r w:rsidRPr="00253C15">
              <w:rPr>
                <w:noProof/>
                <w:sz w:val="18"/>
              </w:rPr>
              <w:t>Gesamtkosten</w:t>
            </w:r>
          </w:p>
        </w:tc>
      </w:tr>
      <w:tr w:rsidR="00693ED0" w:rsidRPr="00253C15" w:rsidTr="17618B6F">
        <w:trPr>
          <w:jc w:val="center"/>
        </w:trPr>
        <w:tc>
          <w:tcPr>
            <w:tcW w:w="2844" w:type="dxa"/>
            <w:gridSpan w:val="3"/>
            <w:vAlign w:val="center"/>
          </w:tcPr>
          <w:p w:rsidR="00693ED0" w:rsidRPr="00253C15" w:rsidRDefault="00693ED0">
            <w:pPr>
              <w:spacing w:before="60" w:after="60"/>
              <w:ind w:right="-29"/>
              <w:jc w:val="center"/>
              <w:rPr>
                <w:noProof/>
                <w:sz w:val="18"/>
                <w:szCs w:val="18"/>
              </w:rPr>
            </w:pPr>
            <w:r w:rsidRPr="00253C15">
              <w:rPr>
                <w:noProof/>
                <w:sz w:val="18"/>
              </w:rPr>
              <w:t>EINZELZIEL Nr. 1</w:t>
            </w:r>
            <w:r w:rsidRPr="00253C15">
              <w:rPr>
                <w:rStyle w:val="FootnoteReference"/>
                <w:noProof/>
                <w:sz w:val="18"/>
                <w:szCs w:val="18"/>
              </w:rPr>
              <w:footnoteReference w:id="25"/>
            </w:r>
            <w:r w:rsidRPr="00253C15">
              <w:rPr>
                <w:noProof/>
                <w:sz w:val="18"/>
              </w:rPr>
              <w:t>…</w:t>
            </w:r>
          </w:p>
        </w:tc>
        <w:tc>
          <w:tcPr>
            <w:tcW w:w="504" w:type="dxa"/>
            <w:tcBorders>
              <w:top w:val="nil"/>
              <w:left w:val="nil"/>
              <w:bottom w:val="nil"/>
              <w:right w:val="nil"/>
            </w:tcBorders>
          </w:tcPr>
          <w:p w:rsidR="00693ED0" w:rsidRPr="00253C15"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253C15"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253C15"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253C15"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253C15"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253C15"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253C15" w:rsidRDefault="00693ED0">
            <w:pPr>
              <w:spacing w:before="60" w:after="60"/>
              <w:ind w:right="-29"/>
              <w:jc w:val="center"/>
              <w:rPr>
                <w:noProof/>
                <w:sz w:val="18"/>
                <w:szCs w:val="18"/>
              </w:rPr>
            </w:pPr>
          </w:p>
        </w:tc>
        <w:tc>
          <w:tcPr>
            <w:tcW w:w="720" w:type="dxa"/>
            <w:gridSpan w:val="2"/>
            <w:tcBorders>
              <w:top w:val="nil"/>
              <w:left w:val="nil"/>
              <w:bottom w:val="nil"/>
              <w:right w:val="nil"/>
            </w:tcBorders>
          </w:tcPr>
          <w:p w:rsidR="00693ED0" w:rsidRPr="00253C15"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253C15" w:rsidRDefault="00693ED0">
            <w:pPr>
              <w:spacing w:before="60" w:after="60"/>
              <w:ind w:right="-29"/>
              <w:jc w:val="center"/>
              <w:rPr>
                <w:noProof/>
                <w:sz w:val="18"/>
                <w:szCs w:val="18"/>
              </w:rPr>
            </w:pPr>
          </w:p>
        </w:tc>
        <w:tc>
          <w:tcPr>
            <w:tcW w:w="648" w:type="dxa"/>
            <w:tcBorders>
              <w:top w:val="nil"/>
              <w:left w:val="nil"/>
              <w:bottom w:val="nil"/>
              <w:right w:val="nil"/>
            </w:tcBorders>
          </w:tcPr>
          <w:p w:rsidR="00693ED0" w:rsidRPr="00253C15" w:rsidRDefault="00693ED0">
            <w:pPr>
              <w:spacing w:before="60" w:after="60"/>
              <w:ind w:right="-29"/>
              <w:jc w:val="center"/>
              <w:rPr>
                <w:noProof/>
                <w:sz w:val="18"/>
                <w:szCs w:val="18"/>
              </w:rPr>
            </w:pPr>
          </w:p>
        </w:tc>
        <w:tc>
          <w:tcPr>
            <w:tcW w:w="432" w:type="dxa"/>
            <w:tcBorders>
              <w:top w:val="nil"/>
              <w:left w:val="nil"/>
              <w:bottom w:val="nil"/>
              <w:right w:val="nil"/>
            </w:tcBorders>
          </w:tcPr>
          <w:p w:rsidR="00693ED0" w:rsidRPr="00253C15"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253C15"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253C15"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253C15"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253C15"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253C15" w:rsidRDefault="00693ED0">
            <w:pPr>
              <w:spacing w:before="60" w:after="60"/>
              <w:ind w:right="-29"/>
              <w:jc w:val="center"/>
              <w:rPr>
                <w:noProof/>
                <w:sz w:val="18"/>
                <w:szCs w:val="18"/>
              </w:rPr>
            </w:pPr>
          </w:p>
        </w:tc>
      </w:tr>
      <w:tr w:rsidR="00693ED0" w:rsidRPr="00253C15" w:rsidTr="17618B6F">
        <w:trPr>
          <w:trHeight w:hRule="exact" w:val="369"/>
          <w:jc w:val="center"/>
        </w:trPr>
        <w:tc>
          <w:tcPr>
            <w:tcW w:w="1423" w:type="dxa"/>
          </w:tcPr>
          <w:p w:rsidR="00693ED0" w:rsidRPr="00253C15" w:rsidRDefault="00693ED0">
            <w:pPr>
              <w:ind w:right="-29"/>
              <w:jc w:val="center"/>
              <w:rPr>
                <w:noProof/>
                <w:sz w:val="18"/>
                <w:szCs w:val="18"/>
              </w:rPr>
            </w:pPr>
            <w:r w:rsidRPr="00253C15">
              <w:rPr>
                <w:noProof/>
                <w:sz w:val="18"/>
              </w:rPr>
              <w:t>– Output</w:t>
            </w:r>
          </w:p>
        </w:tc>
        <w:tc>
          <w:tcPr>
            <w:tcW w:w="720" w:type="dxa"/>
          </w:tcPr>
          <w:p w:rsidR="00693ED0" w:rsidRPr="00253C15" w:rsidRDefault="00693ED0">
            <w:pPr>
              <w:ind w:right="-29"/>
              <w:jc w:val="center"/>
              <w:rPr>
                <w:noProof/>
                <w:sz w:val="18"/>
                <w:szCs w:val="18"/>
              </w:rPr>
            </w:pPr>
          </w:p>
        </w:tc>
        <w:tc>
          <w:tcPr>
            <w:tcW w:w="701" w:type="dxa"/>
          </w:tcPr>
          <w:p w:rsidR="00693ED0" w:rsidRPr="00253C15" w:rsidRDefault="00693ED0">
            <w:pPr>
              <w:ind w:right="-29"/>
              <w:jc w:val="center"/>
              <w:rPr>
                <w:noProof/>
                <w:sz w:val="18"/>
                <w:szCs w:val="18"/>
              </w:rPr>
            </w:pPr>
          </w:p>
        </w:tc>
        <w:tc>
          <w:tcPr>
            <w:tcW w:w="504" w:type="dxa"/>
            <w:tcBorders>
              <w:right w:val="dashSmallGap" w:sz="4" w:space="0" w:color="auto"/>
            </w:tcBorders>
          </w:tcPr>
          <w:p w:rsidR="00693ED0" w:rsidRPr="00253C15" w:rsidRDefault="00693ED0">
            <w:pPr>
              <w:ind w:right="-29"/>
              <w:jc w:val="center"/>
              <w:rPr>
                <w:noProof/>
                <w:sz w:val="18"/>
                <w:szCs w:val="18"/>
              </w:rPr>
            </w:pPr>
          </w:p>
        </w:tc>
        <w:tc>
          <w:tcPr>
            <w:tcW w:w="720" w:type="dxa"/>
            <w:tcBorders>
              <w:left w:val="dashSmallGap" w:sz="4" w:space="0" w:color="auto"/>
            </w:tcBorders>
          </w:tcPr>
          <w:p w:rsidR="00693ED0" w:rsidRPr="00253C15" w:rsidRDefault="00693ED0">
            <w:pPr>
              <w:ind w:right="-29"/>
              <w:jc w:val="center"/>
              <w:rPr>
                <w:noProof/>
                <w:sz w:val="18"/>
                <w:szCs w:val="18"/>
              </w:rPr>
            </w:pPr>
          </w:p>
        </w:tc>
        <w:tc>
          <w:tcPr>
            <w:tcW w:w="540" w:type="dxa"/>
            <w:tcBorders>
              <w:right w:val="dashSmallGap" w:sz="4" w:space="0" w:color="auto"/>
            </w:tcBorders>
          </w:tcPr>
          <w:p w:rsidR="00693ED0" w:rsidRPr="00253C15" w:rsidRDefault="00693ED0">
            <w:pPr>
              <w:ind w:right="-29"/>
              <w:jc w:val="center"/>
              <w:rPr>
                <w:noProof/>
                <w:sz w:val="18"/>
                <w:szCs w:val="18"/>
              </w:rPr>
            </w:pPr>
          </w:p>
        </w:tc>
        <w:tc>
          <w:tcPr>
            <w:tcW w:w="720" w:type="dxa"/>
            <w:tcBorders>
              <w:left w:val="dashSmallGap" w:sz="4" w:space="0" w:color="auto"/>
            </w:tcBorders>
          </w:tcPr>
          <w:p w:rsidR="00693ED0" w:rsidRPr="00253C15" w:rsidRDefault="00693ED0">
            <w:pPr>
              <w:ind w:right="-29"/>
              <w:jc w:val="center"/>
              <w:rPr>
                <w:noProof/>
                <w:sz w:val="18"/>
                <w:szCs w:val="18"/>
              </w:rPr>
            </w:pPr>
          </w:p>
        </w:tc>
        <w:tc>
          <w:tcPr>
            <w:tcW w:w="720" w:type="dxa"/>
            <w:tcBorders>
              <w:right w:val="dashSmallGap" w:sz="4" w:space="0" w:color="auto"/>
            </w:tcBorders>
          </w:tcPr>
          <w:p w:rsidR="00693ED0" w:rsidRPr="00253C15" w:rsidRDefault="00693ED0">
            <w:pPr>
              <w:ind w:right="-29"/>
              <w:jc w:val="center"/>
              <w:rPr>
                <w:noProof/>
                <w:sz w:val="18"/>
                <w:szCs w:val="18"/>
              </w:rPr>
            </w:pPr>
          </w:p>
        </w:tc>
        <w:tc>
          <w:tcPr>
            <w:tcW w:w="720" w:type="dxa"/>
            <w:tcBorders>
              <w:left w:val="dashSmallGap" w:sz="4" w:space="0" w:color="auto"/>
            </w:tcBorders>
          </w:tcPr>
          <w:p w:rsidR="00693ED0" w:rsidRPr="00253C15" w:rsidRDefault="00693ED0">
            <w:pPr>
              <w:ind w:right="-29"/>
              <w:jc w:val="center"/>
              <w:rPr>
                <w:noProof/>
                <w:sz w:val="18"/>
                <w:szCs w:val="18"/>
              </w:rPr>
            </w:pPr>
          </w:p>
        </w:tc>
        <w:tc>
          <w:tcPr>
            <w:tcW w:w="900" w:type="dxa"/>
            <w:tcBorders>
              <w:right w:val="dashSmallGap" w:sz="4" w:space="0" w:color="auto"/>
            </w:tcBorders>
          </w:tcPr>
          <w:p w:rsidR="00693ED0" w:rsidRPr="00253C15" w:rsidRDefault="00693ED0">
            <w:pPr>
              <w:ind w:right="-29"/>
              <w:jc w:val="center"/>
              <w:rPr>
                <w:noProof/>
                <w:sz w:val="18"/>
                <w:szCs w:val="18"/>
              </w:rPr>
            </w:pPr>
          </w:p>
        </w:tc>
        <w:tc>
          <w:tcPr>
            <w:tcW w:w="720" w:type="dxa"/>
            <w:gridSpan w:val="2"/>
            <w:tcBorders>
              <w:left w:val="dashSmallGap" w:sz="4" w:space="0" w:color="auto"/>
            </w:tcBorders>
          </w:tcPr>
          <w:p w:rsidR="00693ED0" w:rsidRPr="00253C15" w:rsidRDefault="00693ED0">
            <w:pPr>
              <w:ind w:right="-29"/>
              <w:jc w:val="center"/>
              <w:rPr>
                <w:noProof/>
                <w:sz w:val="18"/>
                <w:szCs w:val="18"/>
              </w:rPr>
            </w:pPr>
          </w:p>
        </w:tc>
        <w:tc>
          <w:tcPr>
            <w:tcW w:w="540" w:type="dxa"/>
            <w:tcBorders>
              <w:right w:val="dashSmallGap" w:sz="4" w:space="0" w:color="auto"/>
            </w:tcBorders>
          </w:tcPr>
          <w:p w:rsidR="00693ED0" w:rsidRPr="00253C15" w:rsidRDefault="00693ED0">
            <w:pPr>
              <w:ind w:right="-29"/>
              <w:jc w:val="center"/>
              <w:rPr>
                <w:noProof/>
                <w:sz w:val="18"/>
                <w:szCs w:val="18"/>
              </w:rPr>
            </w:pPr>
          </w:p>
        </w:tc>
        <w:tc>
          <w:tcPr>
            <w:tcW w:w="648" w:type="dxa"/>
            <w:tcBorders>
              <w:left w:val="dashSmallGap" w:sz="4" w:space="0" w:color="auto"/>
            </w:tcBorders>
          </w:tcPr>
          <w:p w:rsidR="00693ED0" w:rsidRPr="00253C15" w:rsidRDefault="00693ED0">
            <w:pPr>
              <w:ind w:right="-29"/>
              <w:jc w:val="center"/>
              <w:rPr>
                <w:noProof/>
                <w:sz w:val="18"/>
                <w:szCs w:val="18"/>
              </w:rPr>
            </w:pPr>
          </w:p>
        </w:tc>
        <w:tc>
          <w:tcPr>
            <w:tcW w:w="432" w:type="dxa"/>
            <w:tcBorders>
              <w:right w:val="dashSmallGap" w:sz="4" w:space="0" w:color="auto"/>
            </w:tcBorders>
          </w:tcPr>
          <w:p w:rsidR="00693ED0" w:rsidRPr="00253C15" w:rsidRDefault="00693ED0">
            <w:pPr>
              <w:ind w:right="-29"/>
              <w:jc w:val="center"/>
              <w:rPr>
                <w:noProof/>
                <w:sz w:val="18"/>
                <w:szCs w:val="18"/>
              </w:rPr>
            </w:pPr>
          </w:p>
        </w:tc>
        <w:tc>
          <w:tcPr>
            <w:tcW w:w="720" w:type="dxa"/>
            <w:tcBorders>
              <w:left w:val="dashSmallGap" w:sz="4" w:space="0" w:color="auto"/>
            </w:tcBorders>
          </w:tcPr>
          <w:p w:rsidR="00693ED0" w:rsidRPr="00253C15" w:rsidRDefault="00693ED0">
            <w:pPr>
              <w:ind w:right="-29"/>
              <w:jc w:val="center"/>
              <w:rPr>
                <w:noProof/>
                <w:sz w:val="18"/>
                <w:szCs w:val="18"/>
              </w:rPr>
            </w:pPr>
          </w:p>
        </w:tc>
        <w:tc>
          <w:tcPr>
            <w:tcW w:w="540" w:type="dxa"/>
            <w:tcBorders>
              <w:right w:val="dashSmallGap" w:sz="4" w:space="0" w:color="auto"/>
            </w:tcBorders>
          </w:tcPr>
          <w:p w:rsidR="00693ED0" w:rsidRPr="00253C15" w:rsidRDefault="00693ED0">
            <w:pPr>
              <w:ind w:right="-29"/>
              <w:jc w:val="center"/>
              <w:rPr>
                <w:noProof/>
                <w:sz w:val="18"/>
                <w:szCs w:val="18"/>
              </w:rPr>
            </w:pPr>
          </w:p>
        </w:tc>
        <w:tc>
          <w:tcPr>
            <w:tcW w:w="720" w:type="dxa"/>
            <w:tcBorders>
              <w:left w:val="dashSmallGap" w:sz="4" w:space="0" w:color="auto"/>
            </w:tcBorders>
          </w:tcPr>
          <w:p w:rsidR="00693ED0" w:rsidRPr="00253C15" w:rsidRDefault="00693ED0">
            <w:pPr>
              <w:ind w:right="-29"/>
              <w:jc w:val="center"/>
              <w:rPr>
                <w:noProof/>
                <w:sz w:val="18"/>
                <w:szCs w:val="18"/>
              </w:rPr>
            </w:pPr>
          </w:p>
        </w:tc>
        <w:tc>
          <w:tcPr>
            <w:tcW w:w="720" w:type="dxa"/>
          </w:tcPr>
          <w:p w:rsidR="00693ED0" w:rsidRPr="00253C15" w:rsidRDefault="00693ED0">
            <w:pPr>
              <w:ind w:right="-29"/>
              <w:jc w:val="center"/>
              <w:rPr>
                <w:noProof/>
                <w:sz w:val="18"/>
                <w:szCs w:val="18"/>
              </w:rPr>
            </w:pPr>
          </w:p>
        </w:tc>
        <w:tc>
          <w:tcPr>
            <w:tcW w:w="900" w:type="dxa"/>
          </w:tcPr>
          <w:p w:rsidR="00693ED0" w:rsidRPr="00253C15" w:rsidRDefault="00693ED0">
            <w:pPr>
              <w:ind w:right="-29"/>
              <w:jc w:val="center"/>
              <w:rPr>
                <w:noProof/>
                <w:sz w:val="18"/>
                <w:szCs w:val="18"/>
              </w:rPr>
            </w:pPr>
          </w:p>
        </w:tc>
      </w:tr>
      <w:tr w:rsidR="00693ED0" w:rsidRPr="00253C15" w:rsidTr="17618B6F">
        <w:trPr>
          <w:trHeight w:hRule="exact" w:val="369"/>
          <w:jc w:val="center"/>
        </w:trPr>
        <w:tc>
          <w:tcPr>
            <w:tcW w:w="1423" w:type="dxa"/>
          </w:tcPr>
          <w:p w:rsidR="00693ED0" w:rsidRPr="00253C15" w:rsidRDefault="00693ED0">
            <w:pPr>
              <w:ind w:right="-29"/>
              <w:jc w:val="center"/>
              <w:rPr>
                <w:noProof/>
                <w:sz w:val="18"/>
                <w:szCs w:val="18"/>
              </w:rPr>
            </w:pPr>
            <w:r w:rsidRPr="00253C15">
              <w:rPr>
                <w:noProof/>
                <w:sz w:val="18"/>
              </w:rPr>
              <w:t>– Output</w:t>
            </w:r>
          </w:p>
        </w:tc>
        <w:tc>
          <w:tcPr>
            <w:tcW w:w="720" w:type="dxa"/>
          </w:tcPr>
          <w:p w:rsidR="00693ED0" w:rsidRPr="00253C15" w:rsidRDefault="00693ED0">
            <w:pPr>
              <w:ind w:right="-29"/>
              <w:jc w:val="center"/>
              <w:rPr>
                <w:noProof/>
                <w:sz w:val="18"/>
                <w:szCs w:val="18"/>
              </w:rPr>
            </w:pPr>
          </w:p>
        </w:tc>
        <w:tc>
          <w:tcPr>
            <w:tcW w:w="701" w:type="dxa"/>
          </w:tcPr>
          <w:p w:rsidR="00693ED0" w:rsidRPr="00253C15" w:rsidRDefault="00693ED0">
            <w:pPr>
              <w:ind w:right="-29"/>
              <w:jc w:val="center"/>
              <w:rPr>
                <w:noProof/>
                <w:sz w:val="18"/>
                <w:szCs w:val="18"/>
              </w:rPr>
            </w:pPr>
          </w:p>
        </w:tc>
        <w:tc>
          <w:tcPr>
            <w:tcW w:w="504" w:type="dxa"/>
            <w:tcBorders>
              <w:right w:val="dashSmallGap" w:sz="4" w:space="0" w:color="auto"/>
            </w:tcBorders>
          </w:tcPr>
          <w:p w:rsidR="00693ED0" w:rsidRPr="00253C15" w:rsidRDefault="00693ED0">
            <w:pPr>
              <w:ind w:right="-29"/>
              <w:jc w:val="center"/>
              <w:rPr>
                <w:noProof/>
                <w:sz w:val="18"/>
                <w:szCs w:val="18"/>
              </w:rPr>
            </w:pPr>
          </w:p>
        </w:tc>
        <w:tc>
          <w:tcPr>
            <w:tcW w:w="720" w:type="dxa"/>
            <w:tcBorders>
              <w:left w:val="dashSmallGap" w:sz="4" w:space="0" w:color="auto"/>
            </w:tcBorders>
          </w:tcPr>
          <w:p w:rsidR="00693ED0" w:rsidRPr="00253C15" w:rsidRDefault="00693ED0">
            <w:pPr>
              <w:ind w:right="-29"/>
              <w:jc w:val="center"/>
              <w:rPr>
                <w:noProof/>
                <w:sz w:val="18"/>
                <w:szCs w:val="18"/>
              </w:rPr>
            </w:pPr>
          </w:p>
        </w:tc>
        <w:tc>
          <w:tcPr>
            <w:tcW w:w="540" w:type="dxa"/>
            <w:tcBorders>
              <w:right w:val="dashSmallGap" w:sz="4" w:space="0" w:color="auto"/>
            </w:tcBorders>
          </w:tcPr>
          <w:p w:rsidR="00693ED0" w:rsidRPr="00253C15" w:rsidRDefault="00693ED0">
            <w:pPr>
              <w:ind w:right="-29"/>
              <w:jc w:val="center"/>
              <w:rPr>
                <w:noProof/>
                <w:sz w:val="18"/>
                <w:szCs w:val="18"/>
              </w:rPr>
            </w:pPr>
          </w:p>
        </w:tc>
        <w:tc>
          <w:tcPr>
            <w:tcW w:w="720" w:type="dxa"/>
            <w:tcBorders>
              <w:left w:val="dashSmallGap" w:sz="4" w:space="0" w:color="auto"/>
            </w:tcBorders>
          </w:tcPr>
          <w:p w:rsidR="00693ED0" w:rsidRPr="00253C15" w:rsidRDefault="00693ED0">
            <w:pPr>
              <w:ind w:right="-29"/>
              <w:jc w:val="center"/>
              <w:rPr>
                <w:noProof/>
                <w:sz w:val="18"/>
                <w:szCs w:val="18"/>
              </w:rPr>
            </w:pPr>
          </w:p>
        </w:tc>
        <w:tc>
          <w:tcPr>
            <w:tcW w:w="720" w:type="dxa"/>
            <w:tcBorders>
              <w:right w:val="dashSmallGap" w:sz="4" w:space="0" w:color="auto"/>
            </w:tcBorders>
          </w:tcPr>
          <w:p w:rsidR="00693ED0" w:rsidRPr="00253C15" w:rsidRDefault="00693ED0">
            <w:pPr>
              <w:ind w:right="-29"/>
              <w:jc w:val="center"/>
              <w:rPr>
                <w:noProof/>
                <w:sz w:val="18"/>
                <w:szCs w:val="18"/>
              </w:rPr>
            </w:pPr>
          </w:p>
        </w:tc>
        <w:tc>
          <w:tcPr>
            <w:tcW w:w="720" w:type="dxa"/>
            <w:tcBorders>
              <w:left w:val="dashSmallGap" w:sz="4" w:space="0" w:color="auto"/>
            </w:tcBorders>
          </w:tcPr>
          <w:p w:rsidR="00693ED0" w:rsidRPr="00253C15" w:rsidRDefault="00693ED0">
            <w:pPr>
              <w:ind w:right="-29"/>
              <w:jc w:val="center"/>
              <w:rPr>
                <w:noProof/>
                <w:sz w:val="18"/>
                <w:szCs w:val="18"/>
              </w:rPr>
            </w:pPr>
          </w:p>
        </w:tc>
        <w:tc>
          <w:tcPr>
            <w:tcW w:w="900" w:type="dxa"/>
            <w:tcBorders>
              <w:right w:val="dashSmallGap" w:sz="4" w:space="0" w:color="auto"/>
            </w:tcBorders>
          </w:tcPr>
          <w:p w:rsidR="00693ED0" w:rsidRPr="00253C15" w:rsidRDefault="00693ED0">
            <w:pPr>
              <w:ind w:right="-29"/>
              <w:jc w:val="center"/>
              <w:rPr>
                <w:noProof/>
                <w:sz w:val="18"/>
                <w:szCs w:val="18"/>
              </w:rPr>
            </w:pPr>
          </w:p>
        </w:tc>
        <w:tc>
          <w:tcPr>
            <w:tcW w:w="720" w:type="dxa"/>
            <w:gridSpan w:val="2"/>
            <w:tcBorders>
              <w:left w:val="dashSmallGap" w:sz="4" w:space="0" w:color="auto"/>
            </w:tcBorders>
          </w:tcPr>
          <w:p w:rsidR="00693ED0" w:rsidRPr="00253C15" w:rsidRDefault="00693ED0">
            <w:pPr>
              <w:ind w:right="-29"/>
              <w:jc w:val="center"/>
              <w:rPr>
                <w:noProof/>
                <w:sz w:val="18"/>
                <w:szCs w:val="18"/>
              </w:rPr>
            </w:pPr>
          </w:p>
        </w:tc>
        <w:tc>
          <w:tcPr>
            <w:tcW w:w="540" w:type="dxa"/>
            <w:tcBorders>
              <w:right w:val="dashSmallGap" w:sz="4" w:space="0" w:color="auto"/>
            </w:tcBorders>
          </w:tcPr>
          <w:p w:rsidR="00693ED0" w:rsidRPr="00253C15" w:rsidRDefault="00693ED0">
            <w:pPr>
              <w:ind w:right="-29"/>
              <w:jc w:val="center"/>
              <w:rPr>
                <w:noProof/>
                <w:sz w:val="18"/>
                <w:szCs w:val="18"/>
              </w:rPr>
            </w:pPr>
          </w:p>
        </w:tc>
        <w:tc>
          <w:tcPr>
            <w:tcW w:w="648" w:type="dxa"/>
            <w:tcBorders>
              <w:left w:val="dashSmallGap" w:sz="4" w:space="0" w:color="auto"/>
            </w:tcBorders>
          </w:tcPr>
          <w:p w:rsidR="00693ED0" w:rsidRPr="00253C15" w:rsidRDefault="00693ED0">
            <w:pPr>
              <w:ind w:right="-29"/>
              <w:jc w:val="center"/>
              <w:rPr>
                <w:noProof/>
                <w:sz w:val="18"/>
                <w:szCs w:val="18"/>
              </w:rPr>
            </w:pPr>
          </w:p>
        </w:tc>
        <w:tc>
          <w:tcPr>
            <w:tcW w:w="432" w:type="dxa"/>
            <w:tcBorders>
              <w:right w:val="dashSmallGap" w:sz="4" w:space="0" w:color="auto"/>
            </w:tcBorders>
          </w:tcPr>
          <w:p w:rsidR="00693ED0" w:rsidRPr="00253C15" w:rsidRDefault="00693ED0">
            <w:pPr>
              <w:ind w:right="-29"/>
              <w:jc w:val="center"/>
              <w:rPr>
                <w:noProof/>
                <w:sz w:val="18"/>
                <w:szCs w:val="18"/>
              </w:rPr>
            </w:pPr>
          </w:p>
        </w:tc>
        <w:tc>
          <w:tcPr>
            <w:tcW w:w="720" w:type="dxa"/>
            <w:tcBorders>
              <w:left w:val="dashSmallGap" w:sz="4" w:space="0" w:color="auto"/>
            </w:tcBorders>
          </w:tcPr>
          <w:p w:rsidR="00693ED0" w:rsidRPr="00253C15" w:rsidRDefault="00693ED0">
            <w:pPr>
              <w:ind w:right="-29"/>
              <w:jc w:val="center"/>
              <w:rPr>
                <w:noProof/>
                <w:sz w:val="18"/>
                <w:szCs w:val="18"/>
              </w:rPr>
            </w:pPr>
          </w:p>
        </w:tc>
        <w:tc>
          <w:tcPr>
            <w:tcW w:w="540" w:type="dxa"/>
            <w:tcBorders>
              <w:right w:val="dashSmallGap" w:sz="4" w:space="0" w:color="auto"/>
            </w:tcBorders>
          </w:tcPr>
          <w:p w:rsidR="00693ED0" w:rsidRPr="00253C15" w:rsidRDefault="00693ED0">
            <w:pPr>
              <w:ind w:right="-29"/>
              <w:jc w:val="center"/>
              <w:rPr>
                <w:noProof/>
                <w:sz w:val="18"/>
                <w:szCs w:val="18"/>
              </w:rPr>
            </w:pPr>
          </w:p>
        </w:tc>
        <w:tc>
          <w:tcPr>
            <w:tcW w:w="720" w:type="dxa"/>
            <w:tcBorders>
              <w:left w:val="dashSmallGap" w:sz="4" w:space="0" w:color="auto"/>
            </w:tcBorders>
          </w:tcPr>
          <w:p w:rsidR="00693ED0" w:rsidRPr="00253C15" w:rsidRDefault="00693ED0">
            <w:pPr>
              <w:ind w:right="-29"/>
              <w:jc w:val="center"/>
              <w:rPr>
                <w:noProof/>
                <w:sz w:val="18"/>
                <w:szCs w:val="18"/>
              </w:rPr>
            </w:pPr>
          </w:p>
        </w:tc>
        <w:tc>
          <w:tcPr>
            <w:tcW w:w="720" w:type="dxa"/>
          </w:tcPr>
          <w:p w:rsidR="00693ED0" w:rsidRPr="00253C15" w:rsidRDefault="00693ED0">
            <w:pPr>
              <w:ind w:right="-29"/>
              <w:jc w:val="center"/>
              <w:rPr>
                <w:noProof/>
                <w:sz w:val="18"/>
                <w:szCs w:val="18"/>
              </w:rPr>
            </w:pPr>
          </w:p>
        </w:tc>
        <w:tc>
          <w:tcPr>
            <w:tcW w:w="900" w:type="dxa"/>
          </w:tcPr>
          <w:p w:rsidR="00693ED0" w:rsidRPr="00253C15" w:rsidRDefault="00693ED0">
            <w:pPr>
              <w:ind w:right="-29"/>
              <w:jc w:val="center"/>
              <w:rPr>
                <w:noProof/>
                <w:sz w:val="18"/>
                <w:szCs w:val="18"/>
              </w:rPr>
            </w:pPr>
          </w:p>
        </w:tc>
      </w:tr>
      <w:tr w:rsidR="00693ED0" w:rsidRPr="00253C15" w:rsidTr="17618B6F">
        <w:trPr>
          <w:trHeight w:hRule="exact" w:val="369"/>
          <w:jc w:val="center"/>
        </w:trPr>
        <w:tc>
          <w:tcPr>
            <w:tcW w:w="1423" w:type="dxa"/>
          </w:tcPr>
          <w:p w:rsidR="00693ED0" w:rsidRPr="00253C15" w:rsidRDefault="00693ED0">
            <w:pPr>
              <w:ind w:right="-29"/>
              <w:jc w:val="center"/>
              <w:rPr>
                <w:noProof/>
                <w:sz w:val="18"/>
                <w:szCs w:val="18"/>
              </w:rPr>
            </w:pPr>
            <w:r w:rsidRPr="00253C15">
              <w:rPr>
                <w:noProof/>
                <w:sz w:val="18"/>
              </w:rPr>
              <w:t>– Output</w:t>
            </w:r>
          </w:p>
        </w:tc>
        <w:tc>
          <w:tcPr>
            <w:tcW w:w="720" w:type="dxa"/>
          </w:tcPr>
          <w:p w:rsidR="00693ED0" w:rsidRPr="00253C15" w:rsidRDefault="00693ED0">
            <w:pPr>
              <w:ind w:right="-29"/>
              <w:jc w:val="center"/>
              <w:rPr>
                <w:noProof/>
                <w:sz w:val="18"/>
                <w:szCs w:val="18"/>
              </w:rPr>
            </w:pPr>
          </w:p>
        </w:tc>
        <w:tc>
          <w:tcPr>
            <w:tcW w:w="701" w:type="dxa"/>
          </w:tcPr>
          <w:p w:rsidR="00693ED0" w:rsidRPr="00253C15" w:rsidRDefault="00693ED0">
            <w:pPr>
              <w:ind w:right="-29"/>
              <w:jc w:val="center"/>
              <w:rPr>
                <w:noProof/>
                <w:sz w:val="18"/>
                <w:szCs w:val="18"/>
              </w:rPr>
            </w:pPr>
          </w:p>
        </w:tc>
        <w:tc>
          <w:tcPr>
            <w:tcW w:w="504" w:type="dxa"/>
          </w:tcPr>
          <w:p w:rsidR="00693ED0" w:rsidRPr="00253C15" w:rsidRDefault="00693ED0">
            <w:pPr>
              <w:ind w:right="-29"/>
              <w:jc w:val="center"/>
              <w:rPr>
                <w:noProof/>
                <w:sz w:val="18"/>
                <w:szCs w:val="18"/>
              </w:rPr>
            </w:pPr>
          </w:p>
        </w:tc>
        <w:tc>
          <w:tcPr>
            <w:tcW w:w="720" w:type="dxa"/>
          </w:tcPr>
          <w:p w:rsidR="00693ED0" w:rsidRPr="00253C15" w:rsidRDefault="00693ED0">
            <w:pPr>
              <w:ind w:right="-29"/>
              <w:jc w:val="center"/>
              <w:rPr>
                <w:noProof/>
                <w:sz w:val="18"/>
                <w:szCs w:val="18"/>
              </w:rPr>
            </w:pPr>
          </w:p>
        </w:tc>
        <w:tc>
          <w:tcPr>
            <w:tcW w:w="540" w:type="dxa"/>
          </w:tcPr>
          <w:p w:rsidR="00693ED0" w:rsidRPr="00253C15" w:rsidRDefault="00693ED0">
            <w:pPr>
              <w:ind w:right="-29"/>
              <w:jc w:val="center"/>
              <w:rPr>
                <w:noProof/>
                <w:sz w:val="18"/>
                <w:szCs w:val="18"/>
              </w:rPr>
            </w:pPr>
          </w:p>
        </w:tc>
        <w:tc>
          <w:tcPr>
            <w:tcW w:w="720" w:type="dxa"/>
          </w:tcPr>
          <w:p w:rsidR="00693ED0" w:rsidRPr="00253C15" w:rsidRDefault="00693ED0">
            <w:pPr>
              <w:ind w:right="-29"/>
              <w:jc w:val="center"/>
              <w:rPr>
                <w:noProof/>
                <w:sz w:val="18"/>
                <w:szCs w:val="18"/>
              </w:rPr>
            </w:pPr>
          </w:p>
        </w:tc>
        <w:tc>
          <w:tcPr>
            <w:tcW w:w="720" w:type="dxa"/>
          </w:tcPr>
          <w:p w:rsidR="00693ED0" w:rsidRPr="00253C15" w:rsidRDefault="00693ED0">
            <w:pPr>
              <w:ind w:right="-29"/>
              <w:jc w:val="center"/>
              <w:rPr>
                <w:noProof/>
                <w:sz w:val="18"/>
                <w:szCs w:val="18"/>
              </w:rPr>
            </w:pPr>
          </w:p>
        </w:tc>
        <w:tc>
          <w:tcPr>
            <w:tcW w:w="720" w:type="dxa"/>
          </w:tcPr>
          <w:p w:rsidR="00693ED0" w:rsidRPr="00253C15" w:rsidRDefault="00693ED0">
            <w:pPr>
              <w:ind w:right="-29"/>
              <w:jc w:val="center"/>
              <w:rPr>
                <w:noProof/>
                <w:sz w:val="18"/>
                <w:szCs w:val="18"/>
              </w:rPr>
            </w:pPr>
          </w:p>
        </w:tc>
        <w:tc>
          <w:tcPr>
            <w:tcW w:w="900" w:type="dxa"/>
          </w:tcPr>
          <w:p w:rsidR="00693ED0" w:rsidRPr="00253C15" w:rsidRDefault="00693ED0">
            <w:pPr>
              <w:ind w:right="-29"/>
              <w:jc w:val="center"/>
              <w:rPr>
                <w:noProof/>
                <w:sz w:val="18"/>
                <w:szCs w:val="18"/>
              </w:rPr>
            </w:pPr>
          </w:p>
        </w:tc>
        <w:tc>
          <w:tcPr>
            <w:tcW w:w="720" w:type="dxa"/>
            <w:gridSpan w:val="2"/>
          </w:tcPr>
          <w:p w:rsidR="00693ED0" w:rsidRPr="00253C15" w:rsidRDefault="00693ED0">
            <w:pPr>
              <w:ind w:right="-29"/>
              <w:jc w:val="center"/>
              <w:rPr>
                <w:noProof/>
                <w:sz w:val="18"/>
                <w:szCs w:val="18"/>
              </w:rPr>
            </w:pPr>
          </w:p>
        </w:tc>
        <w:tc>
          <w:tcPr>
            <w:tcW w:w="540" w:type="dxa"/>
          </w:tcPr>
          <w:p w:rsidR="00693ED0" w:rsidRPr="00253C15" w:rsidRDefault="00693ED0">
            <w:pPr>
              <w:ind w:right="-29"/>
              <w:jc w:val="center"/>
              <w:rPr>
                <w:noProof/>
                <w:sz w:val="18"/>
                <w:szCs w:val="18"/>
              </w:rPr>
            </w:pPr>
          </w:p>
        </w:tc>
        <w:tc>
          <w:tcPr>
            <w:tcW w:w="648" w:type="dxa"/>
          </w:tcPr>
          <w:p w:rsidR="00693ED0" w:rsidRPr="00253C15" w:rsidRDefault="00693ED0">
            <w:pPr>
              <w:ind w:right="-29"/>
              <w:jc w:val="center"/>
              <w:rPr>
                <w:noProof/>
                <w:sz w:val="18"/>
                <w:szCs w:val="18"/>
              </w:rPr>
            </w:pPr>
          </w:p>
        </w:tc>
        <w:tc>
          <w:tcPr>
            <w:tcW w:w="432" w:type="dxa"/>
          </w:tcPr>
          <w:p w:rsidR="00693ED0" w:rsidRPr="00253C15" w:rsidRDefault="00693ED0">
            <w:pPr>
              <w:ind w:right="-29"/>
              <w:jc w:val="center"/>
              <w:rPr>
                <w:noProof/>
                <w:sz w:val="18"/>
                <w:szCs w:val="18"/>
              </w:rPr>
            </w:pPr>
          </w:p>
        </w:tc>
        <w:tc>
          <w:tcPr>
            <w:tcW w:w="720" w:type="dxa"/>
          </w:tcPr>
          <w:p w:rsidR="00693ED0" w:rsidRPr="00253C15" w:rsidRDefault="00693ED0">
            <w:pPr>
              <w:ind w:right="-29"/>
              <w:jc w:val="center"/>
              <w:rPr>
                <w:noProof/>
                <w:sz w:val="18"/>
                <w:szCs w:val="18"/>
              </w:rPr>
            </w:pPr>
          </w:p>
        </w:tc>
        <w:tc>
          <w:tcPr>
            <w:tcW w:w="540" w:type="dxa"/>
          </w:tcPr>
          <w:p w:rsidR="00693ED0" w:rsidRPr="00253C15" w:rsidRDefault="00693ED0">
            <w:pPr>
              <w:ind w:right="-29"/>
              <w:jc w:val="center"/>
              <w:rPr>
                <w:noProof/>
                <w:sz w:val="18"/>
                <w:szCs w:val="18"/>
              </w:rPr>
            </w:pPr>
          </w:p>
        </w:tc>
        <w:tc>
          <w:tcPr>
            <w:tcW w:w="720" w:type="dxa"/>
          </w:tcPr>
          <w:p w:rsidR="00693ED0" w:rsidRPr="00253C15" w:rsidRDefault="00693ED0">
            <w:pPr>
              <w:ind w:right="-29"/>
              <w:jc w:val="center"/>
              <w:rPr>
                <w:noProof/>
                <w:sz w:val="18"/>
                <w:szCs w:val="18"/>
              </w:rPr>
            </w:pPr>
          </w:p>
        </w:tc>
        <w:tc>
          <w:tcPr>
            <w:tcW w:w="720" w:type="dxa"/>
          </w:tcPr>
          <w:p w:rsidR="00693ED0" w:rsidRPr="00253C15" w:rsidRDefault="00693ED0">
            <w:pPr>
              <w:ind w:right="-29"/>
              <w:jc w:val="center"/>
              <w:rPr>
                <w:noProof/>
                <w:sz w:val="18"/>
                <w:szCs w:val="18"/>
              </w:rPr>
            </w:pPr>
          </w:p>
        </w:tc>
        <w:tc>
          <w:tcPr>
            <w:tcW w:w="900" w:type="dxa"/>
          </w:tcPr>
          <w:p w:rsidR="00693ED0" w:rsidRPr="00253C15" w:rsidRDefault="00693ED0">
            <w:pPr>
              <w:ind w:right="-29"/>
              <w:jc w:val="center"/>
              <w:rPr>
                <w:noProof/>
                <w:sz w:val="18"/>
                <w:szCs w:val="18"/>
              </w:rPr>
            </w:pPr>
          </w:p>
        </w:tc>
      </w:tr>
      <w:tr w:rsidR="00693ED0" w:rsidRPr="00253C15" w:rsidTr="17618B6F">
        <w:trPr>
          <w:trHeight w:val="77"/>
          <w:jc w:val="center"/>
        </w:trPr>
        <w:tc>
          <w:tcPr>
            <w:tcW w:w="2844" w:type="dxa"/>
            <w:gridSpan w:val="3"/>
            <w:tcBorders>
              <w:bottom w:val="single" w:sz="12" w:space="0" w:color="auto"/>
            </w:tcBorders>
            <w:vAlign w:val="center"/>
          </w:tcPr>
          <w:p w:rsidR="00693ED0" w:rsidRPr="00253C15" w:rsidRDefault="00693ED0">
            <w:pPr>
              <w:ind w:right="-29"/>
              <w:jc w:val="center"/>
              <w:rPr>
                <w:noProof/>
                <w:sz w:val="18"/>
                <w:szCs w:val="18"/>
              </w:rPr>
            </w:pPr>
            <w:r w:rsidRPr="00253C15">
              <w:rPr>
                <w:noProof/>
                <w:sz w:val="18"/>
              </w:rPr>
              <w:t>Zwischensumme für Einzelziel Nr. 1</w:t>
            </w:r>
          </w:p>
        </w:tc>
        <w:tc>
          <w:tcPr>
            <w:tcW w:w="504" w:type="dxa"/>
            <w:tcBorders>
              <w:bottom w:val="single" w:sz="12" w:space="0" w:color="auto"/>
            </w:tcBorders>
          </w:tcPr>
          <w:p w:rsidR="00693ED0" w:rsidRPr="00253C15" w:rsidRDefault="00693ED0">
            <w:pPr>
              <w:ind w:right="-29"/>
              <w:jc w:val="center"/>
              <w:rPr>
                <w:noProof/>
                <w:sz w:val="18"/>
                <w:szCs w:val="18"/>
              </w:rPr>
            </w:pPr>
          </w:p>
        </w:tc>
        <w:tc>
          <w:tcPr>
            <w:tcW w:w="720" w:type="dxa"/>
            <w:tcBorders>
              <w:bottom w:val="single" w:sz="12" w:space="0" w:color="auto"/>
            </w:tcBorders>
          </w:tcPr>
          <w:p w:rsidR="00693ED0" w:rsidRPr="00253C15" w:rsidRDefault="00693ED0">
            <w:pPr>
              <w:ind w:right="-29"/>
              <w:jc w:val="center"/>
              <w:rPr>
                <w:noProof/>
                <w:sz w:val="18"/>
                <w:szCs w:val="18"/>
              </w:rPr>
            </w:pPr>
          </w:p>
        </w:tc>
        <w:tc>
          <w:tcPr>
            <w:tcW w:w="540" w:type="dxa"/>
            <w:tcBorders>
              <w:bottom w:val="single" w:sz="12" w:space="0" w:color="auto"/>
            </w:tcBorders>
          </w:tcPr>
          <w:p w:rsidR="00693ED0" w:rsidRPr="00253C15" w:rsidRDefault="00693ED0">
            <w:pPr>
              <w:ind w:right="-29"/>
              <w:jc w:val="center"/>
              <w:rPr>
                <w:noProof/>
                <w:sz w:val="18"/>
                <w:szCs w:val="18"/>
              </w:rPr>
            </w:pPr>
          </w:p>
        </w:tc>
        <w:tc>
          <w:tcPr>
            <w:tcW w:w="720" w:type="dxa"/>
            <w:tcBorders>
              <w:bottom w:val="single" w:sz="12" w:space="0" w:color="auto"/>
            </w:tcBorders>
          </w:tcPr>
          <w:p w:rsidR="00693ED0" w:rsidRPr="00253C15" w:rsidRDefault="00693ED0">
            <w:pPr>
              <w:ind w:right="-29"/>
              <w:jc w:val="center"/>
              <w:rPr>
                <w:noProof/>
                <w:sz w:val="18"/>
                <w:szCs w:val="18"/>
              </w:rPr>
            </w:pPr>
          </w:p>
        </w:tc>
        <w:tc>
          <w:tcPr>
            <w:tcW w:w="720" w:type="dxa"/>
            <w:tcBorders>
              <w:bottom w:val="single" w:sz="12" w:space="0" w:color="auto"/>
            </w:tcBorders>
          </w:tcPr>
          <w:p w:rsidR="00693ED0" w:rsidRPr="00253C15" w:rsidRDefault="00693ED0">
            <w:pPr>
              <w:ind w:right="-29"/>
              <w:jc w:val="center"/>
              <w:rPr>
                <w:noProof/>
                <w:sz w:val="18"/>
                <w:szCs w:val="18"/>
              </w:rPr>
            </w:pPr>
          </w:p>
        </w:tc>
        <w:tc>
          <w:tcPr>
            <w:tcW w:w="720" w:type="dxa"/>
            <w:tcBorders>
              <w:bottom w:val="single" w:sz="12" w:space="0" w:color="auto"/>
            </w:tcBorders>
          </w:tcPr>
          <w:p w:rsidR="00693ED0" w:rsidRPr="00253C15" w:rsidRDefault="00693ED0">
            <w:pPr>
              <w:ind w:right="-29"/>
              <w:jc w:val="center"/>
              <w:rPr>
                <w:noProof/>
                <w:sz w:val="18"/>
                <w:szCs w:val="18"/>
              </w:rPr>
            </w:pPr>
          </w:p>
        </w:tc>
        <w:tc>
          <w:tcPr>
            <w:tcW w:w="900" w:type="dxa"/>
            <w:tcBorders>
              <w:bottom w:val="single" w:sz="12" w:space="0" w:color="auto"/>
            </w:tcBorders>
          </w:tcPr>
          <w:p w:rsidR="00693ED0" w:rsidRPr="00253C15" w:rsidRDefault="00693ED0">
            <w:pPr>
              <w:ind w:right="-29"/>
              <w:jc w:val="center"/>
              <w:rPr>
                <w:noProof/>
                <w:sz w:val="18"/>
                <w:szCs w:val="18"/>
              </w:rPr>
            </w:pPr>
          </w:p>
        </w:tc>
        <w:tc>
          <w:tcPr>
            <w:tcW w:w="720" w:type="dxa"/>
            <w:gridSpan w:val="2"/>
            <w:tcBorders>
              <w:bottom w:val="single" w:sz="12" w:space="0" w:color="auto"/>
            </w:tcBorders>
          </w:tcPr>
          <w:p w:rsidR="00693ED0" w:rsidRPr="00253C15" w:rsidRDefault="00693ED0">
            <w:pPr>
              <w:ind w:right="-29"/>
              <w:jc w:val="center"/>
              <w:rPr>
                <w:noProof/>
                <w:sz w:val="18"/>
                <w:szCs w:val="18"/>
              </w:rPr>
            </w:pPr>
          </w:p>
        </w:tc>
        <w:tc>
          <w:tcPr>
            <w:tcW w:w="540" w:type="dxa"/>
            <w:tcBorders>
              <w:bottom w:val="single" w:sz="12" w:space="0" w:color="auto"/>
            </w:tcBorders>
          </w:tcPr>
          <w:p w:rsidR="00693ED0" w:rsidRPr="00253C15" w:rsidRDefault="00693ED0">
            <w:pPr>
              <w:ind w:right="-29"/>
              <w:jc w:val="center"/>
              <w:rPr>
                <w:noProof/>
                <w:sz w:val="18"/>
                <w:szCs w:val="18"/>
              </w:rPr>
            </w:pPr>
          </w:p>
        </w:tc>
        <w:tc>
          <w:tcPr>
            <w:tcW w:w="648" w:type="dxa"/>
            <w:tcBorders>
              <w:bottom w:val="single" w:sz="12" w:space="0" w:color="auto"/>
            </w:tcBorders>
          </w:tcPr>
          <w:p w:rsidR="00693ED0" w:rsidRPr="00253C15" w:rsidRDefault="00693ED0">
            <w:pPr>
              <w:ind w:right="-29"/>
              <w:jc w:val="center"/>
              <w:rPr>
                <w:noProof/>
                <w:sz w:val="18"/>
                <w:szCs w:val="18"/>
              </w:rPr>
            </w:pPr>
          </w:p>
        </w:tc>
        <w:tc>
          <w:tcPr>
            <w:tcW w:w="432" w:type="dxa"/>
            <w:tcBorders>
              <w:bottom w:val="single" w:sz="12" w:space="0" w:color="auto"/>
            </w:tcBorders>
          </w:tcPr>
          <w:p w:rsidR="00693ED0" w:rsidRPr="00253C15" w:rsidRDefault="00693ED0">
            <w:pPr>
              <w:ind w:right="-29"/>
              <w:jc w:val="center"/>
              <w:rPr>
                <w:noProof/>
                <w:sz w:val="18"/>
                <w:szCs w:val="18"/>
              </w:rPr>
            </w:pPr>
          </w:p>
        </w:tc>
        <w:tc>
          <w:tcPr>
            <w:tcW w:w="720" w:type="dxa"/>
            <w:tcBorders>
              <w:bottom w:val="single" w:sz="12" w:space="0" w:color="auto"/>
            </w:tcBorders>
          </w:tcPr>
          <w:p w:rsidR="00693ED0" w:rsidRPr="00253C15" w:rsidRDefault="00693ED0">
            <w:pPr>
              <w:ind w:right="-29"/>
              <w:jc w:val="center"/>
              <w:rPr>
                <w:noProof/>
                <w:sz w:val="18"/>
                <w:szCs w:val="18"/>
              </w:rPr>
            </w:pPr>
          </w:p>
        </w:tc>
        <w:tc>
          <w:tcPr>
            <w:tcW w:w="540" w:type="dxa"/>
            <w:tcBorders>
              <w:bottom w:val="single" w:sz="12" w:space="0" w:color="auto"/>
            </w:tcBorders>
          </w:tcPr>
          <w:p w:rsidR="00693ED0" w:rsidRPr="00253C15" w:rsidRDefault="00693ED0">
            <w:pPr>
              <w:ind w:right="-29"/>
              <w:jc w:val="center"/>
              <w:rPr>
                <w:noProof/>
                <w:sz w:val="18"/>
                <w:szCs w:val="18"/>
              </w:rPr>
            </w:pPr>
          </w:p>
        </w:tc>
        <w:tc>
          <w:tcPr>
            <w:tcW w:w="720" w:type="dxa"/>
            <w:tcBorders>
              <w:bottom w:val="single" w:sz="12" w:space="0" w:color="auto"/>
            </w:tcBorders>
          </w:tcPr>
          <w:p w:rsidR="00693ED0" w:rsidRPr="00253C15" w:rsidRDefault="00693ED0">
            <w:pPr>
              <w:ind w:right="-29"/>
              <w:jc w:val="center"/>
              <w:rPr>
                <w:noProof/>
                <w:sz w:val="18"/>
                <w:szCs w:val="18"/>
              </w:rPr>
            </w:pPr>
          </w:p>
        </w:tc>
        <w:tc>
          <w:tcPr>
            <w:tcW w:w="720" w:type="dxa"/>
            <w:tcBorders>
              <w:bottom w:val="single" w:sz="12" w:space="0" w:color="auto"/>
            </w:tcBorders>
          </w:tcPr>
          <w:p w:rsidR="00693ED0" w:rsidRPr="00253C15" w:rsidRDefault="00693ED0">
            <w:pPr>
              <w:ind w:right="-29"/>
              <w:jc w:val="center"/>
              <w:rPr>
                <w:noProof/>
                <w:sz w:val="18"/>
                <w:szCs w:val="18"/>
              </w:rPr>
            </w:pPr>
          </w:p>
        </w:tc>
        <w:tc>
          <w:tcPr>
            <w:tcW w:w="900" w:type="dxa"/>
            <w:tcBorders>
              <w:bottom w:val="single" w:sz="12" w:space="0" w:color="auto"/>
            </w:tcBorders>
          </w:tcPr>
          <w:p w:rsidR="00693ED0" w:rsidRPr="00253C15" w:rsidRDefault="00693ED0">
            <w:pPr>
              <w:ind w:right="-29"/>
              <w:jc w:val="center"/>
              <w:rPr>
                <w:noProof/>
                <w:sz w:val="18"/>
                <w:szCs w:val="18"/>
              </w:rPr>
            </w:pPr>
          </w:p>
        </w:tc>
      </w:tr>
      <w:tr w:rsidR="00693ED0" w:rsidRPr="00253C15" w:rsidTr="17618B6F">
        <w:trPr>
          <w:jc w:val="center"/>
        </w:trPr>
        <w:tc>
          <w:tcPr>
            <w:tcW w:w="2844" w:type="dxa"/>
            <w:gridSpan w:val="3"/>
            <w:vAlign w:val="center"/>
          </w:tcPr>
          <w:p w:rsidR="00693ED0" w:rsidRPr="00253C15" w:rsidRDefault="00693ED0">
            <w:pPr>
              <w:spacing w:before="60" w:after="60"/>
              <w:ind w:right="-29"/>
              <w:jc w:val="center"/>
              <w:rPr>
                <w:noProof/>
                <w:sz w:val="18"/>
                <w:szCs w:val="18"/>
              </w:rPr>
            </w:pPr>
            <w:r w:rsidRPr="00253C15">
              <w:rPr>
                <w:noProof/>
                <w:sz w:val="18"/>
              </w:rPr>
              <w:t>EINZELZIEL Nr. 2...</w:t>
            </w:r>
          </w:p>
        </w:tc>
        <w:tc>
          <w:tcPr>
            <w:tcW w:w="504" w:type="dxa"/>
            <w:tcBorders>
              <w:top w:val="nil"/>
              <w:left w:val="nil"/>
              <w:bottom w:val="nil"/>
              <w:right w:val="nil"/>
            </w:tcBorders>
          </w:tcPr>
          <w:p w:rsidR="00693ED0" w:rsidRPr="00253C15"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253C15"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253C15"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253C15"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253C15"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253C15"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253C15" w:rsidRDefault="00693ED0">
            <w:pPr>
              <w:spacing w:before="60" w:after="60"/>
              <w:ind w:right="-29"/>
              <w:jc w:val="center"/>
              <w:rPr>
                <w:noProof/>
                <w:sz w:val="18"/>
                <w:szCs w:val="18"/>
              </w:rPr>
            </w:pPr>
          </w:p>
        </w:tc>
        <w:tc>
          <w:tcPr>
            <w:tcW w:w="720" w:type="dxa"/>
            <w:gridSpan w:val="2"/>
            <w:tcBorders>
              <w:top w:val="nil"/>
              <w:left w:val="nil"/>
              <w:bottom w:val="nil"/>
              <w:right w:val="nil"/>
            </w:tcBorders>
          </w:tcPr>
          <w:p w:rsidR="00693ED0" w:rsidRPr="00253C15"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253C15" w:rsidRDefault="00693ED0">
            <w:pPr>
              <w:spacing w:before="60" w:after="60"/>
              <w:ind w:right="-29"/>
              <w:jc w:val="center"/>
              <w:rPr>
                <w:noProof/>
                <w:sz w:val="18"/>
                <w:szCs w:val="18"/>
              </w:rPr>
            </w:pPr>
          </w:p>
        </w:tc>
        <w:tc>
          <w:tcPr>
            <w:tcW w:w="648" w:type="dxa"/>
            <w:tcBorders>
              <w:top w:val="nil"/>
              <w:left w:val="nil"/>
              <w:bottom w:val="nil"/>
              <w:right w:val="nil"/>
            </w:tcBorders>
          </w:tcPr>
          <w:p w:rsidR="00693ED0" w:rsidRPr="00253C15" w:rsidRDefault="00693ED0">
            <w:pPr>
              <w:spacing w:before="60" w:after="60"/>
              <w:ind w:right="-29"/>
              <w:jc w:val="center"/>
              <w:rPr>
                <w:noProof/>
                <w:sz w:val="18"/>
                <w:szCs w:val="18"/>
              </w:rPr>
            </w:pPr>
          </w:p>
        </w:tc>
        <w:tc>
          <w:tcPr>
            <w:tcW w:w="432" w:type="dxa"/>
            <w:tcBorders>
              <w:top w:val="nil"/>
              <w:left w:val="nil"/>
              <w:bottom w:val="nil"/>
              <w:right w:val="nil"/>
            </w:tcBorders>
          </w:tcPr>
          <w:p w:rsidR="00693ED0" w:rsidRPr="00253C15"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253C15"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253C15"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253C15"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253C15"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253C15" w:rsidRDefault="00693ED0">
            <w:pPr>
              <w:spacing w:before="60" w:after="60"/>
              <w:ind w:right="-29"/>
              <w:jc w:val="center"/>
              <w:rPr>
                <w:noProof/>
                <w:sz w:val="18"/>
                <w:szCs w:val="18"/>
              </w:rPr>
            </w:pPr>
          </w:p>
        </w:tc>
      </w:tr>
      <w:tr w:rsidR="00693ED0" w:rsidRPr="00253C15" w:rsidTr="17618B6F">
        <w:trPr>
          <w:trHeight w:hRule="exact" w:val="369"/>
          <w:jc w:val="center"/>
        </w:trPr>
        <w:tc>
          <w:tcPr>
            <w:tcW w:w="1423" w:type="dxa"/>
          </w:tcPr>
          <w:p w:rsidR="00693ED0" w:rsidRPr="00253C15" w:rsidRDefault="00693ED0">
            <w:pPr>
              <w:ind w:right="-29"/>
              <w:jc w:val="center"/>
              <w:rPr>
                <w:noProof/>
                <w:sz w:val="18"/>
                <w:szCs w:val="18"/>
              </w:rPr>
            </w:pPr>
            <w:r w:rsidRPr="00253C15">
              <w:rPr>
                <w:noProof/>
                <w:sz w:val="18"/>
              </w:rPr>
              <w:t>– Output</w:t>
            </w:r>
          </w:p>
        </w:tc>
        <w:tc>
          <w:tcPr>
            <w:tcW w:w="720" w:type="dxa"/>
          </w:tcPr>
          <w:p w:rsidR="00693ED0" w:rsidRPr="00253C15" w:rsidRDefault="00693ED0">
            <w:pPr>
              <w:ind w:right="-29"/>
              <w:jc w:val="center"/>
              <w:rPr>
                <w:noProof/>
                <w:sz w:val="18"/>
                <w:szCs w:val="18"/>
              </w:rPr>
            </w:pPr>
          </w:p>
        </w:tc>
        <w:tc>
          <w:tcPr>
            <w:tcW w:w="701" w:type="dxa"/>
          </w:tcPr>
          <w:p w:rsidR="00693ED0" w:rsidRPr="00253C15" w:rsidRDefault="00693ED0">
            <w:pPr>
              <w:ind w:right="-29"/>
              <w:jc w:val="center"/>
              <w:rPr>
                <w:noProof/>
                <w:sz w:val="18"/>
                <w:szCs w:val="18"/>
              </w:rPr>
            </w:pPr>
          </w:p>
        </w:tc>
        <w:tc>
          <w:tcPr>
            <w:tcW w:w="504" w:type="dxa"/>
          </w:tcPr>
          <w:p w:rsidR="00693ED0" w:rsidRPr="00253C15" w:rsidRDefault="00693ED0">
            <w:pPr>
              <w:ind w:right="-29"/>
              <w:jc w:val="center"/>
              <w:rPr>
                <w:noProof/>
                <w:sz w:val="18"/>
                <w:szCs w:val="18"/>
              </w:rPr>
            </w:pPr>
          </w:p>
        </w:tc>
        <w:tc>
          <w:tcPr>
            <w:tcW w:w="720" w:type="dxa"/>
          </w:tcPr>
          <w:p w:rsidR="00693ED0" w:rsidRPr="00253C15" w:rsidRDefault="00693ED0">
            <w:pPr>
              <w:ind w:right="-29"/>
              <w:jc w:val="center"/>
              <w:rPr>
                <w:noProof/>
                <w:sz w:val="18"/>
                <w:szCs w:val="18"/>
              </w:rPr>
            </w:pPr>
          </w:p>
        </w:tc>
        <w:tc>
          <w:tcPr>
            <w:tcW w:w="540" w:type="dxa"/>
          </w:tcPr>
          <w:p w:rsidR="00693ED0" w:rsidRPr="00253C15" w:rsidRDefault="00693ED0">
            <w:pPr>
              <w:ind w:right="-29"/>
              <w:jc w:val="center"/>
              <w:rPr>
                <w:noProof/>
                <w:sz w:val="18"/>
                <w:szCs w:val="18"/>
              </w:rPr>
            </w:pPr>
          </w:p>
        </w:tc>
        <w:tc>
          <w:tcPr>
            <w:tcW w:w="720" w:type="dxa"/>
          </w:tcPr>
          <w:p w:rsidR="00693ED0" w:rsidRPr="00253C15" w:rsidRDefault="00693ED0">
            <w:pPr>
              <w:ind w:right="-29"/>
              <w:jc w:val="center"/>
              <w:rPr>
                <w:noProof/>
                <w:sz w:val="18"/>
                <w:szCs w:val="18"/>
              </w:rPr>
            </w:pPr>
          </w:p>
        </w:tc>
        <w:tc>
          <w:tcPr>
            <w:tcW w:w="720" w:type="dxa"/>
          </w:tcPr>
          <w:p w:rsidR="00693ED0" w:rsidRPr="00253C15" w:rsidRDefault="00693ED0">
            <w:pPr>
              <w:ind w:right="-29"/>
              <w:jc w:val="center"/>
              <w:rPr>
                <w:noProof/>
                <w:sz w:val="18"/>
                <w:szCs w:val="18"/>
              </w:rPr>
            </w:pPr>
          </w:p>
        </w:tc>
        <w:tc>
          <w:tcPr>
            <w:tcW w:w="720" w:type="dxa"/>
          </w:tcPr>
          <w:p w:rsidR="00693ED0" w:rsidRPr="00253C15" w:rsidRDefault="00693ED0">
            <w:pPr>
              <w:ind w:right="-29"/>
              <w:jc w:val="center"/>
              <w:rPr>
                <w:noProof/>
                <w:sz w:val="18"/>
                <w:szCs w:val="18"/>
              </w:rPr>
            </w:pPr>
          </w:p>
        </w:tc>
        <w:tc>
          <w:tcPr>
            <w:tcW w:w="900" w:type="dxa"/>
          </w:tcPr>
          <w:p w:rsidR="00693ED0" w:rsidRPr="00253C15" w:rsidRDefault="00693ED0">
            <w:pPr>
              <w:ind w:right="-29"/>
              <w:jc w:val="center"/>
              <w:rPr>
                <w:noProof/>
                <w:sz w:val="18"/>
                <w:szCs w:val="18"/>
              </w:rPr>
            </w:pPr>
          </w:p>
        </w:tc>
        <w:tc>
          <w:tcPr>
            <w:tcW w:w="720" w:type="dxa"/>
            <w:gridSpan w:val="2"/>
          </w:tcPr>
          <w:p w:rsidR="00693ED0" w:rsidRPr="00253C15" w:rsidRDefault="00693ED0">
            <w:pPr>
              <w:ind w:right="-29"/>
              <w:jc w:val="center"/>
              <w:rPr>
                <w:noProof/>
                <w:sz w:val="18"/>
                <w:szCs w:val="18"/>
              </w:rPr>
            </w:pPr>
          </w:p>
        </w:tc>
        <w:tc>
          <w:tcPr>
            <w:tcW w:w="540" w:type="dxa"/>
          </w:tcPr>
          <w:p w:rsidR="00693ED0" w:rsidRPr="00253C15" w:rsidRDefault="00693ED0">
            <w:pPr>
              <w:ind w:right="-29"/>
              <w:jc w:val="center"/>
              <w:rPr>
                <w:noProof/>
                <w:sz w:val="18"/>
                <w:szCs w:val="18"/>
              </w:rPr>
            </w:pPr>
          </w:p>
        </w:tc>
        <w:tc>
          <w:tcPr>
            <w:tcW w:w="648" w:type="dxa"/>
          </w:tcPr>
          <w:p w:rsidR="00693ED0" w:rsidRPr="00253C15" w:rsidRDefault="00693ED0">
            <w:pPr>
              <w:ind w:right="-29"/>
              <w:jc w:val="center"/>
              <w:rPr>
                <w:noProof/>
                <w:sz w:val="18"/>
                <w:szCs w:val="18"/>
              </w:rPr>
            </w:pPr>
          </w:p>
        </w:tc>
        <w:tc>
          <w:tcPr>
            <w:tcW w:w="432" w:type="dxa"/>
          </w:tcPr>
          <w:p w:rsidR="00693ED0" w:rsidRPr="00253C15" w:rsidRDefault="00693ED0">
            <w:pPr>
              <w:ind w:right="-29"/>
              <w:jc w:val="center"/>
              <w:rPr>
                <w:noProof/>
                <w:sz w:val="18"/>
                <w:szCs w:val="18"/>
              </w:rPr>
            </w:pPr>
          </w:p>
        </w:tc>
        <w:tc>
          <w:tcPr>
            <w:tcW w:w="720" w:type="dxa"/>
          </w:tcPr>
          <w:p w:rsidR="00693ED0" w:rsidRPr="00253C15" w:rsidRDefault="00693ED0">
            <w:pPr>
              <w:ind w:right="-29"/>
              <w:jc w:val="center"/>
              <w:rPr>
                <w:noProof/>
                <w:sz w:val="18"/>
                <w:szCs w:val="18"/>
              </w:rPr>
            </w:pPr>
          </w:p>
        </w:tc>
        <w:tc>
          <w:tcPr>
            <w:tcW w:w="540" w:type="dxa"/>
          </w:tcPr>
          <w:p w:rsidR="00693ED0" w:rsidRPr="00253C15" w:rsidRDefault="00693ED0">
            <w:pPr>
              <w:ind w:right="-29"/>
              <w:jc w:val="center"/>
              <w:rPr>
                <w:noProof/>
                <w:sz w:val="18"/>
                <w:szCs w:val="18"/>
              </w:rPr>
            </w:pPr>
          </w:p>
        </w:tc>
        <w:tc>
          <w:tcPr>
            <w:tcW w:w="720" w:type="dxa"/>
          </w:tcPr>
          <w:p w:rsidR="00693ED0" w:rsidRPr="00253C15" w:rsidRDefault="00693ED0">
            <w:pPr>
              <w:ind w:right="-29"/>
              <w:jc w:val="center"/>
              <w:rPr>
                <w:noProof/>
                <w:sz w:val="18"/>
                <w:szCs w:val="18"/>
              </w:rPr>
            </w:pPr>
          </w:p>
        </w:tc>
        <w:tc>
          <w:tcPr>
            <w:tcW w:w="720" w:type="dxa"/>
          </w:tcPr>
          <w:p w:rsidR="00693ED0" w:rsidRPr="00253C15" w:rsidRDefault="00693ED0">
            <w:pPr>
              <w:ind w:right="-29"/>
              <w:jc w:val="center"/>
              <w:rPr>
                <w:noProof/>
                <w:sz w:val="18"/>
                <w:szCs w:val="18"/>
              </w:rPr>
            </w:pPr>
          </w:p>
        </w:tc>
        <w:tc>
          <w:tcPr>
            <w:tcW w:w="900" w:type="dxa"/>
          </w:tcPr>
          <w:p w:rsidR="00693ED0" w:rsidRPr="00253C15" w:rsidRDefault="00693ED0">
            <w:pPr>
              <w:ind w:right="-29"/>
              <w:jc w:val="center"/>
              <w:rPr>
                <w:noProof/>
                <w:sz w:val="18"/>
                <w:szCs w:val="18"/>
              </w:rPr>
            </w:pPr>
          </w:p>
        </w:tc>
      </w:tr>
      <w:tr w:rsidR="00693ED0" w:rsidRPr="00253C15" w:rsidTr="17618B6F">
        <w:trPr>
          <w:jc w:val="center"/>
        </w:trPr>
        <w:tc>
          <w:tcPr>
            <w:tcW w:w="2844" w:type="dxa"/>
            <w:gridSpan w:val="3"/>
            <w:tcBorders>
              <w:bottom w:val="single" w:sz="12" w:space="0" w:color="auto"/>
            </w:tcBorders>
            <w:vAlign w:val="center"/>
          </w:tcPr>
          <w:p w:rsidR="00693ED0" w:rsidRPr="00253C15" w:rsidRDefault="00693ED0">
            <w:pPr>
              <w:jc w:val="center"/>
              <w:rPr>
                <w:noProof/>
                <w:sz w:val="18"/>
                <w:szCs w:val="18"/>
              </w:rPr>
            </w:pPr>
            <w:r w:rsidRPr="00253C15">
              <w:rPr>
                <w:noProof/>
                <w:sz w:val="18"/>
              </w:rPr>
              <w:t>Zwischensumme für Einzelziel Nr. 2</w:t>
            </w:r>
          </w:p>
        </w:tc>
        <w:tc>
          <w:tcPr>
            <w:tcW w:w="504" w:type="dxa"/>
            <w:tcBorders>
              <w:bottom w:val="single" w:sz="12" w:space="0" w:color="auto"/>
            </w:tcBorders>
          </w:tcPr>
          <w:p w:rsidR="00693ED0" w:rsidRPr="00253C15" w:rsidRDefault="00693ED0">
            <w:pPr>
              <w:ind w:right="-29"/>
              <w:jc w:val="center"/>
              <w:rPr>
                <w:noProof/>
                <w:sz w:val="18"/>
                <w:szCs w:val="18"/>
              </w:rPr>
            </w:pPr>
          </w:p>
        </w:tc>
        <w:tc>
          <w:tcPr>
            <w:tcW w:w="720" w:type="dxa"/>
            <w:tcBorders>
              <w:bottom w:val="single" w:sz="12" w:space="0" w:color="auto"/>
            </w:tcBorders>
          </w:tcPr>
          <w:p w:rsidR="00693ED0" w:rsidRPr="00253C15" w:rsidRDefault="00693ED0">
            <w:pPr>
              <w:ind w:right="-29"/>
              <w:jc w:val="center"/>
              <w:rPr>
                <w:noProof/>
                <w:sz w:val="18"/>
                <w:szCs w:val="18"/>
              </w:rPr>
            </w:pPr>
          </w:p>
        </w:tc>
        <w:tc>
          <w:tcPr>
            <w:tcW w:w="540" w:type="dxa"/>
            <w:tcBorders>
              <w:bottom w:val="single" w:sz="12" w:space="0" w:color="auto"/>
            </w:tcBorders>
          </w:tcPr>
          <w:p w:rsidR="00693ED0" w:rsidRPr="00253C15" w:rsidRDefault="00693ED0">
            <w:pPr>
              <w:ind w:right="-29"/>
              <w:jc w:val="center"/>
              <w:rPr>
                <w:noProof/>
                <w:sz w:val="18"/>
                <w:szCs w:val="18"/>
              </w:rPr>
            </w:pPr>
          </w:p>
        </w:tc>
        <w:tc>
          <w:tcPr>
            <w:tcW w:w="720" w:type="dxa"/>
            <w:tcBorders>
              <w:bottom w:val="single" w:sz="12" w:space="0" w:color="auto"/>
            </w:tcBorders>
          </w:tcPr>
          <w:p w:rsidR="00693ED0" w:rsidRPr="00253C15" w:rsidRDefault="00693ED0">
            <w:pPr>
              <w:ind w:right="-29"/>
              <w:jc w:val="center"/>
              <w:rPr>
                <w:noProof/>
                <w:sz w:val="18"/>
                <w:szCs w:val="18"/>
              </w:rPr>
            </w:pPr>
          </w:p>
        </w:tc>
        <w:tc>
          <w:tcPr>
            <w:tcW w:w="720" w:type="dxa"/>
            <w:tcBorders>
              <w:bottom w:val="single" w:sz="12" w:space="0" w:color="auto"/>
            </w:tcBorders>
          </w:tcPr>
          <w:p w:rsidR="00693ED0" w:rsidRPr="00253C15" w:rsidRDefault="00693ED0">
            <w:pPr>
              <w:ind w:right="-29"/>
              <w:jc w:val="center"/>
              <w:rPr>
                <w:noProof/>
                <w:sz w:val="18"/>
                <w:szCs w:val="18"/>
              </w:rPr>
            </w:pPr>
          </w:p>
        </w:tc>
        <w:tc>
          <w:tcPr>
            <w:tcW w:w="720" w:type="dxa"/>
            <w:tcBorders>
              <w:bottom w:val="single" w:sz="12" w:space="0" w:color="auto"/>
            </w:tcBorders>
          </w:tcPr>
          <w:p w:rsidR="00693ED0" w:rsidRPr="00253C15" w:rsidRDefault="00693ED0">
            <w:pPr>
              <w:ind w:right="-29"/>
              <w:jc w:val="center"/>
              <w:rPr>
                <w:noProof/>
                <w:sz w:val="18"/>
                <w:szCs w:val="18"/>
              </w:rPr>
            </w:pPr>
          </w:p>
        </w:tc>
        <w:tc>
          <w:tcPr>
            <w:tcW w:w="951" w:type="dxa"/>
            <w:gridSpan w:val="2"/>
            <w:tcBorders>
              <w:bottom w:val="single" w:sz="12" w:space="0" w:color="auto"/>
            </w:tcBorders>
          </w:tcPr>
          <w:p w:rsidR="00693ED0" w:rsidRPr="00253C15" w:rsidRDefault="00693ED0">
            <w:pPr>
              <w:ind w:right="-29"/>
              <w:jc w:val="center"/>
              <w:rPr>
                <w:noProof/>
                <w:sz w:val="18"/>
                <w:szCs w:val="18"/>
              </w:rPr>
            </w:pPr>
          </w:p>
        </w:tc>
        <w:tc>
          <w:tcPr>
            <w:tcW w:w="669" w:type="dxa"/>
            <w:tcBorders>
              <w:bottom w:val="single" w:sz="12" w:space="0" w:color="auto"/>
            </w:tcBorders>
          </w:tcPr>
          <w:p w:rsidR="00693ED0" w:rsidRPr="00253C15" w:rsidRDefault="00693ED0">
            <w:pPr>
              <w:ind w:right="-29"/>
              <w:jc w:val="center"/>
              <w:rPr>
                <w:noProof/>
                <w:sz w:val="18"/>
                <w:szCs w:val="18"/>
              </w:rPr>
            </w:pPr>
          </w:p>
        </w:tc>
        <w:tc>
          <w:tcPr>
            <w:tcW w:w="540" w:type="dxa"/>
            <w:tcBorders>
              <w:bottom w:val="single" w:sz="12" w:space="0" w:color="auto"/>
            </w:tcBorders>
          </w:tcPr>
          <w:p w:rsidR="00693ED0" w:rsidRPr="00253C15" w:rsidRDefault="00693ED0">
            <w:pPr>
              <w:ind w:right="-29"/>
              <w:jc w:val="center"/>
              <w:rPr>
                <w:noProof/>
                <w:sz w:val="18"/>
                <w:szCs w:val="18"/>
              </w:rPr>
            </w:pPr>
          </w:p>
        </w:tc>
        <w:tc>
          <w:tcPr>
            <w:tcW w:w="648" w:type="dxa"/>
            <w:tcBorders>
              <w:bottom w:val="single" w:sz="12" w:space="0" w:color="auto"/>
            </w:tcBorders>
          </w:tcPr>
          <w:p w:rsidR="00693ED0" w:rsidRPr="00253C15" w:rsidRDefault="00693ED0">
            <w:pPr>
              <w:ind w:right="-29"/>
              <w:jc w:val="center"/>
              <w:rPr>
                <w:noProof/>
                <w:sz w:val="18"/>
                <w:szCs w:val="18"/>
              </w:rPr>
            </w:pPr>
          </w:p>
        </w:tc>
        <w:tc>
          <w:tcPr>
            <w:tcW w:w="432" w:type="dxa"/>
            <w:tcBorders>
              <w:bottom w:val="single" w:sz="12" w:space="0" w:color="auto"/>
            </w:tcBorders>
          </w:tcPr>
          <w:p w:rsidR="00693ED0" w:rsidRPr="00253C15" w:rsidRDefault="00693ED0">
            <w:pPr>
              <w:ind w:right="-29"/>
              <w:jc w:val="center"/>
              <w:rPr>
                <w:noProof/>
                <w:sz w:val="18"/>
                <w:szCs w:val="18"/>
              </w:rPr>
            </w:pPr>
          </w:p>
        </w:tc>
        <w:tc>
          <w:tcPr>
            <w:tcW w:w="720" w:type="dxa"/>
            <w:tcBorders>
              <w:bottom w:val="single" w:sz="12" w:space="0" w:color="auto"/>
            </w:tcBorders>
          </w:tcPr>
          <w:p w:rsidR="00693ED0" w:rsidRPr="00253C15" w:rsidRDefault="00693ED0">
            <w:pPr>
              <w:ind w:right="-29"/>
              <w:jc w:val="center"/>
              <w:rPr>
                <w:noProof/>
                <w:sz w:val="18"/>
                <w:szCs w:val="18"/>
              </w:rPr>
            </w:pPr>
          </w:p>
        </w:tc>
        <w:tc>
          <w:tcPr>
            <w:tcW w:w="540" w:type="dxa"/>
            <w:tcBorders>
              <w:bottom w:val="single" w:sz="12" w:space="0" w:color="auto"/>
            </w:tcBorders>
          </w:tcPr>
          <w:p w:rsidR="00693ED0" w:rsidRPr="00253C15" w:rsidRDefault="00693ED0">
            <w:pPr>
              <w:ind w:right="-29"/>
              <w:jc w:val="center"/>
              <w:rPr>
                <w:noProof/>
                <w:sz w:val="18"/>
                <w:szCs w:val="18"/>
              </w:rPr>
            </w:pPr>
          </w:p>
        </w:tc>
        <w:tc>
          <w:tcPr>
            <w:tcW w:w="720" w:type="dxa"/>
            <w:tcBorders>
              <w:bottom w:val="single" w:sz="12" w:space="0" w:color="auto"/>
            </w:tcBorders>
          </w:tcPr>
          <w:p w:rsidR="00693ED0" w:rsidRPr="00253C15" w:rsidRDefault="00693ED0">
            <w:pPr>
              <w:ind w:right="-29"/>
              <w:jc w:val="center"/>
              <w:rPr>
                <w:noProof/>
                <w:sz w:val="18"/>
                <w:szCs w:val="18"/>
              </w:rPr>
            </w:pPr>
          </w:p>
        </w:tc>
        <w:tc>
          <w:tcPr>
            <w:tcW w:w="720" w:type="dxa"/>
            <w:tcBorders>
              <w:bottom w:val="single" w:sz="12" w:space="0" w:color="auto"/>
            </w:tcBorders>
          </w:tcPr>
          <w:p w:rsidR="00693ED0" w:rsidRPr="00253C15" w:rsidRDefault="00693ED0">
            <w:pPr>
              <w:ind w:right="-29"/>
              <w:jc w:val="center"/>
              <w:rPr>
                <w:noProof/>
                <w:sz w:val="18"/>
                <w:szCs w:val="18"/>
              </w:rPr>
            </w:pPr>
          </w:p>
        </w:tc>
        <w:tc>
          <w:tcPr>
            <w:tcW w:w="900" w:type="dxa"/>
            <w:tcBorders>
              <w:bottom w:val="single" w:sz="12" w:space="0" w:color="auto"/>
            </w:tcBorders>
          </w:tcPr>
          <w:p w:rsidR="00693ED0" w:rsidRPr="00253C15" w:rsidRDefault="00693ED0">
            <w:pPr>
              <w:ind w:right="-29"/>
              <w:jc w:val="center"/>
              <w:rPr>
                <w:noProof/>
                <w:sz w:val="18"/>
                <w:szCs w:val="18"/>
              </w:rPr>
            </w:pPr>
          </w:p>
        </w:tc>
      </w:tr>
      <w:tr w:rsidR="00693ED0" w:rsidRPr="00253C15" w:rsidTr="17618B6F">
        <w:trPr>
          <w:jc w:val="center"/>
        </w:trPr>
        <w:tc>
          <w:tcPr>
            <w:tcW w:w="2844" w:type="dxa"/>
            <w:gridSpan w:val="3"/>
            <w:tcBorders>
              <w:top w:val="single" w:sz="12" w:space="0" w:color="auto"/>
              <w:left w:val="single" w:sz="12" w:space="0" w:color="auto"/>
              <w:bottom w:val="single" w:sz="12" w:space="0" w:color="auto"/>
            </w:tcBorders>
            <w:vAlign w:val="center"/>
          </w:tcPr>
          <w:p w:rsidR="00693ED0" w:rsidRPr="00253C15" w:rsidRDefault="00693ED0">
            <w:pPr>
              <w:ind w:right="-29"/>
              <w:jc w:val="center"/>
              <w:rPr>
                <w:noProof/>
                <w:sz w:val="18"/>
                <w:szCs w:val="18"/>
              </w:rPr>
            </w:pPr>
            <w:r w:rsidRPr="00253C15">
              <w:rPr>
                <w:b/>
                <w:noProof/>
                <w:sz w:val="18"/>
              </w:rPr>
              <w:t>INSGESAMT</w:t>
            </w:r>
          </w:p>
        </w:tc>
        <w:tc>
          <w:tcPr>
            <w:tcW w:w="504" w:type="dxa"/>
            <w:tcBorders>
              <w:top w:val="single" w:sz="12" w:space="0" w:color="auto"/>
              <w:bottom w:val="single" w:sz="12" w:space="0" w:color="auto"/>
            </w:tcBorders>
          </w:tcPr>
          <w:p w:rsidR="00693ED0" w:rsidRPr="00253C15"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253C15"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253C15"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253C15"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253C15"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253C15" w:rsidRDefault="00693ED0">
            <w:pPr>
              <w:spacing w:before="180" w:after="180"/>
              <w:ind w:right="-29"/>
              <w:jc w:val="center"/>
              <w:rPr>
                <w:noProof/>
                <w:sz w:val="18"/>
                <w:szCs w:val="18"/>
              </w:rPr>
            </w:pPr>
          </w:p>
        </w:tc>
        <w:tc>
          <w:tcPr>
            <w:tcW w:w="900" w:type="dxa"/>
            <w:tcBorders>
              <w:top w:val="single" w:sz="12" w:space="0" w:color="auto"/>
              <w:bottom w:val="single" w:sz="12" w:space="0" w:color="auto"/>
            </w:tcBorders>
          </w:tcPr>
          <w:p w:rsidR="00693ED0" w:rsidRPr="00253C15" w:rsidRDefault="00693ED0">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rsidR="00693ED0" w:rsidRPr="00253C15"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253C15" w:rsidRDefault="00693ED0">
            <w:pPr>
              <w:spacing w:before="180" w:after="180"/>
              <w:ind w:right="-29"/>
              <w:jc w:val="center"/>
              <w:rPr>
                <w:noProof/>
                <w:sz w:val="18"/>
                <w:szCs w:val="18"/>
              </w:rPr>
            </w:pPr>
          </w:p>
        </w:tc>
        <w:tc>
          <w:tcPr>
            <w:tcW w:w="648" w:type="dxa"/>
            <w:tcBorders>
              <w:top w:val="single" w:sz="12" w:space="0" w:color="auto"/>
              <w:bottom w:val="single" w:sz="12" w:space="0" w:color="auto"/>
            </w:tcBorders>
          </w:tcPr>
          <w:p w:rsidR="00693ED0" w:rsidRPr="00253C15" w:rsidRDefault="00693ED0">
            <w:pPr>
              <w:spacing w:before="180" w:after="180"/>
              <w:ind w:right="-29"/>
              <w:jc w:val="center"/>
              <w:rPr>
                <w:noProof/>
                <w:sz w:val="18"/>
                <w:szCs w:val="18"/>
              </w:rPr>
            </w:pPr>
          </w:p>
        </w:tc>
        <w:tc>
          <w:tcPr>
            <w:tcW w:w="432" w:type="dxa"/>
            <w:tcBorders>
              <w:top w:val="single" w:sz="12" w:space="0" w:color="auto"/>
              <w:bottom w:val="single" w:sz="12" w:space="0" w:color="auto"/>
            </w:tcBorders>
          </w:tcPr>
          <w:p w:rsidR="00693ED0" w:rsidRPr="00253C15"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253C15"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253C15"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253C15"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253C15" w:rsidRDefault="00693ED0">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rsidR="00693ED0" w:rsidRPr="00253C15" w:rsidRDefault="00693ED0">
            <w:pPr>
              <w:spacing w:before="180" w:after="180"/>
              <w:ind w:right="-29"/>
              <w:jc w:val="center"/>
              <w:rPr>
                <w:noProof/>
                <w:sz w:val="18"/>
                <w:szCs w:val="18"/>
              </w:rPr>
            </w:pPr>
          </w:p>
        </w:tc>
      </w:tr>
    </w:tbl>
    <w:p w:rsidR="00693ED0" w:rsidRPr="00253C15" w:rsidRDefault="00693ED0" w:rsidP="00693ED0">
      <w:pPr>
        <w:rPr>
          <w:noProof/>
        </w:rPr>
        <w:sectPr w:rsidR="00693ED0" w:rsidRPr="00253C15" w:rsidSect="006F53F5">
          <w:headerReference w:type="default" r:id="rId19"/>
          <w:footerReference w:type="default" r:id="rId20"/>
          <w:pgSz w:w="16840" w:h="11907" w:orient="landscape" w:code="9"/>
          <w:pgMar w:top="1134" w:right="1418" w:bottom="567" w:left="1418" w:header="709" w:footer="709" w:gutter="0"/>
          <w:cols w:space="708"/>
          <w:docGrid w:linePitch="360"/>
        </w:sectPr>
      </w:pPr>
    </w:p>
    <w:p w:rsidR="00693ED0" w:rsidRPr="00253C15" w:rsidRDefault="00693ED0" w:rsidP="00693ED0">
      <w:pPr>
        <w:pStyle w:val="ManualHeading3"/>
        <w:rPr>
          <w:bCs/>
          <w:noProof/>
          <w:szCs w:val="24"/>
        </w:rPr>
      </w:pPr>
      <w:bookmarkStart w:id="154" w:name="_Toc514938055"/>
      <w:bookmarkStart w:id="155" w:name="_Toc520485054"/>
      <w:bookmarkStart w:id="156" w:name="_Toc160804598"/>
      <w:bookmarkStart w:id="157" w:name="_Toc167220290"/>
      <w:bookmarkStart w:id="158" w:name="_Toc177549023"/>
      <w:r w:rsidRPr="00253C15">
        <w:rPr>
          <w:noProof/>
        </w:rPr>
        <w:t>3.2.3.</w:t>
      </w:r>
      <w:r w:rsidRPr="00253C15">
        <w:rPr>
          <w:noProof/>
        </w:rPr>
        <w:tab/>
        <w:t>Übersicht über die geschätzten Auswirkungen auf die Verwaltungsmittel</w:t>
      </w:r>
      <w:bookmarkEnd w:id="154"/>
      <w:bookmarkEnd w:id="155"/>
      <w:bookmarkEnd w:id="156"/>
      <w:bookmarkEnd w:id="157"/>
      <w:bookmarkEnd w:id="158"/>
      <w:r w:rsidRPr="00253C15">
        <w:rPr>
          <w:noProof/>
        </w:rPr>
        <w:t xml:space="preserve"> </w:t>
      </w:r>
    </w:p>
    <w:p w:rsidR="00693ED0" w:rsidRPr="00253C15" w:rsidRDefault="00693ED0" w:rsidP="00693ED0">
      <w:pPr>
        <w:pStyle w:val="ListDash1"/>
        <w:rPr>
          <w:noProof/>
        </w:rPr>
      </w:pPr>
      <w:r w:rsidRPr="00253C15">
        <w:rPr>
          <w:rFonts w:ascii="Wingdings" w:hAnsi="Wingdings"/>
          <w:noProof/>
        </w:rPr>
        <w:t></w:t>
      </w:r>
      <w:r w:rsidRPr="00253C15">
        <w:rPr>
          <w:noProof/>
        </w:rPr>
        <w:tab/>
        <w:t xml:space="preserve">Für den Vorschlag/die Initiative werden keine Verwaltungsmittel benötigt. </w:t>
      </w:r>
    </w:p>
    <w:p w:rsidR="00693ED0" w:rsidRPr="00253C15" w:rsidRDefault="00693ED0" w:rsidP="00693ED0">
      <w:pPr>
        <w:pStyle w:val="ListDash1"/>
        <w:rPr>
          <w:noProof/>
        </w:rPr>
      </w:pPr>
      <w:r w:rsidRPr="00253C15">
        <w:rPr>
          <w:rFonts w:ascii="Wingdings" w:hAnsi="Wingdings"/>
          <w:noProof/>
        </w:rPr>
        <w:t></w:t>
      </w:r>
      <w:r w:rsidRPr="00253C15">
        <w:rPr>
          <w:noProof/>
        </w:rPr>
        <w:tab/>
        <w:t>Für den Vorschlag/die Initiative werden die folgenden Verwaltungsmittel benötigt:</w:t>
      </w:r>
    </w:p>
    <w:p w:rsidR="00693ED0" w:rsidRPr="00253C15" w:rsidRDefault="00693ED0" w:rsidP="00693ED0">
      <w:pPr>
        <w:pStyle w:val="ManualHeading3"/>
        <w:rPr>
          <w:noProof/>
        </w:rPr>
      </w:pPr>
      <w:bookmarkStart w:id="159" w:name="_Toc167220291"/>
      <w:bookmarkStart w:id="160" w:name="_Toc177549024"/>
      <w:r w:rsidRPr="00253C15">
        <w:rPr>
          <w:noProof/>
        </w:rPr>
        <w:t>3.2.3.1. Mittel aus dem verabschiedeten Haushaltsplan</w:t>
      </w:r>
      <w:bookmarkEnd w:id="159"/>
      <w:bookmarkEnd w:id="160"/>
    </w:p>
    <w:tbl>
      <w:tblPr>
        <w:tblW w:w="5000" w:type="pct"/>
        <w:tblLook w:val="04A0" w:firstRow="1" w:lastRow="0" w:firstColumn="1" w:lastColumn="0" w:noHBand="0" w:noVBand="1"/>
      </w:tblPr>
      <w:tblGrid>
        <w:gridCol w:w="3997"/>
        <w:gridCol w:w="998"/>
        <w:gridCol w:w="999"/>
        <w:gridCol w:w="999"/>
        <w:gridCol w:w="999"/>
        <w:gridCol w:w="1297"/>
      </w:tblGrid>
      <w:tr w:rsidR="00693ED0" w:rsidRPr="00253C15">
        <w:trPr>
          <w:trHeight w:val="300"/>
        </w:trPr>
        <w:tc>
          <w:tcPr>
            <w:tcW w:w="2167"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18"/>
                <w:szCs w:val="18"/>
              </w:rPr>
            </w:pPr>
            <w:r w:rsidRPr="00253C15">
              <w:rPr>
                <w:b/>
                <w:noProof/>
                <w:color w:val="000000"/>
                <w:sz w:val="18"/>
              </w:rPr>
              <w:t>BEWILLIGTE MITTEL</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 w:val="18"/>
                <w:szCs w:val="18"/>
              </w:rPr>
            </w:pPr>
            <w:r w:rsidRPr="00253C15">
              <w:rPr>
                <w:noProof/>
                <w:color w:val="000000"/>
                <w:sz w:val="18"/>
              </w:rPr>
              <w:t>Jahr</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 w:val="18"/>
                <w:szCs w:val="18"/>
              </w:rPr>
            </w:pPr>
            <w:r w:rsidRPr="00253C15">
              <w:rPr>
                <w:noProof/>
                <w:color w:val="000000"/>
                <w:sz w:val="18"/>
              </w:rPr>
              <w:t>Jahr</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 w:val="18"/>
                <w:szCs w:val="18"/>
              </w:rPr>
            </w:pPr>
            <w:r w:rsidRPr="00253C15">
              <w:rPr>
                <w:noProof/>
                <w:color w:val="000000"/>
                <w:sz w:val="18"/>
              </w:rPr>
              <w:t>Jahr</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 w:val="18"/>
                <w:szCs w:val="18"/>
              </w:rPr>
            </w:pPr>
            <w:r w:rsidRPr="00253C15">
              <w:rPr>
                <w:noProof/>
                <w:color w:val="000000"/>
                <w:sz w:val="18"/>
              </w:rPr>
              <w:t>Jahr</w:t>
            </w:r>
          </w:p>
        </w:tc>
        <w:tc>
          <w:tcPr>
            <w:tcW w:w="6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18"/>
                <w:szCs w:val="18"/>
              </w:rPr>
            </w:pPr>
            <w:r w:rsidRPr="00253C15">
              <w:rPr>
                <w:b/>
                <w:noProof/>
                <w:color w:val="000000"/>
                <w:sz w:val="18"/>
              </w:rPr>
              <w:t>2021-2027 INSGESAMT</w:t>
            </w:r>
          </w:p>
        </w:tc>
      </w:tr>
      <w:tr w:rsidR="00693ED0" w:rsidRPr="00253C15">
        <w:trPr>
          <w:trHeight w:val="300"/>
        </w:trPr>
        <w:tc>
          <w:tcPr>
            <w:tcW w:w="2167" w:type="pct"/>
            <w:vMerge/>
            <w:tcBorders>
              <w:top w:val="single" w:sz="8" w:space="0" w:color="auto"/>
              <w:left w:val="single" w:sz="8" w:space="0" w:color="auto"/>
              <w:bottom w:val="single" w:sz="8" w:space="0" w:color="auto"/>
              <w:right w:val="single" w:sz="8" w:space="0" w:color="auto"/>
            </w:tcBorders>
            <w:vAlign w:val="center"/>
            <w:hideMark/>
          </w:tcPr>
          <w:p w:rsidR="00693ED0" w:rsidRPr="00253C15" w:rsidRDefault="00693ED0">
            <w:pPr>
              <w:spacing w:before="0" w:after="0"/>
              <w:jc w:val="left"/>
              <w:rPr>
                <w:b/>
                <w:bCs/>
                <w:noProof/>
                <w:color w:val="000000"/>
                <w:sz w:val="18"/>
                <w:szCs w:val="18"/>
                <w:lang w:eastAsia="en-IE"/>
              </w:rPr>
            </w:pPr>
          </w:p>
        </w:tc>
        <w:tc>
          <w:tcPr>
            <w:tcW w:w="553"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18"/>
                <w:szCs w:val="18"/>
              </w:rPr>
            </w:pPr>
            <w:r w:rsidRPr="00253C15">
              <w:rPr>
                <w:b/>
                <w:noProof/>
                <w:color w:val="000000"/>
                <w:sz w:val="18"/>
              </w:rPr>
              <w:t>2024</w:t>
            </w:r>
          </w:p>
        </w:tc>
        <w:tc>
          <w:tcPr>
            <w:tcW w:w="553"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18"/>
                <w:szCs w:val="18"/>
              </w:rPr>
            </w:pPr>
            <w:r w:rsidRPr="00253C15">
              <w:rPr>
                <w:b/>
                <w:noProof/>
                <w:color w:val="000000"/>
                <w:sz w:val="18"/>
              </w:rPr>
              <w:t>2025</w:t>
            </w:r>
          </w:p>
        </w:tc>
        <w:tc>
          <w:tcPr>
            <w:tcW w:w="553"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18"/>
                <w:szCs w:val="18"/>
              </w:rPr>
            </w:pPr>
            <w:r w:rsidRPr="00253C15">
              <w:rPr>
                <w:b/>
                <w:noProof/>
                <w:color w:val="000000"/>
                <w:sz w:val="18"/>
              </w:rPr>
              <w:t>2026</w:t>
            </w:r>
          </w:p>
        </w:tc>
        <w:tc>
          <w:tcPr>
            <w:tcW w:w="553"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18"/>
                <w:szCs w:val="18"/>
              </w:rPr>
            </w:pPr>
            <w:r w:rsidRPr="00253C15">
              <w:rPr>
                <w:b/>
                <w:noProof/>
                <w:color w:val="000000"/>
                <w:sz w:val="18"/>
              </w:rPr>
              <w:t>2027</w:t>
            </w:r>
          </w:p>
        </w:tc>
        <w:tc>
          <w:tcPr>
            <w:tcW w:w="622" w:type="pct"/>
            <w:vMerge/>
            <w:tcBorders>
              <w:top w:val="single" w:sz="8" w:space="0" w:color="auto"/>
              <w:left w:val="single" w:sz="8" w:space="0" w:color="auto"/>
              <w:bottom w:val="single" w:sz="8" w:space="0" w:color="auto"/>
              <w:right w:val="single" w:sz="8" w:space="0" w:color="auto"/>
            </w:tcBorders>
            <w:vAlign w:val="center"/>
            <w:hideMark/>
          </w:tcPr>
          <w:p w:rsidR="00693ED0" w:rsidRPr="00253C15" w:rsidRDefault="00693ED0">
            <w:pPr>
              <w:spacing w:before="0" w:after="0"/>
              <w:jc w:val="left"/>
              <w:rPr>
                <w:b/>
                <w:bCs/>
                <w:noProof/>
                <w:color w:val="000000"/>
                <w:sz w:val="18"/>
                <w:szCs w:val="18"/>
                <w:lang w:eastAsia="en-IE"/>
              </w:rPr>
            </w:pPr>
          </w:p>
        </w:tc>
      </w:tr>
      <w:tr w:rsidR="00693ED0" w:rsidRPr="00253C15">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253C15" w:rsidRDefault="00693ED0">
            <w:pPr>
              <w:spacing w:before="0" w:after="0"/>
              <w:jc w:val="left"/>
              <w:rPr>
                <w:b/>
                <w:bCs/>
                <w:noProof/>
                <w:sz w:val="16"/>
                <w:szCs w:val="16"/>
              </w:rPr>
            </w:pPr>
            <w:r w:rsidRPr="00253C15">
              <w:rPr>
                <w:b/>
                <w:noProof/>
                <w:sz w:val="16"/>
              </w:rPr>
              <w:t>RUBRIK 7</w:t>
            </w:r>
          </w:p>
        </w:tc>
      </w:tr>
      <w:tr w:rsidR="00693ED0" w:rsidRPr="00253C15">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jc w:val="left"/>
              <w:rPr>
                <w:noProof/>
                <w:color w:val="000000"/>
                <w:sz w:val="16"/>
                <w:szCs w:val="16"/>
              </w:rPr>
            </w:pPr>
            <w:r w:rsidRPr="00253C15">
              <w:rPr>
                <w:noProof/>
                <w:color w:val="000000"/>
                <w:sz w:val="16"/>
              </w:rPr>
              <w:t xml:space="preserve">Personalausgaben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16"/>
                <w:szCs w:val="16"/>
              </w:rPr>
            </w:pPr>
            <w:r w:rsidRPr="00253C15">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16"/>
                <w:szCs w:val="16"/>
              </w:rPr>
            </w:pPr>
            <w:r w:rsidRPr="00253C15">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16"/>
                <w:szCs w:val="16"/>
              </w:rPr>
            </w:pPr>
            <w:r w:rsidRPr="00253C15">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16"/>
                <w:szCs w:val="16"/>
              </w:rPr>
            </w:pPr>
            <w:r w:rsidRPr="00253C15">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16"/>
                <w:szCs w:val="16"/>
              </w:rPr>
            </w:pPr>
            <w:r w:rsidRPr="00253C15">
              <w:rPr>
                <w:b/>
                <w:noProof/>
                <w:color w:val="000000"/>
                <w:sz w:val="16"/>
              </w:rPr>
              <w:t>0,000</w:t>
            </w:r>
          </w:p>
        </w:tc>
      </w:tr>
      <w:tr w:rsidR="00693ED0" w:rsidRPr="00253C15">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jc w:val="left"/>
              <w:rPr>
                <w:noProof/>
                <w:color w:val="000000"/>
                <w:sz w:val="16"/>
                <w:szCs w:val="16"/>
              </w:rPr>
            </w:pPr>
            <w:r w:rsidRPr="00253C15">
              <w:rPr>
                <w:noProof/>
                <w:color w:val="000000"/>
                <w:sz w:val="16"/>
              </w:rPr>
              <w:t xml:space="preserve">Sonstige Verwaltungsausgaben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16"/>
                <w:szCs w:val="16"/>
              </w:rPr>
            </w:pPr>
            <w:r w:rsidRPr="00253C15">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16"/>
                <w:szCs w:val="16"/>
              </w:rPr>
            </w:pPr>
            <w:r w:rsidRPr="00253C15">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16"/>
                <w:szCs w:val="16"/>
              </w:rPr>
            </w:pPr>
            <w:r w:rsidRPr="00253C15">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16"/>
                <w:szCs w:val="16"/>
              </w:rPr>
            </w:pPr>
            <w:r w:rsidRPr="00253C15">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16"/>
                <w:szCs w:val="16"/>
              </w:rPr>
            </w:pPr>
            <w:r w:rsidRPr="00253C15">
              <w:rPr>
                <w:b/>
                <w:noProof/>
                <w:color w:val="000000"/>
                <w:sz w:val="16"/>
              </w:rPr>
              <w:t>0,000</w:t>
            </w:r>
          </w:p>
        </w:tc>
      </w:tr>
      <w:tr w:rsidR="00693ED0" w:rsidRPr="00253C15">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693ED0" w:rsidRPr="00253C15" w:rsidRDefault="00693ED0">
            <w:pPr>
              <w:spacing w:before="0" w:after="0"/>
              <w:jc w:val="center"/>
              <w:rPr>
                <w:b/>
                <w:bCs/>
                <w:noProof/>
                <w:color w:val="000000"/>
                <w:sz w:val="16"/>
                <w:szCs w:val="16"/>
              </w:rPr>
            </w:pPr>
            <w:r w:rsidRPr="00253C15">
              <w:rPr>
                <w:b/>
                <w:noProof/>
                <w:color w:val="000000"/>
                <w:sz w:val="16"/>
              </w:rPr>
              <w:t>Zwischensumme RUBRIK 7</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16"/>
                <w:szCs w:val="16"/>
              </w:rPr>
            </w:pPr>
            <w:r w:rsidRPr="00253C15">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16"/>
                <w:szCs w:val="16"/>
              </w:rPr>
            </w:pPr>
            <w:r w:rsidRPr="00253C15">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16"/>
                <w:szCs w:val="16"/>
              </w:rPr>
            </w:pPr>
            <w:r w:rsidRPr="00253C15">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16"/>
                <w:szCs w:val="16"/>
              </w:rPr>
            </w:pPr>
            <w:r w:rsidRPr="00253C15">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16"/>
                <w:szCs w:val="16"/>
              </w:rPr>
            </w:pPr>
            <w:r w:rsidRPr="00253C15">
              <w:rPr>
                <w:b/>
                <w:noProof/>
                <w:color w:val="000000"/>
                <w:sz w:val="16"/>
              </w:rPr>
              <w:t>0,000</w:t>
            </w:r>
          </w:p>
        </w:tc>
      </w:tr>
      <w:tr w:rsidR="00693ED0" w:rsidRPr="00253C15">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253C15" w:rsidRDefault="00693ED0">
            <w:pPr>
              <w:spacing w:before="0" w:after="0"/>
              <w:jc w:val="left"/>
              <w:rPr>
                <w:b/>
                <w:bCs/>
                <w:noProof/>
                <w:sz w:val="16"/>
                <w:szCs w:val="16"/>
              </w:rPr>
            </w:pPr>
            <w:r w:rsidRPr="00253C15">
              <w:rPr>
                <w:b/>
                <w:noProof/>
                <w:sz w:val="16"/>
              </w:rPr>
              <w:t>Außerhalb der RUBRIK 7</w:t>
            </w:r>
          </w:p>
        </w:tc>
      </w:tr>
      <w:tr w:rsidR="00693ED0" w:rsidRPr="00253C15">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jc w:val="left"/>
              <w:rPr>
                <w:noProof/>
                <w:color w:val="000000"/>
                <w:sz w:val="16"/>
                <w:szCs w:val="16"/>
              </w:rPr>
            </w:pPr>
            <w:r w:rsidRPr="00253C15">
              <w:rPr>
                <w:noProof/>
                <w:color w:val="000000"/>
                <w:sz w:val="16"/>
              </w:rPr>
              <w:t xml:space="preserve">Personalausgaben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16"/>
                <w:szCs w:val="16"/>
              </w:rPr>
            </w:pPr>
            <w:r w:rsidRPr="00253C15">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16"/>
                <w:szCs w:val="16"/>
              </w:rPr>
            </w:pPr>
            <w:r w:rsidRPr="00253C15">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16"/>
                <w:szCs w:val="16"/>
              </w:rPr>
            </w:pPr>
            <w:r w:rsidRPr="00253C15">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16"/>
                <w:szCs w:val="16"/>
              </w:rPr>
            </w:pPr>
            <w:r w:rsidRPr="00253C15">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16"/>
                <w:szCs w:val="16"/>
              </w:rPr>
            </w:pPr>
            <w:r w:rsidRPr="00253C15">
              <w:rPr>
                <w:b/>
                <w:noProof/>
                <w:color w:val="000000"/>
                <w:sz w:val="16"/>
              </w:rPr>
              <w:t>0,000</w:t>
            </w:r>
          </w:p>
        </w:tc>
      </w:tr>
      <w:tr w:rsidR="00693ED0" w:rsidRPr="00253C15">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jc w:val="left"/>
              <w:rPr>
                <w:noProof/>
                <w:color w:val="000000"/>
                <w:sz w:val="16"/>
                <w:szCs w:val="16"/>
              </w:rPr>
            </w:pPr>
            <w:r w:rsidRPr="00253C15">
              <w:rPr>
                <w:noProof/>
                <w:color w:val="000000"/>
                <w:sz w:val="16"/>
              </w:rPr>
              <w:t>Sonstige Verwaltungsausgaben</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16"/>
                <w:szCs w:val="16"/>
              </w:rPr>
            </w:pPr>
            <w:r w:rsidRPr="00253C15">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16"/>
                <w:szCs w:val="16"/>
              </w:rPr>
            </w:pPr>
            <w:r w:rsidRPr="00253C15">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16"/>
                <w:szCs w:val="16"/>
              </w:rPr>
            </w:pPr>
            <w:r w:rsidRPr="00253C15">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16"/>
                <w:szCs w:val="16"/>
              </w:rPr>
            </w:pPr>
            <w:r w:rsidRPr="00253C15">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16"/>
                <w:szCs w:val="16"/>
              </w:rPr>
            </w:pPr>
            <w:r w:rsidRPr="00253C15">
              <w:rPr>
                <w:b/>
                <w:noProof/>
                <w:color w:val="000000"/>
                <w:sz w:val="16"/>
              </w:rPr>
              <w:t>0,000</w:t>
            </w:r>
          </w:p>
        </w:tc>
      </w:tr>
      <w:tr w:rsidR="00693ED0" w:rsidRPr="00253C15">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693ED0" w:rsidRPr="00253C15" w:rsidRDefault="00693ED0">
            <w:pPr>
              <w:spacing w:before="0" w:after="0"/>
              <w:jc w:val="center"/>
              <w:rPr>
                <w:b/>
                <w:bCs/>
                <w:noProof/>
                <w:color w:val="000000"/>
                <w:sz w:val="16"/>
                <w:szCs w:val="16"/>
              </w:rPr>
            </w:pPr>
            <w:r w:rsidRPr="00253C15">
              <w:rPr>
                <w:b/>
                <w:noProof/>
                <w:color w:val="000000"/>
                <w:sz w:val="16"/>
              </w:rPr>
              <w:t>Zwischensumme außerhalb der RUBRIK 7</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16"/>
                <w:szCs w:val="16"/>
              </w:rPr>
            </w:pPr>
            <w:r w:rsidRPr="00253C15">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16"/>
                <w:szCs w:val="16"/>
              </w:rPr>
            </w:pPr>
            <w:r w:rsidRPr="00253C15">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16"/>
                <w:szCs w:val="16"/>
              </w:rPr>
            </w:pPr>
            <w:r w:rsidRPr="00253C15">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16"/>
                <w:szCs w:val="16"/>
              </w:rPr>
            </w:pPr>
            <w:r w:rsidRPr="00253C15">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16"/>
                <w:szCs w:val="16"/>
              </w:rPr>
            </w:pPr>
            <w:r w:rsidRPr="00253C15">
              <w:rPr>
                <w:b/>
                <w:noProof/>
                <w:color w:val="000000"/>
                <w:sz w:val="16"/>
              </w:rPr>
              <w:t>0,000</w:t>
            </w:r>
          </w:p>
        </w:tc>
      </w:tr>
      <w:tr w:rsidR="00693ED0" w:rsidRPr="00253C15">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93ED0" w:rsidRPr="00253C15" w:rsidRDefault="00693ED0">
            <w:pPr>
              <w:spacing w:before="0" w:after="0"/>
              <w:jc w:val="center"/>
              <w:rPr>
                <w:noProof/>
                <w:color w:val="000000"/>
                <w:sz w:val="16"/>
                <w:szCs w:val="16"/>
              </w:rPr>
            </w:pPr>
            <w:r w:rsidRPr="00253C15">
              <w:rPr>
                <w:noProof/>
                <w:color w:val="000000"/>
                <w:sz w:val="16"/>
              </w:rPr>
              <w:t xml:space="preserve"> </w:t>
            </w:r>
          </w:p>
        </w:tc>
      </w:tr>
      <w:tr w:rsidR="00693ED0" w:rsidRPr="00253C15">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16"/>
                <w:szCs w:val="16"/>
              </w:rPr>
            </w:pPr>
            <w:r w:rsidRPr="00253C15">
              <w:rPr>
                <w:b/>
                <w:noProof/>
                <w:color w:val="000000"/>
                <w:sz w:val="16"/>
              </w:rPr>
              <w:t>INSGESAMT</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16"/>
                <w:szCs w:val="16"/>
              </w:rPr>
            </w:pPr>
            <w:r w:rsidRPr="00253C15">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16"/>
                <w:szCs w:val="16"/>
              </w:rPr>
            </w:pPr>
            <w:r w:rsidRPr="00253C15">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16"/>
                <w:szCs w:val="16"/>
              </w:rPr>
            </w:pPr>
            <w:r w:rsidRPr="00253C15">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16"/>
                <w:szCs w:val="16"/>
              </w:rPr>
            </w:pPr>
            <w:r w:rsidRPr="00253C15">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16"/>
                <w:szCs w:val="16"/>
              </w:rPr>
            </w:pPr>
            <w:r w:rsidRPr="00253C15">
              <w:rPr>
                <w:b/>
                <w:noProof/>
                <w:color w:val="000000"/>
                <w:sz w:val="16"/>
              </w:rPr>
              <w:t>0,000</w:t>
            </w:r>
          </w:p>
        </w:tc>
      </w:tr>
    </w:tbl>
    <w:p w:rsidR="00693ED0" w:rsidRPr="00253C15" w:rsidRDefault="00693ED0" w:rsidP="00693ED0">
      <w:pPr>
        <w:pStyle w:val="ManualHeading3"/>
        <w:rPr>
          <w:noProof/>
        </w:rPr>
      </w:pPr>
      <w:bookmarkStart w:id="161" w:name="_Toc167220293"/>
      <w:bookmarkStart w:id="162" w:name="_Toc177549026"/>
      <w:r w:rsidRPr="00253C15">
        <w:rPr>
          <w:noProof/>
        </w:rPr>
        <w:t>3.2.3.3.</w:t>
      </w:r>
      <w:r w:rsidRPr="00253C15">
        <w:rPr>
          <w:noProof/>
        </w:rPr>
        <w:tab/>
        <w:t>Mittel insgesamt</w:t>
      </w:r>
      <w:bookmarkEnd w:id="161"/>
      <w:bookmarkEnd w:id="162"/>
    </w:p>
    <w:tbl>
      <w:tblPr>
        <w:tblW w:w="8680" w:type="dxa"/>
        <w:tblLook w:val="04A0" w:firstRow="1" w:lastRow="0" w:firstColumn="1" w:lastColumn="0" w:noHBand="0" w:noVBand="1"/>
      </w:tblPr>
      <w:tblGrid>
        <w:gridCol w:w="3760"/>
        <w:gridCol w:w="939"/>
        <w:gridCol w:w="915"/>
        <w:gridCol w:w="895"/>
        <w:gridCol w:w="876"/>
        <w:gridCol w:w="1297"/>
      </w:tblGrid>
      <w:tr w:rsidR="00693ED0" w:rsidRPr="00253C15">
        <w:trPr>
          <w:trHeight w:val="519"/>
        </w:trPr>
        <w:tc>
          <w:tcPr>
            <w:tcW w:w="37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253C15" w:rsidRDefault="00693ED0">
            <w:pPr>
              <w:spacing w:before="0" w:after="0"/>
              <w:jc w:val="center"/>
              <w:rPr>
                <w:b/>
                <w:bCs/>
                <w:noProof/>
                <w:color w:val="000000"/>
                <w:sz w:val="18"/>
                <w:szCs w:val="18"/>
              </w:rPr>
            </w:pPr>
            <w:r w:rsidRPr="00253C15">
              <w:rPr>
                <w:b/>
                <w:noProof/>
                <w:color w:val="000000"/>
                <w:sz w:val="18"/>
              </w:rPr>
              <w:t>INSGESAMT</w:t>
            </w:r>
            <w:r w:rsidRPr="00253C15">
              <w:rPr>
                <w:noProof/>
              </w:rPr>
              <w:t xml:space="preserve"> </w:t>
            </w:r>
            <w:r w:rsidRPr="00253C15">
              <w:rPr>
                <w:noProof/>
              </w:rPr>
              <w:br/>
            </w:r>
            <w:r w:rsidRPr="00253C15">
              <w:rPr>
                <w:b/>
                <w:noProof/>
                <w:color w:val="000000"/>
                <w:sz w:val="18"/>
              </w:rPr>
              <w:t>BEWILLIGTEN MITTEL + EXTERNEN ZWECKGEBUNDENEN EINNAHMEN</w:t>
            </w:r>
          </w:p>
        </w:tc>
        <w:tc>
          <w:tcPr>
            <w:tcW w:w="960" w:type="dxa"/>
            <w:tcBorders>
              <w:top w:val="single" w:sz="8" w:space="0" w:color="auto"/>
              <w:left w:val="nil"/>
              <w:bottom w:val="nil"/>
              <w:right w:val="single" w:sz="8" w:space="0" w:color="auto"/>
            </w:tcBorders>
            <w:shd w:val="clear" w:color="auto" w:fill="auto"/>
            <w:vAlign w:val="center"/>
            <w:hideMark/>
          </w:tcPr>
          <w:p w:rsidR="00693ED0" w:rsidRPr="00253C15" w:rsidRDefault="00693ED0">
            <w:pPr>
              <w:spacing w:before="0" w:after="0"/>
              <w:jc w:val="center"/>
              <w:rPr>
                <w:noProof/>
                <w:color w:val="000000"/>
                <w:sz w:val="18"/>
                <w:szCs w:val="18"/>
              </w:rPr>
            </w:pPr>
            <w:r w:rsidRPr="00253C15">
              <w:rPr>
                <w:noProof/>
                <w:color w:val="000000"/>
                <w:sz w:val="18"/>
              </w:rPr>
              <w:t>Jahr</w:t>
            </w:r>
          </w:p>
        </w:tc>
        <w:tc>
          <w:tcPr>
            <w:tcW w:w="960" w:type="dxa"/>
            <w:tcBorders>
              <w:top w:val="single" w:sz="8" w:space="0" w:color="auto"/>
              <w:left w:val="nil"/>
              <w:bottom w:val="nil"/>
              <w:right w:val="single" w:sz="8" w:space="0" w:color="auto"/>
            </w:tcBorders>
            <w:shd w:val="clear" w:color="auto" w:fill="auto"/>
            <w:vAlign w:val="center"/>
            <w:hideMark/>
          </w:tcPr>
          <w:p w:rsidR="00693ED0" w:rsidRPr="00253C15" w:rsidRDefault="00693ED0">
            <w:pPr>
              <w:spacing w:before="0" w:after="0"/>
              <w:jc w:val="center"/>
              <w:rPr>
                <w:noProof/>
                <w:color w:val="000000"/>
                <w:sz w:val="18"/>
                <w:szCs w:val="18"/>
              </w:rPr>
            </w:pPr>
            <w:r w:rsidRPr="00253C15">
              <w:rPr>
                <w:noProof/>
                <w:color w:val="000000"/>
                <w:sz w:val="18"/>
              </w:rPr>
              <w:t>Jahr</w:t>
            </w:r>
          </w:p>
        </w:tc>
        <w:tc>
          <w:tcPr>
            <w:tcW w:w="960" w:type="dxa"/>
            <w:tcBorders>
              <w:top w:val="single" w:sz="8" w:space="0" w:color="auto"/>
              <w:left w:val="nil"/>
              <w:bottom w:val="nil"/>
              <w:right w:val="single" w:sz="8" w:space="0" w:color="auto"/>
            </w:tcBorders>
            <w:shd w:val="clear" w:color="auto" w:fill="auto"/>
            <w:vAlign w:val="center"/>
            <w:hideMark/>
          </w:tcPr>
          <w:p w:rsidR="00693ED0" w:rsidRPr="00253C15" w:rsidRDefault="00693ED0">
            <w:pPr>
              <w:spacing w:before="0" w:after="0"/>
              <w:jc w:val="center"/>
              <w:rPr>
                <w:noProof/>
                <w:color w:val="000000"/>
                <w:sz w:val="18"/>
                <w:szCs w:val="18"/>
              </w:rPr>
            </w:pPr>
            <w:r w:rsidRPr="00253C15">
              <w:rPr>
                <w:noProof/>
                <w:color w:val="000000"/>
                <w:sz w:val="18"/>
              </w:rPr>
              <w:t>Jahr</w:t>
            </w:r>
          </w:p>
        </w:tc>
        <w:tc>
          <w:tcPr>
            <w:tcW w:w="960" w:type="dxa"/>
            <w:tcBorders>
              <w:top w:val="single" w:sz="8" w:space="0" w:color="auto"/>
              <w:left w:val="nil"/>
              <w:bottom w:val="nil"/>
              <w:right w:val="single" w:sz="8" w:space="0" w:color="auto"/>
            </w:tcBorders>
            <w:shd w:val="clear" w:color="auto" w:fill="auto"/>
            <w:vAlign w:val="center"/>
            <w:hideMark/>
          </w:tcPr>
          <w:p w:rsidR="00693ED0" w:rsidRPr="00253C15" w:rsidRDefault="00693ED0">
            <w:pPr>
              <w:spacing w:before="0" w:after="0"/>
              <w:jc w:val="center"/>
              <w:rPr>
                <w:noProof/>
                <w:color w:val="000000"/>
                <w:sz w:val="18"/>
                <w:szCs w:val="18"/>
              </w:rPr>
            </w:pPr>
            <w:r w:rsidRPr="00253C15">
              <w:rPr>
                <w:noProof/>
                <w:color w:val="000000"/>
                <w:sz w:val="18"/>
              </w:rPr>
              <w:t>Jahr</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253C15" w:rsidRDefault="00693ED0">
            <w:pPr>
              <w:spacing w:before="0" w:after="0"/>
              <w:jc w:val="center"/>
              <w:rPr>
                <w:b/>
                <w:bCs/>
                <w:noProof/>
                <w:color w:val="000000"/>
                <w:sz w:val="18"/>
                <w:szCs w:val="18"/>
              </w:rPr>
            </w:pPr>
            <w:r w:rsidRPr="00253C15">
              <w:rPr>
                <w:b/>
                <w:noProof/>
                <w:color w:val="000000"/>
                <w:sz w:val="18"/>
              </w:rPr>
              <w:t>2021-2027 INSGESAMT</w:t>
            </w:r>
          </w:p>
        </w:tc>
      </w:tr>
      <w:tr w:rsidR="00693ED0" w:rsidRPr="00253C15">
        <w:trPr>
          <w:trHeight w:val="519"/>
        </w:trPr>
        <w:tc>
          <w:tcPr>
            <w:tcW w:w="3760" w:type="dxa"/>
            <w:vMerge/>
            <w:tcBorders>
              <w:top w:val="single" w:sz="8" w:space="0" w:color="auto"/>
              <w:left w:val="single" w:sz="8" w:space="0" w:color="auto"/>
              <w:bottom w:val="single" w:sz="8" w:space="0" w:color="auto"/>
              <w:right w:val="single" w:sz="8" w:space="0" w:color="auto"/>
            </w:tcBorders>
            <w:vAlign w:val="center"/>
            <w:hideMark/>
          </w:tcPr>
          <w:p w:rsidR="00693ED0" w:rsidRPr="00253C15" w:rsidRDefault="00693ED0">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18"/>
                <w:szCs w:val="18"/>
              </w:rPr>
            </w:pPr>
            <w:r w:rsidRPr="00253C15">
              <w:rPr>
                <w:b/>
                <w:noProof/>
                <w:color w:val="000000"/>
                <w:sz w:val="18"/>
              </w:rPr>
              <w:t>2024</w:t>
            </w:r>
          </w:p>
        </w:tc>
        <w:tc>
          <w:tcPr>
            <w:tcW w:w="960" w:type="dxa"/>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18"/>
                <w:szCs w:val="18"/>
              </w:rPr>
            </w:pPr>
            <w:r w:rsidRPr="00253C15">
              <w:rPr>
                <w:b/>
                <w:noProof/>
                <w:color w:val="000000"/>
                <w:sz w:val="18"/>
              </w:rPr>
              <w:t>2025</w:t>
            </w:r>
          </w:p>
        </w:tc>
        <w:tc>
          <w:tcPr>
            <w:tcW w:w="960" w:type="dxa"/>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18"/>
                <w:szCs w:val="18"/>
              </w:rPr>
            </w:pPr>
            <w:r w:rsidRPr="00253C15">
              <w:rPr>
                <w:b/>
                <w:noProof/>
                <w:color w:val="000000"/>
                <w:sz w:val="18"/>
              </w:rPr>
              <w:t>2026</w:t>
            </w:r>
          </w:p>
        </w:tc>
        <w:tc>
          <w:tcPr>
            <w:tcW w:w="960" w:type="dxa"/>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18"/>
                <w:szCs w:val="18"/>
              </w:rPr>
            </w:pPr>
            <w:r w:rsidRPr="00253C15">
              <w:rPr>
                <w:b/>
                <w:noProof/>
                <w:color w:val="000000"/>
                <w:sz w:val="18"/>
              </w:rPr>
              <w:t>2027</w:t>
            </w:r>
          </w:p>
        </w:tc>
        <w:tc>
          <w:tcPr>
            <w:tcW w:w="1080" w:type="dxa"/>
            <w:vMerge/>
            <w:tcBorders>
              <w:top w:val="single" w:sz="8" w:space="0" w:color="auto"/>
              <w:left w:val="single" w:sz="8" w:space="0" w:color="auto"/>
              <w:bottom w:val="single" w:sz="8" w:space="0" w:color="auto"/>
              <w:right w:val="single" w:sz="8" w:space="0" w:color="auto"/>
            </w:tcBorders>
            <w:vAlign w:val="center"/>
            <w:hideMark/>
          </w:tcPr>
          <w:p w:rsidR="00693ED0" w:rsidRPr="00253C15" w:rsidRDefault="00693ED0">
            <w:pPr>
              <w:spacing w:before="0" w:after="0"/>
              <w:jc w:val="left"/>
              <w:rPr>
                <w:b/>
                <w:bCs/>
                <w:noProof/>
                <w:color w:val="000000"/>
                <w:sz w:val="18"/>
                <w:szCs w:val="18"/>
                <w:lang w:eastAsia="en-IE"/>
              </w:rPr>
            </w:pPr>
          </w:p>
        </w:tc>
      </w:tr>
      <w:tr w:rsidR="00693ED0" w:rsidRPr="00253C15">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253C15" w:rsidRDefault="00693ED0">
            <w:pPr>
              <w:spacing w:before="0" w:after="0"/>
              <w:jc w:val="left"/>
              <w:rPr>
                <w:b/>
                <w:bCs/>
                <w:noProof/>
                <w:sz w:val="16"/>
                <w:szCs w:val="16"/>
              </w:rPr>
            </w:pPr>
            <w:r w:rsidRPr="00253C15">
              <w:rPr>
                <w:b/>
                <w:noProof/>
                <w:sz w:val="16"/>
              </w:rPr>
              <w:t>RUBRIK 7</w:t>
            </w:r>
          </w:p>
        </w:tc>
      </w:tr>
      <w:tr w:rsidR="00693ED0" w:rsidRPr="00253C15">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jc w:val="left"/>
              <w:rPr>
                <w:noProof/>
                <w:color w:val="000000"/>
                <w:sz w:val="16"/>
                <w:szCs w:val="16"/>
              </w:rPr>
            </w:pPr>
            <w:r w:rsidRPr="00253C15">
              <w:rPr>
                <w:noProof/>
                <w:color w:val="000000"/>
                <w:sz w:val="16"/>
              </w:rPr>
              <w:t xml:space="preserve">Personalausgaben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16"/>
                <w:szCs w:val="16"/>
              </w:rPr>
            </w:pPr>
            <w:r w:rsidRPr="00253C15">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16"/>
                <w:szCs w:val="16"/>
              </w:rPr>
            </w:pPr>
            <w:r w:rsidRPr="00253C15">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16"/>
                <w:szCs w:val="16"/>
              </w:rPr>
            </w:pPr>
            <w:r w:rsidRPr="00253C15">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16"/>
                <w:szCs w:val="16"/>
              </w:rPr>
            </w:pPr>
            <w:r w:rsidRPr="00253C15">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16"/>
                <w:szCs w:val="16"/>
              </w:rPr>
            </w:pPr>
            <w:r w:rsidRPr="00253C15">
              <w:rPr>
                <w:b/>
                <w:noProof/>
                <w:color w:val="000000"/>
                <w:sz w:val="16"/>
              </w:rPr>
              <w:t>0,000</w:t>
            </w:r>
          </w:p>
        </w:tc>
      </w:tr>
      <w:tr w:rsidR="00693ED0" w:rsidRPr="00253C15">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jc w:val="left"/>
              <w:rPr>
                <w:noProof/>
                <w:color w:val="000000"/>
                <w:sz w:val="16"/>
                <w:szCs w:val="16"/>
              </w:rPr>
            </w:pPr>
            <w:r w:rsidRPr="00253C15">
              <w:rPr>
                <w:noProof/>
                <w:color w:val="000000"/>
                <w:sz w:val="16"/>
              </w:rPr>
              <w:t xml:space="preserve">Sonstige Verwaltungsausgaben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16"/>
                <w:szCs w:val="16"/>
              </w:rPr>
            </w:pPr>
            <w:r w:rsidRPr="00253C15">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16"/>
                <w:szCs w:val="16"/>
              </w:rPr>
            </w:pPr>
            <w:r w:rsidRPr="00253C15">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16"/>
                <w:szCs w:val="16"/>
              </w:rPr>
            </w:pPr>
            <w:r w:rsidRPr="00253C15">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16"/>
                <w:szCs w:val="16"/>
              </w:rPr>
            </w:pPr>
            <w:r w:rsidRPr="00253C15">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16"/>
                <w:szCs w:val="16"/>
              </w:rPr>
            </w:pPr>
            <w:r w:rsidRPr="00253C15">
              <w:rPr>
                <w:b/>
                <w:noProof/>
                <w:color w:val="000000"/>
                <w:sz w:val="16"/>
              </w:rPr>
              <w:t>0,000</w:t>
            </w:r>
          </w:p>
        </w:tc>
      </w:tr>
      <w:tr w:rsidR="00693ED0" w:rsidRPr="00253C15">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rsidR="00693ED0" w:rsidRPr="00253C15" w:rsidRDefault="00693ED0">
            <w:pPr>
              <w:spacing w:before="0" w:after="0"/>
              <w:jc w:val="center"/>
              <w:rPr>
                <w:b/>
                <w:bCs/>
                <w:noProof/>
                <w:color w:val="000000"/>
                <w:sz w:val="16"/>
                <w:szCs w:val="16"/>
              </w:rPr>
            </w:pPr>
            <w:r w:rsidRPr="00253C15">
              <w:rPr>
                <w:b/>
                <w:noProof/>
                <w:color w:val="000000"/>
                <w:sz w:val="16"/>
              </w:rPr>
              <w:t>Zwischensumme RUBRIK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16"/>
                <w:szCs w:val="16"/>
              </w:rPr>
            </w:pPr>
            <w:r w:rsidRPr="00253C15">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16"/>
                <w:szCs w:val="16"/>
              </w:rPr>
            </w:pPr>
            <w:r w:rsidRPr="00253C15">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16"/>
                <w:szCs w:val="16"/>
              </w:rPr>
            </w:pPr>
            <w:r w:rsidRPr="00253C15">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16"/>
                <w:szCs w:val="16"/>
              </w:rPr>
            </w:pPr>
            <w:r w:rsidRPr="00253C15">
              <w:rPr>
                <w:b/>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16"/>
                <w:szCs w:val="16"/>
              </w:rPr>
            </w:pPr>
            <w:r w:rsidRPr="00253C15">
              <w:rPr>
                <w:b/>
                <w:noProof/>
                <w:color w:val="000000"/>
                <w:sz w:val="16"/>
              </w:rPr>
              <w:t>0,000</w:t>
            </w:r>
          </w:p>
        </w:tc>
      </w:tr>
      <w:tr w:rsidR="00693ED0" w:rsidRPr="00253C15">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253C15" w:rsidRDefault="00693ED0">
            <w:pPr>
              <w:spacing w:before="0" w:after="0"/>
              <w:jc w:val="left"/>
              <w:rPr>
                <w:b/>
                <w:bCs/>
                <w:noProof/>
                <w:sz w:val="16"/>
                <w:szCs w:val="16"/>
              </w:rPr>
            </w:pPr>
            <w:r w:rsidRPr="00253C15">
              <w:rPr>
                <w:b/>
                <w:noProof/>
                <w:sz w:val="16"/>
              </w:rPr>
              <w:t>Außerhalb der RUBRIK 7</w:t>
            </w:r>
          </w:p>
        </w:tc>
      </w:tr>
      <w:tr w:rsidR="00693ED0" w:rsidRPr="00253C15">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jc w:val="left"/>
              <w:rPr>
                <w:noProof/>
                <w:color w:val="000000"/>
                <w:sz w:val="16"/>
                <w:szCs w:val="16"/>
              </w:rPr>
            </w:pPr>
            <w:r w:rsidRPr="00253C15">
              <w:rPr>
                <w:noProof/>
                <w:color w:val="000000"/>
                <w:sz w:val="16"/>
              </w:rPr>
              <w:t xml:space="preserve">Personalausgaben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16"/>
                <w:szCs w:val="16"/>
              </w:rPr>
            </w:pPr>
            <w:r w:rsidRPr="00253C15">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16"/>
                <w:szCs w:val="16"/>
              </w:rPr>
            </w:pPr>
            <w:r w:rsidRPr="00253C15">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16"/>
                <w:szCs w:val="16"/>
              </w:rPr>
            </w:pPr>
            <w:r w:rsidRPr="00253C15">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16"/>
                <w:szCs w:val="16"/>
              </w:rPr>
            </w:pPr>
            <w:r w:rsidRPr="00253C15">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16"/>
                <w:szCs w:val="16"/>
              </w:rPr>
            </w:pPr>
            <w:r w:rsidRPr="00253C15">
              <w:rPr>
                <w:b/>
                <w:noProof/>
                <w:color w:val="000000"/>
                <w:sz w:val="16"/>
              </w:rPr>
              <w:t>0,000</w:t>
            </w:r>
          </w:p>
        </w:tc>
      </w:tr>
      <w:tr w:rsidR="00693ED0" w:rsidRPr="00253C15">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jc w:val="left"/>
              <w:rPr>
                <w:noProof/>
                <w:color w:val="000000"/>
                <w:sz w:val="16"/>
                <w:szCs w:val="16"/>
              </w:rPr>
            </w:pPr>
            <w:r w:rsidRPr="00253C15">
              <w:rPr>
                <w:noProof/>
                <w:color w:val="000000"/>
                <w:sz w:val="16"/>
              </w:rPr>
              <w:t>Sonstige Verwaltungsausgaben</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16"/>
                <w:szCs w:val="16"/>
              </w:rPr>
            </w:pPr>
            <w:r w:rsidRPr="00253C15">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16"/>
                <w:szCs w:val="16"/>
              </w:rPr>
            </w:pPr>
            <w:r w:rsidRPr="00253C15">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16"/>
                <w:szCs w:val="16"/>
              </w:rPr>
            </w:pPr>
            <w:r w:rsidRPr="00253C15">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noProof/>
                <w:color w:val="000000"/>
                <w:sz w:val="16"/>
                <w:szCs w:val="16"/>
              </w:rPr>
            </w:pPr>
            <w:r w:rsidRPr="00253C15">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16"/>
                <w:szCs w:val="16"/>
              </w:rPr>
            </w:pPr>
            <w:r w:rsidRPr="00253C15">
              <w:rPr>
                <w:b/>
                <w:noProof/>
                <w:color w:val="000000"/>
                <w:sz w:val="16"/>
              </w:rPr>
              <w:t>0,000</w:t>
            </w:r>
          </w:p>
        </w:tc>
      </w:tr>
      <w:tr w:rsidR="00693ED0" w:rsidRPr="00253C15">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rsidR="00693ED0" w:rsidRPr="00253C15" w:rsidRDefault="00693ED0">
            <w:pPr>
              <w:spacing w:before="0" w:after="0"/>
              <w:jc w:val="center"/>
              <w:rPr>
                <w:b/>
                <w:bCs/>
                <w:noProof/>
                <w:color w:val="000000"/>
                <w:sz w:val="16"/>
                <w:szCs w:val="16"/>
              </w:rPr>
            </w:pPr>
            <w:r w:rsidRPr="00253C15">
              <w:rPr>
                <w:b/>
                <w:noProof/>
                <w:color w:val="000000"/>
                <w:sz w:val="16"/>
              </w:rPr>
              <w:t>Zwischensumme außerhalb der RUBRIK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16"/>
                <w:szCs w:val="16"/>
              </w:rPr>
            </w:pPr>
            <w:r w:rsidRPr="00253C15">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16"/>
                <w:szCs w:val="16"/>
              </w:rPr>
            </w:pPr>
            <w:r w:rsidRPr="00253C15">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16"/>
                <w:szCs w:val="16"/>
              </w:rPr>
            </w:pPr>
            <w:r w:rsidRPr="00253C15">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16"/>
                <w:szCs w:val="16"/>
              </w:rPr>
            </w:pPr>
            <w:r w:rsidRPr="00253C15">
              <w:rPr>
                <w:b/>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16"/>
                <w:szCs w:val="16"/>
              </w:rPr>
            </w:pPr>
            <w:r w:rsidRPr="00253C15">
              <w:rPr>
                <w:b/>
                <w:noProof/>
                <w:color w:val="000000"/>
                <w:sz w:val="16"/>
              </w:rPr>
              <w:t>0,000</w:t>
            </w:r>
          </w:p>
        </w:tc>
      </w:tr>
      <w:tr w:rsidR="00693ED0" w:rsidRPr="00253C15">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93ED0" w:rsidRPr="00253C15" w:rsidRDefault="00693ED0">
            <w:pPr>
              <w:spacing w:before="0" w:after="0"/>
              <w:jc w:val="center"/>
              <w:rPr>
                <w:noProof/>
                <w:color w:val="000000"/>
                <w:sz w:val="16"/>
                <w:szCs w:val="16"/>
              </w:rPr>
            </w:pPr>
            <w:r w:rsidRPr="00253C15">
              <w:rPr>
                <w:noProof/>
                <w:color w:val="000000"/>
                <w:sz w:val="16"/>
              </w:rPr>
              <w:t xml:space="preserve"> </w:t>
            </w:r>
          </w:p>
        </w:tc>
      </w:tr>
      <w:tr w:rsidR="00693ED0" w:rsidRPr="00253C15">
        <w:trPr>
          <w:trHeight w:val="312"/>
        </w:trPr>
        <w:tc>
          <w:tcPr>
            <w:tcW w:w="3760"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16"/>
                <w:szCs w:val="16"/>
              </w:rPr>
            </w:pPr>
            <w:r w:rsidRPr="00253C15">
              <w:rPr>
                <w:b/>
                <w:noProof/>
                <w:color w:val="000000"/>
                <w:sz w:val="16"/>
              </w:rPr>
              <w:t>INSGESAMT</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16"/>
                <w:szCs w:val="16"/>
              </w:rPr>
            </w:pPr>
            <w:r w:rsidRPr="00253C15">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16"/>
                <w:szCs w:val="16"/>
              </w:rPr>
            </w:pPr>
            <w:r w:rsidRPr="00253C15">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16"/>
                <w:szCs w:val="16"/>
              </w:rPr>
            </w:pPr>
            <w:r w:rsidRPr="00253C15">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16"/>
                <w:szCs w:val="16"/>
              </w:rPr>
            </w:pPr>
            <w:r w:rsidRPr="00253C15">
              <w:rPr>
                <w:b/>
                <w:noProof/>
                <w:color w:val="000000"/>
                <w:sz w:val="16"/>
              </w:rPr>
              <w:t>0,000</w:t>
            </w:r>
          </w:p>
        </w:tc>
        <w:tc>
          <w:tcPr>
            <w:tcW w:w="1080" w:type="dxa"/>
            <w:tcBorders>
              <w:top w:val="single" w:sz="12" w:space="0" w:color="auto"/>
              <w:left w:val="nil"/>
              <w:bottom w:val="single" w:sz="12" w:space="0" w:color="auto"/>
              <w:right w:val="single" w:sz="8" w:space="0" w:color="auto"/>
            </w:tcBorders>
            <w:shd w:val="clear" w:color="000000" w:fill="D9D9D9"/>
            <w:vAlign w:val="center"/>
            <w:hideMark/>
          </w:tcPr>
          <w:p w:rsidR="00693ED0" w:rsidRPr="00253C15" w:rsidRDefault="00693ED0">
            <w:pPr>
              <w:spacing w:before="0" w:after="0"/>
              <w:jc w:val="right"/>
              <w:rPr>
                <w:b/>
                <w:bCs/>
                <w:noProof/>
                <w:color w:val="000000"/>
                <w:sz w:val="16"/>
                <w:szCs w:val="16"/>
              </w:rPr>
            </w:pPr>
            <w:r w:rsidRPr="00253C15">
              <w:rPr>
                <w:b/>
                <w:noProof/>
                <w:color w:val="000000"/>
                <w:sz w:val="16"/>
              </w:rPr>
              <w:t>0,000</w:t>
            </w:r>
          </w:p>
        </w:tc>
      </w:tr>
    </w:tbl>
    <w:p w:rsidR="00693ED0" w:rsidRPr="00253C15" w:rsidRDefault="00693ED0" w:rsidP="00693ED0">
      <w:pPr>
        <w:rPr>
          <w:noProof/>
          <w:sz w:val="22"/>
          <w:szCs w:val="28"/>
        </w:rPr>
      </w:pPr>
      <w:r w:rsidRPr="00253C15">
        <w:rPr>
          <w:noProof/>
          <w:sz w:val="22"/>
        </w:rPr>
        <w:t>Der Mittelbedarf für Personal- und sonstige Verwaltungsausgaben wird durch der Verwaltung der Maßnahme zugeordnete Mittel der GD und/oder durch eine Umschichtung innerhalb der GD gedeckt. Hinzu kommen etwaige zusätzliche Mittel, die der für die Verwaltung der Maßnahme zuständigen GD nach Maßgabe der verfügbaren Mittel im Rahmen der jährlichen Mittelzuweisung zugeteilt werden.</w:t>
      </w:r>
    </w:p>
    <w:p w:rsidR="00693ED0" w:rsidRPr="00253C15" w:rsidRDefault="00693ED0" w:rsidP="00693ED0">
      <w:pPr>
        <w:pStyle w:val="ManualHeading3"/>
        <w:rPr>
          <w:bCs/>
          <w:noProof/>
          <w:szCs w:val="24"/>
        </w:rPr>
      </w:pPr>
      <w:bookmarkStart w:id="163" w:name="_Toc167220294"/>
      <w:bookmarkStart w:id="164" w:name="_Toc177549027"/>
      <w:r w:rsidRPr="00253C15">
        <w:rPr>
          <w:noProof/>
        </w:rPr>
        <w:t>3.2.4.</w:t>
      </w:r>
      <w:r w:rsidRPr="00253C15">
        <w:rPr>
          <w:noProof/>
        </w:rPr>
        <w:tab/>
        <w:t>Geschätzter Personalbedarf</w:t>
      </w:r>
      <w:bookmarkEnd w:id="163"/>
      <w:bookmarkEnd w:id="164"/>
      <w:r w:rsidRPr="00253C15">
        <w:rPr>
          <w:noProof/>
        </w:rPr>
        <w:t xml:space="preserve"> </w:t>
      </w:r>
    </w:p>
    <w:p w:rsidR="00693ED0" w:rsidRPr="00253C15" w:rsidRDefault="00693ED0" w:rsidP="00693ED0">
      <w:pPr>
        <w:pStyle w:val="ListDash1"/>
        <w:rPr>
          <w:noProof/>
        </w:rPr>
      </w:pPr>
      <w:r w:rsidRPr="00253C15">
        <w:rPr>
          <w:rFonts w:ascii="Wingdings" w:hAnsi="Wingdings"/>
          <w:noProof/>
        </w:rPr>
        <w:t></w:t>
      </w:r>
      <w:r w:rsidRPr="00253C15">
        <w:rPr>
          <w:noProof/>
        </w:rPr>
        <w:tab/>
        <w:t xml:space="preserve">Für den Vorschlag/die Initiative wird kein Personal benötigt. </w:t>
      </w:r>
    </w:p>
    <w:p w:rsidR="00693ED0" w:rsidRPr="00253C15" w:rsidRDefault="00693ED0" w:rsidP="00693ED0">
      <w:pPr>
        <w:pStyle w:val="ListDash1"/>
        <w:rPr>
          <w:noProof/>
        </w:rPr>
      </w:pPr>
      <w:r w:rsidRPr="00253C15">
        <w:rPr>
          <w:rFonts w:ascii="Wingdings" w:hAnsi="Wingdings"/>
          <w:noProof/>
        </w:rPr>
        <w:t></w:t>
      </w:r>
      <w:r w:rsidRPr="00253C15">
        <w:rPr>
          <w:noProof/>
        </w:rPr>
        <w:tab/>
        <w:t>Für den Vorschlag/die Initiative wird das folgende Personal benötigt:</w:t>
      </w:r>
    </w:p>
    <w:p w:rsidR="00693ED0" w:rsidRPr="00253C15" w:rsidRDefault="00693ED0" w:rsidP="00693ED0">
      <w:pPr>
        <w:pStyle w:val="ManualHeading3"/>
        <w:rPr>
          <w:noProof/>
        </w:rPr>
      </w:pPr>
      <w:bookmarkStart w:id="165" w:name="_Toc167220295"/>
      <w:bookmarkStart w:id="166" w:name="_Toc177549028"/>
      <w:r w:rsidRPr="00253C15">
        <w:rPr>
          <w:noProof/>
        </w:rPr>
        <w:t>3.2.4.1.</w:t>
      </w:r>
      <w:r w:rsidRPr="00253C15">
        <w:rPr>
          <w:noProof/>
        </w:rPr>
        <w:tab/>
        <w:t>Finanziert aus dem verabschiedeten Haushalt</w:t>
      </w:r>
      <w:bookmarkEnd w:id="165"/>
      <w:bookmarkEnd w:id="166"/>
    </w:p>
    <w:p w:rsidR="00693ED0" w:rsidRPr="00253C15" w:rsidRDefault="00693ED0" w:rsidP="00693ED0">
      <w:pPr>
        <w:spacing w:after="60"/>
        <w:jc w:val="right"/>
        <w:rPr>
          <w:i/>
          <w:noProof/>
          <w:sz w:val="20"/>
        </w:rPr>
      </w:pPr>
      <w:r w:rsidRPr="00253C15">
        <w:rPr>
          <w:i/>
          <w:noProof/>
          <w:sz w:val="20"/>
        </w:rPr>
        <w:t>Schätzung in Vollzeitäquivalenten (VZÄ)</w:t>
      </w:r>
      <w:r w:rsidRPr="00253C15">
        <w:rPr>
          <w:rStyle w:val="FootnoteReference"/>
          <w:i/>
          <w:iCs/>
          <w:noProof/>
          <w:sz w:val="20"/>
          <w:szCs w:val="20"/>
        </w:rPr>
        <w:footnoteReference w:id="26"/>
      </w:r>
    </w:p>
    <w:p w:rsidR="00693ED0" w:rsidRPr="00253C15" w:rsidRDefault="00693ED0" w:rsidP="00693ED0">
      <w:pPr>
        <w:pStyle w:val="Text1"/>
        <w:spacing w:before="60" w:after="60"/>
        <w:ind w:left="-426" w:right="-427"/>
        <w:rPr>
          <w:b/>
          <w:noProof/>
          <w:sz w:val="18"/>
          <w:szCs w:val="18"/>
        </w:rPr>
      </w:pPr>
      <w:bookmarkStart w:id="167" w:name="_Hlk156979231"/>
    </w:p>
    <w:tbl>
      <w:tblPr>
        <w:tblW w:w="5000" w:type="pct"/>
        <w:tblLook w:val="04A0" w:firstRow="1" w:lastRow="0" w:firstColumn="1" w:lastColumn="0" w:noHBand="0" w:noVBand="1"/>
      </w:tblPr>
      <w:tblGrid>
        <w:gridCol w:w="1513"/>
        <w:gridCol w:w="3898"/>
        <w:gridCol w:w="970"/>
        <w:gridCol w:w="970"/>
        <w:gridCol w:w="970"/>
        <w:gridCol w:w="968"/>
      </w:tblGrid>
      <w:tr w:rsidR="00693ED0" w:rsidRPr="00253C15">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253C15" w:rsidRDefault="00693ED0">
            <w:pPr>
              <w:spacing w:before="0" w:after="0"/>
              <w:jc w:val="center"/>
              <w:rPr>
                <w:b/>
                <w:bCs/>
                <w:noProof/>
                <w:color w:val="000000"/>
                <w:sz w:val="18"/>
                <w:szCs w:val="18"/>
              </w:rPr>
            </w:pPr>
            <w:r w:rsidRPr="00253C15">
              <w:rPr>
                <w:b/>
                <w:noProof/>
                <w:color w:val="000000"/>
                <w:sz w:val="18"/>
              </w:rPr>
              <w:t>BEWILLIGTE MITTEL</w:t>
            </w:r>
          </w:p>
        </w:tc>
        <w:tc>
          <w:tcPr>
            <w:tcW w:w="522" w:type="pct"/>
            <w:tcBorders>
              <w:top w:val="single" w:sz="8" w:space="0" w:color="auto"/>
              <w:left w:val="nil"/>
              <w:bottom w:val="nil"/>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522" w:type="pct"/>
            <w:tcBorders>
              <w:top w:val="single" w:sz="8" w:space="0" w:color="auto"/>
              <w:left w:val="nil"/>
              <w:bottom w:val="nil"/>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522" w:type="pct"/>
            <w:tcBorders>
              <w:top w:val="single" w:sz="8" w:space="0" w:color="auto"/>
              <w:left w:val="nil"/>
              <w:bottom w:val="nil"/>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522" w:type="pct"/>
            <w:tcBorders>
              <w:top w:val="single" w:sz="8" w:space="0" w:color="auto"/>
              <w:left w:val="nil"/>
              <w:bottom w:val="nil"/>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r>
      <w:tr w:rsidR="00693ED0" w:rsidRPr="00253C15">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693ED0" w:rsidRPr="00253C15" w:rsidRDefault="00693ED0">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2024</w:t>
            </w:r>
          </w:p>
        </w:tc>
        <w:tc>
          <w:tcPr>
            <w:tcW w:w="522"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2025</w:t>
            </w:r>
          </w:p>
        </w:tc>
        <w:tc>
          <w:tcPr>
            <w:tcW w:w="522"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2026</w:t>
            </w:r>
          </w:p>
        </w:tc>
        <w:tc>
          <w:tcPr>
            <w:tcW w:w="522"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2027</w:t>
            </w:r>
          </w:p>
        </w:tc>
      </w:tr>
      <w:tr w:rsidR="00693ED0" w:rsidRPr="00253C15">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253C15" w:rsidRDefault="00693ED0">
            <w:pPr>
              <w:spacing w:before="0" w:after="0"/>
              <w:jc w:val="left"/>
              <w:rPr>
                <w:rFonts w:ascii="Wingdings" w:hAnsi="Wingdings" w:cs="Calibri"/>
                <w:b/>
                <w:bCs/>
                <w:noProof/>
                <w:color w:val="000000"/>
                <w:sz w:val="16"/>
                <w:szCs w:val="16"/>
              </w:rPr>
            </w:pPr>
            <w:r w:rsidRPr="00253C15">
              <w:rPr>
                <w:rFonts w:ascii="Wingdings" w:hAnsi="Wingdings"/>
                <w:b/>
                <w:noProof/>
                <w:color w:val="000000"/>
                <w:sz w:val="16"/>
              </w:rPr>
              <w:t></w:t>
            </w:r>
            <w:r w:rsidRPr="00253C15">
              <w:rPr>
                <w:b/>
                <w:noProof/>
                <w:color w:val="000000"/>
                <w:sz w:val="16"/>
              </w:rPr>
              <w:t xml:space="preserve"> Planstellen (Beamte und Bedienstete auf Zeit)</w:t>
            </w:r>
          </w:p>
        </w:tc>
      </w:tr>
      <w:tr w:rsidR="00693ED0" w:rsidRPr="00253C1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ind w:firstLineChars="100" w:firstLine="160"/>
              <w:jc w:val="left"/>
              <w:rPr>
                <w:noProof/>
                <w:color w:val="000000"/>
                <w:sz w:val="16"/>
                <w:szCs w:val="16"/>
              </w:rPr>
            </w:pPr>
            <w:r w:rsidRPr="00253C15">
              <w:rPr>
                <w:noProof/>
                <w:color w:val="000000"/>
                <w:sz w:val="16"/>
              </w:rPr>
              <w:t>20 01 02 01</w:t>
            </w:r>
            <w:r w:rsidRPr="00253C15">
              <w:rPr>
                <w:rFonts w:ascii="Arial Narrow" w:hAnsi="Arial Narrow"/>
                <w:noProof/>
                <w:color w:val="000000"/>
                <w:sz w:val="20"/>
              </w:rPr>
              <w:t xml:space="preserve"> </w:t>
            </w:r>
            <w:r w:rsidRPr="00253C15">
              <w:rPr>
                <w:noProof/>
                <w:color w:val="000000"/>
                <w:sz w:val="16"/>
              </w:rPr>
              <w:t>(Zentrale Dienststellen und Vertretungen der Kommission)</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r>
      <w:tr w:rsidR="00693ED0" w:rsidRPr="00253C1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ind w:firstLineChars="100" w:firstLine="160"/>
              <w:jc w:val="left"/>
              <w:rPr>
                <w:noProof/>
                <w:color w:val="000000"/>
                <w:sz w:val="16"/>
                <w:szCs w:val="16"/>
              </w:rPr>
            </w:pPr>
            <w:r w:rsidRPr="00253C15">
              <w:rPr>
                <w:noProof/>
                <w:color w:val="000000"/>
                <w:sz w:val="16"/>
              </w:rPr>
              <w:t>20 01 02 03 (EU-Delegationen)</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r>
      <w:tr w:rsidR="00693ED0" w:rsidRPr="00253C1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ind w:firstLineChars="100" w:firstLine="160"/>
              <w:jc w:val="left"/>
              <w:rPr>
                <w:noProof/>
                <w:color w:val="000000"/>
                <w:sz w:val="16"/>
                <w:szCs w:val="16"/>
              </w:rPr>
            </w:pPr>
            <w:r w:rsidRPr="00253C15">
              <w:rPr>
                <w:noProof/>
                <w:color w:val="000000"/>
                <w:sz w:val="16"/>
              </w:rPr>
              <w:t>01 01 01 01</w:t>
            </w:r>
            <w:r w:rsidRPr="00253C15">
              <w:rPr>
                <w:rFonts w:ascii="Arial Narrow" w:hAnsi="Arial Narrow"/>
                <w:noProof/>
                <w:color w:val="000000"/>
                <w:sz w:val="20"/>
              </w:rPr>
              <w:t xml:space="preserve"> </w:t>
            </w:r>
            <w:r w:rsidRPr="00253C15">
              <w:rPr>
                <w:noProof/>
                <w:color w:val="000000"/>
                <w:sz w:val="16"/>
              </w:rPr>
              <w:t>(Indirekte Forschung)</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r>
      <w:tr w:rsidR="00693ED0" w:rsidRPr="00253C1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ind w:firstLineChars="100" w:firstLine="160"/>
              <w:jc w:val="left"/>
              <w:rPr>
                <w:noProof/>
                <w:color w:val="000000"/>
                <w:sz w:val="16"/>
                <w:szCs w:val="16"/>
              </w:rPr>
            </w:pPr>
            <w:r w:rsidRPr="00253C15">
              <w:rPr>
                <w:noProof/>
                <w:color w:val="000000"/>
                <w:sz w:val="16"/>
              </w:rPr>
              <w:t>01 01 01 11 (Direkte Forschung)</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r>
      <w:tr w:rsidR="00693ED0" w:rsidRPr="00253C1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ind w:firstLineChars="100" w:firstLine="160"/>
              <w:jc w:val="left"/>
              <w:rPr>
                <w:noProof/>
                <w:color w:val="000000"/>
                <w:sz w:val="16"/>
                <w:szCs w:val="16"/>
              </w:rPr>
            </w:pPr>
            <w:r w:rsidRPr="00253C15">
              <w:rPr>
                <w:noProof/>
                <w:color w:val="000000"/>
                <w:sz w:val="16"/>
              </w:rPr>
              <w:t>Sonstige Haushaltslinien (bitte angeben)</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r>
      <w:tr w:rsidR="00693ED0" w:rsidRPr="00253C15">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253C15" w:rsidRDefault="00693ED0">
            <w:pPr>
              <w:spacing w:before="0" w:after="0"/>
              <w:jc w:val="left"/>
              <w:rPr>
                <w:rFonts w:ascii="Wingdings" w:hAnsi="Wingdings" w:cs="Calibri"/>
                <w:b/>
                <w:bCs/>
                <w:noProof/>
                <w:color w:val="000000"/>
                <w:sz w:val="16"/>
                <w:szCs w:val="16"/>
              </w:rPr>
            </w:pPr>
            <w:r w:rsidRPr="00253C15">
              <w:rPr>
                <w:rFonts w:ascii="Calibri" w:hAnsi="Calibri"/>
                <w:b/>
                <w:noProof/>
                <w:color w:val="000000"/>
                <w:sz w:val="16"/>
              </w:rPr>
              <w:t>•</w:t>
            </w:r>
            <w:r w:rsidRPr="00253C15">
              <w:rPr>
                <w:b/>
                <w:noProof/>
                <w:color w:val="000000"/>
                <w:sz w:val="16"/>
              </w:rPr>
              <w:t xml:space="preserve"> Externes Personal (in VZÄ)</w:t>
            </w:r>
          </w:p>
        </w:tc>
      </w:tr>
      <w:tr w:rsidR="00693ED0" w:rsidRPr="00253C1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ind w:firstLineChars="100" w:firstLine="160"/>
              <w:jc w:val="left"/>
              <w:rPr>
                <w:noProof/>
                <w:color w:val="000000"/>
                <w:sz w:val="16"/>
                <w:szCs w:val="16"/>
              </w:rPr>
            </w:pPr>
            <w:r w:rsidRPr="00253C15">
              <w:rPr>
                <w:noProof/>
                <w:color w:val="000000"/>
                <w:sz w:val="16"/>
              </w:rPr>
              <w:t>20 02 01</w:t>
            </w:r>
            <w:r w:rsidRPr="00253C15">
              <w:rPr>
                <w:rFonts w:ascii="Arial Narrow" w:hAnsi="Arial Narrow"/>
                <w:noProof/>
                <w:color w:val="000000"/>
                <w:sz w:val="20"/>
              </w:rPr>
              <w:t xml:space="preserve"> </w:t>
            </w:r>
            <w:r w:rsidRPr="00253C15">
              <w:rPr>
                <w:noProof/>
                <w:color w:val="000000"/>
                <w:sz w:val="16"/>
              </w:rPr>
              <w:t>(VB und ANS der Globaldotation)</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r>
      <w:tr w:rsidR="00693ED0" w:rsidRPr="00253C1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ind w:firstLineChars="100" w:firstLine="160"/>
              <w:jc w:val="left"/>
              <w:rPr>
                <w:noProof/>
                <w:color w:val="000000"/>
                <w:sz w:val="16"/>
                <w:szCs w:val="16"/>
              </w:rPr>
            </w:pPr>
            <w:r w:rsidRPr="00253C15">
              <w:rPr>
                <w:noProof/>
                <w:color w:val="000000"/>
                <w:sz w:val="16"/>
              </w:rPr>
              <w:t>20 02 03 (VB, ÖB, ANS und JPD in den EU-Delegationen)</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r>
      <w:tr w:rsidR="00693ED0" w:rsidRPr="00253C15">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 w:val="16"/>
                <w:szCs w:val="16"/>
              </w:rPr>
            </w:pPr>
            <w:r w:rsidRPr="00253C15">
              <w:rPr>
                <w:noProof/>
                <w:color w:val="000000"/>
                <w:sz w:val="16"/>
              </w:rPr>
              <w:t>Haushaltslinie administr. Unterstützung</w:t>
            </w:r>
            <w:r w:rsidRPr="00253C15">
              <w:rPr>
                <w:noProof/>
              </w:rPr>
              <w:t xml:space="preserve"> </w:t>
            </w:r>
            <w:r w:rsidRPr="00253C15">
              <w:rPr>
                <w:noProof/>
              </w:rPr>
              <w:br/>
            </w:r>
            <w:r w:rsidRPr="00253C15">
              <w:rPr>
                <w:noProof/>
                <w:color w:val="000000"/>
                <w:sz w:val="16"/>
              </w:rPr>
              <w:t>[XX 01 YY YY]</w:t>
            </w:r>
          </w:p>
        </w:tc>
        <w:tc>
          <w:tcPr>
            <w:tcW w:w="2098"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ind w:firstLineChars="100" w:firstLine="160"/>
              <w:jc w:val="left"/>
              <w:rPr>
                <w:noProof/>
                <w:color w:val="000000"/>
                <w:sz w:val="16"/>
                <w:szCs w:val="16"/>
              </w:rPr>
            </w:pPr>
            <w:r w:rsidRPr="00253C15">
              <w:rPr>
                <w:noProof/>
                <w:color w:val="000000"/>
                <w:sz w:val="16"/>
              </w:rPr>
              <w:t>– in den zentralen Dienststellen</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r>
      <w:tr w:rsidR="00693ED0" w:rsidRPr="00253C15">
        <w:trPr>
          <w:trHeight w:val="300"/>
        </w:trPr>
        <w:tc>
          <w:tcPr>
            <w:tcW w:w="815" w:type="pct"/>
            <w:vMerge/>
            <w:tcBorders>
              <w:top w:val="nil"/>
              <w:left w:val="single" w:sz="8" w:space="0" w:color="auto"/>
              <w:bottom w:val="single" w:sz="8" w:space="0" w:color="auto"/>
              <w:right w:val="single" w:sz="8" w:space="0" w:color="auto"/>
            </w:tcBorders>
            <w:vAlign w:val="center"/>
            <w:hideMark/>
          </w:tcPr>
          <w:p w:rsidR="00693ED0" w:rsidRPr="00253C15" w:rsidRDefault="00693ED0">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ind w:firstLineChars="100" w:firstLine="160"/>
              <w:jc w:val="left"/>
              <w:rPr>
                <w:noProof/>
                <w:color w:val="000000"/>
                <w:sz w:val="16"/>
                <w:szCs w:val="16"/>
              </w:rPr>
            </w:pPr>
            <w:r w:rsidRPr="00253C15">
              <w:rPr>
                <w:noProof/>
                <w:color w:val="000000"/>
                <w:sz w:val="16"/>
              </w:rPr>
              <w:t xml:space="preserve">– in den EU-Delegationen </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r>
      <w:tr w:rsidR="00693ED0" w:rsidRPr="00253C1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ind w:firstLineChars="100" w:firstLine="160"/>
              <w:jc w:val="left"/>
              <w:rPr>
                <w:noProof/>
                <w:color w:val="000000"/>
                <w:sz w:val="16"/>
                <w:szCs w:val="16"/>
              </w:rPr>
            </w:pPr>
            <w:r w:rsidRPr="00253C15">
              <w:rPr>
                <w:noProof/>
                <w:color w:val="000000"/>
                <w:sz w:val="16"/>
              </w:rPr>
              <w:t>01 01 01 02</w:t>
            </w:r>
            <w:r w:rsidRPr="00253C15">
              <w:rPr>
                <w:rFonts w:ascii="Arial Narrow" w:hAnsi="Arial Narrow"/>
                <w:noProof/>
                <w:color w:val="000000"/>
                <w:sz w:val="20"/>
              </w:rPr>
              <w:t xml:space="preserve"> </w:t>
            </w:r>
            <w:r w:rsidRPr="00253C15">
              <w:rPr>
                <w:noProof/>
                <w:color w:val="000000"/>
                <w:sz w:val="16"/>
              </w:rPr>
              <w:t>(VB und ANS – indirekte Forschung)</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r>
      <w:tr w:rsidR="00693ED0" w:rsidRPr="00253C1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ind w:firstLineChars="100" w:firstLine="160"/>
              <w:jc w:val="left"/>
              <w:rPr>
                <w:noProof/>
                <w:color w:val="000000"/>
                <w:sz w:val="16"/>
                <w:szCs w:val="16"/>
              </w:rPr>
            </w:pPr>
            <w:r w:rsidRPr="00253C15">
              <w:rPr>
                <w:noProof/>
                <w:color w:val="000000"/>
                <w:sz w:val="16"/>
              </w:rPr>
              <w:t xml:space="preserve"> 01 01 01 12 (VB und ANS – direkte Forschung)</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r>
      <w:tr w:rsidR="00693ED0" w:rsidRPr="00253C1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ind w:firstLineChars="100" w:firstLine="160"/>
              <w:jc w:val="left"/>
              <w:rPr>
                <w:noProof/>
                <w:color w:val="000000"/>
                <w:sz w:val="16"/>
                <w:szCs w:val="16"/>
              </w:rPr>
            </w:pPr>
            <w:r w:rsidRPr="00253C15">
              <w:rPr>
                <w:noProof/>
                <w:color w:val="000000"/>
                <w:sz w:val="16"/>
              </w:rPr>
              <w:t>Sonstige Haushaltslinien (bitte angeben) – Rubrik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r>
      <w:tr w:rsidR="00693ED0" w:rsidRPr="00253C1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ind w:firstLineChars="100" w:firstLine="160"/>
              <w:jc w:val="left"/>
              <w:rPr>
                <w:noProof/>
                <w:color w:val="000000"/>
                <w:sz w:val="16"/>
                <w:szCs w:val="16"/>
              </w:rPr>
            </w:pPr>
            <w:r w:rsidRPr="00253C15">
              <w:rPr>
                <w:noProof/>
                <w:color w:val="000000"/>
                <w:sz w:val="16"/>
              </w:rPr>
              <w:t>Sonstige Haushaltslinien (bitte angeben) – außerhalb der Rubrik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r>
      <w:tr w:rsidR="00693ED0" w:rsidRPr="00253C1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ind w:firstLineChars="100" w:firstLine="160"/>
              <w:jc w:val="left"/>
              <w:rPr>
                <w:b/>
                <w:bCs/>
                <w:noProof/>
                <w:color w:val="000000"/>
                <w:sz w:val="16"/>
                <w:szCs w:val="16"/>
              </w:rPr>
            </w:pPr>
            <w:r w:rsidRPr="00253C15">
              <w:rPr>
                <w:b/>
                <w:noProof/>
                <w:color w:val="000000"/>
                <w:sz w:val="16"/>
              </w:rPr>
              <w:t>INSGESAMT</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b/>
                <w:bCs/>
                <w:noProof/>
                <w:color w:val="000000"/>
                <w:sz w:val="16"/>
                <w:szCs w:val="16"/>
              </w:rPr>
            </w:pPr>
            <w:r w:rsidRPr="00253C15">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b/>
                <w:bCs/>
                <w:noProof/>
                <w:color w:val="000000"/>
                <w:sz w:val="16"/>
                <w:szCs w:val="16"/>
              </w:rPr>
            </w:pPr>
            <w:r w:rsidRPr="00253C15">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b/>
                <w:bCs/>
                <w:noProof/>
                <w:color w:val="000000"/>
                <w:sz w:val="16"/>
                <w:szCs w:val="16"/>
              </w:rPr>
            </w:pPr>
            <w:r w:rsidRPr="00253C15">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b/>
                <w:bCs/>
                <w:noProof/>
                <w:color w:val="000000"/>
                <w:sz w:val="16"/>
                <w:szCs w:val="16"/>
              </w:rPr>
            </w:pPr>
            <w:r w:rsidRPr="00253C15">
              <w:rPr>
                <w:b/>
                <w:noProof/>
                <w:color w:val="000000"/>
                <w:sz w:val="16"/>
              </w:rPr>
              <w:t>0</w:t>
            </w:r>
          </w:p>
        </w:tc>
      </w:tr>
    </w:tbl>
    <w:p w:rsidR="00693ED0" w:rsidRPr="00253C15" w:rsidRDefault="00693ED0" w:rsidP="00693ED0">
      <w:pPr>
        <w:pStyle w:val="ManualHeading3"/>
        <w:rPr>
          <w:noProof/>
        </w:rPr>
      </w:pPr>
      <w:bookmarkStart w:id="168" w:name="_Toc167220296"/>
      <w:bookmarkStart w:id="169" w:name="_Toc177549029"/>
      <w:r w:rsidRPr="00253C15">
        <w:rPr>
          <w:noProof/>
        </w:rPr>
        <w:t>3.2.4.2.</w:t>
      </w:r>
      <w:r w:rsidRPr="00253C15">
        <w:rPr>
          <w:noProof/>
        </w:rPr>
        <w:tab/>
        <w:t>Finanziert aus externen zweckgebundenen Einnahmen</w:t>
      </w:r>
      <w:bookmarkEnd w:id="168"/>
      <w:bookmarkEnd w:id="169"/>
    </w:p>
    <w:tbl>
      <w:tblPr>
        <w:tblW w:w="5000" w:type="pct"/>
        <w:tblLook w:val="04A0" w:firstRow="1" w:lastRow="0" w:firstColumn="1" w:lastColumn="0" w:noHBand="0" w:noVBand="1"/>
      </w:tblPr>
      <w:tblGrid>
        <w:gridCol w:w="1513"/>
        <w:gridCol w:w="3898"/>
        <w:gridCol w:w="970"/>
        <w:gridCol w:w="970"/>
        <w:gridCol w:w="970"/>
        <w:gridCol w:w="968"/>
      </w:tblGrid>
      <w:tr w:rsidR="00693ED0" w:rsidRPr="00253C15">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253C15" w:rsidRDefault="00693ED0">
            <w:pPr>
              <w:spacing w:before="0" w:after="0"/>
              <w:jc w:val="center"/>
              <w:rPr>
                <w:b/>
                <w:bCs/>
                <w:noProof/>
                <w:color w:val="000000"/>
                <w:sz w:val="18"/>
                <w:szCs w:val="18"/>
              </w:rPr>
            </w:pPr>
            <w:r w:rsidRPr="00253C15">
              <w:rPr>
                <w:b/>
                <w:noProof/>
                <w:color w:val="000000"/>
                <w:sz w:val="18"/>
              </w:rPr>
              <w:t>EXTERNE ZWECKGEBUNDENE EINNAHMEN</w:t>
            </w:r>
          </w:p>
        </w:tc>
        <w:tc>
          <w:tcPr>
            <w:tcW w:w="522" w:type="pct"/>
            <w:tcBorders>
              <w:top w:val="single" w:sz="8" w:space="0" w:color="auto"/>
              <w:left w:val="nil"/>
              <w:bottom w:val="nil"/>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522" w:type="pct"/>
            <w:tcBorders>
              <w:top w:val="single" w:sz="8" w:space="0" w:color="auto"/>
              <w:left w:val="nil"/>
              <w:bottom w:val="nil"/>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522" w:type="pct"/>
            <w:tcBorders>
              <w:top w:val="single" w:sz="8" w:space="0" w:color="auto"/>
              <w:left w:val="nil"/>
              <w:bottom w:val="nil"/>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522" w:type="pct"/>
            <w:tcBorders>
              <w:top w:val="single" w:sz="8" w:space="0" w:color="auto"/>
              <w:left w:val="nil"/>
              <w:bottom w:val="nil"/>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r>
      <w:tr w:rsidR="00693ED0" w:rsidRPr="00253C15">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693ED0" w:rsidRPr="00253C15" w:rsidRDefault="00693ED0">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2024</w:t>
            </w:r>
          </w:p>
        </w:tc>
        <w:tc>
          <w:tcPr>
            <w:tcW w:w="522"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2025</w:t>
            </w:r>
          </w:p>
        </w:tc>
        <w:tc>
          <w:tcPr>
            <w:tcW w:w="522"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2026</w:t>
            </w:r>
          </w:p>
        </w:tc>
        <w:tc>
          <w:tcPr>
            <w:tcW w:w="522"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2027</w:t>
            </w:r>
          </w:p>
        </w:tc>
      </w:tr>
      <w:tr w:rsidR="00693ED0" w:rsidRPr="00253C15">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253C15" w:rsidRDefault="00693ED0">
            <w:pPr>
              <w:spacing w:before="0" w:after="0"/>
              <w:jc w:val="left"/>
              <w:rPr>
                <w:rFonts w:ascii="Wingdings" w:hAnsi="Wingdings" w:cs="Calibri"/>
                <w:b/>
                <w:bCs/>
                <w:noProof/>
                <w:color w:val="000000"/>
                <w:sz w:val="16"/>
                <w:szCs w:val="16"/>
              </w:rPr>
            </w:pPr>
            <w:r w:rsidRPr="00253C15">
              <w:rPr>
                <w:rFonts w:ascii="Wingdings" w:hAnsi="Wingdings"/>
                <w:b/>
                <w:noProof/>
                <w:color w:val="000000"/>
                <w:sz w:val="16"/>
              </w:rPr>
              <w:t></w:t>
            </w:r>
            <w:r w:rsidRPr="00253C15">
              <w:rPr>
                <w:b/>
                <w:noProof/>
                <w:color w:val="000000"/>
                <w:sz w:val="16"/>
              </w:rPr>
              <w:t xml:space="preserve"> Planstellen (Beamte und Bedienstete auf Zeit)</w:t>
            </w:r>
          </w:p>
        </w:tc>
      </w:tr>
      <w:tr w:rsidR="00693ED0" w:rsidRPr="00253C1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ind w:firstLineChars="100" w:firstLine="160"/>
              <w:jc w:val="left"/>
              <w:rPr>
                <w:noProof/>
                <w:color w:val="000000"/>
                <w:sz w:val="16"/>
                <w:szCs w:val="16"/>
              </w:rPr>
            </w:pPr>
            <w:r w:rsidRPr="00253C15">
              <w:rPr>
                <w:noProof/>
                <w:color w:val="000000"/>
                <w:sz w:val="16"/>
              </w:rPr>
              <w:t>20 01 02 01</w:t>
            </w:r>
            <w:r w:rsidRPr="00253C15">
              <w:rPr>
                <w:rFonts w:ascii="Arial Narrow" w:hAnsi="Arial Narrow"/>
                <w:noProof/>
                <w:color w:val="000000"/>
                <w:sz w:val="20"/>
              </w:rPr>
              <w:t xml:space="preserve"> </w:t>
            </w:r>
            <w:r w:rsidRPr="00253C15">
              <w:rPr>
                <w:noProof/>
                <w:color w:val="000000"/>
                <w:sz w:val="16"/>
              </w:rPr>
              <w:t>(Zentrale Dienststellen und Vertretungen der Kommission)</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r>
      <w:tr w:rsidR="00693ED0" w:rsidRPr="00253C1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ind w:firstLineChars="100" w:firstLine="160"/>
              <w:jc w:val="left"/>
              <w:rPr>
                <w:noProof/>
                <w:color w:val="000000"/>
                <w:sz w:val="16"/>
                <w:szCs w:val="16"/>
              </w:rPr>
            </w:pPr>
            <w:r w:rsidRPr="00253C15">
              <w:rPr>
                <w:noProof/>
                <w:color w:val="000000"/>
                <w:sz w:val="16"/>
              </w:rPr>
              <w:t>20 01 02 03 (EU-Delegationen)</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r>
      <w:tr w:rsidR="00693ED0" w:rsidRPr="00253C1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ind w:firstLineChars="100" w:firstLine="160"/>
              <w:jc w:val="left"/>
              <w:rPr>
                <w:noProof/>
                <w:color w:val="000000"/>
                <w:sz w:val="16"/>
                <w:szCs w:val="16"/>
              </w:rPr>
            </w:pPr>
            <w:r w:rsidRPr="00253C15">
              <w:rPr>
                <w:noProof/>
                <w:color w:val="000000"/>
                <w:sz w:val="16"/>
              </w:rPr>
              <w:t>01 01 01 01 (Indirekte Forschung)</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r>
      <w:tr w:rsidR="00693ED0" w:rsidRPr="00253C1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ind w:firstLineChars="100" w:firstLine="160"/>
              <w:jc w:val="left"/>
              <w:rPr>
                <w:noProof/>
                <w:color w:val="000000"/>
                <w:sz w:val="16"/>
                <w:szCs w:val="16"/>
              </w:rPr>
            </w:pPr>
            <w:r w:rsidRPr="00253C15">
              <w:rPr>
                <w:noProof/>
                <w:color w:val="000000"/>
                <w:sz w:val="16"/>
              </w:rPr>
              <w:t>01 01 01 11 (Direkte Forschung)</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r>
      <w:tr w:rsidR="00693ED0" w:rsidRPr="00253C1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ind w:firstLineChars="100" w:firstLine="160"/>
              <w:jc w:val="left"/>
              <w:rPr>
                <w:noProof/>
                <w:color w:val="000000"/>
                <w:sz w:val="16"/>
                <w:szCs w:val="16"/>
              </w:rPr>
            </w:pPr>
            <w:r w:rsidRPr="00253C15">
              <w:rPr>
                <w:noProof/>
                <w:color w:val="000000"/>
                <w:sz w:val="16"/>
              </w:rPr>
              <w:t>Sonstige Haushaltslinien (bitte angeben)</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r>
      <w:tr w:rsidR="00693ED0" w:rsidRPr="00253C15">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253C15" w:rsidRDefault="00693ED0">
            <w:pPr>
              <w:spacing w:before="0" w:after="0"/>
              <w:jc w:val="left"/>
              <w:rPr>
                <w:rFonts w:ascii="Wingdings" w:hAnsi="Wingdings" w:cs="Calibri"/>
                <w:b/>
                <w:bCs/>
                <w:noProof/>
                <w:color w:val="000000"/>
                <w:sz w:val="16"/>
                <w:szCs w:val="16"/>
              </w:rPr>
            </w:pPr>
            <w:r w:rsidRPr="00253C15">
              <w:rPr>
                <w:rFonts w:ascii="Calibri" w:hAnsi="Calibri"/>
                <w:b/>
                <w:noProof/>
                <w:color w:val="000000"/>
                <w:sz w:val="16"/>
              </w:rPr>
              <w:t>•</w:t>
            </w:r>
            <w:r w:rsidRPr="00253C15">
              <w:rPr>
                <w:b/>
                <w:noProof/>
                <w:color w:val="000000"/>
                <w:sz w:val="16"/>
              </w:rPr>
              <w:t xml:space="preserve"> Externes Personal (in Vollzeitäquivalenten)</w:t>
            </w:r>
          </w:p>
        </w:tc>
      </w:tr>
      <w:tr w:rsidR="00693ED0" w:rsidRPr="00253C1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ind w:firstLineChars="100" w:firstLine="160"/>
              <w:jc w:val="left"/>
              <w:rPr>
                <w:noProof/>
                <w:color w:val="000000"/>
                <w:sz w:val="16"/>
                <w:szCs w:val="16"/>
              </w:rPr>
            </w:pPr>
            <w:r w:rsidRPr="00253C15">
              <w:rPr>
                <w:noProof/>
                <w:color w:val="000000"/>
                <w:sz w:val="16"/>
              </w:rPr>
              <w:t>20 02 01</w:t>
            </w:r>
            <w:r w:rsidRPr="00253C15">
              <w:rPr>
                <w:rFonts w:ascii="Arial Narrow" w:hAnsi="Arial Narrow"/>
                <w:noProof/>
                <w:color w:val="000000"/>
                <w:sz w:val="20"/>
              </w:rPr>
              <w:t xml:space="preserve"> </w:t>
            </w:r>
            <w:r w:rsidRPr="00253C15">
              <w:rPr>
                <w:noProof/>
                <w:color w:val="000000"/>
                <w:sz w:val="16"/>
              </w:rPr>
              <w:t>(VB und ANS der Globaldotation)</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r>
      <w:tr w:rsidR="00693ED0" w:rsidRPr="00253C1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ind w:firstLineChars="100" w:firstLine="160"/>
              <w:jc w:val="left"/>
              <w:rPr>
                <w:noProof/>
                <w:color w:val="000000"/>
                <w:sz w:val="16"/>
                <w:szCs w:val="16"/>
              </w:rPr>
            </w:pPr>
            <w:r w:rsidRPr="00253C15">
              <w:rPr>
                <w:noProof/>
                <w:color w:val="000000"/>
                <w:sz w:val="16"/>
              </w:rPr>
              <w:t>20 02 03 (VB, ÖB, ANS und JPD in den EU-Delegationen)</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r>
      <w:tr w:rsidR="00693ED0" w:rsidRPr="00253C15">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 w:val="16"/>
                <w:szCs w:val="16"/>
              </w:rPr>
            </w:pPr>
            <w:r w:rsidRPr="00253C15">
              <w:rPr>
                <w:noProof/>
                <w:color w:val="000000"/>
                <w:sz w:val="16"/>
              </w:rPr>
              <w:t>Haushaltslinie administr. Unterstützung</w:t>
            </w:r>
            <w:r w:rsidRPr="00253C15">
              <w:rPr>
                <w:noProof/>
              </w:rPr>
              <w:br/>
            </w:r>
            <w:r w:rsidRPr="00253C15">
              <w:rPr>
                <w:noProof/>
                <w:color w:val="000000"/>
                <w:sz w:val="16"/>
              </w:rPr>
              <w:t>[XX 01 YY YY]</w:t>
            </w:r>
          </w:p>
        </w:tc>
        <w:tc>
          <w:tcPr>
            <w:tcW w:w="2098"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ind w:firstLineChars="100" w:firstLine="160"/>
              <w:jc w:val="left"/>
              <w:rPr>
                <w:noProof/>
                <w:color w:val="000000"/>
                <w:sz w:val="16"/>
                <w:szCs w:val="16"/>
              </w:rPr>
            </w:pPr>
            <w:r w:rsidRPr="00253C15">
              <w:rPr>
                <w:noProof/>
                <w:color w:val="000000"/>
                <w:sz w:val="16"/>
              </w:rPr>
              <w:t>– in den zentralen Dienststellen</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r>
      <w:tr w:rsidR="00693ED0" w:rsidRPr="00253C15">
        <w:trPr>
          <w:trHeight w:val="300"/>
        </w:trPr>
        <w:tc>
          <w:tcPr>
            <w:tcW w:w="815" w:type="pct"/>
            <w:vMerge/>
            <w:tcBorders>
              <w:top w:val="nil"/>
              <w:left w:val="single" w:sz="8" w:space="0" w:color="auto"/>
              <w:bottom w:val="single" w:sz="8" w:space="0" w:color="auto"/>
              <w:right w:val="single" w:sz="8" w:space="0" w:color="auto"/>
            </w:tcBorders>
            <w:vAlign w:val="center"/>
            <w:hideMark/>
          </w:tcPr>
          <w:p w:rsidR="00693ED0" w:rsidRPr="00253C15" w:rsidRDefault="00693ED0">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ind w:firstLineChars="100" w:firstLine="160"/>
              <w:jc w:val="left"/>
              <w:rPr>
                <w:noProof/>
                <w:color w:val="000000"/>
                <w:sz w:val="16"/>
                <w:szCs w:val="16"/>
              </w:rPr>
            </w:pPr>
            <w:r w:rsidRPr="00253C15">
              <w:rPr>
                <w:noProof/>
                <w:color w:val="000000"/>
                <w:sz w:val="16"/>
              </w:rPr>
              <w:t xml:space="preserve">– in den EU-Delegationen </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r>
      <w:tr w:rsidR="00693ED0" w:rsidRPr="00253C1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ind w:firstLineChars="100" w:firstLine="160"/>
              <w:jc w:val="left"/>
              <w:rPr>
                <w:noProof/>
                <w:color w:val="000000"/>
                <w:sz w:val="16"/>
                <w:szCs w:val="16"/>
              </w:rPr>
            </w:pPr>
            <w:r w:rsidRPr="00253C15">
              <w:rPr>
                <w:noProof/>
                <w:color w:val="000000"/>
                <w:sz w:val="16"/>
              </w:rPr>
              <w:t>01 01 01 02</w:t>
            </w:r>
            <w:r w:rsidRPr="00253C15">
              <w:rPr>
                <w:rFonts w:ascii="Arial Narrow" w:hAnsi="Arial Narrow"/>
                <w:noProof/>
                <w:color w:val="000000"/>
                <w:sz w:val="20"/>
              </w:rPr>
              <w:t xml:space="preserve"> </w:t>
            </w:r>
            <w:r w:rsidRPr="00253C15">
              <w:rPr>
                <w:noProof/>
                <w:color w:val="000000"/>
                <w:sz w:val="16"/>
              </w:rPr>
              <w:t>(VB und ANS – indirekte Forschung)</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r>
      <w:tr w:rsidR="00693ED0" w:rsidRPr="00253C1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ind w:firstLineChars="100" w:firstLine="160"/>
              <w:jc w:val="left"/>
              <w:rPr>
                <w:noProof/>
                <w:color w:val="000000"/>
                <w:sz w:val="16"/>
                <w:szCs w:val="16"/>
              </w:rPr>
            </w:pPr>
            <w:r w:rsidRPr="00253C15">
              <w:rPr>
                <w:noProof/>
                <w:color w:val="000000"/>
                <w:sz w:val="16"/>
              </w:rPr>
              <w:t xml:space="preserve"> 01 01 01 12 (VB und ANS – direkte Forschung)</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r>
      <w:tr w:rsidR="00693ED0" w:rsidRPr="00253C1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ind w:firstLineChars="100" w:firstLine="160"/>
              <w:jc w:val="left"/>
              <w:rPr>
                <w:noProof/>
                <w:color w:val="000000"/>
                <w:sz w:val="16"/>
                <w:szCs w:val="16"/>
              </w:rPr>
            </w:pPr>
            <w:r w:rsidRPr="00253C15">
              <w:rPr>
                <w:noProof/>
                <w:color w:val="000000"/>
                <w:sz w:val="16"/>
              </w:rPr>
              <w:t>Sonstige Haushaltslinien (bitte angeben) – Rubrik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r>
      <w:tr w:rsidR="00693ED0" w:rsidRPr="00253C1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ind w:firstLineChars="100" w:firstLine="160"/>
              <w:jc w:val="left"/>
              <w:rPr>
                <w:noProof/>
                <w:color w:val="000000"/>
                <w:sz w:val="16"/>
                <w:szCs w:val="16"/>
              </w:rPr>
            </w:pPr>
            <w:r w:rsidRPr="00253C15">
              <w:rPr>
                <w:noProof/>
                <w:color w:val="000000"/>
                <w:sz w:val="16"/>
              </w:rPr>
              <w:t>Sonstige Haushaltslinien (bitte angeben) – außerhalb der Rubrik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r>
      <w:tr w:rsidR="00693ED0" w:rsidRPr="00253C15">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ind w:firstLineChars="100" w:firstLine="160"/>
              <w:jc w:val="left"/>
              <w:rPr>
                <w:b/>
                <w:bCs/>
                <w:noProof/>
                <w:color w:val="000000"/>
                <w:sz w:val="16"/>
                <w:szCs w:val="16"/>
              </w:rPr>
            </w:pPr>
            <w:r w:rsidRPr="00253C15">
              <w:rPr>
                <w:b/>
                <w:noProof/>
                <w:color w:val="000000"/>
                <w:sz w:val="16"/>
              </w:rPr>
              <w:t>INSGESAMT</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b/>
                <w:bCs/>
                <w:noProof/>
                <w:color w:val="000000"/>
                <w:sz w:val="16"/>
                <w:szCs w:val="16"/>
              </w:rPr>
            </w:pPr>
            <w:r w:rsidRPr="00253C15">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b/>
                <w:bCs/>
                <w:noProof/>
                <w:color w:val="000000"/>
                <w:sz w:val="16"/>
                <w:szCs w:val="16"/>
              </w:rPr>
            </w:pPr>
            <w:r w:rsidRPr="00253C15">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b/>
                <w:bCs/>
                <w:noProof/>
                <w:color w:val="000000"/>
                <w:sz w:val="16"/>
                <w:szCs w:val="16"/>
              </w:rPr>
            </w:pPr>
            <w:r w:rsidRPr="00253C15">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b/>
                <w:bCs/>
                <w:noProof/>
                <w:color w:val="000000"/>
                <w:sz w:val="16"/>
                <w:szCs w:val="16"/>
              </w:rPr>
            </w:pPr>
            <w:r w:rsidRPr="00253C15">
              <w:rPr>
                <w:b/>
                <w:noProof/>
                <w:color w:val="000000"/>
                <w:sz w:val="16"/>
              </w:rPr>
              <w:t>0</w:t>
            </w:r>
          </w:p>
        </w:tc>
      </w:tr>
    </w:tbl>
    <w:p w:rsidR="00693ED0" w:rsidRPr="00253C15" w:rsidRDefault="00693ED0" w:rsidP="00693ED0">
      <w:pPr>
        <w:pStyle w:val="ManualHeading3"/>
        <w:rPr>
          <w:noProof/>
        </w:rPr>
      </w:pPr>
      <w:bookmarkStart w:id="170" w:name="_Toc167220297"/>
      <w:bookmarkStart w:id="171" w:name="_Toc177549030"/>
      <w:r w:rsidRPr="00253C15">
        <w:rPr>
          <w:noProof/>
        </w:rPr>
        <w:t>3.2.4.3.</w:t>
      </w:r>
      <w:r w:rsidRPr="00253C15">
        <w:rPr>
          <w:noProof/>
        </w:rPr>
        <w:tab/>
        <w:t>Geschätzter Personalbedarf insgesamt</w:t>
      </w:r>
      <w:bookmarkEnd w:id="170"/>
      <w:bookmarkEnd w:id="171"/>
    </w:p>
    <w:tbl>
      <w:tblPr>
        <w:tblW w:w="9200" w:type="dxa"/>
        <w:tblLook w:val="04A0" w:firstRow="1" w:lastRow="0" w:firstColumn="1" w:lastColumn="0" w:noHBand="0" w:noVBand="1"/>
      </w:tblPr>
      <w:tblGrid>
        <w:gridCol w:w="1500"/>
        <w:gridCol w:w="3860"/>
        <w:gridCol w:w="960"/>
        <w:gridCol w:w="960"/>
        <w:gridCol w:w="960"/>
        <w:gridCol w:w="960"/>
      </w:tblGrid>
      <w:tr w:rsidR="00693ED0" w:rsidRPr="00253C15">
        <w:trPr>
          <w:trHeight w:val="492"/>
        </w:trPr>
        <w:tc>
          <w:tcPr>
            <w:tcW w:w="536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253C15" w:rsidRDefault="00693ED0">
            <w:pPr>
              <w:spacing w:before="0" w:after="0"/>
              <w:jc w:val="center"/>
              <w:rPr>
                <w:b/>
                <w:bCs/>
                <w:noProof/>
                <w:color w:val="000000"/>
                <w:sz w:val="18"/>
                <w:szCs w:val="18"/>
              </w:rPr>
            </w:pPr>
            <w:r w:rsidRPr="00253C15">
              <w:rPr>
                <w:b/>
                <w:noProof/>
                <w:color w:val="000000"/>
                <w:sz w:val="18"/>
              </w:rPr>
              <w:t>SUMME DER BEWILLIGTEN MITTEL + EXTERNEN ZWECKGEBUNDENEN EINNAHMEN</w:t>
            </w:r>
          </w:p>
        </w:tc>
        <w:tc>
          <w:tcPr>
            <w:tcW w:w="960" w:type="dxa"/>
            <w:tcBorders>
              <w:top w:val="single" w:sz="8" w:space="0" w:color="auto"/>
              <w:left w:val="nil"/>
              <w:bottom w:val="nil"/>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960" w:type="dxa"/>
            <w:tcBorders>
              <w:top w:val="single" w:sz="8" w:space="0" w:color="auto"/>
              <w:left w:val="nil"/>
              <w:bottom w:val="nil"/>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960" w:type="dxa"/>
            <w:tcBorders>
              <w:top w:val="single" w:sz="8" w:space="0" w:color="auto"/>
              <w:left w:val="nil"/>
              <w:bottom w:val="nil"/>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c>
          <w:tcPr>
            <w:tcW w:w="960" w:type="dxa"/>
            <w:tcBorders>
              <w:top w:val="single" w:sz="8" w:space="0" w:color="auto"/>
              <w:left w:val="nil"/>
              <w:bottom w:val="nil"/>
              <w:right w:val="single" w:sz="8" w:space="0" w:color="auto"/>
            </w:tcBorders>
            <w:shd w:val="clear" w:color="auto" w:fill="auto"/>
            <w:vAlign w:val="center"/>
            <w:hideMark/>
          </w:tcPr>
          <w:p w:rsidR="00693ED0" w:rsidRPr="00253C15" w:rsidRDefault="00693ED0">
            <w:pPr>
              <w:spacing w:before="0" w:after="0"/>
              <w:jc w:val="center"/>
              <w:rPr>
                <w:noProof/>
                <w:color w:val="000000"/>
                <w:sz w:val="20"/>
                <w:szCs w:val="20"/>
              </w:rPr>
            </w:pPr>
            <w:r w:rsidRPr="00253C15">
              <w:rPr>
                <w:noProof/>
                <w:color w:val="000000"/>
                <w:sz w:val="20"/>
              </w:rPr>
              <w:t>Jahr</w:t>
            </w:r>
          </w:p>
        </w:tc>
      </w:tr>
      <w:tr w:rsidR="00693ED0" w:rsidRPr="00253C15">
        <w:trPr>
          <w:trHeight w:val="492"/>
        </w:trPr>
        <w:tc>
          <w:tcPr>
            <w:tcW w:w="5360" w:type="dxa"/>
            <w:gridSpan w:val="2"/>
            <w:vMerge/>
            <w:tcBorders>
              <w:top w:val="single" w:sz="8" w:space="0" w:color="auto"/>
              <w:left w:val="single" w:sz="8" w:space="0" w:color="auto"/>
              <w:bottom w:val="single" w:sz="8" w:space="0" w:color="auto"/>
              <w:right w:val="single" w:sz="8" w:space="0" w:color="000000"/>
            </w:tcBorders>
            <w:vAlign w:val="center"/>
            <w:hideMark/>
          </w:tcPr>
          <w:p w:rsidR="00693ED0" w:rsidRPr="00253C15" w:rsidRDefault="00693ED0">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2024</w:t>
            </w:r>
          </w:p>
        </w:tc>
        <w:tc>
          <w:tcPr>
            <w:tcW w:w="960" w:type="dxa"/>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2025</w:t>
            </w:r>
          </w:p>
        </w:tc>
        <w:tc>
          <w:tcPr>
            <w:tcW w:w="960" w:type="dxa"/>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2026</w:t>
            </w:r>
          </w:p>
        </w:tc>
        <w:tc>
          <w:tcPr>
            <w:tcW w:w="960" w:type="dxa"/>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jc w:val="center"/>
              <w:rPr>
                <w:b/>
                <w:bCs/>
                <w:noProof/>
                <w:color w:val="000000"/>
                <w:sz w:val="20"/>
                <w:szCs w:val="20"/>
              </w:rPr>
            </w:pPr>
            <w:r w:rsidRPr="00253C15">
              <w:rPr>
                <w:b/>
                <w:noProof/>
                <w:color w:val="000000"/>
                <w:sz w:val="20"/>
              </w:rPr>
              <w:t>2027</w:t>
            </w:r>
          </w:p>
        </w:tc>
      </w:tr>
      <w:tr w:rsidR="00693ED0" w:rsidRPr="00253C15">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253C15" w:rsidRDefault="00693ED0">
            <w:pPr>
              <w:spacing w:before="0" w:after="0"/>
              <w:jc w:val="left"/>
              <w:rPr>
                <w:rFonts w:ascii="Wingdings" w:hAnsi="Wingdings" w:cs="Calibri"/>
                <w:b/>
                <w:bCs/>
                <w:noProof/>
                <w:color w:val="000000"/>
                <w:sz w:val="16"/>
                <w:szCs w:val="16"/>
              </w:rPr>
            </w:pPr>
            <w:r w:rsidRPr="00253C15">
              <w:rPr>
                <w:rFonts w:ascii="Wingdings" w:hAnsi="Wingdings"/>
                <w:b/>
                <w:noProof/>
                <w:color w:val="000000"/>
                <w:sz w:val="16"/>
              </w:rPr>
              <w:t></w:t>
            </w:r>
            <w:r w:rsidRPr="00253C15">
              <w:rPr>
                <w:b/>
                <w:noProof/>
                <w:color w:val="000000"/>
                <w:sz w:val="16"/>
              </w:rPr>
              <w:t xml:space="preserve"> Planstellen (Beamte und Bedienstete auf Zeit)</w:t>
            </w:r>
          </w:p>
        </w:tc>
      </w:tr>
      <w:tr w:rsidR="00693ED0" w:rsidRPr="00253C15">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ind w:firstLineChars="100" w:firstLine="160"/>
              <w:jc w:val="left"/>
              <w:rPr>
                <w:noProof/>
                <w:color w:val="000000"/>
                <w:sz w:val="16"/>
                <w:szCs w:val="16"/>
              </w:rPr>
            </w:pPr>
            <w:r w:rsidRPr="00253C15">
              <w:rPr>
                <w:noProof/>
                <w:color w:val="000000"/>
                <w:sz w:val="16"/>
              </w:rPr>
              <w:t>20 01 02 01</w:t>
            </w:r>
            <w:r w:rsidRPr="00253C15">
              <w:rPr>
                <w:rFonts w:ascii="Arial Narrow" w:hAnsi="Arial Narrow"/>
                <w:noProof/>
                <w:color w:val="000000"/>
                <w:sz w:val="20"/>
              </w:rPr>
              <w:t xml:space="preserve"> </w:t>
            </w:r>
            <w:r w:rsidRPr="00253C15">
              <w:rPr>
                <w:noProof/>
                <w:color w:val="000000"/>
                <w:sz w:val="16"/>
              </w:rPr>
              <w:t>(Zentrale Dienststellen und Vertretungen der Kommission)</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r>
      <w:tr w:rsidR="00693ED0" w:rsidRPr="00253C15">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ind w:firstLineChars="100" w:firstLine="160"/>
              <w:jc w:val="left"/>
              <w:rPr>
                <w:noProof/>
                <w:color w:val="000000"/>
                <w:sz w:val="16"/>
                <w:szCs w:val="16"/>
              </w:rPr>
            </w:pPr>
            <w:r w:rsidRPr="00253C15">
              <w:rPr>
                <w:noProof/>
                <w:color w:val="000000"/>
                <w:sz w:val="16"/>
              </w:rPr>
              <w:t>20 01 02 03 (EU-Delegationen)</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r>
      <w:tr w:rsidR="00693ED0" w:rsidRPr="00253C15">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ind w:firstLineChars="100" w:firstLine="160"/>
              <w:jc w:val="left"/>
              <w:rPr>
                <w:noProof/>
                <w:color w:val="000000"/>
                <w:sz w:val="16"/>
                <w:szCs w:val="16"/>
              </w:rPr>
            </w:pPr>
            <w:r w:rsidRPr="00253C15">
              <w:rPr>
                <w:noProof/>
                <w:color w:val="000000"/>
                <w:sz w:val="16"/>
              </w:rPr>
              <w:t>01 01 01 01</w:t>
            </w:r>
            <w:r w:rsidRPr="00253C15">
              <w:rPr>
                <w:rFonts w:ascii="Arial Narrow" w:hAnsi="Arial Narrow"/>
                <w:noProof/>
                <w:color w:val="000000"/>
                <w:sz w:val="20"/>
              </w:rPr>
              <w:t xml:space="preserve"> </w:t>
            </w:r>
            <w:r w:rsidRPr="00253C15">
              <w:rPr>
                <w:noProof/>
                <w:color w:val="000000"/>
                <w:sz w:val="16"/>
              </w:rPr>
              <w:t>(Indirekte Forschung)</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r>
      <w:tr w:rsidR="00693ED0" w:rsidRPr="00253C15">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ind w:firstLineChars="100" w:firstLine="160"/>
              <w:jc w:val="left"/>
              <w:rPr>
                <w:noProof/>
                <w:color w:val="000000"/>
                <w:sz w:val="16"/>
                <w:szCs w:val="16"/>
              </w:rPr>
            </w:pPr>
            <w:r w:rsidRPr="00253C15">
              <w:rPr>
                <w:noProof/>
                <w:color w:val="000000"/>
                <w:sz w:val="16"/>
              </w:rPr>
              <w:t>01 01 01 11 (Direkte Forschung)</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r>
      <w:tr w:rsidR="00693ED0" w:rsidRPr="00253C15">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ind w:firstLineChars="100" w:firstLine="160"/>
              <w:jc w:val="left"/>
              <w:rPr>
                <w:noProof/>
                <w:color w:val="000000"/>
                <w:sz w:val="16"/>
                <w:szCs w:val="16"/>
              </w:rPr>
            </w:pPr>
            <w:r w:rsidRPr="00253C15">
              <w:rPr>
                <w:noProof/>
                <w:color w:val="000000"/>
                <w:sz w:val="16"/>
              </w:rPr>
              <w:t>Sonstige Haushaltslinien (bitte angeben)</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r>
      <w:tr w:rsidR="00693ED0" w:rsidRPr="00253C15">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253C15" w:rsidRDefault="00693ED0">
            <w:pPr>
              <w:spacing w:before="0" w:after="0"/>
              <w:jc w:val="left"/>
              <w:rPr>
                <w:rFonts w:ascii="Wingdings" w:hAnsi="Wingdings" w:cs="Calibri"/>
                <w:b/>
                <w:bCs/>
                <w:noProof/>
                <w:color w:val="000000"/>
                <w:sz w:val="16"/>
                <w:szCs w:val="16"/>
              </w:rPr>
            </w:pPr>
            <w:r w:rsidRPr="00253C15">
              <w:rPr>
                <w:rFonts w:ascii="Calibri" w:hAnsi="Calibri"/>
                <w:b/>
                <w:noProof/>
                <w:color w:val="000000"/>
                <w:sz w:val="16"/>
              </w:rPr>
              <w:t>•</w:t>
            </w:r>
            <w:r w:rsidRPr="00253C15">
              <w:rPr>
                <w:b/>
                <w:noProof/>
                <w:color w:val="000000"/>
                <w:sz w:val="16"/>
              </w:rPr>
              <w:t xml:space="preserve"> Externes Personal (in Vollzeitäquivalenten)</w:t>
            </w:r>
          </w:p>
        </w:tc>
      </w:tr>
      <w:tr w:rsidR="00693ED0" w:rsidRPr="00253C15">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ind w:firstLineChars="100" w:firstLine="160"/>
              <w:jc w:val="left"/>
              <w:rPr>
                <w:noProof/>
                <w:color w:val="000000"/>
                <w:sz w:val="16"/>
                <w:szCs w:val="16"/>
              </w:rPr>
            </w:pPr>
            <w:r w:rsidRPr="00253C15">
              <w:rPr>
                <w:noProof/>
                <w:color w:val="000000"/>
                <w:sz w:val="16"/>
              </w:rPr>
              <w:t>20 02 01</w:t>
            </w:r>
            <w:r w:rsidRPr="00253C15">
              <w:rPr>
                <w:rFonts w:ascii="Arial Narrow" w:hAnsi="Arial Narrow"/>
                <w:noProof/>
                <w:color w:val="000000"/>
                <w:sz w:val="20"/>
              </w:rPr>
              <w:t xml:space="preserve"> </w:t>
            </w:r>
            <w:r w:rsidRPr="00253C15">
              <w:rPr>
                <w:noProof/>
                <w:color w:val="000000"/>
                <w:sz w:val="16"/>
              </w:rPr>
              <w:t>(VB und ANS der Globaldotation)</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r>
      <w:tr w:rsidR="00693ED0" w:rsidRPr="00253C15">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ind w:firstLineChars="100" w:firstLine="160"/>
              <w:jc w:val="left"/>
              <w:rPr>
                <w:noProof/>
                <w:color w:val="000000"/>
                <w:sz w:val="16"/>
                <w:szCs w:val="16"/>
              </w:rPr>
            </w:pPr>
            <w:r w:rsidRPr="00253C15">
              <w:rPr>
                <w:noProof/>
                <w:color w:val="000000"/>
                <w:sz w:val="16"/>
              </w:rPr>
              <w:t>20 02 03 (VB, ÖB, ANS und JPD in den EU-Delegationen)</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r>
      <w:tr w:rsidR="00693ED0" w:rsidRPr="00253C15">
        <w:trPr>
          <w:trHeight w:val="300"/>
        </w:trPr>
        <w:tc>
          <w:tcPr>
            <w:tcW w:w="1500" w:type="dxa"/>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jc w:val="center"/>
              <w:rPr>
                <w:noProof/>
                <w:color w:val="000000"/>
                <w:sz w:val="16"/>
                <w:szCs w:val="16"/>
              </w:rPr>
            </w:pPr>
            <w:r w:rsidRPr="00253C15">
              <w:rPr>
                <w:noProof/>
                <w:color w:val="000000"/>
                <w:sz w:val="16"/>
              </w:rPr>
              <w:t>Haushaltslinie administr. Unterstützung</w:t>
            </w:r>
            <w:r w:rsidRPr="00253C15">
              <w:rPr>
                <w:noProof/>
              </w:rPr>
              <w:br/>
            </w:r>
            <w:r w:rsidRPr="00253C15">
              <w:rPr>
                <w:noProof/>
                <w:color w:val="000000"/>
                <w:sz w:val="16"/>
              </w:rPr>
              <w:t>[XX 01 YY YY]</w:t>
            </w:r>
          </w:p>
        </w:tc>
        <w:tc>
          <w:tcPr>
            <w:tcW w:w="3860" w:type="dxa"/>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ind w:firstLineChars="100" w:firstLine="160"/>
              <w:jc w:val="left"/>
              <w:rPr>
                <w:noProof/>
                <w:color w:val="000000"/>
                <w:sz w:val="16"/>
                <w:szCs w:val="16"/>
              </w:rPr>
            </w:pPr>
            <w:r w:rsidRPr="00253C15">
              <w:rPr>
                <w:noProof/>
                <w:color w:val="000000"/>
                <w:sz w:val="16"/>
              </w:rPr>
              <w:t>– in den zentralen Dienststellen</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r>
      <w:tr w:rsidR="00693ED0" w:rsidRPr="00253C15">
        <w:trPr>
          <w:trHeight w:val="300"/>
        </w:trPr>
        <w:tc>
          <w:tcPr>
            <w:tcW w:w="1500" w:type="dxa"/>
            <w:vMerge/>
            <w:tcBorders>
              <w:top w:val="nil"/>
              <w:left w:val="single" w:sz="8" w:space="0" w:color="auto"/>
              <w:bottom w:val="single" w:sz="8" w:space="0" w:color="auto"/>
              <w:right w:val="single" w:sz="8" w:space="0" w:color="auto"/>
            </w:tcBorders>
            <w:vAlign w:val="center"/>
            <w:hideMark/>
          </w:tcPr>
          <w:p w:rsidR="00693ED0" w:rsidRPr="00253C15" w:rsidRDefault="00693ED0">
            <w:pPr>
              <w:spacing w:before="0" w:after="0"/>
              <w:jc w:val="left"/>
              <w:rPr>
                <w:noProof/>
                <w:color w:val="000000"/>
                <w:sz w:val="16"/>
                <w:szCs w:val="16"/>
                <w:lang w:eastAsia="en-IE"/>
              </w:rPr>
            </w:pPr>
          </w:p>
        </w:tc>
        <w:tc>
          <w:tcPr>
            <w:tcW w:w="3860" w:type="dxa"/>
            <w:tcBorders>
              <w:top w:val="nil"/>
              <w:left w:val="nil"/>
              <w:bottom w:val="single" w:sz="8" w:space="0" w:color="auto"/>
              <w:right w:val="single" w:sz="8" w:space="0" w:color="auto"/>
            </w:tcBorders>
            <w:shd w:val="clear" w:color="auto" w:fill="auto"/>
            <w:vAlign w:val="center"/>
            <w:hideMark/>
          </w:tcPr>
          <w:p w:rsidR="00693ED0" w:rsidRPr="00253C15" w:rsidRDefault="00693ED0">
            <w:pPr>
              <w:spacing w:before="0" w:after="0"/>
              <w:ind w:firstLineChars="100" w:firstLine="160"/>
              <w:jc w:val="left"/>
              <w:rPr>
                <w:noProof/>
                <w:color w:val="000000"/>
                <w:sz w:val="16"/>
                <w:szCs w:val="16"/>
              </w:rPr>
            </w:pPr>
            <w:r w:rsidRPr="00253C15">
              <w:rPr>
                <w:noProof/>
                <w:color w:val="000000"/>
                <w:sz w:val="16"/>
              </w:rPr>
              <w:t xml:space="preserve">– in den EU-Delegationen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r>
      <w:tr w:rsidR="00693ED0" w:rsidRPr="00253C15">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ind w:firstLineChars="100" w:firstLine="160"/>
              <w:jc w:val="left"/>
              <w:rPr>
                <w:noProof/>
                <w:color w:val="000000"/>
                <w:sz w:val="16"/>
                <w:szCs w:val="16"/>
              </w:rPr>
            </w:pPr>
            <w:r w:rsidRPr="00253C15">
              <w:rPr>
                <w:noProof/>
                <w:color w:val="000000"/>
                <w:sz w:val="16"/>
              </w:rPr>
              <w:t>01 01 01 02</w:t>
            </w:r>
            <w:r w:rsidRPr="00253C15">
              <w:rPr>
                <w:rFonts w:ascii="Arial Narrow" w:hAnsi="Arial Narrow"/>
                <w:noProof/>
                <w:color w:val="000000"/>
                <w:sz w:val="20"/>
              </w:rPr>
              <w:t xml:space="preserve"> </w:t>
            </w:r>
            <w:r w:rsidRPr="00253C15">
              <w:rPr>
                <w:noProof/>
                <w:color w:val="000000"/>
                <w:sz w:val="16"/>
              </w:rPr>
              <w:t>(VB und ANS – indirekte Forschung)</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r>
      <w:tr w:rsidR="00693ED0" w:rsidRPr="00253C15">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ind w:firstLineChars="100" w:firstLine="160"/>
              <w:jc w:val="left"/>
              <w:rPr>
                <w:noProof/>
                <w:color w:val="000000"/>
                <w:sz w:val="16"/>
                <w:szCs w:val="16"/>
              </w:rPr>
            </w:pPr>
            <w:r w:rsidRPr="00253C15">
              <w:rPr>
                <w:noProof/>
                <w:color w:val="000000"/>
                <w:sz w:val="16"/>
              </w:rPr>
              <w:t xml:space="preserve"> 01 01 01 12 (VB und ANS – direkte Forschung)</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r>
      <w:tr w:rsidR="00693ED0" w:rsidRPr="00253C15">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ind w:firstLineChars="100" w:firstLine="160"/>
              <w:jc w:val="left"/>
              <w:rPr>
                <w:noProof/>
                <w:color w:val="000000"/>
                <w:sz w:val="16"/>
                <w:szCs w:val="16"/>
              </w:rPr>
            </w:pPr>
            <w:r w:rsidRPr="00253C15">
              <w:rPr>
                <w:noProof/>
                <w:color w:val="000000"/>
                <w:sz w:val="16"/>
              </w:rPr>
              <w:t>Sonstige Haushaltslinien (bitte angeben) – Rubrik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r>
      <w:tr w:rsidR="00693ED0" w:rsidRPr="00253C15">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ind w:firstLineChars="100" w:firstLine="160"/>
              <w:jc w:val="left"/>
              <w:rPr>
                <w:noProof/>
                <w:color w:val="000000"/>
                <w:sz w:val="16"/>
                <w:szCs w:val="16"/>
              </w:rPr>
            </w:pPr>
            <w:r w:rsidRPr="00253C15">
              <w:rPr>
                <w:noProof/>
                <w:color w:val="000000"/>
                <w:sz w:val="16"/>
              </w:rPr>
              <w:t>Sonstige Haushaltslinien (bitte angeben) – außerhalb der Rubrik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noProof/>
                <w:color w:val="000000"/>
                <w:sz w:val="16"/>
                <w:szCs w:val="16"/>
              </w:rPr>
            </w:pPr>
            <w:r w:rsidRPr="00253C15">
              <w:rPr>
                <w:noProof/>
                <w:color w:val="000000"/>
                <w:sz w:val="16"/>
              </w:rPr>
              <w:t>0</w:t>
            </w:r>
          </w:p>
        </w:tc>
      </w:tr>
      <w:tr w:rsidR="00693ED0" w:rsidRPr="00253C15">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253C15" w:rsidRDefault="00693ED0">
            <w:pPr>
              <w:spacing w:before="0" w:after="0"/>
              <w:ind w:firstLineChars="100" w:firstLine="160"/>
              <w:jc w:val="left"/>
              <w:rPr>
                <w:b/>
                <w:bCs/>
                <w:noProof/>
                <w:color w:val="000000"/>
                <w:sz w:val="16"/>
                <w:szCs w:val="16"/>
              </w:rPr>
            </w:pPr>
            <w:r w:rsidRPr="00253C15">
              <w:rPr>
                <w:b/>
                <w:noProof/>
                <w:color w:val="000000"/>
                <w:sz w:val="16"/>
              </w:rPr>
              <w:t>INSGESAMT</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b/>
                <w:bCs/>
                <w:noProof/>
                <w:color w:val="000000"/>
                <w:sz w:val="16"/>
                <w:szCs w:val="16"/>
              </w:rPr>
            </w:pPr>
            <w:r w:rsidRPr="00253C15">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b/>
                <w:bCs/>
                <w:noProof/>
                <w:color w:val="000000"/>
                <w:sz w:val="16"/>
                <w:szCs w:val="16"/>
              </w:rPr>
            </w:pPr>
            <w:r w:rsidRPr="00253C15">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b/>
                <w:bCs/>
                <w:noProof/>
                <w:color w:val="000000"/>
                <w:sz w:val="16"/>
                <w:szCs w:val="16"/>
              </w:rPr>
            </w:pPr>
            <w:r w:rsidRPr="00253C15">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253C15" w:rsidRDefault="00693ED0">
            <w:pPr>
              <w:spacing w:before="0" w:after="0"/>
              <w:jc w:val="center"/>
              <w:rPr>
                <w:b/>
                <w:bCs/>
                <w:noProof/>
                <w:color w:val="000000"/>
                <w:sz w:val="16"/>
                <w:szCs w:val="16"/>
              </w:rPr>
            </w:pPr>
            <w:r w:rsidRPr="00253C15">
              <w:rPr>
                <w:b/>
                <w:noProof/>
                <w:color w:val="000000"/>
                <w:sz w:val="16"/>
              </w:rPr>
              <w:t>0</w:t>
            </w:r>
          </w:p>
        </w:tc>
      </w:tr>
    </w:tbl>
    <w:p w:rsidR="00693ED0" w:rsidRPr="00253C15" w:rsidRDefault="00693ED0" w:rsidP="00693ED0">
      <w:pPr>
        <w:pStyle w:val="Text1"/>
        <w:ind w:left="-426" w:right="-427"/>
        <w:rPr>
          <w:noProof/>
        </w:rPr>
      </w:pPr>
      <w:bookmarkStart w:id="172" w:name="_Hlk167692843"/>
      <w:bookmarkEnd w:id="167"/>
      <w:r w:rsidRPr="00253C15">
        <w:rPr>
          <w:noProof/>
        </w:rPr>
        <w:t>[Unter Berücksichtigung der insgesamt angespannten Lage in Rubrik 7 sowohl in Bezug auf die Personalausstattung als auch die Höhe der Mittel wird der Personalbedarf durch Personal der GD gedeckt, das bereits der Verwaltung der Maßnahme zugeordnet ist und/oder innerhalb der GD oder anderer Kommissionsdienststellen umgeschichtet wurde.]</w:t>
      </w:r>
    </w:p>
    <w:p w:rsidR="00693ED0" w:rsidRPr="00253C15" w:rsidRDefault="00693ED0" w:rsidP="00693ED0">
      <w:pPr>
        <w:pStyle w:val="Text1"/>
        <w:ind w:left="-426" w:right="-427"/>
        <w:rPr>
          <w:noProof/>
        </w:rPr>
      </w:pPr>
      <w:r w:rsidRPr="00253C15">
        <w:rPr>
          <w:noProof/>
        </w:rPr>
        <w:t>Beschreibung der Aufgaben, die ausgeführt werden sollen durch:</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436988" w:rsidRPr="00253C15" w:rsidTr="005A7E2C">
        <w:tc>
          <w:tcPr>
            <w:tcW w:w="3240" w:type="dxa"/>
          </w:tcPr>
          <w:p w:rsidR="00693ED0" w:rsidRPr="00253C15" w:rsidRDefault="00693ED0">
            <w:pPr>
              <w:rPr>
                <w:noProof/>
                <w:sz w:val="20"/>
              </w:rPr>
            </w:pPr>
            <w:r w:rsidRPr="00253C15">
              <w:rPr>
                <w:noProof/>
                <w:sz w:val="20"/>
              </w:rPr>
              <w:t>Beamte und Zeitbedienstete</w:t>
            </w:r>
          </w:p>
        </w:tc>
        <w:tc>
          <w:tcPr>
            <w:tcW w:w="7200" w:type="dxa"/>
          </w:tcPr>
          <w:p w:rsidR="00693ED0" w:rsidRPr="00253C15" w:rsidRDefault="00693ED0">
            <w:pPr>
              <w:rPr>
                <w:noProof/>
                <w:sz w:val="20"/>
              </w:rPr>
            </w:pPr>
          </w:p>
        </w:tc>
      </w:tr>
      <w:tr w:rsidR="00436988" w:rsidRPr="00253C15" w:rsidTr="005A7E2C">
        <w:tc>
          <w:tcPr>
            <w:tcW w:w="3240" w:type="dxa"/>
          </w:tcPr>
          <w:p w:rsidR="00693ED0" w:rsidRPr="00253C15" w:rsidRDefault="00693ED0">
            <w:pPr>
              <w:spacing w:before="60" w:after="60"/>
              <w:rPr>
                <w:noProof/>
                <w:sz w:val="20"/>
              </w:rPr>
            </w:pPr>
            <w:r w:rsidRPr="00253C15">
              <w:rPr>
                <w:noProof/>
                <w:sz w:val="20"/>
              </w:rPr>
              <w:t>Externes Personal</w:t>
            </w:r>
          </w:p>
        </w:tc>
        <w:tc>
          <w:tcPr>
            <w:tcW w:w="7200" w:type="dxa"/>
          </w:tcPr>
          <w:p w:rsidR="00693ED0" w:rsidRPr="00253C15" w:rsidRDefault="00693ED0">
            <w:pPr>
              <w:rPr>
                <w:noProof/>
                <w:sz w:val="20"/>
              </w:rPr>
            </w:pPr>
          </w:p>
        </w:tc>
      </w:tr>
    </w:tbl>
    <w:p w:rsidR="00693ED0" w:rsidRPr="00253C15" w:rsidRDefault="00693ED0" w:rsidP="00693ED0">
      <w:pPr>
        <w:pStyle w:val="ManualHeading3"/>
        <w:rPr>
          <w:noProof/>
        </w:rPr>
      </w:pPr>
      <w:bookmarkStart w:id="173" w:name="_Toc177549031"/>
      <w:r w:rsidRPr="00253C15">
        <w:rPr>
          <w:noProof/>
        </w:rPr>
        <w:t>3.2.5.</w:t>
      </w:r>
      <w:r w:rsidRPr="00253C15">
        <w:rPr>
          <w:noProof/>
        </w:rPr>
        <w:tab/>
        <w:t>Einschätzung der Auswirkungen auf die Investitionen im Zusammenhang mit digitalen Technologien</w:t>
      </w:r>
      <w:bookmarkEnd w:id="173"/>
    </w:p>
    <w:p w:rsidR="00693ED0" w:rsidRPr="00253C15" w:rsidRDefault="00693ED0" w:rsidP="00693ED0">
      <w:pPr>
        <w:pStyle w:val="Text1"/>
        <w:spacing w:line="259" w:lineRule="auto"/>
        <w:rPr>
          <w:noProof/>
        </w:rPr>
      </w:pPr>
      <w:r w:rsidRPr="00253C15">
        <w:rPr>
          <w:noProof/>
        </w:rPr>
        <w:t xml:space="preserve">Obligatorisch: In die Tabelle unten ist die bestmögliche Einschätzung der für den Vorschlag/die Initiative erforderlichen Investitionen in digitale Technologien einzutragen. </w:t>
      </w:r>
    </w:p>
    <w:p w:rsidR="00693ED0" w:rsidRPr="00253C15" w:rsidRDefault="00693ED0" w:rsidP="00693ED0">
      <w:pPr>
        <w:pStyle w:val="Text1"/>
        <w:spacing w:line="259" w:lineRule="auto"/>
        <w:rPr>
          <w:noProof/>
        </w:rPr>
      </w:pPr>
      <w:r w:rsidRPr="00253C15">
        <w:rPr>
          <w:noProof/>
        </w:rPr>
        <w:t xml:space="preserve">Wenn dies für die Durchführung des Vorschlags/der Initiative erforderlich ist, sollten die Mittel unter Rubrik 7 ausnahmsweise in der dafür vorgesehenen Haushaltslinie ausgewiesen werden. </w:t>
      </w:r>
    </w:p>
    <w:p w:rsidR="00693ED0" w:rsidRPr="00253C15" w:rsidRDefault="00693ED0" w:rsidP="00693ED0">
      <w:pPr>
        <w:pStyle w:val="Text1"/>
        <w:spacing w:line="259" w:lineRule="auto"/>
        <w:rPr>
          <w:noProof/>
        </w:rPr>
      </w:pPr>
      <w:r w:rsidRPr="00253C15">
        <w:rPr>
          <w:noProof/>
        </w:rPr>
        <w:t>Die Mittel unter den Rubriken 1-6 sollten als „IT-Ausgaben zur Politikunterstützung für operationelle Programme“ ausgewiesen werden. Diese Ausgaben beziehen sich auf die operativen Mittel, die für die Wiederverwendung/den Erwerb/die Entwicklung von IT-Plattformen/Instrumenten verwendet werden, die in direktem Zusammenhang mit der Durchführung der Initiative und den damit verbundenen Investitionen stehen (z. B. Lizenzen, Studien, Datenspeicherung usw.). Die Angaben in dieser Tabelle sollten mit den Einzelheiten in Abschnitt 4 „Digitale Aspekte“ übereinstimmen.</w:t>
      </w:r>
    </w:p>
    <w:tbl>
      <w:tblPr>
        <w:tblW w:w="0" w:type="auto"/>
        <w:tblLayout w:type="fixed"/>
        <w:tblLook w:val="04A0" w:firstRow="1" w:lastRow="0" w:firstColumn="1" w:lastColumn="0" w:noHBand="0" w:noVBand="1"/>
      </w:tblPr>
      <w:tblGrid>
        <w:gridCol w:w="3214"/>
        <w:gridCol w:w="835"/>
        <w:gridCol w:w="835"/>
        <w:gridCol w:w="835"/>
        <w:gridCol w:w="835"/>
        <w:gridCol w:w="1492"/>
      </w:tblGrid>
      <w:tr w:rsidR="00693ED0" w:rsidRPr="00253C15" w:rsidTr="00840ADF">
        <w:trPr>
          <w:trHeight w:val="525"/>
        </w:trPr>
        <w:tc>
          <w:tcPr>
            <w:tcW w:w="3214" w:type="dxa"/>
            <w:vMerge w:val="restart"/>
            <w:tcBorders>
              <w:top w:val="single" w:sz="8" w:space="0" w:color="auto"/>
              <w:left w:val="single" w:sz="4" w:space="0" w:color="auto"/>
              <w:right w:val="single" w:sz="4" w:space="0" w:color="auto"/>
            </w:tcBorders>
            <w:tcMar>
              <w:left w:w="108" w:type="dxa"/>
              <w:right w:w="108" w:type="dxa"/>
            </w:tcMar>
            <w:vAlign w:val="center"/>
          </w:tcPr>
          <w:p w:rsidR="00693ED0" w:rsidRPr="00253C15" w:rsidRDefault="00693ED0">
            <w:pPr>
              <w:spacing w:before="0" w:after="0"/>
              <w:jc w:val="center"/>
              <w:rPr>
                <w:b/>
                <w:bCs/>
                <w:noProof/>
                <w:color w:val="000000" w:themeColor="text1"/>
                <w:sz w:val="18"/>
                <w:szCs w:val="18"/>
              </w:rPr>
            </w:pPr>
            <w:r w:rsidRPr="00253C15">
              <w:rPr>
                <w:b/>
                <w:noProof/>
                <w:color w:val="000000" w:themeColor="text1"/>
                <w:sz w:val="18"/>
              </w:rPr>
              <w:t>Mittel INSGESAMT für Digitales und IT</w:t>
            </w:r>
          </w:p>
        </w:tc>
        <w:tc>
          <w:tcPr>
            <w:tcW w:w="835" w:type="dxa"/>
            <w:tcBorders>
              <w:top w:val="single" w:sz="8" w:space="0" w:color="auto"/>
              <w:left w:val="single" w:sz="4" w:space="0" w:color="auto"/>
              <w:bottom w:val="nil"/>
              <w:right w:val="single" w:sz="8" w:space="0" w:color="auto"/>
            </w:tcBorders>
            <w:tcMar>
              <w:left w:w="108" w:type="dxa"/>
              <w:right w:w="108" w:type="dxa"/>
            </w:tcMar>
            <w:vAlign w:val="center"/>
          </w:tcPr>
          <w:p w:rsidR="00693ED0" w:rsidRPr="00253C15" w:rsidRDefault="00693ED0">
            <w:pPr>
              <w:spacing w:before="0" w:after="0"/>
              <w:jc w:val="center"/>
              <w:rPr>
                <w:noProof/>
                <w:color w:val="000000" w:themeColor="text1"/>
                <w:sz w:val="18"/>
                <w:szCs w:val="18"/>
              </w:rPr>
            </w:pPr>
            <w:r w:rsidRPr="00253C15">
              <w:rPr>
                <w:noProof/>
                <w:color w:val="000000" w:themeColor="text1"/>
                <w:sz w:val="18"/>
              </w:rPr>
              <w:t>Jahr</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253C15" w:rsidRDefault="00693ED0">
            <w:pPr>
              <w:spacing w:before="0" w:after="0"/>
              <w:jc w:val="center"/>
              <w:rPr>
                <w:noProof/>
                <w:color w:val="000000" w:themeColor="text1"/>
                <w:sz w:val="18"/>
                <w:szCs w:val="18"/>
              </w:rPr>
            </w:pPr>
            <w:r w:rsidRPr="00253C15">
              <w:rPr>
                <w:noProof/>
                <w:color w:val="000000" w:themeColor="text1"/>
                <w:sz w:val="18"/>
              </w:rPr>
              <w:t>Jahr</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253C15" w:rsidRDefault="00693ED0">
            <w:pPr>
              <w:spacing w:before="0" w:after="0"/>
              <w:jc w:val="center"/>
              <w:rPr>
                <w:noProof/>
                <w:color w:val="000000" w:themeColor="text1"/>
                <w:sz w:val="18"/>
                <w:szCs w:val="18"/>
              </w:rPr>
            </w:pPr>
            <w:r w:rsidRPr="00253C15">
              <w:rPr>
                <w:noProof/>
                <w:color w:val="000000" w:themeColor="text1"/>
                <w:sz w:val="18"/>
              </w:rPr>
              <w:t>Jahr</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253C15" w:rsidRDefault="00693ED0">
            <w:pPr>
              <w:spacing w:before="0" w:after="0"/>
              <w:jc w:val="center"/>
              <w:rPr>
                <w:noProof/>
                <w:color w:val="000000" w:themeColor="text1"/>
                <w:sz w:val="18"/>
                <w:szCs w:val="18"/>
              </w:rPr>
            </w:pPr>
            <w:r w:rsidRPr="00253C15">
              <w:rPr>
                <w:noProof/>
                <w:color w:val="000000" w:themeColor="text1"/>
                <w:sz w:val="18"/>
              </w:rPr>
              <w:t>Jahr</w:t>
            </w:r>
          </w:p>
        </w:tc>
        <w:tc>
          <w:tcPr>
            <w:tcW w:w="1492" w:type="dxa"/>
            <w:vMerge w:val="restart"/>
            <w:tcBorders>
              <w:top w:val="single" w:sz="8" w:space="0" w:color="auto"/>
              <w:left w:val="single" w:sz="8" w:space="0" w:color="auto"/>
              <w:bottom w:val="single" w:sz="8" w:space="0" w:color="auto"/>
              <w:right w:val="single" w:sz="4" w:space="0" w:color="auto"/>
            </w:tcBorders>
            <w:tcMar>
              <w:left w:w="108" w:type="dxa"/>
              <w:right w:w="108" w:type="dxa"/>
            </w:tcMar>
            <w:vAlign w:val="center"/>
          </w:tcPr>
          <w:p w:rsidR="00693ED0" w:rsidRPr="00253C15" w:rsidRDefault="00693ED0">
            <w:pPr>
              <w:spacing w:before="0" w:after="0"/>
              <w:jc w:val="center"/>
              <w:rPr>
                <w:b/>
                <w:bCs/>
                <w:noProof/>
                <w:color w:val="000000" w:themeColor="text1"/>
                <w:sz w:val="18"/>
                <w:szCs w:val="18"/>
              </w:rPr>
            </w:pPr>
            <w:r w:rsidRPr="00253C15">
              <w:rPr>
                <w:b/>
                <w:noProof/>
                <w:color w:val="000000" w:themeColor="text1"/>
                <w:sz w:val="18"/>
              </w:rPr>
              <w:t>2021-2027 INSGESAMT</w:t>
            </w:r>
          </w:p>
        </w:tc>
      </w:tr>
      <w:tr w:rsidR="00693ED0" w:rsidRPr="00253C15" w:rsidTr="00840ADF">
        <w:trPr>
          <w:trHeight w:val="525"/>
        </w:trPr>
        <w:tc>
          <w:tcPr>
            <w:tcW w:w="3214" w:type="dxa"/>
            <w:vMerge/>
            <w:tcBorders>
              <w:top w:val="single" w:sz="8" w:space="0" w:color="auto"/>
              <w:left w:val="single" w:sz="4" w:space="0" w:color="auto"/>
              <w:right w:val="single" w:sz="4" w:space="0" w:color="auto"/>
            </w:tcBorders>
            <w:vAlign w:val="center"/>
          </w:tcPr>
          <w:p w:rsidR="00693ED0" w:rsidRPr="00253C15" w:rsidRDefault="00693ED0">
            <w:pPr>
              <w:rPr>
                <w:noProof/>
              </w:rPr>
            </w:pPr>
          </w:p>
        </w:tc>
        <w:tc>
          <w:tcPr>
            <w:tcW w:w="835" w:type="dxa"/>
            <w:tcBorders>
              <w:top w:val="nil"/>
              <w:left w:val="single" w:sz="4" w:space="0" w:color="auto"/>
              <w:bottom w:val="single" w:sz="8" w:space="0" w:color="auto"/>
              <w:right w:val="single" w:sz="8" w:space="0" w:color="auto"/>
            </w:tcBorders>
            <w:tcMar>
              <w:left w:w="108" w:type="dxa"/>
              <w:right w:w="108" w:type="dxa"/>
            </w:tcMar>
            <w:vAlign w:val="center"/>
          </w:tcPr>
          <w:p w:rsidR="00693ED0" w:rsidRPr="00253C15" w:rsidRDefault="00693ED0">
            <w:pPr>
              <w:spacing w:before="0" w:after="0"/>
              <w:jc w:val="center"/>
              <w:rPr>
                <w:b/>
                <w:bCs/>
                <w:noProof/>
                <w:color w:val="000000" w:themeColor="text1"/>
                <w:sz w:val="18"/>
                <w:szCs w:val="18"/>
              </w:rPr>
            </w:pPr>
            <w:r w:rsidRPr="00253C15">
              <w:rPr>
                <w:b/>
                <w:noProof/>
                <w:color w:val="000000" w:themeColor="text1"/>
                <w:sz w:val="18"/>
              </w:rPr>
              <w:t>2024</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253C15" w:rsidRDefault="00693ED0">
            <w:pPr>
              <w:spacing w:before="0" w:after="0"/>
              <w:jc w:val="center"/>
              <w:rPr>
                <w:b/>
                <w:bCs/>
                <w:noProof/>
                <w:color w:val="000000" w:themeColor="text1"/>
                <w:sz w:val="18"/>
                <w:szCs w:val="18"/>
              </w:rPr>
            </w:pPr>
            <w:r w:rsidRPr="00253C15">
              <w:rPr>
                <w:b/>
                <w:noProof/>
                <w:color w:val="000000" w:themeColor="text1"/>
                <w:sz w:val="18"/>
              </w:rPr>
              <w:t>2025</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253C15" w:rsidRDefault="00693ED0">
            <w:pPr>
              <w:spacing w:before="0" w:after="0"/>
              <w:jc w:val="center"/>
              <w:rPr>
                <w:b/>
                <w:bCs/>
                <w:noProof/>
                <w:color w:val="000000" w:themeColor="text1"/>
                <w:sz w:val="18"/>
                <w:szCs w:val="18"/>
              </w:rPr>
            </w:pPr>
            <w:r w:rsidRPr="00253C15">
              <w:rPr>
                <w:b/>
                <w:noProof/>
                <w:color w:val="000000" w:themeColor="text1"/>
                <w:sz w:val="18"/>
              </w:rPr>
              <w:t>2026</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253C15" w:rsidRDefault="00693ED0">
            <w:pPr>
              <w:spacing w:before="0" w:after="0"/>
              <w:jc w:val="center"/>
              <w:rPr>
                <w:b/>
                <w:bCs/>
                <w:noProof/>
                <w:color w:val="000000" w:themeColor="text1"/>
                <w:sz w:val="18"/>
                <w:szCs w:val="18"/>
              </w:rPr>
            </w:pPr>
            <w:r w:rsidRPr="00253C15">
              <w:rPr>
                <w:b/>
                <w:noProof/>
                <w:color w:val="000000" w:themeColor="text1"/>
                <w:sz w:val="18"/>
              </w:rPr>
              <w:t>2027</w:t>
            </w:r>
          </w:p>
        </w:tc>
        <w:tc>
          <w:tcPr>
            <w:tcW w:w="1492" w:type="dxa"/>
            <w:vMerge/>
            <w:tcBorders>
              <w:bottom w:val="single" w:sz="4" w:space="0" w:color="auto"/>
              <w:right w:val="single" w:sz="4" w:space="0" w:color="auto"/>
            </w:tcBorders>
            <w:vAlign w:val="center"/>
          </w:tcPr>
          <w:p w:rsidR="00693ED0" w:rsidRPr="00253C15" w:rsidRDefault="00693ED0">
            <w:pPr>
              <w:rPr>
                <w:noProof/>
              </w:rPr>
            </w:pPr>
          </w:p>
        </w:tc>
      </w:tr>
      <w:tr w:rsidR="00693ED0" w:rsidRPr="00253C15" w:rsidTr="00840ADF">
        <w:trPr>
          <w:trHeight w:val="300"/>
        </w:trPr>
        <w:tc>
          <w:tcPr>
            <w:tcW w:w="8046" w:type="dxa"/>
            <w:gridSpan w:val="6"/>
            <w:tcBorders>
              <w:top w:val="nil"/>
              <w:left w:val="single" w:sz="8" w:space="0" w:color="auto"/>
              <w:bottom w:val="single" w:sz="8" w:space="0" w:color="auto"/>
              <w:right w:val="single" w:sz="8" w:space="0" w:color="auto"/>
            </w:tcBorders>
            <w:tcMar>
              <w:left w:w="108" w:type="dxa"/>
              <w:right w:w="108" w:type="dxa"/>
            </w:tcMar>
            <w:vAlign w:val="center"/>
          </w:tcPr>
          <w:p w:rsidR="00693ED0" w:rsidRPr="00253C15" w:rsidRDefault="00693ED0">
            <w:pPr>
              <w:spacing w:before="0" w:after="0"/>
              <w:jc w:val="left"/>
              <w:rPr>
                <w:b/>
                <w:bCs/>
                <w:noProof/>
                <w:sz w:val="16"/>
                <w:szCs w:val="16"/>
              </w:rPr>
            </w:pPr>
            <w:r w:rsidRPr="00253C15">
              <w:rPr>
                <w:b/>
                <w:noProof/>
                <w:sz w:val="16"/>
              </w:rPr>
              <w:t>RUBRIK 7</w:t>
            </w:r>
          </w:p>
        </w:tc>
      </w:tr>
      <w:tr w:rsidR="00693ED0" w:rsidRPr="00253C15" w:rsidTr="00840ADF">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253C15" w:rsidRDefault="00693ED0">
            <w:pPr>
              <w:spacing w:before="0" w:after="0"/>
              <w:jc w:val="left"/>
              <w:rPr>
                <w:noProof/>
                <w:color w:val="000000" w:themeColor="text1"/>
                <w:sz w:val="16"/>
                <w:szCs w:val="16"/>
              </w:rPr>
            </w:pPr>
            <w:r w:rsidRPr="00253C15">
              <w:rPr>
                <w:rFonts w:ascii="Arial Narrow" w:hAnsi="Arial Narrow"/>
                <w:noProof/>
                <w:color w:val="000000" w:themeColor="text1"/>
                <w:sz w:val="20"/>
              </w:rPr>
              <w:t>IT-Ausgaben (intern)</w:t>
            </w:r>
            <w:r w:rsidRPr="00253C15">
              <w:rPr>
                <w:noProof/>
                <w:color w:val="000000" w:themeColor="text1"/>
                <w:sz w:val="16"/>
              </w:rPr>
              <w:t xml:space="preserve"> </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253C15" w:rsidRDefault="00693ED0">
            <w:pPr>
              <w:spacing w:before="0" w:after="0"/>
              <w:jc w:val="right"/>
              <w:rPr>
                <w:noProof/>
                <w:color w:val="000000" w:themeColor="text1"/>
                <w:sz w:val="16"/>
                <w:szCs w:val="16"/>
              </w:rPr>
            </w:pPr>
            <w:r w:rsidRPr="00253C15">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253C15" w:rsidRDefault="00693ED0">
            <w:pPr>
              <w:spacing w:before="0" w:after="0"/>
              <w:jc w:val="right"/>
              <w:rPr>
                <w:noProof/>
                <w:color w:val="000000" w:themeColor="text1"/>
                <w:sz w:val="16"/>
                <w:szCs w:val="16"/>
              </w:rPr>
            </w:pPr>
            <w:r w:rsidRPr="00253C15">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253C15" w:rsidRDefault="00693ED0">
            <w:pPr>
              <w:spacing w:before="0" w:after="0"/>
              <w:jc w:val="right"/>
              <w:rPr>
                <w:noProof/>
                <w:color w:val="000000" w:themeColor="text1"/>
                <w:sz w:val="16"/>
                <w:szCs w:val="16"/>
              </w:rPr>
            </w:pPr>
            <w:r w:rsidRPr="00253C15">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253C15" w:rsidRDefault="00693ED0">
            <w:pPr>
              <w:spacing w:before="0" w:after="0"/>
              <w:jc w:val="right"/>
              <w:rPr>
                <w:noProof/>
                <w:color w:val="000000" w:themeColor="text1"/>
                <w:sz w:val="16"/>
                <w:szCs w:val="16"/>
              </w:rPr>
            </w:pPr>
            <w:r w:rsidRPr="00253C15">
              <w:rPr>
                <w:noProof/>
                <w:color w:val="000000" w:themeColor="text1"/>
                <w:sz w:val="16"/>
              </w:rPr>
              <w:t>0,000</w:t>
            </w:r>
          </w:p>
        </w:tc>
        <w:tc>
          <w:tcPr>
            <w:tcW w:w="1492"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253C15" w:rsidRDefault="00693ED0">
            <w:pPr>
              <w:spacing w:before="0" w:after="0"/>
              <w:jc w:val="right"/>
              <w:rPr>
                <w:b/>
                <w:bCs/>
                <w:noProof/>
                <w:color w:val="000000" w:themeColor="text1"/>
                <w:sz w:val="16"/>
                <w:szCs w:val="16"/>
              </w:rPr>
            </w:pPr>
            <w:r w:rsidRPr="00253C15">
              <w:rPr>
                <w:b/>
                <w:noProof/>
                <w:color w:val="000000" w:themeColor="text1"/>
                <w:sz w:val="16"/>
              </w:rPr>
              <w:t>0,000</w:t>
            </w:r>
          </w:p>
        </w:tc>
      </w:tr>
      <w:tr w:rsidR="00693ED0" w:rsidRPr="00253C15" w:rsidTr="00840ADF">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693ED0" w:rsidRPr="00253C15" w:rsidRDefault="00693ED0">
            <w:pPr>
              <w:spacing w:before="0" w:after="0"/>
              <w:jc w:val="center"/>
              <w:rPr>
                <w:b/>
                <w:bCs/>
                <w:noProof/>
                <w:color w:val="000000" w:themeColor="text1"/>
                <w:sz w:val="16"/>
                <w:szCs w:val="16"/>
              </w:rPr>
            </w:pPr>
            <w:r w:rsidRPr="00253C15">
              <w:rPr>
                <w:b/>
                <w:noProof/>
                <w:color w:val="000000" w:themeColor="text1"/>
                <w:sz w:val="16"/>
              </w:rPr>
              <w:t>Zwischensumme RUBRIK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253C15" w:rsidRDefault="00693ED0">
            <w:pPr>
              <w:spacing w:before="0" w:after="0"/>
              <w:jc w:val="right"/>
              <w:rPr>
                <w:b/>
                <w:bCs/>
                <w:noProof/>
                <w:color w:val="000000" w:themeColor="text1"/>
                <w:sz w:val="16"/>
                <w:szCs w:val="16"/>
              </w:rPr>
            </w:pPr>
            <w:r w:rsidRPr="00253C15">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253C15" w:rsidRDefault="00693ED0">
            <w:pPr>
              <w:spacing w:before="0" w:after="0"/>
              <w:jc w:val="right"/>
              <w:rPr>
                <w:b/>
                <w:bCs/>
                <w:noProof/>
                <w:color w:val="000000" w:themeColor="text1"/>
                <w:sz w:val="16"/>
                <w:szCs w:val="16"/>
              </w:rPr>
            </w:pPr>
            <w:r w:rsidRPr="00253C15">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253C15" w:rsidRDefault="00693ED0">
            <w:pPr>
              <w:spacing w:before="0" w:after="0"/>
              <w:jc w:val="right"/>
              <w:rPr>
                <w:b/>
                <w:bCs/>
                <w:noProof/>
                <w:color w:val="000000" w:themeColor="text1"/>
                <w:sz w:val="16"/>
                <w:szCs w:val="16"/>
              </w:rPr>
            </w:pPr>
            <w:r w:rsidRPr="00253C15">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253C15" w:rsidRDefault="00693ED0">
            <w:pPr>
              <w:spacing w:before="0" w:after="0"/>
              <w:jc w:val="right"/>
              <w:rPr>
                <w:b/>
                <w:bCs/>
                <w:noProof/>
                <w:color w:val="000000" w:themeColor="text1"/>
                <w:sz w:val="16"/>
                <w:szCs w:val="16"/>
              </w:rPr>
            </w:pPr>
            <w:r w:rsidRPr="00253C15">
              <w:rPr>
                <w:b/>
                <w:noProof/>
                <w:color w:val="000000" w:themeColor="text1"/>
                <w:sz w:val="16"/>
              </w:rPr>
              <w:t>0,000</w:t>
            </w:r>
          </w:p>
        </w:tc>
        <w:tc>
          <w:tcPr>
            <w:tcW w:w="14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253C15" w:rsidRDefault="00693ED0">
            <w:pPr>
              <w:spacing w:before="0" w:after="0"/>
              <w:jc w:val="right"/>
              <w:rPr>
                <w:b/>
                <w:bCs/>
                <w:noProof/>
                <w:color w:val="000000" w:themeColor="text1"/>
                <w:sz w:val="16"/>
                <w:szCs w:val="16"/>
              </w:rPr>
            </w:pPr>
            <w:r w:rsidRPr="00253C15">
              <w:rPr>
                <w:b/>
                <w:noProof/>
                <w:color w:val="000000" w:themeColor="text1"/>
                <w:sz w:val="16"/>
              </w:rPr>
              <w:t>0,000</w:t>
            </w:r>
          </w:p>
        </w:tc>
      </w:tr>
      <w:tr w:rsidR="00693ED0" w:rsidRPr="00253C15" w:rsidTr="00840ADF">
        <w:trPr>
          <w:trHeight w:val="300"/>
        </w:trPr>
        <w:tc>
          <w:tcPr>
            <w:tcW w:w="8046"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253C15" w:rsidRDefault="00693ED0">
            <w:pPr>
              <w:spacing w:before="0" w:after="0"/>
              <w:jc w:val="left"/>
              <w:rPr>
                <w:b/>
                <w:bCs/>
                <w:noProof/>
                <w:sz w:val="16"/>
                <w:szCs w:val="16"/>
              </w:rPr>
            </w:pPr>
            <w:r w:rsidRPr="00253C15">
              <w:rPr>
                <w:b/>
                <w:noProof/>
                <w:sz w:val="16"/>
              </w:rPr>
              <w:t>Außerhalb der RUBRIK 7</w:t>
            </w:r>
          </w:p>
        </w:tc>
      </w:tr>
      <w:tr w:rsidR="00693ED0" w:rsidRPr="00253C15" w:rsidTr="00840ADF">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253C15" w:rsidRDefault="00693ED0">
            <w:pPr>
              <w:spacing w:before="0" w:after="0"/>
              <w:jc w:val="left"/>
              <w:rPr>
                <w:rFonts w:ascii="Arial Narrow" w:eastAsia="Arial Narrow" w:hAnsi="Arial Narrow" w:cs="Arial Narrow"/>
                <w:noProof/>
                <w:color w:val="000000" w:themeColor="text1"/>
                <w:sz w:val="20"/>
                <w:szCs w:val="20"/>
              </w:rPr>
            </w:pPr>
            <w:r w:rsidRPr="00253C15">
              <w:rPr>
                <w:rFonts w:ascii="Arial Narrow" w:hAnsi="Arial Narrow"/>
                <w:noProof/>
                <w:color w:val="000000" w:themeColor="text1"/>
                <w:sz w:val="20"/>
              </w:rPr>
              <w:t>IT-Ausgaben zur Politikunterstützung für operationelle Programme</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253C15" w:rsidRDefault="00693ED0">
            <w:pPr>
              <w:spacing w:before="0" w:after="0"/>
              <w:jc w:val="right"/>
              <w:rPr>
                <w:noProof/>
                <w:color w:val="000000" w:themeColor="text1"/>
                <w:sz w:val="16"/>
                <w:szCs w:val="16"/>
              </w:rPr>
            </w:pPr>
            <w:r w:rsidRPr="00253C15">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253C15" w:rsidRDefault="00693ED0">
            <w:pPr>
              <w:spacing w:before="0" w:after="0"/>
              <w:jc w:val="right"/>
              <w:rPr>
                <w:noProof/>
                <w:color w:val="000000" w:themeColor="text1"/>
                <w:sz w:val="16"/>
                <w:szCs w:val="16"/>
              </w:rPr>
            </w:pPr>
            <w:r w:rsidRPr="00253C15">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253C15" w:rsidRDefault="00693ED0">
            <w:pPr>
              <w:spacing w:before="0" w:after="0"/>
              <w:jc w:val="right"/>
              <w:rPr>
                <w:noProof/>
                <w:color w:val="000000" w:themeColor="text1"/>
                <w:sz w:val="16"/>
                <w:szCs w:val="16"/>
              </w:rPr>
            </w:pPr>
            <w:r w:rsidRPr="00253C15">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253C15" w:rsidRDefault="00693ED0">
            <w:pPr>
              <w:spacing w:before="0" w:after="0"/>
              <w:jc w:val="right"/>
              <w:rPr>
                <w:noProof/>
                <w:color w:val="000000" w:themeColor="text1"/>
                <w:sz w:val="16"/>
                <w:szCs w:val="16"/>
              </w:rPr>
            </w:pPr>
            <w:r w:rsidRPr="00253C15">
              <w:rPr>
                <w:noProof/>
                <w:color w:val="000000" w:themeColor="text1"/>
                <w:sz w:val="16"/>
              </w:rPr>
              <w:t>0,000</w:t>
            </w:r>
          </w:p>
        </w:tc>
        <w:tc>
          <w:tcPr>
            <w:tcW w:w="1492"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253C15" w:rsidRDefault="00693ED0">
            <w:pPr>
              <w:spacing w:before="0" w:after="0"/>
              <w:jc w:val="right"/>
              <w:rPr>
                <w:b/>
                <w:bCs/>
                <w:noProof/>
                <w:color w:val="000000" w:themeColor="text1"/>
                <w:sz w:val="16"/>
                <w:szCs w:val="16"/>
              </w:rPr>
            </w:pPr>
            <w:r w:rsidRPr="00253C15">
              <w:rPr>
                <w:b/>
                <w:noProof/>
                <w:color w:val="000000" w:themeColor="text1"/>
                <w:sz w:val="16"/>
              </w:rPr>
              <w:t>0,000</w:t>
            </w:r>
          </w:p>
        </w:tc>
      </w:tr>
      <w:tr w:rsidR="00693ED0" w:rsidRPr="00253C15" w:rsidTr="00840ADF">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693ED0" w:rsidRPr="00253C15" w:rsidRDefault="00693ED0">
            <w:pPr>
              <w:spacing w:before="0" w:after="0"/>
              <w:jc w:val="center"/>
              <w:rPr>
                <w:b/>
                <w:bCs/>
                <w:noProof/>
                <w:color w:val="000000" w:themeColor="text1"/>
                <w:sz w:val="16"/>
                <w:szCs w:val="16"/>
              </w:rPr>
            </w:pPr>
            <w:r w:rsidRPr="00253C15">
              <w:rPr>
                <w:b/>
                <w:noProof/>
                <w:color w:val="000000" w:themeColor="text1"/>
                <w:sz w:val="16"/>
              </w:rPr>
              <w:t>Zwischensumme außerhalb der RUBRIK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253C15" w:rsidRDefault="00693ED0">
            <w:pPr>
              <w:spacing w:before="0" w:after="0"/>
              <w:jc w:val="right"/>
              <w:rPr>
                <w:b/>
                <w:bCs/>
                <w:noProof/>
                <w:color w:val="000000" w:themeColor="text1"/>
                <w:sz w:val="16"/>
                <w:szCs w:val="16"/>
              </w:rPr>
            </w:pPr>
            <w:r w:rsidRPr="00253C15">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253C15" w:rsidRDefault="00693ED0">
            <w:pPr>
              <w:spacing w:before="0" w:after="0"/>
              <w:jc w:val="right"/>
              <w:rPr>
                <w:b/>
                <w:bCs/>
                <w:noProof/>
                <w:color w:val="000000" w:themeColor="text1"/>
                <w:sz w:val="16"/>
                <w:szCs w:val="16"/>
              </w:rPr>
            </w:pPr>
            <w:r w:rsidRPr="00253C15">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253C15" w:rsidRDefault="00693ED0">
            <w:pPr>
              <w:spacing w:before="0" w:after="0"/>
              <w:jc w:val="right"/>
              <w:rPr>
                <w:b/>
                <w:bCs/>
                <w:noProof/>
                <w:color w:val="000000" w:themeColor="text1"/>
                <w:sz w:val="16"/>
                <w:szCs w:val="16"/>
              </w:rPr>
            </w:pPr>
            <w:r w:rsidRPr="00253C15">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253C15" w:rsidRDefault="00693ED0">
            <w:pPr>
              <w:spacing w:before="0" w:after="0"/>
              <w:jc w:val="right"/>
              <w:rPr>
                <w:b/>
                <w:bCs/>
                <w:noProof/>
                <w:color w:val="000000" w:themeColor="text1"/>
                <w:sz w:val="16"/>
                <w:szCs w:val="16"/>
              </w:rPr>
            </w:pPr>
            <w:r w:rsidRPr="00253C15">
              <w:rPr>
                <w:b/>
                <w:noProof/>
                <w:color w:val="000000" w:themeColor="text1"/>
                <w:sz w:val="16"/>
              </w:rPr>
              <w:t>0,000</w:t>
            </w:r>
          </w:p>
        </w:tc>
        <w:tc>
          <w:tcPr>
            <w:tcW w:w="14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253C15" w:rsidRDefault="00693ED0">
            <w:pPr>
              <w:spacing w:before="0" w:after="0"/>
              <w:jc w:val="right"/>
              <w:rPr>
                <w:b/>
                <w:bCs/>
                <w:noProof/>
                <w:color w:val="000000" w:themeColor="text1"/>
                <w:sz w:val="16"/>
                <w:szCs w:val="16"/>
              </w:rPr>
            </w:pPr>
            <w:r w:rsidRPr="00253C15">
              <w:rPr>
                <w:b/>
                <w:noProof/>
                <w:color w:val="000000" w:themeColor="text1"/>
                <w:sz w:val="16"/>
              </w:rPr>
              <w:t>0,000</w:t>
            </w:r>
          </w:p>
        </w:tc>
      </w:tr>
      <w:tr w:rsidR="00693ED0" w:rsidRPr="00253C15" w:rsidTr="00840ADF">
        <w:trPr>
          <w:trHeight w:val="300"/>
        </w:trPr>
        <w:tc>
          <w:tcPr>
            <w:tcW w:w="8046"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253C15" w:rsidRDefault="00693ED0">
            <w:pPr>
              <w:spacing w:before="0" w:after="0"/>
              <w:jc w:val="center"/>
              <w:rPr>
                <w:noProof/>
                <w:color w:val="000000" w:themeColor="text1"/>
                <w:sz w:val="16"/>
                <w:szCs w:val="16"/>
              </w:rPr>
            </w:pPr>
            <w:r w:rsidRPr="00253C15">
              <w:rPr>
                <w:noProof/>
                <w:color w:val="000000" w:themeColor="text1"/>
                <w:sz w:val="16"/>
              </w:rPr>
              <w:t xml:space="preserve"> </w:t>
            </w:r>
          </w:p>
        </w:tc>
      </w:tr>
      <w:tr w:rsidR="00693ED0" w:rsidRPr="00253C15" w:rsidTr="00840ADF">
        <w:trPr>
          <w:trHeight w:val="315"/>
        </w:trPr>
        <w:tc>
          <w:tcPr>
            <w:tcW w:w="3214" w:type="dxa"/>
            <w:tcBorders>
              <w:top w:val="single" w:sz="8" w:space="0" w:color="auto"/>
              <w:left w:val="single" w:sz="12" w:space="0" w:color="auto"/>
              <w:bottom w:val="single" w:sz="12" w:space="0" w:color="auto"/>
              <w:right w:val="single" w:sz="8" w:space="0" w:color="auto"/>
            </w:tcBorders>
            <w:tcMar>
              <w:left w:w="108" w:type="dxa"/>
              <w:right w:w="108" w:type="dxa"/>
            </w:tcMar>
            <w:vAlign w:val="center"/>
          </w:tcPr>
          <w:p w:rsidR="00693ED0" w:rsidRPr="00253C15" w:rsidRDefault="00693ED0">
            <w:pPr>
              <w:spacing w:before="0" w:after="0"/>
              <w:jc w:val="center"/>
              <w:rPr>
                <w:b/>
                <w:bCs/>
                <w:noProof/>
                <w:color w:val="000000" w:themeColor="text1"/>
                <w:sz w:val="16"/>
                <w:szCs w:val="16"/>
              </w:rPr>
            </w:pPr>
            <w:r w:rsidRPr="00253C15">
              <w:rPr>
                <w:b/>
                <w:noProof/>
                <w:color w:val="000000" w:themeColor="text1"/>
                <w:sz w:val="16"/>
              </w:rPr>
              <w:t>INSGESAMT</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253C15" w:rsidRDefault="00693ED0">
            <w:pPr>
              <w:spacing w:before="0" w:after="0"/>
              <w:jc w:val="right"/>
              <w:rPr>
                <w:b/>
                <w:bCs/>
                <w:noProof/>
                <w:color w:val="000000" w:themeColor="text1"/>
                <w:sz w:val="16"/>
                <w:szCs w:val="16"/>
              </w:rPr>
            </w:pPr>
            <w:r w:rsidRPr="00253C15">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253C15" w:rsidRDefault="00693ED0">
            <w:pPr>
              <w:spacing w:before="0" w:after="0"/>
              <w:jc w:val="right"/>
              <w:rPr>
                <w:b/>
                <w:bCs/>
                <w:noProof/>
                <w:color w:val="000000" w:themeColor="text1"/>
                <w:sz w:val="16"/>
                <w:szCs w:val="16"/>
              </w:rPr>
            </w:pPr>
            <w:r w:rsidRPr="00253C15">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253C15" w:rsidRDefault="00693ED0">
            <w:pPr>
              <w:spacing w:before="0" w:after="0"/>
              <w:jc w:val="right"/>
              <w:rPr>
                <w:b/>
                <w:bCs/>
                <w:noProof/>
                <w:color w:val="000000" w:themeColor="text1"/>
                <w:sz w:val="16"/>
                <w:szCs w:val="16"/>
              </w:rPr>
            </w:pPr>
            <w:r w:rsidRPr="00253C15">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253C15" w:rsidRDefault="00693ED0">
            <w:pPr>
              <w:spacing w:before="0" w:after="0"/>
              <w:jc w:val="right"/>
              <w:rPr>
                <w:b/>
                <w:bCs/>
                <w:noProof/>
                <w:color w:val="000000" w:themeColor="text1"/>
                <w:sz w:val="16"/>
                <w:szCs w:val="16"/>
              </w:rPr>
            </w:pPr>
            <w:r w:rsidRPr="00253C15">
              <w:rPr>
                <w:b/>
                <w:noProof/>
                <w:color w:val="000000" w:themeColor="text1"/>
                <w:sz w:val="16"/>
              </w:rPr>
              <w:t>0,000</w:t>
            </w:r>
          </w:p>
        </w:tc>
        <w:tc>
          <w:tcPr>
            <w:tcW w:w="1492"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253C15" w:rsidRDefault="00693ED0">
            <w:pPr>
              <w:spacing w:before="0" w:after="0"/>
              <w:jc w:val="right"/>
              <w:rPr>
                <w:b/>
                <w:bCs/>
                <w:noProof/>
                <w:color w:val="000000" w:themeColor="text1"/>
                <w:sz w:val="16"/>
                <w:szCs w:val="16"/>
              </w:rPr>
            </w:pPr>
            <w:r w:rsidRPr="00253C15">
              <w:rPr>
                <w:b/>
                <w:noProof/>
                <w:color w:val="000000" w:themeColor="text1"/>
                <w:sz w:val="16"/>
              </w:rPr>
              <w:t>0,000</w:t>
            </w:r>
          </w:p>
        </w:tc>
      </w:tr>
    </w:tbl>
    <w:p w:rsidR="00693ED0" w:rsidRPr="00253C15" w:rsidRDefault="00693ED0" w:rsidP="00693ED0">
      <w:pPr>
        <w:pStyle w:val="ManualHeading3"/>
        <w:rPr>
          <w:noProof/>
        </w:rPr>
      </w:pPr>
      <w:bookmarkStart w:id="174" w:name="_Toc514938056"/>
      <w:bookmarkStart w:id="175" w:name="_Toc520485055"/>
      <w:bookmarkStart w:id="176" w:name="_Toc160804599"/>
      <w:bookmarkStart w:id="177" w:name="_Toc167220298"/>
      <w:bookmarkStart w:id="178" w:name="_Toc177549032"/>
      <w:bookmarkEnd w:id="172"/>
      <w:r w:rsidRPr="00253C15">
        <w:rPr>
          <w:noProof/>
        </w:rPr>
        <w:t>3.2.6.</w:t>
      </w:r>
      <w:r w:rsidRPr="00253C15">
        <w:rPr>
          <w:noProof/>
        </w:rPr>
        <w:tab/>
        <w:t>Vereinbarkeit mit dem derzeitigen Mehrjährigen Finanzrahmen</w:t>
      </w:r>
      <w:bookmarkEnd w:id="174"/>
      <w:bookmarkEnd w:id="175"/>
      <w:bookmarkEnd w:id="176"/>
      <w:bookmarkEnd w:id="177"/>
      <w:bookmarkEnd w:id="178"/>
      <w:r w:rsidRPr="00253C15">
        <w:rPr>
          <w:noProof/>
        </w:rPr>
        <w:t xml:space="preserve"> </w:t>
      </w:r>
    </w:p>
    <w:p w:rsidR="00693ED0" w:rsidRPr="00253C15" w:rsidRDefault="00693ED0" w:rsidP="00693ED0">
      <w:pPr>
        <w:pStyle w:val="Text1"/>
        <w:rPr>
          <w:noProof/>
        </w:rPr>
      </w:pPr>
      <w:r w:rsidRPr="00253C15">
        <w:rPr>
          <w:noProof/>
        </w:rPr>
        <w:t>Der Vorschlag/Die Initiative</w:t>
      </w:r>
    </w:p>
    <w:p w:rsidR="00693ED0" w:rsidRPr="00253C15" w:rsidRDefault="00693ED0" w:rsidP="00693ED0">
      <w:pPr>
        <w:pStyle w:val="ListDash1"/>
        <w:rPr>
          <w:noProof/>
        </w:rPr>
      </w:pPr>
      <w:r w:rsidRPr="00253C15">
        <w:rPr>
          <w:rFonts w:ascii="Wingdings" w:hAnsi="Wingdings"/>
          <w:noProof/>
        </w:rPr>
        <w:t></w:t>
      </w:r>
      <w:r w:rsidRPr="00253C15">
        <w:rPr>
          <w:noProof/>
        </w:rPr>
        <w:tab/>
        <w:t>kann durch Umschichtungen innerhalb der entsprechenden Rubrik des Mehrjährigen Finanzrahmens (MFR) in voller Höhe finanziert werden.</w:t>
      </w:r>
    </w:p>
    <w:p w:rsidR="00693ED0" w:rsidRPr="00253C15" w:rsidRDefault="007D2643" w:rsidP="00693ED0">
      <w:pPr>
        <w:pStyle w:val="Text1"/>
        <w:pBdr>
          <w:top w:val="single" w:sz="4" w:space="1" w:color="auto"/>
          <w:left w:val="single" w:sz="4" w:space="4" w:color="auto"/>
          <w:bottom w:val="single" w:sz="4" w:space="1" w:color="auto"/>
          <w:right w:val="single" w:sz="4" w:space="4" w:color="auto"/>
        </w:pBdr>
        <w:rPr>
          <w:noProof/>
        </w:rPr>
      </w:pPr>
      <w:r w:rsidRPr="00253C15">
        <w:rPr>
          <w:noProof/>
        </w:rPr>
        <w:t>Entfällt.</w:t>
      </w:r>
    </w:p>
    <w:p w:rsidR="00693ED0" w:rsidRPr="00253C15" w:rsidRDefault="00693ED0" w:rsidP="00693ED0">
      <w:pPr>
        <w:pStyle w:val="ListDash1"/>
        <w:rPr>
          <w:noProof/>
        </w:rPr>
      </w:pPr>
      <w:r w:rsidRPr="00253C15">
        <w:rPr>
          <w:rFonts w:ascii="Wingdings" w:hAnsi="Wingdings"/>
          <w:noProof/>
        </w:rPr>
        <w:t></w:t>
      </w:r>
      <w:r w:rsidRPr="00253C15">
        <w:rPr>
          <w:noProof/>
        </w:rPr>
        <w:tab/>
        <w:t>erfordert die Inanspruchnahme des verbleibenden Spielraums unter der einschlägigen Rubrik des MFR und/oder den Einsatz der besonderen Instrumente im Sinne der MFR-Verordnung.</w:t>
      </w:r>
    </w:p>
    <w:p w:rsidR="00693ED0" w:rsidRPr="00253C15" w:rsidRDefault="007D2643" w:rsidP="00693ED0">
      <w:pPr>
        <w:pStyle w:val="Text1"/>
        <w:pBdr>
          <w:top w:val="single" w:sz="4" w:space="0" w:color="auto"/>
          <w:left w:val="single" w:sz="4" w:space="4" w:color="auto"/>
          <w:bottom w:val="single" w:sz="4" w:space="1" w:color="auto"/>
          <w:right w:val="single" w:sz="4" w:space="4" w:color="auto"/>
        </w:pBdr>
        <w:rPr>
          <w:noProof/>
        </w:rPr>
      </w:pPr>
      <w:r w:rsidRPr="00253C15">
        <w:rPr>
          <w:noProof/>
        </w:rPr>
        <w:t>Entfällt.</w:t>
      </w:r>
    </w:p>
    <w:p w:rsidR="00693ED0" w:rsidRPr="00253C15" w:rsidRDefault="00693ED0" w:rsidP="00693ED0">
      <w:pPr>
        <w:pStyle w:val="ListDash1"/>
        <w:rPr>
          <w:noProof/>
        </w:rPr>
      </w:pPr>
      <w:r w:rsidRPr="00253C15">
        <w:rPr>
          <w:rFonts w:ascii="Wingdings" w:hAnsi="Wingdings"/>
          <w:noProof/>
        </w:rPr>
        <w:t></w:t>
      </w:r>
      <w:r w:rsidRPr="00253C15">
        <w:rPr>
          <w:noProof/>
        </w:rPr>
        <w:tab/>
        <w:t>erfordert eine Änderung des MFR.</w:t>
      </w:r>
    </w:p>
    <w:p w:rsidR="00693ED0" w:rsidRPr="00253C15" w:rsidRDefault="007D2643" w:rsidP="00693ED0">
      <w:pPr>
        <w:pStyle w:val="Text1"/>
        <w:pBdr>
          <w:top w:val="single" w:sz="4" w:space="1" w:color="auto"/>
          <w:left w:val="single" w:sz="4" w:space="4" w:color="auto"/>
          <w:bottom w:val="single" w:sz="4" w:space="1" w:color="auto"/>
          <w:right w:val="single" w:sz="4" w:space="4" w:color="auto"/>
        </w:pBdr>
        <w:rPr>
          <w:noProof/>
        </w:rPr>
      </w:pPr>
      <w:r w:rsidRPr="00253C15">
        <w:rPr>
          <w:noProof/>
        </w:rPr>
        <w:t>Entfällt.</w:t>
      </w:r>
    </w:p>
    <w:p w:rsidR="00693ED0" w:rsidRPr="00253C15" w:rsidRDefault="00693ED0" w:rsidP="00693ED0">
      <w:pPr>
        <w:pStyle w:val="ManualHeading3"/>
        <w:rPr>
          <w:noProof/>
        </w:rPr>
      </w:pPr>
      <w:bookmarkStart w:id="179" w:name="_Toc514938058"/>
      <w:bookmarkStart w:id="180" w:name="_Toc520485056"/>
      <w:bookmarkStart w:id="181" w:name="_Toc160804600"/>
      <w:bookmarkStart w:id="182" w:name="_Toc167220299"/>
      <w:bookmarkStart w:id="183" w:name="_Toc177549033"/>
      <w:r w:rsidRPr="00253C15">
        <w:rPr>
          <w:noProof/>
        </w:rPr>
        <w:t>3.2.7.</w:t>
      </w:r>
      <w:r w:rsidRPr="00253C15">
        <w:rPr>
          <w:noProof/>
        </w:rPr>
        <w:tab/>
        <w:t>Beiträge Dritter</w:t>
      </w:r>
      <w:bookmarkEnd w:id="179"/>
      <w:bookmarkEnd w:id="180"/>
      <w:bookmarkEnd w:id="181"/>
      <w:bookmarkEnd w:id="182"/>
      <w:bookmarkEnd w:id="183"/>
      <w:r w:rsidRPr="00253C15">
        <w:rPr>
          <w:noProof/>
        </w:rPr>
        <w:t xml:space="preserve"> </w:t>
      </w:r>
    </w:p>
    <w:p w:rsidR="00693ED0" w:rsidRPr="00253C15" w:rsidRDefault="00693ED0" w:rsidP="00693ED0">
      <w:pPr>
        <w:pStyle w:val="Text1"/>
        <w:rPr>
          <w:noProof/>
        </w:rPr>
      </w:pPr>
      <w:r w:rsidRPr="00253C15">
        <w:rPr>
          <w:noProof/>
        </w:rPr>
        <w:t>Der Vorschlag/Die Initiative</w:t>
      </w:r>
    </w:p>
    <w:p w:rsidR="00693ED0" w:rsidRPr="00253C15" w:rsidRDefault="00693ED0" w:rsidP="00693ED0">
      <w:pPr>
        <w:pStyle w:val="ListDash1"/>
        <w:rPr>
          <w:noProof/>
        </w:rPr>
      </w:pPr>
      <w:r w:rsidRPr="00253C15">
        <w:rPr>
          <w:rFonts w:ascii="Wingdings" w:hAnsi="Wingdings"/>
          <w:noProof/>
        </w:rPr>
        <w:t></w:t>
      </w:r>
      <w:r w:rsidRPr="00253C15">
        <w:rPr>
          <w:noProof/>
        </w:rPr>
        <w:tab/>
        <w:t>sieht keine Kofinanzierung durch Dritte vor.</w:t>
      </w:r>
    </w:p>
    <w:p w:rsidR="00693ED0" w:rsidRPr="00253C15" w:rsidRDefault="00693ED0" w:rsidP="00693ED0">
      <w:pPr>
        <w:pStyle w:val="ListDash1"/>
        <w:rPr>
          <w:noProof/>
        </w:rPr>
      </w:pPr>
      <w:r w:rsidRPr="00253C15">
        <w:rPr>
          <w:rFonts w:ascii="Wingdings" w:hAnsi="Wingdings"/>
          <w:noProof/>
        </w:rPr>
        <w:t></w:t>
      </w:r>
      <w:r w:rsidRPr="00253C15">
        <w:rPr>
          <w:noProof/>
        </w:rPr>
        <w:tab/>
        <w:t>sieht folgende Kofinanzierung durch Dritte vor:</w:t>
      </w:r>
    </w:p>
    <w:p w:rsidR="00693ED0" w:rsidRPr="00253C15" w:rsidRDefault="00693ED0" w:rsidP="00693ED0">
      <w:pPr>
        <w:jc w:val="right"/>
        <w:rPr>
          <w:noProof/>
          <w:sz w:val="20"/>
        </w:rPr>
      </w:pPr>
      <w:r w:rsidRPr="00253C15">
        <w:rPr>
          <w:noProof/>
          <w:sz w:val="20"/>
        </w:rPr>
        <w:t>Mittel in Mio. EUR (3 Dezimalstellen)</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9"/>
        <w:gridCol w:w="1217"/>
        <w:gridCol w:w="1217"/>
        <w:gridCol w:w="1217"/>
        <w:gridCol w:w="1217"/>
        <w:gridCol w:w="1462"/>
      </w:tblGrid>
      <w:tr w:rsidR="00693ED0" w:rsidRPr="00253C15">
        <w:trPr>
          <w:cantSplit/>
        </w:trPr>
        <w:tc>
          <w:tcPr>
            <w:tcW w:w="1591" w:type="pct"/>
          </w:tcPr>
          <w:p w:rsidR="00693ED0" w:rsidRPr="00253C15" w:rsidRDefault="00693ED0">
            <w:pPr>
              <w:spacing w:before="60" w:after="60"/>
              <w:rPr>
                <w:noProof/>
                <w:sz w:val="20"/>
              </w:rPr>
            </w:pPr>
          </w:p>
        </w:tc>
        <w:tc>
          <w:tcPr>
            <w:tcW w:w="655" w:type="pct"/>
            <w:vAlign w:val="center"/>
          </w:tcPr>
          <w:p w:rsidR="00693ED0" w:rsidRPr="00253C15" w:rsidRDefault="00693ED0">
            <w:pPr>
              <w:jc w:val="center"/>
              <w:rPr>
                <w:noProof/>
                <w:sz w:val="20"/>
              </w:rPr>
            </w:pPr>
            <w:r w:rsidRPr="00253C15">
              <w:rPr>
                <w:noProof/>
                <w:sz w:val="20"/>
              </w:rPr>
              <w:t xml:space="preserve">Jahr </w:t>
            </w:r>
            <w:r w:rsidRPr="00253C15">
              <w:rPr>
                <w:noProof/>
              </w:rPr>
              <w:cr/>
            </w:r>
            <w:r w:rsidRPr="00253C15">
              <w:rPr>
                <w:noProof/>
              </w:rPr>
              <w:br/>
            </w:r>
            <w:r w:rsidRPr="00253C15">
              <w:rPr>
                <w:b/>
                <w:noProof/>
                <w:sz w:val="20"/>
              </w:rPr>
              <w:t>2024</w:t>
            </w:r>
          </w:p>
        </w:tc>
        <w:tc>
          <w:tcPr>
            <w:tcW w:w="655" w:type="pct"/>
            <w:vAlign w:val="center"/>
          </w:tcPr>
          <w:p w:rsidR="00693ED0" w:rsidRPr="00253C15" w:rsidRDefault="00693ED0">
            <w:pPr>
              <w:jc w:val="center"/>
              <w:rPr>
                <w:noProof/>
                <w:sz w:val="20"/>
              </w:rPr>
            </w:pPr>
            <w:r w:rsidRPr="00253C15">
              <w:rPr>
                <w:noProof/>
                <w:sz w:val="20"/>
              </w:rPr>
              <w:t xml:space="preserve">Jahr </w:t>
            </w:r>
            <w:r w:rsidRPr="00253C15">
              <w:rPr>
                <w:noProof/>
              </w:rPr>
              <w:cr/>
            </w:r>
            <w:r w:rsidRPr="00253C15">
              <w:rPr>
                <w:noProof/>
              </w:rPr>
              <w:br/>
            </w:r>
            <w:r w:rsidRPr="00253C15">
              <w:rPr>
                <w:b/>
                <w:noProof/>
                <w:sz w:val="20"/>
              </w:rPr>
              <w:t>2025</w:t>
            </w:r>
          </w:p>
        </w:tc>
        <w:tc>
          <w:tcPr>
            <w:tcW w:w="655" w:type="pct"/>
            <w:vAlign w:val="center"/>
          </w:tcPr>
          <w:p w:rsidR="00693ED0" w:rsidRPr="00253C15" w:rsidRDefault="00693ED0">
            <w:pPr>
              <w:jc w:val="center"/>
              <w:rPr>
                <w:noProof/>
                <w:sz w:val="20"/>
              </w:rPr>
            </w:pPr>
            <w:r w:rsidRPr="00253C15">
              <w:rPr>
                <w:noProof/>
                <w:sz w:val="20"/>
              </w:rPr>
              <w:t xml:space="preserve">Jahr </w:t>
            </w:r>
            <w:r w:rsidRPr="00253C15">
              <w:rPr>
                <w:noProof/>
              </w:rPr>
              <w:cr/>
            </w:r>
            <w:r w:rsidRPr="00253C15">
              <w:rPr>
                <w:noProof/>
              </w:rPr>
              <w:br/>
            </w:r>
            <w:r w:rsidRPr="00253C15">
              <w:rPr>
                <w:b/>
                <w:noProof/>
                <w:sz w:val="20"/>
              </w:rPr>
              <w:t>2026</w:t>
            </w:r>
          </w:p>
        </w:tc>
        <w:tc>
          <w:tcPr>
            <w:tcW w:w="655" w:type="pct"/>
            <w:vAlign w:val="center"/>
          </w:tcPr>
          <w:p w:rsidR="00693ED0" w:rsidRPr="00253C15" w:rsidRDefault="00693ED0">
            <w:pPr>
              <w:jc w:val="center"/>
              <w:rPr>
                <w:noProof/>
                <w:sz w:val="20"/>
              </w:rPr>
            </w:pPr>
            <w:r w:rsidRPr="00253C15">
              <w:rPr>
                <w:noProof/>
                <w:sz w:val="20"/>
              </w:rPr>
              <w:t xml:space="preserve">Jahr </w:t>
            </w:r>
            <w:r w:rsidRPr="00253C15">
              <w:rPr>
                <w:noProof/>
              </w:rPr>
              <w:cr/>
            </w:r>
            <w:r w:rsidRPr="00253C15">
              <w:rPr>
                <w:noProof/>
              </w:rPr>
              <w:br/>
            </w:r>
            <w:r w:rsidRPr="00253C15">
              <w:rPr>
                <w:b/>
                <w:noProof/>
                <w:sz w:val="20"/>
              </w:rPr>
              <w:t>2027</w:t>
            </w:r>
          </w:p>
        </w:tc>
        <w:tc>
          <w:tcPr>
            <w:tcW w:w="787" w:type="pct"/>
            <w:vAlign w:val="center"/>
          </w:tcPr>
          <w:p w:rsidR="00693ED0" w:rsidRPr="00253C15" w:rsidRDefault="00693ED0">
            <w:pPr>
              <w:spacing w:before="60" w:after="60"/>
              <w:jc w:val="center"/>
              <w:rPr>
                <w:noProof/>
                <w:sz w:val="20"/>
              </w:rPr>
            </w:pPr>
            <w:r w:rsidRPr="00253C15">
              <w:rPr>
                <w:noProof/>
                <w:sz w:val="20"/>
              </w:rPr>
              <w:t>Insgesamt</w:t>
            </w:r>
          </w:p>
        </w:tc>
      </w:tr>
      <w:tr w:rsidR="00693ED0" w:rsidRPr="00253C15">
        <w:trPr>
          <w:cantSplit/>
        </w:trPr>
        <w:tc>
          <w:tcPr>
            <w:tcW w:w="1591" w:type="pct"/>
          </w:tcPr>
          <w:p w:rsidR="00693ED0" w:rsidRPr="00253C15" w:rsidRDefault="00693ED0">
            <w:pPr>
              <w:rPr>
                <w:noProof/>
              </w:rPr>
            </w:pPr>
            <w:r w:rsidRPr="00253C15">
              <w:rPr>
                <w:noProof/>
                <w:sz w:val="20"/>
              </w:rPr>
              <w:t>Kofinanzierende Einrichtung</w:t>
            </w:r>
            <w:r w:rsidRPr="00253C15">
              <w:rPr>
                <w:i/>
                <w:noProof/>
                <w:sz w:val="20"/>
              </w:rPr>
              <w:t xml:space="preserve"> </w:t>
            </w:r>
          </w:p>
        </w:tc>
        <w:tc>
          <w:tcPr>
            <w:tcW w:w="655" w:type="pct"/>
            <w:vAlign w:val="center"/>
          </w:tcPr>
          <w:p w:rsidR="00693ED0" w:rsidRPr="00253C15" w:rsidRDefault="00693ED0">
            <w:pPr>
              <w:spacing w:before="60" w:after="60"/>
              <w:jc w:val="center"/>
              <w:rPr>
                <w:noProof/>
                <w:sz w:val="20"/>
              </w:rPr>
            </w:pPr>
          </w:p>
        </w:tc>
        <w:tc>
          <w:tcPr>
            <w:tcW w:w="655" w:type="pct"/>
            <w:vAlign w:val="center"/>
          </w:tcPr>
          <w:p w:rsidR="00693ED0" w:rsidRPr="00253C15" w:rsidRDefault="00693ED0">
            <w:pPr>
              <w:spacing w:before="60" w:after="60"/>
              <w:jc w:val="center"/>
              <w:rPr>
                <w:noProof/>
                <w:sz w:val="20"/>
              </w:rPr>
            </w:pPr>
          </w:p>
        </w:tc>
        <w:tc>
          <w:tcPr>
            <w:tcW w:w="655" w:type="pct"/>
            <w:vAlign w:val="center"/>
          </w:tcPr>
          <w:p w:rsidR="00693ED0" w:rsidRPr="00253C15" w:rsidRDefault="00693ED0">
            <w:pPr>
              <w:spacing w:before="60" w:after="60"/>
              <w:jc w:val="center"/>
              <w:rPr>
                <w:noProof/>
                <w:sz w:val="20"/>
              </w:rPr>
            </w:pPr>
          </w:p>
        </w:tc>
        <w:tc>
          <w:tcPr>
            <w:tcW w:w="655" w:type="pct"/>
            <w:vAlign w:val="center"/>
          </w:tcPr>
          <w:p w:rsidR="00693ED0" w:rsidRPr="00253C15" w:rsidRDefault="00693ED0">
            <w:pPr>
              <w:spacing w:before="60" w:after="60"/>
              <w:jc w:val="center"/>
              <w:rPr>
                <w:noProof/>
                <w:sz w:val="20"/>
              </w:rPr>
            </w:pPr>
          </w:p>
        </w:tc>
        <w:tc>
          <w:tcPr>
            <w:tcW w:w="787" w:type="pct"/>
            <w:vAlign w:val="center"/>
          </w:tcPr>
          <w:p w:rsidR="00693ED0" w:rsidRPr="00253C15" w:rsidRDefault="00693ED0">
            <w:pPr>
              <w:spacing w:before="60" w:after="60"/>
              <w:jc w:val="center"/>
              <w:rPr>
                <w:noProof/>
                <w:sz w:val="20"/>
              </w:rPr>
            </w:pPr>
          </w:p>
        </w:tc>
      </w:tr>
      <w:tr w:rsidR="00693ED0" w:rsidRPr="00253C15">
        <w:trPr>
          <w:cantSplit/>
        </w:trPr>
        <w:tc>
          <w:tcPr>
            <w:tcW w:w="1591" w:type="pct"/>
          </w:tcPr>
          <w:p w:rsidR="00693ED0" w:rsidRPr="00253C15" w:rsidRDefault="00693ED0">
            <w:pPr>
              <w:spacing w:before="60" w:after="60"/>
              <w:jc w:val="left"/>
              <w:rPr>
                <w:noProof/>
                <w:sz w:val="20"/>
              </w:rPr>
            </w:pPr>
            <w:r w:rsidRPr="00253C15">
              <w:rPr>
                <w:noProof/>
                <w:sz w:val="20"/>
              </w:rPr>
              <w:t xml:space="preserve">Kofinanzierung INSGESAMT </w:t>
            </w:r>
          </w:p>
        </w:tc>
        <w:tc>
          <w:tcPr>
            <w:tcW w:w="655" w:type="pct"/>
            <w:vAlign w:val="center"/>
          </w:tcPr>
          <w:p w:rsidR="00693ED0" w:rsidRPr="00253C15" w:rsidRDefault="00693ED0">
            <w:pPr>
              <w:spacing w:before="60" w:after="60"/>
              <w:jc w:val="center"/>
              <w:rPr>
                <w:noProof/>
                <w:sz w:val="20"/>
              </w:rPr>
            </w:pPr>
          </w:p>
        </w:tc>
        <w:tc>
          <w:tcPr>
            <w:tcW w:w="655" w:type="pct"/>
            <w:vAlign w:val="center"/>
          </w:tcPr>
          <w:p w:rsidR="00693ED0" w:rsidRPr="00253C15" w:rsidRDefault="00693ED0">
            <w:pPr>
              <w:spacing w:before="60" w:after="60"/>
              <w:jc w:val="center"/>
              <w:rPr>
                <w:noProof/>
                <w:sz w:val="20"/>
              </w:rPr>
            </w:pPr>
          </w:p>
        </w:tc>
        <w:tc>
          <w:tcPr>
            <w:tcW w:w="655" w:type="pct"/>
            <w:vAlign w:val="center"/>
          </w:tcPr>
          <w:p w:rsidR="00693ED0" w:rsidRPr="00253C15" w:rsidRDefault="00693ED0">
            <w:pPr>
              <w:spacing w:before="60" w:after="60"/>
              <w:jc w:val="center"/>
              <w:rPr>
                <w:noProof/>
                <w:sz w:val="20"/>
              </w:rPr>
            </w:pPr>
          </w:p>
        </w:tc>
        <w:tc>
          <w:tcPr>
            <w:tcW w:w="655" w:type="pct"/>
            <w:vAlign w:val="center"/>
          </w:tcPr>
          <w:p w:rsidR="00693ED0" w:rsidRPr="00253C15" w:rsidRDefault="00693ED0">
            <w:pPr>
              <w:spacing w:before="60" w:after="60"/>
              <w:jc w:val="center"/>
              <w:rPr>
                <w:noProof/>
                <w:sz w:val="20"/>
              </w:rPr>
            </w:pPr>
          </w:p>
        </w:tc>
        <w:tc>
          <w:tcPr>
            <w:tcW w:w="787" w:type="pct"/>
            <w:vAlign w:val="center"/>
          </w:tcPr>
          <w:p w:rsidR="00693ED0" w:rsidRPr="00253C15" w:rsidRDefault="00693ED0">
            <w:pPr>
              <w:spacing w:before="60" w:after="60"/>
              <w:jc w:val="center"/>
              <w:rPr>
                <w:noProof/>
                <w:sz w:val="20"/>
              </w:rPr>
            </w:pPr>
          </w:p>
        </w:tc>
      </w:tr>
    </w:tbl>
    <w:p w:rsidR="00693ED0" w:rsidRPr="00253C15" w:rsidRDefault="00693ED0" w:rsidP="00693ED0">
      <w:pPr>
        <w:outlineLvl w:val="1"/>
        <w:rPr>
          <w:noProof/>
          <w:szCs w:val="24"/>
        </w:rPr>
      </w:pPr>
      <w:r w:rsidRPr="00253C15">
        <w:rPr>
          <w:noProof/>
        </w:rPr>
        <w:t xml:space="preserve"> </w:t>
      </w:r>
      <w:r w:rsidRPr="00253C15">
        <w:rPr>
          <w:noProof/>
        </w:rPr>
        <w:br/>
      </w:r>
      <w:bookmarkStart w:id="184" w:name="_Toc514938059"/>
      <w:bookmarkStart w:id="185" w:name="_Toc520485057"/>
      <w:bookmarkStart w:id="186" w:name="_Toc160804602"/>
      <w:bookmarkStart w:id="187" w:name="_Toc167220300"/>
      <w:bookmarkStart w:id="188" w:name="_Toc177549034"/>
      <w:bookmarkStart w:id="189" w:name="_Hlk166860179"/>
      <w:r w:rsidRPr="00253C15">
        <w:rPr>
          <w:noProof/>
        </w:rPr>
        <w:t>3.3.</w:t>
      </w:r>
      <w:r w:rsidRPr="00253C15">
        <w:rPr>
          <w:noProof/>
        </w:rPr>
        <w:tab/>
        <w:t>Geschätzte Auswirkungen auf die Einnahmen</w:t>
      </w:r>
      <w:bookmarkEnd w:id="184"/>
      <w:bookmarkEnd w:id="185"/>
      <w:bookmarkEnd w:id="186"/>
      <w:bookmarkEnd w:id="187"/>
      <w:bookmarkEnd w:id="188"/>
      <w:r w:rsidRPr="00253C15">
        <w:rPr>
          <w:noProof/>
        </w:rPr>
        <w:t xml:space="preserve"> </w:t>
      </w:r>
    </w:p>
    <w:bookmarkEnd w:id="189"/>
    <w:p w:rsidR="00693ED0" w:rsidRPr="00253C15" w:rsidRDefault="00693ED0" w:rsidP="00693ED0">
      <w:pPr>
        <w:pStyle w:val="ListDash1"/>
        <w:rPr>
          <w:noProof/>
        </w:rPr>
      </w:pPr>
      <w:r w:rsidRPr="00253C15">
        <w:rPr>
          <w:rFonts w:ascii="Wingdings" w:hAnsi="Wingdings"/>
          <w:noProof/>
        </w:rPr>
        <w:t></w:t>
      </w:r>
      <w:r w:rsidRPr="00253C15">
        <w:rPr>
          <w:noProof/>
        </w:rPr>
        <w:tab/>
        <w:t>Der Vorschlag/Die Initiative wirkt sich nicht auf die Einnahmen aus.</w:t>
      </w:r>
    </w:p>
    <w:p w:rsidR="00693ED0" w:rsidRPr="00253C15" w:rsidRDefault="00693ED0" w:rsidP="00693ED0">
      <w:pPr>
        <w:pStyle w:val="ListDash1"/>
        <w:rPr>
          <w:noProof/>
        </w:rPr>
      </w:pPr>
      <w:r w:rsidRPr="00253C15">
        <w:rPr>
          <w:rFonts w:ascii="Wingdings" w:hAnsi="Wingdings"/>
          <w:noProof/>
        </w:rPr>
        <w:t></w:t>
      </w:r>
      <w:r w:rsidRPr="00253C15">
        <w:rPr>
          <w:noProof/>
        </w:rPr>
        <w:tab/>
        <w:t>Der Vorschlag/Die Initiative wirkt sich auf die Einnahmen aus, und zwar</w:t>
      </w:r>
    </w:p>
    <w:p w:rsidR="00693ED0" w:rsidRPr="00253C15" w:rsidRDefault="00693ED0" w:rsidP="00693ED0">
      <w:pPr>
        <w:pStyle w:val="ListNumberLevel3"/>
        <w:rPr>
          <w:noProof/>
        </w:rPr>
      </w:pPr>
      <w:r w:rsidRPr="00253C15">
        <w:rPr>
          <w:rFonts w:ascii="Wingdings" w:hAnsi="Wingdings"/>
          <w:noProof/>
        </w:rPr>
        <w:t></w:t>
      </w:r>
      <w:r w:rsidRPr="00253C15">
        <w:rPr>
          <w:noProof/>
        </w:rPr>
        <w:tab/>
        <w:t xml:space="preserve">auf die Eigenmittel </w:t>
      </w:r>
    </w:p>
    <w:p w:rsidR="00693ED0" w:rsidRPr="00253C15" w:rsidRDefault="00693ED0" w:rsidP="00693ED0">
      <w:pPr>
        <w:pStyle w:val="ListNumberLevel3"/>
        <w:rPr>
          <w:noProof/>
        </w:rPr>
      </w:pPr>
      <w:r w:rsidRPr="00253C15">
        <w:rPr>
          <w:rFonts w:ascii="Wingdings" w:hAnsi="Wingdings"/>
          <w:noProof/>
        </w:rPr>
        <w:t></w:t>
      </w:r>
      <w:r w:rsidRPr="00253C15">
        <w:rPr>
          <w:noProof/>
        </w:rPr>
        <w:tab/>
        <w:t>auf die übrigen Einnahmen</w:t>
      </w:r>
    </w:p>
    <w:p w:rsidR="00693ED0" w:rsidRPr="00253C15" w:rsidRDefault="00693ED0" w:rsidP="00693ED0">
      <w:pPr>
        <w:pStyle w:val="ListNumberLevel3"/>
        <w:rPr>
          <w:noProof/>
        </w:rPr>
      </w:pPr>
      <w:r w:rsidRPr="00253C15">
        <w:rPr>
          <w:rFonts w:ascii="Wingdings" w:hAnsi="Wingdings"/>
          <w:noProof/>
        </w:rPr>
        <w:t></w:t>
      </w:r>
      <w:r w:rsidRPr="00253C15">
        <w:rPr>
          <w:noProof/>
        </w:rPr>
        <w:tab/>
        <w:t>Bitte geben Sie an, ob die Einnahmen bestimmten Ausgabenlinien zugewiesen sind.</w:t>
      </w:r>
    </w:p>
    <w:p w:rsidR="00693ED0" w:rsidRPr="00253C15" w:rsidRDefault="00601BCE" w:rsidP="00693ED0">
      <w:pPr>
        <w:jc w:val="right"/>
        <w:rPr>
          <w:noProof/>
          <w:sz w:val="20"/>
        </w:rPr>
      </w:pPr>
      <w:r w:rsidRPr="00253C15">
        <w:rPr>
          <w:noProof/>
          <w:sz w:val="20"/>
        </w:rPr>
        <w:t xml:space="preserve">  in Mio. EUR (3 Dezimalstellen)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4"/>
        <w:gridCol w:w="1614"/>
        <w:gridCol w:w="1692"/>
        <w:gridCol w:w="1044"/>
        <w:gridCol w:w="1035"/>
        <w:gridCol w:w="1260"/>
      </w:tblGrid>
      <w:tr w:rsidR="00693ED0" w:rsidRPr="00253C15" w:rsidTr="17618B6F">
        <w:trPr>
          <w:trHeight w:val="388"/>
        </w:trPr>
        <w:tc>
          <w:tcPr>
            <w:tcW w:w="1423" w:type="pct"/>
            <w:vMerge w:val="restart"/>
            <w:vAlign w:val="center"/>
          </w:tcPr>
          <w:p w:rsidR="00693ED0" w:rsidRPr="00253C15" w:rsidRDefault="00693ED0">
            <w:pPr>
              <w:spacing w:before="40" w:after="40"/>
              <w:rPr>
                <w:noProof/>
                <w:sz w:val="18"/>
              </w:rPr>
            </w:pPr>
            <w:r w:rsidRPr="00253C15">
              <w:rPr>
                <w:noProof/>
                <w:sz w:val="18"/>
              </w:rPr>
              <w:t>Einnahmenlinie:</w:t>
            </w:r>
          </w:p>
        </w:tc>
        <w:tc>
          <w:tcPr>
            <w:tcW w:w="869" w:type="pct"/>
            <w:vMerge w:val="restart"/>
            <w:vAlign w:val="center"/>
          </w:tcPr>
          <w:p w:rsidR="00693ED0" w:rsidRPr="00253C15" w:rsidRDefault="00693ED0">
            <w:pPr>
              <w:jc w:val="center"/>
              <w:rPr>
                <w:noProof/>
                <w:sz w:val="18"/>
              </w:rPr>
            </w:pPr>
            <w:r w:rsidRPr="00253C15">
              <w:rPr>
                <w:noProof/>
                <w:sz w:val="18"/>
              </w:rPr>
              <w:t>Für das laufende Haushaltsjahr zur Verfügung stehende Mittel</w:t>
            </w:r>
          </w:p>
        </w:tc>
        <w:tc>
          <w:tcPr>
            <w:tcW w:w="2709" w:type="pct"/>
            <w:gridSpan w:val="4"/>
            <w:vAlign w:val="center"/>
          </w:tcPr>
          <w:p w:rsidR="00693ED0" w:rsidRPr="00253C15" w:rsidRDefault="00693ED0">
            <w:pPr>
              <w:jc w:val="center"/>
              <w:rPr>
                <w:noProof/>
                <w:sz w:val="18"/>
              </w:rPr>
            </w:pPr>
            <w:r w:rsidRPr="00253C15">
              <w:rPr>
                <w:noProof/>
                <w:sz w:val="18"/>
              </w:rPr>
              <w:t>Auswirkungen des Vorschlags/der Initiative</w:t>
            </w:r>
            <w:r w:rsidRPr="00253C15">
              <w:rPr>
                <w:rStyle w:val="FootnoteReference"/>
                <w:noProof/>
                <w:sz w:val="18"/>
                <w:szCs w:val="18"/>
              </w:rPr>
              <w:footnoteReference w:id="27"/>
            </w:r>
          </w:p>
        </w:tc>
      </w:tr>
      <w:tr w:rsidR="00693ED0" w:rsidRPr="00253C15" w:rsidTr="17618B6F">
        <w:trPr>
          <w:trHeight w:val="388"/>
        </w:trPr>
        <w:tc>
          <w:tcPr>
            <w:tcW w:w="1423" w:type="pct"/>
            <w:vMerge/>
          </w:tcPr>
          <w:p w:rsidR="00693ED0" w:rsidRPr="00253C15" w:rsidRDefault="00693ED0">
            <w:pPr>
              <w:spacing w:before="40" w:after="40"/>
              <w:rPr>
                <w:noProof/>
                <w:sz w:val="18"/>
              </w:rPr>
            </w:pPr>
          </w:p>
        </w:tc>
        <w:tc>
          <w:tcPr>
            <w:tcW w:w="869" w:type="pct"/>
            <w:vMerge/>
          </w:tcPr>
          <w:p w:rsidR="00693ED0" w:rsidRPr="00253C15" w:rsidRDefault="00693ED0">
            <w:pPr>
              <w:spacing w:beforeLines="40" w:before="96" w:afterLines="40" w:after="96"/>
              <w:rPr>
                <w:i/>
                <w:noProof/>
                <w:sz w:val="18"/>
              </w:rPr>
            </w:pPr>
          </w:p>
        </w:tc>
        <w:tc>
          <w:tcPr>
            <w:tcW w:w="911" w:type="pct"/>
            <w:vAlign w:val="center"/>
          </w:tcPr>
          <w:p w:rsidR="00693ED0" w:rsidRPr="00253C15" w:rsidRDefault="00693ED0">
            <w:pPr>
              <w:jc w:val="center"/>
              <w:rPr>
                <w:noProof/>
                <w:sz w:val="18"/>
              </w:rPr>
            </w:pPr>
            <w:r w:rsidRPr="00253C15">
              <w:rPr>
                <w:noProof/>
                <w:sz w:val="18"/>
              </w:rPr>
              <w:t xml:space="preserve">Jahr </w:t>
            </w:r>
            <w:r w:rsidRPr="00253C15">
              <w:rPr>
                <w:b/>
                <w:noProof/>
                <w:sz w:val="18"/>
              </w:rPr>
              <w:t>2024</w:t>
            </w:r>
          </w:p>
        </w:tc>
        <w:tc>
          <w:tcPr>
            <w:tcW w:w="562" w:type="pct"/>
            <w:vAlign w:val="center"/>
          </w:tcPr>
          <w:p w:rsidR="00693ED0" w:rsidRPr="00253C15" w:rsidRDefault="00693ED0">
            <w:pPr>
              <w:jc w:val="center"/>
              <w:rPr>
                <w:noProof/>
                <w:sz w:val="18"/>
              </w:rPr>
            </w:pPr>
            <w:r w:rsidRPr="00253C15">
              <w:rPr>
                <w:noProof/>
                <w:sz w:val="18"/>
              </w:rPr>
              <w:t xml:space="preserve">Jahr </w:t>
            </w:r>
            <w:r w:rsidRPr="00253C15">
              <w:rPr>
                <w:b/>
                <w:noProof/>
                <w:sz w:val="18"/>
              </w:rPr>
              <w:t>2025</w:t>
            </w:r>
          </w:p>
        </w:tc>
        <w:tc>
          <w:tcPr>
            <w:tcW w:w="557" w:type="pct"/>
            <w:vAlign w:val="center"/>
          </w:tcPr>
          <w:p w:rsidR="00693ED0" w:rsidRPr="00253C15" w:rsidRDefault="00693ED0">
            <w:pPr>
              <w:jc w:val="center"/>
              <w:rPr>
                <w:noProof/>
                <w:sz w:val="18"/>
              </w:rPr>
            </w:pPr>
            <w:r w:rsidRPr="00253C15">
              <w:rPr>
                <w:noProof/>
                <w:sz w:val="18"/>
              </w:rPr>
              <w:t xml:space="preserve">Jahr </w:t>
            </w:r>
            <w:r w:rsidRPr="00253C15">
              <w:rPr>
                <w:b/>
                <w:noProof/>
                <w:sz w:val="18"/>
              </w:rPr>
              <w:t>2026</w:t>
            </w:r>
          </w:p>
        </w:tc>
        <w:tc>
          <w:tcPr>
            <w:tcW w:w="679" w:type="pct"/>
            <w:vAlign w:val="center"/>
          </w:tcPr>
          <w:p w:rsidR="00693ED0" w:rsidRPr="00253C15" w:rsidRDefault="00693ED0">
            <w:pPr>
              <w:jc w:val="center"/>
              <w:rPr>
                <w:noProof/>
                <w:sz w:val="18"/>
              </w:rPr>
            </w:pPr>
            <w:r w:rsidRPr="00253C15">
              <w:rPr>
                <w:noProof/>
                <w:sz w:val="18"/>
              </w:rPr>
              <w:t xml:space="preserve">Jahr </w:t>
            </w:r>
            <w:r w:rsidRPr="00253C15">
              <w:rPr>
                <w:b/>
                <w:noProof/>
                <w:sz w:val="18"/>
              </w:rPr>
              <w:t>2027</w:t>
            </w:r>
          </w:p>
        </w:tc>
      </w:tr>
      <w:tr w:rsidR="00693ED0" w:rsidRPr="00253C15" w:rsidTr="17618B6F">
        <w:trPr>
          <w:trHeight w:val="388"/>
        </w:trPr>
        <w:tc>
          <w:tcPr>
            <w:tcW w:w="1423" w:type="pct"/>
            <w:vAlign w:val="center"/>
          </w:tcPr>
          <w:p w:rsidR="00693ED0" w:rsidRPr="00253C15" w:rsidRDefault="00693ED0">
            <w:pPr>
              <w:spacing w:before="40" w:after="40"/>
              <w:rPr>
                <w:noProof/>
                <w:sz w:val="18"/>
              </w:rPr>
            </w:pPr>
            <w:r w:rsidRPr="00253C15">
              <w:rPr>
                <w:noProof/>
                <w:sz w:val="18"/>
              </w:rPr>
              <w:t>Artikel ….</w:t>
            </w:r>
          </w:p>
        </w:tc>
        <w:tc>
          <w:tcPr>
            <w:tcW w:w="869" w:type="pct"/>
          </w:tcPr>
          <w:p w:rsidR="00693ED0" w:rsidRPr="00253C15" w:rsidRDefault="00693ED0">
            <w:pPr>
              <w:spacing w:beforeLines="40" w:before="96" w:afterLines="40" w:after="96"/>
              <w:jc w:val="center"/>
              <w:rPr>
                <w:i/>
                <w:noProof/>
                <w:sz w:val="18"/>
              </w:rPr>
            </w:pPr>
          </w:p>
        </w:tc>
        <w:tc>
          <w:tcPr>
            <w:tcW w:w="911" w:type="pct"/>
          </w:tcPr>
          <w:p w:rsidR="00693ED0" w:rsidRPr="00253C15" w:rsidRDefault="00693ED0">
            <w:pPr>
              <w:spacing w:beforeLines="40" w:before="96" w:afterLines="40" w:after="96"/>
              <w:jc w:val="center"/>
              <w:rPr>
                <w:noProof/>
                <w:sz w:val="18"/>
              </w:rPr>
            </w:pPr>
          </w:p>
        </w:tc>
        <w:tc>
          <w:tcPr>
            <w:tcW w:w="562" w:type="pct"/>
          </w:tcPr>
          <w:p w:rsidR="00693ED0" w:rsidRPr="00253C15" w:rsidRDefault="00693ED0">
            <w:pPr>
              <w:spacing w:beforeLines="40" w:before="96" w:afterLines="40" w:after="96"/>
              <w:jc w:val="center"/>
              <w:rPr>
                <w:noProof/>
                <w:sz w:val="18"/>
              </w:rPr>
            </w:pPr>
          </w:p>
        </w:tc>
        <w:tc>
          <w:tcPr>
            <w:tcW w:w="557" w:type="pct"/>
          </w:tcPr>
          <w:p w:rsidR="00693ED0" w:rsidRPr="00253C15" w:rsidRDefault="00693ED0">
            <w:pPr>
              <w:spacing w:beforeLines="40" w:before="96" w:afterLines="40" w:after="96"/>
              <w:jc w:val="center"/>
              <w:rPr>
                <w:noProof/>
                <w:sz w:val="18"/>
              </w:rPr>
            </w:pPr>
          </w:p>
        </w:tc>
        <w:tc>
          <w:tcPr>
            <w:tcW w:w="679" w:type="pct"/>
          </w:tcPr>
          <w:p w:rsidR="00693ED0" w:rsidRPr="00253C15" w:rsidRDefault="00693ED0">
            <w:pPr>
              <w:spacing w:beforeLines="40" w:before="96" w:afterLines="40" w:after="96"/>
              <w:jc w:val="center"/>
              <w:rPr>
                <w:noProof/>
                <w:sz w:val="18"/>
              </w:rPr>
            </w:pPr>
          </w:p>
        </w:tc>
      </w:tr>
    </w:tbl>
    <w:p w:rsidR="00693ED0" w:rsidRPr="00253C15" w:rsidRDefault="00693ED0" w:rsidP="00693ED0">
      <w:pPr>
        <w:pStyle w:val="Text1"/>
        <w:rPr>
          <w:noProof/>
          <w:szCs w:val="24"/>
        </w:rPr>
      </w:pPr>
      <w:r w:rsidRPr="00253C15">
        <w:rPr>
          <w:noProof/>
        </w:rPr>
        <w:t>Bitte geben Sie für die sonstigen zweckgebundenen Einnahmen die betreffende(n) Ausgabenlinie(n) im Haushaltsplan an.</w:t>
      </w:r>
    </w:p>
    <w:p w:rsidR="00693ED0" w:rsidRPr="00253C15" w:rsidRDefault="007D2643" w:rsidP="00693ED0">
      <w:pPr>
        <w:pStyle w:val="Text1"/>
        <w:pBdr>
          <w:top w:val="single" w:sz="4" w:space="1" w:color="auto"/>
          <w:left w:val="single" w:sz="4" w:space="4" w:color="auto"/>
          <w:bottom w:val="single" w:sz="4" w:space="1" w:color="auto"/>
          <w:right w:val="single" w:sz="4" w:space="4" w:color="auto"/>
        </w:pBdr>
        <w:rPr>
          <w:noProof/>
        </w:rPr>
      </w:pPr>
      <w:r w:rsidRPr="00253C15">
        <w:rPr>
          <w:noProof/>
        </w:rPr>
        <w:t>Entfällt.</w:t>
      </w:r>
    </w:p>
    <w:p w:rsidR="00693ED0" w:rsidRPr="00253C15" w:rsidRDefault="00693ED0" w:rsidP="00693ED0">
      <w:pPr>
        <w:pStyle w:val="Text1"/>
        <w:rPr>
          <w:noProof/>
          <w:szCs w:val="24"/>
        </w:rPr>
      </w:pPr>
      <w:r w:rsidRPr="00253C15">
        <w:rPr>
          <w:noProof/>
        </w:rPr>
        <w:t>Sonstige Anmerkungen (bei der Ermittlung der Auswirkungen auf die Einnahmen verwendete Methode/Formel oder weitere Informationen).</w:t>
      </w:r>
    </w:p>
    <w:p w:rsidR="00693ED0" w:rsidRPr="00253C15" w:rsidRDefault="007D2643" w:rsidP="00693ED0">
      <w:pPr>
        <w:pStyle w:val="Text1"/>
        <w:pBdr>
          <w:top w:val="single" w:sz="4" w:space="1" w:color="auto"/>
          <w:left w:val="single" w:sz="4" w:space="4" w:color="auto"/>
          <w:bottom w:val="single" w:sz="4" w:space="1" w:color="auto"/>
          <w:right w:val="single" w:sz="4" w:space="4" w:color="auto"/>
        </w:pBdr>
        <w:rPr>
          <w:noProof/>
        </w:rPr>
      </w:pPr>
      <w:r w:rsidRPr="00253C15">
        <w:rPr>
          <w:noProof/>
        </w:rPr>
        <w:t>Entfällt.</w:t>
      </w:r>
    </w:p>
    <w:p w:rsidR="00693ED0" w:rsidRPr="00253C15" w:rsidRDefault="00693ED0" w:rsidP="00693ED0">
      <w:pPr>
        <w:pStyle w:val="ManualHeading1"/>
        <w:rPr>
          <w:caps/>
          <w:noProof/>
        </w:rPr>
      </w:pPr>
      <w:bookmarkStart w:id="190" w:name="_Toc167220301"/>
      <w:bookmarkStart w:id="191" w:name="_Toc177549035"/>
      <w:r w:rsidRPr="00253C15">
        <w:rPr>
          <w:noProof/>
        </w:rPr>
        <w:t>4.</w:t>
      </w:r>
      <w:r w:rsidRPr="00253C15">
        <w:rPr>
          <w:noProof/>
        </w:rPr>
        <w:tab/>
      </w:r>
      <w:bookmarkStart w:id="192" w:name="_Hlk167692977"/>
      <w:r w:rsidRPr="00253C15">
        <w:rPr>
          <w:caps/>
          <w:noProof/>
        </w:rPr>
        <w:t>Digitale Aspekte</w:t>
      </w:r>
      <w:bookmarkEnd w:id="190"/>
      <w:bookmarkEnd w:id="191"/>
    </w:p>
    <w:p w:rsidR="00693ED0" w:rsidRPr="00253C15" w:rsidRDefault="00693ED0" w:rsidP="00693ED0">
      <w:pPr>
        <w:pStyle w:val="Text1"/>
        <w:ind w:left="0"/>
        <w:rPr>
          <w:noProof/>
        </w:rPr>
      </w:pPr>
      <w:bookmarkStart w:id="193" w:name="_Toc177549036"/>
      <w:r w:rsidRPr="00253C15">
        <w:rPr>
          <w:noProof/>
        </w:rPr>
        <w:t xml:space="preserve">Entfällt. Bei dem Vorschlag handelt es sich um eine gezielte Änderung der Asylverfahrensverordnung, die Teil des Pakets ist. Alle digitalen Elemente sind Teil des Pakets und hier nicht enthalten. </w:t>
      </w:r>
    </w:p>
    <w:p w:rsidR="00693ED0" w:rsidRPr="00253C15" w:rsidRDefault="00693ED0" w:rsidP="00693ED0">
      <w:pPr>
        <w:pStyle w:val="ManualHeading2"/>
        <w:rPr>
          <w:noProof/>
        </w:rPr>
      </w:pPr>
      <w:bookmarkStart w:id="194" w:name="_Toc167220302"/>
      <w:bookmarkStart w:id="195" w:name="_Toc177549037"/>
      <w:bookmarkEnd w:id="193"/>
      <w:r w:rsidRPr="00253C15">
        <w:rPr>
          <w:noProof/>
        </w:rPr>
        <w:t>4.1.</w:t>
      </w:r>
      <w:r w:rsidRPr="00253C15">
        <w:rPr>
          <w:noProof/>
        </w:rPr>
        <w:tab/>
        <w:t>Anforderungen von digitaler Relevanz</w:t>
      </w:r>
      <w:bookmarkEnd w:id="194"/>
      <w:bookmarkEnd w:id="195"/>
    </w:p>
    <w:tbl>
      <w:tblPr>
        <w:tblStyle w:val="TableGrid"/>
        <w:tblW w:w="9072" w:type="dxa"/>
        <w:tblInd w:w="-5" w:type="dxa"/>
        <w:tblLayout w:type="fixed"/>
        <w:tblLook w:val="06A0" w:firstRow="1" w:lastRow="0" w:firstColumn="1" w:lastColumn="0" w:noHBand="1" w:noVBand="1"/>
      </w:tblPr>
      <w:tblGrid>
        <w:gridCol w:w="9072"/>
      </w:tblGrid>
      <w:tr w:rsidR="00A20390" w:rsidRPr="00253C15" w:rsidTr="005A7E2C">
        <w:trPr>
          <w:trHeight w:val="300"/>
        </w:trPr>
        <w:tc>
          <w:tcPr>
            <w:tcW w:w="9072" w:type="dxa"/>
          </w:tcPr>
          <w:p w:rsidR="00693ED0" w:rsidRPr="00253C15" w:rsidRDefault="00693ED0">
            <w:pPr>
              <w:pStyle w:val="ListParagraph"/>
              <w:ind w:left="0"/>
              <w:rPr>
                <w:noProof/>
              </w:rPr>
            </w:pPr>
            <w:r w:rsidRPr="00253C15">
              <w:rPr>
                <w:noProof/>
              </w:rPr>
              <w:t>Entfällt.</w:t>
            </w:r>
          </w:p>
        </w:tc>
      </w:tr>
    </w:tbl>
    <w:p w:rsidR="00693ED0" w:rsidRPr="00253C15" w:rsidRDefault="00693ED0" w:rsidP="00693ED0">
      <w:pPr>
        <w:pStyle w:val="ManualHeading2"/>
        <w:rPr>
          <w:noProof/>
        </w:rPr>
      </w:pPr>
      <w:bookmarkStart w:id="196" w:name="_Toc167220303"/>
      <w:bookmarkStart w:id="197" w:name="_Toc177549038"/>
      <w:r w:rsidRPr="00253C15">
        <w:rPr>
          <w:noProof/>
        </w:rPr>
        <w:t>4.2.</w:t>
      </w:r>
      <w:r w:rsidRPr="00253C15">
        <w:rPr>
          <w:noProof/>
        </w:rPr>
        <w:tab/>
        <w:t>Daten</w:t>
      </w:r>
      <w:bookmarkEnd w:id="196"/>
      <w:bookmarkEnd w:id="197"/>
    </w:p>
    <w:tbl>
      <w:tblPr>
        <w:tblStyle w:val="TableGrid"/>
        <w:tblW w:w="0" w:type="auto"/>
        <w:tblLook w:val="04A0" w:firstRow="1" w:lastRow="0" w:firstColumn="1" w:lastColumn="0" w:noHBand="0" w:noVBand="1"/>
      </w:tblPr>
      <w:tblGrid>
        <w:gridCol w:w="9063"/>
      </w:tblGrid>
      <w:tr w:rsidR="00A20390" w:rsidRPr="00253C15">
        <w:tc>
          <w:tcPr>
            <w:tcW w:w="9063" w:type="dxa"/>
          </w:tcPr>
          <w:p w:rsidR="00693ED0" w:rsidRPr="00253C15" w:rsidRDefault="00693ED0">
            <w:pPr>
              <w:rPr>
                <w:noProof/>
              </w:rPr>
            </w:pPr>
            <w:r w:rsidRPr="00253C15">
              <w:rPr>
                <w:noProof/>
              </w:rPr>
              <w:t>Entfällt.</w:t>
            </w:r>
          </w:p>
        </w:tc>
      </w:tr>
    </w:tbl>
    <w:p w:rsidR="00693ED0" w:rsidRPr="00253C15" w:rsidRDefault="00693ED0" w:rsidP="00693ED0">
      <w:pPr>
        <w:pStyle w:val="ManualHeading2"/>
        <w:rPr>
          <w:noProof/>
        </w:rPr>
      </w:pPr>
      <w:bookmarkStart w:id="198" w:name="_Toc167220305"/>
      <w:bookmarkStart w:id="199" w:name="_Toc177549039"/>
      <w:r w:rsidRPr="00253C15">
        <w:rPr>
          <w:noProof/>
        </w:rPr>
        <w:t>4.3.</w:t>
      </w:r>
      <w:r w:rsidRPr="00253C15">
        <w:rPr>
          <w:noProof/>
        </w:rPr>
        <w:tab/>
        <w:t>Digitale Lösungen</w:t>
      </w:r>
      <w:bookmarkEnd w:id="198"/>
      <w:bookmarkEnd w:id="199"/>
    </w:p>
    <w:tbl>
      <w:tblPr>
        <w:tblStyle w:val="TableGrid"/>
        <w:tblpPr w:leftFromText="141" w:rightFromText="141" w:vertAnchor="text" w:horzAnchor="margin" w:tblpY="2"/>
        <w:tblW w:w="9067" w:type="dxa"/>
        <w:tblLook w:val="04A0" w:firstRow="1" w:lastRow="0" w:firstColumn="1" w:lastColumn="0" w:noHBand="0" w:noVBand="1"/>
      </w:tblPr>
      <w:tblGrid>
        <w:gridCol w:w="9067"/>
      </w:tblGrid>
      <w:tr w:rsidR="00A20390" w:rsidRPr="00253C15">
        <w:tc>
          <w:tcPr>
            <w:tcW w:w="9067" w:type="dxa"/>
          </w:tcPr>
          <w:p w:rsidR="00693ED0" w:rsidRPr="00253C15" w:rsidRDefault="00693ED0">
            <w:pPr>
              <w:rPr>
                <w:noProof/>
              </w:rPr>
            </w:pPr>
            <w:r w:rsidRPr="00253C15">
              <w:rPr>
                <w:noProof/>
              </w:rPr>
              <w:t>Entfällt.</w:t>
            </w:r>
          </w:p>
        </w:tc>
      </w:tr>
    </w:tbl>
    <w:p w:rsidR="00693ED0" w:rsidRPr="00253C15" w:rsidRDefault="00693ED0" w:rsidP="00693ED0">
      <w:pPr>
        <w:pStyle w:val="ManualHeading2"/>
        <w:rPr>
          <w:rStyle w:val="Emphasis"/>
          <w:b w:val="0"/>
          <w:bCs/>
          <w:i w:val="0"/>
          <w:iCs w:val="0"/>
          <w:noProof/>
        </w:rPr>
      </w:pPr>
      <w:bookmarkStart w:id="200" w:name="_Toc167220304"/>
      <w:bookmarkStart w:id="201" w:name="_Toc177549040"/>
      <w:r w:rsidRPr="00253C15">
        <w:rPr>
          <w:rStyle w:val="Emphasis"/>
          <w:noProof/>
        </w:rPr>
        <w:t>4.4.</w:t>
      </w:r>
      <w:r w:rsidRPr="00253C15">
        <w:rPr>
          <w:noProof/>
        </w:rPr>
        <w:tab/>
      </w:r>
      <w:r w:rsidRPr="00253C15">
        <w:rPr>
          <w:rStyle w:val="Emphasis"/>
          <w:noProof/>
        </w:rPr>
        <w:t>Interoperabilitätsbewertung</w:t>
      </w:r>
      <w:bookmarkEnd w:id="200"/>
      <w:bookmarkEnd w:id="201"/>
    </w:p>
    <w:tbl>
      <w:tblPr>
        <w:tblStyle w:val="TableGrid"/>
        <w:tblpPr w:leftFromText="141" w:rightFromText="141" w:vertAnchor="text" w:horzAnchor="margin" w:tblpY="36"/>
        <w:tblW w:w="9067" w:type="dxa"/>
        <w:tblLayout w:type="fixed"/>
        <w:tblLook w:val="06A0" w:firstRow="1" w:lastRow="0" w:firstColumn="1" w:lastColumn="0" w:noHBand="1" w:noVBand="1"/>
      </w:tblPr>
      <w:tblGrid>
        <w:gridCol w:w="9067"/>
      </w:tblGrid>
      <w:tr w:rsidR="00A20390" w:rsidRPr="00253C15">
        <w:trPr>
          <w:trHeight w:val="300"/>
        </w:trPr>
        <w:tc>
          <w:tcPr>
            <w:tcW w:w="9067" w:type="dxa"/>
          </w:tcPr>
          <w:p w:rsidR="00693ED0" w:rsidRPr="00253C15" w:rsidRDefault="00693ED0">
            <w:pPr>
              <w:rPr>
                <w:i/>
                <w:iCs/>
                <w:noProof/>
              </w:rPr>
            </w:pPr>
            <w:r w:rsidRPr="00253C15">
              <w:rPr>
                <w:noProof/>
              </w:rPr>
              <w:t>Entfällt.</w:t>
            </w:r>
          </w:p>
        </w:tc>
      </w:tr>
    </w:tbl>
    <w:p w:rsidR="00693ED0" w:rsidRPr="00253C15" w:rsidRDefault="00693ED0" w:rsidP="00693ED0">
      <w:pPr>
        <w:pStyle w:val="ManualHeading2"/>
        <w:rPr>
          <w:noProof/>
        </w:rPr>
      </w:pPr>
      <w:bookmarkStart w:id="202" w:name="_Toc167220306"/>
      <w:bookmarkStart w:id="203" w:name="_Toc177549041"/>
      <w:r w:rsidRPr="00253C15">
        <w:rPr>
          <w:noProof/>
        </w:rPr>
        <w:t>4.5.</w:t>
      </w:r>
      <w:r w:rsidRPr="00253C15">
        <w:rPr>
          <w:noProof/>
        </w:rPr>
        <w:tab/>
        <w:t>Unterstützungsmaßnahmen für die digitale Umsetzung</w:t>
      </w:r>
      <w:bookmarkEnd w:id="202"/>
      <w:bookmarkEnd w:id="203"/>
    </w:p>
    <w:tbl>
      <w:tblPr>
        <w:tblStyle w:val="TableGrid"/>
        <w:tblpPr w:leftFromText="141" w:rightFromText="141" w:vertAnchor="text" w:horzAnchor="margin" w:tblpY="49"/>
        <w:tblW w:w="9067" w:type="dxa"/>
        <w:tblLook w:val="04A0" w:firstRow="1" w:lastRow="0" w:firstColumn="1" w:lastColumn="0" w:noHBand="0" w:noVBand="1"/>
      </w:tblPr>
      <w:tblGrid>
        <w:gridCol w:w="9067"/>
      </w:tblGrid>
      <w:tr w:rsidR="00A20390" w:rsidRPr="00253C15">
        <w:tc>
          <w:tcPr>
            <w:tcW w:w="9067" w:type="dxa"/>
          </w:tcPr>
          <w:p w:rsidR="00693ED0" w:rsidRPr="00253C15" w:rsidRDefault="00693ED0">
            <w:pPr>
              <w:rPr>
                <w:noProof/>
              </w:rPr>
            </w:pPr>
            <w:r w:rsidRPr="00253C15">
              <w:rPr>
                <w:noProof/>
              </w:rPr>
              <w:t>Entfällt.</w:t>
            </w:r>
          </w:p>
        </w:tc>
      </w:tr>
      <w:bookmarkEnd w:id="192"/>
    </w:tbl>
    <w:p w:rsidR="00630251" w:rsidRPr="00253C15" w:rsidRDefault="00630251" w:rsidP="00693ED0">
      <w:pPr>
        <w:rPr>
          <w:noProof/>
        </w:rPr>
      </w:pPr>
    </w:p>
    <w:sectPr w:rsidR="00630251" w:rsidRPr="00253C15" w:rsidSect="006F53F5">
      <w:headerReference w:type="default" r:id="rId21"/>
      <w:footerReference w:type="defaul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BE4" w:rsidRDefault="00FC4BE4" w:rsidP="00201A77">
      <w:pPr>
        <w:spacing w:before="0" w:after="0"/>
      </w:pPr>
      <w:r>
        <w:separator/>
      </w:r>
    </w:p>
  </w:endnote>
  <w:endnote w:type="continuationSeparator" w:id="0">
    <w:p w:rsidR="00FC4BE4" w:rsidRDefault="00FC4BE4" w:rsidP="00201A77">
      <w:pPr>
        <w:spacing w:before="0" w:after="0"/>
      </w:pPr>
      <w:r>
        <w:continuationSeparator/>
      </w:r>
    </w:p>
  </w:endnote>
  <w:endnote w:type="continuationNotice" w:id="1">
    <w:p w:rsidR="00FC4BE4" w:rsidRDefault="00FC4BE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EUAlbertina">
    <w:altName w:val="Cambria"/>
    <w:charset w:val="00"/>
    <w:family w:val="auto"/>
    <w:pitch w:val="variable"/>
    <w:sig w:usb0="800002EF" w:usb1="1000E0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3F5" w:rsidRPr="006F53F5" w:rsidRDefault="006F53F5" w:rsidP="006F53F5">
    <w:pPr>
      <w:pStyle w:val="Footer"/>
      <w:rPr>
        <w:rFonts w:ascii="Arial" w:hAnsi="Arial" w:cs="Arial"/>
        <w:b/>
        <w:sz w:val="48"/>
      </w:rPr>
    </w:pPr>
    <w:r w:rsidRPr="006F53F5">
      <w:rPr>
        <w:rFonts w:ascii="Arial" w:hAnsi="Arial" w:cs="Arial"/>
        <w:b/>
        <w:sz w:val="48"/>
      </w:rPr>
      <w:t>DE</w:t>
    </w:r>
    <w:r w:rsidRPr="006F53F5">
      <w:rPr>
        <w:rFonts w:ascii="Arial" w:hAnsi="Arial" w:cs="Arial"/>
        <w:b/>
        <w:sz w:val="48"/>
      </w:rPr>
      <w:tab/>
    </w:r>
    <w:r w:rsidRPr="006F53F5">
      <w:rPr>
        <w:rFonts w:ascii="Arial" w:hAnsi="Arial" w:cs="Arial"/>
        <w:b/>
        <w:sz w:val="48"/>
      </w:rPr>
      <w:tab/>
    </w:r>
    <w:r w:rsidRPr="006F53F5">
      <w:tab/>
    </w:r>
    <w:r w:rsidRPr="006F53F5">
      <w:rPr>
        <w:rFonts w:ascii="Arial" w:hAnsi="Arial" w:cs="Arial"/>
        <w:b/>
        <w:sz w:val="48"/>
      </w:rPr>
      <w:t>DE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3F5" w:rsidRPr="006F53F5" w:rsidRDefault="006F53F5" w:rsidP="006F53F5">
    <w:pPr>
      <w:pStyle w:val="Footer"/>
      <w:rPr>
        <w:rFonts w:ascii="Arial" w:hAnsi="Arial" w:cs="Arial"/>
        <w:b/>
        <w:sz w:val="48"/>
      </w:rPr>
    </w:pPr>
    <w:r w:rsidRPr="006F53F5">
      <w:rPr>
        <w:rFonts w:ascii="Arial" w:hAnsi="Arial" w:cs="Arial"/>
        <w:b/>
        <w:sz w:val="48"/>
      </w:rPr>
      <w:t>DE</w:t>
    </w:r>
    <w:r w:rsidRPr="006F53F5">
      <w:rPr>
        <w:rFonts w:ascii="Arial" w:hAnsi="Arial" w:cs="Arial"/>
        <w:b/>
        <w:sz w:val="48"/>
      </w:rPr>
      <w:tab/>
    </w:r>
    <w:r w:rsidRPr="006F53F5">
      <w:rPr>
        <w:rFonts w:ascii="Arial" w:hAnsi="Arial" w:cs="Arial"/>
        <w:b/>
        <w:sz w:val="48"/>
      </w:rPr>
      <w:tab/>
    </w:r>
    <w:r w:rsidRPr="006F53F5">
      <w:tab/>
    </w:r>
    <w:r w:rsidRPr="006F53F5">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3F5" w:rsidRDefault="006F53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3F5" w:rsidRPr="006F53F5" w:rsidRDefault="006F53F5" w:rsidP="006F53F5">
    <w:pPr>
      <w:pStyle w:val="Footer"/>
      <w:rPr>
        <w:rFonts w:ascii="Arial" w:hAnsi="Arial" w:cs="Arial"/>
        <w:b/>
        <w:sz w:val="48"/>
      </w:rPr>
    </w:pPr>
    <w:r w:rsidRPr="006F53F5">
      <w:rPr>
        <w:rFonts w:ascii="Arial" w:hAnsi="Arial" w:cs="Arial"/>
        <w:b/>
        <w:sz w:val="48"/>
      </w:rPr>
      <w:t>DE</w:t>
    </w:r>
    <w:r w:rsidRPr="006F53F5">
      <w:rPr>
        <w:rFonts w:ascii="Arial" w:hAnsi="Arial" w:cs="Arial"/>
        <w:b/>
        <w:sz w:val="48"/>
      </w:rPr>
      <w:tab/>
    </w:r>
    <w:r>
      <w:fldChar w:fldCharType="begin"/>
    </w:r>
    <w:r>
      <w:instrText xml:space="preserve"> PAGE  \* MERGEFORMAT </w:instrText>
    </w:r>
    <w:r>
      <w:fldChar w:fldCharType="separate"/>
    </w:r>
    <w:r w:rsidR="00DE56DB">
      <w:rPr>
        <w:noProof/>
      </w:rPr>
      <w:t>19</w:t>
    </w:r>
    <w:r>
      <w:fldChar w:fldCharType="end"/>
    </w:r>
    <w:r>
      <w:tab/>
    </w:r>
    <w:r w:rsidRPr="006F53F5">
      <w:tab/>
    </w:r>
    <w:r w:rsidRPr="006F53F5">
      <w:rPr>
        <w:rFonts w:ascii="Arial" w:hAnsi="Arial" w:cs="Arial"/>
        <w:b/>
        <w:sz w:val="48"/>
      </w:rPr>
      <w:t>DE</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3F5" w:rsidRDefault="006F53F5" w:rsidP="006F53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3F5" w:rsidRPr="006F53F5" w:rsidRDefault="006F53F5" w:rsidP="006F53F5">
    <w:pPr>
      <w:pStyle w:val="FooterLandscape"/>
      <w:rPr>
        <w:rFonts w:ascii="Arial" w:hAnsi="Arial" w:cs="Arial"/>
        <w:b/>
        <w:sz w:val="48"/>
      </w:rPr>
    </w:pPr>
    <w:r w:rsidRPr="006F53F5">
      <w:rPr>
        <w:rFonts w:ascii="Arial" w:hAnsi="Arial" w:cs="Arial"/>
        <w:b/>
        <w:sz w:val="48"/>
      </w:rPr>
      <w:t>DE</w:t>
    </w:r>
    <w:r w:rsidRPr="006F53F5">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6F53F5">
      <w:tab/>
    </w:r>
    <w:r w:rsidRPr="006F53F5">
      <w:rPr>
        <w:rFonts w:ascii="Arial" w:hAnsi="Arial" w:cs="Arial"/>
        <w:b/>
        <w:sz w:val="48"/>
      </w:rPr>
      <w:t>DE</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3F5" w:rsidRPr="006F53F5" w:rsidRDefault="006F53F5" w:rsidP="006F53F5">
    <w:pPr>
      <w:pStyle w:val="Footer"/>
      <w:rPr>
        <w:rFonts w:ascii="Arial" w:hAnsi="Arial" w:cs="Arial"/>
        <w:b/>
        <w:sz w:val="48"/>
      </w:rPr>
    </w:pPr>
    <w:r w:rsidRPr="006F53F5">
      <w:rPr>
        <w:rFonts w:ascii="Arial" w:hAnsi="Arial" w:cs="Arial"/>
        <w:b/>
        <w:sz w:val="48"/>
      </w:rPr>
      <w:t>DE</w:t>
    </w:r>
    <w:r w:rsidRPr="006F53F5">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6F53F5">
      <w:tab/>
    </w:r>
    <w:r w:rsidRPr="006F53F5">
      <w:rPr>
        <w:rFonts w:ascii="Arial" w:hAnsi="Arial" w:cs="Arial"/>
        <w:b/>
        <w:sz w:val="48"/>
      </w:rPr>
      <w:t>DE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BE4" w:rsidRDefault="00FC4BE4" w:rsidP="00201A77">
      <w:pPr>
        <w:spacing w:before="0" w:after="0"/>
      </w:pPr>
      <w:r>
        <w:separator/>
      </w:r>
    </w:p>
  </w:footnote>
  <w:footnote w:type="continuationSeparator" w:id="0">
    <w:p w:rsidR="00FC4BE4" w:rsidRDefault="00FC4BE4" w:rsidP="00201A77">
      <w:pPr>
        <w:spacing w:before="0" w:after="0"/>
      </w:pPr>
      <w:r>
        <w:continuationSeparator/>
      </w:r>
    </w:p>
  </w:footnote>
  <w:footnote w:type="continuationNotice" w:id="1">
    <w:p w:rsidR="00FC4BE4" w:rsidRDefault="00FC4BE4">
      <w:pPr>
        <w:spacing w:before="0" w:after="0"/>
      </w:pPr>
    </w:p>
  </w:footnote>
  <w:footnote w:id="2">
    <w:p w:rsidR="00693ED0" w:rsidRPr="00840ADF" w:rsidRDefault="00693ED0" w:rsidP="00693ED0">
      <w:pPr>
        <w:pStyle w:val="FootnoteText"/>
      </w:pPr>
      <w:r w:rsidRPr="00840ADF">
        <w:rPr>
          <w:rStyle w:val="FootnoteReference"/>
        </w:rPr>
        <w:footnoteRef/>
      </w:r>
      <w:r w:rsidRPr="00840ADF">
        <w:tab/>
        <w:t>Richtlinie 2013/32/EU des Europäischen Parlaments und des Rates vom 26. Juni 2013 zu gemeinsamen Verfahren für die Zuerkennung und Aberkennung des internationalen Schutzes (Neufassung) (ABl. L 180 vom 29.6.2013, S. 60).</w:t>
      </w:r>
    </w:p>
  </w:footnote>
  <w:footnote w:id="3">
    <w:p w:rsidR="00023C72" w:rsidRPr="00840ADF" w:rsidRDefault="00023C72" w:rsidP="00FB2320">
      <w:pPr>
        <w:pStyle w:val="FootnoteText"/>
      </w:pPr>
      <w:r w:rsidRPr="00840ADF">
        <w:rPr>
          <w:rStyle w:val="FootnoteReference"/>
        </w:rPr>
        <w:footnoteRef/>
      </w:r>
      <w:r w:rsidRPr="00840ADF">
        <w:tab/>
        <w:t>Verordnung (EU) 2024/1348 des Europäischen Parlaments und des Rates vom 14. Mai 2024 zur Einführung eines gemeinsamen Verfahrens für internationalen Schutz in der Union und zur Aufhebung der Richtlinie 2013/32/EU (ABl. L, 2024/1348, 22.5.2024).</w:t>
      </w:r>
    </w:p>
  </w:footnote>
  <w:footnote w:id="4">
    <w:p w:rsidR="00693ED0" w:rsidRPr="00840ADF" w:rsidRDefault="00693ED0" w:rsidP="00693ED0">
      <w:pPr>
        <w:pStyle w:val="FootnoteText"/>
      </w:pPr>
      <w:r w:rsidRPr="00840ADF">
        <w:rPr>
          <w:rStyle w:val="FootnoteReference"/>
        </w:rPr>
        <w:footnoteRef/>
      </w:r>
      <w:r w:rsidRPr="00840ADF">
        <w:tab/>
        <w:t xml:space="preserve">In Artikel 57 Absatz 2 der Asylverfahrensverordnung wird definiert, dass der Begriff „wirksamer Schutz“ Folgendes umfasst: das Recht auf Verbleib bis zum Abschluss der Prüfung des Schutzantrags; einen angemessenen Lebensstandard, der der Gesamtsituation in dem Land entspricht; den Zugang zu Gesundheitsversorgung und Bildung zu den gleichen Bedingungen wie für Inländer und wirksamen Schutz bis eine dauerhafte Lösung gefunden werden kann. </w:t>
      </w:r>
    </w:p>
  </w:footnote>
  <w:footnote w:id="5">
    <w:p w:rsidR="00BC5F81" w:rsidRPr="00840ADF" w:rsidRDefault="00BC5F81" w:rsidP="00BC5F81">
      <w:pPr>
        <w:pStyle w:val="FootnoteText"/>
      </w:pPr>
      <w:r w:rsidRPr="00840ADF">
        <w:rPr>
          <w:rStyle w:val="FootnoteReference"/>
        </w:rPr>
        <w:footnoteRef/>
      </w:r>
      <w:r w:rsidRPr="00840ADF">
        <w:tab/>
        <w:t xml:space="preserve">Vorschlag für eine Verordnung des Europäischen Parlaments und des Rates zur Änderung der Verordnung (EU) 2024/1348 hinsichtlich der Erstellung einer Liste sicherer Herkunftsländer auf Unionsebene, COM(2025) 186 final vom 16.4.2025. </w:t>
      </w:r>
    </w:p>
  </w:footnote>
  <w:footnote w:id="6">
    <w:p w:rsidR="005C3255" w:rsidRPr="00840ADF" w:rsidRDefault="005C3255" w:rsidP="005C3255">
      <w:pPr>
        <w:pStyle w:val="FootnoteText"/>
      </w:pPr>
      <w:r w:rsidRPr="00840ADF">
        <w:rPr>
          <w:rStyle w:val="FootnoteReference"/>
        </w:rPr>
        <w:footnoteRef/>
      </w:r>
      <w:r w:rsidRPr="00840ADF">
        <w:tab/>
        <w:t>SWD(2025) 600 – Arbeitsunterlage der Kommissionsdienststellen der GD HOME in Verbindung mit dem Vorschlag hinsichtlich sicherer Drittstaaten.</w:t>
      </w:r>
    </w:p>
  </w:footnote>
  <w:footnote w:id="7">
    <w:p w:rsidR="005C3255" w:rsidRPr="00840ADF" w:rsidRDefault="005C3255" w:rsidP="005C3255">
      <w:pPr>
        <w:pStyle w:val="FootnoteText"/>
      </w:pPr>
      <w:r w:rsidRPr="00840ADF">
        <w:rPr>
          <w:rStyle w:val="FootnoteReference"/>
        </w:rPr>
        <w:footnoteRef/>
      </w:r>
      <w:r w:rsidRPr="00840ADF">
        <w:tab/>
        <w:t>Nach Erwägungsgrund 46 der Asylverfahrensverordnung umfasst ein wirksamer Schutz den „Zugang zu ausreichenden Existenzmitteln zur Sicherung eines der Gesamtsituation des aufnehmenden Drittstaats angemessenen Lebensstandards, zu medizinischer Versorgung und unbedingt erforderlichen Behandlungen von Krankheiten sowie zu Bildung unter den in diesem Drittstaat allgemein vorgesehenen Bedingungen“. Darüber hinaus sollte nach Erwägungsgrund 51 der Begriff „Zugang zu ausreichenden Existenzmitteln zur Sicherung eines angemessenen Lebensstandards“ so verstanden werden, dass er „den Zugang zu Nahrungsmitteln, Kleidung, Wohnraum oder Unterkünften und das Recht auf Ausübung einer Erwerbstätigkeit, beispielsweise durch Zugang zum Arbeitsmarkt, zu Bedingungen umfasst, die nicht ungünstiger sind als die Bedingungen, die für Nichtstaatsangehörige des betreffenden Drittstaats unter den gleichen Umständen im Allgemeinen gelten“. Diese Anforderungen entsprechen im Großen und Ganzen den Anforderungen der Genfer Konvention von 1951 für Flüchtlinge, die sich rechtmäßig im Hoheitsgebiet aufhalten: das Recht auf Ausübung einer nichtselbstständigen Arbeit (Artikel 17 der Genfer Konvention), auf Wohnraum (Artikel 21) und auf selbstständige Erwerbstätigkeit (Artikel 18) sollte zu Bedingungen gewährt werden, die ebenso günstig sind wie für Drittstaatsangehörige, die sich rechtmäßig im Land aufhalten; das Recht auf Zugang zu Bildung (Artikel 22) sowie zu sozialer Sicherheit und Leistungen (Artikel 24) sollte unter den gleichen Bedingungen wie für Inländer gewährt werden.</w:t>
      </w:r>
    </w:p>
  </w:footnote>
  <w:footnote w:id="8">
    <w:p w:rsidR="005C3255" w:rsidRPr="00840ADF" w:rsidRDefault="005C3255" w:rsidP="005C3255">
      <w:pPr>
        <w:pStyle w:val="FootnoteText"/>
      </w:pPr>
      <w:r w:rsidRPr="00840ADF">
        <w:rPr>
          <w:rStyle w:val="FootnoteReference"/>
        </w:rPr>
        <w:footnoteRef/>
      </w:r>
      <w:r w:rsidRPr="00840ADF">
        <w:tab/>
        <w:t>Siehe Abschnitt 3 der Arbeitsunterlage der Kommissionsdienststellen SWD(2025) 600 der GD HOME im Zusammenhang mit dem Vorschlag hinsichtlich sicherer Drittstaaten.</w:t>
      </w:r>
    </w:p>
  </w:footnote>
  <w:footnote w:id="9">
    <w:p w:rsidR="00D00F07" w:rsidRPr="00840ADF" w:rsidRDefault="00D00F07" w:rsidP="00D00F07">
      <w:pPr>
        <w:pStyle w:val="FootnoteText"/>
      </w:pPr>
      <w:r w:rsidRPr="00840ADF">
        <w:rPr>
          <w:rStyle w:val="FootnoteReference"/>
        </w:rPr>
        <w:footnoteRef/>
      </w:r>
      <w:r w:rsidRPr="00840ADF">
        <w:tab/>
        <w:t>Siehe Abschnitt 4 der Arbeitsunterlage der Kommissionsdienststellen SWD(2025) 600 der GD HOME im Zusammenhang mit dem Vorschlag hinsichtlich sicherer Drittstaaten.</w:t>
      </w:r>
    </w:p>
  </w:footnote>
  <w:footnote w:id="10">
    <w:p w:rsidR="00590C94" w:rsidRPr="00840ADF" w:rsidRDefault="00590C94" w:rsidP="00590C94">
      <w:pPr>
        <w:pStyle w:val="FootnoteText"/>
      </w:pPr>
      <w:r w:rsidRPr="00840ADF">
        <w:rPr>
          <w:rStyle w:val="FootnoteReference"/>
        </w:rPr>
        <w:footnoteRef/>
      </w:r>
      <w:r w:rsidRPr="00840ADF">
        <w:tab/>
        <w:t>Vorschlag für eine Verordnung des Europäischen Parlaments und des Rates zur Einführung eines gemeinsamen Verfahrens zur Gewährung internationalen Schutzes in der Union und zur Aufhebung der Richtlinie 2013/32/EU (COM(2016) 467 final – 2016/0224(COD)).</w:t>
      </w:r>
    </w:p>
  </w:footnote>
  <w:footnote w:id="11">
    <w:p w:rsidR="00C40C67" w:rsidRPr="00840ADF" w:rsidRDefault="00C40C67">
      <w:pPr>
        <w:pStyle w:val="FootnoteText"/>
      </w:pPr>
      <w:r w:rsidRPr="00840ADF">
        <w:rPr>
          <w:rStyle w:val="FootnoteReference"/>
        </w:rPr>
        <w:footnoteRef/>
      </w:r>
      <w:r w:rsidRPr="00840ADF">
        <w:tab/>
        <w:t>COM(2025) 101 final.</w:t>
      </w:r>
    </w:p>
  </w:footnote>
  <w:footnote w:id="12">
    <w:p w:rsidR="00693ED0" w:rsidRPr="00840ADF" w:rsidRDefault="00693ED0" w:rsidP="00693ED0">
      <w:pPr>
        <w:pStyle w:val="FootnoteText"/>
      </w:pPr>
      <w:r w:rsidRPr="00840ADF">
        <w:rPr>
          <w:rStyle w:val="FootnoteReference"/>
        </w:rPr>
        <w:footnoteRef/>
      </w:r>
      <w:r w:rsidRPr="00840ADF">
        <w:tab/>
        <w:t xml:space="preserve">Siehe beispielsweise EUAA (2022): </w:t>
      </w:r>
      <w:hyperlink r:id="rId1">
        <w:r w:rsidRPr="00840ADF">
          <w:rPr>
            <w:rStyle w:val="Hyperlink"/>
          </w:rPr>
          <w:t>Applying the Concept of Safe Countries in the Asylum Procedure</w:t>
        </w:r>
      </w:hyperlink>
      <w:r w:rsidRPr="00840ADF">
        <w:rPr>
          <w:rStyle w:val="Hyperlink"/>
        </w:rPr>
        <w:t xml:space="preserve">; </w:t>
      </w:r>
      <w:r w:rsidRPr="00840ADF">
        <w:t xml:space="preserve">Osso, B., „Unpacking the Safe Third Country Concept in the European Union: Border, Legal Spaces, and Asylum in the Shadow of Externalisation“, </w:t>
      </w:r>
      <w:r w:rsidRPr="00840ADF">
        <w:rPr>
          <w:i/>
        </w:rPr>
        <w:t>International Journal of Refugee Law</w:t>
      </w:r>
      <w:r w:rsidRPr="00840ADF">
        <w:t xml:space="preserve">, Bd. 35(3), Oktober 2023; Thym, D., </w:t>
      </w:r>
      <w:r w:rsidRPr="00840ADF">
        <w:rPr>
          <w:i/>
        </w:rPr>
        <w:t>Expert Opinion on Legal Requirements for Safe Third Countries in Asylum Law and Practical Implementation Options</w:t>
      </w:r>
      <w:r w:rsidRPr="00840ADF">
        <w:t>, April 2024.</w:t>
      </w:r>
    </w:p>
  </w:footnote>
  <w:footnote w:id="13">
    <w:p w:rsidR="00E9170B" w:rsidRPr="00840ADF" w:rsidRDefault="00E9170B">
      <w:pPr>
        <w:pStyle w:val="FootnoteText"/>
      </w:pPr>
      <w:r w:rsidRPr="00840ADF">
        <w:rPr>
          <w:rStyle w:val="FootnoteReference"/>
        </w:rPr>
        <w:footnoteRef/>
      </w:r>
      <w:r w:rsidRPr="00840ADF">
        <w:tab/>
        <w:t>FR, IT, PL.</w:t>
      </w:r>
    </w:p>
  </w:footnote>
  <w:footnote w:id="14">
    <w:p w:rsidR="00E9170B" w:rsidRPr="00840ADF" w:rsidRDefault="00E9170B">
      <w:pPr>
        <w:pStyle w:val="FootnoteText"/>
      </w:pPr>
      <w:r w:rsidRPr="00840ADF">
        <w:rPr>
          <w:rStyle w:val="FootnoteReference"/>
        </w:rPr>
        <w:footnoteRef/>
      </w:r>
      <w:r w:rsidRPr="00840ADF">
        <w:tab/>
        <w:t>BG, EE, DE, EL, HU.</w:t>
      </w:r>
    </w:p>
  </w:footnote>
  <w:footnote w:id="15">
    <w:p w:rsidR="00E9170B" w:rsidRPr="00840ADF" w:rsidRDefault="00E9170B">
      <w:pPr>
        <w:pStyle w:val="FootnoteText"/>
      </w:pPr>
      <w:r w:rsidRPr="00840ADF">
        <w:rPr>
          <w:rStyle w:val="FootnoteReference"/>
        </w:rPr>
        <w:footnoteRef/>
      </w:r>
      <w:r w:rsidRPr="00840ADF">
        <w:tab/>
        <w:t>AT, BE, CY, DK, FI, HR, IE, LV, LT, MT, NL, SE.</w:t>
      </w:r>
    </w:p>
  </w:footnote>
  <w:footnote w:id="16">
    <w:p w:rsidR="00E9170B" w:rsidRPr="00840ADF" w:rsidRDefault="00E9170B">
      <w:pPr>
        <w:pStyle w:val="FootnoteText"/>
      </w:pPr>
      <w:r w:rsidRPr="00840ADF">
        <w:rPr>
          <w:rStyle w:val="FootnoteReference"/>
        </w:rPr>
        <w:footnoteRef/>
      </w:r>
      <w:r w:rsidRPr="00840ADF">
        <w:tab/>
        <w:t>CZ, PT, RO, SK, SI, ES.</w:t>
      </w:r>
    </w:p>
  </w:footnote>
  <w:footnote w:id="17">
    <w:p w:rsidR="00693ED0" w:rsidRPr="00840ADF" w:rsidRDefault="00693ED0" w:rsidP="00693ED0">
      <w:pPr>
        <w:pStyle w:val="FootnoteText"/>
      </w:pPr>
      <w:r w:rsidRPr="00840ADF">
        <w:rPr>
          <w:rStyle w:val="FootnoteReference"/>
        </w:rPr>
        <w:footnoteRef/>
      </w:r>
      <w:r w:rsidRPr="00840ADF">
        <w:tab/>
        <w:t>Verordnung (EU) 2024/1348 des Europäischen Parlaments und des Rates vom 14. Mai 2024 zur Einführung eines gemeinsamen Verfahrens für internationalen Schutz in der Union und zur Aufhebung der Richtlinie 2013/32/EU (ABl. L, 2024/1348 vom 22.5.2024, ELI: http://data.europa.eu/eli/reg/2024/1348/oj).</w:t>
      </w:r>
    </w:p>
  </w:footnote>
  <w:footnote w:id="18">
    <w:p w:rsidR="002E0F05" w:rsidRPr="00840ADF" w:rsidRDefault="002E0F05">
      <w:pPr>
        <w:pStyle w:val="FootnoteText"/>
      </w:pPr>
      <w:r w:rsidRPr="00840ADF">
        <w:rPr>
          <w:rStyle w:val="FootnoteReference"/>
        </w:rPr>
        <w:footnoteRef/>
      </w:r>
      <w:r w:rsidRPr="00840ADF">
        <w:tab/>
        <w:t>Richtlinie (EU) 2024/1346 des Europäischen Parlaments und des Rates vom 14. Mai 2024 zur Festlegung von Normen für die Aufnahme von Personen, die internationalen Schutz beantragen (ABl. L, 2024/1346 vom 22.5.2024, ELI: http://data.europa.eu/eli/dir/2024/1346/oj).</w:t>
      </w:r>
    </w:p>
  </w:footnote>
  <w:footnote w:id="19">
    <w:p w:rsidR="00693ED0" w:rsidRPr="00840ADF" w:rsidRDefault="00693ED0" w:rsidP="00693ED0">
      <w:pPr>
        <w:pStyle w:val="FootnoteText"/>
      </w:pPr>
      <w:r w:rsidRPr="00840ADF">
        <w:rPr>
          <w:rStyle w:val="FootnoteReference"/>
        </w:rPr>
        <w:footnoteRef/>
      </w:r>
      <w:r w:rsidRPr="00840ADF">
        <w:tab/>
        <w:t>Im Sinne des Artikels 58 Absatz 2 Buchstabe a oder b der Haushaltsordnung.</w:t>
      </w:r>
    </w:p>
  </w:footnote>
  <w:footnote w:id="20">
    <w:p w:rsidR="00693ED0" w:rsidRPr="00840ADF" w:rsidRDefault="00693ED0" w:rsidP="00693ED0">
      <w:pPr>
        <w:pStyle w:val="FootnoteText"/>
        <w:jc w:val="left"/>
        <w:rPr>
          <w:szCs w:val="24"/>
        </w:rPr>
      </w:pPr>
      <w:r w:rsidRPr="00840ADF">
        <w:rPr>
          <w:rStyle w:val="FootnoteReference"/>
        </w:rPr>
        <w:footnoteRef/>
      </w:r>
      <w:r w:rsidRPr="00840ADF">
        <w:tab/>
        <w:t xml:space="preserve">Erläuterungen zu den Haushaltsvollzugsarten und Verweise auf die Haushaltsordnung finden sich auf der Website BUDGpedia (in englischer Sprache): </w:t>
      </w:r>
      <w:hyperlink r:id="rId2" w:history="1">
        <w:r w:rsidRPr="00840ADF">
          <w:rPr>
            <w:rStyle w:val="Hyperlink"/>
          </w:rPr>
          <w:t>https://myintracomm.ec.europa.eu/corp/budget/financial-rules/budget-implementation/Pages/implementation-methods.aspx</w:t>
        </w:r>
      </w:hyperlink>
      <w:r w:rsidRPr="00840ADF">
        <w:rPr>
          <w:rStyle w:val="Hyperlink"/>
        </w:rPr>
        <w:t>.</w:t>
      </w:r>
    </w:p>
  </w:footnote>
  <w:footnote w:id="21">
    <w:p w:rsidR="00693ED0" w:rsidRPr="00840ADF" w:rsidRDefault="00693ED0" w:rsidP="00693ED0">
      <w:pPr>
        <w:pStyle w:val="FootnoteText"/>
      </w:pPr>
      <w:r w:rsidRPr="00840ADF">
        <w:rPr>
          <w:rStyle w:val="FootnoteReference"/>
        </w:rPr>
        <w:footnoteRef/>
      </w:r>
      <w:r w:rsidRPr="00840ADF">
        <w:tab/>
      </w:r>
      <w:r w:rsidRPr="00840ADF">
        <w:rPr>
          <w:color w:val="374151"/>
          <w:sz w:val="18"/>
        </w:rPr>
        <w:t>Der Mittelbedarf sollte auf der Grundlage der Angaben zu den Durchschnittskosten veranschlagt werden, die auf der einschlägigen BUDGpedia-Seite verfügbar sind</w:t>
      </w:r>
      <w:r w:rsidRPr="00840ADF">
        <w:rPr>
          <w:rFonts w:ascii="Segoe UI" w:hAnsi="Segoe UI"/>
          <w:color w:val="374151"/>
        </w:rPr>
        <w:t>.</w:t>
      </w:r>
    </w:p>
  </w:footnote>
  <w:footnote w:id="22">
    <w:p w:rsidR="00693ED0" w:rsidRPr="00840ADF" w:rsidRDefault="00693ED0" w:rsidP="00693ED0">
      <w:pPr>
        <w:pStyle w:val="FootnoteText"/>
      </w:pPr>
      <w:r w:rsidRPr="00840ADF">
        <w:rPr>
          <w:rStyle w:val="FootnoteReference"/>
        </w:rPr>
        <w:footnoteRef/>
      </w:r>
      <w:r w:rsidRPr="00840ADF">
        <w:tab/>
      </w:r>
      <w:r w:rsidRPr="00840ADF">
        <w:rPr>
          <w:sz w:val="18"/>
        </w:rPr>
        <w:t>Technische und/oder administrative Hilfe und Ausgaben zur Unterstützung der Durchführung von Programmen bzw. Maßnahmen der EU (vormalige BA-Linien), indirekte Forschung, direkte Forschung.</w:t>
      </w:r>
    </w:p>
  </w:footnote>
  <w:footnote w:id="23">
    <w:p w:rsidR="00693ED0" w:rsidRPr="00840ADF" w:rsidRDefault="00693ED0" w:rsidP="00693ED0">
      <w:pPr>
        <w:pStyle w:val="FootnoteText"/>
      </w:pPr>
      <w:r w:rsidRPr="00840ADF">
        <w:rPr>
          <w:rStyle w:val="FootnoteReference"/>
        </w:rPr>
        <w:footnoteRef/>
      </w:r>
      <w:r w:rsidRPr="00840ADF">
        <w:tab/>
      </w:r>
      <w:r w:rsidRPr="00840ADF">
        <w:rPr>
          <w:color w:val="374151"/>
          <w:sz w:val="18"/>
        </w:rPr>
        <w:t>Der Mittelbedarf sollte auf der Grundlage der Angaben zu den Durchschnittskosten veranschlagt werden, die auf der einschlägigen BUDGpedia-Seite verfügbar sind.</w:t>
      </w:r>
    </w:p>
  </w:footnote>
  <w:footnote w:id="24">
    <w:p w:rsidR="00693ED0" w:rsidRPr="00840ADF" w:rsidRDefault="00693ED0" w:rsidP="00693ED0">
      <w:pPr>
        <w:pStyle w:val="FootnoteText"/>
        <w:rPr>
          <w:szCs w:val="24"/>
        </w:rPr>
      </w:pPr>
      <w:r w:rsidRPr="00840ADF">
        <w:rPr>
          <w:rStyle w:val="FootnoteReference"/>
        </w:rPr>
        <w:footnoteRef/>
      </w:r>
      <w:r w:rsidRPr="00840ADF">
        <w:tab/>
        <w:t>Outputs sind Produkte, die geliefert, und Dienstleistungen, die erbracht werden (z. B. Zahl der Austauschstudenten, gebaute Straßenkilometer).</w:t>
      </w:r>
    </w:p>
  </w:footnote>
  <w:footnote w:id="25">
    <w:p w:rsidR="00693ED0" w:rsidRPr="00840ADF" w:rsidRDefault="00693ED0" w:rsidP="00693ED0">
      <w:pPr>
        <w:pStyle w:val="FootnoteText"/>
        <w:rPr>
          <w:szCs w:val="24"/>
        </w:rPr>
      </w:pPr>
      <w:r w:rsidRPr="00840ADF">
        <w:rPr>
          <w:rStyle w:val="FootnoteReference"/>
        </w:rPr>
        <w:footnoteRef/>
      </w:r>
      <w:r w:rsidRPr="00840ADF">
        <w:tab/>
        <w:t xml:space="preserve">Wie in Abschnitt 1.3.2 „Einzelziel(e)“ beschrieben. </w:t>
      </w:r>
    </w:p>
  </w:footnote>
  <w:footnote w:id="26">
    <w:p w:rsidR="00693ED0" w:rsidRPr="00840ADF" w:rsidRDefault="00693ED0" w:rsidP="00693ED0">
      <w:pPr>
        <w:pStyle w:val="FootnoteText"/>
      </w:pPr>
      <w:r w:rsidRPr="00840ADF">
        <w:rPr>
          <w:rStyle w:val="FootnoteReference"/>
        </w:rPr>
        <w:footnoteRef/>
      </w:r>
      <w:r w:rsidRPr="00840ADF">
        <w:tab/>
        <w:t>Bitte unter der Tabelle angeben, wie viele der aufgeführten VZÄ bereits der Verwaltung der Maßnahme zugeordnet sind und/oder durch Personalumschichtung innerhalb der GD dieser Aufgabe zugeteilt werden können. Den Nettobedarf beziffern.</w:t>
      </w:r>
    </w:p>
  </w:footnote>
  <w:footnote w:id="27">
    <w:p w:rsidR="00693ED0" w:rsidRPr="00840ADF" w:rsidRDefault="00693ED0" w:rsidP="00693ED0">
      <w:pPr>
        <w:pStyle w:val="FootnoteText"/>
        <w:rPr>
          <w:szCs w:val="24"/>
        </w:rPr>
      </w:pPr>
      <w:r w:rsidRPr="00840ADF">
        <w:rPr>
          <w:rStyle w:val="FootnoteReference"/>
        </w:rPr>
        <w:footnoteRef/>
      </w:r>
      <w:r w:rsidRPr="00840ADF">
        <w:tab/>
        <w:t>Bei den traditionellen Eigenmitteln (Zölle, Zuckerabgaben) sind die Beträge netto, d. h. abzüglich 20 % für Erhebungskosten, anzugeben.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3F5" w:rsidRDefault="006F53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3F5" w:rsidRDefault="006F53F5" w:rsidP="006F53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3F5" w:rsidRPr="006F53F5" w:rsidRDefault="006F53F5" w:rsidP="006F53F5">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3F5" w:rsidRPr="006F53F5" w:rsidRDefault="006F53F5" w:rsidP="006F53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4540FD"/>
    <w:multiLevelType w:val="hybridMultilevel"/>
    <w:tmpl w:val="D0502986"/>
    <w:lvl w:ilvl="0" w:tplc="573AE0E6">
      <w:start w:val="1"/>
      <w:numFmt w:val="decimal"/>
      <w:pStyle w:val="Numberedpara"/>
      <w:lvlText w:val="%1)"/>
      <w:lvlJc w:val="left"/>
      <w:pPr>
        <w:ind w:left="720" w:hanging="360"/>
      </w:pPr>
    </w:lvl>
    <w:lvl w:ilvl="1" w:tplc="EC44AD80">
      <w:start w:val="1"/>
      <w:numFmt w:val="lowerLetter"/>
      <w:lvlText w:val="%2."/>
      <w:lvlJc w:val="left"/>
      <w:pPr>
        <w:ind w:left="1440" w:hanging="360"/>
      </w:pPr>
    </w:lvl>
    <w:lvl w:ilvl="2" w:tplc="BD40F4AC">
      <w:start w:val="1"/>
      <w:numFmt w:val="lowerRoman"/>
      <w:lvlText w:val="%3."/>
      <w:lvlJc w:val="right"/>
      <w:pPr>
        <w:ind w:left="2160" w:hanging="180"/>
      </w:pPr>
    </w:lvl>
    <w:lvl w:ilvl="3" w:tplc="259651BE">
      <w:start w:val="1"/>
      <w:numFmt w:val="decimal"/>
      <w:lvlText w:val="%4."/>
      <w:lvlJc w:val="left"/>
      <w:pPr>
        <w:ind w:left="2880" w:hanging="360"/>
      </w:pPr>
    </w:lvl>
    <w:lvl w:ilvl="4" w:tplc="63E8396A">
      <w:start w:val="1"/>
      <w:numFmt w:val="lowerLetter"/>
      <w:lvlText w:val="%5."/>
      <w:lvlJc w:val="left"/>
      <w:pPr>
        <w:ind w:left="3600" w:hanging="360"/>
      </w:pPr>
    </w:lvl>
    <w:lvl w:ilvl="5" w:tplc="EE04A226">
      <w:start w:val="1"/>
      <w:numFmt w:val="lowerRoman"/>
      <w:lvlText w:val="%6."/>
      <w:lvlJc w:val="right"/>
      <w:pPr>
        <w:ind w:left="4320" w:hanging="180"/>
      </w:pPr>
    </w:lvl>
    <w:lvl w:ilvl="6" w:tplc="F99ED444">
      <w:start w:val="1"/>
      <w:numFmt w:val="decimal"/>
      <w:lvlText w:val="%7."/>
      <w:lvlJc w:val="left"/>
      <w:pPr>
        <w:ind w:left="5040" w:hanging="360"/>
      </w:pPr>
    </w:lvl>
    <w:lvl w:ilvl="7" w:tplc="B7FA9D98">
      <w:start w:val="1"/>
      <w:numFmt w:val="lowerLetter"/>
      <w:lvlText w:val="%8."/>
      <w:lvlJc w:val="left"/>
      <w:pPr>
        <w:ind w:left="5760" w:hanging="360"/>
      </w:pPr>
    </w:lvl>
    <w:lvl w:ilvl="8" w:tplc="7FD69604">
      <w:start w:val="1"/>
      <w:numFmt w:val="lowerRoman"/>
      <w:lvlText w:val="%9."/>
      <w:lvlJc w:val="right"/>
      <w:pPr>
        <w:ind w:left="6480" w:hanging="180"/>
      </w:pPr>
    </w:lvl>
  </w:abstractNum>
  <w:abstractNum w:abstractNumId="3"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8A753C2"/>
    <w:multiLevelType w:val="hybridMultilevel"/>
    <w:tmpl w:val="B9C8E46E"/>
    <w:lvl w:ilvl="0" w:tplc="F582FC32">
      <w:start w:val="1"/>
      <w:numFmt w:val="lowerRoman"/>
      <w:pStyle w:val="Num"/>
      <w:lvlText w:val="%1)"/>
      <w:lvlJc w:val="left"/>
      <w:pPr>
        <w:ind w:left="2160" w:hanging="720"/>
      </w:pPr>
      <w:rPr>
        <w:rFonts w:hint="default"/>
        <w:b w:val="0"/>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22"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1"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2"/>
  </w:num>
  <w:num w:numId="3">
    <w:abstractNumId w:val="9"/>
  </w:num>
  <w:num w:numId="4">
    <w:abstractNumId w:val="18"/>
  </w:num>
  <w:num w:numId="5">
    <w:abstractNumId w:val="17"/>
  </w:num>
  <w:num w:numId="6">
    <w:abstractNumId w:val="29"/>
  </w:num>
  <w:num w:numId="7">
    <w:abstractNumId w:val="26"/>
  </w:num>
  <w:num w:numId="8">
    <w:abstractNumId w:val="30"/>
  </w:num>
  <w:num w:numId="9">
    <w:abstractNumId w:val="31"/>
  </w:num>
  <w:num w:numId="10">
    <w:abstractNumId w:val="1"/>
  </w:num>
  <w:num w:numId="11">
    <w:abstractNumId w:val="11"/>
  </w:num>
  <w:num w:numId="12">
    <w:abstractNumId w:val="3"/>
  </w:num>
  <w:num w:numId="13">
    <w:abstractNumId w:val="12"/>
  </w:num>
  <w:num w:numId="14">
    <w:abstractNumId w:val="10"/>
  </w:num>
  <w:num w:numId="15">
    <w:abstractNumId w:val="19"/>
  </w:num>
  <w:num w:numId="16">
    <w:abstractNumId w:val="8"/>
  </w:num>
  <w:num w:numId="17">
    <w:abstractNumId w:val="25"/>
    <w:lvlOverride w:ilvl="0">
      <w:startOverride w:val="1"/>
    </w:lvlOverride>
  </w:num>
  <w:num w:numId="18">
    <w:abstractNumId w:val="2"/>
  </w:num>
  <w:num w:numId="19">
    <w:abstractNumId w:val="21"/>
  </w:num>
  <w:num w:numId="20">
    <w:abstractNumId w:val="32"/>
    <w:lvlOverride w:ilvl="0">
      <w:startOverride w:val="1"/>
    </w:lvlOverride>
  </w:num>
  <w:num w:numId="21">
    <w:abstractNumId w:val="25"/>
  </w:num>
  <w:num w:numId="22">
    <w:abstractNumId w:val="13"/>
  </w:num>
  <w:num w:numId="23">
    <w:abstractNumId w:val="28"/>
  </w:num>
  <w:num w:numId="24">
    <w:abstractNumId w:val="7"/>
  </w:num>
  <w:num w:numId="25">
    <w:abstractNumId w:val="14"/>
  </w:num>
  <w:num w:numId="26">
    <w:abstractNumId w:val="15"/>
  </w:num>
  <w:num w:numId="27">
    <w:abstractNumId w:val="5"/>
  </w:num>
  <w:num w:numId="28">
    <w:abstractNumId w:val="27"/>
  </w:num>
  <w:num w:numId="29">
    <w:abstractNumId w:val="4"/>
  </w:num>
  <w:num w:numId="30">
    <w:abstractNumId w:val="16"/>
  </w:num>
  <w:num w:numId="31">
    <w:abstractNumId w:val="23"/>
  </w:num>
  <w:num w:numId="32">
    <w:abstractNumId w:val="24"/>
  </w:num>
  <w:num w:numId="33">
    <w:abstractNumId w:val="6"/>
  </w:num>
  <w:num w:numId="34">
    <w:abstractNumId w:val="20"/>
  </w:num>
  <w:num w:numId="35">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5-06-13 19:55:2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4353BB18-9E4E-4B84-B1D1-8CADD9475092"/>
    <w:docVar w:name="LW_COVERPAGE_TYPE" w:val="1"/>
    <w:docVar w:name="LW_CreatedUtc" w:val="2025-02-25T15:48:10.6443689Z"/>
    <w:docVar w:name="LW_CROSSREFERENCE" w:val="{SWD(2025) 600 final}"/>
    <w:docVar w:name="LW_DocType" w:val="COM"/>
    <w:docVar w:name="LW_EMISSION" w:val="20.5.2025"/>
    <w:docVar w:name="LW_EMISSION_ISODATE" w:val="2025-05-20"/>
    <w:docVar w:name="LW_EMISSION_LOCATION" w:val="BRX"/>
    <w:docVar w:name="LW_EMISSION_PREFIX" w:val="Brüssel, den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DE"/>
    <w:docVar w:name="LW_LEVEL_OF_SENSITIVITY" w:val="Standard treatment"/>
    <w:docVar w:name="LW_NOM.INST" w:val="EUROPÄISCHE KOMMISSION"/>
    <w:docVar w:name="LW_NOM.INST_JOINTDOC" w:val="&lt;EMPTY&gt;"/>
    <w:docVar w:name="LW_PART_NBR" w:val="1"/>
    <w:docVar w:name="LW_PART_NBR_TOTAL" w:val="1"/>
    <w:docVar w:name="LW_REF.II.NEW.CP" w:val="COD"/>
    <w:docVar w:name="LW_REF.II.NEW.CP_NUMBER" w:val="0132"/>
    <w:docVar w:name="LW_REF.II.NEW.CP_YEAR" w:val="2025"/>
    <w:docVar w:name="LW_REF.INST.NEW" w:val="COM"/>
    <w:docVar w:name="LW_REF.INST.NEW_ADOPTED" w:val="final"/>
    <w:docVar w:name="LW_REF.INST.NEW_TEXT" w:val="(2025) 25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Vorschlag für eine"/>
    <w:docVar w:name="LW_SUPERTITRE" w:val="&lt;UNUSED&gt;"/>
    <w:docVar w:name="LW_TITRE.OBJ.CP" w:val="zur Änderung der Verordnung (EU) 2024/1348 in Bezug auf die Anwendung des Konzepts des \u8222?sicheren Drittstaats\u8220?"/>
    <w:docVar w:name="LW_TYPE.DOC.CP" w:val="VERORDNUNG DES EUROPÄISCHEN PARLAMENTS UND DES RATES"/>
    <w:docVar w:name="LwApiVersions" w:val="LW4CoDe 1.24.5.0; LW 9.0, Build 20240221"/>
  </w:docVars>
  <w:rsids>
    <w:rsidRoot w:val="00201A77"/>
    <w:rsid w:val="00000080"/>
    <w:rsid w:val="0000016E"/>
    <w:rsid w:val="00000469"/>
    <w:rsid w:val="00000BC3"/>
    <w:rsid w:val="00000E65"/>
    <w:rsid w:val="00000F22"/>
    <w:rsid w:val="00001047"/>
    <w:rsid w:val="00001D37"/>
    <w:rsid w:val="000020FA"/>
    <w:rsid w:val="00003074"/>
    <w:rsid w:val="00003371"/>
    <w:rsid w:val="0000351B"/>
    <w:rsid w:val="000040EB"/>
    <w:rsid w:val="000047AF"/>
    <w:rsid w:val="0000484E"/>
    <w:rsid w:val="000048A4"/>
    <w:rsid w:val="00004D97"/>
    <w:rsid w:val="00005107"/>
    <w:rsid w:val="00005261"/>
    <w:rsid w:val="00005495"/>
    <w:rsid w:val="00005709"/>
    <w:rsid w:val="000058D1"/>
    <w:rsid w:val="0000648A"/>
    <w:rsid w:val="000066A0"/>
    <w:rsid w:val="00006D4E"/>
    <w:rsid w:val="00006F92"/>
    <w:rsid w:val="00007999"/>
    <w:rsid w:val="000102FF"/>
    <w:rsid w:val="00010449"/>
    <w:rsid w:val="00010E3A"/>
    <w:rsid w:val="00011704"/>
    <w:rsid w:val="000118C1"/>
    <w:rsid w:val="00011969"/>
    <w:rsid w:val="0001239A"/>
    <w:rsid w:val="000123D3"/>
    <w:rsid w:val="00012A5E"/>
    <w:rsid w:val="00012A72"/>
    <w:rsid w:val="00013194"/>
    <w:rsid w:val="00013306"/>
    <w:rsid w:val="000137E9"/>
    <w:rsid w:val="0001381B"/>
    <w:rsid w:val="00013AE5"/>
    <w:rsid w:val="0001423C"/>
    <w:rsid w:val="00014C83"/>
    <w:rsid w:val="000150F7"/>
    <w:rsid w:val="00015138"/>
    <w:rsid w:val="0001587B"/>
    <w:rsid w:val="000159FC"/>
    <w:rsid w:val="00015B25"/>
    <w:rsid w:val="00015BA3"/>
    <w:rsid w:val="00015D5D"/>
    <w:rsid w:val="00015DAE"/>
    <w:rsid w:val="00016156"/>
    <w:rsid w:val="00016DBD"/>
    <w:rsid w:val="000202FA"/>
    <w:rsid w:val="000204C6"/>
    <w:rsid w:val="0002051E"/>
    <w:rsid w:val="00020984"/>
    <w:rsid w:val="00020ADC"/>
    <w:rsid w:val="000210B8"/>
    <w:rsid w:val="00021B8C"/>
    <w:rsid w:val="00021FE8"/>
    <w:rsid w:val="0002240F"/>
    <w:rsid w:val="000225C9"/>
    <w:rsid w:val="000226F1"/>
    <w:rsid w:val="00022AD4"/>
    <w:rsid w:val="00022EFE"/>
    <w:rsid w:val="0002344C"/>
    <w:rsid w:val="00023980"/>
    <w:rsid w:val="00023C72"/>
    <w:rsid w:val="00023DA1"/>
    <w:rsid w:val="0002423D"/>
    <w:rsid w:val="000246EF"/>
    <w:rsid w:val="0002499F"/>
    <w:rsid w:val="00024A19"/>
    <w:rsid w:val="00025466"/>
    <w:rsid w:val="00025689"/>
    <w:rsid w:val="0002588F"/>
    <w:rsid w:val="00025E11"/>
    <w:rsid w:val="00026156"/>
    <w:rsid w:val="00026D86"/>
    <w:rsid w:val="00027303"/>
    <w:rsid w:val="000275CD"/>
    <w:rsid w:val="00030012"/>
    <w:rsid w:val="000304A8"/>
    <w:rsid w:val="000313EE"/>
    <w:rsid w:val="00031500"/>
    <w:rsid w:val="00033E01"/>
    <w:rsid w:val="00033F8B"/>
    <w:rsid w:val="00033FB8"/>
    <w:rsid w:val="0003422A"/>
    <w:rsid w:val="000343B1"/>
    <w:rsid w:val="0003457C"/>
    <w:rsid w:val="0003468D"/>
    <w:rsid w:val="00034BFB"/>
    <w:rsid w:val="00035CFC"/>
    <w:rsid w:val="0003652C"/>
    <w:rsid w:val="000365A3"/>
    <w:rsid w:val="00036776"/>
    <w:rsid w:val="00036C46"/>
    <w:rsid w:val="00036F19"/>
    <w:rsid w:val="000378A9"/>
    <w:rsid w:val="00037C21"/>
    <w:rsid w:val="00037E6E"/>
    <w:rsid w:val="00037ED2"/>
    <w:rsid w:val="000403FC"/>
    <w:rsid w:val="0004047D"/>
    <w:rsid w:val="0004080C"/>
    <w:rsid w:val="0004085E"/>
    <w:rsid w:val="00040A5B"/>
    <w:rsid w:val="00040BA1"/>
    <w:rsid w:val="00040C4E"/>
    <w:rsid w:val="00040DC2"/>
    <w:rsid w:val="0004115F"/>
    <w:rsid w:val="00041A79"/>
    <w:rsid w:val="00041DE3"/>
    <w:rsid w:val="00041FC8"/>
    <w:rsid w:val="00042454"/>
    <w:rsid w:val="000427DA"/>
    <w:rsid w:val="000428A1"/>
    <w:rsid w:val="00042AE3"/>
    <w:rsid w:val="00042BE5"/>
    <w:rsid w:val="00043117"/>
    <w:rsid w:val="0004342B"/>
    <w:rsid w:val="00043608"/>
    <w:rsid w:val="00043D01"/>
    <w:rsid w:val="0004465A"/>
    <w:rsid w:val="00044C92"/>
    <w:rsid w:val="00045419"/>
    <w:rsid w:val="000457B5"/>
    <w:rsid w:val="00045BAF"/>
    <w:rsid w:val="0004667E"/>
    <w:rsid w:val="00046D7D"/>
    <w:rsid w:val="000470E3"/>
    <w:rsid w:val="0004722F"/>
    <w:rsid w:val="00047274"/>
    <w:rsid w:val="00047311"/>
    <w:rsid w:val="00047676"/>
    <w:rsid w:val="00050723"/>
    <w:rsid w:val="00050BA0"/>
    <w:rsid w:val="00050C62"/>
    <w:rsid w:val="00051439"/>
    <w:rsid w:val="00051818"/>
    <w:rsid w:val="00052666"/>
    <w:rsid w:val="00052C5D"/>
    <w:rsid w:val="00052D06"/>
    <w:rsid w:val="000530D1"/>
    <w:rsid w:val="0005344E"/>
    <w:rsid w:val="00053A98"/>
    <w:rsid w:val="00053C20"/>
    <w:rsid w:val="00054033"/>
    <w:rsid w:val="00054DB5"/>
    <w:rsid w:val="00055071"/>
    <w:rsid w:val="000553EC"/>
    <w:rsid w:val="00055C33"/>
    <w:rsid w:val="00055DE1"/>
    <w:rsid w:val="00055F61"/>
    <w:rsid w:val="00056A22"/>
    <w:rsid w:val="000575E2"/>
    <w:rsid w:val="000578AE"/>
    <w:rsid w:val="000607CF"/>
    <w:rsid w:val="00060F0F"/>
    <w:rsid w:val="000610C3"/>
    <w:rsid w:val="00061BA6"/>
    <w:rsid w:val="00061CF4"/>
    <w:rsid w:val="0006250C"/>
    <w:rsid w:val="0006251F"/>
    <w:rsid w:val="000625D4"/>
    <w:rsid w:val="000628EB"/>
    <w:rsid w:val="000631CF"/>
    <w:rsid w:val="00063B08"/>
    <w:rsid w:val="00063EFE"/>
    <w:rsid w:val="000643AC"/>
    <w:rsid w:val="000645F1"/>
    <w:rsid w:val="000647ED"/>
    <w:rsid w:val="00064BD2"/>
    <w:rsid w:val="00065F42"/>
    <w:rsid w:val="00066806"/>
    <w:rsid w:val="00066894"/>
    <w:rsid w:val="00066BDB"/>
    <w:rsid w:val="000670C3"/>
    <w:rsid w:val="00067602"/>
    <w:rsid w:val="00067A12"/>
    <w:rsid w:val="000702A3"/>
    <w:rsid w:val="00070535"/>
    <w:rsid w:val="00070919"/>
    <w:rsid w:val="00070BAC"/>
    <w:rsid w:val="00071BC7"/>
    <w:rsid w:val="00073019"/>
    <w:rsid w:val="000736E1"/>
    <w:rsid w:val="000739C0"/>
    <w:rsid w:val="00073AB9"/>
    <w:rsid w:val="00073E11"/>
    <w:rsid w:val="00074D43"/>
    <w:rsid w:val="0007581C"/>
    <w:rsid w:val="0007626C"/>
    <w:rsid w:val="00076839"/>
    <w:rsid w:val="00076BE4"/>
    <w:rsid w:val="00077395"/>
    <w:rsid w:val="000774AC"/>
    <w:rsid w:val="0007760F"/>
    <w:rsid w:val="00077CD4"/>
    <w:rsid w:val="000804D3"/>
    <w:rsid w:val="00080A7A"/>
    <w:rsid w:val="00081F99"/>
    <w:rsid w:val="00082429"/>
    <w:rsid w:val="000826C7"/>
    <w:rsid w:val="000827BA"/>
    <w:rsid w:val="00083005"/>
    <w:rsid w:val="000837A1"/>
    <w:rsid w:val="0008393C"/>
    <w:rsid w:val="00083F85"/>
    <w:rsid w:val="00084708"/>
    <w:rsid w:val="00085106"/>
    <w:rsid w:val="00085447"/>
    <w:rsid w:val="00085674"/>
    <w:rsid w:val="00085B4C"/>
    <w:rsid w:val="00085E43"/>
    <w:rsid w:val="00085F5B"/>
    <w:rsid w:val="00086F1C"/>
    <w:rsid w:val="00087135"/>
    <w:rsid w:val="00087280"/>
    <w:rsid w:val="00087759"/>
    <w:rsid w:val="00087BC1"/>
    <w:rsid w:val="00087FE2"/>
    <w:rsid w:val="00090031"/>
    <w:rsid w:val="00090299"/>
    <w:rsid w:val="000903B4"/>
    <w:rsid w:val="000908E5"/>
    <w:rsid w:val="00090F2C"/>
    <w:rsid w:val="0009141D"/>
    <w:rsid w:val="00091615"/>
    <w:rsid w:val="000917B3"/>
    <w:rsid w:val="0009188C"/>
    <w:rsid w:val="00091D16"/>
    <w:rsid w:val="00091FD5"/>
    <w:rsid w:val="000926ED"/>
    <w:rsid w:val="00093511"/>
    <w:rsid w:val="000944A5"/>
    <w:rsid w:val="00094775"/>
    <w:rsid w:val="000948EE"/>
    <w:rsid w:val="00094C45"/>
    <w:rsid w:val="00094CB8"/>
    <w:rsid w:val="0009575D"/>
    <w:rsid w:val="00095825"/>
    <w:rsid w:val="000966A8"/>
    <w:rsid w:val="0009693C"/>
    <w:rsid w:val="00096D50"/>
    <w:rsid w:val="00097145"/>
    <w:rsid w:val="0009753C"/>
    <w:rsid w:val="00097702"/>
    <w:rsid w:val="00097B59"/>
    <w:rsid w:val="000A0516"/>
    <w:rsid w:val="000A05FE"/>
    <w:rsid w:val="000A1014"/>
    <w:rsid w:val="000A13D1"/>
    <w:rsid w:val="000A1435"/>
    <w:rsid w:val="000A15B0"/>
    <w:rsid w:val="000A19BA"/>
    <w:rsid w:val="000A1BB0"/>
    <w:rsid w:val="000A20A8"/>
    <w:rsid w:val="000A229B"/>
    <w:rsid w:val="000A2D77"/>
    <w:rsid w:val="000A3083"/>
    <w:rsid w:val="000A3493"/>
    <w:rsid w:val="000A3D82"/>
    <w:rsid w:val="000A3DD8"/>
    <w:rsid w:val="000A3DEF"/>
    <w:rsid w:val="000A4099"/>
    <w:rsid w:val="000A428F"/>
    <w:rsid w:val="000A4579"/>
    <w:rsid w:val="000A46D5"/>
    <w:rsid w:val="000A4A8B"/>
    <w:rsid w:val="000A4D55"/>
    <w:rsid w:val="000A549A"/>
    <w:rsid w:val="000A54FC"/>
    <w:rsid w:val="000A5644"/>
    <w:rsid w:val="000A5740"/>
    <w:rsid w:val="000A5A4D"/>
    <w:rsid w:val="000A5B9E"/>
    <w:rsid w:val="000A5C0E"/>
    <w:rsid w:val="000A5C71"/>
    <w:rsid w:val="000A5D5F"/>
    <w:rsid w:val="000A60B8"/>
    <w:rsid w:val="000A67EA"/>
    <w:rsid w:val="000A6915"/>
    <w:rsid w:val="000A6C12"/>
    <w:rsid w:val="000A6E76"/>
    <w:rsid w:val="000A70B6"/>
    <w:rsid w:val="000A7137"/>
    <w:rsid w:val="000A73A5"/>
    <w:rsid w:val="000A7729"/>
    <w:rsid w:val="000A7768"/>
    <w:rsid w:val="000B009C"/>
    <w:rsid w:val="000B0243"/>
    <w:rsid w:val="000B0E2D"/>
    <w:rsid w:val="000B1BA8"/>
    <w:rsid w:val="000B2791"/>
    <w:rsid w:val="000B2EBE"/>
    <w:rsid w:val="000B2F5B"/>
    <w:rsid w:val="000B36DC"/>
    <w:rsid w:val="000B3B6E"/>
    <w:rsid w:val="000B45FA"/>
    <w:rsid w:val="000B5586"/>
    <w:rsid w:val="000B5892"/>
    <w:rsid w:val="000B5C51"/>
    <w:rsid w:val="000B61DE"/>
    <w:rsid w:val="000B6AAD"/>
    <w:rsid w:val="000B71C2"/>
    <w:rsid w:val="000B7711"/>
    <w:rsid w:val="000B791F"/>
    <w:rsid w:val="000B7E90"/>
    <w:rsid w:val="000B7EFB"/>
    <w:rsid w:val="000C0432"/>
    <w:rsid w:val="000C06BE"/>
    <w:rsid w:val="000C1C56"/>
    <w:rsid w:val="000C1FCF"/>
    <w:rsid w:val="000C2184"/>
    <w:rsid w:val="000C241E"/>
    <w:rsid w:val="000C2668"/>
    <w:rsid w:val="000C2CF7"/>
    <w:rsid w:val="000C2E45"/>
    <w:rsid w:val="000C3002"/>
    <w:rsid w:val="000C3DC2"/>
    <w:rsid w:val="000C3EE6"/>
    <w:rsid w:val="000C4096"/>
    <w:rsid w:val="000C4B87"/>
    <w:rsid w:val="000C4DE2"/>
    <w:rsid w:val="000C5C64"/>
    <w:rsid w:val="000C5CE5"/>
    <w:rsid w:val="000C6926"/>
    <w:rsid w:val="000C6A9B"/>
    <w:rsid w:val="000C6D75"/>
    <w:rsid w:val="000C7712"/>
    <w:rsid w:val="000C7716"/>
    <w:rsid w:val="000C79A6"/>
    <w:rsid w:val="000D01A1"/>
    <w:rsid w:val="000D01F1"/>
    <w:rsid w:val="000D08DA"/>
    <w:rsid w:val="000D0961"/>
    <w:rsid w:val="000D15C2"/>
    <w:rsid w:val="000D1AA1"/>
    <w:rsid w:val="000D1BB7"/>
    <w:rsid w:val="000D1E0C"/>
    <w:rsid w:val="000D22B3"/>
    <w:rsid w:val="000D2598"/>
    <w:rsid w:val="000D27E9"/>
    <w:rsid w:val="000D2941"/>
    <w:rsid w:val="000D2ED9"/>
    <w:rsid w:val="000D35FD"/>
    <w:rsid w:val="000D362F"/>
    <w:rsid w:val="000D3859"/>
    <w:rsid w:val="000D3860"/>
    <w:rsid w:val="000D3ABD"/>
    <w:rsid w:val="000D4515"/>
    <w:rsid w:val="000D4708"/>
    <w:rsid w:val="000D4910"/>
    <w:rsid w:val="000D4DD2"/>
    <w:rsid w:val="000D4F2F"/>
    <w:rsid w:val="000D5895"/>
    <w:rsid w:val="000D5D7D"/>
    <w:rsid w:val="000D6518"/>
    <w:rsid w:val="000D6ECE"/>
    <w:rsid w:val="000D75CC"/>
    <w:rsid w:val="000E0005"/>
    <w:rsid w:val="000E1009"/>
    <w:rsid w:val="000E131E"/>
    <w:rsid w:val="000E148A"/>
    <w:rsid w:val="000E14A2"/>
    <w:rsid w:val="000E1920"/>
    <w:rsid w:val="000E1B77"/>
    <w:rsid w:val="000E26D1"/>
    <w:rsid w:val="000E2812"/>
    <w:rsid w:val="000E2919"/>
    <w:rsid w:val="000E358F"/>
    <w:rsid w:val="000E3B29"/>
    <w:rsid w:val="000E467F"/>
    <w:rsid w:val="000E5593"/>
    <w:rsid w:val="000E5B1D"/>
    <w:rsid w:val="000E5CAA"/>
    <w:rsid w:val="000E5DFA"/>
    <w:rsid w:val="000E629C"/>
    <w:rsid w:val="000E6518"/>
    <w:rsid w:val="000E665A"/>
    <w:rsid w:val="000E70C6"/>
    <w:rsid w:val="000F000F"/>
    <w:rsid w:val="000F0179"/>
    <w:rsid w:val="000F10D4"/>
    <w:rsid w:val="000F177C"/>
    <w:rsid w:val="000F1D95"/>
    <w:rsid w:val="000F27E8"/>
    <w:rsid w:val="000F31A0"/>
    <w:rsid w:val="000F42EF"/>
    <w:rsid w:val="000F5035"/>
    <w:rsid w:val="000F5168"/>
    <w:rsid w:val="000F5211"/>
    <w:rsid w:val="000F53D3"/>
    <w:rsid w:val="000F5650"/>
    <w:rsid w:val="000F5C4D"/>
    <w:rsid w:val="000F6412"/>
    <w:rsid w:val="000F643D"/>
    <w:rsid w:val="000F6850"/>
    <w:rsid w:val="000F6929"/>
    <w:rsid w:val="000F6C70"/>
    <w:rsid w:val="000F6E8A"/>
    <w:rsid w:val="000F6FB8"/>
    <w:rsid w:val="000F7427"/>
    <w:rsid w:val="001000C6"/>
    <w:rsid w:val="001005EE"/>
    <w:rsid w:val="001007A2"/>
    <w:rsid w:val="00100B75"/>
    <w:rsid w:val="001012DA"/>
    <w:rsid w:val="001012F7"/>
    <w:rsid w:val="001016A6"/>
    <w:rsid w:val="00101B2D"/>
    <w:rsid w:val="00101ECB"/>
    <w:rsid w:val="001023B9"/>
    <w:rsid w:val="001023DE"/>
    <w:rsid w:val="00103546"/>
    <w:rsid w:val="0010376C"/>
    <w:rsid w:val="00104234"/>
    <w:rsid w:val="0010550C"/>
    <w:rsid w:val="001065F5"/>
    <w:rsid w:val="00106C15"/>
    <w:rsid w:val="001075F6"/>
    <w:rsid w:val="00107D55"/>
    <w:rsid w:val="00107E5D"/>
    <w:rsid w:val="00110614"/>
    <w:rsid w:val="001108C7"/>
    <w:rsid w:val="00110A99"/>
    <w:rsid w:val="00110EED"/>
    <w:rsid w:val="00111197"/>
    <w:rsid w:val="00111345"/>
    <w:rsid w:val="00111C1F"/>
    <w:rsid w:val="00111E8A"/>
    <w:rsid w:val="00112529"/>
    <w:rsid w:val="001127AF"/>
    <w:rsid w:val="00113667"/>
    <w:rsid w:val="00113AFA"/>
    <w:rsid w:val="00113F95"/>
    <w:rsid w:val="00114237"/>
    <w:rsid w:val="00114567"/>
    <w:rsid w:val="00114EED"/>
    <w:rsid w:val="0011553C"/>
    <w:rsid w:val="00115F47"/>
    <w:rsid w:val="00115F7F"/>
    <w:rsid w:val="00115FAC"/>
    <w:rsid w:val="001178EF"/>
    <w:rsid w:val="00117F9E"/>
    <w:rsid w:val="00117FB8"/>
    <w:rsid w:val="0012003B"/>
    <w:rsid w:val="00120CE3"/>
    <w:rsid w:val="001216F6"/>
    <w:rsid w:val="00122133"/>
    <w:rsid w:val="0012215C"/>
    <w:rsid w:val="00122625"/>
    <w:rsid w:val="001227B2"/>
    <w:rsid w:val="00122B22"/>
    <w:rsid w:val="00123376"/>
    <w:rsid w:val="001235B5"/>
    <w:rsid w:val="0012384C"/>
    <w:rsid w:val="001238EF"/>
    <w:rsid w:val="00123DFB"/>
    <w:rsid w:val="0012418B"/>
    <w:rsid w:val="001243E8"/>
    <w:rsid w:val="00125328"/>
    <w:rsid w:val="00125384"/>
    <w:rsid w:val="00126032"/>
    <w:rsid w:val="001263EA"/>
    <w:rsid w:val="0012742C"/>
    <w:rsid w:val="00127C95"/>
    <w:rsid w:val="00127E15"/>
    <w:rsid w:val="00127F9E"/>
    <w:rsid w:val="00130893"/>
    <w:rsid w:val="001319D2"/>
    <w:rsid w:val="00131C2C"/>
    <w:rsid w:val="00131FB5"/>
    <w:rsid w:val="001334C4"/>
    <w:rsid w:val="001334D1"/>
    <w:rsid w:val="00133689"/>
    <w:rsid w:val="00133BF9"/>
    <w:rsid w:val="001342FD"/>
    <w:rsid w:val="00134630"/>
    <w:rsid w:val="00134853"/>
    <w:rsid w:val="00134B2B"/>
    <w:rsid w:val="001351CE"/>
    <w:rsid w:val="00135298"/>
    <w:rsid w:val="00135808"/>
    <w:rsid w:val="00135ED6"/>
    <w:rsid w:val="00135F63"/>
    <w:rsid w:val="001372BA"/>
    <w:rsid w:val="001378E1"/>
    <w:rsid w:val="00137B30"/>
    <w:rsid w:val="00137E41"/>
    <w:rsid w:val="0014027A"/>
    <w:rsid w:val="00140AA4"/>
    <w:rsid w:val="00140EED"/>
    <w:rsid w:val="001412E5"/>
    <w:rsid w:val="00141A7E"/>
    <w:rsid w:val="00141B80"/>
    <w:rsid w:val="00141FCC"/>
    <w:rsid w:val="001421BF"/>
    <w:rsid w:val="00142A44"/>
    <w:rsid w:val="001430CC"/>
    <w:rsid w:val="00143FAB"/>
    <w:rsid w:val="001445DD"/>
    <w:rsid w:val="00144918"/>
    <w:rsid w:val="00144CE6"/>
    <w:rsid w:val="00146329"/>
    <w:rsid w:val="00146BBF"/>
    <w:rsid w:val="0014720C"/>
    <w:rsid w:val="0014767C"/>
    <w:rsid w:val="00150177"/>
    <w:rsid w:val="00150AF8"/>
    <w:rsid w:val="00150CCA"/>
    <w:rsid w:val="00150FBB"/>
    <w:rsid w:val="00151670"/>
    <w:rsid w:val="00151ADF"/>
    <w:rsid w:val="0015210F"/>
    <w:rsid w:val="00152807"/>
    <w:rsid w:val="00153A34"/>
    <w:rsid w:val="0015466A"/>
    <w:rsid w:val="001546F3"/>
    <w:rsid w:val="00155C21"/>
    <w:rsid w:val="00155C41"/>
    <w:rsid w:val="00155F00"/>
    <w:rsid w:val="00156086"/>
    <w:rsid w:val="001561EE"/>
    <w:rsid w:val="0015620C"/>
    <w:rsid w:val="00156481"/>
    <w:rsid w:val="001565EA"/>
    <w:rsid w:val="00156844"/>
    <w:rsid w:val="00156889"/>
    <w:rsid w:val="00156D8D"/>
    <w:rsid w:val="001608E4"/>
    <w:rsid w:val="001614A5"/>
    <w:rsid w:val="001614BC"/>
    <w:rsid w:val="0016181F"/>
    <w:rsid w:val="0016243A"/>
    <w:rsid w:val="00162751"/>
    <w:rsid w:val="0016281F"/>
    <w:rsid w:val="00162A8C"/>
    <w:rsid w:val="0016338A"/>
    <w:rsid w:val="00163761"/>
    <w:rsid w:val="0016388F"/>
    <w:rsid w:val="00163997"/>
    <w:rsid w:val="00163C29"/>
    <w:rsid w:val="00163EB7"/>
    <w:rsid w:val="00163F59"/>
    <w:rsid w:val="00164223"/>
    <w:rsid w:val="00164E6C"/>
    <w:rsid w:val="001653AD"/>
    <w:rsid w:val="001656F8"/>
    <w:rsid w:val="00165F97"/>
    <w:rsid w:val="0016623E"/>
    <w:rsid w:val="001663F3"/>
    <w:rsid w:val="00166549"/>
    <w:rsid w:val="0016690B"/>
    <w:rsid w:val="00166E31"/>
    <w:rsid w:val="00167222"/>
    <w:rsid w:val="001675AC"/>
    <w:rsid w:val="0016792A"/>
    <w:rsid w:val="00167D64"/>
    <w:rsid w:val="00167D9D"/>
    <w:rsid w:val="00171BA5"/>
    <w:rsid w:val="0017230F"/>
    <w:rsid w:val="00172A8C"/>
    <w:rsid w:val="00172B13"/>
    <w:rsid w:val="00172EAB"/>
    <w:rsid w:val="0017327A"/>
    <w:rsid w:val="00173921"/>
    <w:rsid w:val="00173CB6"/>
    <w:rsid w:val="00174181"/>
    <w:rsid w:val="00174317"/>
    <w:rsid w:val="001747A4"/>
    <w:rsid w:val="0017497E"/>
    <w:rsid w:val="00174A8E"/>
    <w:rsid w:val="00174F1C"/>
    <w:rsid w:val="0017630B"/>
    <w:rsid w:val="00176760"/>
    <w:rsid w:val="00177047"/>
    <w:rsid w:val="00180D83"/>
    <w:rsid w:val="00181914"/>
    <w:rsid w:val="00181B28"/>
    <w:rsid w:val="00181CE7"/>
    <w:rsid w:val="0018206D"/>
    <w:rsid w:val="0018298C"/>
    <w:rsid w:val="00182B70"/>
    <w:rsid w:val="00183B76"/>
    <w:rsid w:val="00184F7C"/>
    <w:rsid w:val="00185008"/>
    <w:rsid w:val="00185C56"/>
    <w:rsid w:val="0018616C"/>
    <w:rsid w:val="0018653B"/>
    <w:rsid w:val="001867E8"/>
    <w:rsid w:val="001867F6"/>
    <w:rsid w:val="00186B86"/>
    <w:rsid w:val="00186BF8"/>
    <w:rsid w:val="00186CFA"/>
    <w:rsid w:val="00187AAE"/>
    <w:rsid w:val="00187C35"/>
    <w:rsid w:val="00187C41"/>
    <w:rsid w:val="00190146"/>
    <w:rsid w:val="001903D5"/>
    <w:rsid w:val="001907B1"/>
    <w:rsid w:val="00190913"/>
    <w:rsid w:val="00190A34"/>
    <w:rsid w:val="00191126"/>
    <w:rsid w:val="00191328"/>
    <w:rsid w:val="00191B86"/>
    <w:rsid w:val="00192EB5"/>
    <w:rsid w:val="00192F2E"/>
    <w:rsid w:val="00193097"/>
    <w:rsid w:val="0019322B"/>
    <w:rsid w:val="00193B4F"/>
    <w:rsid w:val="00193EEE"/>
    <w:rsid w:val="001940B5"/>
    <w:rsid w:val="00194391"/>
    <w:rsid w:val="0019465D"/>
    <w:rsid w:val="00194708"/>
    <w:rsid w:val="0019486F"/>
    <w:rsid w:val="001948C9"/>
    <w:rsid w:val="0019536B"/>
    <w:rsid w:val="00195921"/>
    <w:rsid w:val="00196041"/>
    <w:rsid w:val="001968D1"/>
    <w:rsid w:val="00197613"/>
    <w:rsid w:val="00197C90"/>
    <w:rsid w:val="001A01FA"/>
    <w:rsid w:val="001A05C3"/>
    <w:rsid w:val="001A0956"/>
    <w:rsid w:val="001A10FD"/>
    <w:rsid w:val="001A130B"/>
    <w:rsid w:val="001A1FEE"/>
    <w:rsid w:val="001A23FD"/>
    <w:rsid w:val="001A2512"/>
    <w:rsid w:val="001A293E"/>
    <w:rsid w:val="001A2E02"/>
    <w:rsid w:val="001A30DF"/>
    <w:rsid w:val="001A34B6"/>
    <w:rsid w:val="001A3880"/>
    <w:rsid w:val="001A3DD7"/>
    <w:rsid w:val="001A418D"/>
    <w:rsid w:val="001A46C6"/>
    <w:rsid w:val="001A4D78"/>
    <w:rsid w:val="001A521B"/>
    <w:rsid w:val="001A5477"/>
    <w:rsid w:val="001A5653"/>
    <w:rsid w:val="001A590E"/>
    <w:rsid w:val="001A5D7B"/>
    <w:rsid w:val="001A661E"/>
    <w:rsid w:val="001A67E3"/>
    <w:rsid w:val="001A6933"/>
    <w:rsid w:val="001A6A05"/>
    <w:rsid w:val="001A7586"/>
    <w:rsid w:val="001A7CBE"/>
    <w:rsid w:val="001A7E4A"/>
    <w:rsid w:val="001A7EE8"/>
    <w:rsid w:val="001B01C3"/>
    <w:rsid w:val="001B01C5"/>
    <w:rsid w:val="001B0EF9"/>
    <w:rsid w:val="001B23B5"/>
    <w:rsid w:val="001B3338"/>
    <w:rsid w:val="001B33E1"/>
    <w:rsid w:val="001B415E"/>
    <w:rsid w:val="001B41C2"/>
    <w:rsid w:val="001B479F"/>
    <w:rsid w:val="001B4940"/>
    <w:rsid w:val="001B4C7D"/>
    <w:rsid w:val="001B5B0B"/>
    <w:rsid w:val="001B5B58"/>
    <w:rsid w:val="001B68A0"/>
    <w:rsid w:val="001B6BB1"/>
    <w:rsid w:val="001B7301"/>
    <w:rsid w:val="001B743B"/>
    <w:rsid w:val="001B7443"/>
    <w:rsid w:val="001B7E60"/>
    <w:rsid w:val="001C02B3"/>
    <w:rsid w:val="001C1538"/>
    <w:rsid w:val="001C1900"/>
    <w:rsid w:val="001C1D62"/>
    <w:rsid w:val="001C1E51"/>
    <w:rsid w:val="001C299A"/>
    <w:rsid w:val="001C2EC3"/>
    <w:rsid w:val="001C2EC5"/>
    <w:rsid w:val="001C3865"/>
    <w:rsid w:val="001C3A69"/>
    <w:rsid w:val="001C414F"/>
    <w:rsid w:val="001C423D"/>
    <w:rsid w:val="001C435F"/>
    <w:rsid w:val="001C4B95"/>
    <w:rsid w:val="001C4F05"/>
    <w:rsid w:val="001C4F16"/>
    <w:rsid w:val="001C5238"/>
    <w:rsid w:val="001C548E"/>
    <w:rsid w:val="001C6113"/>
    <w:rsid w:val="001C65BA"/>
    <w:rsid w:val="001C6ECF"/>
    <w:rsid w:val="001C7042"/>
    <w:rsid w:val="001C742E"/>
    <w:rsid w:val="001C7565"/>
    <w:rsid w:val="001C7DE6"/>
    <w:rsid w:val="001D00E1"/>
    <w:rsid w:val="001D0352"/>
    <w:rsid w:val="001D0AA6"/>
    <w:rsid w:val="001D1585"/>
    <w:rsid w:val="001D18F6"/>
    <w:rsid w:val="001D1AED"/>
    <w:rsid w:val="001D200B"/>
    <w:rsid w:val="001D2161"/>
    <w:rsid w:val="001D2469"/>
    <w:rsid w:val="001D2534"/>
    <w:rsid w:val="001D2C9C"/>
    <w:rsid w:val="001D3360"/>
    <w:rsid w:val="001D3601"/>
    <w:rsid w:val="001D4783"/>
    <w:rsid w:val="001D49FE"/>
    <w:rsid w:val="001D5141"/>
    <w:rsid w:val="001D5940"/>
    <w:rsid w:val="001D5B0F"/>
    <w:rsid w:val="001D5C11"/>
    <w:rsid w:val="001D5F58"/>
    <w:rsid w:val="001D665E"/>
    <w:rsid w:val="001D6970"/>
    <w:rsid w:val="001D6FE9"/>
    <w:rsid w:val="001D7604"/>
    <w:rsid w:val="001D7F55"/>
    <w:rsid w:val="001E0395"/>
    <w:rsid w:val="001E046B"/>
    <w:rsid w:val="001E05C4"/>
    <w:rsid w:val="001E0D64"/>
    <w:rsid w:val="001E1342"/>
    <w:rsid w:val="001E18CF"/>
    <w:rsid w:val="001E1CE8"/>
    <w:rsid w:val="001E1DB7"/>
    <w:rsid w:val="001E25A1"/>
    <w:rsid w:val="001E3145"/>
    <w:rsid w:val="001E3961"/>
    <w:rsid w:val="001E3BE5"/>
    <w:rsid w:val="001E409E"/>
    <w:rsid w:val="001E4EF6"/>
    <w:rsid w:val="001E4F9A"/>
    <w:rsid w:val="001E530B"/>
    <w:rsid w:val="001E5925"/>
    <w:rsid w:val="001E5F08"/>
    <w:rsid w:val="001E62C3"/>
    <w:rsid w:val="001E686A"/>
    <w:rsid w:val="001E6DE5"/>
    <w:rsid w:val="001E72DD"/>
    <w:rsid w:val="001E74A9"/>
    <w:rsid w:val="001E7608"/>
    <w:rsid w:val="001E7F81"/>
    <w:rsid w:val="001F015D"/>
    <w:rsid w:val="001F0202"/>
    <w:rsid w:val="001F02EC"/>
    <w:rsid w:val="001F03F8"/>
    <w:rsid w:val="001F0720"/>
    <w:rsid w:val="001F074A"/>
    <w:rsid w:val="001F17A4"/>
    <w:rsid w:val="001F18C1"/>
    <w:rsid w:val="001F1CFD"/>
    <w:rsid w:val="001F221F"/>
    <w:rsid w:val="001F2423"/>
    <w:rsid w:val="001F261E"/>
    <w:rsid w:val="001F2A8F"/>
    <w:rsid w:val="001F31EC"/>
    <w:rsid w:val="001F3A49"/>
    <w:rsid w:val="001F401D"/>
    <w:rsid w:val="001F501D"/>
    <w:rsid w:val="001F5097"/>
    <w:rsid w:val="001F5612"/>
    <w:rsid w:val="001F5ABA"/>
    <w:rsid w:val="001F6159"/>
    <w:rsid w:val="001F6220"/>
    <w:rsid w:val="001F6362"/>
    <w:rsid w:val="001F6480"/>
    <w:rsid w:val="001F6B52"/>
    <w:rsid w:val="001F772C"/>
    <w:rsid w:val="001F7A07"/>
    <w:rsid w:val="001F7E9A"/>
    <w:rsid w:val="001F7FED"/>
    <w:rsid w:val="002007FE"/>
    <w:rsid w:val="00200C30"/>
    <w:rsid w:val="002010B6"/>
    <w:rsid w:val="00201A77"/>
    <w:rsid w:val="00201C11"/>
    <w:rsid w:val="0020267F"/>
    <w:rsid w:val="00202CFE"/>
    <w:rsid w:val="00203524"/>
    <w:rsid w:val="00203572"/>
    <w:rsid w:val="00203ADA"/>
    <w:rsid w:val="00203AE6"/>
    <w:rsid w:val="00203E94"/>
    <w:rsid w:val="00204454"/>
    <w:rsid w:val="00204E80"/>
    <w:rsid w:val="00205178"/>
    <w:rsid w:val="002056E4"/>
    <w:rsid w:val="00205F83"/>
    <w:rsid w:val="00206142"/>
    <w:rsid w:val="00206702"/>
    <w:rsid w:val="0020732C"/>
    <w:rsid w:val="00210648"/>
    <w:rsid w:val="0021096A"/>
    <w:rsid w:val="00210ACC"/>
    <w:rsid w:val="00210C19"/>
    <w:rsid w:val="00210FC4"/>
    <w:rsid w:val="00211456"/>
    <w:rsid w:val="00211745"/>
    <w:rsid w:val="00211846"/>
    <w:rsid w:val="002118B6"/>
    <w:rsid w:val="00211A5E"/>
    <w:rsid w:val="00211F3F"/>
    <w:rsid w:val="002122BF"/>
    <w:rsid w:val="00212733"/>
    <w:rsid w:val="00212EE1"/>
    <w:rsid w:val="002132EA"/>
    <w:rsid w:val="002137D7"/>
    <w:rsid w:val="00213A32"/>
    <w:rsid w:val="00214023"/>
    <w:rsid w:val="00214026"/>
    <w:rsid w:val="00214039"/>
    <w:rsid w:val="002141BC"/>
    <w:rsid w:val="0021440A"/>
    <w:rsid w:val="00214C71"/>
    <w:rsid w:val="00214FAF"/>
    <w:rsid w:val="002153E8"/>
    <w:rsid w:val="00215835"/>
    <w:rsid w:val="00215BD2"/>
    <w:rsid w:val="00215D37"/>
    <w:rsid w:val="00215DEB"/>
    <w:rsid w:val="00215F52"/>
    <w:rsid w:val="002168E2"/>
    <w:rsid w:val="002168F8"/>
    <w:rsid w:val="00216A38"/>
    <w:rsid w:val="002176A1"/>
    <w:rsid w:val="00217A5A"/>
    <w:rsid w:val="00217E64"/>
    <w:rsid w:val="002208AB"/>
    <w:rsid w:val="002211C3"/>
    <w:rsid w:val="002223A0"/>
    <w:rsid w:val="002224CE"/>
    <w:rsid w:val="00222A4F"/>
    <w:rsid w:val="00222AF6"/>
    <w:rsid w:val="00222B7E"/>
    <w:rsid w:val="00223125"/>
    <w:rsid w:val="00223236"/>
    <w:rsid w:val="002233EF"/>
    <w:rsid w:val="002234A0"/>
    <w:rsid w:val="002235DE"/>
    <w:rsid w:val="00223A84"/>
    <w:rsid w:val="002243C6"/>
    <w:rsid w:val="00224471"/>
    <w:rsid w:val="002247CC"/>
    <w:rsid w:val="00224956"/>
    <w:rsid w:val="00224C45"/>
    <w:rsid w:val="00224D71"/>
    <w:rsid w:val="00225548"/>
    <w:rsid w:val="00225672"/>
    <w:rsid w:val="00225793"/>
    <w:rsid w:val="00225A75"/>
    <w:rsid w:val="00225F0A"/>
    <w:rsid w:val="002277A6"/>
    <w:rsid w:val="002278B2"/>
    <w:rsid w:val="00227AC0"/>
    <w:rsid w:val="0023017E"/>
    <w:rsid w:val="00230758"/>
    <w:rsid w:val="00230974"/>
    <w:rsid w:val="0023185E"/>
    <w:rsid w:val="00231942"/>
    <w:rsid w:val="00231B27"/>
    <w:rsid w:val="0023298B"/>
    <w:rsid w:val="002329D6"/>
    <w:rsid w:val="00232C93"/>
    <w:rsid w:val="00233715"/>
    <w:rsid w:val="002338EB"/>
    <w:rsid w:val="00233DC7"/>
    <w:rsid w:val="00234206"/>
    <w:rsid w:val="00234B20"/>
    <w:rsid w:val="00234D5D"/>
    <w:rsid w:val="00234E1C"/>
    <w:rsid w:val="00234ED2"/>
    <w:rsid w:val="00234F7B"/>
    <w:rsid w:val="00234FD7"/>
    <w:rsid w:val="00235561"/>
    <w:rsid w:val="00235694"/>
    <w:rsid w:val="0023593F"/>
    <w:rsid w:val="00235CAE"/>
    <w:rsid w:val="00235E39"/>
    <w:rsid w:val="00236B0A"/>
    <w:rsid w:val="00236DAD"/>
    <w:rsid w:val="00236EB3"/>
    <w:rsid w:val="00237362"/>
    <w:rsid w:val="0023752F"/>
    <w:rsid w:val="00237916"/>
    <w:rsid w:val="00240956"/>
    <w:rsid w:val="00240A3D"/>
    <w:rsid w:val="00240C5B"/>
    <w:rsid w:val="00240DF0"/>
    <w:rsid w:val="00240F14"/>
    <w:rsid w:val="00241013"/>
    <w:rsid w:val="002410E6"/>
    <w:rsid w:val="002414A9"/>
    <w:rsid w:val="002417BF"/>
    <w:rsid w:val="00241DDA"/>
    <w:rsid w:val="002420A0"/>
    <w:rsid w:val="0024215D"/>
    <w:rsid w:val="002423A3"/>
    <w:rsid w:val="00242571"/>
    <w:rsid w:val="002427A8"/>
    <w:rsid w:val="002428AE"/>
    <w:rsid w:val="00243242"/>
    <w:rsid w:val="00243258"/>
    <w:rsid w:val="002435DB"/>
    <w:rsid w:val="0024377C"/>
    <w:rsid w:val="0024385D"/>
    <w:rsid w:val="00243A07"/>
    <w:rsid w:val="00243B82"/>
    <w:rsid w:val="00243EDE"/>
    <w:rsid w:val="00245245"/>
    <w:rsid w:val="00245FCC"/>
    <w:rsid w:val="002464C9"/>
    <w:rsid w:val="002465AB"/>
    <w:rsid w:val="00246987"/>
    <w:rsid w:val="002469C7"/>
    <w:rsid w:val="00246E99"/>
    <w:rsid w:val="0024747B"/>
    <w:rsid w:val="00247779"/>
    <w:rsid w:val="00247D3D"/>
    <w:rsid w:val="00250D37"/>
    <w:rsid w:val="00251035"/>
    <w:rsid w:val="00251431"/>
    <w:rsid w:val="0025178C"/>
    <w:rsid w:val="00252843"/>
    <w:rsid w:val="00252E75"/>
    <w:rsid w:val="00253333"/>
    <w:rsid w:val="00253C15"/>
    <w:rsid w:val="00253C69"/>
    <w:rsid w:val="00253D6B"/>
    <w:rsid w:val="0025401D"/>
    <w:rsid w:val="00254156"/>
    <w:rsid w:val="00254C32"/>
    <w:rsid w:val="00254E7F"/>
    <w:rsid w:val="00254FEC"/>
    <w:rsid w:val="002555FC"/>
    <w:rsid w:val="00255E24"/>
    <w:rsid w:val="00257E2B"/>
    <w:rsid w:val="0026018A"/>
    <w:rsid w:val="0026053A"/>
    <w:rsid w:val="00260604"/>
    <w:rsid w:val="002607F6"/>
    <w:rsid w:val="0026151F"/>
    <w:rsid w:val="00261814"/>
    <w:rsid w:val="00262709"/>
    <w:rsid w:val="00262AB5"/>
    <w:rsid w:val="00263357"/>
    <w:rsid w:val="0026441F"/>
    <w:rsid w:val="00264957"/>
    <w:rsid w:val="00264EC9"/>
    <w:rsid w:val="002656A7"/>
    <w:rsid w:val="00265F37"/>
    <w:rsid w:val="00266094"/>
    <w:rsid w:val="002661FD"/>
    <w:rsid w:val="0026636B"/>
    <w:rsid w:val="002668A8"/>
    <w:rsid w:val="002669CD"/>
    <w:rsid w:val="00266B95"/>
    <w:rsid w:val="00266ECF"/>
    <w:rsid w:val="002671E3"/>
    <w:rsid w:val="0027038E"/>
    <w:rsid w:val="0027040E"/>
    <w:rsid w:val="002712F0"/>
    <w:rsid w:val="00271392"/>
    <w:rsid w:val="00271970"/>
    <w:rsid w:val="00271D67"/>
    <w:rsid w:val="002722A0"/>
    <w:rsid w:val="002723DB"/>
    <w:rsid w:val="002724CC"/>
    <w:rsid w:val="00273BF4"/>
    <w:rsid w:val="00274E02"/>
    <w:rsid w:val="00275EBF"/>
    <w:rsid w:val="002760E9"/>
    <w:rsid w:val="00276423"/>
    <w:rsid w:val="00276610"/>
    <w:rsid w:val="002766CD"/>
    <w:rsid w:val="00277026"/>
    <w:rsid w:val="00277178"/>
    <w:rsid w:val="00277358"/>
    <w:rsid w:val="00277CD7"/>
    <w:rsid w:val="0028031F"/>
    <w:rsid w:val="002806B0"/>
    <w:rsid w:val="00280B7D"/>
    <w:rsid w:val="00280EE7"/>
    <w:rsid w:val="00280F31"/>
    <w:rsid w:val="0028114F"/>
    <w:rsid w:val="002818BA"/>
    <w:rsid w:val="00281CBE"/>
    <w:rsid w:val="00281CE0"/>
    <w:rsid w:val="00282ABE"/>
    <w:rsid w:val="00282BB9"/>
    <w:rsid w:val="00282C28"/>
    <w:rsid w:val="00283827"/>
    <w:rsid w:val="00283D29"/>
    <w:rsid w:val="00283E3A"/>
    <w:rsid w:val="0028503D"/>
    <w:rsid w:val="002850BD"/>
    <w:rsid w:val="00285BEE"/>
    <w:rsid w:val="00285ECE"/>
    <w:rsid w:val="00286360"/>
    <w:rsid w:val="002868FA"/>
    <w:rsid w:val="00286C27"/>
    <w:rsid w:val="00286C7A"/>
    <w:rsid w:val="00286DC2"/>
    <w:rsid w:val="0028739E"/>
    <w:rsid w:val="002876EF"/>
    <w:rsid w:val="002877D6"/>
    <w:rsid w:val="00287E40"/>
    <w:rsid w:val="0029051D"/>
    <w:rsid w:val="00290F4B"/>
    <w:rsid w:val="00290FE4"/>
    <w:rsid w:val="002927FE"/>
    <w:rsid w:val="00293680"/>
    <w:rsid w:val="00293C99"/>
    <w:rsid w:val="00293D08"/>
    <w:rsid w:val="002945A8"/>
    <w:rsid w:val="00294688"/>
    <w:rsid w:val="00294D64"/>
    <w:rsid w:val="00294E66"/>
    <w:rsid w:val="0029533F"/>
    <w:rsid w:val="002956A8"/>
    <w:rsid w:val="00295BD5"/>
    <w:rsid w:val="00295FE0"/>
    <w:rsid w:val="002960D9"/>
    <w:rsid w:val="00296736"/>
    <w:rsid w:val="00297A95"/>
    <w:rsid w:val="00297D9B"/>
    <w:rsid w:val="002A07A0"/>
    <w:rsid w:val="002A0AF1"/>
    <w:rsid w:val="002A0E28"/>
    <w:rsid w:val="002A1059"/>
    <w:rsid w:val="002A1589"/>
    <w:rsid w:val="002A180D"/>
    <w:rsid w:val="002A18AB"/>
    <w:rsid w:val="002A2182"/>
    <w:rsid w:val="002A2A42"/>
    <w:rsid w:val="002A2B1D"/>
    <w:rsid w:val="002A2C8A"/>
    <w:rsid w:val="002A2E4E"/>
    <w:rsid w:val="002A31F3"/>
    <w:rsid w:val="002A399E"/>
    <w:rsid w:val="002A3C1B"/>
    <w:rsid w:val="002A3C64"/>
    <w:rsid w:val="002A3FD0"/>
    <w:rsid w:val="002A41B0"/>
    <w:rsid w:val="002A4493"/>
    <w:rsid w:val="002A523D"/>
    <w:rsid w:val="002A5D2E"/>
    <w:rsid w:val="002A60D7"/>
    <w:rsid w:val="002A64CA"/>
    <w:rsid w:val="002A68AD"/>
    <w:rsid w:val="002A740D"/>
    <w:rsid w:val="002A776C"/>
    <w:rsid w:val="002A78E0"/>
    <w:rsid w:val="002A7A95"/>
    <w:rsid w:val="002B026A"/>
    <w:rsid w:val="002B0929"/>
    <w:rsid w:val="002B097C"/>
    <w:rsid w:val="002B1077"/>
    <w:rsid w:val="002B124C"/>
    <w:rsid w:val="002B1714"/>
    <w:rsid w:val="002B1D40"/>
    <w:rsid w:val="002B245F"/>
    <w:rsid w:val="002B27D4"/>
    <w:rsid w:val="002B30AF"/>
    <w:rsid w:val="002B3B6C"/>
    <w:rsid w:val="002B3D21"/>
    <w:rsid w:val="002B3FA6"/>
    <w:rsid w:val="002B453F"/>
    <w:rsid w:val="002B46AB"/>
    <w:rsid w:val="002B47F1"/>
    <w:rsid w:val="002B4FED"/>
    <w:rsid w:val="002B5116"/>
    <w:rsid w:val="002B5298"/>
    <w:rsid w:val="002B547B"/>
    <w:rsid w:val="002B54D8"/>
    <w:rsid w:val="002B590B"/>
    <w:rsid w:val="002B5EC2"/>
    <w:rsid w:val="002B62C1"/>
    <w:rsid w:val="002B685D"/>
    <w:rsid w:val="002B6E25"/>
    <w:rsid w:val="002B74FE"/>
    <w:rsid w:val="002B76CC"/>
    <w:rsid w:val="002B7B53"/>
    <w:rsid w:val="002C049B"/>
    <w:rsid w:val="002C0601"/>
    <w:rsid w:val="002C20C4"/>
    <w:rsid w:val="002C217E"/>
    <w:rsid w:val="002C29E8"/>
    <w:rsid w:val="002C2C49"/>
    <w:rsid w:val="002C3790"/>
    <w:rsid w:val="002C3E62"/>
    <w:rsid w:val="002C3E9A"/>
    <w:rsid w:val="002C482A"/>
    <w:rsid w:val="002C53A6"/>
    <w:rsid w:val="002C5CAF"/>
    <w:rsid w:val="002C6068"/>
    <w:rsid w:val="002C6A4C"/>
    <w:rsid w:val="002C6B58"/>
    <w:rsid w:val="002C6DE4"/>
    <w:rsid w:val="002C7A5B"/>
    <w:rsid w:val="002C7B80"/>
    <w:rsid w:val="002D0876"/>
    <w:rsid w:val="002D0AE8"/>
    <w:rsid w:val="002D1448"/>
    <w:rsid w:val="002D14BA"/>
    <w:rsid w:val="002D244B"/>
    <w:rsid w:val="002D2541"/>
    <w:rsid w:val="002D2B9B"/>
    <w:rsid w:val="002D2C6B"/>
    <w:rsid w:val="002D30E6"/>
    <w:rsid w:val="002D3658"/>
    <w:rsid w:val="002D3EB4"/>
    <w:rsid w:val="002D476C"/>
    <w:rsid w:val="002D511A"/>
    <w:rsid w:val="002D51AD"/>
    <w:rsid w:val="002D5A4A"/>
    <w:rsid w:val="002D5BEE"/>
    <w:rsid w:val="002D614B"/>
    <w:rsid w:val="002D6257"/>
    <w:rsid w:val="002D6370"/>
    <w:rsid w:val="002D659E"/>
    <w:rsid w:val="002D74F7"/>
    <w:rsid w:val="002D7F2E"/>
    <w:rsid w:val="002E051D"/>
    <w:rsid w:val="002E09A6"/>
    <w:rsid w:val="002E0C47"/>
    <w:rsid w:val="002E0DFA"/>
    <w:rsid w:val="002E0F05"/>
    <w:rsid w:val="002E1029"/>
    <w:rsid w:val="002E14A6"/>
    <w:rsid w:val="002E1DD9"/>
    <w:rsid w:val="002E1E94"/>
    <w:rsid w:val="002E24C6"/>
    <w:rsid w:val="002E2C12"/>
    <w:rsid w:val="002E3205"/>
    <w:rsid w:val="002E3CDD"/>
    <w:rsid w:val="002E43AA"/>
    <w:rsid w:val="002E49B8"/>
    <w:rsid w:val="002E5871"/>
    <w:rsid w:val="002E59C7"/>
    <w:rsid w:val="002E7233"/>
    <w:rsid w:val="002E7477"/>
    <w:rsid w:val="002E77C3"/>
    <w:rsid w:val="002E7A67"/>
    <w:rsid w:val="002F0993"/>
    <w:rsid w:val="002F0B65"/>
    <w:rsid w:val="002F0C67"/>
    <w:rsid w:val="002F12D4"/>
    <w:rsid w:val="002F16C9"/>
    <w:rsid w:val="002F2007"/>
    <w:rsid w:val="002F20B4"/>
    <w:rsid w:val="002F21A7"/>
    <w:rsid w:val="002F2517"/>
    <w:rsid w:val="002F290E"/>
    <w:rsid w:val="002F2C17"/>
    <w:rsid w:val="002F2E20"/>
    <w:rsid w:val="002F2EAB"/>
    <w:rsid w:val="002F32D5"/>
    <w:rsid w:val="002F4317"/>
    <w:rsid w:val="002F433C"/>
    <w:rsid w:val="002F4BEC"/>
    <w:rsid w:val="002F4C18"/>
    <w:rsid w:val="002F514F"/>
    <w:rsid w:val="002F53CF"/>
    <w:rsid w:val="002F580D"/>
    <w:rsid w:val="002F5A16"/>
    <w:rsid w:val="002F5F1A"/>
    <w:rsid w:val="002F61CE"/>
    <w:rsid w:val="002F6E72"/>
    <w:rsid w:val="002F7457"/>
    <w:rsid w:val="002F7CD4"/>
    <w:rsid w:val="003003B3"/>
    <w:rsid w:val="0030072B"/>
    <w:rsid w:val="00300B59"/>
    <w:rsid w:val="00300BA8"/>
    <w:rsid w:val="00300E07"/>
    <w:rsid w:val="003011E8"/>
    <w:rsid w:val="00301352"/>
    <w:rsid w:val="0030229D"/>
    <w:rsid w:val="0030295C"/>
    <w:rsid w:val="00303351"/>
    <w:rsid w:val="00303555"/>
    <w:rsid w:val="00303CF3"/>
    <w:rsid w:val="003040A9"/>
    <w:rsid w:val="0030412E"/>
    <w:rsid w:val="003043EB"/>
    <w:rsid w:val="00304FEF"/>
    <w:rsid w:val="003052BE"/>
    <w:rsid w:val="00305329"/>
    <w:rsid w:val="00305BC0"/>
    <w:rsid w:val="0030600E"/>
    <w:rsid w:val="003060B9"/>
    <w:rsid w:val="0030633F"/>
    <w:rsid w:val="00306B31"/>
    <w:rsid w:val="003072FE"/>
    <w:rsid w:val="00307C7A"/>
    <w:rsid w:val="003105DC"/>
    <w:rsid w:val="003106E2"/>
    <w:rsid w:val="00310B63"/>
    <w:rsid w:val="00310F60"/>
    <w:rsid w:val="003112E2"/>
    <w:rsid w:val="00311932"/>
    <w:rsid w:val="003128F7"/>
    <w:rsid w:val="003128FE"/>
    <w:rsid w:val="003129B0"/>
    <w:rsid w:val="00312A17"/>
    <w:rsid w:val="00312AFA"/>
    <w:rsid w:val="00313A1B"/>
    <w:rsid w:val="003141BF"/>
    <w:rsid w:val="003141F3"/>
    <w:rsid w:val="003142BD"/>
    <w:rsid w:val="00314656"/>
    <w:rsid w:val="00314889"/>
    <w:rsid w:val="00314A0C"/>
    <w:rsid w:val="00314A29"/>
    <w:rsid w:val="00314DF3"/>
    <w:rsid w:val="00314F7A"/>
    <w:rsid w:val="00314F8A"/>
    <w:rsid w:val="00315542"/>
    <w:rsid w:val="00315AA3"/>
    <w:rsid w:val="00316108"/>
    <w:rsid w:val="003162F1"/>
    <w:rsid w:val="003164BA"/>
    <w:rsid w:val="00317567"/>
    <w:rsid w:val="0031758D"/>
    <w:rsid w:val="003177C4"/>
    <w:rsid w:val="003179F4"/>
    <w:rsid w:val="00320AD5"/>
    <w:rsid w:val="00320D57"/>
    <w:rsid w:val="00321584"/>
    <w:rsid w:val="00321628"/>
    <w:rsid w:val="003216B7"/>
    <w:rsid w:val="00321732"/>
    <w:rsid w:val="00321837"/>
    <w:rsid w:val="0032252A"/>
    <w:rsid w:val="003225F1"/>
    <w:rsid w:val="0032299E"/>
    <w:rsid w:val="00322F0C"/>
    <w:rsid w:val="0032320B"/>
    <w:rsid w:val="003236B5"/>
    <w:rsid w:val="00324175"/>
    <w:rsid w:val="00324A27"/>
    <w:rsid w:val="00324B43"/>
    <w:rsid w:val="003253F7"/>
    <w:rsid w:val="003256BA"/>
    <w:rsid w:val="003256FC"/>
    <w:rsid w:val="003257AF"/>
    <w:rsid w:val="00325E1B"/>
    <w:rsid w:val="00326B14"/>
    <w:rsid w:val="0032709C"/>
    <w:rsid w:val="00327316"/>
    <w:rsid w:val="00327A87"/>
    <w:rsid w:val="00330595"/>
    <w:rsid w:val="003308BF"/>
    <w:rsid w:val="00330FD6"/>
    <w:rsid w:val="003320FB"/>
    <w:rsid w:val="0033270B"/>
    <w:rsid w:val="00332865"/>
    <w:rsid w:val="00332BA1"/>
    <w:rsid w:val="00332BAF"/>
    <w:rsid w:val="00332D9A"/>
    <w:rsid w:val="00333185"/>
    <w:rsid w:val="0033344A"/>
    <w:rsid w:val="00333ABC"/>
    <w:rsid w:val="00334533"/>
    <w:rsid w:val="003347AC"/>
    <w:rsid w:val="0033480B"/>
    <w:rsid w:val="0033492F"/>
    <w:rsid w:val="00335344"/>
    <w:rsid w:val="00335748"/>
    <w:rsid w:val="0033580F"/>
    <w:rsid w:val="00335A0D"/>
    <w:rsid w:val="00335AF1"/>
    <w:rsid w:val="00335B01"/>
    <w:rsid w:val="00335D6B"/>
    <w:rsid w:val="00335D92"/>
    <w:rsid w:val="00336350"/>
    <w:rsid w:val="00336DF7"/>
    <w:rsid w:val="0034053B"/>
    <w:rsid w:val="00340F7A"/>
    <w:rsid w:val="00341680"/>
    <w:rsid w:val="00341F3F"/>
    <w:rsid w:val="00342160"/>
    <w:rsid w:val="0034269C"/>
    <w:rsid w:val="003426D7"/>
    <w:rsid w:val="00343321"/>
    <w:rsid w:val="003435D3"/>
    <w:rsid w:val="0034382B"/>
    <w:rsid w:val="00343BF6"/>
    <w:rsid w:val="0034467C"/>
    <w:rsid w:val="003446E4"/>
    <w:rsid w:val="0034485F"/>
    <w:rsid w:val="00344D2E"/>
    <w:rsid w:val="0034531D"/>
    <w:rsid w:val="003456F6"/>
    <w:rsid w:val="003462DA"/>
    <w:rsid w:val="00346944"/>
    <w:rsid w:val="00346E13"/>
    <w:rsid w:val="003470DE"/>
    <w:rsid w:val="003501A4"/>
    <w:rsid w:val="00350AF5"/>
    <w:rsid w:val="00350BE9"/>
    <w:rsid w:val="00350FFC"/>
    <w:rsid w:val="0035137F"/>
    <w:rsid w:val="003513AC"/>
    <w:rsid w:val="003522F0"/>
    <w:rsid w:val="0035292A"/>
    <w:rsid w:val="00353564"/>
    <w:rsid w:val="003536DF"/>
    <w:rsid w:val="00354533"/>
    <w:rsid w:val="00355154"/>
    <w:rsid w:val="003555BA"/>
    <w:rsid w:val="00355A93"/>
    <w:rsid w:val="00355B27"/>
    <w:rsid w:val="00355E02"/>
    <w:rsid w:val="00355F75"/>
    <w:rsid w:val="0035688B"/>
    <w:rsid w:val="00356BDA"/>
    <w:rsid w:val="0035702E"/>
    <w:rsid w:val="00357A42"/>
    <w:rsid w:val="00357A98"/>
    <w:rsid w:val="00357CE8"/>
    <w:rsid w:val="00357F71"/>
    <w:rsid w:val="003600EF"/>
    <w:rsid w:val="00360967"/>
    <w:rsid w:val="00360AB5"/>
    <w:rsid w:val="00360D19"/>
    <w:rsid w:val="0036125C"/>
    <w:rsid w:val="003619CA"/>
    <w:rsid w:val="00361D4D"/>
    <w:rsid w:val="003622F3"/>
    <w:rsid w:val="003624F1"/>
    <w:rsid w:val="003628D8"/>
    <w:rsid w:val="00362AF4"/>
    <w:rsid w:val="00363509"/>
    <w:rsid w:val="00363923"/>
    <w:rsid w:val="00363C54"/>
    <w:rsid w:val="003640E1"/>
    <w:rsid w:val="00364295"/>
    <w:rsid w:val="00364705"/>
    <w:rsid w:val="0036512A"/>
    <w:rsid w:val="003651D2"/>
    <w:rsid w:val="003655E4"/>
    <w:rsid w:val="00365768"/>
    <w:rsid w:val="00365B7C"/>
    <w:rsid w:val="00366002"/>
    <w:rsid w:val="0036601D"/>
    <w:rsid w:val="00366827"/>
    <w:rsid w:val="00366E59"/>
    <w:rsid w:val="00367017"/>
    <w:rsid w:val="00367044"/>
    <w:rsid w:val="0036750D"/>
    <w:rsid w:val="003675B1"/>
    <w:rsid w:val="00370170"/>
    <w:rsid w:val="0037024D"/>
    <w:rsid w:val="003704B6"/>
    <w:rsid w:val="00370544"/>
    <w:rsid w:val="00370A72"/>
    <w:rsid w:val="00370F7F"/>
    <w:rsid w:val="00371547"/>
    <w:rsid w:val="0037157B"/>
    <w:rsid w:val="00371E57"/>
    <w:rsid w:val="003726ED"/>
    <w:rsid w:val="00373457"/>
    <w:rsid w:val="00373BDF"/>
    <w:rsid w:val="00373D1B"/>
    <w:rsid w:val="00373D5E"/>
    <w:rsid w:val="0037445B"/>
    <w:rsid w:val="003748E8"/>
    <w:rsid w:val="003754A8"/>
    <w:rsid w:val="00375A30"/>
    <w:rsid w:val="00375F52"/>
    <w:rsid w:val="0037609D"/>
    <w:rsid w:val="003760A4"/>
    <w:rsid w:val="00376C0C"/>
    <w:rsid w:val="00376C21"/>
    <w:rsid w:val="00376CA4"/>
    <w:rsid w:val="003775B4"/>
    <w:rsid w:val="003778F2"/>
    <w:rsid w:val="00377E7A"/>
    <w:rsid w:val="00380C84"/>
    <w:rsid w:val="00380CCD"/>
    <w:rsid w:val="00381108"/>
    <w:rsid w:val="0038188C"/>
    <w:rsid w:val="00381A2D"/>
    <w:rsid w:val="00381B30"/>
    <w:rsid w:val="00381E1C"/>
    <w:rsid w:val="003821DA"/>
    <w:rsid w:val="00382C56"/>
    <w:rsid w:val="00382D4B"/>
    <w:rsid w:val="003830EE"/>
    <w:rsid w:val="003839F9"/>
    <w:rsid w:val="00383B00"/>
    <w:rsid w:val="00383E1A"/>
    <w:rsid w:val="00383F56"/>
    <w:rsid w:val="00384676"/>
    <w:rsid w:val="003847B9"/>
    <w:rsid w:val="00384B8F"/>
    <w:rsid w:val="00385032"/>
    <w:rsid w:val="00385254"/>
    <w:rsid w:val="00387A51"/>
    <w:rsid w:val="00387B9C"/>
    <w:rsid w:val="00390617"/>
    <w:rsid w:val="003906C3"/>
    <w:rsid w:val="00391070"/>
    <w:rsid w:val="00391506"/>
    <w:rsid w:val="003916F4"/>
    <w:rsid w:val="00391A38"/>
    <w:rsid w:val="0039202E"/>
    <w:rsid w:val="0039281C"/>
    <w:rsid w:val="00392D5C"/>
    <w:rsid w:val="00393B23"/>
    <w:rsid w:val="003940F3"/>
    <w:rsid w:val="00394407"/>
    <w:rsid w:val="0039473A"/>
    <w:rsid w:val="00394AC4"/>
    <w:rsid w:val="00394AD1"/>
    <w:rsid w:val="00394ECD"/>
    <w:rsid w:val="0039501B"/>
    <w:rsid w:val="00395987"/>
    <w:rsid w:val="00396037"/>
    <w:rsid w:val="00396A1C"/>
    <w:rsid w:val="00396ADF"/>
    <w:rsid w:val="00396E60"/>
    <w:rsid w:val="00396EDC"/>
    <w:rsid w:val="00397311"/>
    <w:rsid w:val="00397802"/>
    <w:rsid w:val="003978A8"/>
    <w:rsid w:val="003A0416"/>
    <w:rsid w:val="003A0478"/>
    <w:rsid w:val="003A1042"/>
    <w:rsid w:val="003A16D6"/>
    <w:rsid w:val="003A17D9"/>
    <w:rsid w:val="003A3778"/>
    <w:rsid w:val="003A3836"/>
    <w:rsid w:val="003A4057"/>
    <w:rsid w:val="003A42B9"/>
    <w:rsid w:val="003A4D26"/>
    <w:rsid w:val="003A55C7"/>
    <w:rsid w:val="003A57C0"/>
    <w:rsid w:val="003A5A46"/>
    <w:rsid w:val="003A5D3D"/>
    <w:rsid w:val="003A620A"/>
    <w:rsid w:val="003A65CD"/>
    <w:rsid w:val="003A6D20"/>
    <w:rsid w:val="003A6D87"/>
    <w:rsid w:val="003A7378"/>
    <w:rsid w:val="003A77F3"/>
    <w:rsid w:val="003B0A24"/>
    <w:rsid w:val="003B0B27"/>
    <w:rsid w:val="003B12DE"/>
    <w:rsid w:val="003B15F9"/>
    <w:rsid w:val="003B18FE"/>
    <w:rsid w:val="003B19ED"/>
    <w:rsid w:val="003B1C9F"/>
    <w:rsid w:val="003B2AF4"/>
    <w:rsid w:val="003B2DAB"/>
    <w:rsid w:val="003B2ED3"/>
    <w:rsid w:val="003B34A0"/>
    <w:rsid w:val="003B42FD"/>
    <w:rsid w:val="003B4525"/>
    <w:rsid w:val="003B4A06"/>
    <w:rsid w:val="003B5A0F"/>
    <w:rsid w:val="003B5B89"/>
    <w:rsid w:val="003B5D63"/>
    <w:rsid w:val="003B607B"/>
    <w:rsid w:val="003B61D6"/>
    <w:rsid w:val="003B6EB1"/>
    <w:rsid w:val="003B7829"/>
    <w:rsid w:val="003B7E0A"/>
    <w:rsid w:val="003B7EA3"/>
    <w:rsid w:val="003C0070"/>
    <w:rsid w:val="003C0A3E"/>
    <w:rsid w:val="003C0DD7"/>
    <w:rsid w:val="003C1093"/>
    <w:rsid w:val="003C1BE0"/>
    <w:rsid w:val="003C1C4C"/>
    <w:rsid w:val="003C21EE"/>
    <w:rsid w:val="003C2529"/>
    <w:rsid w:val="003C2A0D"/>
    <w:rsid w:val="003C2C9E"/>
    <w:rsid w:val="003C32E3"/>
    <w:rsid w:val="003C3601"/>
    <w:rsid w:val="003C3E35"/>
    <w:rsid w:val="003C3EA1"/>
    <w:rsid w:val="003C43A2"/>
    <w:rsid w:val="003C4842"/>
    <w:rsid w:val="003C4DC3"/>
    <w:rsid w:val="003C509E"/>
    <w:rsid w:val="003C6263"/>
    <w:rsid w:val="003C645D"/>
    <w:rsid w:val="003C690D"/>
    <w:rsid w:val="003C6D8B"/>
    <w:rsid w:val="003C71F9"/>
    <w:rsid w:val="003C7D57"/>
    <w:rsid w:val="003D0329"/>
    <w:rsid w:val="003D0832"/>
    <w:rsid w:val="003D0EE1"/>
    <w:rsid w:val="003D1667"/>
    <w:rsid w:val="003D1B62"/>
    <w:rsid w:val="003D2298"/>
    <w:rsid w:val="003D27D2"/>
    <w:rsid w:val="003D2BBB"/>
    <w:rsid w:val="003D2F34"/>
    <w:rsid w:val="003D387C"/>
    <w:rsid w:val="003D3E66"/>
    <w:rsid w:val="003D426A"/>
    <w:rsid w:val="003D4768"/>
    <w:rsid w:val="003D4897"/>
    <w:rsid w:val="003D4DD0"/>
    <w:rsid w:val="003D5345"/>
    <w:rsid w:val="003D558D"/>
    <w:rsid w:val="003D5611"/>
    <w:rsid w:val="003D6D92"/>
    <w:rsid w:val="003D71C6"/>
    <w:rsid w:val="003D71C9"/>
    <w:rsid w:val="003D72DE"/>
    <w:rsid w:val="003D7795"/>
    <w:rsid w:val="003D7BCE"/>
    <w:rsid w:val="003D7E1B"/>
    <w:rsid w:val="003E0019"/>
    <w:rsid w:val="003E0098"/>
    <w:rsid w:val="003E029F"/>
    <w:rsid w:val="003E03EC"/>
    <w:rsid w:val="003E0F53"/>
    <w:rsid w:val="003E14DA"/>
    <w:rsid w:val="003E1525"/>
    <w:rsid w:val="003E1827"/>
    <w:rsid w:val="003E1ABB"/>
    <w:rsid w:val="003E20D2"/>
    <w:rsid w:val="003E23FE"/>
    <w:rsid w:val="003E3015"/>
    <w:rsid w:val="003E3E46"/>
    <w:rsid w:val="003E3F59"/>
    <w:rsid w:val="003E4629"/>
    <w:rsid w:val="003E4667"/>
    <w:rsid w:val="003E47CA"/>
    <w:rsid w:val="003E5469"/>
    <w:rsid w:val="003E5762"/>
    <w:rsid w:val="003E5D9E"/>
    <w:rsid w:val="003E5E0C"/>
    <w:rsid w:val="003E669A"/>
    <w:rsid w:val="003E67E1"/>
    <w:rsid w:val="003E6834"/>
    <w:rsid w:val="003E6BE7"/>
    <w:rsid w:val="003E74F1"/>
    <w:rsid w:val="003E7EE6"/>
    <w:rsid w:val="003F07C7"/>
    <w:rsid w:val="003F07ED"/>
    <w:rsid w:val="003F0B06"/>
    <w:rsid w:val="003F130B"/>
    <w:rsid w:val="003F132A"/>
    <w:rsid w:val="003F185B"/>
    <w:rsid w:val="003F1A2E"/>
    <w:rsid w:val="003F1DDD"/>
    <w:rsid w:val="003F1EE3"/>
    <w:rsid w:val="003F2031"/>
    <w:rsid w:val="003F2392"/>
    <w:rsid w:val="003F2A34"/>
    <w:rsid w:val="003F3709"/>
    <w:rsid w:val="003F3881"/>
    <w:rsid w:val="003F3E3A"/>
    <w:rsid w:val="003F3F17"/>
    <w:rsid w:val="003F41D6"/>
    <w:rsid w:val="003F4225"/>
    <w:rsid w:val="003F46F3"/>
    <w:rsid w:val="003F4743"/>
    <w:rsid w:val="003F4771"/>
    <w:rsid w:val="003F494E"/>
    <w:rsid w:val="003F4B41"/>
    <w:rsid w:val="003F4B42"/>
    <w:rsid w:val="003F5283"/>
    <w:rsid w:val="003F5437"/>
    <w:rsid w:val="003F5483"/>
    <w:rsid w:val="003F54DE"/>
    <w:rsid w:val="003F62A8"/>
    <w:rsid w:val="003F7348"/>
    <w:rsid w:val="003F77DF"/>
    <w:rsid w:val="003F7853"/>
    <w:rsid w:val="00400614"/>
    <w:rsid w:val="00400644"/>
    <w:rsid w:val="00400EF1"/>
    <w:rsid w:val="00401180"/>
    <w:rsid w:val="00401A27"/>
    <w:rsid w:val="00402EAF"/>
    <w:rsid w:val="0040343F"/>
    <w:rsid w:val="004041A3"/>
    <w:rsid w:val="00404969"/>
    <w:rsid w:val="004058F5"/>
    <w:rsid w:val="00406259"/>
    <w:rsid w:val="004063E0"/>
    <w:rsid w:val="004065F6"/>
    <w:rsid w:val="00406B26"/>
    <w:rsid w:val="00406C46"/>
    <w:rsid w:val="00406C7C"/>
    <w:rsid w:val="00406CA6"/>
    <w:rsid w:val="00406E5D"/>
    <w:rsid w:val="00407050"/>
    <w:rsid w:val="00407815"/>
    <w:rsid w:val="00407B7F"/>
    <w:rsid w:val="00407E1B"/>
    <w:rsid w:val="004103DC"/>
    <w:rsid w:val="0041282F"/>
    <w:rsid w:val="004129E4"/>
    <w:rsid w:val="00412FB2"/>
    <w:rsid w:val="004131AD"/>
    <w:rsid w:val="0041339C"/>
    <w:rsid w:val="00414F2A"/>
    <w:rsid w:val="0041511E"/>
    <w:rsid w:val="004155B1"/>
    <w:rsid w:val="00415CBE"/>
    <w:rsid w:val="00416342"/>
    <w:rsid w:val="00416533"/>
    <w:rsid w:val="0041700E"/>
    <w:rsid w:val="0041717A"/>
    <w:rsid w:val="004171BB"/>
    <w:rsid w:val="0041720E"/>
    <w:rsid w:val="0041773F"/>
    <w:rsid w:val="0041783E"/>
    <w:rsid w:val="0042016B"/>
    <w:rsid w:val="0042031E"/>
    <w:rsid w:val="00420A51"/>
    <w:rsid w:val="00420C39"/>
    <w:rsid w:val="00420D9E"/>
    <w:rsid w:val="00420E70"/>
    <w:rsid w:val="00421026"/>
    <w:rsid w:val="004210C3"/>
    <w:rsid w:val="0042111F"/>
    <w:rsid w:val="004214DB"/>
    <w:rsid w:val="00421A7E"/>
    <w:rsid w:val="00422096"/>
    <w:rsid w:val="00422272"/>
    <w:rsid w:val="00422727"/>
    <w:rsid w:val="004227D6"/>
    <w:rsid w:val="00422DEC"/>
    <w:rsid w:val="00422EC0"/>
    <w:rsid w:val="004236B3"/>
    <w:rsid w:val="004236B9"/>
    <w:rsid w:val="00423730"/>
    <w:rsid w:val="00423FDE"/>
    <w:rsid w:val="00424BE9"/>
    <w:rsid w:val="00424F3E"/>
    <w:rsid w:val="004253AE"/>
    <w:rsid w:val="004255F9"/>
    <w:rsid w:val="00425C1C"/>
    <w:rsid w:val="00426071"/>
    <w:rsid w:val="00426311"/>
    <w:rsid w:val="0042648E"/>
    <w:rsid w:val="004264D5"/>
    <w:rsid w:val="0042682F"/>
    <w:rsid w:val="00427271"/>
    <w:rsid w:val="00427B7D"/>
    <w:rsid w:val="00427D43"/>
    <w:rsid w:val="0043150F"/>
    <w:rsid w:val="00431557"/>
    <w:rsid w:val="00432149"/>
    <w:rsid w:val="004322F3"/>
    <w:rsid w:val="00433257"/>
    <w:rsid w:val="00433A3E"/>
    <w:rsid w:val="004348D8"/>
    <w:rsid w:val="004348DE"/>
    <w:rsid w:val="00434963"/>
    <w:rsid w:val="0043515D"/>
    <w:rsid w:val="0043671C"/>
    <w:rsid w:val="00436988"/>
    <w:rsid w:val="004369CA"/>
    <w:rsid w:val="00436C10"/>
    <w:rsid w:val="00437C80"/>
    <w:rsid w:val="00437E3D"/>
    <w:rsid w:val="004410DD"/>
    <w:rsid w:val="0044190F"/>
    <w:rsid w:val="00441A12"/>
    <w:rsid w:val="00441AE6"/>
    <w:rsid w:val="00441DA1"/>
    <w:rsid w:val="004430E6"/>
    <w:rsid w:val="00443926"/>
    <w:rsid w:val="0044411C"/>
    <w:rsid w:val="00444C8A"/>
    <w:rsid w:val="00444CC6"/>
    <w:rsid w:val="004467A2"/>
    <w:rsid w:val="00446A73"/>
    <w:rsid w:val="004470BC"/>
    <w:rsid w:val="00447167"/>
    <w:rsid w:val="004471BC"/>
    <w:rsid w:val="00447465"/>
    <w:rsid w:val="0044751F"/>
    <w:rsid w:val="004477E2"/>
    <w:rsid w:val="00447FFE"/>
    <w:rsid w:val="0045032E"/>
    <w:rsid w:val="00450512"/>
    <w:rsid w:val="00450752"/>
    <w:rsid w:val="00450902"/>
    <w:rsid w:val="00450DC4"/>
    <w:rsid w:val="00451017"/>
    <w:rsid w:val="0045101A"/>
    <w:rsid w:val="00451A90"/>
    <w:rsid w:val="00452269"/>
    <w:rsid w:val="00452747"/>
    <w:rsid w:val="00452F86"/>
    <w:rsid w:val="0045304E"/>
    <w:rsid w:val="00453892"/>
    <w:rsid w:val="00453DBB"/>
    <w:rsid w:val="0045403D"/>
    <w:rsid w:val="0045535C"/>
    <w:rsid w:val="00455412"/>
    <w:rsid w:val="0045545B"/>
    <w:rsid w:val="00455590"/>
    <w:rsid w:val="004555B4"/>
    <w:rsid w:val="004564A6"/>
    <w:rsid w:val="00456BB6"/>
    <w:rsid w:val="00456F41"/>
    <w:rsid w:val="004577E6"/>
    <w:rsid w:val="00457F05"/>
    <w:rsid w:val="0046076B"/>
    <w:rsid w:val="00460D42"/>
    <w:rsid w:val="00460D43"/>
    <w:rsid w:val="00460F1D"/>
    <w:rsid w:val="004615E3"/>
    <w:rsid w:val="004616E4"/>
    <w:rsid w:val="00461FBF"/>
    <w:rsid w:val="00462001"/>
    <w:rsid w:val="004629CA"/>
    <w:rsid w:val="0046300B"/>
    <w:rsid w:val="0046329D"/>
    <w:rsid w:val="004637B8"/>
    <w:rsid w:val="0046436F"/>
    <w:rsid w:val="00464D96"/>
    <w:rsid w:val="00464DC6"/>
    <w:rsid w:val="004657CB"/>
    <w:rsid w:val="00465A68"/>
    <w:rsid w:val="00466025"/>
    <w:rsid w:val="004668C0"/>
    <w:rsid w:val="00466A2F"/>
    <w:rsid w:val="0046727B"/>
    <w:rsid w:val="00467BD4"/>
    <w:rsid w:val="00467E7B"/>
    <w:rsid w:val="00470228"/>
    <w:rsid w:val="00470715"/>
    <w:rsid w:val="004708D2"/>
    <w:rsid w:val="00470ACE"/>
    <w:rsid w:val="00470D9F"/>
    <w:rsid w:val="004717D9"/>
    <w:rsid w:val="00471B65"/>
    <w:rsid w:val="00471C08"/>
    <w:rsid w:val="00471E67"/>
    <w:rsid w:val="0047214B"/>
    <w:rsid w:val="004725D6"/>
    <w:rsid w:val="00472B6E"/>
    <w:rsid w:val="00473690"/>
    <w:rsid w:val="00473A39"/>
    <w:rsid w:val="00473D9C"/>
    <w:rsid w:val="0047421E"/>
    <w:rsid w:val="00474B4E"/>
    <w:rsid w:val="00474CA8"/>
    <w:rsid w:val="00474D7A"/>
    <w:rsid w:val="00474DB3"/>
    <w:rsid w:val="00475770"/>
    <w:rsid w:val="00475BAE"/>
    <w:rsid w:val="00475CB3"/>
    <w:rsid w:val="00475F7F"/>
    <w:rsid w:val="004764DF"/>
    <w:rsid w:val="00476D5C"/>
    <w:rsid w:val="00476DE5"/>
    <w:rsid w:val="00477185"/>
    <w:rsid w:val="004779EB"/>
    <w:rsid w:val="00477A0E"/>
    <w:rsid w:val="00477A61"/>
    <w:rsid w:val="00477A7E"/>
    <w:rsid w:val="00477B12"/>
    <w:rsid w:val="00477CDA"/>
    <w:rsid w:val="00477D63"/>
    <w:rsid w:val="00477E59"/>
    <w:rsid w:val="00481391"/>
    <w:rsid w:val="0048186B"/>
    <w:rsid w:val="00481FF7"/>
    <w:rsid w:val="004827FB"/>
    <w:rsid w:val="0048285D"/>
    <w:rsid w:val="0048298F"/>
    <w:rsid w:val="00482A2C"/>
    <w:rsid w:val="00482E34"/>
    <w:rsid w:val="004832ED"/>
    <w:rsid w:val="00483D78"/>
    <w:rsid w:val="004843CD"/>
    <w:rsid w:val="0048469A"/>
    <w:rsid w:val="00485129"/>
    <w:rsid w:val="0048528F"/>
    <w:rsid w:val="004855DE"/>
    <w:rsid w:val="00485AF7"/>
    <w:rsid w:val="00486177"/>
    <w:rsid w:val="00486C03"/>
    <w:rsid w:val="0048704D"/>
    <w:rsid w:val="00487567"/>
    <w:rsid w:val="004900F8"/>
    <w:rsid w:val="004903A8"/>
    <w:rsid w:val="00490C2E"/>
    <w:rsid w:val="00491E3C"/>
    <w:rsid w:val="00491E94"/>
    <w:rsid w:val="00491EDC"/>
    <w:rsid w:val="00492025"/>
    <w:rsid w:val="004926BC"/>
    <w:rsid w:val="004927F2"/>
    <w:rsid w:val="00492D81"/>
    <w:rsid w:val="00493385"/>
    <w:rsid w:val="004934B8"/>
    <w:rsid w:val="004936D2"/>
    <w:rsid w:val="0049438B"/>
    <w:rsid w:val="00494F31"/>
    <w:rsid w:val="00496487"/>
    <w:rsid w:val="00496B32"/>
    <w:rsid w:val="0049701D"/>
    <w:rsid w:val="004970EE"/>
    <w:rsid w:val="00497156"/>
    <w:rsid w:val="00497315"/>
    <w:rsid w:val="00497990"/>
    <w:rsid w:val="004A0905"/>
    <w:rsid w:val="004A0FC9"/>
    <w:rsid w:val="004A13ED"/>
    <w:rsid w:val="004A1447"/>
    <w:rsid w:val="004A15FC"/>
    <w:rsid w:val="004A1BA3"/>
    <w:rsid w:val="004A26C7"/>
    <w:rsid w:val="004A2C14"/>
    <w:rsid w:val="004A2D4A"/>
    <w:rsid w:val="004A2E4C"/>
    <w:rsid w:val="004A3214"/>
    <w:rsid w:val="004A351C"/>
    <w:rsid w:val="004A3E08"/>
    <w:rsid w:val="004A3F94"/>
    <w:rsid w:val="004A46DA"/>
    <w:rsid w:val="004A4786"/>
    <w:rsid w:val="004A49E0"/>
    <w:rsid w:val="004A4D08"/>
    <w:rsid w:val="004A53F2"/>
    <w:rsid w:val="004A59D7"/>
    <w:rsid w:val="004A5B1F"/>
    <w:rsid w:val="004A5C69"/>
    <w:rsid w:val="004A5C94"/>
    <w:rsid w:val="004A611B"/>
    <w:rsid w:val="004A657E"/>
    <w:rsid w:val="004A68A4"/>
    <w:rsid w:val="004A69C7"/>
    <w:rsid w:val="004A6F15"/>
    <w:rsid w:val="004A7014"/>
    <w:rsid w:val="004A7134"/>
    <w:rsid w:val="004A76C7"/>
    <w:rsid w:val="004A7ED7"/>
    <w:rsid w:val="004B061E"/>
    <w:rsid w:val="004B0DEF"/>
    <w:rsid w:val="004B1554"/>
    <w:rsid w:val="004B19B0"/>
    <w:rsid w:val="004B1A2C"/>
    <w:rsid w:val="004B1E59"/>
    <w:rsid w:val="004B1EAD"/>
    <w:rsid w:val="004B2691"/>
    <w:rsid w:val="004B2A20"/>
    <w:rsid w:val="004B2E32"/>
    <w:rsid w:val="004B2EB8"/>
    <w:rsid w:val="004B35A5"/>
    <w:rsid w:val="004B3B6D"/>
    <w:rsid w:val="004B3BC9"/>
    <w:rsid w:val="004B3E49"/>
    <w:rsid w:val="004B4134"/>
    <w:rsid w:val="004B419D"/>
    <w:rsid w:val="004B41AB"/>
    <w:rsid w:val="004B459B"/>
    <w:rsid w:val="004B46EE"/>
    <w:rsid w:val="004B4A36"/>
    <w:rsid w:val="004B4DCB"/>
    <w:rsid w:val="004B5062"/>
    <w:rsid w:val="004B52FD"/>
    <w:rsid w:val="004B5D1A"/>
    <w:rsid w:val="004B63A9"/>
    <w:rsid w:val="004B6A57"/>
    <w:rsid w:val="004B6BE5"/>
    <w:rsid w:val="004B6C0F"/>
    <w:rsid w:val="004B6C1A"/>
    <w:rsid w:val="004B6E8C"/>
    <w:rsid w:val="004B7065"/>
    <w:rsid w:val="004B7121"/>
    <w:rsid w:val="004B721D"/>
    <w:rsid w:val="004B7BAB"/>
    <w:rsid w:val="004B7BF5"/>
    <w:rsid w:val="004B7CF0"/>
    <w:rsid w:val="004B7D0B"/>
    <w:rsid w:val="004B7DCF"/>
    <w:rsid w:val="004B7EFC"/>
    <w:rsid w:val="004C03E4"/>
    <w:rsid w:val="004C13AB"/>
    <w:rsid w:val="004C1F53"/>
    <w:rsid w:val="004C2A51"/>
    <w:rsid w:val="004C2EC4"/>
    <w:rsid w:val="004C313F"/>
    <w:rsid w:val="004C3243"/>
    <w:rsid w:val="004C34C2"/>
    <w:rsid w:val="004C37A1"/>
    <w:rsid w:val="004C3CE3"/>
    <w:rsid w:val="004C3D52"/>
    <w:rsid w:val="004C4074"/>
    <w:rsid w:val="004C430A"/>
    <w:rsid w:val="004C50F5"/>
    <w:rsid w:val="004C56F5"/>
    <w:rsid w:val="004C6016"/>
    <w:rsid w:val="004C60F4"/>
    <w:rsid w:val="004C638E"/>
    <w:rsid w:val="004C697B"/>
    <w:rsid w:val="004C6BDA"/>
    <w:rsid w:val="004C72DD"/>
    <w:rsid w:val="004C74EB"/>
    <w:rsid w:val="004C7573"/>
    <w:rsid w:val="004C790F"/>
    <w:rsid w:val="004C7962"/>
    <w:rsid w:val="004C79F9"/>
    <w:rsid w:val="004C7BE1"/>
    <w:rsid w:val="004D0478"/>
    <w:rsid w:val="004D0B81"/>
    <w:rsid w:val="004D105B"/>
    <w:rsid w:val="004D135A"/>
    <w:rsid w:val="004D1A82"/>
    <w:rsid w:val="004D1BA5"/>
    <w:rsid w:val="004D1E2E"/>
    <w:rsid w:val="004D2056"/>
    <w:rsid w:val="004D26CE"/>
    <w:rsid w:val="004D2C98"/>
    <w:rsid w:val="004D305F"/>
    <w:rsid w:val="004D3FBF"/>
    <w:rsid w:val="004D45C0"/>
    <w:rsid w:val="004D47C3"/>
    <w:rsid w:val="004D481F"/>
    <w:rsid w:val="004D4AD4"/>
    <w:rsid w:val="004D4D1D"/>
    <w:rsid w:val="004D4E43"/>
    <w:rsid w:val="004D5621"/>
    <w:rsid w:val="004D5B75"/>
    <w:rsid w:val="004D5D68"/>
    <w:rsid w:val="004D5F03"/>
    <w:rsid w:val="004D6110"/>
    <w:rsid w:val="004D617A"/>
    <w:rsid w:val="004D66DF"/>
    <w:rsid w:val="004D6845"/>
    <w:rsid w:val="004D686E"/>
    <w:rsid w:val="004D68E9"/>
    <w:rsid w:val="004D6965"/>
    <w:rsid w:val="004D697E"/>
    <w:rsid w:val="004D76B1"/>
    <w:rsid w:val="004E0835"/>
    <w:rsid w:val="004E0B49"/>
    <w:rsid w:val="004E1AA4"/>
    <w:rsid w:val="004E2477"/>
    <w:rsid w:val="004E2A62"/>
    <w:rsid w:val="004E2AFC"/>
    <w:rsid w:val="004E2FE1"/>
    <w:rsid w:val="004E39EA"/>
    <w:rsid w:val="004E3C0D"/>
    <w:rsid w:val="004E3F68"/>
    <w:rsid w:val="004E411A"/>
    <w:rsid w:val="004E4161"/>
    <w:rsid w:val="004E42AC"/>
    <w:rsid w:val="004E4B7D"/>
    <w:rsid w:val="004E4CB7"/>
    <w:rsid w:val="004E534E"/>
    <w:rsid w:val="004E56FC"/>
    <w:rsid w:val="004E574B"/>
    <w:rsid w:val="004E5E17"/>
    <w:rsid w:val="004E5EC2"/>
    <w:rsid w:val="004E6262"/>
    <w:rsid w:val="004E63BB"/>
    <w:rsid w:val="004E6563"/>
    <w:rsid w:val="004E6923"/>
    <w:rsid w:val="004E6BAF"/>
    <w:rsid w:val="004E70F5"/>
    <w:rsid w:val="004E735E"/>
    <w:rsid w:val="004E740B"/>
    <w:rsid w:val="004E777F"/>
    <w:rsid w:val="004F0866"/>
    <w:rsid w:val="004F0A7A"/>
    <w:rsid w:val="004F0B9D"/>
    <w:rsid w:val="004F111B"/>
    <w:rsid w:val="004F12E7"/>
    <w:rsid w:val="004F140B"/>
    <w:rsid w:val="004F168C"/>
    <w:rsid w:val="004F1727"/>
    <w:rsid w:val="004F280F"/>
    <w:rsid w:val="004F2958"/>
    <w:rsid w:val="004F2ACF"/>
    <w:rsid w:val="004F31F5"/>
    <w:rsid w:val="004F3F61"/>
    <w:rsid w:val="004F41F5"/>
    <w:rsid w:val="004F43DC"/>
    <w:rsid w:val="004F44A5"/>
    <w:rsid w:val="004F4975"/>
    <w:rsid w:val="004F4E01"/>
    <w:rsid w:val="004F5187"/>
    <w:rsid w:val="004F5DB8"/>
    <w:rsid w:val="004F5E7D"/>
    <w:rsid w:val="004F61A8"/>
    <w:rsid w:val="004F6B39"/>
    <w:rsid w:val="004F70C1"/>
    <w:rsid w:val="004F72C7"/>
    <w:rsid w:val="004F76B0"/>
    <w:rsid w:val="004F7E22"/>
    <w:rsid w:val="00500D39"/>
    <w:rsid w:val="005012F3"/>
    <w:rsid w:val="00501685"/>
    <w:rsid w:val="00501F13"/>
    <w:rsid w:val="005026E4"/>
    <w:rsid w:val="00502993"/>
    <w:rsid w:val="00504247"/>
    <w:rsid w:val="005042F1"/>
    <w:rsid w:val="00504F39"/>
    <w:rsid w:val="00504F87"/>
    <w:rsid w:val="005052C5"/>
    <w:rsid w:val="0050609F"/>
    <w:rsid w:val="005063E6"/>
    <w:rsid w:val="00506745"/>
    <w:rsid w:val="005069EB"/>
    <w:rsid w:val="00507906"/>
    <w:rsid w:val="00507963"/>
    <w:rsid w:val="00507A20"/>
    <w:rsid w:val="00507D53"/>
    <w:rsid w:val="00507E59"/>
    <w:rsid w:val="005100FD"/>
    <w:rsid w:val="005105FF"/>
    <w:rsid w:val="00510857"/>
    <w:rsid w:val="00510894"/>
    <w:rsid w:val="00510EDC"/>
    <w:rsid w:val="0051142C"/>
    <w:rsid w:val="00511755"/>
    <w:rsid w:val="00512056"/>
    <w:rsid w:val="0051229D"/>
    <w:rsid w:val="00512D44"/>
    <w:rsid w:val="005131A7"/>
    <w:rsid w:val="005133E2"/>
    <w:rsid w:val="0051345D"/>
    <w:rsid w:val="0051356B"/>
    <w:rsid w:val="00513F8B"/>
    <w:rsid w:val="0051453D"/>
    <w:rsid w:val="00514A37"/>
    <w:rsid w:val="005150C5"/>
    <w:rsid w:val="00515241"/>
    <w:rsid w:val="00515C8C"/>
    <w:rsid w:val="00515F95"/>
    <w:rsid w:val="0051619F"/>
    <w:rsid w:val="00516643"/>
    <w:rsid w:val="005169B2"/>
    <w:rsid w:val="00516DC0"/>
    <w:rsid w:val="00517BAA"/>
    <w:rsid w:val="00517CC3"/>
    <w:rsid w:val="00520389"/>
    <w:rsid w:val="005206C4"/>
    <w:rsid w:val="00520964"/>
    <w:rsid w:val="00520F16"/>
    <w:rsid w:val="00521200"/>
    <w:rsid w:val="0052157F"/>
    <w:rsid w:val="00521B55"/>
    <w:rsid w:val="00522788"/>
    <w:rsid w:val="00522849"/>
    <w:rsid w:val="00522A50"/>
    <w:rsid w:val="00522C34"/>
    <w:rsid w:val="005233F8"/>
    <w:rsid w:val="00523687"/>
    <w:rsid w:val="005238C6"/>
    <w:rsid w:val="0052456F"/>
    <w:rsid w:val="00524767"/>
    <w:rsid w:val="00524914"/>
    <w:rsid w:val="005252DF"/>
    <w:rsid w:val="00525C10"/>
    <w:rsid w:val="00525DDE"/>
    <w:rsid w:val="005264B9"/>
    <w:rsid w:val="00527117"/>
    <w:rsid w:val="00527349"/>
    <w:rsid w:val="005273FC"/>
    <w:rsid w:val="0052767A"/>
    <w:rsid w:val="0053015A"/>
    <w:rsid w:val="005301D0"/>
    <w:rsid w:val="0053043D"/>
    <w:rsid w:val="00530557"/>
    <w:rsid w:val="0053070D"/>
    <w:rsid w:val="00530E18"/>
    <w:rsid w:val="00530E4C"/>
    <w:rsid w:val="0053121B"/>
    <w:rsid w:val="0053132D"/>
    <w:rsid w:val="00531A3B"/>
    <w:rsid w:val="00531CF8"/>
    <w:rsid w:val="005321CD"/>
    <w:rsid w:val="00532636"/>
    <w:rsid w:val="00532B55"/>
    <w:rsid w:val="005334DC"/>
    <w:rsid w:val="00533D26"/>
    <w:rsid w:val="005341CA"/>
    <w:rsid w:val="00534208"/>
    <w:rsid w:val="0053430F"/>
    <w:rsid w:val="00534355"/>
    <w:rsid w:val="00534BA3"/>
    <w:rsid w:val="00534E09"/>
    <w:rsid w:val="00535881"/>
    <w:rsid w:val="00535E05"/>
    <w:rsid w:val="00535F65"/>
    <w:rsid w:val="00536388"/>
    <w:rsid w:val="00536578"/>
    <w:rsid w:val="005368CE"/>
    <w:rsid w:val="00537057"/>
    <w:rsid w:val="00537215"/>
    <w:rsid w:val="00537C1B"/>
    <w:rsid w:val="00540314"/>
    <w:rsid w:val="00540A72"/>
    <w:rsid w:val="00540CC9"/>
    <w:rsid w:val="00541355"/>
    <w:rsid w:val="00541ACC"/>
    <w:rsid w:val="00541CD6"/>
    <w:rsid w:val="00541F40"/>
    <w:rsid w:val="005421A5"/>
    <w:rsid w:val="005431FE"/>
    <w:rsid w:val="00543CA0"/>
    <w:rsid w:val="005440F7"/>
    <w:rsid w:val="00544939"/>
    <w:rsid w:val="005451E9"/>
    <w:rsid w:val="00545311"/>
    <w:rsid w:val="00545949"/>
    <w:rsid w:val="005459C8"/>
    <w:rsid w:val="00546380"/>
    <w:rsid w:val="00546C6B"/>
    <w:rsid w:val="005473C3"/>
    <w:rsid w:val="005476A0"/>
    <w:rsid w:val="00547C22"/>
    <w:rsid w:val="00550810"/>
    <w:rsid w:val="00550936"/>
    <w:rsid w:val="00550A9E"/>
    <w:rsid w:val="00550EBB"/>
    <w:rsid w:val="0055109B"/>
    <w:rsid w:val="005516DB"/>
    <w:rsid w:val="00551763"/>
    <w:rsid w:val="00552910"/>
    <w:rsid w:val="0055328D"/>
    <w:rsid w:val="00553482"/>
    <w:rsid w:val="00554322"/>
    <w:rsid w:val="0055441F"/>
    <w:rsid w:val="005545A5"/>
    <w:rsid w:val="005545AD"/>
    <w:rsid w:val="005546E4"/>
    <w:rsid w:val="00554953"/>
    <w:rsid w:val="00554CB6"/>
    <w:rsid w:val="00554FA0"/>
    <w:rsid w:val="0055553C"/>
    <w:rsid w:val="00555542"/>
    <w:rsid w:val="005556F9"/>
    <w:rsid w:val="00556384"/>
    <w:rsid w:val="005563C4"/>
    <w:rsid w:val="00556981"/>
    <w:rsid w:val="00557115"/>
    <w:rsid w:val="00557B09"/>
    <w:rsid w:val="00557BE9"/>
    <w:rsid w:val="00557E2E"/>
    <w:rsid w:val="005608D5"/>
    <w:rsid w:val="00560D69"/>
    <w:rsid w:val="0056153D"/>
    <w:rsid w:val="005627FA"/>
    <w:rsid w:val="00562C7B"/>
    <w:rsid w:val="00562DE9"/>
    <w:rsid w:val="00562FE0"/>
    <w:rsid w:val="00563343"/>
    <w:rsid w:val="00563ACF"/>
    <w:rsid w:val="00564472"/>
    <w:rsid w:val="00564AC5"/>
    <w:rsid w:val="00564E60"/>
    <w:rsid w:val="005653AF"/>
    <w:rsid w:val="00565614"/>
    <w:rsid w:val="00566287"/>
    <w:rsid w:val="005667D1"/>
    <w:rsid w:val="0056683A"/>
    <w:rsid w:val="00567560"/>
    <w:rsid w:val="00567D4F"/>
    <w:rsid w:val="00568A21"/>
    <w:rsid w:val="00570650"/>
    <w:rsid w:val="00570E6E"/>
    <w:rsid w:val="0057181F"/>
    <w:rsid w:val="00571960"/>
    <w:rsid w:val="0057196F"/>
    <w:rsid w:val="00572B72"/>
    <w:rsid w:val="0057365F"/>
    <w:rsid w:val="005736BE"/>
    <w:rsid w:val="00573988"/>
    <w:rsid w:val="00574CF4"/>
    <w:rsid w:val="00575111"/>
    <w:rsid w:val="005752BD"/>
    <w:rsid w:val="005752CD"/>
    <w:rsid w:val="005759EF"/>
    <w:rsid w:val="00575F7F"/>
    <w:rsid w:val="005772D1"/>
    <w:rsid w:val="00577E90"/>
    <w:rsid w:val="005801E9"/>
    <w:rsid w:val="00580214"/>
    <w:rsid w:val="00580572"/>
    <w:rsid w:val="00580C8E"/>
    <w:rsid w:val="005814C2"/>
    <w:rsid w:val="005816CB"/>
    <w:rsid w:val="00581AF2"/>
    <w:rsid w:val="0058293F"/>
    <w:rsid w:val="00582B6C"/>
    <w:rsid w:val="00582BC0"/>
    <w:rsid w:val="00582D0C"/>
    <w:rsid w:val="00583F57"/>
    <w:rsid w:val="00583FFD"/>
    <w:rsid w:val="005842A7"/>
    <w:rsid w:val="005846A7"/>
    <w:rsid w:val="00585072"/>
    <w:rsid w:val="0058539A"/>
    <w:rsid w:val="00585795"/>
    <w:rsid w:val="00585A3B"/>
    <w:rsid w:val="00586DF7"/>
    <w:rsid w:val="0058725D"/>
    <w:rsid w:val="00587438"/>
    <w:rsid w:val="00587C75"/>
    <w:rsid w:val="00590360"/>
    <w:rsid w:val="005904BC"/>
    <w:rsid w:val="0059069B"/>
    <w:rsid w:val="00590A1B"/>
    <w:rsid w:val="00590C94"/>
    <w:rsid w:val="00590EFC"/>
    <w:rsid w:val="00591433"/>
    <w:rsid w:val="0059159C"/>
    <w:rsid w:val="0059178D"/>
    <w:rsid w:val="0059193F"/>
    <w:rsid w:val="00591CB5"/>
    <w:rsid w:val="00593149"/>
    <w:rsid w:val="00593447"/>
    <w:rsid w:val="005936FA"/>
    <w:rsid w:val="0059374A"/>
    <w:rsid w:val="00593D17"/>
    <w:rsid w:val="00593FCA"/>
    <w:rsid w:val="00594BC9"/>
    <w:rsid w:val="00595670"/>
    <w:rsid w:val="005961BA"/>
    <w:rsid w:val="00596351"/>
    <w:rsid w:val="005963C1"/>
    <w:rsid w:val="005968DF"/>
    <w:rsid w:val="00596ABD"/>
    <w:rsid w:val="00596FB2"/>
    <w:rsid w:val="00597376"/>
    <w:rsid w:val="00597730"/>
    <w:rsid w:val="005A0892"/>
    <w:rsid w:val="005A0A1A"/>
    <w:rsid w:val="005A0B38"/>
    <w:rsid w:val="005A0EC7"/>
    <w:rsid w:val="005A0FFD"/>
    <w:rsid w:val="005A1578"/>
    <w:rsid w:val="005A15D7"/>
    <w:rsid w:val="005A1604"/>
    <w:rsid w:val="005A1665"/>
    <w:rsid w:val="005A20EC"/>
    <w:rsid w:val="005A2CB5"/>
    <w:rsid w:val="005A32D1"/>
    <w:rsid w:val="005A33B2"/>
    <w:rsid w:val="005A3588"/>
    <w:rsid w:val="005A3E1A"/>
    <w:rsid w:val="005A4ABC"/>
    <w:rsid w:val="005A5094"/>
    <w:rsid w:val="005A564A"/>
    <w:rsid w:val="005A5897"/>
    <w:rsid w:val="005A60EF"/>
    <w:rsid w:val="005A631A"/>
    <w:rsid w:val="005A6849"/>
    <w:rsid w:val="005A6BAC"/>
    <w:rsid w:val="005A6C8F"/>
    <w:rsid w:val="005A6DE7"/>
    <w:rsid w:val="005A6F9B"/>
    <w:rsid w:val="005A7E1B"/>
    <w:rsid w:val="005A7E2C"/>
    <w:rsid w:val="005B1EB6"/>
    <w:rsid w:val="005B1FF4"/>
    <w:rsid w:val="005B20EC"/>
    <w:rsid w:val="005B2B3A"/>
    <w:rsid w:val="005B42C0"/>
    <w:rsid w:val="005B4B45"/>
    <w:rsid w:val="005B4B61"/>
    <w:rsid w:val="005B5C67"/>
    <w:rsid w:val="005B5F55"/>
    <w:rsid w:val="005B624A"/>
    <w:rsid w:val="005B69C6"/>
    <w:rsid w:val="005B6D33"/>
    <w:rsid w:val="005B6FA1"/>
    <w:rsid w:val="005B7430"/>
    <w:rsid w:val="005B7844"/>
    <w:rsid w:val="005C00CD"/>
    <w:rsid w:val="005C09D9"/>
    <w:rsid w:val="005C0D82"/>
    <w:rsid w:val="005C135E"/>
    <w:rsid w:val="005C13D3"/>
    <w:rsid w:val="005C1989"/>
    <w:rsid w:val="005C20F4"/>
    <w:rsid w:val="005C2151"/>
    <w:rsid w:val="005C3255"/>
    <w:rsid w:val="005C44B7"/>
    <w:rsid w:val="005C57FA"/>
    <w:rsid w:val="005C58F7"/>
    <w:rsid w:val="005C5C5B"/>
    <w:rsid w:val="005C5DF1"/>
    <w:rsid w:val="005C5F9D"/>
    <w:rsid w:val="005C6A2D"/>
    <w:rsid w:val="005C70B3"/>
    <w:rsid w:val="005C7FC1"/>
    <w:rsid w:val="005D03B4"/>
    <w:rsid w:val="005D0487"/>
    <w:rsid w:val="005D0687"/>
    <w:rsid w:val="005D06C1"/>
    <w:rsid w:val="005D143A"/>
    <w:rsid w:val="005D163F"/>
    <w:rsid w:val="005D1DDF"/>
    <w:rsid w:val="005D20E4"/>
    <w:rsid w:val="005D2338"/>
    <w:rsid w:val="005D2494"/>
    <w:rsid w:val="005D2FFC"/>
    <w:rsid w:val="005D315F"/>
    <w:rsid w:val="005D3A9D"/>
    <w:rsid w:val="005D3C74"/>
    <w:rsid w:val="005D3D4A"/>
    <w:rsid w:val="005D3F1A"/>
    <w:rsid w:val="005D3FEC"/>
    <w:rsid w:val="005D4335"/>
    <w:rsid w:val="005D44BD"/>
    <w:rsid w:val="005D47BB"/>
    <w:rsid w:val="005D4B74"/>
    <w:rsid w:val="005D55A2"/>
    <w:rsid w:val="005D5C47"/>
    <w:rsid w:val="005D616F"/>
    <w:rsid w:val="005D6574"/>
    <w:rsid w:val="005D722C"/>
    <w:rsid w:val="005D7FBF"/>
    <w:rsid w:val="005E002D"/>
    <w:rsid w:val="005E06D2"/>
    <w:rsid w:val="005E0B65"/>
    <w:rsid w:val="005E0BCD"/>
    <w:rsid w:val="005E0D4D"/>
    <w:rsid w:val="005E0D5E"/>
    <w:rsid w:val="005E1035"/>
    <w:rsid w:val="005E1451"/>
    <w:rsid w:val="005E1BA2"/>
    <w:rsid w:val="005E1D8E"/>
    <w:rsid w:val="005E318A"/>
    <w:rsid w:val="005E3403"/>
    <w:rsid w:val="005E371B"/>
    <w:rsid w:val="005E3CF8"/>
    <w:rsid w:val="005E54EB"/>
    <w:rsid w:val="005E55D5"/>
    <w:rsid w:val="005E5784"/>
    <w:rsid w:val="005E6A0A"/>
    <w:rsid w:val="005E7040"/>
    <w:rsid w:val="005E70B6"/>
    <w:rsid w:val="005E75CE"/>
    <w:rsid w:val="005E760C"/>
    <w:rsid w:val="005E7E8D"/>
    <w:rsid w:val="005F003C"/>
    <w:rsid w:val="005F029C"/>
    <w:rsid w:val="005F1094"/>
    <w:rsid w:val="005F1196"/>
    <w:rsid w:val="005F2487"/>
    <w:rsid w:val="005F277B"/>
    <w:rsid w:val="005F2EF0"/>
    <w:rsid w:val="005F3589"/>
    <w:rsid w:val="005F360B"/>
    <w:rsid w:val="005F3F53"/>
    <w:rsid w:val="005F51B6"/>
    <w:rsid w:val="005F5621"/>
    <w:rsid w:val="005F59F3"/>
    <w:rsid w:val="005F5C5A"/>
    <w:rsid w:val="005F5C72"/>
    <w:rsid w:val="005F5F7B"/>
    <w:rsid w:val="005F6987"/>
    <w:rsid w:val="005F7D6E"/>
    <w:rsid w:val="0060092B"/>
    <w:rsid w:val="006011B0"/>
    <w:rsid w:val="00601634"/>
    <w:rsid w:val="00601822"/>
    <w:rsid w:val="00601B4B"/>
    <w:rsid w:val="00601BCE"/>
    <w:rsid w:val="00602EF7"/>
    <w:rsid w:val="00603023"/>
    <w:rsid w:val="006034FB"/>
    <w:rsid w:val="00603585"/>
    <w:rsid w:val="006037BC"/>
    <w:rsid w:val="00603A2C"/>
    <w:rsid w:val="00604448"/>
    <w:rsid w:val="00605217"/>
    <w:rsid w:val="00606307"/>
    <w:rsid w:val="0060653E"/>
    <w:rsid w:val="00606978"/>
    <w:rsid w:val="00607326"/>
    <w:rsid w:val="006076FC"/>
    <w:rsid w:val="00607A63"/>
    <w:rsid w:val="00610503"/>
    <w:rsid w:val="00611567"/>
    <w:rsid w:val="00611B37"/>
    <w:rsid w:val="00611FE8"/>
    <w:rsid w:val="006120F6"/>
    <w:rsid w:val="00612279"/>
    <w:rsid w:val="006123D5"/>
    <w:rsid w:val="006127AC"/>
    <w:rsid w:val="006127CF"/>
    <w:rsid w:val="006129F2"/>
    <w:rsid w:val="0061338F"/>
    <w:rsid w:val="006133EA"/>
    <w:rsid w:val="00613FE2"/>
    <w:rsid w:val="006146D9"/>
    <w:rsid w:val="0061491C"/>
    <w:rsid w:val="00614E74"/>
    <w:rsid w:val="006151FF"/>
    <w:rsid w:val="00615430"/>
    <w:rsid w:val="00615A42"/>
    <w:rsid w:val="00616C40"/>
    <w:rsid w:val="00617363"/>
    <w:rsid w:val="00620CEE"/>
    <w:rsid w:val="006210FB"/>
    <w:rsid w:val="00621E18"/>
    <w:rsid w:val="006220A2"/>
    <w:rsid w:val="0062273E"/>
    <w:rsid w:val="0062293E"/>
    <w:rsid w:val="00622F17"/>
    <w:rsid w:val="00623356"/>
    <w:rsid w:val="0062343F"/>
    <w:rsid w:val="00623958"/>
    <w:rsid w:val="00624002"/>
    <w:rsid w:val="0062459C"/>
    <w:rsid w:val="00624A52"/>
    <w:rsid w:val="00624DAB"/>
    <w:rsid w:val="0062505E"/>
    <w:rsid w:val="006256D0"/>
    <w:rsid w:val="006268BF"/>
    <w:rsid w:val="00626ECE"/>
    <w:rsid w:val="006275AB"/>
    <w:rsid w:val="00627A3D"/>
    <w:rsid w:val="00627C95"/>
    <w:rsid w:val="00627EE1"/>
    <w:rsid w:val="00630251"/>
    <w:rsid w:val="006308AB"/>
    <w:rsid w:val="00630B6E"/>
    <w:rsid w:val="0063395F"/>
    <w:rsid w:val="00633B51"/>
    <w:rsid w:val="00633F2A"/>
    <w:rsid w:val="006350A5"/>
    <w:rsid w:val="006352BD"/>
    <w:rsid w:val="00636979"/>
    <w:rsid w:val="00637A34"/>
    <w:rsid w:val="00637AEF"/>
    <w:rsid w:val="00637B63"/>
    <w:rsid w:val="00637BD3"/>
    <w:rsid w:val="006403ED"/>
    <w:rsid w:val="00640FAD"/>
    <w:rsid w:val="00640FC1"/>
    <w:rsid w:val="0064162A"/>
    <w:rsid w:val="006420EB"/>
    <w:rsid w:val="00642BA3"/>
    <w:rsid w:val="00642FAE"/>
    <w:rsid w:val="00643284"/>
    <w:rsid w:val="00643DCC"/>
    <w:rsid w:val="006456AE"/>
    <w:rsid w:val="0064645D"/>
    <w:rsid w:val="006502CD"/>
    <w:rsid w:val="00650572"/>
    <w:rsid w:val="0065072A"/>
    <w:rsid w:val="00650DEF"/>
    <w:rsid w:val="006523FD"/>
    <w:rsid w:val="00652772"/>
    <w:rsid w:val="0065298A"/>
    <w:rsid w:val="0065299F"/>
    <w:rsid w:val="00652B0C"/>
    <w:rsid w:val="00652B22"/>
    <w:rsid w:val="00652C5D"/>
    <w:rsid w:val="00654272"/>
    <w:rsid w:val="0065473B"/>
    <w:rsid w:val="00654AF4"/>
    <w:rsid w:val="00655254"/>
    <w:rsid w:val="006553C9"/>
    <w:rsid w:val="00655662"/>
    <w:rsid w:val="0065569E"/>
    <w:rsid w:val="006557D2"/>
    <w:rsid w:val="0065582C"/>
    <w:rsid w:val="00655B3B"/>
    <w:rsid w:val="00656A41"/>
    <w:rsid w:val="00656B57"/>
    <w:rsid w:val="00656C4D"/>
    <w:rsid w:val="00656DC4"/>
    <w:rsid w:val="00656DC6"/>
    <w:rsid w:val="00657345"/>
    <w:rsid w:val="006573AF"/>
    <w:rsid w:val="006576CC"/>
    <w:rsid w:val="0065777D"/>
    <w:rsid w:val="00657AAC"/>
    <w:rsid w:val="00657EC7"/>
    <w:rsid w:val="00660E8E"/>
    <w:rsid w:val="00661193"/>
    <w:rsid w:val="006612A8"/>
    <w:rsid w:val="00661636"/>
    <w:rsid w:val="00662E87"/>
    <w:rsid w:val="006632A9"/>
    <w:rsid w:val="006633D9"/>
    <w:rsid w:val="00664324"/>
    <w:rsid w:val="006649D2"/>
    <w:rsid w:val="00665300"/>
    <w:rsid w:val="006657B0"/>
    <w:rsid w:val="00665D54"/>
    <w:rsid w:val="00665FD7"/>
    <w:rsid w:val="00666B5F"/>
    <w:rsid w:val="006671F6"/>
    <w:rsid w:val="00667865"/>
    <w:rsid w:val="00667A4E"/>
    <w:rsid w:val="006716FA"/>
    <w:rsid w:val="00671781"/>
    <w:rsid w:val="00671827"/>
    <w:rsid w:val="00671ABA"/>
    <w:rsid w:val="00671FB0"/>
    <w:rsid w:val="006721BE"/>
    <w:rsid w:val="00672B91"/>
    <w:rsid w:val="00672BF1"/>
    <w:rsid w:val="00673093"/>
    <w:rsid w:val="006731F5"/>
    <w:rsid w:val="00673405"/>
    <w:rsid w:val="00673CA7"/>
    <w:rsid w:val="006745FE"/>
    <w:rsid w:val="00674700"/>
    <w:rsid w:val="006747DA"/>
    <w:rsid w:val="00675024"/>
    <w:rsid w:val="00675254"/>
    <w:rsid w:val="006755ED"/>
    <w:rsid w:val="00675BBF"/>
    <w:rsid w:val="00675BF2"/>
    <w:rsid w:val="00675C0F"/>
    <w:rsid w:val="00676456"/>
    <w:rsid w:val="00676DB3"/>
    <w:rsid w:val="0067728F"/>
    <w:rsid w:val="0067734E"/>
    <w:rsid w:val="006773B0"/>
    <w:rsid w:val="00677933"/>
    <w:rsid w:val="00680AD6"/>
    <w:rsid w:val="00680F19"/>
    <w:rsid w:val="0068148F"/>
    <w:rsid w:val="0068217B"/>
    <w:rsid w:val="00682229"/>
    <w:rsid w:val="0068263B"/>
    <w:rsid w:val="006827E9"/>
    <w:rsid w:val="00682B0B"/>
    <w:rsid w:val="00683242"/>
    <w:rsid w:val="006833B3"/>
    <w:rsid w:val="00683A41"/>
    <w:rsid w:val="00683FA8"/>
    <w:rsid w:val="0068403D"/>
    <w:rsid w:val="006840BF"/>
    <w:rsid w:val="00684302"/>
    <w:rsid w:val="006849D4"/>
    <w:rsid w:val="00684DAB"/>
    <w:rsid w:val="00685580"/>
    <w:rsid w:val="006856A0"/>
    <w:rsid w:val="00685A25"/>
    <w:rsid w:val="006866ED"/>
    <w:rsid w:val="00686AF4"/>
    <w:rsid w:val="00686F72"/>
    <w:rsid w:val="00687D30"/>
    <w:rsid w:val="00687D74"/>
    <w:rsid w:val="00690291"/>
    <w:rsid w:val="00691087"/>
    <w:rsid w:val="00691766"/>
    <w:rsid w:val="00691CA0"/>
    <w:rsid w:val="00691F1A"/>
    <w:rsid w:val="006923C8"/>
    <w:rsid w:val="0069280E"/>
    <w:rsid w:val="00692B77"/>
    <w:rsid w:val="00692E72"/>
    <w:rsid w:val="00692F67"/>
    <w:rsid w:val="00693185"/>
    <w:rsid w:val="006931E4"/>
    <w:rsid w:val="00693944"/>
    <w:rsid w:val="00693ED0"/>
    <w:rsid w:val="006954F7"/>
    <w:rsid w:val="00696098"/>
    <w:rsid w:val="0069621B"/>
    <w:rsid w:val="006962FD"/>
    <w:rsid w:val="00696304"/>
    <w:rsid w:val="00696A9D"/>
    <w:rsid w:val="00696F77"/>
    <w:rsid w:val="00696F9D"/>
    <w:rsid w:val="00696FBA"/>
    <w:rsid w:val="00697027"/>
    <w:rsid w:val="00697172"/>
    <w:rsid w:val="00697315"/>
    <w:rsid w:val="00697ADD"/>
    <w:rsid w:val="00697E79"/>
    <w:rsid w:val="006A0178"/>
    <w:rsid w:val="006A0F2F"/>
    <w:rsid w:val="006A1930"/>
    <w:rsid w:val="006A2073"/>
    <w:rsid w:val="006A2203"/>
    <w:rsid w:val="006A2746"/>
    <w:rsid w:val="006A2A7E"/>
    <w:rsid w:val="006A2ACD"/>
    <w:rsid w:val="006A2D61"/>
    <w:rsid w:val="006A3549"/>
    <w:rsid w:val="006A35E3"/>
    <w:rsid w:val="006A403C"/>
    <w:rsid w:val="006A41B4"/>
    <w:rsid w:val="006A4545"/>
    <w:rsid w:val="006A4974"/>
    <w:rsid w:val="006A53F9"/>
    <w:rsid w:val="006A5711"/>
    <w:rsid w:val="006A5EE5"/>
    <w:rsid w:val="006A628B"/>
    <w:rsid w:val="006A6429"/>
    <w:rsid w:val="006A6A7B"/>
    <w:rsid w:val="006A7073"/>
    <w:rsid w:val="006A7BF3"/>
    <w:rsid w:val="006A7F82"/>
    <w:rsid w:val="006B07D7"/>
    <w:rsid w:val="006B0911"/>
    <w:rsid w:val="006B0984"/>
    <w:rsid w:val="006B1491"/>
    <w:rsid w:val="006B189C"/>
    <w:rsid w:val="006B23F6"/>
    <w:rsid w:val="006B330E"/>
    <w:rsid w:val="006B3394"/>
    <w:rsid w:val="006B3A00"/>
    <w:rsid w:val="006B3C67"/>
    <w:rsid w:val="006B408C"/>
    <w:rsid w:val="006B42F7"/>
    <w:rsid w:val="006B447A"/>
    <w:rsid w:val="006B56FC"/>
    <w:rsid w:val="006B5A3C"/>
    <w:rsid w:val="006B5EC3"/>
    <w:rsid w:val="006B6308"/>
    <w:rsid w:val="006B674E"/>
    <w:rsid w:val="006B7484"/>
    <w:rsid w:val="006B7933"/>
    <w:rsid w:val="006C090D"/>
    <w:rsid w:val="006C0B4F"/>
    <w:rsid w:val="006C1052"/>
    <w:rsid w:val="006C17D7"/>
    <w:rsid w:val="006C258C"/>
    <w:rsid w:val="006C2788"/>
    <w:rsid w:val="006C2E89"/>
    <w:rsid w:val="006C3017"/>
    <w:rsid w:val="006C3CB7"/>
    <w:rsid w:val="006C4CCE"/>
    <w:rsid w:val="006C4D26"/>
    <w:rsid w:val="006C5668"/>
    <w:rsid w:val="006C567F"/>
    <w:rsid w:val="006C5684"/>
    <w:rsid w:val="006C616B"/>
    <w:rsid w:val="006C62FE"/>
    <w:rsid w:val="006C678B"/>
    <w:rsid w:val="006C69F6"/>
    <w:rsid w:val="006C738C"/>
    <w:rsid w:val="006C7651"/>
    <w:rsid w:val="006C778C"/>
    <w:rsid w:val="006C7D61"/>
    <w:rsid w:val="006D05DE"/>
    <w:rsid w:val="006D192F"/>
    <w:rsid w:val="006D22D7"/>
    <w:rsid w:val="006D2780"/>
    <w:rsid w:val="006D2AD2"/>
    <w:rsid w:val="006D348D"/>
    <w:rsid w:val="006D3606"/>
    <w:rsid w:val="006D39A1"/>
    <w:rsid w:val="006D4312"/>
    <w:rsid w:val="006D4566"/>
    <w:rsid w:val="006D465E"/>
    <w:rsid w:val="006D4C52"/>
    <w:rsid w:val="006D4E80"/>
    <w:rsid w:val="006D50C9"/>
    <w:rsid w:val="006D513D"/>
    <w:rsid w:val="006D559E"/>
    <w:rsid w:val="006D5D99"/>
    <w:rsid w:val="006D5F36"/>
    <w:rsid w:val="006D6080"/>
    <w:rsid w:val="006D629A"/>
    <w:rsid w:val="006D6633"/>
    <w:rsid w:val="006D66DF"/>
    <w:rsid w:val="006D6AAA"/>
    <w:rsid w:val="006D6DC9"/>
    <w:rsid w:val="006D6F6A"/>
    <w:rsid w:val="006D7015"/>
    <w:rsid w:val="006D7050"/>
    <w:rsid w:val="006D7144"/>
    <w:rsid w:val="006D75C4"/>
    <w:rsid w:val="006D76A5"/>
    <w:rsid w:val="006E09F0"/>
    <w:rsid w:val="006E0C1A"/>
    <w:rsid w:val="006E0E9C"/>
    <w:rsid w:val="006E0F75"/>
    <w:rsid w:val="006E11B3"/>
    <w:rsid w:val="006E1274"/>
    <w:rsid w:val="006E1533"/>
    <w:rsid w:val="006E19C3"/>
    <w:rsid w:val="006E1D9A"/>
    <w:rsid w:val="006E2773"/>
    <w:rsid w:val="006E2A18"/>
    <w:rsid w:val="006E32CC"/>
    <w:rsid w:val="006E33AB"/>
    <w:rsid w:val="006E3F4C"/>
    <w:rsid w:val="006E4509"/>
    <w:rsid w:val="006E4D13"/>
    <w:rsid w:val="006E4E41"/>
    <w:rsid w:val="006E55A2"/>
    <w:rsid w:val="006E5B2F"/>
    <w:rsid w:val="006E6275"/>
    <w:rsid w:val="006E6348"/>
    <w:rsid w:val="006E6390"/>
    <w:rsid w:val="006E6491"/>
    <w:rsid w:val="006E70A8"/>
    <w:rsid w:val="006E71EB"/>
    <w:rsid w:val="006E7242"/>
    <w:rsid w:val="006E7611"/>
    <w:rsid w:val="006E77AA"/>
    <w:rsid w:val="006F02E8"/>
    <w:rsid w:val="006F19FA"/>
    <w:rsid w:val="006F1FF2"/>
    <w:rsid w:val="006F2D18"/>
    <w:rsid w:val="006F2D7B"/>
    <w:rsid w:val="006F3356"/>
    <w:rsid w:val="006F3AC0"/>
    <w:rsid w:val="006F40C9"/>
    <w:rsid w:val="006F4374"/>
    <w:rsid w:val="006F4502"/>
    <w:rsid w:val="006F48CA"/>
    <w:rsid w:val="006F490C"/>
    <w:rsid w:val="006F4934"/>
    <w:rsid w:val="006F4D04"/>
    <w:rsid w:val="006F521E"/>
    <w:rsid w:val="006F53F5"/>
    <w:rsid w:val="006F5A46"/>
    <w:rsid w:val="006F5B78"/>
    <w:rsid w:val="006F61D2"/>
    <w:rsid w:val="006F6300"/>
    <w:rsid w:val="006F644F"/>
    <w:rsid w:val="006F6D76"/>
    <w:rsid w:val="006F7A56"/>
    <w:rsid w:val="006F7B28"/>
    <w:rsid w:val="006F7EB5"/>
    <w:rsid w:val="007003B5"/>
    <w:rsid w:val="00700531"/>
    <w:rsid w:val="00700799"/>
    <w:rsid w:val="00700859"/>
    <w:rsid w:val="00700982"/>
    <w:rsid w:val="00700C3A"/>
    <w:rsid w:val="00701DA8"/>
    <w:rsid w:val="00701F09"/>
    <w:rsid w:val="007024C6"/>
    <w:rsid w:val="007030AC"/>
    <w:rsid w:val="00703292"/>
    <w:rsid w:val="00703672"/>
    <w:rsid w:val="00704918"/>
    <w:rsid w:val="00705161"/>
    <w:rsid w:val="0070521F"/>
    <w:rsid w:val="007052E8"/>
    <w:rsid w:val="00706173"/>
    <w:rsid w:val="00706323"/>
    <w:rsid w:val="007069AF"/>
    <w:rsid w:val="0070703F"/>
    <w:rsid w:val="0070753B"/>
    <w:rsid w:val="00707D94"/>
    <w:rsid w:val="007104EC"/>
    <w:rsid w:val="007105D2"/>
    <w:rsid w:val="00710902"/>
    <w:rsid w:val="007109DB"/>
    <w:rsid w:val="00710A68"/>
    <w:rsid w:val="00710B24"/>
    <w:rsid w:val="00710B9C"/>
    <w:rsid w:val="0071163C"/>
    <w:rsid w:val="00711870"/>
    <w:rsid w:val="0071237A"/>
    <w:rsid w:val="00712602"/>
    <w:rsid w:val="0071298B"/>
    <w:rsid w:val="00712AB8"/>
    <w:rsid w:val="00712ABC"/>
    <w:rsid w:val="00712FE8"/>
    <w:rsid w:val="0071304E"/>
    <w:rsid w:val="007136A0"/>
    <w:rsid w:val="00713B7F"/>
    <w:rsid w:val="007142F2"/>
    <w:rsid w:val="007144AB"/>
    <w:rsid w:val="00714891"/>
    <w:rsid w:val="00714968"/>
    <w:rsid w:val="00714AE8"/>
    <w:rsid w:val="0071535D"/>
    <w:rsid w:val="00715534"/>
    <w:rsid w:val="00715D14"/>
    <w:rsid w:val="00715DED"/>
    <w:rsid w:val="0071606B"/>
    <w:rsid w:val="00716204"/>
    <w:rsid w:val="0071639F"/>
    <w:rsid w:val="0071649E"/>
    <w:rsid w:val="00716CFD"/>
    <w:rsid w:val="00716DFE"/>
    <w:rsid w:val="00717118"/>
    <w:rsid w:val="007172F6"/>
    <w:rsid w:val="007173F0"/>
    <w:rsid w:val="00717593"/>
    <w:rsid w:val="007176EA"/>
    <w:rsid w:val="00717B9F"/>
    <w:rsid w:val="00717CF7"/>
    <w:rsid w:val="00717ECE"/>
    <w:rsid w:val="0072004A"/>
    <w:rsid w:val="00720C17"/>
    <w:rsid w:val="00721B46"/>
    <w:rsid w:val="0072215A"/>
    <w:rsid w:val="00722417"/>
    <w:rsid w:val="00722D0D"/>
    <w:rsid w:val="00722DB0"/>
    <w:rsid w:val="00723211"/>
    <w:rsid w:val="0072321A"/>
    <w:rsid w:val="00723250"/>
    <w:rsid w:val="007232D7"/>
    <w:rsid w:val="007235E4"/>
    <w:rsid w:val="00724112"/>
    <w:rsid w:val="00724B5E"/>
    <w:rsid w:val="00724D28"/>
    <w:rsid w:val="00724E3F"/>
    <w:rsid w:val="00725546"/>
    <w:rsid w:val="00725E72"/>
    <w:rsid w:val="007262E3"/>
    <w:rsid w:val="007267F3"/>
    <w:rsid w:val="007268D6"/>
    <w:rsid w:val="00727279"/>
    <w:rsid w:val="00727832"/>
    <w:rsid w:val="00727C2C"/>
    <w:rsid w:val="00727F5C"/>
    <w:rsid w:val="007303F3"/>
    <w:rsid w:val="0073097A"/>
    <w:rsid w:val="007316DC"/>
    <w:rsid w:val="00731F58"/>
    <w:rsid w:val="007322E0"/>
    <w:rsid w:val="00732B0A"/>
    <w:rsid w:val="00733A43"/>
    <w:rsid w:val="00733DA5"/>
    <w:rsid w:val="00735076"/>
    <w:rsid w:val="007352CA"/>
    <w:rsid w:val="00735465"/>
    <w:rsid w:val="007354B5"/>
    <w:rsid w:val="0073564D"/>
    <w:rsid w:val="00735D00"/>
    <w:rsid w:val="00736057"/>
    <w:rsid w:val="007362C8"/>
    <w:rsid w:val="007364AB"/>
    <w:rsid w:val="007366BF"/>
    <w:rsid w:val="007366FF"/>
    <w:rsid w:val="00736EB7"/>
    <w:rsid w:val="007374CA"/>
    <w:rsid w:val="007377E9"/>
    <w:rsid w:val="00737C27"/>
    <w:rsid w:val="00737E12"/>
    <w:rsid w:val="00740317"/>
    <w:rsid w:val="00740406"/>
    <w:rsid w:val="00740C09"/>
    <w:rsid w:val="00740CE2"/>
    <w:rsid w:val="00740F2C"/>
    <w:rsid w:val="007411F9"/>
    <w:rsid w:val="00741640"/>
    <w:rsid w:val="00742173"/>
    <w:rsid w:val="0074232C"/>
    <w:rsid w:val="00742842"/>
    <w:rsid w:val="00742C36"/>
    <w:rsid w:val="00742E5B"/>
    <w:rsid w:val="00742EE3"/>
    <w:rsid w:val="00742EF8"/>
    <w:rsid w:val="007431EA"/>
    <w:rsid w:val="00743929"/>
    <w:rsid w:val="00743FDA"/>
    <w:rsid w:val="0074449B"/>
    <w:rsid w:val="007445C1"/>
    <w:rsid w:val="0074536F"/>
    <w:rsid w:val="00745B53"/>
    <w:rsid w:val="00745D27"/>
    <w:rsid w:val="0074652F"/>
    <w:rsid w:val="007465DB"/>
    <w:rsid w:val="00746B23"/>
    <w:rsid w:val="00746D01"/>
    <w:rsid w:val="00746DAA"/>
    <w:rsid w:val="007472B1"/>
    <w:rsid w:val="0074767F"/>
    <w:rsid w:val="0074776D"/>
    <w:rsid w:val="007512CA"/>
    <w:rsid w:val="007513B7"/>
    <w:rsid w:val="0075163D"/>
    <w:rsid w:val="00751D36"/>
    <w:rsid w:val="00751DFC"/>
    <w:rsid w:val="00752678"/>
    <w:rsid w:val="00752AAD"/>
    <w:rsid w:val="0075470E"/>
    <w:rsid w:val="00754789"/>
    <w:rsid w:val="00754D1C"/>
    <w:rsid w:val="00755843"/>
    <w:rsid w:val="00755B48"/>
    <w:rsid w:val="00755D1E"/>
    <w:rsid w:val="007562AA"/>
    <w:rsid w:val="00756646"/>
    <w:rsid w:val="00756691"/>
    <w:rsid w:val="00756DCC"/>
    <w:rsid w:val="00757BE8"/>
    <w:rsid w:val="007607A0"/>
    <w:rsid w:val="00760EF3"/>
    <w:rsid w:val="00761B22"/>
    <w:rsid w:val="00761F10"/>
    <w:rsid w:val="00762132"/>
    <w:rsid w:val="0076255D"/>
    <w:rsid w:val="007626C5"/>
    <w:rsid w:val="007628F0"/>
    <w:rsid w:val="00762B2D"/>
    <w:rsid w:val="00762BF1"/>
    <w:rsid w:val="00763393"/>
    <w:rsid w:val="00763445"/>
    <w:rsid w:val="00763540"/>
    <w:rsid w:val="00763674"/>
    <w:rsid w:val="00763972"/>
    <w:rsid w:val="00764084"/>
    <w:rsid w:val="0076542B"/>
    <w:rsid w:val="0076588D"/>
    <w:rsid w:val="00765FC9"/>
    <w:rsid w:val="007660C2"/>
    <w:rsid w:val="00766565"/>
    <w:rsid w:val="00766A4A"/>
    <w:rsid w:val="007671B0"/>
    <w:rsid w:val="0076755F"/>
    <w:rsid w:val="00767577"/>
    <w:rsid w:val="0076778F"/>
    <w:rsid w:val="00767997"/>
    <w:rsid w:val="0077001E"/>
    <w:rsid w:val="007709A6"/>
    <w:rsid w:val="007713B8"/>
    <w:rsid w:val="00771B91"/>
    <w:rsid w:val="00771F28"/>
    <w:rsid w:val="00771FD6"/>
    <w:rsid w:val="00772146"/>
    <w:rsid w:val="0077283B"/>
    <w:rsid w:val="00772D3E"/>
    <w:rsid w:val="00772DCA"/>
    <w:rsid w:val="00772E33"/>
    <w:rsid w:val="00773331"/>
    <w:rsid w:val="007734B9"/>
    <w:rsid w:val="00774128"/>
    <w:rsid w:val="007745B7"/>
    <w:rsid w:val="007749FE"/>
    <w:rsid w:val="00775285"/>
    <w:rsid w:val="00775531"/>
    <w:rsid w:val="0077556C"/>
    <w:rsid w:val="007763BD"/>
    <w:rsid w:val="00777480"/>
    <w:rsid w:val="00780128"/>
    <w:rsid w:val="007802EB"/>
    <w:rsid w:val="0078040A"/>
    <w:rsid w:val="007808CC"/>
    <w:rsid w:val="0078094E"/>
    <w:rsid w:val="00781234"/>
    <w:rsid w:val="007814B0"/>
    <w:rsid w:val="007814EF"/>
    <w:rsid w:val="00781B3E"/>
    <w:rsid w:val="00781C22"/>
    <w:rsid w:val="00781CB1"/>
    <w:rsid w:val="00782150"/>
    <w:rsid w:val="00782386"/>
    <w:rsid w:val="00782C3F"/>
    <w:rsid w:val="0078305C"/>
    <w:rsid w:val="007837E4"/>
    <w:rsid w:val="00783ECC"/>
    <w:rsid w:val="00784159"/>
    <w:rsid w:val="00784195"/>
    <w:rsid w:val="00784AD5"/>
    <w:rsid w:val="00785523"/>
    <w:rsid w:val="0078586A"/>
    <w:rsid w:val="00785959"/>
    <w:rsid w:val="00785B93"/>
    <w:rsid w:val="007868BC"/>
    <w:rsid w:val="00786A7C"/>
    <w:rsid w:val="00787519"/>
    <w:rsid w:val="00790B3C"/>
    <w:rsid w:val="0079106E"/>
    <w:rsid w:val="00791172"/>
    <w:rsid w:val="00791636"/>
    <w:rsid w:val="0079181E"/>
    <w:rsid w:val="00791957"/>
    <w:rsid w:val="00791DAF"/>
    <w:rsid w:val="00791F1D"/>
    <w:rsid w:val="00792006"/>
    <w:rsid w:val="0079210D"/>
    <w:rsid w:val="007932EF"/>
    <w:rsid w:val="00793F1D"/>
    <w:rsid w:val="007950C9"/>
    <w:rsid w:val="007950CF"/>
    <w:rsid w:val="0079513C"/>
    <w:rsid w:val="00795924"/>
    <w:rsid w:val="00795BE0"/>
    <w:rsid w:val="00795EFB"/>
    <w:rsid w:val="0079605E"/>
    <w:rsid w:val="00797192"/>
    <w:rsid w:val="007974C1"/>
    <w:rsid w:val="007979BB"/>
    <w:rsid w:val="00797B7B"/>
    <w:rsid w:val="00797E4B"/>
    <w:rsid w:val="007A1FE8"/>
    <w:rsid w:val="007A201B"/>
    <w:rsid w:val="007A2300"/>
    <w:rsid w:val="007A2C46"/>
    <w:rsid w:val="007A32BC"/>
    <w:rsid w:val="007A33F7"/>
    <w:rsid w:val="007A36FD"/>
    <w:rsid w:val="007A40FA"/>
    <w:rsid w:val="007A4116"/>
    <w:rsid w:val="007A42C5"/>
    <w:rsid w:val="007A42FB"/>
    <w:rsid w:val="007A475E"/>
    <w:rsid w:val="007A5123"/>
    <w:rsid w:val="007A517E"/>
    <w:rsid w:val="007A56B2"/>
    <w:rsid w:val="007A58BB"/>
    <w:rsid w:val="007A5C65"/>
    <w:rsid w:val="007A69DA"/>
    <w:rsid w:val="007A73F9"/>
    <w:rsid w:val="007A7806"/>
    <w:rsid w:val="007A7D7A"/>
    <w:rsid w:val="007A7DD3"/>
    <w:rsid w:val="007A7DD8"/>
    <w:rsid w:val="007B0043"/>
    <w:rsid w:val="007B015C"/>
    <w:rsid w:val="007B09D0"/>
    <w:rsid w:val="007B0A3E"/>
    <w:rsid w:val="007B112E"/>
    <w:rsid w:val="007B15D9"/>
    <w:rsid w:val="007B1AF6"/>
    <w:rsid w:val="007B1E45"/>
    <w:rsid w:val="007B2153"/>
    <w:rsid w:val="007B243C"/>
    <w:rsid w:val="007B2666"/>
    <w:rsid w:val="007B272A"/>
    <w:rsid w:val="007B2D41"/>
    <w:rsid w:val="007B2D86"/>
    <w:rsid w:val="007B3073"/>
    <w:rsid w:val="007B3241"/>
    <w:rsid w:val="007B3595"/>
    <w:rsid w:val="007B371D"/>
    <w:rsid w:val="007B37BE"/>
    <w:rsid w:val="007B3A0F"/>
    <w:rsid w:val="007B3B50"/>
    <w:rsid w:val="007B40E9"/>
    <w:rsid w:val="007B46F0"/>
    <w:rsid w:val="007B4D88"/>
    <w:rsid w:val="007B4DCF"/>
    <w:rsid w:val="007B4DF2"/>
    <w:rsid w:val="007B4E57"/>
    <w:rsid w:val="007B4E7B"/>
    <w:rsid w:val="007B59CC"/>
    <w:rsid w:val="007B5CCA"/>
    <w:rsid w:val="007B5E17"/>
    <w:rsid w:val="007B65AA"/>
    <w:rsid w:val="007B6808"/>
    <w:rsid w:val="007B6C3E"/>
    <w:rsid w:val="007B6D62"/>
    <w:rsid w:val="007B6EA5"/>
    <w:rsid w:val="007B7047"/>
    <w:rsid w:val="007B7691"/>
    <w:rsid w:val="007B7F3E"/>
    <w:rsid w:val="007C01AE"/>
    <w:rsid w:val="007C0B96"/>
    <w:rsid w:val="007C11C4"/>
    <w:rsid w:val="007C125D"/>
    <w:rsid w:val="007C14C1"/>
    <w:rsid w:val="007C15EA"/>
    <w:rsid w:val="007C2828"/>
    <w:rsid w:val="007C29FA"/>
    <w:rsid w:val="007C2D7D"/>
    <w:rsid w:val="007C2FA8"/>
    <w:rsid w:val="007C376F"/>
    <w:rsid w:val="007C387C"/>
    <w:rsid w:val="007C43BA"/>
    <w:rsid w:val="007C4844"/>
    <w:rsid w:val="007C5963"/>
    <w:rsid w:val="007C5BAA"/>
    <w:rsid w:val="007C6125"/>
    <w:rsid w:val="007C66EB"/>
    <w:rsid w:val="007C6B9E"/>
    <w:rsid w:val="007C6CCA"/>
    <w:rsid w:val="007C7C7C"/>
    <w:rsid w:val="007C7E0A"/>
    <w:rsid w:val="007C7F46"/>
    <w:rsid w:val="007D03E7"/>
    <w:rsid w:val="007D0779"/>
    <w:rsid w:val="007D07B0"/>
    <w:rsid w:val="007D0FCB"/>
    <w:rsid w:val="007D1379"/>
    <w:rsid w:val="007D1FDC"/>
    <w:rsid w:val="007D2643"/>
    <w:rsid w:val="007D283A"/>
    <w:rsid w:val="007D28E7"/>
    <w:rsid w:val="007D29BD"/>
    <w:rsid w:val="007D29D4"/>
    <w:rsid w:val="007D2BC5"/>
    <w:rsid w:val="007D3042"/>
    <w:rsid w:val="007D34CF"/>
    <w:rsid w:val="007D384B"/>
    <w:rsid w:val="007D3B76"/>
    <w:rsid w:val="007D3E63"/>
    <w:rsid w:val="007D3EDC"/>
    <w:rsid w:val="007D4363"/>
    <w:rsid w:val="007D481F"/>
    <w:rsid w:val="007D4C50"/>
    <w:rsid w:val="007D4FC5"/>
    <w:rsid w:val="007D537F"/>
    <w:rsid w:val="007D57AC"/>
    <w:rsid w:val="007D585A"/>
    <w:rsid w:val="007D5E74"/>
    <w:rsid w:val="007D63E4"/>
    <w:rsid w:val="007D672F"/>
    <w:rsid w:val="007D6D2F"/>
    <w:rsid w:val="007D75C5"/>
    <w:rsid w:val="007D7678"/>
    <w:rsid w:val="007E0199"/>
    <w:rsid w:val="007E05B0"/>
    <w:rsid w:val="007E0682"/>
    <w:rsid w:val="007E0C89"/>
    <w:rsid w:val="007E1792"/>
    <w:rsid w:val="007E195D"/>
    <w:rsid w:val="007E2104"/>
    <w:rsid w:val="007E2A8F"/>
    <w:rsid w:val="007E3085"/>
    <w:rsid w:val="007E37CD"/>
    <w:rsid w:val="007E3E6D"/>
    <w:rsid w:val="007E4472"/>
    <w:rsid w:val="007E4606"/>
    <w:rsid w:val="007E4B07"/>
    <w:rsid w:val="007E6141"/>
    <w:rsid w:val="007E66A5"/>
    <w:rsid w:val="007E6AF4"/>
    <w:rsid w:val="007E6FA7"/>
    <w:rsid w:val="007E749A"/>
    <w:rsid w:val="007F021D"/>
    <w:rsid w:val="007F0786"/>
    <w:rsid w:val="007F0C22"/>
    <w:rsid w:val="007F0CEE"/>
    <w:rsid w:val="007F1505"/>
    <w:rsid w:val="007F187B"/>
    <w:rsid w:val="007F1DF3"/>
    <w:rsid w:val="007F1EEE"/>
    <w:rsid w:val="007F1F46"/>
    <w:rsid w:val="007F244B"/>
    <w:rsid w:val="007F24C7"/>
    <w:rsid w:val="007F30EA"/>
    <w:rsid w:val="007F344C"/>
    <w:rsid w:val="007F365E"/>
    <w:rsid w:val="007F3DFC"/>
    <w:rsid w:val="007F464E"/>
    <w:rsid w:val="007F5326"/>
    <w:rsid w:val="007F561B"/>
    <w:rsid w:val="007F59A8"/>
    <w:rsid w:val="007F62E0"/>
    <w:rsid w:val="007F656D"/>
    <w:rsid w:val="007F665B"/>
    <w:rsid w:val="007F667D"/>
    <w:rsid w:val="007F6A9A"/>
    <w:rsid w:val="007F6F31"/>
    <w:rsid w:val="007F70ED"/>
    <w:rsid w:val="007F7162"/>
    <w:rsid w:val="00800998"/>
    <w:rsid w:val="00802686"/>
    <w:rsid w:val="008028F6"/>
    <w:rsid w:val="00803807"/>
    <w:rsid w:val="00803C64"/>
    <w:rsid w:val="00803D9D"/>
    <w:rsid w:val="0080514A"/>
    <w:rsid w:val="008051A5"/>
    <w:rsid w:val="00805C93"/>
    <w:rsid w:val="00805ED8"/>
    <w:rsid w:val="00806187"/>
    <w:rsid w:val="008061A2"/>
    <w:rsid w:val="00806919"/>
    <w:rsid w:val="0080696C"/>
    <w:rsid w:val="00806AB6"/>
    <w:rsid w:val="00806C5B"/>
    <w:rsid w:val="00807038"/>
    <w:rsid w:val="008071A2"/>
    <w:rsid w:val="008071EB"/>
    <w:rsid w:val="008079CD"/>
    <w:rsid w:val="00807A4F"/>
    <w:rsid w:val="00807C58"/>
    <w:rsid w:val="00807F41"/>
    <w:rsid w:val="008108F6"/>
    <w:rsid w:val="00810B4F"/>
    <w:rsid w:val="00810BB4"/>
    <w:rsid w:val="00810D04"/>
    <w:rsid w:val="00810FB7"/>
    <w:rsid w:val="0081139D"/>
    <w:rsid w:val="00811763"/>
    <w:rsid w:val="00811860"/>
    <w:rsid w:val="0081195B"/>
    <w:rsid w:val="008121FB"/>
    <w:rsid w:val="0081282D"/>
    <w:rsid w:val="0081339B"/>
    <w:rsid w:val="00813EA1"/>
    <w:rsid w:val="00813FD1"/>
    <w:rsid w:val="00814AED"/>
    <w:rsid w:val="008152B4"/>
    <w:rsid w:val="008156C2"/>
    <w:rsid w:val="008158D9"/>
    <w:rsid w:val="008164C2"/>
    <w:rsid w:val="008164D4"/>
    <w:rsid w:val="00816831"/>
    <w:rsid w:val="0081698B"/>
    <w:rsid w:val="00816ACF"/>
    <w:rsid w:val="00816AE9"/>
    <w:rsid w:val="0081718A"/>
    <w:rsid w:val="00820B13"/>
    <w:rsid w:val="008213E0"/>
    <w:rsid w:val="0082170C"/>
    <w:rsid w:val="00821720"/>
    <w:rsid w:val="00822B86"/>
    <w:rsid w:val="00822D4D"/>
    <w:rsid w:val="008230E0"/>
    <w:rsid w:val="00823BFC"/>
    <w:rsid w:val="00823C23"/>
    <w:rsid w:val="00823FB7"/>
    <w:rsid w:val="008244EB"/>
    <w:rsid w:val="00824F97"/>
    <w:rsid w:val="008250C2"/>
    <w:rsid w:val="008253F3"/>
    <w:rsid w:val="00825838"/>
    <w:rsid w:val="00825AED"/>
    <w:rsid w:val="00827AA3"/>
    <w:rsid w:val="00830568"/>
    <w:rsid w:val="00830EA9"/>
    <w:rsid w:val="00830F43"/>
    <w:rsid w:val="00831452"/>
    <w:rsid w:val="008318D1"/>
    <w:rsid w:val="008322E0"/>
    <w:rsid w:val="00832399"/>
    <w:rsid w:val="00832E46"/>
    <w:rsid w:val="008331ED"/>
    <w:rsid w:val="00833764"/>
    <w:rsid w:val="00833FF1"/>
    <w:rsid w:val="00834317"/>
    <w:rsid w:val="00834F73"/>
    <w:rsid w:val="00835945"/>
    <w:rsid w:val="00835964"/>
    <w:rsid w:val="00836187"/>
    <w:rsid w:val="008364DF"/>
    <w:rsid w:val="00836961"/>
    <w:rsid w:val="00836BD8"/>
    <w:rsid w:val="008370AA"/>
    <w:rsid w:val="008371FA"/>
    <w:rsid w:val="008374ED"/>
    <w:rsid w:val="0083759F"/>
    <w:rsid w:val="00837870"/>
    <w:rsid w:val="008379F2"/>
    <w:rsid w:val="00837E9B"/>
    <w:rsid w:val="00840321"/>
    <w:rsid w:val="00840ADF"/>
    <w:rsid w:val="00840BAB"/>
    <w:rsid w:val="00840E8C"/>
    <w:rsid w:val="00841241"/>
    <w:rsid w:val="00841A12"/>
    <w:rsid w:val="00841F53"/>
    <w:rsid w:val="008422BD"/>
    <w:rsid w:val="0084256E"/>
    <w:rsid w:val="00842BF3"/>
    <w:rsid w:val="00842ED0"/>
    <w:rsid w:val="00844994"/>
    <w:rsid w:val="00845BEB"/>
    <w:rsid w:val="0084634A"/>
    <w:rsid w:val="00846B69"/>
    <w:rsid w:val="00847E6F"/>
    <w:rsid w:val="008512C2"/>
    <w:rsid w:val="008514BB"/>
    <w:rsid w:val="0085180B"/>
    <w:rsid w:val="00851D12"/>
    <w:rsid w:val="008523FE"/>
    <w:rsid w:val="008526CD"/>
    <w:rsid w:val="00852B1B"/>
    <w:rsid w:val="00853014"/>
    <w:rsid w:val="00853847"/>
    <w:rsid w:val="008540F4"/>
    <w:rsid w:val="0085459A"/>
    <w:rsid w:val="00854FFB"/>
    <w:rsid w:val="00855619"/>
    <w:rsid w:val="00855A58"/>
    <w:rsid w:val="00856106"/>
    <w:rsid w:val="008568F3"/>
    <w:rsid w:val="00856B11"/>
    <w:rsid w:val="008575B1"/>
    <w:rsid w:val="0085765E"/>
    <w:rsid w:val="00857CED"/>
    <w:rsid w:val="00857EB3"/>
    <w:rsid w:val="008603F2"/>
    <w:rsid w:val="008604F4"/>
    <w:rsid w:val="008614B9"/>
    <w:rsid w:val="0086150C"/>
    <w:rsid w:val="00861E89"/>
    <w:rsid w:val="00861FFD"/>
    <w:rsid w:val="0086275B"/>
    <w:rsid w:val="00862844"/>
    <w:rsid w:val="00862DDA"/>
    <w:rsid w:val="00863862"/>
    <w:rsid w:val="00863C09"/>
    <w:rsid w:val="00863E6D"/>
    <w:rsid w:val="00864F6C"/>
    <w:rsid w:val="00865958"/>
    <w:rsid w:val="008659EB"/>
    <w:rsid w:val="00866F61"/>
    <w:rsid w:val="00867348"/>
    <w:rsid w:val="00867653"/>
    <w:rsid w:val="0086788A"/>
    <w:rsid w:val="008678C8"/>
    <w:rsid w:val="0086795D"/>
    <w:rsid w:val="0087011A"/>
    <w:rsid w:val="008701C9"/>
    <w:rsid w:val="00870A59"/>
    <w:rsid w:val="008711D3"/>
    <w:rsid w:val="0087141E"/>
    <w:rsid w:val="00871456"/>
    <w:rsid w:val="00871DBE"/>
    <w:rsid w:val="00871ECB"/>
    <w:rsid w:val="00872DF6"/>
    <w:rsid w:val="0087321F"/>
    <w:rsid w:val="008733CC"/>
    <w:rsid w:val="008733F3"/>
    <w:rsid w:val="00873426"/>
    <w:rsid w:val="00874724"/>
    <w:rsid w:val="0087472A"/>
    <w:rsid w:val="0087478E"/>
    <w:rsid w:val="00874AB6"/>
    <w:rsid w:val="00874D22"/>
    <w:rsid w:val="00874F76"/>
    <w:rsid w:val="00875453"/>
    <w:rsid w:val="00875D51"/>
    <w:rsid w:val="00875FE2"/>
    <w:rsid w:val="00876CA5"/>
    <w:rsid w:val="00877173"/>
    <w:rsid w:val="008772B4"/>
    <w:rsid w:val="008773AF"/>
    <w:rsid w:val="00880047"/>
    <w:rsid w:val="00880403"/>
    <w:rsid w:val="0088057A"/>
    <w:rsid w:val="0088061D"/>
    <w:rsid w:val="00880CED"/>
    <w:rsid w:val="00880DB4"/>
    <w:rsid w:val="00880EB4"/>
    <w:rsid w:val="00881305"/>
    <w:rsid w:val="0088175B"/>
    <w:rsid w:val="00882173"/>
    <w:rsid w:val="00882DFF"/>
    <w:rsid w:val="00882F7F"/>
    <w:rsid w:val="0088367E"/>
    <w:rsid w:val="0088390B"/>
    <w:rsid w:val="00884812"/>
    <w:rsid w:val="00884DAD"/>
    <w:rsid w:val="00884DE8"/>
    <w:rsid w:val="0088530F"/>
    <w:rsid w:val="00885ABA"/>
    <w:rsid w:val="00886B6C"/>
    <w:rsid w:val="00886DDA"/>
    <w:rsid w:val="00887769"/>
    <w:rsid w:val="0088781E"/>
    <w:rsid w:val="00890B64"/>
    <w:rsid w:val="00890BA4"/>
    <w:rsid w:val="008914B8"/>
    <w:rsid w:val="008916F0"/>
    <w:rsid w:val="0089190B"/>
    <w:rsid w:val="00891B4B"/>
    <w:rsid w:val="00891B67"/>
    <w:rsid w:val="00892474"/>
    <w:rsid w:val="00892620"/>
    <w:rsid w:val="00892CD8"/>
    <w:rsid w:val="00892DE3"/>
    <w:rsid w:val="0089333B"/>
    <w:rsid w:val="00893782"/>
    <w:rsid w:val="00893F7C"/>
    <w:rsid w:val="008942AE"/>
    <w:rsid w:val="00894922"/>
    <w:rsid w:val="00894B43"/>
    <w:rsid w:val="00894BD2"/>
    <w:rsid w:val="00895684"/>
    <w:rsid w:val="00895CF3"/>
    <w:rsid w:val="00895DD8"/>
    <w:rsid w:val="00895F0E"/>
    <w:rsid w:val="00896011"/>
    <w:rsid w:val="0089620E"/>
    <w:rsid w:val="00896A10"/>
    <w:rsid w:val="00896E16"/>
    <w:rsid w:val="008A0199"/>
    <w:rsid w:val="008A01CE"/>
    <w:rsid w:val="008A083A"/>
    <w:rsid w:val="008A08DC"/>
    <w:rsid w:val="008A0A86"/>
    <w:rsid w:val="008A12CD"/>
    <w:rsid w:val="008A1774"/>
    <w:rsid w:val="008A1C86"/>
    <w:rsid w:val="008A2914"/>
    <w:rsid w:val="008A2941"/>
    <w:rsid w:val="008A2ED6"/>
    <w:rsid w:val="008A3450"/>
    <w:rsid w:val="008A3F6A"/>
    <w:rsid w:val="008A420B"/>
    <w:rsid w:val="008A45F6"/>
    <w:rsid w:val="008A4A55"/>
    <w:rsid w:val="008A4BBE"/>
    <w:rsid w:val="008A517F"/>
    <w:rsid w:val="008A5496"/>
    <w:rsid w:val="008A5544"/>
    <w:rsid w:val="008A5973"/>
    <w:rsid w:val="008A6286"/>
    <w:rsid w:val="008A6543"/>
    <w:rsid w:val="008A6CD8"/>
    <w:rsid w:val="008A6E6C"/>
    <w:rsid w:val="008A6F58"/>
    <w:rsid w:val="008A6FC7"/>
    <w:rsid w:val="008A7308"/>
    <w:rsid w:val="008A7381"/>
    <w:rsid w:val="008A73BA"/>
    <w:rsid w:val="008A73ED"/>
    <w:rsid w:val="008B08A2"/>
    <w:rsid w:val="008B0B24"/>
    <w:rsid w:val="008B0C87"/>
    <w:rsid w:val="008B0FF0"/>
    <w:rsid w:val="008B118F"/>
    <w:rsid w:val="008B147A"/>
    <w:rsid w:val="008B1BC2"/>
    <w:rsid w:val="008B2990"/>
    <w:rsid w:val="008B2A10"/>
    <w:rsid w:val="008B2FE0"/>
    <w:rsid w:val="008B36B7"/>
    <w:rsid w:val="008B4AC5"/>
    <w:rsid w:val="008B62CB"/>
    <w:rsid w:val="008B65DF"/>
    <w:rsid w:val="008B68F3"/>
    <w:rsid w:val="008B7535"/>
    <w:rsid w:val="008B77ED"/>
    <w:rsid w:val="008C0376"/>
    <w:rsid w:val="008C05D8"/>
    <w:rsid w:val="008C0A92"/>
    <w:rsid w:val="008C0B36"/>
    <w:rsid w:val="008C0BAB"/>
    <w:rsid w:val="008C0BF3"/>
    <w:rsid w:val="008C1BD9"/>
    <w:rsid w:val="008C200F"/>
    <w:rsid w:val="008C24ED"/>
    <w:rsid w:val="008C2801"/>
    <w:rsid w:val="008C2C84"/>
    <w:rsid w:val="008C2D5A"/>
    <w:rsid w:val="008C321D"/>
    <w:rsid w:val="008C3259"/>
    <w:rsid w:val="008C4413"/>
    <w:rsid w:val="008C49F1"/>
    <w:rsid w:val="008C4E49"/>
    <w:rsid w:val="008C4F3D"/>
    <w:rsid w:val="008C5079"/>
    <w:rsid w:val="008C51C0"/>
    <w:rsid w:val="008C5230"/>
    <w:rsid w:val="008C52C4"/>
    <w:rsid w:val="008C6468"/>
    <w:rsid w:val="008C6481"/>
    <w:rsid w:val="008C65F6"/>
    <w:rsid w:val="008C69F3"/>
    <w:rsid w:val="008C757A"/>
    <w:rsid w:val="008D07FD"/>
    <w:rsid w:val="008D0A8A"/>
    <w:rsid w:val="008D1E44"/>
    <w:rsid w:val="008D1E9D"/>
    <w:rsid w:val="008D2082"/>
    <w:rsid w:val="008D20E6"/>
    <w:rsid w:val="008D2382"/>
    <w:rsid w:val="008D271D"/>
    <w:rsid w:val="008D2B88"/>
    <w:rsid w:val="008D2D62"/>
    <w:rsid w:val="008D3771"/>
    <w:rsid w:val="008D43BA"/>
    <w:rsid w:val="008D43FA"/>
    <w:rsid w:val="008D4658"/>
    <w:rsid w:val="008D4B4A"/>
    <w:rsid w:val="008D4E2B"/>
    <w:rsid w:val="008D4F19"/>
    <w:rsid w:val="008D5206"/>
    <w:rsid w:val="008D521D"/>
    <w:rsid w:val="008D5803"/>
    <w:rsid w:val="008D5B4A"/>
    <w:rsid w:val="008D5B6A"/>
    <w:rsid w:val="008D5F11"/>
    <w:rsid w:val="008D60F7"/>
    <w:rsid w:val="008D6196"/>
    <w:rsid w:val="008D6421"/>
    <w:rsid w:val="008D6F5E"/>
    <w:rsid w:val="008D6F62"/>
    <w:rsid w:val="008D722A"/>
    <w:rsid w:val="008D7847"/>
    <w:rsid w:val="008D7A50"/>
    <w:rsid w:val="008E0739"/>
    <w:rsid w:val="008E0811"/>
    <w:rsid w:val="008E090F"/>
    <w:rsid w:val="008E1E9E"/>
    <w:rsid w:val="008E2070"/>
    <w:rsid w:val="008E214A"/>
    <w:rsid w:val="008E24FE"/>
    <w:rsid w:val="008E2665"/>
    <w:rsid w:val="008E2EDF"/>
    <w:rsid w:val="008E3428"/>
    <w:rsid w:val="008E385E"/>
    <w:rsid w:val="008E3DCE"/>
    <w:rsid w:val="008E3F81"/>
    <w:rsid w:val="008E3FD5"/>
    <w:rsid w:val="008E4513"/>
    <w:rsid w:val="008E462A"/>
    <w:rsid w:val="008E4D8E"/>
    <w:rsid w:val="008E5123"/>
    <w:rsid w:val="008E5B68"/>
    <w:rsid w:val="008E5C06"/>
    <w:rsid w:val="008E61E9"/>
    <w:rsid w:val="008E70D0"/>
    <w:rsid w:val="008E7679"/>
    <w:rsid w:val="008F0077"/>
    <w:rsid w:val="008F0519"/>
    <w:rsid w:val="008F0653"/>
    <w:rsid w:val="008F06F5"/>
    <w:rsid w:val="008F081B"/>
    <w:rsid w:val="008F0924"/>
    <w:rsid w:val="008F096B"/>
    <w:rsid w:val="008F098A"/>
    <w:rsid w:val="008F0E5A"/>
    <w:rsid w:val="008F14D5"/>
    <w:rsid w:val="008F1AFF"/>
    <w:rsid w:val="008F1DF2"/>
    <w:rsid w:val="008F1FE2"/>
    <w:rsid w:val="008F27F4"/>
    <w:rsid w:val="008F2AF1"/>
    <w:rsid w:val="008F2D3A"/>
    <w:rsid w:val="008F2E8F"/>
    <w:rsid w:val="008F2FB0"/>
    <w:rsid w:val="008F2FF4"/>
    <w:rsid w:val="008F3234"/>
    <w:rsid w:val="008F49BA"/>
    <w:rsid w:val="008F5012"/>
    <w:rsid w:val="008F50D9"/>
    <w:rsid w:val="008F5A61"/>
    <w:rsid w:val="008F6316"/>
    <w:rsid w:val="008F638E"/>
    <w:rsid w:val="008F6480"/>
    <w:rsid w:val="008F687C"/>
    <w:rsid w:val="008F6993"/>
    <w:rsid w:val="008F6CAB"/>
    <w:rsid w:val="008F6E19"/>
    <w:rsid w:val="008F6E6A"/>
    <w:rsid w:val="008F70DB"/>
    <w:rsid w:val="008F7C80"/>
    <w:rsid w:val="008F7DCF"/>
    <w:rsid w:val="0090107F"/>
    <w:rsid w:val="009011B9"/>
    <w:rsid w:val="00901400"/>
    <w:rsid w:val="0090141B"/>
    <w:rsid w:val="00901A84"/>
    <w:rsid w:val="00901C9F"/>
    <w:rsid w:val="0090213D"/>
    <w:rsid w:val="009022BA"/>
    <w:rsid w:val="0090299E"/>
    <w:rsid w:val="009029B3"/>
    <w:rsid w:val="0090323B"/>
    <w:rsid w:val="00903755"/>
    <w:rsid w:val="0090378B"/>
    <w:rsid w:val="0090394F"/>
    <w:rsid w:val="00903BB5"/>
    <w:rsid w:val="00904865"/>
    <w:rsid w:val="00904C48"/>
    <w:rsid w:val="0090540C"/>
    <w:rsid w:val="00905431"/>
    <w:rsid w:val="00905B08"/>
    <w:rsid w:val="0090663A"/>
    <w:rsid w:val="00906F70"/>
    <w:rsid w:val="009072B3"/>
    <w:rsid w:val="00907529"/>
    <w:rsid w:val="009100A1"/>
    <w:rsid w:val="009103DB"/>
    <w:rsid w:val="0091059D"/>
    <w:rsid w:val="00910682"/>
    <w:rsid w:val="0091076D"/>
    <w:rsid w:val="00910DB8"/>
    <w:rsid w:val="009113D4"/>
    <w:rsid w:val="00911422"/>
    <w:rsid w:val="00911616"/>
    <w:rsid w:val="00912725"/>
    <w:rsid w:val="009127C3"/>
    <w:rsid w:val="00912A05"/>
    <w:rsid w:val="00912B7F"/>
    <w:rsid w:val="00912DA0"/>
    <w:rsid w:val="00914227"/>
    <w:rsid w:val="00914E18"/>
    <w:rsid w:val="00914E24"/>
    <w:rsid w:val="00914E93"/>
    <w:rsid w:val="00914F5F"/>
    <w:rsid w:val="0091566F"/>
    <w:rsid w:val="00915819"/>
    <w:rsid w:val="00915EF3"/>
    <w:rsid w:val="009162C5"/>
    <w:rsid w:val="009166BD"/>
    <w:rsid w:val="00917083"/>
    <w:rsid w:val="0091777B"/>
    <w:rsid w:val="009177E7"/>
    <w:rsid w:val="00920119"/>
    <w:rsid w:val="00920432"/>
    <w:rsid w:val="009205FE"/>
    <w:rsid w:val="00920C3F"/>
    <w:rsid w:val="00921777"/>
    <w:rsid w:val="009218DA"/>
    <w:rsid w:val="00922774"/>
    <w:rsid w:val="00922848"/>
    <w:rsid w:val="00924129"/>
    <w:rsid w:val="009246B4"/>
    <w:rsid w:val="00924746"/>
    <w:rsid w:val="00924A1E"/>
    <w:rsid w:val="00924A43"/>
    <w:rsid w:val="00924CFA"/>
    <w:rsid w:val="009251A7"/>
    <w:rsid w:val="00925250"/>
    <w:rsid w:val="00925364"/>
    <w:rsid w:val="0092544E"/>
    <w:rsid w:val="00925545"/>
    <w:rsid w:val="00925C1A"/>
    <w:rsid w:val="00925E33"/>
    <w:rsid w:val="009266BE"/>
    <w:rsid w:val="00926B3E"/>
    <w:rsid w:val="00926EFF"/>
    <w:rsid w:val="009271A8"/>
    <w:rsid w:val="00927E53"/>
    <w:rsid w:val="0093052D"/>
    <w:rsid w:val="00930D29"/>
    <w:rsid w:val="0093119C"/>
    <w:rsid w:val="009314F9"/>
    <w:rsid w:val="0093178C"/>
    <w:rsid w:val="00931A97"/>
    <w:rsid w:val="00931BBC"/>
    <w:rsid w:val="009322E7"/>
    <w:rsid w:val="00932331"/>
    <w:rsid w:val="00932CCA"/>
    <w:rsid w:val="0093302B"/>
    <w:rsid w:val="009330BE"/>
    <w:rsid w:val="009334AE"/>
    <w:rsid w:val="00933ABA"/>
    <w:rsid w:val="00933BBA"/>
    <w:rsid w:val="00934311"/>
    <w:rsid w:val="009345BA"/>
    <w:rsid w:val="00934892"/>
    <w:rsid w:val="00935371"/>
    <w:rsid w:val="00935425"/>
    <w:rsid w:val="00935829"/>
    <w:rsid w:val="00935936"/>
    <w:rsid w:val="009364AC"/>
    <w:rsid w:val="009370EE"/>
    <w:rsid w:val="00937A3B"/>
    <w:rsid w:val="00940D5E"/>
    <w:rsid w:val="00941345"/>
    <w:rsid w:val="009419A3"/>
    <w:rsid w:val="00943630"/>
    <w:rsid w:val="0094379F"/>
    <w:rsid w:val="0094432F"/>
    <w:rsid w:val="00944AE5"/>
    <w:rsid w:val="00944DBD"/>
    <w:rsid w:val="00944EA4"/>
    <w:rsid w:val="00945120"/>
    <w:rsid w:val="009461AC"/>
    <w:rsid w:val="009502ED"/>
    <w:rsid w:val="009504C3"/>
    <w:rsid w:val="009504D7"/>
    <w:rsid w:val="0095068A"/>
    <w:rsid w:val="009511A8"/>
    <w:rsid w:val="00951346"/>
    <w:rsid w:val="009525B3"/>
    <w:rsid w:val="0095279A"/>
    <w:rsid w:val="0095294E"/>
    <w:rsid w:val="00952B76"/>
    <w:rsid w:val="00952D91"/>
    <w:rsid w:val="00952E5E"/>
    <w:rsid w:val="00952F1F"/>
    <w:rsid w:val="00953987"/>
    <w:rsid w:val="009539FF"/>
    <w:rsid w:val="00953A10"/>
    <w:rsid w:val="00953B79"/>
    <w:rsid w:val="009540DA"/>
    <w:rsid w:val="00954FB9"/>
    <w:rsid w:val="009552B6"/>
    <w:rsid w:val="0095541C"/>
    <w:rsid w:val="00955A09"/>
    <w:rsid w:val="00955ADE"/>
    <w:rsid w:val="00955AEA"/>
    <w:rsid w:val="00955D22"/>
    <w:rsid w:val="009561D8"/>
    <w:rsid w:val="00956442"/>
    <w:rsid w:val="00956454"/>
    <w:rsid w:val="00956F8C"/>
    <w:rsid w:val="009571B5"/>
    <w:rsid w:val="009579C7"/>
    <w:rsid w:val="00960EAD"/>
    <w:rsid w:val="0096146D"/>
    <w:rsid w:val="009615ED"/>
    <w:rsid w:val="00961847"/>
    <w:rsid w:val="009618E2"/>
    <w:rsid w:val="00961C1D"/>
    <w:rsid w:val="009620D5"/>
    <w:rsid w:val="00962567"/>
    <w:rsid w:val="00962BA6"/>
    <w:rsid w:val="00962D61"/>
    <w:rsid w:val="00963A6E"/>
    <w:rsid w:val="0096479B"/>
    <w:rsid w:val="00964958"/>
    <w:rsid w:val="00964E43"/>
    <w:rsid w:val="009658A1"/>
    <w:rsid w:val="0096590F"/>
    <w:rsid w:val="00965DE9"/>
    <w:rsid w:val="009667F0"/>
    <w:rsid w:val="00966B52"/>
    <w:rsid w:val="009676DD"/>
    <w:rsid w:val="0096778B"/>
    <w:rsid w:val="00967D53"/>
    <w:rsid w:val="00967E6B"/>
    <w:rsid w:val="0096DEA0"/>
    <w:rsid w:val="0097005A"/>
    <w:rsid w:val="009715B9"/>
    <w:rsid w:val="0097193D"/>
    <w:rsid w:val="0097214A"/>
    <w:rsid w:val="00972DF7"/>
    <w:rsid w:val="00972E01"/>
    <w:rsid w:val="00972E98"/>
    <w:rsid w:val="009730F5"/>
    <w:rsid w:val="00973A78"/>
    <w:rsid w:val="00973CF7"/>
    <w:rsid w:val="00973E15"/>
    <w:rsid w:val="009746B1"/>
    <w:rsid w:val="009747F3"/>
    <w:rsid w:val="00974D15"/>
    <w:rsid w:val="009755A2"/>
    <w:rsid w:val="0097590F"/>
    <w:rsid w:val="00975AA3"/>
    <w:rsid w:val="00975F7F"/>
    <w:rsid w:val="00976464"/>
    <w:rsid w:val="009766E6"/>
    <w:rsid w:val="009767A2"/>
    <w:rsid w:val="00976DED"/>
    <w:rsid w:val="00977346"/>
    <w:rsid w:val="00980974"/>
    <w:rsid w:val="0098097B"/>
    <w:rsid w:val="00980B94"/>
    <w:rsid w:val="00980E7A"/>
    <w:rsid w:val="00982203"/>
    <w:rsid w:val="009823A3"/>
    <w:rsid w:val="00982648"/>
    <w:rsid w:val="00982A2C"/>
    <w:rsid w:val="00982CA4"/>
    <w:rsid w:val="0098313D"/>
    <w:rsid w:val="0098433A"/>
    <w:rsid w:val="0098441C"/>
    <w:rsid w:val="009844D3"/>
    <w:rsid w:val="00984541"/>
    <w:rsid w:val="00984A7E"/>
    <w:rsid w:val="00984ED5"/>
    <w:rsid w:val="00985760"/>
    <w:rsid w:val="00985878"/>
    <w:rsid w:val="00985C74"/>
    <w:rsid w:val="00985F9E"/>
    <w:rsid w:val="0098622A"/>
    <w:rsid w:val="00986310"/>
    <w:rsid w:val="009869B6"/>
    <w:rsid w:val="00986BBB"/>
    <w:rsid w:val="00986CCF"/>
    <w:rsid w:val="00987F7A"/>
    <w:rsid w:val="00990348"/>
    <w:rsid w:val="00990479"/>
    <w:rsid w:val="009907F8"/>
    <w:rsid w:val="00990ADA"/>
    <w:rsid w:val="00991A07"/>
    <w:rsid w:val="00991DC6"/>
    <w:rsid w:val="009921A2"/>
    <w:rsid w:val="00992C3C"/>
    <w:rsid w:val="00992DC4"/>
    <w:rsid w:val="00992EE3"/>
    <w:rsid w:val="009937A8"/>
    <w:rsid w:val="00993BAC"/>
    <w:rsid w:val="00994578"/>
    <w:rsid w:val="00994EA9"/>
    <w:rsid w:val="00995571"/>
    <w:rsid w:val="00995717"/>
    <w:rsid w:val="00995B97"/>
    <w:rsid w:val="0099607C"/>
    <w:rsid w:val="009966AE"/>
    <w:rsid w:val="0099691E"/>
    <w:rsid w:val="00996CE2"/>
    <w:rsid w:val="0099782F"/>
    <w:rsid w:val="00997C6D"/>
    <w:rsid w:val="009A05D0"/>
    <w:rsid w:val="009A08B7"/>
    <w:rsid w:val="009A0991"/>
    <w:rsid w:val="009A0BAE"/>
    <w:rsid w:val="009A1AD4"/>
    <w:rsid w:val="009A1D5A"/>
    <w:rsid w:val="009A2039"/>
    <w:rsid w:val="009A2481"/>
    <w:rsid w:val="009A2D2A"/>
    <w:rsid w:val="009A3255"/>
    <w:rsid w:val="009A3324"/>
    <w:rsid w:val="009A35DA"/>
    <w:rsid w:val="009A35ED"/>
    <w:rsid w:val="009A4AB8"/>
    <w:rsid w:val="009A4F5A"/>
    <w:rsid w:val="009A56DA"/>
    <w:rsid w:val="009A5D01"/>
    <w:rsid w:val="009A629F"/>
    <w:rsid w:val="009A646D"/>
    <w:rsid w:val="009A7133"/>
    <w:rsid w:val="009A7285"/>
    <w:rsid w:val="009A7398"/>
    <w:rsid w:val="009A7B49"/>
    <w:rsid w:val="009B04E6"/>
    <w:rsid w:val="009B04F4"/>
    <w:rsid w:val="009B12A1"/>
    <w:rsid w:val="009B1351"/>
    <w:rsid w:val="009B17BC"/>
    <w:rsid w:val="009B1D1C"/>
    <w:rsid w:val="009B25D1"/>
    <w:rsid w:val="009B2AAF"/>
    <w:rsid w:val="009B2BB6"/>
    <w:rsid w:val="009B3714"/>
    <w:rsid w:val="009B3A74"/>
    <w:rsid w:val="009B3EE4"/>
    <w:rsid w:val="009B45BF"/>
    <w:rsid w:val="009B4ADB"/>
    <w:rsid w:val="009B4B99"/>
    <w:rsid w:val="009B5034"/>
    <w:rsid w:val="009B581C"/>
    <w:rsid w:val="009B5F1E"/>
    <w:rsid w:val="009B5FE7"/>
    <w:rsid w:val="009B647B"/>
    <w:rsid w:val="009B70D7"/>
    <w:rsid w:val="009B776F"/>
    <w:rsid w:val="009B791B"/>
    <w:rsid w:val="009B7943"/>
    <w:rsid w:val="009B7D7C"/>
    <w:rsid w:val="009C097E"/>
    <w:rsid w:val="009C12C1"/>
    <w:rsid w:val="009C1646"/>
    <w:rsid w:val="009C183B"/>
    <w:rsid w:val="009C1D00"/>
    <w:rsid w:val="009C1EE2"/>
    <w:rsid w:val="009C2A52"/>
    <w:rsid w:val="009C3053"/>
    <w:rsid w:val="009C3202"/>
    <w:rsid w:val="009C3280"/>
    <w:rsid w:val="009C3298"/>
    <w:rsid w:val="009C358C"/>
    <w:rsid w:val="009C4043"/>
    <w:rsid w:val="009C4821"/>
    <w:rsid w:val="009C4844"/>
    <w:rsid w:val="009C4922"/>
    <w:rsid w:val="009C5082"/>
    <w:rsid w:val="009C5D59"/>
    <w:rsid w:val="009C60F6"/>
    <w:rsid w:val="009C66B0"/>
    <w:rsid w:val="009C71BF"/>
    <w:rsid w:val="009C7426"/>
    <w:rsid w:val="009C7B61"/>
    <w:rsid w:val="009C7D3B"/>
    <w:rsid w:val="009D01B3"/>
    <w:rsid w:val="009D168E"/>
    <w:rsid w:val="009D1D6E"/>
    <w:rsid w:val="009D2007"/>
    <w:rsid w:val="009D2687"/>
    <w:rsid w:val="009D2CF1"/>
    <w:rsid w:val="009D2FE3"/>
    <w:rsid w:val="009D33EC"/>
    <w:rsid w:val="009D37F6"/>
    <w:rsid w:val="009D38DB"/>
    <w:rsid w:val="009D3DDD"/>
    <w:rsid w:val="009D4067"/>
    <w:rsid w:val="009D40DB"/>
    <w:rsid w:val="009D43FE"/>
    <w:rsid w:val="009D469A"/>
    <w:rsid w:val="009D5A1B"/>
    <w:rsid w:val="009D5A9E"/>
    <w:rsid w:val="009D651F"/>
    <w:rsid w:val="009D6A4F"/>
    <w:rsid w:val="009D701C"/>
    <w:rsid w:val="009D779E"/>
    <w:rsid w:val="009D7A6E"/>
    <w:rsid w:val="009D7B85"/>
    <w:rsid w:val="009E083A"/>
    <w:rsid w:val="009E08C9"/>
    <w:rsid w:val="009E0933"/>
    <w:rsid w:val="009E0A4C"/>
    <w:rsid w:val="009E140C"/>
    <w:rsid w:val="009E1B12"/>
    <w:rsid w:val="009E1F76"/>
    <w:rsid w:val="009E2268"/>
    <w:rsid w:val="009E2774"/>
    <w:rsid w:val="009E28C2"/>
    <w:rsid w:val="009E2B49"/>
    <w:rsid w:val="009E31A6"/>
    <w:rsid w:val="009E34F5"/>
    <w:rsid w:val="009E3506"/>
    <w:rsid w:val="009E350E"/>
    <w:rsid w:val="009E382A"/>
    <w:rsid w:val="009E38E4"/>
    <w:rsid w:val="009E3D24"/>
    <w:rsid w:val="009E3DA5"/>
    <w:rsid w:val="009E416C"/>
    <w:rsid w:val="009E4AA8"/>
    <w:rsid w:val="009E4AED"/>
    <w:rsid w:val="009E4F76"/>
    <w:rsid w:val="009E5464"/>
    <w:rsid w:val="009E73CE"/>
    <w:rsid w:val="009E7EFE"/>
    <w:rsid w:val="009E7FA9"/>
    <w:rsid w:val="009F0674"/>
    <w:rsid w:val="009F0CCC"/>
    <w:rsid w:val="009F10F2"/>
    <w:rsid w:val="009F1291"/>
    <w:rsid w:val="009F161A"/>
    <w:rsid w:val="009F1707"/>
    <w:rsid w:val="009F1D43"/>
    <w:rsid w:val="009F27E9"/>
    <w:rsid w:val="009F33D7"/>
    <w:rsid w:val="009F38F5"/>
    <w:rsid w:val="009F3A24"/>
    <w:rsid w:val="009F3B45"/>
    <w:rsid w:val="009F3C73"/>
    <w:rsid w:val="009F3CC1"/>
    <w:rsid w:val="009F426E"/>
    <w:rsid w:val="009F42F2"/>
    <w:rsid w:val="009F47DF"/>
    <w:rsid w:val="009F4ACA"/>
    <w:rsid w:val="009F4F34"/>
    <w:rsid w:val="009F57DB"/>
    <w:rsid w:val="009F58A9"/>
    <w:rsid w:val="009F59FA"/>
    <w:rsid w:val="009F6996"/>
    <w:rsid w:val="009F6ACB"/>
    <w:rsid w:val="009F6D30"/>
    <w:rsid w:val="009F7051"/>
    <w:rsid w:val="009F7242"/>
    <w:rsid w:val="009F73A1"/>
    <w:rsid w:val="00A0017B"/>
    <w:rsid w:val="00A006A9"/>
    <w:rsid w:val="00A007A3"/>
    <w:rsid w:val="00A00929"/>
    <w:rsid w:val="00A009D4"/>
    <w:rsid w:val="00A01805"/>
    <w:rsid w:val="00A01982"/>
    <w:rsid w:val="00A01BF5"/>
    <w:rsid w:val="00A022B3"/>
    <w:rsid w:val="00A025FD"/>
    <w:rsid w:val="00A02942"/>
    <w:rsid w:val="00A02AB7"/>
    <w:rsid w:val="00A02E68"/>
    <w:rsid w:val="00A02EFA"/>
    <w:rsid w:val="00A03070"/>
    <w:rsid w:val="00A03616"/>
    <w:rsid w:val="00A03B13"/>
    <w:rsid w:val="00A03B31"/>
    <w:rsid w:val="00A05DCF"/>
    <w:rsid w:val="00A0663D"/>
    <w:rsid w:val="00A066B3"/>
    <w:rsid w:val="00A0697F"/>
    <w:rsid w:val="00A06C5C"/>
    <w:rsid w:val="00A06DB8"/>
    <w:rsid w:val="00A072E4"/>
    <w:rsid w:val="00A07A3D"/>
    <w:rsid w:val="00A10500"/>
    <w:rsid w:val="00A1052A"/>
    <w:rsid w:val="00A10634"/>
    <w:rsid w:val="00A10960"/>
    <w:rsid w:val="00A10BEB"/>
    <w:rsid w:val="00A10EAF"/>
    <w:rsid w:val="00A112E0"/>
    <w:rsid w:val="00A1161E"/>
    <w:rsid w:val="00A1197A"/>
    <w:rsid w:val="00A11CE8"/>
    <w:rsid w:val="00A11CEE"/>
    <w:rsid w:val="00A12620"/>
    <w:rsid w:val="00A129FD"/>
    <w:rsid w:val="00A1360B"/>
    <w:rsid w:val="00A136CB"/>
    <w:rsid w:val="00A140B9"/>
    <w:rsid w:val="00A1480A"/>
    <w:rsid w:val="00A148FF"/>
    <w:rsid w:val="00A14B9F"/>
    <w:rsid w:val="00A14E30"/>
    <w:rsid w:val="00A14F4E"/>
    <w:rsid w:val="00A157E1"/>
    <w:rsid w:val="00A15862"/>
    <w:rsid w:val="00A15A5E"/>
    <w:rsid w:val="00A15CA6"/>
    <w:rsid w:val="00A16259"/>
    <w:rsid w:val="00A171EB"/>
    <w:rsid w:val="00A20390"/>
    <w:rsid w:val="00A20488"/>
    <w:rsid w:val="00A207F6"/>
    <w:rsid w:val="00A20A30"/>
    <w:rsid w:val="00A2118F"/>
    <w:rsid w:val="00A211CE"/>
    <w:rsid w:val="00A21F07"/>
    <w:rsid w:val="00A2295B"/>
    <w:rsid w:val="00A22F62"/>
    <w:rsid w:val="00A2302D"/>
    <w:rsid w:val="00A2383A"/>
    <w:rsid w:val="00A23A2C"/>
    <w:rsid w:val="00A23F00"/>
    <w:rsid w:val="00A2417C"/>
    <w:rsid w:val="00A2435D"/>
    <w:rsid w:val="00A24783"/>
    <w:rsid w:val="00A26086"/>
    <w:rsid w:val="00A26376"/>
    <w:rsid w:val="00A2671F"/>
    <w:rsid w:val="00A267B9"/>
    <w:rsid w:val="00A268F2"/>
    <w:rsid w:val="00A26F4F"/>
    <w:rsid w:val="00A2707F"/>
    <w:rsid w:val="00A27F3E"/>
    <w:rsid w:val="00A315FB"/>
    <w:rsid w:val="00A32705"/>
    <w:rsid w:val="00A32C7D"/>
    <w:rsid w:val="00A33014"/>
    <w:rsid w:val="00A33414"/>
    <w:rsid w:val="00A338A3"/>
    <w:rsid w:val="00A33E5F"/>
    <w:rsid w:val="00A3432B"/>
    <w:rsid w:val="00A346C2"/>
    <w:rsid w:val="00A34CA6"/>
    <w:rsid w:val="00A3518E"/>
    <w:rsid w:val="00A365AB"/>
    <w:rsid w:val="00A36812"/>
    <w:rsid w:val="00A368E8"/>
    <w:rsid w:val="00A36C17"/>
    <w:rsid w:val="00A37424"/>
    <w:rsid w:val="00A374B3"/>
    <w:rsid w:val="00A3751C"/>
    <w:rsid w:val="00A4014A"/>
    <w:rsid w:val="00A405A2"/>
    <w:rsid w:val="00A40656"/>
    <w:rsid w:val="00A415BB"/>
    <w:rsid w:val="00A41634"/>
    <w:rsid w:val="00A416E8"/>
    <w:rsid w:val="00A41BC0"/>
    <w:rsid w:val="00A425FD"/>
    <w:rsid w:val="00A42772"/>
    <w:rsid w:val="00A42997"/>
    <w:rsid w:val="00A42FF7"/>
    <w:rsid w:val="00A4347D"/>
    <w:rsid w:val="00A434FB"/>
    <w:rsid w:val="00A435C6"/>
    <w:rsid w:val="00A437F4"/>
    <w:rsid w:val="00A440C6"/>
    <w:rsid w:val="00A444AF"/>
    <w:rsid w:val="00A449A1"/>
    <w:rsid w:val="00A44BC1"/>
    <w:rsid w:val="00A44D52"/>
    <w:rsid w:val="00A45018"/>
    <w:rsid w:val="00A4598B"/>
    <w:rsid w:val="00A45B66"/>
    <w:rsid w:val="00A45D2F"/>
    <w:rsid w:val="00A45FD7"/>
    <w:rsid w:val="00A46004"/>
    <w:rsid w:val="00A461F2"/>
    <w:rsid w:val="00A464D3"/>
    <w:rsid w:val="00A465F8"/>
    <w:rsid w:val="00A46A28"/>
    <w:rsid w:val="00A46A2F"/>
    <w:rsid w:val="00A46C05"/>
    <w:rsid w:val="00A46E2C"/>
    <w:rsid w:val="00A47009"/>
    <w:rsid w:val="00A4702E"/>
    <w:rsid w:val="00A476DD"/>
    <w:rsid w:val="00A503E4"/>
    <w:rsid w:val="00A50654"/>
    <w:rsid w:val="00A50B6A"/>
    <w:rsid w:val="00A50EB0"/>
    <w:rsid w:val="00A51662"/>
    <w:rsid w:val="00A52132"/>
    <w:rsid w:val="00A531EB"/>
    <w:rsid w:val="00A53420"/>
    <w:rsid w:val="00A53543"/>
    <w:rsid w:val="00A54040"/>
    <w:rsid w:val="00A54503"/>
    <w:rsid w:val="00A54C32"/>
    <w:rsid w:val="00A5584F"/>
    <w:rsid w:val="00A56131"/>
    <w:rsid w:val="00A569B9"/>
    <w:rsid w:val="00A57872"/>
    <w:rsid w:val="00A578E4"/>
    <w:rsid w:val="00A57B65"/>
    <w:rsid w:val="00A57E29"/>
    <w:rsid w:val="00A57E53"/>
    <w:rsid w:val="00A60362"/>
    <w:rsid w:val="00A6045F"/>
    <w:rsid w:val="00A60B41"/>
    <w:rsid w:val="00A61014"/>
    <w:rsid w:val="00A613B5"/>
    <w:rsid w:val="00A61420"/>
    <w:rsid w:val="00A615C3"/>
    <w:rsid w:val="00A61C4C"/>
    <w:rsid w:val="00A61DFA"/>
    <w:rsid w:val="00A61E2D"/>
    <w:rsid w:val="00A625EF"/>
    <w:rsid w:val="00A63073"/>
    <w:rsid w:val="00A6344F"/>
    <w:rsid w:val="00A63E7A"/>
    <w:rsid w:val="00A63FD3"/>
    <w:rsid w:val="00A6429A"/>
    <w:rsid w:val="00A644FF"/>
    <w:rsid w:val="00A64771"/>
    <w:rsid w:val="00A647D0"/>
    <w:rsid w:val="00A64F65"/>
    <w:rsid w:val="00A6579E"/>
    <w:rsid w:val="00A65BCD"/>
    <w:rsid w:val="00A66069"/>
    <w:rsid w:val="00A66194"/>
    <w:rsid w:val="00A6725B"/>
    <w:rsid w:val="00A67387"/>
    <w:rsid w:val="00A67620"/>
    <w:rsid w:val="00A679DA"/>
    <w:rsid w:val="00A67A5D"/>
    <w:rsid w:val="00A7034B"/>
    <w:rsid w:val="00A706BD"/>
    <w:rsid w:val="00A70748"/>
    <w:rsid w:val="00A70960"/>
    <w:rsid w:val="00A70A0A"/>
    <w:rsid w:val="00A70A9A"/>
    <w:rsid w:val="00A70D18"/>
    <w:rsid w:val="00A71231"/>
    <w:rsid w:val="00A7285D"/>
    <w:rsid w:val="00A72C11"/>
    <w:rsid w:val="00A7385A"/>
    <w:rsid w:val="00A73BF2"/>
    <w:rsid w:val="00A73E38"/>
    <w:rsid w:val="00A7417D"/>
    <w:rsid w:val="00A74809"/>
    <w:rsid w:val="00A74933"/>
    <w:rsid w:val="00A75426"/>
    <w:rsid w:val="00A756AD"/>
    <w:rsid w:val="00A75FD6"/>
    <w:rsid w:val="00A769A2"/>
    <w:rsid w:val="00A76D5A"/>
    <w:rsid w:val="00A773D4"/>
    <w:rsid w:val="00A77895"/>
    <w:rsid w:val="00A80366"/>
    <w:rsid w:val="00A806A3"/>
    <w:rsid w:val="00A808B3"/>
    <w:rsid w:val="00A80905"/>
    <w:rsid w:val="00A80B25"/>
    <w:rsid w:val="00A811D4"/>
    <w:rsid w:val="00A811DE"/>
    <w:rsid w:val="00A81463"/>
    <w:rsid w:val="00A81ACC"/>
    <w:rsid w:val="00A81F3B"/>
    <w:rsid w:val="00A821B3"/>
    <w:rsid w:val="00A82B65"/>
    <w:rsid w:val="00A83423"/>
    <w:rsid w:val="00A83CF2"/>
    <w:rsid w:val="00A84CF9"/>
    <w:rsid w:val="00A8544B"/>
    <w:rsid w:val="00A85594"/>
    <w:rsid w:val="00A8564C"/>
    <w:rsid w:val="00A85BDC"/>
    <w:rsid w:val="00A85E43"/>
    <w:rsid w:val="00A86482"/>
    <w:rsid w:val="00A86866"/>
    <w:rsid w:val="00A86A2A"/>
    <w:rsid w:val="00A8789A"/>
    <w:rsid w:val="00A904C3"/>
    <w:rsid w:val="00A91234"/>
    <w:rsid w:val="00A9161B"/>
    <w:rsid w:val="00A91F74"/>
    <w:rsid w:val="00A9201A"/>
    <w:rsid w:val="00A922AB"/>
    <w:rsid w:val="00A92753"/>
    <w:rsid w:val="00A92A64"/>
    <w:rsid w:val="00A92A90"/>
    <w:rsid w:val="00A92A93"/>
    <w:rsid w:val="00A92BC2"/>
    <w:rsid w:val="00A9301D"/>
    <w:rsid w:val="00A9383C"/>
    <w:rsid w:val="00A93D49"/>
    <w:rsid w:val="00A946FF"/>
    <w:rsid w:val="00A94820"/>
    <w:rsid w:val="00A94B22"/>
    <w:rsid w:val="00A94BAE"/>
    <w:rsid w:val="00A94F55"/>
    <w:rsid w:val="00A9521B"/>
    <w:rsid w:val="00A95358"/>
    <w:rsid w:val="00A95408"/>
    <w:rsid w:val="00A95503"/>
    <w:rsid w:val="00A95A6D"/>
    <w:rsid w:val="00A95E9C"/>
    <w:rsid w:val="00A9676D"/>
    <w:rsid w:val="00A96884"/>
    <w:rsid w:val="00A969E2"/>
    <w:rsid w:val="00A96B2D"/>
    <w:rsid w:val="00A96C56"/>
    <w:rsid w:val="00A974D2"/>
    <w:rsid w:val="00A97D39"/>
    <w:rsid w:val="00AA0410"/>
    <w:rsid w:val="00AA0EFB"/>
    <w:rsid w:val="00AA11BD"/>
    <w:rsid w:val="00AA1552"/>
    <w:rsid w:val="00AA15C2"/>
    <w:rsid w:val="00AA1E9F"/>
    <w:rsid w:val="00AA212C"/>
    <w:rsid w:val="00AA2474"/>
    <w:rsid w:val="00AA2510"/>
    <w:rsid w:val="00AA267C"/>
    <w:rsid w:val="00AA280C"/>
    <w:rsid w:val="00AA29BF"/>
    <w:rsid w:val="00AA2A9F"/>
    <w:rsid w:val="00AA3339"/>
    <w:rsid w:val="00AA4303"/>
    <w:rsid w:val="00AA438B"/>
    <w:rsid w:val="00AA455B"/>
    <w:rsid w:val="00AA4BFA"/>
    <w:rsid w:val="00AA5631"/>
    <w:rsid w:val="00AA5F45"/>
    <w:rsid w:val="00AA6260"/>
    <w:rsid w:val="00AA6A1C"/>
    <w:rsid w:val="00AA7524"/>
    <w:rsid w:val="00AA7A56"/>
    <w:rsid w:val="00AA7E11"/>
    <w:rsid w:val="00AB00AD"/>
    <w:rsid w:val="00AB01C9"/>
    <w:rsid w:val="00AB02CE"/>
    <w:rsid w:val="00AB0402"/>
    <w:rsid w:val="00AB0A66"/>
    <w:rsid w:val="00AB0E59"/>
    <w:rsid w:val="00AB20A4"/>
    <w:rsid w:val="00AB25F9"/>
    <w:rsid w:val="00AB2D76"/>
    <w:rsid w:val="00AB3A53"/>
    <w:rsid w:val="00AB3BE0"/>
    <w:rsid w:val="00AB4200"/>
    <w:rsid w:val="00AB4895"/>
    <w:rsid w:val="00AB5294"/>
    <w:rsid w:val="00AB5679"/>
    <w:rsid w:val="00AB56F4"/>
    <w:rsid w:val="00AB58D3"/>
    <w:rsid w:val="00AB59DA"/>
    <w:rsid w:val="00AB5FA9"/>
    <w:rsid w:val="00AB6451"/>
    <w:rsid w:val="00AB666E"/>
    <w:rsid w:val="00AB6711"/>
    <w:rsid w:val="00AB6952"/>
    <w:rsid w:val="00AB6A9E"/>
    <w:rsid w:val="00AB74DE"/>
    <w:rsid w:val="00AC021C"/>
    <w:rsid w:val="00AC023E"/>
    <w:rsid w:val="00AC02E0"/>
    <w:rsid w:val="00AC0DDD"/>
    <w:rsid w:val="00AC1217"/>
    <w:rsid w:val="00AC1338"/>
    <w:rsid w:val="00AC1585"/>
    <w:rsid w:val="00AC1B9D"/>
    <w:rsid w:val="00AC2A9E"/>
    <w:rsid w:val="00AC31A3"/>
    <w:rsid w:val="00AC36B6"/>
    <w:rsid w:val="00AC36FD"/>
    <w:rsid w:val="00AC3C13"/>
    <w:rsid w:val="00AC3C3F"/>
    <w:rsid w:val="00AC447C"/>
    <w:rsid w:val="00AC44BD"/>
    <w:rsid w:val="00AC4910"/>
    <w:rsid w:val="00AC4B07"/>
    <w:rsid w:val="00AC4B92"/>
    <w:rsid w:val="00AC4D46"/>
    <w:rsid w:val="00AC5042"/>
    <w:rsid w:val="00AC5748"/>
    <w:rsid w:val="00AC5C49"/>
    <w:rsid w:val="00AC6606"/>
    <w:rsid w:val="00AC6A87"/>
    <w:rsid w:val="00AC7668"/>
    <w:rsid w:val="00AC7A33"/>
    <w:rsid w:val="00AD03FA"/>
    <w:rsid w:val="00AD0827"/>
    <w:rsid w:val="00AD1188"/>
    <w:rsid w:val="00AD12EF"/>
    <w:rsid w:val="00AD1B0E"/>
    <w:rsid w:val="00AD1B89"/>
    <w:rsid w:val="00AD1EB3"/>
    <w:rsid w:val="00AD20F9"/>
    <w:rsid w:val="00AD23EE"/>
    <w:rsid w:val="00AD27CD"/>
    <w:rsid w:val="00AD2BBA"/>
    <w:rsid w:val="00AD30B0"/>
    <w:rsid w:val="00AD334D"/>
    <w:rsid w:val="00AD35C5"/>
    <w:rsid w:val="00AD3B6C"/>
    <w:rsid w:val="00AD47ED"/>
    <w:rsid w:val="00AD4D37"/>
    <w:rsid w:val="00AD4E27"/>
    <w:rsid w:val="00AD4F37"/>
    <w:rsid w:val="00AD52B2"/>
    <w:rsid w:val="00AD6255"/>
    <w:rsid w:val="00AD757B"/>
    <w:rsid w:val="00AD7838"/>
    <w:rsid w:val="00AD7BBC"/>
    <w:rsid w:val="00AD7E33"/>
    <w:rsid w:val="00AD7F9E"/>
    <w:rsid w:val="00AE06E6"/>
    <w:rsid w:val="00AE0CF3"/>
    <w:rsid w:val="00AE187B"/>
    <w:rsid w:val="00AE19AB"/>
    <w:rsid w:val="00AE1EC8"/>
    <w:rsid w:val="00AE2BA4"/>
    <w:rsid w:val="00AE2D22"/>
    <w:rsid w:val="00AE354D"/>
    <w:rsid w:val="00AE36D3"/>
    <w:rsid w:val="00AE474D"/>
    <w:rsid w:val="00AE5561"/>
    <w:rsid w:val="00AE5786"/>
    <w:rsid w:val="00AE598C"/>
    <w:rsid w:val="00AE5C78"/>
    <w:rsid w:val="00AE64EE"/>
    <w:rsid w:val="00AE66E2"/>
    <w:rsid w:val="00AE68F9"/>
    <w:rsid w:val="00AE725F"/>
    <w:rsid w:val="00AE7353"/>
    <w:rsid w:val="00AE7442"/>
    <w:rsid w:val="00AE79AB"/>
    <w:rsid w:val="00AF0C2C"/>
    <w:rsid w:val="00AF13BD"/>
    <w:rsid w:val="00AF22E0"/>
    <w:rsid w:val="00AF2912"/>
    <w:rsid w:val="00AF2F8D"/>
    <w:rsid w:val="00AF332F"/>
    <w:rsid w:val="00AF36E6"/>
    <w:rsid w:val="00AF3899"/>
    <w:rsid w:val="00AF3BFB"/>
    <w:rsid w:val="00AF3D65"/>
    <w:rsid w:val="00AF3D78"/>
    <w:rsid w:val="00AF3E4E"/>
    <w:rsid w:val="00AF4620"/>
    <w:rsid w:val="00AF482A"/>
    <w:rsid w:val="00AF4D13"/>
    <w:rsid w:val="00AF4DBA"/>
    <w:rsid w:val="00AF51D7"/>
    <w:rsid w:val="00AF53BB"/>
    <w:rsid w:val="00AF558E"/>
    <w:rsid w:val="00AF58AC"/>
    <w:rsid w:val="00AF5AA3"/>
    <w:rsid w:val="00AF5C6C"/>
    <w:rsid w:val="00AF618B"/>
    <w:rsid w:val="00AF61B6"/>
    <w:rsid w:val="00AF6499"/>
    <w:rsid w:val="00AF69A8"/>
    <w:rsid w:val="00AF6AF0"/>
    <w:rsid w:val="00AF6B41"/>
    <w:rsid w:val="00AF6D1C"/>
    <w:rsid w:val="00AF6EFF"/>
    <w:rsid w:val="00AF7410"/>
    <w:rsid w:val="00AF7A14"/>
    <w:rsid w:val="00AF7B2E"/>
    <w:rsid w:val="00AF7F75"/>
    <w:rsid w:val="00B00661"/>
    <w:rsid w:val="00B006D8"/>
    <w:rsid w:val="00B01074"/>
    <w:rsid w:val="00B01674"/>
    <w:rsid w:val="00B01CBB"/>
    <w:rsid w:val="00B01FCA"/>
    <w:rsid w:val="00B02096"/>
    <w:rsid w:val="00B02395"/>
    <w:rsid w:val="00B026EF"/>
    <w:rsid w:val="00B02E75"/>
    <w:rsid w:val="00B0443F"/>
    <w:rsid w:val="00B045FB"/>
    <w:rsid w:val="00B046CF"/>
    <w:rsid w:val="00B049EA"/>
    <w:rsid w:val="00B051F2"/>
    <w:rsid w:val="00B0692B"/>
    <w:rsid w:val="00B06BEE"/>
    <w:rsid w:val="00B06C61"/>
    <w:rsid w:val="00B06EC4"/>
    <w:rsid w:val="00B070B3"/>
    <w:rsid w:val="00B0716C"/>
    <w:rsid w:val="00B07ECA"/>
    <w:rsid w:val="00B09ABC"/>
    <w:rsid w:val="00B10297"/>
    <w:rsid w:val="00B1043C"/>
    <w:rsid w:val="00B10C17"/>
    <w:rsid w:val="00B10C8A"/>
    <w:rsid w:val="00B1125C"/>
    <w:rsid w:val="00B11A84"/>
    <w:rsid w:val="00B11D94"/>
    <w:rsid w:val="00B121B5"/>
    <w:rsid w:val="00B1312E"/>
    <w:rsid w:val="00B133F2"/>
    <w:rsid w:val="00B13813"/>
    <w:rsid w:val="00B139B6"/>
    <w:rsid w:val="00B13E55"/>
    <w:rsid w:val="00B1416F"/>
    <w:rsid w:val="00B14240"/>
    <w:rsid w:val="00B14723"/>
    <w:rsid w:val="00B14813"/>
    <w:rsid w:val="00B149A7"/>
    <w:rsid w:val="00B14BEA"/>
    <w:rsid w:val="00B153A8"/>
    <w:rsid w:val="00B15874"/>
    <w:rsid w:val="00B16012"/>
    <w:rsid w:val="00B163E8"/>
    <w:rsid w:val="00B16579"/>
    <w:rsid w:val="00B16B99"/>
    <w:rsid w:val="00B16C3E"/>
    <w:rsid w:val="00B17616"/>
    <w:rsid w:val="00B17828"/>
    <w:rsid w:val="00B2010D"/>
    <w:rsid w:val="00B20373"/>
    <w:rsid w:val="00B2059D"/>
    <w:rsid w:val="00B20811"/>
    <w:rsid w:val="00B20A66"/>
    <w:rsid w:val="00B20AB5"/>
    <w:rsid w:val="00B20F52"/>
    <w:rsid w:val="00B21099"/>
    <w:rsid w:val="00B222D5"/>
    <w:rsid w:val="00B228FC"/>
    <w:rsid w:val="00B22FBF"/>
    <w:rsid w:val="00B234C7"/>
    <w:rsid w:val="00B236F6"/>
    <w:rsid w:val="00B23BEE"/>
    <w:rsid w:val="00B24651"/>
    <w:rsid w:val="00B246E0"/>
    <w:rsid w:val="00B249A7"/>
    <w:rsid w:val="00B24B5E"/>
    <w:rsid w:val="00B24E63"/>
    <w:rsid w:val="00B253D4"/>
    <w:rsid w:val="00B2547F"/>
    <w:rsid w:val="00B25710"/>
    <w:rsid w:val="00B26156"/>
    <w:rsid w:val="00B26168"/>
    <w:rsid w:val="00B26447"/>
    <w:rsid w:val="00B273CF"/>
    <w:rsid w:val="00B27B74"/>
    <w:rsid w:val="00B27B81"/>
    <w:rsid w:val="00B27C1D"/>
    <w:rsid w:val="00B3002B"/>
    <w:rsid w:val="00B30088"/>
    <w:rsid w:val="00B30BA2"/>
    <w:rsid w:val="00B30D1D"/>
    <w:rsid w:val="00B30F89"/>
    <w:rsid w:val="00B310E3"/>
    <w:rsid w:val="00B313D3"/>
    <w:rsid w:val="00B3169D"/>
    <w:rsid w:val="00B3184E"/>
    <w:rsid w:val="00B3227E"/>
    <w:rsid w:val="00B32C70"/>
    <w:rsid w:val="00B33324"/>
    <w:rsid w:val="00B33442"/>
    <w:rsid w:val="00B33673"/>
    <w:rsid w:val="00B33F0B"/>
    <w:rsid w:val="00B341D9"/>
    <w:rsid w:val="00B34B72"/>
    <w:rsid w:val="00B34B93"/>
    <w:rsid w:val="00B34BFC"/>
    <w:rsid w:val="00B3605E"/>
    <w:rsid w:val="00B363A0"/>
    <w:rsid w:val="00B3679E"/>
    <w:rsid w:val="00B36A4B"/>
    <w:rsid w:val="00B36CDE"/>
    <w:rsid w:val="00B36E3B"/>
    <w:rsid w:val="00B37098"/>
    <w:rsid w:val="00B3745C"/>
    <w:rsid w:val="00B37EA4"/>
    <w:rsid w:val="00B40576"/>
    <w:rsid w:val="00B41902"/>
    <w:rsid w:val="00B419EB"/>
    <w:rsid w:val="00B4236F"/>
    <w:rsid w:val="00B42530"/>
    <w:rsid w:val="00B42564"/>
    <w:rsid w:val="00B42A71"/>
    <w:rsid w:val="00B42EF5"/>
    <w:rsid w:val="00B433F2"/>
    <w:rsid w:val="00B43C40"/>
    <w:rsid w:val="00B4444A"/>
    <w:rsid w:val="00B44B8E"/>
    <w:rsid w:val="00B45C23"/>
    <w:rsid w:val="00B45C51"/>
    <w:rsid w:val="00B45EFA"/>
    <w:rsid w:val="00B46168"/>
    <w:rsid w:val="00B46340"/>
    <w:rsid w:val="00B46884"/>
    <w:rsid w:val="00B46909"/>
    <w:rsid w:val="00B46BD6"/>
    <w:rsid w:val="00B46F95"/>
    <w:rsid w:val="00B472E1"/>
    <w:rsid w:val="00B477F7"/>
    <w:rsid w:val="00B47B23"/>
    <w:rsid w:val="00B50505"/>
    <w:rsid w:val="00B509C3"/>
    <w:rsid w:val="00B50BA1"/>
    <w:rsid w:val="00B50FF5"/>
    <w:rsid w:val="00B513C6"/>
    <w:rsid w:val="00B516E0"/>
    <w:rsid w:val="00B51881"/>
    <w:rsid w:val="00B51EDE"/>
    <w:rsid w:val="00B5317A"/>
    <w:rsid w:val="00B533D4"/>
    <w:rsid w:val="00B538EA"/>
    <w:rsid w:val="00B54C2C"/>
    <w:rsid w:val="00B54D6A"/>
    <w:rsid w:val="00B55780"/>
    <w:rsid w:val="00B56559"/>
    <w:rsid w:val="00B56592"/>
    <w:rsid w:val="00B56E2A"/>
    <w:rsid w:val="00B570B0"/>
    <w:rsid w:val="00B5712D"/>
    <w:rsid w:val="00B578B0"/>
    <w:rsid w:val="00B5799E"/>
    <w:rsid w:val="00B57A92"/>
    <w:rsid w:val="00B60152"/>
    <w:rsid w:val="00B605A4"/>
    <w:rsid w:val="00B60BC9"/>
    <w:rsid w:val="00B60EE7"/>
    <w:rsid w:val="00B612C2"/>
    <w:rsid w:val="00B617E4"/>
    <w:rsid w:val="00B61C42"/>
    <w:rsid w:val="00B61E4B"/>
    <w:rsid w:val="00B62341"/>
    <w:rsid w:val="00B62CED"/>
    <w:rsid w:val="00B633EC"/>
    <w:rsid w:val="00B64077"/>
    <w:rsid w:val="00B64972"/>
    <w:rsid w:val="00B64A93"/>
    <w:rsid w:val="00B64AE4"/>
    <w:rsid w:val="00B64D76"/>
    <w:rsid w:val="00B6513F"/>
    <w:rsid w:val="00B65B20"/>
    <w:rsid w:val="00B65B44"/>
    <w:rsid w:val="00B65EBF"/>
    <w:rsid w:val="00B66282"/>
    <w:rsid w:val="00B66524"/>
    <w:rsid w:val="00B66ECF"/>
    <w:rsid w:val="00B66FD4"/>
    <w:rsid w:val="00B6700C"/>
    <w:rsid w:val="00B70123"/>
    <w:rsid w:val="00B70512"/>
    <w:rsid w:val="00B7072F"/>
    <w:rsid w:val="00B70B85"/>
    <w:rsid w:val="00B710BA"/>
    <w:rsid w:val="00B71308"/>
    <w:rsid w:val="00B71D25"/>
    <w:rsid w:val="00B71E8F"/>
    <w:rsid w:val="00B72651"/>
    <w:rsid w:val="00B73212"/>
    <w:rsid w:val="00B7331D"/>
    <w:rsid w:val="00B73A10"/>
    <w:rsid w:val="00B741D4"/>
    <w:rsid w:val="00B741FE"/>
    <w:rsid w:val="00B742DC"/>
    <w:rsid w:val="00B7472F"/>
    <w:rsid w:val="00B7475D"/>
    <w:rsid w:val="00B7656F"/>
    <w:rsid w:val="00B76576"/>
    <w:rsid w:val="00B76EDC"/>
    <w:rsid w:val="00B778B6"/>
    <w:rsid w:val="00B779F4"/>
    <w:rsid w:val="00B77FCF"/>
    <w:rsid w:val="00B806C1"/>
    <w:rsid w:val="00B807A9"/>
    <w:rsid w:val="00B8090E"/>
    <w:rsid w:val="00B80ADB"/>
    <w:rsid w:val="00B80E78"/>
    <w:rsid w:val="00B80E86"/>
    <w:rsid w:val="00B81098"/>
    <w:rsid w:val="00B810E4"/>
    <w:rsid w:val="00B814B4"/>
    <w:rsid w:val="00B81998"/>
    <w:rsid w:val="00B82219"/>
    <w:rsid w:val="00B82A43"/>
    <w:rsid w:val="00B82A72"/>
    <w:rsid w:val="00B8375B"/>
    <w:rsid w:val="00B83E57"/>
    <w:rsid w:val="00B83EA9"/>
    <w:rsid w:val="00B84087"/>
    <w:rsid w:val="00B84628"/>
    <w:rsid w:val="00B84670"/>
    <w:rsid w:val="00B84D34"/>
    <w:rsid w:val="00B8577A"/>
    <w:rsid w:val="00B85B16"/>
    <w:rsid w:val="00B86298"/>
    <w:rsid w:val="00B86C29"/>
    <w:rsid w:val="00B86D76"/>
    <w:rsid w:val="00B870F7"/>
    <w:rsid w:val="00B87A78"/>
    <w:rsid w:val="00B87BE3"/>
    <w:rsid w:val="00B901D5"/>
    <w:rsid w:val="00B90ECD"/>
    <w:rsid w:val="00B9106D"/>
    <w:rsid w:val="00B91127"/>
    <w:rsid w:val="00B9122E"/>
    <w:rsid w:val="00B9174B"/>
    <w:rsid w:val="00B91A2B"/>
    <w:rsid w:val="00B949CD"/>
    <w:rsid w:val="00B95416"/>
    <w:rsid w:val="00B964EA"/>
    <w:rsid w:val="00B96DC4"/>
    <w:rsid w:val="00B977D4"/>
    <w:rsid w:val="00BA00E0"/>
    <w:rsid w:val="00BA05DC"/>
    <w:rsid w:val="00BA0BA3"/>
    <w:rsid w:val="00BA15E8"/>
    <w:rsid w:val="00BA1F98"/>
    <w:rsid w:val="00BA30A5"/>
    <w:rsid w:val="00BA315E"/>
    <w:rsid w:val="00BA3E59"/>
    <w:rsid w:val="00BA3FFE"/>
    <w:rsid w:val="00BA40A4"/>
    <w:rsid w:val="00BA4648"/>
    <w:rsid w:val="00BA4997"/>
    <w:rsid w:val="00BA4A89"/>
    <w:rsid w:val="00BA501A"/>
    <w:rsid w:val="00BA5052"/>
    <w:rsid w:val="00BA56D9"/>
    <w:rsid w:val="00BA5AF1"/>
    <w:rsid w:val="00BA5B5E"/>
    <w:rsid w:val="00BA6770"/>
    <w:rsid w:val="00BA72F5"/>
    <w:rsid w:val="00BA7507"/>
    <w:rsid w:val="00BA7515"/>
    <w:rsid w:val="00BA7BF1"/>
    <w:rsid w:val="00BB04F5"/>
    <w:rsid w:val="00BB0B9A"/>
    <w:rsid w:val="00BB0BA2"/>
    <w:rsid w:val="00BB0F18"/>
    <w:rsid w:val="00BB13FA"/>
    <w:rsid w:val="00BB1BDE"/>
    <w:rsid w:val="00BB23A5"/>
    <w:rsid w:val="00BB23F5"/>
    <w:rsid w:val="00BB383D"/>
    <w:rsid w:val="00BB3902"/>
    <w:rsid w:val="00BB3CE2"/>
    <w:rsid w:val="00BB481E"/>
    <w:rsid w:val="00BB4896"/>
    <w:rsid w:val="00BB4F8B"/>
    <w:rsid w:val="00BB4FD8"/>
    <w:rsid w:val="00BB5366"/>
    <w:rsid w:val="00BB5434"/>
    <w:rsid w:val="00BB5CAC"/>
    <w:rsid w:val="00BB673D"/>
    <w:rsid w:val="00BB6A68"/>
    <w:rsid w:val="00BB6F64"/>
    <w:rsid w:val="00BB711F"/>
    <w:rsid w:val="00BB7232"/>
    <w:rsid w:val="00BB7E1E"/>
    <w:rsid w:val="00BB7F2A"/>
    <w:rsid w:val="00BB7F6D"/>
    <w:rsid w:val="00BC0D32"/>
    <w:rsid w:val="00BC2117"/>
    <w:rsid w:val="00BC21A1"/>
    <w:rsid w:val="00BC2A50"/>
    <w:rsid w:val="00BC310E"/>
    <w:rsid w:val="00BC31A0"/>
    <w:rsid w:val="00BC3317"/>
    <w:rsid w:val="00BC38A4"/>
    <w:rsid w:val="00BC39D5"/>
    <w:rsid w:val="00BC3C0F"/>
    <w:rsid w:val="00BC475A"/>
    <w:rsid w:val="00BC4F15"/>
    <w:rsid w:val="00BC514D"/>
    <w:rsid w:val="00BC5175"/>
    <w:rsid w:val="00BC551E"/>
    <w:rsid w:val="00BC5B73"/>
    <w:rsid w:val="00BC5F81"/>
    <w:rsid w:val="00BC601A"/>
    <w:rsid w:val="00BC6245"/>
    <w:rsid w:val="00BC7EEF"/>
    <w:rsid w:val="00BD055C"/>
    <w:rsid w:val="00BD07E1"/>
    <w:rsid w:val="00BD09B3"/>
    <w:rsid w:val="00BD1DCE"/>
    <w:rsid w:val="00BD274C"/>
    <w:rsid w:val="00BD3D29"/>
    <w:rsid w:val="00BD4122"/>
    <w:rsid w:val="00BD4D57"/>
    <w:rsid w:val="00BD5197"/>
    <w:rsid w:val="00BD51BF"/>
    <w:rsid w:val="00BD58C8"/>
    <w:rsid w:val="00BD5BD5"/>
    <w:rsid w:val="00BD627F"/>
    <w:rsid w:val="00BD62F8"/>
    <w:rsid w:val="00BD7033"/>
    <w:rsid w:val="00BD7103"/>
    <w:rsid w:val="00BD710C"/>
    <w:rsid w:val="00BD7376"/>
    <w:rsid w:val="00BD73CF"/>
    <w:rsid w:val="00BD7D35"/>
    <w:rsid w:val="00BE0186"/>
    <w:rsid w:val="00BE02BC"/>
    <w:rsid w:val="00BE0959"/>
    <w:rsid w:val="00BE0ABE"/>
    <w:rsid w:val="00BE1394"/>
    <w:rsid w:val="00BE17E9"/>
    <w:rsid w:val="00BE1A6B"/>
    <w:rsid w:val="00BE227D"/>
    <w:rsid w:val="00BE254C"/>
    <w:rsid w:val="00BE2A01"/>
    <w:rsid w:val="00BE2EA6"/>
    <w:rsid w:val="00BE32FD"/>
    <w:rsid w:val="00BE4D1E"/>
    <w:rsid w:val="00BE4D33"/>
    <w:rsid w:val="00BE5173"/>
    <w:rsid w:val="00BE5690"/>
    <w:rsid w:val="00BE64F3"/>
    <w:rsid w:val="00BE6969"/>
    <w:rsid w:val="00BE6C55"/>
    <w:rsid w:val="00BE6C88"/>
    <w:rsid w:val="00BE734C"/>
    <w:rsid w:val="00BF01A7"/>
    <w:rsid w:val="00BF05C5"/>
    <w:rsid w:val="00BF0C19"/>
    <w:rsid w:val="00BF0C5B"/>
    <w:rsid w:val="00BF11E0"/>
    <w:rsid w:val="00BF1CD2"/>
    <w:rsid w:val="00BF2CDE"/>
    <w:rsid w:val="00BF3D87"/>
    <w:rsid w:val="00BF402B"/>
    <w:rsid w:val="00BF4514"/>
    <w:rsid w:val="00BF4AA7"/>
    <w:rsid w:val="00BF4E8E"/>
    <w:rsid w:val="00BF529D"/>
    <w:rsid w:val="00BF5A3F"/>
    <w:rsid w:val="00BF5EF8"/>
    <w:rsid w:val="00BF645C"/>
    <w:rsid w:val="00BF647D"/>
    <w:rsid w:val="00BF64B6"/>
    <w:rsid w:val="00BF6E14"/>
    <w:rsid w:val="00BF719B"/>
    <w:rsid w:val="00BF75B9"/>
    <w:rsid w:val="00BF7630"/>
    <w:rsid w:val="00BF79E2"/>
    <w:rsid w:val="00BF7BCC"/>
    <w:rsid w:val="00C0029B"/>
    <w:rsid w:val="00C004A5"/>
    <w:rsid w:val="00C009D0"/>
    <w:rsid w:val="00C00FC3"/>
    <w:rsid w:val="00C0156E"/>
    <w:rsid w:val="00C01587"/>
    <w:rsid w:val="00C01824"/>
    <w:rsid w:val="00C020D0"/>
    <w:rsid w:val="00C02149"/>
    <w:rsid w:val="00C02343"/>
    <w:rsid w:val="00C02373"/>
    <w:rsid w:val="00C02738"/>
    <w:rsid w:val="00C02963"/>
    <w:rsid w:val="00C02E8C"/>
    <w:rsid w:val="00C02E9D"/>
    <w:rsid w:val="00C0338F"/>
    <w:rsid w:val="00C0410A"/>
    <w:rsid w:val="00C044A1"/>
    <w:rsid w:val="00C0495E"/>
    <w:rsid w:val="00C04E13"/>
    <w:rsid w:val="00C04F97"/>
    <w:rsid w:val="00C0502A"/>
    <w:rsid w:val="00C05097"/>
    <w:rsid w:val="00C0554B"/>
    <w:rsid w:val="00C058D9"/>
    <w:rsid w:val="00C05AB5"/>
    <w:rsid w:val="00C05C5B"/>
    <w:rsid w:val="00C05CBE"/>
    <w:rsid w:val="00C05D5D"/>
    <w:rsid w:val="00C061F2"/>
    <w:rsid w:val="00C065EF"/>
    <w:rsid w:val="00C0669C"/>
    <w:rsid w:val="00C07626"/>
    <w:rsid w:val="00C07981"/>
    <w:rsid w:val="00C07BF1"/>
    <w:rsid w:val="00C07C31"/>
    <w:rsid w:val="00C10544"/>
    <w:rsid w:val="00C10B88"/>
    <w:rsid w:val="00C11526"/>
    <w:rsid w:val="00C11535"/>
    <w:rsid w:val="00C11CF4"/>
    <w:rsid w:val="00C12301"/>
    <w:rsid w:val="00C12311"/>
    <w:rsid w:val="00C12805"/>
    <w:rsid w:val="00C13352"/>
    <w:rsid w:val="00C1361D"/>
    <w:rsid w:val="00C1376D"/>
    <w:rsid w:val="00C13E8D"/>
    <w:rsid w:val="00C1484C"/>
    <w:rsid w:val="00C14F87"/>
    <w:rsid w:val="00C1605E"/>
    <w:rsid w:val="00C16583"/>
    <w:rsid w:val="00C16B05"/>
    <w:rsid w:val="00C17152"/>
    <w:rsid w:val="00C176BE"/>
    <w:rsid w:val="00C17BDB"/>
    <w:rsid w:val="00C20205"/>
    <w:rsid w:val="00C20267"/>
    <w:rsid w:val="00C20758"/>
    <w:rsid w:val="00C20AA8"/>
    <w:rsid w:val="00C20D22"/>
    <w:rsid w:val="00C20F41"/>
    <w:rsid w:val="00C2177E"/>
    <w:rsid w:val="00C21CFC"/>
    <w:rsid w:val="00C2209D"/>
    <w:rsid w:val="00C226F1"/>
    <w:rsid w:val="00C22844"/>
    <w:rsid w:val="00C22D28"/>
    <w:rsid w:val="00C23210"/>
    <w:rsid w:val="00C2363D"/>
    <w:rsid w:val="00C23DC0"/>
    <w:rsid w:val="00C2449A"/>
    <w:rsid w:val="00C24884"/>
    <w:rsid w:val="00C24F0F"/>
    <w:rsid w:val="00C24FA3"/>
    <w:rsid w:val="00C2521D"/>
    <w:rsid w:val="00C255B7"/>
    <w:rsid w:val="00C26054"/>
    <w:rsid w:val="00C26B4B"/>
    <w:rsid w:val="00C277DA"/>
    <w:rsid w:val="00C278AC"/>
    <w:rsid w:val="00C278D4"/>
    <w:rsid w:val="00C27A43"/>
    <w:rsid w:val="00C27F8A"/>
    <w:rsid w:val="00C3022D"/>
    <w:rsid w:val="00C30713"/>
    <w:rsid w:val="00C30B0B"/>
    <w:rsid w:val="00C30C59"/>
    <w:rsid w:val="00C31355"/>
    <w:rsid w:val="00C31B8E"/>
    <w:rsid w:val="00C32E40"/>
    <w:rsid w:val="00C33111"/>
    <w:rsid w:val="00C334C9"/>
    <w:rsid w:val="00C33A91"/>
    <w:rsid w:val="00C33BC3"/>
    <w:rsid w:val="00C33EE7"/>
    <w:rsid w:val="00C3404A"/>
    <w:rsid w:val="00C34238"/>
    <w:rsid w:val="00C34334"/>
    <w:rsid w:val="00C346E5"/>
    <w:rsid w:val="00C34767"/>
    <w:rsid w:val="00C349AF"/>
    <w:rsid w:val="00C34CD5"/>
    <w:rsid w:val="00C34F58"/>
    <w:rsid w:val="00C357A4"/>
    <w:rsid w:val="00C359B0"/>
    <w:rsid w:val="00C369AC"/>
    <w:rsid w:val="00C371AB"/>
    <w:rsid w:val="00C40346"/>
    <w:rsid w:val="00C4092C"/>
    <w:rsid w:val="00C4093B"/>
    <w:rsid w:val="00C40C67"/>
    <w:rsid w:val="00C412F9"/>
    <w:rsid w:val="00C414C3"/>
    <w:rsid w:val="00C41617"/>
    <w:rsid w:val="00C41AEB"/>
    <w:rsid w:val="00C42336"/>
    <w:rsid w:val="00C430B2"/>
    <w:rsid w:val="00C434C2"/>
    <w:rsid w:val="00C4391F"/>
    <w:rsid w:val="00C440B7"/>
    <w:rsid w:val="00C458CF"/>
    <w:rsid w:val="00C45E88"/>
    <w:rsid w:val="00C462CE"/>
    <w:rsid w:val="00C46369"/>
    <w:rsid w:val="00C468A4"/>
    <w:rsid w:val="00C46F1A"/>
    <w:rsid w:val="00C47031"/>
    <w:rsid w:val="00C472D4"/>
    <w:rsid w:val="00C47840"/>
    <w:rsid w:val="00C479F5"/>
    <w:rsid w:val="00C508B7"/>
    <w:rsid w:val="00C50F52"/>
    <w:rsid w:val="00C516FC"/>
    <w:rsid w:val="00C5194C"/>
    <w:rsid w:val="00C51B6F"/>
    <w:rsid w:val="00C51C8F"/>
    <w:rsid w:val="00C51D71"/>
    <w:rsid w:val="00C52319"/>
    <w:rsid w:val="00C52B94"/>
    <w:rsid w:val="00C53605"/>
    <w:rsid w:val="00C53776"/>
    <w:rsid w:val="00C53A55"/>
    <w:rsid w:val="00C53B4B"/>
    <w:rsid w:val="00C53D62"/>
    <w:rsid w:val="00C5415A"/>
    <w:rsid w:val="00C5482C"/>
    <w:rsid w:val="00C55287"/>
    <w:rsid w:val="00C55342"/>
    <w:rsid w:val="00C55C0B"/>
    <w:rsid w:val="00C56528"/>
    <w:rsid w:val="00C567EF"/>
    <w:rsid w:val="00C56E3F"/>
    <w:rsid w:val="00C6075F"/>
    <w:rsid w:val="00C609A6"/>
    <w:rsid w:val="00C60CB7"/>
    <w:rsid w:val="00C60D66"/>
    <w:rsid w:val="00C60DC2"/>
    <w:rsid w:val="00C60F9A"/>
    <w:rsid w:val="00C61756"/>
    <w:rsid w:val="00C61BE9"/>
    <w:rsid w:val="00C627CB"/>
    <w:rsid w:val="00C62B62"/>
    <w:rsid w:val="00C62E7C"/>
    <w:rsid w:val="00C633A0"/>
    <w:rsid w:val="00C63D7E"/>
    <w:rsid w:val="00C64082"/>
    <w:rsid w:val="00C6428D"/>
    <w:rsid w:val="00C64562"/>
    <w:rsid w:val="00C649F8"/>
    <w:rsid w:val="00C64BE4"/>
    <w:rsid w:val="00C64CA6"/>
    <w:rsid w:val="00C64F5C"/>
    <w:rsid w:val="00C64FF1"/>
    <w:rsid w:val="00C656DA"/>
    <w:rsid w:val="00C65914"/>
    <w:rsid w:val="00C65C76"/>
    <w:rsid w:val="00C661F5"/>
    <w:rsid w:val="00C667D3"/>
    <w:rsid w:val="00C66F47"/>
    <w:rsid w:val="00C67C28"/>
    <w:rsid w:val="00C67CB9"/>
    <w:rsid w:val="00C67D95"/>
    <w:rsid w:val="00C67EBA"/>
    <w:rsid w:val="00C70561"/>
    <w:rsid w:val="00C70564"/>
    <w:rsid w:val="00C70B96"/>
    <w:rsid w:val="00C70BFE"/>
    <w:rsid w:val="00C70DD1"/>
    <w:rsid w:val="00C71187"/>
    <w:rsid w:val="00C722B6"/>
    <w:rsid w:val="00C7242A"/>
    <w:rsid w:val="00C72B5B"/>
    <w:rsid w:val="00C73A0F"/>
    <w:rsid w:val="00C73BCA"/>
    <w:rsid w:val="00C73C44"/>
    <w:rsid w:val="00C7492C"/>
    <w:rsid w:val="00C75775"/>
    <w:rsid w:val="00C758B0"/>
    <w:rsid w:val="00C758BC"/>
    <w:rsid w:val="00C75BD3"/>
    <w:rsid w:val="00C75F42"/>
    <w:rsid w:val="00C77977"/>
    <w:rsid w:val="00C77D59"/>
    <w:rsid w:val="00C8017B"/>
    <w:rsid w:val="00C80244"/>
    <w:rsid w:val="00C80753"/>
    <w:rsid w:val="00C81A3E"/>
    <w:rsid w:val="00C81E21"/>
    <w:rsid w:val="00C824E2"/>
    <w:rsid w:val="00C8295D"/>
    <w:rsid w:val="00C83272"/>
    <w:rsid w:val="00C8332C"/>
    <w:rsid w:val="00C835E1"/>
    <w:rsid w:val="00C84359"/>
    <w:rsid w:val="00C844E6"/>
    <w:rsid w:val="00C854AB"/>
    <w:rsid w:val="00C85FBA"/>
    <w:rsid w:val="00C863CB"/>
    <w:rsid w:val="00C86A54"/>
    <w:rsid w:val="00C86E71"/>
    <w:rsid w:val="00C8718E"/>
    <w:rsid w:val="00C8746A"/>
    <w:rsid w:val="00C8773F"/>
    <w:rsid w:val="00C87782"/>
    <w:rsid w:val="00C87ACA"/>
    <w:rsid w:val="00C87E63"/>
    <w:rsid w:val="00C87E92"/>
    <w:rsid w:val="00C87F05"/>
    <w:rsid w:val="00C87F7D"/>
    <w:rsid w:val="00C87FD2"/>
    <w:rsid w:val="00C904D2"/>
    <w:rsid w:val="00C910E5"/>
    <w:rsid w:val="00C9173F"/>
    <w:rsid w:val="00C91A76"/>
    <w:rsid w:val="00C91DBB"/>
    <w:rsid w:val="00C923A4"/>
    <w:rsid w:val="00C924A9"/>
    <w:rsid w:val="00C926E6"/>
    <w:rsid w:val="00C92CDA"/>
    <w:rsid w:val="00C93F63"/>
    <w:rsid w:val="00C94024"/>
    <w:rsid w:val="00C94405"/>
    <w:rsid w:val="00C94AE5"/>
    <w:rsid w:val="00C9591D"/>
    <w:rsid w:val="00C95A98"/>
    <w:rsid w:val="00C965D0"/>
    <w:rsid w:val="00C96CD4"/>
    <w:rsid w:val="00C96F4A"/>
    <w:rsid w:val="00C972DA"/>
    <w:rsid w:val="00CA0FA7"/>
    <w:rsid w:val="00CA152A"/>
    <w:rsid w:val="00CA166E"/>
    <w:rsid w:val="00CA1FFB"/>
    <w:rsid w:val="00CA209B"/>
    <w:rsid w:val="00CA27F4"/>
    <w:rsid w:val="00CA2A92"/>
    <w:rsid w:val="00CA2BDC"/>
    <w:rsid w:val="00CA30D8"/>
    <w:rsid w:val="00CA4748"/>
    <w:rsid w:val="00CA47DA"/>
    <w:rsid w:val="00CA48B7"/>
    <w:rsid w:val="00CA4D84"/>
    <w:rsid w:val="00CA5437"/>
    <w:rsid w:val="00CA58E5"/>
    <w:rsid w:val="00CA5991"/>
    <w:rsid w:val="00CA5FC0"/>
    <w:rsid w:val="00CA5FE2"/>
    <w:rsid w:val="00CA6E35"/>
    <w:rsid w:val="00CA6F52"/>
    <w:rsid w:val="00CA6FD6"/>
    <w:rsid w:val="00CA75C1"/>
    <w:rsid w:val="00CA7B4A"/>
    <w:rsid w:val="00CA7C43"/>
    <w:rsid w:val="00CB0449"/>
    <w:rsid w:val="00CB0EF7"/>
    <w:rsid w:val="00CB18A9"/>
    <w:rsid w:val="00CB1A65"/>
    <w:rsid w:val="00CB1A92"/>
    <w:rsid w:val="00CB1B84"/>
    <w:rsid w:val="00CB2434"/>
    <w:rsid w:val="00CB24C6"/>
    <w:rsid w:val="00CB260A"/>
    <w:rsid w:val="00CB3B69"/>
    <w:rsid w:val="00CB42B2"/>
    <w:rsid w:val="00CB47B9"/>
    <w:rsid w:val="00CB495E"/>
    <w:rsid w:val="00CB49D4"/>
    <w:rsid w:val="00CB5F7A"/>
    <w:rsid w:val="00CB676F"/>
    <w:rsid w:val="00CB67D4"/>
    <w:rsid w:val="00CB6801"/>
    <w:rsid w:val="00CB6AEB"/>
    <w:rsid w:val="00CB7294"/>
    <w:rsid w:val="00CB7433"/>
    <w:rsid w:val="00CB7E02"/>
    <w:rsid w:val="00CC0F31"/>
    <w:rsid w:val="00CC14F5"/>
    <w:rsid w:val="00CC19E2"/>
    <w:rsid w:val="00CC34F6"/>
    <w:rsid w:val="00CC3787"/>
    <w:rsid w:val="00CC3924"/>
    <w:rsid w:val="00CC3E0A"/>
    <w:rsid w:val="00CC5279"/>
    <w:rsid w:val="00CC5383"/>
    <w:rsid w:val="00CC6BF6"/>
    <w:rsid w:val="00CC6E15"/>
    <w:rsid w:val="00CC77FC"/>
    <w:rsid w:val="00CC78EA"/>
    <w:rsid w:val="00CC7A27"/>
    <w:rsid w:val="00CC7CEE"/>
    <w:rsid w:val="00CC7FCA"/>
    <w:rsid w:val="00CD0AFE"/>
    <w:rsid w:val="00CD1E2E"/>
    <w:rsid w:val="00CD25F7"/>
    <w:rsid w:val="00CD359C"/>
    <w:rsid w:val="00CD3850"/>
    <w:rsid w:val="00CD3FDE"/>
    <w:rsid w:val="00CD41EF"/>
    <w:rsid w:val="00CD4DEE"/>
    <w:rsid w:val="00CD4E85"/>
    <w:rsid w:val="00CD5520"/>
    <w:rsid w:val="00CD59A7"/>
    <w:rsid w:val="00CD63B3"/>
    <w:rsid w:val="00CD6919"/>
    <w:rsid w:val="00CD69D0"/>
    <w:rsid w:val="00CD7076"/>
    <w:rsid w:val="00CD74E6"/>
    <w:rsid w:val="00CD76C8"/>
    <w:rsid w:val="00CD7C01"/>
    <w:rsid w:val="00CE03FD"/>
    <w:rsid w:val="00CE061C"/>
    <w:rsid w:val="00CE0776"/>
    <w:rsid w:val="00CE1398"/>
    <w:rsid w:val="00CE16A1"/>
    <w:rsid w:val="00CE1C51"/>
    <w:rsid w:val="00CE2945"/>
    <w:rsid w:val="00CE379D"/>
    <w:rsid w:val="00CE37B4"/>
    <w:rsid w:val="00CE4079"/>
    <w:rsid w:val="00CE436F"/>
    <w:rsid w:val="00CE43E6"/>
    <w:rsid w:val="00CE466D"/>
    <w:rsid w:val="00CE50C7"/>
    <w:rsid w:val="00CE5824"/>
    <w:rsid w:val="00CE6206"/>
    <w:rsid w:val="00CE71AB"/>
    <w:rsid w:val="00CE7578"/>
    <w:rsid w:val="00CE7E3B"/>
    <w:rsid w:val="00CE7EA2"/>
    <w:rsid w:val="00CF0EF8"/>
    <w:rsid w:val="00CF0F19"/>
    <w:rsid w:val="00CF173C"/>
    <w:rsid w:val="00CF1C42"/>
    <w:rsid w:val="00CF20B4"/>
    <w:rsid w:val="00CF269E"/>
    <w:rsid w:val="00CF31D2"/>
    <w:rsid w:val="00CF3431"/>
    <w:rsid w:val="00CF3552"/>
    <w:rsid w:val="00CF4F81"/>
    <w:rsid w:val="00CF6158"/>
    <w:rsid w:val="00CF6475"/>
    <w:rsid w:val="00CF670F"/>
    <w:rsid w:val="00CF6B74"/>
    <w:rsid w:val="00CF6F9D"/>
    <w:rsid w:val="00CF771B"/>
    <w:rsid w:val="00CF77DC"/>
    <w:rsid w:val="00CF78D4"/>
    <w:rsid w:val="00CF79E3"/>
    <w:rsid w:val="00CF7F1A"/>
    <w:rsid w:val="00D00891"/>
    <w:rsid w:val="00D00F07"/>
    <w:rsid w:val="00D0135E"/>
    <w:rsid w:val="00D014D5"/>
    <w:rsid w:val="00D014FD"/>
    <w:rsid w:val="00D015ED"/>
    <w:rsid w:val="00D01929"/>
    <w:rsid w:val="00D01971"/>
    <w:rsid w:val="00D01B81"/>
    <w:rsid w:val="00D02589"/>
    <w:rsid w:val="00D02CA8"/>
    <w:rsid w:val="00D0349E"/>
    <w:rsid w:val="00D03FA2"/>
    <w:rsid w:val="00D0485D"/>
    <w:rsid w:val="00D04C29"/>
    <w:rsid w:val="00D0524B"/>
    <w:rsid w:val="00D05E36"/>
    <w:rsid w:val="00D05F64"/>
    <w:rsid w:val="00D06473"/>
    <w:rsid w:val="00D0685E"/>
    <w:rsid w:val="00D06BE5"/>
    <w:rsid w:val="00D06E59"/>
    <w:rsid w:val="00D070EC"/>
    <w:rsid w:val="00D075EA"/>
    <w:rsid w:val="00D0773C"/>
    <w:rsid w:val="00D0785A"/>
    <w:rsid w:val="00D07DC9"/>
    <w:rsid w:val="00D07F19"/>
    <w:rsid w:val="00D1004B"/>
    <w:rsid w:val="00D1047D"/>
    <w:rsid w:val="00D10D07"/>
    <w:rsid w:val="00D1100E"/>
    <w:rsid w:val="00D1171D"/>
    <w:rsid w:val="00D1186F"/>
    <w:rsid w:val="00D11AF1"/>
    <w:rsid w:val="00D12F8E"/>
    <w:rsid w:val="00D13F3A"/>
    <w:rsid w:val="00D15DBB"/>
    <w:rsid w:val="00D16372"/>
    <w:rsid w:val="00D17E3D"/>
    <w:rsid w:val="00D20381"/>
    <w:rsid w:val="00D20E2F"/>
    <w:rsid w:val="00D213E5"/>
    <w:rsid w:val="00D21728"/>
    <w:rsid w:val="00D21C0D"/>
    <w:rsid w:val="00D21E1E"/>
    <w:rsid w:val="00D224CB"/>
    <w:rsid w:val="00D22663"/>
    <w:rsid w:val="00D227BB"/>
    <w:rsid w:val="00D22AEC"/>
    <w:rsid w:val="00D23096"/>
    <w:rsid w:val="00D235C9"/>
    <w:rsid w:val="00D238FC"/>
    <w:rsid w:val="00D23B1C"/>
    <w:rsid w:val="00D23B4A"/>
    <w:rsid w:val="00D23C02"/>
    <w:rsid w:val="00D246C5"/>
    <w:rsid w:val="00D25474"/>
    <w:rsid w:val="00D25614"/>
    <w:rsid w:val="00D256D3"/>
    <w:rsid w:val="00D2592D"/>
    <w:rsid w:val="00D25A1D"/>
    <w:rsid w:val="00D25BCC"/>
    <w:rsid w:val="00D26091"/>
    <w:rsid w:val="00D260B7"/>
    <w:rsid w:val="00D26147"/>
    <w:rsid w:val="00D267A4"/>
    <w:rsid w:val="00D268AB"/>
    <w:rsid w:val="00D271EA"/>
    <w:rsid w:val="00D2751D"/>
    <w:rsid w:val="00D279B2"/>
    <w:rsid w:val="00D27A09"/>
    <w:rsid w:val="00D3024D"/>
    <w:rsid w:val="00D30308"/>
    <w:rsid w:val="00D3075C"/>
    <w:rsid w:val="00D30F29"/>
    <w:rsid w:val="00D31826"/>
    <w:rsid w:val="00D32538"/>
    <w:rsid w:val="00D32593"/>
    <w:rsid w:val="00D327B3"/>
    <w:rsid w:val="00D329A0"/>
    <w:rsid w:val="00D32FBD"/>
    <w:rsid w:val="00D3378B"/>
    <w:rsid w:val="00D33B99"/>
    <w:rsid w:val="00D33ED0"/>
    <w:rsid w:val="00D33FCC"/>
    <w:rsid w:val="00D3436B"/>
    <w:rsid w:val="00D3438F"/>
    <w:rsid w:val="00D34C27"/>
    <w:rsid w:val="00D34E7E"/>
    <w:rsid w:val="00D357F2"/>
    <w:rsid w:val="00D3664C"/>
    <w:rsid w:val="00D3679C"/>
    <w:rsid w:val="00D36A2C"/>
    <w:rsid w:val="00D36C62"/>
    <w:rsid w:val="00D402D2"/>
    <w:rsid w:val="00D40945"/>
    <w:rsid w:val="00D40A3F"/>
    <w:rsid w:val="00D41901"/>
    <w:rsid w:val="00D421A7"/>
    <w:rsid w:val="00D4257E"/>
    <w:rsid w:val="00D42703"/>
    <w:rsid w:val="00D427BE"/>
    <w:rsid w:val="00D4293E"/>
    <w:rsid w:val="00D42A39"/>
    <w:rsid w:val="00D42D17"/>
    <w:rsid w:val="00D43274"/>
    <w:rsid w:val="00D43ED9"/>
    <w:rsid w:val="00D4428C"/>
    <w:rsid w:val="00D45A42"/>
    <w:rsid w:val="00D46307"/>
    <w:rsid w:val="00D467F0"/>
    <w:rsid w:val="00D46827"/>
    <w:rsid w:val="00D4715C"/>
    <w:rsid w:val="00D47C89"/>
    <w:rsid w:val="00D47F33"/>
    <w:rsid w:val="00D502B5"/>
    <w:rsid w:val="00D5038A"/>
    <w:rsid w:val="00D5060C"/>
    <w:rsid w:val="00D507A3"/>
    <w:rsid w:val="00D508E2"/>
    <w:rsid w:val="00D50932"/>
    <w:rsid w:val="00D50A02"/>
    <w:rsid w:val="00D5279A"/>
    <w:rsid w:val="00D53089"/>
    <w:rsid w:val="00D53099"/>
    <w:rsid w:val="00D534DA"/>
    <w:rsid w:val="00D53C67"/>
    <w:rsid w:val="00D55449"/>
    <w:rsid w:val="00D5584C"/>
    <w:rsid w:val="00D55C01"/>
    <w:rsid w:val="00D562EB"/>
    <w:rsid w:val="00D56321"/>
    <w:rsid w:val="00D56C54"/>
    <w:rsid w:val="00D56E42"/>
    <w:rsid w:val="00D571C3"/>
    <w:rsid w:val="00D57CAB"/>
    <w:rsid w:val="00D57CF6"/>
    <w:rsid w:val="00D57F46"/>
    <w:rsid w:val="00D601C2"/>
    <w:rsid w:val="00D602AF"/>
    <w:rsid w:val="00D608D2"/>
    <w:rsid w:val="00D60CBF"/>
    <w:rsid w:val="00D60FFF"/>
    <w:rsid w:val="00D614B5"/>
    <w:rsid w:val="00D614E4"/>
    <w:rsid w:val="00D619C8"/>
    <w:rsid w:val="00D6210D"/>
    <w:rsid w:val="00D621BD"/>
    <w:rsid w:val="00D62667"/>
    <w:rsid w:val="00D628F0"/>
    <w:rsid w:val="00D62902"/>
    <w:rsid w:val="00D62A21"/>
    <w:rsid w:val="00D6303E"/>
    <w:rsid w:val="00D63236"/>
    <w:rsid w:val="00D633A7"/>
    <w:rsid w:val="00D63642"/>
    <w:rsid w:val="00D63FAD"/>
    <w:rsid w:val="00D6456C"/>
    <w:rsid w:val="00D649B9"/>
    <w:rsid w:val="00D651C3"/>
    <w:rsid w:val="00D65C3D"/>
    <w:rsid w:val="00D664A0"/>
    <w:rsid w:val="00D679D8"/>
    <w:rsid w:val="00D67B55"/>
    <w:rsid w:val="00D711EC"/>
    <w:rsid w:val="00D712FE"/>
    <w:rsid w:val="00D7159D"/>
    <w:rsid w:val="00D71F9F"/>
    <w:rsid w:val="00D72227"/>
    <w:rsid w:val="00D724F6"/>
    <w:rsid w:val="00D72F1B"/>
    <w:rsid w:val="00D733AF"/>
    <w:rsid w:val="00D739FB"/>
    <w:rsid w:val="00D73BCE"/>
    <w:rsid w:val="00D744FB"/>
    <w:rsid w:val="00D746B8"/>
    <w:rsid w:val="00D74C55"/>
    <w:rsid w:val="00D74CCC"/>
    <w:rsid w:val="00D75609"/>
    <w:rsid w:val="00D75E88"/>
    <w:rsid w:val="00D761F0"/>
    <w:rsid w:val="00D762BE"/>
    <w:rsid w:val="00D767C6"/>
    <w:rsid w:val="00D767FC"/>
    <w:rsid w:val="00D76805"/>
    <w:rsid w:val="00D76930"/>
    <w:rsid w:val="00D76D88"/>
    <w:rsid w:val="00D775A9"/>
    <w:rsid w:val="00D77769"/>
    <w:rsid w:val="00D778A3"/>
    <w:rsid w:val="00D8016C"/>
    <w:rsid w:val="00D803C4"/>
    <w:rsid w:val="00D805B4"/>
    <w:rsid w:val="00D8064A"/>
    <w:rsid w:val="00D80D6C"/>
    <w:rsid w:val="00D80FD6"/>
    <w:rsid w:val="00D81114"/>
    <w:rsid w:val="00D811AD"/>
    <w:rsid w:val="00D81253"/>
    <w:rsid w:val="00D816DE"/>
    <w:rsid w:val="00D81BB5"/>
    <w:rsid w:val="00D81BDA"/>
    <w:rsid w:val="00D823F7"/>
    <w:rsid w:val="00D83373"/>
    <w:rsid w:val="00D834D2"/>
    <w:rsid w:val="00D83C16"/>
    <w:rsid w:val="00D84342"/>
    <w:rsid w:val="00D845E9"/>
    <w:rsid w:val="00D84741"/>
    <w:rsid w:val="00D84A27"/>
    <w:rsid w:val="00D8506B"/>
    <w:rsid w:val="00D857CF"/>
    <w:rsid w:val="00D85B20"/>
    <w:rsid w:val="00D86031"/>
    <w:rsid w:val="00D86102"/>
    <w:rsid w:val="00D8662E"/>
    <w:rsid w:val="00D86816"/>
    <w:rsid w:val="00D86895"/>
    <w:rsid w:val="00D86FAD"/>
    <w:rsid w:val="00D871DB"/>
    <w:rsid w:val="00D87482"/>
    <w:rsid w:val="00D8752B"/>
    <w:rsid w:val="00D87AD3"/>
    <w:rsid w:val="00D90157"/>
    <w:rsid w:val="00D902F1"/>
    <w:rsid w:val="00D905A7"/>
    <w:rsid w:val="00D91258"/>
    <w:rsid w:val="00D9175B"/>
    <w:rsid w:val="00D9201E"/>
    <w:rsid w:val="00D929AC"/>
    <w:rsid w:val="00D92E53"/>
    <w:rsid w:val="00D92FF9"/>
    <w:rsid w:val="00D9353D"/>
    <w:rsid w:val="00D93A19"/>
    <w:rsid w:val="00D93DE1"/>
    <w:rsid w:val="00D94081"/>
    <w:rsid w:val="00D94648"/>
    <w:rsid w:val="00D946E8"/>
    <w:rsid w:val="00D94EB0"/>
    <w:rsid w:val="00D950F2"/>
    <w:rsid w:val="00D954C8"/>
    <w:rsid w:val="00D9592F"/>
    <w:rsid w:val="00D963A1"/>
    <w:rsid w:val="00D967B2"/>
    <w:rsid w:val="00D96A97"/>
    <w:rsid w:val="00D96BB5"/>
    <w:rsid w:val="00D97229"/>
    <w:rsid w:val="00D973EA"/>
    <w:rsid w:val="00D974A9"/>
    <w:rsid w:val="00D9798B"/>
    <w:rsid w:val="00DA0999"/>
    <w:rsid w:val="00DA0DBA"/>
    <w:rsid w:val="00DA13C0"/>
    <w:rsid w:val="00DA24C0"/>
    <w:rsid w:val="00DA2B82"/>
    <w:rsid w:val="00DA2D62"/>
    <w:rsid w:val="00DA3405"/>
    <w:rsid w:val="00DA36CB"/>
    <w:rsid w:val="00DA3AFA"/>
    <w:rsid w:val="00DA3E78"/>
    <w:rsid w:val="00DA42FE"/>
    <w:rsid w:val="00DA4C75"/>
    <w:rsid w:val="00DA4D0A"/>
    <w:rsid w:val="00DA4E58"/>
    <w:rsid w:val="00DA4EF6"/>
    <w:rsid w:val="00DA506D"/>
    <w:rsid w:val="00DA5B9A"/>
    <w:rsid w:val="00DA5E8F"/>
    <w:rsid w:val="00DA5F78"/>
    <w:rsid w:val="00DA67DF"/>
    <w:rsid w:val="00DA68D9"/>
    <w:rsid w:val="00DA69EA"/>
    <w:rsid w:val="00DA6AEE"/>
    <w:rsid w:val="00DA7076"/>
    <w:rsid w:val="00DA794F"/>
    <w:rsid w:val="00DA7D61"/>
    <w:rsid w:val="00DA7F04"/>
    <w:rsid w:val="00DB02C8"/>
    <w:rsid w:val="00DB0E7A"/>
    <w:rsid w:val="00DB17AC"/>
    <w:rsid w:val="00DB241A"/>
    <w:rsid w:val="00DB29CD"/>
    <w:rsid w:val="00DB2A95"/>
    <w:rsid w:val="00DB2CC3"/>
    <w:rsid w:val="00DB2CDD"/>
    <w:rsid w:val="00DB31C5"/>
    <w:rsid w:val="00DB3D36"/>
    <w:rsid w:val="00DB4188"/>
    <w:rsid w:val="00DB5E10"/>
    <w:rsid w:val="00DB5E26"/>
    <w:rsid w:val="00DB5E78"/>
    <w:rsid w:val="00DB6227"/>
    <w:rsid w:val="00DB6699"/>
    <w:rsid w:val="00DB702D"/>
    <w:rsid w:val="00DB70A6"/>
    <w:rsid w:val="00DB71AC"/>
    <w:rsid w:val="00DB72EF"/>
    <w:rsid w:val="00DB75A2"/>
    <w:rsid w:val="00DB782D"/>
    <w:rsid w:val="00DB7947"/>
    <w:rsid w:val="00DB7A57"/>
    <w:rsid w:val="00DC013D"/>
    <w:rsid w:val="00DC029B"/>
    <w:rsid w:val="00DC03DD"/>
    <w:rsid w:val="00DC03E7"/>
    <w:rsid w:val="00DC072A"/>
    <w:rsid w:val="00DC1005"/>
    <w:rsid w:val="00DC1627"/>
    <w:rsid w:val="00DC1C0D"/>
    <w:rsid w:val="00DC2617"/>
    <w:rsid w:val="00DC3F2C"/>
    <w:rsid w:val="00DC43F5"/>
    <w:rsid w:val="00DC4564"/>
    <w:rsid w:val="00DC4848"/>
    <w:rsid w:val="00DC48A7"/>
    <w:rsid w:val="00DC5091"/>
    <w:rsid w:val="00DC5229"/>
    <w:rsid w:val="00DC5F3F"/>
    <w:rsid w:val="00DC63CC"/>
    <w:rsid w:val="00DC69B4"/>
    <w:rsid w:val="00DC6D55"/>
    <w:rsid w:val="00DC7010"/>
    <w:rsid w:val="00DC7AB7"/>
    <w:rsid w:val="00DC7CB2"/>
    <w:rsid w:val="00DD00DB"/>
    <w:rsid w:val="00DD0D6F"/>
    <w:rsid w:val="00DD1346"/>
    <w:rsid w:val="00DD1ADB"/>
    <w:rsid w:val="00DD21ED"/>
    <w:rsid w:val="00DD26FF"/>
    <w:rsid w:val="00DD3139"/>
    <w:rsid w:val="00DD336D"/>
    <w:rsid w:val="00DD3E7D"/>
    <w:rsid w:val="00DD3EEA"/>
    <w:rsid w:val="00DD4419"/>
    <w:rsid w:val="00DD4C3C"/>
    <w:rsid w:val="00DD51C1"/>
    <w:rsid w:val="00DD553C"/>
    <w:rsid w:val="00DD5A55"/>
    <w:rsid w:val="00DD5C30"/>
    <w:rsid w:val="00DD6974"/>
    <w:rsid w:val="00DD6D45"/>
    <w:rsid w:val="00DD702C"/>
    <w:rsid w:val="00DD712F"/>
    <w:rsid w:val="00DD7132"/>
    <w:rsid w:val="00DD7BD5"/>
    <w:rsid w:val="00DD7D6F"/>
    <w:rsid w:val="00DE0114"/>
    <w:rsid w:val="00DE029D"/>
    <w:rsid w:val="00DE05FB"/>
    <w:rsid w:val="00DE0601"/>
    <w:rsid w:val="00DE07DF"/>
    <w:rsid w:val="00DE1FB5"/>
    <w:rsid w:val="00DE2A7A"/>
    <w:rsid w:val="00DE344C"/>
    <w:rsid w:val="00DE3829"/>
    <w:rsid w:val="00DE396E"/>
    <w:rsid w:val="00DE3A71"/>
    <w:rsid w:val="00DE4219"/>
    <w:rsid w:val="00DE4418"/>
    <w:rsid w:val="00DE4696"/>
    <w:rsid w:val="00DE5465"/>
    <w:rsid w:val="00DE54B5"/>
    <w:rsid w:val="00DE55C0"/>
    <w:rsid w:val="00DE56DB"/>
    <w:rsid w:val="00DE5B81"/>
    <w:rsid w:val="00DE60AC"/>
    <w:rsid w:val="00DE69B5"/>
    <w:rsid w:val="00DE6C62"/>
    <w:rsid w:val="00DE70BB"/>
    <w:rsid w:val="00DE70F0"/>
    <w:rsid w:val="00DE720E"/>
    <w:rsid w:val="00DE72B9"/>
    <w:rsid w:val="00DE75B1"/>
    <w:rsid w:val="00DF0415"/>
    <w:rsid w:val="00DF0669"/>
    <w:rsid w:val="00DF0B7B"/>
    <w:rsid w:val="00DF120F"/>
    <w:rsid w:val="00DF1255"/>
    <w:rsid w:val="00DF14F7"/>
    <w:rsid w:val="00DF1620"/>
    <w:rsid w:val="00DF17E1"/>
    <w:rsid w:val="00DF1EBC"/>
    <w:rsid w:val="00DF2D2B"/>
    <w:rsid w:val="00DF2ED1"/>
    <w:rsid w:val="00DF3E49"/>
    <w:rsid w:val="00DF42E4"/>
    <w:rsid w:val="00DF67CC"/>
    <w:rsid w:val="00DF6C1E"/>
    <w:rsid w:val="00DF6C97"/>
    <w:rsid w:val="00DF6E0C"/>
    <w:rsid w:val="00DF6F44"/>
    <w:rsid w:val="00DF7993"/>
    <w:rsid w:val="00DF7CE9"/>
    <w:rsid w:val="00DF7D98"/>
    <w:rsid w:val="00E0027D"/>
    <w:rsid w:val="00E00337"/>
    <w:rsid w:val="00E00505"/>
    <w:rsid w:val="00E00A3A"/>
    <w:rsid w:val="00E0149F"/>
    <w:rsid w:val="00E017B9"/>
    <w:rsid w:val="00E018B9"/>
    <w:rsid w:val="00E01DEB"/>
    <w:rsid w:val="00E01FA4"/>
    <w:rsid w:val="00E02D96"/>
    <w:rsid w:val="00E03432"/>
    <w:rsid w:val="00E0368D"/>
    <w:rsid w:val="00E03AED"/>
    <w:rsid w:val="00E03AF7"/>
    <w:rsid w:val="00E03D25"/>
    <w:rsid w:val="00E04457"/>
    <w:rsid w:val="00E04A14"/>
    <w:rsid w:val="00E04BC2"/>
    <w:rsid w:val="00E04CCF"/>
    <w:rsid w:val="00E051F6"/>
    <w:rsid w:val="00E0520A"/>
    <w:rsid w:val="00E056E8"/>
    <w:rsid w:val="00E0593B"/>
    <w:rsid w:val="00E05ED9"/>
    <w:rsid w:val="00E06BD1"/>
    <w:rsid w:val="00E06D11"/>
    <w:rsid w:val="00E06D7B"/>
    <w:rsid w:val="00E0728F"/>
    <w:rsid w:val="00E07786"/>
    <w:rsid w:val="00E100F3"/>
    <w:rsid w:val="00E10A13"/>
    <w:rsid w:val="00E112FE"/>
    <w:rsid w:val="00E1132F"/>
    <w:rsid w:val="00E1180A"/>
    <w:rsid w:val="00E12538"/>
    <w:rsid w:val="00E12924"/>
    <w:rsid w:val="00E12CB3"/>
    <w:rsid w:val="00E13194"/>
    <w:rsid w:val="00E1319B"/>
    <w:rsid w:val="00E1328A"/>
    <w:rsid w:val="00E13A02"/>
    <w:rsid w:val="00E14866"/>
    <w:rsid w:val="00E14EE0"/>
    <w:rsid w:val="00E15143"/>
    <w:rsid w:val="00E1578A"/>
    <w:rsid w:val="00E15AFB"/>
    <w:rsid w:val="00E161E0"/>
    <w:rsid w:val="00E166F2"/>
    <w:rsid w:val="00E16844"/>
    <w:rsid w:val="00E16B15"/>
    <w:rsid w:val="00E16BF7"/>
    <w:rsid w:val="00E16F00"/>
    <w:rsid w:val="00E170A6"/>
    <w:rsid w:val="00E1767A"/>
    <w:rsid w:val="00E17730"/>
    <w:rsid w:val="00E2036E"/>
    <w:rsid w:val="00E21048"/>
    <w:rsid w:val="00E21265"/>
    <w:rsid w:val="00E214C4"/>
    <w:rsid w:val="00E21AE8"/>
    <w:rsid w:val="00E21C96"/>
    <w:rsid w:val="00E21D38"/>
    <w:rsid w:val="00E21F5F"/>
    <w:rsid w:val="00E223F2"/>
    <w:rsid w:val="00E22542"/>
    <w:rsid w:val="00E228BC"/>
    <w:rsid w:val="00E23506"/>
    <w:rsid w:val="00E2359A"/>
    <w:rsid w:val="00E24465"/>
    <w:rsid w:val="00E2453B"/>
    <w:rsid w:val="00E24799"/>
    <w:rsid w:val="00E24853"/>
    <w:rsid w:val="00E25384"/>
    <w:rsid w:val="00E25B79"/>
    <w:rsid w:val="00E25CFD"/>
    <w:rsid w:val="00E25DE8"/>
    <w:rsid w:val="00E25F57"/>
    <w:rsid w:val="00E25F89"/>
    <w:rsid w:val="00E260D1"/>
    <w:rsid w:val="00E26A30"/>
    <w:rsid w:val="00E273A8"/>
    <w:rsid w:val="00E277F4"/>
    <w:rsid w:val="00E27EC9"/>
    <w:rsid w:val="00E30E45"/>
    <w:rsid w:val="00E311FD"/>
    <w:rsid w:val="00E32127"/>
    <w:rsid w:val="00E32521"/>
    <w:rsid w:val="00E3275A"/>
    <w:rsid w:val="00E327BB"/>
    <w:rsid w:val="00E32A2E"/>
    <w:rsid w:val="00E32B10"/>
    <w:rsid w:val="00E33001"/>
    <w:rsid w:val="00E330CB"/>
    <w:rsid w:val="00E33BD4"/>
    <w:rsid w:val="00E33DC2"/>
    <w:rsid w:val="00E34103"/>
    <w:rsid w:val="00E34549"/>
    <w:rsid w:val="00E34804"/>
    <w:rsid w:val="00E3493B"/>
    <w:rsid w:val="00E35798"/>
    <w:rsid w:val="00E35988"/>
    <w:rsid w:val="00E35A77"/>
    <w:rsid w:val="00E36222"/>
    <w:rsid w:val="00E368F6"/>
    <w:rsid w:val="00E36AE0"/>
    <w:rsid w:val="00E3705C"/>
    <w:rsid w:val="00E37987"/>
    <w:rsid w:val="00E379E9"/>
    <w:rsid w:val="00E37EF3"/>
    <w:rsid w:val="00E409C7"/>
    <w:rsid w:val="00E40AE7"/>
    <w:rsid w:val="00E40B40"/>
    <w:rsid w:val="00E4156E"/>
    <w:rsid w:val="00E41A60"/>
    <w:rsid w:val="00E420CB"/>
    <w:rsid w:val="00E4225A"/>
    <w:rsid w:val="00E423FD"/>
    <w:rsid w:val="00E425D0"/>
    <w:rsid w:val="00E42977"/>
    <w:rsid w:val="00E42B1A"/>
    <w:rsid w:val="00E42BC1"/>
    <w:rsid w:val="00E43350"/>
    <w:rsid w:val="00E43475"/>
    <w:rsid w:val="00E43789"/>
    <w:rsid w:val="00E437A4"/>
    <w:rsid w:val="00E43C4A"/>
    <w:rsid w:val="00E44B8F"/>
    <w:rsid w:val="00E45334"/>
    <w:rsid w:val="00E45533"/>
    <w:rsid w:val="00E45970"/>
    <w:rsid w:val="00E459E9"/>
    <w:rsid w:val="00E463C3"/>
    <w:rsid w:val="00E46893"/>
    <w:rsid w:val="00E47330"/>
    <w:rsid w:val="00E474CE"/>
    <w:rsid w:val="00E47A49"/>
    <w:rsid w:val="00E47A61"/>
    <w:rsid w:val="00E501B3"/>
    <w:rsid w:val="00E503D6"/>
    <w:rsid w:val="00E507AF"/>
    <w:rsid w:val="00E51040"/>
    <w:rsid w:val="00E5111F"/>
    <w:rsid w:val="00E517BF"/>
    <w:rsid w:val="00E51BE2"/>
    <w:rsid w:val="00E51ED5"/>
    <w:rsid w:val="00E520AA"/>
    <w:rsid w:val="00E5248D"/>
    <w:rsid w:val="00E5257E"/>
    <w:rsid w:val="00E527E0"/>
    <w:rsid w:val="00E5289C"/>
    <w:rsid w:val="00E529E7"/>
    <w:rsid w:val="00E544F7"/>
    <w:rsid w:val="00E545EB"/>
    <w:rsid w:val="00E54924"/>
    <w:rsid w:val="00E555C7"/>
    <w:rsid w:val="00E55957"/>
    <w:rsid w:val="00E559DF"/>
    <w:rsid w:val="00E569F4"/>
    <w:rsid w:val="00E56A46"/>
    <w:rsid w:val="00E56EBF"/>
    <w:rsid w:val="00E57395"/>
    <w:rsid w:val="00E5783E"/>
    <w:rsid w:val="00E57999"/>
    <w:rsid w:val="00E57A32"/>
    <w:rsid w:val="00E57D57"/>
    <w:rsid w:val="00E57F23"/>
    <w:rsid w:val="00E60086"/>
    <w:rsid w:val="00E605FE"/>
    <w:rsid w:val="00E60E01"/>
    <w:rsid w:val="00E60F0F"/>
    <w:rsid w:val="00E62075"/>
    <w:rsid w:val="00E62661"/>
    <w:rsid w:val="00E62693"/>
    <w:rsid w:val="00E627AC"/>
    <w:rsid w:val="00E62D4B"/>
    <w:rsid w:val="00E6318B"/>
    <w:rsid w:val="00E635CD"/>
    <w:rsid w:val="00E63F1D"/>
    <w:rsid w:val="00E64675"/>
    <w:rsid w:val="00E64882"/>
    <w:rsid w:val="00E64E04"/>
    <w:rsid w:val="00E65257"/>
    <w:rsid w:val="00E65613"/>
    <w:rsid w:val="00E660B8"/>
    <w:rsid w:val="00E6679A"/>
    <w:rsid w:val="00E671BD"/>
    <w:rsid w:val="00E6752E"/>
    <w:rsid w:val="00E67588"/>
    <w:rsid w:val="00E67C85"/>
    <w:rsid w:val="00E67F01"/>
    <w:rsid w:val="00E702D8"/>
    <w:rsid w:val="00E70680"/>
    <w:rsid w:val="00E70A18"/>
    <w:rsid w:val="00E70DC7"/>
    <w:rsid w:val="00E71171"/>
    <w:rsid w:val="00E71D48"/>
    <w:rsid w:val="00E723A4"/>
    <w:rsid w:val="00E7276C"/>
    <w:rsid w:val="00E72A9B"/>
    <w:rsid w:val="00E72C07"/>
    <w:rsid w:val="00E72F7B"/>
    <w:rsid w:val="00E730BA"/>
    <w:rsid w:val="00E734A8"/>
    <w:rsid w:val="00E73B98"/>
    <w:rsid w:val="00E74013"/>
    <w:rsid w:val="00E7405F"/>
    <w:rsid w:val="00E74A37"/>
    <w:rsid w:val="00E750E7"/>
    <w:rsid w:val="00E75696"/>
    <w:rsid w:val="00E75C32"/>
    <w:rsid w:val="00E75FBB"/>
    <w:rsid w:val="00E7616A"/>
    <w:rsid w:val="00E7625C"/>
    <w:rsid w:val="00E763B3"/>
    <w:rsid w:val="00E76425"/>
    <w:rsid w:val="00E7682D"/>
    <w:rsid w:val="00E771FA"/>
    <w:rsid w:val="00E774FC"/>
    <w:rsid w:val="00E80194"/>
    <w:rsid w:val="00E803EB"/>
    <w:rsid w:val="00E818F2"/>
    <w:rsid w:val="00E81A06"/>
    <w:rsid w:val="00E822DA"/>
    <w:rsid w:val="00E82E91"/>
    <w:rsid w:val="00E830FD"/>
    <w:rsid w:val="00E83403"/>
    <w:rsid w:val="00E84683"/>
    <w:rsid w:val="00E847C1"/>
    <w:rsid w:val="00E84DA0"/>
    <w:rsid w:val="00E85039"/>
    <w:rsid w:val="00E85080"/>
    <w:rsid w:val="00E85AE1"/>
    <w:rsid w:val="00E85BDF"/>
    <w:rsid w:val="00E85CC2"/>
    <w:rsid w:val="00E865A9"/>
    <w:rsid w:val="00E8698A"/>
    <w:rsid w:val="00E86A2A"/>
    <w:rsid w:val="00E86A45"/>
    <w:rsid w:val="00E87D09"/>
    <w:rsid w:val="00E904C9"/>
    <w:rsid w:val="00E90EAB"/>
    <w:rsid w:val="00E90FD9"/>
    <w:rsid w:val="00E91162"/>
    <w:rsid w:val="00E9170B"/>
    <w:rsid w:val="00E9190F"/>
    <w:rsid w:val="00E91ACF"/>
    <w:rsid w:val="00E91AE7"/>
    <w:rsid w:val="00E91F21"/>
    <w:rsid w:val="00E92182"/>
    <w:rsid w:val="00E9284B"/>
    <w:rsid w:val="00E92B23"/>
    <w:rsid w:val="00E9394B"/>
    <w:rsid w:val="00E9483F"/>
    <w:rsid w:val="00E94FE3"/>
    <w:rsid w:val="00E9530F"/>
    <w:rsid w:val="00E95563"/>
    <w:rsid w:val="00E9583C"/>
    <w:rsid w:val="00E95BBD"/>
    <w:rsid w:val="00E96840"/>
    <w:rsid w:val="00E971DE"/>
    <w:rsid w:val="00E972BB"/>
    <w:rsid w:val="00E97409"/>
    <w:rsid w:val="00E974E8"/>
    <w:rsid w:val="00E97F82"/>
    <w:rsid w:val="00EA0038"/>
    <w:rsid w:val="00EA08A3"/>
    <w:rsid w:val="00EA09A1"/>
    <w:rsid w:val="00EA1033"/>
    <w:rsid w:val="00EA1492"/>
    <w:rsid w:val="00EA14B0"/>
    <w:rsid w:val="00EA18CD"/>
    <w:rsid w:val="00EA1E17"/>
    <w:rsid w:val="00EA2B63"/>
    <w:rsid w:val="00EA2D5E"/>
    <w:rsid w:val="00EA3458"/>
    <w:rsid w:val="00EA385A"/>
    <w:rsid w:val="00EA3AD3"/>
    <w:rsid w:val="00EA449B"/>
    <w:rsid w:val="00EA5926"/>
    <w:rsid w:val="00EA71B7"/>
    <w:rsid w:val="00EA76C0"/>
    <w:rsid w:val="00EA795C"/>
    <w:rsid w:val="00EB12A6"/>
    <w:rsid w:val="00EB1B83"/>
    <w:rsid w:val="00EB21D0"/>
    <w:rsid w:val="00EB2526"/>
    <w:rsid w:val="00EB283A"/>
    <w:rsid w:val="00EB2CC6"/>
    <w:rsid w:val="00EB2E54"/>
    <w:rsid w:val="00EB2EAE"/>
    <w:rsid w:val="00EB2EEE"/>
    <w:rsid w:val="00EB3762"/>
    <w:rsid w:val="00EB39B0"/>
    <w:rsid w:val="00EB3E90"/>
    <w:rsid w:val="00EB43C9"/>
    <w:rsid w:val="00EB4503"/>
    <w:rsid w:val="00EB4A81"/>
    <w:rsid w:val="00EB4D77"/>
    <w:rsid w:val="00EB50A8"/>
    <w:rsid w:val="00EB614A"/>
    <w:rsid w:val="00EB64DF"/>
    <w:rsid w:val="00EB6C73"/>
    <w:rsid w:val="00EB6CE0"/>
    <w:rsid w:val="00EB6D2C"/>
    <w:rsid w:val="00EB6E23"/>
    <w:rsid w:val="00EB71FC"/>
    <w:rsid w:val="00EB7F97"/>
    <w:rsid w:val="00EC0061"/>
    <w:rsid w:val="00EC008A"/>
    <w:rsid w:val="00EC0752"/>
    <w:rsid w:val="00EC0860"/>
    <w:rsid w:val="00EC0D0B"/>
    <w:rsid w:val="00EC0EA9"/>
    <w:rsid w:val="00EC0F99"/>
    <w:rsid w:val="00EC1991"/>
    <w:rsid w:val="00EC1A93"/>
    <w:rsid w:val="00EC1ECC"/>
    <w:rsid w:val="00EC293E"/>
    <w:rsid w:val="00EC2FE9"/>
    <w:rsid w:val="00EC3642"/>
    <w:rsid w:val="00EC385A"/>
    <w:rsid w:val="00EC402F"/>
    <w:rsid w:val="00EC52A5"/>
    <w:rsid w:val="00EC5559"/>
    <w:rsid w:val="00EC55BC"/>
    <w:rsid w:val="00EC59AE"/>
    <w:rsid w:val="00EC5D52"/>
    <w:rsid w:val="00EC5FC7"/>
    <w:rsid w:val="00EC6DB7"/>
    <w:rsid w:val="00EC738F"/>
    <w:rsid w:val="00EC7677"/>
    <w:rsid w:val="00EC7A7B"/>
    <w:rsid w:val="00EC7C3D"/>
    <w:rsid w:val="00EC7EA8"/>
    <w:rsid w:val="00ED005E"/>
    <w:rsid w:val="00ED0122"/>
    <w:rsid w:val="00ED0B68"/>
    <w:rsid w:val="00ED0EF7"/>
    <w:rsid w:val="00ED1159"/>
    <w:rsid w:val="00ED149D"/>
    <w:rsid w:val="00ED2014"/>
    <w:rsid w:val="00ED216B"/>
    <w:rsid w:val="00ED25B5"/>
    <w:rsid w:val="00ED3B4F"/>
    <w:rsid w:val="00ED428D"/>
    <w:rsid w:val="00ED4421"/>
    <w:rsid w:val="00ED4AE5"/>
    <w:rsid w:val="00ED4C65"/>
    <w:rsid w:val="00ED4C9C"/>
    <w:rsid w:val="00ED53CF"/>
    <w:rsid w:val="00ED5A64"/>
    <w:rsid w:val="00ED61E3"/>
    <w:rsid w:val="00ED640F"/>
    <w:rsid w:val="00ED6695"/>
    <w:rsid w:val="00ED67F9"/>
    <w:rsid w:val="00ED6EA3"/>
    <w:rsid w:val="00ED6F4A"/>
    <w:rsid w:val="00ED6FB8"/>
    <w:rsid w:val="00ED75F4"/>
    <w:rsid w:val="00ED760E"/>
    <w:rsid w:val="00ED7661"/>
    <w:rsid w:val="00ED7A57"/>
    <w:rsid w:val="00ED7CA3"/>
    <w:rsid w:val="00EE0739"/>
    <w:rsid w:val="00EE099E"/>
    <w:rsid w:val="00EE0D64"/>
    <w:rsid w:val="00EE0F9E"/>
    <w:rsid w:val="00EE2033"/>
    <w:rsid w:val="00EE3997"/>
    <w:rsid w:val="00EE3B88"/>
    <w:rsid w:val="00EE3DCF"/>
    <w:rsid w:val="00EE3FB2"/>
    <w:rsid w:val="00EE4B75"/>
    <w:rsid w:val="00EE4B86"/>
    <w:rsid w:val="00EE4DBA"/>
    <w:rsid w:val="00EE5726"/>
    <w:rsid w:val="00EE5887"/>
    <w:rsid w:val="00EE5D8F"/>
    <w:rsid w:val="00EE60A9"/>
    <w:rsid w:val="00EE64D9"/>
    <w:rsid w:val="00EE6B84"/>
    <w:rsid w:val="00EE6EE1"/>
    <w:rsid w:val="00EE6F5E"/>
    <w:rsid w:val="00EE72DB"/>
    <w:rsid w:val="00EE7756"/>
    <w:rsid w:val="00EE788B"/>
    <w:rsid w:val="00EF057F"/>
    <w:rsid w:val="00EF0870"/>
    <w:rsid w:val="00EF08F7"/>
    <w:rsid w:val="00EF0928"/>
    <w:rsid w:val="00EF0BF6"/>
    <w:rsid w:val="00EF0C15"/>
    <w:rsid w:val="00EF1D1F"/>
    <w:rsid w:val="00EF236A"/>
    <w:rsid w:val="00EF25BE"/>
    <w:rsid w:val="00EF2967"/>
    <w:rsid w:val="00EF2E52"/>
    <w:rsid w:val="00EF2ECE"/>
    <w:rsid w:val="00EF3C24"/>
    <w:rsid w:val="00EF492C"/>
    <w:rsid w:val="00EF4C33"/>
    <w:rsid w:val="00EF55FE"/>
    <w:rsid w:val="00EF5882"/>
    <w:rsid w:val="00EF5AF4"/>
    <w:rsid w:val="00EF5FF1"/>
    <w:rsid w:val="00EF64C4"/>
    <w:rsid w:val="00EF6B38"/>
    <w:rsid w:val="00EF6DAD"/>
    <w:rsid w:val="00EF6E3C"/>
    <w:rsid w:val="00EF789F"/>
    <w:rsid w:val="00EF7B41"/>
    <w:rsid w:val="00EF7D55"/>
    <w:rsid w:val="00EF7FE8"/>
    <w:rsid w:val="00F00C19"/>
    <w:rsid w:val="00F00CB9"/>
    <w:rsid w:val="00F00F84"/>
    <w:rsid w:val="00F01222"/>
    <w:rsid w:val="00F0179C"/>
    <w:rsid w:val="00F0196F"/>
    <w:rsid w:val="00F02748"/>
    <w:rsid w:val="00F0281F"/>
    <w:rsid w:val="00F02A87"/>
    <w:rsid w:val="00F02BE5"/>
    <w:rsid w:val="00F02CF7"/>
    <w:rsid w:val="00F03238"/>
    <w:rsid w:val="00F034BF"/>
    <w:rsid w:val="00F03CE1"/>
    <w:rsid w:val="00F03FE0"/>
    <w:rsid w:val="00F041E4"/>
    <w:rsid w:val="00F04B91"/>
    <w:rsid w:val="00F04CB1"/>
    <w:rsid w:val="00F05C09"/>
    <w:rsid w:val="00F05EEF"/>
    <w:rsid w:val="00F06D63"/>
    <w:rsid w:val="00F07299"/>
    <w:rsid w:val="00F105D5"/>
    <w:rsid w:val="00F118C5"/>
    <w:rsid w:val="00F11C54"/>
    <w:rsid w:val="00F12345"/>
    <w:rsid w:val="00F12A0A"/>
    <w:rsid w:val="00F1302E"/>
    <w:rsid w:val="00F133AD"/>
    <w:rsid w:val="00F1353A"/>
    <w:rsid w:val="00F135E7"/>
    <w:rsid w:val="00F13963"/>
    <w:rsid w:val="00F14C28"/>
    <w:rsid w:val="00F14C2B"/>
    <w:rsid w:val="00F14C97"/>
    <w:rsid w:val="00F14DDE"/>
    <w:rsid w:val="00F157F2"/>
    <w:rsid w:val="00F15FB1"/>
    <w:rsid w:val="00F160EE"/>
    <w:rsid w:val="00F16E17"/>
    <w:rsid w:val="00F16EEA"/>
    <w:rsid w:val="00F17A9A"/>
    <w:rsid w:val="00F17C06"/>
    <w:rsid w:val="00F17CB3"/>
    <w:rsid w:val="00F17D5E"/>
    <w:rsid w:val="00F17DF3"/>
    <w:rsid w:val="00F203C3"/>
    <w:rsid w:val="00F204C1"/>
    <w:rsid w:val="00F21037"/>
    <w:rsid w:val="00F2127F"/>
    <w:rsid w:val="00F21364"/>
    <w:rsid w:val="00F214C3"/>
    <w:rsid w:val="00F22B37"/>
    <w:rsid w:val="00F22C91"/>
    <w:rsid w:val="00F24B38"/>
    <w:rsid w:val="00F2595A"/>
    <w:rsid w:val="00F25E9B"/>
    <w:rsid w:val="00F25EB0"/>
    <w:rsid w:val="00F268E5"/>
    <w:rsid w:val="00F26F5D"/>
    <w:rsid w:val="00F27A97"/>
    <w:rsid w:val="00F27B53"/>
    <w:rsid w:val="00F30013"/>
    <w:rsid w:val="00F30480"/>
    <w:rsid w:val="00F3054D"/>
    <w:rsid w:val="00F30B3F"/>
    <w:rsid w:val="00F30FA4"/>
    <w:rsid w:val="00F31436"/>
    <w:rsid w:val="00F31AA1"/>
    <w:rsid w:val="00F31B5D"/>
    <w:rsid w:val="00F32147"/>
    <w:rsid w:val="00F32195"/>
    <w:rsid w:val="00F32297"/>
    <w:rsid w:val="00F32984"/>
    <w:rsid w:val="00F32A79"/>
    <w:rsid w:val="00F33299"/>
    <w:rsid w:val="00F33604"/>
    <w:rsid w:val="00F33890"/>
    <w:rsid w:val="00F33913"/>
    <w:rsid w:val="00F33CFD"/>
    <w:rsid w:val="00F33E4E"/>
    <w:rsid w:val="00F33EBC"/>
    <w:rsid w:val="00F3409C"/>
    <w:rsid w:val="00F35F37"/>
    <w:rsid w:val="00F360DA"/>
    <w:rsid w:val="00F37557"/>
    <w:rsid w:val="00F37D91"/>
    <w:rsid w:val="00F4034D"/>
    <w:rsid w:val="00F40710"/>
    <w:rsid w:val="00F40780"/>
    <w:rsid w:val="00F41251"/>
    <w:rsid w:val="00F417AC"/>
    <w:rsid w:val="00F41F40"/>
    <w:rsid w:val="00F421F4"/>
    <w:rsid w:val="00F42486"/>
    <w:rsid w:val="00F43096"/>
    <w:rsid w:val="00F434D2"/>
    <w:rsid w:val="00F437DD"/>
    <w:rsid w:val="00F43905"/>
    <w:rsid w:val="00F441A7"/>
    <w:rsid w:val="00F449FE"/>
    <w:rsid w:val="00F44F08"/>
    <w:rsid w:val="00F45835"/>
    <w:rsid w:val="00F45CAF"/>
    <w:rsid w:val="00F45E30"/>
    <w:rsid w:val="00F45F22"/>
    <w:rsid w:val="00F46841"/>
    <w:rsid w:val="00F46A28"/>
    <w:rsid w:val="00F46CE2"/>
    <w:rsid w:val="00F47299"/>
    <w:rsid w:val="00F47D25"/>
    <w:rsid w:val="00F50A20"/>
    <w:rsid w:val="00F515BB"/>
    <w:rsid w:val="00F51709"/>
    <w:rsid w:val="00F5186A"/>
    <w:rsid w:val="00F51AA1"/>
    <w:rsid w:val="00F52720"/>
    <w:rsid w:val="00F52789"/>
    <w:rsid w:val="00F52AF5"/>
    <w:rsid w:val="00F545A2"/>
    <w:rsid w:val="00F54DEF"/>
    <w:rsid w:val="00F54EB6"/>
    <w:rsid w:val="00F55664"/>
    <w:rsid w:val="00F56238"/>
    <w:rsid w:val="00F56550"/>
    <w:rsid w:val="00F56C55"/>
    <w:rsid w:val="00F56F94"/>
    <w:rsid w:val="00F56FF0"/>
    <w:rsid w:val="00F57323"/>
    <w:rsid w:val="00F57888"/>
    <w:rsid w:val="00F5791D"/>
    <w:rsid w:val="00F579D1"/>
    <w:rsid w:val="00F57A83"/>
    <w:rsid w:val="00F57BA3"/>
    <w:rsid w:val="00F57EE5"/>
    <w:rsid w:val="00F60160"/>
    <w:rsid w:val="00F601D4"/>
    <w:rsid w:val="00F604CB"/>
    <w:rsid w:val="00F6094B"/>
    <w:rsid w:val="00F60AAF"/>
    <w:rsid w:val="00F60D81"/>
    <w:rsid w:val="00F60DEF"/>
    <w:rsid w:val="00F60E8D"/>
    <w:rsid w:val="00F61036"/>
    <w:rsid w:val="00F610DA"/>
    <w:rsid w:val="00F618D4"/>
    <w:rsid w:val="00F628BF"/>
    <w:rsid w:val="00F62AB9"/>
    <w:rsid w:val="00F62B0B"/>
    <w:rsid w:val="00F62CD1"/>
    <w:rsid w:val="00F63400"/>
    <w:rsid w:val="00F634D8"/>
    <w:rsid w:val="00F638DA"/>
    <w:rsid w:val="00F643FB"/>
    <w:rsid w:val="00F645F8"/>
    <w:rsid w:val="00F64CB6"/>
    <w:rsid w:val="00F64CE7"/>
    <w:rsid w:val="00F65059"/>
    <w:rsid w:val="00F650E3"/>
    <w:rsid w:val="00F650F2"/>
    <w:rsid w:val="00F65775"/>
    <w:rsid w:val="00F657C9"/>
    <w:rsid w:val="00F65E86"/>
    <w:rsid w:val="00F66018"/>
    <w:rsid w:val="00F66876"/>
    <w:rsid w:val="00F66B88"/>
    <w:rsid w:val="00F6705D"/>
    <w:rsid w:val="00F676D0"/>
    <w:rsid w:val="00F67AF9"/>
    <w:rsid w:val="00F67DFE"/>
    <w:rsid w:val="00F67E32"/>
    <w:rsid w:val="00F703FD"/>
    <w:rsid w:val="00F709D6"/>
    <w:rsid w:val="00F71410"/>
    <w:rsid w:val="00F7150A"/>
    <w:rsid w:val="00F72C1B"/>
    <w:rsid w:val="00F7305A"/>
    <w:rsid w:val="00F731DF"/>
    <w:rsid w:val="00F74B9D"/>
    <w:rsid w:val="00F75280"/>
    <w:rsid w:val="00F759B7"/>
    <w:rsid w:val="00F76E20"/>
    <w:rsid w:val="00F773F0"/>
    <w:rsid w:val="00F775FB"/>
    <w:rsid w:val="00F777CE"/>
    <w:rsid w:val="00F77859"/>
    <w:rsid w:val="00F77A77"/>
    <w:rsid w:val="00F77C0C"/>
    <w:rsid w:val="00F77EB2"/>
    <w:rsid w:val="00F804AA"/>
    <w:rsid w:val="00F81BC6"/>
    <w:rsid w:val="00F81E60"/>
    <w:rsid w:val="00F81F0D"/>
    <w:rsid w:val="00F82A5B"/>
    <w:rsid w:val="00F830C7"/>
    <w:rsid w:val="00F83669"/>
    <w:rsid w:val="00F837B4"/>
    <w:rsid w:val="00F84FDE"/>
    <w:rsid w:val="00F85282"/>
    <w:rsid w:val="00F852F7"/>
    <w:rsid w:val="00F86538"/>
    <w:rsid w:val="00F86641"/>
    <w:rsid w:val="00F86EC3"/>
    <w:rsid w:val="00F87042"/>
    <w:rsid w:val="00F87227"/>
    <w:rsid w:val="00F877FB"/>
    <w:rsid w:val="00F9023D"/>
    <w:rsid w:val="00F90493"/>
    <w:rsid w:val="00F90CB6"/>
    <w:rsid w:val="00F91279"/>
    <w:rsid w:val="00F92053"/>
    <w:rsid w:val="00F92678"/>
    <w:rsid w:val="00F9294F"/>
    <w:rsid w:val="00F92A34"/>
    <w:rsid w:val="00F92E8F"/>
    <w:rsid w:val="00F932F5"/>
    <w:rsid w:val="00F933DB"/>
    <w:rsid w:val="00F93AE5"/>
    <w:rsid w:val="00F93BFF"/>
    <w:rsid w:val="00F93C68"/>
    <w:rsid w:val="00F94333"/>
    <w:rsid w:val="00F9439B"/>
    <w:rsid w:val="00F94A7B"/>
    <w:rsid w:val="00F94D03"/>
    <w:rsid w:val="00F94E80"/>
    <w:rsid w:val="00F94F1B"/>
    <w:rsid w:val="00F9528C"/>
    <w:rsid w:val="00F95434"/>
    <w:rsid w:val="00F96B81"/>
    <w:rsid w:val="00F96CDC"/>
    <w:rsid w:val="00F97142"/>
    <w:rsid w:val="00F97669"/>
    <w:rsid w:val="00FA023B"/>
    <w:rsid w:val="00FA0590"/>
    <w:rsid w:val="00FA0B52"/>
    <w:rsid w:val="00FA17A4"/>
    <w:rsid w:val="00FA193F"/>
    <w:rsid w:val="00FA1A32"/>
    <w:rsid w:val="00FA1B10"/>
    <w:rsid w:val="00FA1D02"/>
    <w:rsid w:val="00FA1EFC"/>
    <w:rsid w:val="00FA2039"/>
    <w:rsid w:val="00FA2236"/>
    <w:rsid w:val="00FA26FA"/>
    <w:rsid w:val="00FA2812"/>
    <w:rsid w:val="00FA2952"/>
    <w:rsid w:val="00FA2A44"/>
    <w:rsid w:val="00FA30A1"/>
    <w:rsid w:val="00FA3159"/>
    <w:rsid w:val="00FA3B33"/>
    <w:rsid w:val="00FA4476"/>
    <w:rsid w:val="00FA4CA1"/>
    <w:rsid w:val="00FA4FB9"/>
    <w:rsid w:val="00FA596A"/>
    <w:rsid w:val="00FA5BE3"/>
    <w:rsid w:val="00FA6021"/>
    <w:rsid w:val="00FA612B"/>
    <w:rsid w:val="00FA6211"/>
    <w:rsid w:val="00FA68BE"/>
    <w:rsid w:val="00FA6F29"/>
    <w:rsid w:val="00FA7B4C"/>
    <w:rsid w:val="00FB0351"/>
    <w:rsid w:val="00FB06A8"/>
    <w:rsid w:val="00FB0D4E"/>
    <w:rsid w:val="00FB0E5A"/>
    <w:rsid w:val="00FB139D"/>
    <w:rsid w:val="00FB19E3"/>
    <w:rsid w:val="00FB2189"/>
    <w:rsid w:val="00FB2320"/>
    <w:rsid w:val="00FB2C7A"/>
    <w:rsid w:val="00FB2F3E"/>
    <w:rsid w:val="00FB2F61"/>
    <w:rsid w:val="00FB2F95"/>
    <w:rsid w:val="00FB3C22"/>
    <w:rsid w:val="00FB4657"/>
    <w:rsid w:val="00FB47B7"/>
    <w:rsid w:val="00FB5706"/>
    <w:rsid w:val="00FB5B4C"/>
    <w:rsid w:val="00FB5C90"/>
    <w:rsid w:val="00FB5D44"/>
    <w:rsid w:val="00FB64B3"/>
    <w:rsid w:val="00FB64E9"/>
    <w:rsid w:val="00FB69AE"/>
    <w:rsid w:val="00FB69E4"/>
    <w:rsid w:val="00FB7BF6"/>
    <w:rsid w:val="00FB7F6B"/>
    <w:rsid w:val="00FB7FAA"/>
    <w:rsid w:val="00FC0185"/>
    <w:rsid w:val="00FC08D1"/>
    <w:rsid w:val="00FC0BD8"/>
    <w:rsid w:val="00FC0CC0"/>
    <w:rsid w:val="00FC1816"/>
    <w:rsid w:val="00FC1D6F"/>
    <w:rsid w:val="00FC2228"/>
    <w:rsid w:val="00FC23F0"/>
    <w:rsid w:val="00FC30AB"/>
    <w:rsid w:val="00FC34FC"/>
    <w:rsid w:val="00FC37BA"/>
    <w:rsid w:val="00FC38CF"/>
    <w:rsid w:val="00FC38F8"/>
    <w:rsid w:val="00FC3C11"/>
    <w:rsid w:val="00FC3E41"/>
    <w:rsid w:val="00FC417F"/>
    <w:rsid w:val="00FC45A5"/>
    <w:rsid w:val="00FC469D"/>
    <w:rsid w:val="00FC4BAA"/>
    <w:rsid w:val="00FC4BE4"/>
    <w:rsid w:val="00FC4F7B"/>
    <w:rsid w:val="00FC5421"/>
    <w:rsid w:val="00FC556E"/>
    <w:rsid w:val="00FC58DE"/>
    <w:rsid w:val="00FC5C5A"/>
    <w:rsid w:val="00FC5F8E"/>
    <w:rsid w:val="00FC625A"/>
    <w:rsid w:val="00FC6393"/>
    <w:rsid w:val="00FC63A8"/>
    <w:rsid w:val="00FC76F9"/>
    <w:rsid w:val="00FC7B23"/>
    <w:rsid w:val="00FC7F2B"/>
    <w:rsid w:val="00FD00A5"/>
    <w:rsid w:val="00FD04E4"/>
    <w:rsid w:val="00FD05AF"/>
    <w:rsid w:val="00FD0748"/>
    <w:rsid w:val="00FD08E1"/>
    <w:rsid w:val="00FD0A85"/>
    <w:rsid w:val="00FD0ACC"/>
    <w:rsid w:val="00FD11D6"/>
    <w:rsid w:val="00FD1212"/>
    <w:rsid w:val="00FD124D"/>
    <w:rsid w:val="00FD1260"/>
    <w:rsid w:val="00FD2AEF"/>
    <w:rsid w:val="00FD3064"/>
    <w:rsid w:val="00FD3B64"/>
    <w:rsid w:val="00FD3F14"/>
    <w:rsid w:val="00FD3F99"/>
    <w:rsid w:val="00FD4425"/>
    <w:rsid w:val="00FD46D1"/>
    <w:rsid w:val="00FD5361"/>
    <w:rsid w:val="00FD6568"/>
    <w:rsid w:val="00FD6731"/>
    <w:rsid w:val="00FD688B"/>
    <w:rsid w:val="00FD6B91"/>
    <w:rsid w:val="00FD7090"/>
    <w:rsid w:val="00FD72FC"/>
    <w:rsid w:val="00FD75D1"/>
    <w:rsid w:val="00FD7A85"/>
    <w:rsid w:val="00FE1CA5"/>
    <w:rsid w:val="00FE1ECD"/>
    <w:rsid w:val="00FE200B"/>
    <w:rsid w:val="00FE2A45"/>
    <w:rsid w:val="00FE32C7"/>
    <w:rsid w:val="00FE4DCE"/>
    <w:rsid w:val="00FE4E2D"/>
    <w:rsid w:val="00FE59FD"/>
    <w:rsid w:val="00FE5CBA"/>
    <w:rsid w:val="00FE5FF0"/>
    <w:rsid w:val="00FE6190"/>
    <w:rsid w:val="00FE6C93"/>
    <w:rsid w:val="00FE70C1"/>
    <w:rsid w:val="00FE73A3"/>
    <w:rsid w:val="00FF0CD4"/>
    <w:rsid w:val="00FF0D56"/>
    <w:rsid w:val="00FF0DB6"/>
    <w:rsid w:val="00FF0F00"/>
    <w:rsid w:val="00FF14D6"/>
    <w:rsid w:val="00FF24B2"/>
    <w:rsid w:val="00FF2C29"/>
    <w:rsid w:val="00FF2CEE"/>
    <w:rsid w:val="00FF3E51"/>
    <w:rsid w:val="00FF407E"/>
    <w:rsid w:val="00FF427F"/>
    <w:rsid w:val="00FF4427"/>
    <w:rsid w:val="00FF46C8"/>
    <w:rsid w:val="00FF50BD"/>
    <w:rsid w:val="00FF67DA"/>
    <w:rsid w:val="00FF79AB"/>
    <w:rsid w:val="010CC023"/>
    <w:rsid w:val="010CCF1C"/>
    <w:rsid w:val="01389E89"/>
    <w:rsid w:val="013C67C4"/>
    <w:rsid w:val="016B8519"/>
    <w:rsid w:val="0182D241"/>
    <w:rsid w:val="019E2ADA"/>
    <w:rsid w:val="01B33049"/>
    <w:rsid w:val="01EB3B2A"/>
    <w:rsid w:val="01FA165A"/>
    <w:rsid w:val="021CD5D2"/>
    <w:rsid w:val="022349C9"/>
    <w:rsid w:val="023677FD"/>
    <w:rsid w:val="023E78B9"/>
    <w:rsid w:val="025F1ACB"/>
    <w:rsid w:val="026335F8"/>
    <w:rsid w:val="02AB1DDF"/>
    <w:rsid w:val="0322322A"/>
    <w:rsid w:val="0327CD4E"/>
    <w:rsid w:val="0341D698"/>
    <w:rsid w:val="034AFA59"/>
    <w:rsid w:val="037CEBF6"/>
    <w:rsid w:val="0392F248"/>
    <w:rsid w:val="03BCAD74"/>
    <w:rsid w:val="03D2205E"/>
    <w:rsid w:val="03D4D25E"/>
    <w:rsid w:val="0402926D"/>
    <w:rsid w:val="0418AB93"/>
    <w:rsid w:val="04A279F7"/>
    <w:rsid w:val="04C9259C"/>
    <w:rsid w:val="050C070E"/>
    <w:rsid w:val="05478B02"/>
    <w:rsid w:val="057A3D86"/>
    <w:rsid w:val="057E06FF"/>
    <w:rsid w:val="0598D192"/>
    <w:rsid w:val="05C1E425"/>
    <w:rsid w:val="05D623CE"/>
    <w:rsid w:val="06044632"/>
    <w:rsid w:val="061B2D7E"/>
    <w:rsid w:val="0649DA4D"/>
    <w:rsid w:val="064CB8BB"/>
    <w:rsid w:val="066BAB0D"/>
    <w:rsid w:val="06A8C17A"/>
    <w:rsid w:val="06AEDE4F"/>
    <w:rsid w:val="06AF084C"/>
    <w:rsid w:val="06DFC6DC"/>
    <w:rsid w:val="074AC8E7"/>
    <w:rsid w:val="07812686"/>
    <w:rsid w:val="07833F91"/>
    <w:rsid w:val="078D811A"/>
    <w:rsid w:val="07AE0422"/>
    <w:rsid w:val="07E5052B"/>
    <w:rsid w:val="0800810D"/>
    <w:rsid w:val="080F21AD"/>
    <w:rsid w:val="08135E9B"/>
    <w:rsid w:val="08A50679"/>
    <w:rsid w:val="091399AA"/>
    <w:rsid w:val="0926E737"/>
    <w:rsid w:val="096A4FDC"/>
    <w:rsid w:val="09D5E266"/>
    <w:rsid w:val="09E4F372"/>
    <w:rsid w:val="09F2C014"/>
    <w:rsid w:val="0A149124"/>
    <w:rsid w:val="0A4979A5"/>
    <w:rsid w:val="0A7A1FDB"/>
    <w:rsid w:val="0A9038C1"/>
    <w:rsid w:val="0AB7BE5F"/>
    <w:rsid w:val="0AD28958"/>
    <w:rsid w:val="0ADC237A"/>
    <w:rsid w:val="0AFF9601"/>
    <w:rsid w:val="0B010DC9"/>
    <w:rsid w:val="0B2D370E"/>
    <w:rsid w:val="0B3CEB71"/>
    <w:rsid w:val="0B71EB5D"/>
    <w:rsid w:val="0B8B3121"/>
    <w:rsid w:val="0B8B4F23"/>
    <w:rsid w:val="0B933E2D"/>
    <w:rsid w:val="0BB902CD"/>
    <w:rsid w:val="0BC95DF3"/>
    <w:rsid w:val="0BCFDB90"/>
    <w:rsid w:val="0BDC8D39"/>
    <w:rsid w:val="0BFFEA3B"/>
    <w:rsid w:val="0C2003D5"/>
    <w:rsid w:val="0C8A8CC5"/>
    <w:rsid w:val="0C905BFB"/>
    <w:rsid w:val="0C998DAE"/>
    <w:rsid w:val="0CAEAEA7"/>
    <w:rsid w:val="0CF08BE0"/>
    <w:rsid w:val="0D1BA0E2"/>
    <w:rsid w:val="0D2639BB"/>
    <w:rsid w:val="0D604492"/>
    <w:rsid w:val="0D6AC745"/>
    <w:rsid w:val="0D7B90A0"/>
    <w:rsid w:val="0D892666"/>
    <w:rsid w:val="0DBE50DB"/>
    <w:rsid w:val="0DBF68A2"/>
    <w:rsid w:val="0DC1C93A"/>
    <w:rsid w:val="0E1D54AA"/>
    <w:rsid w:val="0E3B564C"/>
    <w:rsid w:val="0E3FF65D"/>
    <w:rsid w:val="0E4F0CCB"/>
    <w:rsid w:val="0E791880"/>
    <w:rsid w:val="0E893A12"/>
    <w:rsid w:val="0EB62FAF"/>
    <w:rsid w:val="0ECC230F"/>
    <w:rsid w:val="0ED86533"/>
    <w:rsid w:val="0ED90AA5"/>
    <w:rsid w:val="0EEBAFFF"/>
    <w:rsid w:val="0EF2E4F4"/>
    <w:rsid w:val="0EFA8B44"/>
    <w:rsid w:val="0F267093"/>
    <w:rsid w:val="0F4637E0"/>
    <w:rsid w:val="0F52F29E"/>
    <w:rsid w:val="0F772C35"/>
    <w:rsid w:val="10386D97"/>
    <w:rsid w:val="104F5D30"/>
    <w:rsid w:val="10D7D5C2"/>
    <w:rsid w:val="1167A884"/>
    <w:rsid w:val="11CF67BB"/>
    <w:rsid w:val="11E233DD"/>
    <w:rsid w:val="123EA2AE"/>
    <w:rsid w:val="1245954D"/>
    <w:rsid w:val="125834C8"/>
    <w:rsid w:val="12662D15"/>
    <w:rsid w:val="129A4232"/>
    <w:rsid w:val="12B46541"/>
    <w:rsid w:val="12D72B06"/>
    <w:rsid w:val="12E3E95A"/>
    <w:rsid w:val="12E5FA2A"/>
    <w:rsid w:val="12F46147"/>
    <w:rsid w:val="134BCCBB"/>
    <w:rsid w:val="138D189F"/>
    <w:rsid w:val="13A06983"/>
    <w:rsid w:val="13AC7304"/>
    <w:rsid w:val="13BB50C3"/>
    <w:rsid w:val="13DF3D6B"/>
    <w:rsid w:val="13EB484A"/>
    <w:rsid w:val="141020DF"/>
    <w:rsid w:val="14326833"/>
    <w:rsid w:val="14687E85"/>
    <w:rsid w:val="14692397"/>
    <w:rsid w:val="146FE470"/>
    <w:rsid w:val="147EAF20"/>
    <w:rsid w:val="14B8F61C"/>
    <w:rsid w:val="14EB1DEC"/>
    <w:rsid w:val="152C4503"/>
    <w:rsid w:val="153B05C9"/>
    <w:rsid w:val="1542C346"/>
    <w:rsid w:val="157E3099"/>
    <w:rsid w:val="15E606ED"/>
    <w:rsid w:val="1612E5CA"/>
    <w:rsid w:val="16213134"/>
    <w:rsid w:val="162655EF"/>
    <w:rsid w:val="162E1FB3"/>
    <w:rsid w:val="16576369"/>
    <w:rsid w:val="16715DEB"/>
    <w:rsid w:val="1695B178"/>
    <w:rsid w:val="16CE4F8C"/>
    <w:rsid w:val="16D94C5C"/>
    <w:rsid w:val="16E8534A"/>
    <w:rsid w:val="1701D71F"/>
    <w:rsid w:val="171409C0"/>
    <w:rsid w:val="172D345E"/>
    <w:rsid w:val="173D1BDB"/>
    <w:rsid w:val="17618B6F"/>
    <w:rsid w:val="17655712"/>
    <w:rsid w:val="1773B2BF"/>
    <w:rsid w:val="17C585AF"/>
    <w:rsid w:val="17D96353"/>
    <w:rsid w:val="17F621B5"/>
    <w:rsid w:val="1805ACE3"/>
    <w:rsid w:val="182A7878"/>
    <w:rsid w:val="183F3322"/>
    <w:rsid w:val="18AB8F9C"/>
    <w:rsid w:val="18AF62B4"/>
    <w:rsid w:val="18D52C39"/>
    <w:rsid w:val="18DCF921"/>
    <w:rsid w:val="192DE181"/>
    <w:rsid w:val="192F7A70"/>
    <w:rsid w:val="19510434"/>
    <w:rsid w:val="19651979"/>
    <w:rsid w:val="19AD1E06"/>
    <w:rsid w:val="19C85041"/>
    <w:rsid w:val="19D5FE0C"/>
    <w:rsid w:val="1A17951B"/>
    <w:rsid w:val="1A1CB06E"/>
    <w:rsid w:val="1A38BAAC"/>
    <w:rsid w:val="1A5093AC"/>
    <w:rsid w:val="1A65022B"/>
    <w:rsid w:val="1A819119"/>
    <w:rsid w:val="1A836177"/>
    <w:rsid w:val="1A960709"/>
    <w:rsid w:val="1A9E0553"/>
    <w:rsid w:val="1ABEB9BA"/>
    <w:rsid w:val="1AF25A57"/>
    <w:rsid w:val="1B10E4E5"/>
    <w:rsid w:val="1B331EC6"/>
    <w:rsid w:val="1B3C65E5"/>
    <w:rsid w:val="1B695CF2"/>
    <w:rsid w:val="1B827A08"/>
    <w:rsid w:val="1B904D59"/>
    <w:rsid w:val="1B9AA5DE"/>
    <w:rsid w:val="1BB02F2B"/>
    <w:rsid w:val="1BE010D1"/>
    <w:rsid w:val="1BED2CD2"/>
    <w:rsid w:val="1C5D9E8C"/>
    <w:rsid w:val="1C68A451"/>
    <w:rsid w:val="1C8BFAC6"/>
    <w:rsid w:val="1CAC677C"/>
    <w:rsid w:val="1CC3A441"/>
    <w:rsid w:val="1CC664C9"/>
    <w:rsid w:val="1CE3EAD2"/>
    <w:rsid w:val="1CF71E40"/>
    <w:rsid w:val="1D1D7D8A"/>
    <w:rsid w:val="1D2A71D4"/>
    <w:rsid w:val="1D58F2F0"/>
    <w:rsid w:val="1D71A590"/>
    <w:rsid w:val="1D7884DC"/>
    <w:rsid w:val="1DAB90C0"/>
    <w:rsid w:val="1DD01BFB"/>
    <w:rsid w:val="1DD14EF3"/>
    <w:rsid w:val="1E1DF9FE"/>
    <w:rsid w:val="1E36B784"/>
    <w:rsid w:val="1E6EDAC5"/>
    <w:rsid w:val="1E7FF2FC"/>
    <w:rsid w:val="1E86C0A0"/>
    <w:rsid w:val="1E8D4643"/>
    <w:rsid w:val="1EE07989"/>
    <w:rsid w:val="1EE37DC3"/>
    <w:rsid w:val="1EF081EF"/>
    <w:rsid w:val="1EF12895"/>
    <w:rsid w:val="1F3D6D63"/>
    <w:rsid w:val="1F401DCE"/>
    <w:rsid w:val="1F502143"/>
    <w:rsid w:val="1FA3AE99"/>
    <w:rsid w:val="204CEA76"/>
    <w:rsid w:val="206750F2"/>
    <w:rsid w:val="207E8510"/>
    <w:rsid w:val="208F929F"/>
    <w:rsid w:val="20C71C0B"/>
    <w:rsid w:val="20DC8698"/>
    <w:rsid w:val="21067041"/>
    <w:rsid w:val="21352463"/>
    <w:rsid w:val="2146C6F8"/>
    <w:rsid w:val="218F27BB"/>
    <w:rsid w:val="21A97459"/>
    <w:rsid w:val="21CAED04"/>
    <w:rsid w:val="21CFBCC3"/>
    <w:rsid w:val="21FCACED"/>
    <w:rsid w:val="223E7820"/>
    <w:rsid w:val="2276F929"/>
    <w:rsid w:val="2291F0C9"/>
    <w:rsid w:val="2299DBBD"/>
    <w:rsid w:val="22CDAD9E"/>
    <w:rsid w:val="22CE4BBA"/>
    <w:rsid w:val="22CE5185"/>
    <w:rsid w:val="22F518E0"/>
    <w:rsid w:val="231BB6B6"/>
    <w:rsid w:val="2332F6D6"/>
    <w:rsid w:val="2339F1EE"/>
    <w:rsid w:val="23A204D8"/>
    <w:rsid w:val="23A98A94"/>
    <w:rsid w:val="23B7A924"/>
    <w:rsid w:val="23F09005"/>
    <w:rsid w:val="240AA712"/>
    <w:rsid w:val="2461FF94"/>
    <w:rsid w:val="2499A3FB"/>
    <w:rsid w:val="24B66EB2"/>
    <w:rsid w:val="24BF54D3"/>
    <w:rsid w:val="24F64C34"/>
    <w:rsid w:val="250D69AA"/>
    <w:rsid w:val="253234BF"/>
    <w:rsid w:val="25802DA7"/>
    <w:rsid w:val="2595F47C"/>
    <w:rsid w:val="25A0E4B0"/>
    <w:rsid w:val="25CA49C4"/>
    <w:rsid w:val="25DD173D"/>
    <w:rsid w:val="25DE1320"/>
    <w:rsid w:val="262547B6"/>
    <w:rsid w:val="263DE4A3"/>
    <w:rsid w:val="263F9EFF"/>
    <w:rsid w:val="2640F8E3"/>
    <w:rsid w:val="2695BD8A"/>
    <w:rsid w:val="26998989"/>
    <w:rsid w:val="26D4DBC6"/>
    <w:rsid w:val="26DBD5FF"/>
    <w:rsid w:val="26FCAAD7"/>
    <w:rsid w:val="2744358C"/>
    <w:rsid w:val="275570CA"/>
    <w:rsid w:val="276A6EAB"/>
    <w:rsid w:val="277D10D2"/>
    <w:rsid w:val="277F2585"/>
    <w:rsid w:val="27F9F0BB"/>
    <w:rsid w:val="283DA7A3"/>
    <w:rsid w:val="284FAD34"/>
    <w:rsid w:val="285AEB25"/>
    <w:rsid w:val="28616D1B"/>
    <w:rsid w:val="28A358C0"/>
    <w:rsid w:val="290314B5"/>
    <w:rsid w:val="2914348D"/>
    <w:rsid w:val="291A0C6E"/>
    <w:rsid w:val="2975F06E"/>
    <w:rsid w:val="2986300B"/>
    <w:rsid w:val="298F7964"/>
    <w:rsid w:val="29C15FFD"/>
    <w:rsid w:val="29D483DD"/>
    <w:rsid w:val="2A0444E8"/>
    <w:rsid w:val="2A67E698"/>
    <w:rsid w:val="2A9292DC"/>
    <w:rsid w:val="2AA75643"/>
    <w:rsid w:val="2AF5771C"/>
    <w:rsid w:val="2B175016"/>
    <w:rsid w:val="2B1AAAFD"/>
    <w:rsid w:val="2B3F37A2"/>
    <w:rsid w:val="2B75484F"/>
    <w:rsid w:val="2B837DAB"/>
    <w:rsid w:val="2BBB0B85"/>
    <w:rsid w:val="2BEC4E1C"/>
    <w:rsid w:val="2C1BF71D"/>
    <w:rsid w:val="2C3A5D3B"/>
    <w:rsid w:val="2C543325"/>
    <w:rsid w:val="2C77DE07"/>
    <w:rsid w:val="2CA6C4BE"/>
    <w:rsid w:val="2CB0CAEF"/>
    <w:rsid w:val="2CB5402A"/>
    <w:rsid w:val="2CF87604"/>
    <w:rsid w:val="2D4D6448"/>
    <w:rsid w:val="2D6CB715"/>
    <w:rsid w:val="2D8C8483"/>
    <w:rsid w:val="2DAB01BE"/>
    <w:rsid w:val="2DAD63F8"/>
    <w:rsid w:val="2DD75664"/>
    <w:rsid w:val="2DDD0490"/>
    <w:rsid w:val="2E6D1BFE"/>
    <w:rsid w:val="2E900707"/>
    <w:rsid w:val="2EBEA8B8"/>
    <w:rsid w:val="2EC87945"/>
    <w:rsid w:val="2EDFEE4E"/>
    <w:rsid w:val="2EFB64BA"/>
    <w:rsid w:val="2F0884C4"/>
    <w:rsid w:val="2F28617B"/>
    <w:rsid w:val="2F5EABF0"/>
    <w:rsid w:val="2FABC438"/>
    <w:rsid w:val="2FF6A9B8"/>
    <w:rsid w:val="30030150"/>
    <w:rsid w:val="300BC705"/>
    <w:rsid w:val="30270D84"/>
    <w:rsid w:val="3053D0F2"/>
    <w:rsid w:val="3057C901"/>
    <w:rsid w:val="30802CB1"/>
    <w:rsid w:val="3088B055"/>
    <w:rsid w:val="309914A6"/>
    <w:rsid w:val="30BDBC3E"/>
    <w:rsid w:val="30C2A469"/>
    <w:rsid w:val="30CCE07E"/>
    <w:rsid w:val="30D0B85E"/>
    <w:rsid w:val="310AF304"/>
    <w:rsid w:val="312EEAF0"/>
    <w:rsid w:val="315752FC"/>
    <w:rsid w:val="316AFA7E"/>
    <w:rsid w:val="317CAE11"/>
    <w:rsid w:val="3188E39D"/>
    <w:rsid w:val="31AA8A63"/>
    <w:rsid w:val="31B6B152"/>
    <w:rsid w:val="31C1F4E7"/>
    <w:rsid w:val="3229C2B2"/>
    <w:rsid w:val="3244D365"/>
    <w:rsid w:val="3250FF3B"/>
    <w:rsid w:val="325DA67D"/>
    <w:rsid w:val="3276193E"/>
    <w:rsid w:val="32AA08C1"/>
    <w:rsid w:val="32DBA97C"/>
    <w:rsid w:val="330A4C21"/>
    <w:rsid w:val="330AF890"/>
    <w:rsid w:val="3319BDFE"/>
    <w:rsid w:val="335B0E47"/>
    <w:rsid w:val="33906650"/>
    <w:rsid w:val="3397EF6F"/>
    <w:rsid w:val="33CFD36B"/>
    <w:rsid w:val="33D34ED4"/>
    <w:rsid w:val="33F76C20"/>
    <w:rsid w:val="340FFDB2"/>
    <w:rsid w:val="34174372"/>
    <w:rsid w:val="3422CB4C"/>
    <w:rsid w:val="343313E0"/>
    <w:rsid w:val="343F0BCB"/>
    <w:rsid w:val="345EC922"/>
    <w:rsid w:val="34B9F2AC"/>
    <w:rsid w:val="35246B4B"/>
    <w:rsid w:val="356D5871"/>
    <w:rsid w:val="358F896F"/>
    <w:rsid w:val="35E143E2"/>
    <w:rsid w:val="3603D611"/>
    <w:rsid w:val="3643CCDF"/>
    <w:rsid w:val="36487887"/>
    <w:rsid w:val="364E77BE"/>
    <w:rsid w:val="3670B9FB"/>
    <w:rsid w:val="3690265D"/>
    <w:rsid w:val="369708A9"/>
    <w:rsid w:val="36A6B550"/>
    <w:rsid w:val="36AD7D70"/>
    <w:rsid w:val="36CC2297"/>
    <w:rsid w:val="36F86091"/>
    <w:rsid w:val="370BD68B"/>
    <w:rsid w:val="371065EB"/>
    <w:rsid w:val="371231F4"/>
    <w:rsid w:val="373AC9EE"/>
    <w:rsid w:val="37915D23"/>
    <w:rsid w:val="379C0698"/>
    <w:rsid w:val="37CC24C3"/>
    <w:rsid w:val="37CC9E36"/>
    <w:rsid w:val="38359DCC"/>
    <w:rsid w:val="38372948"/>
    <w:rsid w:val="38407B82"/>
    <w:rsid w:val="385CD49B"/>
    <w:rsid w:val="385F79D6"/>
    <w:rsid w:val="3867A520"/>
    <w:rsid w:val="3868987F"/>
    <w:rsid w:val="389980EB"/>
    <w:rsid w:val="398AE775"/>
    <w:rsid w:val="39A3063A"/>
    <w:rsid w:val="39FF5A0B"/>
    <w:rsid w:val="3A085930"/>
    <w:rsid w:val="3A1FFF21"/>
    <w:rsid w:val="3A37DD72"/>
    <w:rsid w:val="3A40E21F"/>
    <w:rsid w:val="3A64F8A7"/>
    <w:rsid w:val="3AB8EFD6"/>
    <w:rsid w:val="3AC1CD1E"/>
    <w:rsid w:val="3B1D170B"/>
    <w:rsid w:val="3B541356"/>
    <w:rsid w:val="3B567719"/>
    <w:rsid w:val="3BAC7106"/>
    <w:rsid w:val="3BBAE1B0"/>
    <w:rsid w:val="3BBEF583"/>
    <w:rsid w:val="3BDD701B"/>
    <w:rsid w:val="3BE59708"/>
    <w:rsid w:val="3C3AE9A8"/>
    <w:rsid w:val="3C56B6DA"/>
    <w:rsid w:val="3C8BA94F"/>
    <w:rsid w:val="3CB7DE5D"/>
    <w:rsid w:val="3CBDD64A"/>
    <w:rsid w:val="3CBFE69A"/>
    <w:rsid w:val="3D152679"/>
    <w:rsid w:val="3D1C5276"/>
    <w:rsid w:val="3D39D60A"/>
    <w:rsid w:val="3D9CB290"/>
    <w:rsid w:val="3D9D8507"/>
    <w:rsid w:val="3DA82701"/>
    <w:rsid w:val="3DB98685"/>
    <w:rsid w:val="3DDDC4C9"/>
    <w:rsid w:val="3DE99398"/>
    <w:rsid w:val="3DF59BDE"/>
    <w:rsid w:val="3DFEE6B5"/>
    <w:rsid w:val="3E14681F"/>
    <w:rsid w:val="3E2500EC"/>
    <w:rsid w:val="3E25DA32"/>
    <w:rsid w:val="3E3566AA"/>
    <w:rsid w:val="3EABB7D1"/>
    <w:rsid w:val="3EB2494F"/>
    <w:rsid w:val="3EEAE10C"/>
    <w:rsid w:val="3EEED0FA"/>
    <w:rsid w:val="3F754B06"/>
    <w:rsid w:val="3FD9E8FC"/>
    <w:rsid w:val="401179CF"/>
    <w:rsid w:val="402060F1"/>
    <w:rsid w:val="404CA9D4"/>
    <w:rsid w:val="40536B40"/>
    <w:rsid w:val="40699EDA"/>
    <w:rsid w:val="40A5EC4E"/>
    <w:rsid w:val="40B32771"/>
    <w:rsid w:val="41034B4A"/>
    <w:rsid w:val="410EB859"/>
    <w:rsid w:val="410EBD25"/>
    <w:rsid w:val="41295DF5"/>
    <w:rsid w:val="4152545C"/>
    <w:rsid w:val="415EC49C"/>
    <w:rsid w:val="418CCA42"/>
    <w:rsid w:val="419B12F2"/>
    <w:rsid w:val="41BA3C76"/>
    <w:rsid w:val="41CB45F2"/>
    <w:rsid w:val="41CD3208"/>
    <w:rsid w:val="42063341"/>
    <w:rsid w:val="42101C6E"/>
    <w:rsid w:val="4220BADA"/>
    <w:rsid w:val="42CFA493"/>
    <w:rsid w:val="42E7D5A7"/>
    <w:rsid w:val="43052B62"/>
    <w:rsid w:val="432F6A2D"/>
    <w:rsid w:val="434D2706"/>
    <w:rsid w:val="43546572"/>
    <w:rsid w:val="43AB8EFD"/>
    <w:rsid w:val="43DBBC6D"/>
    <w:rsid w:val="43F6857D"/>
    <w:rsid w:val="43F76177"/>
    <w:rsid w:val="4464C20F"/>
    <w:rsid w:val="446E80AC"/>
    <w:rsid w:val="4495323C"/>
    <w:rsid w:val="44A022CD"/>
    <w:rsid w:val="44BC2C34"/>
    <w:rsid w:val="44BF47A6"/>
    <w:rsid w:val="44BFD1FA"/>
    <w:rsid w:val="44C15D1F"/>
    <w:rsid w:val="44F2C1A3"/>
    <w:rsid w:val="44FA7671"/>
    <w:rsid w:val="454BA94D"/>
    <w:rsid w:val="45690C8E"/>
    <w:rsid w:val="4585BB6E"/>
    <w:rsid w:val="45A029DC"/>
    <w:rsid w:val="45E4F4FA"/>
    <w:rsid w:val="45FFE41E"/>
    <w:rsid w:val="46217B37"/>
    <w:rsid w:val="4631523C"/>
    <w:rsid w:val="466E3653"/>
    <w:rsid w:val="467B0BA2"/>
    <w:rsid w:val="469E2EBD"/>
    <w:rsid w:val="46A0D250"/>
    <w:rsid w:val="46BC321D"/>
    <w:rsid w:val="46BDADC5"/>
    <w:rsid w:val="46BF92BC"/>
    <w:rsid w:val="46C82745"/>
    <w:rsid w:val="46D54636"/>
    <w:rsid w:val="47097833"/>
    <w:rsid w:val="471F9F58"/>
    <w:rsid w:val="475C9DA7"/>
    <w:rsid w:val="47D4320E"/>
    <w:rsid w:val="4800FC45"/>
    <w:rsid w:val="48043FC2"/>
    <w:rsid w:val="4883DB86"/>
    <w:rsid w:val="4884D58C"/>
    <w:rsid w:val="489B6424"/>
    <w:rsid w:val="48AD4ACA"/>
    <w:rsid w:val="48CF307A"/>
    <w:rsid w:val="48E7F7EB"/>
    <w:rsid w:val="48EEBA58"/>
    <w:rsid w:val="49215CDF"/>
    <w:rsid w:val="4921ED70"/>
    <w:rsid w:val="4929E612"/>
    <w:rsid w:val="494BF692"/>
    <w:rsid w:val="49AB24BA"/>
    <w:rsid w:val="49D491F8"/>
    <w:rsid w:val="49E8D6B0"/>
    <w:rsid w:val="4A2007A9"/>
    <w:rsid w:val="4A4D0EFD"/>
    <w:rsid w:val="4A916E2D"/>
    <w:rsid w:val="4B65874D"/>
    <w:rsid w:val="4B74518C"/>
    <w:rsid w:val="4B8A71E3"/>
    <w:rsid w:val="4B8F3E6F"/>
    <w:rsid w:val="4B96F300"/>
    <w:rsid w:val="4B9943E5"/>
    <w:rsid w:val="4BAFE015"/>
    <w:rsid w:val="4BCBB736"/>
    <w:rsid w:val="4C42F06D"/>
    <w:rsid w:val="4C59128B"/>
    <w:rsid w:val="4CD5ABA0"/>
    <w:rsid w:val="4D05168F"/>
    <w:rsid w:val="4D3A57EE"/>
    <w:rsid w:val="4D848D48"/>
    <w:rsid w:val="4D8FCC48"/>
    <w:rsid w:val="4DBBB24C"/>
    <w:rsid w:val="4DE764C6"/>
    <w:rsid w:val="4E0698E1"/>
    <w:rsid w:val="4E1F749E"/>
    <w:rsid w:val="4E297690"/>
    <w:rsid w:val="4E383C16"/>
    <w:rsid w:val="4E443E07"/>
    <w:rsid w:val="4ED3D0AB"/>
    <w:rsid w:val="4F0D6892"/>
    <w:rsid w:val="4F200B2B"/>
    <w:rsid w:val="4F293B14"/>
    <w:rsid w:val="4F2A17DB"/>
    <w:rsid w:val="4F3C045F"/>
    <w:rsid w:val="4F3CD2B9"/>
    <w:rsid w:val="4FA5C2D9"/>
    <w:rsid w:val="4FC23969"/>
    <w:rsid w:val="4FDB6E90"/>
    <w:rsid w:val="4FEA3288"/>
    <w:rsid w:val="501EAF3F"/>
    <w:rsid w:val="504AF7C3"/>
    <w:rsid w:val="504C44BB"/>
    <w:rsid w:val="50595930"/>
    <w:rsid w:val="508B55D0"/>
    <w:rsid w:val="50C5E593"/>
    <w:rsid w:val="50FB9F53"/>
    <w:rsid w:val="51262E68"/>
    <w:rsid w:val="512A68EA"/>
    <w:rsid w:val="5160C2CB"/>
    <w:rsid w:val="516F872E"/>
    <w:rsid w:val="51B177AD"/>
    <w:rsid w:val="51B95278"/>
    <w:rsid w:val="51DEA5B1"/>
    <w:rsid w:val="521F842A"/>
    <w:rsid w:val="522059CA"/>
    <w:rsid w:val="522EA12E"/>
    <w:rsid w:val="523B099F"/>
    <w:rsid w:val="5246B691"/>
    <w:rsid w:val="52535ABF"/>
    <w:rsid w:val="525F7524"/>
    <w:rsid w:val="527CB281"/>
    <w:rsid w:val="528CE690"/>
    <w:rsid w:val="52C176E8"/>
    <w:rsid w:val="52E192F7"/>
    <w:rsid w:val="52FAC1CE"/>
    <w:rsid w:val="52FD90CE"/>
    <w:rsid w:val="52FFD944"/>
    <w:rsid w:val="5321E376"/>
    <w:rsid w:val="533187D0"/>
    <w:rsid w:val="536BD8D2"/>
    <w:rsid w:val="5385EBCC"/>
    <w:rsid w:val="53A67537"/>
    <w:rsid w:val="53E3B645"/>
    <w:rsid w:val="53EFF9E2"/>
    <w:rsid w:val="5408D8BE"/>
    <w:rsid w:val="54455B77"/>
    <w:rsid w:val="5448FF26"/>
    <w:rsid w:val="544AB052"/>
    <w:rsid w:val="546913F9"/>
    <w:rsid w:val="54826648"/>
    <w:rsid w:val="54917DD5"/>
    <w:rsid w:val="54B502F9"/>
    <w:rsid w:val="54CF3E8B"/>
    <w:rsid w:val="54ED5DD6"/>
    <w:rsid w:val="5510305E"/>
    <w:rsid w:val="55310D90"/>
    <w:rsid w:val="553DD8FA"/>
    <w:rsid w:val="556A0D73"/>
    <w:rsid w:val="55A31312"/>
    <w:rsid w:val="55B14D3A"/>
    <w:rsid w:val="55E004FC"/>
    <w:rsid w:val="55FCF1D2"/>
    <w:rsid w:val="5613808C"/>
    <w:rsid w:val="56430730"/>
    <w:rsid w:val="565B5A3A"/>
    <w:rsid w:val="5662B6E3"/>
    <w:rsid w:val="56962352"/>
    <w:rsid w:val="56A14012"/>
    <w:rsid w:val="56ADD20A"/>
    <w:rsid w:val="56BD8909"/>
    <w:rsid w:val="56DFC2D0"/>
    <w:rsid w:val="56F2C146"/>
    <w:rsid w:val="57097773"/>
    <w:rsid w:val="5722BAC9"/>
    <w:rsid w:val="574208D2"/>
    <w:rsid w:val="57498B31"/>
    <w:rsid w:val="5768602F"/>
    <w:rsid w:val="5778192C"/>
    <w:rsid w:val="57C5D582"/>
    <w:rsid w:val="57DEB418"/>
    <w:rsid w:val="57E93DD2"/>
    <w:rsid w:val="5821B9FB"/>
    <w:rsid w:val="58238DEC"/>
    <w:rsid w:val="582901FC"/>
    <w:rsid w:val="583C1058"/>
    <w:rsid w:val="587211B5"/>
    <w:rsid w:val="58986B79"/>
    <w:rsid w:val="589EA572"/>
    <w:rsid w:val="58AB0633"/>
    <w:rsid w:val="58FA32A1"/>
    <w:rsid w:val="58FE3991"/>
    <w:rsid w:val="591093A3"/>
    <w:rsid w:val="594102F8"/>
    <w:rsid w:val="5957E839"/>
    <w:rsid w:val="595D3E8A"/>
    <w:rsid w:val="597DC24C"/>
    <w:rsid w:val="59D4F815"/>
    <w:rsid w:val="5A0F90E5"/>
    <w:rsid w:val="5A50E3B0"/>
    <w:rsid w:val="5A6C4EA6"/>
    <w:rsid w:val="5AADD119"/>
    <w:rsid w:val="5AAFB9AC"/>
    <w:rsid w:val="5AAFFB29"/>
    <w:rsid w:val="5AE0E00D"/>
    <w:rsid w:val="5B23AA4B"/>
    <w:rsid w:val="5B27008C"/>
    <w:rsid w:val="5BBF9EA8"/>
    <w:rsid w:val="5BCAFEF1"/>
    <w:rsid w:val="5BCD2C45"/>
    <w:rsid w:val="5C237A37"/>
    <w:rsid w:val="5C2FE1C5"/>
    <w:rsid w:val="5C426FC4"/>
    <w:rsid w:val="5C46003D"/>
    <w:rsid w:val="5C4B83E9"/>
    <w:rsid w:val="5C66E91C"/>
    <w:rsid w:val="5CEF6413"/>
    <w:rsid w:val="5CF54249"/>
    <w:rsid w:val="5D0DD143"/>
    <w:rsid w:val="5D24812A"/>
    <w:rsid w:val="5D73DF12"/>
    <w:rsid w:val="5D787BC3"/>
    <w:rsid w:val="5DB90CB6"/>
    <w:rsid w:val="5DBF535B"/>
    <w:rsid w:val="5E0379D8"/>
    <w:rsid w:val="5E187B39"/>
    <w:rsid w:val="5E233ABB"/>
    <w:rsid w:val="5E2CA672"/>
    <w:rsid w:val="5E58FB0C"/>
    <w:rsid w:val="5E75401E"/>
    <w:rsid w:val="5E85AF60"/>
    <w:rsid w:val="5EE1CC7C"/>
    <w:rsid w:val="5EECF08D"/>
    <w:rsid w:val="5EFC3AAB"/>
    <w:rsid w:val="5F0910F8"/>
    <w:rsid w:val="5F471397"/>
    <w:rsid w:val="5F53BFA2"/>
    <w:rsid w:val="5F6F8572"/>
    <w:rsid w:val="5FA7F8E3"/>
    <w:rsid w:val="5FD58940"/>
    <w:rsid w:val="5FDE94C0"/>
    <w:rsid w:val="5FFD5CCE"/>
    <w:rsid w:val="6034DA08"/>
    <w:rsid w:val="60601733"/>
    <w:rsid w:val="607A647D"/>
    <w:rsid w:val="60BB3574"/>
    <w:rsid w:val="60E5509E"/>
    <w:rsid w:val="612AC959"/>
    <w:rsid w:val="61490226"/>
    <w:rsid w:val="614BEDFE"/>
    <w:rsid w:val="61941832"/>
    <w:rsid w:val="61942AC6"/>
    <w:rsid w:val="619898A1"/>
    <w:rsid w:val="61B04B8E"/>
    <w:rsid w:val="61EB493A"/>
    <w:rsid w:val="62003A9C"/>
    <w:rsid w:val="620B6CD0"/>
    <w:rsid w:val="622CCB80"/>
    <w:rsid w:val="624B0595"/>
    <w:rsid w:val="62574003"/>
    <w:rsid w:val="6278CA31"/>
    <w:rsid w:val="6292CE62"/>
    <w:rsid w:val="62A6888E"/>
    <w:rsid w:val="62D41878"/>
    <w:rsid w:val="631C3ABE"/>
    <w:rsid w:val="63266A29"/>
    <w:rsid w:val="63B92A1F"/>
    <w:rsid w:val="63CF2F3A"/>
    <w:rsid w:val="64024664"/>
    <w:rsid w:val="64118999"/>
    <w:rsid w:val="64221D6F"/>
    <w:rsid w:val="646A5194"/>
    <w:rsid w:val="64A0C7D5"/>
    <w:rsid w:val="64AEE2B1"/>
    <w:rsid w:val="64B5116D"/>
    <w:rsid w:val="64B820C6"/>
    <w:rsid w:val="64D2FB63"/>
    <w:rsid w:val="650E5B28"/>
    <w:rsid w:val="65158280"/>
    <w:rsid w:val="6523F08F"/>
    <w:rsid w:val="654B0C54"/>
    <w:rsid w:val="65502E57"/>
    <w:rsid w:val="655A23C2"/>
    <w:rsid w:val="6580456F"/>
    <w:rsid w:val="6597FF32"/>
    <w:rsid w:val="65CD7B35"/>
    <w:rsid w:val="66039826"/>
    <w:rsid w:val="661FA5AC"/>
    <w:rsid w:val="662ED737"/>
    <w:rsid w:val="667B2E85"/>
    <w:rsid w:val="66850965"/>
    <w:rsid w:val="6710E77C"/>
    <w:rsid w:val="672A4B64"/>
    <w:rsid w:val="6736B936"/>
    <w:rsid w:val="673DA2F0"/>
    <w:rsid w:val="676CD90C"/>
    <w:rsid w:val="67B9079C"/>
    <w:rsid w:val="67BF9368"/>
    <w:rsid w:val="67DA9D20"/>
    <w:rsid w:val="680B1497"/>
    <w:rsid w:val="680B6E4A"/>
    <w:rsid w:val="6824BD31"/>
    <w:rsid w:val="6845D47D"/>
    <w:rsid w:val="6850C90E"/>
    <w:rsid w:val="6866A49B"/>
    <w:rsid w:val="6873164D"/>
    <w:rsid w:val="6873E265"/>
    <w:rsid w:val="68DB766A"/>
    <w:rsid w:val="68E83465"/>
    <w:rsid w:val="692B087D"/>
    <w:rsid w:val="694A7237"/>
    <w:rsid w:val="694FE520"/>
    <w:rsid w:val="69753AE4"/>
    <w:rsid w:val="69835BB8"/>
    <w:rsid w:val="69B11683"/>
    <w:rsid w:val="69B676DA"/>
    <w:rsid w:val="69B7CC82"/>
    <w:rsid w:val="69F5F3DB"/>
    <w:rsid w:val="6A0BB520"/>
    <w:rsid w:val="6A1004C7"/>
    <w:rsid w:val="6A2429A7"/>
    <w:rsid w:val="6A244893"/>
    <w:rsid w:val="6A2B5CFF"/>
    <w:rsid w:val="6ABC040A"/>
    <w:rsid w:val="6AD5C68C"/>
    <w:rsid w:val="6ADF420D"/>
    <w:rsid w:val="6AF122A5"/>
    <w:rsid w:val="6B027AA4"/>
    <w:rsid w:val="6B2D0F4C"/>
    <w:rsid w:val="6B3F48E4"/>
    <w:rsid w:val="6B75D316"/>
    <w:rsid w:val="6B98D94D"/>
    <w:rsid w:val="6B9AB4F3"/>
    <w:rsid w:val="6B9E2B5E"/>
    <w:rsid w:val="6BAF7E8C"/>
    <w:rsid w:val="6BC4BDA6"/>
    <w:rsid w:val="6C7F0D97"/>
    <w:rsid w:val="6CC6C682"/>
    <w:rsid w:val="6CCF5B0C"/>
    <w:rsid w:val="6CD49A75"/>
    <w:rsid w:val="6CEC2DA6"/>
    <w:rsid w:val="6D1D8885"/>
    <w:rsid w:val="6D2659C5"/>
    <w:rsid w:val="6D515BC2"/>
    <w:rsid w:val="6D58DD50"/>
    <w:rsid w:val="6D61C4F7"/>
    <w:rsid w:val="6D8D97D8"/>
    <w:rsid w:val="6DF0F26F"/>
    <w:rsid w:val="6E15B387"/>
    <w:rsid w:val="6E1AAE55"/>
    <w:rsid w:val="6E2418F5"/>
    <w:rsid w:val="6E670264"/>
    <w:rsid w:val="6E76B86A"/>
    <w:rsid w:val="6E80571A"/>
    <w:rsid w:val="6ECE55EA"/>
    <w:rsid w:val="6ED2ACDC"/>
    <w:rsid w:val="6EF2A3C9"/>
    <w:rsid w:val="6F3A9005"/>
    <w:rsid w:val="6F3F3FF0"/>
    <w:rsid w:val="6FAFB75B"/>
    <w:rsid w:val="6FC5CD1E"/>
    <w:rsid w:val="6FDE8BAB"/>
    <w:rsid w:val="6FF71516"/>
    <w:rsid w:val="704028AD"/>
    <w:rsid w:val="7046CBA0"/>
    <w:rsid w:val="70643053"/>
    <w:rsid w:val="70867697"/>
    <w:rsid w:val="70894AE1"/>
    <w:rsid w:val="708A7899"/>
    <w:rsid w:val="70FF511C"/>
    <w:rsid w:val="7111AECD"/>
    <w:rsid w:val="7165C790"/>
    <w:rsid w:val="7166A902"/>
    <w:rsid w:val="716814BF"/>
    <w:rsid w:val="7183E254"/>
    <w:rsid w:val="718C9B44"/>
    <w:rsid w:val="718FCD87"/>
    <w:rsid w:val="71C786BE"/>
    <w:rsid w:val="71D7A3F9"/>
    <w:rsid w:val="72475DA5"/>
    <w:rsid w:val="7260D251"/>
    <w:rsid w:val="726737DF"/>
    <w:rsid w:val="726EE96A"/>
    <w:rsid w:val="728AC11B"/>
    <w:rsid w:val="72A7B1E1"/>
    <w:rsid w:val="72BDDBC0"/>
    <w:rsid w:val="72F41711"/>
    <w:rsid w:val="73022A0A"/>
    <w:rsid w:val="73123B68"/>
    <w:rsid w:val="731B7863"/>
    <w:rsid w:val="73238BF7"/>
    <w:rsid w:val="73E97AD1"/>
    <w:rsid w:val="73EE77D0"/>
    <w:rsid w:val="73FF1CC9"/>
    <w:rsid w:val="743E5F48"/>
    <w:rsid w:val="745D8966"/>
    <w:rsid w:val="747AD1A0"/>
    <w:rsid w:val="74F1C5E0"/>
    <w:rsid w:val="74F96DC5"/>
    <w:rsid w:val="7524365A"/>
    <w:rsid w:val="75406FA0"/>
    <w:rsid w:val="755A71D3"/>
    <w:rsid w:val="7561516D"/>
    <w:rsid w:val="75628EFC"/>
    <w:rsid w:val="75693D98"/>
    <w:rsid w:val="759563AC"/>
    <w:rsid w:val="7597F6A3"/>
    <w:rsid w:val="7610472C"/>
    <w:rsid w:val="76350D6E"/>
    <w:rsid w:val="7635E321"/>
    <w:rsid w:val="7641D59D"/>
    <w:rsid w:val="7655A4CE"/>
    <w:rsid w:val="765C4888"/>
    <w:rsid w:val="76A75877"/>
    <w:rsid w:val="76B831D9"/>
    <w:rsid w:val="76BED1F5"/>
    <w:rsid w:val="76EC2BDB"/>
    <w:rsid w:val="7722B7B6"/>
    <w:rsid w:val="7734C9F0"/>
    <w:rsid w:val="776A30D5"/>
    <w:rsid w:val="7776F0F4"/>
    <w:rsid w:val="7783ACB1"/>
    <w:rsid w:val="778D747C"/>
    <w:rsid w:val="778F79E1"/>
    <w:rsid w:val="77B00666"/>
    <w:rsid w:val="77C74750"/>
    <w:rsid w:val="77EF7D61"/>
    <w:rsid w:val="77F34886"/>
    <w:rsid w:val="78092C9B"/>
    <w:rsid w:val="7849AE26"/>
    <w:rsid w:val="7858BA96"/>
    <w:rsid w:val="78811103"/>
    <w:rsid w:val="78897777"/>
    <w:rsid w:val="78E200DD"/>
    <w:rsid w:val="78EA3C35"/>
    <w:rsid w:val="78EC5254"/>
    <w:rsid w:val="78F8634A"/>
    <w:rsid w:val="79297900"/>
    <w:rsid w:val="7959DAE6"/>
    <w:rsid w:val="7966D1A3"/>
    <w:rsid w:val="797CDB47"/>
    <w:rsid w:val="799569B2"/>
    <w:rsid w:val="79B593CA"/>
    <w:rsid w:val="79EE253B"/>
    <w:rsid w:val="7A299E25"/>
    <w:rsid w:val="7A491FAD"/>
    <w:rsid w:val="7AA30AEB"/>
    <w:rsid w:val="7AAA2B59"/>
    <w:rsid w:val="7AB16035"/>
    <w:rsid w:val="7AE11A77"/>
    <w:rsid w:val="7AE23846"/>
    <w:rsid w:val="7B0ED327"/>
    <w:rsid w:val="7B2BC93A"/>
    <w:rsid w:val="7B3361F1"/>
    <w:rsid w:val="7B9E82DA"/>
    <w:rsid w:val="7BCCD124"/>
    <w:rsid w:val="7BD302D2"/>
    <w:rsid w:val="7BEAA614"/>
    <w:rsid w:val="7C0AEB2E"/>
    <w:rsid w:val="7C295C98"/>
    <w:rsid w:val="7C3BA7AB"/>
    <w:rsid w:val="7C3FBA65"/>
    <w:rsid w:val="7CE80B10"/>
    <w:rsid w:val="7D0498EC"/>
    <w:rsid w:val="7D3D3CC5"/>
    <w:rsid w:val="7D754BC2"/>
    <w:rsid w:val="7DD15A2A"/>
    <w:rsid w:val="7E1E006A"/>
    <w:rsid w:val="7E2A8B0A"/>
    <w:rsid w:val="7E2E0878"/>
    <w:rsid w:val="7E30F08C"/>
    <w:rsid w:val="7E45F659"/>
    <w:rsid w:val="7E68EEFE"/>
    <w:rsid w:val="7E6B4FC4"/>
    <w:rsid w:val="7E7DB185"/>
    <w:rsid w:val="7E967595"/>
    <w:rsid w:val="7EB0C240"/>
    <w:rsid w:val="7EDB87A5"/>
    <w:rsid w:val="7EDE29B6"/>
    <w:rsid w:val="7EE93FE9"/>
    <w:rsid w:val="7EF55ACD"/>
    <w:rsid w:val="7F1B6350"/>
    <w:rsid w:val="7F430906"/>
    <w:rsid w:val="7FB67B45"/>
    <w:rsid w:val="7FBE5281"/>
    <w:rsid w:val="7FD0B3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E37E74DE-9D3F-416B-B420-B783DCF4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2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201A77"/>
    <w:pPr>
      <w:numPr>
        <w:numId w:val="2"/>
      </w:numPr>
      <w:tabs>
        <w:tab w:val="num" w:pos="360"/>
      </w:tabs>
      <w:ind w:left="0" w:firstLine="0"/>
    </w:pPr>
    <w:rPr>
      <w:rFonts w:eastAsia="Times New Roman"/>
      <w:lang w:eastAsia="de-DE"/>
    </w:rPr>
  </w:style>
  <w:style w:type="paragraph" w:styleId="ListNumber">
    <w:name w:val="List Number"/>
    <w:basedOn w:val="Normal"/>
    <w:rsid w:val="00201A77"/>
    <w:pPr>
      <w:numPr>
        <w:numId w:val="6"/>
      </w:numPr>
    </w:pPr>
    <w:rPr>
      <w:rFonts w:eastAsia="Times New Roman"/>
      <w:lang w:eastAsia="de-DE"/>
    </w:rPr>
  </w:style>
  <w:style w:type="paragraph" w:customStyle="1" w:styleId="ListBullet1">
    <w:name w:val="List Bullet 1"/>
    <w:basedOn w:val="Normal"/>
    <w:rsid w:val="00201A77"/>
    <w:pPr>
      <w:numPr>
        <w:numId w:val="1"/>
      </w:numPr>
    </w:pPr>
    <w:rPr>
      <w:rFonts w:eastAsia="Times New Roman"/>
      <w:lang w:eastAsia="de-DE"/>
    </w:rPr>
  </w:style>
  <w:style w:type="paragraph" w:customStyle="1" w:styleId="ListDash">
    <w:name w:val="List Dash"/>
    <w:basedOn w:val="Normal"/>
    <w:rsid w:val="00201A77"/>
    <w:pPr>
      <w:numPr>
        <w:numId w:val="3"/>
      </w:numPr>
    </w:pPr>
    <w:rPr>
      <w:rFonts w:eastAsia="Times New Roman"/>
      <w:lang w:eastAsia="de-DE"/>
    </w:rPr>
  </w:style>
  <w:style w:type="paragraph" w:customStyle="1" w:styleId="ListDash1">
    <w:name w:val="List Dash 1"/>
    <w:basedOn w:val="Normal"/>
    <w:rsid w:val="00201A77"/>
    <w:pPr>
      <w:numPr>
        <w:numId w:val="4"/>
      </w:numPr>
    </w:pPr>
    <w:rPr>
      <w:rFonts w:eastAsia="Times New Roman"/>
      <w:lang w:eastAsia="de-DE"/>
    </w:rPr>
  </w:style>
  <w:style w:type="paragraph" w:customStyle="1" w:styleId="ListDash2">
    <w:name w:val="List Dash 2"/>
    <w:basedOn w:val="Normal"/>
    <w:rsid w:val="00201A77"/>
    <w:pPr>
      <w:numPr>
        <w:numId w:val="5"/>
      </w:numPr>
    </w:pPr>
    <w:rPr>
      <w:rFonts w:eastAsia="Times New Roman"/>
      <w:lang w:eastAsia="de-DE"/>
    </w:rPr>
  </w:style>
  <w:style w:type="paragraph" w:customStyle="1" w:styleId="ListNumberLevel2">
    <w:name w:val="List Number (Level 2)"/>
    <w:basedOn w:val="Normal"/>
    <w:rsid w:val="00201A77"/>
    <w:pPr>
      <w:numPr>
        <w:ilvl w:val="1"/>
        <w:numId w:val="6"/>
      </w:numPr>
    </w:pPr>
    <w:rPr>
      <w:rFonts w:eastAsia="Times New Roman"/>
      <w:lang w:eastAsia="de-DE"/>
    </w:rPr>
  </w:style>
  <w:style w:type="paragraph" w:customStyle="1" w:styleId="ListNumberLevel3">
    <w:name w:val="List Number (Level 3)"/>
    <w:basedOn w:val="Normal"/>
    <w:rsid w:val="00201A77"/>
    <w:pPr>
      <w:numPr>
        <w:ilvl w:val="2"/>
        <w:numId w:val="6"/>
      </w:numPr>
    </w:pPr>
    <w:rPr>
      <w:rFonts w:eastAsia="Times New Roman"/>
      <w:lang w:eastAsia="de-DE"/>
    </w:rPr>
  </w:style>
  <w:style w:type="paragraph" w:customStyle="1" w:styleId="ListNumberLevel4">
    <w:name w:val="List Number (Level 4)"/>
    <w:basedOn w:val="Normal"/>
    <w:rsid w:val="00201A77"/>
    <w:pPr>
      <w:numPr>
        <w:ilvl w:val="3"/>
        <w:numId w:val="6"/>
      </w:numPr>
    </w:pPr>
    <w:rPr>
      <w:rFonts w:eastAsia="Times New Roman"/>
      <w:lang w:eastAsia="de-DE"/>
    </w:rPr>
  </w:style>
  <w:style w:type="table" w:styleId="TableGrid">
    <w:name w:val="Table Grid"/>
    <w:basedOn w:val="TableNormal"/>
    <w:rsid w:val="00201A77"/>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01A77"/>
    <w:rPr>
      <w:color w:val="0000FF"/>
      <w:u w:val="single"/>
    </w:rPr>
  </w:style>
  <w:style w:type="paragraph" w:styleId="ListBullet">
    <w:name w:val="List Bullet"/>
    <w:basedOn w:val="Normal"/>
    <w:rsid w:val="00201A77"/>
    <w:pPr>
      <w:numPr>
        <w:numId w:val="7"/>
      </w:numPr>
    </w:pPr>
    <w:rPr>
      <w:rFonts w:eastAsia="Times New Roman"/>
      <w:lang w:eastAsia="en-GB"/>
    </w:rPr>
  </w:style>
  <w:style w:type="paragraph" w:styleId="ListBullet2">
    <w:name w:val="List Bullet 2"/>
    <w:basedOn w:val="Normal"/>
    <w:rsid w:val="00201A77"/>
    <w:pPr>
      <w:numPr>
        <w:numId w:val="8"/>
      </w:numPr>
    </w:pPr>
    <w:rPr>
      <w:rFonts w:eastAsia="Times New Roman"/>
      <w:lang w:eastAsia="en-GB"/>
    </w:rPr>
  </w:style>
  <w:style w:type="paragraph" w:styleId="ListBullet3">
    <w:name w:val="List Bullet 3"/>
    <w:basedOn w:val="Normal"/>
    <w:rsid w:val="00201A77"/>
    <w:pPr>
      <w:numPr>
        <w:numId w:val="9"/>
      </w:numPr>
    </w:pPr>
    <w:rPr>
      <w:rFonts w:eastAsia="Times New Roman"/>
      <w:lang w:eastAsia="en-GB"/>
    </w:rPr>
  </w:style>
  <w:style w:type="paragraph" w:styleId="ListNumber2">
    <w:name w:val="List Number 2"/>
    <w:basedOn w:val="Normal"/>
    <w:rsid w:val="00201A77"/>
    <w:pPr>
      <w:numPr>
        <w:numId w:val="13"/>
      </w:numPr>
    </w:pPr>
    <w:rPr>
      <w:rFonts w:eastAsia="Times New Roman"/>
      <w:lang w:eastAsia="en-GB"/>
    </w:rPr>
  </w:style>
  <w:style w:type="paragraph" w:styleId="ListNumber3">
    <w:name w:val="List Number 3"/>
    <w:basedOn w:val="Normal"/>
    <w:rsid w:val="00201A77"/>
    <w:pPr>
      <w:numPr>
        <w:numId w:val="14"/>
      </w:numPr>
    </w:pPr>
    <w:rPr>
      <w:rFonts w:eastAsia="Times New Roman"/>
      <w:lang w:eastAsia="en-GB"/>
    </w:rPr>
  </w:style>
  <w:style w:type="paragraph" w:styleId="ListNumber4">
    <w:name w:val="List Number 4"/>
    <w:basedOn w:val="Normal"/>
    <w:rsid w:val="00201A77"/>
    <w:pPr>
      <w:numPr>
        <w:numId w:val="15"/>
      </w:numPr>
    </w:pPr>
    <w:rPr>
      <w:rFonts w:eastAsia="Times New Roman"/>
      <w:lang w:eastAsia="en-GB"/>
    </w:rPr>
  </w:style>
  <w:style w:type="paragraph" w:customStyle="1" w:styleId="ListDash3">
    <w:name w:val="List Dash 3"/>
    <w:basedOn w:val="Normal"/>
    <w:rsid w:val="00201A77"/>
    <w:pPr>
      <w:numPr>
        <w:numId w:val="10"/>
      </w:numPr>
    </w:pPr>
    <w:rPr>
      <w:rFonts w:eastAsia="Times New Roman"/>
      <w:lang w:eastAsia="en-GB"/>
    </w:rPr>
  </w:style>
  <w:style w:type="paragraph" w:customStyle="1" w:styleId="ListDash4">
    <w:name w:val="List Dash 4"/>
    <w:basedOn w:val="Normal"/>
    <w:rsid w:val="00201A77"/>
    <w:pPr>
      <w:numPr>
        <w:numId w:val="11"/>
      </w:numPr>
    </w:pPr>
    <w:rPr>
      <w:rFonts w:eastAsia="Times New Roman"/>
      <w:lang w:eastAsia="en-GB"/>
    </w:rPr>
  </w:style>
  <w:style w:type="paragraph" w:customStyle="1" w:styleId="ListNumber1">
    <w:name w:val="List Number 1"/>
    <w:basedOn w:val="Text1"/>
    <w:rsid w:val="00201A77"/>
    <w:pPr>
      <w:numPr>
        <w:numId w:val="12"/>
      </w:numPr>
    </w:pPr>
    <w:rPr>
      <w:rFonts w:eastAsia="Times New Roman"/>
      <w:lang w:eastAsia="en-GB"/>
    </w:rPr>
  </w:style>
  <w:style w:type="paragraph" w:customStyle="1" w:styleId="ListNumber1Level2">
    <w:name w:val="List Number 1 (Level 2)"/>
    <w:basedOn w:val="Text1"/>
    <w:rsid w:val="00201A77"/>
    <w:pPr>
      <w:numPr>
        <w:ilvl w:val="1"/>
        <w:numId w:val="12"/>
      </w:numPr>
    </w:pPr>
    <w:rPr>
      <w:rFonts w:eastAsia="Times New Roman"/>
      <w:lang w:eastAsia="en-GB"/>
    </w:rPr>
  </w:style>
  <w:style w:type="paragraph" w:customStyle="1" w:styleId="ListNumber2Level2">
    <w:name w:val="List Number 2 (Level 2)"/>
    <w:basedOn w:val="Text2"/>
    <w:rsid w:val="00201A77"/>
    <w:pPr>
      <w:numPr>
        <w:ilvl w:val="1"/>
        <w:numId w:val="13"/>
      </w:numPr>
    </w:pPr>
    <w:rPr>
      <w:rFonts w:eastAsia="Times New Roman"/>
      <w:lang w:eastAsia="en-GB"/>
    </w:rPr>
  </w:style>
  <w:style w:type="paragraph" w:customStyle="1" w:styleId="ListNumber3Level2">
    <w:name w:val="List Number 3 (Level 2)"/>
    <w:basedOn w:val="Text3"/>
    <w:rsid w:val="00201A77"/>
    <w:pPr>
      <w:numPr>
        <w:ilvl w:val="1"/>
        <w:numId w:val="14"/>
      </w:numPr>
    </w:pPr>
    <w:rPr>
      <w:rFonts w:eastAsia="Times New Roman"/>
      <w:lang w:eastAsia="en-GB"/>
    </w:rPr>
  </w:style>
  <w:style w:type="paragraph" w:customStyle="1" w:styleId="ListNumber4Level2">
    <w:name w:val="List Number 4 (Level 2)"/>
    <w:basedOn w:val="Text4"/>
    <w:rsid w:val="00201A77"/>
    <w:pPr>
      <w:numPr>
        <w:ilvl w:val="1"/>
        <w:numId w:val="15"/>
      </w:numPr>
    </w:pPr>
    <w:rPr>
      <w:rFonts w:eastAsia="Times New Roman"/>
      <w:lang w:eastAsia="en-GB"/>
    </w:rPr>
  </w:style>
  <w:style w:type="paragraph" w:customStyle="1" w:styleId="ListNumber1Level3">
    <w:name w:val="List Number 1 (Level 3)"/>
    <w:basedOn w:val="Text1"/>
    <w:rsid w:val="00201A77"/>
    <w:pPr>
      <w:numPr>
        <w:ilvl w:val="2"/>
        <w:numId w:val="12"/>
      </w:numPr>
    </w:pPr>
    <w:rPr>
      <w:rFonts w:eastAsia="Times New Roman"/>
      <w:lang w:eastAsia="en-GB"/>
    </w:rPr>
  </w:style>
  <w:style w:type="paragraph" w:customStyle="1" w:styleId="ListNumber2Level3">
    <w:name w:val="List Number 2 (Level 3)"/>
    <w:basedOn w:val="Text2"/>
    <w:rsid w:val="00201A77"/>
    <w:pPr>
      <w:numPr>
        <w:ilvl w:val="2"/>
        <w:numId w:val="13"/>
      </w:numPr>
    </w:pPr>
    <w:rPr>
      <w:rFonts w:eastAsia="Times New Roman"/>
      <w:lang w:eastAsia="en-GB"/>
    </w:rPr>
  </w:style>
  <w:style w:type="paragraph" w:customStyle="1" w:styleId="ListNumber3Level3">
    <w:name w:val="List Number 3 (Level 3)"/>
    <w:basedOn w:val="Text3"/>
    <w:rsid w:val="00201A77"/>
    <w:pPr>
      <w:numPr>
        <w:ilvl w:val="2"/>
        <w:numId w:val="14"/>
      </w:numPr>
    </w:pPr>
    <w:rPr>
      <w:rFonts w:eastAsia="Times New Roman"/>
      <w:lang w:eastAsia="en-GB"/>
    </w:rPr>
  </w:style>
  <w:style w:type="paragraph" w:customStyle="1" w:styleId="ListNumber4Level3">
    <w:name w:val="List Number 4 (Level 3)"/>
    <w:basedOn w:val="Text4"/>
    <w:rsid w:val="00201A77"/>
    <w:pPr>
      <w:numPr>
        <w:ilvl w:val="2"/>
        <w:numId w:val="15"/>
      </w:numPr>
    </w:pPr>
    <w:rPr>
      <w:rFonts w:eastAsia="Times New Roman"/>
      <w:lang w:eastAsia="en-GB"/>
    </w:rPr>
  </w:style>
  <w:style w:type="paragraph" w:customStyle="1" w:styleId="ListNumber1Level4">
    <w:name w:val="List Number 1 (Level 4)"/>
    <w:basedOn w:val="Text1"/>
    <w:rsid w:val="00201A77"/>
    <w:pPr>
      <w:numPr>
        <w:ilvl w:val="3"/>
        <w:numId w:val="12"/>
      </w:numPr>
    </w:pPr>
    <w:rPr>
      <w:rFonts w:eastAsia="Times New Roman"/>
      <w:lang w:eastAsia="en-GB"/>
    </w:rPr>
  </w:style>
  <w:style w:type="paragraph" w:customStyle="1" w:styleId="ListNumber2Level4">
    <w:name w:val="List Number 2 (Level 4)"/>
    <w:basedOn w:val="Text2"/>
    <w:rsid w:val="00201A77"/>
    <w:pPr>
      <w:numPr>
        <w:ilvl w:val="3"/>
        <w:numId w:val="13"/>
      </w:numPr>
    </w:pPr>
    <w:rPr>
      <w:rFonts w:eastAsia="Times New Roman"/>
      <w:lang w:eastAsia="en-GB"/>
    </w:rPr>
  </w:style>
  <w:style w:type="paragraph" w:customStyle="1" w:styleId="ListNumber3Level4">
    <w:name w:val="List Number 3 (Level 4)"/>
    <w:basedOn w:val="Text3"/>
    <w:rsid w:val="00201A77"/>
    <w:pPr>
      <w:numPr>
        <w:ilvl w:val="3"/>
        <w:numId w:val="14"/>
      </w:numPr>
    </w:pPr>
    <w:rPr>
      <w:rFonts w:eastAsia="Times New Roman"/>
      <w:lang w:eastAsia="en-GB"/>
    </w:rPr>
  </w:style>
  <w:style w:type="paragraph" w:customStyle="1" w:styleId="ListNumber4Level4">
    <w:name w:val="List Number 4 (Level 4)"/>
    <w:basedOn w:val="Text4"/>
    <w:rsid w:val="00201A77"/>
    <w:pPr>
      <w:numPr>
        <w:ilvl w:val="3"/>
        <w:numId w:val="15"/>
      </w:numPr>
    </w:pPr>
    <w:rPr>
      <w:rFonts w:eastAsia="Times New Roman"/>
      <w:lang w:eastAsia="en-GB"/>
    </w:rPr>
  </w:style>
  <w:style w:type="paragraph" w:customStyle="1" w:styleId="Annexetitreacte">
    <w:name w:val="Annexe titre (acte)"/>
    <w:basedOn w:val="Normal"/>
    <w:next w:val="Normal"/>
    <w:rsid w:val="00201A77"/>
    <w:pPr>
      <w:jc w:val="center"/>
    </w:pPr>
    <w:rPr>
      <w:rFonts w:eastAsia="Times New Roman"/>
      <w:b/>
      <w:u w:val="single"/>
      <w:lang w:eastAsia="en-GB"/>
    </w:rPr>
  </w:style>
  <w:style w:type="paragraph" w:customStyle="1" w:styleId="Annexetitreexposglobal">
    <w:name w:val="Annexe titre (exposé global)"/>
    <w:basedOn w:val="Normal"/>
    <w:next w:val="Normal"/>
    <w:rsid w:val="00201A77"/>
    <w:pPr>
      <w:jc w:val="center"/>
    </w:pPr>
    <w:rPr>
      <w:rFonts w:eastAsia="Times New Roman"/>
      <w:b/>
      <w:u w:val="single"/>
      <w:lang w:eastAsia="en-GB"/>
    </w:rPr>
  </w:style>
  <w:style w:type="paragraph" w:customStyle="1" w:styleId="Annexetitrefichefinacte">
    <w:name w:val="Annexe titre (fiche fin. acte)"/>
    <w:basedOn w:val="Normal"/>
    <w:next w:val="Normal"/>
    <w:rsid w:val="00201A77"/>
    <w:pPr>
      <w:jc w:val="center"/>
    </w:pPr>
    <w:rPr>
      <w:rFonts w:eastAsia="Times New Roman"/>
      <w:b/>
      <w:u w:val="single"/>
      <w:lang w:eastAsia="en-GB"/>
    </w:rPr>
  </w:style>
  <w:style w:type="paragraph" w:customStyle="1" w:styleId="Annexetitrefichefinglobale">
    <w:name w:val="Annexe titre (fiche fin. globale)"/>
    <w:basedOn w:val="Normal"/>
    <w:next w:val="Normal"/>
    <w:rsid w:val="00201A77"/>
    <w:pPr>
      <w:jc w:val="center"/>
    </w:pPr>
    <w:rPr>
      <w:rFonts w:eastAsia="Times New Roman"/>
      <w:b/>
      <w:u w:val="single"/>
      <w:lang w:eastAsia="en-GB"/>
    </w:rPr>
  </w:style>
  <w:style w:type="paragraph" w:customStyle="1" w:styleId="Annexetitreglobale">
    <w:name w:val="Annexe titre (globale)"/>
    <w:basedOn w:val="Normal"/>
    <w:next w:val="Normal"/>
    <w:rsid w:val="00201A77"/>
    <w:pPr>
      <w:jc w:val="center"/>
    </w:pPr>
    <w:rPr>
      <w:rFonts w:eastAsia="Times New Roman"/>
      <w:b/>
      <w:u w:val="single"/>
      <w:lang w:eastAsia="en-GB"/>
    </w:rPr>
  </w:style>
  <w:style w:type="paragraph" w:customStyle="1" w:styleId="Exposdesmotifstitreglobal">
    <w:name w:val="Exposé des motifs titre (global)"/>
    <w:basedOn w:val="Normal"/>
    <w:next w:val="Normal"/>
    <w:rsid w:val="00201A77"/>
    <w:pPr>
      <w:jc w:val="center"/>
    </w:pPr>
    <w:rPr>
      <w:rFonts w:eastAsia="Times New Roman"/>
      <w:b/>
      <w:u w:val="single"/>
      <w:lang w:eastAsia="en-GB"/>
    </w:rPr>
  </w:style>
  <w:style w:type="paragraph" w:customStyle="1" w:styleId="Langueoriginale">
    <w:name w:val="Langue originale"/>
    <w:basedOn w:val="Normal"/>
    <w:rsid w:val="00201A77"/>
    <w:pPr>
      <w:spacing w:before="360"/>
      <w:jc w:val="center"/>
    </w:pPr>
    <w:rPr>
      <w:rFonts w:eastAsia="Times New Roman"/>
      <w:caps/>
      <w:lang w:eastAsia="en-GB"/>
    </w:rPr>
  </w:style>
  <w:style w:type="paragraph" w:customStyle="1" w:styleId="Phrasefinale">
    <w:name w:val="Phrase finale"/>
    <w:basedOn w:val="Normal"/>
    <w:next w:val="Normal"/>
    <w:rsid w:val="00201A77"/>
    <w:pPr>
      <w:spacing w:before="360" w:after="0"/>
      <w:jc w:val="center"/>
    </w:pPr>
    <w:rPr>
      <w:rFonts w:eastAsia="Times New Roman"/>
      <w:lang w:eastAsia="en-GB"/>
    </w:rPr>
  </w:style>
  <w:style w:type="paragraph" w:customStyle="1" w:styleId="Prliminairetitre">
    <w:name w:val="Préliminaire titre"/>
    <w:basedOn w:val="Normal"/>
    <w:next w:val="Normal"/>
    <w:rsid w:val="00201A77"/>
    <w:pPr>
      <w:spacing w:before="360" w:after="360"/>
      <w:jc w:val="center"/>
    </w:pPr>
    <w:rPr>
      <w:rFonts w:eastAsia="Times New Roman"/>
      <w:b/>
      <w:lang w:eastAsia="en-GB"/>
    </w:rPr>
  </w:style>
  <w:style w:type="paragraph" w:customStyle="1" w:styleId="Prliminairetype">
    <w:name w:val="Préliminaire type"/>
    <w:basedOn w:val="Normal"/>
    <w:next w:val="Normal"/>
    <w:rsid w:val="00201A77"/>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201A77"/>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201A77"/>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201A77"/>
    <w:pPr>
      <w:spacing w:before="0" w:after="0"/>
      <w:ind w:left="5103"/>
      <w:jc w:val="left"/>
    </w:pPr>
    <w:rPr>
      <w:rFonts w:eastAsia="Times New Roman"/>
      <w:lang w:eastAsia="en-GB"/>
    </w:rPr>
  </w:style>
  <w:style w:type="paragraph" w:customStyle="1" w:styleId="Sous-titreobjetprliminaire">
    <w:name w:val="Sous-titre objet (préliminaire)"/>
    <w:basedOn w:val="Normal"/>
    <w:rsid w:val="00201A77"/>
    <w:pPr>
      <w:spacing w:before="0" w:after="0"/>
      <w:jc w:val="center"/>
    </w:pPr>
    <w:rPr>
      <w:rFonts w:eastAsia="Times New Roman"/>
      <w:b/>
      <w:lang w:eastAsia="en-GB"/>
    </w:rPr>
  </w:style>
  <w:style w:type="paragraph" w:customStyle="1" w:styleId="Statutprliminaire">
    <w:name w:val="Statut (préliminaire)"/>
    <w:basedOn w:val="Normal"/>
    <w:next w:val="Normal"/>
    <w:rsid w:val="00201A77"/>
    <w:pPr>
      <w:spacing w:before="360" w:after="0"/>
      <w:jc w:val="center"/>
    </w:pPr>
    <w:rPr>
      <w:rFonts w:eastAsia="Times New Roman"/>
      <w:lang w:eastAsia="en-GB"/>
    </w:rPr>
  </w:style>
  <w:style w:type="paragraph" w:customStyle="1" w:styleId="Titreobjetprliminaire">
    <w:name w:val="Titre objet (préliminaire)"/>
    <w:basedOn w:val="Normal"/>
    <w:next w:val="Normal"/>
    <w:rsid w:val="00201A77"/>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201A77"/>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201A77"/>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201A77"/>
    <w:pPr>
      <w:jc w:val="center"/>
    </w:pPr>
    <w:rPr>
      <w:rFonts w:eastAsia="Times New Roman"/>
      <w:b/>
      <w:u w:val="single"/>
      <w:lang w:eastAsia="en-GB"/>
    </w:rPr>
  </w:style>
  <w:style w:type="paragraph" w:customStyle="1" w:styleId="Fichefinanciretravailtitre">
    <w:name w:val="Fiche financière (travail) titre"/>
    <w:basedOn w:val="Normal"/>
    <w:next w:val="Normal"/>
    <w:rsid w:val="00201A77"/>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201A77"/>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201A77"/>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201A77"/>
    <w:pPr>
      <w:jc w:val="center"/>
    </w:pPr>
    <w:rPr>
      <w:rFonts w:eastAsia="Times New Roman"/>
      <w:b/>
      <w:u w:val="single"/>
      <w:lang w:eastAsia="en-GB"/>
    </w:rPr>
  </w:style>
  <w:style w:type="character" w:styleId="CommentReference">
    <w:name w:val="annotation reference"/>
    <w:rsid w:val="00201A77"/>
    <w:rPr>
      <w:rFonts w:cs="Times New Roman"/>
      <w:sz w:val="16"/>
      <w:szCs w:val="16"/>
    </w:rPr>
  </w:style>
  <w:style w:type="paragraph" w:styleId="CommentText">
    <w:name w:val="annotation text"/>
    <w:basedOn w:val="Normal"/>
    <w:link w:val="CommentTextChar"/>
    <w:rsid w:val="00201A77"/>
    <w:rPr>
      <w:rFonts w:eastAsia="Times New Roman"/>
      <w:sz w:val="20"/>
      <w:szCs w:val="20"/>
      <w:lang w:eastAsia="en-GB"/>
    </w:rPr>
  </w:style>
  <w:style w:type="character" w:customStyle="1" w:styleId="CommentTextChar">
    <w:name w:val="Comment Text Char"/>
    <w:basedOn w:val="DefaultParagraphFont"/>
    <w:link w:val="CommentText"/>
    <w:rsid w:val="00201A77"/>
    <w:rPr>
      <w:rFonts w:ascii="Times New Roman" w:eastAsia="Times New Roman" w:hAnsi="Times New Roman" w:cs="Times New Roman"/>
      <w:sz w:val="20"/>
      <w:szCs w:val="20"/>
      <w:lang w:val="de-DE" w:eastAsia="en-GB"/>
    </w:rPr>
  </w:style>
  <w:style w:type="paragraph" w:styleId="CommentSubject">
    <w:name w:val="annotation subject"/>
    <w:basedOn w:val="CommentText"/>
    <w:next w:val="CommentText"/>
    <w:link w:val="CommentSubjectChar"/>
    <w:rsid w:val="00201A77"/>
    <w:rPr>
      <w:b/>
      <w:bCs/>
    </w:rPr>
  </w:style>
  <w:style w:type="character" w:customStyle="1" w:styleId="CommentSubjectChar">
    <w:name w:val="Comment Subject Char"/>
    <w:basedOn w:val="CommentTextChar"/>
    <w:link w:val="CommentSubject"/>
    <w:rsid w:val="00201A77"/>
    <w:rPr>
      <w:rFonts w:ascii="Times New Roman" w:eastAsia="Times New Roman" w:hAnsi="Times New Roman" w:cs="Times New Roman"/>
      <w:b/>
      <w:bCs/>
      <w:sz w:val="20"/>
      <w:szCs w:val="20"/>
      <w:lang w:val="de-DE" w:eastAsia="en-GB"/>
    </w:rPr>
  </w:style>
  <w:style w:type="paragraph" w:styleId="BalloonText">
    <w:name w:val="Balloon Text"/>
    <w:basedOn w:val="Normal"/>
    <w:link w:val="BalloonTextChar"/>
    <w:rsid w:val="00201A77"/>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201A77"/>
    <w:rPr>
      <w:rFonts w:ascii="Tahoma" w:eastAsia="Times New Roman" w:hAnsi="Tahoma" w:cs="Tahoma"/>
      <w:sz w:val="16"/>
      <w:szCs w:val="16"/>
      <w:lang w:val="de-DE" w:eastAsia="en-GB"/>
    </w:rPr>
  </w:style>
  <w:style w:type="paragraph" w:styleId="Caption">
    <w:name w:val="caption"/>
    <w:basedOn w:val="Normal"/>
    <w:next w:val="Normal"/>
    <w:qFormat/>
    <w:rsid w:val="00201A77"/>
    <w:rPr>
      <w:rFonts w:eastAsia="Times New Roman"/>
      <w:b/>
      <w:bCs/>
      <w:sz w:val="20"/>
      <w:szCs w:val="20"/>
      <w:lang w:eastAsia="en-GB"/>
    </w:rPr>
  </w:style>
  <w:style w:type="paragraph" w:styleId="TableofFigures">
    <w:name w:val="table of figures"/>
    <w:basedOn w:val="Normal"/>
    <w:next w:val="Normal"/>
    <w:rsid w:val="00201A77"/>
    <w:rPr>
      <w:rFonts w:eastAsia="Times New Roman"/>
      <w:lang w:eastAsia="en-GB"/>
    </w:rPr>
  </w:style>
  <w:style w:type="character" w:styleId="PageNumber">
    <w:name w:val="page number"/>
    <w:rsid w:val="00201A77"/>
  </w:style>
  <w:style w:type="character" w:customStyle="1" w:styleId="tw4winMark">
    <w:name w:val="tw4winMark"/>
    <w:rsid w:val="00201A77"/>
    <w:rPr>
      <w:vanish/>
      <w:color w:val="800080"/>
      <w:vertAlign w:val="subscript"/>
    </w:rPr>
  </w:style>
  <w:style w:type="character" w:styleId="FollowedHyperlink">
    <w:name w:val="FollowedHyperlink"/>
    <w:rsid w:val="00201A77"/>
    <w:rPr>
      <w:color w:val="800080"/>
      <w:u w:val="single"/>
    </w:rPr>
  </w:style>
  <w:style w:type="paragraph" w:customStyle="1" w:styleId="Sous-titreobjet">
    <w:name w:val="Sous-titre objet"/>
    <w:basedOn w:val="Normal"/>
    <w:rsid w:val="00201A77"/>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201A77"/>
  </w:style>
  <w:style w:type="paragraph" w:styleId="Revision">
    <w:name w:val="Revision"/>
    <w:hidden/>
    <w:uiPriority w:val="99"/>
    <w:semiHidden/>
    <w:rsid w:val="00201A77"/>
    <w:rPr>
      <w:rFonts w:ascii="Calibri" w:eastAsia="Calibri" w:hAnsi="Calibri" w:cs="Times New Roman"/>
      <w:sz w:val="24"/>
      <w:lang w:eastAsia="en-GB"/>
    </w:rPr>
  </w:style>
  <w:style w:type="paragraph" w:customStyle="1" w:styleId="FooterCoverPage">
    <w:name w:val="Footer Cover Page"/>
    <w:basedOn w:val="Normal"/>
    <w:link w:val="FooterCoverPageChar"/>
    <w:rsid w:val="00201A77"/>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201A77"/>
    <w:rPr>
      <w:rFonts w:ascii="Times New Roman" w:hAnsi="Times New Roman" w:cs="Times New Roman"/>
      <w:b/>
      <w:sz w:val="28"/>
      <w:lang w:val="de-DE"/>
    </w:rPr>
  </w:style>
  <w:style w:type="character" w:customStyle="1" w:styleId="FooterCoverPageChar">
    <w:name w:val="Footer Cover Page Char"/>
    <w:link w:val="FooterCoverPage"/>
    <w:rsid w:val="00201A77"/>
    <w:rPr>
      <w:rFonts w:ascii="Times New Roman" w:eastAsia="Calibri" w:hAnsi="Times New Roman" w:cs="Times New Roman"/>
      <w:sz w:val="24"/>
      <w:lang w:val="de-DE" w:eastAsia="en-GB"/>
    </w:rPr>
  </w:style>
  <w:style w:type="paragraph" w:customStyle="1" w:styleId="HeaderCoverPage">
    <w:name w:val="Header Cover Page"/>
    <w:basedOn w:val="Normal"/>
    <w:link w:val="HeaderCoverPageChar"/>
    <w:rsid w:val="00201A77"/>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201A77"/>
    <w:rPr>
      <w:rFonts w:ascii="Times New Roman" w:eastAsia="Calibri" w:hAnsi="Times New Roman" w:cs="Times New Roman"/>
      <w:sz w:val="24"/>
      <w:lang w:val="de-DE" w:eastAsia="en-GB"/>
    </w:rPr>
  </w:style>
  <w:style w:type="character" w:customStyle="1" w:styleId="FooterSensitivityChar">
    <w:name w:val="Footer Sensitivity Char"/>
    <w:rsid w:val="00201A77"/>
    <w:rPr>
      <w:rFonts w:ascii="Times New Roman" w:hAnsi="Times New Roman" w:cs="Times New Roman"/>
      <w:b/>
      <w:sz w:val="32"/>
      <w:lang w:val="de-DE"/>
    </w:rPr>
  </w:style>
  <w:style w:type="character" w:customStyle="1" w:styleId="HeaderSensitivityChar">
    <w:name w:val="Header Sensitivity Char"/>
    <w:rsid w:val="00201A77"/>
    <w:rPr>
      <w:rFonts w:ascii="Times New Roman" w:hAnsi="Times New Roman" w:cs="Times New Roman"/>
      <w:b/>
      <w:sz w:val="32"/>
      <w:lang w:val="de-DE"/>
    </w:rPr>
  </w:style>
  <w:style w:type="character" w:customStyle="1" w:styleId="HeaderSensitivityRightChar">
    <w:name w:val="Header Sensitivity Right Char"/>
    <w:rsid w:val="00201A77"/>
    <w:rPr>
      <w:rFonts w:ascii="Times New Roman" w:hAnsi="Times New Roman" w:cs="Times New Roman"/>
      <w:sz w:val="28"/>
      <w:lang w:val="de-DE"/>
    </w:rPr>
  </w:style>
  <w:style w:type="paragraph" w:customStyle="1" w:styleId="LegalNumPar">
    <w:name w:val="LegalNumPar"/>
    <w:basedOn w:val="Normal"/>
    <w:rsid w:val="00201A77"/>
    <w:pPr>
      <w:numPr>
        <w:numId w:val="16"/>
      </w:numPr>
      <w:spacing w:line="360" w:lineRule="auto"/>
    </w:pPr>
    <w:rPr>
      <w:rFonts w:eastAsia="Times New Roman"/>
      <w:lang w:eastAsia="en-GB"/>
    </w:rPr>
  </w:style>
  <w:style w:type="paragraph" w:customStyle="1" w:styleId="LegalNumPar2">
    <w:name w:val="LegalNumPar2"/>
    <w:basedOn w:val="Normal"/>
    <w:rsid w:val="00201A77"/>
    <w:pPr>
      <w:numPr>
        <w:ilvl w:val="1"/>
        <w:numId w:val="16"/>
      </w:numPr>
      <w:spacing w:line="360" w:lineRule="auto"/>
    </w:pPr>
    <w:rPr>
      <w:rFonts w:eastAsia="Times New Roman"/>
      <w:lang w:eastAsia="en-GB"/>
    </w:rPr>
  </w:style>
  <w:style w:type="paragraph" w:customStyle="1" w:styleId="LegalNumPar3">
    <w:name w:val="LegalNumPar3"/>
    <w:basedOn w:val="Normal"/>
    <w:rsid w:val="00201A77"/>
    <w:pPr>
      <w:numPr>
        <w:ilvl w:val="2"/>
        <w:numId w:val="16"/>
      </w:numPr>
      <w:spacing w:line="360" w:lineRule="auto"/>
    </w:pPr>
    <w:rPr>
      <w:rFonts w:eastAsia="Times New Roman"/>
      <w:lang w:eastAsia="en-GB"/>
    </w:rPr>
  </w:style>
  <w:style w:type="paragraph" w:styleId="ListParagraph">
    <w:name w:val="List Paragraph"/>
    <w:aliases w:val="Bullet List,FooterText,List Paragraph1,Colorful List Accent 1,numbered,Paragraphe de liste1,列 出 段 落,列 出 段 落 1,Bulletr List Paragraph,List Paragraph2,List Paragraph21,Párrafo de lista1,Parágrafo da Lista1,リ ス ト 段 落 1,Plan,Dot pt,F5 List P"/>
    <w:basedOn w:val="Normal"/>
    <w:link w:val="ListParagraphChar"/>
    <w:uiPriority w:val="34"/>
    <w:qFormat/>
    <w:rsid w:val="00201A77"/>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201A77"/>
    <w:rPr>
      <w:color w:val="605E5C"/>
      <w:shd w:val="clear" w:color="auto" w:fill="E1DFDD"/>
    </w:rPr>
  </w:style>
  <w:style w:type="character" w:styleId="Strong">
    <w:name w:val="Strong"/>
    <w:basedOn w:val="DefaultParagraphFont"/>
    <w:qFormat/>
    <w:rsid w:val="00201A77"/>
    <w:rPr>
      <w:b/>
      <w:bCs/>
    </w:rPr>
  </w:style>
  <w:style w:type="character" w:styleId="Emphasis">
    <w:name w:val="Emphasis"/>
    <w:basedOn w:val="DefaultParagraphFont"/>
    <w:qFormat/>
    <w:rsid w:val="00201A77"/>
    <w:rPr>
      <w:i/>
      <w:iCs/>
    </w:rPr>
  </w:style>
  <w:style w:type="character" w:customStyle="1" w:styleId="Mention1">
    <w:name w:val="Mention1"/>
    <w:basedOn w:val="DefaultParagraphFont"/>
    <w:uiPriority w:val="99"/>
    <w:unhideWhenUsed/>
    <w:rsid w:val="00201A77"/>
    <w:rPr>
      <w:color w:val="2B579A"/>
      <w:shd w:val="clear" w:color="auto" w:fill="E1DFDD"/>
    </w:rPr>
  </w:style>
  <w:style w:type="character" w:customStyle="1" w:styleId="normaltextrun">
    <w:name w:val="normaltextrun"/>
    <w:basedOn w:val="DefaultParagraphFont"/>
    <w:rsid w:val="00201A77"/>
  </w:style>
  <w:style w:type="character" w:customStyle="1" w:styleId="eop">
    <w:name w:val="eop"/>
    <w:basedOn w:val="DefaultParagraphFont"/>
    <w:rsid w:val="00201A77"/>
  </w:style>
  <w:style w:type="paragraph" w:customStyle="1" w:styleId="Nota">
    <w:name w:val="Nota"/>
    <w:aliases w:val="Char1,(NECG) Footnote Reference,fr,Appel note de bas de p,o,Style 6,Signature Ch"/>
    <w:basedOn w:val="Normal"/>
    <w:link w:val="FootnoteReference"/>
    <w:uiPriority w:val="99"/>
    <w:rsid w:val="00A2707F"/>
    <w:pPr>
      <w:spacing w:before="0" w:after="160" w:line="240" w:lineRule="exact"/>
      <w:jc w:val="left"/>
    </w:pPr>
    <w:rPr>
      <w:rFonts w:asciiTheme="minorHAnsi" w:hAnsiTheme="minorHAnsi" w:cstheme="minorBidi"/>
      <w:sz w:val="22"/>
      <w:vertAlign w:val="superscript"/>
    </w:rPr>
  </w:style>
  <w:style w:type="character" w:customStyle="1" w:styleId="ListParagraphChar">
    <w:name w:val="List Paragraph Char"/>
    <w:aliases w:val="Bullet List Char,FooterText Char,List Paragraph1 Char,Colorful List Accent 1 Char,numbered Char,Paragraphe de liste1 Char,列 出 段 落 Char,列 出 段 落 1 Char,Bulletr List Paragraph Char,List Paragraph2 Char,List Paragraph21 Char,Plan Char"/>
    <w:basedOn w:val="DefaultParagraphFont"/>
    <w:link w:val="ListParagraph"/>
    <w:uiPriority w:val="34"/>
    <w:qFormat/>
    <w:locked/>
    <w:rsid w:val="00F877FB"/>
    <w:rPr>
      <w:rFonts w:ascii="Times New Roman" w:eastAsia="Times New Roman" w:hAnsi="Times New Roman" w:cs="Times New Roman"/>
      <w:sz w:val="24"/>
      <w:lang w:val="de-DE" w:eastAsia="en-GB"/>
    </w:rPr>
  </w:style>
  <w:style w:type="paragraph" w:customStyle="1" w:styleId="Numberedpara">
    <w:name w:val="Numbered para"/>
    <w:basedOn w:val="ListParagraph"/>
    <w:rsid w:val="006B0911"/>
    <w:pPr>
      <w:numPr>
        <w:numId w:val="18"/>
      </w:numPr>
    </w:pPr>
  </w:style>
  <w:style w:type="paragraph" w:customStyle="1" w:styleId="Num">
    <w:name w:val="Num"/>
    <w:basedOn w:val="ListParagraph"/>
    <w:rsid w:val="007D4FC5"/>
    <w:pPr>
      <w:numPr>
        <w:numId w:val="19"/>
      </w:numPr>
    </w:pPr>
  </w:style>
  <w:style w:type="character" w:customStyle="1" w:styleId="HeaderChar">
    <w:name w:val="Header Char"/>
    <w:basedOn w:val="DefaultParagraphFont"/>
    <w:link w:val="Header"/>
    <w:uiPriority w:val="99"/>
    <w:rsid w:val="006F53F5"/>
    <w:rPr>
      <w:rFonts w:ascii="Times New Roman" w:hAnsi="Times New Roman" w:cs="Times New Roman"/>
      <w:sz w:val="24"/>
      <w:lang w:val="de-DE"/>
    </w:rPr>
  </w:style>
  <w:style w:type="character" w:customStyle="1" w:styleId="FooterChar">
    <w:name w:val="Footer Char"/>
    <w:basedOn w:val="DefaultParagraphFont"/>
    <w:link w:val="Footer"/>
    <w:uiPriority w:val="99"/>
    <w:rsid w:val="006F53F5"/>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de-DE"/>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de-DE"/>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de-DE"/>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de-DE"/>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de-DE"/>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de-DE"/>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de-D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Nota"/>
    <w:uiPriority w:val="99"/>
    <w:semiHidden/>
    <w:unhideWhenUsed/>
    <w:rPr>
      <w:shd w:val="clear" w:color="auto" w:fill="auto"/>
      <w:vertAlign w:val="superscript"/>
    </w:rPr>
  </w:style>
  <w:style w:type="paragraph" w:customStyle="1" w:styleId="HeaderSensitivity">
    <w:name w:val="Header Sensitivity"/>
    <w:basedOn w:val="Normal"/>
    <w:rsid w:val="006F53F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F53F5"/>
    <w:pPr>
      <w:spacing w:before="0"/>
      <w:jc w:val="right"/>
    </w:pPr>
    <w:rPr>
      <w:sz w:val="28"/>
    </w:rPr>
  </w:style>
  <w:style w:type="paragraph" w:customStyle="1" w:styleId="FooterSensitivity">
    <w:name w:val="Footer Sensitivity"/>
    <w:basedOn w:val="Normal"/>
    <w:rsid w:val="006F53F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1"/>
      </w:numPr>
    </w:pPr>
  </w:style>
  <w:style w:type="paragraph" w:customStyle="1" w:styleId="Tiret1">
    <w:name w:val="Tiret 1"/>
    <w:basedOn w:val="Point1"/>
    <w:pPr>
      <w:numPr>
        <w:numId w:val="22"/>
      </w:numPr>
    </w:pPr>
  </w:style>
  <w:style w:type="paragraph" w:customStyle="1" w:styleId="Tiret2">
    <w:name w:val="Tiret 2"/>
    <w:basedOn w:val="Point2"/>
    <w:pPr>
      <w:numPr>
        <w:numId w:val="23"/>
      </w:numPr>
    </w:pPr>
  </w:style>
  <w:style w:type="paragraph" w:customStyle="1" w:styleId="Tiret3">
    <w:name w:val="Tiret 3"/>
    <w:basedOn w:val="Point3"/>
    <w:pPr>
      <w:numPr>
        <w:numId w:val="24"/>
      </w:numPr>
    </w:pPr>
  </w:style>
  <w:style w:type="paragraph" w:customStyle="1" w:styleId="Tiret4">
    <w:name w:val="Tiret 4"/>
    <w:basedOn w:val="Point4"/>
    <w:pPr>
      <w:numPr>
        <w:numId w:val="25"/>
      </w:numPr>
    </w:pPr>
  </w:style>
  <w:style w:type="paragraph" w:customStyle="1" w:styleId="Tiret5">
    <w:name w:val="Tiret 5"/>
    <w:basedOn w:val="Point5"/>
    <w:pPr>
      <w:numPr>
        <w:numId w:val="2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7"/>
      </w:numPr>
    </w:pPr>
  </w:style>
  <w:style w:type="paragraph" w:customStyle="1" w:styleId="NumPar2">
    <w:name w:val="NumPar 2"/>
    <w:basedOn w:val="Normal"/>
    <w:next w:val="Text1"/>
    <w:pPr>
      <w:numPr>
        <w:ilvl w:val="1"/>
        <w:numId w:val="27"/>
      </w:numPr>
    </w:pPr>
  </w:style>
  <w:style w:type="paragraph" w:customStyle="1" w:styleId="NumPar3">
    <w:name w:val="NumPar 3"/>
    <w:basedOn w:val="Normal"/>
    <w:next w:val="Text1"/>
    <w:pPr>
      <w:numPr>
        <w:ilvl w:val="2"/>
        <w:numId w:val="27"/>
      </w:numPr>
    </w:pPr>
  </w:style>
  <w:style w:type="paragraph" w:customStyle="1" w:styleId="NumPar4">
    <w:name w:val="NumPar 4"/>
    <w:basedOn w:val="Normal"/>
    <w:next w:val="Text1"/>
    <w:pPr>
      <w:numPr>
        <w:ilvl w:val="3"/>
        <w:numId w:val="27"/>
      </w:numPr>
    </w:pPr>
  </w:style>
  <w:style w:type="paragraph" w:customStyle="1" w:styleId="NumPar5">
    <w:name w:val="NumPar 5"/>
    <w:basedOn w:val="Normal"/>
    <w:next w:val="Text2"/>
    <w:pPr>
      <w:numPr>
        <w:ilvl w:val="4"/>
        <w:numId w:val="27"/>
      </w:numPr>
    </w:pPr>
  </w:style>
  <w:style w:type="paragraph" w:customStyle="1" w:styleId="NumPar6">
    <w:name w:val="NumPar 6"/>
    <w:basedOn w:val="Normal"/>
    <w:next w:val="Text2"/>
    <w:pPr>
      <w:numPr>
        <w:ilvl w:val="5"/>
        <w:numId w:val="27"/>
      </w:numPr>
    </w:pPr>
  </w:style>
  <w:style w:type="paragraph" w:customStyle="1" w:styleId="NumPar7">
    <w:name w:val="NumPar 7"/>
    <w:basedOn w:val="Normal"/>
    <w:next w:val="Text2"/>
    <w:pPr>
      <w:numPr>
        <w:ilvl w:val="6"/>
        <w:numId w:val="2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9"/>
      </w:numPr>
    </w:pPr>
  </w:style>
  <w:style w:type="paragraph" w:customStyle="1" w:styleId="Point1number">
    <w:name w:val="Point 1 (number)"/>
    <w:basedOn w:val="Normal"/>
    <w:pPr>
      <w:numPr>
        <w:ilvl w:val="2"/>
        <w:numId w:val="29"/>
      </w:numPr>
    </w:pPr>
  </w:style>
  <w:style w:type="paragraph" w:customStyle="1" w:styleId="Point2number">
    <w:name w:val="Point 2 (number)"/>
    <w:basedOn w:val="Normal"/>
    <w:pPr>
      <w:numPr>
        <w:ilvl w:val="4"/>
        <w:numId w:val="29"/>
      </w:numPr>
    </w:pPr>
  </w:style>
  <w:style w:type="paragraph" w:customStyle="1" w:styleId="Point3number">
    <w:name w:val="Point 3 (number)"/>
    <w:basedOn w:val="Normal"/>
    <w:pPr>
      <w:numPr>
        <w:ilvl w:val="6"/>
        <w:numId w:val="29"/>
      </w:numPr>
    </w:pPr>
  </w:style>
  <w:style w:type="paragraph" w:customStyle="1" w:styleId="Point0letter">
    <w:name w:val="Point 0 (letter)"/>
    <w:basedOn w:val="Normal"/>
    <w:pPr>
      <w:numPr>
        <w:ilvl w:val="1"/>
        <w:numId w:val="29"/>
      </w:numPr>
    </w:pPr>
  </w:style>
  <w:style w:type="paragraph" w:customStyle="1" w:styleId="Point1letter">
    <w:name w:val="Point 1 (letter)"/>
    <w:basedOn w:val="Normal"/>
    <w:pPr>
      <w:numPr>
        <w:ilvl w:val="3"/>
        <w:numId w:val="29"/>
      </w:numPr>
    </w:pPr>
  </w:style>
  <w:style w:type="paragraph" w:customStyle="1" w:styleId="Point2letter">
    <w:name w:val="Point 2 (letter)"/>
    <w:basedOn w:val="Normal"/>
    <w:pPr>
      <w:numPr>
        <w:ilvl w:val="5"/>
        <w:numId w:val="29"/>
      </w:numPr>
    </w:pPr>
  </w:style>
  <w:style w:type="paragraph" w:customStyle="1" w:styleId="Point3letter">
    <w:name w:val="Point 3 (letter)"/>
    <w:basedOn w:val="Normal"/>
    <w:pPr>
      <w:numPr>
        <w:ilvl w:val="7"/>
        <w:numId w:val="29"/>
      </w:numPr>
    </w:pPr>
  </w:style>
  <w:style w:type="paragraph" w:customStyle="1" w:styleId="Point4letter">
    <w:name w:val="Point 4 (letter)"/>
    <w:basedOn w:val="Normal"/>
    <w:pPr>
      <w:numPr>
        <w:ilvl w:val="8"/>
        <w:numId w:val="29"/>
      </w:numPr>
    </w:pPr>
  </w:style>
  <w:style w:type="paragraph" w:customStyle="1" w:styleId="Bullet0">
    <w:name w:val="Bullet 0"/>
    <w:basedOn w:val="Normal"/>
    <w:pPr>
      <w:numPr>
        <w:numId w:val="30"/>
      </w:numPr>
    </w:pPr>
  </w:style>
  <w:style w:type="paragraph" w:customStyle="1" w:styleId="Bullet1">
    <w:name w:val="Bullet 1"/>
    <w:basedOn w:val="Normal"/>
    <w:pPr>
      <w:numPr>
        <w:numId w:val="31"/>
      </w:numPr>
    </w:pPr>
  </w:style>
  <w:style w:type="paragraph" w:customStyle="1" w:styleId="Bullet2">
    <w:name w:val="Bullet 2"/>
    <w:basedOn w:val="Normal"/>
    <w:pPr>
      <w:numPr>
        <w:numId w:val="32"/>
      </w:numPr>
    </w:pPr>
  </w:style>
  <w:style w:type="paragraph" w:customStyle="1" w:styleId="Bullet3">
    <w:name w:val="Bullet 3"/>
    <w:basedOn w:val="Normal"/>
    <w:pPr>
      <w:numPr>
        <w:numId w:val="33"/>
      </w:numPr>
    </w:pPr>
  </w:style>
  <w:style w:type="paragraph" w:customStyle="1" w:styleId="Bullet4">
    <w:name w:val="Bullet 4"/>
    <w:basedOn w:val="Normal"/>
    <w:pPr>
      <w:numPr>
        <w:numId w:val="3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6F53F5"/>
    <w:pPr>
      <w:tabs>
        <w:tab w:val="center" w:pos="4535"/>
        <w:tab w:val="right" w:pos="9071"/>
      </w:tabs>
      <w:spacing w:before="0"/>
    </w:pPr>
  </w:style>
  <w:style w:type="paragraph" w:customStyle="1" w:styleId="HeaderLandscape">
    <w:name w:val="HeaderLandscape"/>
    <w:basedOn w:val="Normal"/>
    <w:rsid w:val="006F53F5"/>
    <w:pPr>
      <w:tabs>
        <w:tab w:val="center" w:pos="7285"/>
        <w:tab w:val="right" w:pos="14003"/>
      </w:tabs>
      <w:spacing w:before="0"/>
    </w:pPr>
  </w:style>
  <w:style w:type="paragraph" w:styleId="Footer">
    <w:name w:val="footer"/>
    <w:basedOn w:val="Normal"/>
    <w:link w:val="FooterChar"/>
    <w:uiPriority w:val="99"/>
    <w:unhideWhenUsed/>
    <w:rsid w:val="006F53F5"/>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6F53F5"/>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939515">
      <w:bodyDiv w:val="1"/>
      <w:marLeft w:val="0"/>
      <w:marRight w:val="0"/>
      <w:marTop w:val="0"/>
      <w:marBottom w:val="0"/>
      <w:divBdr>
        <w:top w:val="none" w:sz="0" w:space="0" w:color="auto"/>
        <w:left w:val="none" w:sz="0" w:space="0" w:color="auto"/>
        <w:bottom w:val="none" w:sz="0" w:space="0" w:color="auto"/>
        <w:right w:val="none" w:sz="0" w:space="0" w:color="auto"/>
      </w:divBdr>
    </w:div>
    <w:div w:id="962660896">
      <w:bodyDiv w:val="1"/>
      <w:marLeft w:val="0"/>
      <w:marRight w:val="0"/>
      <w:marTop w:val="0"/>
      <w:marBottom w:val="0"/>
      <w:divBdr>
        <w:top w:val="none" w:sz="0" w:space="0" w:color="auto"/>
        <w:left w:val="none" w:sz="0" w:space="0" w:color="auto"/>
        <w:bottom w:val="none" w:sz="0" w:space="0" w:color="auto"/>
        <w:right w:val="none" w:sz="0" w:space="0" w:color="auto"/>
      </w:divBdr>
    </w:div>
    <w:div w:id="1360010125">
      <w:bodyDiv w:val="1"/>
      <w:marLeft w:val="0"/>
      <w:marRight w:val="0"/>
      <w:marTop w:val="0"/>
      <w:marBottom w:val="0"/>
      <w:divBdr>
        <w:top w:val="none" w:sz="0" w:space="0" w:color="auto"/>
        <w:left w:val="none" w:sz="0" w:space="0" w:color="auto"/>
        <w:bottom w:val="none" w:sz="0" w:space="0" w:color="auto"/>
        <w:right w:val="none" w:sz="0" w:space="0" w:color="auto"/>
      </w:divBdr>
    </w:div>
    <w:div w:id="1383286346">
      <w:bodyDiv w:val="1"/>
      <w:marLeft w:val="0"/>
      <w:marRight w:val="0"/>
      <w:marTop w:val="0"/>
      <w:marBottom w:val="0"/>
      <w:divBdr>
        <w:top w:val="none" w:sz="0" w:space="0" w:color="auto"/>
        <w:left w:val="none" w:sz="0" w:space="0" w:color="auto"/>
        <w:bottom w:val="none" w:sz="0" w:space="0" w:color="auto"/>
        <w:right w:val="none" w:sz="0" w:space="0" w:color="auto"/>
      </w:divBdr>
    </w:div>
    <w:div w:id="1514799994">
      <w:bodyDiv w:val="1"/>
      <w:marLeft w:val="0"/>
      <w:marRight w:val="0"/>
      <w:marTop w:val="0"/>
      <w:marBottom w:val="0"/>
      <w:divBdr>
        <w:top w:val="none" w:sz="0" w:space="0" w:color="auto"/>
        <w:left w:val="none" w:sz="0" w:space="0" w:color="auto"/>
        <w:bottom w:val="none" w:sz="0" w:space="0" w:color="auto"/>
        <w:right w:val="none" w:sz="0" w:space="0" w:color="auto"/>
      </w:divBdr>
    </w:div>
    <w:div w:id="1857692257">
      <w:bodyDiv w:val="1"/>
      <w:marLeft w:val="0"/>
      <w:marRight w:val="0"/>
      <w:marTop w:val="0"/>
      <w:marBottom w:val="0"/>
      <w:divBdr>
        <w:top w:val="none" w:sz="0" w:space="0" w:color="auto"/>
        <w:left w:val="none" w:sz="0" w:space="0" w:color="auto"/>
        <w:bottom w:val="none" w:sz="0" w:space="0" w:color="auto"/>
        <w:right w:val="none" w:sz="0" w:space="0" w:color="auto"/>
      </w:divBdr>
    </w:div>
    <w:div w:id="190455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2" Type="http://schemas.openxmlformats.org/officeDocument/2006/relationships/hyperlink" Target="https://myintracomm.ec.europa.eu/corp/budget/financial-rules/budget-implementation/Pages/implementation-methods.aspx" TargetMode="External"/><Relationship Id="rId1" Type="http://schemas.openxmlformats.org/officeDocument/2006/relationships/hyperlink" Target="https://euaa.europa.eu/sites/default/files/publications/2022-12/2022_safe_country_concept_asylum_procedure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8322858357ED4DB8ACEC003F271AA8" ma:contentTypeVersion="6" ma:contentTypeDescription="Create a new document." ma:contentTypeScope="" ma:versionID="663d4c71e7e8ff3b13c9d28d5e5debee">
  <xsd:schema xmlns:xsd="http://www.w3.org/2001/XMLSchema" xmlns:xs="http://www.w3.org/2001/XMLSchema" xmlns:p="http://schemas.microsoft.com/office/2006/metadata/properties" xmlns:ns2="bf5373a9-3ae6-4627-894d-852f27c3d4f0" xmlns:ns3="3b32b93a-a41f-449a-9492-9bc9f41ec6d7" targetNamespace="http://schemas.microsoft.com/office/2006/metadata/properties" ma:root="true" ma:fieldsID="ca807bf77854f3f05e522b9ec3f10c10" ns2:_="" ns3:_="">
    <xsd:import namespace="bf5373a9-3ae6-4627-894d-852f27c3d4f0"/>
    <xsd:import namespace="3b32b93a-a41f-449a-9492-9bc9f41ec6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373a9-3ae6-4627-894d-852f27c3d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32b93a-a41f-449a-9492-9bc9f41ec6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DB7D1-5611-4FE0-B325-0D6AA5413A01}">
  <ds:schemaRefs>
    <ds:schemaRef ds:uri="http://schemas.microsoft.com/sharepoint/v3/contenttype/forms"/>
  </ds:schemaRefs>
</ds:datastoreItem>
</file>

<file path=customXml/itemProps2.xml><?xml version="1.0" encoding="utf-8"?>
<ds:datastoreItem xmlns:ds="http://schemas.openxmlformats.org/officeDocument/2006/customXml" ds:itemID="{90567FC4-F52B-43D1-AA73-31CA0806E2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F97868-66CE-4C17-A375-97110D58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373a9-3ae6-4627-894d-852f27c3d4f0"/>
    <ds:schemaRef ds:uri="3b32b93a-a41f-449a-9492-9bc9f41ec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2D1F02-E83C-4293-A816-0F693668A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19</Pages>
  <Words>13667</Words>
  <Characters>77905</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91390</CharactersWithSpaces>
  <SharedDoc>false</SharedDoc>
  <HLinks>
    <vt:vector size="12" baseType="variant">
      <vt:variant>
        <vt:i4>262150</vt:i4>
      </vt:variant>
      <vt:variant>
        <vt:i4>3</vt:i4>
      </vt:variant>
      <vt:variant>
        <vt:i4>0</vt:i4>
      </vt:variant>
      <vt:variant>
        <vt:i4>5</vt:i4>
      </vt:variant>
      <vt:variant>
        <vt:lpwstr>https://myintracomm.ec.europa.eu/corp/budget/financial-rules/budget-implementation/Pages/implementation-methods.aspx</vt:lpwstr>
      </vt:variant>
      <vt:variant>
        <vt:lpwstr/>
      </vt:variant>
      <vt:variant>
        <vt:i4>6881337</vt:i4>
      </vt:variant>
      <vt:variant>
        <vt:i4>0</vt:i4>
      </vt:variant>
      <vt:variant>
        <vt:i4>0</vt:i4>
      </vt:variant>
      <vt:variant>
        <vt:i4>5</vt:i4>
      </vt:variant>
      <vt:variant>
        <vt:lpwstr>https://euaa.europa.eu/sites/default/files/publications/2022-12/2022_safe_country_concept_asylum_procedure_EN.pdf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21</cp:revision>
  <cp:lastPrinted>2025-05-15T14:05:00Z</cp:lastPrinted>
  <dcterms:created xsi:type="dcterms:W3CDTF">2025-06-13T06:39:00Z</dcterms:created>
  <dcterms:modified xsi:type="dcterms:W3CDTF">2025-06-13T17:55:00Z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9.1, Build 20240808</vt:lpwstr>
  </property>
  <property fmtid="{D5CDD505-2E9C-101B-9397-08002B2CF9AE}" pid="3" name="MSIP_Label_6bd9ddd1-4d20-43f6-abfa-fc3c07406f94_Enabled">
    <vt:lpwstr>true</vt:lpwstr>
  </property>
  <property fmtid="{D5CDD505-2E9C-101B-9397-08002B2CF9AE}" pid="4" name="MSIP_Label_6bd9ddd1-4d20-43f6-abfa-fc3c07406f94_SetDate">
    <vt:lpwstr>2025-05-04T16:14:25Z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420f7c01-2474-45b2-a7bc-8e8b71ed3804</vt:lpwstr>
  </property>
  <property fmtid="{D5CDD505-2E9C-101B-9397-08002B2CF9AE}" pid="9" name="MSIP_Label_6bd9ddd1-4d20-43f6-abfa-fc3c07406f94_ContentBits">
    <vt:lpwstr>0</vt:lpwstr>
  </property>
  <property fmtid="{D5CDD505-2E9C-101B-9397-08002B2CF9AE}" pid="10" name="Category">
    <vt:lpwstr>COM/PL/ORG</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SJ-023</vt:lpwstr>
  </property>
  <property fmtid="{D5CDD505-2E9C-101B-9397-08002B2CF9AE}" pid="15" name="ContentTypeId">
    <vt:lpwstr>0x010100E98322858357ED4DB8ACEC003F271AA8</vt:lpwstr>
  </property>
  <property fmtid="{D5CDD505-2E9C-101B-9397-08002B2CF9AE}" pid="16" name="DQCStatus">
    <vt:lpwstr>Green (DQC version 03)</vt:lpwstr>
  </property>
</Properties>
</file>