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77" w:rsidRPr="001366B4" w:rsidRDefault="0029466A" w:rsidP="0029466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86F2F0C-A866-4A4D-86DF-992FEA6BBC8B" style="width:455.25pt;height:369.75pt">
            <v:imagedata r:id="rId11" o:title=""/>
          </v:shape>
        </w:pict>
      </w:r>
    </w:p>
    <w:p w:rsidR="00201A77" w:rsidRPr="001366B4" w:rsidRDefault="00201A77" w:rsidP="00201A77">
      <w:pPr>
        <w:rPr>
          <w:noProof/>
        </w:rPr>
        <w:sectPr w:rsidR="00201A77" w:rsidRPr="001366B4" w:rsidSect="0029466A">
          <w:footerReference w:type="even" r:id="rId12"/>
          <w:footerReference w:type="default" r:id="rId13"/>
          <w:pgSz w:w="11907" w:h="16839"/>
          <w:pgMar w:top="1134" w:right="1417" w:bottom="1134" w:left="1417" w:header="709" w:footer="709" w:gutter="0"/>
          <w:pgNumType w:start="0"/>
          <w:cols w:space="720"/>
          <w:docGrid w:linePitch="360"/>
        </w:sectPr>
      </w:pPr>
    </w:p>
    <w:p w:rsidR="00201A77" w:rsidRPr="001366B4" w:rsidRDefault="00201A77">
      <w:pPr>
        <w:pStyle w:val="Exposdesmotifstitre"/>
        <w:rPr>
          <w:noProof/>
        </w:rPr>
      </w:pPr>
      <w:bookmarkStart w:id="0" w:name="_GoBack"/>
      <w:bookmarkEnd w:id="0"/>
      <w:r w:rsidRPr="001366B4">
        <w:rPr>
          <w:noProof/>
        </w:rPr>
        <w:lastRenderedPageBreak/>
        <w:t>BEGRUNDELSE</w:t>
      </w:r>
    </w:p>
    <w:p w:rsidR="00693ED0" w:rsidRPr="001366B4" w:rsidRDefault="00693ED0" w:rsidP="00693ED0">
      <w:pPr>
        <w:pStyle w:val="ManualHeading1"/>
        <w:rPr>
          <w:noProof/>
        </w:rPr>
      </w:pPr>
      <w:r w:rsidRPr="001366B4">
        <w:rPr>
          <w:noProof/>
        </w:rPr>
        <w:t>BAGGRUND FOR FORSLAGET</w:t>
      </w:r>
    </w:p>
    <w:p w:rsidR="00693ED0" w:rsidRPr="001366B4" w:rsidRDefault="00693ED0" w:rsidP="00693ED0">
      <w:pPr>
        <w:pStyle w:val="ManualHeading2"/>
        <w:rPr>
          <w:rFonts w:eastAsia="Arial Unicode MS"/>
          <w:noProof/>
        </w:rPr>
      </w:pPr>
      <w:r w:rsidRPr="001366B4">
        <w:rPr>
          <w:noProof/>
          <w:color w:val="000000"/>
          <w:bdr w:val="nil"/>
        </w:rPr>
        <w:t>•</w:t>
      </w:r>
      <w:r w:rsidRPr="001366B4">
        <w:rPr>
          <w:noProof/>
        </w:rPr>
        <w:tab/>
        <w:t>Forslagets kontekst og begrundelse</w:t>
      </w:r>
    </w:p>
    <w:p w:rsidR="00AF69A8" w:rsidRPr="001366B4" w:rsidRDefault="00AF69A8" w:rsidP="00AF69A8">
      <w:pPr>
        <w:rPr>
          <w:noProof/>
        </w:rPr>
      </w:pPr>
      <w:r w:rsidRPr="001366B4">
        <w:rPr>
          <w:noProof/>
        </w:rPr>
        <w:t>I henhold til artikel 77</w:t>
      </w:r>
      <w:r w:rsidR="00A87ED6" w:rsidRPr="001366B4">
        <w:rPr>
          <w:noProof/>
        </w:rPr>
        <w:t xml:space="preserve"> i for</w:t>
      </w:r>
      <w:r w:rsidRPr="001366B4">
        <w:rPr>
          <w:noProof/>
        </w:rPr>
        <w:t>ordningen om asylproceduren (2024/1348) skal Kommissionen senest den</w:t>
      </w:r>
      <w:r w:rsidR="00A87ED6" w:rsidRPr="001366B4">
        <w:rPr>
          <w:noProof/>
        </w:rPr>
        <w:t> </w:t>
      </w:r>
      <w:r w:rsidRPr="001366B4">
        <w:rPr>
          <w:noProof/>
        </w:rPr>
        <w:t xml:space="preserve">12. juni 2025 evaluere begrebet sikkert tredjeland og, hvis det er relevant, foreslå eventuelle målrettede ændringer. På dette grundlag har Kommissionen foretaget en holistisk evaluering af begrebet sikkert tredjeland. </w:t>
      </w:r>
    </w:p>
    <w:p w:rsidR="00807F41" w:rsidRPr="001366B4" w:rsidRDefault="00AF69A8" w:rsidP="00AF69A8">
      <w:pPr>
        <w:rPr>
          <w:noProof/>
        </w:rPr>
      </w:pPr>
      <w:r w:rsidRPr="001366B4">
        <w:rPr>
          <w:noProof/>
        </w:rPr>
        <w:t>I den forbindelse undersøgte Kommissionen, om folkeretten (Genèvekonventionen af</w:t>
      </w:r>
      <w:r w:rsidR="00A87ED6" w:rsidRPr="001366B4">
        <w:rPr>
          <w:noProof/>
        </w:rPr>
        <w:t> </w:t>
      </w:r>
      <w:r w:rsidRPr="001366B4">
        <w:rPr>
          <w:noProof/>
        </w:rPr>
        <w:t>1951 og den europæiske menneskerettighedskonvention af</w:t>
      </w:r>
      <w:r w:rsidR="00A87ED6" w:rsidRPr="001366B4">
        <w:rPr>
          <w:noProof/>
        </w:rPr>
        <w:t> </w:t>
      </w:r>
      <w:r w:rsidRPr="001366B4">
        <w:rPr>
          <w:noProof/>
        </w:rPr>
        <w:t>1950) og EU's primære ret, herunder EU's charter om grundlæggende rettigheder, giver mulighed for yderligere revisioner af betingelserne for anvendelse af begrebet sikkert tredjeland og dets retlige garantier med henblik på yderligere at lette medlemsstaternes anvendelse af begrebet. Kommissionen tog også hensyn til medlemsstaternes erfaringer og udfordringer</w:t>
      </w:r>
      <w:r w:rsidR="00A87ED6" w:rsidRPr="001366B4">
        <w:rPr>
          <w:noProof/>
        </w:rPr>
        <w:t xml:space="preserve"> i for</w:t>
      </w:r>
      <w:r w:rsidRPr="001366B4">
        <w:rPr>
          <w:noProof/>
        </w:rPr>
        <w:t>bindelse med anvendelsen af begrebet sikkert tredjeland som udtrykt</w:t>
      </w:r>
      <w:r w:rsidR="00A87ED6" w:rsidRPr="001366B4">
        <w:rPr>
          <w:noProof/>
        </w:rPr>
        <w:t xml:space="preserve"> i for</w:t>
      </w:r>
      <w:r w:rsidRPr="001366B4">
        <w:rPr>
          <w:noProof/>
        </w:rPr>
        <w:t>skellige fora og foretog en vurdering af, om de ændringer, der blev indført</w:t>
      </w:r>
      <w:r w:rsidR="00A87ED6" w:rsidRPr="001366B4">
        <w:rPr>
          <w:noProof/>
        </w:rPr>
        <w:t xml:space="preserve"> i hen</w:t>
      </w:r>
      <w:r w:rsidRPr="001366B4">
        <w:rPr>
          <w:noProof/>
        </w:rPr>
        <w:t>hold til forordningen om asylproceduren, allerede havde løst disse problemer, eller om der fortsat var mangler. Endelig analyserede Kommissionen relevant retspraksis fra EU-Domstolen og Den Europæiske Menneskerettighedsdomstol.</w:t>
      </w:r>
    </w:p>
    <w:p w:rsidR="005D4B74" w:rsidRPr="001366B4" w:rsidRDefault="00693ED0" w:rsidP="00693ED0">
      <w:pPr>
        <w:rPr>
          <w:noProof/>
        </w:rPr>
      </w:pPr>
      <w:r w:rsidRPr="001366B4">
        <w:rPr>
          <w:noProof/>
        </w:rPr>
        <w:t>Begrebet sikkert tredjeland, der</w:t>
      </w:r>
      <w:r w:rsidR="00A87ED6" w:rsidRPr="001366B4">
        <w:rPr>
          <w:noProof/>
        </w:rPr>
        <w:t xml:space="preserve"> i øje</w:t>
      </w:r>
      <w:r w:rsidRPr="001366B4">
        <w:rPr>
          <w:noProof/>
        </w:rPr>
        <w:t>blikket er reguleret ved artikel 33, stk.</w:t>
      </w:r>
      <w:r w:rsidR="00A87ED6" w:rsidRPr="001366B4">
        <w:rPr>
          <w:noProof/>
        </w:rPr>
        <w:t> </w:t>
      </w:r>
      <w:r w:rsidRPr="001366B4">
        <w:rPr>
          <w:noProof/>
        </w:rPr>
        <w:t>2, litra c),</w:t>
      </w:r>
      <w:r w:rsidR="00A87ED6" w:rsidRPr="001366B4">
        <w:rPr>
          <w:noProof/>
        </w:rPr>
        <w:t xml:space="preserve"> i dir</w:t>
      </w:r>
      <w:r w:rsidRPr="001366B4">
        <w:rPr>
          <w:noProof/>
        </w:rPr>
        <w:t>ektiv 2013/32/EU om asylprocedurer</w:t>
      </w:r>
      <w:r w:rsidRPr="001366B4">
        <w:rPr>
          <w:rStyle w:val="FootnoteReference"/>
          <w:noProof/>
        </w:rPr>
        <w:footnoteReference w:id="2"/>
      </w:r>
      <w:r w:rsidRPr="001366B4">
        <w:rPr>
          <w:noProof/>
        </w:rPr>
        <w:t>, blev revideret som led</w:t>
      </w:r>
      <w:r w:rsidR="00A87ED6" w:rsidRPr="001366B4">
        <w:rPr>
          <w:noProof/>
        </w:rPr>
        <w:t xml:space="preserve"> i pag</w:t>
      </w:r>
      <w:r w:rsidRPr="001366B4">
        <w:rPr>
          <w:noProof/>
        </w:rPr>
        <w:t>ten om migration og asyl, der blev vedtaget</w:t>
      </w:r>
      <w:r w:rsidR="00A87ED6" w:rsidRPr="001366B4">
        <w:rPr>
          <w:noProof/>
        </w:rPr>
        <w:t xml:space="preserve"> i maj </w:t>
      </w:r>
      <w:r w:rsidRPr="001366B4">
        <w:rPr>
          <w:noProof/>
        </w:rPr>
        <w:t xml:space="preserve">2024. </w:t>
      </w:r>
    </w:p>
    <w:p w:rsidR="005D4B74" w:rsidRPr="001366B4" w:rsidRDefault="00E8698A" w:rsidP="00693ED0">
      <w:pPr>
        <w:rPr>
          <w:noProof/>
        </w:rPr>
      </w:pPr>
      <w:r w:rsidRPr="001366B4">
        <w:rPr>
          <w:noProof/>
        </w:rPr>
        <w:t>Når medlemsstaterne anvender begrebet "sikkert tredjeland", kan de afvise asylansøgninger som uantagelige uden at undersøge, om personerne opfylder betingelserne for at blive indrømmet beskyttelse i EU. Begrebet sikkert tredjeland kan anvendes som led</w:t>
      </w:r>
      <w:r w:rsidR="00A87ED6" w:rsidRPr="001366B4">
        <w:rPr>
          <w:noProof/>
        </w:rPr>
        <w:t xml:space="preserve"> i græ</w:t>
      </w:r>
      <w:r w:rsidRPr="001366B4">
        <w:rPr>
          <w:noProof/>
        </w:rPr>
        <w:t xml:space="preserve">nseproceduren. </w:t>
      </w:r>
    </w:p>
    <w:p w:rsidR="00693ED0" w:rsidRPr="001366B4" w:rsidRDefault="005D4B74" w:rsidP="00693ED0">
      <w:pPr>
        <w:rPr>
          <w:noProof/>
        </w:rPr>
      </w:pPr>
      <w:r w:rsidRPr="001366B4">
        <w:rPr>
          <w:noProof/>
        </w:rPr>
        <w:t xml:space="preserve">Med forordning 2024/1348 om asylprocedure </w:t>
      </w:r>
      <w:r w:rsidRPr="001366B4">
        <w:rPr>
          <w:rStyle w:val="FootnoteReference"/>
          <w:noProof/>
        </w:rPr>
        <w:footnoteReference w:id="3"/>
      </w:r>
      <w:r w:rsidRPr="001366B4">
        <w:rPr>
          <w:noProof/>
        </w:rPr>
        <w:t xml:space="preserve"> blev der indført flere ændringer af reglerne med hensyn til begrebet sikkert tredjeland med henblik på at give mulighed for en bredere og mere fleksibel anvendelse af begrebet. Disse ændringer omfatter følgende: </w:t>
      </w:r>
    </w:p>
    <w:p w:rsidR="00693ED0" w:rsidRPr="001366B4" w:rsidRDefault="00693ED0" w:rsidP="00E74DDB">
      <w:pPr>
        <w:pStyle w:val="Tiret0"/>
        <w:numPr>
          <w:ilvl w:val="0"/>
          <w:numId w:val="17"/>
        </w:numPr>
        <w:rPr>
          <w:noProof/>
        </w:rPr>
      </w:pPr>
      <w:r w:rsidRPr="001366B4">
        <w:rPr>
          <w:noProof/>
        </w:rPr>
        <w:t>udvidelse af de kriterier, der gør det muligt at udpege et tredjeland som "sikkert", navnlig ved at give lande, der ikke er parter</w:t>
      </w:r>
      <w:r w:rsidR="00A87ED6" w:rsidRPr="001366B4">
        <w:rPr>
          <w:noProof/>
        </w:rPr>
        <w:t xml:space="preserve"> i Gen</w:t>
      </w:r>
      <w:r w:rsidRPr="001366B4">
        <w:rPr>
          <w:noProof/>
        </w:rPr>
        <w:t>èvekonventionen, mulighed for også at blive udpeget som sikre tredjelande, forudsat at de kan tilbyde "effektiv beskyttelse"</w:t>
      </w:r>
      <w:r w:rsidRPr="001366B4">
        <w:rPr>
          <w:rStyle w:val="FootnoteReference"/>
          <w:noProof/>
        </w:rPr>
        <w:footnoteReference w:id="4"/>
      </w:r>
      <w:r w:rsidRPr="001366B4">
        <w:rPr>
          <w:noProof/>
        </w:rPr>
        <w:t xml:space="preserve"> </w:t>
      </w:r>
    </w:p>
    <w:p w:rsidR="00693ED0" w:rsidRPr="001366B4" w:rsidRDefault="00693ED0" w:rsidP="00693ED0">
      <w:pPr>
        <w:pStyle w:val="Tiret0"/>
        <w:rPr>
          <w:noProof/>
        </w:rPr>
      </w:pPr>
      <w:r w:rsidRPr="001366B4">
        <w:rPr>
          <w:noProof/>
        </w:rPr>
        <w:t>en udtrykkelig henvisning til familiemæssige bånd og ophold</w:t>
      </w:r>
      <w:r w:rsidR="00A87ED6" w:rsidRPr="001366B4">
        <w:rPr>
          <w:noProof/>
        </w:rPr>
        <w:t xml:space="preserve"> i tre</w:t>
      </w:r>
      <w:r w:rsidRPr="001366B4">
        <w:rPr>
          <w:noProof/>
        </w:rPr>
        <w:t>djelandet som mulige tegn på en forbindelse (betragtning 48</w:t>
      </w:r>
      <w:r w:rsidR="00A87ED6" w:rsidRPr="001366B4">
        <w:rPr>
          <w:noProof/>
        </w:rPr>
        <w:t xml:space="preserve"> i for</w:t>
      </w:r>
      <w:r w:rsidRPr="001366B4">
        <w:rPr>
          <w:noProof/>
        </w:rPr>
        <w:t>ordningen om asylproceduren)</w:t>
      </w:r>
    </w:p>
    <w:p w:rsidR="00693ED0" w:rsidRPr="001366B4" w:rsidRDefault="00693ED0" w:rsidP="00693ED0">
      <w:pPr>
        <w:pStyle w:val="Tiret0"/>
        <w:rPr>
          <w:noProof/>
        </w:rPr>
      </w:pPr>
      <w:r w:rsidRPr="001366B4">
        <w:rPr>
          <w:noProof/>
        </w:rPr>
        <w:t>muligheden for at udpege et tredjeland som "sikkert" med undtagelser for bestemte dele af dets område eller for klart identificerbare personkategorier (betragtning 46 og artikel 59, stk.</w:t>
      </w:r>
      <w:r w:rsidR="00A87ED6" w:rsidRPr="001366B4">
        <w:rPr>
          <w:noProof/>
        </w:rPr>
        <w:t> </w:t>
      </w:r>
      <w:r w:rsidRPr="001366B4">
        <w:rPr>
          <w:noProof/>
        </w:rPr>
        <w:t>2,</w:t>
      </w:r>
      <w:r w:rsidR="00A87ED6" w:rsidRPr="001366B4">
        <w:rPr>
          <w:noProof/>
        </w:rPr>
        <w:t xml:space="preserve"> i for</w:t>
      </w:r>
      <w:r w:rsidRPr="001366B4">
        <w:rPr>
          <w:noProof/>
        </w:rPr>
        <w:t>ordningen om asylproceduren)</w:t>
      </w:r>
    </w:p>
    <w:p w:rsidR="00693ED0" w:rsidRPr="001366B4" w:rsidRDefault="00693ED0" w:rsidP="00693ED0">
      <w:pPr>
        <w:pStyle w:val="Tiret0"/>
        <w:rPr>
          <w:noProof/>
        </w:rPr>
      </w:pPr>
      <w:r w:rsidRPr="001366B4">
        <w:rPr>
          <w:noProof/>
        </w:rPr>
        <w:t>indførelse af en formodning om sikkerhed i de tredjelande, som EU har indgået en aftale omhandlende status som sikkert tredjeland med</w:t>
      </w:r>
      <w:r w:rsidR="00A87ED6" w:rsidRPr="001366B4">
        <w:rPr>
          <w:noProof/>
        </w:rPr>
        <w:t xml:space="preserve"> i hen</w:t>
      </w:r>
      <w:r w:rsidRPr="001366B4">
        <w:rPr>
          <w:noProof/>
        </w:rPr>
        <w:t>hold til artikel 218 i TEUF (artikel 59, stk.</w:t>
      </w:r>
      <w:r w:rsidR="00A87ED6" w:rsidRPr="001366B4">
        <w:rPr>
          <w:noProof/>
        </w:rPr>
        <w:t> </w:t>
      </w:r>
      <w:r w:rsidRPr="001366B4">
        <w:rPr>
          <w:noProof/>
        </w:rPr>
        <w:t>7,</w:t>
      </w:r>
      <w:r w:rsidR="00A87ED6" w:rsidRPr="001366B4">
        <w:rPr>
          <w:noProof/>
        </w:rPr>
        <w:t xml:space="preserve"> i for</w:t>
      </w:r>
      <w:r w:rsidRPr="001366B4">
        <w:rPr>
          <w:noProof/>
        </w:rPr>
        <w:t>ordningen om asylproceduren)</w:t>
      </w:r>
    </w:p>
    <w:p w:rsidR="004C7BE1" w:rsidRPr="001366B4" w:rsidRDefault="00693ED0" w:rsidP="004C7BE1">
      <w:pPr>
        <w:pStyle w:val="Tiret0"/>
        <w:rPr>
          <w:noProof/>
        </w:rPr>
      </w:pPr>
      <w:r w:rsidRPr="001366B4">
        <w:rPr>
          <w:noProof/>
        </w:rPr>
        <w:t>indførelse af muligheden for at vedtage fælles lister over sikre tredjelande udpeget på EU-plan uden at udelukke medlemsstaternes mulighed for at udpege yderligere sikre tredjelande på nationalt plan (betragtning 81 og artikel 60, 63 og</w:t>
      </w:r>
      <w:r w:rsidR="00A87ED6" w:rsidRPr="001366B4">
        <w:rPr>
          <w:noProof/>
        </w:rPr>
        <w:t> </w:t>
      </w:r>
      <w:r w:rsidRPr="001366B4">
        <w:rPr>
          <w:noProof/>
        </w:rPr>
        <w:t>64</w:t>
      </w:r>
      <w:r w:rsidR="00A87ED6" w:rsidRPr="001366B4">
        <w:rPr>
          <w:noProof/>
        </w:rPr>
        <w:t xml:space="preserve"> i for</w:t>
      </w:r>
      <w:r w:rsidRPr="001366B4">
        <w:rPr>
          <w:noProof/>
        </w:rPr>
        <w:t>ordningen om asylproceduren).</w:t>
      </w:r>
    </w:p>
    <w:p w:rsidR="005D4B74" w:rsidRPr="001366B4" w:rsidRDefault="005D4B74" w:rsidP="004C7BE1">
      <w:pPr>
        <w:rPr>
          <w:noProof/>
        </w:rPr>
      </w:pPr>
      <w:r w:rsidRPr="001366B4">
        <w:rPr>
          <w:noProof/>
        </w:rPr>
        <w:t>De nye bestemmelser finder anvendelse fra juni 2026</w:t>
      </w:r>
      <w:r w:rsidR="00A87ED6" w:rsidRPr="001366B4">
        <w:rPr>
          <w:noProof/>
        </w:rPr>
        <w:t>. I for</w:t>
      </w:r>
      <w:r w:rsidRPr="001366B4">
        <w:rPr>
          <w:noProof/>
        </w:rPr>
        <w:t>bindelse med artikel 59, stk.</w:t>
      </w:r>
      <w:r w:rsidR="00A87ED6" w:rsidRPr="001366B4">
        <w:rPr>
          <w:noProof/>
        </w:rPr>
        <w:t> </w:t>
      </w:r>
      <w:r w:rsidRPr="001366B4">
        <w:rPr>
          <w:noProof/>
        </w:rPr>
        <w:t>2,</w:t>
      </w:r>
      <w:r w:rsidR="00A87ED6" w:rsidRPr="001366B4">
        <w:rPr>
          <w:noProof/>
        </w:rPr>
        <w:t xml:space="preserve"> i for</w:t>
      </w:r>
      <w:r w:rsidRPr="001366B4">
        <w:rPr>
          <w:noProof/>
        </w:rPr>
        <w:t>ordningen om asylproceduren vedrørende muligheden for at udpege et tredjeland som "sikkert" med territoriale undtagelser og/eller kategoribaserede undtagelser foreslog Kommissionen for nylig at fremskynde anvendelsen heraf</w:t>
      </w:r>
      <w:r w:rsidRPr="001366B4">
        <w:rPr>
          <w:rStyle w:val="FootnoteReference"/>
          <w:noProof/>
        </w:rPr>
        <w:footnoteReference w:id="5"/>
      </w:r>
      <w:r w:rsidRPr="001366B4">
        <w:rPr>
          <w:noProof/>
        </w:rPr>
        <w:t xml:space="preserve">. </w:t>
      </w:r>
    </w:p>
    <w:p w:rsidR="004C7BE1" w:rsidRPr="001366B4" w:rsidRDefault="003E5D9E" w:rsidP="004C7BE1">
      <w:pPr>
        <w:rPr>
          <w:noProof/>
        </w:rPr>
      </w:pPr>
      <w:r w:rsidRPr="001366B4">
        <w:rPr>
          <w:noProof/>
        </w:rPr>
        <w:t>Europa-Parlamentet og Rådet mente, at der kan være behov for yderligere lovgivningsmæssige ændringer, selv inden forordningen om asylproceduren finder anvendelse. Det følger heraf, at artikel 77</w:t>
      </w:r>
      <w:r w:rsidR="00A87ED6" w:rsidRPr="001366B4">
        <w:rPr>
          <w:noProof/>
        </w:rPr>
        <w:t xml:space="preserve"> i </w:t>
      </w:r>
      <w:bookmarkStart w:id="1" w:name="_Hlk190544825"/>
      <w:r w:rsidR="00A87ED6" w:rsidRPr="001366B4">
        <w:rPr>
          <w:noProof/>
        </w:rPr>
        <w:t>for</w:t>
      </w:r>
      <w:r w:rsidRPr="001366B4">
        <w:rPr>
          <w:noProof/>
        </w:rPr>
        <w:t>ordningen om asylproceduren</w:t>
      </w:r>
      <w:bookmarkEnd w:id="1"/>
      <w:r w:rsidRPr="001366B4">
        <w:rPr>
          <w:noProof/>
        </w:rPr>
        <w:t xml:space="preserve"> pålægger Kommissionen at evaluere begrebet sikkert tredjeland senest den</w:t>
      </w:r>
      <w:r w:rsidR="00A87ED6" w:rsidRPr="001366B4">
        <w:rPr>
          <w:noProof/>
        </w:rPr>
        <w:t> </w:t>
      </w:r>
      <w:r w:rsidRPr="001366B4">
        <w:rPr>
          <w:noProof/>
        </w:rPr>
        <w:t>12. juni 2025 og, hvor det er relevant, foreslå målrettede ændringer.</w:t>
      </w:r>
    </w:p>
    <w:p w:rsidR="00693ED0" w:rsidRPr="001366B4" w:rsidRDefault="00693ED0" w:rsidP="00693ED0">
      <w:pPr>
        <w:pStyle w:val="ManualHeading2"/>
        <w:rPr>
          <w:noProof/>
          <w:color w:val="000000"/>
          <w:bdr w:val="nil"/>
        </w:rPr>
      </w:pPr>
      <w:r w:rsidRPr="001366B4">
        <w:rPr>
          <w:noProof/>
          <w:color w:val="000000"/>
          <w:bdr w:val="nil"/>
        </w:rPr>
        <w:t>•</w:t>
      </w:r>
      <w:r w:rsidRPr="001366B4">
        <w:rPr>
          <w:noProof/>
        </w:rPr>
        <w:tab/>
        <w:t>Evaluering af begrebet sikkert tredjeland</w:t>
      </w:r>
    </w:p>
    <w:p w:rsidR="005C3255" w:rsidRPr="001366B4" w:rsidRDefault="005C3255" w:rsidP="005C3255">
      <w:pPr>
        <w:rPr>
          <w:bCs/>
          <w:noProof/>
        </w:rPr>
      </w:pPr>
      <w:r w:rsidRPr="001366B4">
        <w:rPr>
          <w:noProof/>
        </w:rPr>
        <w:t>Kommissionen har valgt en holistisk tilgang til evalueringen</w:t>
      </w:r>
      <w:r w:rsidR="00A87ED6" w:rsidRPr="001366B4">
        <w:rPr>
          <w:noProof/>
        </w:rPr>
        <w:t xml:space="preserve"> i ove</w:t>
      </w:r>
      <w:r w:rsidRPr="001366B4">
        <w:rPr>
          <w:noProof/>
        </w:rPr>
        <w:t>rensstemmelse med forpligtelsen</w:t>
      </w:r>
      <w:r w:rsidR="00A87ED6" w:rsidRPr="001366B4">
        <w:rPr>
          <w:noProof/>
        </w:rPr>
        <w:t xml:space="preserve"> i art</w:t>
      </w:r>
      <w:r w:rsidRPr="001366B4">
        <w:rPr>
          <w:noProof/>
        </w:rPr>
        <w:t>ikel 77</w:t>
      </w:r>
      <w:r w:rsidR="00A87ED6" w:rsidRPr="001366B4">
        <w:rPr>
          <w:noProof/>
        </w:rPr>
        <w:t xml:space="preserve"> i for</w:t>
      </w:r>
      <w:r w:rsidRPr="001366B4">
        <w:rPr>
          <w:noProof/>
        </w:rPr>
        <w:t>ordningen om asylproceduren</w:t>
      </w:r>
      <w:r w:rsidRPr="001366B4">
        <w:rPr>
          <w:rStyle w:val="FootnoteReference"/>
          <w:bCs/>
          <w:noProof/>
        </w:rPr>
        <w:footnoteReference w:id="6"/>
      </w:r>
      <w:r w:rsidRPr="001366B4">
        <w:rPr>
          <w:noProof/>
        </w:rPr>
        <w:t xml:space="preserve">. </w:t>
      </w:r>
    </w:p>
    <w:p w:rsidR="005C3255" w:rsidRPr="001366B4" w:rsidRDefault="005C3255" w:rsidP="005C3255">
      <w:pPr>
        <w:rPr>
          <w:noProof/>
        </w:rPr>
      </w:pPr>
      <w:r w:rsidRPr="001366B4">
        <w:rPr>
          <w:noProof/>
        </w:rPr>
        <w:t>Som led</w:t>
      </w:r>
      <w:r w:rsidR="00A87ED6" w:rsidRPr="001366B4">
        <w:rPr>
          <w:noProof/>
        </w:rPr>
        <w:t xml:space="preserve"> i den</w:t>
      </w:r>
      <w:r w:rsidRPr="001366B4">
        <w:rPr>
          <w:noProof/>
        </w:rPr>
        <w:t>ne evaluering undersøgte Kommissionen elementerne vedrørende begrebet sikkert tredjeland og dets anvendelse</w:t>
      </w:r>
      <w:r w:rsidR="00A87ED6" w:rsidRPr="001366B4">
        <w:rPr>
          <w:noProof/>
        </w:rPr>
        <w:t xml:space="preserve"> i hen</w:t>
      </w:r>
      <w:r w:rsidRPr="001366B4">
        <w:rPr>
          <w:noProof/>
        </w:rPr>
        <w:t xml:space="preserve">hold til forordningen om asylproceduren. Disse omfatter: </w:t>
      </w:r>
    </w:p>
    <w:p w:rsidR="005C3255" w:rsidRPr="001366B4" w:rsidRDefault="00A87ED6" w:rsidP="00A87ED6">
      <w:pPr>
        <w:pStyle w:val="Point0"/>
        <w:rPr>
          <w:noProof/>
        </w:rPr>
      </w:pPr>
      <w:r w:rsidRPr="001366B4">
        <w:rPr>
          <w:noProof/>
        </w:rPr>
        <w:t>1)</w:t>
      </w:r>
      <w:r w:rsidRPr="001366B4">
        <w:rPr>
          <w:noProof/>
        </w:rPr>
        <w:tab/>
      </w:r>
      <w:r w:rsidR="005C3255" w:rsidRPr="001366B4">
        <w:rPr>
          <w:noProof/>
        </w:rPr>
        <w:t xml:space="preserve">de betingelser, som et tredjeland skal opfylde for at kunne blive betragtet som </w:t>
      </w:r>
      <w:r w:rsidR="005C3255" w:rsidRPr="001366B4">
        <w:rPr>
          <w:b/>
          <w:noProof/>
        </w:rPr>
        <w:t>"sikkert"</w:t>
      </w:r>
      <w:r w:rsidR="005C3255" w:rsidRPr="001366B4">
        <w:rPr>
          <w:noProof/>
        </w:rPr>
        <w:t>, jf. artikel 59</w:t>
      </w:r>
      <w:r w:rsidRPr="001366B4">
        <w:rPr>
          <w:noProof/>
        </w:rPr>
        <w:t xml:space="preserve"> i for</w:t>
      </w:r>
      <w:r w:rsidR="005C3255" w:rsidRPr="001366B4">
        <w:rPr>
          <w:noProof/>
        </w:rPr>
        <w:t>ordningen om asylproceduren</w:t>
      </w:r>
      <w:r w:rsidRPr="001366B4">
        <w:rPr>
          <w:noProof/>
        </w:rPr>
        <w:t>. I </w:t>
      </w:r>
      <w:bookmarkStart w:id="2" w:name="_Int_nwHjy98B"/>
      <w:r w:rsidRPr="001366B4">
        <w:rPr>
          <w:noProof/>
        </w:rPr>
        <w:t>det</w:t>
      </w:r>
      <w:r w:rsidR="005C3255" w:rsidRPr="001366B4">
        <w:rPr>
          <w:noProof/>
        </w:rPr>
        <w:t xml:space="preserve"> væsentlige bør der</w:t>
      </w:r>
      <w:bookmarkEnd w:id="2"/>
      <w:r w:rsidR="005C3255" w:rsidRPr="001366B4">
        <w:rPr>
          <w:noProof/>
        </w:rPr>
        <w:t xml:space="preserve"> ikke være nogen risiko for forfølgelse eller alvorlig overlast</w:t>
      </w:r>
      <w:r w:rsidRPr="001366B4">
        <w:rPr>
          <w:noProof/>
        </w:rPr>
        <w:t xml:space="preserve"> i det</w:t>
      </w:r>
      <w:r w:rsidR="005C3255" w:rsidRPr="001366B4">
        <w:rPr>
          <w:noProof/>
        </w:rPr>
        <w:t xml:space="preserve"> pågældende tredjeland. Der skal være mulighed for at anmode om og, hvis betingelserne er opfyldt, modtage </w:t>
      </w:r>
      <w:r w:rsidR="005C3255" w:rsidRPr="001366B4">
        <w:rPr>
          <w:b/>
          <w:noProof/>
        </w:rPr>
        <w:t>effektiv</w:t>
      </w:r>
      <w:r w:rsidR="005C3255" w:rsidRPr="001366B4">
        <w:rPr>
          <w:noProof/>
        </w:rPr>
        <w:t xml:space="preserve"> </w:t>
      </w:r>
      <w:r w:rsidR="005C3255" w:rsidRPr="001366B4">
        <w:rPr>
          <w:b/>
          <w:noProof/>
        </w:rPr>
        <w:t>beskyttelse</w:t>
      </w:r>
      <w:r w:rsidR="005C3255" w:rsidRPr="001366B4">
        <w:rPr>
          <w:noProof/>
        </w:rPr>
        <w:t xml:space="preserve"> som defineret</w:t>
      </w:r>
      <w:r w:rsidRPr="001366B4">
        <w:rPr>
          <w:noProof/>
        </w:rPr>
        <w:t xml:space="preserve"> i art</w:t>
      </w:r>
      <w:r w:rsidR="005C3255" w:rsidRPr="001366B4">
        <w:rPr>
          <w:noProof/>
        </w:rPr>
        <w:t>ikel 57</w:t>
      </w:r>
      <w:r w:rsidRPr="001366B4">
        <w:rPr>
          <w:noProof/>
        </w:rPr>
        <w:t xml:space="preserve"> i for</w:t>
      </w:r>
      <w:r w:rsidR="005C3255" w:rsidRPr="001366B4">
        <w:rPr>
          <w:noProof/>
        </w:rPr>
        <w:t xml:space="preserve">ordningen om asylproceduren. Princippet om </w:t>
      </w:r>
      <w:r w:rsidR="005C3255" w:rsidRPr="001366B4">
        <w:rPr>
          <w:i/>
          <w:noProof/>
        </w:rPr>
        <w:t>non-refoulement</w:t>
      </w:r>
      <w:r w:rsidR="005C3255" w:rsidRPr="001366B4">
        <w:rPr>
          <w:noProof/>
        </w:rPr>
        <w:t xml:space="preserve"> skal endvidere respekteres</w:t>
      </w:r>
    </w:p>
    <w:p w:rsidR="005C3255" w:rsidRPr="001366B4" w:rsidRDefault="00A87ED6" w:rsidP="00A87ED6">
      <w:pPr>
        <w:pStyle w:val="Point0"/>
        <w:rPr>
          <w:noProof/>
        </w:rPr>
      </w:pPr>
      <w:r w:rsidRPr="001366B4">
        <w:rPr>
          <w:noProof/>
        </w:rPr>
        <w:t>2)</w:t>
      </w:r>
      <w:r w:rsidRPr="001366B4">
        <w:rPr>
          <w:noProof/>
        </w:rPr>
        <w:tab/>
      </w:r>
      <w:r w:rsidR="005C3255" w:rsidRPr="001366B4">
        <w:rPr>
          <w:noProof/>
        </w:rPr>
        <w:t xml:space="preserve">eksistensen af en </w:t>
      </w:r>
      <w:r w:rsidR="005C3255" w:rsidRPr="001366B4">
        <w:rPr>
          <w:b/>
          <w:noProof/>
        </w:rPr>
        <w:t>forbindelse</w:t>
      </w:r>
      <w:r w:rsidR="005C3255" w:rsidRPr="001366B4">
        <w:rPr>
          <w:noProof/>
        </w:rPr>
        <w:t xml:space="preserve"> mellem ansøgeren og tredjelandet, hvilket betyder, at der skal være en forbindelse mellem asylansøgeren og det sikre tredjeland, som gør det rimeligt at overføre ansøgeren til dette sikre tredjeland </w:t>
      </w:r>
    </w:p>
    <w:p w:rsidR="005C3255" w:rsidRPr="001366B4" w:rsidRDefault="00A87ED6" w:rsidP="00A87ED6">
      <w:pPr>
        <w:pStyle w:val="Point0"/>
        <w:rPr>
          <w:noProof/>
          <w:sz w:val="22"/>
        </w:rPr>
      </w:pPr>
      <w:r w:rsidRPr="001366B4">
        <w:rPr>
          <w:b/>
          <w:noProof/>
        </w:rPr>
        <w:t>3)</w:t>
      </w:r>
      <w:r w:rsidRPr="001366B4">
        <w:rPr>
          <w:b/>
          <w:noProof/>
        </w:rPr>
        <w:tab/>
      </w:r>
      <w:r w:rsidR="005C3255" w:rsidRPr="001366B4">
        <w:rPr>
          <w:b/>
          <w:noProof/>
        </w:rPr>
        <w:t>garantier for retfærdig sagsbehandling</w:t>
      </w:r>
      <w:r w:rsidR="005C3255" w:rsidRPr="001366B4">
        <w:rPr>
          <w:noProof/>
        </w:rPr>
        <w:t xml:space="preserve"> som fastsat</w:t>
      </w:r>
      <w:r w:rsidRPr="001366B4">
        <w:rPr>
          <w:noProof/>
        </w:rPr>
        <w:t xml:space="preserve"> i for</w:t>
      </w:r>
      <w:r w:rsidR="005C3255" w:rsidRPr="001366B4">
        <w:rPr>
          <w:noProof/>
        </w:rPr>
        <w:t xml:space="preserve">ordningen om asylproceduren, der skal overholdes af de medlemsstater, der anvender begrebet, navnlig en </w:t>
      </w:r>
      <w:r w:rsidR="005C3255" w:rsidRPr="001366B4">
        <w:rPr>
          <w:noProof/>
          <w:u w:val="single"/>
        </w:rPr>
        <w:t>individuel vurdering fra sag til sag</w:t>
      </w:r>
      <w:r w:rsidR="005C3255" w:rsidRPr="001366B4">
        <w:rPr>
          <w:noProof/>
        </w:rPr>
        <w:t xml:space="preserve"> af, om landet er sikkert for hver af de berørte ansøgere, samt </w:t>
      </w:r>
      <w:r w:rsidR="005C3255" w:rsidRPr="001366B4">
        <w:rPr>
          <w:noProof/>
          <w:u w:val="single"/>
        </w:rPr>
        <w:t>ansøgerens mulighed for</w:t>
      </w:r>
      <w:r w:rsidRPr="001366B4">
        <w:rPr>
          <w:noProof/>
          <w:u w:val="single"/>
        </w:rPr>
        <w:t xml:space="preserve"> i ret</w:t>
      </w:r>
      <w:r w:rsidR="005C3255" w:rsidRPr="001366B4">
        <w:rPr>
          <w:noProof/>
          <w:u w:val="single"/>
        </w:rPr>
        <w:t>ten at gøre indsigelse mod</w:t>
      </w:r>
      <w:r w:rsidR="005C3255" w:rsidRPr="001366B4">
        <w:rPr>
          <w:noProof/>
        </w:rPr>
        <w:t xml:space="preserve"> både eksistensen af en forbindelse til det pågældende tredjeland og </w:t>
      </w:r>
      <w:r w:rsidR="005C3255" w:rsidRPr="001366B4">
        <w:rPr>
          <w:noProof/>
          <w:u w:val="single"/>
        </w:rPr>
        <w:t>klagesagers</w:t>
      </w:r>
      <w:r w:rsidR="005C3255" w:rsidRPr="001366B4">
        <w:rPr>
          <w:noProof/>
        </w:rPr>
        <w:t xml:space="preserve"> </w:t>
      </w:r>
      <w:r w:rsidR="005C3255" w:rsidRPr="001366B4">
        <w:rPr>
          <w:noProof/>
          <w:u w:val="single"/>
        </w:rPr>
        <w:t>automatiske opsættende virkning</w:t>
      </w:r>
      <w:r w:rsidR="005C3255" w:rsidRPr="001366B4">
        <w:rPr>
          <w:noProof/>
        </w:rPr>
        <w:t>, og det forhold, at landet ville være sikkert</w:t>
      </w:r>
      <w:r w:rsidRPr="001366B4">
        <w:rPr>
          <w:noProof/>
        </w:rPr>
        <w:t xml:space="preserve"> i bet</w:t>
      </w:r>
      <w:r w:rsidR="005C3255" w:rsidRPr="001366B4">
        <w:rPr>
          <w:noProof/>
        </w:rPr>
        <w:t xml:space="preserve">ragtning af hans/hendes særlige omstændigheder (mulighed for at afkræfte formodningen om sikkerhed). </w:t>
      </w:r>
    </w:p>
    <w:p w:rsidR="00693ED0" w:rsidRPr="001366B4" w:rsidRDefault="005C3255" w:rsidP="005C3255">
      <w:pPr>
        <w:rPr>
          <w:noProof/>
        </w:rPr>
      </w:pPr>
      <w:r w:rsidRPr="001366B4">
        <w:rPr>
          <w:noProof/>
        </w:rPr>
        <w:t>Som følge af denne evaluering og efter en omhyggelig analyse konkluderede Kommissionen, at forbindelseskriteriet bør revideres, da det ikke udgør et krav</w:t>
      </w:r>
      <w:r w:rsidR="00A87ED6" w:rsidRPr="001366B4">
        <w:rPr>
          <w:noProof/>
        </w:rPr>
        <w:t xml:space="preserve"> i hen</w:t>
      </w:r>
      <w:r w:rsidRPr="001366B4">
        <w:rPr>
          <w:noProof/>
        </w:rPr>
        <w:t>hold til folkeretten. Det samme gælder den automatiske opsættende virkning</w:t>
      </w:r>
      <w:r w:rsidR="00A87ED6" w:rsidRPr="001366B4">
        <w:rPr>
          <w:noProof/>
        </w:rPr>
        <w:t xml:space="preserve"> i for</w:t>
      </w:r>
      <w:r w:rsidRPr="001366B4">
        <w:rPr>
          <w:noProof/>
        </w:rPr>
        <w:t>bindelse med klagesager. Kommissionen vurderede imidlertid, at kriterierne for tredjelandets "sikkerhed" ikke bør revideres, da de allerede er tilpasset de minimumsstandarder, der kræves</w:t>
      </w:r>
      <w:r w:rsidR="00A87ED6" w:rsidRPr="001366B4">
        <w:rPr>
          <w:noProof/>
        </w:rPr>
        <w:t xml:space="preserve"> i hen</w:t>
      </w:r>
      <w:r w:rsidRPr="001366B4">
        <w:rPr>
          <w:noProof/>
        </w:rPr>
        <w:t>hold til folkeretten</w:t>
      </w:r>
      <w:r w:rsidRPr="001366B4">
        <w:rPr>
          <w:rStyle w:val="FootnoteReference"/>
          <w:noProof/>
        </w:rPr>
        <w:footnoteReference w:id="7"/>
      </w:r>
      <w:r w:rsidRPr="001366B4">
        <w:rPr>
          <w:noProof/>
        </w:rPr>
        <w:t>. Andre aspekter</w:t>
      </w:r>
      <w:r w:rsidR="00A87ED6" w:rsidRPr="001366B4">
        <w:rPr>
          <w:noProof/>
        </w:rPr>
        <w:t xml:space="preserve"> i for</w:t>
      </w:r>
      <w:r w:rsidRPr="001366B4">
        <w:rPr>
          <w:noProof/>
        </w:rPr>
        <w:t>bindelse med en retfærdig sagsbehandling, herunder den individuelle vurdering, er krav</w:t>
      </w:r>
      <w:r w:rsidR="00A87ED6" w:rsidRPr="001366B4">
        <w:rPr>
          <w:noProof/>
        </w:rPr>
        <w:t xml:space="preserve"> i hen</w:t>
      </w:r>
      <w:r w:rsidRPr="001366B4">
        <w:rPr>
          <w:noProof/>
        </w:rPr>
        <w:t xml:space="preserve">hold til EU-retten og folkeretten og retspraksis, der er afgørende for at beskytte enkeltpersoner mod </w:t>
      </w:r>
      <w:r w:rsidRPr="001366B4">
        <w:rPr>
          <w:i/>
          <w:noProof/>
        </w:rPr>
        <w:t>refoulement</w:t>
      </w:r>
      <w:r w:rsidRPr="001366B4">
        <w:rPr>
          <w:noProof/>
        </w:rPr>
        <w:t xml:space="preserve"> og bevare deres grundlæggende rettigheder</w:t>
      </w:r>
      <w:r w:rsidR="00A87ED6" w:rsidRPr="001366B4">
        <w:rPr>
          <w:noProof/>
        </w:rPr>
        <w:t>. I bet</w:t>
      </w:r>
      <w:r w:rsidRPr="001366B4">
        <w:rPr>
          <w:noProof/>
        </w:rPr>
        <w:t>ragtning af deres bindende karakter</w:t>
      </w:r>
      <w:r w:rsidR="00A87ED6" w:rsidRPr="001366B4">
        <w:rPr>
          <w:noProof/>
        </w:rPr>
        <w:t xml:space="preserve"> i hen</w:t>
      </w:r>
      <w:r w:rsidRPr="001366B4">
        <w:rPr>
          <w:noProof/>
        </w:rPr>
        <w:t>hold til EU-retten og folkeretten skal disse garantier fortsat være gældende</w:t>
      </w:r>
      <w:r w:rsidRPr="001366B4">
        <w:rPr>
          <w:rStyle w:val="FootnoteReference"/>
          <w:noProof/>
        </w:rPr>
        <w:footnoteReference w:id="8"/>
      </w:r>
      <w:r w:rsidRPr="001366B4">
        <w:rPr>
          <w:noProof/>
        </w:rPr>
        <w:t xml:space="preserve">. </w:t>
      </w:r>
    </w:p>
    <w:p w:rsidR="00693ED0" w:rsidRPr="001366B4" w:rsidRDefault="008C6481" w:rsidP="00693ED0">
      <w:pPr>
        <w:rPr>
          <w:noProof/>
        </w:rPr>
      </w:pPr>
      <w:r w:rsidRPr="001366B4">
        <w:rPr>
          <w:noProof/>
        </w:rPr>
        <w:t xml:space="preserve">Derfor er følgende to elementer blevet identificeret med henblik på en målrettet ændring af forordningen om asylproceduren: </w:t>
      </w:r>
    </w:p>
    <w:p w:rsidR="00693ED0" w:rsidRPr="001366B4" w:rsidRDefault="00A87ED6" w:rsidP="00A87ED6">
      <w:pPr>
        <w:pStyle w:val="Point1"/>
        <w:rPr>
          <w:noProof/>
        </w:rPr>
      </w:pPr>
      <w:r w:rsidRPr="001366B4">
        <w:rPr>
          <w:noProof/>
        </w:rPr>
        <w:t>a)</w:t>
      </w:r>
      <w:r w:rsidRPr="001366B4">
        <w:rPr>
          <w:noProof/>
        </w:rPr>
        <w:tab/>
      </w:r>
      <w:r w:rsidR="00693ED0" w:rsidRPr="001366B4">
        <w:rPr>
          <w:noProof/>
        </w:rPr>
        <w:t>kravet om en forbindelse mellem ansøgeren og tredjelandet (</w:t>
      </w:r>
      <w:r w:rsidR="00693ED0" w:rsidRPr="001366B4">
        <w:rPr>
          <w:b/>
          <w:noProof/>
        </w:rPr>
        <w:t>forbindelseskriterium</w:t>
      </w:r>
      <w:r w:rsidR="00693ED0" w:rsidRPr="001366B4">
        <w:rPr>
          <w:noProof/>
        </w:rPr>
        <w:t>) og</w:t>
      </w:r>
    </w:p>
    <w:p w:rsidR="00693ED0" w:rsidRPr="001366B4" w:rsidRDefault="00A87ED6" w:rsidP="00A87ED6">
      <w:pPr>
        <w:pStyle w:val="Point1"/>
        <w:rPr>
          <w:noProof/>
        </w:rPr>
      </w:pPr>
      <w:r w:rsidRPr="001366B4">
        <w:rPr>
          <w:noProof/>
        </w:rPr>
        <w:t>b)</w:t>
      </w:r>
      <w:r w:rsidRPr="001366B4">
        <w:rPr>
          <w:noProof/>
        </w:rPr>
        <w:tab/>
      </w:r>
      <w:r w:rsidR="00693ED0" w:rsidRPr="001366B4">
        <w:rPr>
          <w:noProof/>
        </w:rPr>
        <w:t xml:space="preserve">den </w:t>
      </w:r>
      <w:r w:rsidR="00693ED0" w:rsidRPr="001366B4">
        <w:rPr>
          <w:b/>
          <w:noProof/>
        </w:rPr>
        <w:t>opsættende virkning som følge af en klagesag</w:t>
      </w:r>
      <w:r w:rsidR="00693ED0" w:rsidRPr="001366B4">
        <w:rPr>
          <w:noProof/>
        </w:rPr>
        <w:t xml:space="preserve"> vedrørende afgørelser om afvisning af en ansøgning som uantagelig på grund af status som sikkert tredjeland. </w:t>
      </w:r>
    </w:p>
    <w:p w:rsidR="00AD23EE" w:rsidRPr="001366B4" w:rsidRDefault="00AD23EE" w:rsidP="007B112E">
      <w:pPr>
        <w:rPr>
          <w:noProof/>
        </w:rPr>
      </w:pPr>
      <w:r w:rsidRPr="001366B4">
        <w:rPr>
          <w:noProof/>
        </w:rPr>
        <w:t>Interessenterne fremhævede forskellige fordele og risici for hvert alternativ som sammenfattet</w:t>
      </w:r>
      <w:r w:rsidR="00A87ED6" w:rsidRPr="001366B4">
        <w:rPr>
          <w:noProof/>
        </w:rPr>
        <w:t xml:space="preserve"> i afs</w:t>
      </w:r>
      <w:r w:rsidRPr="001366B4">
        <w:rPr>
          <w:noProof/>
        </w:rPr>
        <w:t>nittet "Høring af interessenter" nedenfor.</w:t>
      </w:r>
    </w:p>
    <w:p w:rsidR="00693ED0" w:rsidRPr="001366B4" w:rsidRDefault="00693ED0" w:rsidP="00693ED0">
      <w:pPr>
        <w:pStyle w:val="ManualHeading2"/>
        <w:rPr>
          <w:noProof/>
        </w:rPr>
      </w:pPr>
      <w:r w:rsidRPr="001366B4">
        <w:rPr>
          <w:noProof/>
        </w:rPr>
        <w:t>A. Forbindelseskriterium</w:t>
      </w:r>
    </w:p>
    <w:p w:rsidR="00D00F07" w:rsidRPr="001366B4" w:rsidRDefault="001334C4" w:rsidP="00D00F07">
      <w:pPr>
        <w:rPr>
          <w:noProof/>
        </w:rPr>
      </w:pPr>
      <w:r w:rsidRPr="001366B4">
        <w:rPr>
          <w:noProof/>
        </w:rPr>
        <w:t>Kommissionens evaluering viste, at den ikkebindende karakter af forbindelseskriteriet</w:t>
      </w:r>
      <w:r w:rsidR="00A87ED6" w:rsidRPr="001366B4">
        <w:rPr>
          <w:noProof/>
        </w:rPr>
        <w:t xml:space="preserve"> i fol</w:t>
      </w:r>
      <w:r w:rsidRPr="001366B4">
        <w:rPr>
          <w:noProof/>
        </w:rPr>
        <w:t>keretten nødvendiggjorde en revision heraf. Det var også det element vedrørende begrebet sikkert tredjeland</w:t>
      </w:r>
      <w:r w:rsidR="00A87ED6" w:rsidRPr="001366B4">
        <w:rPr>
          <w:noProof/>
        </w:rPr>
        <w:t xml:space="preserve"> i hen</w:t>
      </w:r>
      <w:r w:rsidRPr="001366B4">
        <w:rPr>
          <w:noProof/>
        </w:rPr>
        <w:t>hold til forordningen om asylproceduren, som et betydeligt flertal af medlemsstaterne identificerede som havende den største indvirkning med hensyn til at lette anvendelsen af begrebet. På dette grundlag identificerede og vurderede Kommissionen tre alternativer til revision af forbindelseskriteriet</w:t>
      </w:r>
      <w:r w:rsidR="00A87ED6" w:rsidRPr="001366B4">
        <w:rPr>
          <w:noProof/>
        </w:rPr>
        <w:t xml:space="preserve"> i for</w:t>
      </w:r>
      <w:r w:rsidRPr="001366B4">
        <w:rPr>
          <w:noProof/>
        </w:rPr>
        <w:t>bindelse med forordningen om asylproceduren</w:t>
      </w:r>
      <w:r w:rsidRPr="001366B4">
        <w:rPr>
          <w:rStyle w:val="FootnoteReference"/>
          <w:noProof/>
        </w:rPr>
        <w:footnoteReference w:id="9"/>
      </w:r>
      <w:r w:rsidRPr="001366B4">
        <w:rPr>
          <w:noProof/>
        </w:rPr>
        <w:t>.</w:t>
      </w:r>
    </w:p>
    <w:p w:rsidR="00DB2CC3" w:rsidRPr="001366B4" w:rsidRDefault="00DB2CC3" w:rsidP="00B14813">
      <w:pPr>
        <w:pStyle w:val="ListNumber"/>
        <w:rPr>
          <w:noProof/>
        </w:rPr>
      </w:pPr>
      <w:r w:rsidRPr="001366B4">
        <w:rPr>
          <w:i/>
          <w:noProof/>
        </w:rPr>
        <w:t>Fjernelse af forbindelseskriteriet som obligatorisk krav</w:t>
      </w:r>
      <w:r w:rsidR="00A87ED6" w:rsidRPr="001366B4">
        <w:rPr>
          <w:i/>
          <w:noProof/>
        </w:rPr>
        <w:t xml:space="preserve"> i hen</w:t>
      </w:r>
      <w:r w:rsidRPr="001366B4">
        <w:rPr>
          <w:i/>
          <w:noProof/>
        </w:rPr>
        <w:t>hold til EU-retten</w:t>
      </w:r>
    </w:p>
    <w:p w:rsidR="00A157E1" w:rsidRPr="001366B4" w:rsidRDefault="00DB2CC3" w:rsidP="00A157E1">
      <w:pPr>
        <w:rPr>
          <w:noProof/>
        </w:rPr>
      </w:pPr>
      <w:r w:rsidRPr="001366B4">
        <w:rPr>
          <w:noProof/>
        </w:rPr>
        <w:t>Da forbindelseskriteriet ikke er påkrævet</w:t>
      </w:r>
      <w:r w:rsidR="00A87ED6" w:rsidRPr="001366B4">
        <w:rPr>
          <w:noProof/>
        </w:rPr>
        <w:t xml:space="preserve"> i hen</w:t>
      </w:r>
      <w:r w:rsidRPr="001366B4">
        <w:rPr>
          <w:noProof/>
        </w:rPr>
        <w:t>hold til folkeretten, var et af de alternativer, der blev overvejet, at fjerne dets bindende karakter fra EU-retten og således give medlemsstaterne mulighed for ved anvendelsen af begrebet sikkert tredjeland at vælge, om forbindelseskriteriet skal anvendes eller ej, og hvordan det skal fastlægges</w:t>
      </w:r>
      <w:r w:rsidR="00A87ED6" w:rsidRPr="001366B4">
        <w:rPr>
          <w:noProof/>
        </w:rPr>
        <w:t xml:space="preserve"> i nat</w:t>
      </w:r>
      <w:r w:rsidRPr="001366B4">
        <w:rPr>
          <w:noProof/>
        </w:rPr>
        <w:t xml:space="preserve">ional ret. </w:t>
      </w:r>
    </w:p>
    <w:p w:rsidR="003E74F1" w:rsidRPr="001366B4" w:rsidRDefault="00FD7A85" w:rsidP="00FD7A85">
      <w:pPr>
        <w:rPr>
          <w:noProof/>
        </w:rPr>
      </w:pPr>
      <w:r w:rsidRPr="001366B4">
        <w:rPr>
          <w:noProof/>
        </w:rPr>
        <w:t>Dette alternativ vil lette medlemsstaternes anvendelse af begrebet sikkert tredjeland ved potentielt at udvide antallet af ansøgere, som begrebet kan anvendes på, udvide puljen af tredjelande, som de kan samarbejde med om anvendelsen, og fjerne bevisbyrden forbundet med en forbindelse til et givet sikkert tredjeland. Dette vil mindske den administrative byrde og effektivisere behandlingen af asylansøgninger. Det kan også bidrage til øget ansvarsdeling og eventuelt udvide det globale beskyttelsesområde. Dette alternativ skal anvendes</w:t>
      </w:r>
      <w:r w:rsidR="00A87ED6" w:rsidRPr="001366B4">
        <w:rPr>
          <w:noProof/>
        </w:rPr>
        <w:t xml:space="preserve"> i ove</w:t>
      </w:r>
      <w:r w:rsidRPr="001366B4">
        <w:rPr>
          <w:noProof/>
        </w:rPr>
        <w:t xml:space="preserve">rensstemmelse med EU's charter om grundlæggende rettigheder, herunder børns rettigheder. </w:t>
      </w:r>
    </w:p>
    <w:p w:rsidR="002D0876" w:rsidRPr="001366B4" w:rsidRDefault="007B46F0" w:rsidP="00A46C05">
      <w:pPr>
        <w:rPr>
          <w:noProof/>
        </w:rPr>
      </w:pPr>
      <w:r w:rsidRPr="001366B4">
        <w:rPr>
          <w:noProof/>
        </w:rPr>
        <w:t>Dette alternativ omfattede også muligheden for at udelukke specifikke grupper af sårbare ansøgere eller indføre specifikke foranstaltninger for at forhindre, at den pågældende forsvinder (f.eks. formodning om risiko for, at den pågældende forsvinder, når begrebet sikkert tredjeland anvendes, eller indførelse af en ny grund til frihedsberøvelse</w:t>
      </w:r>
      <w:r w:rsidR="00A87ED6" w:rsidRPr="001366B4">
        <w:rPr>
          <w:noProof/>
        </w:rPr>
        <w:t xml:space="preserve"> i dir</w:t>
      </w:r>
      <w:r w:rsidRPr="001366B4">
        <w:rPr>
          <w:noProof/>
        </w:rPr>
        <w:t>ektivet om modtagelsesforhold). Dette alternativ omfattede også muligheden for at indgå aftaler eller ordninger med tredjelande, der kræver realitetsbehandling af anmodninger om effektiv beskyttelse fra ansøgere, hvis ansøgning blev afvist som uantagelig</w:t>
      </w:r>
      <w:r w:rsidR="00A87ED6" w:rsidRPr="001366B4">
        <w:rPr>
          <w:noProof/>
        </w:rPr>
        <w:t xml:space="preserve"> i lys</w:t>
      </w:r>
      <w:r w:rsidRPr="001366B4">
        <w:rPr>
          <w:noProof/>
        </w:rPr>
        <w:t xml:space="preserve">et af status som sikkert tredjeland. </w:t>
      </w:r>
    </w:p>
    <w:p w:rsidR="00A8564C" w:rsidRPr="001366B4" w:rsidRDefault="00C51C8F" w:rsidP="00A46C05">
      <w:pPr>
        <w:rPr>
          <w:noProof/>
        </w:rPr>
      </w:pPr>
      <w:r w:rsidRPr="001366B4">
        <w:rPr>
          <w:noProof/>
        </w:rPr>
        <w:t>Disse elementer indgår</w:t>
      </w:r>
      <w:r w:rsidR="00A87ED6" w:rsidRPr="001366B4">
        <w:rPr>
          <w:noProof/>
        </w:rPr>
        <w:t xml:space="preserve"> i det</w:t>
      </w:r>
      <w:r w:rsidRPr="001366B4">
        <w:rPr>
          <w:noProof/>
        </w:rPr>
        <w:t xml:space="preserve">te lovgivningsforslag. </w:t>
      </w:r>
    </w:p>
    <w:p w:rsidR="00DB2CC3" w:rsidRPr="001366B4" w:rsidRDefault="00DB2CC3" w:rsidP="00E9583C">
      <w:pPr>
        <w:pStyle w:val="ListNumber"/>
        <w:rPr>
          <w:i/>
          <w:noProof/>
        </w:rPr>
      </w:pPr>
      <w:r w:rsidRPr="001366B4">
        <w:rPr>
          <w:i/>
          <w:noProof/>
        </w:rPr>
        <w:t>Transit som et tilstrækkeligt kriterium</w:t>
      </w:r>
    </w:p>
    <w:p w:rsidR="003E74F1" w:rsidRPr="001366B4" w:rsidRDefault="003E74F1" w:rsidP="001F7A07">
      <w:pPr>
        <w:widowControl w:val="0"/>
        <w:rPr>
          <w:noProof/>
        </w:rPr>
      </w:pPr>
      <w:r w:rsidRPr="001366B4">
        <w:rPr>
          <w:noProof/>
        </w:rPr>
        <w:t xml:space="preserve">Et andet alternativ var at overveje, at ansøgerens blotte transit gennem et sikkert tredjeland er et tilstrækkeligt kriterium for at anvende begrebet sikkert tredjeland på de berørte personer. </w:t>
      </w:r>
    </w:p>
    <w:p w:rsidR="002E49B8" w:rsidRPr="001366B4" w:rsidRDefault="001B7301" w:rsidP="002E49B8">
      <w:pPr>
        <w:rPr>
          <w:noProof/>
        </w:rPr>
      </w:pPr>
      <w:r w:rsidRPr="001366B4">
        <w:rPr>
          <w:noProof/>
        </w:rPr>
        <w:t>Medtagelsen af transit som et kriterium vil skabe en yderligere objektiv forbindelse mellem ansøgeren og det sikre tredjeland, da det med rimelighed kan forventes, at en person, der søger international beskyttelse, kunne have ansøgt om beskyttelse</w:t>
      </w:r>
      <w:r w:rsidR="00A87ED6" w:rsidRPr="001366B4">
        <w:rPr>
          <w:noProof/>
        </w:rPr>
        <w:t xml:space="preserve"> i det</w:t>
      </w:r>
      <w:r w:rsidRPr="001366B4">
        <w:rPr>
          <w:noProof/>
        </w:rPr>
        <w:t xml:space="preserve"> sikre tredjeland, som den pågældende rejste igennem. Denne fortolkning er</w:t>
      </w:r>
      <w:r w:rsidR="00A87ED6" w:rsidRPr="001366B4">
        <w:rPr>
          <w:noProof/>
        </w:rPr>
        <w:t xml:space="preserve"> i ove</w:t>
      </w:r>
      <w:r w:rsidRPr="001366B4">
        <w:rPr>
          <w:noProof/>
        </w:rPr>
        <w:t>rensstemmelse med den tilgang, som Kommissionen anlagde</w:t>
      </w:r>
      <w:r w:rsidR="00A87ED6" w:rsidRPr="001366B4">
        <w:rPr>
          <w:noProof/>
        </w:rPr>
        <w:t xml:space="preserve"> i sit</w:t>
      </w:r>
      <w:r w:rsidRPr="001366B4">
        <w:rPr>
          <w:noProof/>
        </w:rPr>
        <w:t xml:space="preserve"> forslag fra</w:t>
      </w:r>
      <w:r w:rsidR="00A87ED6" w:rsidRPr="001366B4">
        <w:rPr>
          <w:noProof/>
        </w:rPr>
        <w:t> </w:t>
      </w:r>
      <w:r w:rsidRPr="001366B4">
        <w:rPr>
          <w:noProof/>
        </w:rPr>
        <w:t>2016 til en forordning om asylprocedurer</w:t>
      </w:r>
      <w:r w:rsidRPr="001366B4">
        <w:rPr>
          <w:rStyle w:val="FootnoteReference"/>
          <w:noProof/>
        </w:rPr>
        <w:footnoteReference w:id="10"/>
      </w:r>
      <w:r w:rsidRPr="001366B4">
        <w:rPr>
          <w:noProof/>
        </w:rPr>
        <w:t xml:space="preserve">, hvor den anerkendte, at transit gennem et sikkert tredjeland kunne være tilstrækkeligt til at anvende begrebet sikkert tredjeland. Anerkendes transit som en gyldig objektiv forbindelse, bliver det lettere at anvende begrebet, samtidig med at rækken af tredjelande, som medlemsstaterne kan samarbejde med om asylspørgsmål, muligvis udvides. Det vil være medlemsstaternes kompetente asylmyndigheders ansvar at bevise en sådan transit. </w:t>
      </w:r>
    </w:p>
    <w:p w:rsidR="00A8564C" w:rsidRPr="001366B4" w:rsidRDefault="007B46F0" w:rsidP="003E74F1">
      <w:pPr>
        <w:rPr>
          <w:noProof/>
          <w:highlight w:val="yellow"/>
        </w:rPr>
      </w:pPr>
      <w:r w:rsidRPr="001366B4">
        <w:rPr>
          <w:noProof/>
        </w:rPr>
        <w:t>Muligheden for at indføre en specifik afkræftelig formodning om transit blev overvejet. Herved ville det kunne antages, at en person, der rejser ind i EU's område på irregulær vis, og som ikke er</w:t>
      </w:r>
      <w:r w:rsidR="00A87ED6" w:rsidRPr="001366B4">
        <w:rPr>
          <w:noProof/>
        </w:rPr>
        <w:t xml:space="preserve"> i sta</w:t>
      </w:r>
      <w:r w:rsidRPr="001366B4">
        <w:rPr>
          <w:noProof/>
        </w:rPr>
        <w:t>nd til at påvise en direkte ankomstrute, må have været</w:t>
      </w:r>
      <w:r w:rsidR="00A87ED6" w:rsidRPr="001366B4">
        <w:rPr>
          <w:noProof/>
        </w:rPr>
        <w:t xml:space="preserve"> i tra</w:t>
      </w:r>
      <w:r w:rsidRPr="001366B4">
        <w:rPr>
          <w:noProof/>
        </w:rPr>
        <w:t>nsit gennem mindst ét tredjeland. Det blev imidlertid konkluderet, at indførelsen af en afkræftelig formodning ville øge søgsmålsgrundene, hvilket var</w:t>
      </w:r>
      <w:r w:rsidR="00A87ED6" w:rsidRPr="001366B4">
        <w:rPr>
          <w:noProof/>
        </w:rPr>
        <w:t xml:space="preserve"> i str</w:t>
      </w:r>
      <w:r w:rsidRPr="001366B4">
        <w:rPr>
          <w:noProof/>
        </w:rPr>
        <w:t>id med den ønskede forenkling af anvendelsen af begrebet sikkert tredjeland. Derfor blev muligheden for at indføre en afkræftelig formodning forkastet.</w:t>
      </w:r>
    </w:p>
    <w:p w:rsidR="00A157E1" w:rsidRPr="001366B4" w:rsidRDefault="00A157E1" w:rsidP="002E49B8">
      <w:pPr>
        <w:pStyle w:val="ListNumber"/>
        <w:rPr>
          <w:i/>
          <w:noProof/>
        </w:rPr>
      </w:pPr>
      <w:r w:rsidRPr="001366B4">
        <w:rPr>
          <w:i/>
          <w:noProof/>
        </w:rPr>
        <w:t>Fastlæggelse af en mere fleksibel tilgang til forbindelseskriteriet</w:t>
      </w:r>
      <w:r w:rsidR="00A87ED6" w:rsidRPr="001366B4">
        <w:rPr>
          <w:i/>
          <w:noProof/>
        </w:rPr>
        <w:t xml:space="preserve"> i for</w:t>
      </w:r>
      <w:r w:rsidRPr="001366B4">
        <w:rPr>
          <w:i/>
          <w:noProof/>
        </w:rPr>
        <w:t>ordningen om asylproceduren (herunder omhandlende transit)</w:t>
      </w:r>
    </w:p>
    <w:p w:rsidR="00742C36" w:rsidRPr="001366B4" w:rsidRDefault="003E74F1" w:rsidP="00742C36">
      <w:pPr>
        <w:rPr>
          <w:noProof/>
        </w:rPr>
      </w:pPr>
      <w:r w:rsidRPr="001366B4">
        <w:rPr>
          <w:noProof/>
        </w:rPr>
        <w:t>Et tredje alternativ var at definere "forbindelse"</w:t>
      </w:r>
      <w:r w:rsidR="00A87ED6" w:rsidRPr="001366B4">
        <w:rPr>
          <w:noProof/>
        </w:rPr>
        <w:t xml:space="preserve"> i hen</w:t>
      </w:r>
      <w:r w:rsidRPr="001366B4">
        <w:rPr>
          <w:noProof/>
        </w:rPr>
        <w:t xml:space="preserve">hold til EU-retten for at tage hensyn til kulturelle bånd eller kendskab til sproget ud over transit som tilstrækkelige forbindelser, eventuelt ledsaget af en vejledning. </w:t>
      </w:r>
    </w:p>
    <w:p w:rsidR="00525C10" w:rsidRPr="001366B4" w:rsidRDefault="006F40C9" w:rsidP="00525C10">
      <w:pPr>
        <w:rPr>
          <w:noProof/>
        </w:rPr>
      </w:pPr>
      <w:r w:rsidRPr="001366B4">
        <w:rPr>
          <w:noProof/>
        </w:rPr>
        <w:t xml:space="preserve">Dette alternativ kan udvide puljen af potentielle sikre tredjelande, da det rækker ud over tredjelandene på ruten til EU, samtidig med at det letter samarbejdet med det pågældende tredjeland og bidrager til øget ansvarsdeling. Desuden kan det lette ansøgerens integration efter vedkommendes overførsel og dermed styrke overførslens bæredygtighed. Bevisbyrden forbundet med forbindelsen påhviler imidlertid altid medlemsstaternes asylmyndigheder. Dette alternativ blev derfor ikke anset for at have den ønskede virkning med hensyn til at forenkle anvendelsen af begrebet sikkert tredjeland. </w:t>
      </w:r>
    </w:p>
    <w:p w:rsidR="00693ED0" w:rsidRPr="001366B4" w:rsidRDefault="00693ED0" w:rsidP="00693ED0">
      <w:pPr>
        <w:pStyle w:val="ManualHeading2"/>
        <w:rPr>
          <w:noProof/>
        </w:rPr>
      </w:pPr>
      <w:r w:rsidRPr="001366B4">
        <w:rPr>
          <w:noProof/>
        </w:rPr>
        <w:t xml:space="preserve">B. Opsættende virkning </w:t>
      </w:r>
    </w:p>
    <w:p w:rsidR="00693ED0" w:rsidRPr="001366B4" w:rsidRDefault="00693ED0" w:rsidP="00693ED0">
      <w:pPr>
        <w:rPr>
          <w:noProof/>
        </w:rPr>
      </w:pPr>
      <w:r w:rsidRPr="001366B4">
        <w:rPr>
          <w:noProof/>
        </w:rPr>
        <w:t xml:space="preserve">Kommissionen har endvidere undersøgt, om det er muligt at forenkle klageprocedurerne vedrørende anvendelsen af begrebet sikkert tredjeland ved at gøre den opsættende virkning som følge af en klagesag vedrørende afgørelser om afvisning ikke-automatisk. </w:t>
      </w:r>
    </w:p>
    <w:p w:rsidR="00693ED0" w:rsidRPr="001366B4" w:rsidRDefault="00568A21" w:rsidP="73238BF7">
      <w:pPr>
        <w:rPr>
          <w:noProof/>
        </w:rPr>
      </w:pPr>
      <w:r w:rsidRPr="001366B4">
        <w:rPr>
          <w:noProof/>
        </w:rPr>
        <w:t>Spørgsmålet om, hvorvidt en klage over anvendelsen af begrebet sikkert tredjeland automatisk medfører en opsættende virkning, er særlig vigtigt</w:t>
      </w:r>
      <w:r w:rsidR="00A87ED6" w:rsidRPr="001366B4">
        <w:rPr>
          <w:noProof/>
        </w:rPr>
        <w:t xml:space="preserve"> i til</w:t>
      </w:r>
      <w:r w:rsidRPr="001366B4">
        <w:rPr>
          <w:noProof/>
        </w:rPr>
        <w:t>fælde af afgørelser om afvisning på grundlag af begrebet sikkert tredjeland, hvor ansøgningen ikke realitetsbehandles. Karakteren af de grundlæggende rettigheder, der er</w:t>
      </w:r>
      <w:r w:rsidR="00A87ED6" w:rsidRPr="001366B4">
        <w:rPr>
          <w:noProof/>
        </w:rPr>
        <w:t xml:space="preserve"> i far</w:t>
      </w:r>
      <w:r w:rsidRPr="001366B4">
        <w:rPr>
          <w:noProof/>
        </w:rPr>
        <w:t xml:space="preserve">e, og navnlig risikoen for </w:t>
      </w:r>
      <w:r w:rsidRPr="001366B4">
        <w:rPr>
          <w:i/>
          <w:noProof/>
        </w:rPr>
        <w:t>refoulement</w:t>
      </w:r>
      <w:r w:rsidRPr="001366B4">
        <w:rPr>
          <w:noProof/>
        </w:rPr>
        <w:t>, gør garantien for den opsættende virkning</w:t>
      </w:r>
      <w:r w:rsidR="00A87ED6" w:rsidRPr="001366B4">
        <w:rPr>
          <w:noProof/>
        </w:rPr>
        <w:t xml:space="preserve"> i for</w:t>
      </w:r>
      <w:r w:rsidRPr="001366B4">
        <w:rPr>
          <w:noProof/>
        </w:rPr>
        <w:t>ordningen om asylproceduren særlig vigtig. Nogle medlemsstater, UNHCR og civilsamfundet gjorde under høringsprocessen opmærksom på disse risici.</w:t>
      </w:r>
    </w:p>
    <w:p w:rsidR="000A20A8" w:rsidRPr="001366B4" w:rsidRDefault="001614BC" w:rsidP="004F7E22">
      <w:pPr>
        <w:rPr>
          <w:noProof/>
        </w:rPr>
      </w:pPr>
      <w:bookmarkStart w:id="3" w:name="_Hlk194075360"/>
      <w:r w:rsidRPr="001366B4">
        <w:rPr>
          <w:noProof/>
        </w:rPr>
        <w:t>Ikke desto mindre kan fjernelsen af den automatiske opsættende virkning bidrage til at nedbringe proceduremæssige forsinkelser</w:t>
      </w:r>
      <w:r w:rsidR="00A87ED6" w:rsidRPr="001366B4">
        <w:rPr>
          <w:noProof/>
        </w:rPr>
        <w:t xml:space="preserve"> i anv</w:t>
      </w:r>
      <w:r w:rsidRPr="001366B4">
        <w:rPr>
          <w:noProof/>
        </w:rPr>
        <w:t xml:space="preserve">endelsen af begrebet sikkert tredjeland og forhindre potentielt misbrug af klagemuligheder fra ansøgernes side, samtidig med at beskyttelsen af ansøgerens grundlæggende rettigheder sikres, ved at give dem mulighed for at anmode om opsættende virkning. For at sikre beskyttelsen af ansøgernes rettigheder mod risikoen for </w:t>
      </w:r>
      <w:r w:rsidRPr="001366B4">
        <w:rPr>
          <w:i/>
          <w:noProof/>
        </w:rPr>
        <w:t>refoulement</w:t>
      </w:r>
      <w:r w:rsidRPr="001366B4">
        <w:rPr>
          <w:noProof/>
        </w:rPr>
        <w:t xml:space="preserve"> er der en automatisk opsættende virkning forbundet med klager over den afgørelse om tilbagesendelse, der er truffet</w:t>
      </w:r>
      <w:r w:rsidR="00A87ED6" w:rsidRPr="001366B4">
        <w:rPr>
          <w:noProof/>
        </w:rPr>
        <w:t xml:space="preserve"> i hen</w:t>
      </w:r>
      <w:r w:rsidRPr="001366B4">
        <w:rPr>
          <w:noProof/>
        </w:rPr>
        <w:t>hold til artikel 37</w:t>
      </w:r>
      <w:r w:rsidR="00A87ED6" w:rsidRPr="001366B4">
        <w:rPr>
          <w:noProof/>
        </w:rPr>
        <w:t xml:space="preserve"> i for</w:t>
      </w:r>
      <w:r w:rsidRPr="001366B4">
        <w:rPr>
          <w:noProof/>
        </w:rPr>
        <w:t>ordningen om asylproceduren</w:t>
      </w:r>
      <w:r w:rsidR="00A87ED6" w:rsidRPr="001366B4">
        <w:rPr>
          <w:noProof/>
        </w:rPr>
        <w:t xml:space="preserve"> i for</w:t>
      </w:r>
      <w:r w:rsidRPr="001366B4">
        <w:rPr>
          <w:noProof/>
        </w:rPr>
        <w:t xml:space="preserve">bindelse med afgørelsen om afvisning, når der er risiko for tilsidesættelse af princippet om </w:t>
      </w:r>
      <w:r w:rsidRPr="001366B4">
        <w:rPr>
          <w:i/>
          <w:noProof/>
        </w:rPr>
        <w:t>non-refoulement</w:t>
      </w:r>
      <w:r w:rsidRPr="001366B4">
        <w:rPr>
          <w:noProof/>
        </w:rPr>
        <w:t xml:space="preserve">. Dette bør sikre, at personerne ikke overføres, hvis der er risiko for </w:t>
      </w:r>
      <w:r w:rsidRPr="001366B4">
        <w:rPr>
          <w:i/>
          <w:noProof/>
        </w:rPr>
        <w:t>refoulement</w:t>
      </w:r>
      <w:r w:rsidR="00A87ED6" w:rsidRPr="001366B4">
        <w:rPr>
          <w:noProof/>
        </w:rPr>
        <w:t xml:space="preserve"> i tre</w:t>
      </w:r>
      <w:r w:rsidRPr="001366B4">
        <w:rPr>
          <w:noProof/>
        </w:rPr>
        <w:t>djelandet, eller hvis der er risiko for alvorlig overlast eller umenneskelig eller nedværdigende behandling</w:t>
      </w:r>
      <w:r w:rsidR="00A87ED6" w:rsidRPr="001366B4">
        <w:rPr>
          <w:noProof/>
        </w:rPr>
        <w:t xml:space="preserve"> i tre</w:t>
      </w:r>
      <w:r w:rsidRPr="001366B4">
        <w:rPr>
          <w:noProof/>
        </w:rPr>
        <w:t xml:space="preserve">djelandet. </w:t>
      </w:r>
      <w:bookmarkEnd w:id="3"/>
    </w:p>
    <w:p w:rsidR="00693ED0" w:rsidRPr="001366B4" w:rsidRDefault="00693ED0" w:rsidP="004F7E22">
      <w:pPr>
        <w:rPr>
          <w:b/>
          <w:bCs/>
          <w:noProof/>
        </w:rPr>
      </w:pPr>
      <w:r w:rsidRPr="001366B4">
        <w:rPr>
          <w:b/>
          <w:noProof/>
        </w:rPr>
        <w:t>Evalueringens konklusioner</w:t>
      </w:r>
    </w:p>
    <w:p w:rsidR="00D778A3" w:rsidRPr="001366B4" w:rsidRDefault="00AC3C3F" w:rsidP="718C9B44">
      <w:pPr>
        <w:rPr>
          <w:noProof/>
        </w:rPr>
      </w:pPr>
      <w:r w:rsidRPr="001366B4">
        <w:rPr>
          <w:noProof/>
        </w:rPr>
        <w:t xml:space="preserve">Kommissionen har nøje afvejet fordele og ulemper ved hvert alternativ til revision af bestemmelserne om forordningen om asylprocedure vedrørende anvendelsen af begrebet sikkert tredjeland. Sammenfattende er det opfattelsen, at en </w:t>
      </w:r>
      <w:r w:rsidRPr="001366B4">
        <w:rPr>
          <w:b/>
          <w:noProof/>
        </w:rPr>
        <w:t>kombination af foranstaltninger</w:t>
      </w:r>
      <w:r w:rsidRPr="001366B4">
        <w:rPr>
          <w:noProof/>
        </w:rPr>
        <w:t xml:space="preserve"> med størst sandsynlighed vil opnå den ønskede fleksibilitet og lette medlemsstaternes anvendelse af begrebet sikkert tredjeland, samtidig med at væsentlige garantier opretholdes, de grundlæggende rettigheder beskyttes, og der tages hensyn til de betænkeligheder, som nogle interessenter har givet udtryk for, som afspejlet</w:t>
      </w:r>
      <w:r w:rsidR="00A87ED6" w:rsidRPr="001366B4">
        <w:rPr>
          <w:noProof/>
        </w:rPr>
        <w:t xml:space="preserve"> i det</w:t>
      </w:r>
      <w:r w:rsidRPr="001366B4">
        <w:rPr>
          <w:noProof/>
        </w:rPr>
        <w:t xml:space="preserve">te forslag. </w:t>
      </w:r>
      <w:bookmarkStart w:id="4" w:name="_Hlk194075468"/>
    </w:p>
    <w:p w:rsidR="003E47CA" w:rsidRPr="001366B4" w:rsidRDefault="003E47CA" w:rsidP="003E47CA">
      <w:pPr>
        <w:rPr>
          <w:noProof/>
        </w:rPr>
      </w:pPr>
      <w:r w:rsidRPr="001366B4">
        <w:rPr>
          <w:noProof/>
        </w:rPr>
        <w:t>Dette forslag vil derfor give medlemsstaterne mulighed for at anvende begrebet sikkert tredjeland – uden at dette er et krav – når i) der er en forbindelse mellem ansøgeren og et sikkert tredjeland, eller ii) hvis ansøgeren har været</w:t>
      </w:r>
      <w:r w:rsidR="00A87ED6" w:rsidRPr="001366B4">
        <w:rPr>
          <w:noProof/>
        </w:rPr>
        <w:t xml:space="preserve"> i tra</w:t>
      </w:r>
      <w:r w:rsidRPr="001366B4">
        <w:rPr>
          <w:noProof/>
        </w:rPr>
        <w:t>nsit gennem et sikkert tredjeland, eller iii) der – hvis der ikke er nogen forbindelse eller ikke har foregået en transit, og der er indgået en aftale eller ordning med et sikkert tredjeland – gennemføres en realitetsbehandling af anmodninger om effektiv beskyttelse, som ansøgere, der er omfattet af den pågældende aftale eller ordning, har indgivet. Den sidste mulighed bør ikke finde anvendelse på uledsagede mindreårige, for hvilke der altid gælder et krav om forbindelse eller transit. Desuden bør medlemsstaterne sikre, at barnets tarv kommer</w:t>
      </w:r>
      <w:r w:rsidR="00A87ED6" w:rsidRPr="001366B4">
        <w:rPr>
          <w:noProof/>
        </w:rPr>
        <w:t xml:space="preserve"> i før</w:t>
      </w:r>
      <w:r w:rsidRPr="001366B4">
        <w:rPr>
          <w:noProof/>
        </w:rPr>
        <w:t>ste række</w:t>
      </w:r>
      <w:r w:rsidR="00A87ED6" w:rsidRPr="001366B4">
        <w:rPr>
          <w:noProof/>
        </w:rPr>
        <w:t xml:space="preserve"> i all</w:t>
      </w:r>
      <w:r w:rsidRPr="001366B4">
        <w:rPr>
          <w:noProof/>
        </w:rPr>
        <w:t>e afgørelser vedrørende mindreårige.</w:t>
      </w:r>
    </w:p>
    <w:p w:rsidR="003E47CA" w:rsidRPr="001366B4" w:rsidRDefault="003E47CA" w:rsidP="003E47CA">
      <w:pPr>
        <w:rPr>
          <w:noProof/>
        </w:rPr>
      </w:pPr>
      <w:r w:rsidRPr="001366B4">
        <w:rPr>
          <w:noProof/>
        </w:rPr>
        <w:t>Det forenkler også klageprocedurerne</w:t>
      </w:r>
      <w:r w:rsidR="00A87ED6" w:rsidRPr="001366B4">
        <w:rPr>
          <w:noProof/>
        </w:rPr>
        <w:t xml:space="preserve"> i for</w:t>
      </w:r>
      <w:r w:rsidRPr="001366B4">
        <w:rPr>
          <w:noProof/>
        </w:rPr>
        <w:t>bindelse med anvendelsen af begrebet sikkert tredjeland ved at foreslå at gøre opsættende virkning som følge af en klagesag vedrørende afgørelser om afvisning, der er truffet på grund af status som sikkert tredjeland, ikke-automatisk.</w:t>
      </w:r>
    </w:p>
    <w:bookmarkEnd w:id="4"/>
    <w:p w:rsidR="00693ED0" w:rsidRPr="001366B4" w:rsidRDefault="00693ED0" w:rsidP="00693ED0">
      <w:pPr>
        <w:pStyle w:val="ManualHeading2"/>
        <w:rPr>
          <w:rFonts w:eastAsia="Arial Unicode MS"/>
          <w:noProof/>
        </w:rPr>
      </w:pPr>
      <w:r w:rsidRPr="001366B4">
        <w:rPr>
          <w:noProof/>
          <w:color w:val="000000"/>
          <w:u w:color="000000"/>
          <w:bdr w:val="nil"/>
        </w:rPr>
        <w:t>•</w:t>
      </w:r>
      <w:r w:rsidRPr="001366B4">
        <w:rPr>
          <w:noProof/>
        </w:rPr>
        <w:tab/>
        <w:t>Formål med forslaget</w:t>
      </w:r>
    </w:p>
    <w:p w:rsidR="00693ED0" w:rsidRPr="001366B4" w:rsidRDefault="00693ED0" w:rsidP="00693ED0">
      <w:pPr>
        <w:pBdr>
          <w:top w:val="nil"/>
          <w:left w:val="nil"/>
          <w:bottom w:val="nil"/>
          <w:right w:val="nil"/>
          <w:between w:val="nil"/>
          <w:bar w:val="nil"/>
        </w:pBdr>
        <w:spacing w:after="240"/>
        <w:rPr>
          <w:noProof/>
          <w:szCs w:val="24"/>
        </w:rPr>
      </w:pPr>
      <w:r w:rsidRPr="001366B4">
        <w:rPr>
          <w:noProof/>
        </w:rPr>
        <w:t xml:space="preserve">Hovedformålet med dette forslag er at foretage en målrettet ændring af forordning (EU) 2024/1348 om asylprocedurer for at lette anvendelsen af begrebet sikkert tredjeland. </w:t>
      </w:r>
    </w:p>
    <w:p w:rsidR="00693ED0" w:rsidRPr="001366B4" w:rsidRDefault="00693ED0" w:rsidP="00693ED0">
      <w:pPr>
        <w:pStyle w:val="ManualHeading2"/>
        <w:rPr>
          <w:rFonts w:eastAsia="Arial Unicode MS"/>
          <w:noProof/>
        </w:rPr>
      </w:pPr>
      <w:r w:rsidRPr="001366B4">
        <w:rPr>
          <w:noProof/>
          <w:color w:val="000000"/>
          <w:u w:color="000000"/>
          <w:bdr w:val="nil"/>
        </w:rPr>
        <w:t>•</w:t>
      </w:r>
      <w:r w:rsidRPr="001366B4">
        <w:rPr>
          <w:noProof/>
        </w:rPr>
        <w:tab/>
        <w:t>Sammenhæng med de gældende regler på samme område</w:t>
      </w:r>
    </w:p>
    <w:p w:rsidR="00693ED0" w:rsidRPr="001366B4" w:rsidRDefault="00693ED0" w:rsidP="00693ED0">
      <w:pPr>
        <w:rPr>
          <w:noProof/>
          <w:szCs w:val="24"/>
        </w:rPr>
      </w:pPr>
      <w:r w:rsidRPr="001366B4">
        <w:rPr>
          <w:noProof/>
        </w:rPr>
        <w:t>Dette forslag er knyttet til artikel 77</w:t>
      </w:r>
      <w:r w:rsidR="00A87ED6" w:rsidRPr="001366B4">
        <w:rPr>
          <w:noProof/>
        </w:rPr>
        <w:t xml:space="preserve"> i for</w:t>
      </w:r>
      <w:r w:rsidRPr="001366B4">
        <w:rPr>
          <w:noProof/>
        </w:rPr>
        <w:t>ordningen om asylproceduren, som pålægger Kommissionen at evaluere begrebet sikkert tredjeland senest den</w:t>
      </w:r>
      <w:r w:rsidR="00A87ED6" w:rsidRPr="001366B4">
        <w:rPr>
          <w:noProof/>
        </w:rPr>
        <w:t> </w:t>
      </w:r>
      <w:r w:rsidRPr="001366B4">
        <w:rPr>
          <w:noProof/>
        </w:rPr>
        <w:t>12. juni 2025 og, hvor det er relevant, foreslå målrettede ændringer. Det er</w:t>
      </w:r>
      <w:r w:rsidR="00A87ED6" w:rsidRPr="001366B4">
        <w:rPr>
          <w:noProof/>
        </w:rPr>
        <w:t xml:space="preserve"> i ful</w:t>
      </w:r>
      <w:r w:rsidRPr="001366B4">
        <w:rPr>
          <w:noProof/>
        </w:rPr>
        <w:t>d overensstemmelse med målene</w:t>
      </w:r>
      <w:r w:rsidR="00A87ED6" w:rsidRPr="001366B4">
        <w:rPr>
          <w:noProof/>
        </w:rPr>
        <w:t xml:space="preserve"> i for</w:t>
      </w:r>
      <w:r w:rsidRPr="001366B4">
        <w:rPr>
          <w:noProof/>
        </w:rPr>
        <w:t>ordningen om asylproceduren som vedtaget den</w:t>
      </w:r>
      <w:r w:rsidR="00A87ED6" w:rsidRPr="001366B4">
        <w:rPr>
          <w:noProof/>
        </w:rPr>
        <w:t> </w:t>
      </w:r>
      <w:r w:rsidRPr="001366B4">
        <w:rPr>
          <w:noProof/>
        </w:rPr>
        <w:t>14. maj</w:t>
      </w:r>
      <w:r w:rsidR="00A87ED6" w:rsidRPr="001366B4">
        <w:rPr>
          <w:noProof/>
        </w:rPr>
        <w:t> </w:t>
      </w:r>
      <w:r w:rsidRPr="001366B4">
        <w:rPr>
          <w:noProof/>
        </w:rPr>
        <w:t>2024. Det er også</w:t>
      </w:r>
      <w:r w:rsidR="00A87ED6" w:rsidRPr="001366B4">
        <w:rPr>
          <w:noProof/>
        </w:rPr>
        <w:t xml:space="preserve"> i ove</w:t>
      </w:r>
      <w:r w:rsidRPr="001366B4">
        <w:rPr>
          <w:noProof/>
        </w:rPr>
        <w:t>rensstemmelse med de andre retsakter, der er vedtaget</w:t>
      </w:r>
      <w:r w:rsidR="00A87ED6" w:rsidRPr="001366B4">
        <w:rPr>
          <w:noProof/>
        </w:rPr>
        <w:t xml:space="preserve"> i for</w:t>
      </w:r>
      <w:r w:rsidRPr="001366B4">
        <w:rPr>
          <w:noProof/>
        </w:rPr>
        <w:t xml:space="preserve">bindelse med pagten om migration og asyl, navnlig kvalifikationsforordningen, det omarbejdede direktiv om modtagelsesforhold, forordningen om asylforvaltning og migrationsstyring, screeningforordningen og Eurodacforordningen. </w:t>
      </w:r>
    </w:p>
    <w:p w:rsidR="00693ED0" w:rsidRPr="001366B4" w:rsidRDefault="00567560" w:rsidP="00766565">
      <w:pPr>
        <w:rPr>
          <w:rFonts w:eastAsia="Arial Unicode MS"/>
          <w:noProof/>
          <w:color w:val="000000"/>
          <w:bdr w:val="nil"/>
        </w:rPr>
      </w:pPr>
      <w:r w:rsidRPr="001366B4">
        <w:rPr>
          <w:noProof/>
        </w:rPr>
        <w:t>Derudover er forslaget til revision af begrebet sikkert tredjeland</w:t>
      </w:r>
      <w:r w:rsidR="00A87ED6" w:rsidRPr="001366B4">
        <w:rPr>
          <w:noProof/>
        </w:rPr>
        <w:t xml:space="preserve"> i ove</w:t>
      </w:r>
      <w:r w:rsidRPr="001366B4">
        <w:rPr>
          <w:noProof/>
        </w:rPr>
        <w:t>rensstemmelse med forslaget til forordning om tilbagesendelse</w:t>
      </w:r>
      <w:r w:rsidRPr="00CB7B93">
        <w:rPr>
          <w:rStyle w:val="FootnoteReference"/>
          <w:rFonts w:eastAsia="Arial Unicode MS"/>
          <w:noProof/>
          <w:bdr w:val="nil"/>
          <w:lang w:eastAsia="en-GB"/>
        </w:rPr>
        <w:footnoteReference w:id="11"/>
      </w:r>
      <w:r w:rsidRPr="001366B4">
        <w:rPr>
          <w:noProof/>
        </w:rPr>
        <w:t>, for så vidt som sidstnævnte udvider anvendelsesområdet for EU-reglerne om tilbagesendelse til også at omfatte tilbagesendelser, der foretages</w:t>
      </w:r>
      <w:r w:rsidR="00A87ED6" w:rsidRPr="001366B4">
        <w:rPr>
          <w:noProof/>
        </w:rPr>
        <w:t xml:space="preserve"> i hen</w:t>
      </w:r>
      <w:r w:rsidRPr="001366B4">
        <w:rPr>
          <w:noProof/>
        </w:rPr>
        <w:t>hold til begrebet sikkert tredjeland, og opretholder de garantier, der (allerede) er til rådighed for tilbagesendte</w:t>
      </w:r>
      <w:r w:rsidR="00A87ED6" w:rsidRPr="001366B4">
        <w:rPr>
          <w:noProof/>
        </w:rPr>
        <w:t xml:space="preserve"> i hen</w:t>
      </w:r>
      <w:r w:rsidRPr="001366B4">
        <w:rPr>
          <w:noProof/>
        </w:rPr>
        <w:t xml:space="preserve">hold til EU's tilbagesendelsesregler, EU's charter om grundlæggende rettigheder og den europæiske menneskerettighedskonvention, for så vidt angår overholdelse af princippet om </w:t>
      </w:r>
      <w:r w:rsidRPr="001366B4">
        <w:rPr>
          <w:i/>
          <w:noProof/>
        </w:rPr>
        <w:t>non-refoulement</w:t>
      </w:r>
      <w:r w:rsidRPr="001366B4">
        <w:rPr>
          <w:noProof/>
        </w:rPr>
        <w:t>.</w:t>
      </w:r>
      <w:r w:rsidRPr="001366B4">
        <w:rPr>
          <w:noProof/>
          <w:color w:val="000000"/>
          <w:bdr w:val="nil"/>
        </w:rPr>
        <w:t xml:space="preserve"> </w:t>
      </w:r>
    </w:p>
    <w:p w:rsidR="00693ED0" w:rsidRPr="001366B4" w:rsidRDefault="00693ED0" w:rsidP="00693ED0">
      <w:pPr>
        <w:pStyle w:val="ManualHeading2"/>
        <w:rPr>
          <w:rFonts w:eastAsia="Arial Unicode MS"/>
          <w:noProof/>
        </w:rPr>
      </w:pPr>
      <w:r w:rsidRPr="001366B4">
        <w:rPr>
          <w:noProof/>
          <w:color w:val="000000"/>
          <w:u w:color="000000"/>
          <w:bdr w:val="nil"/>
        </w:rPr>
        <w:t>•</w:t>
      </w:r>
      <w:r w:rsidRPr="001366B4">
        <w:rPr>
          <w:noProof/>
        </w:rPr>
        <w:tab/>
        <w:t>Sammenhæng med Unionens politik på andre områder</w:t>
      </w:r>
    </w:p>
    <w:p w:rsidR="00693ED0" w:rsidRPr="001366B4" w:rsidRDefault="00693ED0" w:rsidP="00693ED0">
      <w:pPr>
        <w:rPr>
          <w:noProof/>
          <w:szCs w:val="24"/>
        </w:rPr>
      </w:pPr>
      <w:r w:rsidRPr="001366B4">
        <w:rPr>
          <w:noProof/>
        </w:rPr>
        <w:t>Dette forslag er</w:t>
      </w:r>
      <w:r w:rsidR="00A87ED6" w:rsidRPr="001366B4">
        <w:rPr>
          <w:noProof/>
        </w:rPr>
        <w:t xml:space="preserve"> i ove</w:t>
      </w:r>
      <w:r w:rsidRPr="001366B4">
        <w:rPr>
          <w:noProof/>
        </w:rPr>
        <w:t>rensstemmelse med den omfattende, langsigtede tilgang til en mere effektiv og sammenhængende migrationsstyring som fastsat</w:t>
      </w:r>
      <w:r w:rsidR="00A87ED6" w:rsidRPr="001366B4">
        <w:rPr>
          <w:noProof/>
        </w:rPr>
        <w:t xml:space="preserve"> i </w:t>
      </w:r>
      <w:r w:rsidR="00A87ED6" w:rsidRPr="001366B4">
        <w:rPr>
          <w:noProof/>
          <w:u w:color="000000"/>
          <w:bdr w:val="nil"/>
        </w:rPr>
        <w:t>pag</w:t>
      </w:r>
      <w:r w:rsidRPr="001366B4">
        <w:rPr>
          <w:noProof/>
          <w:u w:color="000000"/>
          <w:bdr w:val="nil"/>
        </w:rPr>
        <w:t>ten</w:t>
      </w:r>
      <w:r w:rsidRPr="001366B4">
        <w:rPr>
          <w:noProof/>
        </w:rPr>
        <w:t xml:space="preserve"> om migration og asyl, der bl.a. involverer at sætte migration</w:t>
      </w:r>
      <w:r w:rsidR="00A87ED6" w:rsidRPr="001366B4">
        <w:rPr>
          <w:noProof/>
        </w:rPr>
        <w:t xml:space="preserve"> i cen</w:t>
      </w:r>
      <w:r w:rsidRPr="001366B4">
        <w:rPr>
          <w:noProof/>
        </w:rPr>
        <w:t>trum for partnerskabs- og samarbejdsforbindelserne med tredjelande. Ud fra dette perspektiv og under hensyntagen til forslagets mål om at sikre retten til at søge asyl samt opretholde de grundlæggende rettigheder for flygtninge, asylansøgere og migranter uanset deres status, er forslaget</w:t>
      </w:r>
      <w:r w:rsidR="00A87ED6" w:rsidRPr="001366B4">
        <w:rPr>
          <w:noProof/>
        </w:rPr>
        <w:t xml:space="preserve"> i ove</w:t>
      </w:r>
      <w:r w:rsidRPr="001366B4">
        <w:rPr>
          <w:noProof/>
        </w:rPr>
        <w:t>rensstemmelse med EU's forpligtelser</w:t>
      </w:r>
      <w:r w:rsidR="00A87ED6" w:rsidRPr="001366B4">
        <w:rPr>
          <w:noProof/>
        </w:rPr>
        <w:t xml:space="preserve"> i hen</w:t>
      </w:r>
      <w:r w:rsidRPr="001366B4">
        <w:rPr>
          <w:noProof/>
        </w:rPr>
        <w:t>hold til målene</w:t>
      </w:r>
      <w:r w:rsidR="00A87ED6" w:rsidRPr="001366B4">
        <w:rPr>
          <w:noProof/>
        </w:rPr>
        <w:t xml:space="preserve"> i den</w:t>
      </w:r>
      <w:r w:rsidRPr="001366B4">
        <w:rPr>
          <w:noProof/>
        </w:rPr>
        <w:t xml:space="preserve"> globale flygtningeaftale. </w:t>
      </w:r>
    </w:p>
    <w:p w:rsidR="00693ED0" w:rsidRPr="001366B4" w:rsidRDefault="00693ED0" w:rsidP="00693ED0">
      <w:pPr>
        <w:rPr>
          <w:noProof/>
          <w:szCs w:val="24"/>
        </w:rPr>
      </w:pPr>
      <w:r w:rsidRPr="001366B4">
        <w:rPr>
          <w:noProof/>
        </w:rPr>
        <w:t>Forslaget støtter pagtens overordnede mål og navnlig målet om at gøre behandlingen af asylansøgninger i EU mere effektiv og finde løsninger til at samarbejde og dele byrden med tredjelande.</w:t>
      </w:r>
    </w:p>
    <w:p w:rsidR="00693ED0" w:rsidRPr="001366B4" w:rsidRDefault="00693ED0" w:rsidP="00693ED0">
      <w:pPr>
        <w:pStyle w:val="ManualHeading1"/>
        <w:rPr>
          <w:noProof/>
        </w:rPr>
      </w:pPr>
      <w:r w:rsidRPr="001366B4">
        <w:rPr>
          <w:noProof/>
        </w:rPr>
        <w:t>2.</w:t>
      </w:r>
      <w:r w:rsidRPr="001366B4">
        <w:rPr>
          <w:noProof/>
        </w:rPr>
        <w:tab/>
        <w:t>RETSGRUNDLAG, NÆRHEDSPRINCIPPET OG PROPORTIONALITETSPRINCIPPET</w:t>
      </w:r>
    </w:p>
    <w:p w:rsidR="00693ED0" w:rsidRPr="001366B4" w:rsidRDefault="00693ED0" w:rsidP="00693ED0">
      <w:pPr>
        <w:pStyle w:val="ManualHeading2"/>
        <w:rPr>
          <w:rFonts w:eastAsia="Arial Unicode MS"/>
          <w:noProof/>
          <w:u w:color="000000"/>
          <w:bdr w:val="nil"/>
        </w:rPr>
      </w:pPr>
      <w:r w:rsidRPr="001366B4">
        <w:rPr>
          <w:noProof/>
          <w:u w:color="000000"/>
          <w:bdr w:val="nil"/>
        </w:rPr>
        <w:t>•</w:t>
      </w:r>
      <w:r w:rsidRPr="001366B4">
        <w:rPr>
          <w:noProof/>
        </w:rPr>
        <w:tab/>
      </w:r>
      <w:r w:rsidRPr="001366B4">
        <w:rPr>
          <w:noProof/>
          <w:u w:color="000000"/>
          <w:bdr w:val="nil"/>
        </w:rPr>
        <w:t>Retsgrundlag</w:t>
      </w:r>
    </w:p>
    <w:p w:rsidR="00693ED0" w:rsidRPr="001366B4" w:rsidRDefault="00693ED0" w:rsidP="00693ED0">
      <w:pPr>
        <w:pBdr>
          <w:top w:val="nil"/>
          <w:left w:val="nil"/>
          <w:bottom w:val="nil"/>
          <w:right w:val="nil"/>
          <w:between w:val="nil"/>
          <w:bar w:val="nil"/>
        </w:pBdr>
        <w:spacing w:before="0" w:after="240"/>
        <w:rPr>
          <w:rFonts w:eastAsia="Arial Unicode MS"/>
          <w:noProof/>
        </w:rPr>
      </w:pPr>
      <w:r w:rsidRPr="001366B4">
        <w:rPr>
          <w:noProof/>
        </w:rPr>
        <w:t>Retsgrundlaget for forslaget er artikel 78, stk.</w:t>
      </w:r>
      <w:r w:rsidR="00A87ED6" w:rsidRPr="001366B4">
        <w:rPr>
          <w:noProof/>
        </w:rPr>
        <w:t> </w:t>
      </w:r>
      <w:r w:rsidRPr="001366B4">
        <w:rPr>
          <w:noProof/>
        </w:rPr>
        <w:t>2, litra d),</w:t>
      </w:r>
      <w:r w:rsidR="00A87ED6" w:rsidRPr="001366B4">
        <w:rPr>
          <w:noProof/>
        </w:rPr>
        <w:t xml:space="preserve"> i tra</w:t>
      </w:r>
      <w:r w:rsidRPr="001366B4">
        <w:rPr>
          <w:noProof/>
        </w:rPr>
        <w:t xml:space="preserve">ktaten om Den Europæiske Unions funktionsmåde (TEUF). </w:t>
      </w:r>
    </w:p>
    <w:p w:rsidR="00693ED0" w:rsidRPr="001366B4" w:rsidRDefault="00693ED0" w:rsidP="00693ED0">
      <w:pPr>
        <w:pStyle w:val="ManualHeading2"/>
        <w:rPr>
          <w:rFonts w:eastAsia="Arial Unicode MS"/>
          <w:noProof/>
          <w:u w:color="000000"/>
          <w:bdr w:val="nil"/>
        </w:rPr>
      </w:pPr>
      <w:r w:rsidRPr="001366B4">
        <w:rPr>
          <w:noProof/>
          <w:u w:color="000000"/>
          <w:bdr w:val="nil"/>
        </w:rPr>
        <w:t>•</w:t>
      </w:r>
      <w:r w:rsidRPr="001366B4">
        <w:rPr>
          <w:noProof/>
        </w:rPr>
        <w:tab/>
      </w:r>
      <w:r w:rsidRPr="001366B4">
        <w:rPr>
          <w:noProof/>
          <w:u w:color="000000"/>
          <w:bdr w:val="nil"/>
        </w:rPr>
        <w:t>Variabel geometri</w:t>
      </w:r>
    </w:p>
    <w:p w:rsidR="005459C8" w:rsidRPr="001366B4" w:rsidRDefault="005459C8" w:rsidP="000A20A8">
      <w:pPr>
        <w:rPr>
          <w:noProof/>
        </w:rPr>
      </w:pPr>
      <w:r w:rsidRPr="001366B4">
        <w:rPr>
          <w:noProof/>
        </w:rPr>
        <w:t>I medfør af artikel 1 og</w:t>
      </w:r>
      <w:r w:rsidR="00A87ED6" w:rsidRPr="001366B4">
        <w:rPr>
          <w:noProof/>
        </w:rPr>
        <w:t> </w:t>
      </w:r>
      <w:r w:rsidRPr="001366B4">
        <w:rPr>
          <w:noProof/>
        </w:rPr>
        <w:t>2</w:t>
      </w:r>
      <w:r w:rsidR="00A87ED6" w:rsidRPr="001366B4">
        <w:rPr>
          <w:noProof/>
        </w:rPr>
        <w:t xml:space="preserve"> i pro</w:t>
      </w:r>
      <w:r w:rsidRPr="001366B4">
        <w:rPr>
          <w:noProof/>
        </w:rPr>
        <w:t>tokol nr.</w:t>
      </w:r>
      <w:r w:rsidR="00A87ED6" w:rsidRPr="001366B4">
        <w:rPr>
          <w:noProof/>
        </w:rPr>
        <w:t> </w:t>
      </w:r>
      <w:r w:rsidRPr="001366B4">
        <w:rPr>
          <w:noProof/>
        </w:rPr>
        <w:t>21 om Irlands stilling for så vidt angår området med frihed, sikkerhed og retfærdighed, der er knyttet som bilag til traktaten om Den Europæiske Union (TEU) og til TEUF, deltager Irland ikke</w:t>
      </w:r>
      <w:r w:rsidR="00A87ED6" w:rsidRPr="001366B4">
        <w:rPr>
          <w:noProof/>
        </w:rPr>
        <w:t xml:space="preserve"> i ved</w:t>
      </w:r>
      <w:r w:rsidRPr="001366B4">
        <w:rPr>
          <w:noProof/>
        </w:rPr>
        <w:t>tagelsen af og er ikke bundet af foranstaltninger, som vedtages</w:t>
      </w:r>
      <w:r w:rsidR="00A87ED6" w:rsidRPr="001366B4">
        <w:rPr>
          <w:noProof/>
        </w:rPr>
        <w:t xml:space="preserve"> i hen</w:t>
      </w:r>
      <w:r w:rsidRPr="001366B4">
        <w:rPr>
          <w:noProof/>
        </w:rPr>
        <w:t>hold til tredje del, afsnit V, i TEUF, og som omfatter foranstaltninger til oprettelse af et fælles europæisk asylsystem</w:t>
      </w:r>
      <w:r w:rsidR="00A87ED6" w:rsidRPr="001366B4">
        <w:rPr>
          <w:noProof/>
        </w:rPr>
        <w:t>. I hen</w:t>
      </w:r>
      <w:r w:rsidRPr="001366B4">
        <w:rPr>
          <w:noProof/>
        </w:rPr>
        <w:t>hold til artikel 3</w:t>
      </w:r>
      <w:r w:rsidR="00A87ED6" w:rsidRPr="001366B4">
        <w:rPr>
          <w:noProof/>
        </w:rPr>
        <w:t xml:space="preserve"> i næv</w:t>
      </w:r>
      <w:r w:rsidRPr="001366B4">
        <w:rPr>
          <w:noProof/>
        </w:rPr>
        <w:t>nte protokol kan Irland dog beslutte at deltage</w:t>
      </w:r>
      <w:r w:rsidR="00A87ED6" w:rsidRPr="001366B4">
        <w:rPr>
          <w:noProof/>
        </w:rPr>
        <w:t xml:space="preserve"> i ved</w:t>
      </w:r>
      <w:r w:rsidRPr="001366B4">
        <w:rPr>
          <w:noProof/>
        </w:rPr>
        <w:t>tagelsen og anvendelsen af sådanne foranstaltninger. Irland har meddelt, at det ønsker at deltage</w:t>
      </w:r>
      <w:r w:rsidR="00A87ED6" w:rsidRPr="001366B4">
        <w:rPr>
          <w:noProof/>
        </w:rPr>
        <w:t xml:space="preserve"> i for</w:t>
      </w:r>
      <w:r w:rsidRPr="001366B4">
        <w:rPr>
          <w:noProof/>
        </w:rPr>
        <w:t>ordningen om asylproceduren. Irland kan også vælge at deltage</w:t>
      </w:r>
      <w:r w:rsidR="00A87ED6" w:rsidRPr="001366B4">
        <w:rPr>
          <w:noProof/>
        </w:rPr>
        <w:t xml:space="preserve"> i ved</w:t>
      </w:r>
      <w:r w:rsidRPr="001366B4">
        <w:rPr>
          <w:noProof/>
        </w:rPr>
        <w:t>tagelsen og anvendelsen af dette forslag, som ændrer forordningen om asylproceduren,</w:t>
      </w:r>
      <w:r w:rsidR="00A87ED6" w:rsidRPr="001366B4">
        <w:rPr>
          <w:noProof/>
        </w:rPr>
        <w:t xml:space="preserve"> i ove</w:t>
      </w:r>
      <w:r w:rsidRPr="001366B4">
        <w:rPr>
          <w:noProof/>
        </w:rPr>
        <w:t>rensstemmelse med artikel 3 og</w:t>
      </w:r>
      <w:r w:rsidR="00A87ED6" w:rsidRPr="001366B4">
        <w:rPr>
          <w:noProof/>
        </w:rPr>
        <w:t> </w:t>
      </w:r>
      <w:r w:rsidRPr="001366B4">
        <w:rPr>
          <w:noProof/>
        </w:rPr>
        <w:t>4a</w:t>
      </w:r>
      <w:r w:rsidR="00A87ED6" w:rsidRPr="001366B4">
        <w:rPr>
          <w:noProof/>
        </w:rPr>
        <w:t xml:space="preserve"> i pro</w:t>
      </w:r>
      <w:r w:rsidRPr="001366B4">
        <w:rPr>
          <w:noProof/>
        </w:rPr>
        <w:t>tokol nr.</w:t>
      </w:r>
      <w:r w:rsidR="00A87ED6" w:rsidRPr="001366B4">
        <w:rPr>
          <w:noProof/>
        </w:rPr>
        <w:t> </w:t>
      </w:r>
      <w:r w:rsidRPr="001366B4">
        <w:rPr>
          <w:noProof/>
        </w:rPr>
        <w:t>21.</w:t>
      </w:r>
    </w:p>
    <w:p w:rsidR="00693ED0" w:rsidRPr="001366B4" w:rsidRDefault="005459C8" w:rsidP="000A20A8">
      <w:pPr>
        <w:rPr>
          <w:noProof/>
        </w:rPr>
      </w:pPr>
      <w:r w:rsidRPr="001366B4">
        <w:rPr>
          <w:noProof/>
        </w:rPr>
        <w:t>I medfør af artikel 1 og</w:t>
      </w:r>
      <w:r w:rsidR="00A87ED6" w:rsidRPr="001366B4">
        <w:rPr>
          <w:noProof/>
        </w:rPr>
        <w:t> </w:t>
      </w:r>
      <w:r w:rsidRPr="001366B4">
        <w:rPr>
          <w:noProof/>
        </w:rPr>
        <w:t>2</w:t>
      </w:r>
      <w:r w:rsidR="00A87ED6" w:rsidRPr="001366B4">
        <w:rPr>
          <w:noProof/>
        </w:rPr>
        <w:t xml:space="preserve"> i pro</w:t>
      </w:r>
      <w:r w:rsidRPr="001366B4">
        <w:rPr>
          <w:noProof/>
        </w:rPr>
        <w:t>tokol nr.</w:t>
      </w:r>
      <w:r w:rsidR="00A87ED6" w:rsidRPr="001366B4">
        <w:rPr>
          <w:noProof/>
        </w:rPr>
        <w:t> </w:t>
      </w:r>
      <w:r w:rsidRPr="001366B4">
        <w:rPr>
          <w:noProof/>
        </w:rPr>
        <w:t>22 om Danmarks stilling, der er knyttet som bilag til traktaten om Den Europæiske Union og til traktaten om Den Europæiske Unions funktionsmåde, deltager Danmark ikke</w:t>
      </w:r>
      <w:r w:rsidR="00A87ED6" w:rsidRPr="001366B4">
        <w:rPr>
          <w:noProof/>
        </w:rPr>
        <w:t xml:space="preserve"> i ved</w:t>
      </w:r>
      <w:r w:rsidRPr="001366B4">
        <w:rPr>
          <w:noProof/>
        </w:rPr>
        <w:t>tagelsen af denne forordning, som ikke er bindende for og ikke finder anvendelse</w:t>
      </w:r>
      <w:r w:rsidR="00A87ED6" w:rsidRPr="001366B4">
        <w:rPr>
          <w:noProof/>
        </w:rPr>
        <w:t xml:space="preserve"> i Dan</w:t>
      </w:r>
      <w:r w:rsidRPr="001366B4">
        <w:rPr>
          <w:noProof/>
        </w:rPr>
        <w:t xml:space="preserve">mark. </w:t>
      </w:r>
    </w:p>
    <w:p w:rsidR="00693ED0" w:rsidRPr="001366B4" w:rsidRDefault="00693ED0" w:rsidP="00693ED0">
      <w:pPr>
        <w:pStyle w:val="ManualHeading2"/>
        <w:rPr>
          <w:rFonts w:eastAsia="Arial Unicode MS"/>
          <w:noProof/>
          <w:u w:color="000000"/>
          <w:bdr w:val="nil"/>
        </w:rPr>
      </w:pPr>
      <w:r w:rsidRPr="001366B4">
        <w:rPr>
          <w:noProof/>
          <w:u w:color="000000"/>
          <w:bdr w:val="nil"/>
        </w:rPr>
        <w:t>•</w:t>
      </w:r>
      <w:r w:rsidRPr="001366B4">
        <w:rPr>
          <w:noProof/>
        </w:rPr>
        <w:tab/>
      </w:r>
      <w:r w:rsidRPr="001366B4">
        <w:rPr>
          <w:noProof/>
          <w:u w:color="000000"/>
          <w:bdr w:val="nil"/>
        </w:rPr>
        <w:t>Nærhedsprincippet</w:t>
      </w:r>
    </w:p>
    <w:p w:rsidR="00693ED0" w:rsidRPr="001366B4" w:rsidRDefault="00693ED0" w:rsidP="000A20A8">
      <w:pPr>
        <w:rPr>
          <w:noProof/>
          <w:szCs w:val="24"/>
        </w:rPr>
      </w:pPr>
      <w:r w:rsidRPr="001366B4">
        <w:rPr>
          <w:noProof/>
          <w:sz w:val="23"/>
        </w:rPr>
        <w:t xml:space="preserve">Formålet med dette forslag er at </w:t>
      </w:r>
      <w:r w:rsidRPr="001366B4">
        <w:rPr>
          <w:noProof/>
        </w:rPr>
        <w:t>foretage en målrettet ændring af forordningen om asylproceduren for at sikre medlemsstaterne en mere fleksibel anvendelse af begrebet sikkert tredjeland. Forslaget fastholder den fakultative karakter af anvendelsen af begrebet sikkert tredjeland.</w:t>
      </w:r>
    </w:p>
    <w:p w:rsidR="00693ED0" w:rsidRPr="001366B4" w:rsidRDefault="00693ED0" w:rsidP="000A20A8">
      <w:pPr>
        <w:rPr>
          <w:noProof/>
        </w:rPr>
      </w:pPr>
      <w:r w:rsidRPr="001366B4">
        <w:rPr>
          <w:noProof/>
        </w:rPr>
        <w:t xml:space="preserve">De nye procedurer bør, uanset hvilken medlemsstat der anvender dem, være underlagt de samme regler for at sikre ligebehandling af ansøgere, tredjelandsstatsborgere eller statsløse personer samt klarhed og retssikkerhed for de enkelte personer. Desuden kan medlemsstater, der handler alene, skabe incitamenter til ulovlige bevægelser fra én medlemsstat til en anden, afhængigt af om og hvordan de anvender begrebet sikkert tredjeland, eller hæmme overførsler efter Dublinforordningen på grund af den forskellige anvendelse af begrebet. </w:t>
      </w:r>
    </w:p>
    <w:p w:rsidR="00693ED0" w:rsidRPr="001366B4" w:rsidRDefault="00693ED0" w:rsidP="00693ED0">
      <w:pPr>
        <w:pBdr>
          <w:top w:val="nil"/>
          <w:left w:val="nil"/>
          <w:bottom w:val="nil"/>
          <w:right w:val="nil"/>
          <w:between w:val="nil"/>
          <w:bar w:val="nil"/>
        </w:pBdr>
        <w:spacing w:after="240"/>
        <w:rPr>
          <w:noProof/>
        </w:rPr>
      </w:pPr>
      <w:r w:rsidRPr="001366B4">
        <w:rPr>
          <w:noProof/>
        </w:rPr>
        <w:t>Målene med dette forslag kan ikke opfyldes af medlemsstaterne alene. Målet om at fjerne nogle af hindringerne for en effektiv anvendelse af begrebet sikkert tredjeland kræver en EU-ramme, som er nødvendig for at sikre en konsekvent og sammenhængende anvendelse af begrebet sikkert tredjeland på tværs af medlemsstaterne. Derfor må Unionen handle og vedtage foranstaltninger</w:t>
      </w:r>
      <w:r w:rsidR="00A87ED6" w:rsidRPr="001366B4">
        <w:rPr>
          <w:noProof/>
        </w:rPr>
        <w:t xml:space="preserve"> i ove</w:t>
      </w:r>
      <w:r w:rsidRPr="001366B4">
        <w:rPr>
          <w:noProof/>
        </w:rPr>
        <w:t>rensstemmelse med nærhedsprincippet, jf. artikel 5</w:t>
      </w:r>
      <w:r w:rsidR="00A87ED6" w:rsidRPr="001366B4">
        <w:rPr>
          <w:noProof/>
        </w:rPr>
        <w:t xml:space="preserve"> i tra</w:t>
      </w:r>
      <w:r w:rsidRPr="001366B4">
        <w:rPr>
          <w:noProof/>
        </w:rPr>
        <w:t xml:space="preserve">ktaten om Den Europæiske Union. </w:t>
      </w:r>
    </w:p>
    <w:p w:rsidR="00693ED0" w:rsidRPr="001366B4" w:rsidRDefault="00693ED0" w:rsidP="00693ED0">
      <w:pPr>
        <w:pStyle w:val="ManualHeading2"/>
        <w:rPr>
          <w:rFonts w:eastAsia="Arial Unicode MS"/>
          <w:noProof/>
          <w:u w:color="000000"/>
          <w:bdr w:val="nil"/>
        </w:rPr>
      </w:pPr>
      <w:r w:rsidRPr="001366B4">
        <w:rPr>
          <w:noProof/>
          <w:u w:color="000000"/>
          <w:bdr w:val="nil"/>
        </w:rPr>
        <w:t>•</w:t>
      </w:r>
      <w:r w:rsidRPr="001366B4">
        <w:rPr>
          <w:noProof/>
        </w:rPr>
        <w:tab/>
      </w:r>
      <w:r w:rsidRPr="001366B4">
        <w:rPr>
          <w:noProof/>
          <w:u w:color="000000"/>
          <w:bdr w:val="nil"/>
        </w:rPr>
        <w:t>Proportionalitetsprincippet</w:t>
      </w:r>
    </w:p>
    <w:p w:rsidR="00693ED0" w:rsidRPr="001366B4" w:rsidRDefault="00693ED0" w:rsidP="000A20A8">
      <w:pPr>
        <w:rPr>
          <w:rFonts w:eastAsia="Arial Unicode MS"/>
          <w:noProof/>
        </w:rPr>
      </w:pPr>
      <w:r w:rsidRPr="001366B4">
        <w:rPr>
          <w:noProof/>
        </w:rPr>
        <w:t>I overensstemmelse med proportionalitetsprincippet, jf. artikel 5</w:t>
      </w:r>
      <w:r w:rsidR="00A87ED6" w:rsidRPr="001366B4">
        <w:rPr>
          <w:noProof/>
        </w:rPr>
        <w:t xml:space="preserve"> i tra</w:t>
      </w:r>
      <w:r w:rsidRPr="001366B4">
        <w:rPr>
          <w:noProof/>
        </w:rPr>
        <w:t>ktaten om Den Europæiske Union, går dette forslag til en målrettet ændring af forordning (EU) 2024/1348 om asylprocedurer ikke ud over, hvad der er nødvendigt for at nå dens mål, nemlig at give medlemsstaterne større fleksibilitet</w:t>
      </w:r>
      <w:r w:rsidR="00A87ED6" w:rsidRPr="001366B4">
        <w:rPr>
          <w:noProof/>
        </w:rPr>
        <w:t xml:space="preserve"> i anv</w:t>
      </w:r>
      <w:r w:rsidRPr="001366B4">
        <w:rPr>
          <w:noProof/>
        </w:rPr>
        <w:t>endelsen af begrebet sikkert tredjeland</w:t>
      </w:r>
      <w:r w:rsidR="00A87ED6" w:rsidRPr="001366B4">
        <w:rPr>
          <w:noProof/>
        </w:rPr>
        <w:t xml:space="preserve"> i ove</w:t>
      </w:r>
      <w:r w:rsidRPr="001366B4">
        <w:rPr>
          <w:noProof/>
        </w:rPr>
        <w:t>rensstemmelse med folkeretten og under fuld overholdelse af de grundlæggende rettigheder, der er nedfældet i EU's charter om grundlæggende rettigheder og den europæiske menneskerettighedskonvention.</w:t>
      </w:r>
    </w:p>
    <w:p w:rsidR="00693ED0" w:rsidRPr="001366B4" w:rsidRDefault="00693ED0" w:rsidP="00693ED0">
      <w:pPr>
        <w:pStyle w:val="ManualHeading2"/>
        <w:rPr>
          <w:rFonts w:eastAsia="Arial Unicode MS"/>
          <w:noProof/>
          <w:u w:color="000000"/>
          <w:bdr w:val="nil"/>
        </w:rPr>
      </w:pPr>
      <w:r w:rsidRPr="001366B4">
        <w:rPr>
          <w:noProof/>
          <w:u w:color="000000"/>
          <w:bdr w:val="nil"/>
        </w:rPr>
        <w:t>•</w:t>
      </w:r>
      <w:r w:rsidRPr="001366B4">
        <w:rPr>
          <w:noProof/>
        </w:rPr>
        <w:tab/>
      </w:r>
      <w:r w:rsidRPr="001366B4">
        <w:rPr>
          <w:noProof/>
          <w:u w:color="000000"/>
          <w:bdr w:val="nil"/>
        </w:rPr>
        <w:t>Valg af instrument</w:t>
      </w:r>
    </w:p>
    <w:p w:rsidR="00693ED0" w:rsidRPr="001366B4" w:rsidRDefault="00693ED0" w:rsidP="00693ED0">
      <w:pPr>
        <w:pBdr>
          <w:top w:val="nil"/>
          <w:left w:val="nil"/>
          <w:bottom w:val="nil"/>
          <w:right w:val="nil"/>
          <w:between w:val="nil"/>
          <w:bar w:val="nil"/>
        </w:pBdr>
        <w:spacing w:before="0" w:after="240"/>
        <w:rPr>
          <w:noProof/>
        </w:rPr>
      </w:pPr>
      <w:r w:rsidRPr="001366B4">
        <w:rPr>
          <w:noProof/>
        </w:rPr>
        <w:t>Det valgte instrument er et forslag til forordning om ændring af forordningen om asylproceduren.</w:t>
      </w:r>
    </w:p>
    <w:p w:rsidR="00693ED0" w:rsidRPr="001366B4" w:rsidRDefault="00693ED0" w:rsidP="00693ED0">
      <w:pPr>
        <w:pStyle w:val="ManualHeading1"/>
        <w:rPr>
          <w:noProof/>
        </w:rPr>
      </w:pPr>
      <w:r w:rsidRPr="001366B4">
        <w:rPr>
          <w:noProof/>
        </w:rPr>
        <w:t>3.</w:t>
      </w:r>
      <w:r w:rsidRPr="001366B4">
        <w:rPr>
          <w:noProof/>
        </w:rPr>
        <w:tab/>
        <w:t>RESULTATER AF EFTERFØLGENDE EVALUERINGER, HØRINGER AF INTERESSENTER OG KONSEKVENSANALYSER</w:t>
      </w:r>
    </w:p>
    <w:p w:rsidR="00693ED0" w:rsidRPr="001366B4" w:rsidRDefault="00693ED0" w:rsidP="00693ED0">
      <w:pPr>
        <w:pStyle w:val="ManualHeading2"/>
        <w:rPr>
          <w:rFonts w:eastAsia="Arial Unicode MS"/>
          <w:noProof/>
          <w:u w:color="000000"/>
          <w:bdr w:val="nil"/>
        </w:rPr>
      </w:pPr>
      <w:r w:rsidRPr="001366B4">
        <w:rPr>
          <w:noProof/>
          <w:u w:color="000000"/>
          <w:bdr w:val="nil"/>
        </w:rPr>
        <w:t>•</w:t>
      </w:r>
      <w:r w:rsidRPr="001366B4">
        <w:rPr>
          <w:noProof/>
        </w:rPr>
        <w:tab/>
      </w:r>
      <w:r w:rsidRPr="001366B4">
        <w:rPr>
          <w:noProof/>
          <w:u w:color="000000"/>
          <w:bdr w:val="nil"/>
        </w:rPr>
        <w:t>Indhentning af viden om gennemførelse og anvendelse af gældende lovgivning</w:t>
      </w:r>
    </w:p>
    <w:p w:rsidR="00693ED0" w:rsidRPr="001366B4" w:rsidRDefault="00693ED0" w:rsidP="000A20A8">
      <w:pPr>
        <w:rPr>
          <w:noProof/>
        </w:rPr>
      </w:pPr>
      <w:r w:rsidRPr="001366B4">
        <w:rPr>
          <w:noProof/>
        </w:rPr>
        <w:t>I forbindelse med evalueringen af begrebet sikkert tredjeland undersøgte Kommissionen, om der</w:t>
      </w:r>
      <w:r w:rsidR="00A87ED6" w:rsidRPr="001366B4">
        <w:rPr>
          <w:noProof/>
        </w:rPr>
        <w:t xml:space="preserve"> i hen</w:t>
      </w:r>
      <w:r w:rsidRPr="001366B4">
        <w:rPr>
          <w:noProof/>
        </w:rPr>
        <w:t>hold til folkeretten (Genèvekonventionen af</w:t>
      </w:r>
      <w:r w:rsidR="00A87ED6" w:rsidRPr="001366B4">
        <w:rPr>
          <w:noProof/>
        </w:rPr>
        <w:t> </w:t>
      </w:r>
      <w:r w:rsidRPr="001366B4">
        <w:rPr>
          <w:noProof/>
        </w:rPr>
        <w:t>1951 og den europæiske menneskerettighedskonvention af</w:t>
      </w:r>
      <w:r w:rsidR="00A87ED6" w:rsidRPr="001366B4">
        <w:rPr>
          <w:noProof/>
        </w:rPr>
        <w:t> </w:t>
      </w:r>
      <w:r w:rsidRPr="001366B4">
        <w:rPr>
          <w:noProof/>
        </w:rPr>
        <w:t>1950) er grundlag for yderligere at revidere betingelserne for anvendelsen af begrebet sikkert tredjeland og de dermed forbundne retlige garantier med henblik på at lette anvendelsen af begrebet</w:t>
      </w:r>
      <w:r w:rsidR="00A87ED6" w:rsidRPr="001366B4">
        <w:rPr>
          <w:noProof/>
        </w:rPr>
        <w:t xml:space="preserve"> i med</w:t>
      </w:r>
      <w:r w:rsidRPr="001366B4">
        <w:rPr>
          <w:noProof/>
        </w:rPr>
        <w:t>lemsstaterne. Kommissionen tog også hensyn til medlemsstaternes hidtidige erfaringer med anvendelsen af begrebet sikkert tredjeland, herunder de udfordringer, der er opstået</w:t>
      </w:r>
      <w:r w:rsidR="00A87ED6" w:rsidRPr="001366B4">
        <w:rPr>
          <w:noProof/>
        </w:rPr>
        <w:t xml:space="preserve"> i for</w:t>
      </w:r>
      <w:r w:rsidRPr="001366B4">
        <w:rPr>
          <w:noProof/>
        </w:rPr>
        <w:t>bindelse med anvendelsen af begrebet, som det er kommet til udtryk</w:t>
      </w:r>
      <w:r w:rsidR="00A87ED6" w:rsidRPr="001366B4">
        <w:rPr>
          <w:noProof/>
        </w:rPr>
        <w:t xml:space="preserve"> i for</w:t>
      </w:r>
      <w:r w:rsidRPr="001366B4">
        <w:rPr>
          <w:noProof/>
        </w:rPr>
        <w:t xml:space="preserve">skellige fora. Endelig analyserede Kommissionen EU-Domstolens og Menneskerettighedsdomstolens relevante retspraksis. </w:t>
      </w:r>
    </w:p>
    <w:p w:rsidR="00693ED0" w:rsidRPr="001366B4" w:rsidRDefault="00693ED0" w:rsidP="000A20A8">
      <w:pPr>
        <w:rPr>
          <w:rFonts w:eastAsia="Times New Roman"/>
          <w:noProof/>
        </w:rPr>
      </w:pPr>
      <w:r w:rsidRPr="001366B4">
        <w:rPr>
          <w:noProof/>
        </w:rPr>
        <w:t>Hvad angår de faktuelle oplysninger om EU-medlemsstaternes anvendelse af begrebet sikkert tredjeland indtil videre, er de tilgængelige data ikke særlig dybdeborende, men det tyder på, at praksis</w:t>
      </w:r>
      <w:r w:rsidR="00A87ED6" w:rsidRPr="001366B4">
        <w:rPr>
          <w:noProof/>
        </w:rPr>
        <w:t xml:space="preserve"> i bed</w:t>
      </w:r>
      <w:r w:rsidRPr="001366B4">
        <w:rPr>
          <w:noProof/>
        </w:rPr>
        <w:t>ste fald har været uensartet</w:t>
      </w:r>
      <w:r w:rsidRPr="001366B4">
        <w:rPr>
          <w:rStyle w:val="FootnoteReference"/>
          <w:noProof/>
        </w:rPr>
        <w:footnoteReference w:id="12"/>
      </w:r>
      <w:r w:rsidRPr="001366B4">
        <w:rPr>
          <w:noProof/>
        </w:rPr>
        <w:t>. Den nationale lovgivning</w:t>
      </w:r>
      <w:r w:rsidR="00A87ED6" w:rsidRPr="001366B4">
        <w:rPr>
          <w:noProof/>
        </w:rPr>
        <w:t xml:space="preserve"> i tre</w:t>
      </w:r>
      <w:r w:rsidRPr="001366B4">
        <w:rPr>
          <w:noProof/>
        </w:rPr>
        <w:t xml:space="preserve"> medlemsstater omfatter ikke begrebet sikkert tredjeland</w:t>
      </w:r>
      <w:r w:rsidRPr="001366B4">
        <w:rPr>
          <w:rStyle w:val="FootnoteReference"/>
          <w:rFonts w:eastAsia="Times New Roman"/>
          <w:noProof/>
        </w:rPr>
        <w:footnoteReference w:id="13"/>
      </w:r>
      <w:r w:rsidRPr="001366B4">
        <w:rPr>
          <w:noProof/>
        </w:rPr>
        <w:t>. Alle andre medlemsstater har medtaget begrebet</w:t>
      </w:r>
      <w:r w:rsidR="00A87ED6" w:rsidRPr="001366B4">
        <w:rPr>
          <w:noProof/>
        </w:rPr>
        <w:t xml:space="preserve"> i den</w:t>
      </w:r>
      <w:r w:rsidRPr="001366B4">
        <w:rPr>
          <w:noProof/>
        </w:rPr>
        <w:t xml:space="preserve"> nationale lovgivning, men der er forskelle med hensyn til dets anvendelse: Fem medlemsstater har vedtaget lister over sikre tredjelande</w:t>
      </w:r>
      <w:r w:rsidRPr="001366B4">
        <w:rPr>
          <w:rStyle w:val="FootnoteReference"/>
          <w:rFonts w:eastAsia="Times New Roman"/>
          <w:noProof/>
        </w:rPr>
        <w:footnoteReference w:id="14"/>
      </w:r>
      <w:r w:rsidRPr="001366B4">
        <w:rPr>
          <w:noProof/>
        </w:rPr>
        <w:t>,</w:t>
      </w:r>
      <w:r w:rsidR="00A87ED6" w:rsidRPr="001366B4">
        <w:rPr>
          <w:noProof/>
        </w:rPr>
        <w:t xml:space="preserve"> i 1</w:t>
      </w:r>
      <w:r w:rsidRPr="001366B4">
        <w:rPr>
          <w:noProof/>
        </w:rPr>
        <w:t>2 medlemsstater anvendes begrebet kun fra sag til sag</w:t>
      </w:r>
      <w:r w:rsidRPr="001366B4">
        <w:rPr>
          <w:rStyle w:val="FootnoteReference"/>
          <w:rFonts w:eastAsia="Times New Roman"/>
          <w:noProof/>
        </w:rPr>
        <w:footnoteReference w:id="15"/>
      </w:r>
      <w:r w:rsidRPr="001366B4">
        <w:rPr>
          <w:noProof/>
        </w:rPr>
        <w:t>, og seks medlemsstater anvender ikke begrebet</w:t>
      </w:r>
      <w:r w:rsidR="00A87ED6" w:rsidRPr="001366B4">
        <w:rPr>
          <w:noProof/>
        </w:rPr>
        <w:t xml:space="preserve"> i pra</w:t>
      </w:r>
      <w:r w:rsidRPr="001366B4">
        <w:rPr>
          <w:noProof/>
        </w:rPr>
        <w:t>ksis</w:t>
      </w:r>
      <w:r w:rsidRPr="001366B4">
        <w:rPr>
          <w:rStyle w:val="FootnoteReference"/>
          <w:rFonts w:eastAsia="Times New Roman"/>
          <w:noProof/>
        </w:rPr>
        <w:footnoteReference w:id="16"/>
      </w:r>
      <w:r w:rsidRPr="001366B4">
        <w:rPr>
          <w:noProof/>
        </w:rPr>
        <w:t>.</w:t>
      </w:r>
    </w:p>
    <w:p w:rsidR="00693ED0" w:rsidRPr="001366B4" w:rsidRDefault="00693ED0" w:rsidP="00693ED0">
      <w:pPr>
        <w:pStyle w:val="ManualHeading2"/>
        <w:rPr>
          <w:rFonts w:eastAsia="Arial Unicode MS"/>
          <w:noProof/>
          <w:u w:color="000000"/>
          <w:bdr w:val="nil"/>
        </w:rPr>
      </w:pPr>
      <w:r w:rsidRPr="001366B4">
        <w:rPr>
          <w:noProof/>
          <w:u w:color="000000"/>
          <w:bdr w:val="nil"/>
        </w:rPr>
        <w:t>•</w:t>
      </w:r>
      <w:r w:rsidRPr="001366B4">
        <w:rPr>
          <w:noProof/>
        </w:rPr>
        <w:tab/>
      </w:r>
      <w:r w:rsidRPr="001366B4">
        <w:rPr>
          <w:noProof/>
          <w:u w:color="000000"/>
          <w:bdr w:val="nil"/>
        </w:rPr>
        <w:t>Høringer af interessenter</w:t>
      </w:r>
    </w:p>
    <w:p w:rsidR="00693ED0" w:rsidRPr="001366B4" w:rsidRDefault="00693ED0" w:rsidP="000A20A8">
      <w:pPr>
        <w:rPr>
          <w:noProof/>
        </w:rPr>
      </w:pPr>
      <w:r w:rsidRPr="001366B4">
        <w:rPr>
          <w:noProof/>
        </w:rPr>
        <w:t xml:space="preserve">Kommissionen gennemførte mellem december 2024 og februar 2025 høringer af medlemsstaterne, Europa-Parlamentet, civilsamfundsorganisationer og UNHCR. Drøftelserne fokuserede på forbindelseskriteriet og den automatiske opsættende virkning som følge af klagesager vedrørende afgørelser om afvisning på grundlag af begrebet sikkert tredjeland. </w:t>
      </w:r>
    </w:p>
    <w:p w:rsidR="00693ED0" w:rsidRPr="001366B4" w:rsidRDefault="00693ED0" w:rsidP="000A20A8">
      <w:pPr>
        <w:rPr>
          <w:noProof/>
        </w:rPr>
      </w:pPr>
      <w:r w:rsidRPr="001366B4">
        <w:rPr>
          <w:noProof/>
        </w:rPr>
        <w:t>Drøftelserne med medlemsstaterne fandt sted</w:t>
      </w:r>
      <w:r w:rsidR="00A87ED6" w:rsidRPr="001366B4">
        <w:rPr>
          <w:noProof/>
        </w:rPr>
        <w:t xml:space="preserve"> i for</w:t>
      </w:r>
      <w:r w:rsidRPr="001366B4">
        <w:rPr>
          <w:noProof/>
        </w:rPr>
        <w:t>skellige fora, herunder Coreper, Asylgruppen, Det Strategiske Udvalg for Indvandring, Grænser og Asyl (SCIFA) og uformelle høringer afholdt af Kommissionen den</w:t>
      </w:r>
      <w:r w:rsidR="00A87ED6" w:rsidRPr="001366B4">
        <w:rPr>
          <w:noProof/>
        </w:rPr>
        <w:t> </w:t>
      </w:r>
      <w:r w:rsidRPr="001366B4">
        <w:rPr>
          <w:noProof/>
        </w:rPr>
        <w:t>27. januar og den</w:t>
      </w:r>
      <w:r w:rsidR="00A87ED6" w:rsidRPr="001366B4">
        <w:rPr>
          <w:noProof/>
        </w:rPr>
        <w:t> </w:t>
      </w:r>
      <w:r w:rsidRPr="001366B4">
        <w:rPr>
          <w:noProof/>
        </w:rPr>
        <w:t>27. februar 2025. Drøftelserne med medlemmer af Europa-Parlamentet fandt sted den</w:t>
      </w:r>
      <w:r w:rsidR="00A87ED6" w:rsidRPr="001366B4">
        <w:rPr>
          <w:noProof/>
        </w:rPr>
        <w:t> </w:t>
      </w:r>
      <w:r w:rsidRPr="001366B4">
        <w:rPr>
          <w:noProof/>
        </w:rPr>
        <w:t>18. februar og med civilsamfundsorganisationer den</w:t>
      </w:r>
      <w:r w:rsidR="00A87ED6" w:rsidRPr="001366B4">
        <w:rPr>
          <w:noProof/>
        </w:rPr>
        <w:t> </w:t>
      </w:r>
      <w:r w:rsidRPr="001366B4">
        <w:rPr>
          <w:noProof/>
        </w:rPr>
        <w:t>19. februar 2025.</w:t>
      </w:r>
    </w:p>
    <w:p w:rsidR="009D5A9E" w:rsidRPr="001366B4" w:rsidRDefault="00D761F0" w:rsidP="000A20A8">
      <w:pPr>
        <w:rPr>
          <w:noProof/>
        </w:rPr>
      </w:pPr>
      <w:r w:rsidRPr="001366B4">
        <w:rPr>
          <w:noProof/>
        </w:rPr>
        <w:t xml:space="preserve">Et stort flertal af </w:t>
      </w:r>
      <w:r w:rsidRPr="001366B4">
        <w:rPr>
          <w:b/>
          <w:noProof/>
        </w:rPr>
        <w:t>medlemsstaterne</w:t>
      </w:r>
      <w:r w:rsidRPr="001366B4">
        <w:rPr>
          <w:noProof/>
        </w:rPr>
        <w:t xml:space="preserve"> udtrykte ved disse drøftelser støtte til evalueringen af begrebet sikkert tredjeland og gik ind for en målrettet ændring af forordningen om asylproceduren for at fjerne forbindelseskriteriet og den automatiske opsættende virkning, idet disse ændringer betragtes som et middel til at øge effektiviteten, skabe større fleksibilitet</w:t>
      </w:r>
      <w:r w:rsidR="00A87ED6" w:rsidRPr="001366B4">
        <w:rPr>
          <w:noProof/>
        </w:rPr>
        <w:t xml:space="preserve"> i for</w:t>
      </w:r>
      <w:r w:rsidRPr="001366B4">
        <w:rPr>
          <w:noProof/>
        </w:rPr>
        <w:t>valtningen af asylansøgninger, navnlig</w:t>
      </w:r>
      <w:r w:rsidR="00A87ED6" w:rsidRPr="001366B4">
        <w:rPr>
          <w:noProof/>
        </w:rPr>
        <w:t xml:space="preserve"> i tid</w:t>
      </w:r>
      <w:r w:rsidRPr="001366B4">
        <w:rPr>
          <w:noProof/>
        </w:rPr>
        <w:t>er med et uforholdsmæssigt stort migrationspres, og nedbringe de administrative byrder. Et mindretal af medlemsstaterne var imod fjernelsen af kravet om forbindelseskriteriet og ville foretrække en fleksibel definition af forbindelse.</w:t>
      </w:r>
    </w:p>
    <w:p w:rsidR="004103DC" w:rsidRPr="001366B4" w:rsidRDefault="004103DC" w:rsidP="000A20A8">
      <w:pPr>
        <w:rPr>
          <w:noProof/>
        </w:rPr>
      </w:pPr>
      <w:r w:rsidRPr="001366B4">
        <w:rPr>
          <w:noProof/>
        </w:rPr>
        <w:t>De medlemsstater, der støttede fjernelsen af forbindelseskriteriet som et obligatorisk krav, understregede, at det ville udvide det potentielle anvendelsesområde med hensyn til ansøgere, der kan gå ind under rammerne for begrebet sikkert tredjeland, således at flere asylansøgere behandles inden for disse rammer. De fremførte, at denne ændring også ville sikre en større fleksibilitet</w:t>
      </w:r>
      <w:r w:rsidR="00A87ED6" w:rsidRPr="001366B4">
        <w:rPr>
          <w:noProof/>
        </w:rPr>
        <w:t xml:space="preserve"> i sam</w:t>
      </w:r>
      <w:r w:rsidRPr="001366B4">
        <w:rPr>
          <w:noProof/>
        </w:rPr>
        <w:t xml:space="preserve">arbejdet med tredjelande og lette etableringen af nye partnerskaber. De hævdede også, at medlemsstaterne ved at ophæve dette krav ville være bedre rustet til at reagere mere effektivt på migrationspres og kriser. De pegede også på potentielle effektivitetsgevinster og fremførte, at en afskaffelse af forbindelseskriteriet ville strømline behandlingen af ansøgninger, nedbringe de administrative byrder for de nationale myndigheder (da bevisbyrden forbundet med forbindelsen bortfalder) og fremskynde beslutningstagningen. </w:t>
      </w:r>
    </w:p>
    <w:p w:rsidR="004103DC" w:rsidRPr="001366B4" w:rsidRDefault="00420C39" w:rsidP="000A20A8">
      <w:pPr>
        <w:rPr>
          <w:noProof/>
        </w:rPr>
      </w:pPr>
      <w:r w:rsidRPr="001366B4">
        <w:rPr>
          <w:noProof/>
        </w:rPr>
        <w:t>De medlemsstater, der ikke støtter fjernelsen af kravet om forbindelseskriteriet, advarede om, at fjernelsen kan hindre personers integration i de sikre tredjelande og etableringen af partnerskaber med tredjelande, øge risikoen for irregulær migration tilbage til EU fra det sikre tredjeland og for, at personer efterlades uden tilknytning eller garanteret beskyttelse</w:t>
      </w:r>
      <w:r w:rsidR="00A87ED6" w:rsidRPr="001366B4">
        <w:rPr>
          <w:noProof/>
        </w:rPr>
        <w:t xml:space="preserve"> i det</w:t>
      </w:r>
      <w:r w:rsidRPr="001366B4">
        <w:rPr>
          <w:noProof/>
        </w:rPr>
        <w:t xml:space="preserve"> sikre tredjeland. I EU kan det også øge risikoen for retssager og sekundære bevægelser til medlemsstater, hvor begrebet sikkert tredjeland enten ikke anvendes eller anvendes på baggrund af forbindelseskravet. Nogle advarede om, at de nationale domstole kan suspendere overførsler efter Dublinforordningen til medlemsstater, hvis de mener, at begrebet sikkert tredjeland anvendes for lempeligt eller forkert, da forbindelsen udgør en garanti. Nogle medlemsstater fremhævede endvidere behovet for at sikre overholdelse af folkeretten og menneskerettighedslovgivningen, beskytte sårbare ansøgere, undgå at flytte ansvaret over på tredjelande og sikre en realistisk gennemførelse.</w:t>
      </w:r>
    </w:p>
    <w:p w:rsidR="003D4897" w:rsidRPr="001366B4" w:rsidRDefault="00735076" w:rsidP="00735076">
      <w:pPr>
        <w:rPr>
          <w:noProof/>
          <w:szCs w:val="24"/>
        </w:rPr>
      </w:pPr>
      <w:r w:rsidRPr="001366B4">
        <w:rPr>
          <w:noProof/>
        </w:rPr>
        <w:t>Flere medlemsstater bemærkede også, at anvendelsen af begrebet sikkert tredjeland kan øge risikoen for, at ansøgere, der er omfattet af begrebet sikkert tredjeland, forsvinder. For at imødegå denne risiko mente de fleste medlemsstater, at de regler, der er fastsat</w:t>
      </w:r>
      <w:r w:rsidR="00A87ED6" w:rsidRPr="001366B4">
        <w:rPr>
          <w:noProof/>
        </w:rPr>
        <w:t xml:space="preserve"> i dir</w:t>
      </w:r>
      <w:r w:rsidRPr="001366B4">
        <w:rPr>
          <w:noProof/>
        </w:rPr>
        <w:t xml:space="preserve">ektivet om modtagelsesforhold, herunder artikel 9 (restriktioner for den frie bevægelighed) og artikel 10 (frihedsberøvelse), er tilstrækkelige, selv om nogle få medlemsstater foreslog at undersøge mulige ændringer, og én medlemsstat foreslog at medtage en betragtning. </w:t>
      </w:r>
    </w:p>
    <w:p w:rsidR="00D633A7" w:rsidRPr="001366B4" w:rsidRDefault="00693ED0" w:rsidP="000A20A8">
      <w:pPr>
        <w:rPr>
          <w:noProof/>
          <w:szCs w:val="24"/>
        </w:rPr>
      </w:pPr>
      <w:r w:rsidRPr="001366B4">
        <w:rPr>
          <w:noProof/>
        </w:rPr>
        <w:t xml:space="preserve">Høringer af medlemmer af </w:t>
      </w:r>
      <w:r w:rsidRPr="001366B4">
        <w:rPr>
          <w:b/>
          <w:noProof/>
        </w:rPr>
        <w:t>Europa-Parlamentet</w:t>
      </w:r>
      <w:r w:rsidRPr="001366B4">
        <w:rPr>
          <w:noProof/>
        </w:rPr>
        <w:t xml:space="preserve"> afslørede betydelige meningsforskelle mellem medlemmerne. Nogle medlemmer gik ind for at fjerne forbindelseskriteriet og fjerne den automatiske opsættende virkning, idet de mente, at disse ændringer ville forbedre effektiviteten og begrænse sekundære bevægelser. Andre medlemmer var imod begge forslag og advarede om, at manglen på et forbindelseskriterium kunne hindre integration</w:t>
      </w:r>
      <w:r w:rsidR="00A87ED6" w:rsidRPr="001366B4">
        <w:rPr>
          <w:noProof/>
        </w:rPr>
        <w:t xml:space="preserve"> i tre</w:t>
      </w:r>
      <w:r w:rsidRPr="001366B4">
        <w:rPr>
          <w:noProof/>
        </w:rPr>
        <w:t>djelandet, øge sekundære bevægelser og efterlade personer, der overføres til tredjelandet, uden beskyttelse, samtidig med at de understregede betydningen af at beskytte den enkeltes ret til asyl i EU og sikre overførslernes bæredygtighed på lang sigt. Der blev givet udtryk for yderligere betænkeligheder med hensyn til risikoen for en stigning</w:t>
      </w:r>
      <w:r w:rsidR="00A87ED6" w:rsidRPr="001366B4">
        <w:rPr>
          <w:noProof/>
        </w:rPr>
        <w:t xml:space="preserve"> i ant</w:t>
      </w:r>
      <w:r w:rsidRPr="001366B4">
        <w:rPr>
          <w:noProof/>
        </w:rPr>
        <w:t xml:space="preserve">allet retssager og potentielle </w:t>
      </w:r>
      <w:r w:rsidRPr="001366B4">
        <w:rPr>
          <w:i/>
          <w:noProof/>
        </w:rPr>
        <w:t>refoulement</w:t>
      </w:r>
      <w:r w:rsidRPr="001366B4">
        <w:rPr>
          <w:noProof/>
        </w:rPr>
        <w:t>-risici, hvis den opsættende virkning fjernes. Det blev også fremført, at der fortsat bør fokuseres på gennemførelsen af pagten</w:t>
      </w:r>
      <w:r w:rsidR="00A87ED6" w:rsidRPr="001366B4">
        <w:rPr>
          <w:noProof/>
        </w:rPr>
        <w:t xml:space="preserve"> i ste</w:t>
      </w:r>
      <w:r w:rsidRPr="001366B4">
        <w:rPr>
          <w:noProof/>
        </w:rPr>
        <w:t xml:space="preserve">det for at indføre ændringer, der kan forstyrre den nøje forhandlede balance. Nogle medlemmer bemærkede, at enhver ændring af begrebet sikkert tredjeland skal ledsages af stærke samarbejdsordninger med tredjelande, hvilket også vil sikre, at overførte personer har adgang til effektiv beskyttelse. </w:t>
      </w:r>
    </w:p>
    <w:p w:rsidR="00693ED0" w:rsidRPr="001366B4" w:rsidRDefault="001546F3" w:rsidP="000A20A8">
      <w:pPr>
        <w:rPr>
          <w:noProof/>
        </w:rPr>
      </w:pPr>
      <w:r w:rsidRPr="001366B4">
        <w:rPr>
          <w:b/>
          <w:noProof/>
        </w:rPr>
        <w:t>Civilsamfundsorganisationer</w:t>
      </w:r>
      <w:r w:rsidRPr="001366B4">
        <w:rPr>
          <w:noProof/>
        </w:rPr>
        <w:t xml:space="preserve"> var generelt imod evalueringen af begrebet sikkert tredjeland og fremhævede flere centrale betænkeligheder ved den praktiske gennemførelse af begrebet sikkert tredjeland. De advarede om, at det kan føre til en stigning</w:t>
      </w:r>
      <w:r w:rsidR="00A87ED6" w:rsidRPr="001366B4">
        <w:rPr>
          <w:noProof/>
        </w:rPr>
        <w:t xml:space="preserve"> i ant</w:t>
      </w:r>
      <w:r w:rsidRPr="001366B4">
        <w:rPr>
          <w:noProof/>
        </w:rPr>
        <w:t>allet af retssager, retlige indgreb og administrative byrder og samtidig have en negativ indvirkning på Dublinsystemet og samarbejdet med tredjelande. Indvirkningen på sårbare ansøgere var en anden central bekymring, og der blev opfordret til, at forbindelseskriteriet forbliver obligatorisk for denne gruppe.</w:t>
      </w:r>
    </w:p>
    <w:p w:rsidR="00B20373" w:rsidRPr="001366B4" w:rsidRDefault="00C20F41" w:rsidP="000A20A8">
      <w:pPr>
        <w:rPr>
          <w:noProof/>
        </w:rPr>
      </w:pPr>
      <w:r w:rsidRPr="001366B4">
        <w:rPr>
          <w:b/>
          <w:noProof/>
        </w:rPr>
        <w:t>UNHCR</w:t>
      </w:r>
      <w:r w:rsidRPr="001366B4">
        <w:rPr>
          <w:noProof/>
        </w:rPr>
        <w:t xml:space="preserve"> gentog – på trods af anerkendelsen af, at forbindelseskriteriet ikke er et krav</w:t>
      </w:r>
      <w:r w:rsidR="00A87ED6" w:rsidRPr="001366B4">
        <w:rPr>
          <w:noProof/>
        </w:rPr>
        <w:t xml:space="preserve"> i hen</w:t>
      </w:r>
      <w:r w:rsidRPr="001366B4">
        <w:rPr>
          <w:noProof/>
        </w:rPr>
        <w:t>hold til folkeretten – sine forbehold med hensyn til fjernelsen heraf, herunder betænkeligheder med hensyn til overførslernes langsigtede bæredygtighed</w:t>
      </w:r>
      <w:r w:rsidR="00A87ED6" w:rsidRPr="001366B4">
        <w:rPr>
          <w:noProof/>
        </w:rPr>
        <w:t xml:space="preserve"> i til</w:t>
      </w:r>
      <w:r w:rsidRPr="001366B4">
        <w:rPr>
          <w:noProof/>
        </w:rPr>
        <w:t>fælde af den manglende forbindelse og risikoen for, at overførte personer fortsat kan befinde sig i en uklar retlig situation på grund af potentielle efterfølgende afslag på beskyttelseskrav, herunder</w:t>
      </w:r>
      <w:r w:rsidR="00A87ED6" w:rsidRPr="001366B4">
        <w:rPr>
          <w:noProof/>
        </w:rPr>
        <w:t xml:space="preserve"> i det</w:t>
      </w:r>
      <w:r w:rsidRPr="001366B4">
        <w:rPr>
          <w:noProof/>
        </w:rPr>
        <w:t xml:space="preserve"> sikre tredjeland. UNHCR understregede behovet for yderligere solide garantier,</w:t>
      </w:r>
      <w:r w:rsidR="00A87ED6" w:rsidRPr="001366B4">
        <w:rPr>
          <w:noProof/>
        </w:rPr>
        <w:t xml:space="preserve"> i til</w:t>
      </w:r>
      <w:r w:rsidRPr="001366B4">
        <w:rPr>
          <w:noProof/>
        </w:rPr>
        <w:t xml:space="preserve">fælde af at forbindelseskriteriet blev fjernet. UNHCR gav også udtryk for visse betænkeligheder med hensyn til begrebet sikkert tredjeland, dog ikke direkte knyttet til forslagene til revision. </w:t>
      </w:r>
    </w:p>
    <w:p w:rsidR="00693ED0" w:rsidRPr="001366B4" w:rsidRDefault="00693ED0" w:rsidP="000A20A8">
      <w:pPr>
        <w:rPr>
          <w:noProof/>
        </w:rPr>
      </w:pPr>
      <w:r w:rsidRPr="001366B4">
        <w:rPr>
          <w:noProof/>
        </w:rPr>
        <w:t xml:space="preserve">Med hensyn til den </w:t>
      </w:r>
      <w:r w:rsidRPr="001366B4">
        <w:rPr>
          <w:b/>
          <w:noProof/>
        </w:rPr>
        <w:t xml:space="preserve">opsættende virkning </w:t>
      </w:r>
      <w:r w:rsidRPr="001366B4">
        <w:rPr>
          <w:noProof/>
        </w:rPr>
        <w:t>støttede flertallet af medlemsstaterne og nogle medlemmer af Europa-Parlamentet muligheden for en ikke-automatisk opsættende virkning. De fremførte, at fjernelsen af den automatiske opsættende virkning kunne mindske de proceduremæssige forsinkelser, og bemærkede, at dette også ville stemme overens med den korte varighed af fremskyndede procedurer og grænseprocedurer</w:t>
      </w:r>
      <w:r w:rsidR="00A87ED6" w:rsidRPr="001366B4">
        <w:rPr>
          <w:noProof/>
        </w:rPr>
        <w:t xml:space="preserve"> i hen</w:t>
      </w:r>
      <w:r w:rsidRPr="001366B4">
        <w:rPr>
          <w:noProof/>
        </w:rPr>
        <w:t>hold til den nuværende forordning om asylprocedurer. Desuden kunne fjernelsen af den automatiske opsættende virkning mindske de finansielle byrder, der er forbundet med at sikre modtagelsesforhold for ansøgere, hvis ansøgninger om beskyttelse er under behandling. De hævdede også, at denne foranstaltning kunne forhindre misbrug af klagemuligheder fra ansøgeres side, når vedkommende søger at forsinke sin udsendelse, og kunne bidrage til at mindske risikoen for, at vedkommende forsvinder, og sekundære bevægelser.</w:t>
      </w:r>
    </w:p>
    <w:p w:rsidR="00693ED0" w:rsidRPr="001366B4" w:rsidRDefault="000A7729" w:rsidP="000A20A8">
      <w:pPr>
        <w:rPr>
          <w:noProof/>
        </w:rPr>
      </w:pPr>
      <w:r w:rsidRPr="001366B4">
        <w:rPr>
          <w:noProof/>
        </w:rPr>
        <w:t>Nogle få medlemsstater, nogle medlemmer af Europa-Parlamentet, UNHCR og civilsamfundsorganisationerne udtrykte bekymring over fjernelsen af den automatiske opsættende virkning. Efter deres opfattelse kan en sådan ændring</w:t>
      </w:r>
      <w:r w:rsidR="00A87ED6" w:rsidRPr="001366B4">
        <w:rPr>
          <w:noProof/>
        </w:rPr>
        <w:t xml:space="preserve"> i væs</w:t>
      </w:r>
      <w:r w:rsidRPr="001366B4">
        <w:rPr>
          <w:noProof/>
        </w:rPr>
        <w:t xml:space="preserve">entlig grad øge arbejdsbyrden hos domstolene med ansvar for klagesagerne, og de advarede om potentielle </w:t>
      </w:r>
      <w:r w:rsidRPr="001366B4">
        <w:rPr>
          <w:i/>
          <w:noProof/>
        </w:rPr>
        <w:t>refoulement</w:t>
      </w:r>
      <w:r w:rsidRPr="001366B4">
        <w:rPr>
          <w:noProof/>
        </w:rPr>
        <w:t>-risici. UNHCR mente, at fjernelse af den automatiske opsættende virkning kan øge risikoen for frihedsberøvelse under klagesager, og at der, selv om afgørelsen om tilbagesendelse fortsat er forbundet med en opsættende virkning, er en betydelig risiko for ulovlig overførsel af ansøgere, der er</w:t>
      </w:r>
      <w:r w:rsidR="00A87ED6" w:rsidRPr="001366B4">
        <w:rPr>
          <w:noProof/>
        </w:rPr>
        <w:t xml:space="preserve"> i far</w:t>
      </w:r>
      <w:r w:rsidRPr="001366B4">
        <w:rPr>
          <w:noProof/>
        </w:rPr>
        <w:t>e, samt at dette, selv når en udsendelsesforanstaltning automatisk suspenderes, muligvis ikke sikrer et effektivt retsmiddel mod afslag på asyl på grundlag af status som sikkert tredjeland.</w:t>
      </w:r>
    </w:p>
    <w:p w:rsidR="00693ED0" w:rsidRPr="001366B4" w:rsidRDefault="00693ED0" w:rsidP="00693ED0">
      <w:pPr>
        <w:pStyle w:val="ManualHeading2"/>
        <w:rPr>
          <w:rFonts w:eastAsia="Arial Unicode MS"/>
          <w:noProof/>
          <w:bdr w:val="nil"/>
        </w:rPr>
      </w:pPr>
      <w:r w:rsidRPr="001366B4">
        <w:rPr>
          <w:noProof/>
          <w:bdr w:val="nil"/>
        </w:rPr>
        <w:t>•</w:t>
      </w:r>
      <w:r w:rsidRPr="001366B4">
        <w:rPr>
          <w:noProof/>
        </w:rPr>
        <w:tab/>
      </w:r>
      <w:r w:rsidRPr="001366B4">
        <w:rPr>
          <w:noProof/>
          <w:bdr w:val="nil"/>
        </w:rPr>
        <w:t>Evidensbaseret politikudformning</w:t>
      </w:r>
    </w:p>
    <w:p w:rsidR="00693ED0" w:rsidRPr="001366B4" w:rsidRDefault="00693ED0" w:rsidP="000A20A8">
      <w:pPr>
        <w:rPr>
          <w:noProof/>
        </w:rPr>
      </w:pPr>
      <w:r w:rsidRPr="001366B4">
        <w:rPr>
          <w:noProof/>
        </w:rPr>
        <w:t>I artikel 77</w:t>
      </w:r>
      <w:r w:rsidR="00A87ED6" w:rsidRPr="001366B4">
        <w:rPr>
          <w:noProof/>
        </w:rPr>
        <w:t xml:space="preserve"> i for</w:t>
      </w:r>
      <w:r w:rsidRPr="001366B4">
        <w:rPr>
          <w:noProof/>
        </w:rPr>
        <w:t>ordningen om asylprocedurer blev Kommissionen opfordret til senest</w:t>
      </w:r>
      <w:r w:rsidR="00A87ED6" w:rsidRPr="001366B4">
        <w:rPr>
          <w:noProof/>
        </w:rPr>
        <w:t xml:space="preserve"> i jun</w:t>
      </w:r>
      <w:r w:rsidRPr="001366B4">
        <w:rPr>
          <w:noProof/>
        </w:rPr>
        <w:t>i 2025 at foretage en evaluering af begrebet sikkert tredjeland og om nødvendigt foreslå lovgivningsmæssige ændringer, dvs. inden anvendelsen af forordningen om asylproceduren</w:t>
      </w:r>
      <w:r w:rsidR="00A87ED6" w:rsidRPr="001366B4">
        <w:rPr>
          <w:noProof/>
        </w:rPr>
        <w:t xml:space="preserve"> i jun</w:t>
      </w:r>
      <w:r w:rsidRPr="001366B4">
        <w:rPr>
          <w:noProof/>
        </w:rPr>
        <w:t xml:space="preserve">i 2026. </w:t>
      </w:r>
    </w:p>
    <w:p w:rsidR="00693ED0" w:rsidRPr="001366B4" w:rsidRDefault="002168F8" w:rsidP="000A20A8">
      <w:pPr>
        <w:rPr>
          <w:noProof/>
        </w:rPr>
      </w:pPr>
      <w:r w:rsidRPr="001366B4">
        <w:rPr>
          <w:noProof/>
        </w:rPr>
        <w:t>Ved evalueringen af begrebet sikkert tredjeland tog Kommissionen hensyn til medlemsstaternes hidtidige erfaringer med dets anvendelse, herunder de udfordringer, der er opstået, som udtrykt</w:t>
      </w:r>
      <w:r w:rsidR="00A87ED6" w:rsidRPr="001366B4">
        <w:rPr>
          <w:noProof/>
        </w:rPr>
        <w:t xml:space="preserve"> i for</w:t>
      </w:r>
      <w:r w:rsidRPr="001366B4">
        <w:rPr>
          <w:noProof/>
        </w:rPr>
        <w:t xml:space="preserve">skellige fora. Kommissionen gennemførte endvidere brede høringer af interessenter for at indsamle dokumentation. Endelig analyserede Kommissionen EU-Domstolens og Den Europæiske Menneskerettighedsdomstols relevante retspraksis. </w:t>
      </w:r>
    </w:p>
    <w:p w:rsidR="00693ED0" w:rsidRPr="001366B4" w:rsidRDefault="00693ED0" w:rsidP="00693ED0">
      <w:pPr>
        <w:pStyle w:val="ManualHeading2"/>
        <w:rPr>
          <w:rFonts w:eastAsia="Arial Unicode MS"/>
          <w:noProof/>
          <w:u w:color="000000"/>
          <w:bdr w:val="nil"/>
        </w:rPr>
      </w:pPr>
      <w:r w:rsidRPr="001366B4">
        <w:rPr>
          <w:noProof/>
          <w:u w:color="000000"/>
          <w:bdr w:val="nil"/>
        </w:rPr>
        <w:t>•</w:t>
      </w:r>
      <w:r w:rsidRPr="001366B4">
        <w:rPr>
          <w:noProof/>
        </w:rPr>
        <w:tab/>
      </w:r>
      <w:r w:rsidRPr="001366B4">
        <w:rPr>
          <w:noProof/>
          <w:u w:color="000000"/>
          <w:bdr w:val="nil"/>
        </w:rPr>
        <w:t>Grundlæggende rettigheder</w:t>
      </w:r>
    </w:p>
    <w:p w:rsidR="00693ED0" w:rsidRPr="001366B4" w:rsidRDefault="00693ED0" w:rsidP="000A20A8">
      <w:pPr>
        <w:rPr>
          <w:noProof/>
          <w:szCs w:val="24"/>
        </w:rPr>
      </w:pPr>
      <w:r w:rsidRPr="001366B4">
        <w:rPr>
          <w:noProof/>
        </w:rPr>
        <w:t>I dette forslag overholdes de grundlæggende rettigheder og de principper, som navnlig anerkendes</w:t>
      </w:r>
      <w:r w:rsidR="00A87ED6" w:rsidRPr="001366B4">
        <w:rPr>
          <w:noProof/>
        </w:rPr>
        <w:t xml:space="preserve"> i Den</w:t>
      </w:r>
      <w:r w:rsidRPr="001366B4">
        <w:rPr>
          <w:noProof/>
        </w:rPr>
        <w:t xml:space="preserve"> Europæiske Unions charter om grundlæggende rettigheder, samt de forpligtelser, der følger af folkeretten, navnlig af Genèvekonventionen om flygtninges retsstilling, konventionen til beskyttelse af menneskerettigheder og grundlæggende frihedsrettigheder, den internationale konvention om borgerlige og politiske rettigheder, FN's konvention mod tortur og FN's konvention om barnets rettigheder.</w:t>
      </w:r>
    </w:p>
    <w:p w:rsidR="00F204C1" w:rsidRPr="001366B4" w:rsidRDefault="2EC87945" w:rsidP="000A20A8">
      <w:pPr>
        <w:rPr>
          <w:noProof/>
        </w:rPr>
      </w:pPr>
      <w:r w:rsidRPr="001366B4">
        <w:rPr>
          <w:noProof/>
        </w:rPr>
        <w:t>Forslaget er</w:t>
      </w:r>
      <w:r w:rsidR="00A87ED6" w:rsidRPr="001366B4">
        <w:rPr>
          <w:noProof/>
        </w:rPr>
        <w:t xml:space="preserve"> i ove</w:t>
      </w:r>
      <w:r w:rsidRPr="001366B4">
        <w:rPr>
          <w:noProof/>
        </w:rPr>
        <w:t>rensstemmelse med artikel 18 i EU's charter, som fastsætter en ret til asyl i EU. Det forhold, at en aftale eller ordning med et tredjeland kræver realitetsbehandling af de anmodninger om effektiv beskyttelse, der fremsættes af ansøgere, som er omfattet af den pågældende aftale eller ordning, sikrer, at den overførte person vil modtage beskyttelse</w:t>
      </w:r>
      <w:r w:rsidR="00A87ED6" w:rsidRPr="001366B4">
        <w:rPr>
          <w:noProof/>
        </w:rPr>
        <w:t xml:space="preserve"> i det</w:t>
      </w:r>
      <w:r w:rsidRPr="001366B4">
        <w:rPr>
          <w:noProof/>
        </w:rPr>
        <w:t xml:space="preserve"> sikre tredjeland, hvis vedkommende er berettiget hertil. Forslaget er også</w:t>
      </w:r>
      <w:r w:rsidR="00A87ED6" w:rsidRPr="001366B4">
        <w:rPr>
          <w:noProof/>
        </w:rPr>
        <w:t xml:space="preserve"> i ove</w:t>
      </w:r>
      <w:r w:rsidRPr="001366B4">
        <w:rPr>
          <w:noProof/>
        </w:rPr>
        <w:t>rensstemmelse med artikel 24 i EU's charter, som fastsætter deres ret til den beskyttelse og omsorg, der er nødvendig for deres trivsel, og barnets tarv som et primært hensyn</w:t>
      </w:r>
      <w:r w:rsidR="00A87ED6" w:rsidRPr="001366B4">
        <w:rPr>
          <w:noProof/>
        </w:rPr>
        <w:t xml:space="preserve"> i all</w:t>
      </w:r>
      <w:r w:rsidRPr="001366B4">
        <w:rPr>
          <w:noProof/>
        </w:rPr>
        <w:t>e handlinger vedrørende børn. Desuden sikrer forslaget, at hver enkelt ansøger, der er omfattet af rammerne for begrebet sikkert tredjeland i en medlemsstat, fuldt ud vil nyde godt af alle de proceduremæssige garantier, der er til rådighed</w:t>
      </w:r>
      <w:r w:rsidR="00A87ED6" w:rsidRPr="001366B4">
        <w:rPr>
          <w:noProof/>
        </w:rPr>
        <w:t xml:space="preserve"> i for</w:t>
      </w:r>
      <w:r w:rsidRPr="001366B4">
        <w:rPr>
          <w:noProof/>
        </w:rPr>
        <w:t>ordningen om asylproceduren</w:t>
      </w:r>
      <w:r w:rsidR="00A87ED6" w:rsidRPr="001366B4">
        <w:rPr>
          <w:noProof/>
        </w:rPr>
        <w:t xml:space="preserve"> i for</w:t>
      </w:r>
      <w:r w:rsidRPr="001366B4">
        <w:rPr>
          <w:noProof/>
        </w:rPr>
        <w:t>bindelse med afvisningsprocedurer og klager over afgørelser om afvisning, som igen er</w:t>
      </w:r>
      <w:r w:rsidR="00A87ED6" w:rsidRPr="001366B4">
        <w:rPr>
          <w:noProof/>
        </w:rPr>
        <w:t xml:space="preserve"> i ful</w:t>
      </w:r>
      <w:r w:rsidRPr="001366B4">
        <w:rPr>
          <w:noProof/>
        </w:rPr>
        <w:t>d overensstemmelse med artikel 3 og</w:t>
      </w:r>
      <w:r w:rsidR="00A87ED6" w:rsidRPr="001366B4">
        <w:rPr>
          <w:noProof/>
        </w:rPr>
        <w:t> </w:t>
      </w:r>
      <w:r w:rsidRPr="001366B4">
        <w:rPr>
          <w:noProof/>
        </w:rPr>
        <w:t>4</w:t>
      </w:r>
      <w:r w:rsidR="00A87ED6" w:rsidRPr="001366B4">
        <w:rPr>
          <w:noProof/>
        </w:rPr>
        <w:t xml:space="preserve"> i pro</w:t>
      </w:r>
      <w:r w:rsidRPr="001366B4">
        <w:rPr>
          <w:noProof/>
        </w:rPr>
        <w:t>tokol nr.</w:t>
      </w:r>
      <w:r w:rsidR="00A87ED6" w:rsidRPr="001366B4">
        <w:rPr>
          <w:noProof/>
        </w:rPr>
        <w:t> </w:t>
      </w:r>
      <w:r w:rsidRPr="001366B4">
        <w:rPr>
          <w:noProof/>
        </w:rPr>
        <w:t xml:space="preserve">4 til den europæiske menneskerettighedskonvention og Menneskerettighedsdomstolens retspraksis vedrørende disse rettigheder. </w:t>
      </w:r>
    </w:p>
    <w:p w:rsidR="00693ED0" w:rsidRPr="001366B4" w:rsidRDefault="00693ED0" w:rsidP="000A20A8">
      <w:pPr>
        <w:rPr>
          <w:noProof/>
        </w:rPr>
      </w:pPr>
      <w:r w:rsidRPr="001366B4">
        <w:rPr>
          <w:noProof/>
        </w:rPr>
        <w:t>Forslaget er også</w:t>
      </w:r>
      <w:r w:rsidR="00A87ED6" w:rsidRPr="001366B4">
        <w:rPr>
          <w:noProof/>
        </w:rPr>
        <w:t xml:space="preserve"> i ove</w:t>
      </w:r>
      <w:r w:rsidRPr="001366B4">
        <w:rPr>
          <w:noProof/>
        </w:rPr>
        <w:t xml:space="preserve">rensstemmelse med forpligtelsen til at overholde princippet om </w:t>
      </w:r>
      <w:r w:rsidRPr="001366B4">
        <w:rPr>
          <w:i/>
          <w:noProof/>
        </w:rPr>
        <w:t>non-refoulement</w:t>
      </w:r>
      <w:r w:rsidRPr="001366B4">
        <w:rPr>
          <w:noProof/>
        </w:rPr>
        <w:t>, som er beskyttet</w:t>
      </w:r>
      <w:r w:rsidR="00A87ED6" w:rsidRPr="001366B4">
        <w:rPr>
          <w:noProof/>
        </w:rPr>
        <w:t xml:space="preserve"> i for</w:t>
      </w:r>
      <w:r w:rsidRPr="001366B4">
        <w:rPr>
          <w:noProof/>
        </w:rPr>
        <w:t>bindelse med forordningen om asylproceduren, og som fortsat vil være beskyttet</w:t>
      </w:r>
      <w:r w:rsidR="00A87ED6" w:rsidRPr="001366B4">
        <w:rPr>
          <w:noProof/>
        </w:rPr>
        <w:t xml:space="preserve"> i hen</w:t>
      </w:r>
      <w:r w:rsidRPr="001366B4">
        <w:rPr>
          <w:noProof/>
        </w:rPr>
        <w:t xml:space="preserve">hold til de nye regler om anvendelsen af begrebet sikkert tredjeland. </w:t>
      </w:r>
      <w:r w:rsidRPr="001366B4">
        <w:rPr>
          <w:i/>
          <w:noProof/>
        </w:rPr>
        <w:t>Refoulement</w:t>
      </w:r>
      <w:r w:rsidRPr="001366B4">
        <w:rPr>
          <w:noProof/>
        </w:rPr>
        <w:t>-risici skal tages</w:t>
      </w:r>
      <w:r w:rsidR="00A87ED6" w:rsidRPr="001366B4">
        <w:rPr>
          <w:noProof/>
        </w:rPr>
        <w:t xml:space="preserve"> i bet</w:t>
      </w:r>
      <w:r w:rsidRPr="001366B4">
        <w:rPr>
          <w:noProof/>
        </w:rPr>
        <w:t>ragtning</w:t>
      </w:r>
      <w:r w:rsidR="00A87ED6" w:rsidRPr="001366B4">
        <w:rPr>
          <w:noProof/>
        </w:rPr>
        <w:t xml:space="preserve"> i for</w:t>
      </w:r>
      <w:r w:rsidRPr="001366B4">
        <w:rPr>
          <w:noProof/>
        </w:rPr>
        <w:t>bindelse med undersøgelsen af, om asylansøgningen kan antages til behandling på grundlag af begrebet sikkert tredjeland, ved vurderingen af, om et tredjeland er "sikkert"</w:t>
      </w:r>
      <w:r w:rsidR="00A87ED6" w:rsidRPr="001366B4">
        <w:rPr>
          <w:noProof/>
        </w:rPr>
        <w:t xml:space="preserve"> i alm</w:t>
      </w:r>
      <w:r w:rsidRPr="001366B4">
        <w:rPr>
          <w:noProof/>
        </w:rPr>
        <w:t>indelighed og for hver enkelt person</w:t>
      </w:r>
      <w:r w:rsidR="00A87ED6" w:rsidRPr="001366B4">
        <w:rPr>
          <w:noProof/>
        </w:rPr>
        <w:t xml:space="preserve"> i sær</w:t>
      </w:r>
      <w:r w:rsidRPr="001366B4">
        <w:rPr>
          <w:noProof/>
        </w:rPr>
        <w:t>deleshed. Forslaget fastsætter, at virkningerne af en afgørelse om tilbagesendelse, der er knyttet til afgørelsen om afvisning baseret på anvendelsen af begrebet sikkert tredjeland, jf. artikel 37</w:t>
      </w:r>
      <w:r w:rsidR="00A87ED6" w:rsidRPr="001366B4">
        <w:rPr>
          <w:noProof/>
        </w:rPr>
        <w:t xml:space="preserve"> i for</w:t>
      </w:r>
      <w:r w:rsidRPr="001366B4">
        <w:rPr>
          <w:noProof/>
        </w:rPr>
        <w:t xml:space="preserve">ordningen om asylproceduren, automatisk suspenderes, så længe ansøgeren har en verserende klage omhandlende en risiko for </w:t>
      </w:r>
      <w:r w:rsidRPr="001366B4">
        <w:rPr>
          <w:i/>
          <w:noProof/>
        </w:rPr>
        <w:t>refoulement</w:t>
      </w:r>
      <w:r w:rsidRPr="001366B4">
        <w:rPr>
          <w:noProof/>
        </w:rPr>
        <w:t>. Forslaget til forordning om tilbagesendelse bekræfter denne garanti, som allerede var tilgængelig</w:t>
      </w:r>
      <w:r w:rsidR="00A87ED6" w:rsidRPr="001366B4">
        <w:rPr>
          <w:noProof/>
        </w:rPr>
        <w:t xml:space="preserve"> i hen</w:t>
      </w:r>
      <w:r w:rsidRPr="001366B4">
        <w:rPr>
          <w:noProof/>
        </w:rPr>
        <w:t xml:space="preserve">hold til det nuværende tilbagesendelsesdirektiv. </w:t>
      </w:r>
    </w:p>
    <w:p w:rsidR="00693ED0" w:rsidRPr="001366B4" w:rsidRDefault="2EC87945" w:rsidP="5E58FB0C">
      <w:pPr>
        <w:rPr>
          <w:noProof/>
        </w:rPr>
      </w:pPr>
      <w:r w:rsidRPr="001366B4">
        <w:rPr>
          <w:noProof/>
        </w:rPr>
        <w:t>Forslaget tager også hensyn til uledsagede mindreåriges særlige behov og er</w:t>
      </w:r>
      <w:r w:rsidR="00A87ED6" w:rsidRPr="001366B4">
        <w:rPr>
          <w:noProof/>
        </w:rPr>
        <w:t xml:space="preserve"> i ove</w:t>
      </w:r>
      <w:r w:rsidRPr="001366B4">
        <w:rPr>
          <w:noProof/>
        </w:rPr>
        <w:t>rensstemmelse med EU's politikker, der har til formål at beskytte børns rettigheder. For uledsagede mindreårige supplerer anvendelsen af begrebet sikkert tredjeland baseret på eksistensen af en forbindelse eller transit de garantier, der allerede er fastsat</w:t>
      </w:r>
      <w:r w:rsidR="00A87ED6" w:rsidRPr="001366B4">
        <w:rPr>
          <w:noProof/>
        </w:rPr>
        <w:t xml:space="preserve"> i for</w:t>
      </w:r>
      <w:r w:rsidRPr="001366B4">
        <w:rPr>
          <w:noProof/>
        </w:rPr>
        <w:t>ordningen om asylproceduren. Når medlemsstaterne anvender begrebet sikkert tredjeland på uledsagede mindreårige, kræves der allerede en individuel vurdering baseret på barnets tarv</w:t>
      </w:r>
      <w:r w:rsidR="00A87ED6" w:rsidRPr="001366B4">
        <w:rPr>
          <w:noProof/>
        </w:rPr>
        <w:t xml:space="preserve"> i hen</w:t>
      </w:r>
      <w:r w:rsidRPr="001366B4">
        <w:rPr>
          <w:noProof/>
        </w:rPr>
        <w:t>hold til forordningen om asylproceduren</w:t>
      </w:r>
      <w:r w:rsidR="00A87ED6" w:rsidRPr="001366B4">
        <w:rPr>
          <w:noProof/>
        </w:rPr>
        <w:t>. I for</w:t>
      </w:r>
      <w:r w:rsidRPr="001366B4">
        <w:rPr>
          <w:noProof/>
        </w:rPr>
        <w:t>bindelse med begrebet sikkert tredjeland omfatter denne vurdering kontrol af, om der er indført passende ordninger</w:t>
      </w:r>
      <w:r w:rsidR="00A87ED6" w:rsidRPr="001366B4">
        <w:rPr>
          <w:noProof/>
        </w:rPr>
        <w:t xml:space="preserve"> i tre</w:t>
      </w:r>
      <w:r w:rsidRPr="001366B4">
        <w:rPr>
          <w:noProof/>
        </w:rPr>
        <w:t>djelandet til at beskytte den uledsagede mindreårige og sikre, at vedkommende vil modtage støtte, der er skræddersyet til hans/hendes specifikke behov, og øjeblikkelig adgang til effektiv beskyttelse. Uledsagede mindreårige befinder sig i en særlig sårbar situation og har brug for særlig støtte. Denne støtte vil typisk kunne tilvejebringes af private aktører</w:t>
      </w:r>
      <w:r w:rsidR="00A87ED6" w:rsidRPr="001366B4">
        <w:rPr>
          <w:noProof/>
        </w:rPr>
        <w:t xml:space="preserve"> i vær</w:t>
      </w:r>
      <w:r w:rsidRPr="001366B4">
        <w:rPr>
          <w:noProof/>
        </w:rPr>
        <w:t>tslandet.</w:t>
      </w:r>
    </w:p>
    <w:p w:rsidR="00693ED0" w:rsidRPr="001366B4" w:rsidRDefault="00693ED0" w:rsidP="000A20A8">
      <w:pPr>
        <w:rPr>
          <w:noProof/>
          <w:szCs w:val="24"/>
        </w:rPr>
      </w:pPr>
      <w:r w:rsidRPr="001366B4">
        <w:rPr>
          <w:noProof/>
        </w:rPr>
        <w:t>Retten til et effektivt retsmiddel er tilstrækkeligt sikret, når den automatiske opsættende virkning som følge af en klagesag vedrørende afgørelsen om afvisning på grundlag af begrebet sikkert tredjeland ophæves, da ansøgere har ret til at anmode retten om at forblive</w:t>
      </w:r>
      <w:r w:rsidR="00A87ED6" w:rsidRPr="001366B4">
        <w:rPr>
          <w:noProof/>
        </w:rPr>
        <w:t xml:space="preserve"> i lan</w:t>
      </w:r>
      <w:r w:rsidRPr="001366B4">
        <w:rPr>
          <w:noProof/>
        </w:rPr>
        <w:t xml:space="preserve">det, mens klagesagen behandles. </w:t>
      </w:r>
    </w:p>
    <w:p w:rsidR="00693ED0" w:rsidRPr="001366B4" w:rsidRDefault="00693ED0" w:rsidP="00693ED0">
      <w:pPr>
        <w:pStyle w:val="ManualHeading1"/>
        <w:rPr>
          <w:noProof/>
        </w:rPr>
      </w:pPr>
      <w:r w:rsidRPr="001366B4">
        <w:rPr>
          <w:noProof/>
        </w:rPr>
        <w:t>4.</w:t>
      </w:r>
      <w:r w:rsidRPr="001366B4">
        <w:rPr>
          <w:noProof/>
        </w:rPr>
        <w:tab/>
        <w:t>VIRKNINGER FOR BUDGETTET</w:t>
      </w:r>
    </w:p>
    <w:p w:rsidR="00693ED0" w:rsidRPr="001366B4" w:rsidRDefault="00693ED0" w:rsidP="000A20A8">
      <w:pPr>
        <w:rPr>
          <w:rFonts w:eastAsia="Arial Unicode MS"/>
          <w:noProof/>
        </w:rPr>
      </w:pPr>
      <w:r w:rsidRPr="001366B4">
        <w:rPr>
          <w:noProof/>
        </w:rPr>
        <w:t>Dette forslag indebærer ikke nogen finansiel eller administrativ byrde for Unionen. Det har derfor ingen indvirkning på EU-budgettet. Dette forslag er knyttet til forordningen om asylproceduren (2024/1348), der indførte flere ændringer af reglerne vedrørende begrebet sikkert tredjeland og derfor er en del af pagten om migration og asyl, der blev vedtaget</w:t>
      </w:r>
      <w:r w:rsidR="00A87ED6" w:rsidRPr="001366B4">
        <w:rPr>
          <w:noProof/>
        </w:rPr>
        <w:t xml:space="preserve"> i maj </w:t>
      </w:r>
      <w:r w:rsidRPr="001366B4">
        <w:rPr>
          <w:noProof/>
        </w:rPr>
        <w:t>2024, og som der allerede er afsat midler til. Anvendelsen af begrebet sikkert tredjeland er ikke ny for medlemsstaterne, og støtten til eventuelle investeringer, der er nødvendige for anvendelsen af begrebet sikkert tredjeland, er støtteberettiget under den eksisterende Asyl-, Migrations- og Integrationsfond. Den Europæiske Unions Asylagentur kan inden for dets respektive mandater støtte medlemsstaterne med personale til samme formål.</w:t>
      </w:r>
    </w:p>
    <w:p w:rsidR="00693ED0" w:rsidRPr="001366B4" w:rsidRDefault="00693ED0" w:rsidP="00693ED0">
      <w:pPr>
        <w:pStyle w:val="ManualHeading1"/>
        <w:rPr>
          <w:noProof/>
        </w:rPr>
      </w:pPr>
      <w:r w:rsidRPr="001366B4">
        <w:rPr>
          <w:noProof/>
        </w:rPr>
        <w:t>5.</w:t>
      </w:r>
      <w:r w:rsidRPr="001366B4">
        <w:rPr>
          <w:noProof/>
        </w:rPr>
        <w:tab/>
        <w:t>ANDRE FORHOLD</w:t>
      </w:r>
    </w:p>
    <w:p w:rsidR="00693ED0" w:rsidRPr="001366B4" w:rsidRDefault="00693ED0" w:rsidP="00693ED0">
      <w:pPr>
        <w:pStyle w:val="ManualHeading2"/>
        <w:rPr>
          <w:rFonts w:eastAsia="Arial Unicode MS"/>
          <w:noProof/>
          <w:u w:color="000000"/>
          <w:bdr w:val="nil"/>
        </w:rPr>
      </w:pPr>
      <w:r w:rsidRPr="001366B4">
        <w:rPr>
          <w:noProof/>
          <w:u w:color="000000"/>
          <w:bdr w:val="nil"/>
        </w:rPr>
        <w:t>•</w:t>
      </w:r>
      <w:r w:rsidRPr="001366B4">
        <w:rPr>
          <w:noProof/>
        </w:rPr>
        <w:tab/>
      </w:r>
      <w:r w:rsidRPr="001366B4">
        <w:rPr>
          <w:noProof/>
          <w:u w:color="000000"/>
          <w:bdr w:val="nil"/>
        </w:rPr>
        <w:t>Planer for gennemførelsen og foranstaltninger til overvågning, evaluering og rapportering</w:t>
      </w:r>
    </w:p>
    <w:p w:rsidR="006120F6" w:rsidRPr="001366B4" w:rsidRDefault="00693ED0" w:rsidP="000A20A8">
      <w:pPr>
        <w:rPr>
          <w:rFonts w:eastAsia="Arial Unicode MS"/>
          <w:noProof/>
        </w:rPr>
      </w:pPr>
      <w:r w:rsidRPr="001366B4">
        <w:rPr>
          <w:noProof/>
        </w:rPr>
        <w:t>I henhold til artikel 75</w:t>
      </w:r>
      <w:r w:rsidR="00A87ED6" w:rsidRPr="001366B4">
        <w:rPr>
          <w:noProof/>
        </w:rPr>
        <w:t xml:space="preserve"> i for</w:t>
      </w:r>
      <w:r w:rsidRPr="001366B4">
        <w:rPr>
          <w:noProof/>
        </w:rPr>
        <w:t>ordningen om asylproceduren er medlemsstaterne forpligtede til at udarbejde nationale gennemførelsesplaner på grundlag af den fælles gennemførelsesplan som udarbejdet af Kommissionen. Kommissionen overvåger nøje gennemførelsen af disse nationale planer. Når lovgivningsteksterne</w:t>
      </w:r>
      <w:r w:rsidR="00A87ED6" w:rsidRPr="001366B4">
        <w:rPr>
          <w:noProof/>
        </w:rPr>
        <w:t xml:space="preserve"> i hen</w:t>
      </w:r>
      <w:r w:rsidRPr="001366B4">
        <w:rPr>
          <w:noProof/>
        </w:rPr>
        <w:t>hold til pagten begynder at finde anvendelse, vil Den Europæiske Unions Asylagentur overvåge den operationelle og tekniske anvendelse af det fælles europæiske asylsystem</w:t>
      </w:r>
      <w:r w:rsidR="00A87ED6" w:rsidRPr="001366B4">
        <w:rPr>
          <w:noProof/>
        </w:rPr>
        <w:t xml:space="preserve"> i hen</w:t>
      </w:r>
      <w:r w:rsidRPr="001366B4">
        <w:rPr>
          <w:noProof/>
        </w:rPr>
        <w:t>hold til artikel 14</w:t>
      </w:r>
      <w:r w:rsidR="00A87ED6" w:rsidRPr="001366B4">
        <w:rPr>
          <w:noProof/>
        </w:rPr>
        <w:t xml:space="preserve"> i for</w:t>
      </w:r>
      <w:r w:rsidRPr="001366B4">
        <w:rPr>
          <w:noProof/>
        </w:rPr>
        <w:t>ordning (EU) 2021/2303 om Den Europæiske Unions Asylagentur. Anvendelsen af begrebet sikkert tredjeland vil indgå</w:t>
      </w:r>
      <w:r w:rsidR="00A87ED6" w:rsidRPr="001366B4">
        <w:rPr>
          <w:noProof/>
        </w:rPr>
        <w:t xml:space="preserve"> i Den</w:t>
      </w:r>
      <w:r w:rsidRPr="001366B4">
        <w:rPr>
          <w:noProof/>
        </w:rPr>
        <w:t xml:space="preserve"> Europæiske Unions Asylagenturs overvågning. Desuden skal de årlige rapporter, som Kommissionen skal vedtage</w:t>
      </w:r>
      <w:r w:rsidR="00A87ED6" w:rsidRPr="001366B4">
        <w:rPr>
          <w:noProof/>
        </w:rPr>
        <w:t xml:space="preserve"> i hen</w:t>
      </w:r>
      <w:r w:rsidRPr="001366B4">
        <w:rPr>
          <w:noProof/>
        </w:rPr>
        <w:t>hold til artikel 9</w:t>
      </w:r>
      <w:r w:rsidR="00A87ED6" w:rsidRPr="001366B4">
        <w:rPr>
          <w:noProof/>
        </w:rPr>
        <w:t xml:space="preserve"> i for</w:t>
      </w:r>
      <w:r w:rsidRPr="001366B4">
        <w:rPr>
          <w:noProof/>
        </w:rPr>
        <w:t xml:space="preserve">ordningen om asylforvaltning og migrationsstyring, indeholde resultaterne af Den Europæiske Unions Asylagenturs overvågning. </w:t>
      </w:r>
    </w:p>
    <w:p w:rsidR="00693ED0" w:rsidRPr="001366B4" w:rsidRDefault="00693ED0" w:rsidP="000A20A8">
      <w:pPr>
        <w:rPr>
          <w:rFonts w:eastAsia="Arial Unicode MS"/>
          <w:noProof/>
        </w:rPr>
      </w:pPr>
      <w:r w:rsidRPr="001366B4">
        <w:rPr>
          <w:noProof/>
        </w:rPr>
        <w:t xml:space="preserve">Kommissionen skal tage hensyn til disse forskellige elementer, når den vurderer, om medlemsstaterne er udsat for migrationspres, risikerer at blive udsat for et sådant pres eller står over for en betydelig migrationssituation. Elementerne er også relevante, når det skal afgøres, om en medlemsstat har systemiske mangler, der kan have alvorlige negative konsekvenser for Dublinsystemets funktion. </w:t>
      </w:r>
    </w:p>
    <w:p w:rsidR="00693ED0" w:rsidRPr="001366B4" w:rsidRDefault="00693ED0" w:rsidP="000A20A8">
      <w:pPr>
        <w:rPr>
          <w:rFonts w:eastAsia="Arial Unicode MS"/>
          <w:noProof/>
        </w:rPr>
      </w:pPr>
      <w:r w:rsidRPr="001366B4">
        <w:rPr>
          <w:noProof/>
        </w:rPr>
        <w:t>Den gennemsigtighedsklausul, der tilføjes</w:t>
      </w:r>
      <w:r w:rsidR="00A87ED6" w:rsidRPr="001366B4">
        <w:rPr>
          <w:noProof/>
        </w:rPr>
        <w:t xml:space="preserve"> i det</w:t>
      </w:r>
      <w:r w:rsidRPr="001366B4">
        <w:rPr>
          <w:noProof/>
        </w:rPr>
        <w:t xml:space="preserve">te forslag, og som kræver, at medlemsstaterne underretter Kommissionen og andre medlemsstater, inden de indgår aftaler eller ordninger med tredjelande, vil også gøre det muligt for Kommissionen at få et fuldstændigt overblik over gennemførelsen af begrebet sikkert tredjeland. </w:t>
      </w:r>
    </w:p>
    <w:p w:rsidR="00693ED0" w:rsidRPr="001366B4" w:rsidRDefault="00693ED0" w:rsidP="00693ED0">
      <w:pPr>
        <w:pStyle w:val="ManualHeading2"/>
        <w:rPr>
          <w:rFonts w:eastAsia="Arial Unicode MS"/>
          <w:noProof/>
          <w:bdr w:val="nil"/>
        </w:rPr>
      </w:pPr>
      <w:r w:rsidRPr="001366B4">
        <w:rPr>
          <w:noProof/>
          <w:bdr w:val="nil"/>
        </w:rPr>
        <w:t>•</w:t>
      </w:r>
      <w:r w:rsidRPr="001366B4">
        <w:rPr>
          <w:noProof/>
        </w:rPr>
        <w:tab/>
      </w:r>
      <w:r w:rsidRPr="001366B4">
        <w:rPr>
          <w:noProof/>
          <w:bdr w:val="nil"/>
        </w:rPr>
        <w:t>Nærmere redegørelse for de enkelte bestemmelser</w:t>
      </w:r>
      <w:r w:rsidR="00A87ED6" w:rsidRPr="001366B4">
        <w:rPr>
          <w:noProof/>
          <w:bdr w:val="nil"/>
        </w:rPr>
        <w:t xml:space="preserve"> i for</w:t>
      </w:r>
      <w:r w:rsidRPr="001366B4">
        <w:rPr>
          <w:noProof/>
          <w:bdr w:val="nil"/>
        </w:rPr>
        <w:t>slaget</w:t>
      </w:r>
    </w:p>
    <w:p w:rsidR="00693ED0" w:rsidRPr="001366B4" w:rsidRDefault="00B46BD6" w:rsidP="00693ED0">
      <w:pPr>
        <w:spacing w:before="0" w:after="0"/>
        <w:rPr>
          <w:b/>
          <w:bCs/>
          <w:noProof/>
        </w:rPr>
      </w:pPr>
      <w:r w:rsidRPr="001366B4">
        <w:rPr>
          <w:b/>
          <w:noProof/>
        </w:rPr>
        <w:t xml:space="preserve">Muligheder for anvendelse af begrebet sikkert tredjeland </w:t>
      </w:r>
    </w:p>
    <w:p w:rsidR="00FD3F99" w:rsidRPr="001366B4" w:rsidRDefault="00626ECE" w:rsidP="00D76805">
      <w:pPr>
        <w:rPr>
          <w:noProof/>
        </w:rPr>
      </w:pPr>
      <w:r w:rsidRPr="001366B4">
        <w:rPr>
          <w:noProof/>
        </w:rPr>
        <w:t>Anvendelsen af forbindelseskriteriet, som ikke kræves</w:t>
      </w:r>
      <w:r w:rsidR="00A87ED6" w:rsidRPr="001366B4">
        <w:rPr>
          <w:noProof/>
        </w:rPr>
        <w:t xml:space="preserve"> i hen</w:t>
      </w:r>
      <w:r w:rsidRPr="001366B4">
        <w:rPr>
          <w:noProof/>
        </w:rPr>
        <w:t>hold til folkeretten, vil ikke længere være obligatorisk</w:t>
      </w:r>
      <w:r w:rsidR="00A87ED6" w:rsidRPr="001366B4">
        <w:rPr>
          <w:noProof/>
        </w:rPr>
        <w:t xml:space="preserve"> i hen</w:t>
      </w:r>
      <w:r w:rsidRPr="001366B4">
        <w:rPr>
          <w:noProof/>
        </w:rPr>
        <w:t xml:space="preserve">hold til EU-retten, hvilket betyder, at medlemsstaterne vil have mulighed for at vælge, om de vil anvende det eller ej. </w:t>
      </w:r>
    </w:p>
    <w:p w:rsidR="004A5C94" w:rsidRPr="001366B4" w:rsidRDefault="51DEA5B1" w:rsidP="004A5C94">
      <w:pPr>
        <w:rPr>
          <w:noProof/>
        </w:rPr>
      </w:pPr>
      <w:r w:rsidRPr="001366B4">
        <w:rPr>
          <w:noProof/>
        </w:rPr>
        <w:t>Når medlemsstaterne anvender begrebet sikkert tredjeland, vil de have tre muligheder:</w:t>
      </w:r>
    </w:p>
    <w:p w:rsidR="20DC8698" w:rsidRPr="001366B4" w:rsidRDefault="005752BD" w:rsidP="006B0911">
      <w:pPr>
        <w:pStyle w:val="Numberedpara"/>
        <w:rPr>
          <w:noProof/>
        </w:rPr>
      </w:pPr>
      <w:r w:rsidRPr="001366B4">
        <w:rPr>
          <w:noProof/>
        </w:rPr>
        <w:t>at anvende begrebet sikkert tredjeland, når der er en forbindelse, som defineret</w:t>
      </w:r>
      <w:r w:rsidR="00A87ED6" w:rsidRPr="001366B4">
        <w:rPr>
          <w:noProof/>
        </w:rPr>
        <w:t xml:space="preserve"> i nat</w:t>
      </w:r>
      <w:r w:rsidRPr="001366B4">
        <w:rPr>
          <w:noProof/>
        </w:rPr>
        <w:t>ional ret,</w:t>
      </w:r>
      <w:r w:rsidR="00A87ED6" w:rsidRPr="001366B4">
        <w:rPr>
          <w:noProof/>
        </w:rPr>
        <w:t xml:space="preserve"> i ove</w:t>
      </w:r>
      <w:r w:rsidRPr="001366B4">
        <w:rPr>
          <w:noProof/>
        </w:rPr>
        <w:t>rensstemmelse med de parametre, der er fastsat i EU-Domstolens retspraksis og internationale standarder</w:t>
      </w:r>
      <w:r w:rsidRPr="001366B4">
        <w:rPr>
          <w:i/>
          <w:noProof/>
        </w:rPr>
        <w:t xml:space="preserve"> eller</w:t>
      </w:r>
    </w:p>
    <w:p w:rsidR="004A5C94" w:rsidRPr="001366B4" w:rsidRDefault="005752BD" w:rsidP="006B0911">
      <w:pPr>
        <w:pStyle w:val="Numberedpara"/>
        <w:rPr>
          <w:i/>
          <w:noProof/>
        </w:rPr>
      </w:pPr>
      <w:r w:rsidRPr="001366B4">
        <w:rPr>
          <w:noProof/>
        </w:rPr>
        <w:t xml:space="preserve">at anvende begrebet sikkert tredjeland ved at betragte transit som et tilstrækkeligt kriterium </w:t>
      </w:r>
      <w:r w:rsidRPr="001366B4">
        <w:rPr>
          <w:i/>
          <w:noProof/>
        </w:rPr>
        <w:t>eller</w:t>
      </w:r>
    </w:p>
    <w:p w:rsidR="00D014D5" w:rsidRPr="001366B4" w:rsidRDefault="005752BD" w:rsidP="000A549A">
      <w:pPr>
        <w:pStyle w:val="Numberedpara"/>
        <w:rPr>
          <w:noProof/>
        </w:rPr>
      </w:pPr>
      <w:r w:rsidRPr="001366B4">
        <w:rPr>
          <w:noProof/>
        </w:rPr>
        <w:t>at anvende begrebet sikkert tredjeland på grundlag af en aftale eller ordning med et tredjeland, der kræver realitetsbehandling af de anmodninger om effektiv beskyttelse, der fremsættes af ansøgere, og som er omfattet af den pågældende aftale eller ordning. Dette gælder ikke uledsagede mindreårige.</w:t>
      </w:r>
    </w:p>
    <w:p w:rsidR="0095279A" w:rsidRPr="001366B4" w:rsidRDefault="7E1E006A" w:rsidP="005752BD">
      <w:pPr>
        <w:rPr>
          <w:noProof/>
        </w:rPr>
      </w:pPr>
      <w:bookmarkStart w:id="5" w:name="_Hlk196493190"/>
      <w:r w:rsidRPr="001366B4">
        <w:rPr>
          <w:noProof/>
        </w:rPr>
        <w:t>Kravet om, at begrebet sikkert tredjeland</w:t>
      </w:r>
      <w:r w:rsidR="00A87ED6" w:rsidRPr="001366B4">
        <w:rPr>
          <w:noProof/>
        </w:rPr>
        <w:t xml:space="preserve"> i man</w:t>
      </w:r>
      <w:r w:rsidRPr="001366B4">
        <w:rPr>
          <w:noProof/>
        </w:rPr>
        <w:t>gel af forbindelse eller transit kun bør anvendes på grundlag af en aftale eller ordning med et tredjeland, betyder, at ansøgere vil kunne få adgang til en procedure</w:t>
      </w:r>
      <w:r w:rsidR="00A87ED6" w:rsidRPr="001366B4">
        <w:rPr>
          <w:noProof/>
        </w:rPr>
        <w:t xml:space="preserve"> i sik</w:t>
      </w:r>
      <w:r w:rsidRPr="001366B4">
        <w:rPr>
          <w:noProof/>
        </w:rPr>
        <w:t xml:space="preserve">re tredjelande og modtage effektiv beskyttelse, hvis det er berettiget, uden at dette berører det tredjeland, der afgør, om personen opfylder betingelserne for at opnå en sådan beskyttelse. </w:t>
      </w:r>
      <w:bookmarkEnd w:id="5"/>
    </w:p>
    <w:p w:rsidR="005752BD" w:rsidRPr="001366B4" w:rsidRDefault="70894AE1" w:rsidP="1E7FF2FC">
      <w:pPr>
        <w:rPr>
          <w:noProof/>
        </w:rPr>
      </w:pPr>
      <w:r w:rsidRPr="001366B4">
        <w:rPr>
          <w:noProof/>
        </w:rPr>
        <w:t>Eksistensen af en forbindelse eller tidligere transit, der etablerer en forbindelse til det sikre tredjeland, vil være obligatorisk, når begrebet sikkert tredjeland anvendes på uledsagede mindreårige. Dette krav mindsker uledsagede mindreåriges eksponering for utilstrækkelig beskyttelse og social isolation. Uledsagede mindreårige befinder sig i en sårbar situation og har brug for yderligere støtte, når begrebet sikkert tredjeland anvendes på dem. Dette anerkendes</w:t>
      </w:r>
      <w:r w:rsidR="00A87ED6" w:rsidRPr="001366B4">
        <w:rPr>
          <w:noProof/>
        </w:rPr>
        <w:t xml:space="preserve"> i bes</w:t>
      </w:r>
      <w:r w:rsidRPr="001366B4">
        <w:rPr>
          <w:noProof/>
        </w:rPr>
        <w:t>temmelserne</w:t>
      </w:r>
      <w:r w:rsidR="00A87ED6" w:rsidRPr="001366B4">
        <w:rPr>
          <w:noProof/>
        </w:rPr>
        <w:t xml:space="preserve"> i art</w:t>
      </w:r>
      <w:r w:rsidRPr="001366B4">
        <w:rPr>
          <w:noProof/>
        </w:rPr>
        <w:t>ikel 59, stk.</w:t>
      </w:r>
      <w:r w:rsidR="00A87ED6" w:rsidRPr="001366B4">
        <w:rPr>
          <w:noProof/>
        </w:rPr>
        <w:t> </w:t>
      </w:r>
      <w:r w:rsidRPr="001366B4">
        <w:rPr>
          <w:noProof/>
        </w:rPr>
        <w:t>6,</w:t>
      </w:r>
      <w:r w:rsidR="00A87ED6" w:rsidRPr="001366B4">
        <w:rPr>
          <w:noProof/>
        </w:rPr>
        <w:t xml:space="preserve"> i for</w:t>
      </w:r>
      <w:r w:rsidRPr="001366B4">
        <w:rPr>
          <w:noProof/>
        </w:rPr>
        <w:t>ordningen om asylproceduren, der kræver, at et tredjeland kun kan anses for at være sikkert for en uledsaget mindreårig, hvis det ikke strider mod barnets tarv, og hvis der er sikkerhed for, at tredjelandenes myndigheder vil overtage ansvaret for den uledsagede mindreårige og yde øjeblikkelig støtte og adgang til effektiv beskyttelse.</w:t>
      </w:r>
    </w:p>
    <w:p w:rsidR="00693ED0" w:rsidRPr="001366B4" w:rsidRDefault="00222AF6" w:rsidP="262547B6">
      <w:pPr>
        <w:rPr>
          <w:noProof/>
        </w:rPr>
      </w:pPr>
      <w:r w:rsidRPr="001366B4">
        <w:rPr>
          <w:noProof/>
        </w:rPr>
        <w:t>Pagten om migration og asyl indfører et mere integreret fælles europæisk system, hvor beslutninger, der træffes af en medlemsstat, har indvirkning på andre medlemsstater. Pagtens asyl- og migrationssystem er baseret på tillid og omfatter forskellige instrumenter til at sikre gennemsigtighed (f.eks. overvågning af screening- og grænseproceduren, Den Europæiske Unions Asylagenturs overvågningsmekanisme), som også bør finde anvendelse på begrebet sikkert tredjeland. Derfor indføres der med forslaget en gennemsigtighedsklausul, der pålægger medlemsstaterne at underrette Kommissionen og andre medlemsstater, inden de indgår aftaler eller ordninger med sikre tredjelande. Dette vil også hjælpe medlemsstaterne og Kommissionen med en bedre koordinering af deres indsats over for tredjelande med henblik på indgåelse af aftaler eller ordninger og støtte den samlede tilgang til migrationens eksterne dimension. Kommissionen vil også kunne overvåge, om aftaler eller ordninger med tredjelande opfylder de betingelser, der er fastsat</w:t>
      </w:r>
      <w:r w:rsidR="00A87ED6" w:rsidRPr="001366B4">
        <w:rPr>
          <w:noProof/>
        </w:rPr>
        <w:t xml:space="preserve"> i for</w:t>
      </w:r>
      <w:r w:rsidRPr="001366B4">
        <w:rPr>
          <w:noProof/>
        </w:rPr>
        <w:t xml:space="preserve">ordningen om asylproceduren. </w:t>
      </w:r>
    </w:p>
    <w:p w:rsidR="00066806" w:rsidRPr="001366B4" w:rsidRDefault="29D483DD" w:rsidP="00E06D11">
      <w:pPr>
        <w:rPr>
          <w:noProof/>
        </w:rPr>
      </w:pPr>
      <w:r w:rsidRPr="001366B4">
        <w:rPr>
          <w:noProof/>
        </w:rPr>
        <w:t>For at begrænse de risici, der er forbundet med at forsvinde fra de medlemsstater, der anvender begrebet sikkert tredjeland, til andre medlemsstater, der ikke anvender det, bør medlemsstaterne desuden kunne træffe de nødvendige foranstaltninger til at forhindre ulovlige bevægelser hos de ansøgere, som begrebet sikkert tredjeland anvendes på. Disse foranstaltninger kan omfatte begrænsning af den frie bevægelighed</w:t>
      </w:r>
      <w:r w:rsidR="00A87ED6" w:rsidRPr="001366B4">
        <w:rPr>
          <w:noProof/>
        </w:rPr>
        <w:t xml:space="preserve"> i hen</w:t>
      </w:r>
      <w:r w:rsidRPr="001366B4">
        <w:rPr>
          <w:noProof/>
        </w:rPr>
        <w:t>hold til artikel 9</w:t>
      </w:r>
      <w:r w:rsidR="00A87ED6" w:rsidRPr="001366B4">
        <w:rPr>
          <w:noProof/>
        </w:rPr>
        <w:t xml:space="preserve"> i dir</w:t>
      </w:r>
      <w:r w:rsidRPr="001366B4">
        <w:rPr>
          <w:noProof/>
        </w:rPr>
        <w:t>ektiv (EU) 2024/1346 eller frihedsberøvelse af den pågældende ansøger</w:t>
      </w:r>
      <w:r w:rsidR="00A87ED6" w:rsidRPr="001366B4">
        <w:rPr>
          <w:noProof/>
        </w:rPr>
        <w:t xml:space="preserve"> i ove</w:t>
      </w:r>
      <w:r w:rsidRPr="001366B4">
        <w:rPr>
          <w:noProof/>
        </w:rPr>
        <w:t>rensstemmelse med artikel 10 deri, indtil der er foretaget en vurdering af, om ansøgningen kan antages til behandling. Det kan</w:t>
      </w:r>
      <w:r w:rsidR="00A87ED6" w:rsidRPr="001366B4">
        <w:rPr>
          <w:noProof/>
        </w:rPr>
        <w:t xml:space="preserve"> i den</w:t>
      </w:r>
      <w:r w:rsidRPr="001366B4">
        <w:rPr>
          <w:noProof/>
        </w:rPr>
        <w:t>ne forbindelse være en mulighed at tage højde for en risiko for, at den pågældende vil forsvinde, når begrebet anvendes.</w:t>
      </w:r>
    </w:p>
    <w:p w:rsidR="00693ED0" w:rsidRPr="001366B4" w:rsidRDefault="00693ED0" w:rsidP="00693ED0">
      <w:pPr>
        <w:spacing w:before="0"/>
        <w:rPr>
          <w:b/>
          <w:bCs/>
          <w:noProof/>
        </w:rPr>
      </w:pPr>
      <w:r w:rsidRPr="001366B4">
        <w:rPr>
          <w:b/>
          <w:noProof/>
        </w:rPr>
        <w:t>Ikke-automatisk opsættende virkning som følge af klagesager vedrørende afgørelser om afvisning truffet på grund af status som sikkert tredjeland</w:t>
      </w:r>
    </w:p>
    <w:p w:rsidR="00693ED0" w:rsidRPr="001366B4" w:rsidRDefault="00693ED0" w:rsidP="000A20A8">
      <w:pPr>
        <w:rPr>
          <w:noProof/>
        </w:rPr>
      </w:pPr>
      <w:r w:rsidRPr="001366B4">
        <w:rPr>
          <w:noProof/>
        </w:rPr>
        <w:t xml:space="preserve">For at øge den proceduremæssige effektivitet foreslår Kommissionen endvidere, at den opsættende virkning som følge af klagesager vedrørende afgørelser om afvisning gøres ikke-automatisk, uden at dette berører klager over relaterede afgørelser om tilbagesendelse, hvor der er risiko for overtrædelse af princippet om </w:t>
      </w:r>
      <w:r w:rsidRPr="001366B4">
        <w:rPr>
          <w:i/>
          <w:noProof/>
        </w:rPr>
        <w:t>non-refoulement</w:t>
      </w:r>
      <w:r w:rsidRPr="001366B4">
        <w:rPr>
          <w:noProof/>
        </w:rPr>
        <w:t>. Med henblik herpå tilføjes grunden til uantagelighedskontrol baseret på anvendelsen af begrebet sikkert tredjeland</w:t>
      </w:r>
      <w:r w:rsidR="00A87ED6" w:rsidRPr="001366B4">
        <w:rPr>
          <w:noProof/>
        </w:rPr>
        <w:t xml:space="preserve"> i art</w:t>
      </w:r>
      <w:r w:rsidRPr="001366B4">
        <w:rPr>
          <w:noProof/>
        </w:rPr>
        <w:t>ikel 68, stk.</w:t>
      </w:r>
      <w:r w:rsidR="00A87ED6" w:rsidRPr="001366B4">
        <w:rPr>
          <w:noProof/>
        </w:rPr>
        <w:t> </w:t>
      </w:r>
      <w:r w:rsidRPr="001366B4">
        <w:rPr>
          <w:noProof/>
        </w:rPr>
        <w:t>3, litra b).</w:t>
      </w:r>
    </w:p>
    <w:p w:rsidR="00201A77" w:rsidRPr="001366B4" w:rsidRDefault="00201A77">
      <w:pPr>
        <w:rPr>
          <w:noProof/>
        </w:rPr>
        <w:sectPr w:rsidR="00201A77" w:rsidRPr="001366B4" w:rsidSect="0029466A">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2F627B" w:rsidRDefault="00F0511D">
      <w:pPr>
        <w:pStyle w:val="Rfrenceinterinstitutionnelle"/>
        <w:rPr>
          <w:noProof/>
        </w:rPr>
      </w:pPr>
      <w:r>
        <w:rPr>
          <w:noProof/>
        </w:rPr>
        <w:t>2025/0132 (COD)</w:t>
      </w:r>
    </w:p>
    <w:p w:rsidR="00201A77" w:rsidRPr="001366B4" w:rsidRDefault="00DC0910" w:rsidP="00DC0910">
      <w:pPr>
        <w:pStyle w:val="Statut"/>
        <w:rPr>
          <w:noProof/>
        </w:rPr>
      </w:pPr>
      <w:r w:rsidRPr="00DC0910">
        <w:rPr>
          <w:noProof/>
        </w:rPr>
        <w:t>Forslag til</w:t>
      </w:r>
    </w:p>
    <w:p w:rsidR="00201A77" w:rsidRPr="001366B4" w:rsidRDefault="00DC0910" w:rsidP="00DC0910">
      <w:pPr>
        <w:pStyle w:val="Typedudocument"/>
        <w:rPr>
          <w:noProof/>
        </w:rPr>
      </w:pPr>
      <w:r w:rsidRPr="00DC0910">
        <w:rPr>
          <w:noProof/>
        </w:rPr>
        <w:t>EUROPA-PARLAMENTETS OG RÅDETS FORORDNING</w:t>
      </w:r>
    </w:p>
    <w:p w:rsidR="00201A77" w:rsidRPr="001366B4" w:rsidRDefault="00DC0910" w:rsidP="00DC0910">
      <w:pPr>
        <w:pStyle w:val="Titreobjet"/>
        <w:rPr>
          <w:noProof/>
        </w:rPr>
      </w:pPr>
      <w:r w:rsidRPr="00DC0910">
        <w:rPr>
          <w:noProof/>
        </w:rPr>
        <w:t>om ændring af forordning (EU) 2024/1348 for så vidt angår anvendelse af begrebet "sikkert tredjeland"</w:t>
      </w:r>
    </w:p>
    <w:p w:rsidR="00693ED0" w:rsidRPr="001366B4" w:rsidRDefault="00693ED0" w:rsidP="00693ED0">
      <w:pPr>
        <w:pStyle w:val="Institutionquiagit"/>
        <w:rPr>
          <w:noProof/>
        </w:rPr>
      </w:pPr>
      <w:r w:rsidRPr="001366B4">
        <w:rPr>
          <w:noProof/>
        </w:rPr>
        <w:t>EUROPA-PARLAMENTET OG RÅDET FOR DEN EUROPÆISKE UNION HAR —</w:t>
      </w:r>
    </w:p>
    <w:p w:rsidR="00693ED0" w:rsidRPr="001366B4" w:rsidRDefault="00693ED0" w:rsidP="00693ED0">
      <w:pPr>
        <w:rPr>
          <w:noProof/>
        </w:rPr>
      </w:pPr>
      <w:r w:rsidRPr="001366B4">
        <w:rPr>
          <w:noProof/>
        </w:rPr>
        <w:t xml:space="preserve">under henvisning til traktaten om Den Europæiske Unions funktionsmåde, særlig artikel 78, stk. 2, litra d), </w:t>
      </w:r>
    </w:p>
    <w:p w:rsidR="00693ED0" w:rsidRPr="001366B4" w:rsidRDefault="00693ED0" w:rsidP="00693ED0">
      <w:pPr>
        <w:rPr>
          <w:noProof/>
        </w:rPr>
      </w:pPr>
      <w:r w:rsidRPr="001366B4">
        <w:rPr>
          <w:noProof/>
        </w:rPr>
        <w:t>under henvisning til forslag fra Europa-Kommissionen,</w:t>
      </w:r>
    </w:p>
    <w:p w:rsidR="00693ED0" w:rsidRPr="001366B4" w:rsidRDefault="00693ED0" w:rsidP="00693ED0">
      <w:pPr>
        <w:rPr>
          <w:noProof/>
        </w:rPr>
      </w:pPr>
      <w:r w:rsidRPr="001366B4">
        <w:rPr>
          <w:noProof/>
        </w:rPr>
        <w:t>efter fremsendelse af udkast til lovgivningsmæssig retsakt til de nationale parlamenter,</w:t>
      </w:r>
    </w:p>
    <w:p w:rsidR="00693ED0" w:rsidRPr="001366B4" w:rsidRDefault="00693ED0" w:rsidP="00693ED0">
      <w:pPr>
        <w:rPr>
          <w:noProof/>
        </w:rPr>
      </w:pPr>
      <w:r w:rsidRPr="001366B4">
        <w:rPr>
          <w:noProof/>
        </w:rPr>
        <w:t>under henvisning til udtalelse fra Det Europæiske Økonomiske og Sociale Udvalg,</w:t>
      </w:r>
    </w:p>
    <w:p w:rsidR="00693ED0" w:rsidRPr="001366B4" w:rsidRDefault="00693ED0" w:rsidP="00693ED0">
      <w:pPr>
        <w:rPr>
          <w:noProof/>
        </w:rPr>
      </w:pPr>
      <w:r w:rsidRPr="001366B4">
        <w:rPr>
          <w:noProof/>
        </w:rPr>
        <w:t>under henvisning til udtalelse fra Regionsudvalget,</w:t>
      </w:r>
    </w:p>
    <w:p w:rsidR="00693ED0" w:rsidRPr="001366B4" w:rsidRDefault="00693ED0" w:rsidP="00693ED0">
      <w:pPr>
        <w:rPr>
          <w:noProof/>
        </w:rPr>
      </w:pPr>
      <w:r w:rsidRPr="001366B4">
        <w:rPr>
          <w:noProof/>
        </w:rPr>
        <w:t>efter den almindelige lovgivningsprocedure, og</w:t>
      </w:r>
    </w:p>
    <w:p w:rsidR="00693ED0" w:rsidRPr="001366B4" w:rsidRDefault="00693ED0" w:rsidP="00693ED0">
      <w:pPr>
        <w:rPr>
          <w:noProof/>
        </w:rPr>
      </w:pPr>
      <w:r w:rsidRPr="001366B4">
        <w:rPr>
          <w:noProof/>
        </w:rPr>
        <w:t>ud fra følgende betragtninger:</w:t>
      </w:r>
    </w:p>
    <w:p w:rsidR="00693ED0" w:rsidRPr="001366B4" w:rsidRDefault="003B080D" w:rsidP="003B080D">
      <w:pPr>
        <w:pStyle w:val="ManualConsidrant"/>
        <w:rPr>
          <w:noProof/>
        </w:rPr>
      </w:pPr>
      <w:r w:rsidRPr="003B080D">
        <w:rPr>
          <w:noProof/>
        </w:rPr>
        <w:t>(1)</w:t>
      </w:r>
      <w:r w:rsidRPr="003B080D">
        <w:rPr>
          <w:noProof/>
        </w:rPr>
        <w:tab/>
      </w:r>
      <w:r w:rsidR="00693ED0" w:rsidRPr="001366B4">
        <w:rPr>
          <w:noProof/>
        </w:rPr>
        <w:t>Ved Europa-Parlamentets og Rådets forordning (EU) 2024/1348</w:t>
      </w:r>
      <w:r w:rsidR="00693ED0" w:rsidRPr="001366B4">
        <w:rPr>
          <w:rStyle w:val="FootnoteReference"/>
          <w:noProof/>
        </w:rPr>
        <w:footnoteReference w:id="17"/>
      </w:r>
      <w:r w:rsidR="00693ED0" w:rsidRPr="001366B4">
        <w:rPr>
          <w:noProof/>
        </w:rPr>
        <w:t xml:space="preserve"> blev der indført en fælles procedure for tildeling og fratagelse af international beskyttelse</w:t>
      </w:r>
      <w:r w:rsidR="00A87ED6" w:rsidRPr="001366B4">
        <w:rPr>
          <w:noProof/>
        </w:rPr>
        <w:t xml:space="preserve"> i Uni</w:t>
      </w:r>
      <w:r w:rsidR="00693ED0" w:rsidRPr="001366B4">
        <w:rPr>
          <w:noProof/>
        </w:rPr>
        <w:t>onen. Kommissionen har evalueret de forskellige elementer vedrørende begrebet sikkert tredjeland, herunder sikkerhedskriterier, retfærdig sagsbehandling, forbindelseskriteriet og bestemmelserne om effektive retsmidler. Evalueringen førte til den konklusion, at anvendelsen af begrebet sikkert tredjeland kan forbedres, samtidig med at de retlige garantier for ansøgere bevares, og respekten for de grundlæggende rettigheder sikres.</w:t>
      </w:r>
    </w:p>
    <w:p w:rsidR="008C52C4" w:rsidRPr="001366B4" w:rsidRDefault="003B080D" w:rsidP="003B080D">
      <w:pPr>
        <w:pStyle w:val="ManualConsidrant"/>
        <w:rPr>
          <w:noProof/>
        </w:rPr>
      </w:pPr>
      <w:r w:rsidRPr="003B080D">
        <w:rPr>
          <w:noProof/>
        </w:rPr>
        <w:t>(2)</w:t>
      </w:r>
      <w:r w:rsidRPr="003B080D">
        <w:rPr>
          <w:noProof/>
        </w:rPr>
        <w:tab/>
      </w:r>
      <w:r w:rsidR="00693ED0" w:rsidRPr="001366B4">
        <w:rPr>
          <w:noProof/>
        </w:rPr>
        <w:t>Eksistensen af en forbindelse mellem ansøgeren og det sikre tredjeland er ikke påkrævet</w:t>
      </w:r>
      <w:r w:rsidR="00A87ED6" w:rsidRPr="001366B4">
        <w:rPr>
          <w:noProof/>
        </w:rPr>
        <w:t xml:space="preserve"> i hen</w:t>
      </w:r>
      <w:r w:rsidR="00693ED0" w:rsidRPr="001366B4">
        <w:rPr>
          <w:noProof/>
        </w:rPr>
        <w:t>hold til international flygtningeret, navnlig Genèvekonventionen, eller international menneskerettighedslovgivning, navnlig den europæiske menneskerettighedskonvention. Medlemsstaterne bør derfor have mulighed for at anvende begrebet sikkert tredjeland, hvis der ikke kan etableres nogen forbindelse mellem ansøgeren og det pågældende sikre tredjeland, forudsat at en aftale eller ordning med det pågældende tredjeland kræver realitetsbehandling af anmodninger om effektiv beskyttelse fra ansøgere, der er omfattet af den pågældende aftale eller ordning.</w:t>
      </w:r>
    </w:p>
    <w:p w:rsidR="00693ED0" w:rsidRPr="001366B4" w:rsidRDefault="003B080D" w:rsidP="003B080D">
      <w:pPr>
        <w:pStyle w:val="ManualConsidrant"/>
        <w:rPr>
          <w:noProof/>
        </w:rPr>
      </w:pPr>
      <w:r w:rsidRPr="003B080D">
        <w:rPr>
          <w:noProof/>
        </w:rPr>
        <w:t>(3)</w:t>
      </w:r>
      <w:r w:rsidRPr="003B080D">
        <w:rPr>
          <w:noProof/>
        </w:rPr>
        <w:tab/>
      </w:r>
      <w:r w:rsidR="00693ED0" w:rsidRPr="001366B4">
        <w:rPr>
          <w:noProof/>
        </w:rPr>
        <w:t>Medlemsstaterne bør have mulighed for at anvende begrebet sikkert tredjeland på grundlag af en forbindelse mellem ansøgeren og det pågældende tredjeland, hvorved det vil være rimeligt for ansøgeren at rejse til det pågældende tredjeland.</w:t>
      </w:r>
    </w:p>
    <w:p w:rsidR="008D0A8A" w:rsidRPr="001366B4" w:rsidRDefault="003B080D" w:rsidP="003B080D">
      <w:pPr>
        <w:pStyle w:val="ManualConsidrant"/>
        <w:rPr>
          <w:noProof/>
        </w:rPr>
      </w:pPr>
      <w:r w:rsidRPr="003B080D">
        <w:rPr>
          <w:noProof/>
        </w:rPr>
        <w:t>(4)</w:t>
      </w:r>
      <w:r w:rsidRPr="003B080D">
        <w:rPr>
          <w:noProof/>
        </w:rPr>
        <w:tab/>
      </w:r>
      <w:r w:rsidR="00FB7BF6" w:rsidRPr="001366B4">
        <w:rPr>
          <w:noProof/>
        </w:rPr>
        <w:t>Medlemsstaterne bør også have mulighed for at anvende begrebet sikkert tredjeland på ansøgere, der var</w:t>
      </w:r>
      <w:r w:rsidR="00A87ED6" w:rsidRPr="001366B4">
        <w:rPr>
          <w:noProof/>
        </w:rPr>
        <w:t xml:space="preserve"> i tra</w:t>
      </w:r>
      <w:r w:rsidR="00FB7BF6" w:rsidRPr="001366B4">
        <w:rPr>
          <w:noProof/>
        </w:rPr>
        <w:t>nsit gennem et tredjelands område, inden de rejste ind i EU, da det med rimelighed kan forventes, at en person, der søger international beskyttelse, kunne have ansøgt om beskyttelse i et sikkert tredjeland, som den pågældende har været</w:t>
      </w:r>
      <w:r w:rsidR="00A87ED6" w:rsidRPr="001366B4">
        <w:rPr>
          <w:noProof/>
        </w:rPr>
        <w:t xml:space="preserve"> i tra</w:t>
      </w:r>
      <w:r w:rsidR="00FB7BF6" w:rsidRPr="001366B4">
        <w:rPr>
          <w:noProof/>
        </w:rPr>
        <w:t>nsit gennem. Tidligere transit gennem et sikkert tredjeland skaber en objektiv forbindelse mellem ansøgeren og det pågældende tredjeland.</w:t>
      </w:r>
    </w:p>
    <w:p w:rsidR="0090141B" w:rsidRPr="001366B4" w:rsidRDefault="003B080D" w:rsidP="003B080D">
      <w:pPr>
        <w:pStyle w:val="ManualConsidrant"/>
        <w:rPr>
          <w:noProof/>
        </w:rPr>
      </w:pPr>
      <w:r w:rsidRPr="003B080D">
        <w:rPr>
          <w:noProof/>
        </w:rPr>
        <w:t>(5)</w:t>
      </w:r>
      <w:r w:rsidRPr="003B080D">
        <w:rPr>
          <w:noProof/>
        </w:rPr>
        <w:tab/>
      </w:r>
      <w:r w:rsidR="6DF0F26F" w:rsidRPr="001366B4">
        <w:rPr>
          <w:noProof/>
        </w:rPr>
        <w:t>I betragtning af uledsagede mindreåriges sårbare situation og behovet for målrettet støtte bør begrebet sikkert tredjeland kun anvendes på uledsagede mindreårige, hvis der kan etableres en forbindelse med eller transit gennem det pågældende tredjeland, og betingelserne</w:t>
      </w:r>
      <w:r w:rsidR="00A87ED6" w:rsidRPr="001366B4">
        <w:rPr>
          <w:noProof/>
        </w:rPr>
        <w:t xml:space="preserve"> i art</w:t>
      </w:r>
      <w:r w:rsidR="6DF0F26F" w:rsidRPr="001366B4">
        <w:rPr>
          <w:noProof/>
        </w:rPr>
        <w:t>ikel 59, stk.</w:t>
      </w:r>
      <w:r w:rsidR="00A87ED6" w:rsidRPr="001366B4">
        <w:rPr>
          <w:noProof/>
        </w:rPr>
        <w:t> </w:t>
      </w:r>
      <w:r w:rsidR="6DF0F26F" w:rsidRPr="001366B4">
        <w:rPr>
          <w:noProof/>
        </w:rPr>
        <w:t>6,</w:t>
      </w:r>
      <w:r w:rsidR="00A87ED6" w:rsidRPr="001366B4">
        <w:rPr>
          <w:noProof/>
        </w:rPr>
        <w:t xml:space="preserve"> i Eur</w:t>
      </w:r>
      <w:r w:rsidR="6DF0F26F" w:rsidRPr="001366B4">
        <w:rPr>
          <w:noProof/>
        </w:rPr>
        <w:t>opa-Parlamentets og Rådets forordning (EU) 2024/1348 er opfyldt. Medlemsstaterne bør sikre, at barnets tarv kommer</w:t>
      </w:r>
      <w:r w:rsidR="00A87ED6" w:rsidRPr="001366B4">
        <w:rPr>
          <w:noProof/>
        </w:rPr>
        <w:t xml:space="preserve"> i før</w:t>
      </w:r>
      <w:r w:rsidR="6DF0F26F" w:rsidRPr="001366B4">
        <w:rPr>
          <w:noProof/>
        </w:rPr>
        <w:t>ste række</w:t>
      </w:r>
      <w:r w:rsidR="00A87ED6" w:rsidRPr="001366B4">
        <w:rPr>
          <w:noProof/>
        </w:rPr>
        <w:t xml:space="preserve"> i all</w:t>
      </w:r>
      <w:r w:rsidR="6DF0F26F" w:rsidRPr="001366B4">
        <w:rPr>
          <w:noProof/>
        </w:rPr>
        <w:t>e afgørelser vedrørende mindreårige.</w:t>
      </w:r>
    </w:p>
    <w:p w:rsidR="0065072A" w:rsidRPr="001366B4" w:rsidRDefault="003B080D" w:rsidP="003B080D">
      <w:pPr>
        <w:pStyle w:val="ManualConsidrant"/>
        <w:rPr>
          <w:noProof/>
        </w:rPr>
      </w:pPr>
      <w:r w:rsidRPr="003B080D">
        <w:rPr>
          <w:noProof/>
        </w:rPr>
        <w:t>(6)</w:t>
      </w:r>
      <w:r w:rsidRPr="003B080D">
        <w:rPr>
          <w:noProof/>
        </w:rPr>
        <w:tab/>
      </w:r>
      <w:r w:rsidR="050C070E" w:rsidRPr="001366B4">
        <w:rPr>
          <w:noProof/>
        </w:rPr>
        <w:t>Det er nødvendigt at øge gennemsigtigheden med hensyn til medlemsstaternes indgåelse af aftaler og ordninger med sikre tredjelande for at støtte medlemsstaterne og Kommissionen i at fastlægge en samlet tilgang til migrationens eksterne dimension og i at koordinere deres indsats over for tredjelande med henblik på at anvende begrebet sikkert tredjeland. Dette vil også gøre det muligt at overvåge, at aftaler eller ordninger med tredjelande opfylder betingelserne</w:t>
      </w:r>
      <w:r w:rsidR="00A87ED6" w:rsidRPr="001366B4">
        <w:rPr>
          <w:noProof/>
        </w:rPr>
        <w:t xml:space="preserve"> i den</w:t>
      </w:r>
      <w:r w:rsidR="050C070E" w:rsidRPr="001366B4">
        <w:rPr>
          <w:noProof/>
        </w:rPr>
        <w:t>ne forordning. Det bør også muliggøre en mere konsekvent og sammenhængende anvendelse af begrebet sikkert tredjeland</w:t>
      </w:r>
      <w:r w:rsidR="00A87ED6" w:rsidRPr="001366B4">
        <w:rPr>
          <w:noProof/>
        </w:rPr>
        <w:t xml:space="preserve"> i hel</w:t>
      </w:r>
      <w:r w:rsidR="050C070E" w:rsidRPr="001366B4">
        <w:rPr>
          <w:noProof/>
        </w:rPr>
        <w:t xml:space="preserve">e EU og bidrage til et generelt velfungerende fælles europæisk asylsystem. Med henblik herpå bør medlemsstaterne forpligtes til at underrette Kommissionen og de øvrige medlemsstater, inden der indgås aftaler eller ordninger med tredjelande. </w:t>
      </w:r>
    </w:p>
    <w:p w:rsidR="00693ED0" w:rsidRPr="001366B4" w:rsidRDefault="003B080D" w:rsidP="003B080D">
      <w:pPr>
        <w:pStyle w:val="ManualConsidrant"/>
        <w:rPr>
          <w:noProof/>
        </w:rPr>
      </w:pPr>
      <w:r w:rsidRPr="003B080D">
        <w:rPr>
          <w:noProof/>
        </w:rPr>
        <w:t>(7)</w:t>
      </w:r>
      <w:r w:rsidRPr="003B080D">
        <w:rPr>
          <w:noProof/>
        </w:rPr>
        <w:tab/>
      </w:r>
      <w:r w:rsidR="2EC87945" w:rsidRPr="001366B4">
        <w:rPr>
          <w:noProof/>
        </w:rPr>
        <w:t>Medlemsstaterne bør kunne træffe de nødvendige foranstaltninger til at imødegå risikoen for, at ansøgere, der er omfattet af begrebet sikkert tredjeland, forsvinder, herunder ved at begrænse den frie bevægelighed</w:t>
      </w:r>
      <w:r w:rsidR="00A87ED6" w:rsidRPr="001366B4">
        <w:rPr>
          <w:noProof/>
        </w:rPr>
        <w:t xml:space="preserve"> i hen</w:t>
      </w:r>
      <w:r w:rsidR="2EC87945" w:rsidRPr="001366B4">
        <w:rPr>
          <w:noProof/>
        </w:rPr>
        <w:t>hold til artikel 9</w:t>
      </w:r>
      <w:r w:rsidR="00A87ED6" w:rsidRPr="001366B4">
        <w:rPr>
          <w:noProof/>
        </w:rPr>
        <w:t xml:space="preserve"> i Eur</w:t>
      </w:r>
      <w:r w:rsidR="2EC87945" w:rsidRPr="001366B4">
        <w:rPr>
          <w:noProof/>
        </w:rPr>
        <w:t>opa-Parlamentets og Rådets direktiv (EU) 2024/1346</w:t>
      </w:r>
      <w:r w:rsidR="2EC87945" w:rsidRPr="001366B4">
        <w:rPr>
          <w:rStyle w:val="FootnoteReference"/>
          <w:noProof/>
        </w:rPr>
        <w:footnoteReference w:id="18"/>
      </w:r>
      <w:r w:rsidR="2EC87945" w:rsidRPr="001366B4">
        <w:rPr>
          <w:noProof/>
        </w:rPr>
        <w:t xml:space="preserve"> eller frihedsberøve den pågældende ansøger</w:t>
      </w:r>
      <w:r w:rsidR="00A87ED6" w:rsidRPr="001366B4">
        <w:rPr>
          <w:noProof/>
        </w:rPr>
        <w:t xml:space="preserve"> i ove</w:t>
      </w:r>
      <w:r w:rsidR="2EC87945" w:rsidRPr="001366B4">
        <w:rPr>
          <w:noProof/>
        </w:rPr>
        <w:t>rensstemmelse med artikel 10 heri med henblik på at vurdere, om ansøgningerne kan antages.</w:t>
      </w:r>
    </w:p>
    <w:p w:rsidR="00693ED0" w:rsidRPr="001366B4" w:rsidRDefault="003B080D" w:rsidP="003B080D">
      <w:pPr>
        <w:pStyle w:val="ManualConsidrant"/>
        <w:rPr>
          <w:noProof/>
        </w:rPr>
      </w:pPr>
      <w:r w:rsidRPr="003B080D">
        <w:rPr>
          <w:noProof/>
        </w:rPr>
        <w:t>(8)</w:t>
      </w:r>
      <w:r w:rsidRPr="003B080D">
        <w:rPr>
          <w:noProof/>
        </w:rPr>
        <w:tab/>
      </w:r>
      <w:r w:rsidR="2EC87945" w:rsidRPr="001366B4">
        <w:rPr>
          <w:noProof/>
        </w:rPr>
        <w:t>For at øge den proceduremæssige effektivitet bør ansøgeren ikke automatisk have ret til at forblive på en medlemsstats område med henblik på en klage over afgørelser om afvisning, der er truffet på grundlag af begrebet sikkert tredjeland. Ikke desto mindre skal fuldbyrdelsen af den tilsvarende afgørelse om tilbagesendelse suspenderes i en periode, inden for hvilken den pågældende person kan udøve sin ret til effektive retsmidler ved en ret</w:t>
      </w:r>
      <w:r w:rsidR="00A87ED6" w:rsidRPr="001366B4">
        <w:rPr>
          <w:noProof/>
        </w:rPr>
        <w:t xml:space="preserve"> i før</w:t>
      </w:r>
      <w:r w:rsidR="2EC87945" w:rsidRPr="001366B4">
        <w:rPr>
          <w:noProof/>
        </w:rPr>
        <w:t xml:space="preserve">ste instans, og når en sådan klage indgives, hvis der er risiko for tilsidesættelse af princippet om </w:t>
      </w:r>
      <w:r w:rsidR="2EC87945" w:rsidRPr="001366B4">
        <w:rPr>
          <w:i/>
          <w:noProof/>
        </w:rPr>
        <w:t>non-refoulement</w:t>
      </w:r>
      <w:r w:rsidR="2EC87945" w:rsidRPr="001366B4">
        <w:rPr>
          <w:noProof/>
        </w:rPr>
        <w:t>.</w:t>
      </w:r>
    </w:p>
    <w:p w:rsidR="008772B4" w:rsidRPr="001366B4" w:rsidRDefault="003B080D" w:rsidP="003B080D">
      <w:pPr>
        <w:pStyle w:val="ManualConsidrant"/>
        <w:rPr>
          <w:noProof/>
        </w:rPr>
      </w:pPr>
      <w:r w:rsidRPr="003B080D">
        <w:rPr>
          <w:noProof/>
        </w:rPr>
        <w:t>(9)</w:t>
      </w:r>
      <w:r w:rsidRPr="003B080D">
        <w:rPr>
          <w:noProof/>
        </w:rPr>
        <w:tab/>
      </w:r>
      <w:r w:rsidR="008772B4" w:rsidRPr="001366B4">
        <w:rPr>
          <w:noProof/>
        </w:rPr>
        <w:t>Målet for denne forordning, nemlig revision af betingelserne for anvendelse af begrebet sikkert tredjeland, kan ikke</w:t>
      </w:r>
      <w:r w:rsidR="00A87ED6" w:rsidRPr="001366B4">
        <w:rPr>
          <w:noProof/>
        </w:rPr>
        <w:t xml:space="preserve"> i til</w:t>
      </w:r>
      <w:r w:rsidR="008772B4" w:rsidRPr="001366B4">
        <w:rPr>
          <w:noProof/>
        </w:rPr>
        <w:t>strækkelig grad opfyldes af medlemsstaterne og kan kun nås på EU-plan; EU kan derfor vedtage foranstaltninger</w:t>
      </w:r>
      <w:r w:rsidR="00A87ED6" w:rsidRPr="001366B4">
        <w:rPr>
          <w:noProof/>
        </w:rPr>
        <w:t xml:space="preserve"> i ove</w:t>
      </w:r>
      <w:r w:rsidR="008772B4" w:rsidRPr="001366B4">
        <w:rPr>
          <w:noProof/>
        </w:rPr>
        <w:t>rensstemmelse med nærhedsprincippet, jf. artikel 5</w:t>
      </w:r>
      <w:r w:rsidR="00A87ED6" w:rsidRPr="001366B4">
        <w:rPr>
          <w:noProof/>
        </w:rPr>
        <w:t xml:space="preserve"> i tra</w:t>
      </w:r>
      <w:r w:rsidR="008772B4" w:rsidRPr="001366B4">
        <w:rPr>
          <w:noProof/>
        </w:rPr>
        <w:t>ktaten om Den Europæiske Union (TEU)</w:t>
      </w:r>
      <w:r w:rsidR="00A87ED6" w:rsidRPr="001366B4">
        <w:rPr>
          <w:noProof/>
        </w:rPr>
        <w:t>. I ove</w:t>
      </w:r>
      <w:r w:rsidR="008772B4" w:rsidRPr="001366B4">
        <w:rPr>
          <w:noProof/>
        </w:rPr>
        <w:t>rensstemmelse med proportionalitetsprincippet, jf. nævnte artikel, går denne forordning ikke videre, end hvad der er nødvendigt for at nå dette mål.</w:t>
      </w:r>
    </w:p>
    <w:p w:rsidR="008772B4" w:rsidRPr="001366B4" w:rsidRDefault="003B080D" w:rsidP="003B080D">
      <w:pPr>
        <w:pStyle w:val="ManualConsidrant"/>
        <w:rPr>
          <w:noProof/>
        </w:rPr>
      </w:pPr>
      <w:r w:rsidRPr="003B080D">
        <w:rPr>
          <w:noProof/>
        </w:rPr>
        <w:t>(10)</w:t>
      </w:r>
      <w:r w:rsidRPr="003B080D">
        <w:rPr>
          <w:noProof/>
        </w:rPr>
        <w:tab/>
      </w:r>
      <w:r w:rsidR="008772B4" w:rsidRPr="001366B4">
        <w:rPr>
          <w:noProof/>
        </w:rPr>
        <w:t>[I medfør af artikel 3 og artikel 4a, stk.</w:t>
      </w:r>
      <w:r w:rsidR="00A87ED6" w:rsidRPr="001366B4">
        <w:rPr>
          <w:noProof/>
        </w:rPr>
        <w:t> </w:t>
      </w:r>
      <w:r w:rsidR="008772B4" w:rsidRPr="001366B4">
        <w:rPr>
          <w:noProof/>
        </w:rPr>
        <w:t>1,</w:t>
      </w:r>
      <w:r w:rsidR="00A87ED6" w:rsidRPr="001366B4">
        <w:rPr>
          <w:noProof/>
        </w:rPr>
        <w:t xml:space="preserve"> i pro</w:t>
      </w:r>
      <w:r w:rsidR="008772B4" w:rsidRPr="001366B4">
        <w:rPr>
          <w:noProof/>
        </w:rPr>
        <w:t>tokol nr.</w:t>
      </w:r>
      <w:r w:rsidR="00A87ED6" w:rsidRPr="001366B4">
        <w:rPr>
          <w:noProof/>
        </w:rPr>
        <w:t> </w:t>
      </w:r>
      <w:r w:rsidR="008772B4" w:rsidRPr="001366B4">
        <w:rPr>
          <w:noProof/>
        </w:rPr>
        <w:t>21 om Det Forenede Kongeriges og Irlands stilling for så vidt angår området med frihed, sikkerhed og retfærdighed, der er knyttet som bilag til traktaten om Den Europæiske Union og til traktaten om Den Europæiske Unions funktionsmåde, har Irland [ved brev af ...] meddelt, at det ønsker at deltage</w:t>
      </w:r>
      <w:r w:rsidR="00A87ED6" w:rsidRPr="001366B4">
        <w:rPr>
          <w:noProof/>
        </w:rPr>
        <w:t xml:space="preserve"> i ved</w:t>
      </w:r>
      <w:r w:rsidR="008772B4" w:rsidRPr="001366B4">
        <w:rPr>
          <w:noProof/>
        </w:rPr>
        <w:t xml:space="preserve">tagelsen og anvendelsen af denne [retsakt].] </w:t>
      </w:r>
    </w:p>
    <w:p w:rsidR="008772B4" w:rsidRPr="001366B4" w:rsidRDefault="008772B4" w:rsidP="007B112E">
      <w:pPr>
        <w:ind w:left="720"/>
        <w:rPr>
          <w:noProof/>
        </w:rPr>
      </w:pPr>
      <w:r w:rsidRPr="001366B4">
        <w:rPr>
          <w:noProof/>
        </w:rPr>
        <w:t xml:space="preserve">ELLER </w:t>
      </w:r>
      <w:r w:rsidRPr="001366B4">
        <w:rPr>
          <w:noProof/>
        </w:rPr>
        <w:tab/>
      </w:r>
    </w:p>
    <w:p w:rsidR="008772B4" w:rsidRPr="001366B4" w:rsidRDefault="008772B4" w:rsidP="007B112E">
      <w:pPr>
        <w:ind w:left="720"/>
        <w:rPr>
          <w:noProof/>
        </w:rPr>
      </w:pPr>
      <w:r w:rsidRPr="001366B4">
        <w:rPr>
          <w:noProof/>
        </w:rPr>
        <w:t>[I medfør af artikel 1 og</w:t>
      </w:r>
      <w:r w:rsidR="00A87ED6" w:rsidRPr="001366B4">
        <w:rPr>
          <w:noProof/>
        </w:rPr>
        <w:t> </w:t>
      </w:r>
      <w:r w:rsidRPr="001366B4">
        <w:rPr>
          <w:noProof/>
        </w:rPr>
        <w:t>2 og artikel 4a, stk.</w:t>
      </w:r>
      <w:r w:rsidR="00A87ED6" w:rsidRPr="001366B4">
        <w:rPr>
          <w:noProof/>
        </w:rPr>
        <w:t> </w:t>
      </w:r>
      <w:r w:rsidRPr="001366B4">
        <w:rPr>
          <w:noProof/>
        </w:rPr>
        <w:t>1,</w:t>
      </w:r>
      <w:r w:rsidR="00A87ED6" w:rsidRPr="001366B4">
        <w:rPr>
          <w:noProof/>
        </w:rPr>
        <w:t xml:space="preserve"> i pro</w:t>
      </w:r>
      <w:r w:rsidRPr="001366B4">
        <w:rPr>
          <w:noProof/>
        </w:rPr>
        <w:t>tokol nr.</w:t>
      </w:r>
      <w:r w:rsidR="00A87ED6" w:rsidRPr="001366B4">
        <w:rPr>
          <w:noProof/>
        </w:rPr>
        <w:t> </w:t>
      </w:r>
      <w:r w:rsidRPr="001366B4">
        <w:rPr>
          <w:noProof/>
        </w:rPr>
        <w:t>21 om Det Forenede Kongeriges og Irlands stilling for så vidt angår området med frihed, sikkerhed og retfærdighed, der er knyttet som bilag til traktaten om Den Europæiske Union og til traktaten om Den Europæiske Unions funktionsmåde, og med forbehold af artikel 4</w:t>
      </w:r>
      <w:r w:rsidR="00A87ED6" w:rsidRPr="001366B4">
        <w:rPr>
          <w:noProof/>
        </w:rPr>
        <w:t xml:space="preserve"> i sam</w:t>
      </w:r>
      <w:r w:rsidRPr="001366B4">
        <w:rPr>
          <w:noProof/>
        </w:rPr>
        <w:t>me protokol, deltager Irland ikke</w:t>
      </w:r>
      <w:r w:rsidR="00A87ED6" w:rsidRPr="001366B4">
        <w:rPr>
          <w:noProof/>
        </w:rPr>
        <w:t xml:space="preserve"> i ved</w:t>
      </w:r>
      <w:r w:rsidRPr="001366B4">
        <w:rPr>
          <w:noProof/>
        </w:rPr>
        <w:t>tagelsen af denne [retsakt], som ikke er bindende for og ikke finder anvendelse</w:t>
      </w:r>
      <w:r w:rsidR="00A87ED6" w:rsidRPr="001366B4">
        <w:rPr>
          <w:noProof/>
        </w:rPr>
        <w:t xml:space="preserve"> i Irl</w:t>
      </w:r>
      <w:r w:rsidRPr="001366B4">
        <w:rPr>
          <w:noProof/>
        </w:rPr>
        <w:t>and.]</w:t>
      </w:r>
    </w:p>
    <w:p w:rsidR="008772B4" w:rsidRPr="001366B4" w:rsidRDefault="003B080D" w:rsidP="003B080D">
      <w:pPr>
        <w:pStyle w:val="ManualConsidrant"/>
        <w:rPr>
          <w:noProof/>
        </w:rPr>
      </w:pPr>
      <w:r w:rsidRPr="003B080D">
        <w:rPr>
          <w:noProof/>
        </w:rPr>
        <w:t>(11)</w:t>
      </w:r>
      <w:r w:rsidRPr="003B080D">
        <w:rPr>
          <w:noProof/>
        </w:rPr>
        <w:tab/>
      </w:r>
      <w:r w:rsidR="008772B4" w:rsidRPr="001366B4">
        <w:rPr>
          <w:noProof/>
        </w:rPr>
        <w:t>I medfør af artikel 1 og</w:t>
      </w:r>
      <w:r w:rsidR="00A87ED6" w:rsidRPr="001366B4">
        <w:rPr>
          <w:noProof/>
        </w:rPr>
        <w:t> </w:t>
      </w:r>
      <w:r w:rsidR="008772B4" w:rsidRPr="001366B4">
        <w:rPr>
          <w:noProof/>
        </w:rPr>
        <w:t>2</w:t>
      </w:r>
      <w:r w:rsidR="00A87ED6" w:rsidRPr="001366B4">
        <w:rPr>
          <w:noProof/>
        </w:rPr>
        <w:t xml:space="preserve"> i pro</w:t>
      </w:r>
      <w:r w:rsidR="008772B4" w:rsidRPr="001366B4">
        <w:rPr>
          <w:noProof/>
        </w:rPr>
        <w:t>tokol nr.</w:t>
      </w:r>
      <w:r w:rsidR="00A87ED6" w:rsidRPr="001366B4">
        <w:rPr>
          <w:noProof/>
        </w:rPr>
        <w:t> </w:t>
      </w:r>
      <w:r w:rsidR="008772B4" w:rsidRPr="001366B4">
        <w:rPr>
          <w:noProof/>
        </w:rPr>
        <w:t>22 om Danmarks stilling, der er knyttet som bilag til traktaten om Den Europæiske Union og til traktaten om Den Europæiske Unions funktionsmåde, deltager Danmark ikke</w:t>
      </w:r>
      <w:r w:rsidR="00A87ED6" w:rsidRPr="001366B4">
        <w:rPr>
          <w:noProof/>
        </w:rPr>
        <w:t xml:space="preserve"> i ved</w:t>
      </w:r>
      <w:r w:rsidR="008772B4" w:rsidRPr="001366B4">
        <w:rPr>
          <w:noProof/>
        </w:rPr>
        <w:t>tagelsen af denne forordning, som ikke er bindende for og ikke finder anvendelse</w:t>
      </w:r>
      <w:r w:rsidR="00A87ED6" w:rsidRPr="001366B4">
        <w:rPr>
          <w:noProof/>
        </w:rPr>
        <w:t xml:space="preserve"> i Dan</w:t>
      </w:r>
      <w:r w:rsidR="008772B4" w:rsidRPr="001366B4">
        <w:rPr>
          <w:noProof/>
        </w:rPr>
        <w:t>mark.</w:t>
      </w:r>
    </w:p>
    <w:p w:rsidR="008772B4" w:rsidRPr="001366B4" w:rsidRDefault="003B080D" w:rsidP="003B080D">
      <w:pPr>
        <w:pStyle w:val="ManualConsidrant"/>
        <w:rPr>
          <w:noProof/>
        </w:rPr>
      </w:pPr>
      <w:r w:rsidRPr="003B080D">
        <w:rPr>
          <w:noProof/>
        </w:rPr>
        <w:t>(12)</w:t>
      </w:r>
      <w:r w:rsidRPr="003B080D">
        <w:rPr>
          <w:noProof/>
        </w:rPr>
        <w:tab/>
      </w:r>
      <w:r w:rsidR="008772B4" w:rsidRPr="001366B4">
        <w:rPr>
          <w:noProof/>
        </w:rPr>
        <w:t>Denne forordning overholder de grundlæggende rettigheder og de principper, der er anerkendt</w:t>
      </w:r>
      <w:r w:rsidR="00A87ED6" w:rsidRPr="001366B4">
        <w:rPr>
          <w:noProof/>
        </w:rPr>
        <w:t xml:space="preserve"> i Den</w:t>
      </w:r>
      <w:r w:rsidR="008772B4" w:rsidRPr="001366B4">
        <w:rPr>
          <w:noProof/>
        </w:rPr>
        <w:t xml:space="preserve"> Europæiske Unions charter om grundlæggende rettigheder.</w:t>
      </w:r>
    </w:p>
    <w:p w:rsidR="00693ED0" w:rsidRPr="001366B4" w:rsidRDefault="003B080D" w:rsidP="003B080D">
      <w:pPr>
        <w:pStyle w:val="ManualConsidrant"/>
        <w:rPr>
          <w:noProof/>
        </w:rPr>
      </w:pPr>
      <w:r w:rsidRPr="003B080D">
        <w:rPr>
          <w:noProof/>
        </w:rPr>
        <w:t>(13)</w:t>
      </w:r>
      <w:r w:rsidRPr="003B080D">
        <w:rPr>
          <w:noProof/>
        </w:rPr>
        <w:tab/>
      </w:r>
      <w:r w:rsidR="00693ED0" w:rsidRPr="001366B4">
        <w:rPr>
          <w:noProof/>
        </w:rPr>
        <w:t>Forordning (EU) 2024/1348 bør derfor ændres —</w:t>
      </w:r>
    </w:p>
    <w:p w:rsidR="00693ED0" w:rsidRPr="001366B4" w:rsidRDefault="00693ED0" w:rsidP="00693ED0">
      <w:pPr>
        <w:pStyle w:val="Formuledadoption"/>
        <w:rPr>
          <w:noProof/>
        </w:rPr>
      </w:pPr>
      <w:r w:rsidRPr="001366B4">
        <w:rPr>
          <w:noProof/>
        </w:rPr>
        <w:t>VEDTAGET DENNE FORORDNING:</w:t>
      </w:r>
    </w:p>
    <w:p w:rsidR="00693ED0" w:rsidRPr="001366B4" w:rsidRDefault="00693ED0" w:rsidP="00693ED0">
      <w:pPr>
        <w:pStyle w:val="Titrearticle"/>
        <w:rPr>
          <w:noProof/>
        </w:rPr>
      </w:pPr>
      <w:r w:rsidRPr="001366B4">
        <w:rPr>
          <w:noProof/>
        </w:rPr>
        <w:t>Artikel 1</w:t>
      </w:r>
    </w:p>
    <w:p w:rsidR="00693ED0" w:rsidRPr="001366B4" w:rsidRDefault="00693ED0" w:rsidP="00693ED0">
      <w:pPr>
        <w:rPr>
          <w:noProof/>
        </w:rPr>
      </w:pPr>
      <w:r w:rsidRPr="001366B4">
        <w:rPr>
          <w:noProof/>
        </w:rPr>
        <w:t>I forordning (EU) 2024/1348 foretages følgende ændringer:</w:t>
      </w:r>
    </w:p>
    <w:p w:rsidR="00693ED0" w:rsidRPr="001366B4" w:rsidRDefault="00A87ED6" w:rsidP="00A87ED6">
      <w:pPr>
        <w:pStyle w:val="Point0"/>
        <w:rPr>
          <w:noProof/>
        </w:rPr>
      </w:pPr>
      <w:r w:rsidRPr="001366B4">
        <w:rPr>
          <w:noProof/>
        </w:rPr>
        <w:t>1)</w:t>
      </w:r>
      <w:r w:rsidRPr="001366B4">
        <w:rPr>
          <w:noProof/>
        </w:rPr>
        <w:tab/>
      </w:r>
      <w:r w:rsidR="00693ED0" w:rsidRPr="001366B4">
        <w:rPr>
          <w:noProof/>
        </w:rPr>
        <w:t>I artikel 59, stk. 5, foretages følgende ændringer:</w:t>
      </w:r>
    </w:p>
    <w:p w:rsidR="00693ED0" w:rsidRPr="001366B4" w:rsidRDefault="00A87ED6" w:rsidP="00A87ED6">
      <w:pPr>
        <w:pStyle w:val="Point1"/>
        <w:rPr>
          <w:noProof/>
        </w:rPr>
      </w:pPr>
      <w:r w:rsidRPr="001366B4">
        <w:rPr>
          <w:noProof/>
        </w:rPr>
        <w:t>a)</w:t>
      </w:r>
      <w:r w:rsidRPr="001366B4">
        <w:rPr>
          <w:noProof/>
        </w:rPr>
        <w:tab/>
      </w:r>
      <w:r w:rsidR="00693ED0" w:rsidRPr="001366B4">
        <w:rPr>
          <w:noProof/>
        </w:rPr>
        <w:t xml:space="preserve">Litra b) affattes således: </w:t>
      </w:r>
    </w:p>
    <w:p w:rsidR="00373D5E" w:rsidRPr="001366B4" w:rsidRDefault="00693ED0" w:rsidP="5E2CA672">
      <w:pPr>
        <w:ind w:left="1440"/>
        <w:rPr>
          <w:noProof/>
        </w:rPr>
      </w:pPr>
      <w:r w:rsidRPr="001366B4">
        <w:rPr>
          <w:noProof/>
        </w:rPr>
        <w:t>"b) en af følgende betingelser er opfyldt:</w:t>
      </w:r>
    </w:p>
    <w:p w:rsidR="00373D5E" w:rsidRPr="001366B4" w:rsidRDefault="104F5D30" w:rsidP="007B112E">
      <w:pPr>
        <w:pStyle w:val="Num"/>
        <w:rPr>
          <w:b/>
          <w:bCs/>
          <w:noProof/>
        </w:rPr>
      </w:pPr>
      <w:r w:rsidRPr="001366B4">
        <w:rPr>
          <w:noProof/>
        </w:rPr>
        <w:t>der er en forbindelse mellem ansøgeren og det pågældende tredjeland, som gør, at det vil være rimeligt for vedkommende at tage til det pågældende land</w:t>
      </w:r>
    </w:p>
    <w:p w:rsidR="00706323" w:rsidRPr="001366B4" w:rsidRDefault="007C0B96" w:rsidP="00706323">
      <w:pPr>
        <w:pStyle w:val="Num"/>
        <w:rPr>
          <w:b/>
          <w:bCs/>
          <w:noProof/>
        </w:rPr>
      </w:pPr>
      <w:r w:rsidRPr="001366B4">
        <w:rPr>
          <w:noProof/>
        </w:rPr>
        <w:t>ansøgeren har været</w:t>
      </w:r>
      <w:r w:rsidR="00A87ED6" w:rsidRPr="001366B4">
        <w:rPr>
          <w:noProof/>
        </w:rPr>
        <w:t xml:space="preserve"> i tra</w:t>
      </w:r>
      <w:r w:rsidRPr="001366B4">
        <w:rPr>
          <w:noProof/>
        </w:rPr>
        <w:t>nsit gennem det pågældende tredjeland</w:t>
      </w:r>
    </w:p>
    <w:p w:rsidR="00693ED0" w:rsidRPr="001366B4" w:rsidRDefault="00568A21" w:rsidP="007B112E">
      <w:pPr>
        <w:pStyle w:val="Num"/>
        <w:rPr>
          <w:b/>
          <w:bCs/>
          <w:noProof/>
        </w:rPr>
      </w:pPr>
      <w:r w:rsidRPr="001366B4">
        <w:rPr>
          <w:noProof/>
        </w:rPr>
        <w:t xml:space="preserve">der foreligger en aftale eller ordning med det pågældende tredjeland, der kræver realitetsbehandling af de anmodninger om effektiv beskyttelse, der fremsættes af ansøgere, og som er omfattet af den pågældende aftale eller ordning." </w:t>
      </w:r>
    </w:p>
    <w:p w:rsidR="00693ED0" w:rsidRPr="001366B4" w:rsidRDefault="00A87ED6" w:rsidP="00A87ED6">
      <w:pPr>
        <w:pStyle w:val="Point1"/>
        <w:rPr>
          <w:noProof/>
        </w:rPr>
      </w:pPr>
      <w:r w:rsidRPr="001366B4">
        <w:rPr>
          <w:noProof/>
        </w:rPr>
        <w:t>b)</w:t>
      </w:r>
      <w:r w:rsidRPr="001366B4">
        <w:rPr>
          <w:noProof/>
        </w:rPr>
        <w:tab/>
      </w:r>
      <w:r w:rsidR="00693ED0" w:rsidRPr="001366B4">
        <w:rPr>
          <w:noProof/>
        </w:rPr>
        <w:t>Følgende to afsnit tilføjes:</w:t>
      </w:r>
    </w:p>
    <w:p w:rsidR="00682229" w:rsidRPr="001366B4" w:rsidRDefault="2EC87945" w:rsidP="009F59FA">
      <w:pPr>
        <w:ind w:left="1440"/>
        <w:rPr>
          <w:noProof/>
        </w:rPr>
      </w:pPr>
      <w:r w:rsidRPr="001366B4">
        <w:rPr>
          <w:noProof/>
        </w:rPr>
        <w:t>"Ved anvendelsen af stk.</w:t>
      </w:r>
      <w:r w:rsidR="00A87ED6" w:rsidRPr="001366B4">
        <w:rPr>
          <w:noProof/>
        </w:rPr>
        <w:t> </w:t>
      </w:r>
      <w:r w:rsidRPr="001366B4">
        <w:rPr>
          <w:noProof/>
        </w:rPr>
        <w:t>1, litra b), skal barnets tarv komme</w:t>
      </w:r>
      <w:r w:rsidR="00A87ED6" w:rsidRPr="001366B4">
        <w:rPr>
          <w:noProof/>
        </w:rPr>
        <w:t xml:space="preserve"> i før</w:t>
      </w:r>
      <w:r w:rsidRPr="001366B4">
        <w:rPr>
          <w:noProof/>
        </w:rPr>
        <w:t xml:space="preserve">ste række. Stk. 1, litra b), nr. iii), finder ikke anvendelse, hvis ansøgeren er en uledsaget mindreårig. </w:t>
      </w:r>
    </w:p>
    <w:p w:rsidR="00693ED0" w:rsidRPr="001366B4" w:rsidRDefault="008F1AFF" w:rsidP="009F59FA">
      <w:pPr>
        <w:ind w:left="1440"/>
        <w:rPr>
          <w:noProof/>
        </w:rPr>
      </w:pPr>
      <w:r w:rsidRPr="001366B4">
        <w:rPr>
          <w:noProof/>
        </w:rPr>
        <w:t>Medlemsstaterne underretter Kommissionen og de øvrige medlemsstater, inden de indgår en aftale eller ordning som omhandlet</w:t>
      </w:r>
      <w:r w:rsidR="00A87ED6" w:rsidRPr="001366B4">
        <w:rPr>
          <w:noProof/>
        </w:rPr>
        <w:t xml:space="preserve"> i stk</w:t>
      </w:r>
      <w:r w:rsidRPr="001366B4">
        <w:rPr>
          <w:noProof/>
        </w:rPr>
        <w:t>.</w:t>
      </w:r>
      <w:r w:rsidR="00A87ED6" w:rsidRPr="001366B4">
        <w:rPr>
          <w:noProof/>
        </w:rPr>
        <w:t> </w:t>
      </w:r>
      <w:r w:rsidRPr="001366B4">
        <w:rPr>
          <w:noProof/>
        </w:rPr>
        <w:t>1, litra b), nr. iii)."</w:t>
      </w:r>
    </w:p>
    <w:p w:rsidR="00693ED0" w:rsidRPr="001366B4" w:rsidRDefault="00A87ED6" w:rsidP="00A87ED6">
      <w:pPr>
        <w:pStyle w:val="Point0"/>
        <w:rPr>
          <w:noProof/>
        </w:rPr>
      </w:pPr>
      <w:r w:rsidRPr="001366B4">
        <w:rPr>
          <w:noProof/>
        </w:rPr>
        <w:t>2)</w:t>
      </w:r>
      <w:r w:rsidRPr="001366B4">
        <w:rPr>
          <w:noProof/>
        </w:rPr>
        <w:tab/>
      </w:r>
      <w:r w:rsidR="00693ED0" w:rsidRPr="001366B4">
        <w:rPr>
          <w:noProof/>
        </w:rPr>
        <w:t>Artikel 68, stk.</w:t>
      </w:r>
      <w:r w:rsidRPr="001366B4">
        <w:rPr>
          <w:noProof/>
        </w:rPr>
        <w:t> </w:t>
      </w:r>
      <w:r w:rsidR="00693ED0" w:rsidRPr="001366B4">
        <w:rPr>
          <w:noProof/>
        </w:rPr>
        <w:t>3, litra b), affattes således:</w:t>
      </w:r>
    </w:p>
    <w:p w:rsidR="00693ED0" w:rsidRPr="001366B4" w:rsidRDefault="00693ED0" w:rsidP="00693ED0">
      <w:pPr>
        <w:ind w:left="1440"/>
        <w:rPr>
          <w:noProof/>
        </w:rPr>
      </w:pPr>
      <w:r w:rsidRPr="001366B4">
        <w:rPr>
          <w:noProof/>
        </w:rPr>
        <w:t>"b) en afgørelse om afvisning af en ansøgning som uantagelig</w:t>
      </w:r>
      <w:r w:rsidR="00A87ED6" w:rsidRPr="001366B4">
        <w:rPr>
          <w:noProof/>
        </w:rPr>
        <w:t xml:space="preserve"> i hen</w:t>
      </w:r>
      <w:r w:rsidRPr="001366B4">
        <w:rPr>
          <w:noProof/>
        </w:rPr>
        <w:t>hold til artikel 38, stk. 1, litra a), b), d) eller e), eller artikel 38, stk. 2, medmindre ansøgeren er en uledsaget mindreårig, der er omfattet af grænseproceduren."</w:t>
      </w:r>
    </w:p>
    <w:p w:rsidR="00693ED0" w:rsidRPr="001366B4" w:rsidRDefault="00693ED0" w:rsidP="00693ED0">
      <w:pPr>
        <w:pStyle w:val="Titrearticle"/>
        <w:rPr>
          <w:noProof/>
        </w:rPr>
      </w:pPr>
      <w:r w:rsidRPr="001366B4">
        <w:rPr>
          <w:noProof/>
        </w:rPr>
        <w:t>Artikel 2</w:t>
      </w:r>
    </w:p>
    <w:p w:rsidR="00693ED0" w:rsidRPr="001366B4" w:rsidRDefault="00693ED0" w:rsidP="00693ED0">
      <w:pPr>
        <w:rPr>
          <w:noProof/>
        </w:rPr>
      </w:pPr>
      <w:r w:rsidRPr="001366B4">
        <w:rPr>
          <w:noProof/>
        </w:rPr>
        <w:t>Denne forordning træder</w:t>
      </w:r>
      <w:r w:rsidR="00A87ED6" w:rsidRPr="001366B4">
        <w:rPr>
          <w:noProof/>
        </w:rPr>
        <w:t xml:space="preserve"> i kra</w:t>
      </w:r>
      <w:r w:rsidRPr="001366B4">
        <w:rPr>
          <w:noProof/>
        </w:rPr>
        <w:t>ft på dagen efter offentliggørelsen</w:t>
      </w:r>
      <w:r w:rsidR="00A87ED6" w:rsidRPr="001366B4">
        <w:rPr>
          <w:noProof/>
        </w:rPr>
        <w:t xml:space="preserve"> i </w:t>
      </w:r>
      <w:r w:rsidR="00A87ED6" w:rsidRPr="001366B4">
        <w:rPr>
          <w:i/>
          <w:iCs/>
          <w:noProof/>
        </w:rPr>
        <w:t>Den</w:t>
      </w:r>
      <w:r w:rsidRPr="001366B4">
        <w:rPr>
          <w:i/>
          <w:iCs/>
          <w:noProof/>
        </w:rPr>
        <w:t xml:space="preserve"> Europæiske Unions Tidende</w:t>
      </w:r>
      <w:r w:rsidRPr="001366B4">
        <w:rPr>
          <w:noProof/>
        </w:rPr>
        <w:t>.</w:t>
      </w:r>
    </w:p>
    <w:p w:rsidR="00693ED0" w:rsidRPr="001366B4" w:rsidRDefault="00693ED0" w:rsidP="00693ED0">
      <w:pPr>
        <w:pStyle w:val="Applicationdirecte"/>
        <w:rPr>
          <w:noProof/>
        </w:rPr>
      </w:pPr>
      <w:r w:rsidRPr="001366B4">
        <w:rPr>
          <w:noProof/>
        </w:rPr>
        <w:t>Denne forordning er bindende</w:t>
      </w:r>
      <w:r w:rsidR="00A87ED6" w:rsidRPr="001366B4">
        <w:rPr>
          <w:noProof/>
        </w:rPr>
        <w:t xml:space="preserve"> i all</w:t>
      </w:r>
      <w:r w:rsidRPr="001366B4">
        <w:rPr>
          <w:noProof/>
        </w:rPr>
        <w:t>e enkeltheder og gælder umiddelbart</w:t>
      </w:r>
      <w:r w:rsidR="00A87ED6" w:rsidRPr="001366B4">
        <w:rPr>
          <w:noProof/>
        </w:rPr>
        <w:t xml:space="preserve"> i med</w:t>
      </w:r>
      <w:r w:rsidRPr="001366B4">
        <w:rPr>
          <w:noProof/>
        </w:rPr>
        <w:t>lemsstaterne</w:t>
      </w:r>
      <w:r w:rsidR="00A87ED6" w:rsidRPr="001366B4">
        <w:rPr>
          <w:noProof/>
        </w:rPr>
        <w:t xml:space="preserve"> i ove</w:t>
      </w:r>
      <w:r w:rsidRPr="001366B4">
        <w:rPr>
          <w:noProof/>
        </w:rPr>
        <w:t>rensstemmelse med traktaterne.</w:t>
      </w:r>
    </w:p>
    <w:p w:rsidR="00201A77" w:rsidRPr="001366B4" w:rsidRDefault="00DC0910" w:rsidP="00327B02">
      <w:pPr>
        <w:pStyle w:val="Fait"/>
        <w:rPr>
          <w:noProof/>
        </w:rPr>
      </w:pPr>
      <w:r>
        <w:rPr>
          <w:noProof/>
        </w:rPr>
        <w:t>Udfærdiget i Bruxelles, den .</w:t>
      </w:r>
    </w:p>
    <w:p w:rsidR="00201A77" w:rsidRPr="001366B4" w:rsidRDefault="00201A77" w:rsidP="00327B02">
      <w:pPr>
        <w:pStyle w:val="Institutionquisigne"/>
        <w:rPr>
          <w:noProof/>
        </w:rPr>
      </w:pPr>
      <w:r w:rsidRPr="001366B4">
        <w:rPr>
          <w:noProof/>
        </w:rPr>
        <w:t>På Europa-Parlamentets vegne</w:t>
      </w:r>
      <w:r w:rsidRPr="001366B4">
        <w:rPr>
          <w:noProof/>
        </w:rPr>
        <w:tab/>
        <w:t>På Rådets vegne</w:t>
      </w:r>
    </w:p>
    <w:p w:rsidR="00644418" w:rsidRPr="001366B4" w:rsidRDefault="00644418" w:rsidP="00327B02">
      <w:pPr>
        <w:pStyle w:val="Personnequisigne"/>
        <w:keepNext/>
        <w:rPr>
          <w:noProof/>
        </w:rPr>
      </w:pPr>
    </w:p>
    <w:p w:rsidR="00201A77" w:rsidRPr="001366B4" w:rsidRDefault="00201A77" w:rsidP="00201A77">
      <w:pPr>
        <w:pStyle w:val="Personnequisigne"/>
        <w:rPr>
          <w:noProof/>
        </w:rPr>
      </w:pPr>
      <w:r w:rsidRPr="001366B4">
        <w:rPr>
          <w:noProof/>
        </w:rPr>
        <w:t>Formand</w:t>
      </w:r>
      <w:r w:rsidRPr="001366B4">
        <w:rPr>
          <w:noProof/>
        </w:rPr>
        <w:tab/>
        <w:t>Formand</w:t>
      </w:r>
    </w:p>
    <w:p w:rsidR="00201A77" w:rsidRPr="001366B4" w:rsidRDefault="00201A77" w:rsidP="00201A77">
      <w:pPr>
        <w:rPr>
          <w:noProof/>
        </w:rPr>
        <w:sectPr w:rsidR="00201A77" w:rsidRPr="001366B4" w:rsidSect="0029466A">
          <w:pgSz w:w="11907" w:h="16839"/>
          <w:pgMar w:top="1134" w:right="1417" w:bottom="1134" w:left="1417" w:header="709" w:footer="709" w:gutter="0"/>
          <w:cols w:space="708"/>
          <w:docGrid w:linePitch="360"/>
        </w:sectPr>
      </w:pPr>
    </w:p>
    <w:p w:rsidR="00693ED0" w:rsidRPr="001366B4" w:rsidRDefault="00693ED0" w:rsidP="00693ED0">
      <w:pPr>
        <w:pStyle w:val="Fichefinanciretitre"/>
        <w:keepNext/>
        <w:rPr>
          <w:noProof/>
        </w:rPr>
      </w:pPr>
      <w:r w:rsidRPr="001366B4">
        <w:rPr>
          <w:noProof/>
        </w:rPr>
        <w:t>OVERSIGT OVER FINANSIELLE OG DIGITALE VIRKNINGER</w:t>
      </w:r>
    </w:p>
    <w:p w:rsidR="00693ED0" w:rsidRPr="001366B4" w:rsidRDefault="00693ED0" w:rsidP="00693ED0">
      <w:pPr>
        <w:pStyle w:val="TOC1"/>
        <w:rPr>
          <w:rFonts w:asciiTheme="minorHAnsi" w:eastAsiaTheme="minorEastAsia" w:hAnsiTheme="minorHAnsi" w:cstheme="minorBidi"/>
          <w:noProof/>
          <w:kern w:val="2"/>
          <w:sz w:val="22"/>
          <w14:ligatures w14:val="standardContextual"/>
        </w:rPr>
      </w:pPr>
      <w:r w:rsidRPr="001366B4">
        <w:rPr>
          <w:noProof/>
        </w:rPr>
        <w:t>1.</w:t>
      </w:r>
      <w:r w:rsidRPr="001366B4">
        <w:rPr>
          <w:noProof/>
        </w:rPr>
        <w:tab/>
        <w:t>FORSLAGETS/INITIATIVETS RAMME</w:t>
      </w:r>
      <w:r w:rsidRPr="001366B4">
        <w:rPr>
          <w:noProof/>
        </w:rPr>
        <w:tab/>
      </w:r>
      <w:r w:rsidRPr="001366B4">
        <w:rPr>
          <w:noProof/>
          <w:webHidden/>
        </w:rPr>
        <w:t>3</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1.1.</w:t>
      </w:r>
      <w:r w:rsidRPr="001366B4">
        <w:rPr>
          <w:noProof/>
        </w:rPr>
        <w:tab/>
        <w:t>Forslagets/initiativets betegnelse</w:t>
      </w:r>
      <w:r w:rsidRPr="001366B4">
        <w:rPr>
          <w:noProof/>
        </w:rPr>
        <w:tab/>
      </w:r>
      <w:r w:rsidRPr="001366B4">
        <w:rPr>
          <w:noProof/>
          <w:webHidden/>
        </w:rPr>
        <w:t>3</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1.2.</w:t>
      </w:r>
      <w:r w:rsidRPr="001366B4">
        <w:rPr>
          <w:noProof/>
        </w:rPr>
        <w:tab/>
        <w:t>Berørt(e) politikområde(r)</w:t>
      </w:r>
      <w:r w:rsidRPr="001366B4">
        <w:rPr>
          <w:noProof/>
        </w:rPr>
        <w:tab/>
      </w:r>
      <w:r w:rsidRPr="001366B4">
        <w:rPr>
          <w:noProof/>
          <w:webHidden/>
        </w:rPr>
        <w:t>3</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1.3.</w:t>
      </w:r>
      <w:r w:rsidRPr="001366B4">
        <w:rPr>
          <w:noProof/>
        </w:rPr>
        <w:tab/>
        <w:t>Mål</w:t>
      </w:r>
      <w:r w:rsidRPr="001366B4">
        <w:rPr>
          <w:noProof/>
        </w:rPr>
        <w:tab/>
      </w:r>
      <w:r w:rsidRPr="001366B4">
        <w:rPr>
          <w:noProof/>
          <w:webHidden/>
        </w:rPr>
        <w:t>3</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1.3.1.</w:t>
      </w:r>
      <w:r w:rsidRPr="001366B4">
        <w:rPr>
          <w:noProof/>
        </w:rPr>
        <w:tab/>
        <w:t>Generelt/generelle mål</w:t>
      </w:r>
      <w:r w:rsidRPr="001366B4">
        <w:rPr>
          <w:noProof/>
        </w:rPr>
        <w:tab/>
      </w:r>
      <w:r w:rsidRPr="001366B4">
        <w:rPr>
          <w:noProof/>
          <w:webHidden/>
        </w:rPr>
        <w:t>3</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1.3.2.</w:t>
      </w:r>
      <w:r w:rsidRPr="001366B4">
        <w:rPr>
          <w:noProof/>
        </w:rPr>
        <w:tab/>
        <w:t>Specifikt/specifikke mål</w:t>
      </w:r>
      <w:r w:rsidRPr="001366B4">
        <w:rPr>
          <w:noProof/>
        </w:rPr>
        <w:tab/>
      </w:r>
      <w:r w:rsidRPr="001366B4">
        <w:rPr>
          <w:noProof/>
          <w:webHidden/>
        </w:rPr>
        <w:t>3</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1.3.3.</w:t>
      </w:r>
      <w:r w:rsidRPr="001366B4">
        <w:rPr>
          <w:noProof/>
        </w:rPr>
        <w:tab/>
        <w:t>Forventet/forventede resultat(er) og virkning(er)</w:t>
      </w:r>
      <w:r w:rsidRPr="001366B4">
        <w:rPr>
          <w:noProof/>
        </w:rPr>
        <w:tab/>
      </w:r>
      <w:r w:rsidRPr="001366B4">
        <w:rPr>
          <w:noProof/>
          <w:webHidden/>
        </w:rPr>
        <w:t>3</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1.3.4.</w:t>
      </w:r>
      <w:r w:rsidRPr="001366B4">
        <w:rPr>
          <w:noProof/>
        </w:rPr>
        <w:tab/>
        <w:t>Resultatindikatorer</w:t>
      </w:r>
      <w:r w:rsidRPr="001366B4">
        <w:rPr>
          <w:noProof/>
        </w:rPr>
        <w:tab/>
      </w:r>
      <w:r w:rsidRPr="001366B4">
        <w:rPr>
          <w:noProof/>
          <w:webHidden/>
        </w:rPr>
        <w:t>3</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1.4.</w:t>
      </w:r>
      <w:r w:rsidRPr="001366B4">
        <w:rPr>
          <w:noProof/>
        </w:rPr>
        <w:tab/>
        <w:t>Forslaget/initiativet vedrører</w:t>
      </w:r>
      <w:r w:rsidRPr="001366B4">
        <w:rPr>
          <w:noProof/>
        </w:rPr>
        <w:tab/>
      </w:r>
      <w:r w:rsidRPr="001366B4">
        <w:rPr>
          <w:noProof/>
          <w:webHidden/>
        </w:rPr>
        <w:t>4</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1.5.</w:t>
      </w:r>
      <w:r w:rsidRPr="001366B4">
        <w:rPr>
          <w:noProof/>
        </w:rPr>
        <w:tab/>
        <w:t>Begrundelse for forslaget/initiativet</w:t>
      </w:r>
      <w:r w:rsidRPr="001366B4">
        <w:rPr>
          <w:noProof/>
        </w:rPr>
        <w:tab/>
      </w:r>
      <w:r w:rsidRPr="001366B4">
        <w:rPr>
          <w:noProof/>
          <w:webHidden/>
        </w:rPr>
        <w:t>4</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1.5.1.</w:t>
      </w:r>
      <w:r w:rsidRPr="001366B4">
        <w:rPr>
          <w:noProof/>
        </w:rPr>
        <w:tab/>
        <w:t>Behov, der skal opfyldes på kort eller lang sigt, herunder en detaljeret tidsplan for iværksættelsen af initiativet</w:t>
      </w:r>
      <w:r w:rsidRPr="001366B4">
        <w:rPr>
          <w:noProof/>
        </w:rPr>
        <w:tab/>
      </w:r>
      <w:r w:rsidRPr="001366B4">
        <w:rPr>
          <w:noProof/>
          <w:webHidden/>
        </w:rPr>
        <w:t>4</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1.5.2.</w:t>
      </w:r>
      <w:r w:rsidRPr="001366B4">
        <w:rPr>
          <w:noProof/>
        </w:rPr>
        <w:tab/>
        <w:t>Merværdien af et EU-tiltag (f.eks. som følge af koordineringsfordele, retssikkerhed, større effekt eller komplementaritet). Ved "merværdien af et EU-tiltag" forstås her merværdien af en indsats på EU-plan</w:t>
      </w:r>
      <w:r w:rsidR="00A87ED6" w:rsidRPr="001366B4">
        <w:rPr>
          <w:noProof/>
        </w:rPr>
        <w:t xml:space="preserve"> i for</w:t>
      </w:r>
      <w:r w:rsidRPr="001366B4">
        <w:rPr>
          <w:noProof/>
        </w:rPr>
        <w:t>hold til den værdi, som medlemsstaterne ville have skabt enkeltvis</w:t>
      </w:r>
      <w:r w:rsidRPr="001366B4">
        <w:rPr>
          <w:noProof/>
        </w:rPr>
        <w:tab/>
      </w:r>
      <w:r w:rsidRPr="001366B4">
        <w:rPr>
          <w:noProof/>
          <w:webHidden/>
        </w:rPr>
        <w:t>4</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1.5.3.</w:t>
      </w:r>
      <w:r w:rsidRPr="001366B4">
        <w:rPr>
          <w:noProof/>
        </w:rPr>
        <w:tab/>
        <w:t>Erfaringer fra tidligere foranstaltninger af lignende art</w:t>
      </w:r>
      <w:r w:rsidRPr="001366B4">
        <w:rPr>
          <w:noProof/>
        </w:rPr>
        <w:tab/>
      </w:r>
      <w:r w:rsidRPr="001366B4">
        <w:rPr>
          <w:noProof/>
          <w:webHidden/>
        </w:rPr>
        <w:t>4</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1.5.4.</w:t>
      </w:r>
      <w:r w:rsidRPr="001366B4">
        <w:rPr>
          <w:noProof/>
        </w:rPr>
        <w:tab/>
        <w:t>Forenelighed med den flerårige finansielle ramme og mulige synergivirkninger med andre relevante instrumenter</w:t>
      </w:r>
      <w:r w:rsidRPr="001366B4">
        <w:rPr>
          <w:noProof/>
        </w:rPr>
        <w:tab/>
      </w:r>
      <w:r w:rsidRPr="001366B4">
        <w:rPr>
          <w:noProof/>
          <w:webHidden/>
        </w:rPr>
        <w:t>5</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1.5.5.</w:t>
      </w:r>
      <w:r w:rsidRPr="001366B4">
        <w:rPr>
          <w:noProof/>
        </w:rPr>
        <w:tab/>
        <w:t>Vurdering af de forskellige finansieringsmuligheder, der er til rådighed, herunder muligheden for omfordeling</w:t>
      </w:r>
      <w:r w:rsidRPr="001366B4">
        <w:rPr>
          <w:noProof/>
        </w:rPr>
        <w:tab/>
      </w:r>
      <w:r w:rsidRPr="001366B4">
        <w:rPr>
          <w:noProof/>
          <w:webHidden/>
        </w:rPr>
        <w:t>5</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1.6.</w:t>
      </w:r>
      <w:r w:rsidRPr="001366B4">
        <w:rPr>
          <w:noProof/>
        </w:rPr>
        <w:tab/>
        <w:t>Varigheden af forslaget/initiativet og af dets finansielle virkninger</w:t>
      </w:r>
      <w:r w:rsidRPr="001366B4">
        <w:rPr>
          <w:noProof/>
        </w:rPr>
        <w:tab/>
      </w:r>
      <w:r w:rsidRPr="001366B4">
        <w:rPr>
          <w:noProof/>
          <w:webHidden/>
        </w:rPr>
        <w:t>6</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1.7.</w:t>
      </w:r>
      <w:r w:rsidRPr="001366B4">
        <w:rPr>
          <w:noProof/>
        </w:rPr>
        <w:tab/>
        <w:t>Planlagt(e) budgetgennemførelsesmetode(r)</w:t>
      </w:r>
      <w:r w:rsidRPr="001366B4">
        <w:rPr>
          <w:noProof/>
        </w:rPr>
        <w:tab/>
      </w:r>
      <w:r w:rsidRPr="001366B4">
        <w:rPr>
          <w:noProof/>
          <w:webHidden/>
        </w:rPr>
        <w:t>6</w:t>
      </w:r>
    </w:p>
    <w:p w:rsidR="00693ED0" w:rsidRPr="001366B4" w:rsidRDefault="00693ED0" w:rsidP="00693ED0">
      <w:pPr>
        <w:pStyle w:val="TOC1"/>
        <w:rPr>
          <w:rFonts w:asciiTheme="minorHAnsi" w:eastAsiaTheme="minorEastAsia" w:hAnsiTheme="minorHAnsi" w:cstheme="minorBidi"/>
          <w:noProof/>
          <w:kern w:val="2"/>
          <w:sz w:val="22"/>
          <w14:ligatures w14:val="standardContextual"/>
        </w:rPr>
      </w:pPr>
      <w:r w:rsidRPr="001366B4">
        <w:rPr>
          <w:noProof/>
        </w:rPr>
        <w:t>2.</w:t>
      </w:r>
      <w:r w:rsidRPr="001366B4">
        <w:rPr>
          <w:noProof/>
        </w:rPr>
        <w:tab/>
        <w:t>FORVALTNINGSFORANSTALTNINGER</w:t>
      </w:r>
      <w:r w:rsidRPr="001366B4">
        <w:rPr>
          <w:noProof/>
        </w:rPr>
        <w:tab/>
      </w:r>
      <w:r w:rsidRPr="001366B4">
        <w:rPr>
          <w:noProof/>
          <w:webHidden/>
        </w:rPr>
        <w:t>8</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2.1.</w:t>
      </w:r>
      <w:r w:rsidRPr="001366B4">
        <w:rPr>
          <w:noProof/>
        </w:rPr>
        <w:tab/>
        <w:t>Bestemmelser om overvågning og rapportering</w:t>
      </w:r>
      <w:r w:rsidRPr="001366B4">
        <w:rPr>
          <w:noProof/>
        </w:rPr>
        <w:tab/>
      </w:r>
      <w:r w:rsidRPr="001366B4">
        <w:rPr>
          <w:noProof/>
          <w:webHidden/>
        </w:rPr>
        <w:t>8</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2.2.</w:t>
      </w:r>
      <w:r w:rsidRPr="001366B4">
        <w:rPr>
          <w:noProof/>
        </w:rPr>
        <w:tab/>
        <w:t>Forvaltnings- og kontrolsystem(er)</w:t>
      </w:r>
      <w:r w:rsidRPr="001366B4">
        <w:rPr>
          <w:noProof/>
        </w:rPr>
        <w:tab/>
      </w:r>
      <w:r w:rsidRPr="001366B4">
        <w:rPr>
          <w:noProof/>
          <w:webHidden/>
        </w:rPr>
        <w:t>8</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2.2.1.</w:t>
      </w:r>
      <w:r w:rsidRPr="001366B4">
        <w:rPr>
          <w:noProof/>
        </w:rPr>
        <w:tab/>
        <w:t>Begrundelse for den/de foreslåede budgetgennemførelsesmetode(r), finansieringsmekanisme(r), betalingsvilkår og kontrolstrategi</w:t>
      </w:r>
      <w:r w:rsidRPr="001366B4">
        <w:rPr>
          <w:noProof/>
        </w:rPr>
        <w:tab/>
      </w:r>
      <w:r w:rsidRPr="001366B4">
        <w:rPr>
          <w:noProof/>
          <w:webHidden/>
        </w:rPr>
        <w:t>8</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2.2.2.</w:t>
      </w:r>
      <w:r w:rsidRPr="001366B4">
        <w:rPr>
          <w:noProof/>
        </w:rPr>
        <w:tab/>
        <w:t>Oplysninger om de konstaterede risici og det/de interne kontrolsystem(er), der etableres for at afbøde dem</w:t>
      </w:r>
      <w:r w:rsidRPr="001366B4">
        <w:rPr>
          <w:noProof/>
        </w:rPr>
        <w:tab/>
      </w:r>
      <w:r w:rsidRPr="001366B4">
        <w:rPr>
          <w:noProof/>
          <w:webHidden/>
        </w:rPr>
        <w:t>8</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2.2.3.</w:t>
      </w:r>
      <w:r w:rsidRPr="001366B4">
        <w:rPr>
          <w:noProof/>
        </w:rPr>
        <w:tab/>
        <w:t>Vurdering af og begrundelse for kontrolforanstaltningernes omkostningseffektivitet (forholdet mellem kontrolomkostningerne og værdien af de forvaltede midler) samt vurdering af den forventede risiko for fejl (ved betaling og ved afslutning)</w:t>
      </w:r>
      <w:r w:rsidRPr="001366B4">
        <w:rPr>
          <w:noProof/>
        </w:rPr>
        <w:tab/>
      </w:r>
      <w:r w:rsidRPr="001366B4">
        <w:rPr>
          <w:noProof/>
          <w:webHidden/>
        </w:rPr>
        <w:t>8</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2.3.</w:t>
      </w:r>
      <w:r w:rsidRPr="001366B4">
        <w:rPr>
          <w:noProof/>
        </w:rPr>
        <w:tab/>
        <w:t>Foranstaltninger til forebyggelse af svig og uregelmæssigheder</w:t>
      </w:r>
      <w:r w:rsidRPr="001366B4">
        <w:rPr>
          <w:noProof/>
        </w:rPr>
        <w:tab/>
      </w:r>
      <w:r w:rsidRPr="001366B4">
        <w:rPr>
          <w:noProof/>
          <w:webHidden/>
        </w:rPr>
        <w:t>9</w:t>
      </w:r>
    </w:p>
    <w:p w:rsidR="00693ED0" w:rsidRPr="001366B4" w:rsidRDefault="00693ED0" w:rsidP="00693ED0">
      <w:pPr>
        <w:pStyle w:val="TOC1"/>
        <w:rPr>
          <w:rFonts w:asciiTheme="minorHAnsi" w:eastAsiaTheme="minorEastAsia" w:hAnsiTheme="minorHAnsi" w:cstheme="minorBidi"/>
          <w:noProof/>
          <w:kern w:val="2"/>
          <w:sz w:val="22"/>
          <w14:ligatures w14:val="standardContextual"/>
        </w:rPr>
      </w:pPr>
      <w:r w:rsidRPr="001366B4">
        <w:rPr>
          <w:noProof/>
        </w:rPr>
        <w:t>3.</w:t>
      </w:r>
      <w:r w:rsidRPr="001366B4">
        <w:rPr>
          <w:noProof/>
        </w:rPr>
        <w:tab/>
        <w:t>FORSLAGETS/INITIATIVETS ANSLÅEDE FINANSIELLE VIRKNINGER</w:t>
      </w:r>
      <w:r w:rsidRPr="001366B4">
        <w:rPr>
          <w:noProof/>
        </w:rPr>
        <w:tab/>
      </w:r>
      <w:r w:rsidRPr="001366B4">
        <w:rPr>
          <w:noProof/>
          <w:webHidden/>
        </w:rPr>
        <w:t>10</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3.1.</w:t>
      </w:r>
      <w:r w:rsidRPr="001366B4">
        <w:rPr>
          <w:noProof/>
        </w:rPr>
        <w:tab/>
        <w:t>Berørt(e) udgiftsområde(r)</w:t>
      </w:r>
      <w:r w:rsidR="00A87ED6" w:rsidRPr="001366B4">
        <w:rPr>
          <w:noProof/>
        </w:rPr>
        <w:t xml:space="preserve"> i den</w:t>
      </w:r>
      <w:r w:rsidRPr="001366B4">
        <w:rPr>
          <w:noProof/>
        </w:rPr>
        <w:t xml:space="preserve"> flerårige finansielle ramme og udgiftspost(er) på budgettet</w:t>
      </w:r>
      <w:r w:rsidRPr="001366B4">
        <w:rPr>
          <w:noProof/>
        </w:rPr>
        <w:tab/>
      </w:r>
      <w:r w:rsidRPr="001366B4">
        <w:rPr>
          <w:noProof/>
          <w:webHidden/>
        </w:rPr>
        <w:t>10</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3.2.</w:t>
      </w:r>
      <w:r w:rsidRPr="001366B4">
        <w:rPr>
          <w:noProof/>
        </w:rPr>
        <w:tab/>
        <w:t>Forslagets anslåede finansielle virkninger for bevillingerne</w:t>
      </w:r>
      <w:r w:rsidRPr="001366B4">
        <w:rPr>
          <w:noProof/>
        </w:rPr>
        <w:tab/>
      </w:r>
      <w:r w:rsidRPr="001366B4">
        <w:rPr>
          <w:noProof/>
          <w:webHidden/>
        </w:rPr>
        <w:t>12</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3.2.1.</w:t>
      </w:r>
      <w:r w:rsidRPr="001366B4">
        <w:rPr>
          <w:noProof/>
        </w:rPr>
        <w:tab/>
        <w:t>Sammenfatning af de anslåede virkninger for aktionsbevillingerne</w:t>
      </w:r>
      <w:r w:rsidRPr="001366B4">
        <w:rPr>
          <w:noProof/>
        </w:rPr>
        <w:tab/>
      </w:r>
      <w:r w:rsidRPr="001366B4">
        <w:rPr>
          <w:noProof/>
          <w:webHidden/>
        </w:rPr>
        <w:t>12</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3.2.1.1.</w:t>
      </w:r>
      <w:r w:rsidRPr="001366B4">
        <w:rPr>
          <w:noProof/>
        </w:rPr>
        <w:tab/>
        <w:t>Bevillinger fra vedtaget budget</w:t>
      </w:r>
      <w:r w:rsidRPr="001366B4">
        <w:rPr>
          <w:noProof/>
        </w:rPr>
        <w:tab/>
      </w:r>
      <w:r w:rsidRPr="001366B4">
        <w:rPr>
          <w:noProof/>
          <w:webHidden/>
        </w:rPr>
        <w:t>12</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3.2.1.2.</w:t>
      </w:r>
      <w:r w:rsidRPr="001366B4">
        <w:rPr>
          <w:noProof/>
        </w:rPr>
        <w:tab/>
        <w:t>Bevillinger fra eksterne formålsbestemte indtægter</w:t>
      </w:r>
      <w:r w:rsidRPr="001366B4">
        <w:rPr>
          <w:noProof/>
        </w:rPr>
        <w:tab/>
      </w:r>
      <w:r w:rsidRPr="001366B4">
        <w:rPr>
          <w:noProof/>
          <w:webHidden/>
        </w:rPr>
        <w:t>17</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3.2.2.</w:t>
      </w:r>
      <w:r w:rsidRPr="001366B4">
        <w:rPr>
          <w:noProof/>
        </w:rPr>
        <w:tab/>
        <w:t>Anslåede resultater finansieret med aktionsbevillinger</w:t>
      </w:r>
      <w:r w:rsidRPr="001366B4">
        <w:rPr>
          <w:noProof/>
        </w:rPr>
        <w:tab/>
      </w:r>
      <w:r w:rsidRPr="001366B4">
        <w:rPr>
          <w:noProof/>
          <w:webHidden/>
        </w:rPr>
        <w:t>22</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3.2.3.</w:t>
      </w:r>
      <w:r w:rsidRPr="001366B4">
        <w:rPr>
          <w:noProof/>
        </w:rPr>
        <w:tab/>
        <w:t>Sammenfatning af de anslåede virkninger for administrationsbevillingerne</w:t>
      </w:r>
      <w:r w:rsidRPr="001366B4">
        <w:rPr>
          <w:noProof/>
        </w:rPr>
        <w:tab/>
      </w:r>
      <w:r w:rsidRPr="001366B4">
        <w:rPr>
          <w:noProof/>
          <w:webHidden/>
        </w:rPr>
        <w:t>24</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3.2.3.1. Bevillinger fra vedtaget budget</w:t>
      </w:r>
      <w:r w:rsidRPr="001366B4">
        <w:rPr>
          <w:noProof/>
        </w:rPr>
        <w:tab/>
      </w:r>
      <w:r w:rsidRPr="001366B4">
        <w:rPr>
          <w:noProof/>
          <w:webHidden/>
        </w:rPr>
        <w:t>24</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3.2.3.2.</w:t>
      </w:r>
      <w:r w:rsidRPr="001366B4">
        <w:rPr>
          <w:noProof/>
        </w:rPr>
        <w:tab/>
        <w:t>Bevillinger fra eksterne formålsbestemte indtægter</w:t>
      </w:r>
      <w:r w:rsidRPr="001366B4">
        <w:rPr>
          <w:noProof/>
        </w:rPr>
        <w:tab/>
      </w:r>
      <w:r w:rsidRPr="001366B4">
        <w:rPr>
          <w:noProof/>
          <w:webHidden/>
        </w:rPr>
        <w:t>24</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3.2.3.3.</w:t>
      </w:r>
      <w:r w:rsidRPr="001366B4">
        <w:rPr>
          <w:noProof/>
        </w:rPr>
        <w:tab/>
        <w:t>Bevillinger</w:t>
      </w:r>
      <w:r w:rsidR="00A87ED6" w:rsidRPr="001366B4">
        <w:rPr>
          <w:noProof/>
        </w:rPr>
        <w:t xml:space="preserve"> i alt</w:t>
      </w:r>
      <w:r w:rsidRPr="001366B4">
        <w:rPr>
          <w:noProof/>
        </w:rPr>
        <w:tab/>
      </w:r>
      <w:r w:rsidRPr="001366B4">
        <w:rPr>
          <w:noProof/>
          <w:webHidden/>
        </w:rPr>
        <w:t>24</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3.2.4.</w:t>
      </w:r>
      <w:r w:rsidRPr="001366B4">
        <w:rPr>
          <w:noProof/>
        </w:rPr>
        <w:tab/>
        <w:t>Anslået behov for menneskelige ressourcer</w:t>
      </w:r>
      <w:r w:rsidRPr="001366B4">
        <w:rPr>
          <w:noProof/>
        </w:rPr>
        <w:tab/>
      </w:r>
      <w:r w:rsidRPr="001366B4">
        <w:rPr>
          <w:noProof/>
          <w:webHidden/>
        </w:rPr>
        <w:t>25</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3.2.4.1.</w:t>
      </w:r>
      <w:r w:rsidRPr="001366B4">
        <w:rPr>
          <w:noProof/>
        </w:rPr>
        <w:tab/>
        <w:t>Finansieret over vedtaget budget</w:t>
      </w:r>
      <w:r w:rsidRPr="001366B4">
        <w:rPr>
          <w:noProof/>
        </w:rPr>
        <w:tab/>
      </w:r>
      <w:r w:rsidRPr="001366B4">
        <w:rPr>
          <w:noProof/>
          <w:webHidden/>
        </w:rPr>
        <w:t>25</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3.2.4.2.</w:t>
      </w:r>
      <w:r w:rsidRPr="001366B4">
        <w:rPr>
          <w:noProof/>
        </w:rPr>
        <w:tab/>
        <w:t>Finansieret over eksterne formålsbestemte indtægter</w:t>
      </w:r>
      <w:r w:rsidRPr="001366B4">
        <w:rPr>
          <w:noProof/>
        </w:rPr>
        <w:tab/>
      </w:r>
      <w:r w:rsidRPr="001366B4">
        <w:rPr>
          <w:noProof/>
          <w:webHidden/>
        </w:rPr>
        <w:t>26</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3.2.4.3.</w:t>
      </w:r>
      <w:r w:rsidRPr="001366B4">
        <w:rPr>
          <w:noProof/>
        </w:rPr>
        <w:tab/>
        <w:t>Samlet behov for menneskelige ressourcer</w:t>
      </w:r>
      <w:r w:rsidRPr="001366B4">
        <w:rPr>
          <w:noProof/>
        </w:rPr>
        <w:tab/>
      </w:r>
      <w:r w:rsidRPr="001366B4">
        <w:rPr>
          <w:noProof/>
          <w:webHidden/>
        </w:rPr>
        <w:t>26</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3.2.5.</w:t>
      </w:r>
      <w:r w:rsidRPr="001366B4">
        <w:rPr>
          <w:noProof/>
        </w:rPr>
        <w:tab/>
        <w:t>Oversigt over de anslåede virkninger for de digitale teknologirelaterede investeringer</w:t>
      </w:r>
      <w:r w:rsidR="00D312C0">
        <w:rPr>
          <w:noProof/>
        </w:rPr>
        <w:tab/>
      </w:r>
      <w:r w:rsidR="00D312C0">
        <w:rPr>
          <w:noProof/>
        </w:rPr>
        <w:br/>
      </w:r>
      <w:r w:rsidRPr="001366B4">
        <w:rPr>
          <w:noProof/>
        </w:rPr>
        <w:tab/>
      </w:r>
      <w:r w:rsidRPr="001366B4">
        <w:rPr>
          <w:noProof/>
          <w:webHidden/>
        </w:rPr>
        <w:t>28</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3.2.6.</w:t>
      </w:r>
      <w:r w:rsidRPr="001366B4">
        <w:rPr>
          <w:noProof/>
        </w:rPr>
        <w:tab/>
        <w:t>Forenelighed med indeværende flerårige finansielle ramme</w:t>
      </w:r>
      <w:r w:rsidRPr="001366B4">
        <w:rPr>
          <w:noProof/>
        </w:rPr>
        <w:tab/>
      </w:r>
      <w:r w:rsidRPr="001366B4">
        <w:rPr>
          <w:noProof/>
          <w:webHidden/>
        </w:rPr>
        <w:t>28</w:t>
      </w:r>
    </w:p>
    <w:p w:rsidR="00693ED0" w:rsidRPr="001366B4" w:rsidRDefault="00693ED0" w:rsidP="00693ED0">
      <w:pPr>
        <w:pStyle w:val="TOC3"/>
        <w:rPr>
          <w:rFonts w:asciiTheme="minorHAnsi" w:eastAsiaTheme="minorEastAsia" w:hAnsiTheme="minorHAnsi" w:cstheme="minorBidi"/>
          <w:noProof/>
          <w:kern w:val="2"/>
          <w:sz w:val="22"/>
          <w14:ligatures w14:val="standardContextual"/>
        </w:rPr>
      </w:pPr>
      <w:r w:rsidRPr="001366B4">
        <w:rPr>
          <w:noProof/>
        </w:rPr>
        <w:t>3.2.7.</w:t>
      </w:r>
      <w:r w:rsidRPr="001366B4">
        <w:rPr>
          <w:noProof/>
        </w:rPr>
        <w:tab/>
        <w:t>Bidrag fra tredjemand</w:t>
      </w:r>
      <w:r w:rsidRPr="001366B4">
        <w:rPr>
          <w:noProof/>
        </w:rPr>
        <w:tab/>
      </w:r>
      <w:r w:rsidRPr="001366B4">
        <w:rPr>
          <w:noProof/>
          <w:webHidden/>
        </w:rPr>
        <w:t>28</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3.3.</w:t>
      </w:r>
      <w:r w:rsidRPr="001366B4">
        <w:rPr>
          <w:noProof/>
        </w:rPr>
        <w:tab/>
        <w:t>Anslåede virkninger for indtægterne</w:t>
      </w:r>
      <w:r w:rsidRPr="001366B4">
        <w:rPr>
          <w:noProof/>
        </w:rPr>
        <w:tab/>
      </w:r>
      <w:r w:rsidRPr="001366B4">
        <w:rPr>
          <w:noProof/>
          <w:webHidden/>
        </w:rPr>
        <w:t>29</w:t>
      </w:r>
    </w:p>
    <w:p w:rsidR="00693ED0" w:rsidRPr="001366B4" w:rsidRDefault="00693ED0" w:rsidP="00693ED0">
      <w:pPr>
        <w:pStyle w:val="TOC1"/>
        <w:rPr>
          <w:rFonts w:asciiTheme="minorHAnsi" w:eastAsiaTheme="minorEastAsia" w:hAnsiTheme="minorHAnsi" w:cstheme="minorBidi"/>
          <w:noProof/>
          <w:kern w:val="2"/>
          <w:sz w:val="22"/>
          <w14:ligatures w14:val="standardContextual"/>
        </w:rPr>
      </w:pPr>
      <w:r w:rsidRPr="001366B4">
        <w:rPr>
          <w:noProof/>
        </w:rPr>
        <w:t>4.</w:t>
      </w:r>
      <w:r w:rsidRPr="001366B4">
        <w:rPr>
          <w:noProof/>
        </w:rPr>
        <w:tab/>
      </w:r>
      <w:r w:rsidRPr="001366B4">
        <w:rPr>
          <w:caps/>
          <w:noProof/>
        </w:rPr>
        <w:t>Digitale dimensioner</w:t>
      </w:r>
      <w:r w:rsidRPr="001366B4">
        <w:rPr>
          <w:noProof/>
        </w:rPr>
        <w:tab/>
      </w:r>
      <w:r w:rsidRPr="001366B4">
        <w:rPr>
          <w:noProof/>
          <w:webHidden/>
        </w:rPr>
        <w:t>29</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4.1.</w:t>
      </w:r>
      <w:r w:rsidRPr="001366B4">
        <w:rPr>
          <w:noProof/>
        </w:rPr>
        <w:tab/>
        <w:t>Krav vedrørende digital relevans</w:t>
      </w:r>
      <w:r w:rsidRPr="001366B4">
        <w:rPr>
          <w:noProof/>
        </w:rPr>
        <w:tab/>
      </w:r>
      <w:r w:rsidRPr="001366B4">
        <w:rPr>
          <w:noProof/>
          <w:webHidden/>
        </w:rPr>
        <w:t>30</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4.2.</w:t>
      </w:r>
      <w:r w:rsidRPr="001366B4">
        <w:rPr>
          <w:noProof/>
        </w:rPr>
        <w:tab/>
        <w:t>Data</w:t>
      </w:r>
      <w:r w:rsidRPr="001366B4">
        <w:rPr>
          <w:noProof/>
        </w:rPr>
        <w:tab/>
      </w:r>
      <w:r w:rsidRPr="001366B4">
        <w:rPr>
          <w:noProof/>
          <w:webHidden/>
        </w:rPr>
        <w:t>30</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4.3.</w:t>
      </w:r>
      <w:r w:rsidRPr="001366B4">
        <w:rPr>
          <w:noProof/>
        </w:rPr>
        <w:tab/>
        <w:t>Digitale løsninger</w:t>
      </w:r>
      <w:r w:rsidRPr="001366B4">
        <w:rPr>
          <w:noProof/>
        </w:rPr>
        <w:tab/>
      </w:r>
      <w:r w:rsidRPr="001366B4">
        <w:rPr>
          <w:noProof/>
          <w:webHidden/>
        </w:rPr>
        <w:t>31</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4.4.</w:t>
      </w:r>
      <w:r w:rsidRPr="001366B4">
        <w:rPr>
          <w:noProof/>
        </w:rPr>
        <w:tab/>
        <w:t>Vurdering af interoperabilitet</w:t>
      </w:r>
      <w:r w:rsidRPr="001366B4">
        <w:rPr>
          <w:noProof/>
        </w:rPr>
        <w:tab/>
      </w:r>
      <w:r w:rsidRPr="001366B4">
        <w:rPr>
          <w:noProof/>
          <w:webHidden/>
        </w:rPr>
        <w:t>31</w:t>
      </w:r>
    </w:p>
    <w:p w:rsidR="00693ED0" w:rsidRPr="001366B4" w:rsidRDefault="00693ED0" w:rsidP="00693ED0">
      <w:pPr>
        <w:pStyle w:val="TOC2"/>
        <w:rPr>
          <w:rFonts w:asciiTheme="minorHAnsi" w:eastAsiaTheme="minorEastAsia" w:hAnsiTheme="minorHAnsi" w:cstheme="minorBidi"/>
          <w:noProof/>
          <w:kern w:val="2"/>
          <w:sz w:val="22"/>
          <w14:ligatures w14:val="standardContextual"/>
        </w:rPr>
      </w:pPr>
      <w:r w:rsidRPr="001366B4">
        <w:rPr>
          <w:noProof/>
        </w:rPr>
        <w:t>4.5.</w:t>
      </w:r>
      <w:r w:rsidRPr="001366B4">
        <w:rPr>
          <w:noProof/>
        </w:rPr>
        <w:tab/>
        <w:t>Foranstaltninger til støtte for digital gennemførelse</w:t>
      </w:r>
      <w:r w:rsidRPr="001366B4">
        <w:rPr>
          <w:noProof/>
        </w:rPr>
        <w:tab/>
      </w:r>
      <w:r w:rsidRPr="001366B4">
        <w:rPr>
          <w:noProof/>
          <w:webHidden/>
        </w:rPr>
        <w:t>32</w:t>
      </w:r>
    </w:p>
    <w:p w:rsidR="00693ED0" w:rsidRPr="001366B4" w:rsidRDefault="00693ED0" w:rsidP="00693ED0">
      <w:pPr>
        <w:pStyle w:val="TOC1"/>
        <w:ind w:left="0" w:firstLine="0"/>
        <w:rPr>
          <w:noProof/>
        </w:rPr>
        <w:sectPr w:rsidR="00693ED0" w:rsidRPr="001366B4" w:rsidSect="0029466A">
          <w:pgSz w:w="11907" w:h="16840" w:code="9"/>
          <w:pgMar w:top="1134" w:right="1418" w:bottom="1134" w:left="1418" w:header="709" w:footer="709" w:gutter="0"/>
          <w:pgNumType w:start="1"/>
          <w:cols w:space="720"/>
          <w:docGrid w:linePitch="360"/>
        </w:sectPr>
      </w:pPr>
    </w:p>
    <w:p w:rsidR="00693ED0" w:rsidRPr="001366B4" w:rsidRDefault="00693ED0" w:rsidP="00693ED0">
      <w:pPr>
        <w:pStyle w:val="ManualHeading1"/>
        <w:rPr>
          <w:noProof/>
        </w:rPr>
      </w:pPr>
      <w:bookmarkStart w:id="6" w:name="_Toc514938007"/>
      <w:bookmarkStart w:id="7" w:name="_Toc520485025"/>
      <w:bookmarkStart w:id="8" w:name="_Toc160804567"/>
      <w:bookmarkStart w:id="9" w:name="_Toc167220259"/>
      <w:bookmarkStart w:id="10" w:name="_Toc177548992"/>
      <w:r w:rsidRPr="001366B4">
        <w:rPr>
          <w:noProof/>
        </w:rPr>
        <w:t>1.</w:t>
      </w:r>
      <w:r w:rsidRPr="001366B4">
        <w:rPr>
          <w:noProof/>
        </w:rPr>
        <w:tab/>
        <w:t>FORSLAGETS/INITIATIVETS RAMME</w:t>
      </w:r>
      <w:bookmarkEnd w:id="6"/>
      <w:bookmarkEnd w:id="7"/>
      <w:bookmarkEnd w:id="8"/>
      <w:bookmarkEnd w:id="9"/>
      <w:bookmarkEnd w:id="10"/>
      <w:r w:rsidRPr="001366B4">
        <w:rPr>
          <w:noProof/>
        </w:rPr>
        <w:t xml:space="preserve"> </w:t>
      </w:r>
    </w:p>
    <w:p w:rsidR="00693ED0" w:rsidRPr="001366B4" w:rsidRDefault="00693ED0" w:rsidP="00693ED0">
      <w:pPr>
        <w:pStyle w:val="ManualHeading2"/>
        <w:rPr>
          <w:noProof/>
        </w:rPr>
      </w:pPr>
      <w:bookmarkStart w:id="11" w:name="_Toc514938008"/>
      <w:bookmarkStart w:id="12" w:name="_Toc520485026"/>
      <w:bookmarkStart w:id="13" w:name="_Toc160804568"/>
      <w:bookmarkStart w:id="14" w:name="_Toc167220260"/>
      <w:bookmarkStart w:id="15" w:name="_Toc177548993"/>
      <w:r w:rsidRPr="001366B4">
        <w:rPr>
          <w:noProof/>
        </w:rPr>
        <w:t>1.1.</w:t>
      </w:r>
      <w:r w:rsidRPr="001366B4">
        <w:rPr>
          <w:noProof/>
        </w:rPr>
        <w:tab/>
        <w:t>Forslagets/initiativets betegnelse</w:t>
      </w:r>
      <w:bookmarkEnd w:id="11"/>
      <w:bookmarkEnd w:id="12"/>
      <w:bookmarkEnd w:id="13"/>
      <w:bookmarkEnd w:id="14"/>
      <w:bookmarkEnd w:id="15"/>
    </w:p>
    <w:p w:rsidR="00693ED0" w:rsidRPr="001366B4" w:rsidRDefault="00CE5824" w:rsidP="00CE5824">
      <w:pPr>
        <w:pStyle w:val="Text1"/>
        <w:pBdr>
          <w:top w:val="single" w:sz="4" w:space="1" w:color="auto"/>
          <w:left w:val="single" w:sz="4" w:space="4" w:color="auto"/>
          <w:bottom w:val="single" w:sz="4" w:space="1" w:color="auto"/>
          <w:right w:val="single" w:sz="4" w:space="4" w:color="auto"/>
        </w:pBdr>
        <w:rPr>
          <w:noProof/>
        </w:rPr>
      </w:pPr>
      <w:r w:rsidRPr="001366B4">
        <w:rPr>
          <w:noProof/>
        </w:rPr>
        <w:t xml:space="preserve">Forslag til Europa-Parlamentets og Rådets forordning om ændring af forordning (EU) 2024/1348 for så vidt angår anvendelsen af begrebet "sikkert tredjeland". </w:t>
      </w:r>
    </w:p>
    <w:p w:rsidR="00693ED0" w:rsidRPr="001366B4" w:rsidRDefault="00693ED0" w:rsidP="00693ED0">
      <w:pPr>
        <w:pStyle w:val="ManualHeading2"/>
        <w:rPr>
          <w:i/>
          <w:noProof/>
        </w:rPr>
      </w:pPr>
      <w:bookmarkStart w:id="16" w:name="_Toc514938011"/>
      <w:bookmarkStart w:id="17" w:name="_Toc520485027"/>
      <w:bookmarkStart w:id="18" w:name="_Toc160804569"/>
      <w:bookmarkStart w:id="19" w:name="_Toc167220261"/>
      <w:bookmarkStart w:id="20" w:name="_Toc177548994"/>
      <w:r w:rsidRPr="001366B4">
        <w:rPr>
          <w:noProof/>
        </w:rPr>
        <w:t>1.2.</w:t>
      </w:r>
      <w:r w:rsidRPr="001366B4">
        <w:rPr>
          <w:noProof/>
        </w:rPr>
        <w:tab/>
        <w:t>Berørt(e) politikområde(r)</w:t>
      </w:r>
      <w:bookmarkEnd w:id="16"/>
      <w:bookmarkEnd w:id="17"/>
      <w:bookmarkEnd w:id="18"/>
      <w:bookmarkEnd w:id="19"/>
      <w:bookmarkEnd w:id="20"/>
      <w:r w:rsidRPr="001366B4">
        <w:rPr>
          <w:i/>
          <w:noProof/>
        </w:rPr>
        <w:t xml:space="preserve"> </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Asyl</w:t>
      </w:r>
    </w:p>
    <w:p w:rsidR="00693ED0" w:rsidRPr="001366B4" w:rsidRDefault="00693ED0" w:rsidP="00693ED0">
      <w:pPr>
        <w:pStyle w:val="ManualHeading2"/>
        <w:rPr>
          <w:noProof/>
        </w:rPr>
      </w:pPr>
      <w:bookmarkStart w:id="21" w:name="_Toc514938015"/>
      <w:bookmarkStart w:id="22" w:name="_Toc520485029"/>
      <w:bookmarkStart w:id="23" w:name="_Toc160804571"/>
      <w:bookmarkStart w:id="24" w:name="_Toc167220263"/>
      <w:bookmarkStart w:id="25" w:name="_Toc177548995"/>
      <w:r w:rsidRPr="001366B4">
        <w:rPr>
          <w:noProof/>
        </w:rPr>
        <w:t>1.3.</w:t>
      </w:r>
      <w:r w:rsidRPr="001366B4">
        <w:rPr>
          <w:noProof/>
        </w:rPr>
        <w:tab/>
        <w:t>Mål</w:t>
      </w:r>
      <w:bookmarkEnd w:id="21"/>
      <w:bookmarkEnd w:id="22"/>
      <w:bookmarkEnd w:id="23"/>
      <w:bookmarkEnd w:id="24"/>
      <w:bookmarkEnd w:id="25"/>
    </w:p>
    <w:p w:rsidR="00693ED0" w:rsidRPr="001366B4" w:rsidRDefault="00693ED0" w:rsidP="00693ED0">
      <w:pPr>
        <w:pStyle w:val="ManualHeading3"/>
        <w:rPr>
          <w:noProof/>
        </w:rPr>
      </w:pPr>
      <w:bookmarkStart w:id="26" w:name="_Toc514938016"/>
      <w:bookmarkStart w:id="27" w:name="_Toc520485030"/>
      <w:bookmarkStart w:id="28" w:name="_Toc160804572"/>
      <w:bookmarkStart w:id="29" w:name="_Toc167220264"/>
      <w:bookmarkStart w:id="30" w:name="_Toc177548996"/>
      <w:r w:rsidRPr="001366B4">
        <w:rPr>
          <w:noProof/>
        </w:rPr>
        <w:t>1.3.1.</w:t>
      </w:r>
      <w:r w:rsidRPr="001366B4">
        <w:rPr>
          <w:noProof/>
        </w:rPr>
        <w:tab/>
        <w:t>Generelt/generelle mål</w:t>
      </w:r>
      <w:bookmarkEnd w:id="26"/>
      <w:bookmarkEnd w:id="27"/>
      <w:bookmarkEnd w:id="28"/>
      <w:bookmarkEnd w:id="29"/>
      <w:bookmarkEnd w:id="30"/>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31" w:name="_Toc514938018"/>
      <w:bookmarkStart w:id="32" w:name="_Toc520485031"/>
      <w:bookmarkStart w:id="33" w:name="_Toc160804573"/>
      <w:bookmarkStart w:id="34" w:name="_Toc167220265"/>
      <w:bookmarkStart w:id="35" w:name="_Toc177548997"/>
      <w:r w:rsidRPr="001366B4">
        <w:rPr>
          <w:noProof/>
        </w:rPr>
        <w:t>Dette forslag opfylder kravet</w:t>
      </w:r>
      <w:r w:rsidR="00A87ED6" w:rsidRPr="001366B4">
        <w:rPr>
          <w:noProof/>
        </w:rPr>
        <w:t xml:space="preserve"> i for</w:t>
      </w:r>
      <w:r w:rsidRPr="001366B4">
        <w:rPr>
          <w:noProof/>
        </w:rPr>
        <w:t xml:space="preserve">ordning (EU) 2024/1348 om asylproceduren om, at Kommissionen skal evaluere begrebet sikkert tredjeland og, hvor det er relevant, foreslå målrettede ændringer for at lette anvendelsen heraf. Det har til formål at styrke anvendelsen af begrebet sikkert tredjeland i EU's asylramme. </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I overensstemmelse med pagten om migration og asyl styrker dette forslag partnerskabsbaseret samarbejde med tredjelande og sikrer, at aftaler og ordninger knyttet til begrebet sikkert tredjeland er gensidigt fordelagtige, opretholder principperne om ansvarsdeling og fuldt ud respekterer de grundlæggende rettigheder. Ved at imødekomme beskyttelsesbehov og sikre overholdelse af internationale forpligtelser bidrager forslaget endvidere til EU's forpligtelser</w:t>
      </w:r>
      <w:r w:rsidR="00A87ED6" w:rsidRPr="001366B4">
        <w:rPr>
          <w:noProof/>
        </w:rPr>
        <w:t xml:space="preserve"> i hen</w:t>
      </w:r>
      <w:r w:rsidRPr="001366B4">
        <w:rPr>
          <w:noProof/>
        </w:rPr>
        <w:t>hold til den globale flygtningeaftale.</w:t>
      </w:r>
    </w:p>
    <w:p w:rsidR="00693ED0" w:rsidRPr="001366B4" w:rsidRDefault="00693ED0" w:rsidP="00693ED0">
      <w:pPr>
        <w:pStyle w:val="ManualHeading3"/>
        <w:rPr>
          <w:noProof/>
        </w:rPr>
      </w:pPr>
      <w:r w:rsidRPr="001366B4">
        <w:rPr>
          <w:noProof/>
        </w:rPr>
        <w:t>1.3.2.</w:t>
      </w:r>
      <w:r w:rsidRPr="001366B4">
        <w:rPr>
          <w:noProof/>
        </w:rPr>
        <w:tab/>
        <w:t>Specifikt/specifikke mål</w:t>
      </w:r>
      <w:bookmarkEnd w:id="31"/>
      <w:bookmarkEnd w:id="32"/>
      <w:bookmarkEnd w:id="33"/>
      <w:bookmarkEnd w:id="34"/>
      <w:bookmarkEnd w:id="35"/>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u w:val="single"/>
        </w:rPr>
      </w:pPr>
      <w:r w:rsidRPr="001366B4">
        <w:rPr>
          <w:noProof/>
          <w:u w:val="single"/>
        </w:rPr>
        <w:t>Specifikt mål nr.</w:t>
      </w:r>
      <w:r w:rsidR="00A87ED6" w:rsidRPr="001366B4">
        <w:rPr>
          <w:noProof/>
          <w:u w:val="single"/>
        </w:rPr>
        <w:t> </w:t>
      </w:r>
      <w:r w:rsidRPr="001366B4">
        <w:rPr>
          <w:noProof/>
          <w:u w:val="single"/>
        </w:rPr>
        <w:t>1</w:t>
      </w:r>
    </w:p>
    <w:p w:rsidR="00693ED0" w:rsidRPr="001366B4" w:rsidRDefault="00693ED0" w:rsidP="006D513D">
      <w:pPr>
        <w:pStyle w:val="Text1"/>
        <w:pBdr>
          <w:top w:val="single" w:sz="4" w:space="1" w:color="auto"/>
          <w:left w:val="single" w:sz="4" w:space="4" w:color="auto"/>
          <w:bottom w:val="single" w:sz="4" w:space="1" w:color="auto"/>
          <w:right w:val="single" w:sz="4" w:space="4" w:color="auto"/>
        </w:pBdr>
        <w:rPr>
          <w:noProof/>
        </w:rPr>
      </w:pPr>
      <w:bookmarkStart w:id="36" w:name="_Toc514938019"/>
      <w:bookmarkStart w:id="37" w:name="_Toc520485032"/>
      <w:bookmarkStart w:id="38" w:name="_Toc160804574"/>
      <w:bookmarkStart w:id="39" w:name="_Toc167220266"/>
      <w:bookmarkStart w:id="40" w:name="_Toc177548998"/>
      <w:r w:rsidRPr="001366B4">
        <w:rPr>
          <w:noProof/>
        </w:rPr>
        <w:t xml:space="preserve">Det første mål med dette forslag er at foretage målrettede ændringer af forordning (EU) 2024/1348 om asylprocedurer for at lette medlemsstaternes anvendelse af begrebet sikkert tredjeland. </w:t>
      </w:r>
    </w:p>
    <w:p w:rsidR="00693ED0" w:rsidRPr="001366B4" w:rsidRDefault="00693ED0" w:rsidP="00693ED0">
      <w:pPr>
        <w:pStyle w:val="ManualHeading3"/>
        <w:rPr>
          <w:noProof/>
        </w:rPr>
      </w:pPr>
      <w:r w:rsidRPr="001366B4">
        <w:rPr>
          <w:noProof/>
        </w:rPr>
        <w:t>1.3.3.</w:t>
      </w:r>
      <w:r w:rsidRPr="001366B4">
        <w:rPr>
          <w:noProof/>
        </w:rPr>
        <w:tab/>
        <w:t>Forventet/forventede resultat(er) og virkning(er)</w:t>
      </w:r>
      <w:bookmarkEnd w:id="36"/>
      <w:bookmarkEnd w:id="37"/>
      <w:bookmarkEnd w:id="38"/>
      <w:bookmarkEnd w:id="39"/>
      <w:bookmarkEnd w:id="40"/>
    </w:p>
    <w:p w:rsidR="00693ED0" w:rsidRPr="001366B4" w:rsidRDefault="00693ED0" w:rsidP="00693ED0">
      <w:pPr>
        <w:pStyle w:val="Text1"/>
        <w:rPr>
          <w:i/>
          <w:noProof/>
          <w:sz w:val="20"/>
        </w:rPr>
      </w:pPr>
      <w:r w:rsidRPr="001366B4">
        <w:rPr>
          <w:i/>
          <w:noProof/>
          <w:sz w:val="20"/>
        </w:rPr>
        <w:t>Angiv, hvilke virkninger forslaget/initiativet forventes at få for modtagerne/målgrupperne.</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1" w:name="_Toc514938023"/>
      <w:bookmarkStart w:id="42" w:name="_Toc520485033"/>
      <w:bookmarkStart w:id="43" w:name="_Toc160804575"/>
      <w:bookmarkStart w:id="44" w:name="_Toc167220267"/>
      <w:bookmarkStart w:id="45" w:name="_Toc177548999"/>
      <w:r w:rsidRPr="001366B4">
        <w:rPr>
          <w:noProof/>
        </w:rPr>
        <w:t>1.</w:t>
      </w:r>
      <w:r w:rsidRPr="001366B4">
        <w:rPr>
          <w:noProof/>
        </w:rPr>
        <w:tab/>
        <w:t>Forbedre den juridiske klarhed og sammenhæng</w:t>
      </w:r>
      <w:r w:rsidR="00A87ED6" w:rsidRPr="001366B4">
        <w:rPr>
          <w:noProof/>
        </w:rPr>
        <w:t xml:space="preserve"> i anv</w:t>
      </w:r>
      <w:r w:rsidRPr="001366B4">
        <w:rPr>
          <w:noProof/>
        </w:rPr>
        <w:t xml:space="preserve">endelsen af begrebet sikkert tredjeland. </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2.</w:t>
      </w:r>
      <w:r w:rsidRPr="001366B4">
        <w:rPr>
          <w:noProof/>
        </w:rPr>
        <w:tab/>
        <w:t>Større fleksibilitet</w:t>
      </w:r>
      <w:r w:rsidR="00A87ED6" w:rsidRPr="001366B4">
        <w:rPr>
          <w:noProof/>
        </w:rPr>
        <w:t xml:space="preserve"> i med</w:t>
      </w:r>
      <w:r w:rsidRPr="001366B4">
        <w:rPr>
          <w:noProof/>
        </w:rPr>
        <w:t xml:space="preserve">lemsstaternes anvendelse af begrebet, samtidig med at det sikres, at internationale forpligtelser og grundlæggende rettigheder overholdes. </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3.</w:t>
      </w:r>
      <w:r w:rsidRPr="001366B4">
        <w:rPr>
          <w:noProof/>
        </w:rPr>
        <w:tab/>
        <w:t>Forbedre asylprocedurernes effektivitet og mindske presset på og misbruget af EU's asylsystemer.</w:t>
      </w:r>
    </w:p>
    <w:p w:rsidR="00693ED0" w:rsidRPr="001366B4" w:rsidRDefault="00693ED0" w:rsidP="00693ED0">
      <w:pPr>
        <w:pStyle w:val="ManualHeading3"/>
        <w:rPr>
          <w:noProof/>
        </w:rPr>
      </w:pPr>
      <w:r w:rsidRPr="001366B4">
        <w:rPr>
          <w:noProof/>
        </w:rPr>
        <w:t>1.3.4.</w:t>
      </w:r>
      <w:r w:rsidRPr="001366B4">
        <w:rPr>
          <w:noProof/>
        </w:rPr>
        <w:tab/>
        <w:t>Resultatindikatorer</w:t>
      </w:r>
      <w:bookmarkEnd w:id="41"/>
      <w:bookmarkEnd w:id="42"/>
      <w:bookmarkEnd w:id="43"/>
      <w:bookmarkEnd w:id="44"/>
      <w:bookmarkEnd w:id="45"/>
    </w:p>
    <w:p w:rsidR="00693ED0" w:rsidRPr="001366B4" w:rsidRDefault="00693ED0" w:rsidP="00693ED0">
      <w:pPr>
        <w:pStyle w:val="Text1"/>
        <w:rPr>
          <w:i/>
          <w:noProof/>
          <w:sz w:val="20"/>
        </w:rPr>
      </w:pPr>
      <w:r w:rsidRPr="001366B4">
        <w:rPr>
          <w:i/>
          <w:noProof/>
          <w:sz w:val="20"/>
        </w:rPr>
        <w:t>Angiv indikatorerne til overvågning af fremskridt og resultater.</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46" w:name="_Toc177549000"/>
      <w:r w:rsidRPr="001366B4">
        <w:rPr>
          <w:noProof/>
        </w:rPr>
        <w:t>Ændringernes indvirkning på følgende:</w:t>
      </w:r>
    </w:p>
    <w:p w:rsidR="008C0BF3" w:rsidRPr="001366B4" w:rsidRDefault="00693ED0"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1366B4">
        <w:rPr>
          <w:noProof/>
        </w:rPr>
        <w:t>1.</w:t>
      </w:r>
      <w:r w:rsidRPr="001366B4">
        <w:rPr>
          <w:noProof/>
        </w:rPr>
        <w:tab/>
        <w:t>antal medlemsstater, der anvender begrebet sikkert tredjeland (på grundlag af forbindelseskriteriet, transitkriteriet eller baseret på aftaler eller ordninger med sikre tredjelande)</w:t>
      </w:r>
    </w:p>
    <w:p w:rsidR="00693ED0" w:rsidRPr="001366B4" w:rsidRDefault="008C0BF3" w:rsidP="008C0BF3">
      <w:pPr>
        <w:pStyle w:val="Text1"/>
        <w:pBdr>
          <w:top w:val="single" w:sz="4" w:space="1" w:color="auto"/>
          <w:left w:val="single" w:sz="4" w:space="4" w:color="auto"/>
          <w:bottom w:val="single" w:sz="4" w:space="1" w:color="auto"/>
          <w:right w:val="single" w:sz="4" w:space="4" w:color="auto"/>
        </w:pBdr>
        <w:ind w:left="1440" w:hanging="590"/>
        <w:rPr>
          <w:noProof/>
        </w:rPr>
      </w:pPr>
      <w:r w:rsidRPr="001366B4">
        <w:rPr>
          <w:noProof/>
        </w:rPr>
        <w:t>2.</w:t>
      </w:r>
      <w:r w:rsidRPr="001366B4">
        <w:rPr>
          <w:noProof/>
        </w:rPr>
        <w:tab/>
        <w:t xml:space="preserve">antal asylansøgninger, der blev afvist som uantagelige på grundlag af status som sikkert tredjeland, og antal klager </w:t>
      </w:r>
    </w:p>
    <w:p w:rsidR="00693ED0" w:rsidRPr="001366B4" w:rsidRDefault="00693ED0" w:rsidP="006D513D">
      <w:pPr>
        <w:pStyle w:val="Text1"/>
        <w:pBdr>
          <w:top w:val="single" w:sz="4" w:space="1" w:color="auto"/>
          <w:left w:val="single" w:sz="4" w:space="4" w:color="auto"/>
          <w:bottom w:val="single" w:sz="4" w:space="1" w:color="auto"/>
          <w:right w:val="single" w:sz="4" w:space="4" w:color="auto"/>
        </w:pBdr>
        <w:rPr>
          <w:noProof/>
        </w:rPr>
      </w:pPr>
      <w:r w:rsidRPr="001366B4">
        <w:rPr>
          <w:noProof/>
        </w:rPr>
        <w:t>3.</w:t>
      </w:r>
      <w:r w:rsidRPr="001366B4">
        <w:rPr>
          <w:noProof/>
        </w:rPr>
        <w:tab/>
        <w:t>antal aftaler eller ordninger knyttet til begrebet sikkert tredjeland på EU-plan eller medlemsstatsplan.</w:t>
      </w:r>
    </w:p>
    <w:p w:rsidR="00693ED0" w:rsidRPr="001366B4" w:rsidRDefault="00693ED0" w:rsidP="00693ED0">
      <w:pPr>
        <w:pStyle w:val="ManualHeading2"/>
        <w:rPr>
          <w:noProof/>
        </w:rPr>
      </w:pPr>
      <w:r w:rsidRPr="001366B4">
        <w:rPr>
          <w:noProof/>
        </w:rPr>
        <w:t>1.4.</w:t>
      </w:r>
      <w:r w:rsidRPr="001366B4">
        <w:rPr>
          <w:noProof/>
        </w:rPr>
        <w:tab/>
        <w:t>Forslaget/initiativet vedrører</w:t>
      </w:r>
      <w:bookmarkEnd w:id="46"/>
      <w:r w:rsidRPr="001366B4">
        <w:rPr>
          <w:noProof/>
        </w:rPr>
        <w:t xml:space="preserve"> </w:t>
      </w:r>
    </w:p>
    <w:p w:rsidR="00693ED0" w:rsidRPr="001366B4" w:rsidRDefault="00693ED0" w:rsidP="00693ED0">
      <w:pPr>
        <w:pStyle w:val="Text1"/>
        <w:rPr>
          <w:noProof/>
          <w:sz w:val="22"/>
        </w:rPr>
      </w:pPr>
      <w:r w:rsidRPr="001366B4">
        <w:rPr>
          <w:rFonts w:ascii="Wingdings" w:hAnsi="Wingdings"/>
          <w:noProof/>
          <w:sz w:val="22"/>
        </w:rPr>
        <w:t></w:t>
      </w:r>
      <w:r w:rsidRPr="001366B4">
        <w:rPr>
          <w:i/>
          <w:noProof/>
          <w:sz w:val="22"/>
        </w:rPr>
        <w:t xml:space="preserve"> </w:t>
      </w:r>
      <w:r w:rsidRPr="001366B4">
        <w:rPr>
          <w:noProof/>
        </w:rPr>
        <w:t>en ny foranstaltning</w:t>
      </w:r>
      <w:r w:rsidRPr="001366B4">
        <w:rPr>
          <w:noProof/>
          <w:sz w:val="22"/>
        </w:rPr>
        <w:t xml:space="preserve"> </w:t>
      </w:r>
    </w:p>
    <w:p w:rsidR="00693ED0" w:rsidRPr="001366B4" w:rsidRDefault="00693ED0" w:rsidP="00693ED0">
      <w:pPr>
        <w:pStyle w:val="Text1"/>
        <w:rPr>
          <w:noProof/>
          <w:sz w:val="22"/>
        </w:rPr>
      </w:pPr>
      <w:r w:rsidRPr="001366B4">
        <w:rPr>
          <w:rFonts w:ascii="Wingdings" w:hAnsi="Wingdings"/>
          <w:noProof/>
          <w:sz w:val="22"/>
        </w:rPr>
        <w:t></w:t>
      </w:r>
      <w:r w:rsidRPr="001366B4">
        <w:rPr>
          <w:i/>
          <w:noProof/>
          <w:sz w:val="22"/>
        </w:rPr>
        <w:t xml:space="preserve"> </w:t>
      </w:r>
      <w:r w:rsidRPr="001366B4">
        <w:rPr>
          <w:noProof/>
        </w:rPr>
        <w:t>en ny foranstaltning som opfølgning på et pilotprojekt/en forberedende foranstaltning</w:t>
      </w:r>
      <w:r w:rsidRPr="001366B4">
        <w:rPr>
          <w:rStyle w:val="FootnoteReference"/>
          <w:noProof/>
        </w:rPr>
        <w:footnoteReference w:id="19"/>
      </w:r>
      <w:r w:rsidRPr="001366B4">
        <w:rPr>
          <w:noProof/>
          <w:sz w:val="22"/>
        </w:rPr>
        <w:t xml:space="preserve"> </w:t>
      </w:r>
    </w:p>
    <w:p w:rsidR="00693ED0" w:rsidRPr="001366B4" w:rsidRDefault="00693ED0" w:rsidP="00693ED0">
      <w:pPr>
        <w:pStyle w:val="Text1"/>
        <w:rPr>
          <w:noProof/>
          <w:sz w:val="22"/>
        </w:rPr>
      </w:pPr>
      <w:r w:rsidRPr="001366B4">
        <w:rPr>
          <w:rFonts w:ascii="Wingdings" w:hAnsi="Wingdings"/>
          <w:noProof/>
          <w:sz w:val="22"/>
        </w:rPr>
        <w:t></w:t>
      </w:r>
      <w:r w:rsidRPr="001366B4">
        <w:rPr>
          <w:i/>
          <w:noProof/>
          <w:sz w:val="22"/>
        </w:rPr>
        <w:t xml:space="preserve"> </w:t>
      </w:r>
      <w:r w:rsidRPr="001366B4">
        <w:rPr>
          <w:noProof/>
        </w:rPr>
        <w:t>en forlængelse af en eksisterende foranstaltning</w:t>
      </w:r>
      <w:r w:rsidRPr="001366B4">
        <w:rPr>
          <w:noProof/>
          <w:sz w:val="22"/>
        </w:rPr>
        <w:t xml:space="preserve"> </w:t>
      </w:r>
    </w:p>
    <w:p w:rsidR="00693ED0" w:rsidRPr="001366B4" w:rsidRDefault="00693ED0" w:rsidP="00693ED0">
      <w:pPr>
        <w:pStyle w:val="Text1"/>
        <w:rPr>
          <w:noProof/>
        </w:rPr>
      </w:pPr>
      <w:r w:rsidRPr="001366B4">
        <w:rPr>
          <w:rFonts w:ascii="Wingdings" w:hAnsi="Wingdings"/>
          <w:noProof/>
          <w:sz w:val="22"/>
        </w:rPr>
        <w:t></w:t>
      </w:r>
      <w:r w:rsidRPr="001366B4">
        <w:rPr>
          <w:i/>
          <w:noProof/>
          <w:sz w:val="22"/>
        </w:rPr>
        <w:t xml:space="preserve"> </w:t>
      </w:r>
      <w:r w:rsidRPr="001366B4">
        <w:rPr>
          <w:noProof/>
        </w:rPr>
        <w:t>en sammenlægning eller en omlægning af en eller flere foranstaltninger til en anden/en ny foranstaltning</w:t>
      </w:r>
    </w:p>
    <w:p w:rsidR="00693ED0" w:rsidRPr="001366B4" w:rsidRDefault="00693ED0" w:rsidP="00693ED0">
      <w:pPr>
        <w:pStyle w:val="ManualHeading2"/>
        <w:rPr>
          <w:bCs/>
          <w:noProof/>
          <w:szCs w:val="24"/>
        </w:rPr>
      </w:pPr>
      <w:bookmarkStart w:id="47" w:name="_Toc514938025"/>
      <w:bookmarkStart w:id="48" w:name="_Toc520485034"/>
      <w:bookmarkStart w:id="49" w:name="_Toc160804576"/>
      <w:bookmarkStart w:id="50" w:name="_Toc167220268"/>
      <w:bookmarkStart w:id="51" w:name="_Toc177549001"/>
      <w:r w:rsidRPr="001366B4">
        <w:rPr>
          <w:noProof/>
        </w:rPr>
        <w:t>1.5.</w:t>
      </w:r>
      <w:r w:rsidRPr="001366B4">
        <w:rPr>
          <w:noProof/>
        </w:rPr>
        <w:tab/>
        <w:t>Begrundelse for forslaget/initiativet</w:t>
      </w:r>
      <w:bookmarkEnd w:id="47"/>
      <w:bookmarkEnd w:id="48"/>
      <w:bookmarkEnd w:id="49"/>
      <w:bookmarkEnd w:id="50"/>
      <w:bookmarkEnd w:id="51"/>
      <w:r w:rsidRPr="001366B4">
        <w:rPr>
          <w:noProof/>
        </w:rPr>
        <w:t xml:space="preserve"> </w:t>
      </w:r>
    </w:p>
    <w:p w:rsidR="00693ED0" w:rsidRPr="001366B4" w:rsidRDefault="00693ED0" w:rsidP="00693ED0">
      <w:pPr>
        <w:pStyle w:val="ManualHeading3"/>
        <w:rPr>
          <w:noProof/>
        </w:rPr>
      </w:pPr>
      <w:bookmarkStart w:id="52" w:name="_Toc514938026"/>
      <w:bookmarkStart w:id="53" w:name="_Toc520485035"/>
      <w:bookmarkStart w:id="54" w:name="_Toc160804577"/>
      <w:bookmarkStart w:id="55" w:name="_Toc167220269"/>
      <w:bookmarkStart w:id="56" w:name="_Toc177549002"/>
      <w:r w:rsidRPr="001366B4">
        <w:rPr>
          <w:noProof/>
        </w:rPr>
        <w:t>1.5.1.</w:t>
      </w:r>
      <w:r w:rsidRPr="001366B4">
        <w:rPr>
          <w:noProof/>
        </w:rPr>
        <w:tab/>
        <w:t>Behov, der skal opfyldes på kort eller lang sigt, herunder en detaljeret tidsplan for iværksættelsen af initiativet</w:t>
      </w:r>
      <w:bookmarkEnd w:id="52"/>
      <w:bookmarkEnd w:id="53"/>
      <w:bookmarkEnd w:id="54"/>
      <w:bookmarkEnd w:id="55"/>
      <w:bookmarkEnd w:id="56"/>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57" w:name="_Toc514938029"/>
      <w:bookmarkStart w:id="58" w:name="_Toc520485036"/>
      <w:bookmarkStart w:id="59" w:name="_Toc160804578"/>
      <w:bookmarkStart w:id="60" w:name="_Toc167220270"/>
      <w:bookmarkStart w:id="61" w:name="_Toc177549003"/>
      <w:r w:rsidRPr="001366B4">
        <w:rPr>
          <w:noProof/>
        </w:rPr>
        <w:t>I henhold til artikel 75</w:t>
      </w:r>
      <w:r w:rsidR="00A87ED6" w:rsidRPr="001366B4">
        <w:rPr>
          <w:noProof/>
        </w:rPr>
        <w:t xml:space="preserve"> i for</w:t>
      </w:r>
      <w:r w:rsidRPr="001366B4">
        <w:rPr>
          <w:noProof/>
        </w:rPr>
        <w:t>ordningen om asylproceduren skal medlemsstaterne udarbejde nationale gennemførelsesplaner på grundlag af den fælles gennemførelsesplan som udarbejdet af Kommissionen. Kommissionen skal nøje overvåge gennemførelsen af de nationale gennemførelsesplaner. Når pagtens bestemmelser begynder at finde anvendelse</w:t>
      </w:r>
      <w:r w:rsidR="00A87ED6" w:rsidRPr="001366B4">
        <w:rPr>
          <w:noProof/>
        </w:rPr>
        <w:t xml:space="preserve"> i jun</w:t>
      </w:r>
      <w:r w:rsidRPr="001366B4">
        <w:rPr>
          <w:noProof/>
        </w:rPr>
        <w:t>i 2026, vil Den Europæiske Unions Asylagentur overvåge den operationelle og tekniske anvendelse af det fælles europæiske asylsystem</w:t>
      </w:r>
      <w:r w:rsidR="00A87ED6" w:rsidRPr="001366B4">
        <w:rPr>
          <w:noProof/>
        </w:rPr>
        <w:t xml:space="preserve"> i hen</w:t>
      </w:r>
      <w:r w:rsidRPr="001366B4">
        <w:rPr>
          <w:noProof/>
        </w:rPr>
        <w:t>hold til artikel 14</w:t>
      </w:r>
      <w:r w:rsidR="00A87ED6" w:rsidRPr="001366B4">
        <w:rPr>
          <w:noProof/>
        </w:rPr>
        <w:t xml:space="preserve"> i for</w:t>
      </w:r>
      <w:r w:rsidRPr="001366B4">
        <w:rPr>
          <w:noProof/>
        </w:rPr>
        <w:t>ordning (EU) 2021/2303 om Den Europæiske Unions Asylagentur. Anvendelsen af begrebet sikkert tredjeland vil indgå</w:t>
      </w:r>
      <w:r w:rsidR="00A87ED6" w:rsidRPr="001366B4">
        <w:rPr>
          <w:noProof/>
        </w:rPr>
        <w:t xml:space="preserve"> i Den</w:t>
      </w:r>
      <w:r w:rsidRPr="001366B4">
        <w:rPr>
          <w:noProof/>
        </w:rPr>
        <w:t xml:space="preserve"> Europæiske Unions Asylagenturs overvågning. Desuden skal de årlige rapporter, som Kommissionen skal vedtage</w:t>
      </w:r>
      <w:r w:rsidR="00A87ED6" w:rsidRPr="001366B4">
        <w:rPr>
          <w:noProof/>
        </w:rPr>
        <w:t xml:space="preserve"> i hen</w:t>
      </w:r>
      <w:r w:rsidRPr="001366B4">
        <w:rPr>
          <w:noProof/>
        </w:rPr>
        <w:t>hold til artikel 9</w:t>
      </w:r>
      <w:r w:rsidR="00A87ED6" w:rsidRPr="001366B4">
        <w:rPr>
          <w:noProof/>
        </w:rPr>
        <w:t xml:space="preserve"> i for</w:t>
      </w:r>
      <w:r w:rsidRPr="001366B4">
        <w:rPr>
          <w:noProof/>
        </w:rPr>
        <w:t>ordningen om asylforvaltning og migrationsstyring, indeholde resultaterne af Den Europæiske Unions Asylagenturs overvågning. Kommissionen skal tage hensyn til disse forskellige elementer, når den vurderer, om medlemsstater er udsat for migrationspres, er</w:t>
      </w:r>
      <w:r w:rsidR="00A87ED6" w:rsidRPr="001366B4">
        <w:rPr>
          <w:noProof/>
        </w:rPr>
        <w:t xml:space="preserve"> i ris</w:t>
      </w:r>
      <w:r w:rsidRPr="001366B4">
        <w:rPr>
          <w:noProof/>
        </w:rPr>
        <w:t xml:space="preserve">iko herfor eller står over for en betydelig migrationssituation, samt når den afgør, om en medlemsstat har systemiske mangler, der kan have alvorlige negative konsekvenser for Dublinsystemets funktion. </w:t>
      </w:r>
    </w:p>
    <w:p w:rsidR="00693ED0" w:rsidRPr="001366B4" w:rsidRDefault="00693ED0" w:rsidP="00693ED0">
      <w:pPr>
        <w:pStyle w:val="ManualHeading3"/>
        <w:rPr>
          <w:bCs/>
          <w:noProof/>
          <w:szCs w:val="24"/>
        </w:rPr>
      </w:pPr>
      <w:r w:rsidRPr="001366B4">
        <w:rPr>
          <w:noProof/>
        </w:rPr>
        <w:t>1.5.2.</w:t>
      </w:r>
      <w:r w:rsidRPr="001366B4">
        <w:rPr>
          <w:noProof/>
        </w:rPr>
        <w:tab/>
        <w:t>Merværdien af et EU-tiltag (f.eks. som følge af koordineringsfordele, retssikkerhed, større effekt eller komplementaritet). Ved "merværdien af et EU-tiltag" forstås her merværdien af en indsats på EU-plan</w:t>
      </w:r>
      <w:r w:rsidR="00A87ED6" w:rsidRPr="001366B4">
        <w:rPr>
          <w:noProof/>
        </w:rPr>
        <w:t xml:space="preserve"> i for</w:t>
      </w:r>
      <w:r w:rsidRPr="001366B4">
        <w:rPr>
          <w:noProof/>
        </w:rPr>
        <w:t>hold til den værdi, som medlemsstaterne ville have skabt enkeltvis</w:t>
      </w:r>
      <w:bookmarkEnd w:id="57"/>
      <w:bookmarkEnd w:id="58"/>
      <w:bookmarkEnd w:id="59"/>
      <w:bookmarkEnd w:id="60"/>
      <w:bookmarkEnd w:id="61"/>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2" w:name="_Toc514938030"/>
      <w:bookmarkStart w:id="63" w:name="_Toc520485037"/>
      <w:bookmarkStart w:id="64" w:name="_Toc160804579"/>
      <w:bookmarkStart w:id="65" w:name="_Toc167220271"/>
      <w:bookmarkStart w:id="66" w:name="_Toc177549004"/>
      <w:r w:rsidRPr="001366B4">
        <w:rPr>
          <w:noProof/>
        </w:rPr>
        <w:t>Begrundelse for en indsats på EU-plan (forudgående): Begrebet sikkert tredjeland og asylproceduren er i EU-retten reguleret ved forordning (EU) 2024/1348 om asylprocedurer. Uden en indsats på EU-plan vil medlemsstaterne fortsat anvende begrebet sikkert tredjeland på en fragmenteret måde, hvilket vil føre til uoverensstemmelser</w:t>
      </w:r>
      <w:r w:rsidR="00A87ED6" w:rsidRPr="001366B4">
        <w:rPr>
          <w:noProof/>
        </w:rPr>
        <w:t xml:space="preserve"> i den</w:t>
      </w:r>
      <w:r w:rsidRPr="001366B4">
        <w:rPr>
          <w:noProof/>
        </w:rPr>
        <w:t xml:space="preserve"> retlige fortolkning og de proceduremæssige garantier. Forskellige nationale tilgange vil skabe retlig usikkerhed, øge risikoen for retssager og underminere den ensartede anvendelse af asylreglerne</w:t>
      </w:r>
      <w:r w:rsidR="00A87ED6" w:rsidRPr="001366B4">
        <w:rPr>
          <w:noProof/>
        </w:rPr>
        <w:t xml:space="preserve"> i hel</w:t>
      </w:r>
      <w:r w:rsidRPr="001366B4">
        <w:rPr>
          <w:noProof/>
        </w:rPr>
        <w:t>e EU. Manglen på en koordineret indsats vil også hindre en retfærdig byrdefordeling mellem medlemsstaterne og svække EU's evne til at samarbejde effektivt med tredjelande om migrationsspørgsmål. Ved at handle på EU-plan sikrer dette forslag harmonisering, retssikkerhed og proceduremæssige garantier, samtidig med at det giver medlemsstaterne større fleksibilitet til at gennemføre begrebet sikkert tredjeland på en juridisk forsvarlig og operationelt effektiv måde.</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Forventet merværdi på EU-plan (efterfølgende): Når dette forslag er gennemført, vil det øge retssikkerheden og den proceduremæssige effektivitet ved at sikre, at alle medlemsstater anvender begrebet sikkert tredjeland på en sammenhængende måde. Fjernelsen af den automatiske opsættende virkning vil mindske forsinkelserne</w:t>
      </w:r>
      <w:r w:rsidR="00A87ED6" w:rsidRPr="001366B4">
        <w:rPr>
          <w:noProof/>
        </w:rPr>
        <w:t xml:space="preserve"> i bes</w:t>
      </w:r>
      <w:r w:rsidRPr="001366B4">
        <w:rPr>
          <w:noProof/>
        </w:rPr>
        <w:t xml:space="preserve">lutningstagningen på asylområdet og muliggøre en hurtigere behandling af uantagelige ansøgninger, samtidig med at adgangen til effektive retsmidler bevares. </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Forslaget vil også styrke samarbejdet med tredjelande ved at skabe en klar retlig ramme for anvendelsen af begrebet sikkert tredjeland, uanset om der findes en forbindelse eller ej, forudsat at der er indgået aftaler eller ordninger. Desuden vil gennemsigtighedsklausulen gøre det muligt for Kommissionen at overvåge, om aftaler eller ordninger er</w:t>
      </w:r>
      <w:r w:rsidR="00A87ED6" w:rsidRPr="001366B4">
        <w:rPr>
          <w:noProof/>
        </w:rPr>
        <w:t xml:space="preserve"> i ove</w:t>
      </w:r>
      <w:r w:rsidRPr="001366B4">
        <w:rPr>
          <w:noProof/>
        </w:rPr>
        <w:t>rensstemmelse med forordningen om asylproceduren, hvilket sikrer EU's troværdighed</w:t>
      </w:r>
      <w:r w:rsidR="00A87ED6" w:rsidRPr="001366B4">
        <w:rPr>
          <w:noProof/>
        </w:rPr>
        <w:t xml:space="preserve"> i mig</w:t>
      </w:r>
      <w:r w:rsidRPr="001366B4">
        <w:rPr>
          <w:noProof/>
        </w:rPr>
        <w:t>rationspartnerskaber.</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På EU-plan vil Den Europæiske Unions Asylagenturs og Kommissionens overvågning sikre, at medlemsstaterne anvender de reviderede regler om begrebet sikkert tredjeland</w:t>
      </w:r>
      <w:r w:rsidR="00A87ED6" w:rsidRPr="001366B4">
        <w:rPr>
          <w:noProof/>
        </w:rPr>
        <w:t xml:space="preserve"> i ful</w:t>
      </w:r>
      <w:r w:rsidRPr="001366B4">
        <w:rPr>
          <w:noProof/>
        </w:rPr>
        <w:t>d overensstemmelse med de grundlæggende rettigheder og proceduremæssige garantier. Selv om forslaget begrænser den automatiske opsættende virkning, opretholder det en væsentlig retsbeskyttelse ved at kræve, at afgørelser om tilbagesendelse suspenderes ved klager</w:t>
      </w:r>
      <w:r w:rsidR="00A87ED6" w:rsidRPr="001366B4">
        <w:rPr>
          <w:noProof/>
        </w:rPr>
        <w:t xml:space="preserve"> i før</w:t>
      </w:r>
      <w:r w:rsidRPr="001366B4">
        <w:rPr>
          <w:noProof/>
        </w:rPr>
        <w:t xml:space="preserve">ste instans, når der er risiko for at overtræde princippet om </w:t>
      </w:r>
      <w:r w:rsidRPr="001366B4">
        <w:rPr>
          <w:i/>
          <w:noProof/>
        </w:rPr>
        <w:t>non-refoulement</w:t>
      </w:r>
      <w:r w:rsidRPr="001366B4">
        <w:rPr>
          <w:noProof/>
        </w:rPr>
        <w:t>. Forslaget skaber balance mellem effektivitet og retfærdighed og sikrer, at EU's asylsystem forbliver effektivt, forudsigeligt og</w:t>
      </w:r>
      <w:r w:rsidR="00A87ED6" w:rsidRPr="001366B4">
        <w:rPr>
          <w:noProof/>
        </w:rPr>
        <w:t xml:space="preserve"> i ove</w:t>
      </w:r>
      <w:r w:rsidRPr="001366B4">
        <w:rPr>
          <w:noProof/>
        </w:rPr>
        <w:t>rensstemmelse med internationale menneskerettighedsforpligtelser.</w:t>
      </w:r>
    </w:p>
    <w:p w:rsidR="00693ED0" w:rsidRPr="001366B4" w:rsidRDefault="00693ED0" w:rsidP="00693ED0">
      <w:pPr>
        <w:pStyle w:val="ManualHeading3"/>
        <w:rPr>
          <w:noProof/>
        </w:rPr>
      </w:pPr>
      <w:r w:rsidRPr="001366B4">
        <w:rPr>
          <w:noProof/>
        </w:rPr>
        <w:t>1.5.3.</w:t>
      </w:r>
      <w:r w:rsidRPr="001366B4">
        <w:rPr>
          <w:noProof/>
        </w:rPr>
        <w:tab/>
        <w:t>Erfaringer fra tidligere foranstaltninger af lignende art</w:t>
      </w:r>
      <w:bookmarkEnd w:id="62"/>
      <w:bookmarkEnd w:id="63"/>
      <w:bookmarkEnd w:id="64"/>
      <w:bookmarkEnd w:id="65"/>
      <w:bookmarkEnd w:id="66"/>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67" w:name="_Toc514938033"/>
      <w:bookmarkStart w:id="68" w:name="_Toc520485038"/>
      <w:bookmarkStart w:id="69" w:name="_Toc160804580"/>
      <w:bookmarkStart w:id="70" w:name="_Toc167220272"/>
      <w:bookmarkStart w:id="71" w:name="_Toc177549005"/>
      <w:r w:rsidRPr="001366B4">
        <w:rPr>
          <w:noProof/>
        </w:rPr>
        <w:t>Anvendelsen af begrebet sikkert tredjeland varierer fra medlemsstat til medlemsstat, og begrebet anvendes ikke af alle, hvilket gør det vanskeligt at foretage sammenligninger. Kommissionen anvendte en holistisk tilgang</w:t>
      </w:r>
      <w:r w:rsidR="00A87ED6" w:rsidRPr="001366B4">
        <w:rPr>
          <w:noProof/>
        </w:rPr>
        <w:t xml:space="preserve"> i for</w:t>
      </w:r>
      <w:r w:rsidRPr="001366B4">
        <w:rPr>
          <w:noProof/>
        </w:rPr>
        <w:t>bindelse med evalueringen af begrebet sikkert tredjeland. Kommissionen undersøgte, om folkeretten (Genèvekonventionen af</w:t>
      </w:r>
      <w:r w:rsidR="00A87ED6" w:rsidRPr="001366B4">
        <w:rPr>
          <w:noProof/>
        </w:rPr>
        <w:t> </w:t>
      </w:r>
      <w:r w:rsidRPr="001366B4">
        <w:rPr>
          <w:noProof/>
        </w:rPr>
        <w:t>1951 og den europæiske menneskerettighedskonvention af</w:t>
      </w:r>
      <w:r w:rsidR="00A87ED6" w:rsidRPr="001366B4">
        <w:rPr>
          <w:noProof/>
        </w:rPr>
        <w:t> </w:t>
      </w:r>
      <w:r w:rsidRPr="001366B4">
        <w:rPr>
          <w:noProof/>
        </w:rPr>
        <w:t>1950) giver mulighed for yderligere revisioner af betingelserne for anvendelse af begrebet sikkert tredjeland og dets retlige garantier med henblik på at lette anvendelsen af begrebet</w:t>
      </w:r>
      <w:r w:rsidR="00A87ED6" w:rsidRPr="001366B4">
        <w:rPr>
          <w:noProof/>
        </w:rPr>
        <w:t xml:space="preserve"> i med</w:t>
      </w:r>
      <w:r w:rsidRPr="001366B4">
        <w:rPr>
          <w:noProof/>
        </w:rPr>
        <w:t>lemsstaterne. Kommissionen tog også hensyn til medlemsstaternes erfaringer og udfordringer</w:t>
      </w:r>
      <w:r w:rsidR="00A87ED6" w:rsidRPr="001366B4">
        <w:rPr>
          <w:noProof/>
        </w:rPr>
        <w:t xml:space="preserve"> i for</w:t>
      </w:r>
      <w:r w:rsidRPr="001366B4">
        <w:rPr>
          <w:noProof/>
        </w:rPr>
        <w:t>bindelse med anvendelsen af begrebet sikkert tredjeland som udtrykt</w:t>
      </w:r>
      <w:r w:rsidR="00A87ED6" w:rsidRPr="001366B4">
        <w:rPr>
          <w:noProof/>
        </w:rPr>
        <w:t xml:space="preserve"> i for</w:t>
      </w:r>
      <w:r w:rsidRPr="001366B4">
        <w:rPr>
          <w:noProof/>
        </w:rPr>
        <w:t>skellige fora og vurderede, om de ændringer, der blev indført</w:t>
      </w:r>
      <w:r w:rsidR="00A87ED6" w:rsidRPr="001366B4">
        <w:rPr>
          <w:noProof/>
        </w:rPr>
        <w:t xml:space="preserve"> i hen</w:t>
      </w:r>
      <w:r w:rsidRPr="001366B4">
        <w:rPr>
          <w:noProof/>
        </w:rPr>
        <w:t>hold til forordningen om asylproceduren, allerede havde løst disse problemer, eller om der fortsat var mangler. Endelig analyserede Kommissionen relevant retspraksis fra EU-Domstolen og Den Europæiske Menneskerettighedsdomstol.</w:t>
      </w:r>
    </w:p>
    <w:p w:rsidR="00693ED0" w:rsidRPr="001366B4" w:rsidRDefault="00693ED0" w:rsidP="00693ED0">
      <w:pPr>
        <w:pStyle w:val="ManualHeading3"/>
        <w:rPr>
          <w:noProof/>
        </w:rPr>
      </w:pPr>
      <w:r w:rsidRPr="001366B4">
        <w:rPr>
          <w:noProof/>
        </w:rPr>
        <w:t>1.5.4.</w:t>
      </w:r>
      <w:r w:rsidRPr="001366B4">
        <w:rPr>
          <w:noProof/>
        </w:rPr>
        <w:tab/>
        <w:t>Forenelighed med den flerårige finansielle ramme og mulige synergivirkninger med andre relevante instrumenter</w:t>
      </w:r>
      <w:bookmarkEnd w:id="67"/>
      <w:bookmarkEnd w:id="68"/>
      <w:bookmarkEnd w:id="69"/>
      <w:bookmarkEnd w:id="70"/>
      <w:bookmarkEnd w:id="71"/>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72" w:name="_Toc514938036"/>
      <w:bookmarkStart w:id="73" w:name="_Toc520485039"/>
      <w:bookmarkStart w:id="74" w:name="_Toc160804581"/>
      <w:bookmarkStart w:id="75" w:name="_Toc167220273"/>
      <w:bookmarkStart w:id="76" w:name="_Toc177549006"/>
      <w:r w:rsidRPr="001366B4">
        <w:rPr>
          <w:noProof/>
        </w:rPr>
        <w:t>Dette forslag er knyttet til forordningen om asylproceduren, der indførte flere ændringer af reglerne vedrørende begrebet sikkert tredjeland, og er derfor en del af pagten om migration og asyl, der blev vedtaget</w:t>
      </w:r>
      <w:r w:rsidR="00A87ED6" w:rsidRPr="001366B4">
        <w:rPr>
          <w:noProof/>
        </w:rPr>
        <w:t xml:space="preserve"> i maj </w:t>
      </w:r>
      <w:r w:rsidRPr="001366B4">
        <w:rPr>
          <w:noProof/>
        </w:rPr>
        <w:t>2024, og som der allerede er afsat midler til. Dette forslag indebærer ikke nogen finansiel eller administrativ byrde for Unionen. Det har derfor ingen indvirkning på EU-budgettet. Anvendelsen af begrebet sikkert tredjeland er ikke ny for medlemsstaterne. Medlemsstaterne vil kunne anvende de midler, der er afsat til deres nationale programmer under den eksisterende Asyl-, Migrations- og Integrationsfond, til at støtte de investeringer, der er nødvendige for anvendelsen af begrebet sikkert tredjeland. Den Europæiske Unions Asylagentur kan inden for sit mandat støtte medlemsstaterne med personale til samme formål.</w:t>
      </w:r>
    </w:p>
    <w:p w:rsidR="00693ED0" w:rsidRPr="001366B4" w:rsidRDefault="00693ED0" w:rsidP="00693ED0">
      <w:pPr>
        <w:pStyle w:val="ManualHeading3"/>
        <w:rPr>
          <w:noProof/>
        </w:rPr>
      </w:pPr>
      <w:r w:rsidRPr="001366B4">
        <w:rPr>
          <w:noProof/>
        </w:rPr>
        <w:t>1.5.5.</w:t>
      </w:r>
      <w:r w:rsidRPr="001366B4">
        <w:rPr>
          <w:noProof/>
        </w:rPr>
        <w:tab/>
        <w:t>Vurdering af de forskellige finansieringsmuligheder, der er til rådighed, herunder muligheden for omfordeling</w:t>
      </w:r>
      <w:bookmarkEnd w:id="72"/>
      <w:bookmarkEnd w:id="73"/>
      <w:bookmarkEnd w:id="74"/>
      <w:bookmarkEnd w:id="75"/>
      <w:bookmarkEnd w:id="76"/>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Ikke relevant</w:t>
      </w:r>
    </w:p>
    <w:p w:rsidR="00693ED0" w:rsidRPr="001366B4" w:rsidRDefault="00693ED0" w:rsidP="00693ED0">
      <w:pPr>
        <w:pStyle w:val="ManualHeading2"/>
        <w:rPr>
          <w:bCs/>
          <w:noProof/>
          <w:szCs w:val="24"/>
        </w:rPr>
      </w:pPr>
      <w:r w:rsidRPr="001366B4">
        <w:rPr>
          <w:noProof/>
        </w:rPr>
        <w:br w:type="page"/>
      </w:r>
      <w:bookmarkStart w:id="77" w:name="_Toc514938039"/>
      <w:bookmarkStart w:id="78" w:name="_Toc520485040"/>
      <w:bookmarkStart w:id="79" w:name="_Toc160804582"/>
      <w:bookmarkStart w:id="80" w:name="_Toc167220274"/>
      <w:bookmarkStart w:id="81" w:name="_Toc177549007"/>
      <w:r w:rsidRPr="001366B4">
        <w:rPr>
          <w:noProof/>
        </w:rPr>
        <w:t>1.6.</w:t>
      </w:r>
      <w:r w:rsidRPr="001366B4">
        <w:rPr>
          <w:noProof/>
        </w:rPr>
        <w:tab/>
        <w:t>Varigheden af forslaget/initiativet og af dets</w:t>
      </w:r>
      <w:bookmarkEnd w:id="77"/>
      <w:bookmarkEnd w:id="78"/>
      <w:r w:rsidRPr="001366B4">
        <w:rPr>
          <w:noProof/>
        </w:rPr>
        <w:t xml:space="preserve"> finansielle virkninger</w:t>
      </w:r>
      <w:bookmarkEnd w:id="79"/>
      <w:bookmarkEnd w:id="80"/>
      <w:bookmarkEnd w:id="81"/>
    </w:p>
    <w:p w:rsidR="00693ED0" w:rsidRPr="001366B4" w:rsidRDefault="00693ED0" w:rsidP="00693ED0">
      <w:pPr>
        <w:pStyle w:val="Text1"/>
        <w:rPr>
          <w:noProof/>
        </w:rPr>
      </w:pPr>
      <w:r w:rsidRPr="001366B4">
        <w:rPr>
          <w:rFonts w:ascii="Wingdings" w:hAnsi="Wingdings"/>
          <w:noProof/>
        </w:rPr>
        <w:t></w:t>
      </w:r>
      <w:r w:rsidRPr="001366B4">
        <w:rPr>
          <w:b/>
          <w:i/>
          <w:noProof/>
        </w:rPr>
        <w:t xml:space="preserve"> </w:t>
      </w:r>
      <w:r w:rsidRPr="001366B4">
        <w:rPr>
          <w:b/>
          <w:noProof/>
        </w:rPr>
        <w:t xml:space="preserve">Begrænset varighed </w:t>
      </w:r>
    </w:p>
    <w:p w:rsidR="00693ED0" w:rsidRPr="001366B4" w:rsidRDefault="00693ED0" w:rsidP="00693ED0">
      <w:pPr>
        <w:pStyle w:val="ListDash2"/>
        <w:rPr>
          <w:noProof/>
        </w:rPr>
      </w:pPr>
      <w:r w:rsidRPr="001366B4">
        <w:rPr>
          <w:rFonts w:ascii="Wingdings" w:hAnsi="Wingdings"/>
          <w:noProof/>
        </w:rPr>
        <w:t></w:t>
      </w:r>
      <w:r w:rsidRPr="001366B4">
        <w:rPr>
          <w:noProof/>
        </w:rPr>
        <w:tab/>
        <w:t xml:space="preserve">gældende fra [DD/MM]ÅÅÅÅ til [DD/MM]ÅÅÅÅ </w:t>
      </w:r>
    </w:p>
    <w:p w:rsidR="00693ED0" w:rsidRPr="001366B4" w:rsidRDefault="00693ED0" w:rsidP="00693ED0">
      <w:pPr>
        <w:pStyle w:val="ListDash2"/>
        <w:rPr>
          <w:noProof/>
        </w:rPr>
      </w:pPr>
      <w:r w:rsidRPr="001366B4">
        <w:rPr>
          <w:rFonts w:ascii="Wingdings" w:hAnsi="Wingdings"/>
          <w:noProof/>
        </w:rPr>
        <w:t></w:t>
      </w:r>
      <w:r w:rsidRPr="001366B4">
        <w:rPr>
          <w:noProof/>
        </w:rPr>
        <w:tab/>
        <w:t xml:space="preserve">finansielle virkninger fra ÅÅÅÅ til ÅÅÅÅ for forpligtelsesbevillinger og fra ÅÅÅÅ til ÅÅÅÅ for betalingsbevillinger. </w:t>
      </w:r>
    </w:p>
    <w:p w:rsidR="00693ED0" w:rsidRPr="001366B4" w:rsidRDefault="00693ED0" w:rsidP="00693ED0">
      <w:pPr>
        <w:pStyle w:val="Text1"/>
        <w:rPr>
          <w:noProof/>
        </w:rPr>
      </w:pPr>
      <w:r w:rsidRPr="001366B4">
        <w:rPr>
          <w:rFonts w:ascii="Wingdings" w:hAnsi="Wingdings"/>
          <w:noProof/>
        </w:rPr>
        <w:t></w:t>
      </w:r>
      <w:r w:rsidRPr="001366B4">
        <w:rPr>
          <w:b/>
          <w:i/>
          <w:noProof/>
        </w:rPr>
        <w:t xml:space="preserve"> </w:t>
      </w:r>
      <w:r w:rsidRPr="001366B4">
        <w:rPr>
          <w:b/>
          <w:noProof/>
        </w:rPr>
        <w:t>Ubegrænset varighed</w:t>
      </w:r>
    </w:p>
    <w:p w:rsidR="00693ED0" w:rsidRPr="001366B4" w:rsidRDefault="00693ED0" w:rsidP="00693ED0">
      <w:pPr>
        <w:pStyle w:val="ListDash1"/>
        <w:rPr>
          <w:noProof/>
        </w:rPr>
      </w:pPr>
      <w:r w:rsidRPr="001366B4">
        <w:rPr>
          <w:noProof/>
        </w:rPr>
        <w:t>iværksættelse med en indkøringsperiode fra ÅÅÅÅ til ÅÅÅÅ</w:t>
      </w:r>
    </w:p>
    <w:p w:rsidR="00693ED0" w:rsidRPr="001366B4" w:rsidRDefault="00693ED0" w:rsidP="00693ED0">
      <w:pPr>
        <w:pStyle w:val="ListDash1"/>
        <w:rPr>
          <w:noProof/>
        </w:rPr>
      </w:pPr>
      <w:r w:rsidRPr="001366B4">
        <w:rPr>
          <w:noProof/>
        </w:rPr>
        <w:t>derefter gennemførelse</w:t>
      </w:r>
      <w:r w:rsidR="00A87ED6" w:rsidRPr="001366B4">
        <w:rPr>
          <w:noProof/>
        </w:rPr>
        <w:t xml:space="preserve"> i ful</w:t>
      </w:r>
      <w:r w:rsidRPr="001366B4">
        <w:rPr>
          <w:noProof/>
        </w:rPr>
        <w:t>dt omfang.</w:t>
      </w:r>
    </w:p>
    <w:p w:rsidR="00693ED0" w:rsidRPr="001366B4" w:rsidRDefault="00693ED0" w:rsidP="00693ED0">
      <w:pPr>
        <w:pStyle w:val="ManualHeading2"/>
        <w:rPr>
          <w:bCs/>
          <w:noProof/>
          <w:szCs w:val="24"/>
        </w:rPr>
      </w:pPr>
      <w:bookmarkStart w:id="82" w:name="_Toc514938040"/>
      <w:bookmarkStart w:id="83" w:name="_Toc520485041"/>
      <w:bookmarkStart w:id="84" w:name="_Toc160804583"/>
      <w:bookmarkStart w:id="85" w:name="_Toc167220275"/>
      <w:bookmarkStart w:id="86" w:name="_Toc177549008"/>
      <w:r w:rsidRPr="001366B4">
        <w:rPr>
          <w:noProof/>
        </w:rPr>
        <w:t>1.7.</w:t>
      </w:r>
      <w:r w:rsidRPr="001366B4">
        <w:rPr>
          <w:noProof/>
        </w:rPr>
        <w:tab/>
        <w:t>Planlagt(e)budgetgennemførelsesmetode(r)</w:t>
      </w:r>
      <w:r w:rsidRPr="001366B4">
        <w:rPr>
          <w:rStyle w:val="FootnoteReference"/>
          <w:noProof/>
        </w:rPr>
        <w:footnoteReference w:id="20"/>
      </w:r>
      <w:bookmarkEnd w:id="82"/>
      <w:bookmarkEnd w:id="83"/>
      <w:bookmarkEnd w:id="84"/>
      <w:bookmarkEnd w:id="85"/>
      <w:bookmarkEnd w:id="86"/>
      <w:r w:rsidR="00A87ED6" w:rsidRPr="001366B4">
        <w:rPr>
          <w:rStyle w:val="FootnoteReference"/>
          <w:noProof/>
        </w:rPr>
        <w:t xml:space="preserve"> </w:t>
      </w:r>
    </w:p>
    <w:p w:rsidR="00693ED0" w:rsidRPr="001366B4" w:rsidRDefault="00693ED0" w:rsidP="00693ED0">
      <w:pPr>
        <w:pStyle w:val="Text1"/>
        <w:rPr>
          <w:noProof/>
        </w:rPr>
      </w:pPr>
      <w:r w:rsidRPr="001366B4">
        <w:rPr>
          <w:rFonts w:ascii="Wingdings" w:hAnsi="Wingdings"/>
          <w:noProof/>
        </w:rPr>
        <w:t></w:t>
      </w:r>
      <w:r w:rsidRPr="001366B4">
        <w:rPr>
          <w:i/>
          <w:noProof/>
        </w:rPr>
        <w:t xml:space="preserve"> </w:t>
      </w:r>
      <w:r w:rsidRPr="001366B4">
        <w:rPr>
          <w:b/>
          <w:noProof/>
        </w:rPr>
        <w:t>Direkte forvaltning</w:t>
      </w:r>
      <w:r w:rsidRPr="001366B4">
        <w:rPr>
          <w:noProof/>
        </w:rPr>
        <w:t xml:space="preserve"> ved Kommissionen</w:t>
      </w:r>
    </w:p>
    <w:p w:rsidR="00693ED0" w:rsidRPr="001366B4" w:rsidRDefault="00693ED0" w:rsidP="00693ED0">
      <w:pPr>
        <w:pStyle w:val="ListDash2"/>
        <w:rPr>
          <w:rFonts w:cs="EUAlbertina"/>
          <w:noProof/>
        </w:rPr>
      </w:pPr>
      <w:r w:rsidRPr="001366B4">
        <w:rPr>
          <w:rFonts w:ascii="Wingdings" w:hAnsi="Wingdings"/>
          <w:noProof/>
        </w:rPr>
        <w:t></w:t>
      </w:r>
      <w:r w:rsidR="00A87ED6" w:rsidRPr="001366B4">
        <w:rPr>
          <w:noProof/>
        </w:rPr>
        <w:t xml:space="preserve"> i den</w:t>
      </w:r>
      <w:r w:rsidRPr="001366B4">
        <w:rPr>
          <w:noProof/>
        </w:rPr>
        <w:t xml:space="preserve">s tjenestegrene, herunder ved dens personale i EU's delegationer </w:t>
      </w:r>
    </w:p>
    <w:p w:rsidR="00693ED0" w:rsidRPr="001366B4" w:rsidRDefault="00693ED0" w:rsidP="00693ED0">
      <w:pPr>
        <w:pStyle w:val="ListDash2"/>
        <w:rPr>
          <w:noProof/>
        </w:rPr>
      </w:pPr>
      <w:r w:rsidRPr="001366B4">
        <w:rPr>
          <w:rFonts w:ascii="Wingdings" w:hAnsi="Wingdings"/>
          <w:noProof/>
        </w:rPr>
        <w:t></w:t>
      </w:r>
      <w:r w:rsidRPr="001366B4">
        <w:rPr>
          <w:noProof/>
        </w:rPr>
        <w:tab/>
        <w:t xml:space="preserve">i forvaltningsorganerne </w:t>
      </w:r>
    </w:p>
    <w:p w:rsidR="00693ED0" w:rsidRPr="001366B4" w:rsidRDefault="00693ED0" w:rsidP="00693ED0">
      <w:pPr>
        <w:pStyle w:val="Text1"/>
        <w:rPr>
          <w:noProof/>
        </w:rPr>
      </w:pPr>
      <w:r w:rsidRPr="001366B4">
        <w:rPr>
          <w:rFonts w:ascii="Wingdings" w:hAnsi="Wingdings"/>
          <w:noProof/>
        </w:rPr>
        <w:t></w:t>
      </w:r>
      <w:r w:rsidRPr="001366B4">
        <w:rPr>
          <w:b/>
          <w:i/>
          <w:noProof/>
        </w:rPr>
        <w:t xml:space="preserve"> </w:t>
      </w:r>
      <w:r w:rsidRPr="001366B4">
        <w:rPr>
          <w:b/>
          <w:noProof/>
        </w:rPr>
        <w:t>Delt forvaltning</w:t>
      </w:r>
      <w:r w:rsidR="00A87ED6" w:rsidRPr="001366B4">
        <w:rPr>
          <w:noProof/>
        </w:rPr>
        <w:t xml:space="preserve"> i sam</w:t>
      </w:r>
      <w:r w:rsidRPr="001366B4">
        <w:rPr>
          <w:noProof/>
        </w:rPr>
        <w:t xml:space="preserve">arbejde med medlemsstaterne </w:t>
      </w:r>
    </w:p>
    <w:p w:rsidR="00693ED0" w:rsidRPr="001366B4" w:rsidRDefault="00693ED0" w:rsidP="00693ED0">
      <w:pPr>
        <w:pStyle w:val="Text1"/>
        <w:rPr>
          <w:noProof/>
        </w:rPr>
      </w:pPr>
      <w:r w:rsidRPr="001366B4">
        <w:rPr>
          <w:rFonts w:ascii="Wingdings" w:hAnsi="Wingdings"/>
          <w:noProof/>
        </w:rPr>
        <w:t></w:t>
      </w:r>
      <w:r w:rsidRPr="001366B4">
        <w:rPr>
          <w:i/>
          <w:noProof/>
        </w:rPr>
        <w:t xml:space="preserve"> </w:t>
      </w:r>
      <w:r w:rsidRPr="001366B4">
        <w:rPr>
          <w:b/>
          <w:noProof/>
        </w:rPr>
        <w:t>Indirekte forvaltning</w:t>
      </w:r>
      <w:r w:rsidRPr="001366B4">
        <w:rPr>
          <w:noProof/>
        </w:rPr>
        <w:t xml:space="preserve"> ved at overdrage budgetgennemførelsesopgaver til:</w:t>
      </w:r>
    </w:p>
    <w:p w:rsidR="00693ED0" w:rsidRPr="001366B4" w:rsidRDefault="00693ED0" w:rsidP="00693ED0">
      <w:pPr>
        <w:pStyle w:val="ListDash2"/>
        <w:rPr>
          <w:noProof/>
        </w:rPr>
      </w:pPr>
      <w:r w:rsidRPr="001366B4">
        <w:rPr>
          <w:rFonts w:ascii="Wingdings" w:hAnsi="Wingdings"/>
          <w:noProof/>
        </w:rPr>
        <w:t></w:t>
      </w:r>
      <w:r w:rsidRPr="001366B4">
        <w:rPr>
          <w:noProof/>
        </w:rPr>
        <w:t xml:space="preserve"> tredjelande eller organer, som tredjelande har udpeget</w:t>
      </w:r>
    </w:p>
    <w:p w:rsidR="00693ED0" w:rsidRPr="001366B4" w:rsidRDefault="00693ED0" w:rsidP="00693ED0">
      <w:pPr>
        <w:pStyle w:val="ListDash2"/>
        <w:rPr>
          <w:noProof/>
        </w:rPr>
      </w:pPr>
      <w:r w:rsidRPr="001366B4">
        <w:rPr>
          <w:rFonts w:ascii="Wingdings" w:hAnsi="Wingdings"/>
          <w:noProof/>
        </w:rPr>
        <w:t></w:t>
      </w:r>
      <w:r w:rsidRPr="001366B4">
        <w:rPr>
          <w:noProof/>
        </w:rPr>
        <w:t xml:space="preserve"> internationale organisationer og deres agenturer (angives nærmere)</w:t>
      </w:r>
    </w:p>
    <w:p w:rsidR="00693ED0" w:rsidRPr="001366B4" w:rsidRDefault="00693ED0" w:rsidP="00693ED0">
      <w:pPr>
        <w:pStyle w:val="ListDash2"/>
        <w:rPr>
          <w:noProof/>
        </w:rPr>
      </w:pPr>
      <w:r w:rsidRPr="001366B4">
        <w:rPr>
          <w:rFonts w:ascii="Wingdings" w:hAnsi="Wingdings"/>
          <w:noProof/>
        </w:rPr>
        <w:t></w:t>
      </w:r>
      <w:r w:rsidRPr="001366B4">
        <w:rPr>
          <w:noProof/>
        </w:rPr>
        <w:t xml:space="preserve"> Den Europæiske Investeringsbank og Den Europæiske Investeringsfond</w:t>
      </w:r>
    </w:p>
    <w:p w:rsidR="00693ED0" w:rsidRPr="001366B4" w:rsidRDefault="00693ED0" w:rsidP="00693ED0">
      <w:pPr>
        <w:pStyle w:val="ListDash2"/>
        <w:rPr>
          <w:noProof/>
        </w:rPr>
      </w:pPr>
      <w:r w:rsidRPr="001366B4">
        <w:rPr>
          <w:rFonts w:ascii="Wingdings" w:hAnsi="Wingdings"/>
          <w:noProof/>
        </w:rPr>
        <w:t></w:t>
      </w:r>
      <w:r w:rsidRPr="001366B4">
        <w:rPr>
          <w:noProof/>
        </w:rPr>
        <w:t xml:space="preserve"> de organer, der er omhandlet</w:t>
      </w:r>
      <w:r w:rsidR="00A87ED6" w:rsidRPr="001366B4">
        <w:rPr>
          <w:noProof/>
        </w:rPr>
        <w:t xml:space="preserve"> i fin</w:t>
      </w:r>
      <w:r w:rsidRPr="001366B4">
        <w:rPr>
          <w:noProof/>
        </w:rPr>
        <w:t>ansforordningens artikel 70 og</w:t>
      </w:r>
      <w:r w:rsidR="00A87ED6" w:rsidRPr="001366B4">
        <w:rPr>
          <w:noProof/>
        </w:rPr>
        <w:t> </w:t>
      </w:r>
      <w:r w:rsidRPr="001366B4">
        <w:rPr>
          <w:noProof/>
        </w:rPr>
        <w:t>71</w:t>
      </w:r>
    </w:p>
    <w:p w:rsidR="00693ED0" w:rsidRPr="001366B4" w:rsidRDefault="00693ED0" w:rsidP="00693ED0">
      <w:pPr>
        <w:pStyle w:val="ListDash2"/>
        <w:rPr>
          <w:noProof/>
        </w:rPr>
      </w:pPr>
      <w:r w:rsidRPr="001366B4">
        <w:rPr>
          <w:rFonts w:ascii="Wingdings" w:hAnsi="Wingdings"/>
          <w:noProof/>
        </w:rPr>
        <w:t></w:t>
      </w:r>
      <w:r w:rsidRPr="001366B4">
        <w:rPr>
          <w:noProof/>
        </w:rPr>
        <w:t xml:space="preserve"> offentligretlige organer</w:t>
      </w:r>
    </w:p>
    <w:p w:rsidR="00693ED0" w:rsidRPr="001366B4" w:rsidRDefault="00693ED0" w:rsidP="00693ED0">
      <w:pPr>
        <w:pStyle w:val="ListDash2"/>
        <w:rPr>
          <w:noProof/>
        </w:rPr>
      </w:pPr>
      <w:r w:rsidRPr="001366B4">
        <w:rPr>
          <w:rFonts w:ascii="Wingdings" w:hAnsi="Wingdings"/>
          <w:noProof/>
        </w:rPr>
        <w:t></w:t>
      </w:r>
      <w:r w:rsidRPr="001366B4">
        <w:rPr>
          <w:noProof/>
        </w:rPr>
        <w:t xml:space="preserve"> privatretlige organer, der har fået overdraget offentlige tjenesteydelsesopgaver,</w:t>
      </w:r>
      <w:r w:rsidR="00A87ED6" w:rsidRPr="001366B4">
        <w:rPr>
          <w:noProof/>
        </w:rPr>
        <w:t xml:space="preserve"> i det</w:t>
      </w:r>
      <w:r w:rsidRPr="001366B4">
        <w:rPr>
          <w:noProof/>
        </w:rPr>
        <w:t xml:space="preserve"> omfang de har fået stillet tilstrækkelige finansielle garantier</w:t>
      </w:r>
    </w:p>
    <w:p w:rsidR="00693ED0" w:rsidRPr="001366B4" w:rsidRDefault="00693ED0" w:rsidP="00693ED0">
      <w:pPr>
        <w:pStyle w:val="ListDash2"/>
        <w:rPr>
          <w:noProof/>
        </w:rPr>
      </w:pPr>
      <w:r w:rsidRPr="001366B4">
        <w:rPr>
          <w:rFonts w:ascii="Wingdings" w:hAnsi="Wingdings"/>
          <w:noProof/>
        </w:rPr>
        <w:t></w:t>
      </w:r>
      <w:r w:rsidRPr="001366B4">
        <w:rPr>
          <w:noProof/>
        </w:rPr>
        <w:t xml:space="preserve"> privatretlige organer, undergivet lovgivningen i en medlemsstat, som har fået overdraget gennemførelsen af et offentlig-privat partnerskab, og som har fået stillet tilstrækkelige finansielle garantier</w:t>
      </w:r>
    </w:p>
    <w:p w:rsidR="00693ED0" w:rsidRPr="001366B4" w:rsidRDefault="00693ED0" w:rsidP="00693ED0">
      <w:pPr>
        <w:pStyle w:val="ListDash2"/>
        <w:rPr>
          <w:noProof/>
        </w:rPr>
      </w:pPr>
      <w:r w:rsidRPr="001366B4">
        <w:rPr>
          <w:rFonts w:ascii="Wingdings" w:hAnsi="Wingdings"/>
          <w:noProof/>
        </w:rPr>
        <w:t></w:t>
      </w:r>
      <w:r w:rsidRPr="001366B4">
        <w:rPr>
          <w:noProof/>
        </w:rPr>
        <w:t xml:space="preserve"> organer eller personer, der har fået overdraget gennemførelsen af specifikke aktioner</w:t>
      </w:r>
      <w:r w:rsidR="00A87ED6" w:rsidRPr="001366B4">
        <w:rPr>
          <w:noProof/>
        </w:rPr>
        <w:t xml:space="preserve"> i den</w:t>
      </w:r>
      <w:r w:rsidRPr="001366B4">
        <w:rPr>
          <w:noProof/>
        </w:rPr>
        <w:t xml:space="preserve"> fælles udenrigs- og sikkerhedspolitik</w:t>
      </w:r>
      <w:r w:rsidR="00A87ED6" w:rsidRPr="001366B4">
        <w:rPr>
          <w:noProof/>
        </w:rPr>
        <w:t xml:space="preserve"> i hen</w:t>
      </w:r>
      <w:r w:rsidRPr="001366B4">
        <w:rPr>
          <w:noProof/>
        </w:rPr>
        <w:t>hold til afsnit V</w:t>
      </w:r>
      <w:r w:rsidR="00A87ED6" w:rsidRPr="001366B4">
        <w:rPr>
          <w:noProof/>
        </w:rPr>
        <w:t xml:space="preserve"> i tra</w:t>
      </w:r>
      <w:r w:rsidRPr="001366B4">
        <w:rPr>
          <w:noProof/>
        </w:rPr>
        <w:t>ktaten om Den Europæiske Union, og som er anført</w:t>
      </w:r>
      <w:r w:rsidR="00A87ED6" w:rsidRPr="001366B4">
        <w:rPr>
          <w:noProof/>
        </w:rPr>
        <w:t xml:space="preserve"> i den</w:t>
      </w:r>
      <w:r w:rsidRPr="001366B4">
        <w:rPr>
          <w:noProof/>
        </w:rPr>
        <w:t xml:space="preserve"> relevante basisretsakt</w:t>
      </w:r>
    </w:p>
    <w:p w:rsidR="00693ED0" w:rsidRPr="001366B4" w:rsidRDefault="00693ED0" w:rsidP="00693ED0">
      <w:pPr>
        <w:pStyle w:val="ListDash2"/>
        <w:rPr>
          <w:noProof/>
        </w:rPr>
      </w:pPr>
      <w:r w:rsidRPr="001366B4">
        <w:rPr>
          <w:rFonts w:ascii="Wingdings" w:hAnsi="Wingdings"/>
          <w:noProof/>
        </w:rPr>
        <w:t></w:t>
      </w:r>
      <w:r w:rsidRPr="001366B4">
        <w:rPr>
          <w:rFonts w:ascii="Wingdings" w:hAnsi="Wingdings"/>
          <w:noProof/>
        </w:rPr>
        <w:t></w:t>
      </w:r>
      <w:r w:rsidRPr="001366B4">
        <w:rPr>
          <w:noProof/>
        </w:rPr>
        <w:t>organer, der er etableret i en medlemsstat og undergivet lovgivningen i en medlemsstat eller EU-lovgivningen, og som</w:t>
      </w:r>
      <w:r w:rsidR="00A87ED6" w:rsidRPr="001366B4">
        <w:rPr>
          <w:noProof/>
        </w:rPr>
        <w:t xml:space="preserve"> i ove</w:t>
      </w:r>
      <w:r w:rsidRPr="001366B4">
        <w:rPr>
          <w:noProof/>
        </w:rPr>
        <w:t>rensstemmelse med sektorspecifikke regler kan få overdraget gennemførelsen af EU-midler eller budgetgarantier,</w:t>
      </w:r>
      <w:r w:rsidR="00A87ED6" w:rsidRPr="001366B4">
        <w:rPr>
          <w:noProof/>
        </w:rPr>
        <w:t xml:space="preserve"> i det</w:t>
      </w:r>
      <w:r w:rsidRPr="001366B4">
        <w:rPr>
          <w:noProof/>
        </w:rPr>
        <w:t xml:space="preserve"> omfang de kontrolleres af offentligretlige organer eller af privatretlige organer, der har fået overdraget offentlige tjenesteydelsesopgaver, og har fået stillet tilstrækkelige finansielle garantier</w:t>
      </w:r>
      <w:r w:rsidR="00A87ED6" w:rsidRPr="001366B4">
        <w:rPr>
          <w:noProof/>
        </w:rPr>
        <w:t xml:space="preserve"> i for</w:t>
      </w:r>
      <w:r w:rsidRPr="001366B4">
        <w:rPr>
          <w:noProof/>
        </w:rPr>
        <w:t>m af kontrolorganernes solidariske hæftelse eller ækvivalente finansielle garantier, som for hver foranstaltning kan begrænses til EU-støttens maksimale beløb.</w:t>
      </w:r>
    </w:p>
    <w:p w:rsidR="00693ED0" w:rsidRPr="001366B4" w:rsidRDefault="00693ED0" w:rsidP="00693ED0">
      <w:pPr>
        <w:rPr>
          <w:noProof/>
        </w:rPr>
        <w:sectPr w:rsidR="00693ED0" w:rsidRPr="001366B4" w:rsidSect="0029466A">
          <w:pgSz w:w="11907" w:h="16840" w:code="9"/>
          <w:pgMar w:top="1134" w:right="1418" w:bottom="1134" w:left="1418" w:header="709" w:footer="709" w:gutter="0"/>
          <w:cols w:space="708"/>
          <w:docGrid w:linePitch="360"/>
        </w:sectPr>
      </w:pPr>
    </w:p>
    <w:p w:rsidR="00693ED0" w:rsidRPr="001366B4" w:rsidRDefault="00693ED0" w:rsidP="00693ED0">
      <w:pPr>
        <w:pStyle w:val="ManualHeading1"/>
        <w:rPr>
          <w:bCs/>
          <w:noProof/>
          <w:szCs w:val="24"/>
        </w:rPr>
      </w:pPr>
      <w:bookmarkStart w:id="87" w:name="_Toc514938041"/>
      <w:bookmarkStart w:id="88" w:name="_Toc520485042"/>
      <w:bookmarkStart w:id="89" w:name="_Toc160804584"/>
      <w:bookmarkStart w:id="90" w:name="_Toc167220276"/>
      <w:bookmarkStart w:id="91" w:name="_Toc177549009"/>
      <w:r w:rsidRPr="001366B4">
        <w:rPr>
          <w:noProof/>
        </w:rPr>
        <w:t>2.</w:t>
      </w:r>
      <w:r w:rsidRPr="001366B4">
        <w:rPr>
          <w:noProof/>
        </w:rPr>
        <w:tab/>
        <w:t>FORVALTNINGSFORANSTALTNINGER</w:t>
      </w:r>
      <w:bookmarkEnd w:id="87"/>
      <w:bookmarkEnd w:id="88"/>
      <w:bookmarkEnd w:id="89"/>
      <w:bookmarkEnd w:id="90"/>
      <w:bookmarkEnd w:id="91"/>
      <w:r w:rsidRPr="001366B4">
        <w:rPr>
          <w:noProof/>
        </w:rPr>
        <w:t xml:space="preserve"> </w:t>
      </w:r>
    </w:p>
    <w:p w:rsidR="00693ED0" w:rsidRPr="001366B4" w:rsidRDefault="00693ED0" w:rsidP="00693ED0">
      <w:pPr>
        <w:pStyle w:val="ManualHeading2"/>
        <w:rPr>
          <w:noProof/>
        </w:rPr>
      </w:pPr>
      <w:bookmarkStart w:id="92" w:name="_Toc514938042"/>
      <w:bookmarkStart w:id="93" w:name="_Toc520485043"/>
      <w:bookmarkStart w:id="94" w:name="_Toc160804585"/>
      <w:bookmarkStart w:id="95" w:name="_Toc167220277"/>
      <w:bookmarkStart w:id="96" w:name="_Toc177549010"/>
      <w:r w:rsidRPr="001366B4">
        <w:rPr>
          <w:noProof/>
        </w:rPr>
        <w:t>2.1.</w:t>
      </w:r>
      <w:r w:rsidRPr="001366B4">
        <w:rPr>
          <w:noProof/>
        </w:rPr>
        <w:tab/>
        <w:t>Bestemmelser om overvågning og rapportering</w:t>
      </w:r>
      <w:bookmarkEnd w:id="92"/>
      <w:bookmarkEnd w:id="93"/>
      <w:bookmarkEnd w:id="94"/>
      <w:bookmarkEnd w:id="95"/>
      <w:bookmarkEnd w:id="96"/>
      <w:r w:rsidRPr="001366B4">
        <w:rPr>
          <w:noProof/>
        </w:rPr>
        <w:t xml:space="preserve"> </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97" w:name="_Toc514938045"/>
      <w:bookmarkStart w:id="98" w:name="_Toc520485044"/>
      <w:bookmarkStart w:id="99" w:name="_Toc160804586"/>
      <w:bookmarkStart w:id="100" w:name="_Toc167220278"/>
      <w:bookmarkStart w:id="101" w:name="_Toc177549011"/>
      <w:r w:rsidRPr="001366B4">
        <w:rPr>
          <w:noProof/>
        </w:rPr>
        <w:t>I henhold til artikel 75</w:t>
      </w:r>
      <w:r w:rsidR="00A87ED6" w:rsidRPr="001366B4">
        <w:rPr>
          <w:noProof/>
        </w:rPr>
        <w:t xml:space="preserve"> i for</w:t>
      </w:r>
      <w:r w:rsidRPr="001366B4">
        <w:rPr>
          <w:noProof/>
        </w:rPr>
        <w:t>ordning (EU) 2024/1348 om asylprocedurer skal medlemsstaterne udarbejde nationale gennemførelsesplaner på grundlag af den fælles gennemførelsesplan som udarbejdet af Kommissionen, som vil overvåge deres gennemførelse nøje. Når pagtens bestemmelser begynder at finde anvendelse</w:t>
      </w:r>
      <w:r w:rsidR="00A87ED6" w:rsidRPr="001366B4">
        <w:rPr>
          <w:noProof/>
        </w:rPr>
        <w:t xml:space="preserve"> i jun</w:t>
      </w:r>
      <w:r w:rsidRPr="001366B4">
        <w:rPr>
          <w:noProof/>
        </w:rPr>
        <w:t>i 2026, vil Den Europæiske Unions Asylagentur føre tilsyn med den operationelle og tekniske anvendelse af det fælles europæiske asylsystem</w:t>
      </w:r>
      <w:r w:rsidR="00A87ED6" w:rsidRPr="001366B4">
        <w:rPr>
          <w:noProof/>
        </w:rPr>
        <w:t xml:space="preserve"> i hen</w:t>
      </w:r>
      <w:r w:rsidRPr="001366B4">
        <w:rPr>
          <w:noProof/>
        </w:rPr>
        <w:t>hold til artikel 14</w:t>
      </w:r>
      <w:r w:rsidR="00A87ED6" w:rsidRPr="001366B4">
        <w:rPr>
          <w:noProof/>
        </w:rPr>
        <w:t xml:space="preserve"> i for</w:t>
      </w:r>
      <w:r w:rsidRPr="001366B4">
        <w:rPr>
          <w:noProof/>
        </w:rPr>
        <w:t>ordning (EU) 2021/2303 om Den Europæiske Unions Asylagentur, herunder gennemførelsen af begrebet sikkert tredjeland.</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Kommissionens årlige rapporter</w:t>
      </w:r>
      <w:r w:rsidR="00A87ED6" w:rsidRPr="001366B4">
        <w:rPr>
          <w:noProof/>
        </w:rPr>
        <w:t xml:space="preserve"> i hen</w:t>
      </w:r>
      <w:r w:rsidRPr="001366B4">
        <w:rPr>
          <w:noProof/>
        </w:rPr>
        <w:t>hold til artikel 9</w:t>
      </w:r>
      <w:r w:rsidR="00A87ED6" w:rsidRPr="001366B4">
        <w:rPr>
          <w:noProof/>
        </w:rPr>
        <w:t xml:space="preserve"> i for</w:t>
      </w:r>
      <w:r w:rsidRPr="001366B4">
        <w:rPr>
          <w:noProof/>
        </w:rPr>
        <w:t>ordningen om asylforvaltning og migrationsstyring vil omfatte Den Europæiske Unions Asylagenturs overvågningsresultater og vurdere, om medlemsstaterne er udsat for migrationspres eller står over for systemiske mangler, der kan påvirke Dublinsystemets funktion, herunder knyttet til anvendelsen af begrebet sikkert tredjeland. Den tilføjede gennemsigtighedsklausul vil gøre det muligt for Kommissionen at overvåge aftaler og ordninger med tredjelande</w:t>
      </w:r>
      <w:r w:rsidR="00A87ED6" w:rsidRPr="001366B4">
        <w:rPr>
          <w:noProof/>
        </w:rPr>
        <w:t xml:space="preserve"> i lys</w:t>
      </w:r>
      <w:r w:rsidRPr="001366B4">
        <w:rPr>
          <w:noProof/>
        </w:rPr>
        <w:t>et af kravene</w:t>
      </w:r>
      <w:r w:rsidR="00A87ED6" w:rsidRPr="001366B4">
        <w:rPr>
          <w:noProof/>
        </w:rPr>
        <w:t xml:space="preserve"> i for</w:t>
      </w:r>
      <w:r w:rsidRPr="001366B4">
        <w:rPr>
          <w:noProof/>
        </w:rPr>
        <w:t>ordningen om asylproceduren.</w:t>
      </w:r>
    </w:p>
    <w:p w:rsidR="00693ED0" w:rsidRPr="001366B4" w:rsidRDefault="00693ED0" w:rsidP="00693ED0">
      <w:pPr>
        <w:pStyle w:val="ManualHeading2"/>
        <w:rPr>
          <w:bCs/>
          <w:noProof/>
          <w:szCs w:val="24"/>
        </w:rPr>
      </w:pPr>
      <w:r w:rsidRPr="001366B4">
        <w:rPr>
          <w:noProof/>
        </w:rPr>
        <w:t>2.2.</w:t>
      </w:r>
      <w:r w:rsidRPr="001366B4">
        <w:rPr>
          <w:noProof/>
        </w:rPr>
        <w:tab/>
        <w:t>Forvaltnings- og kontrolsystem(er)</w:t>
      </w:r>
      <w:bookmarkEnd w:id="97"/>
      <w:bookmarkEnd w:id="98"/>
      <w:bookmarkEnd w:id="99"/>
      <w:bookmarkEnd w:id="100"/>
      <w:bookmarkEnd w:id="101"/>
      <w:r w:rsidRPr="001366B4">
        <w:rPr>
          <w:noProof/>
        </w:rPr>
        <w:t xml:space="preserve"> </w:t>
      </w:r>
    </w:p>
    <w:p w:rsidR="00693ED0" w:rsidRPr="001366B4" w:rsidRDefault="00693ED0" w:rsidP="00693ED0">
      <w:pPr>
        <w:pStyle w:val="ManualHeading3"/>
        <w:rPr>
          <w:noProof/>
        </w:rPr>
      </w:pPr>
      <w:bookmarkStart w:id="102" w:name="_Toc514938046"/>
      <w:bookmarkStart w:id="103" w:name="_Toc520485045"/>
      <w:bookmarkStart w:id="104" w:name="_Toc160804587"/>
      <w:bookmarkStart w:id="105" w:name="_Toc167220279"/>
      <w:bookmarkStart w:id="106" w:name="_Toc177549012"/>
      <w:r w:rsidRPr="001366B4">
        <w:rPr>
          <w:noProof/>
        </w:rPr>
        <w:t>2.2.1.</w:t>
      </w:r>
      <w:r w:rsidRPr="001366B4">
        <w:rPr>
          <w:noProof/>
        </w:rPr>
        <w:tab/>
        <w:t>Begrundelse for den/de foreslåede budgetgennemførelsesmetode(r), finansieringsmekanisme(r), betalingsvilkår og kontrolstrategi</w:t>
      </w:r>
      <w:bookmarkEnd w:id="102"/>
      <w:bookmarkEnd w:id="103"/>
      <w:bookmarkEnd w:id="104"/>
      <w:bookmarkEnd w:id="105"/>
      <w:bookmarkEnd w:id="106"/>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07" w:name="_Toc514938047"/>
      <w:bookmarkStart w:id="108" w:name="_Toc520485046"/>
      <w:bookmarkStart w:id="109" w:name="_Toc160804588"/>
      <w:bookmarkStart w:id="110" w:name="_Toc167220280"/>
      <w:bookmarkStart w:id="111" w:name="_Toc177549013"/>
      <w:r w:rsidRPr="001366B4">
        <w:rPr>
          <w:noProof/>
        </w:rPr>
        <w:t>Ikke relevant</w:t>
      </w:r>
    </w:p>
    <w:p w:rsidR="00693ED0" w:rsidRPr="001366B4" w:rsidRDefault="00693ED0" w:rsidP="00693ED0">
      <w:pPr>
        <w:pStyle w:val="ManualHeading3"/>
        <w:rPr>
          <w:bCs/>
          <w:noProof/>
          <w:szCs w:val="24"/>
        </w:rPr>
      </w:pPr>
      <w:r w:rsidRPr="001366B4">
        <w:rPr>
          <w:noProof/>
        </w:rPr>
        <w:t>2.2.2.</w:t>
      </w:r>
      <w:r w:rsidRPr="001366B4">
        <w:rPr>
          <w:noProof/>
        </w:rPr>
        <w:tab/>
        <w:t>Oplysninger om de konstaterede risici og det/de interne kontrolsystem(er), der etableres for at afbøde dem</w:t>
      </w:r>
      <w:bookmarkEnd w:id="107"/>
      <w:bookmarkEnd w:id="108"/>
      <w:bookmarkEnd w:id="109"/>
      <w:bookmarkEnd w:id="110"/>
      <w:bookmarkEnd w:id="111"/>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2" w:name="_Toc514938048"/>
      <w:bookmarkStart w:id="113" w:name="_Toc520485047"/>
      <w:bookmarkStart w:id="114" w:name="_Toc160804589"/>
      <w:bookmarkStart w:id="115" w:name="_Toc167220281"/>
      <w:bookmarkStart w:id="116" w:name="_Toc177549014"/>
      <w:r w:rsidRPr="001366B4">
        <w:rPr>
          <w:noProof/>
        </w:rPr>
        <w:t xml:space="preserve">En af de risici, der er forbundet med forslaget, er, at medlemsstaterne kan indgå aftaler eller ordninger med tredjelande, der ikke opfylder de nødvendige standarder. For at imødegå denne risiko er der indført en gennemsigtighedsklausul, ifølge hvilken medlemsstaterne skal underrette Kommissionen og de øvrige medlemsstater forud for indgåelsen af aftaler eller ordninger. </w:t>
      </w:r>
    </w:p>
    <w:p w:rsidR="00693ED0" w:rsidRPr="001366B4" w:rsidRDefault="00693ED0" w:rsidP="00693ED0">
      <w:pPr>
        <w:pStyle w:val="ManualHeading3"/>
        <w:rPr>
          <w:noProof/>
        </w:rPr>
      </w:pPr>
      <w:r w:rsidRPr="001366B4">
        <w:rPr>
          <w:noProof/>
        </w:rPr>
        <w:t>2.2.3.</w:t>
      </w:r>
      <w:r w:rsidRPr="001366B4">
        <w:rPr>
          <w:noProof/>
        </w:rPr>
        <w:tab/>
        <w:t>Vurdering af og begrundelse for kontrolforanstaltningernes omkostningseffektivitet (forholdet mellem kontrolomkostningerne og værdien af de forvaltede midler) samt vurdering af den forventede risiko for fejl (ved betaling og ved afslutning)</w:t>
      </w:r>
      <w:bookmarkEnd w:id="112"/>
      <w:bookmarkEnd w:id="113"/>
      <w:bookmarkEnd w:id="114"/>
      <w:bookmarkEnd w:id="115"/>
      <w:bookmarkEnd w:id="116"/>
      <w:r w:rsidRPr="001366B4">
        <w:rPr>
          <w:noProof/>
        </w:rPr>
        <w:t xml:space="preserve"> </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17" w:name="_Toc514938049"/>
      <w:bookmarkStart w:id="118" w:name="_Toc520485048"/>
      <w:bookmarkStart w:id="119" w:name="_Toc160804590"/>
      <w:bookmarkStart w:id="120" w:name="_Toc167220282"/>
      <w:bookmarkStart w:id="121" w:name="_Toc177549015"/>
      <w:r w:rsidRPr="001366B4">
        <w:rPr>
          <w:noProof/>
        </w:rPr>
        <w:t>Ikke relevant</w:t>
      </w:r>
    </w:p>
    <w:p w:rsidR="00693ED0" w:rsidRPr="001366B4" w:rsidRDefault="00693ED0" w:rsidP="00693ED0">
      <w:pPr>
        <w:pStyle w:val="ManualHeading2"/>
        <w:rPr>
          <w:bCs/>
          <w:noProof/>
          <w:szCs w:val="24"/>
        </w:rPr>
      </w:pPr>
      <w:r w:rsidRPr="001366B4">
        <w:rPr>
          <w:noProof/>
        </w:rPr>
        <w:t>2.3.</w:t>
      </w:r>
      <w:r w:rsidRPr="001366B4">
        <w:rPr>
          <w:noProof/>
        </w:rPr>
        <w:tab/>
        <w:t>Foranstaltninger til forebyggelse af svig og uregelmæssigheder</w:t>
      </w:r>
      <w:bookmarkEnd w:id="117"/>
      <w:bookmarkEnd w:id="118"/>
      <w:bookmarkEnd w:id="119"/>
      <w:bookmarkEnd w:id="120"/>
      <w:bookmarkEnd w:id="121"/>
      <w:r w:rsidRPr="001366B4">
        <w:rPr>
          <w:noProof/>
        </w:rPr>
        <w:t xml:space="preserve"> </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Ikke relevant</w:t>
      </w:r>
    </w:p>
    <w:p w:rsidR="00693ED0" w:rsidRPr="001366B4" w:rsidRDefault="00693ED0" w:rsidP="00693ED0">
      <w:pPr>
        <w:rPr>
          <w:noProof/>
        </w:rPr>
        <w:sectPr w:rsidR="00693ED0" w:rsidRPr="001366B4" w:rsidSect="0029466A">
          <w:pgSz w:w="11907" w:h="16840" w:code="9"/>
          <w:pgMar w:top="1134" w:right="1418" w:bottom="1134" w:left="1418" w:header="709" w:footer="709" w:gutter="0"/>
          <w:cols w:space="708"/>
          <w:docGrid w:linePitch="360"/>
        </w:sectPr>
      </w:pPr>
    </w:p>
    <w:p w:rsidR="00693ED0" w:rsidRPr="001366B4" w:rsidRDefault="00693ED0" w:rsidP="00693ED0">
      <w:pPr>
        <w:pStyle w:val="ManualHeading1"/>
        <w:rPr>
          <w:bCs/>
          <w:noProof/>
          <w:szCs w:val="24"/>
        </w:rPr>
      </w:pPr>
      <w:bookmarkStart w:id="122" w:name="_Toc514938050"/>
      <w:bookmarkStart w:id="123" w:name="_Toc520485049"/>
      <w:bookmarkStart w:id="124" w:name="_Toc160804591"/>
      <w:bookmarkStart w:id="125" w:name="_Toc167220283"/>
      <w:bookmarkStart w:id="126" w:name="_Toc177549016"/>
      <w:r w:rsidRPr="001366B4">
        <w:rPr>
          <w:noProof/>
        </w:rPr>
        <w:t>3.</w:t>
      </w:r>
      <w:r w:rsidRPr="001366B4">
        <w:rPr>
          <w:noProof/>
        </w:rPr>
        <w:tab/>
        <w:t>FORSLAGETS/INITIATIVETS ANSLÅEDE FINANSIELLE VIRKNINGER</w:t>
      </w:r>
      <w:bookmarkEnd w:id="122"/>
      <w:bookmarkEnd w:id="123"/>
      <w:bookmarkEnd w:id="124"/>
      <w:bookmarkEnd w:id="125"/>
      <w:bookmarkEnd w:id="126"/>
      <w:r w:rsidRPr="001366B4">
        <w:rPr>
          <w:noProof/>
        </w:rPr>
        <w:t xml:space="preserve"> </w:t>
      </w:r>
    </w:p>
    <w:p w:rsidR="00693ED0" w:rsidRPr="001366B4" w:rsidRDefault="00693ED0" w:rsidP="00693ED0">
      <w:pPr>
        <w:pStyle w:val="ManualHeading2"/>
        <w:rPr>
          <w:noProof/>
        </w:rPr>
      </w:pPr>
      <w:bookmarkStart w:id="127" w:name="_Toc514938051"/>
      <w:bookmarkStart w:id="128" w:name="_Toc520485050"/>
      <w:bookmarkStart w:id="129" w:name="_Toc160804592"/>
      <w:bookmarkStart w:id="130" w:name="_Toc167220284"/>
      <w:bookmarkStart w:id="131" w:name="_Toc177549017"/>
      <w:r w:rsidRPr="001366B4">
        <w:rPr>
          <w:noProof/>
        </w:rPr>
        <w:t>3.1.</w:t>
      </w:r>
      <w:r w:rsidRPr="001366B4">
        <w:rPr>
          <w:noProof/>
        </w:rPr>
        <w:tab/>
        <w:t>Berørt(e) udgiftsområde(r)</w:t>
      </w:r>
      <w:r w:rsidR="00A87ED6" w:rsidRPr="001366B4">
        <w:rPr>
          <w:noProof/>
        </w:rPr>
        <w:t xml:space="preserve"> i den</w:t>
      </w:r>
      <w:r w:rsidRPr="001366B4">
        <w:rPr>
          <w:noProof/>
        </w:rPr>
        <w:t xml:space="preserve"> flerårige finansielle ramme og udgiftspost(er) på budgettet</w:t>
      </w:r>
      <w:bookmarkEnd w:id="127"/>
      <w:bookmarkEnd w:id="128"/>
      <w:bookmarkEnd w:id="129"/>
      <w:bookmarkEnd w:id="130"/>
      <w:bookmarkEnd w:id="131"/>
      <w:r w:rsidRPr="001366B4">
        <w:rPr>
          <w:noProof/>
        </w:rPr>
        <w:t xml:space="preserve"> </w:t>
      </w:r>
    </w:p>
    <w:p w:rsidR="00693ED0" w:rsidRPr="001366B4" w:rsidRDefault="00693ED0" w:rsidP="00693ED0">
      <w:pPr>
        <w:pStyle w:val="Text1"/>
        <w:pBdr>
          <w:top w:val="single" w:sz="4" w:space="1" w:color="auto"/>
          <w:left w:val="single" w:sz="4" w:space="4" w:color="auto"/>
          <w:bottom w:val="single" w:sz="4" w:space="1" w:color="auto"/>
          <w:right w:val="single" w:sz="4" w:space="4" w:color="auto"/>
        </w:pBdr>
        <w:rPr>
          <w:noProof/>
        </w:rPr>
      </w:pPr>
      <w:bookmarkStart w:id="132" w:name="_Hlk157691648"/>
      <w:r w:rsidRPr="001366B4">
        <w:rPr>
          <w:noProof/>
        </w:rPr>
        <w:t xml:space="preserve">Afsnit 3 finder ikke anvendelse, da der ikke er finansielle eller personalemæssige konsekvenser. </w:t>
      </w:r>
      <w:bookmarkEnd w:id="132"/>
    </w:p>
    <w:p w:rsidR="00693ED0" w:rsidRPr="001366B4" w:rsidRDefault="00693ED0" w:rsidP="00693ED0">
      <w:pPr>
        <w:rPr>
          <w:noProof/>
        </w:rPr>
        <w:sectPr w:rsidR="00693ED0" w:rsidRPr="001366B4" w:rsidSect="0029466A">
          <w:pgSz w:w="11907" w:h="16840" w:code="1"/>
          <w:pgMar w:top="1134" w:right="1418" w:bottom="1134" w:left="1418" w:header="709" w:footer="709" w:gutter="0"/>
          <w:cols w:space="708"/>
          <w:docGrid w:linePitch="360"/>
        </w:sectPr>
      </w:pPr>
    </w:p>
    <w:p w:rsidR="00693ED0" w:rsidRPr="001366B4" w:rsidRDefault="00693ED0" w:rsidP="00693ED0">
      <w:pPr>
        <w:pStyle w:val="ManualHeading2"/>
        <w:rPr>
          <w:bCs/>
          <w:noProof/>
          <w:szCs w:val="24"/>
        </w:rPr>
      </w:pPr>
      <w:bookmarkStart w:id="133" w:name="_Toc514938052"/>
      <w:bookmarkStart w:id="134" w:name="_Toc520485051"/>
      <w:bookmarkStart w:id="135" w:name="_Toc160804593"/>
      <w:bookmarkStart w:id="136" w:name="_Toc167220285"/>
      <w:bookmarkStart w:id="137" w:name="_Toc177549018"/>
      <w:r w:rsidRPr="001366B4">
        <w:rPr>
          <w:noProof/>
        </w:rPr>
        <w:t>3.2.</w:t>
      </w:r>
      <w:r w:rsidRPr="001366B4">
        <w:rPr>
          <w:noProof/>
        </w:rPr>
        <w:tab/>
        <w:t>Forslagets anslåede finansielle virkninger for bevillingerne</w:t>
      </w:r>
      <w:bookmarkEnd w:id="133"/>
      <w:bookmarkEnd w:id="134"/>
      <w:bookmarkEnd w:id="135"/>
      <w:bookmarkEnd w:id="136"/>
      <w:bookmarkEnd w:id="137"/>
      <w:r w:rsidRPr="001366B4">
        <w:rPr>
          <w:noProof/>
        </w:rPr>
        <w:t xml:space="preserve"> </w:t>
      </w:r>
    </w:p>
    <w:p w:rsidR="00693ED0" w:rsidRPr="001366B4" w:rsidRDefault="00693ED0" w:rsidP="00693ED0">
      <w:pPr>
        <w:pStyle w:val="ManualHeading3"/>
        <w:rPr>
          <w:noProof/>
        </w:rPr>
      </w:pPr>
      <w:bookmarkStart w:id="138" w:name="_Toc514938053"/>
      <w:bookmarkStart w:id="139" w:name="_Toc520485052"/>
      <w:bookmarkStart w:id="140" w:name="_Toc160804594"/>
      <w:bookmarkStart w:id="141" w:name="_Toc167220286"/>
      <w:bookmarkStart w:id="142" w:name="_Toc177549019"/>
      <w:r w:rsidRPr="001366B4">
        <w:rPr>
          <w:noProof/>
        </w:rPr>
        <w:t>3.2.1.</w:t>
      </w:r>
      <w:r w:rsidRPr="001366B4">
        <w:rPr>
          <w:noProof/>
        </w:rPr>
        <w:tab/>
        <w:t>Sammenfatning af de anslåede virkninger for aktionsbevillingerne</w:t>
      </w:r>
      <w:bookmarkEnd w:id="138"/>
      <w:bookmarkEnd w:id="139"/>
      <w:bookmarkEnd w:id="140"/>
      <w:bookmarkEnd w:id="141"/>
      <w:bookmarkEnd w:id="142"/>
      <w:r w:rsidRPr="001366B4">
        <w:rPr>
          <w:noProof/>
        </w:rPr>
        <w:t xml:space="preserve"> </w:t>
      </w:r>
    </w:p>
    <w:p w:rsidR="00693ED0" w:rsidRPr="001366B4" w:rsidRDefault="00693ED0" w:rsidP="00693ED0">
      <w:pPr>
        <w:pStyle w:val="ListDash1"/>
        <w:rPr>
          <w:noProof/>
        </w:rPr>
      </w:pPr>
      <w:r w:rsidRPr="001366B4">
        <w:rPr>
          <w:rFonts w:ascii="Wingdings" w:hAnsi="Wingdings"/>
          <w:noProof/>
        </w:rPr>
        <w:t></w:t>
      </w:r>
      <w:r w:rsidRPr="001366B4">
        <w:rPr>
          <w:noProof/>
        </w:rPr>
        <w:tab/>
        <w:t xml:space="preserve">Forslaget/initiativet medfører ikke anvendelse af aktionsbevillinger </w:t>
      </w:r>
    </w:p>
    <w:p w:rsidR="00693ED0" w:rsidRPr="001366B4" w:rsidRDefault="00693ED0" w:rsidP="00693ED0">
      <w:pPr>
        <w:pStyle w:val="ListDash1"/>
        <w:rPr>
          <w:noProof/>
        </w:rPr>
      </w:pPr>
      <w:r w:rsidRPr="001366B4">
        <w:rPr>
          <w:rFonts w:ascii="Wingdings" w:hAnsi="Wingdings"/>
          <w:noProof/>
        </w:rPr>
        <w:t></w:t>
      </w:r>
      <w:r w:rsidRPr="001366B4">
        <w:rPr>
          <w:noProof/>
        </w:rPr>
        <w:tab/>
        <w:t>Forslaget/initiativet medfører anvendelse af aktionsbevillinger som anført herunder:</w:t>
      </w:r>
    </w:p>
    <w:p w:rsidR="00693ED0" w:rsidRPr="001366B4" w:rsidRDefault="00693ED0" w:rsidP="00693ED0">
      <w:pPr>
        <w:pStyle w:val="ManualHeading3"/>
        <w:rPr>
          <w:noProof/>
        </w:rPr>
      </w:pPr>
      <w:bookmarkStart w:id="143" w:name="_Toc160804595"/>
      <w:bookmarkStart w:id="144" w:name="_Toc167220287"/>
      <w:bookmarkStart w:id="145" w:name="_Toc177549020"/>
      <w:r w:rsidRPr="001366B4">
        <w:rPr>
          <w:noProof/>
        </w:rPr>
        <w:t>3.2.1.1.</w:t>
      </w:r>
      <w:r w:rsidRPr="001366B4">
        <w:rPr>
          <w:noProof/>
        </w:rPr>
        <w:tab/>
        <w:t>Bevillinger fra vedtaget budget</w:t>
      </w:r>
      <w:bookmarkEnd w:id="143"/>
      <w:bookmarkEnd w:id="144"/>
      <w:bookmarkEnd w:id="145"/>
    </w:p>
    <w:p w:rsidR="00693ED0" w:rsidRPr="001366B4" w:rsidRDefault="00693ED0" w:rsidP="00693ED0">
      <w:pPr>
        <w:jc w:val="right"/>
        <w:rPr>
          <w:noProof/>
          <w:sz w:val="18"/>
          <w:szCs w:val="18"/>
        </w:rPr>
      </w:pPr>
      <w:r w:rsidRPr="001366B4">
        <w:rPr>
          <w:noProof/>
          <w:sz w:val="18"/>
        </w:rPr>
        <w:t>i mio. EUR (tre decimaler)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2"/>
        <w:gridCol w:w="690"/>
        <w:gridCol w:w="243"/>
        <w:gridCol w:w="572"/>
        <w:gridCol w:w="555"/>
        <w:gridCol w:w="845"/>
        <w:gridCol w:w="430"/>
        <w:gridCol w:w="637"/>
        <w:gridCol w:w="335"/>
        <w:gridCol w:w="305"/>
        <w:gridCol w:w="1069"/>
        <w:gridCol w:w="28"/>
        <w:gridCol w:w="1041"/>
        <w:gridCol w:w="361"/>
        <w:gridCol w:w="708"/>
        <w:gridCol w:w="694"/>
        <w:gridCol w:w="375"/>
        <w:gridCol w:w="1320"/>
      </w:tblGrid>
      <w:tr w:rsidR="00693ED0" w:rsidRPr="001366B4" w:rsidTr="00E06D11">
        <w:tc>
          <w:tcPr>
            <w:tcW w:w="1739" w:type="pct"/>
            <w:gridSpan w:val="3"/>
            <w:shd w:val="clear" w:color="auto" w:fill="auto"/>
            <w:vAlign w:val="center"/>
          </w:tcPr>
          <w:p w:rsidR="00693ED0" w:rsidRPr="001366B4" w:rsidRDefault="00693ED0">
            <w:pPr>
              <w:spacing w:before="60" w:after="60"/>
              <w:jc w:val="center"/>
              <w:rPr>
                <w:b/>
                <w:noProof/>
              </w:rPr>
            </w:pPr>
            <w:r w:rsidRPr="001366B4">
              <w:rPr>
                <w:b/>
                <w:noProof/>
                <w:sz w:val="22"/>
              </w:rPr>
              <w:t>Udgiftsområde</w:t>
            </w:r>
            <w:r w:rsidR="00A87ED6" w:rsidRPr="001366B4">
              <w:rPr>
                <w:b/>
                <w:noProof/>
                <w:sz w:val="22"/>
              </w:rPr>
              <w:t xml:space="preserve"> i den</w:t>
            </w:r>
            <w:r w:rsidRPr="001366B4">
              <w:rPr>
                <w:b/>
                <w:noProof/>
                <w:sz w:val="22"/>
              </w:rPr>
              <w:t xml:space="preserve"> flerårige finansielle ramme </w:t>
            </w:r>
          </w:p>
        </w:tc>
        <w:tc>
          <w:tcPr>
            <w:tcW w:w="396" w:type="pct"/>
            <w:gridSpan w:val="2"/>
            <w:vAlign w:val="center"/>
          </w:tcPr>
          <w:p w:rsidR="00693ED0" w:rsidRPr="001366B4" w:rsidRDefault="00693ED0">
            <w:pPr>
              <w:spacing w:before="60" w:after="60"/>
              <w:jc w:val="center"/>
              <w:rPr>
                <w:noProof/>
              </w:rPr>
            </w:pPr>
            <w:r w:rsidRPr="001366B4">
              <w:rPr>
                <w:noProof/>
                <w:sz w:val="22"/>
              </w:rPr>
              <w:t>Nummer</w:t>
            </w:r>
          </w:p>
        </w:tc>
        <w:tc>
          <w:tcPr>
            <w:tcW w:w="2865" w:type="pct"/>
            <w:gridSpan w:val="13"/>
            <w:vAlign w:val="center"/>
          </w:tcPr>
          <w:p w:rsidR="00693ED0" w:rsidRPr="001366B4" w:rsidRDefault="00693ED0">
            <w:pPr>
              <w:spacing w:before="60" w:after="60"/>
              <w:rPr>
                <w:noProof/>
              </w:rPr>
            </w:pPr>
          </w:p>
        </w:tc>
      </w:tr>
      <w:tr w:rsidR="00DF2D2B" w:rsidRPr="001366B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432" w:type="pct"/>
            <w:gridSpan w:val="6"/>
            <w:vMerge w:val="restart"/>
            <w:tcBorders>
              <w:top w:val="single" w:sz="8" w:space="0" w:color="auto"/>
              <w:left w:val="single" w:sz="8" w:space="0" w:color="auto"/>
              <w:bottom w:val="single" w:sz="8" w:space="0" w:color="000000" w:themeColor="text1"/>
              <w:right w:val="single" w:sz="8" w:space="0" w:color="000000" w:themeColor="text1"/>
            </w:tcBorders>
            <w:shd w:val="clear" w:color="auto" w:fill="auto"/>
            <w:vAlign w:val="center"/>
            <w:hideMark/>
          </w:tcPr>
          <w:p w:rsidR="00693ED0" w:rsidRPr="001366B4" w:rsidRDefault="00693ED0">
            <w:pPr>
              <w:spacing w:before="0" w:after="0"/>
              <w:jc w:val="center"/>
              <w:rPr>
                <w:b/>
                <w:bCs/>
                <w:noProof/>
                <w:color w:val="000000"/>
                <w:sz w:val="22"/>
              </w:rPr>
            </w:pPr>
            <w:r w:rsidRPr="001366B4">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93"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93"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596"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I ALT FFR 2021-2027</w:t>
            </w:r>
          </w:p>
        </w:tc>
      </w:tr>
      <w:tr w:rsidR="00693ED0" w:rsidRPr="001366B4" w:rsidTr="004B061E">
        <w:trPr>
          <w:trHeight w:val="300"/>
        </w:trPr>
        <w:tc>
          <w:tcPr>
            <w:tcW w:w="2432" w:type="pct"/>
            <w:gridSpan w:val="6"/>
            <w:vMerge/>
            <w:vAlign w:val="center"/>
            <w:hideMark/>
          </w:tcPr>
          <w:p w:rsidR="00693ED0" w:rsidRPr="001366B4" w:rsidRDefault="00693ED0">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493" w:type="pct"/>
            <w:gridSpan w:val="3"/>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493" w:type="pct"/>
            <w:gridSpan w:val="2"/>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c>
          <w:tcPr>
            <w:tcW w:w="596" w:type="pct"/>
            <w:gridSpan w:val="2"/>
            <w:vMerge/>
            <w:vAlign w:val="center"/>
            <w:hideMark/>
          </w:tcPr>
          <w:p w:rsidR="00693ED0" w:rsidRPr="001366B4" w:rsidRDefault="00693ED0">
            <w:pPr>
              <w:spacing w:before="0" w:after="0"/>
              <w:jc w:val="left"/>
              <w:rPr>
                <w:b/>
                <w:bCs/>
                <w:noProof/>
                <w:color w:val="000000"/>
                <w:sz w:val="20"/>
                <w:szCs w:val="20"/>
                <w:lang w:eastAsia="en-IE"/>
              </w:rPr>
            </w:pPr>
          </w:p>
        </w:tc>
      </w:tr>
      <w:tr w:rsidR="00DF2D2B" w:rsidRPr="001366B4" w:rsidT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2"/>
        </w:trPr>
        <w:tc>
          <w:tcPr>
            <w:tcW w:w="1411" w:type="pct"/>
            <w:vMerge w:val="restart"/>
            <w:tcBorders>
              <w:top w:val="nil"/>
              <w:left w:val="single" w:sz="4" w:space="0" w:color="auto"/>
              <w:bottom w:val="single" w:sz="8" w:space="0" w:color="auto"/>
              <w:right w:val="single" w:sz="8" w:space="0" w:color="auto"/>
            </w:tcBorders>
            <w:shd w:val="clear" w:color="auto" w:fill="auto"/>
            <w:vAlign w:val="center"/>
            <w:hideMark/>
          </w:tcPr>
          <w:p w:rsidR="00693ED0" w:rsidRPr="001366B4" w:rsidRDefault="00693ED0" w:rsidP="001366B4">
            <w:pPr>
              <w:spacing w:before="0" w:after="0"/>
              <w:jc w:val="left"/>
              <w:rPr>
                <w:noProof/>
                <w:color w:val="000000"/>
                <w:sz w:val="21"/>
                <w:szCs w:val="21"/>
              </w:rPr>
            </w:pPr>
            <w:r w:rsidRPr="001366B4">
              <w:rPr>
                <w:noProof/>
                <w:color w:val="000000"/>
                <w:sz w:val="21"/>
              </w:rPr>
              <w:t>Aktionsbevillinger I ALT</w:t>
            </w:r>
            <w:r w:rsidR="00A87ED6" w:rsidRPr="001366B4">
              <w:rPr>
                <w:noProof/>
                <w:color w:val="000000"/>
                <w:sz w:val="21"/>
              </w:rPr>
              <w:t xml:space="preserve"> </w:t>
            </w:r>
            <w:r w:rsidRPr="001366B4">
              <w:rPr>
                <w:noProof/>
              </w:rPr>
              <w:cr/>
            </w:r>
            <w:r w:rsidRPr="001366B4">
              <w:rPr>
                <w:noProof/>
              </w:rPr>
              <w:br/>
            </w:r>
          </w:p>
        </w:tc>
        <w:tc>
          <w:tcPr>
            <w:tcW w:w="529" w:type="pct"/>
            <w:gridSpan w:val="3"/>
            <w:tcBorders>
              <w:top w:val="nil"/>
              <w:left w:val="nil"/>
              <w:bottom w:val="single" w:sz="8" w:space="0" w:color="auto"/>
              <w:right w:val="single" w:sz="4"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492" w:type="pct"/>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(4)</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DF2D2B" w:rsidRPr="001366B4" w:rsidT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6"/>
        </w:trPr>
        <w:tc>
          <w:tcPr>
            <w:tcW w:w="1411" w:type="pct"/>
            <w:vMerge/>
            <w:tcBorders>
              <w:top w:val="single" w:sz="8" w:space="0" w:color="auto"/>
              <w:left w:val="single" w:sz="4" w:space="0" w:color="auto"/>
              <w:right w:val="single" w:sz="4" w:space="0" w:color="auto"/>
            </w:tcBorders>
            <w:vAlign w:val="center"/>
            <w:hideMark/>
          </w:tcPr>
          <w:p w:rsidR="00693ED0" w:rsidRPr="001366B4" w:rsidRDefault="00693ED0">
            <w:pPr>
              <w:spacing w:before="0" w:after="0"/>
              <w:jc w:val="left"/>
              <w:rPr>
                <w:noProof/>
                <w:color w:val="000000"/>
                <w:sz w:val="21"/>
                <w:szCs w:val="21"/>
                <w:lang w:eastAsia="en-IE"/>
              </w:rPr>
            </w:pPr>
          </w:p>
        </w:tc>
        <w:tc>
          <w:tcPr>
            <w:tcW w:w="529" w:type="pct"/>
            <w:gridSpan w:val="3"/>
            <w:tcBorders>
              <w:top w:val="single" w:sz="8" w:space="0" w:color="auto"/>
              <w:left w:val="single" w:sz="4" w:space="0" w:color="auto"/>
              <w:bottom w:val="single" w:sz="8" w:space="0" w:color="auto"/>
              <w:right w:val="single" w:sz="4"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492" w:type="pct"/>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(5)</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DF2D2B" w:rsidRPr="001366B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24"/>
        </w:trPr>
        <w:tc>
          <w:tcPr>
            <w:tcW w:w="194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21"/>
                <w:szCs w:val="21"/>
              </w:rPr>
            </w:pPr>
            <w:r w:rsidRPr="001366B4">
              <w:rPr>
                <w:noProof/>
                <w:color w:val="000000"/>
                <w:sz w:val="21"/>
              </w:rPr>
              <w:t xml:space="preserve">Administrationsbevillinger finansieret over bevillingsrammen for særprogrammer I ALT </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DF2D2B" w:rsidRPr="001366B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4"/>
        </w:trPr>
        <w:tc>
          <w:tcPr>
            <w:tcW w:w="1411" w:type="pct"/>
            <w:tcBorders>
              <w:top w:val="nil"/>
              <w:left w:val="single" w:sz="8" w:space="0" w:color="auto"/>
              <w:bottom w:val="nil"/>
              <w:right w:val="single" w:sz="8" w:space="0" w:color="auto"/>
            </w:tcBorders>
            <w:shd w:val="clear" w:color="auto" w:fill="F1F1F1"/>
            <w:vAlign w:val="center"/>
            <w:hideMark/>
          </w:tcPr>
          <w:p w:rsidR="00693ED0" w:rsidRPr="001366B4" w:rsidRDefault="00693ED0">
            <w:pPr>
              <w:spacing w:before="0" w:after="0"/>
              <w:jc w:val="center"/>
              <w:rPr>
                <w:b/>
                <w:bCs/>
                <w:noProof/>
                <w:color w:val="000000"/>
                <w:sz w:val="22"/>
              </w:rPr>
            </w:pPr>
            <w:r w:rsidRPr="001366B4">
              <w:rPr>
                <w:b/>
                <w:noProof/>
                <w:color w:val="000000"/>
                <w:sz w:val="22"/>
              </w:rPr>
              <w:t>Bevillinger I ALT under UDGIFTSOMRÅDE &lt;….&gt;</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=4+6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DF2D2B" w:rsidRPr="001366B4" w:rsidTr="00DF2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411" w:type="pct"/>
            <w:tcBorders>
              <w:top w:val="nil"/>
              <w:left w:val="single" w:sz="8" w:space="0" w:color="auto"/>
              <w:bottom w:val="single" w:sz="8" w:space="0" w:color="auto"/>
              <w:right w:val="single" w:sz="8" w:space="0" w:color="auto"/>
            </w:tcBorders>
            <w:shd w:val="clear" w:color="auto" w:fill="F1F1F1"/>
            <w:vAlign w:val="center"/>
            <w:hideMark/>
          </w:tcPr>
          <w:p w:rsidR="00693ED0" w:rsidRPr="001366B4" w:rsidRDefault="00693ED0">
            <w:pPr>
              <w:spacing w:before="0" w:after="0"/>
              <w:jc w:val="center"/>
              <w:rPr>
                <w:noProof/>
                <w:color w:val="000000"/>
                <w:sz w:val="22"/>
              </w:rPr>
            </w:pPr>
            <w:r w:rsidRPr="001366B4">
              <w:rPr>
                <w:noProof/>
                <w:color w:val="000000"/>
                <w:sz w:val="22"/>
              </w:rPr>
              <w:t>i den flerårige finansielle ramme</w:t>
            </w:r>
          </w:p>
        </w:tc>
        <w:tc>
          <w:tcPr>
            <w:tcW w:w="529" w:type="pct"/>
            <w:gridSpan w:val="3"/>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492" w:type="pct"/>
            <w:gridSpan w:val="2"/>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=5+6</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gridSpan w:val="3"/>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59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rsidTr="00E06D11">
        <w:tblPrEx>
          <w:jc w:val="center"/>
        </w:tblPrEx>
        <w:trPr>
          <w:jc w:val="center"/>
        </w:trPr>
        <w:tc>
          <w:tcPr>
            <w:tcW w:w="1739" w:type="pct"/>
            <w:gridSpan w:val="3"/>
            <w:shd w:val="clear" w:color="auto" w:fill="auto"/>
            <w:vAlign w:val="center"/>
          </w:tcPr>
          <w:p w:rsidR="00693ED0" w:rsidRPr="001366B4" w:rsidRDefault="00693ED0">
            <w:pPr>
              <w:spacing w:before="60" w:after="60"/>
              <w:jc w:val="center"/>
              <w:rPr>
                <w:b/>
                <w:noProof/>
              </w:rPr>
            </w:pPr>
            <w:r w:rsidRPr="001366B4">
              <w:rPr>
                <w:noProof/>
              </w:rPr>
              <w:br w:type="page"/>
            </w:r>
            <w:r w:rsidRPr="001366B4">
              <w:rPr>
                <w:b/>
                <w:noProof/>
                <w:sz w:val="22"/>
              </w:rPr>
              <w:t>Udgiftsområde</w:t>
            </w:r>
            <w:r w:rsidR="00A87ED6" w:rsidRPr="001366B4">
              <w:rPr>
                <w:b/>
                <w:noProof/>
                <w:sz w:val="22"/>
              </w:rPr>
              <w:t xml:space="preserve"> i den</w:t>
            </w:r>
            <w:r w:rsidRPr="001366B4">
              <w:rPr>
                <w:b/>
                <w:noProof/>
                <w:sz w:val="22"/>
              </w:rPr>
              <w:t xml:space="preserve"> flerårige finansielle ramme </w:t>
            </w:r>
          </w:p>
        </w:tc>
        <w:tc>
          <w:tcPr>
            <w:tcW w:w="396" w:type="pct"/>
            <w:gridSpan w:val="2"/>
            <w:shd w:val="clear" w:color="auto" w:fill="auto"/>
            <w:vAlign w:val="center"/>
          </w:tcPr>
          <w:p w:rsidR="00693ED0" w:rsidRPr="001366B4" w:rsidRDefault="00693ED0">
            <w:pPr>
              <w:spacing w:before="60" w:after="60"/>
              <w:jc w:val="center"/>
              <w:rPr>
                <w:noProof/>
              </w:rPr>
            </w:pPr>
            <w:r w:rsidRPr="001366B4">
              <w:rPr>
                <w:b/>
                <w:noProof/>
                <w:sz w:val="22"/>
              </w:rPr>
              <w:t>7</w:t>
            </w:r>
          </w:p>
        </w:tc>
        <w:tc>
          <w:tcPr>
            <w:tcW w:w="2865" w:type="pct"/>
            <w:gridSpan w:val="13"/>
            <w:vAlign w:val="center"/>
          </w:tcPr>
          <w:p w:rsidR="00693ED0" w:rsidRPr="001366B4" w:rsidRDefault="00693ED0">
            <w:pPr>
              <w:spacing w:before="60" w:after="60"/>
              <w:rPr>
                <w:noProof/>
              </w:rPr>
            </w:pPr>
            <w:r w:rsidRPr="001366B4">
              <w:rPr>
                <w:noProof/>
                <w:sz w:val="22"/>
              </w:rPr>
              <w:t>"Administrationsudgifter"</w:t>
            </w:r>
            <w:r w:rsidRPr="001366B4">
              <w:rPr>
                <w:rStyle w:val="FootnoteReference"/>
                <w:noProof/>
                <w:sz w:val="22"/>
              </w:rPr>
              <w:footnoteReference w:id="21"/>
            </w: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Cs w:val="24"/>
              </w:rPr>
            </w:pPr>
            <w:r w:rsidRPr="001366B4">
              <w:rPr>
                <w:noProof/>
                <w:color w:val="000000"/>
              </w:rPr>
              <w:t>GD: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I ALT FFR 2021-2027</w:t>
            </w: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1366B4" w:rsidRDefault="00693ED0">
            <w:pPr>
              <w:spacing w:before="0" w:after="0"/>
              <w:jc w:val="left"/>
              <w:rPr>
                <w:b/>
                <w:bCs/>
                <w:noProof/>
                <w:color w:val="000000"/>
                <w:sz w:val="20"/>
                <w:szCs w:val="20"/>
                <w:lang w:eastAsia="en-IE"/>
              </w:rPr>
            </w:pP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rFonts w:ascii="Wingdings" w:hAnsi="Wingdings" w:cs="Calibri"/>
                <w:noProof/>
                <w:color w:val="000000"/>
                <w:sz w:val="22"/>
              </w:rPr>
            </w:pPr>
            <w:r w:rsidRPr="001366B4">
              <w:rPr>
                <w:rFonts w:ascii="Wingdings" w:hAnsi="Wingdings"/>
                <w:noProof/>
                <w:color w:val="000000"/>
                <w:sz w:val="22"/>
              </w:rPr>
              <w:t></w:t>
            </w:r>
            <w:r w:rsidRPr="001366B4">
              <w:rPr>
                <w:noProof/>
                <w:color w:val="000000"/>
                <w:sz w:val="22"/>
              </w:rPr>
              <w:t xml:space="preserve"> Menneskelige ressourcer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rFonts w:ascii="Wingdings" w:hAnsi="Wingdings" w:cs="Calibri"/>
                <w:noProof/>
                <w:color w:val="000000"/>
                <w:sz w:val="22"/>
              </w:rPr>
            </w:pPr>
            <w:r w:rsidRPr="001366B4">
              <w:rPr>
                <w:rFonts w:ascii="Wingdings" w:hAnsi="Wingdings"/>
                <w:noProof/>
                <w:color w:val="000000"/>
                <w:sz w:val="22"/>
              </w:rPr>
              <w:t></w:t>
            </w:r>
            <w:r w:rsidRPr="001366B4">
              <w:rPr>
                <w:noProof/>
                <w:color w:val="000000"/>
                <w:sz w:val="22"/>
              </w:rPr>
              <w:t xml:space="preserve"> Andre administrationsudgifter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2"/>
              </w:rPr>
            </w:pPr>
            <w:r w:rsidRPr="001366B4">
              <w:rPr>
                <w:b/>
                <w:noProof/>
                <w:color w:val="000000"/>
                <w:sz w:val="22"/>
              </w:rPr>
              <w:t xml:space="preserve">I ALT GD </w:t>
            </w:r>
            <w:r w:rsidRPr="001366B4">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18"/>
                <w:szCs w:val="18"/>
              </w:rPr>
            </w:pPr>
            <w:r w:rsidRPr="001366B4">
              <w:rPr>
                <w:noProof/>
                <w:color w:val="000000"/>
                <w:sz w:val="18"/>
              </w:rPr>
              <w:t xml:space="preserve">Bevillinger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1366B4"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10"/>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Cs w:val="24"/>
              </w:rPr>
            </w:pPr>
            <w:r w:rsidRPr="001366B4">
              <w:rPr>
                <w:noProof/>
                <w:color w:val="000000"/>
              </w:rPr>
              <w:t>GD: &lt;…….&gt;</w:t>
            </w:r>
          </w:p>
        </w:tc>
        <w:tc>
          <w:tcPr>
            <w:tcW w:w="376"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376" w:type="pct"/>
            <w:gridSpan w:val="2"/>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I ALT FFR 2021-2027</w:t>
            </w: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376" w:type="pct"/>
            <w:gridSpan w:val="2"/>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rsidR="00693ED0" w:rsidRPr="001366B4" w:rsidRDefault="00693ED0">
            <w:pPr>
              <w:spacing w:before="0" w:after="0"/>
              <w:jc w:val="left"/>
              <w:rPr>
                <w:b/>
                <w:bCs/>
                <w:noProof/>
                <w:color w:val="000000"/>
                <w:sz w:val="20"/>
                <w:szCs w:val="20"/>
                <w:lang w:eastAsia="en-IE"/>
              </w:rPr>
            </w:pP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rFonts w:ascii="Wingdings" w:hAnsi="Wingdings" w:cs="Calibri"/>
                <w:noProof/>
                <w:color w:val="000000"/>
                <w:sz w:val="22"/>
              </w:rPr>
            </w:pPr>
            <w:r w:rsidRPr="001366B4">
              <w:rPr>
                <w:rFonts w:ascii="Wingdings" w:hAnsi="Wingdings"/>
                <w:noProof/>
                <w:color w:val="000000"/>
                <w:sz w:val="22"/>
              </w:rPr>
              <w:t></w:t>
            </w:r>
            <w:r w:rsidRPr="001366B4">
              <w:rPr>
                <w:noProof/>
                <w:color w:val="000000"/>
                <w:sz w:val="22"/>
              </w:rPr>
              <w:t xml:space="preserve"> Menneskelige ressourcer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rFonts w:ascii="Wingdings" w:hAnsi="Wingdings" w:cs="Calibri"/>
                <w:noProof/>
                <w:color w:val="000000"/>
                <w:sz w:val="22"/>
              </w:rPr>
            </w:pPr>
            <w:r w:rsidRPr="001366B4">
              <w:rPr>
                <w:rFonts w:ascii="Wingdings" w:hAnsi="Wingdings"/>
                <w:noProof/>
                <w:color w:val="000000"/>
                <w:sz w:val="22"/>
              </w:rPr>
              <w:t></w:t>
            </w:r>
            <w:r w:rsidRPr="001366B4">
              <w:rPr>
                <w:noProof/>
                <w:color w:val="000000"/>
                <w:sz w:val="22"/>
              </w:rPr>
              <w:t xml:space="preserve"> Andre administrationsudgifter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2"/>
              </w:rPr>
            </w:pPr>
            <w:r w:rsidRPr="001366B4">
              <w:rPr>
                <w:b/>
                <w:noProof/>
                <w:color w:val="000000"/>
                <w:sz w:val="22"/>
              </w:rPr>
              <w:t xml:space="preserve">I ALT GD </w:t>
            </w:r>
            <w:r w:rsidRPr="001366B4">
              <w:rPr>
                <w:noProof/>
                <w:color w:val="000000"/>
                <w:sz w:val="22"/>
              </w:rPr>
              <w:t>&lt;…….&gt;</w:t>
            </w:r>
          </w:p>
        </w:tc>
        <w:tc>
          <w:tcPr>
            <w:tcW w:w="1378" w:type="pct"/>
            <w:gridSpan w:val="8"/>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18"/>
                <w:szCs w:val="18"/>
              </w:rPr>
            </w:pPr>
            <w:r w:rsidRPr="001366B4">
              <w:rPr>
                <w:noProof/>
                <w:color w:val="000000"/>
                <w:sz w:val="18"/>
              </w:rPr>
              <w:t xml:space="preserve">Bevillinger </w:t>
            </w:r>
          </w:p>
        </w:tc>
        <w:tc>
          <w:tcPr>
            <w:tcW w:w="37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376" w:type="pct"/>
            <w:gridSpan w:val="2"/>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gridSpan w:val="2"/>
            <w:tcBorders>
              <w:top w:val="nil"/>
              <w:left w:val="nil"/>
              <w:bottom w:val="nil"/>
              <w:right w:val="nil"/>
            </w:tcBorders>
            <w:shd w:val="clear" w:color="auto" w:fill="auto"/>
            <w:noWrap/>
            <w:vAlign w:val="bottom"/>
            <w:hideMark/>
          </w:tcPr>
          <w:p w:rsidR="00693ED0" w:rsidRPr="001366B4" w:rsidRDefault="00693ED0">
            <w:pPr>
              <w:spacing w:before="0" w:after="0"/>
              <w:jc w:val="right"/>
              <w:rPr>
                <w:b/>
                <w:bCs/>
                <w:noProof/>
                <w:color w:val="000000"/>
                <w:sz w:val="20"/>
                <w:szCs w:val="20"/>
                <w:lang w:eastAsia="en-IE"/>
              </w:rPr>
            </w:pPr>
          </w:p>
        </w:tc>
        <w:tc>
          <w:tcPr>
            <w:tcW w:w="929" w:type="pct"/>
            <w:gridSpan w:val="5"/>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224" w:type="pct"/>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225" w:type="pct"/>
            <w:gridSpan w:val="2"/>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376" w:type="pct"/>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376" w:type="pct"/>
            <w:gridSpan w:val="2"/>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465" w:type="pct"/>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r>
      <w:tr w:rsidR="00693ED0" w:rsidRPr="001366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7"/>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1366B4" w:rsidRDefault="00693ED0">
            <w:pPr>
              <w:spacing w:before="0" w:after="0"/>
              <w:jc w:val="center"/>
              <w:rPr>
                <w:b/>
                <w:bCs/>
                <w:noProof/>
                <w:color w:val="000000"/>
                <w:sz w:val="22"/>
              </w:rPr>
            </w:pPr>
            <w:r w:rsidRPr="001366B4">
              <w:rPr>
                <w:b/>
                <w:noProof/>
                <w:color w:val="000000"/>
                <w:sz w:val="22"/>
              </w:rPr>
              <w:t>Bevillinger I ALT under UDGIFTSOMRÅDE 7</w:t>
            </w:r>
            <w:r w:rsidR="00A87ED6" w:rsidRPr="001366B4">
              <w:rPr>
                <w:b/>
                <w:noProof/>
                <w:color w:val="000000"/>
                <w:sz w:val="22"/>
              </w:rPr>
              <w:t xml:space="preserve"> i den</w:t>
            </w:r>
            <w:r w:rsidRPr="001366B4">
              <w:rPr>
                <w:b/>
                <w:noProof/>
                <w:color w:val="000000"/>
                <w:sz w:val="22"/>
              </w:rPr>
              <w:t xml:space="preserve"> flerårige finansielle ramme </w:t>
            </w:r>
          </w:p>
        </w:tc>
        <w:tc>
          <w:tcPr>
            <w:tcW w:w="449" w:type="pct"/>
            <w:gridSpan w:val="3"/>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8"/>
                <w:szCs w:val="18"/>
              </w:rPr>
            </w:pPr>
            <w:r w:rsidRPr="001366B4">
              <w:rPr>
                <w:noProof/>
                <w:color w:val="000000"/>
                <w:sz w:val="18"/>
              </w:rPr>
              <w:t>(Forpligtelser</w:t>
            </w:r>
            <w:r w:rsidR="00A87ED6" w:rsidRPr="001366B4">
              <w:rPr>
                <w:noProof/>
                <w:color w:val="000000"/>
                <w:sz w:val="18"/>
              </w:rPr>
              <w:t xml:space="preserve"> i alt</w:t>
            </w:r>
            <w:r w:rsidRPr="001366B4">
              <w:rPr>
                <w:noProof/>
                <w:color w:val="000000"/>
                <w:sz w:val="18"/>
              </w:rPr>
              <w:t xml:space="preserve"> = betalinger</w:t>
            </w:r>
            <w:r w:rsidR="00A87ED6" w:rsidRPr="001366B4">
              <w:rPr>
                <w:noProof/>
                <w:color w:val="000000"/>
                <w:sz w:val="18"/>
              </w:rPr>
              <w:t xml:space="preserve"> i alt</w:t>
            </w:r>
            <w:r w:rsidRPr="001366B4">
              <w:rPr>
                <w:noProof/>
                <w:color w:val="000000"/>
                <w:sz w:val="18"/>
              </w:rPr>
              <w:t>)</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376" w:type="pct"/>
            <w:gridSpan w:val="2"/>
            <w:tcBorders>
              <w:top w:val="single" w:sz="8" w:space="0" w:color="auto"/>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bl>
    <w:p w:rsidR="00693ED0" w:rsidRPr="001366B4" w:rsidRDefault="00693ED0" w:rsidP="00693ED0">
      <w:pPr>
        <w:jc w:val="right"/>
        <w:rPr>
          <w:noProof/>
          <w:sz w:val="20"/>
        </w:rPr>
      </w:pPr>
      <w:r w:rsidRPr="001366B4">
        <w:rPr>
          <w:noProof/>
          <w:sz w:val="20"/>
        </w:rPr>
        <w:t>i mio. EUR (tre decimaler)</w:t>
      </w:r>
    </w:p>
    <w:tbl>
      <w:tblPr>
        <w:tblW w:w="5000" w:type="pct"/>
        <w:tblLook w:val="04A0" w:firstRow="1" w:lastRow="0" w:firstColumn="1" w:lastColumn="0" w:noHBand="0" w:noVBand="1"/>
      </w:tblPr>
      <w:tblGrid>
        <w:gridCol w:w="5607"/>
        <w:gridCol w:w="2080"/>
        <w:gridCol w:w="1255"/>
        <w:gridCol w:w="1254"/>
        <w:gridCol w:w="1254"/>
        <w:gridCol w:w="1254"/>
        <w:gridCol w:w="1516"/>
      </w:tblGrid>
      <w:tr w:rsidR="00693ED0" w:rsidRPr="001366B4">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Cs w:val="24"/>
              </w:rPr>
            </w:pPr>
            <w:r w:rsidRPr="001366B4">
              <w:rPr>
                <w:noProof/>
                <w:color w:val="000000"/>
              </w:rPr>
              <w:t xml:space="preserve"> </w:t>
            </w:r>
          </w:p>
        </w:tc>
        <w:tc>
          <w:tcPr>
            <w:tcW w:w="441"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41"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41"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41"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53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I ALT FFR 2021-2027</w:t>
            </w:r>
          </w:p>
        </w:tc>
      </w:tr>
      <w:tr w:rsidR="00693ED0" w:rsidRPr="001366B4">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441"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441"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441"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rsidR="00693ED0" w:rsidRPr="001366B4" w:rsidRDefault="00693ED0">
            <w:pPr>
              <w:spacing w:before="0" w:after="0"/>
              <w:jc w:val="left"/>
              <w:rPr>
                <w:b/>
                <w:bCs/>
                <w:noProof/>
                <w:color w:val="000000"/>
                <w:sz w:val="20"/>
                <w:szCs w:val="20"/>
                <w:lang w:eastAsia="en-IE"/>
              </w:rPr>
            </w:pPr>
          </w:p>
        </w:tc>
      </w:tr>
      <w:tr w:rsidR="00693ED0" w:rsidRPr="001366B4">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1366B4" w:rsidRDefault="00693ED0">
            <w:pPr>
              <w:spacing w:before="0" w:after="0"/>
              <w:jc w:val="center"/>
              <w:rPr>
                <w:b/>
                <w:bCs/>
                <w:noProof/>
                <w:color w:val="000000"/>
                <w:sz w:val="22"/>
              </w:rPr>
            </w:pPr>
            <w:r w:rsidRPr="001366B4">
              <w:rPr>
                <w:b/>
                <w:noProof/>
                <w:color w:val="000000"/>
                <w:sz w:val="22"/>
              </w:rPr>
              <w:t>Bevillinger I ALT under UDGIFTSOMRÅDE 1-7</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r>
      <w:tr w:rsidR="00693ED0" w:rsidRPr="001366B4">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1366B4" w:rsidRDefault="00693ED0">
            <w:pPr>
              <w:spacing w:before="0" w:after="0"/>
              <w:jc w:val="center"/>
              <w:rPr>
                <w:noProof/>
                <w:color w:val="000000"/>
                <w:sz w:val="22"/>
              </w:rPr>
            </w:pPr>
            <w:r w:rsidRPr="001366B4">
              <w:rPr>
                <w:noProof/>
                <w:color w:val="000000"/>
                <w:sz w:val="22"/>
              </w:rPr>
              <w:t>i den flerårige finansielle ramme</w:t>
            </w:r>
            <w:r w:rsidRPr="001366B4">
              <w:rPr>
                <w:b/>
                <w:noProof/>
                <w:color w:val="000000"/>
                <w:sz w:val="22"/>
              </w:rPr>
              <w:t xml:space="preserve"> </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r>
    </w:tbl>
    <w:p w:rsidR="00693ED0" w:rsidRPr="001366B4" w:rsidRDefault="00693ED0" w:rsidP="00693ED0">
      <w:pPr>
        <w:pStyle w:val="ManualHeading3"/>
        <w:rPr>
          <w:noProof/>
        </w:rPr>
      </w:pPr>
      <w:bookmarkStart w:id="146" w:name="_Toc160804596"/>
      <w:bookmarkStart w:id="147" w:name="_Toc167220288"/>
      <w:bookmarkStart w:id="148" w:name="_Toc177549021"/>
      <w:r w:rsidRPr="001366B4">
        <w:rPr>
          <w:noProof/>
        </w:rPr>
        <w:t>3.2.1.2.</w:t>
      </w:r>
      <w:r w:rsidRPr="001366B4">
        <w:rPr>
          <w:noProof/>
        </w:rPr>
        <w:tab/>
        <w:t>Bevillinger fra eksterne formålsbestemte indtægter</w:t>
      </w:r>
      <w:bookmarkEnd w:id="146"/>
      <w:bookmarkEnd w:id="147"/>
      <w:bookmarkEnd w:id="148"/>
    </w:p>
    <w:p w:rsidR="00693ED0" w:rsidRPr="001366B4" w:rsidRDefault="00693ED0" w:rsidP="00693ED0">
      <w:pPr>
        <w:jc w:val="right"/>
        <w:rPr>
          <w:noProof/>
          <w:sz w:val="18"/>
          <w:szCs w:val="18"/>
        </w:rPr>
      </w:pPr>
      <w:r w:rsidRPr="001366B4">
        <w:rPr>
          <w:noProof/>
          <w:sz w:val="18"/>
        </w:rPr>
        <w:t>i mio. EUR (tre decimaler)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1366B4">
        <w:trPr>
          <w:jc w:val="center"/>
        </w:trPr>
        <w:tc>
          <w:tcPr>
            <w:tcW w:w="1739" w:type="pct"/>
            <w:shd w:val="thinDiagStripe" w:color="C0C0C0" w:fill="auto"/>
            <w:vAlign w:val="center"/>
          </w:tcPr>
          <w:p w:rsidR="00693ED0" w:rsidRPr="001366B4" w:rsidRDefault="00693ED0">
            <w:pPr>
              <w:spacing w:before="60" w:after="60"/>
              <w:jc w:val="center"/>
              <w:rPr>
                <w:b/>
                <w:noProof/>
              </w:rPr>
            </w:pPr>
            <w:r w:rsidRPr="001366B4">
              <w:rPr>
                <w:b/>
                <w:noProof/>
                <w:sz w:val="22"/>
              </w:rPr>
              <w:t>Udgiftsområde</w:t>
            </w:r>
            <w:r w:rsidR="00A87ED6" w:rsidRPr="001366B4">
              <w:rPr>
                <w:b/>
                <w:noProof/>
                <w:sz w:val="22"/>
              </w:rPr>
              <w:t xml:space="preserve"> i den</w:t>
            </w:r>
            <w:r w:rsidRPr="001366B4">
              <w:rPr>
                <w:b/>
                <w:noProof/>
                <w:sz w:val="22"/>
              </w:rPr>
              <w:t xml:space="preserve"> flerårige finansielle ramme </w:t>
            </w:r>
          </w:p>
        </w:tc>
        <w:tc>
          <w:tcPr>
            <w:tcW w:w="396" w:type="pct"/>
            <w:vAlign w:val="center"/>
          </w:tcPr>
          <w:p w:rsidR="00693ED0" w:rsidRPr="001366B4" w:rsidRDefault="00693ED0">
            <w:pPr>
              <w:spacing w:before="60" w:after="60"/>
              <w:jc w:val="center"/>
              <w:rPr>
                <w:noProof/>
              </w:rPr>
            </w:pPr>
            <w:r w:rsidRPr="001366B4">
              <w:rPr>
                <w:noProof/>
                <w:sz w:val="22"/>
              </w:rPr>
              <w:t>Nummer</w:t>
            </w:r>
          </w:p>
        </w:tc>
        <w:tc>
          <w:tcPr>
            <w:tcW w:w="2865" w:type="pct"/>
            <w:vAlign w:val="center"/>
          </w:tcPr>
          <w:p w:rsidR="00693ED0" w:rsidRPr="001366B4" w:rsidRDefault="00693ED0">
            <w:pPr>
              <w:spacing w:before="60" w:after="60"/>
              <w:rPr>
                <w:noProof/>
              </w:rPr>
            </w:pPr>
          </w:p>
        </w:tc>
      </w:tr>
    </w:tbl>
    <w:p w:rsidR="00693ED0" w:rsidRPr="001366B4" w:rsidRDefault="00693ED0" w:rsidP="00693ED0">
      <w:pPr>
        <w:rPr>
          <w:noProof/>
          <w:sz w:val="16"/>
        </w:rPr>
      </w:pPr>
    </w:p>
    <w:tbl>
      <w:tblPr>
        <w:tblW w:w="5000" w:type="pct"/>
        <w:tblLook w:val="04A0" w:firstRow="1" w:lastRow="0" w:firstColumn="1" w:lastColumn="0" w:noHBand="0" w:noVBand="1"/>
      </w:tblPr>
      <w:tblGrid>
        <w:gridCol w:w="4035"/>
        <w:gridCol w:w="1504"/>
        <w:gridCol w:w="1411"/>
        <w:gridCol w:w="1411"/>
        <w:gridCol w:w="1411"/>
        <w:gridCol w:w="1411"/>
        <w:gridCol w:w="1359"/>
        <w:gridCol w:w="1678"/>
      </w:tblGrid>
      <w:tr w:rsidR="00693ED0" w:rsidRPr="001366B4" w:rsidTr="001366B4">
        <w:trPr>
          <w:trHeight w:val="420"/>
        </w:trPr>
        <w:tc>
          <w:tcPr>
            <w:tcW w:w="2444" w:type="pct"/>
            <w:gridSpan w:val="3"/>
            <w:vMerge w:val="restart"/>
            <w:tcBorders>
              <w:top w:val="single" w:sz="8" w:space="0" w:color="auto"/>
              <w:left w:val="single" w:sz="4"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2"/>
              </w:rPr>
            </w:pPr>
            <w:r w:rsidRPr="001366B4">
              <w:rPr>
                <w:noProof/>
                <w:color w:val="000000"/>
                <w:sz w:val="22"/>
              </w:rPr>
              <w:t>GD: &lt;…….&gt;</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78"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59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I ALT FFR 2021-2027</w:t>
            </w:r>
          </w:p>
        </w:tc>
      </w:tr>
      <w:tr w:rsidR="00693ED0" w:rsidRPr="001366B4" w:rsidTr="001366B4">
        <w:trPr>
          <w:trHeight w:val="288"/>
        </w:trPr>
        <w:tc>
          <w:tcPr>
            <w:tcW w:w="2444" w:type="pct"/>
            <w:gridSpan w:val="3"/>
            <w:vMerge/>
            <w:tcBorders>
              <w:left w:val="single" w:sz="4" w:space="0" w:color="auto"/>
            </w:tcBorders>
            <w:vAlign w:val="center"/>
            <w:hideMark/>
          </w:tcPr>
          <w:p w:rsidR="00693ED0" w:rsidRPr="001366B4" w:rsidRDefault="00693ED0">
            <w:pPr>
              <w:spacing w:before="0" w:after="0"/>
              <w:jc w:val="left"/>
              <w:rPr>
                <w:noProof/>
                <w:color w:val="000000"/>
                <w:sz w:val="22"/>
                <w:lang w:eastAsia="en-IE"/>
              </w:rPr>
            </w:pP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478"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c>
          <w:tcPr>
            <w:tcW w:w="590" w:type="pct"/>
            <w:vMerge/>
            <w:vAlign w:val="center"/>
            <w:hideMark/>
          </w:tcPr>
          <w:p w:rsidR="00693ED0" w:rsidRPr="001366B4" w:rsidRDefault="00693ED0">
            <w:pPr>
              <w:spacing w:before="0" w:after="0"/>
              <w:jc w:val="left"/>
              <w:rPr>
                <w:b/>
                <w:bCs/>
                <w:noProof/>
                <w:color w:val="000000"/>
                <w:sz w:val="20"/>
                <w:szCs w:val="20"/>
                <w:lang w:eastAsia="en-IE"/>
              </w:rPr>
            </w:pPr>
          </w:p>
        </w:tc>
      </w:tr>
      <w:tr w:rsidR="00693ED0" w:rsidRPr="001366B4" w:rsidTr="001366B4">
        <w:trPr>
          <w:trHeight w:val="300"/>
        </w:trPr>
        <w:tc>
          <w:tcPr>
            <w:tcW w:w="5000" w:type="pct"/>
            <w:gridSpan w:val="8"/>
            <w:tcBorders>
              <w:top w:val="single" w:sz="8" w:space="0" w:color="auto"/>
              <w:left w:val="single" w:sz="4"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21"/>
                <w:szCs w:val="21"/>
              </w:rPr>
            </w:pPr>
            <w:r w:rsidRPr="001366B4">
              <w:rPr>
                <w:noProof/>
                <w:color w:val="000000"/>
                <w:sz w:val="21"/>
              </w:rPr>
              <w:t xml:space="preserve">Aktionsbevillinger </w:t>
            </w:r>
          </w:p>
        </w:tc>
      </w:tr>
      <w:tr w:rsidR="00DF2D2B" w:rsidRPr="001366B4" w:rsidTr="001366B4">
        <w:trPr>
          <w:trHeight w:val="288"/>
        </w:trPr>
        <w:tc>
          <w:tcPr>
            <w:tcW w:w="1419" w:type="pct"/>
            <w:vMerge w:val="restart"/>
            <w:tcBorders>
              <w:top w:val="nil"/>
              <w:left w:val="single" w:sz="4" w:space="0" w:color="auto"/>
              <w:bottom w:val="single" w:sz="8" w:space="0" w:color="auto"/>
              <w:right w:val="single" w:sz="4" w:space="0" w:color="auto"/>
            </w:tcBorders>
            <w:shd w:val="clear" w:color="auto" w:fill="auto"/>
            <w:noWrap/>
            <w:vAlign w:val="center"/>
            <w:hideMark/>
          </w:tcPr>
          <w:p w:rsidR="00693ED0" w:rsidRPr="001366B4" w:rsidRDefault="00693ED0">
            <w:pPr>
              <w:spacing w:before="0" w:after="0"/>
              <w:jc w:val="left"/>
              <w:rPr>
                <w:noProof/>
                <w:color w:val="000000"/>
                <w:sz w:val="22"/>
              </w:rPr>
            </w:pPr>
            <w:r w:rsidRPr="001366B4">
              <w:rPr>
                <w:noProof/>
                <w:color w:val="000000"/>
                <w:sz w:val="22"/>
              </w:rPr>
              <w:t>Budgetpost</w:t>
            </w:r>
          </w:p>
        </w:tc>
        <w:tc>
          <w:tcPr>
            <w:tcW w:w="529" w:type="pct"/>
            <w:tcBorders>
              <w:top w:val="nil"/>
              <w:left w:val="single" w:sz="4" w:space="0" w:color="auto"/>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(1a)</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DF2D2B" w:rsidRPr="001366B4" w:rsidTr="001366B4">
        <w:trPr>
          <w:trHeight w:val="315"/>
        </w:trPr>
        <w:tc>
          <w:tcPr>
            <w:tcW w:w="1419" w:type="pct"/>
            <w:vMerge/>
            <w:tcBorders>
              <w:left w:val="single" w:sz="4" w:space="0" w:color="auto"/>
              <w:right w:val="single" w:sz="4" w:space="0" w:color="auto"/>
            </w:tcBorders>
            <w:vAlign w:val="center"/>
            <w:hideMark/>
          </w:tcPr>
          <w:p w:rsidR="00693ED0" w:rsidRPr="001366B4" w:rsidRDefault="00693ED0">
            <w:pPr>
              <w:spacing w:before="0" w:after="0"/>
              <w:jc w:val="left"/>
              <w:rPr>
                <w:noProof/>
                <w:color w:val="000000"/>
                <w:sz w:val="22"/>
                <w:lang w:eastAsia="en-IE"/>
              </w:rPr>
            </w:pPr>
          </w:p>
        </w:tc>
        <w:tc>
          <w:tcPr>
            <w:tcW w:w="529" w:type="pct"/>
            <w:tcBorders>
              <w:top w:val="nil"/>
              <w:left w:val="single" w:sz="4" w:space="0" w:color="auto"/>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(2a)</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DF2D2B" w:rsidRPr="001366B4" w:rsidTr="001366B4">
        <w:trPr>
          <w:trHeight w:val="315"/>
        </w:trPr>
        <w:tc>
          <w:tcPr>
            <w:tcW w:w="1419" w:type="pct"/>
            <w:vMerge w:val="restart"/>
            <w:tcBorders>
              <w:top w:val="nil"/>
              <w:left w:val="single" w:sz="4" w:space="0" w:color="auto"/>
              <w:bottom w:val="single" w:sz="8" w:space="0" w:color="auto"/>
              <w:right w:val="single" w:sz="4" w:space="0" w:color="auto"/>
            </w:tcBorders>
            <w:shd w:val="clear" w:color="auto" w:fill="auto"/>
            <w:vAlign w:val="center"/>
            <w:hideMark/>
          </w:tcPr>
          <w:p w:rsidR="00693ED0" w:rsidRPr="001366B4" w:rsidRDefault="00693ED0">
            <w:pPr>
              <w:spacing w:before="0" w:after="0"/>
              <w:rPr>
                <w:noProof/>
                <w:color w:val="000000"/>
                <w:sz w:val="20"/>
                <w:szCs w:val="20"/>
              </w:rPr>
            </w:pPr>
            <w:r w:rsidRPr="001366B4">
              <w:rPr>
                <w:noProof/>
                <w:color w:val="000000"/>
                <w:sz w:val="20"/>
              </w:rPr>
              <w:t>Budgetpost</w:t>
            </w:r>
          </w:p>
        </w:tc>
        <w:tc>
          <w:tcPr>
            <w:tcW w:w="529" w:type="pct"/>
            <w:tcBorders>
              <w:top w:val="nil"/>
              <w:left w:val="single" w:sz="4" w:space="0" w:color="auto"/>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(1b)</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DF2D2B" w:rsidRPr="001366B4" w:rsidTr="001366B4">
        <w:trPr>
          <w:trHeight w:val="315"/>
        </w:trPr>
        <w:tc>
          <w:tcPr>
            <w:tcW w:w="1419" w:type="pct"/>
            <w:vMerge/>
            <w:tcBorders>
              <w:left w:val="single" w:sz="4" w:space="0" w:color="auto"/>
              <w:right w:val="single" w:sz="4" w:space="0" w:color="auto"/>
            </w:tcBorders>
            <w:vAlign w:val="center"/>
            <w:hideMark/>
          </w:tcPr>
          <w:p w:rsidR="00693ED0" w:rsidRPr="001366B4" w:rsidRDefault="00693ED0">
            <w:pPr>
              <w:spacing w:before="0" w:after="0"/>
              <w:jc w:val="left"/>
              <w:rPr>
                <w:noProof/>
                <w:color w:val="000000"/>
                <w:sz w:val="20"/>
                <w:szCs w:val="20"/>
                <w:lang w:eastAsia="en-IE"/>
              </w:rPr>
            </w:pPr>
          </w:p>
        </w:tc>
        <w:tc>
          <w:tcPr>
            <w:tcW w:w="529" w:type="pct"/>
            <w:tcBorders>
              <w:top w:val="nil"/>
              <w:left w:val="single" w:sz="4" w:space="0" w:color="auto"/>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(2b)</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20"/>
                <w:szCs w:val="20"/>
              </w:rPr>
            </w:pPr>
            <w:r w:rsidRPr="001366B4">
              <w:rPr>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rsidTr="001366B4">
        <w:trPr>
          <w:trHeight w:val="288"/>
        </w:trPr>
        <w:tc>
          <w:tcPr>
            <w:tcW w:w="5000" w:type="pct"/>
            <w:gridSpan w:val="8"/>
            <w:tcBorders>
              <w:top w:val="single" w:sz="8" w:space="0" w:color="auto"/>
              <w:left w:val="single" w:sz="4" w:space="0" w:color="auto"/>
              <w:bottom w:val="single" w:sz="8" w:space="0" w:color="auto"/>
              <w:right w:val="single" w:sz="8" w:space="0" w:color="auto"/>
            </w:tcBorders>
            <w:shd w:val="clear" w:color="auto" w:fill="auto"/>
            <w:noWrap/>
            <w:vAlign w:val="bottom"/>
            <w:hideMark/>
          </w:tcPr>
          <w:p w:rsidR="00693ED0" w:rsidRPr="001366B4" w:rsidRDefault="00693ED0">
            <w:pPr>
              <w:spacing w:before="0" w:after="0"/>
              <w:jc w:val="left"/>
              <w:rPr>
                <w:noProof/>
                <w:color w:val="000000"/>
                <w:sz w:val="22"/>
              </w:rPr>
            </w:pPr>
            <w:r w:rsidRPr="001366B4">
              <w:rPr>
                <w:noProof/>
                <w:color w:val="000000"/>
                <w:sz w:val="22"/>
              </w:rPr>
              <w:t>Administrationsbevillinger finansieret over bevillingsrammen for særprogrammer</w:t>
            </w:r>
            <w:r w:rsidRPr="001366B4">
              <w:rPr>
                <w:rStyle w:val="FootnoteReference"/>
                <w:noProof/>
                <w:color w:val="000000"/>
                <w:sz w:val="22"/>
                <w:lang w:eastAsia="en-IE"/>
              </w:rPr>
              <w:footnoteReference w:id="22"/>
            </w:r>
          </w:p>
        </w:tc>
      </w:tr>
      <w:tr w:rsidR="00DF2D2B" w:rsidRPr="001366B4" w:rsidTr="001366B4">
        <w:trPr>
          <w:trHeight w:val="288"/>
        </w:trPr>
        <w:tc>
          <w:tcPr>
            <w:tcW w:w="1419" w:type="pct"/>
            <w:tcBorders>
              <w:top w:val="nil"/>
              <w:left w:val="single" w:sz="4" w:space="0" w:color="auto"/>
              <w:bottom w:val="single" w:sz="8" w:space="0" w:color="auto"/>
              <w:right w:val="single" w:sz="4" w:space="0" w:color="auto"/>
            </w:tcBorders>
            <w:shd w:val="clear" w:color="auto" w:fill="auto"/>
            <w:vAlign w:val="center"/>
            <w:hideMark/>
          </w:tcPr>
          <w:p w:rsidR="00693ED0" w:rsidRPr="001366B4" w:rsidRDefault="00693ED0">
            <w:pPr>
              <w:spacing w:before="0" w:after="0"/>
              <w:rPr>
                <w:noProof/>
                <w:color w:val="000000"/>
                <w:sz w:val="20"/>
                <w:szCs w:val="20"/>
              </w:rPr>
            </w:pPr>
            <w:r w:rsidRPr="001366B4">
              <w:rPr>
                <w:noProof/>
                <w:color w:val="000000"/>
                <w:sz w:val="20"/>
              </w:rPr>
              <w:t>Budgetpost</w:t>
            </w:r>
          </w:p>
        </w:tc>
        <w:tc>
          <w:tcPr>
            <w:tcW w:w="529" w:type="pct"/>
            <w:tcBorders>
              <w:top w:val="nil"/>
              <w:left w:val="single" w:sz="4"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right"/>
              <w:rPr>
                <w:noProof/>
                <w:color w:val="000000"/>
                <w:sz w:val="18"/>
                <w:szCs w:val="18"/>
              </w:rPr>
            </w:pPr>
            <w:r w:rsidRPr="001366B4">
              <w:rPr>
                <w:noProof/>
                <w:color w:val="000000"/>
                <w:sz w:val="18"/>
              </w:rPr>
              <w:t xml:space="preserve"> </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(3)</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 xml:space="preserve"> </w:t>
            </w:r>
          </w:p>
        </w:tc>
        <w:tc>
          <w:tcPr>
            <w:tcW w:w="496"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 xml:space="preserve"> </w:t>
            </w:r>
          </w:p>
        </w:tc>
        <w:tc>
          <w:tcPr>
            <w:tcW w:w="478"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 xml:space="preserve"> </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DF2D2B" w:rsidRPr="001366B4" w:rsidTr="001366B4">
        <w:trPr>
          <w:trHeight w:val="288"/>
        </w:trPr>
        <w:tc>
          <w:tcPr>
            <w:tcW w:w="1419" w:type="pct"/>
            <w:vMerge w:val="restart"/>
            <w:tcBorders>
              <w:top w:val="nil"/>
              <w:left w:val="single" w:sz="4" w:space="0" w:color="auto"/>
              <w:right w:val="single" w:sz="4" w:space="0" w:color="auto"/>
            </w:tcBorders>
            <w:shd w:val="clear" w:color="auto" w:fill="auto"/>
            <w:vAlign w:val="center"/>
            <w:hideMark/>
          </w:tcPr>
          <w:p w:rsidR="00693ED0" w:rsidRPr="001366B4" w:rsidRDefault="00693ED0">
            <w:pPr>
              <w:spacing w:before="0" w:after="0"/>
              <w:jc w:val="center"/>
              <w:rPr>
                <w:b/>
                <w:bCs/>
                <w:noProof/>
                <w:color w:val="000000"/>
                <w:sz w:val="22"/>
              </w:rPr>
            </w:pPr>
            <w:r w:rsidRPr="001366B4">
              <w:rPr>
                <w:b/>
                <w:noProof/>
                <w:color w:val="000000"/>
                <w:sz w:val="22"/>
              </w:rPr>
              <w:t>Bevillinger I ALT</w:t>
            </w:r>
          </w:p>
          <w:p w:rsidR="00693ED0" w:rsidRPr="001366B4" w:rsidRDefault="00693ED0">
            <w:pPr>
              <w:spacing w:before="0" w:after="0"/>
              <w:jc w:val="center"/>
              <w:rPr>
                <w:b/>
                <w:bCs/>
                <w:noProof/>
                <w:color w:val="000000"/>
                <w:sz w:val="22"/>
              </w:rPr>
            </w:pPr>
            <w:r w:rsidRPr="001366B4">
              <w:rPr>
                <w:b/>
                <w:noProof/>
                <w:color w:val="000000"/>
                <w:sz w:val="22"/>
              </w:rPr>
              <w:t xml:space="preserve">til GD </w:t>
            </w:r>
            <w:r w:rsidRPr="001366B4">
              <w:rPr>
                <w:noProof/>
                <w:color w:val="000000"/>
                <w:sz w:val="22"/>
              </w:rPr>
              <w:t>&lt;…….&gt;</w:t>
            </w:r>
          </w:p>
        </w:tc>
        <w:tc>
          <w:tcPr>
            <w:tcW w:w="529" w:type="pct"/>
            <w:tcBorders>
              <w:top w:val="nil"/>
              <w:left w:val="single" w:sz="4" w:space="0" w:color="auto"/>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=1a+1b+3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DF2D2B" w:rsidRPr="001366B4" w:rsidTr="001366B4">
        <w:trPr>
          <w:trHeight w:val="288"/>
        </w:trPr>
        <w:tc>
          <w:tcPr>
            <w:tcW w:w="1419" w:type="pct"/>
            <w:vMerge/>
            <w:tcBorders>
              <w:left w:val="single" w:sz="4" w:space="0" w:color="auto"/>
              <w:right w:val="single" w:sz="4" w:space="0" w:color="auto"/>
            </w:tcBorders>
            <w:vAlign w:val="center"/>
            <w:hideMark/>
          </w:tcPr>
          <w:p w:rsidR="00693ED0" w:rsidRPr="001366B4" w:rsidRDefault="00693ED0">
            <w:pPr>
              <w:spacing w:before="0" w:after="0"/>
              <w:jc w:val="center"/>
              <w:rPr>
                <w:b/>
                <w:bCs/>
                <w:noProof/>
                <w:color w:val="000000"/>
                <w:sz w:val="22"/>
                <w:lang w:eastAsia="en-IE"/>
              </w:rPr>
            </w:pPr>
          </w:p>
        </w:tc>
        <w:tc>
          <w:tcPr>
            <w:tcW w:w="529" w:type="pct"/>
            <w:tcBorders>
              <w:top w:val="nil"/>
              <w:left w:val="single" w:sz="4" w:space="0" w:color="auto"/>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496"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=2a+2b+3</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6"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78"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590" w:type="pct"/>
            <w:tcBorders>
              <w:top w:val="nil"/>
              <w:left w:val="nil"/>
              <w:bottom w:val="single" w:sz="8" w:space="0" w:color="auto"/>
              <w:right w:val="single" w:sz="8" w:space="0" w:color="auto"/>
            </w:tcBorders>
            <w:shd w:val="clear" w:color="auto" w:fill="D9D9D9" w:themeFill="background1" w:themeFillShade="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bl>
    <w:p w:rsidR="00693ED0" w:rsidRPr="001366B4" w:rsidRDefault="00693ED0" w:rsidP="001366B4">
      <w:pPr>
        <w:pBdr>
          <w:left w:val="single" w:sz="4" w:space="4" w:color="auto"/>
        </w:pBdr>
        <w:spacing w:after="40"/>
        <w:rPr>
          <w:noProof/>
        </w:rPr>
      </w:pPr>
      <w:r w:rsidRPr="001366B4">
        <w:rPr>
          <w:noProof/>
        </w:rPr>
        <w:t>Obligatorisk tabel:</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1366B4">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1366B4" w:rsidRDefault="00693ED0">
            <w:pPr>
              <w:spacing w:before="0" w:after="0"/>
              <w:jc w:val="center"/>
              <w:rPr>
                <w:b/>
                <w:bCs/>
                <w:noProof/>
                <w:color w:val="000000"/>
                <w:sz w:val="22"/>
              </w:rPr>
            </w:pPr>
            <w:r w:rsidRPr="001366B4">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I ALT FFR 2021-2027</w:t>
            </w:r>
          </w:p>
        </w:tc>
      </w:tr>
      <w:tr w:rsidR="00693ED0" w:rsidRPr="001366B4">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1366B4"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b/>
                <w:bCs/>
                <w:noProof/>
                <w:color w:val="000000"/>
                <w:sz w:val="20"/>
                <w:szCs w:val="20"/>
                <w:lang w:eastAsia="en-IE"/>
              </w:rPr>
            </w:pPr>
          </w:p>
        </w:tc>
      </w:tr>
      <w:tr w:rsidR="00693ED0" w:rsidRPr="001366B4">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rsidP="001366B4">
            <w:pPr>
              <w:spacing w:before="0" w:after="0"/>
              <w:jc w:val="left"/>
              <w:rPr>
                <w:noProof/>
                <w:color w:val="000000"/>
                <w:sz w:val="21"/>
                <w:szCs w:val="21"/>
              </w:rPr>
            </w:pPr>
            <w:r w:rsidRPr="001366B4">
              <w:rPr>
                <w:noProof/>
                <w:color w:val="000000"/>
                <w:sz w:val="21"/>
              </w:rPr>
              <w:t>Aktionsbevillinger I ALT</w:t>
            </w:r>
            <w:r w:rsidR="00A87ED6" w:rsidRPr="001366B4">
              <w:rPr>
                <w:noProof/>
                <w:color w:val="000000"/>
                <w:sz w:val="21"/>
              </w:rPr>
              <w:t xml:space="preserve"> </w:t>
            </w:r>
            <w:r w:rsidRPr="001366B4">
              <w:rPr>
                <w:noProof/>
              </w:rPr>
              <w:cr/>
            </w:r>
            <w:r w:rsidRPr="001366B4">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21"/>
                <w:szCs w:val="21"/>
              </w:rPr>
            </w:pPr>
            <w:r w:rsidRPr="001366B4">
              <w:rPr>
                <w:noProof/>
                <w:color w:val="000000"/>
                <w:sz w:val="21"/>
              </w:rPr>
              <w:t xml:space="preserve">Administrationsbevillinger finansieret over bevillingsrammen for særprogrammer I ALT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1366B4" w:rsidRDefault="00693ED0">
            <w:pPr>
              <w:spacing w:before="0" w:after="0"/>
              <w:jc w:val="center"/>
              <w:rPr>
                <w:b/>
                <w:bCs/>
                <w:noProof/>
                <w:color w:val="000000"/>
                <w:sz w:val="22"/>
              </w:rPr>
            </w:pPr>
            <w:r w:rsidRPr="001366B4">
              <w:rPr>
                <w:b/>
                <w:noProof/>
                <w:color w:val="000000"/>
                <w:sz w:val="22"/>
              </w:rPr>
              <w:t>Bevillinger I ALT under UDGIFTSOMRÅDE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1366B4" w:rsidRDefault="00693ED0">
            <w:pPr>
              <w:spacing w:before="0" w:after="0"/>
              <w:jc w:val="center"/>
              <w:rPr>
                <w:noProof/>
                <w:color w:val="000000"/>
                <w:sz w:val="22"/>
              </w:rPr>
            </w:pPr>
            <w:r w:rsidRPr="001366B4">
              <w:rPr>
                <w:noProof/>
                <w:color w:val="000000"/>
                <w:sz w:val="22"/>
              </w:rPr>
              <w:t>i den flerårige finansielle ramme</w:t>
            </w:r>
          </w:p>
        </w:tc>
        <w:tc>
          <w:tcPr>
            <w:tcW w:w="529"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bl>
    <w:p w:rsidR="00693ED0" w:rsidRPr="001366B4" w:rsidRDefault="00693ED0" w:rsidP="00693ED0">
      <w:pPr>
        <w:spacing w:after="40"/>
        <w:rPr>
          <w:noProof/>
        </w:rPr>
      </w:pPr>
      <w:r w:rsidRPr="001366B4">
        <w:rPr>
          <w:noProof/>
        </w:rPr>
        <w:t>Obligatorisk tabel</w:t>
      </w:r>
    </w:p>
    <w:tbl>
      <w:tblPr>
        <w:tblW w:w="5000" w:type="pct"/>
        <w:tblLook w:val="04A0" w:firstRow="1" w:lastRow="0" w:firstColumn="1" w:lastColumn="0" w:noHBand="0" w:noVBand="1"/>
      </w:tblPr>
      <w:tblGrid>
        <w:gridCol w:w="4014"/>
        <w:gridCol w:w="1504"/>
        <w:gridCol w:w="1399"/>
        <w:gridCol w:w="1402"/>
        <w:gridCol w:w="1402"/>
        <w:gridCol w:w="1402"/>
        <w:gridCol w:w="1402"/>
        <w:gridCol w:w="1695"/>
      </w:tblGrid>
      <w:tr w:rsidR="00693ED0" w:rsidRPr="001366B4">
        <w:trPr>
          <w:trHeight w:val="300"/>
        </w:trPr>
        <w:tc>
          <w:tcPr>
            <w:tcW w:w="243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1366B4" w:rsidRDefault="00693ED0">
            <w:pPr>
              <w:spacing w:before="0" w:after="0"/>
              <w:jc w:val="center"/>
              <w:rPr>
                <w:b/>
                <w:bCs/>
                <w:noProof/>
                <w:color w:val="000000"/>
                <w:sz w:val="22"/>
              </w:rPr>
            </w:pPr>
            <w:r w:rsidRPr="001366B4">
              <w:rPr>
                <w:b/>
                <w:noProof/>
                <w:color w:val="000000"/>
                <w:sz w:val="22"/>
              </w:rPr>
              <w:t xml:space="preserve"> </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93"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596"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I ALT FFR 2021-2027</w:t>
            </w:r>
          </w:p>
        </w:tc>
      </w:tr>
      <w:tr w:rsidR="00693ED0" w:rsidRPr="001366B4">
        <w:trPr>
          <w:trHeight w:val="300"/>
        </w:trPr>
        <w:tc>
          <w:tcPr>
            <w:tcW w:w="2432" w:type="pct"/>
            <w:gridSpan w:val="3"/>
            <w:vMerge/>
            <w:tcBorders>
              <w:top w:val="single" w:sz="8" w:space="0" w:color="auto"/>
              <w:left w:val="single" w:sz="8" w:space="0" w:color="auto"/>
              <w:bottom w:val="single" w:sz="8" w:space="0" w:color="000000"/>
              <w:right w:val="single" w:sz="8" w:space="0" w:color="000000"/>
            </w:tcBorders>
            <w:vAlign w:val="center"/>
            <w:hideMark/>
          </w:tcPr>
          <w:p w:rsidR="00693ED0" w:rsidRPr="001366B4" w:rsidRDefault="00693ED0">
            <w:pPr>
              <w:spacing w:before="0" w:after="0"/>
              <w:jc w:val="left"/>
              <w:rPr>
                <w:b/>
                <w:bCs/>
                <w:noProof/>
                <w:color w:val="000000"/>
                <w:sz w:val="22"/>
                <w:lang w:eastAsia="en-IE"/>
              </w:rPr>
            </w:pPr>
          </w:p>
        </w:tc>
        <w:tc>
          <w:tcPr>
            <w:tcW w:w="493"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493"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493"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493"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b/>
                <w:bCs/>
                <w:noProof/>
                <w:color w:val="000000"/>
                <w:sz w:val="20"/>
                <w:szCs w:val="20"/>
                <w:lang w:eastAsia="en-IE"/>
              </w:rPr>
            </w:pPr>
          </w:p>
        </w:tc>
      </w:tr>
      <w:tr w:rsidR="00693ED0" w:rsidRPr="001366B4">
        <w:trPr>
          <w:trHeight w:val="432"/>
        </w:trPr>
        <w:tc>
          <w:tcPr>
            <w:tcW w:w="1411"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rsidP="001366B4">
            <w:pPr>
              <w:spacing w:before="0" w:after="0"/>
              <w:jc w:val="left"/>
              <w:rPr>
                <w:noProof/>
                <w:color w:val="000000"/>
                <w:sz w:val="21"/>
                <w:szCs w:val="21"/>
              </w:rPr>
            </w:pPr>
            <w:r w:rsidRPr="001366B4">
              <w:rPr>
                <w:noProof/>
                <w:color w:val="000000"/>
                <w:sz w:val="21"/>
              </w:rPr>
              <w:t>Aktionsbevillinger I ALT</w:t>
            </w:r>
            <w:r w:rsidR="00A87ED6" w:rsidRPr="001366B4">
              <w:rPr>
                <w:noProof/>
                <w:color w:val="000000"/>
                <w:sz w:val="21"/>
              </w:rPr>
              <w:t xml:space="preserve"> </w:t>
            </w:r>
            <w:r w:rsidRPr="001366B4">
              <w:rPr>
                <w:noProof/>
              </w:rPr>
              <w:cr/>
            </w:r>
            <w:r w:rsidRPr="001366B4">
              <w:rPr>
                <w:noProof/>
              </w:rPr>
              <w:br/>
            </w:r>
          </w:p>
        </w:tc>
        <w:tc>
          <w:tcPr>
            <w:tcW w:w="529"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(4)</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456"/>
        </w:trPr>
        <w:tc>
          <w:tcPr>
            <w:tcW w:w="1411" w:type="pct"/>
            <w:vMerge/>
            <w:tcBorders>
              <w:top w:val="nil"/>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noProof/>
                <w:color w:val="000000"/>
                <w:sz w:val="21"/>
                <w:szCs w:val="21"/>
                <w:lang w:eastAsia="en-IE"/>
              </w:rPr>
            </w:pPr>
          </w:p>
        </w:tc>
        <w:tc>
          <w:tcPr>
            <w:tcW w:w="529"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(5)</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924"/>
        </w:trPr>
        <w:tc>
          <w:tcPr>
            <w:tcW w:w="193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21"/>
                <w:szCs w:val="21"/>
              </w:rPr>
            </w:pPr>
            <w:r w:rsidRPr="001366B4">
              <w:rPr>
                <w:noProof/>
                <w:color w:val="000000"/>
                <w:sz w:val="21"/>
              </w:rPr>
              <w:t xml:space="preserve">Administrationsbevillinger finansieret over bevillingsrammen for særprogrammer I ALT </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rsidR="00693ED0" w:rsidRPr="001366B4" w:rsidRDefault="00693ED0">
            <w:pPr>
              <w:spacing w:before="0" w:after="0"/>
              <w:jc w:val="center"/>
              <w:rPr>
                <w:b/>
                <w:bCs/>
                <w:noProof/>
                <w:color w:val="000000"/>
                <w:sz w:val="22"/>
              </w:rPr>
            </w:pPr>
            <w:r w:rsidRPr="001366B4">
              <w:rPr>
                <w:b/>
                <w:noProof/>
                <w:color w:val="000000"/>
                <w:sz w:val="22"/>
              </w:rPr>
              <w:t>Bevillinger I ALT under UDGIFTSOMRÅDE &lt;….&gt;</w:t>
            </w:r>
          </w:p>
        </w:tc>
        <w:tc>
          <w:tcPr>
            <w:tcW w:w="529"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=4+6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1366B4" w:rsidRDefault="00693ED0">
            <w:pPr>
              <w:spacing w:before="0" w:after="0"/>
              <w:jc w:val="center"/>
              <w:rPr>
                <w:noProof/>
                <w:color w:val="000000"/>
                <w:sz w:val="22"/>
              </w:rPr>
            </w:pPr>
            <w:r w:rsidRPr="001366B4">
              <w:rPr>
                <w:noProof/>
                <w:color w:val="000000"/>
                <w:sz w:val="22"/>
              </w:rPr>
              <w:t>i den flerårige finansielle ramme</w:t>
            </w:r>
          </w:p>
        </w:tc>
        <w:tc>
          <w:tcPr>
            <w:tcW w:w="529"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492"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=5+6</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bl>
    <w:p w:rsidR="00693ED0" w:rsidRPr="001366B4" w:rsidRDefault="00693ED0" w:rsidP="00693ED0">
      <w:pPr>
        <w:spacing w:after="40"/>
        <w:rPr>
          <w:noProof/>
        </w:rPr>
      </w:pPr>
    </w:p>
    <w:tbl>
      <w:tblPr>
        <w:tblW w:w="5000" w:type="pct"/>
        <w:tblLook w:val="04A0" w:firstRow="1" w:lastRow="0" w:firstColumn="1" w:lastColumn="0" w:noHBand="0" w:noVBand="1"/>
      </w:tblPr>
      <w:tblGrid>
        <w:gridCol w:w="4328"/>
        <w:gridCol w:w="1339"/>
        <w:gridCol w:w="1038"/>
        <w:gridCol w:w="1041"/>
        <w:gridCol w:w="1243"/>
        <w:gridCol w:w="1243"/>
        <w:gridCol w:w="1243"/>
        <w:gridCol w:w="1243"/>
        <w:gridCol w:w="1502"/>
      </w:tblGrid>
      <w:tr w:rsidR="00693ED0" w:rsidRPr="001366B4">
        <w:trPr>
          <w:trHeight w:val="288"/>
        </w:trPr>
        <w:tc>
          <w:tcPr>
            <w:tcW w:w="1522" w:type="pct"/>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4"/>
                <w:lang w:eastAsia="en-IE"/>
              </w:rPr>
            </w:pPr>
          </w:p>
        </w:tc>
        <w:tc>
          <w:tcPr>
            <w:tcW w:w="471" w:type="pct"/>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437" w:type="pct"/>
            <w:tcBorders>
              <w:top w:val="single" w:sz="8" w:space="0" w:color="auto"/>
              <w:left w:val="single" w:sz="4" w:space="0" w:color="auto"/>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37"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37"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437"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5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I ALT FFR 2021-2027</w:t>
            </w:r>
          </w:p>
        </w:tc>
      </w:tr>
      <w:tr w:rsidR="00693ED0" w:rsidRPr="001366B4">
        <w:trPr>
          <w:trHeight w:val="300"/>
        </w:trPr>
        <w:tc>
          <w:tcPr>
            <w:tcW w:w="1522" w:type="pct"/>
            <w:tcBorders>
              <w:top w:val="nil"/>
              <w:left w:val="nil"/>
              <w:bottom w:val="nil"/>
              <w:right w:val="nil"/>
            </w:tcBorders>
            <w:shd w:val="clear" w:color="auto" w:fill="auto"/>
            <w:noWrap/>
            <w:vAlign w:val="bottom"/>
            <w:hideMark/>
          </w:tcPr>
          <w:p w:rsidR="00693ED0" w:rsidRPr="001366B4" w:rsidRDefault="00693ED0">
            <w:pPr>
              <w:spacing w:before="0" w:after="0"/>
              <w:jc w:val="center"/>
              <w:rPr>
                <w:b/>
                <w:bCs/>
                <w:noProof/>
                <w:color w:val="000000"/>
                <w:sz w:val="20"/>
                <w:szCs w:val="20"/>
                <w:lang w:eastAsia="en-IE"/>
              </w:rPr>
            </w:pPr>
          </w:p>
        </w:tc>
        <w:tc>
          <w:tcPr>
            <w:tcW w:w="471" w:type="pct"/>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365" w:type="pct"/>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366" w:type="pct"/>
            <w:tcBorders>
              <w:top w:val="nil"/>
              <w:left w:val="nil"/>
              <w:bottom w:val="nil"/>
              <w:right w:val="single" w:sz="4" w:space="0" w:color="auto"/>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437" w:type="pct"/>
            <w:tcBorders>
              <w:top w:val="nil"/>
              <w:left w:val="single" w:sz="4"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437"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437"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437"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rsidR="00693ED0" w:rsidRPr="001366B4" w:rsidRDefault="00693ED0">
            <w:pPr>
              <w:spacing w:before="0" w:after="0"/>
              <w:jc w:val="left"/>
              <w:rPr>
                <w:b/>
                <w:bCs/>
                <w:noProof/>
                <w:color w:val="000000"/>
                <w:sz w:val="20"/>
                <w:szCs w:val="20"/>
                <w:lang w:eastAsia="en-IE"/>
              </w:rPr>
            </w:pPr>
          </w:p>
        </w:tc>
      </w:tr>
      <w:tr w:rsidR="00693ED0" w:rsidRPr="001366B4">
        <w:trPr>
          <w:trHeight w:val="300"/>
        </w:trPr>
        <w:tc>
          <w:tcPr>
            <w:tcW w:w="15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21"/>
                <w:szCs w:val="21"/>
              </w:rPr>
            </w:pPr>
            <w:r w:rsidRPr="001366B4">
              <w:rPr>
                <w:noProof/>
                <w:color w:val="000000"/>
                <w:sz w:val="21"/>
              </w:rPr>
              <w:t>• Aktionsbevillinger I ALT (alle aktionsrelaterede udgiftsområder)</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(4)</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noProof/>
                <w:color w:val="000000"/>
                <w:sz w:val="21"/>
                <w:szCs w:val="21"/>
                <w:lang w:eastAsia="en-IE"/>
              </w:rPr>
            </w:pPr>
          </w:p>
        </w:tc>
        <w:tc>
          <w:tcPr>
            <w:tcW w:w="471"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(5)</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990"/>
        </w:trPr>
        <w:tc>
          <w:tcPr>
            <w:tcW w:w="1993"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93ED0" w:rsidRPr="001366B4" w:rsidRDefault="00693ED0">
            <w:pPr>
              <w:spacing w:before="0" w:after="0"/>
              <w:rPr>
                <w:noProof/>
                <w:color w:val="000000"/>
                <w:sz w:val="21"/>
                <w:szCs w:val="21"/>
              </w:rPr>
            </w:pPr>
            <w:r w:rsidRPr="001366B4">
              <w:rPr>
                <w:rFonts w:ascii="Calibri" w:hAnsi="Calibri"/>
                <w:noProof/>
                <w:color w:val="000000"/>
                <w:sz w:val="21"/>
              </w:rPr>
              <w:t>•</w:t>
            </w:r>
            <w:r w:rsidRPr="001366B4">
              <w:rPr>
                <w:noProof/>
                <w:color w:val="000000"/>
                <w:sz w:val="21"/>
              </w:rPr>
              <w:t xml:space="preserve"> Administrationsbevillinger finansieret over bevillingsrammen for særprogrammer I ALT (alle aktionsrelaterede udgiftsområder)</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564"/>
        </w:trPr>
        <w:tc>
          <w:tcPr>
            <w:tcW w:w="1522" w:type="pct"/>
            <w:tcBorders>
              <w:top w:val="nil"/>
              <w:left w:val="single" w:sz="8" w:space="0" w:color="auto"/>
              <w:bottom w:val="nil"/>
              <w:right w:val="single" w:sz="8" w:space="0" w:color="auto"/>
            </w:tcBorders>
            <w:shd w:val="thinDiagStripe" w:color="C0C0C0" w:fill="F1F1F1"/>
            <w:vAlign w:val="center"/>
            <w:hideMark/>
          </w:tcPr>
          <w:p w:rsidR="00693ED0" w:rsidRPr="001366B4" w:rsidRDefault="00693ED0">
            <w:pPr>
              <w:spacing w:before="0" w:after="0"/>
              <w:jc w:val="center"/>
              <w:rPr>
                <w:b/>
                <w:bCs/>
                <w:noProof/>
                <w:color w:val="000000"/>
                <w:sz w:val="22"/>
              </w:rPr>
            </w:pPr>
            <w:r w:rsidRPr="001366B4">
              <w:rPr>
                <w:b/>
                <w:noProof/>
                <w:color w:val="000000"/>
                <w:sz w:val="22"/>
              </w:rPr>
              <w:t>Bevillinger I ALT under udgiftsområde 1-6</w:t>
            </w:r>
          </w:p>
        </w:tc>
        <w:tc>
          <w:tcPr>
            <w:tcW w:w="471" w:type="pct"/>
            <w:tcBorders>
              <w:top w:val="nil"/>
              <w:left w:val="nil"/>
              <w:bottom w:val="nil"/>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731" w:type="pct"/>
            <w:gridSpan w:val="2"/>
            <w:tcBorders>
              <w:top w:val="single" w:sz="8" w:space="0" w:color="auto"/>
              <w:left w:val="nil"/>
              <w:bottom w:val="nil"/>
              <w:right w:val="single" w:sz="8" w:space="0" w:color="000000"/>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=4+6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rsidR="00693ED0" w:rsidRPr="001366B4" w:rsidRDefault="00693ED0">
            <w:pPr>
              <w:spacing w:before="0" w:after="0"/>
              <w:jc w:val="center"/>
              <w:rPr>
                <w:noProof/>
                <w:color w:val="000000"/>
                <w:sz w:val="20"/>
                <w:szCs w:val="20"/>
              </w:rPr>
            </w:pPr>
            <w:r w:rsidRPr="001366B4">
              <w:rPr>
                <w:noProof/>
                <w:color w:val="000000"/>
                <w:sz w:val="20"/>
              </w:rPr>
              <w:t>i den flerårige finansielle ramme (referencebeløb)</w:t>
            </w:r>
          </w:p>
        </w:tc>
        <w:tc>
          <w:tcPr>
            <w:tcW w:w="471"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731" w:type="pct"/>
            <w:gridSpan w:val="2"/>
            <w:tcBorders>
              <w:top w:val="single" w:sz="8" w:space="0" w:color="auto"/>
              <w:left w:val="nil"/>
              <w:bottom w:val="single" w:sz="8" w:space="0" w:color="auto"/>
              <w:right w:val="single" w:sz="8" w:space="0" w:color="000000"/>
            </w:tcBorders>
            <w:shd w:val="clear" w:color="auto" w:fill="auto"/>
            <w:vAlign w:val="center"/>
            <w:hideMark/>
          </w:tcPr>
          <w:p w:rsidR="00693ED0" w:rsidRPr="001366B4" w:rsidRDefault="00693ED0">
            <w:pPr>
              <w:spacing w:before="0" w:after="0"/>
              <w:jc w:val="center"/>
              <w:rPr>
                <w:noProof/>
                <w:color w:val="000000"/>
                <w:sz w:val="14"/>
                <w:szCs w:val="14"/>
              </w:rPr>
            </w:pPr>
            <w:r w:rsidRPr="001366B4">
              <w:rPr>
                <w:noProof/>
                <w:color w:val="000000"/>
                <w:sz w:val="14"/>
              </w:rPr>
              <w:t>=5+6</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437"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bl>
    <w:p w:rsidR="00693ED0" w:rsidRPr="001366B4" w:rsidRDefault="00693ED0" w:rsidP="00693ED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693ED0" w:rsidRPr="001366B4" w:rsidTr="00E06D11">
        <w:trPr>
          <w:jc w:val="center"/>
        </w:trPr>
        <w:tc>
          <w:tcPr>
            <w:tcW w:w="1668" w:type="pct"/>
            <w:shd w:val="clear" w:color="auto" w:fill="auto"/>
            <w:vAlign w:val="center"/>
          </w:tcPr>
          <w:p w:rsidR="00693ED0" w:rsidRPr="001366B4" w:rsidRDefault="00693ED0">
            <w:pPr>
              <w:spacing w:before="60" w:after="60"/>
              <w:jc w:val="center"/>
              <w:rPr>
                <w:b/>
                <w:noProof/>
              </w:rPr>
            </w:pPr>
            <w:r w:rsidRPr="001366B4">
              <w:rPr>
                <w:noProof/>
              </w:rPr>
              <w:br w:type="page"/>
            </w:r>
            <w:r w:rsidRPr="001366B4">
              <w:rPr>
                <w:b/>
                <w:noProof/>
                <w:sz w:val="22"/>
              </w:rPr>
              <w:t>Udgiftsområde</w:t>
            </w:r>
            <w:r w:rsidR="00A87ED6" w:rsidRPr="001366B4">
              <w:rPr>
                <w:b/>
                <w:noProof/>
                <w:sz w:val="22"/>
              </w:rPr>
              <w:t xml:space="preserve"> i den</w:t>
            </w:r>
            <w:r w:rsidRPr="001366B4">
              <w:rPr>
                <w:b/>
                <w:noProof/>
                <w:sz w:val="22"/>
              </w:rPr>
              <w:t xml:space="preserve"> flerårige finansielle ramme </w:t>
            </w:r>
          </w:p>
        </w:tc>
        <w:tc>
          <w:tcPr>
            <w:tcW w:w="380" w:type="pct"/>
            <w:shd w:val="clear" w:color="auto" w:fill="auto"/>
            <w:vAlign w:val="center"/>
          </w:tcPr>
          <w:p w:rsidR="00693ED0" w:rsidRPr="001366B4" w:rsidRDefault="00693ED0">
            <w:pPr>
              <w:spacing w:before="60" w:after="60"/>
              <w:jc w:val="center"/>
              <w:rPr>
                <w:noProof/>
              </w:rPr>
            </w:pPr>
            <w:r w:rsidRPr="001366B4">
              <w:rPr>
                <w:b/>
                <w:noProof/>
                <w:sz w:val="22"/>
              </w:rPr>
              <w:t>7</w:t>
            </w:r>
          </w:p>
        </w:tc>
        <w:tc>
          <w:tcPr>
            <w:tcW w:w="2749" w:type="pct"/>
            <w:vAlign w:val="center"/>
          </w:tcPr>
          <w:p w:rsidR="00693ED0" w:rsidRPr="001366B4" w:rsidRDefault="00693ED0">
            <w:pPr>
              <w:spacing w:before="60" w:after="60"/>
              <w:rPr>
                <w:noProof/>
              </w:rPr>
            </w:pPr>
            <w:r w:rsidRPr="001366B4">
              <w:rPr>
                <w:noProof/>
                <w:sz w:val="22"/>
              </w:rPr>
              <w:t>"Administrationsudgifter"</w:t>
            </w:r>
            <w:r w:rsidRPr="001366B4">
              <w:rPr>
                <w:rStyle w:val="FootnoteReference"/>
                <w:noProof/>
                <w:sz w:val="22"/>
              </w:rPr>
              <w:footnoteReference w:id="23"/>
            </w:r>
          </w:p>
        </w:tc>
      </w:tr>
    </w:tbl>
    <w:p w:rsidR="00693ED0" w:rsidRPr="001366B4" w:rsidRDefault="00693ED0" w:rsidP="00693ED0">
      <w:pPr>
        <w:jc w:val="right"/>
        <w:rPr>
          <w:noProof/>
          <w:sz w:val="20"/>
        </w:rPr>
      </w:pPr>
      <w:r w:rsidRPr="001366B4">
        <w:rPr>
          <w:noProof/>
          <w:sz w:val="20"/>
        </w:rPr>
        <w:t>i mio. EUR (tre decimaler)</w:t>
      </w:r>
    </w:p>
    <w:tbl>
      <w:tblPr>
        <w:tblW w:w="13140" w:type="dxa"/>
        <w:tblInd w:w="118" w:type="dxa"/>
        <w:tblLook w:val="04A0" w:firstRow="1" w:lastRow="0" w:firstColumn="1" w:lastColumn="0" w:noHBand="0" w:noVBand="1"/>
      </w:tblPr>
      <w:tblGrid>
        <w:gridCol w:w="4405"/>
        <w:gridCol w:w="2477"/>
        <w:gridCol w:w="598"/>
        <w:gridCol w:w="598"/>
        <w:gridCol w:w="1001"/>
        <w:gridCol w:w="1001"/>
        <w:gridCol w:w="1001"/>
        <w:gridCol w:w="1001"/>
        <w:gridCol w:w="1244"/>
      </w:tblGrid>
      <w:tr w:rsidR="00693ED0" w:rsidRPr="001366B4">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Cs w:val="24"/>
              </w:rPr>
            </w:pPr>
            <w:r w:rsidRPr="001366B4">
              <w:rPr>
                <w:noProof/>
                <w:color w:val="000000"/>
              </w:rPr>
              <w:t>GD: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1001"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1001"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1001"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I ALT FFR 2021-2027</w:t>
            </w:r>
          </w:p>
        </w:tc>
      </w:tr>
      <w:tr w:rsidR="00693ED0" w:rsidRPr="001366B4">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1366B4" w:rsidRDefault="00693ED0">
            <w:pPr>
              <w:spacing w:before="0" w:after="0"/>
              <w:jc w:val="left"/>
              <w:rPr>
                <w:b/>
                <w:bCs/>
                <w:noProof/>
                <w:color w:val="000000"/>
                <w:sz w:val="20"/>
                <w:szCs w:val="20"/>
                <w:lang w:eastAsia="en-IE"/>
              </w:rPr>
            </w:pPr>
          </w:p>
        </w:tc>
      </w:tr>
      <w:tr w:rsidR="00693ED0" w:rsidRPr="001366B4">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rFonts w:ascii="Wingdings" w:hAnsi="Wingdings" w:cs="Calibri"/>
                <w:noProof/>
                <w:color w:val="000000"/>
                <w:sz w:val="22"/>
              </w:rPr>
            </w:pPr>
            <w:r w:rsidRPr="001366B4">
              <w:rPr>
                <w:rFonts w:ascii="Wingdings" w:hAnsi="Wingdings"/>
                <w:noProof/>
                <w:color w:val="000000"/>
                <w:sz w:val="22"/>
              </w:rPr>
              <w:t></w:t>
            </w:r>
            <w:r w:rsidRPr="001366B4">
              <w:rPr>
                <w:noProof/>
                <w:color w:val="000000"/>
                <w:sz w:val="22"/>
              </w:rPr>
              <w:t xml:space="preserve"> Menneskelige ressourcer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rFonts w:ascii="Wingdings" w:hAnsi="Wingdings" w:cs="Calibri"/>
                <w:noProof/>
                <w:color w:val="000000"/>
                <w:sz w:val="22"/>
              </w:rPr>
            </w:pPr>
            <w:r w:rsidRPr="001366B4">
              <w:rPr>
                <w:rFonts w:ascii="Wingdings" w:hAnsi="Wingdings"/>
                <w:noProof/>
                <w:color w:val="000000"/>
                <w:sz w:val="22"/>
              </w:rPr>
              <w:t></w:t>
            </w:r>
            <w:r w:rsidRPr="001366B4">
              <w:rPr>
                <w:noProof/>
                <w:color w:val="000000"/>
                <w:sz w:val="22"/>
              </w:rPr>
              <w:t xml:space="preserve"> Andre administrationsudgifter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2"/>
              </w:rPr>
            </w:pPr>
            <w:r w:rsidRPr="001366B4">
              <w:rPr>
                <w:b/>
                <w:noProof/>
                <w:color w:val="000000"/>
                <w:sz w:val="22"/>
              </w:rPr>
              <w:t xml:space="preserve">I ALT GD </w:t>
            </w:r>
            <w:r w:rsidRPr="001366B4">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18"/>
                <w:szCs w:val="18"/>
              </w:rPr>
            </w:pPr>
            <w:r w:rsidRPr="001366B4">
              <w:rPr>
                <w:noProof/>
                <w:color w:val="000000"/>
                <w:sz w:val="18"/>
              </w:rPr>
              <w:t xml:space="preserve">Bevillinger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300"/>
        </w:trPr>
        <w:tc>
          <w:tcPr>
            <w:tcW w:w="4405" w:type="dxa"/>
            <w:tcBorders>
              <w:top w:val="nil"/>
              <w:left w:val="nil"/>
              <w:bottom w:val="nil"/>
              <w:right w:val="nil"/>
            </w:tcBorders>
            <w:shd w:val="clear" w:color="auto" w:fill="auto"/>
            <w:noWrap/>
            <w:vAlign w:val="bottom"/>
            <w:hideMark/>
          </w:tcPr>
          <w:p w:rsidR="00693ED0" w:rsidRPr="001366B4"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r>
      <w:tr w:rsidR="00693ED0" w:rsidRPr="001366B4">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Cs w:val="24"/>
              </w:rPr>
            </w:pPr>
            <w:r w:rsidRPr="001366B4">
              <w:rPr>
                <w:noProof/>
                <w:color w:val="000000"/>
              </w:rPr>
              <w:t>GD: &lt;…….&gt;</w:t>
            </w:r>
          </w:p>
        </w:tc>
        <w:tc>
          <w:tcPr>
            <w:tcW w:w="1001"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1001"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1001"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1001"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1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I ALT FFR 2021-2027</w:t>
            </w:r>
          </w:p>
        </w:tc>
      </w:tr>
      <w:tr w:rsidR="00693ED0" w:rsidRPr="001366B4">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1001"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1001"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1001"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rsidR="00693ED0" w:rsidRPr="001366B4" w:rsidRDefault="00693ED0">
            <w:pPr>
              <w:spacing w:before="0" w:after="0"/>
              <w:jc w:val="left"/>
              <w:rPr>
                <w:b/>
                <w:bCs/>
                <w:noProof/>
                <w:color w:val="000000"/>
                <w:sz w:val="20"/>
                <w:szCs w:val="20"/>
                <w:lang w:eastAsia="en-IE"/>
              </w:rPr>
            </w:pPr>
          </w:p>
        </w:tc>
      </w:tr>
      <w:tr w:rsidR="00693ED0" w:rsidRPr="001366B4">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rFonts w:ascii="Wingdings" w:hAnsi="Wingdings" w:cs="Calibri"/>
                <w:noProof/>
                <w:color w:val="000000"/>
                <w:sz w:val="22"/>
              </w:rPr>
            </w:pPr>
            <w:r w:rsidRPr="001366B4">
              <w:rPr>
                <w:rFonts w:ascii="Wingdings" w:hAnsi="Wingdings"/>
                <w:noProof/>
                <w:color w:val="000000"/>
                <w:sz w:val="22"/>
              </w:rPr>
              <w:t></w:t>
            </w:r>
            <w:r w:rsidRPr="001366B4">
              <w:rPr>
                <w:noProof/>
                <w:color w:val="000000"/>
                <w:sz w:val="22"/>
              </w:rPr>
              <w:t xml:space="preserve"> Menneskelige ressourcer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300"/>
        </w:trPr>
        <w:tc>
          <w:tcPr>
            <w:tcW w:w="7892"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rFonts w:ascii="Wingdings" w:hAnsi="Wingdings" w:cs="Calibri"/>
                <w:noProof/>
                <w:color w:val="000000"/>
                <w:sz w:val="22"/>
              </w:rPr>
            </w:pPr>
            <w:r w:rsidRPr="001366B4">
              <w:rPr>
                <w:rFonts w:ascii="Wingdings" w:hAnsi="Wingdings"/>
                <w:noProof/>
                <w:color w:val="000000"/>
                <w:sz w:val="22"/>
              </w:rPr>
              <w:t></w:t>
            </w:r>
            <w:r w:rsidRPr="001366B4">
              <w:rPr>
                <w:noProof/>
                <w:color w:val="000000"/>
                <w:sz w:val="22"/>
              </w:rPr>
              <w:t xml:space="preserve"> Andre administrationsudgifter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20"/>
                <w:szCs w:val="20"/>
              </w:rPr>
            </w:pPr>
            <w:r w:rsidRPr="001366B4">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300"/>
        </w:trPr>
        <w:tc>
          <w:tcPr>
            <w:tcW w:w="4405" w:type="dxa"/>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2"/>
              </w:rPr>
            </w:pPr>
            <w:r w:rsidRPr="001366B4">
              <w:rPr>
                <w:b/>
                <w:noProof/>
                <w:color w:val="000000"/>
                <w:sz w:val="22"/>
              </w:rPr>
              <w:t xml:space="preserve">I ALT GD </w:t>
            </w:r>
            <w:r w:rsidRPr="001366B4">
              <w:rPr>
                <w:noProof/>
                <w:color w:val="000000"/>
                <w:sz w:val="22"/>
              </w:rPr>
              <w:t>&lt;…….&gt;</w:t>
            </w:r>
          </w:p>
        </w:tc>
        <w:tc>
          <w:tcPr>
            <w:tcW w:w="3487" w:type="dxa"/>
            <w:gridSpan w:val="3"/>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18"/>
                <w:szCs w:val="18"/>
              </w:rPr>
            </w:pPr>
            <w:r w:rsidRPr="001366B4">
              <w:rPr>
                <w:noProof/>
                <w:color w:val="000000"/>
                <w:sz w:val="18"/>
              </w:rPr>
              <w:t xml:space="preserve">Bevillinger </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r w:rsidR="00693ED0" w:rsidRPr="001366B4">
        <w:trPr>
          <w:trHeight w:val="300"/>
        </w:trPr>
        <w:tc>
          <w:tcPr>
            <w:tcW w:w="4405" w:type="dxa"/>
            <w:tcBorders>
              <w:top w:val="nil"/>
              <w:left w:val="nil"/>
              <w:bottom w:val="nil"/>
              <w:right w:val="nil"/>
            </w:tcBorders>
            <w:shd w:val="clear" w:color="auto" w:fill="auto"/>
            <w:noWrap/>
            <w:vAlign w:val="bottom"/>
            <w:hideMark/>
          </w:tcPr>
          <w:p w:rsidR="00693ED0" w:rsidRPr="001366B4" w:rsidRDefault="00693ED0">
            <w:pPr>
              <w:spacing w:before="0" w:after="0"/>
              <w:jc w:val="right"/>
              <w:rPr>
                <w:b/>
                <w:bCs/>
                <w:noProof/>
                <w:color w:val="000000"/>
                <w:sz w:val="20"/>
                <w:szCs w:val="20"/>
                <w:lang w:eastAsia="en-IE"/>
              </w:rPr>
            </w:pPr>
          </w:p>
        </w:tc>
        <w:tc>
          <w:tcPr>
            <w:tcW w:w="2477"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505"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1001"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c>
          <w:tcPr>
            <w:tcW w:w="1244" w:type="dxa"/>
            <w:tcBorders>
              <w:top w:val="nil"/>
              <w:left w:val="nil"/>
              <w:bottom w:val="nil"/>
              <w:right w:val="nil"/>
            </w:tcBorders>
            <w:shd w:val="clear" w:color="auto" w:fill="auto"/>
            <w:noWrap/>
            <w:vAlign w:val="bottom"/>
            <w:hideMark/>
          </w:tcPr>
          <w:p w:rsidR="00693ED0" w:rsidRPr="001366B4" w:rsidRDefault="00693ED0">
            <w:pPr>
              <w:spacing w:before="0" w:after="0"/>
              <w:jc w:val="left"/>
              <w:rPr>
                <w:noProof/>
                <w:sz w:val="20"/>
                <w:szCs w:val="20"/>
                <w:lang w:eastAsia="en-IE"/>
              </w:rPr>
            </w:pPr>
          </w:p>
        </w:tc>
      </w:tr>
      <w:tr w:rsidR="00693ED0" w:rsidRPr="001366B4">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rsidR="00693ED0" w:rsidRPr="001366B4" w:rsidRDefault="00693ED0">
            <w:pPr>
              <w:spacing w:before="0" w:after="0"/>
              <w:jc w:val="center"/>
              <w:rPr>
                <w:b/>
                <w:bCs/>
                <w:noProof/>
                <w:color w:val="000000"/>
                <w:sz w:val="22"/>
              </w:rPr>
            </w:pPr>
            <w:r w:rsidRPr="001366B4">
              <w:rPr>
                <w:b/>
                <w:noProof/>
                <w:color w:val="000000"/>
                <w:sz w:val="22"/>
              </w:rPr>
              <w:t>Bevillinger I ALT under UDGIFTSOMRÅDE 7</w:t>
            </w:r>
            <w:r w:rsidR="00A87ED6" w:rsidRPr="001366B4">
              <w:rPr>
                <w:b/>
                <w:noProof/>
                <w:color w:val="000000"/>
                <w:sz w:val="22"/>
              </w:rPr>
              <w:t xml:space="preserve"> i den</w:t>
            </w:r>
            <w:r w:rsidRPr="001366B4">
              <w:rPr>
                <w:b/>
                <w:noProof/>
                <w:color w:val="000000"/>
                <w:sz w:val="22"/>
              </w:rPr>
              <w:t xml:space="preserve"> flerårige finansielle ramme </w:t>
            </w:r>
          </w:p>
        </w:tc>
        <w:tc>
          <w:tcPr>
            <w:tcW w:w="1010" w:type="dxa"/>
            <w:gridSpan w:val="2"/>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8"/>
                <w:szCs w:val="18"/>
              </w:rPr>
            </w:pPr>
            <w:r w:rsidRPr="001366B4">
              <w:rPr>
                <w:noProof/>
                <w:color w:val="000000"/>
                <w:sz w:val="18"/>
              </w:rPr>
              <w:t>(Forpligtelser</w:t>
            </w:r>
            <w:r w:rsidR="00A87ED6" w:rsidRPr="001366B4">
              <w:rPr>
                <w:noProof/>
                <w:color w:val="000000"/>
                <w:sz w:val="18"/>
              </w:rPr>
              <w:t xml:space="preserve"> i alt</w:t>
            </w:r>
            <w:r w:rsidRPr="001366B4">
              <w:rPr>
                <w:noProof/>
                <w:color w:val="000000"/>
                <w:sz w:val="18"/>
              </w:rPr>
              <w:t xml:space="preserve"> = betalinger</w:t>
            </w:r>
            <w:r w:rsidR="00A87ED6" w:rsidRPr="001366B4">
              <w:rPr>
                <w:noProof/>
                <w:color w:val="000000"/>
                <w:sz w:val="18"/>
              </w:rPr>
              <w:t xml:space="preserve"> i alt</w:t>
            </w:r>
            <w:r w:rsidRPr="001366B4">
              <w:rPr>
                <w:noProof/>
                <w:color w:val="000000"/>
                <w:sz w:val="18"/>
              </w:rPr>
              <w:t>)</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20"/>
                <w:szCs w:val="20"/>
              </w:rPr>
            </w:pPr>
            <w:r w:rsidRPr="001366B4">
              <w:rPr>
                <w:b/>
                <w:noProof/>
                <w:color w:val="000000"/>
                <w:sz w:val="20"/>
              </w:rPr>
              <w:t>0,000</w:t>
            </w:r>
          </w:p>
        </w:tc>
      </w:tr>
    </w:tbl>
    <w:p w:rsidR="00693ED0" w:rsidRPr="001366B4" w:rsidRDefault="00693ED0" w:rsidP="00693ED0">
      <w:pPr>
        <w:jc w:val="right"/>
        <w:rPr>
          <w:noProof/>
          <w:sz w:val="20"/>
        </w:rPr>
      </w:pPr>
      <w:r w:rsidRPr="001366B4">
        <w:rPr>
          <w:noProof/>
          <w:sz w:val="20"/>
        </w:rPr>
        <w:t>i mio. EUR (tre decimaler)</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693ED0" w:rsidRPr="001366B4">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Cs w:val="24"/>
              </w:rPr>
            </w:pPr>
            <w:r w:rsidRPr="001366B4">
              <w:rPr>
                <w:noProof/>
                <w:color w:val="000000"/>
              </w:rPr>
              <w:t xml:space="preserve"> </w:t>
            </w:r>
          </w:p>
        </w:tc>
        <w:tc>
          <w:tcPr>
            <w:tcW w:w="1160"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1160"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1160"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1160"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I ALT FFR 2021-2027</w:t>
            </w:r>
          </w:p>
        </w:tc>
      </w:tr>
      <w:tr w:rsidR="00693ED0" w:rsidRPr="001366B4">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11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11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11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693ED0" w:rsidRPr="001366B4" w:rsidRDefault="00693ED0">
            <w:pPr>
              <w:spacing w:before="0" w:after="0"/>
              <w:jc w:val="left"/>
              <w:rPr>
                <w:b/>
                <w:bCs/>
                <w:noProof/>
                <w:color w:val="000000"/>
                <w:sz w:val="20"/>
                <w:szCs w:val="20"/>
                <w:lang w:eastAsia="en-IE"/>
              </w:rPr>
            </w:pPr>
          </w:p>
        </w:tc>
      </w:tr>
      <w:tr w:rsidR="00693ED0" w:rsidRPr="001366B4">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1366B4" w:rsidRDefault="00693ED0">
            <w:pPr>
              <w:spacing w:before="0" w:after="0"/>
              <w:jc w:val="center"/>
              <w:rPr>
                <w:b/>
                <w:bCs/>
                <w:noProof/>
                <w:color w:val="000000"/>
                <w:sz w:val="22"/>
              </w:rPr>
            </w:pPr>
            <w:r w:rsidRPr="001366B4">
              <w:rPr>
                <w:b/>
                <w:noProof/>
                <w:color w:val="000000"/>
                <w:sz w:val="22"/>
              </w:rPr>
              <w:t>Bevillinger I ALT under UDGIFTSOMRÅDE 1-7</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Forpligtelser</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r>
      <w:tr w:rsidR="00693ED0" w:rsidRPr="001366B4">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693ED0" w:rsidRPr="001366B4" w:rsidRDefault="00693ED0">
            <w:pPr>
              <w:spacing w:before="0" w:after="0"/>
              <w:jc w:val="center"/>
              <w:rPr>
                <w:noProof/>
                <w:color w:val="000000"/>
                <w:sz w:val="22"/>
              </w:rPr>
            </w:pPr>
            <w:r w:rsidRPr="001366B4">
              <w:rPr>
                <w:noProof/>
                <w:color w:val="000000"/>
                <w:sz w:val="22"/>
              </w:rPr>
              <w:t>i den flerårige finansielle ramme</w:t>
            </w:r>
            <w:r w:rsidRPr="001366B4">
              <w:rPr>
                <w:b/>
                <w:noProof/>
                <w:color w:val="000000"/>
                <w:sz w:val="22"/>
              </w:rPr>
              <w:t xml:space="preserv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rPr>
                <w:noProof/>
                <w:color w:val="000000"/>
                <w:sz w:val="18"/>
                <w:szCs w:val="18"/>
              </w:rPr>
            </w:pPr>
            <w:r w:rsidRPr="001366B4">
              <w:rPr>
                <w:noProof/>
                <w:color w:val="000000"/>
                <w:sz w:val="18"/>
              </w:rPr>
              <w:t>Betalinger</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Cs w:val="24"/>
              </w:rPr>
            </w:pPr>
            <w:r w:rsidRPr="001366B4">
              <w:rPr>
                <w:b/>
                <w:noProof/>
                <w:color w:val="000000"/>
              </w:rPr>
              <w:t>0,000</w:t>
            </w:r>
          </w:p>
        </w:tc>
      </w:tr>
    </w:tbl>
    <w:p w:rsidR="00693ED0" w:rsidRPr="001366B4" w:rsidRDefault="00693ED0" w:rsidP="00693ED0">
      <w:pPr>
        <w:pStyle w:val="ManualHeading3"/>
        <w:rPr>
          <w:bCs/>
          <w:noProof/>
          <w:szCs w:val="24"/>
        </w:rPr>
      </w:pPr>
      <w:bookmarkStart w:id="149" w:name="_Toc514938054"/>
      <w:bookmarkStart w:id="150" w:name="_Toc520485053"/>
      <w:bookmarkStart w:id="151" w:name="_Toc160804597"/>
      <w:bookmarkStart w:id="152" w:name="_Toc167220289"/>
      <w:bookmarkStart w:id="153" w:name="_Toc177549022"/>
      <w:r w:rsidRPr="001366B4">
        <w:rPr>
          <w:noProof/>
        </w:rPr>
        <w:t>3.2.2.</w:t>
      </w:r>
      <w:r w:rsidRPr="001366B4">
        <w:rPr>
          <w:noProof/>
        </w:rPr>
        <w:tab/>
        <w:t>Anslåede resultater finansieret med aktionsbevillinger</w:t>
      </w:r>
      <w:bookmarkEnd w:id="149"/>
      <w:bookmarkEnd w:id="150"/>
      <w:r w:rsidRPr="001366B4">
        <w:rPr>
          <w:noProof/>
        </w:rPr>
        <w:t xml:space="preserve"> (skal ikke udfyldes for decentrale agenturer)</w:t>
      </w:r>
      <w:bookmarkEnd w:id="151"/>
      <w:bookmarkEnd w:id="152"/>
      <w:bookmarkEnd w:id="153"/>
    </w:p>
    <w:p w:rsidR="00693ED0" w:rsidRPr="001366B4" w:rsidRDefault="00693ED0" w:rsidP="00693ED0">
      <w:pPr>
        <w:jc w:val="right"/>
        <w:rPr>
          <w:noProof/>
          <w:sz w:val="20"/>
        </w:rPr>
      </w:pPr>
      <w:r w:rsidRPr="001366B4">
        <w:rPr>
          <w:noProof/>
          <w:sz w:val="20"/>
        </w:rPr>
        <w:t>Forpligtelsesbevillinger</w:t>
      </w:r>
      <w:r w:rsidR="00A87ED6" w:rsidRPr="001366B4">
        <w:rPr>
          <w:noProof/>
          <w:sz w:val="20"/>
        </w:rPr>
        <w:t xml:space="preserve"> i mio</w:t>
      </w:r>
      <w:r w:rsidRPr="001366B4">
        <w:rPr>
          <w:noProof/>
          <w:sz w:val="20"/>
        </w:rPr>
        <w:t>. EUR (tre decimaler)</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693ED0" w:rsidRPr="001366B4" w:rsidTr="17618B6F">
        <w:trPr>
          <w:jc w:val="center"/>
        </w:trPr>
        <w:tc>
          <w:tcPr>
            <w:tcW w:w="1423" w:type="dxa"/>
            <w:vMerge w:val="restart"/>
            <w:vAlign w:val="center"/>
          </w:tcPr>
          <w:p w:rsidR="00693ED0" w:rsidRPr="001366B4" w:rsidRDefault="00693ED0">
            <w:pPr>
              <w:ind w:right="-29"/>
              <w:jc w:val="center"/>
              <w:rPr>
                <w:b/>
                <w:noProof/>
                <w:sz w:val="18"/>
                <w:szCs w:val="18"/>
              </w:rPr>
            </w:pPr>
            <w:r w:rsidRPr="001366B4">
              <w:rPr>
                <w:b/>
                <w:noProof/>
                <w:sz w:val="18"/>
              </w:rPr>
              <w:t xml:space="preserve">Angiv mål og resultater </w:t>
            </w:r>
          </w:p>
          <w:p w:rsidR="00693ED0" w:rsidRPr="001366B4" w:rsidRDefault="00693ED0">
            <w:pPr>
              <w:ind w:right="-29"/>
              <w:jc w:val="center"/>
              <w:rPr>
                <w:b/>
                <w:noProof/>
                <w:sz w:val="18"/>
                <w:szCs w:val="18"/>
              </w:rPr>
            </w:pPr>
          </w:p>
          <w:p w:rsidR="00693ED0" w:rsidRPr="001366B4" w:rsidRDefault="00693ED0">
            <w:pPr>
              <w:ind w:right="-29"/>
              <w:jc w:val="center"/>
              <w:rPr>
                <w:noProof/>
                <w:sz w:val="18"/>
                <w:szCs w:val="18"/>
              </w:rPr>
            </w:pPr>
            <w:r w:rsidRPr="001366B4">
              <w:rPr>
                <w:rFonts w:ascii="Wingdings" w:hAnsi="Wingdings"/>
                <w:noProof/>
                <w:sz w:val="18"/>
              </w:rPr>
              <w:t></w:t>
            </w:r>
          </w:p>
        </w:tc>
        <w:tc>
          <w:tcPr>
            <w:tcW w:w="720" w:type="dxa"/>
            <w:vAlign w:val="center"/>
          </w:tcPr>
          <w:p w:rsidR="00693ED0" w:rsidRPr="001366B4" w:rsidRDefault="00693ED0">
            <w:pPr>
              <w:ind w:right="-29"/>
              <w:jc w:val="center"/>
              <w:rPr>
                <w:noProof/>
                <w:sz w:val="18"/>
                <w:szCs w:val="18"/>
              </w:rPr>
            </w:pPr>
          </w:p>
        </w:tc>
        <w:tc>
          <w:tcPr>
            <w:tcW w:w="701" w:type="dxa"/>
            <w:vAlign w:val="center"/>
          </w:tcPr>
          <w:p w:rsidR="00693ED0" w:rsidRPr="001366B4" w:rsidRDefault="00693ED0">
            <w:pPr>
              <w:ind w:right="-29"/>
              <w:jc w:val="center"/>
              <w:rPr>
                <w:noProof/>
                <w:sz w:val="18"/>
                <w:szCs w:val="18"/>
              </w:rPr>
            </w:pPr>
          </w:p>
        </w:tc>
        <w:tc>
          <w:tcPr>
            <w:tcW w:w="1224" w:type="dxa"/>
            <w:gridSpan w:val="2"/>
            <w:tcBorders>
              <w:left w:val="nil"/>
            </w:tcBorders>
            <w:vAlign w:val="center"/>
          </w:tcPr>
          <w:p w:rsidR="00693ED0" w:rsidRPr="001366B4" w:rsidRDefault="00693ED0">
            <w:pPr>
              <w:ind w:right="-29"/>
              <w:jc w:val="center"/>
              <w:rPr>
                <w:noProof/>
                <w:sz w:val="18"/>
                <w:szCs w:val="18"/>
              </w:rPr>
            </w:pPr>
            <w:r w:rsidRPr="001366B4">
              <w:rPr>
                <w:noProof/>
                <w:sz w:val="18"/>
              </w:rPr>
              <w:t xml:space="preserve">År </w:t>
            </w:r>
            <w:r w:rsidRPr="001366B4">
              <w:rPr>
                <w:noProof/>
              </w:rPr>
              <w:cr/>
            </w:r>
            <w:r w:rsidRPr="001366B4">
              <w:rPr>
                <w:noProof/>
              </w:rPr>
              <w:br/>
            </w:r>
            <w:r w:rsidRPr="001366B4">
              <w:rPr>
                <w:b/>
                <w:noProof/>
                <w:sz w:val="18"/>
              </w:rPr>
              <w:t>2024</w:t>
            </w:r>
          </w:p>
        </w:tc>
        <w:tc>
          <w:tcPr>
            <w:tcW w:w="1260" w:type="dxa"/>
            <w:gridSpan w:val="2"/>
            <w:vAlign w:val="center"/>
          </w:tcPr>
          <w:p w:rsidR="00693ED0" w:rsidRPr="001366B4" w:rsidRDefault="00693ED0">
            <w:pPr>
              <w:ind w:right="-29"/>
              <w:jc w:val="center"/>
              <w:rPr>
                <w:noProof/>
                <w:sz w:val="18"/>
                <w:szCs w:val="18"/>
              </w:rPr>
            </w:pPr>
            <w:r w:rsidRPr="001366B4">
              <w:rPr>
                <w:noProof/>
                <w:sz w:val="18"/>
              </w:rPr>
              <w:t xml:space="preserve">År </w:t>
            </w:r>
            <w:r w:rsidRPr="001366B4">
              <w:rPr>
                <w:noProof/>
              </w:rPr>
              <w:cr/>
            </w:r>
            <w:r w:rsidRPr="001366B4">
              <w:rPr>
                <w:noProof/>
              </w:rPr>
              <w:br/>
            </w:r>
            <w:r w:rsidRPr="001366B4">
              <w:rPr>
                <w:b/>
                <w:noProof/>
                <w:sz w:val="18"/>
              </w:rPr>
              <w:t>2025</w:t>
            </w:r>
          </w:p>
        </w:tc>
        <w:tc>
          <w:tcPr>
            <w:tcW w:w="1440" w:type="dxa"/>
            <w:gridSpan w:val="2"/>
            <w:vAlign w:val="center"/>
          </w:tcPr>
          <w:p w:rsidR="00693ED0" w:rsidRPr="001366B4" w:rsidRDefault="00693ED0">
            <w:pPr>
              <w:ind w:right="-29"/>
              <w:jc w:val="center"/>
              <w:rPr>
                <w:noProof/>
                <w:sz w:val="18"/>
                <w:szCs w:val="18"/>
              </w:rPr>
            </w:pPr>
            <w:r w:rsidRPr="001366B4">
              <w:rPr>
                <w:noProof/>
                <w:sz w:val="18"/>
              </w:rPr>
              <w:t xml:space="preserve">År </w:t>
            </w:r>
            <w:r w:rsidRPr="001366B4">
              <w:rPr>
                <w:noProof/>
              </w:rPr>
              <w:cr/>
            </w:r>
            <w:r w:rsidRPr="001366B4">
              <w:rPr>
                <w:noProof/>
              </w:rPr>
              <w:br/>
            </w:r>
            <w:r w:rsidRPr="001366B4">
              <w:rPr>
                <w:b/>
                <w:noProof/>
                <w:sz w:val="18"/>
              </w:rPr>
              <w:t>2026</w:t>
            </w:r>
          </w:p>
        </w:tc>
        <w:tc>
          <w:tcPr>
            <w:tcW w:w="1620" w:type="dxa"/>
            <w:gridSpan w:val="3"/>
            <w:vAlign w:val="center"/>
          </w:tcPr>
          <w:p w:rsidR="00693ED0" w:rsidRPr="001366B4" w:rsidRDefault="00693ED0">
            <w:pPr>
              <w:ind w:right="-29"/>
              <w:jc w:val="center"/>
              <w:rPr>
                <w:noProof/>
                <w:sz w:val="18"/>
                <w:szCs w:val="18"/>
              </w:rPr>
            </w:pPr>
            <w:r w:rsidRPr="001366B4">
              <w:rPr>
                <w:noProof/>
                <w:sz w:val="18"/>
              </w:rPr>
              <w:t xml:space="preserve">År </w:t>
            </w:r>
            <w:r w:rsidRPr="001366B4">
              <w:rPr>
                <w:noProof/>
              </w:rPr>
              <w:cr/>
            </w:r>
            <w:r w:rsidRPr="001366B4">
              <w:rPr>
                <w:noProof/>
              </w:rPr>
              <w:br/>
            </w:r>
            <w:r w:rsidRPr="001366B4">
              <w:rPr>
                <w:b/>
                <w:noProof/>
                <w:sz w:val="18"/>
              </w:rPr>
              <w:t>2027</w:t>
            </w:r>
          </w:p>
        </w:tc>
        <w:tc>
          <w:tcPr>
            <w:tcW w:w="3600" w:type="dxa"/>
            <w:gridSpan w:val="6"/>
            <w:vAlign w:val="center"/>
          </w:tcPr>
          <w:p w:rsidR="00693ED0" w:rsidRPr="001366B4" w:rsidRDefault="00693ED0">
            <w:pPr>
              <w:jc w:val="center"/>
              <w:rPr>
                <w:noProof/>
                <w:sz w:val="18"/>
                <w:szCs w:val="18"/>
              </w:rPr>
            </w:pPr>
            <w:r w:rsidRPr="001366B4">
              <w:rPr>
                <w:noProof/>
                <w:sz w:val="18"/>
              </w:rPr>
              <w:t>Indsæt så mange år som nødvendigt for at vise virkningernes varighed (jf. afsnit 1.6)</w:t>
            </w:r>
          </w:p>
        </w:tc>
        <w:tc>
          <w:tcPr>
            <w:tcW w:w="1620" w:type="dxa"/>
            <w:gridSpan w:val="2"/>
            <w:tcBorders>
              <w:left w:val="nil"/>
              <w:bottom w:val="nil"/>
            </w:tcBorders>
            <w:vAlign w:val="center"/>
          </w:tcPr>
          <w:p w:rsidR="00693ED0" w:rsidRPr="001366B4" w:rsidRDefault="00693ED0">
            <w:pPr>
              <w:ind w:right="-29"/>
              <w:jc w:val="center"/>
              <w:rPr>
                <w:noProof/>
                <w:sz w:val="18"/>
                <w:szCs w:val="18"/>
              </w:rPr>
            </w:pPr>
            <w:r w:rsidRPr="001366B4">
              <w:rPr>
                <w:b/>
                <w:noProof/>
                <w:sz w:val="18"/>
              </w:rPr>
              <w:t>I ALT</w:t>
            </w:r>
          </w:p>
        </w:tc>
      </w:tr>
      <w:tr w:rsidR="00693ED0" w:rsidRPr="001366B4" w:rsidTr="17618B6F">
        <w:trPr>
          <w:jc w:val="center"/>
        </w:trPr>
        <w:tc>
          <w:tcPr>
            <w:tcW w:w="1423" w:type="dxa"/>
            <w:vMerge/>
            <w:vAlign w:val="center"/>
          </w:tcPr>
          <w:p w:rsidR="00693ED0" w:rsidRPr="001366B4" w:rsidRDefault="00693ED0">
            <w:pPr>
              <w:ind w:right="-29"/>
              <w:jc w:val="center"/>
              <w:rPr>
                <w:noProof/>
                <w:sz w:val="18"/>
                <w:szCs w:val="18"/>
              </w:rPr>
            </w:pPr>
          </w:p>
        </w:tc>
        <w:tc>
          <w:tcPr>
            <w:tcW w:w="12185" w:type="dxa"/>
            <w:gridSpan w:val="19"/>
            <w:vAlign w:val="center"/>
          </w:tcPr>
          <w:p w:rsidR="00693ED0" w:rsidRPr="001366B4" w:rsidRDefault="00693ED0">
            <w:pPr>
              <w:spacing w:before="60" w:after="60"/>
              <w:ind w:right="-29"/>
              <w:jc w:val="center"/>
              <w:rPr>
                <w:noProof/>
                <w:sz w:val="18"/>
                <w:szCs w:val="18"/>
              </w:rPr>
            </w:pPr>
            <w:r w:rsidRPr="001366B4">
              <w:rPr>
                <w:b/>
                <w:noProof/>
                <w:sz w:val="18"/>
              </w:rPr>
              <w:t>RESULTATER</w:t>
            </w:r>
          </w:p>
        </w:tc>
      </w:tr>
      <w:tr w:rsidR="00DF2D2B" w:rsidRPr="001366B4" w:rsidTr="00DF2D2B">
        <w:trPr>
          <w:cantSplit/>
          <w:trHeight w:val="1134"/>
          <w:jc w:val="center"/>
        </w:trPr>
        <w:tc>
          <w:tcPr>
            <w:tcW w:w="1423" w:type="dxa"/>
            <w:vMerge/>
            <w:vAlign w:val="center"/>
          </w:tcPr>
          <w:p w:rsidR="00693ED0" w:rsidRPr="001366B4" w:rsidRDefault="00693ED0">
            <w:pPr>
              <w:rPr>
                <w:noProof/>
                <w:sz w:val="18"/>
                <w:szCs w:val="18"/>
              </w:rPr>
            </w:pPr>
          </w:p>
        </w:tc>
        <w:tc>
          <w:tcPr>
            <w:tcW w:w="720" w:type="dxa"/>
            <w:vAlign w:val="center"/>
          </w:tcPr>
          <w:p w:rsidR="00693ED0" w:rsidRPr="001366B4" w:rsidRDefault="00693ED0">
            <w:pPr>
              <w:jc w:val="center"/>
              <w:rPr>
                <w:noProof/>
                <w:sz w:val="18"/>
                <w:szCs w:val="18"/>
              </w:rPr>
            </w:pPr>
            <w:r w:rsidRPr="001366B4">
              <w:rPr>
                <w:noProof/>
                <w:sz w:val="18"/>
              </w:rPr>
              <w:t>Type</w:t>
            </w:r>
            <w:r w:rsidRPr="001366B4">
              <w:rPr>
                <w:rStyle w:val="FootnoteReference"/>
                <w:noProof/>
                <w:sz w:val="18"/>
                <w:szCs w:val="18"/>
              </w:rPr>
              <w:footnoteReference w:id="24"/>
            </w:r>
          </w:p>
          <w:p w:rsidR="00693ED0" w:rsidRPr="001366B4" w:rsidRDefault="00693ED0">
            <w:pPr>
              <w:spacing w:before="0" w:after="0"/>
              <w:jc w:val="center"/>
              <w:rPr>
                <w:noProof/>
                <w:sz w:val="18"/>
                <w:szCs w:val="18"/>
              </w:rPr>
            </w:pPr>
          </w:p>
        </w:tc>
        <w:tc>
          <w:tcPr>
            <w:tcW w:w="701" w:type="dxa"/>
            <w:vAlign w:val="center"/>
          </w:tcPr>
          <w:p w:rsidR="00693ED0" w:rsidRPr="001366B4" w:rsidRDefault="00693ED0">
            <w:pPr>
              <w:jc w:val="center"/>
              <w:rPr>
                <w:noProof/>
                <w:sz w:val="18"/>
                <w:szCs w:val="18"/>
              </w:rPr>
            </w:pPr>
            <w:r w:rsidRPr="001366B4">
              <w:rPr>
                <w:noProof/>
                <w:sz w:val="18"/>
              </w:rPr>
              <w:t>Gnsntl. omkostninger</w:t>
            </w:r>
          </w:p>
        </w:tc>
        <w:tc>
          <w:tcPr>
            <w:tcW w:w="504" w:type="dxa"/>
            <w:tcBorders>
              <w:left w:val="nil"/>
              <w:right w:val="dashSmallGap" w:sz="4" w:space="0" w:color="auto"/>
            </w:tcBorders>
            <w:shd w:val="clear" w:color="auto" w:fill="auto"/>
            <w:textDirection w:val="btLr"/>
            <w:vAlign w:val="center"/>
          </w:tcPr>
          <w:p w:rsidR="00693ED0" w:rsidRPr="001366B4" w:rsidRDefault="00693ED0">
            <w:pPr>
              <w:ind w:left="113" w:right="113"/>
              <w:jc w:val="center"/>
              <w:rPr>
                <w:noProof/>
                <w:sz w:val="18"/>
                <w:szCs w:val="18"/>
              </w:rPr>
            </w:pPr>
            <w:r w:rsidRPr="001366B4">
              <w:rPr>
                <w:noProof/>
                <w:sz w:val="18"/>
              </w:rPr>
              <w:t>Antal</w:t>
            </w:r>
          </w:p>
        </w:tc>
        <w:tc>
          <w:tcPr>
            <w:tcW w:w="720" w:type="dxa"/>
            <w:tcBorders>
              <w:left w:val="dashSmallGap" w:sz="4" w:space="0" w:color="auto"/>
            </w:tcBorders>
            <w:shd w:val="clear" w:color="auto" w:fill="auto"/>
            <w:vAlign w:val="center"/>
          </w:tcPr>
          <w:p w:rsidR="00693ED0" w:rsidRPr="001366B4" w:rsidRDefault="00693ED0">
            <w:pPr>
              <w:jc w:val="center"/>
              <w:rPr>
                <w:noProof/>
                <w:sz w:val="18"/>
                <w:szCs w:val="18"/>
              </w:rPr>
            </w:pPr>
            <w:r w:rsidRPr="001366B4">
              <w:rPr>
                <w:noProof/>
                <w:sz w:val="18"/>
              </w:rPr>
              <w:t>Omkostninger</w:t>
            </w:r>
          </w:p>
        </w:tc>
        <w:tc>
          <w:tcPr>
            <w:tcW w:w="540" w:type="dxa"/>
            <w:tcBorders>
              <w:right w:val="dashSmallGap" w:sz="4" w:space="0" w:color="auto"/>
            </w:tcBorders>
            <w:shd w:val="clear" w:color="auto" w:fill="auto"/>
            <w:textDirection w:val="btLr"/>
            <w:vAlign w:val="center"/>
          </w:tcPr>
          <w:p w:rsidR="00693ED0" w:rsidRPr="001366B4" w:rsidRDefault="00693ED0">
            <w:pPr>
              <w:ind w:left="113" w:right="113"/>
              <w:jc w:val="center"/>
              <w:rPr>
                <w:noProof/>
                <w:sz w:val="18"/>
                <w:szCs w:val="18"/>
              </w:rPr>
            </w:pPr>
            <w:r w:rsidRPr="001366B4">
              <w:rPr>
                <w:noProof/>
                <w:sz w:val="18"/>
              </w:rPr>
              <w:t>Antal</w:t>
            </w:r>
          </w:p>
        </w:tc>
        <w:tc>
          <w:tcPr>
            <w:tcW w:w="720" w:type="dxa"/>
            <w:tcBorders>
              <w:left w:val="dashSmallGap" w:sz="4" w:space="0" w:color="auto"/>
            </w:tcBorders>
            <w:shd w:val="clear" w:color="auto" w:fill="auto"/>
            <w:vAlign w:val="center"/>
          </w:tcPr>
          <w:p w:rsidR="00693ED0" w:rsidRPr="001366B4" w:rsidRDefault="00693ED0">
            <w:pPr>
              <w:jc w:val="center"/>
              <w:rPr>
                <w:noProof/>
                <w:sz w:val="18"/>
                <w:szCs w:val="18"/>
              </w:rPr>
            </w:pPr>
            <w:r w:rsidRPr="001366B4">
              <w:rPr>
                <w:noProof/>
                <w:sz w:val="18"/>
              </w:rPr>
              <w:t>Omkostninger</w:t>
            </w:r>
          </w:p>
        </w:tc>
        <w:tc>
          <w:tcPr>
            <w:tcW w:w="720" w:type="dxa"/>
            <w:tcBorders>
              <w:right w:val="dashSmallGap" w:sz="4" w:space="0" w:color="auto"/>
            </w:tcBorders>
            <w:shd w:val="clear" w:color="auto" w:fill="auto"/>
            <w:textDirection w:val="btLr"/>
            <w:vAlign w:val="center"/>
          </w:tcPr>
          <w:p w:rsidR="00693ED0" w:rsidRPr="001366B4" w:rsidRDefault="00693ED0">
            <w:pPr>
              <w:ind w:left="113" w:right="113"/>
              <w:jc w:val="center"/>
              <w:rPr>
                <w:noProof/>
                <w:sz w:val="18"/>
                <w:szCs w:val="18"/>
              </w:rPr>
            </w:pPr>
            <w:r w:rsidRPr="001366B4">
              <w:rPr>
                <w:noProof/>
                <w:sz w:val="18"/>
              </w:rPr>
              <w:t>Antal</w:t>
            </w:r>
          </w:p>
        </w:tc>
        <w:tc>
          <w:tcPr>
            <w:tcW w:w="720" w:type="dxa"/>
            <w:tcBorders>
              <w:left w:val="dashSmallGap" w:sz="4" w:space="0" w:color="auto"/>
            </w:tcBorders>
            <w:shd w:val="clear" w:color="auto" w:fill="auto"/>
            <w:vAlign w:val="center"/>
          </w:tcPr>
          <w:p w:rsidR="00693ED0" w:rsidRPr="001366B4" w:rsidRDefault="00693ED0">
            <w:pPr>
              <w:jc w:val="center"/>
              <w:rPr>
                <w:noProof/>
                <w:sz w:val="18"/>
                <w:szCs w:val="18"/>
              </w:rPr>
            </w:pPr>
            <w:r w:rsidRPr="001366B4">
              <w:rPr>
                <w:noProof/>
                <w:sz w:val="18"/>
              </w:rPr>
              <w:t>Omkostninger</w:t>
            </w:r>
          </w:p>
        </w:tc>
        <w:tc>
          <w:tcPr>
            <w:tcW w:w="900" w:type="dxa"/>
            <w:tcBorders>
              <w:right w:val="dashSmallGap" w:sz="4" w:space="0" w:color="auto"/>
            </w:tcBorders>
            <w:shd w:val="clear" w:color="auto" w:fill="auto"/>
            <w:textDirection w:val="btLr"/>
            <w:vAlign w:val="center"/>
          </w:tcPr>
          <w:p w:rsidR="00693ED0" w:rsidRPr="001366B4" w:rsidRDefault="00693ED0">
            <w:pPr>
              <w:ind w:left="113" w:right="113"/>
              <w:jc w:val="center"/>
              <w:rPr>
                <w:noProof/>
                <w:sz w:val="18"/>
                <w:szCs w:val="18"/>
              </w:rPr>
            </w:pPr>
            <w:r w:rsidRPr="001366B4">
              <w:rPr>
                <w:noProof/>
                <w:sz w:val="18"/>
              </w:rPr>
              <w:t>Antal</w:t>
            </w:r>
          </w:p>
        </w:tc>
        <w:tc>
          <w:tcPr>
            <w:tcW w:w="720" w:type="dxa"/>
            <w:gridSpan w:val="2"/>
            <w:tcBorders>
              <w:left w:val="dashSmallGap" w:sz="4" w:space="0" w:color="auto"/>
            </w:tcBorders>
            <w:shd w:val="clear" w:color="auto" w:fill="auto"/>
            <w:vAlign w:val="center"/>
          </w:tcPr>
          <w:p w:rsidR="00693ED0" w:rsidRPr="001366B4" w:rsidRDefault="00693ED0">
            <w:pPr>
              <w:jc w:val="center"/>
              <w:rPr>
                <w:noProof/>
                <w:sz w:val="18"/>
                <w:szCs w:val="18"/>
              </w:rPr>
            </w:pPr>
            <w:r w:rsidRPr="001366B4">
              <w:rPr>
                <w:noProof/>
                <w:sz w:val="18"/>
              </w:rPr>
              <w:t>Omkostninger</w:t>
            </w:r>
          </w:p>
        </w:tc>
        <w:tc>
          <w:tcPr>
            <w:tcW w:w="540" w:type="dxa"/>
            <w:tcBorders>
              <w:right w:val="dashSmallGap" w:sz="4" w:space="0" w:color="auto"/>
            </w:tcBorders>
            <w:shd w:val="clear" w:color="auto" w:fill="auto"/>
            <w:textDirection w:val="btLr"/>
            <w:vAlign w:val="center"/>
          </w:tcPr>
          <w:p w:rsidR="00693ED0" w:rsidRPr="001366B4" w:rsidRDefault="00693ED0">
            <w:pPr>
              <w:ind w:left="113" w:right="113"/>
              <w:jc w:val="center"/>
              <w:rPr>
                <w:noProof/>
                <w:sz w:val="18"/>
                <w:szCs w:val="18"/>
              </w:rPr>
            </w:pPr>
            <w:r w:rsidRPr="001366B4">
              <w:rPr>
                <w:noProof/>
                <w:sz w:val="18"/>
              </w:rPr>
              <w:t>Antal</w:t>
            </w:r>
          </w:p>
        </w:tc>
        <w:tc>
          <w:tcPr>
            <w:tcW w:w="648" w:type="dxa"/>
            <w:tcBorders>
              <w:left w:val="dashSmallGap" w:sz="4" w:space="0" w:color="auto"/>
            </w:tcBorders>
            <w:shd w:val="clear" w:color="auto" w:fill="auto"/>
            <w:vAlign w:val="center"/>
          </w:tcPr>
          <w:p w:rsidR="00693ED0" w:rsidRPr="001366B4" w:rsidRDefault="00693ED0">
            <w:pPr>
              <w:jc w:val="center"/>
              <w:rPr>
                <w:noProof/>
                <w:sz w:val="18"/>
                <w:szCs w:val="18"/>
              </w:rPr>
            </w:pPr>
            <w:r w:rsidRPr="001366B4">
              <w:rPr>
                <w:noProof/>
                <w:sz w:val="18"/>
              </w:rPr>
              <w:t>Omkostninger</w:t>
            </w:r>
          </w:p>
        </w:tc>
        <w:tc>
          <w:tcPr>
            <w:tcW w:w="432" w:type="dxa"/>
            <w:tcBorders>
              <w:right w:val="dashSmallGap" w:sz="4" w:space="0" w:color="auto"/>
            </w:tcBorders>
            <w:shd w:val="clear" w:color="auto" w:fill="auto"/>
            <w:textDirection w:val="btLr"/>
            <w:vAlign w:val="center"/>
          </w:tcPr>
          <w:p w:rsidR="00693ED0" w:rsidRPr="001366B4" w:rsidRDefault="00693ED0">
            <w:pPr>
              <w:ind w:left="113" w:right="113"/>
              <w:jc w:val="center"/>
              <w:rPr>
                <w:noProof/>
                <w:sz w:val="18"/>
                <w:szCs w:val="18"/>
              </w:rPr>
            </w:pPr>
            <w:r w:rsidRPr="001366B4">
              <w:rPr>
                <w:noProof/>
                <w:sz w:val="18"/>
              </w:rPr>
              <w:t>Antal</w:t>
            </w:r>
          </w:p>
        </w:tc>
        <w:tc>
          <w:tcPr>
            <w:tcW w:w="720" w:type="dxa"/>
            <w:tcBorders>
              <w:left w:val="dashSmallGap" w:sz="4" w:space="0" w:color="auto"/>
            </w:tcBorders>
            <w:shd w:val="clear" w:color="auto" w:fill="auto"/>
            <w:vAlign w:val="center"/>
          </w:tcPr>
          <w:p w:rsidR="00693ED0" w:rsidRPr="001366B4" w:rsidRDefault="00693ED0">
            <w:pPr>
              <w:jc w:val="center"/>
              <w:rPr>
                <w:noProof/>
                <w:sz w:val="18"/>
                <w:szCs w:val="18"/>
              </w:rPr>
            </w:pPr>
            <w:r w:rsidRPr="001366B4">
              <w:rPr>
                <w:noProof/>
                <w:sz w:val="18"/>
              </w:rPr>
              <w:t>Omkostninger</w:t>
            </w:r>
          </w:p>
        </w:tc>
        <w:tc>
          <w:tcPr>
            <w:tcW w:w="540" w:type="dxa"/>
            <w:tcBorders>
              <w:right w:val="dashSmallGap" w:sz="4" w:space="0" w:color="auto"/>
            </w:tcBorders>
            <w:shd w:val="clear" w:color="auto" w:fill="auto"/>
            <w:textDirection w:val="btLr"/>
            <w:vAlign w:val="center"/>
          </w:tcPr>
          <w:p w:rsidR="00693ED0" w:rsidRPr="001366B4" w:rsidRDefault="00693ED0">
            <w:pPr>
              <w:ind w:left="113" w:right="113"/>
              <w:jc w:val="center"/>
              <w:rPr>
                <w:noProof/>
                <w:sz w:val="18"/>
                <w:szCs w:val="18"/>
              </w:rPr>
            </w:pPr>
            <w:r w:rsidRPr="001366B4">
              <w:rPr>
                <w:noProof/>
                <w:sz w:val="18"/>
              </w:rPr>
              <w:t>Antal</w:t>
            </w:r>
          </w:p>
        </w:tc>
        <w:tc>
          <w:tcPr>
            <w:tcW w:w="720" w:type="dxa"/>
            <w:tcBorders>
              <w:left w:val="dashSmallGap" w:sz="4" w:space="0" w:color="auto"/>
            </w:tcBorders>
            <w:shd w:val="clear" w:color="auto" w:fill="auto"/>
            <w:vAlign w:val="center"/>
          </w:tcPr>
          <w:p w:rsidR="00693ED0" w:rsidRPr="001366B4" w:rsidRDefault="00693ED0">
            <w:pPr>
              <w:jc w:val="center"/>
              <w:rPr>
                <w:noProof/>
                <w:sz w:val="18"/>
                <w:szCs w:val="18"/>
              </w:rPr>
            </w:pPr>
            <w:r w:rsidRPr="001366B4">
              <w:rPr>
                <w:noProof/>
                <w:sz w:val="18"/>
              </w:rPr>
              <w:t>Omkostninger</w:t>
            </w:r>
          </w:p>
        </w:tc>
        <w:tc>
          <w:tcPr>
            <w:tcW w:w="720" w:type="dxa"/>
            <w:tcBorders>
              <w:right w:val="dashSmallGap" w:sz="4" w:space="0" w:color="auto"/>
            </w:tcBorders>
            <w:shd w:val="clear" w:color="auto" w:fill="auto"/>
            <w:vAlign w:val="center"/>
          </w:tcPr>
          <w:p w:rsidR="00693ED0" w:rsidRPr="001366B4" w:rsidRDefault="00693ED0">
            <w:pPr>
              <w:jc w:val="center"/>
              <w:rPr>
                <w:noProof/>
                <w:sz w:val="18"/>
                <w:szCs w:val="18"/>
              </w:rPr>
            </w:pPr>
            <w:r w:rsidRPr="001366B4">
              <w:rPr>
                <w:noProof/>
                <w:sz w:val="18"/>
              </w:rPr>
              <w:t>Antal resultater</w:t>
            </w:r>
            <w:r w:rsidR="00A87ED6" w:rsidRPr="001366B4">
              <w:rPr>
                <w:noProof/>
                <w:sz w:val="18"/>
              </w:rPr>
              <w:t xml:space="preserve"> i alt</w:t>
            </w:r>
          </w:p>
        </w:tc>
        <w:tc>
          <w:tcPr>
            <w:tcW w:w="900" w:type="dxa"/>
            <w:tcBorders>
              <w:left w:val="dashSmallGap" w:sz="4" w:space="0" w:color="auto"/>
            </w:tcBorders>
            <w:shd w:val="clear" w:color="auto" w:fill="auto"/>
            <w:vAlign w:val="center"/>
          </w:tcPr>
          <w:p w:rsidR="00693ED0" w:rsidRPr="001366B4" w:rsidRDefault="00693ED0">
            <w:pPr>
              <w:jc w:val="center"/>
              <w:rPr>
                <w:noProof/>
                <w:sz w:val="18"/>
                <w:szCs w:val="18"/>
              </w:rPr>
            </w:pPr>
            <w:r w:rsidRPr="001366B4">
              <w:rPr>
                <w:noProof/>
                <w:sz w:val="18"/>
              </w:rPr>
              <w:t>Omkostninger</w:t>
            </w:r>
            <w:r w:rsidR="00A87ED6" w:rsidRPr="001366B4">
              <w:rPr>
                <w:noProof/>
                <w:sz w:val="18"/>
              </w:rPr>
              <w:t xml:space="preserve"> i alt</w:t>
            </w:r>
          </w:p>
        </w:tc>
      </w:tr>
      <w:tr w:rsidR="00693ED0" w:rsidRPr="001366B4" w:rsidTr="17618B6F">
        <w:trPr>
          <w:jc w:val="center"/>
        </w:trPr>
        <w:tc>
          <w:tcPr>
            <w:tcW w:w="2844" w:type="dxa"/>
            <w:gridSpan w:val="3"/>
            <w:vAlign w:val="center"/>
          </w:tcPr>
          <w:p w:rsidR="00693ED0" w:rsidRPr="001366B4" w:rsidRDefault="00693ED0">
            <w:pPr>
              <w:spacing w:before="60" w:after="60"/>
              <w:ind w:right="-29"/>
              <w:jc w:val="center"/>
              <w:rPr>
                <w:noProof/>
                <w:sz w:val="18"/>
                <w:szCs w:val="18"/>
              </w:rPr>
            </w:pPr>
            <w:r w:rsidRPr="001366B4">
              <w:rPr>
                <w:noProof/>
                <w:sz w:val="18"/>
              </w:rPr>
              <w:t>SPECIFIKT MÅL NR. 1</w:t>
            </w:r>
            <w:r w:rsidRPr="001366B4">
              <w:rPr>
                <w:rStyle w:val="FootnoteReference"/>
                <w:noProof/>
                <w:sz w:val="18"/>
                <w:szCs w:val="18"/>
              </w:rPr>
              <w:footnoteReference w:id="25"/>
            </w:r>
          </w:p>
        </w:tc>
        <w:tc>
          <w:tcPr>
            <w:tcW w:w="504"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1366B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1366B4" w:rsidRDefault="00693ED0">
            <w:pPr>
              <w:spacing w:before="60" w:after="60"/>
              <w:ind w:right="-29"/>
              <w:jc w:val="center"/>
              <w:rPr>
                <w:noProof/>
                <w:sz w:val="18"/>
                <w:szCs w:val="18"/>
              </w:rPr>
            </w:pPr>
          </w:p>
        </w:tc>
      </w:tr>
      <w:tr w:rsidR="00693ED0" w:rsidRPr="001366B4" w:rsidTr="17618B6F">
        <w:trPr>
          <w:trHeight w:hRule="exact" w:val="369"/>
          <w:jc w:val="center"/>
        </w:trPr>
        <w:tc>
          <w:tcPr>
            <w:tcW w:w="1423" w:type="dxa"/>
          </w:tcPr>
          <w:p w:rsidR="00693ED0" w:rsidRPr="001366B4" w:rsidRDefault="00693ED0">
            <w:pPr>
              <w:ind w:right="-29"/>
              <w:jc w:val="center"/>
              <w:rPr>
                <w:noProof/>
                <w:sz w:val="18"/>
                <w:szCs w:val="18"/>
              </w:rPr>
            </w:pPr>
            <w:r w:rsidRPr="001366B4">
              <w:rPr>
                <w:noProof/>
                <w:sz w:val="18"/>
              </w:rPr>
              <w:t>- Resultat</w:t>
            </w:r>
          </w:p>
        </w:tc>
        <w:tc>
          <w:tcPr>
            <w:tcW w:w="720" w:type="dxa"/>
          </w:tcPr>
          <w:p w:rsidR="00693ED0" w:rsidRPr="001366B4" w:rsidRDefault="00693ED0">
            <w:pPr>
              <w:ind w:right="-29"/>
              <w:jc w:val="center"/>
              <w:rPr>
                <w:noProof/>
                <w:sz w:val="18"/>
                <w:szCs w:val="18"/>
              </w:rPr>
            </w:pPr>
          </w:p>
        </w:tc>
        <w:tc>
          <w:tcPr>
            <w:tcW w:w="701" w:type="dxa"/>
          </w:tcPr>
          <w:p w:rsidR="00693ED0" w:rsidRPr="001366B4" w:rsidRDefault="00693ED0">
            <w:pPr>
              <w:ind w:right="-29"/>
              <w:jc w:val="center"/>
              <w:rPr>
                <w:noProof/>
                <w:sz w:val="18"/>
                <w:szCs w:val="18"/>
              </w:rPr>
            </w:pPr>
          </w:p>
        </w:tc>
        <w:tc>
          <w:tcPr>
            <w:tcW w:w="504" w:type="dxa"/>
            <w:tcBorders>
              <w:right w:val="dashSmallGap" w:sz="4" w:space="0" w:color="auto"/>
            </w:tcBorders>
          </w:tcPr>
          <w:p w:rsidR="00693ED0" w:rsidRPr="001366B4" w:rsidRDefault="00693ED0">
            <w:pPr>
              <w:ind w:right="-29"/>
              <w:jc w:val="center"/>
              <w:rPr>
                <w:noProof/>
                <w:sz w:val="18"/>
                <w:szCs w:val="18"/>
              </w:rPr>
            </w:pPr>
          </w:p>
        </w:tc>
        <w:tc>
          <w:tcPr>
            <w:tcW w:w="720" w:type="dxa"/>
            <w:tcBorders>
              <w:left w:val="dashSmallGap" w:sz="4" w:space="0" w:color="auto"/>
            </w:tcBorders>
          </w:tcPr>
          <w:p w:rsidR="00693ED0" w:rsidRPr="001366B4" w:rsidRDefault="00693ED0">
            <w:pPr>
              <w:ind w:right="-29"/>
              <w:jc w:val="center"/>
              <w:rPr>
                <w:noProof/>
                <w:sz w:val="18"/>
                <w:szCs w:val="18"/>
              </w:rPr>
            </w:pPr>
          </w:p>
        </w:tc>
        <w:tc>
          <w:tcPr>
            <w:tcW w:w="540" w:type="dxa"/>
            <w:tcBorders>
              <w:right w:val="dashSmallGap" w:sz="4" w:space="0" w:color="auto"/>
            </w:tcBorders>
          </w:tcPr>
          <w:p w:rsidR="00693ED0" w:rsidRPr="001366B4" w:rsidRDefault="00693ED0">
            <w:pPr>
              <w:ind w:right="-29"/>
              <w:jc w:val="center"/>
              <w:rPr>
                <w:noProof/>
                <w:sz w:val="18"/>
                <w:szCs w:val="18"/>
              </w:rPr>
            </w:pPr>
          </w:p>
        </w:tc>
        <w:tc>
          <w:tcPr>
            <w:tcW w:w="720" w:type="dxa"/>
            <w:tcBorders>
              <w:left w:val="dashSmallGap" w:sz="4" w:space="0" w:color="auto"/>
            </w:tcBorders>
          </w:tcPr>
          <w:p w:rsidR="00693ED0" w:rsidRPr="001366B4" w:rsidRDefault="00693ED0">
            <w:pPr>
              <w:ind w:right="-29"/>
              <w:jc w:val="center"/>
              <w:rPr>
                <w:noProof/>
                <w:sz w:val="18"/>
                <w:szCs w:val="18"/>
              </w:rPr>
            </w:pPr>
          </w:p>
        </w:tc>
        <w:tc>
          <w:tcPr>
            <w:tcW w:w="720" w:type="dxa"/>
            <w:tcBorders>
              <w:right w:val="dashSmallGap" w:sz="4" w:space="0" w:color="auto"/>
            </w:tcBorders>
          </w:tcPr>
          <w:p w:rsidR="00693ED0" w:rsidRPr="001366B4" w:rsidRDefault="00693ED0">
            <w:pPr>
              <w:ind w:right="-29"/>
              <w:jc w:val="center"/>
              <w:rPr>
                <w:noProof/>
                <w:sz w:val="18"/>
                <w:szCs w:val="18"/>
              </w:rPr>
            </w:pPr>
          </w:p>
        </w:tc>
        <w:tc>
          <w:tcPr>
            <w:tcW w:w="720" w:type="dxa"/>
            <w:tcBorders>
              <w:left w:val="dashSmallGap" w:sz="4" w:space="0" w:color="auto"/>
            </w:tcBorders>
          </w:tcPr>
          <w:p w:rsidR="00693ED0" w:rsidRPr="001366B4" w:rsidRDefault="00693ED0">
            <w:pPr>
              <w:ind w:right="-29"/>
              <w:jc w:val="center"/>
              <w:rPr>
                <w:noProof/>
                <w:sz w:val="18"/>
                <w:szCs w:val="18"/>
              </w:rPr>
            </w:pPr>
          </w:p>
        </w:tc>
        <w:tc>
          <w:tcPr>
            <w:tcW w:w="900" w:type="dxa"/>
            <w:tcBorders>
              <w:right w:val="dashSmallGap" w:sz="4" w:space="0" w:color="auto"/>
            </w:tcBorders>
          </w:tcPr>
          <w:p w:rsidR="00693ED0" w:rsidRPr="001366B4" w:rsidRDefault="00693ED0">
            <w:pPr>
              <w:ind w:right="-29"/>
              <w:jc w:val="center"/>
              <w:rPr>
                <w:noProof/>
                <w:sz w:val="18"/>
                <w:szCs w:val="18"/>
              </w:rPr>
            </w:pPr>
          </w:p>
        </w:tc>
        <w:tc>
          <w:tcPr>
            <w:tcW w:w="720" w:type="dxa"/>
            <w:gridSpan w:val="2"/>
            <w:tcBorders>
              <w:left w:val="dashSmallGap" w:sz="4" w:space="0" w:color="auto"/>
            </w:tcBorders>
          </w:tcPr>
          <w:p w:rsidR="00693ED0" w:rsidRPr="001366B4" w:rsidRDefault="00693ED0">
            <w:pPr>
              <w:ind w:right="-29"/>
              <w:jc w:val="center"/>
              <w:rPr>
                <w:noProof/>
                <w:sz w:val="18"/>
                <w:szCs w:val="18"/>
              </w:rPr>
            </w:pPr>
          </w:p>
        </w:tc>
        <w:tc>
          <w:tcPr>
            <w:tcW w:w="540" w:type="dxa"/>
            <w:tcBorders>
              <w:right w:val="dashSmallGap" w:sz="4" w:space="0" w:color="auto"/>
            </w:tcBorders>
          </w:tcPr>
          <w:p w:rsidR="00693ED0" w:rsidRPr="001366B4" w:rsidRDefault="00693ED0">
            <w:pPr>
              <w:ind w:right="-29"/>
              <w:jc w:val="center"/>
              <w:rPr>
                <w:noProof/>
                <w:sz w:val="18"/>
                <w:szCs w:val="18"/>
              </w:rPr>
            </w:pPr>
          </w:p>
        </w:tc>
        <w:tc>
          <w:tcPr>
            <w:tcW w:w="648" w:type="dxa"/>
            <w:tcBorders>
              <w:left w:val="dashSmallGap" w:sz="4" w:space="0" w:color="auto"/>
            </w:tcBorders>
          </w:tcPr>
          <w:p w:rsidR="00693ED0" w:rsidRPr="001366B4" w:rsidRDefault="00693ED0">
            <w:pPr>
              <w:ind w:right="-29"/>
              <w:jc w:val="center"/>
              <w:rPr>
                <w:noProof/>
                <w:sz w:val="18"/>
                <w:szCs w:val="18"/>
              </w:rPr>
            </w:pPr>
          </w:p>
        </w:tc>
        <w:tc>
          <w:tcPr>
            <w:tcW w:w="432" w:type="dxa"/>
            <w:tcBorders>
              <w:right w:val="dashSmallGap" w:sz="4" w:space="0" w:color="auto"/>
            </w:tcBorders>
          </w:tcPr>
          <w:p w:rsidR="00693ED0" w:rsidRPr="001366B4" w:rsidRDefault="00693ED0">
            <w:pPr>
              <w:ind w:right="-29"/>
              <w:jc w:val="center"/>
              <w:rPr>
                <w:noProof/>
                <w:sz w:val="18"/>
                <w:szCs w:val="18"/>
              </w:rPr>
            </w:pPr>
          </w:p>
        </w:tc>
        <w:tc>
          <w:tcPr>
            <w:tcW w:w="720" w:type="dxa"/>
            <w:tcBorders>
              <w:left w:val="dashSmallGap" w:sz="4" w:space="0" w:color="auto"/>
            </w:tcBorders>
          </w:tcPr>
          <w:p w:rsidR="00693ED0" w:rsidRPr="001366B4" w:rsidRDefault="00693ED0">
            <w:pPr>
              <w:ind w:right="-29"/>
              <w:jc w:val="center"/>
              <w:rPr>
                <w:noProof/>
                <w:sz w:val="18"/>
                <w:szCs w:val="18"/>
              </w:rPr>
            </w:pPr>
          </w:p>
        </w:tc>
        <w:tc>
          <w:tcPr>
            <w:tcW w:w="540" w:type="dxa"/>
            <w:tcBorders>
              <w:right w:val="dashSmallGap" w:sz="4" w:space="0" w:color="auto"/>
            </w:tcBorders>
          </w:tcPr>
          <w:p w:rsidR="00693ED0" w:rsidRPr="001366B4" w:rsidRDefault="00693ED0">
            <w:pPr>
              <w:ind w:right="-29"/>
              <w:jc w:val="center"/>
              <w:rPr>
                <w:noProof/>
                <w:sz w:val="18"/>
                <w:szCs w:val="18"/>
              </w:rPr>
            </w:pPr>
          </w:p>
        </w:tc>
        <w:tc>
          <w:tcPr>
            <w:tcW w:w="720" w:type="dxa"/>
            <w:tcBorders>
              <w:left w:val="dashSmallGap" w:sz="4" w:space="0" w:color="auto"/>
            </w:tcBorders>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900" w:type="dxa"/>
          </w:tcPr>
          <w:p w:rsidR="00693ED0" w:rsidRPr="001366B4" w:rsidRDefault="00693ED0">
            <w:pPr>
              <w:ind w:right="-29"/>
              <w:jc w:val="center"/>
              <w:rPr>
                <w:noProof/>
                <w:sz w:val="18"/>
                <w:szCs w:val="18"/>
              </w:rPr>
            </w:pPr>
          </w:p>
        </w:tc>
      </w:tr>
      <w:tr w:rsidR="00693ED0" w:rsidRPr="001366B4" w:rsidTr="17618B6F">
        <w:trPr>
          <w:trHeight w:hRule="exact" w:val="369"/>
          <w:jc w:val="center"/>
        </w:trPr>
        <w:tc>
          <w:tcPr>
            <w:tcW w:w="1423" w:type="dxa"/>
          </w:tcPr>
          <w:p w:rsidR="00693ED0" w:rsidRPr="001366B4" w:rsidRDefault="00693ED0">
            <w:pPr>
              <w:ind w:right="-29"/>
              <w:jc w:val="center"/>
              <w:rPr>
                <w:noProof/>
                <w:sz w:val="18"/>
                <w:szCs w:val="18"/>
              </w:rPr>
            </w:pPr>
            <w:r w:rsidRPr="001366B4">
              <w:rPr>
                <w:noProof/>
                <w:sz w:val="18"/>
              </w:rPr>
              <w:t>- Resultat</w:t>
            </w:r>
          </w:p>
        </w:tc>
        <w:tc>
          <w:tcPr>
            <w:tcW w:w="720" w:type="dxa"/>
          </w:tcPr>
          <w:p w:rsidR="00693ED0" w:rsidRPr="001366B4" w:rsidRDefault="00693ED0">
            <w:pPr>
              <w:ind w:right="-29"/>
              <w:jc w:val="center"/>
              <w:rPr>
                <w:noProof/>
                <w:sz w:val="18"/>
                <w:szCs w:val="18"/>
              </w:rPr>
            </w:pPr>
          </w:p>
        </w:tc>
        <w:tc>
          <w:tcPr>
            <w:tcW w:w="701" w:type="dxa"/>
          </w:tcPr>
          <w:p w:rsidR="00693ED0" w:rsidRPr="001366B4" w:rsidRDefault="00693ED0">
            <w:pPr>
              <w:ind w:right="-29"/>
              <w:jc w:val="center"/>
              <w:rPr>
                <w:noProof/>
                <w:sz w:val="18"/>
                <w:szCs w:val="18"/>
              </w:rPr>
            </w:pPr>
          </w:p>
        </w:tc>
        <w:tc>
          <w:tcPr>
            <w:tcW w:w="504" w:type="dxa"/>
            <w:tcBorders>
              <w:right w:val="dashSmallGap" w:sz="4" w:space="0" w:color="auto"/>
            </w:tcBorders>
          </w:tcPr>
          <w:p w:rsidR="00693ED0" w:rsidRPr="001366B4" w:rsidRDefault="00693ED0">
            <w:pPr>
              <w:ind w:right="-29"/>
              <w:jc w:val="center"/>
              <w:rPr>
                <w:noProof/>
                <w:sz w:val="18"/>
                <w:szCs w:val="18"/>
              </w:rPr>
            </w:pPr>
          </w:p>
        </w:tc>
        <w:tc>
          <w:tcPr>
            <w:tcW w:w="720" w:type="dxa"/>
            <w:tcBorders>
              <w:left w:val="dashSmallGap" w:sz="4" w:space="0" w:color="auto"/>
            </w:tcBorders>
          </w:tcPr>
          <w:p w:rsidR="00693ED0" w:rsidRPr="001366B4" w:rsidRDefault="00693ED0">
            <w:pPr>
              <w:ind w:right="-29"/>
              <w:jc w:val="center"/>
              <w:rPr>
                <w:noProof/>
                <w:sz w:val="18"/>
                <w:szCs w:val="18"/>
              </w:rPr>
            </w:pPr>
          </w:p>
        </w:tc>
        <w:tc>
          <w:tcPr>
            <w:tcW w:w="540" w:type="dxa"/>
            <w:tcBorders>
              <w:right w:val="dashSmallGap" w:sz="4" w:space="0" w:color="auto"/>
            </w:tcBorders>
          </w:tcPr>
          <w:p w:rsidR="00693ED0" w:rsidRPr="001366B4" w:rsidRDefault="00693ED0">
            <w:pPr>
              <w:ind w:right="-29"/>
              <w:jc w:val="center"/>
              <w:rPr>
                <w:noProof/>
                <w:sz w:val="18"/>
                <w:szCs w:val="18"/>
              </w:rPr>
            </w:pPr>
          </w:p>
        </w:tc>
        <w:tc>
          <w:tcPr>
            <w:tcW w:w="720" w:type="dxa"/>
            <w:tcBorders>
              <w:left w:val="dashSmallGap" w:sz="4" w:space="0" w:color="auto"/>
            </w:tcBorders>
          </w:tcPr>
          <w:p w:rsidR="00693ED0" w:rsidRPr="001366B4" w:rsidRDefault="00693ED0">
            <w:pPr>
              <w:ind w:right="-29"/>
              <w:jc w:val="center"/>
              <w:rPr>
                <w:noProof/>
                <w:sz w:val="18"/>
                <w:szCs w:val="18"/>
              </w:rPr>
            </w:pPr>
          </w:p>
        </w:tc>
        <w:tc>
          <w:tcPr>
            <w:tcW w:w="720" w:type="dxa"/>
            <w:tcBorders>
              <w:right w:val="dashSmallGap" w:sz="4" w:space="0" w:color="auto"/>
            </w:tcBorders>
          </w:tcPr>
          <w:p w:rsidR="00693ED0" w:rsidRPr="001366B4" w:rsidRDefault="00693ED0">
            <w:pPr>
              <w:ind w:right="-29"/>
              <w:jc w:val="center"/>
              <w:rPr>
                <w:noProof/>
                <w:sz w:val="18"/>
                <w:szCs w:val="18"/>
              </w:rPr>
            </w:pPr>
          </w:p>
        </w:tc>
        <w:tc>
          <w:tcPr>
            <w:tcW w:w="720" w:type="dxa"/>
            <w:tcBorders>
              <w:left w:val="dashSmallGap" w:sz="4" w:space="0" w:color="auto"/>
            </w:tcBorders>
          </w:tcPr>
          <w:p w:rsidR="00693ED0" w:rsidRPr="001366B4" w:rsidRDefault="00693ED0">
            <w:pPr>
              <w:ind w:right="-29"/>
              <w:jc w:val="center"/>
              <w:rPr>
                <w:noProof/>
                <w:sz w:val="18"/>
                <w:szCs w:val="18"/>
              </w:rPr>
            </w:pPr>
          </w:p>
        </w:tc>
        <w:tc>
          <w:tcPr>
            <w:tcW w:w="900" w:type="dxa"/>
            <w:tcBorders>
              <w:right w:val="dashSmallGap" w:sz="4" w:space="0" w:color="auto"/>
            </w:tcBorders>
          </w:tcPr>
          <w:p w:rsidR="00693ED0" w:rsidRPr="001366B4" w:rsidRDefault="00693ED0">
            <w:pPr>
              <w:ind w:right="-29"/>
              <w:jc w:val="center"/>
              <w:rPr>
                <w:noProof/>
                <w:sz w:val="18"/>
                <w:szCs w:val="18"/>
              </w:rPr>
            </w:pPr>
          </w:p>
        </w:tc>
        <w:tc>
          <w:tcPr>
            <w:tcW w:w="720" w:type="dxa"/>
            <w:gridSpan w:val="2"/>
            <w:tcBorders>
              <w:left w:val="dashSmallGap" w:sz="4" w:space="0" w:color="auto"/>
            </w:tcBorders>
          </w:tcPr>
          <w:p w:rsidR="00693ED0" w:rsidRPr="001366B4" w:rsidRDefault="00693ED0">
            <w:pPr>
              <w:ind w:right="-29"/>
              <w:jc w:val="center"/>
              <w:rPr>
                <w:noProof/>
                <w:sz w:val="18"/>
                <w:szCs w:val="18"/>
              </w:rPr>
            </w:pPr>
          </w:p>
        </w:tc>
        <w:tc>
          <w:tcPr>
            <w:tcW w:w="540" w:type="dxa"/>
            <w:tcBorders>
              <w:right w:val="dashSmallGap" w:sz="4" w:space="0" w:color="auto"/>
            </w:tcBorders>
          </w:tcPr>
          <w:p w:rsidR="00693ED0" w:rsidRPr="001366B4" w:rsidRDefault="00693ED0">
            <w:pPr>
              <w:ind w:right="-29"/>
              <w:jc w:val="center"/>
              <w:rPr>
                <w:noProof/>
                <w:sz w:val="18"/>
                <w:szCs w:val="18"/>
              </w:rPr>
            </w:pPr>
          </w:p>
        </w:tc>
        <w:tc>
          <w:tcPr>
            <w:tcW w:w="648" w:type="dxa"/>
            <w:tcBorders>
              <w:left w:val="dashSmallGap" w:sz="4" w:space="0" w:color="auto"/>
            </w:tcBorders>
          </w:tcPr>
          <w:p w:rsidR="00693ED0" w:rsidRPr="001366B4" w:rsidRDefault="00693ED0">
            <w:pPr>
              <w:ind w:right="-29"/>
              <w:jc w:val="center"/>
              <w:rPr>
                <w:noProof/>
                <w:sz w:val="18"/>
                <w:szCs w:val="18"/>
              </w:rPr>
            </w:pPr>
          </w:p>
        </w:tc>
        <w:tc>
          <w:tcPr>
            <w:tcW w:w="432" w:type="dxa"/>
            <w:tcBorders>
              <w:right w:val="dashSmallGap" w:sz="4" w:space="0" w:color="auto"/>
            </w:tcBorders>
          </w:tcPr>
          <w:p w:rsidR="00693ED0" w:rsidRPr="001366B4" w:rsidRDefault="00693ED0">
            <w:pPr>
              <w:ind w:right="-29"/>
              <w:jc w:val="center"/>
              <w:rPr>
                <w:noProof/>
                <w:sz w:val="18"/>
                <w:szCs w:val="18"/>
              </w:rPr>
            </w:pPr>
          </w:p>
        </w:tc>
        <w:tc>
          <w:tcPr>
            <w:tcW w:w="720" w:type="dxa"/>
            <w:tcBorders>
              <w:left w:val="dashSmallGap" w:sz="4" w:space="0" w:color="auto"/>
            </w:tcBorders>
          </w:tcPr>
          <w:p w:rsidR="00693ED0" w:rsidRPr="001366B4" w:rsidRDefault="00693ED0">
            <w:pPr>
              <w:ind w:right="-29"/>
              <w:jc w:val="center"/>
              <w:rPr>
                <w:noProof/>
                <w:sz w:val="18"/>
                <w:szCs w:val="18"/>
              </w:rPr>
            </w:pPr>
          </w:p>
        </w:tc>
        <w:tc>
          <w:tcPr>
            <w:tcW w:w="540" w:type="dxa"/>
            <w:tcBorders>
              <w:right w:val="dashSmallGap" w:sz="4" w:space="0" w:color="auto"/>
            </w:tcBorders>
          </w:tcPr>
          <w:p w:rsidR="00693ED0" w:rsidRPr="001366B4" w:rsidRDefault="00693ED0">
            <w:pPr>
              <w:ind w:right="-29"/>
              <w:jc w:val="center"/>
              <w:rPr>
                <w:noProof/>
                <w:sz w:val="18"/>
                <w:szCs w:val="18"/>
              </w:rPr>
            </w:pPr>
          </w:p>
        </w:tc>
        <w:tc>
          <w:tcPr>
            <w:tcW w:w="720" w:type="dxa"/>
            <w:tcBorders>
              <w:left w:val="dashSmallGap" w:sz="4" w:space="0" w:color="auto"/>
            </w:tcBorders>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900" w:type="dxa"/>
          </w:tcPr>
          <w:p w:rsidR="00693ED0" w:rsidRPr="001366B4" w:rsidRDefault="00693ED0">
            <w:pPr>
              <w:ind w:right="-29"/>
              <w:jc w:val="center"/>
              <w:rPr>
                <w:noProof/>
                <w:sz w:val="18"/>
                <w:szCs w:val="18"/>
              </w:rPr>
            </w:pPr>
          </w:p>
        </w:tc>
      </w:tr>
      <w:tr w:rsidR="00693ED0" w:rsidRPr="001366B4" w:rsidTr="17618B6F">
        <w:trPr>
          <w:trHeight w:hRule="exact" w:val="369"/>
          <w:jc w:val="center"/>
        </w:trPr>
        <w:tc>
          <w:tcPr>
            <w:tcW w:w="1423" w:type="dxa"/>
          </w:tcPr>
          <w:p w:rsidR="00693ED0" w:rsidRPr="001366B4" w:rsidRDefault="00693ED0">
            <w:pPr>
              <w:ind w:right="-29"/>
              <w:jc w:val="center"/>
              <w:rPr>
                <w:noProof/>
                <w:sz w:val="18"/>
                <w:szCs w:val="18"/>
              </w:rPr>
            </w:pPr>
            <w:r w:rsidRPr="001366B4">
              <w:rPr>
                <w:noProof/>
                <w:sz w:val="18"/>
              </w:rPr>
              <w:t>- Resultat</w:t>
            </w:r>
          </w:p>
        </w:tc>
        <w:tc>
          <w:tcPr>
            <w:tcW w:w="720" w:type="dxa"/>
          </w:tcPr>
          <w:p w:rsidR="00693ED0" w:rsidRPr="001366B4" w:rsidRDefault="00693ED0">
            <w:pPr>
              <w:ind w:right="-29"/>
              <w:jc w:val="center"/>
              <w:rPr>
                <w:noProof/>
                <w:sz w:val="18"/>
                <w:szCs w:val="18"/>
              </w:rPr>
            </w:pPr>
          </w:p>
        </w:tc>
        <w:tc>
          <w:tcPr>
            <w:tcW w:w="701" w:type="dxa"/>
          </w:tcPr>
          <w:p w:rsidR="00693ED0" w:rsidRPr="001366B4" w:rsidRDefault="00693ED0">
            <w:pPr>
              <w:ind w:right="-29"/>
              <w:jc w:val="center"/>
              <w:rPr>
                <w:noProof/>
                <w:sz w:val="18"/>
                <w:szCs w:val="18"/>
              </w:rPr>
            </w:pPr>
          </w:p>
        </w:tc>
        <w:tc>
          <w:tcPr>
            <w:tcW w:w="504"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540"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900" w:type="dxa"/>
          </w:tcPr>
          <w:p w:rsidR="00693ED0" w:rsidRPr="001366B4" w:rsidRDefault="00693ED0">
            <w:pPr>
              <w:ind w:right="-29"/>
              <w:jc w:val="center"/>
              <w:rPr>
                <w:noProof/>
                <w:sz w:val="18"/>
                <w:szCs w:val="18"/>
              </w:rPr>
            </w:pPr>
          </w:p>
        </w:tc>
        <w:tc>
          <w:tcPr>
            <w:tcW w:w="720" w:type="dxa"/>
            <w:gridSpan w:val="2"/>
          </w:tcPr>
          <w:p w:rsidR="00693ED0" w:rsidRPr="001366B4" w:rsidRDefault="00693ED0">
            <w:pPr>
              <w:ind w:right="-29"/>
              <w:jc w:val="center"/>
              <w:rPr>
                <w:noProof/>
                <w:sz w:val="18"/>
                <w:szCs w:val="18"/>
              </w:rPr>
            </w:pPr>
          </w:p>
        </w:tc>
        <w:tc>
          <w:tcPr>
            <w:tcW w:w="540" w:type="dxa"/>
          </w:tcPr>
          <w:p w:rsidR="00693ED0" w:rsidRPr="001366B4" w:rsidRDefault="00693ED0">
            <w:pPr>
              <w:ind w:right="-29"/>
              <w:jc w:val="center"/>
              <w:rPr>
                <w:noProof/>
                <w:sz w:val="18"/>
                <w:szCs w:val="18"/>
              </w:rPr>
            </w:pPr>
          </w:p>
        </w:tc>
        <w:tc>
          <w:tcPr>
            <w:tcW w:w="648" w:type="dxa"/>
          </w:tcPr>
          <w:p w:rsidR="00693ED0" w:rsidRPr="001366B4" w:rsidRDefault="00693ED0">
            <w:pPr>
              <w:ind w:right="-29"/>
              <w:jc w:val="center"/>
              <w:rPr>
                <w:noProof/>
                <w:sz w:val="18"/>
                <w:szCs w:val="18"/>
              </w:rPr>
            </w:pPr>
          </w:p>
        </w:tc>
        <w:tc>
          <w:tcPr>
            <w:tcW w:w="432"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540"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900" w:type="dxa"/>
          </w:tcPr>
          <w:p w:rsidR="00693ED0" w:rsidRPr="001366B4" w:rsidRDefault="00693ED0">
            <w:pPr>
              <w:ind w:right="-29"/>
              <w:jc w:val="center"/>
              <w:rPr>
                <w:noProof/>
                <w:sz w:val="18"/>
                <w:szCs w:val="18"/>
              </w:rPr>
            </w:pPr>
          </w:p>
        </w:tc>
      </w:tr>
      <w:tr w:rsidR="00693ED0" w:rsidRPr="001366B4" w:rsidTr="17618B6F">
        <w:trPr>
          <w:trHeight w:val="77"/>
          <w:jc w:val="center"/>
        </w:trPr>
        <w:tc>
          <w:tcPr>
            <w:tcW w:w="2844" w:type="dxa"/>
            <w:gridSpan w:val="3"/>
            <w:tcBorders>
              <w:bottom w:val="single" w:sz="12" w:space="0" w:color="auto"/>
            </w:tcBorders>
            <w:vAlign w:val="center"/>
          </w:tcPr>
          <w:p w:rsidR="00693ED0" w:rsidRPr="001366B4" w:rsidRDefault="00693ED0">
            <w:pPr>
              <w:ind w:right="-29"/>
              <w:jc w:val="center"/>
              <w:rPr>
                <w:noProof/>
                <w:sz w:val="18"/>
                <w:szCs w:val="18"/>
              </w:rPr>
            </w:pPr>
            <w:r w:rsidRPr="001366B4">
              <w:rPr>
                <w:noProof/>
                <w:sz w:val="18"/>
              </w:rPr>
              <w:t>Subtotal for specifikt mål nr.</w:t>
            </w:r>
            <w:r w:rsidR="00A87ED6" w:rsidRPr="001366B4">
              <w:rPr>
                <w:noProof/>
                <w:sz w:val="18"/>
              </w:rPr>
              <w:t> </w:t>
            </w:r>
            <w:r w:rsidRPr="001366B4">
              <w:rPr>
                <w:noProof/>
                <w:sz w:val="18"/>
              </w:rPr>
              <w:t>1</w:t>
            </w:r>
          </w:p>
        </w:tc>
        <w:tc>
          <w:tcPr>
            <w:tcW w:w="504"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540"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900" w:type="dxa"/>
            <w:tcBorders>
              <w:bottom w:val="single" w:sz="12" w:space="0" w:color="auto"/>
            </w:tcBorders>
          </w:tcPr>
          <w:p w:rsidR="00693ED0" w:rsidRPr="001366B4" w:rsidRDefault="00693ED0">
            <w:pPr>
              <w:ind w:right="-29"/>
              <w:jc w:val="center"/>
              <w:rPr>
                <w:noProof/>
                <w:sz w:val="18"/>
                <w:szCs w:val="18"/>
              </w:rPr>
            </w:pPr>
          </w:p>
        </w:tc>
        <w:tc>
          <w:tcPr>
            <w:tcW w:w="720" w:type="dxa"/>
            <w:gridSpan w:val="2"/>
            <w:tcBorders>
              <w:bottom w:val="single" w:sz="12" w:space="0" w:color="auto"/>
            </w:tcBorders>
          </w:tcPr>
          <w:p w:rsidR="00693ED0" w:rsidRPr="001366B4" w:rsidRDefault="00693ED0">
            <w:pPr>
              <w:ind w:right="-29"/>
              <w:jc w:val="center"/>
              <w:rPr>
                <w:noProof/>
                <w:sz w:val="18"/>
                <w:szCs w:val="18"/>
              </w:rPr>
            </w:pPr>
          </w:p>
        </w:tc>
        <w:tc>
          <w:tcPr>
            <w:tcW w:w="540" w:type="dxa"/>
            <w:tcBorders>
              <w:bottom w:val="single" w:sz="12" w:space="0" w:color="auto"/>
            </w:tcBorders>
          </w:tcPr>
          <w:p w:rsidR="00693ED0" w:rsidRPr="001366B4" w:rsidRDefault="00693ED0">
            <w:pPr>
              <w:ind w:right="-29"/>
              <w:jc w:val="center"/>
              <w:rPr>
                <w:noProof/>
                <w:sz w:val="18"/>
                <w:szCs w:val="18"/>
              </w:rPr>
            </w:pPr>
          </w:p>
        </w:tc>
        <w:tc>
          <w:tcPr>
            <w:tcW w:w="648" w:type="dxa"/>
            <w:tcBorders>
              <w:bottom w:val="single" w:sz="12" w:space="0" w:color="auto"/>
            </w:tcBorders>
          </w:tcPr>
          <w:p w:rsidR="00693ED0" w:rsidRPr="001366B4" w:rsidRDefault="00693ED0">
            <w:pPr>
              <w:ind w:right="-29"/>
              <w:jc w:val="center"/>
              <w:rPr>
                <w:noProof/>
                <w:sz w:val="18"/>
                <w:szCs w:val="18"/>
              </w:rPr>
            </w:pPr>
          </w:p>
        </w:tc>
        <w:tc>
          <w:tcPr>
            <w:tcW w:w="432"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540"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900" w:type="dxa"/>
            <w:tcBorders>
              <w:bottom w:val="single" w:sz="12" w:space="0" w:color="auto"/>
            </w:tcBorders>
          </w:tcPr>
          <w:p w:rsidR="00693ED0" w:rsidRPr="001366B4" w:rsidRDefault="00693ED0">
            <w:pPr>
              <w:ind w:right="-29"/>
              <w:jc w:val="center"/>
              <w:rPr>
                <w:noProof/>
                <w:sz w:val="18"/>
                <w:szCs w:val="18"/>
              </w:rPr>
            </w:pPr>
          </w:p>
        </w:tc>
      </w:tr>
      <w:tr w:rsidR="00693ED0" w:rsidRPr="001366B4" w:rsidTr="17618B6F">
        <w:trPr>
          <w:jc w:val="center"/>
        </w:trPr>
        <w:tc>
          <w:tcPr>
            <w:tcW w:w="2844" w:type="dxa"/>
            <w:gridSpan w:val="3"/>
            <w:vAlign w:val="center"/>
          </w:tcPr>
          <w:p w:rsidR="00693ED0" w:rsidRPr="001366B4" w:rsidRDefault="00693ED0">
            <w:pPr>
              <w:spacing w:before="60" w:after="60"/>
              <w:ind w:right="-29"/>
              <w:jc w:val="center"/>
              <w:rPr>
                <w:noProof/>
                <w:sz w:val="18"/>
                <w:szCs w:val="18"/>
              </w:rPr>
            </w:pPr>
            <w:r w:rsidRPr="001366B4">
              <w:rPr>
                <w:noProof/>
                <w:sz w:val="18"/>
              </w:rPr>
              <w:t>SPECIFIKT MÅL NR. 2</w:t>
            </w:r>
          </w:p>
        </w:tc>
        <w:tc>
          <w:tcPr>
            <w:tcW w:w="504"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gridSpan w:val="2"/>
            <w:tcBorders>
              <w:top w:val="nil"/>
              <w:left w:val="nil"/>
              <w:bottom w:val="nil"/>
              <w:right w:val="nil"/>
            </w:tcBorders>
          </w:tcPr>
          <w:p w:rsidR="00693ED0" w:rsidRPr="001366B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648"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432"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54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720" w:type="dxa"/>
            <w:tcBorders>
              <w:top w:val="nil"/>
              <w:left w:val="nil"/>
              <w:bottom w:val="nil"/>
              <w:right w:val="nil"/>
            </w:tcBorders>
          </w:tcPr>
          <w:p w:rsidR="00693ED0" w:rsidRPr="001366B4" w:rsidRDefault="00693ED0">
            <w:pPr>
              <w:spacing w:before="60" w:after="60"/>
              <w:ind w:right="-29"/>
              <w:jc w:val="center"/>
              <w:rPr>
                <w:noProof/>
                <w:sz w:val="18"/>
                <w:szCs w:val="18"/>
              </w:rPr>
            </w:pPr>
          </w:p>
        </w:tc>
        <w:tc>
          <w:tcPr>
            <w:tcW w:w="900" w:type="dxa"/>
            <w:tcBorders>
              <w:top w:val="nil"/>
              <w:left w:val="nil"/>
              <w:bottom w:val="nil"/>
              <w:right w:val="nil"/>
            </w:tcBorders>
          </w:tcPr>
          <w:p w:rsidR="00693ED0" w:rsidRPr="001366B4" w:rsidRDefault="00693ED0">
            <w:pPr>
              <w:spacing w:before="60" w:after="60"/>
              <w:ind w:right="-29"/>
              <w:jc w:val="center"/>
              <w:rPr>
                <w:noProof/>
                <w:sz w:val="18"/>
                <w:szCs w:val="18"/>
              </w:rPr>
            </w:pPr>
          </w:p>
        </w:tc>
      </w:tr>
      <w:tr w:rsidR="00693ED0" w:rsidRPr="001366B4" w:rsidTr="17618B6F">
        <w:trPr>
          <w:trHeight w:hRule="exact" w:val="369"/>
          <w:jc w:val="center"/>
        </w:trPr>
        <w:tc>
          <w:tcPr>
            <w:tcW w:w="1423" w:type="dxa"/>
          </w:tcPr>
          <w:p w:rsidR="00693ED0" w:rsidRPr="001366B4" w:rsidRDefault="00693ED0">
            <w:pPr>
              <w:ind w:right="-29"/>
              <w:jc w:val="center"/>
              <w:rPr>
                <w:noProof/>
                <w:sz w:val="18"/>
                <w:szCs w:val="18"/>
              </w:rPr>
            </w:pPr>
            <w:r w:rsidRPr="001366B4">
              <w:rPr>
                <w:noProof/>
                <w:sz w:val="18"/>
              </w:rPr>
              <w:t>- Resultat</w:t>
            </w:r>
          </w:p>
        </w:tc>
        <w:tc>
          <w:tcPr>
            <w:tcW w:w="720" w:type="dxa"/>
          </w:tcPr>
          <w:p w:rsidR="00693ED0" w:rsidRPr="001366B4" w:rsidRDefault="00693ED0">
            <w:pPr>
              <w:ind w:right="-29"/>
              <w:jc w:val="center"/>
              <w:rPr>
                <w:noProof/>
                <w:sz w:val="18"/>
                <w:szCs w:val="18"/>
              </w:rPr>
            </w:pPr>
          </w:p>
        </w:tc>
        <w:tc>
          <w:tcPr>
            <w:tcW w:w="701" w:type="dxa"/>
          </w:tcPr>
          <w:p w:rsidR="00693ED0" w:rsidRPr="001366B4" w:rsidRDefault="00693ED0">
            <w:pPr>
              <w:ind w:right="-29"/>
              <w:jc w:val="center"/>
              <w:rPr>
                <w:noProof/>
                <w:sz w:val="18"/>
                <w:szCs w:val="18"/>
              </w:rPr>
            </w:pPr>
          </w:p>
        </w:tc>
        <w:tc>
          <w:tcPr>
            <w:tcW w:w="504"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540"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900" w:type="dxa"/>
          </w:tcPr>
          <w:p w:rsidR="00693ED0" w:rsidRPr="001366B4" w:rsidRDefault="00693ED0">
            <w:pPr>
              <w:ind w:right="-29"/>
              <w:jc w:val="center"/>
              <w:rPr>
                <w:noProof/>
                <w:sz w:val="18"/>
                <w:szCs w:val="18"/>
              </w:rPr>
            </w:pPr>
          </w:p>
        </w:tc>
        <w:tc>
          <w:tcPr>
            <w:tcW w:w="720" w:type="dxa"/>
            <w:gridSpan w:val="2"/>
          </w:tcPr>
          <w:p w:rsidR="00693ED0" w:rsidRPr="001366B4" w:rsidRDefault="00693ED0">
            <w:pPr>
              <w:ind w:right="-29"/>
              <w:jc w:val="center"/>
              <w:rPr>
                <w:noProof/>
                <w:sz w:val="18"/>
                <w:szCs w:val="18"/>
              </w:rPr>
            </w:pPr>
          </w:p>
        </w:tc>
        <w:tc>
          <w:tcPr>
            <w:tcW w:w="540" w:type="dxa"/>
          </w:tcPr>
          <w:p w:rsidR="00693ED0" w:rsidRPr="001366B4" w:rsidRDefault="00693ED0">
            <w:pPr>
              <w:ind w:right="-29"/>
              <w:jc w:val="center"/>
              <w:rPr>
                <w:noProof/>
                <w:sz w:val="18"/>
                <w:szCs w:val="18"/>
              </w:rPr>
            </w:pPr>
          </w:p>
        </w:tc>
        <w:tc>
          <w:tcPr>
            <w:tcW w:w="648" w:type="dxa"/>
          </w:tcPr>
          <w:p w:rsidR="00693ED0" w:rsidRPr="001366B4" w:rsidRDefault="00693ED0">
            <w:pPr>
              <w:ind w:right="-29"/>
              <w:jc w:val="center"/>
              <w:rPr>
                <w:noProof/>
                <w:sz w:val="18"/>
                <w:szCs w:val="18"/>
              </w:rPr>
            </w:pPr>
          </w:p>
        </w:tc>
        <w:tc>
          <w:tcPr>
            <w:tcW w:w="432"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540"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720" w:type="dxa"/>
          </w:tcPr>
          <w:p w:rsidR="00693ED0" w:rsidRPr="001366B4" w:rsidRDefault="00693ED0">
            <w:pPr>
              <w:ind w:right="-29"/>
              <w:jc w:val="center"/>
              <w:rPr>
                <w:noProof/>
                <w:sz w:val="18"/>
                <w:szCs w:val="18"/>
              </w:rPr>
            </w:pPr>
          </w:p>
        </w:tc>
        <w:tc>
          <w:tcPr>
            <w:tcW w:w="900" w:type="dxa"/>
          </w:tcPr>
          <w:p w:rsidR="00693ED0" w:rsidRPr="001366B4" w:rsidRDefault="00693ED0">
            <w:pPr>
              <w:ind w:right="-29"/>
              <w:jc w:val="center"/>
              <w:rPr>
                <w:noProof/>
                <w:sz w:val="18"/>
                <w:szCs w:val="18"/>
              </w:rPr>
            </w:pPr>
          </w:p>
        </w:tc>
      </w:tr>
      <w:tr w:rsidR="00693ED0" w:rsidRPr="001366B4" w:rsidTr="17618B6F">
        <w:trPr>
          <w:jc w:val="center"/>
        </w:trPr>
        <w:tc>
          <w:tcPr>
            <w:tcW w:w="2844" w:type="dxa"/>
            <w:gridSpan w:val="3"/>
            <w:tcBorders>
              <w:bottom w:val="single" w:sz="12" w:space="0" w:color="auto"/>
            </w:tcBorders>
            <w:vAlign w:val="center"/>
          </w:tcPr>
          <w:p w:rsidR="00693ED0" w:rsidRPr="001366B4" w:rsidRDefault="00693ED0">
            <w:pPr>
              <w:jc w:val="center"/>
              <w:rPr>
                <w:noProof/>
                <w:sz w:val="18"/>
                <w:szCs w:val="18"/>
              </w:rPr>
            </w:pPr>
            <w:r w:rsidRPr="001366B4">
              <w:rPr>
                <w:noProof/>
                <w:sz w:val="18"/>
              </w:rPr>
              <w:t>Subtotal for specifikt mål nr.</w:t>
            </w:r>
            <w:r w:rsidR="00A87ED6" w:rsidRPr="001366B4">
              <w:rPr>
                <w:noProof/>
                <w:sz w:val="18"/>
              </w:rPr>
              <w:t> </w:t>
            </w:r>
            <w:r w:rsidRPr="001366B4">
              <w:rPr>
                <w:noProof/>
                <w:sz w:val="18"/>
              </w:rPr>
              <w:t>2</w:t>
            </w:r>
          </w:p>
        </w:tc>
        <w:tc>
          <w:tcPr>
            <w:tcW w:w="504"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540"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951" w:type="dxa"/>
            <w:gridSpan w:val="2"/>
            <w:tcBorders>
              <w:bottom w:val="single" w:sz="12" w:space="0" w:color="auto"/>
            </w:tcBorders>
          </w:tcPr>
          <w:p w:rsidR="00693ED0" w:rsidRPr="001366B4" w:rsidRDefault="00693ED0">
            <w:pPr>
              <w:ind w:right="-29"/>
              <w:jc w:val="center"/>
              <w:rPr>
                <w:noProof/>
                <w:sz w:val="18"/>
                <w:szCs w:val="18"/>
              </w:rPr>
            </w:pPr>
          </w:p>
        </w:tc>
        <w:tc>
          <w:tcPr>
            <w:tcW w:w="669" w:type="dxa"/>
            <w:tcBorders>
              <w:bottom w:val="single" w:sz="12" w:space="0" w:color="auto"/>
            </w:tcBorders>
          </w:tcPr>
          <w:p w:rsidR="00693ED0" w:rsidRPr="001366B4" w:rsidRDefault="00693ED0">
            <w:pPr>
              <w:ind w:right="-29"/>
              <w:jc w:val="center"/>
              <w:rPr>
                <w:noProof/>
                <w:sz w:val="18"/>
                <w:szCs w:val="18"/>
              </w:rPr>
            </w:pPr>
          </w:p>
        </w:tc>
        <w:tc>
          <w:tcPr>
            <w:tcW w:w="540" w:type="dxa"/>
            <w:tcBorders>
              <w:bottom w:val="single" w:sz="12" w:space="0" w:color="auto"/>
            </w:tcBorders>
          </w:tcPr>
          <w:p w:rsidR="00693ED0" w:rsidRPr="001366B4" w:rsidRDefault="00693ED0">
            <w:pPr>
              <w:ind w:right="-29"/>
              <w:jc w:val="center"/>
              <w:rPr>
                <w:noProof/>
                <w:sz w:val="18"/>
                <w:szCs w:val="18"/>
              </w:rPr>
            </w:pPr>
          </w:p>
        </w:tc>
        <w:tc>
          <w:tcPr>
            <w:tcW w:w="648" w:type="dxa"/>
            <w:tcBorders>
              <w:bottom w:val="single" w:sz="12" w:space="0" w:color="auto"/>
            </w:tcBorders>
          </w:tcPr>
          <w:p w:rsidR="00693ED0" w:rsidRPr="001366B4" w:rsidRDefault="00693ED0">
            <w:pPr>
              <w:ind w:right="-29"/>
              <w:jc w:val="center"/>
              <w:rPr>
                <w:noProof/>
                <w:sz w:val="18"/>
                <w:szCs w:val="18"/>
              </w:rPr>
            </w:pPr>
          </w:p>
        </w:tc>
        <w:tc>
          <w:tcPr>
            <w:tcW w:w="432"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540"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720" w:type="dxa"/>
            <w:tcBorders>
              <w:bottom w:val="single" w:sz="12" w:space="0" w:color="auto"/>
            </w:tcBorders>
          </w:tcPr>
          <w:p w:rsidR="00693ED0" w:rsidRPr="001366B4" w:rsidRDefault="00693ED0">
            <w:pPr>
              <w:ind w:right="-29"/>
              <w:jc w:val="center"/>
              <w:rPr>
                <w:noProof/>
                <w:sz w:val="18"/>
                <w:szCs w:val="18"/>
              </w:rPr>
            </w:pPr>
          </w:p>
        </w:tc>
        <w:tc>
          <w:tcPr>
            <w:tcW w:w="900" w:type="dxa"/>
            <w:tcBorders>
              <w:bottom w:val="single" w:sz="12" w:space="0" w:color="auto"/>
            </w:tcBorders>
          </w:tcPr>
          <w:p w:rsidR="00693ED0" w:rsidRPr="001366B4" w:rsidRDefault="00693ED0">
            <w:pPr>
              <w:ind w:right="-29"/>
              <w:jc w:val="center"/>
              <w:rPr>
                <w:noProof/>
                <w:sz w:val="18"/>
                <w:szCs w:val="18"/>
              </w:rPr>
            </w:pPr>
          </w:p>
        </w:tc>
      </w:tr>
      <w:tr w:rsidR="00693ED0" w:rsidRPr="001366B4" w:rsidTr="17618B6F">
        <w:trPr>
          <w:jc w:val="center"/>
        </w:trPr>
        <w:tc>
          <w:tcPr>
            <w:tcW w:w="2844" w:type="dxa"/>
            <w:gridSpan w:val="3"/>
            <w:tcBorders>
              <w:top w:val="single" w:sz="12" w:space="0" w:color="auto"/>
              <w:left w:val="single" w:sz="12" w:space="0" w:color="auto"/>
              <w:bottom w:val="single" w:sz="12" w:space="0" w:color="auto"/>
            </w:tcBorders>
            <w:vAlign w:val="center"/>
          </w:tcPr>
          <w:p w:rsidR="00693ED0" w:rsidRPr="001366B4" w:rsidRDefault="00693ED0">
            <w:pPr>
              <w:ind w:right="-29"/>
              <w:jc w:val="center"/>
              <w:rPr>
                <w:noProof/>
                <w:sz w:val="18"/>
                <w:szCs w:val="18"/>
              </w:rPr>
            </w:pPr>
            <w:r w:rsidRPr="001366B4">
              <w:rPr>
                <w:b/>
                <w:noProof/>
                <w:sz w:val="18"/>
              </w:rPr>
              <w:t>I ALT</w:t>
            </w:r>
          </w:p>
        </w:tc>
        <w:tc>
          <w:tcPr>
            <w:tcW w:w="504"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900"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648"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432"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540"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720" w:type="dxa"/>
            <w:tcBorders>
              <w:top w:val="single" w:sz="12" w:space="0" w:color="auto"/>
              <w:bottom w:val="single" w:sz="12" w:space="0" w:color="auto"/>
            </w:tcBorders>
          </w:tcPr>
          <w:p w:rsidR="00693ED0" w:rsidRPr="001366B4" w:rsidRDefault="00693ED0">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693ED0" w:rsidRPr="001366B4" w:rsidRDefault="00693ED0">
            <w:pPr>
              <w:spacing w:before="180" w:after="180"/>
              <w:ind w:right="-29"/>
              <w:jc w:val="center"/>
              <w:rPr>
                <w:noProof/>
                <w:sz w:val="18"/>
                <w:szCs w:val="18"/>
              </w:rPr>
            </w:pPr>
          </w:p>
        </w:tc>
      </w:tr>
    </w:tbl>
    <w:p w:rsidR="00693ED0" w:rsidRPr="001366B4" w:rsidRDefault="00693ED0" w:rsidP="00693ED0">
      <w:pPr>
        <w:rPr>
          <w:noProof/>
        </w:rPr>
        <w:sectPr w:rsidR="00693ED0" w:rsidRPr="001366B4" w:rsidSect="0029466A">
          <w:headerReference w:type="default" r:id="rId19"/>
          <w:footerReference w:type="default" r:id="rId20"/>
          <w:pgSz w:w="16840" w:h="11907" w:orient="landscape" w:code="9"/>
          <w:pgMar w:top="1134" w:right="1418" w:bottom="567" w:left="1418" w:header="709" w:footer="709" w:gutter="0"/>
          <w:cols w:space="708"/>
          <w:docGrid w:linePitch="360"/>
        </w:sectPr>
      </w:pPr>
    </w:p>
    <w:p w:rsidR="00693ED0" w:rsidRPr="001366B4" w:rsidRDefault="00693ED0" w:rsidP="00693ED0">
      <w:pPr>
        <w:pStyle w:val="ManualHeading3"/>
        <w:rPr>
          <w:bCs/>
          <w:noProof/>
          <w:szCs w:val="24"/>
        </w:rPr>
      </w:pPr>
      <w:bookmarkStart w:id="154" w:name="_Toc514938055"/>
      <w:bookmarkStart w:id="155" w:name="_Toc520485054"/>
      <w:bookmarkStart w:id="156" w:name="_Toc160804598"/>
      <w:bookmarkStart w:id="157" w:name="_Toc167220290"/>
      <w:bookmarkStart w:id="158" w:name="_Toc177549023"/>
      <w:r w:rsidRPr="001366B4">
        <w:rPr>
          <w:noProof/>
        </w:rPr>
        <w:t>3.2.3.</w:t>
      </w:r>
      <w:r w:rsidRPr="001366B4">
        <w:rPr>
          <w:noProof/>
        </w:rPr>
        <w:tab/>
        <w:t>Sammenfatning af de anslåede virkninger for administrationsbevillingerne</w:t>
      </w:r>
      <w:bookmarkEnd w:id="154"/>
      <w:bookmarkEnd w:id="155"/>
      <w:bookmarkEnd w:id="156"/>
      <w:bookmarkEnd w:id="157"/>
      <w:bookmarkEnd w:id="158"/>
      <w:r w:rsidRPr="001366B4">
        <w:rPr>
          <w:noProof/>
        </w:rPr>
        <w:t xml:space="preserve"> </w:t>
      </w:r>
    </w:p>
    <w:p w:rsidR="00693ED0" w:rsidRPr="001366B4" w:rsidRDefault="00693ED0" w:rsidP="00693ED0">
      <w:pPr>
        <w:pStyle w:val="ListDash1"/>
        <w:rPr>
          <w:noProof/>
        </w:rPr>
      </w:pPr>
      <w:r w:rsidRPr="001366B4">
        <w:rPr>
          <w:rFonts w:ascii="Wingdings" w:hAnsi="Wingdings"/>
          <w:noProof/>
        </w:rPr>
        <w:t></w:t>
      </w:r>
      <w:r w:rsidRPr="001366B4">
        <w:rPr>
          <w:noProof/>
        </w:rPr>
        <w:tab/>
        <w:t xml:space="preserve">Forslaget/initiativet medfører ikke anvendelse af administrationsbevillinger </w:t>
      </w:r>
    </w:p>
    <w:p w:rsidR="00693ED0" w:rsidRPr="001366B4" w:rsidRDefault="00693ED0" w:rsidP="00693ED0">
      <w:pPr>
        <w:pStyle w:val="ListDash1"/>
        <w:rPr>
          <w:noProof/>
        </w:rPr>
      </w:pPr>
      <w:r w:rsidRPr="001366B4">
        <w:rPr>
          <w:rFonts w:ascii="Wingdings" w:hAnsi="Wingdings"/>
          <w:noProof/>
        </w:rPr>
        <w:t></w:t>
      </w:r>
      <w:r w:rsidRPr="001366B4">
        <w:rPr>
          <w:noProof/>
        </w:rPr>
        <w:tab/>
        <w:t>Forslaget/initiativet medfører anvendelse af administrationsbevillinger som anført herunder:</w:t>
      </w:r>
    </w:p>
    <w:p w:rsidR="00693ED0" w:rsidRPr="001366B4" w:rsidRDefault="00693ED0" w:rsidP="00693ED0">
      <w:pPr>
        <w:pStyle w:val="ManualHeading3"/>
        <w:rPr>
          <w:noProof/>
        </w:rPr>
      </w:pPr>
      <w:bookmarkStart w:id="159" w:name="_Toc167220291"/>
      <w:bookmarkStart w:id="160" w:name="_Toc177549024"/>
      <w:r w:rsidRPr="001366B4">
        <w:rPr>
          <w:noProof/>
        </w:rPr>
        <w:t>3.2.3.1. Bevillinger fra vedtaget budget</w:t>
      </w:r>
      <w:bookmarkEnd w:id="159"/>
      <w:bookmarkEnd w:id="160"/>
    </w:p>
    <w:tbl>
      <w:tblPr>
        <w:tblW w:w="5000" w:type="pct"/>
        <w:tblLook w:val="04A0" w:firstRow="1" w:lastRow="0" w:firstColumn="1" w:lastColumn="0" w:noHBand="0" w:noVBand="1"/>
      </w:tblPr>
      <w:tblGrid>
        <w:gridCol w:w="4027"/>
        <w:gridCol w:w="1027"/>
        <w:gridCol w:w="1027"/>
        <w:gridCol w:w="1027"/>
        <w:gridCol w:w="1027"/>
        <w:gridCol w:w="1154"/>
      </w:tblGrid>
      <w:tr w:rsidR="00693ED0" w:rsidRPr="001366B4">
        <w:trPr>
          <w:trHeight w:val="300"/>
        </w:trPr>
        <w:tc>
          <w:tcPr>
            <w:tcW w:w="2167"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VEDTAGNE BEVILLINGER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8"/>
                <w:szCs w:val="18"/>
              </w:rPr>
            </w:pPr>
            <w:r w:rsidRPr="001366B4">
              <w:rPr>
                <w:noProof/>
                <w:color w:val="000000"/>
                <w:sz w:val="18"/>
              </w:rPr>
              <w:t>År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8"/>
                <w:szCs w:val="18"/>
              </w:rPr>
            </w:pPr>
            <w:r w:rsidRPr="001366B4">
              <w:rPr>
                <w:noProof/>
                <w:color w:val="000000"/>
                <w:sz w:val="18"/>
              </w:rPr>
              <w:t>År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8"/>
                <w:szCs w:val="18"/>
              </w:rPr>
            </w:pPr>
            <w:r w:rsidRPr="001366B4">
              <w:rPr>
                <w:noProof/>
                <w:color w:val="000000"/>
                <w:sz w:val="18"/>
              </w:rPr>
              <w:t>År</w:t>
            </w:r>
          </w:p>
        </w:tc>
        <w:tc>
          <w:tcPr>
            <w:tcW w:w="553" w:type="pct"/>
            <w:tcBorders>
              <w:top w:val="single" w:sz="8" w:space="0" w:color="auto"/>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8"/>
                <w:szCs w:val="18"/>
              </w:rPr>
            </w:pPr>
            <w:r w:rsidRPr="001366B4">
              <w:rPr>
                <w:noProof/>
                <w:color w:val="000000"/>
                <w:sz w:val="18"/>
              </w:rPr>
              <w:t>År</w:t>
            </w:r>
          </w:p>
        </w:tc>
        <w:tc>
          <w:tcPr>
            <w:tcW w:w="62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I ALT 2021-2027</w:t>
            </w:r>
          </w:p>
        </w:tc>
      </w:tr>
      <w:tr w:rsidR="00693ED0" w:rsidRPr="001366B4">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2024</w:t>
            </w:r>
          </w:p>
        </w:tc>
        <w:tc>
          <w:tcPr>
            <w:tcW w:w="553"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2025</w:t>
            </w:r>
          </w:p>
        </w:tc>
        <w:tc>
          <w:tcPr>
            <w:tcW w:w="553"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2026</w:t>
            </w:r>
          </w:p>
        </w:tc>
        <w:tc>
          <w:tcPr>
            <w:tcW w:w="553"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b/>
                <w:bCs/>
                <w:noProof/>
                <w:color w:val="000000"/>
                <w:sz w:val="18"/>
                <w:szCs w:val="18"/>
                <w:lang w:eastAsia="en-IE"/>
              </w:rPr>
            </w:pPr>
          </w:p>
        </w:tc>
      </w:tr>
      <w:tr w:rsidR="00693ED0" w:rsidRPr="001366B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1366B4" w:rsidRDefault="00693ED0">
            <w:pPr>
              <w:spacing w:before="0" w:after="0"/>
              <w:jc w:val="left"/>
              <w:rPr>
                <w:b/>
                <w:bCs/>
                <w:noProof/>
                <w:sz w:val="16"/>
                <w:szCs w:val="16"/>
              </w:rPr>
            </w:pPr>
            <w:r w:rsidRPr="001366B4">
              <w:rPr>
                <w:b/>
                <w:noProof/>
                <w:sz w:val="16"/>
              </w:rPr>
              <w:t>UDGIFTSOMRÅDE 7</w:t>
            </w:r>
          </w:p>
        </w:tc>
      </w:tr>
      <w:tr w:rsidR="00693ED0" w:rsidRPr="001366B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16"/>
                <w:szCs w:val="16"/>
              </w:rPr>
            </w:pPr>
            <w:r w:rsidRPr="001366B4">
              <w:rPr>
                <w:noProof/>
                <w:color w:val="000000"/>
                <w:sz w:val="16"/>
              </w:rPr>
              <w:t xml:space="preserve">Menneskelige ressourcer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r w:rsidR="00693ED0" w:rsidRPr="001366B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16"/>
                <w:szCs w:val="16"/>
              </w:rPr>
            </w:pPr>
            <w:r w:rsidRPr="001366B4">
              <w:rPr>
                <w:noProof/>
                <w:color w:val="000000"/>
                <w:sz w:val="16"/>
              </w:rPr>
              <w:t xml:space="preserve">Andre administrationsudgifter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r w:rsidR="00693ED0" w:rsidRPr="001366B4">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Subtotal UDGIFTSOMRÅDE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r w:rsidR="00693ED0" w:rsidRPr="001366B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1366B4" w:rsidRDefault="00693ED0">
            <w:pPr>
              <w:spacing w:before="0" w:after="0"/>
              <w:jc w:val="left"/>
              <w:rPr>
                <w:b/>
                <w:bCs/>
                <w:noProof/>
                <w:sz w:val="16"/>
                <w:szCs w:val="16"/>
              </w:rPr>
            </w:pPr>
            <w:r w:rsidRPr="001366B4">
              <w:rPr>
                <w:b/>
                <w:noProof/>
                <w:sz w:val="16"/>
              </w:rPr>
              <w:t>Uden for UDGIFTSOMRÅDE 7</w:t>
            </w:r>
          </w:p>
        </w:tc>
      </w:tr>
      <w:tr w:rsidR="00693ED0" w:rsidRPr="001366B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16"/>
                <w:szCs w:val="16"/>
              </w:rPr>
            </w:pPr>
            <w:r w:rsidRPr="001366B4">
              <w:rPr>
                <w:noProof/>
                <w:color w:val="000000"/>
                <w:sz w:val="16"/>
              </w:rPr>
              <w:t xml:space="preserve">Menneskelige ressourcer </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r w:rsidR="00693ED0" w:rsidRPr="001366B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16"/>
                <w:szCs w:val="16"/>
              </w:rPr>
            </w:pPr>
            <w:r w:rsidRPr="001366B4">
              <w:rPr>
                <w:noProof/>
                <w:color w:val="000000"/>
                <w:sz w:val="16"/>
              </w:rPr>
              <w:t>Andre administrationsudgifter</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r w:rsidR="00693ED0" w:rsidRPr="001366B4">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Subtotal uden for UDGIFTSOMRÅDE 7</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r w:rsidR="00693ED0" w:rsidRPr="001366B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1366B4" w:rsidRDefault="00693ED0">
            <w:pPr>
              <w:spacing w:before="0" w:after="0"/>
              <w:jc w:val="center"/>
              <w:rPr>
                <w:noProof/>
                <w:color w:val="000000"/>
                <w:sz w:val="16"/>
                <w:szCs w:val="16"/>
              </w:rPr>
            </w:pPr>
            <w:r w:rsidRPr="001366B4">
              <w:rPr>
                <w:noProof/>
                <w:color w:val="000000"/>
                <w:sz w:val="16"/>
              </w:rPr>
              <w:t xml:space="preserve"> </w:t>
            </w:r>
          </w:p>
        </w:tc>
      </w:tr>
      <w:tr w:rsidR="00693ED0" w:rsidRPr="001366B4">
        <w:trPr>
          <w:trHeight w:val="300"/>
        </w:trPr>
        <w:tc>
          <w:tcPr>
            <w:tcW w:w="2167" w:type="pct"/>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I ALT</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bl>
    <w:p w:rsidR="00693ED0" w:rsidRPr="001366B4" w:rsidRDefault="00693ED0" w:rsidP="00693ED0">
      <w:pPr>
        <w:pStyle w:val="ManualHeading3"/>
        <w:rPr>
          <w:noProof/>
        </w:rPr>
      </w:pPr>
      <w:bookmarkStart w:id="161" w:name="_Toc167220293"/>
      <w:bookmarkStart w:id="162" w:name="_Toc177549026"/>
      <w:r w:rsidRPr="001366B4">
        <w:rPr>
          <w:noProof/>
        </w:rPr>
        <w:t>3.2.3.3.</w:t>
      </w:r>
      <w:r w:rsidRPr="001366B4">
        <w:rPr>
          <w:noProof/>
        </w:rPr>
        <w:tab/>
        <w:t>Bevillinger</w:t>
      </w:r>
      <w:r w:rsidR="00A87ED6" w:rsidRPr="001366B4">
        <w:rPr>
          <w:noProof/>
        </w:rPr>
        <w:t xml:space="preserve"> i </w:t>
      </w:r>
      <w:bookmarkEnd w:id="161"/>
      <w:bookmarkEnd w:id="162"/>
      <w:r w:rsidR="00A87ED6" w:rsidRPr="001366B4">
        <w:rPr>
          <w:noProof/>
        </w:rPr>
        <w:t>alt</w:t>
      </w:r>
    </w:p>
    <w:tbl>
      <w:tblPr>
        <w:tblW w:w="8680" w:type="dxa"/>
        <w:tblLook w:val="04A0" w:firstRow="1" w:lastRow="0" w:firstColumn="1" w:lastColumn="0" w:noHBand="0" w:noVBand="1"/>
      </w:tblPr>
      <w:tblGrid>
        <w:gridCol w:w="3760"/>
        <w:gridCol w:w="960"/>
        <w:gridCol w:w="960"/>
        <w:gridCol w:w="960"/>
        <w:gridCol w:w="960"/>
        <w:gridCol w:w="1080"/>
      </w:tblGrid>
      <w:tr w:rsidR="00693ED0" w:rsidRPr="001366B4">
        <w:trPr>
          <w:trHeight w:val="519"/>
        </w:trPr>
        <w:tc>
          <w:tcPr>
            <w:tcW w:w="37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I ALT</w:t>
            </w:r>
            <w:r w:rsidRPr="001366B4">
              <w:rPr>
                <w:noProof/>
              </w:rPr>
              <w:t xml:space="preserve"> </w:t>
            </w:r>
            <w:r w:rsidRPr="001366B4">
              <w:rPr>
                <w:noProof/>
              </w:rPr>
              <w:cr/>
            </w:r>
            <w:r w:rsidRPr="001366B4">
              <w:rPr>
                <w:noProof/>
              </w:rPr>
              <w:br/>
            </w:r>
            <w:r w:rsidRPr="001366B4">
              <w:rPr>
                <w:b/>
                <w:noProof/>
                <w:color w:val="000000"/>
                <w:sz w:val="18"/>
              </w:rPr>
              <w:t>VEDTAGNE BEVILLINGER + EKSTERNE FORMÅLSBESTEMTE INDTÆGTER</w:t>
            </w:r>
          </w:p>
        </w:tc>
        <w:tc>
          <w:tcPr>
            <w:tcW w:w="960"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18"/>
                <w:szCs w:val="18"/>
              </w:rPr>
            </w:pPr>
            <w:r w:rsidRPr="001366B4">
              <w:rPr>
                <w:noProof/>
                <w:color w:val="000000"/>
                <w:sz w:val="18"/>
              </w:rPr>
              <w:t>År</w:t>
            </w:r>
          </w:p>
        </w:tc>
        <w:tc>
          <w:tcPr>
            <w:tcW w:w="960"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18"/>
                <w:szCs w:val="18"/>
              </w:rPr>
            </w:pPr>
            <w:r w:rsidRPr="001366B4">
              <w:rPr>
                <w:noProof/>
                <w:color w:val="000000"/>
                <w:sz w:val="18"/>
              </w:rPr>
              <w:t>År</w:t>
            </w:r>
          </w:p>
        </w:tc>
        <w:tc>
          <w:tcPr>
            <w:tcW w:w="960"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18"/>
                <w:szCs w:val="18"/>
              </w:rPr>
            </w:pPr>
            <w:r w:rsidRPr="001366B4">
              <w:rPr>
                <w:noProof/>
                <w:color w:val="000000"/>
                <w:sz w:val="18"/>
              </w:rPr>
              <w:t>År</w:t>
            </w:r>
          </w:p>
        </w:tc>
        <w:tc>
          <w:tcPr>
            <w:tcW w:w="960"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18"/>
                <w:szCs w:val="18"/>
              </w:rPr>
            </w:pPr>
            <w:r w:rsidRPr="001366B4">
              <w:rPr>
                <w:noProof/>
                <w:color w:val="000000"/>
                <w:sz w:val="18"/>
              </w:rPr>
              <w:t>År</w:t>
            </w:r>
          </w:p>
        </w:tc>
        <w:tc>
          <w:tcPr>
            <w:tcW w:w="10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I ALT 2021-2027</w:t>
            </w:r>
          </w:p>
        </w:tc>
      </w:tr>
      <w:tr w:rsidR="00693ED0" w:rsidRPr="001366B4">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b/>
                <w:bCs/>
                <w:noProof/>
                <w:color w:val="000000"/>
                <w:sz w:val="18"/>
                <w:szCs w:val="18"/>
                <w:lang w:eastAsia="en-IE"/>
              </w:rPr>
            </w:pPr>
          </w:p>
        </w:tc>
      </w:tr>
      <w:tr w:rsidR="00693ED0" w:rsidRPr="001366B4">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1366B4" w:rsidRDefault="00693ED0">
            <w:pPr>
              <w:spacing w:before="0" w:after="0"/>
              <w:jc w:val="left"/>
              <w:rPr>
                <w:b/>
                <w:bCs/>
                <w:noProof/>
                <w:sz w:val="16"/>
                <w:szCs w:val="16"/>
              </w:rPr>
            </w:pPr>
            <w:r w:rsidRPr="001366B4">
              <w:rPr>
                <w:b/>
                <w:noProof/>
                <w:sz w:val="16"/>
              </w:rPr>
              <w:t>UDGIFTSOMRÅDE 7</w:t>
            </w:r>
          </w:p>
        </w:tc>
      </w:tr>
      <w:tr w:rsidR="00693ED0" w:rsidRPr="001366B4">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16"/>
                <w:szCs w:val="16"/>
              </w:rPr>
            </w:pPr>
            <w:r w:rsidRPr="001366B4">
              <w:rPr>
                <w:noProof/>
                <w:color w:val="000000"/>
                <w:sz w:val="16"/>
              </w:rPr>
              <w:t xml:space="preserve">Menneskelige ressourcer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r w:rsidR="00693ED0" w:rsidRPr="001366B4">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16"/>
                <w:szCs w:val="16"/>
              </w:rPr>
            </w:pPr>
            <w:r w:rsidRPr="001366B4">
              <w:rPr>
                <w:noProof/>
                <w:color w:val="000000"/>
                <w:sz w:val="16"/>
              </w:rPr>
              <w:t xml:space="preserve">Andre administrationsudgifter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r w:rsidR="00693ED0" w:rsidRPr="001366B4">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Subtotal UDGIFTSOMRÅDE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r w:rsidR="00693ED0" w:rsidRPr="001366B4">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1366B4" w:rsidRDefault="00693ED0">
            <w:pPr>
              <w:spacing w:before="0" w:after="0"/>
              <w:jc w:val="left"/>
              <w:rPr>
                <w:b/>
                <w:bCs/>
                <w:noProof/>
                <w:sz w:val="16"/>
                <w:szCs w:val="16"/>
              </w:rPr>
            </w:pPr>
            <w:r w:rsidRPr="001366B4">
              <w:rPr>
                <w:b/>
                <w:noProof/>
                <w:sz w:val="16"/>
              </w:rPr>
              <w:t>Uden for UDGIFTSOMRÅDE 7</w:t>
            </w:r>
          </w:p>
        </w:tc>
      </w:tr>
      <w:tr w:rsidR="00693ED0" w:rsidRPr="001366B4">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16"/>
                <w:szCs w:val="16"/>
              </w:rPr>
            </w:pPr>
            <w:r w:rsidRPr="001366B4">
              <w:rPr>
                <w:noProof/>
                <w:color w:val="000000"/>
                <w:sz w:val="16"/>
              </w:rPr>
              <w:t xml:space="preserve">Menneskelige ressourcer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r w:rsidR="00693ED0" w:rsidRPr="001366B4">
        <w:trPr>
          <w:trHeight w:val="300"/>
        </w:trPr>
        <w:tc>
          <w:tcPr>
            <w:tcW w:w="3760" w:type="dxa"/>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left"/>
              <w:rPr>
                <w:noProof/>
                <w:color w:val="000000"/>
                <w:sz w:val="16"/>
                <w:szCs w:val="16"/>
              </w:rPr>
            </w:pPr>
            <w:r w:rsidRPr="001366B4">
              <w:rPr>
                <w:noProof/>
                <w:color w:val="000000"/>
                <w:sz w:val="16"/>
              </w:rPr>
              <w:t>Andre administrationsudgifter</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noProof/>
                <w:color w:val="000000"/>
                <w:sz w:val="16"/>
                <w:szCs w:val="16"/>
              </w:rPr>
            </w:pPr>
            <w:r w:rsidRPr="001366B4">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r w:rsidR="00693ED0" w:rsidRPr="001366B4">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Subtotal uden for UDGIFTSOMRÅDE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r w:rsidR="00693ED0" w:rsidRPr="001366B4">
        <w:trPr>
          <w:trHeight w:val="300"/>
        </w:trPr>
        <w:tc>
          <w:tcPr>
            <w:tcW w:w="868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93ED0" w:rsidRPr="001366B4" w:rsidRDefault="00693ED0">
            <w:pPr>
              <w:spacing w:before="0" w:after="0"/>
              <w:jc w:val="center"/>
              <w:rPr>
                <w:noProof/>
                <w:color w:val="000000"/>
                <w:sz w:val="16"/>
                <w:szCs w:val="16"/>
              </w:rPr>
            </w:pPr>
            <w:r w:rsidRPr="001366B4">
              <w:rPr>
                <w:noProof/>
                <w:color w:val="000000"/>
                <w:sz w:val="16"/>
              </w:rPr>
              <w:t xml:space="preserve"> </w:t>
            </w:r>
          </w:p>
        </w:tc>
      </w:tr>
      <w:tr w:rsidR="00693ED0" w:rsidRPr="001366B4">
        <w:trPr>
          <w:trHeight w:val="312"/>
        </w:trPr>
        <w:tc>
          <w:tcPr>
            <w:tcW w:w="3760" w:type="dxa"/>
            <w:tcBorders>
              <w:top w:val="single" w:sz="12" w:space="0" w:color="auto"/>
              <w:left w:val="single" w:sz="12" w:space="0" w:color="auto"/>
              <w:bottom w:val="single" w:sz="12"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I ALT</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rsidR="00693ED0" w:rsidRPr="001366B4" w:rsidRDefault="00693ED0">
            <w:pPr>
              <w:spacing w:before="0" w:after="0"/>
              <w:jc w:val="right"/>
              <w:rPr>
                <w:b/>
                <w:bCs/>
                <w:noProof/>
                <w:color w:val="000000"/>
                <w:sz w:val="16"/>
                <w:szCs w:val="16"/>
              </w:rPr>
            </w:pPr>
            <w:r w:rsidRPr="001366B4">
              <w:rPr>
                <w:b/>
                <w:noProof/>
                <w:color w:val="000000"/>
                <w:sz w:val="16"/>
              </w:rPr>
              <w:t>0,000</w:t>
            </w:r>
          </w:p>
        </w:tc>
      </w:tr>
    </w:tbl>
    <w:p w:rsidR="00693ED0" w:rsidRPr="001366B4" w:rsidRDefault="00693ED0" w:rsidP="00693ED0">
      <w:pPr>
        <w:rPr>
          <w:noProof/>
          <w:sz w:val="22"/>
          <w:szCs w:val="28"/>
        </w:rPr>
      </w:pPr>
      <w:r w:rsidRPr="001366B4">
        <w:rPr>
          <w:noProof/>
          <w:sz w:val="22"/>
        </w:rPr>
        <w:t>Bevillingerne til menneskelige ressourcer og andre administrationsudgifter vil blive dækket ved hjælp af de bevillinger, som generaldirektoratet allerede har afsat til forvaltning af foranstaltningen, og/eller ved intern omfordeling</w:t>
      </w:r>
      <w:r w:rsidR="00A87ED6" w:rsidRPr="001366B4">
        <w:rPr>
          <w:noProof/>
          <w:sz w:val="22"/>
        </w:rPr>
        <w:t xml:space="preserve"> i gen</w:t>
      </w:r>
      <w:r w:rsidRPr="001366B4">
        <w:rPr>
          <w:noProof/>
          <w:sz w:val="22"/>
        </w:rPr>
        <w:t>eraldirektoratet, eventuelt suppleret med yderligere bevillinger, som det ansvarlige generaldirektorat tildeles</w:t>
      </w:r>
      <w:r w:rsidR="00A87ED6" w:rsidRPr="001366B4">
        <w:rPr>
          <w:noProof/>
          <w:sz w:val="22"/>
        </w:rPr>
        <w:t xml:space="preserve"> i for</w:t>
      </w:r>
      <w:r w:rsidRPr="001366B4">
        <w:rPr>
          <w:noProof/>
          <w:sz w:val="22"/>
        </w:rPr>
        <w:t>bindelse med den årlige tildelingsprocedure og under hensyntagen til de budgetmæssige begrænsninger.</w:t>
      </w:r>
    </w:p>
    <w:p w:rsidR="00693ED0" w:rsidRPr="001366B4" w:rsidRDefault="00693ED0" w:rsidP="00693ED0">
      <w:pPr>
        <w:pStyle w:val="ManualHeading3"/>
        <w:rPr>
          <w:bCs/>
          <w:noProof/>
          <w:szCs w:val="24"/>
        </w:rPr>
      </w:pPr>
      <w:bookmarkStart w:id="163" w:name="_Toc167220294"/>
      <w:bookmarkStart w:id="164" w:name="_Toc177549027"/>
      <w:r w:rsidRPr="001366B4">
        <w:rPr>
          <w:noProof/>
        </w:rPr>
        <w:t>3.2.4.</w:t>
      </w:r>
      <w:r w:rsidRPr="001366B4">
        <w:rPr>
          <w:noProof/>
        </w:rPr>
        <w:tab/>
        <w:t>Anslået behov for menneskelige ressourcer</w:t>
      </w:r>
      <w:bookmarkEnd w:id="163"/>
      <w:bookmarkEnd w:id="164"/>
      <w:r w:rsidRPr="001366B4">
        <w:rPr>
          <w:noProof/>
        </w:rPr>
        <w:t xml:space="preserve"> </w:t>
      </w:r>
    </w:p>
    <w:p w:rsidR="00693ED0" w:rsidRPr="001366B4" w:rsidRDefault="00693ED0" w:rsidP="00693ED0">
      <w:pPr>
        <w:pStyle w:val="ListDash1"/>
        <w:rPr>
          <w:noProof/>
        </w:rPr>
      </w:pPr>
      <w:r w:rsidRPr="001366B4">
        <w:rPr>
          <w:rFonts w:ascii="Wingdings" w:hAnsi="Wingdings"/>
          <w:noProof/>
        </w:rPr>
        <w:t></w:t>
      </w:r>
      <w:r w:rsidRPr="001366B4">
        <w:rPr>
          <w:noProof/>
        </w:rPr>
        <w:tab/>
        <w:t xml:space="preserve">Forslaget/initiativet medfører ikke anvendelse af menneskelige ressourcer. </w:t>
      </w:r>
    </w:p>
    <w:p w:rsidR="00693ED0" w:rsidRPr="001366B4" w:rsidRDefault="00693ED0" w:rsidP="00693ED0">
      <w:pPr>
        <w:pStyle w:val="ListDash1"/>
        <w:rPr>
          <w:noProof/>
        </w:rPr>
      </w:pPr>
      <w:r w:rsidRPr="001366B4">
        <w:rPr>
          <w:rFonts w:ascii="Wingdings" w:hAnsi="Wingdings"/>
          <w:noProof/>
        </w:rPr>
        <w:t></w:t>
      </w:r>
      <w:r w:rsidRPr="001366B4">
        <w:rPr>
          <w:noProof/>
        </w:rPr>
        <w:tab/>
        <w:t>Forslaget/initiativet medfører anvendelse af menneskelige ressourcer som anført herunder:</w:t>
      </w:r>
    </w:p>
    <w:p w:rsidR="00693ED0" w:rsidRPr="001366B4" w:rsidRDefault="00693ED0" w:rsidP="00693ED0">
      <w:pPr>
        <w:pStyle w:val="ManualHeading3"/>
        <w:rPr>
          <w:noProof/>
        </w:rPr>
      </w:pPr>
      <w:bookmarkStart w:id="165" w:name="_Toc167220295"/>
      <w:bookmarkStart w:id="166" w:name="_Toc177549028"/>
      <w:r w:rsidRPr="001366B4">
        <w:rPr>
          <w:noProof/>
        </w:rPr>
        <w:t>3.2.4.1.</w:t>
      </w:r>
      <w:r w:rsidRPr="001366B4">
        <w:rPr>
          <w:noProof/>
        </w:rPr>
        <w:tab/>
        <w:t>Finansieret over vedtaget budget</w:t>
      </w:r>
      <w:bookmarkEnd w:id="165"/>
      <w:bookmarkEnd w:id="166"/>
    </w:p>
    <w:p w:rsidR="00693ED0" w:rsidRPr="001366B4" w:rsidRDefault="00693ED0" w:rsidP="00693ED0">
      <w:pPr>
        <w:spacing w:after="60"/>
        <w:jc w:val="right"/>
        <w:rPr>
          <w:i/>
          <w:noProof/>
          <w:sz w:val="20"/>
        </w:rPr>
      </w:pPr>
      <w:r w:rsidRPr="001366B4">
        <w:rPr>
          <w:i/>
          <w:noProof/>
          <w:sz w:val="20"/>
        </w:rPr>
        <w:t>Overslag angives</w:t>
      </w:r>
      <w:r w:rsidR="00A87ED6" w:rsidRPr="001366B4">
        <w:rPr>
          <w:i/>
          <w:noProof/>
          <w:sz w:val="20"/>
        </w:rPr>
        <w:t xml:space="preserve"> i års</w:t>
      </w:r>
      <w:r w:rsidRPr="001366B4">
        <w:rPr>
          <w:i/>
          <w:noProof/>
          <w:sz w:val="20"/>
        </w:rPr>
        <w:t>værk</w:t>
      </w:r>
      <w:r w:rsidRPr="001366B4">
        <w:rPr>
          <w:rStyle w:val="FootnoteReference"/>
          <w:i/>
          <w:iCs/>
          <w:noProof/>
          <w:sz w:val="20"/>
          <w:szCs w:val="20"/>
        </w:rPr>
        <w:footnoteReference w:id="26"/>
      </w:r>
    </w:p>
    <w:p w:rsidR="00693ED0" w:rsidRPr="001366B4" w:rsidRDefault="00693ED0" w:rsidP="00693ED0">
      <w:pPr>
        <w:pStyle w:val="Text1"/>
        <w:spacing w:before="60" w:after="60"/>
        <w:ind w:left="-426" w:right="-427"/>
        <w:rPr>
          <w:b/>
          <w:noProof/>
          <w:sz w:val="18"/>
          <w:szCs w:val="18"/>
        </w:rPr>
      </w:pPr>
      <w:bookmarkStart w:id="167" w:name="_Hlk156979231"/>
    </w:p>
    <w:tbl>
      <w:tblPr>
        <w:tblW w:w="5000" w:type="pct"/>
        <w:tblLook w:val="04A0" w:firstRow="1" w:lastRow="0" w:firstColumn="1" w:lastColumn="0" w:noHBand="0" w:noVBand="1"/>
      </w:tblPr>
      <w:tblGrid>
        <w:gridCol w:w="1513"/>
        <w:gridCol w:w="3898"/>
        <w:gridCol w:w="970"/>
        <w:gridCol w:w="970"/>
        <w:gridCol w:w="970"/>
        <w:gridCol w:w="968"/>
      </w:tblGrid>
      <w:tr w:rsidR="00693ED0" w:rsidRPr="001366B4">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VEDTAGNE BEVILLINGER</w:t>
            </w:r>
          </w:p>
        </w:tc>
        <w:tc>
          <w:tcPr>
            <w:tcW w:w="522"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522"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522"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522"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r>
      <w:tr w:rsidR="00693ED0" w:rsidRPr="001366B4">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1366B4"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r>
      <w:tr w:rsidR="00693ED0" w:rsidRPr="001366B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1366B4" w:rsidRDefault="00693ED0">
            <w:pPr>
              <w:spacing w:before="0" w:after="0"/>
              <w:jc w:val="left"/>
              <w:rPr>
                <w:rFonts w:ascii="Wingdings" w:hAnsi="Wingdings" w:cs="Calibri"/>
                <w:b/>
                <w:bCs/>
                <w:noProof/>
                <w:color w:val="000000"/>
                <w:sz w:val="16"/>
                <w:szCs w:val="16"/>
              </w:rPr>
            </w:pPr>
            <w:r w:rsidRPr="001366B4">
              <w:rPr>
                <w:rFonts w:ascii="Wingdings" w:hAnsi="Wingdings"/>
                <w:b/>
                <w:noProof/>
                <w:color w:val="000000"/>
                <w:sz w:val="16"/>
              </w:rPr>
              <w:t></w:t>
            </w:r>
            <w:r w:rsidRPr="001366B4">
              <w:rPr>
                <w:b/>
                <w:noProof/>
                <w:color w:val="000000"/>
                <w:sz w:val="16"/>
              </w:rPr>
              <w:t xml:space="preserve"> Stillinger</w:t>
            </w:r>
            <w:r w:rsidR="00A87ED6" w:rsidRPr="001366B4">
              <w:rPr>
                <w:b/>
                <w:noProof/>
                <w:color w:val="000000"/>
                <w:sz w:val="16"/>
              </w:rPr>
              <w:t xml:space="preserve"> i sti</w:t>
            </w:r>
            <w:r w:rsidRPr="001366B4">
              <w:rPr>
                <w:b/>
                <w:noProof/>
                <w:color w:val="000000"/>
                <w:sz w:val="16"/>
              </w:rPr>
              <w:t>llingsfortegnelsen (tjenestemænd og midlertidigt ansatte)</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20 01 02 01</w:t>
            </w:r>
            <w:r w:rsidRPr="001366B4">
              <w:rPr>
                <w:rFonts w:ascii="Arial Narrow" w:hAnsi="Arial Narrow"/>
                <w:noProof/>
                <w:color w:val="000000"/>
                <w:sz w:val="20"/>
              </w:rPr>
              <w:t xml:space="preserve"> </w:t>
            </w:r>
            <w:r w:rsidRPr="001366B4">
              <w:rPr>
                <w:noProof/>
                <w:color w:val="000000"/>
                <w:sz w:val="16"/>
              </w:rPr>
              <w:t>(i hovedsædet og</w:t>
            </w:r>
            <w:r w:rsidR="00A87ED6" w:rsidRPr="001366B4">
              <w:rPr>
                <w:noProof/>
                <w:color w:val="000000"/>
                <w:sz w:val="16"/>
              </w:rPr>
              <w:t xml:space="preserve"> i Kom</w:t>
            </w:r>
            <w:r w:rsidRPr="001366B4">
              <w:rPr>
                <w:noProof/>
                <w:color w:val="000000"/>
                <w:sz w:val="16"/>
              </w:rPr>
              <w:t>missionens repræsentationskontorer)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20 01 02 03 (i EU-delegationerne)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01 01 01 01 (indirekte forskning)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01 01 01 11 (direkte forskning)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Andre budgetposter (angiv nærmere)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1366B4" w:rsidRDefault="00693ED0">
            <w:pPr>
              <w:spacing w:before="0" w:after="0"/>
              <w:jc w:val="left"/>
              <w:rPr>
                <w:rFonts w:ascii="Wingdings" w:hAnsi="Wingdings" w:cs="Calibri"/>
                <w:b/>
                <w:bCs/>
                <w:noProof/>
                <w:color w:val="000000"/>
                <w:sz w:val="16"/>
                <w:szCs w:val="16"/>
              </w:rPr>
            </w:pPr>
            <w:r w:rsidRPr="001366B4">
              <w:rPr>
                <w:rFonts w:ascii="Calibri" w:hAnsi="Calibri"/>
                <w:b/>
                <w:noProof/>
                <w:color w:val="000000"/>
                <w:sz w:val="16"/>
              </w:rPr>
              <w:t>•</w:t>
            </w:r>
            <w:r w:rsidRPr="001366B4">
              <w:rPr>
                <w:b/>
                <w:noProof/>
                <w:color w:val="000000"/>
                <w:sz w:val="16"/>
              </w:rPr>
              <w:t xml:space="preserve"> Eksternt personale (i årsværk)</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20 02 01</w:t>
            </w:r>
            <w:r w:rsidRPr="001366B4">
              <w:rPr>
                <w:rFonts w:ascii="Arial Narrow" w:hAnsi="Arial Narrow"/>
                <w:noProof/>
                <w:color w:val="000000"/>
                <w:sz w:val="20"/>
              </w:rPr>
              <w:t xml:space="preserve"> </w:t>
            </w:r>
            <w:r w:rsidRPr="001366B4">
              <w:rPr>
                <w:noProof/>
                <w:color w:val="000000"/>
                <w:sz w:val="16"/>
              </w:rPr>
              <w:t>(KA og UNE under den samlede bevillingsramme)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20 02 03 (KA, LA, UNE og JMD i EU-delegationerne)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6"/>
                <w:szCs w:val="16"/>
              </w:rPr>
            </w:pPr>
            <w:r w:rsidRPr="001366B4">
              <w:rPr>
                <w:noProof/>
                <w:color w:val="000000"/>
                <w:sz w:val="16"/>
              </w:rPr>
              <w:t>Budgetpost for administrativ støtte</w:t>
            </w:r>
            <w:r w:rsidRPr="001366B4">
              <w:rPr>
                <w:noProof/>
              </w:rPr>
              <w:t xml:space="preserve"> </w:t>
            </w:r>
            <w:r w:rsidRPr="001366B4">
              <w:rPr>
                <w:noProof/>
              </w:rPr>
              <w:cr/>
            </w:r>
            <w:r w:rsidRPr="001366B4">
              <w:rPr>
                <w:noProof/>
              </w:rPr>
              <w:br/>
            </w:r>
            <w:r w:rsidRPr="001366B4">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w:t>
            </w:r>
            <w:r w:rsidR="00A87ED6" w:rsidRPr="001366B4">
              <w:rPr>
                <w:noProof/>
                <w:color w:val="000000"/>
                <w:sz w:val="16"/>
              </w:rPr>
              <w:t xml:space="preserve"> i hov</w:t>
            </w:r>
            <w:r w:rsidRPr="001366B4">
              <w:rPr>
                <w:noProof/>
                <w:color w:val="000000"/>
                <w:sz w:val="16"/>
              </w:rPr>
              <w:t>edsædet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 xml:space="preserve">– i EU-delegationerne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01 01 01 02</w:t>
            </w:r>
            <w:r w:rsidRPr="001366B4">
              <w:rPr>
                <w:rFonts w:ascii="Arial Narrow" w:hAnsi="Arial Narrow"/>
                <w:noProof/>
                <w:color w:val="000000"/>
                <w:sz w:val="20"/>
              </w:rPr>
              <w:t xml:space="preserve"> </w:t>
            </w:r>
            <w:r w:rsidRPr="001366B4">
              <w:rPr>
                <w:noProof/>
                <w:color w:val="000000"/>
                <w:sz w:val="16"/>
              </w:rPr>
              <w:t>(KA og UNE – indirekte forskning)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 xml:space="preserve"> 01 01 01 12 (KA og UNE – direkte forskning)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Andre budgetposter (angiv nærmere) – Udgiftsområde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Andre budgetposter (angiv nærmere) – Uden for udgiftsområde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b/>
                <w:bCs/>
                <w:noProof/>
                <w:color w:val="000000"/>
                <w:sz w:val="16"/>
                <w:szCs w:val="16"/>
              </w:rPr>
            </w:pPr>
            <w:r w:rsidRPr="001366B4">
              <w:rPr>
                <w:b/>
                <w:noProof/>
                <w:color w:val="000000"/>
                <w:sz w:val="16"/>
              </w:rPr>
              <w:t>I ALT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0</w:t>
            </w:r>
          </w:p>
        </w:tc>
      </w:tr>
    </w:tbl>
    <w:p w:rsidR="00693ED0" w:rsidRPr="001366B4" w:rsidRDefault="00693ED0" w:rsidP="00693ED0">
      <w:pPr>
        <w:pStyle w:val="ManualHeading3"/>
        <w:rPr>
          <w:noProof/>
        </w:rPr>
      </w:pPr>
      <w:bookmarkStart w:id="168" w:name="_Toc167220296"/>
      <w:bookmarkStart w:id="169" w:name="_Toc177549029"/>
      <w:r w:rsidRPr="001366B4">
        <w:rPr>
          <w:noProof/>
        </w:rPr>
        <w:t>3.2.4.2.</w:t>
      </w:r>
      <w:r w:rsidRPr="001366B4">
        <w:rPr>
          <w:noProof/>
        </w:rPr>
        <w:tab/>
        <w:t>Finansieret over eksterne formålsbestemte indtægter</w:t>
      </w:r>
      <w:bookmarkEnd w:id="168"/>
      <w:bookmarkEnd w:id="169"/>
    </w:p>
    <w:tbl>
      <w:tblPr>
        <w:tblW w:w="5000" w:type="pct"/>
        <w:tblLook w:val="04A0" w:firstRow="1" w:lastRow="0" w:firstColumn="1" w:lastColumn="0" w:noHBand="0" w:noVBand="1"/>
      </w:tblPr>
      <w:tblGrid>
        <w:gridCol w:w="1513"/>
        <w:gridCol w:w="3898"/>
        <w:gridCol w:w="970"/>
        <w:gridCol w:w="970"/>
        <w:gridCol w:w="970"/>
        <w:gridCol w:w="968"/>
      </w:tblGrid>
      <w:tr w:rsidR="00693ED0" w:rsidRPr="001366B4">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EKSTERNE FORMÅLSBESTEMTE INDTÆGTER</w:t>
            </w:r>
          </w:p>
        </w:tc>
        <w:tc>
          <w:tcPr>
            <w:tcW w:w="522"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522"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522"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522" w:type="pct"/>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r>
      <w:tr w:rsidR="00693ED0" w:rsidRPr="001366B4">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rsidR="00693ED0" w:rsidRPr="001366B4" w:rsidRDefault="00693ED0">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522"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522"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522"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r>
      <w:tr w:rsidR="00693ED0" w:rsidRPr="001366B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1366B4" w:rsidRDefault="00693ED0">
            <w:pPr>
              <w:spacing w:before="0" w:after="0"/>
              <w:jc w:val="left"/>
              <w:rPr>
                <w:rFonts w:ascii="Wingdings" w:hAnsi="Wingdings" w:cs="Calibri"/>
                <w:b/>
                <w:bCs/>
                <w:noProof/>
                <w:color w:val="000000"/>
                <w:sz w:val="16"/>
                <w:szCs w:val="16"/>
              </w:rPr>
            </w:pPr>
            <w:r w:rsidRPr="001366B4">
              <w:rPr>
                <w:rFonts w:ascii="Wingdings" w:hAnsi="Wingdings"/>
                <w:b/>
                <w:noProof/>
                <w:color w:val="000000"/>
                <w:sz w:val="16"/>
              </w:rPr>
              <w:t></w:t>
            </w:r>
            <w:r w:rsidRPr="001366B4">
              <w:rPr>
                <w:b/>
                <w:noProof/>
                <w:color w:val="000000"/>
                <w:sz w:val="16"/>
              </w:rPr>
              <w:t xml:space="preserve"> Stillinger</w:t>
            </w:r>
            <w:r w:rsidR="00A87ED6" w:rsidRPr="001366B4">
              <w:rPr>
                <w:b/>
                <w:noProof/>
                <w:color w:val="000000"/>
                <w:sz w:val="16"/>
              </w:rPr>
              <w:t xml:space="preserve"> i sti</w:t>
            </w:r>
            <w:r w:rsidRPr="001366B4">
              <w:rPr>
                <w:b/>
                <w:noProof/>
                <w:color w:val="000000"/>
                <w:sz w:val="16"/>
              </w:rPr>
              <w:t>llingsfortegnelsen (tjenestemænd og midlertidigt ansatte)</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20 01 02 01</w:t>
            </w:r>
            <w:r w:rsidRPr="001366B4">
              <w:rPr>
                <w:rFonts w:ascii="Arial Narrow" w:hAnsi="Arial Narrow"/>
                <w:noProof/>
                <w:color w:val="000000"/>
                <w:sz w:val="20"/>
              </w:rPr>
              <w:t xml:space="preserve"> </w:t>
            </w:r>
            <w:r w:rsidRPr="001366B4">
              <w:rPr>
                <w:noProof/>
                <w:color w:val="000000"/>
                <w:sz w:val="16"/>
              </w:rPr>
              <w:t>(i hovedsædet og</w:t>
            </w:r>
            <w:r w:rsidR="00A87ED6" w:rsidRPr="001366B4">
              <w:rPr>
                <w:noProof/>
                <w:color w:val="000000"/>
                <w:sz w:val="16"/>
              </w:rPr>
              <w:t xml:space="preserve"> i Kom</w:t>
            </w:r>
            <w:r w:rsidRPr="001366B4">
              <w:rPr>
                <w:noProof/>
                <w:color w:val="000000"/>
                <w:sz w:val="16"/>
              </w:rPr>
              <w:t>missionens repræsentationskontorer)</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20 01 02 03 (i EU-delegationerne)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01 01 01 01 (indirekte forskning)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01 01 01 11 (direkte forskning)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Andre budgetposter (angiv nærmere)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5000" w:type="pct"/>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1366B4" w:rsidRDefault="00693ED0">
            <w:pPr>
              <w:spacing w:before="0" w:after="0"/>
              <w:jc w:val="left"/>
              <w:rPr>
                <w:rFonts w:ascii="Wingdings" w:hAnsi="Wingdings" w:cs="Calibri"/>
                <w:b/>
                <w:bCs/>
                <w:noProof/>
                <w:color w:val="000000"/>
                <w:sz w:val="16"/>
                <w:szCs w:val="16"/>
              </w:rPr>
            </w:pPr>
            <w:r w:rsidRPr="001366B4">
              <w:rPr>
                <w:rFonts w:ascii="Calibri" w:hAnsi="Calibri"/>
                <w:b/>
                <w:noProof/>
                <w:color w:val="000000"/>
                <w:sz w:val="16"/>
              </w:rPr>
              <w:t>•</w:t>
            </w:r>
            <w:r w:rsidRPr="001366B4">
              <w:rPr>
                <w:b/>
                <w:noProof/>
                <w:color w:val="000000"/>
                <w:sz w:val="16"/>
              </w:rPr>
              <w:t xml:space="preserve"> Eksternt personale (i årsværk)</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20 02 01</w:t>
            </w:r>
            <w:r w:rsidRPr="001366B4">
              <w:rPr>
                <w:rFonts w:ascii="Arial Narrow" w:hAnsi="Arial Narrow"/>
                <w:noProof/>
                <w:color w:val="000000"/>
                <w:sz w:val="20"/>
              </w:rPr>
              <w:t xml:space="preserve"> </w:t>
            </w:r>
            <w:r w:rsidRPr="001366B4">
              <w:rPr>
                <w:noProof/>
                <w:color w:val="000000"/>
                <w:sz w:val="16"/>
              </w:rPr>
              <w:t>(KA og UNE under den samlede bevillingsramme)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20 02 03 (KA, LA, UNE og JMD i EU-delegationerne)</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815" w:type="pct"/>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6"/>
                <w:szCs w:val="16"/>
              </w:rPr>
            </w:pPr>
            <w:r w:rsidRPr="001366B4">
              <w:rPr>
                <w:noProof/>
                <w:color w:val="000000"/>
                <w:sz w:val="16"/>
              </w:rPr>
              <w:t>Budgetpost for administrativ støtte</w:t>
            </w:r>
            <w:r w:rsidRPr="001366B4">
              <w:rPr>
                <w:noProof/>
              </w:rPr>
              <w:t xml:space="preserve"> </w:t>
            </w:r>
            <w:r w:rsidRPr="001366B4">
              <w:rPr>
                <w:noProof/>
              </w:rPr>
              <w:cr/>
            </w:r>
            <w:r w:rsidRPr="001366B4">
              <w:rPr>
                <w:noProof/>
              </w:rPr>
              <w:br/>
            </w:r>
            <w:r w:rsidRPr="001366B4">
              <w:rPr>
                <w:noProof/>
                <w:color w:val="000000"/>
                <w:sz w:val="16"/>
              </w:rPr>
              <w:t>[XX.01.YY.YY]</w:t>
            </w:r>
          </w:p>
        </w:tc>
        <w:tc>
          <w:tcPr>
            <w:tcW w:w="2098"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w:t>
            </w:r>
            <w:r w:rsidR="00A87ED6" w:rsidRPr="001366B4">
              <w:rPr>
                <w:noProof/>
                <w:color w:val="000000"/>
                <w:sz w:val="16"/>
              </w:rPr>
              <w:t xml:space="preserve"> i hov</w:t>
            </w:r>
            <w:r w:rsidRPr="001366B4">
              <w:rPr>
                <w:noProof/>
                <w:color w:val="000000"/>
                <w:sz w:val="16"/>
              </w:rPr>
              <w:t>edsædet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815" w:type="pct"/>
            <w:vMerge/>
            <w:tcBorders>
              <w:top w:val="nil"/>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 xml:space="preserve">– i EU-delegationerne </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01 01 01 02</w:t>
            </w:r>
            <w:r w:rsidRPr="001366B4">
              <w:rPr>
                <w:rFonts w:ascii="Arial Narrow" w:hAnsi="Arial Narrow"/>
                <w:noProof/>
                <w:color w:val="000000"/>
                <w:sz w:val="20"/>
              </w:rPr>
              <w:t xml:space="preserve"> </w:t>
            </w:r>
            <w:r w:rsidRPr="001366B4">
              <w:rPr>
                <w:noProof/>
                <w:color w:val="000000"/>
                <w:sz w:val="16"/>
              </w:rPr>
              <w:t>(KA og UNE – indirekte forskning)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 xml:space="preserve"> 01 01 01 12 (KA og UNE – direkte forskning)</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Andre budgetposter (angiv nærmere) – Udgiftsområde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Andre budgetposter (angiv nærmere) – Uden for udgiftsområde 7</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2913"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b/>
                <w:bCs/>
                <w:noProof/>
                <w:color w:val="000000"/>
                <w:sz w:val="16"/>
                <w:szCs w:val="16"/>
              </w:rPr>
            </w:pPr>
            <w:r w:rsidRPr="001366B4">
              <w:rPr>
                <w:b/>
                <w:noProof/>
                <w:color w:val="000000"/>
                <w:sz w:val="16"/>
              </w:rPr>
              <w:t>I ALT</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0</w:t>
            </w:r>
          </w:p>
        </w:tc>
      </w:tr>
    </w:tbl>
    <w:p w:rsidR="00693ED0" w:rsidRPr="001366B4" w:rsidRDefault="00693ED0" w:rsidP="00693ED0">
      <w:pPr>
        <w:pStyle w:val="ManualHeading3"/>
        <w:rPr>
          <w:noProof/>
        </w:rPr>
      </w:pPr>
      <w:bookmarkStart w:id="170" w:name="_Toc167220297"/>
      <w:bookmarkStart w:id="171" w:name="_Toc177549030"/>
      <w:r w:rsidRPr="001366B4">
        <w:rPr>
          <w:noProof/>
        </w:rPr>
        <w:t>3.2.4.3.</w:t>
      </w:r>
      <w:r w:rsidRPr="001366B4">
        <w:rPr>
          <w:noProof/>
        </w:rPr>
        <w:tab/>
        <w:t>Samlet behov for menneskelige ressourcer</w:t>
      </w:r>
      <w:bookmarkEnd w:id="170"/>
      <w:bookmarkEnd w:id="171"/>
    </w:p>
    <w:tbl>
      <w:tblPr>
        <w:tblW w:w="9200" w:type="dxa"/>
        <w:tblLook w:val="04A0" w:firstRow="1" w:lastRow="0" w:firstColumn="1" w:lastColumn="0" w:noHBand="0" w:noVBand="1"/>
      </w:tblPr>
      <w:tblGrid>
        <w:gridCol w:w="1500"/>
        <w:gridCol w:w="3860"/>
        <w:gridCol w:w="960"/>
        <w:gridCol w:w="960"/>
        <w:gridCol w:w="960"/>
        <w:gridCol w:w="960"/>
      </w:tblGrid>
      <w:tr w:rsidR="00693ED0" w:rsidRPr="001366B4">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93ED0" w:rsidRPr="001366B4" w:rsidRDefault="00693ED0">
            <w:pPr>
              <w:spacing w:before="0" w:after="0"/>
              <w:jc w:val="center"/>
              <w:rPr>
                <w:b/>
                <w:bCs/>
                <w:noProof/>
                <w:color w:val="000000"/>
                <w:sz w:val="18"/>
                <w:szCs w:val="18"/>
              </w:rPr>
            </w:pPr>
            <w:r w:rsidRPr="001366B4">
              <w:rPr>
                <w:b/>
                <w:noProof/>
                <w:color w:val="000000"/>
                <w:sz w:val="18"/>
              </w:rPr>
              <w:t>VEDTAGNE BEVILLINGER I ALT + EKSTERNE FORMÅLSBESTEMTE INDTÆGTER</w:t>
            </w:r>
          </w:p>
        </w:tc>
        <w:tc>
          <w:tcPr>
            <w:tcW w:w="960"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960"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960"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c>
          <w:tcPr>
            <w:tcW w:w="960" w:type="dxa"/>
            <w:tcBorders>
              <w:top w:val="single" w:sz="8" w:space="0" w:color="auto"/>
              <w:left w:val="nil"/>
              <w:bottom w:val="nil"/>
              <w:right w:val="single" w:sz="8" w:space="0" w:color="auto"/>
            </w:tcBorders>
            <w:shd w:val="clear" w:color="auto" w:fill="auto"/>
            <w:vAlign w:val="center"/>
            <w:hideMark/>
          </w:tcPr>
          <w:p w:rsidR="00693ED0" w:rsidRPr="001366B4" w:rsidRDefault="00693ED0">
            <w:pPr>
              <w:spacing w:before="0" w:after="0"/>
              <w:jc w:val="center"/>
              <w:rPr>
                <w:noProof/>
                <w:color w:val="000000"/>
                <w:sz w:val="20"/>
                <w:szCs w:val="20"/>
              </w:rPr>
            </w:pPr>
            <w:r w:rsidRPr="001366B4">
              <w:rPr>
                <w:noProof/>
                <w:color w:val="000000"/>
                <w:sz w:val="20"/>
              </w:rPr>
              <w:t>År</w:t>
            </w:r>
          </w:p>
        </w:tc>
      </w:tr>
      <w:tr w:rsidR="00693ED0" w:rsidRPr="001366B4">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rsidR="00693ED0" w:rsidRPr="001366B4" w:rsidRDefault="00693ED0">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2024</w:t>
            </w:r>
          </w:p>
        </w:tc>
        <w:tc>
          <w:tcPr>
            <w:tcW w:w="9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2025</w:t>
            </w:r>
          </w:p>
        </w:tc>
        <w:tc>
          <w:tcPr>
            <w:tcW w:w="9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2026</w:t>
            </w:r>
          </w:p>
        </w:tc>
        <w:tc>
          <w:tcPr>
            <w:tcW w:w="9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jc w:val="center"/>
              <w:rPr>
                <w:b/>
                <w:bCs/>
                <w:noProof/>
                <w:color w:val="000000"/>
                <w:sz w:val="20"/>
                <w:szCs w:val="20"/>
              </w:rPr>
            </w:pPr>
            <w:r w:rsidRPr="001366B4">
              <w:rPr>
                <w:b/>
                <w:noProof/>
                <w:color w:val="000000"/>
                <w:sz w:val="20"/>
              </w:rPr>
              <w:t>2027</w:t>
            </w:r>
          </w:p>
        </w:tc>
      </w:tr>
      <w:tr w:rsidR="00693ED0" w:rsidRPr="001366B4">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1366B4" w:rsidRDefault="00693ED0">
            <w:pPr>
              <w:spacing w:before="0" w:after="0"/>
              <w:jc w:val="left"/>
              <w:rPr>
                <w:rFonts w:ascii="Wingdings" w:hAnsi="Wingdings" w:cs="Calibri"/>
                <w:b/>
                <w:bCs/>
                <w:noProof/>
                <w:color w:val="000000"/>
                <w:sz w:val="16"/>
                <w:szCs w:val="16"/>
              </w:rPr>
            </w:pPr>
            <w:r w:rsidRPr="001366B4">
              <w:rPr>
                <w:rFonts w:ascii="Wingdings" w:hAnsi="Wingdings"/>
                <w:b/>
                <w:noProof/>
                <w:color w:val="000000"/>
                <w:sz w:val="16"/>
              </w:rPr>
              <w:t></w:t>
            </w:r>
            <w:r w:rsidRPr="001366B4">
              <w:rPr>
                <w:b/>
                <w:noProof/>
                <w:color w:val="000000"/>
                <w:sz w:val="16"/>
              </w:rPr>
              <w:t xml:space="preserve"> Stillinger</w:t>
            </w:r>
            <w:r w:rsidR="00A87ED6" w:rsidRPr="001366B4">
              <w:rPr>
                <w:b/>
                <w:noProof/>
                <w:color w:val="000000"/>
                <w:sz w:val="16"/>
              </w:rPr>
              <w:t xml:space="preserve"> i sti</w:t>
            </w:r>
            <w:r w:rsidRPr="001366B4">
              <w:rPr>
                <w:b/>
                <w:noProof/>
                <w:color w:val="000000"/>
                <w:sz w:val="16"/>
              </w:rPr>
              <w:t>llingsfortegnelsen (tjenestemænd og midlertidigt ansatte)</w:t>
            </w:r>
          </w:p>
        </w:tc>
      </w:tr>
      <w:tr w:rsidR="00693ED0" w:rsidRPr="001366B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20 01 02 01</w:t>
            </w:r>
            <w:r w:rsidRPr="001366B4">
              <w:rPr>
                <w:rFonts w:ascii="Arial Narrow" w:hAnsi="Arial Narrow"/>
                <w:noProof/>
                <w:color w:val="000000"/>
                <w:sz w:val="20"/>
              </w:rPr>
              <w:t xml:space="preserve"> </w:t>
            </w:r>
            <w:r w:rsidRPr="001366B4">
              <w:rPr>
                <w:noProof/>
                <w:color w:val="000000"/>
                <w:sz w:val="16"/>
              </w:rPr>
              <w:t>(i hovedsædet og</w:t>
            </w:r>
            <w:r w:rsidR="00A87ED6" w:rsidRPr="001366B4">
              <w:rPr>
                <w:noProof/>
                <w:color w:val="000000"/>
                <w:sz w:val="16"/>
              </w:rPr>
              <w:t xml:space="preserve"> i Kom</w:t>
            </w:r>
            <w:r w:rsidRPr="001366B4">
              <w:rPr>
                <w:noProof/>
                <w:color w:val="000000"/>
                <w:sz w:val="16"/>
              </w:rPr>
              <w:t>missionens repræsentationskontorer)</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20 01 02 03 (i EU-delegationerne)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01 01 01 01 (indirekte forskning)</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01 01 01 11 (direkte forskning)</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Andre budgetposter (angiv nærmere)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9200" w:type="dxa"/>
            <w:gridSpan w:val="6"/>
            <w:tcBorders>
              <w:top w:val="single" w:sz="8" w:space="0" w:color="auto"/>
              <w:left w:val="single" w:sz="8" w:space="0" w:color="auto"/>
              <w:bottom w:val="single" w:sz="8" w:space="0" w:color="auto"/>
              <w:right w:val="single" w:sz="4" w:space="0" w:color="auto"/>
            </w:tcBorders>
            <w:shd w:val="clear" w:color="auto" w:fill="auto"/>
            <w:vAlign w:val="center"/>
            <w:hideMark/>
          </w:tcPr>
          <w:p w:rsidR="00693ED0" w:rsidRPr="001366B4" w:rsidRDefault="00693ED0">
            <w:pPr>
              <w:spacing w:before="0" w:after="0"/>
              <w:jc w:val="left"/>
              <w:rPr>
                <w:rFonts w:ascii="Wingdings" w:hAnsi="Wingdings" w:cs="Calibri"/>
                <w:b/>
                <w:bCs/>
                <w:noProof/>
                <w:color w:val="000000"/>
                <w:sz w:val="16"/>
                <w:szCs w:val="16"/>
              </w:rPr>
            </w:pPr>
            <w:r w:rsidRPr="001366B4">
              <w:rPr>
                <w:rFonts w:ascii="Calibri" w:hAnsi="Calibri"/>
                <w:b/>
                <w:noProof/>
                <w:color w:val="000000"/>
                <w:sz w:val="16"/>
              </w:rPr>
              <w:t>•</w:t>
            </w:r>
            <w:r w:rsidRPr="001366B4">
              <w:rPr>
                <w:b/>
                <w:noProof/>
                <w:color w:val="000000"/>
                <w:sz w:val="16"/>
              </w:rPr>
              <w:t xml:space="preserve"> Eksternt personale (i årsværk)</w:t>
            </w:r>
          </w:p>
        </w:tc>
      </w:tr>
      <w:tr w:rsidR="00693ED0" w:rsidRPr="001366B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20 02 01</w:t>
            </w:r>
            <w:r w:rsidRPr="001366B4">
              <w:rPr>
                <w:rFonts w:ascii="Arial Narrow" w:hAnsi="Arial Narrow"/>
                <w:noProof/>
                <w:color w:val="000000"/>
                <w:sz w:val="20"/>
              </w:rPr>
              <w:t xml:space="preserve"> </w:t>
            </w:r>
            <w:r w:rsidRPr="001366B4">
              <w:rPr>
                <w:noProof/>
                <w:color w:val="000000"/>
                <w:sz w:val="16"/>
              </w:rPr>
              <w:t>(KA og UNE under den samlede bevillingsramme)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20 02 03 (KA, LA, UNE og JMD i EU-delegationerne)</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1500" w:type="dxa"/>
            <w:vMerge w:val="restart"/>
            <w:tcBorders>
              <w:top w:val="nil"/>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jc w:val="center"/>
              <w:rPr>
                <w:noProof/>
                <w:color w:val="000000"/>
                <w:sz w:val="16"/>
                <w:szCs w:val="16"/>
              </w:rPr>
            </w:pPr>
            <w:r w:rsidRPr="001366B4">
              <w:rPr>
                <w:noProof/>
                <w:color w:val="000000"/>
                <w:sz w:val="16"/>
              </w:rPr>
              <w:t>Budgetpost for administrativ støtte</w:t>
            </w:r>
            <w:r w:rsidRPr="001366B4">
              <w:rPr>
                <w:noProof/>
              </w:rPr>
              <w:t xml:space="preserve"> </w:t>
            </w:r>
            <w:r w:rsidRPr="001366B4">
              <w:rPr>
                <w:noProof/>
              </w:rPr>
              <w:cr/>
            </w:r>
            <w:r w:rsidRPr="001366B4">
              <w:rPr>
                <w:noProof/>
              </w:rPr>
              <w:br/>
            </w:r>
            <w:r w:rsidRPr="001366B4">
              <w:rPr>
                <w:noProof/>
                <w:color w:val="000000"/>
                <w:sz w:val="16"/>
              </w:rPr>
              <w:t>[XX.01.YY.YY]</w:t>
            </w:r>
          </w:p>
        </w:tc>
        <w:tc>
          <w:tcPr>
            <w:tcW w:w="38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w:t>
            </w:r>
            <w:r w:rsidR="00A87ED6" w:rsidRPr="001366B4">
              <w:rPr>
                <w:noProof/>
                <w:color w:val="000000"/>
                <w:sz w:val="16"/>
              </w:rPr>
              <w:t xml:space="preserve"> i hov</w:t>
            </w:r>
            <w:r w:rsidRPr="001366B4">
              <w:rPr>
                <w:noProof/>
                <w:color w:val="000000"/>
                <w:sz w:val="16"/>
              </w:rPr>
              <w:t>edsædet</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1500" w:type="dxa"/>
            <w:vMerge/>
            <w:tcBorders>
              <w:top w:val="nil"/>
              <w:left w:val="single" w:sz="8" w:space="0" w:color="auto"/>
              <w:bottom w:val="single" w:sz="8" w:space="0" w:color="auto"/>
              <w:right w:val="single" w:sz="8" w:space="0" w:color="auto"/>
            </w:tcBorders>
            <w:vAlign w:val="center"/>
            <w:hideMark/>
          </w:tcPr>
          <w:p w:rsidR="00693ED0" w:rsidRPr="001366B4" w:rsidRDefault="00693ED0">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 xml:space="preserve">– i EU-delegationerne </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01 01 01 02</w:t>
            </w:r>
            <w:r w:rsidRPr="001366B4">
              <w:rPr>
                <w:rFonts w:ascii="Arial Narrow" w:hAnsi="Arial Narrow"/>
                <w:noProof/>
                <w:color w:val="000000"/>
                <w:sz w:val="20"/>
              </w:rPr>
              <w:t xml:space="preserve"> </w:t>
            </w:r>
            <w:r w:rsidRPr="001366B4">
              <w:rPr>
                <w:noProof/>
                <w:color w:val="000000"/>
                <w:sz w:val="16"/>
              </w:rPr>
              <w:t>(KA og UNE – indirekte forskning)</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 xml:space="preserve"> 01 01 01 12 (KA og UNE – direkte forskning)</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Andre budgetposter (angiv nærmere) – Udgiftsområde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noProof/>
                <w:color w:val="000000"/>
                <w:sz w:val="16"/>
                <w:szCs w:val="16"/>
              </w:rPr>
            </w:pPr>
            <w:r w:rsidRPr="001366B4">
              <w:rPr>
                <w:noProof/>
                <w:color w:val="000000"/>
                <w:sz w:val="16"/>
              </w:rPr>
              <w:t>Andre budgetposter (angiv nærmere) – Uden for udgiftsområde 7</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noProof/>
                <w:color w:val="000000"/>
                <w:sz w:val="16"/>
                <w:szCs w:val="16"/>
              </w:rPr>
            </w:pPr>
            <w:r w:rsidRPr="001366B4">
              <w:rPr>
                <w:noProof/>
                <w:color w:val="000000"/>
                <w:sz w:val="16"/>
              </w:rPr>
              <w:t>0</w:t>
            </w:r>
          </w:p>
        </w:tc>
      </w:tr>
      <w:tr w:rsidR="00693ED0" w:rsidRPr="001366B4">
        <w:trPr>
          <w:trHeight w:val="300"/>
        </w:trPr>
        <w:tc>
          <w:tcPr>
            <w:tcW w:w="536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693ED0" w:rsidRPr="001366B4" w:rsidRDefault="00693ED0">
            <w:pPr>
              <w:spacing w:before="0" w:after="0"/>
              <w:ind w:firstLineChars="100" w:firstLine="160"/>
              <w:jc w:val="left"/>
              <w:rPr>
                <w:b/>
                <w:bCs/>
                <w:noProof/>
                <w:color w:val="000000"/>
                <w:sz w:val="16"/>
                <w:szCs w:val="16"/>
              </w:rPr>
            </w:pPr>
            <w:r w:rsidRPr="001366B4">
              <w:rPr>
                <w:b/>
                <w:noProof/>
                <w:color w:val="000000"/>
                <w:sz w:val="16"/>
              </w:rPr>
              <w:t>I ALT</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rsidR="00693ED0" w:rsidRPr="001366B4" w:rsidRDefault="00693ED0">
            <w:pPr>
              <w:spacing w:before="0" w:after="0"/>
              <w:jc w:val="center"/>
              <w:rPr>
                <w:b/>
                <w:bCs/>
                <w:noProof/>
                <w:color w:val="000000"/>
                <w:sz w:val="16"/>
                <w:szCs w:val="16"/>
              </w:rPr>
            </w:pPr>
            <w:r w:rsidRPr="001366B4">
              <w:rPr>
                <w:b/>
                <w:noProof/>
                <w:color w:val="000000"/>
                <w:sz w:val="16"/>
              </w:rPr>
              <w:t>0</w:t>
            </w:r>
          </w:p>
        </w:tc>
      </w:tr>
    </w:tbl>
    <w:p w:rsidR="00693ED0" w:rsidRPr="001366B4" w:rsidRDefault="00693ED0" w:rsidP="00693ED0">
      <w:pPr>
        <w:pStyle w:val="Text1"/>
        <w:ind w:left="-426" w:right="-427"/>
        <w:rPr>
          <w:noProof/>
        </w:rPr>
      </w:pPr>
      <w:bookmarkStart w:id="172" w:name="_Hlk167692843"/>
      <w:bookmarkEnd w:id="167"/>
      <w:r w:rsidRPr="001366B4">
        <w:rPr>
          <w:noProof/>
        </w:rPr>
        <w:t>[I betragtning af den generelle vanskelige situation under udgiftsområde 7 med hensyn til både personale og bevillinger vil personalebehovet blive dækket ved hjælp af personale fra generaldirektoratet, som allerede er afsat til forvaltningen af foranstaltningen, og/eller som er blevet omfordelt</w:t>
      </w:r>
      <w:r w:rsidR="00A87ED6" w:rsidRPr="001366B4">
        <w:rPr>
          <w:noProof/>
        </w:rPr>
        <w:t xml:space="preserve"> i gen</w:t>
      </w:r>
      <w:r w:rsidRPr="001366B4">
        <w:rPr>
          <w:noProof/>
        </w:rPr>
        <w:t>eraldirektoratet eller andre af Kommissionens tjenestegrene.]</w:t>
      </w:r>
    </w:p>
    <w:p w:rsidR="00693ED0" w:rsidRPr="001366B4" w:rsidRDefault="00693ED0" w:rsidP="00693ED0">
      <w:pPr>
        <w:pStyle w:val="Text1"/>
        <w:ind w:left="-426" w:right="-427"/>
        <w:rPr>
          <w:noProof/>
        </w:rPr>
      </w:pPr>
      <w:r w:rsidRPr="001366B4">
        <w:rPr>
          <w:noProof/>
        </w:rPr>
        <w:t>Beskrivelse af opgaver, der skal udføres af:</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436988" w:rsidRPr="001366B4" w:rsidTr="005A7E2C">
        <w:tc>
          <w:tcPr>
            <w:tcW w:w="3240" w:type="dxa"/>
          </w:tcPr>
          <w:p w:rsidR="00693ED0" w:rsidRPr="001366B4" w:rsidRDefault="00693ED0">
            <w:pPr>
              <w:rPr>
                <w:noProof/>
                <w:sz w:val="20"/>
              </w:rPr>
            </w:pPr>
            <w:r w:rsidRPr="001366B4">
              <w:rPr>
                <w:noProof/>
                <w:sz w:val="20"/>
              </w:rPr>
              <w:t>Tjenestemænd og midlertidigt ansatte</w:t>
            </w:r>
          </w:p>
        </w:tc>
        <w:tc>
          <w:tcPr>
            <w:tcW w:w="7200" w:type="dxa"/>
          </w:tcPr>
          <w:p w:rsidR="00693ED0" w:rsidRPr="001366B4" w:rsidRDefault="00693ED0">
            <w:pPr>
              <w:rPr>
                <w:noProof/>
                <w:sz w:val="20"/>
              </w:rPr>
            </w:pPr>
          </w:p>
        </w:tc>
      </w:tr>
      <w:tr w:rsidR="00436988" w:rsidRPr="001366B4" w:rsidTr="005A7E2C">
        <w:tc>
          <w:tcPr>
            <w:tcW w:w="3240" w:type="dxa"/>
          </w:tcPr>
          <w:p w:rsidR="00693ED0" w:rsidRPr="001366B4" w:rsidRDefault="00693ED0">
            <w:pPr>
              <w:spacing w:before="60" w:after="60"/>
              <w:rPr>
                <w:noProof/>
                <w:sz w:val="20"/>
              </w:rPr>
            </w:pPr>
            <w:r w:rsidRPr="001366B4">
              <w:rPr>
                <w:noProof/>
                <w:sz w:val="20"/>
              </w:rPr>
              <w:t>Eksternt personale</w:t>
            </w:r>
          </w:p>
        </w:tc>
        <w:tc>
          <w:tcPr>
            <w:tcW w:w="7200" w:type="dxa"/>
          </w:tcPr>
          <w:p w:rsidR="00693ED0" w:rsidRPr="001366B4" w:rsidRDefault="00693ED0">
            <w:pPr>
              <w:rPr>
                <w:noProof/>
                <w:sz w:val="20"/>
              </w:rPr>
            </w:pPr>
          </w:p>
        </w:tc>
      </w:tr>
    </w:tbl>
    <w:p w:rsidR="00693ED0" w:rsidRPr="001366B4" w:rsidRDefault="00693ED0" w:rsidP="00693ED0">
      <w:pPr>
        <w:pStyle w:val="ManualHeading3"/>
        <w:rPr>
          <w:noProof/>
        </w:rPr>
      </w:pPr>
      <w:bookmarkStart w:id="173" w:name="_Toc177549031"/>
      <w:r w:rsidRPr="001366B4">
        <w:rPr>
          <w:noProof/>
        </w:rPr>
        <w:t>3.2.5.</w:t>
      </w:r>
      <w:r w:rsidRPr="001366B4">
        <w:rPr>
          <w:noProof/>
        </w:rPr>
        <w:tab/>
        <w:t>Oversigt over de anslåede virkninger for de digitale teknologirelaterede investeringer</w:t>
      </w:r>
      <w:bookmarkEnd w:id="173"/>
    </w:p>
    <w:p w:rsidR="00693ED0" w:rsidRPr="001366B4" w:rsidRDefault="00693ED0" w:rsidP="00693ED0">
      <w:pPr>
        <w:pStyle w:val="Text1"/>
        <w:spacing w:line="259" w:lineRule="auto"/>
        <w:rPr>
          <w:noProof/>
        </w:rPr>
      </w:pPr>
      <w:r w:rsidRPr="001366B4">
        <w:rPr>
          <w:noProof/>
        </w:rPr>
        <w:t>Obligatoriske: det bedste skøn over de investeringer</w:t>
      </w:r>
      <w:r w:rsidR="00A87ED6" w:rsidRPr="001366B4">
        <w:rPr>
          <w:noProof/>
        </w:rPr>
        <w:t xml:space="preserve"> i dig</w:t>
      </w:r>
      <w:r w:rsidRPr="001366B4">
        <w:rPr>
          <w:noProof/>
        </w:rPr>
        <w:t>ital teknologi, som forslaget/initiativet medfører, bør medtages</w:t>
      </w:r>
      <w:r w:rsidR="00A87ED6" w:rsidRPr="001366B4">
        <w:rPr>
          <w:noProof/>
        </w:rPr>
        <w:t xml:space="preserve"> i ned</w:t>
      </w:r>
      <w:r w:rsidRPr="001366B4">
        <w:rPr>
          <w:noProof/>
        </w:rPr>
        <w:t xml:space="preserve">enstående tabel. </w:t>
      </w:r>
    </w:p>
    <w:p w:rsidR="00693ED0" w:rsidRPr="001366B4" w:rsidRDefault="00693ED0" w:rsidP="00693ED0">
      <w:pPr>
        <w:pStyle w:val="Text1"/>
        <w:spacing w:line="259" w:lineRule="auto"/>
        <w:rPr>
          <w:noProof/>
        </w:rPr>
      </w:pPr>
      <w:r w:rsidRPr="001366B4">
        <w:rPr>
          <w:noProof/>
        </w:rPr>
        <w:t xml:space="preserve">Når det er nødvendigt for gennemførelsen af forslaget/initiativet, bør bevillingerne under udgiftsområde 7 undtagelsesvis opføres under den pågældende budgetpost. </w:t>
      </w:r>
    </w:p>
    <w:p w:rsidR="00693ED0" w:rsidRPr="001366B4" w:rsidRDefault="00693ED0" w:rsidP="00693ED0">
      <w:pPr>
        <w:pStyle w:val="Text1"/>
        <w:spacing w:line="259" w:lineRule="auto"/>
        <w:rPr>
          <w:noProof/>
        </w:rPr>
      </w:pPr>
      <w:r w:rsidRPr="001366B4">
        <w:rPr>
          <w:noProof/>
        </w:rPr>
        <w:t>Bevillingerne under udgiftsområde 1-6 bør afspejles som "Policy-IT-udgifter til operationelle programmer". Disse udgifter vedrører det driftsbudget, der skal anvendes til at genbruge/købe/udvikle IT-platforme/værktøjer, der er direkte knyttet til gennemførelsen af initiativet og de dertil knyttede investeringer (f.eks. licenser, undersøgelser, datalagring osv.). Oplysningerne</w:t>
      </w:r>
      <w:r w:rsidR="00A87ED6" w:rsidRPr="001366B4">
        <w:rPr>
          <w:noProof/>
        </w:rPr>
        <w:t xml:space="preserve"> i den</w:t>
      </w:r>
      <w:r w:rsidRPr="001366B4">
        <w:rPr>
          <w:noProof/>
        </w:rPr>
        <w:t>ne tabel skal være</w:t>
      </w:r>
      <w:r w:rsidR="00A87ED6" w:rsidRPr="001366B4">
        <w:rPr>
          <w:noProof/>
        </w:rPr>
        <w:t xml:space="preserve"> i ove</w:t>
      </w:r>
      <w:r w:rsidRPr="001366B4">
        <w:rPr>
          <w:noProof/>
        </w:rPr>
        <w:t>rensstemmelse med oplysningerne</w:t>
      </w:r>
      <w:r w:rsidR="00A87ED6" w:rsidRPr="001366B4">
        <w:rPr>
          <w:noProof/>
        </w:rPr>
        <w:t xml:space="preserve"> i afs</w:t>
      </w:r>
      <w:r w:rsidRPr="001366B4">
        <w:rPr>
          <w:noProof/>
        </w:rPr>
        <w:t>nit 4 "Digitale dimensioner".</w:t>
      </w:r>
    </w:p>
    <w:tbl>
      <w:tblPr>
        <w:tblW w:w="0" w:type="auto"/>
        <w:tblLayout w:type="fixed"/>
        <w:tblLook w:val="04A0" w:firstRow="1" w:lastRow="0" w:firstColumn="1" w:lastColumn="0" w:noHBand="0" w:noVBand="1"/>
      </w:tblPr>
      <w:tblGrid>
        <w:gridCol w:w="3214"/>
        <w:gridCol w:w="835"/>
        <w:gridCol w:w="835"/>
        <w:gridCol w:w="835"/>
        <w:gridCol w:w="835"/>
        <w:gridCol w:w="981"/>
      </w:tblGrid>
      <w:tr w:rsidR="00693ED0" w:rsidRPr="001366B4">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rsidR="00693ED0" w:rsidRPr="001366B4" w:rsidRDefault="00693ED0">
            <w:pPr>
              <w:spacing w:before="0" w:after="0"/>
              <w:jc w:val="center"/>
              <w:rPr>
                <w:b/>
                <w:bCs/>
                <w:noProof/>
                <w:color w:val="000000" w:themeColor="text1"/>
                <w:sz w:val="18"/>
                <w:szCs w:val="18"/>
              </w:rPr>
            </w:pPr>
            <w:r w:rsidRPr="001366B4">
              <w:rPr>
                <w:b/>
                <w:noProof/>
                <w:color w:val="000000" w:themeColor="text1"/>
                <w:sz w:val="18"/>
              </w:rPr>
              <w:t>Digitale bevillinger og IT-bevillinger I ALT</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rsidR="00693ED0" w:rsidRPr="001366B4" w:rsidRDefault="00693ED0">
            <w:pPr>
              <w:spacing w:before="0" w:after="0"/>
              <w:jc w:val="center"/>
              <w:rPr>
                <w:noProof/>
                <w:color w:val="000000" w:themeColor="text1"/>
                <w:sz w:val="18"/>
                <w:szCs w:val="18"/>
              </w:rPr>
            </w:pPr>
            <w:r w:rsidRPr="001366B4">
              <w:rPr>
                <w:noProof/>
                <w:color w:val="000000" w:themeColor="text1"/>
                <w:sz w:val="18"/>
              </w:rPr>
              <w:t>År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1366B4" w:rsidRDefault="00693ED0">
            <w:pPr>
              <w:spacing w:before="0" w:after="0"/>
              <w:jc w:val="center"/>
              <w:rPr>
                <w:noProof/>
                <w:color w:val="000000" w:themeColor="text1"/>
                <w:sz w:val="18"/>
                <w:szCs w:val="18"/>
              </w:rPr>
            </w:pPr>
            <w:r w:rsidRPr="001366B4">
              <w:rPr>
                <w:noProof/>
                <w:color w:val="000000" w:themeColor="text1"/>
                <w:sz w:val="18"/>
              </w:rPr>
              <w:t>År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1366B4" w:rsidRDefault="00693ED0">
            <w:pPr>
              <w:spacing w:before="0" w:after="0"/>
              <w:jc w:val="center"/>
              <w:rPr>
                <w:noProof/>
                <w:color w:val="000000" w:themeColor="text1"/>
                <w:sz w:val="18"/>
                <w:szCs w:val="18"/>
              </w:rPr>
            </w:pPr>
            <w:r w:rsidRPr="001366B4">
              <w:rPr>
                <w:noProof/>
                <w:color w:val="000000" w:themeColor="text1"/>
                <w:sz w:val="18"/>
              </w:rPr>
              <w:t>År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rsidR="00693ED0" w:rsidRPr="001366B4" w:rsidRDefault="00693ED0">
            <w:pPr>
              <w:spacing w:before="0" w:after="0"/>
              <w:jc w:val="center"/>
              <w:rPr>
                <w:noProof/>
                <w:color w:val="000000" w:themeColor="text1"/>
                <w:sz w:val="18"/>
                <w:szCs w:val="18"/>
              </w:rPr>
            </w:pPr>
            <w:r w:rsidRPr="001366B4">
              <w:rPr>
                <w:noProof/>
                <w:color w:val="000000" w:themeColor="text1"/>
                <w:sz w:val="18"/>
              </w:rPr>
              <w:t>År</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693ED0" w:rsidRPr="001366B4" w:rsidRDefault="00693ED0">
            <w:pPr>
              <w:spacing w:before="0" w:after="0"/>
              <w:jc w:val="center"/>
              <w:rPr>
                <w:b/>
                <w:bCs/>
                <w:noProof/>
                <w:color w:val="000000" w:themeColor="text1"/>
                <w:sz w:val="18"/>
                <w:szCs w:val="18"/>
              </w:rPr>
            </w:pPr>
            <w:r w:rsidRPr="001366B4">
              <w:rPr>
                <w:b/>
                <w:noProof/>
                <w:color w:val="000000" w:themeColor="text1"/>
                <w:sz w:val="18"/>
              </w:rPr>
              <w:t>I ALT FFR 2021-2027</w:t>
            </w:r>
          </w:p>
        </w:tc>
      </w:tr>
      <w:tr w:rsidR="00693ED0" w:rsidRPr="001366B4">
        <w:trPr>
          <w:trHeight w:val="525"/>
        </w:trPr>
        <w:tc>
          <w:tcPr>
            <w:tcW w:w="3214" w:type="dxa"/>
            <w:vMerge/>
            <w:tcBorders>
              <w:top w:val="single" w:sz="8" w:space="0" w:color="auto"/>
              <w:left w:val="single" w:sz="4" w:space="0" w:color="auto"/>
              <w:right w:val="single" w:sz="4" w:space="0" w:color="auto"/>
            </w:tcBorders>
            <w:vAlign w:val="center"/>
          </w:tcPr>
          <w:p w:rsidR="00693ED0" w:rsidRPr="001366B4" w:rsidRDefault="00693ED0">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rsidR="00693ED0" w:rsidRPr="001366B4" w:rsidRDefault="00693ED0">
            <w:pPr>
              <w:spacing w:before="0" w:after="0"/>
              <w:jc w:val="center"/>
              <w:rPr>
                <w:b/>
                <w:bCs/>
                <w:noProof/>
                <w:color w:val="000000" w:themeColor="text1"/>
                <w:sz w:val="18"/>
                <w:szCs w:val="18"/>
              </w:rPr>
            </w:pPr>
            <w:r w:rsidRPr="001366B4">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1366B4" w:rsidRDefault="00693ED0">
            <w:pPr>
              <w:spacing w:before="0" w:after="0"/>
              <w:jc w:val="center"/>
              <w:rPr>
                <w:b/>
                <w:bCs/>
                <w:noProof/>
                <w:color w:val="000000" w:themeColor="text1"/>
                <w:sz w:val="18"/>
                <w:szCs w:val="18"/>
              </w:rPr>
            </w:pPr>
            <w:r w:rsidRPr="001366B4">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1366B4" w:rsidRDefault="00693ED0">
            <w:pPr>
              <w:spacing w:before="0" w:after="0"/>
              <w:jc w:val="center"/>
              <w:rPr>
                <w:b/>
                <w:bCs/>
                <w:noProof/>
                <w:color w:val="000000" w:themeColor="text1"/>
                <w:sz w:val="18"/>
                <w:szCs w:val="18"/>
              </w:rPr>
            </w:pPr>
            <w:r w:rsidRPr="001366B4">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rsidR="00693ED0" w:rsidRPr="001366B4" w:rsidRDefault="00693ED0">
            <w:pPr>
              <w:spacing w:before="0" w:after="0"/>
              <w:jc w:val="center"/>
              <w:rPr>
                <w:b/>
                <w:bCs/>
                <w:noProof/>
                <w:color w:val="000000" w:themeColor="text1"/>
                <w:sz w:val="18"/>
                <w:szCs w:val="18"/>
              </w:rPr>
            </w:pPr>
            <w:r w:rsidRPr="001366B4">
              <w:rPr>
                <w:b/>
                <w:noProof/>
                <w:color w:val="000000" w:themeColor="text1"/>
                <w:sz w:val="18"/>
              </w:rPr>
              <w:t>2027</w:t>
            </w:r>
          </w:p>
        </w:tc>
        <w:tc>
          <w:tcPr>
            <w:tcW w:w="981" w:type="dxa"/>
            <w:vMerge/>
            <w:tcBorders>
              <w:bottom w:val="single" w:sz="4" w:space="0" w:color="auto"/>
              <w:right w:val="single" w:sz="4" w:space="0" w:color="auto"/>
            </w:tcBorders>
            <w:vAlign w:val="center"/>
          </w:tcPr>
          <w:p w:rsidR="00693ED0" w:rsidRPr="001366B4" w:rsidRDefault="00693ED0">
            <w:pPr>
              <w:rPr>
                <w:noProof/>
              </w:rPr>
            </w:pPr>
          </w:p>
        </w:tc>
      </w:tr>
      <w:tr w:rsidR="00693ED0" w:rsidRPr="001366B4">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rsidR="00693ED0" w:rsidRPr="001366B4" w:rsidRDefault="00693ED0">
            <w:pPr>
              <w:spacing w:before="0" w:after="0"/>
              <w:jc w:val="left"/>
              <w:rPr>
                <w:b/>
                <w:bCs/>
                <w:noProof/>
                <w:sz w:val="16"/>
                <w:szCs w:val="16"/>
              </w:rPr>
            </w:pPr>
            <w:r w:rsidRPr="001366B4">
              <w:rPr>
                <w:b/>
                <w:noProof/>
                <w:sz w:val="16"/>
              </w:rPr>
              <w:t>UDGIFTSOMRÅDE 7</w:t>
            </w:r>
          </w:p>
        </w:tc>
      </w:tr>
      <w:tr w:rsidR="00693ED0" w:rsidRPr="001366B4">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1366B4" w:rsidRDefault="00693ED0">
            <w:pPr>
              <w:spacing w:before="0" w:after="0"/>
              <w:jc w:val="left"/>
              <w:rPr>
                <w:noProof/>
                <w:color w:val="000000" w:themeColor="text1"/>
                <w:sz w:val="16"/>
                <w:szCs w:val="16"/>
              </w:rPr>
            </w:pPr>
            <w:r w:rsidRPr="001366B4">
              <w:rPr>
                <w:noProof/>
                <w:color w:val="000000" w:themeColor="text1"/>
                <w:sz w:val="20"/>
              </w:rPr>
              <w:t>IT-udgifter (organisationen/institutionen)</w:t>
            </w:r>
            <w:r w:rsidRPr="001366B4">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noProof/>
                <w:color w:val="000000" w:themeColor="text1"/>
                <w:sz w:val="16"/>
                <w:szCs w:val="16"/>
              </w:rPr>
            </w:pPr>
            <w:r w:rsidRPr="001366B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noProof/>
                <w:color w:val="000000" w:themeColor="text1"/>
                <w:sz w:val="16"/>
                <w:szCs w:val="16"/>
              </w:rPr>
            </w:pPr>
            <w:r w:rsidRPr="001366B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noProof/>
                <w:color w:val="000000" w:themeColor="text1"/>
                <w:sz w:val="16"/>
                <w:szCs w:val="16"/>
              </w:rPr>
            </w:pPr>
            <w:r w:rsidRPr="001366B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noProof/>
                <w:color w:val="000000" w:themeColor="text1"/>
                <w:sz w:val="16"/>
                <w:szCs w:val="16"/>
              </w:rPr>
            </w:pPr>
            <w:r w:rsidRPr="001366B4">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r>
      <w:tr w:rsidR="00693ED0" w:rsidRPr="001366B4">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1366B4" w:rsidRDefault="00693ED0">
            <w:pPr>
              <w:spacing w:before="0" w:after="0"/>
              <w:jc w:val="center"/>
              <w:rPr>
                <w:b/>
                <w:bCs/>
                <w:noProof/>
                <w:color w:val="000000" w:themeColor="text1"/>
                <w:sz w:val="16"/>
                <w:szCs w:val="16"/>
              </w:rPr>
            </w:pPr>
            <w:r w:rsidRPr="001366B4">
              <w:rPr>
                <w:b/>
                <w:noProof/>
                <w:color w:val="000000" w:themeColor="text1"/>
                <w:sz w:val="16"/>
              </w:rPr>
              <w:t>Subtotal UDGIFTSOMRÅDE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r>
      <w:tr w:rsidR="00693ED0" w:rsidRPr="001366B4">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1366B4" w:rsidRDefault="00693ED0">
            <w:pPr>
              <w:spacing w:before="0" w:after="0"/>
              <w:jc w:val="left"/>
              <w:rPr>
                <w:b/>
                <w:bCs/>
                <w:noProof/>
                <w:sz w:val="16"/>
                <w:szCs w:val="16"/>
              </w:rPr>
            </w:pPr>
            <w:r w:rsidRPr="001366B4">
              <w:rPr>
                <w:b/>
                <w:noProof/>
                <w:sz w:val="16"/>
              </w:rPr>
              <w:t>Uden for UDGIFTSOMRÅDE 7</w:t>
            </w:r>
          </w:p>
        </w:tc>
      </w:tr>
      <w:tr w:rsidR="00693ED0" w:rsidRPr="001366B4">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1366B4" w:rsidRDefault="00693ED0">
            <w:pPr>
              <w:spacing w:before="0" w:after="0"/>
              <w:jc w:val="left"/>
              <w:rPr>
                <w:rFonts w:eastAsia="Arial Narrow"/>
                <w:noProof/>
                <w:color w:val="000000" w:themeColor="text1"/>
                <w:sz w:val="20"/>
                <w:szCs w:val="20"/>
              </w:rPr>
            </w:pPr>
            <w:r w:rsidRPr="001366B4">
              <w:rPr>
                <w:noProof/>
                <w:color w:val="000000" w:themeColor="text1"/>
                <w:sz w:val="20"/>
              </w:rPr>
              <w:t>Policy-IT-udgifter til operationelle programmer</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noProof/>
                <w:color w:val="000000" w:themeColor="text1"/>
                <w:sz w:val="16"/>
                <w:szCs w:val="16"/>
              </w:rPr>
            </w:pPr>
            <w:r w:rsidRPr="001366B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noProof/>
                <w:color w:val="000000" w:themeColor="text1"/>
                <w:sz w:val="16"/>
                <w:szCs w:val="16"/>
              </w:rPr>
            </w:pPr>
            <w:r w:rsidRPr="001366B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noProof/>
                <w:color w:val="000000" w:themeColor="text1"/>
                <w:sz w:val="16"/>
                <w:szCs w:val="16"/>
              </w:rPr>
            </w:pPr>
            <w:r w:rsidRPr="001366B4">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noProof/>
                <w:color w:val="000000" w:themeColor="text1"/>
                <w:sz w:val="16"/>
                <w:szCs w:val="16"/>
              </w:rPr>
            </w:pPr>
            <w:r w:rsidRPr="001366B4">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r>
      <w:tr w:rsidR="00693ED0" w:rsidRPr="001366B4">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rsidR="00693ED0" w:rsidRPr="001366B4" w:rsidRDefault="00693ED0">
            <w:pPr>
              <w:spacing w:before="0" w:after="0"/>
              <w:jc w:val="center"/>
              <w:rPr>
                <w:b/>
                <w:bCs/>
                <w:noProof/>
                <w:color w:val="000000" w:themeColor="text1"/>
                <w:sz w:val="16"/>
                <w:szCs w:val="16"/>
              </w:rPr>
            </w:pPr>
            <w:r w:rsidRPr="001366B4">
              <w:rPr>
                <w:b/>
                <w:noProof/>
                <w:color w:val="000000" w:themeColor="text1"/>
                <w:sz w:val="16"/>
              </w:rPr>
              <w:t>Subtotal uden for UDGIFTSOMRÅDE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r>
      <w:tr w:rsidR="00693ED0" w:rsidRPr="001366B4">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93ED0" w:rsidRPr="001366B4" w:rsidRDefault="00693ED0">
            <w:pPr>
              <w:spacing w:before="0" w:after="0"/>
              <w:jc w:val="center"/>
              <w:rPr>
                <w:noProof/>
                <w:color w:val="000000" w:themeColor="text1"/>
                <w:sz w:val="16"/>
                <w:szCs w:val="16"/>
              </w:rPr>
            </w:pPr>
            <w:r w:rsidRPr="001366B4">
              <w:rPr>
                <w:noProof/>
                <w:color w:val="000000" w:themeColor="text1"/>
                <w:sz w:val="16"/>
              </w:rPr>
              <w:t xml:space="preserve"> </w:t>
            </w:r>
          </w:p>
        </w:tc>
      </w:tr>
      <w:tr w:rsidR="00693ED0" w:rsidRPr="001366B4">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rsidR="00693ED0" w:rsidRPr="001366B4" w:rsidRDefault="00693ED0">
            <w:pPr>
              <w:spacing w:before="0" w:after="0"/>
              <w:jc w:val="center"/>
              <w:rPr>
                <w:b/>
                <w:bCs/>
                <w:noProof/>
                <w:color w:val="000000" w:themeColor="text1"/>
                <w:sz w:val="16"/>
                <w:szCs w:val="16"/>
              </w:rPr>
            </w:pPr>
            <w:r w:rsidRPr="001366B4">
              <w:rPr>
                <w:b/>
                <w:noProof/>
                <w:color w:val="000000" w:themeColor="text1"/>
                <w:sz w:val="16"/>
              </w:rPr>
              <w:t>I ALT</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rsidR="00693ED0" w:rsidRPr="001366B4" w:rsidRDefault="00693ED0">
            <w:pPr>
              <w:spacing w:before="0" w:after="0"/>
              <w:jc w:val="right"/>
              <w:rPr>
                <w:b/>
                <w:bCs/>
                <w:noProof/>
                <w:color w:val="000000" w:themeColor="text1"/>
                <w:sz w:val="16"/>
                <w:szCs w:val="16"/>
              </w:rPr>
            </w:pPr>
            <w:r w:rsidRPr="001366B4">
              <w:rPr>
                <w:b/>
                <w:noProof/>
                <w:color w:val="000000" w:themeColor="text1"/>
                <w:sz w:val="16"/>
              </w:rPr>
              <w:t>0,000</w:t>
            </w:r>
          </w:p>
        </w:tc>
      </w:tr>
    </w:tbl>
    <w:p w:rsidR="00693ED0" w:rsidRPr="001366B4" w:rsidRDefault="00693ED0" w:rsidP="00693ED0">
      <w:pPr>
        <w:pStyle w:val="ManualHeading3"/>
        <w:rPr>
          <w:noProof/>
        </w:rPr>
      </w:pPr>
      <w:bookmarkStart w:id="174" w:name="_Toc514938056"/>
      <w:bookmarkStart w:id="175" w:name="_Toc520485055"/>
      <w:bookmarkStart w:id="176" w:name="_Toc160804599"/>
      <w:bookmarkStart w:id="177" w:name="_Toc167220298"/>
      <w:bookmarkStart w:id="178" w:name="_Toc177549032"/>
      <w:bookmarkEnd w:id="172"/>
      <w:r w:rsidRPr="001366B4">
        <w:rPr>
          <w:noProof/>
        </w:rPr>
        <w:t>3.2.6.</w:t>
      </w:r>
      <w:r w:rsidRPr="001366B4">
        <w:rPr>
          <w:noProof/>
        </w:rPr>
        <w:tab/>
        <w:t>Forenelighed med indeværende flerårige finansielle ramme</w:t>
      </w:r>
      <w:bookmarkEnd w:id="174"/>
      <w:bookmarkEnd w:id="175"/>
      <w:bookmarkEnd w:id="176"/>
      <w:bookmarkEnd w:id="177"/>
      <w:bookmarkEnd w:id="178"/>
      <w:r w:rsidRPr="001366B4">
        <w:rPr>
          <w:noProof/>
        </w:rPr>
        <w:t xml:space="preserve"> </w:t>
      </w:r>
    </w:p>
    <w:p w:rsidR="00693ED0" w:rsidRPr="001366B4" w:rsidRDefault="00693ED0" w:rsidP="00693ED0">
      <w:pPr>
        <w:pStyle w:val="Text1"/>
        <w:rPr>
          <w:noProof/>
        </w:rPr>
      </w:pPr>
      <w:r w:rsidRPr="001366B4">
        <w:rPr>
          <w:noProof/>
        </w:rPr>
        <w:t>Forslaget/initiativet:</w:t>
      </w:r>
    </w:p>
    <w:p w:rsidR="00693ED0" w:rsidRPr="001366B4" w:rsidRDefault="00693ED0" w:rsidP="00693ED0">
      <w:pPr>
        <w:pStyle w:val="ListDash1"/>
        <w:rPr>
          <w:noProof/>
        </w:rPr>
      </w:pPr>
      <w:r w:rsidRPr="001366B4">
        <w:rPr>
          <w:rFonts w:ascii="Wingdings" w:hAnsi="Wingdings"/>
          <w:noProof/>
        </w:rPr>
        <w:t></w:t>
      </w:r>
      <w:r w:rsidRPr="001366B4">
        <w:rPr>
          <w:noProof/>
        </w:rPr>
        <w:tab/>
        <w:t>kan finansieres fuldt ud gennem omfordeling inden for det relevante udgiftsområde</w:t>
      </w:r>
      <w:r w:rsidR="00A87ED6" w:rsidRPr="001366B4">
        <w:rPr>
          <w:noProof/>
        </w:rPr>
        <w:t xml:space="preserve"> i den</w:t>
      </w:r>
      <w:r w:rsidRPr="001366B4">
        <w:rPr>
          <w:noProof/>
        </w:rPr>
        <w:t xml:space="preserve"> flerårige finansielle ramme (FFR)</w:t>
      </w:r>
    </w:p>
    <w:p w:rsidR="00693ED0" w:rsidRPr="001366B4" w:rsidRDefault="007D2643"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Ikke relevant</w:t>
      </w:r>
    </w:p>
    <w:p w:rsidR="00693ED0" w:rsidRPr="001366B4" w:rsidRDefault="00693ED0" w:rsidP="00693ED0">
      <w:pPr>
        <w:pStyle w:val="ListDash1"/>
        <w:rPr>
          <w:noProof/>
        </w:rPr>
      </w:pPr>
      <w:r w:rsidRPr="001366B4">
        <w:rPr>
          <w:rFonts w:ascii="Wingdings" w:hAnsi="Wingdings"/>
          <w:noProof/>
        </w:rPr>
        <w:t></w:t>
      </w:r>
      <w:r w:rsidRPr="001366B4">
        <w:rPr>
          <w:noProof/>
        </w:rPr>
        <w:tab/>
        <w:t>kræver anvendelse af den uudnyttede margen under det relevante udgiftsområde i FFR og/eller anvendelse af særlige instrumenter som fastlagt i FFR-forordningen.</w:t>
      </w:r>
    </w:p>
    <w:p w:rsidR="00693ED0" w:rsidRPr="001366B4" w:rsidRDefault="007D2643" w:rsidP="00693ED0">
      <w:pPr>
        <w:pStyle w:val="Text1"/>
        <w:pBdr>
          <w:top w:val="single" w:sz="4" w:space="0" w:color="auto"/>
          <w:left w:val="single" w:sz="4" w:space="4" w:color="auto"/>
          <w:bottom w:val="single" w:sz="4" w:space="1" w:color="auto"/>
          <w:right w:val="single" w:sz="4" w:space="4" w:color="auto"/>
        </w:pBdr>
        <w:rPr>
          <w:noProof/>
        </w:rPr>
      </w:pPr>
      <w:r w:rsidRPr="001366B4">
        <w:rPr>
          <w:noProof/>
        </w:rPr>
        <w:t>Ikke relevant</w:t>
      </w:r>
    </w:p>
    <w:p w:rsidR="00693ED0" w:rsidRPr="001366B4" w:rsidRDefault="00693ED0" w:rsidP="00693ED0">
      <w:pPr>
        <w:pStyle w:val="ListDash1"/>
        <w:rPr>
          <w:noProof/>
        </w:rPr>
      </w:pPr>
      <w:r w:rsidRPr="001366B4">
        <w:rPr>
          <w:rFonts w:ascii="Wingdings" w:hAnsi="Wingdings"/>
          <w:noProof/>
        </w:rPr>
        <w:t></w:t>
      </w:r>
      <w:r w:rsidRPr="001366B4">
        <w:rPr>
          <w:noProof/>
        </w:rPr>
        <w:tab/>
        <w:t>kræver en revision af FFR.</w:t>
      </w:r>
    </w:p>
    <w:p w:rsidR="00693ED0" w:rsidRPr="001366B4" w:rsidRDefault="007D2643"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Ikke relevant</w:t>
      </w:r>
    </w:p>
    <w:p w:rsidR="00693ED0" w:rsidRPr="001366B4" w:rsidRDefault="00693ED0" w:rsidP="00693ED0">
      <w:pPr>
        <w:pStyle w:val="ManualHeading3"/>
        <w:rPr>
          <w:noProof/>
        </w:rPr>
      </w:pPr>
      <w:bookmarkStart w:id="179" w:name="_Toc514938058"/>
      <w:bookmarkStart w:id="180" w:name="_Toc520485056"/>
      <w:bookmarkStart w:id="181" w:name="_Toc160804600"/>
      <w:bookmarkStart w:id="182" w:name="_Toc167220299"/>
      <w:bookmarkStart w:id="183" w:name="_Toc177549033"/>
      <w:r w:rsidRPr="001366B4">
        <w:rPr>
          <w:noProof/>
        </w:rPr>
        <w:t>3.2.7.</w:t>
      </w:r>
      <w:r w:rsidRPr="001366B4">
        <w:rPr>
          <w:noProof/>
        </w:rPr>
        <w:tab/>
        <w:t>Bidrag fra tredjemand</w:t>
      </w:r>
      <w:bookmarkEnd w:id="179"/>
      <w:bookmarkEnd w:id="180"/>
      <w:bookmarkEnd w:id="181"/>
      <w:bookmarkEnd w:id="182"/>
      <w:bookmarkEnd w:id="183"/>
      <w:r w:rsidRPr="001366B4">
        <w:rPr>
          <w:noProof/>
        </w:rPr>
        <w:t xml:space="preserve"> </w:t>
      </w:r>
    </w:p>
    <w:p w:rsidR="00693ED0" w:rsidRPr="001366B4" w:rsidRDefault="00693ED0" w:rsidP="00693ED0">
      <w:pPr>
        <w:pStyle w:val="Text1"/>
        <w:rPr>
          <w:noProof/>
        </w:rPr>
      </w:pPr>
      <w:r w:rsidRPr="001366B4">
        <w:rPr>
          <w:noProof/>
        </w:rPr>
        <w:t>Forslaget/initiativet:</w:t>
      </w:r>
    </w:p>
    <w:p w:rsidR="00693ED0" w:rsidRPr="001366B4" w:rsidRDefault="00693ED0" w:rsidP="00693ED0">
      <w:pPr>
        <w:pStyle w:val="ListDash1"/>
        <w:rPr>
          <w:noProof/>
        </w:rPr>
      </w:pPr>
      <w:r w:rsidRPr="001366B4">
        <w:rPr>
          <w:rFonts w:ascii="Wingdings" w:hAnsi="Wingdings"/>
          <w:noProof/>
        </w:rPr>
        <w:t></w:t>
      </w:r>
      <w:r w:rsidRPr="001366B4">
        <w:rPr>
          <w:noProof/>
        </w:rPr>
        <w:tab/>
        <w:t>indeholder ikke bestemmelser om samfinansiering med tredjemand</w:t>
      </w:r>
    </w:p>
    <w:p w:rsidR="00693ED0" w:rsidRPr="001366B4" w:rsidRDefault="00693ED0" w:rsidP="00693ED0">
      <w:pPr>
        <w:pStyle w:val="ListDash1"/>
        <w:rPr>
          <w:noProof/>
        </w:rPr>
      </w:pPr>
      <w:r w:rsidRPr="001366B4">
        <w:rPr>
          <w:rFonts w:ascii="Wingdings" w:hAnsi="Wingdings"/>
          <w:noProof/>
        </w:rPr>
        <w:t></w:t>
      </w:r>
      <w:r w:rsidRPr="001366B4">
        <w:rPr>
          <w:noProof/>
        </w:rPr>
        <w:tab/>
        <w:t>indeholder bestemmelser om samfinansiering med tredjemand, jf. følgende overslag:</w:t>
      </w:r>
    </w:p>
    <w:p w:rsidR="00693ED0" w:rsidRPr="001366B4" w:rsidRDefault="00693ED0" w:rsidP="00693ED0">
      <w:pPr>
        <w:jc w:val="right"/>
        <w:rPr>
          <w:noProof/>
          <w:sz w:val="20"/>
        </w:rPr>
      </w:pPr>
      <w:r w:rsidRPr="001366B4">
        <w:rPr>
          <w:noProof/>
          <w:sz w:val="20"/>
        </w:rPr>
        <w:t>Bevillinger</w:t>
      </w:r>
      <w:r w:rsidR="00A87ED6" w:rsidRPr="001366B4">
        <w:rPr>
          <w:noProof/>
          <w:sz w:val="20"/>
        </w:rPr>
        <w:t xml:space="preserve"> i mio</w:t>
      </w:r>
      <w:r w:rsidRPr="001366B4">
        <w:rPr>
          <w:noProof/>
          <w:sz w:val="20"/>
        </w:rPr>
        <w:t>. EUR (tre decimaler)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693ED0" w:rsidRPr="001366B4">
        <w:trPr>
          <w:cantSplit/>
        </w:trPr>
        <w:tc>
          <w:tcPr>
            <w:tcW w:w="1591" w:type="pct"/>
          </w:tcPr>
          <w:p w:rsidR="00693ED0" w:rsidRPr="001366B4" w:rsidRDefault="00693ED0">
            <w:pPr>
              <w:spacing w:before="60" w:after="60"/>
              <w:rPr>
                <w:noProof/>
                <w:sz w:val="20"/>
              </w:rPr>
            </w:pPr>
          </w:p>
        </w:tc>
        <w:tc>
          <w:tcPr>
            <w:tcW w:w="655" w:type="pct"/>
            <w:vAlign w:val="center"/>
          </w:tcPr>
          <w:p w:rsidR="00693ED0" w:rsidRPr="001366B4" w:rsidRDefault="00693ED0">
            <w:pPr>
              <w:jc w:val="center"/>
              <w:rPr>
                <w:noProof/>
                <w:sz w:val="20"/>
              </w:rPr>
            </w:pPr>
            <w:r w:rsidRPr="001366B4">
              <w:rPr>
                <w:noProof/>
                <w:sz w:val="20"/>
              </w:rPr>
              <w:t xml:space="preserve">År </w:t>
            </w:r>
            <w:r w:rsidRPr="001366B4">
              <w:rPr>
                <w:noProof/>
              </w:rPr>
              <w:cr/>
            </w:r>
            <w:r w:rsidRPr="001366B4">
              <w:rPr>
                <w:noProof/>
              </w:rPr>
              <w:br/>
            </w:r>
            <w:r w:rsidRPr="001366B4">
              <w:rPr>
                <w:b/>
                <w:noProof/>
                <w:sz w:val="20"/>
              </w:rPr>
              <w:t>2024</w:t>
            </w:r>
          </w:p>
        </w:tc>
        <w:tc>
          <w:tcPr>
            <w:tcW w:w="655" w:type="pct"/>
            <w:vAlign w:val="center"/>
          </w:tcPr>
          <w:p w:rsidR="00693ED0" w:rsidRPr="001366B4" w:rsidRDefault="00693ED0">
            <w:pPr>
              <w:jc w:val="center"/>
              <w:rPr>
                <w:noProof/>
                <w:sz w:val="20"/>
              </w:rPr>
            </w:pPr>
            <w:r w:rsidRPr="001366B4">
              <w:rPr>
                <w:noProof/>
                <w:sz w:val="20"/>
              </w:rPr>
              <w:t xml:space="preserve">År </w:t>
            </w:r>
            <w:r w:rsidRPr="001366B4">
              <w:rPr>
                <w:noProof/>
              </w:rPr>
              <w:cr/>
            </w:r>
            <w:r w:rsidRPr="001366B4">
              <w:rPr>
                <w:noProof/>
              </w:rPr>
              <w:br/>
            </w:r>
            <w:r w:rsidRPr="001366B4">
              <w:rPr>
                <w:b/>
                <w:noProof/>
                <w:sz w:val="20"/>
              </w:rPr>
              <w:t>2025</w:t>
            </w:r>
          </w:p>
        </w:tc>
        <w:tc>
          <w:tcPr>
            <w:tcW w:w="655" w:type="pct"/>
            <w:vAlign w:val="center"/>
          </w:tcPr>
          <w:p w:rsidR="00693ED0" w:rsidRPr="001366B4" w:rsidRDefault="00693ED0">
            <w:pPr>
              <w:jc w:val="center"/>
              <w:rPr>
                <w:noProof/>
                <w:sz w:val="20"/>
              </w:rPr>
            </w:pPr>
            <w:r w:rsidRPr="001366B4">
              <w:rPr>
                <w:noProof/>
                <w:sz w:val="20"/>
              </w:rPr>
              <w:t xml:space="preserve">År </w:t>
            </w:r>
            <w:r w:rsidRPr="001366B4">
              <w:rPr>
                <w:noProof/>
              </w:rPr>
              <w:cr/>
            </w:r>
            <w:r w:rsidRPr="001366B4">
              <w:rPr>
                <w:noProof/>
              </w:rPr>
              <w:br/>
            </w:r>
            <w:r w:rsidRPr="001366B4">
              <w:rPr>
                <w:b/>
                <w:noProof/>
                <w:sz w:val="20"/>
              </w:rPr>
              <w:t>2026</w:t>
            </w:r>
          </w:p>
        </w:tc>
        <w:tc>
          <w:tcPr>
            <w:tcW w:w="655" w:type="pct"/>
            <w:vAlign w:val="center"/>
          </w:tcPr>
          <w:p w:rsidR="00693ED0" w:rsidRPr="001366B4" w:rsidRDefault="00693ED0">
            <w:pPr>
              <w:jc w:val="center"/>
              <w:rPr>
                <w:noProof/>
                <w:sz w:val="20"/>
              </w:rPr>
            </w:pPr>
            <w:r w:rsidRPr="001366B4">
              <w:rPr>
                <w:noProof/>
                <w:sz w:val="20"/>
              </w:rPr>
              <w:t xml:space="preserve">År </w:t>
            </w:r>
            <w:r w:rsidRPr="001366B4">
              <w:rPr>
                <w:noProof/>
              </w:rPr>
              <w:cr/>
            </w:r>
            <w:r w:rsidRPr="001366B4">
              <w:rPr>
                <w:noProof/>
              </w:rPr>
              <w:br/>
            </w:r>
            <w:r w:rsidRPr="001366B4">
              <w:rPr>
                <w:b/>
                <w:noProof/>
                <w:sz w:val="20"/>
              </w:rPr>
              <w:t>2027</w:t>
            </w:r>
          </w:p>
        </w:tc>
        <w:tc>
          <w:tcPr>
            <w:tcW w:w="787" w:type="pct"/>
            <w:vAlign w:val="center"/>
          </w:tcPr>
          <w:p w:rsidR="00693ED0" w:rsidRPr="001366B4" w:rsidRDefault="00693ED0">
            <w:pPr>
              <w:spacing w:before="60" w:after="60"/>
              <w:jc w:val="center"/>
              <w:rPr>
                <w:noProof/>
                <w:sz w:val="20"/>
              </w:rPr>
            </w:pPr>
            <w:r w:rsidRPr="001366B4">
              <w:rPr>
                <w:noProof/>
                <w:sz w:val="20"/>
              </w:rPr>
              <w:t>I alt</w:t>
            </w:r>
          </w:p>
        </w:tc>
      </w:tr>
      <w:tr w:rsidR="00693ED0" w:rsidRPr="001366B4">
        <w:trPr>
          <w:cantSplit/>
        </w:trPr>
        <w:tc>
          <w:tcPr>
            <w:tcW w:w="1591" w:type="pct"/>
          </w:tcPr>
          <w:p w:rsidR="00693ED0" w:rsidRPr="001366B4" w:rsidRDefault="00693ED0">
            <w:pPr>
              <w:rPr>
                <w:noProof/>
              </w:rPr>
            </w:pPr>
            <w:r w:rsidRPr="001366B4">
              <w:rPr>
                <w:noProof/>
                <w:sz w:val="20"/>
              </w:rPr>
              <w:t>Angiv det organ, der deltager</w:t>
            </w:r>
            <w:r w:rsidR="00A87ED6" w:rsidRPr="001366B4">
              <w:rPr>
                <w:noProof/>
                <w:sz w:val="20"/>
              </w:rPr>
              <w:t xml:space="preserve"> i sam</w:t>
            </w:r>
            <w:r w:rsidRPr="001366B4">
              <w:rPr>
                <w:noProof/>
                <w:sz w:val="20"/>
              </w:rPr>
              <w:t>finansieringen</w:t>
            </w:r>
            <w:r w:rsidRPr="001366B4">
              <w:rPr>
                <w:i/>
                <w:noProof/>
                <w:sz w:val="20"/>
              </w:rPr>
              <w:t xml:space="preserve"> </w:t>
            </w:r>
          </w:p>
        </w:tc>
        <w:tc>
          <w:tcPr>
            <w:tcW w:w="655" w:type="pct"/>
            <w:vAlign w:val="center"/>
          </w:tcPr>
          <w:p w:rsidR="00693ED0" w:rsidRPr="001366B4" w:rsidRDefault="00693ED0">
            <w:pPr>
              <w:spacing w:before="60" w:after="60"/>
              <w:jc w:val="center"/>
              <w:rPr>
                <w:noProof/>
                <w:sz w:val="20"/>
              </w:rPr>
            </w:pPr>
          </w:p>
        </w:tc>
        <w:tc>
          <w:tcPr>
            <w:tcW w:w="655" w:type="pct"/>
            <w:vAlign w:val="center"/>
          </w:tcPr>
          <w:p w:rsidR="00693ED0" w:rsidRPr="001366B4" w:rsidRDefault="00693ED0">
            <w:pPr>
              <w:spacing w:before="60" w:after="60"/>
              <w:jc w:val="center"/>
              <w:rPr>
                <w:noProof/>
                <w:sz w:val="20"/>
              </w:rPr>
            </w:pPr>
          </w:p>
        </w:tc>
        <w:tc>
          <w:tcPr>
            <w:tcW w:w="655" w:type="pct"/>
            <w:vAlign w:val="center"/>
          </w:tcPr>
          <w:p w:rsidR="00693ED0" w:rsidRPr="001366B4" w:rsidRDefault="00693ED0">
            <w:pPr>
              <w:spacing w:before="60" w:after="60"/>
              <w:jc w:val="center"/>
              <w:rPr>
                <w:noProof/>
                <w:sz w:val="20"/>
              </w:rPr>
            </w:pPr>
          </w:p>
        </w:tc>
        <w:tc>
          <w:tcPr>
            <w:tcW w:w="655" w:type="pct"/>
            <w:vAlign w:val="center"/>
          </w:tcPr>
          <w:p w:rsidR="00693ED0" w:rsidRPr="001366B4" w:rsidRDefault="00693ED0">
            <w:pPr>
              <w:spacing w:before="60" w:after="60"/>
              <w:jc w:val="center"/>
              <w:rPr>
                <w:noProof/>
                <w:sz w:val="20"/>
              </w:rPr>
            </w:pPr>
          </w:p>
        </w:tc>
        <w:tc>
          <w:tcPr>
            <w:tcW w:w="787" w:type="pct"/>
            <w:vAlign w:val="center"/>
          </w:tcPr>
          <w:p w:rsidR="00693ED0" w:rsidRPr="001366B4" w:rsidRDefault="00693ED0">
            <w:pPr>
              <w:spacing w:before="60" w:after="60"/>
              <w:jc w:val="center"/>
              <w:rPr>
                <w:noProof/>
                <w:sz w:val="20"/>
              </w:rPr>
            </w:pPr>
          </w:p>
        </w:tc>
      </w:tr>
      <w:tr w:rsidR="00693ED0" w:rsidRPr="001366B4">
        <w:trPr>
          <w:cantSplit/>
        </w:trPr>
        <w:tc>
          <w:tcPr>
            <w:tcW w:w="1591" w:type="pct"/>
          </w:tcPr>
          <w:p w:rsidR="00693ED0" w:rsidRPr="001366B4" w:rsidRDefault="00693ED0">
            <w:pPr>
              <w:spacing w:before="60" w:after="60"/>
              <w:jc w:val="left"/>
              <w:rPr>
                <w:noProof/>
                <w:sz w:val="20"/>
              </w:rPr>
            </w:pPr>
            <w:r w:rsidRPr="001366B4">
              <w:rPr>
                <w:noProof/>
                <w:sz w:val="20"/>
              </w:rPr>
              <w:t xml:space="preserve">Samfinansierede bevillinger I ALT </w:t>
            </w:r>
          </w:p>
        </w:tc>
        <w:tc>
          <w:tcPr>
            <w:tcW w:w="655" w:type="pct"/>
            <w:vAlign w:val="center"/>
          </w:tcPr>
          <w:p w:rsidR="00693ED0" w:rsidRPr="001366B4" w:rsidRDefault="00693ED0">
            <w:pPr>
              <w:spacing w:before="60" w:after="60"/>
              <w:jc w:val="center"/>
              <w:rPr>
                <w:noProof/>
                <w:sz w:val="20"/>
              </w:rPr>
            </w:pPr>
          </w:p>
        </w:tc>
        <w:tc>
          <w:tcPr>
            <w:tcW w:w="655" w:type="pct"/>
            <w:vAlign w:val="center"/>
          </w:tcPr>
          <w:p w:rsidR="00693ED0" w:rsidRPr="001366B4" w:rsidRDefault="00693ED0">
            <w:pPr>
              <w:spacing w:before="60" w:after="60"/>
              <w:jc w:val="center"/>
              <w:rPr>
                <w:noProof/>
                <w:sz w:val="20"/>
              </w:rPr>
            </w:pPr>
          </w:p>
        </w:tc>
        <w:tc>
          <w:tcPr>
            <w:tcW w:w="655" w:type="pct"/>
            <w:vAlign w:val="center"/>
          </w:tcPr>
          <w:p w:rsidR="00693ED0" w:rsidRPr="001366B4" w:rsidRDefault="00693ED0">
            <w:pPr>
              <w:spacing w:before="60" w:after="60"/>
              <w:jc w:val="center"/>
              <w:rPr>
                <w:noProof/>
                <w:sz w:val="20"/>
              </w:rPr>
            </w:pPr>
          </w:p>
        </w:tc>
        <w:tc>
          <w:tcPr>
            <w:tcW w:w="655" w:type="pct"/>
            <w:vAlign w:val="center"/>
          </w:tcPr>
          <w:p w:rsidR="00693ED0" w:rsidRPr="001366B4" w:rsidRDefault="00693ED0">
            <w:pPr>
              <w:spacing w:before="60" w:after="60"/>
              <w:jc w:val="center"/>
              <w:rPr>
                <w:noProof/>
                <w:sz w:val="20"/>
              </w:rPr>
            </w:pPr>
          </w:p>
        </w:tc>
        <w:tc>
          <w:tcPr>
            <w:tcW w:w="787" w:type="pct"/>
            <w:vAlign w:val="center"/>
          </w:tcPr>
          <w:p w:rsidR="00693ED0" w:rsidRPr="001366B4" w:rsidRDefault="00693ED0">
            <w:pPr>
              <w:spacing w:before="60" w:after="60"/>
              <w:jc w:val="center"/>
              <w:rPr>
                <w:noProof/>
                <w:sz w:val="20"/>
              </w:rPr>
            </w:pPr>
          </w:p>
        </w:tc>
      </w:tr>
    </w:tbl>
    <w:p w:rsidR="00DC0910" w:rsidRDefault="00DC0910" w:rsidP="00693ED0">
      <w:pPr>
        <w:outlineLvl w:val="1"/>
        <w:rPr>
          <w:noProof/>
        </w:rPr>
      </w:pPr>
    </w:p>
    <w:p w:rsidR="00693ED0" w:rsidRPr="001366B4" w:rsidRDefault="00693ED0" w:rsidP="00693ED0">
      <w:pPr>
        <w:outlineLvl w:val="1"/>
        <w:rPr>
          <w:noProof/>
          <w:szCs w:val="24"/>
        </w:rPr>
      </w:pPr>
      <w:r w:rsidRPr="001366B4">
        <w:rPr>
          <w:noProof/>
        </w:rPr>
        <w:br/>
      </w:r>
      <w:bookmarkStart w:id="184" w:name="_Toc514938059"/>
      <w:bookmarkStart w:id="185" w:name="_Toc520485057"/>
      <w:bookmarkStart w:id="186" w:name="_Toc160804602"/>
      <w:bookmarkStart w:id="187" w:name="_Toc167220300"/>
      <w:bookmarkStart w:id="188" w:name="_Toc177549034"/>
      <w:bookmarkStart w:id="189" w:name="_Hlk166860179"/>
      <w:r w:rsidRPr="001366B4">
        <w:rPr>
          <w:noProof/>
        </w:rPr>
        <w:t>3.3.</w:t>
      </w:r>
      <w:r w:rsidRPr="001366B4">
        <w:rPr>
          <w:noProof/>
        </w:rPr>
        <w:tab/>
        <w:t>Anslåede virkninger for indtægterne</w:t>
      </w:r>
      <w:bookmarkEnd w:id="184"/>
      <w:bookmarkEnd w:id="185"/>
      <w:bookmarkEnd w:id="186"/>
      <w:bookmarkEnd w:id="187"/>
      <w:bookmarkEnd w:id="188"/>
      <w:r w:rsidRPr="001366B4">
        <w:rPr>
          <w:noProof/>
        </w:rPr>
        <w:t xml:space="preserve"> </w:t>
      </w:r>
    </w:p>
    <w:bookmarkEnd w:id="189"/>
    <w:p w:rsidR="00693ED0" w:rsidRPr="001366B4" w:rsidRDefault="00693ED0" w:rsidP="00693ED0">
      <w:pPr>
        <w:pStyle w:val="ListDash1"/>
        <w:rPr>
          <w:noProof/>
        </w:rPr>
      </w:pPr>
      <w:r w:rsidRPr="001366B4">
        <w:rPr>
          <w:rFonts w:ascii="Wingdings" w:hAnsi="Wingdings"/>
          <w:noProof/>
        </w:rPr>
        <w:t></w:t>
      </w:r>
      <w:r w:rsidRPr="001366B4">
        <w:rPr>
          <w:noProof/>
        </w:rPr>
        <w:tab/>
        <w:t>Forslaget/initiativet har ingen finansielle virkninger for indtægterne</w:t>
      </w:r>
    </w:p>
    <w:p w:rsidR="00693ED0" w:rsidRPr="001366B4" w:rsidRDefault="00693ED0" w:rsidP="00693ED0">
      <w:pPr>
        <w:pStyle w:val="ListDash1"/>
        <w:rPr>
          <w:noProof/>
        </w:rPr>
      </w:pPr>
      <w:r w:rsidRPr="001366B4">
        <w:rPr>
          <w:rFonts w:ascii="Wingdings" w:hAnsi="Wingdings"/>
          <w:noProof/>
        </w:rPr>
        <w:t></w:t>
      </w:r>
      <w:r w:rsidRPr="001366B4">
        <w:rPr>
          <w:noProof/>
        </w:rPr>
        <w:tab/>
        <w:t>Forslaget/initiativet har følgende finansielle virkninger:</w:t>
      </w:r>
    </w:p>
    <w:p w:rsidR="00693ED0" w:rsidRPr="001366B4" w:rsidRDefault="00693ED0" w:rsidP="00693ED0">
      <w:pPr>
        <w:pStyle w:val="ListNumberLevel3"/>
        <w:rPr>
          <w:noProof/>
        </w:rPr>
      </w:pPr>
      <w:r w:rsidRPr="001366B4">
        <w:rPr>
          <w:rFonts w:ascii="Wingdings" w:hAnsi="Wingdings"/>
          <w:noProof/>
        </w:rPr>
        <w:t></w:t>
      </w:r>
      <w:r w:rsidRPr="001366B4">
        <w:rPr>
          <w:noProof/>
        </w:rPr>
        <w:tab/>
        <w:t xml:space="preserve">for egne indtægter </w:t>
      </w:r>
    </w:p>
    <w:p w:rsidR="00693ED0" w:rsidRPr="001366B4" w:rsidRDefault="00693ED0" w:rsidP="00693ED0">
      <w:pPr>
        <w:pStyle w:val="ListNumberLevel3"/>
        <w:rPr>
          <w:noProof/>
        </w:rPr>
      </w:pPr>
      <w:r w:rsidRPr="001366B4">
        <w:rPr>
          <w:rFonts w:ascii="Wingdings" w:hAnsi="Wingdings"/>
          <w:noProof/>
        </w:rPr>
        <w:t></w:t>
      </w:r>
      <w:r w:rsidRPr="001366B4">
        <w:rPr>
          <w:noProof/>
        </w:rPr>
        <w:tab/>
        <w:t>for andre indtægter</w:t>
      </w:r>
    </w:p>
    <w:p w:rsidR="00693ED0" w:rsidRPr="001366B4" w:rsidRDefault="00693ED0" w:rsidP="00693ED0">
      <w:pPr>
        <w:pStyle w:val="ListNumberLevel3"/>
        <w:rPr>
          <w:noProof/>
        </w:rPr>
      </w:pPr>
      <w:r w:rsidRPr="001366B4">
        <w:rPr>
          <w:rFonts w:ascii="Wingdings" w:hAnsi="Wingdings"/>
          <w:noProof/>
        </w:rPr>
        <w:t></w:t>
      </w:r>
      <w:r w:rsidRPr="001366B4">
        <w:rPr>
          <w:noProof/>
        </w:rPr>
        <w:tab/>
        <w:t>Angiv, om indtægterne er formålsbestemte</w:t>
      </w:r>
    </w:p>
    <w:p w:rsidR="00693ED0" w:rsidRPr="001366B4" w:rsidRDefault="00601BCE" w:rsidP="00693ED0">
      <w:pPr>
        <w:jc w:val="right"/>
        <w:rPr>
          <w:noProof/>
          <w:sz w:val="20"/>
        </w:rPr>
      </w:pPr>
      <w:r w:rsidRPr="001366B4">
        <w:rPr>
          <w:noProof/>
          <w:sz w:val="20"/>
        </w:rPr>
        <w:t>i mio. EUR (tre decimaler)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693ED0" w:rsidRPr="001366B4" w:rsidTr="17618B6F">
        <w:trPr>
          <w:trHeight w:val="388"/>
        </w:trPr>
        <w:tc>
          <w:tcPr>
            <w:tcW w:w="1423" w:type="pct"/>
            <w:vMerge w:val="restart"/>
            <w:vAlign w:val="center"/>
          </w:tcPr>
          <w:p w:rsidR="00693ED0" w:rsidRPr="001366B4" w:rsidRDefault="00693ED0">
            <w:pPr>
              <w:spacing w:before="40" w:after="40"/>
              <w:rPr>
                <w:noProof/>
                <w:sz w:val="18"/>
              </w:rPr>
            </w:pPr>
            <w:r w:rsidRPr="001366B4">
              <w:rPr>
                <w:noProof/>
                <w:sz w:val="18"/>
              </w:rPr>
              <w:t>Indtægtspost på budgettet:</w:t>
            </w:r>
          </w:p>
        </w:tc>
        <w:tc>
          <w:tcPr>
            <w:tcW w:w="869" w:type="pct"/>
            <w:vMerge w:val="restart"/>
            <w:vAlign w:val="center"/>
          </w:tcPr>
          <w:p w:rsidR="00693ED0" w:rsidRPr="001366B4" w:rsidRDefault="00693ED0">
            <w:pPr>
              <w:jc w:val="center"/>
              <w:rPr>
                <w:noProof/>
                <w:sz w:val="18"/>
              </w:rPr>
            </w:pPr>
            <w:r w:rsidRPr="001366B4">
              <w:rPr>
                <w:noProof/>
                <w:sz w:val="18"/>
              </w:rPr>
              <w:t>Bevillinger til rådighed</w:t>
            </w:r>
            <w:r w:rsidR="00A87ED6" w:rsidRPr="001366B4">
              <w:rPr>
                <w:noProof/>
                <w:sz w:val="18"/>
              </w:rPr>
              <w:t xml:space="preserve"> i ind</w:t>
            </w:r>
            <w:r w:rsidRPr="001366B4">
              <w:rPr>
                <w:noProof/>
                <w:sz w:val="18"/>
              </w:rPr>
              <w:t>eværende regnskabsår</w:t>
            </w:r>
          </w:p>
        </w:tc>
        <w:tc>
          <w:tcPr>
            <w:tcW w:w="2709" w:type="pct"/>
            <w:gridSpan w:val="4"/>
            <w:vAlign w:val="center"/>
          </w:tcPr>
          <w:p w:rsidR="00693ED0" w:rsidRPr="001366B4" w:rsidRDefault="00693ED0">
            <w:pPr>
              <w:jc w:val="center"/>
              <w:rPr>
                <w:noProof/>
                <w:sz w:val="18"/>
              </w:rPr>
            </w:pPr>
            <w:r w:rsidRPr="001366B4">
              <w:rPr>
                <w:noProof/>
                <w:sz w:val="18"/>
              </w:rPr>
              <w:t>Forslagets/initiativets virkninger</w:t>
            </w:r>
            <w:r w:rsidRPr="001366B4">
              <w:rPr>
                <w:rStyle w:val="FootnoteReference"/>
                <w:noProof/>
                <w:sz w:val="18"/>
                <w:szCs w:val="18"/>
              </w:rPr>
              <w:footnoteReference w:id="27"/>
            </w:r>
          </w:p>
        </w:tc>
      </w:tr>
      <w:tr w:rsidR="00693ED0" w:rsidRPr="001366B4" w:rsidTr="17618B6F">
        <w:trPr>
          <w:trHeight w:val="388"/>
        </w:trPr>
        <w:tc>
          <w:tcPr>
            <w:tcW w:w="1423" w:type="pct"/>
            <w:vMerge/>
          </w:tcPr>
          <w:p w:rsidR="00693ED0" w:rsidRPr="001366B4" w:rsidRDefault="00693ED0">
            <w:pPr>
              <w:spacing w:before="40" w:after="40"/>
              <w:rPr>
                <w:noProof/>
                <w:sz w:val="18"/>
              </w:rPr>
            </w:pPr>
          </w:p>
        </w:tc>
        <w:tc>
          <w:tcPr>
            <w:tcW w:w="869" w:type="pct"/>
            <w:vMerge/>
          </w:tcPr>
          <w:p w:rsidR="00693ED0" w:rsidRPr="001366B4" w:rsidRDefault="00693ED0">
            <w:pPr>
              <w:spacing w:beforeLines="40" w:before="96" w:afterLines="40" w:after="96"/>
              <w:rPr>
                <w:i/>
                <w:noProof/>
                <w:sz w:val="18"/>
              </w:rPr>
            </w:pPr>
          </w:p>
        </w:tc>
        <w:tc>
          <w:tcPr>
            <w:tcW w:w="911" w:type="pct"/>
            <w:vAlign w:val="center"/>
          </w:tcPr>
          <w:p w:rsidR="00693ED0" w:rsidRPr="001366B4" w:rsidRDefault="00693ED0">
            <w:pPr>
              <w:jc w:val="center"/>
              <w:rPr>
                <w:noProof/>
                <w:sz w:val="18"/>
              </w:rPr>
            </w:pPr>
            <w:r w:rsidRPr="001366B4">
              <w:rPr>
                <w:noProof/>
                <w:sz w:val="18"/>
              </w:rPr>
              <w:t xml:space="preserve">År </w:t>
            </w:r>
            <w:r w:rsidRPr="001366B4">
              <w:rPr>
                <w:b/>
                <w:noProof/>
                <w:sz w:val="18"/>
              </w:rPr>
              <w:t>2024</w:t>
            </w:r>
          </w:p>
        </w:tc>
        <w:tc>
          <w:tcPr>
            <w:tcW w:w="562" w:type="pct"/>
            <w:vAlign w:val="center"/>
          </w:tcPr>
          <w:p w:rsidR="00693ED0" w:rsidRPr="001366B4" w:rsidRDefault="00693ED0">
            <w:pPr>
              <w:jc w:val="center"/>
              <w:rPr>
                <w:noProof/>
                <w:sz w:val="18"/>
              </w:rPr>
            </w:pPr>
            <w:r w:rsidRPr="001366B4">
              <w:rPr>
                <w:noProof/>
                <w:sz w:val="18"/>
              </w:rPr>
              <w:t xml:space="preserve">År </w:t>
            </w:r>
            <w:r w:rsidRPr="001366B4">
              <w:rPr>
                <w:b/>
                <w:noProof/>
                <w:sz w:val="18"/>
              </w:rPr>
              <w:t>2025</w:t>
            </w:r>
          </w:p>
        </w:tc>
        <w:tc>
          <w:tcPr>
            <w:tcW w:w="557" w:type="pct"/>
            <w:vAlign w:val="center"/>
          </w:tcPr>
          <w:p w:rsidR="00693ED0" w:rsidRPr="001366B4" w:rsidRDefault="00693ED0">
            <w:pPr>
              <w:jc w:val="center"/>
              <w:rPr>
                <w:noProof/>
                <w:sz w:val="18"/>
              </w:rPr>
            </w:pPr>
            <w:r w:rsidRPr="001366B4">
              <w:rPr>
                <w:noProof/>
                <w:sz w:val="18"/>
              </w:rPr>
              <w:t xml:space="preserve">År </w:t>
            </w:r>
            <w:r w:rsidRPr="001366B4">
              <w:rPr>
                <w:b/>
                <w:noProof/>
                <w:sz w:val="18"/>
              </w:rPr>
              <w:t>2026</w:t>
            </w:r>
          </w:p>
        </w:tc>
        <w:tc>
          <w:tcPr>
            <w:tcW w:w="679" w:type="pct"/>
            <w:vAlign w:val="center"/>
          </w:tcPr>
          <w:p w:rsidR="00693ED0" w:rsidRPr="001366B4" w:rsidRDefault="00693ED0">
            <w:pPr>
              <w:jc w:val="center"/>
              <w:rPr>
                <w:noProof/>
                <w:sz w:val="18"/>
              </w:rPr>
            </w:pPr>
            <w:r w:rsidRPr="001366B4">
              <w:rPr>
                <w:noProof/>
                <w:sz w:val="18"/>
              </w:rPr>
              <w:t xml:space="preserve">År </w:t>
            </w:r>
            <w:r w:rsidRPr="001366B4">
              <w:rPr>
                <w:b/>
                <w:noProof/>
                <w:sz w:val="18"/>
              </w:rPr>
              <w:t>2027</w:t>
            </w:r>
          </w:p>
        </w:tc>
      </w:tr>
      <w:tr w:rsidR="00693ED0" w:rsidRPr="001366B4" w:rsidTr="17618B6F">
        <w:trPr>
          <w:trHeight w:val="388"/>
        </w:trPr>
        <w:tc>
          <w:tcPr>
            <w:tcW w:w="1423" w:type="pct"/>
            <w:vAlign w:val="center"/>
          </w:tcPr>
          <w:p w:rsidR="00693ED0" w:rsidRPr="001366B4" w:rsidRDefault="00693ED0">
            <w:pPr>
              <w:spacing w:before="40" w:after="40"/>
              <w:rPr>
                <w:noProof/>
                <w:sz w:val="18"/>
              </w:rPr>
            </w:pPr>
            <w:r w:rsidRPr="001366B4">
              <w:rPr>
                <w:noProof/>
                <w:sz w:val="18"/>
              </w:rPr>
              <w:t>Artikel ………….</w:t>
            </w:r>
          </w:p>
        </w:tc>
        <w:tc>
          <w:tcPr>
            <w:tcW w:w="869" w:type="pct"/>
          </w:tcPr>
          <w:p w:rsidR="00693ED0" w:rsidRPr="001366B4" w:rsidRDefault="00693ED0">
            <w:pPr>
              <w:spacing w:beforeLines="40" w:before="96" w:afterLines="40" w:after="96"/>
              <w:jc w:val="center"/>
              <w:rPr>
                <w:i/>
                <w:noProof/>
                <w:sz w:val="18"/>
              </w:rPr>
            </w:pPr>
          </w:p>
        </w:tc>
        <w:tc>
          <w:tcPr>
            <w:tcW w:w="911" w:type="pct"/>
          </w:tcPr>
          <w:p w:rsidR="00693ED0" w:rsidRPr="001366B4" w:rsidRDefault="00693ED0">
            <w:pPr>
              <w:spacing w:beforeLines="40" w:before="96" w:afterLines="40" w:after="96"/>
              <w:jc w:val="center"/>
              <w:rPr>
                <w:noProof/>
                <w:sz w:val="18"/>
              </w:rPr>
            </w:pPr>
          </w:p>
        </w:tc>
        <w:tc>
          <w:tcPr>
            <w:tcW w:w="562" w:type="pct"/>
          </w:tcPr>
          <w:p w:rsidR="00693ED0" w:rsidRPr="001366B4" w:rsidRDefault="00693ED0">
            <w:pPr>
              <w:spacing w:beforeLines="40" w:before="96" w:afterLines="40" w:after="96"/>
              <w:jc w:val="center"/>
              <w:rPr>
                <w:noProof/>
                <w:sz w:val="18"/>
              </w:rPr>
            </w:pPr>
          </w:p>
        </w:tc>
        <w:tc>
          <w:tcPr>
            <w:tcW w:w="557" w:type="pct"/>
          </w:tcPr>
          <w:p w:rsidR="00693ED0" w:rsidRPr="001366B4" w:rsidRDefault="00693ED0">
            <w:pPr>
              <w:spacing w:beforeLines="40" w:before="96" w:afterLines="40" w:after="96"/>
              <w:jc w:val="center"/>
              <w:rPr>
                <w:noProof/>
                <w:sz w:val="18"/>
              </w:rPr>
            </w:pPr>
          </w:p>
        </w:tc>
        <w:tc>
          <w:tcPr>
            <w:tcW w:w="679" w:type="pct"/>
          </w:tcPr>
          <w:p w:rsidR="00693ED0" w:rsidRPr="001366B4" w:rsidRDefault="00693ED0">
            <w:pPr>
              <w:spacing w:beforeLines="40" w:before="96" w:afterLines="40" w:after="96"/>
              <w:jc w:val="center"/>
              <w:rPr>
                <w:noProof/>
                <w:sz w:val="18"/>
              </w:rPr>
            </w:pPr>
          </w:p>
        </w:tc>
      </w:tr>
    </w:tbl>
    <w:p w:rsidR="00693ED0" w:rsidRPr="001366B4" w:rsidRDefault="00693ED0" w:rsidP="00693ED0">
      <w:pPr>
        <w:pStyle w:val="Text1"/>
        <w:rPr>
          <w:noProof/>
          <w:szCs w:val="24"/>
        </w:rPr>
      </w:pPr>
      <w:r w:rsidRPr="001366B4">
        <w:rPr>
          <w:noProof/>
        </w:rPr>
        <w:t>For formålsbestemte indtægter angives det, hvilke af budgettets udgiftsposter der berøres.</w:t>
      </w:r>
    </w:p>
    <w:p w:rsidR="00693ED0" w:rsidRPr="001366B4" w:rsidRDefault="007D2643"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Ikke relevant</w:t>
      </w:r>
    </w:p>
    <w:p w:rsidR="00693ED0" w:rsidRPr="001366B4" w:rsidRDefault="00693ED0" w:rsidP="00693ED0">
      <w:pPr>
        <w:pStyle w:val="Text1"/>
        <w:rPr>
          <w:noProof/>
          <w:szCs w:val="24"/>
        </w:rPr>
      </w:pPr>
      <w:r w:rsidRPr="001366B4">
        <w:rPr>
          <w:noProof/>
        </w:rPr>
        <w:t>Andre bemærkninger (f.eks. om, hvilken metode der er benyttet til at beregne virkningerne for indtægterne).</w:t>
      </w:r>
    </w:p>
    <w:p w:rsidR="00693ED0" w:rsidRPr="001366B4" w:rsidRDefault="007D2643" w:rsidP="00693ED0">
      <w:pPr>
        <w:pStyle w:val="Text1"/>
        <w:pBdr>
          <w:top w:val="single" w:sz="4" w:space="1" w:color="auto"/>
          <w:left w:val="single" w:sz="4" w:space="4" w:color="auto"/>
          <w:bottom w:val="single" w:sz="4" w:space="1" w:color="auto"/>
          <w:right w:val="single" w:sz="4" w:space="4" w:color="auto"/>
        </w:pBdr>
        <w:rPr>
          <w:noProof/>
        </w:rPr>
      </w:pPr>
      <w:r w:rsidRPr="001366B4">
        <w:rPr>
          <w:noProof/>
        </w:rPr>
        <w:t>Ikke relevant</w:t>
      </w:r>
    </w:p>
    <w:p w:rsidR="00693ED0" w:rsidRPr="001366B4" w:rsidRDefault="00693ED0" w:rsidP="00693ED0">
      <w:pPr>
        <w:pStyle w:val="ManualHeading1"/>
        <w:rPr>
          <w:caps/>
          <w:noProof/>
        </w:rPr>
      </w:pPr>
      <w:bookmarkStart w:id="190" w:name="_Toc167220301"/>
      <w:bookmarkStart w:id="191" w:name="_Toc177549035"/>
      <w:r w:rsidRPr="001366B4">
        <w:rPr>
          <w:noProof/>
        </w:rPr>
        <w:t>4.</w:t>
      </w:r>
      <w:r w:rsidRPr="001366B4">
        <w:rPr>
          <w:noProof/>
        </w:rPr>
        <w:tab/>
      </w:r>
      <w:bookmarkStart w:id="192" w:name="_Hlk167692977"/>
      <w:r w:rsidRPr="001366B4">
        <w:rPr>
          <w:caps/>
          <w:noProof/>
        </w:rPr>
        <w:t>Digitale dimensioner</w:t>
      </w:r>
      <w:bookmarkEnd w:id="190"/>
      <w:bookmarkEnd w:id="191"/>
    </w:p>
    <w:p w:rsidR="00693ED0" w:rsidRPr="001366B4" w:rsidRDefault="00693ED0" w:rsidP="00693ED0">
      <w:pPr>
        <w:pStyle w:val="Text1"/>
        <w:ind w:left="0"/>
        <w:rPr>
          <w:noProof/>
        </w:rPr>
      </w:pPr>
      <w:bookmarkStart w:id="193" w:name="_Toc177549036"/>
      <w:r w:rsidRPr="001366B4">
        <w:rPr>
          <w:noProof/>
        </w:rPr>
        <w:t>Ikke relevant Forslaget er en målrettet ændring af forordningen om asylproceduren, som er en del af pagten. Alle de digitale elementer indgår</w:t>
      </w:r>
      <w:r w:rsidR="00A87ED6" w:rsidRPr="001366B4">
        <w:rPr>
          <w:noProof/>
        </w:rPr>
        <w:t xml:space="preserve"> i pag</w:t>
      </w:r>
      <w:r w:rsidRPr="001366B4">
        <w:rPr>
          <w:noProof/>
        </w:rPr>
        <w:t xml:space="preserve">ten og ikke her. </w:t>
      </w:r>
    </w:p>
    <w:p w:rsidR="00693ED0" w:rsidRPr="001366B4" w:rsidRDefault="00693ED0" w:rsidP="00693ED0">
      <w:pPr>
        <w:pStyle w:val="ManualHeading2"/>
        <w:rPr>
          <w:noProof/>
        </w:rPr>
      </w:pPr>
      <w:bookmarkStart w:id="194" w:name="_Toc167220302"/>
      <w:bookmarkStart w:id="195" w:name="_Toc177549037"/>
      <w:bookmarkEnd w:id="193"/>
      <w:r w:rsidRPr="001366B4">
        <w:rPr>
          <w:noProof/>
        </w:rPr>
        <w:t>4.1.</w:t>
      </w:r>
      <w:r w:rsidRPr="001366B4">
        <w:rPr>
          <w:noProof/>
        </w:rPr>
        <w:tab/>
        <w:t>Krav vedrørende digital relevans</w:t>
      </w:r>
      <w:bookmarkEnd w:id="194"/>
      <w:bookmarkEnd w:id="195"/>
    </w:p>
    <w:tbl>
      <w:tblPr>
        <w:tblStyle w:val="TableGrid"/>
        <w:tblW w:w="9072" w:type="dxa"/>
        <w:tblInd w:w="-5" w:type="dxa"/>
        <w:tblLayout w:type="fixed"/>
        <w:tblLook w:val="06A0" w:firstRow="1" w:lastRow="0" w:firstColumn="1" w:lastColumn="0" w:noHBand="1" w:noVBand="1"/>
      </w:tblPr>
      <w:tblGrid>
        <w:gridCol w:w="9072"/>
      </w:tblGrid>
      <w:tr w:rsidR="00A20390" w:rsidRPr="001366B4" w:rsidTr="005A7E2C">
        <w:trPr>
          <w:trHeight w:val="300"/>
        </w:trPr>
        <w:tc>
          <w:tcPr>
            <w:tcW w:w="9072" w:type="dxa"/>
          </w:tcPr>
          <w:p w:rsidR="00693ED0" w:rsidRPr="001366B4" w:rsidRDefault="00693ED0">
            <w:pPr>
              <w:pStyle w:val="ListParagraph"/>
              <w:ind w:left="0"/>
              <w:rPr>
                <w:noProof/>
              </w:rPr>
            </w:pPr>
            <w:r w:rsidRPr="001366B4">
              <w:rPr>
                <w:noProof/>
              </w:rPr>
              <w:t>Ikke relevant</w:t>
            </w:r>
          </w:p>
        </w:tc>
      </w:tr>
    </w:tbl>
    <w:p w:rsidR="00693ED0" w:rsidRPr="001366B4" w:rsidRDefault="00693ED0" w:rsidP="00693ED0">
      <w:pPr>
        <w:pStyle w:val="ManualHeading2"/>
        <w:rPr>
          <w:noProof/>
        </w:rPr>
      </w:pPr>
      <w:bookmarkStart w:id="196" w:name="_Toc167220303"/>
      <w:bookmarkStart w:id="197" w:name="_Toc177549038"/>
      <w:r w:rsidRPr="001366B4">
        <w:rPr>
          <w:noProof/>
        </w:rPr>
        <w:t>4.2.</w:t>
      </w:r>
      <w:r w:rsidRPr="001366B4">
        <w:rPr>
          <w:noProof/>
        </w:rPr>
        <w:tab/>
        <w:t>Data</w:t>
      </w:r>
      <w:bookmarkEnd w:id="196"/>
      <w:bookmarkEnd w:id="197"/>
    </w:p>
    <w:tbl>
      <w:tblPr>
        <w:tblStyle w:val="TableGrid"/>
        <w:tblW w:w="0" w:type="auto"/>
        <w:tblLook w:val="04A0" w:firstRow="1" w:lastRow="0" w:firstColumn="1" w:lastColumn="0" w:noHBand="0" w:noVBand="1"/>
      </w:tblPr>
      <w:tblGrid>
        <w:gridCol w:w="9063"/>
      </w:tblGrid>
      <w:tr w:rsidR="00A20390" w:rsidRPr="001366B4">
        <w:tc>
          <w:tcPr>
            <w:tcW w:w="9063" w:type="dxa"/>
          </w:tcPr>
          <w:p w:rsidR="00693ED0" w:rsidRPr="001366B4" w:rsidRDefault="00693ED0">
            <w:pPr>
              <w:rPr>
                <w:noProof/>
              </w:rPr>
            </w:pPr>
            <w:r w:rsidRPr="001366B4">
              <w:rPr>
                <w:noProof/>
              </w:rPr>
              <w:t>Ikke relevant</w:t>
            </w:r>
          </w:p>
        </w:tc>
      </w:tr>
    </w:tbl>
    <w:p w:rsidR="00693ED0" w:rsidRPr="001366B4" w:rsidRDefault="00693ED0" w:rsidP="00693ED0">
      <w:pPr>
        <w:pStyle w:val="ManualHeading2"/>
        <w:rPr>
          <w:noProof/>
        </w:rPr>
      </w:pPr>
      <w:bookmarkStart w:id="198" w:name="_Toc167220305"/>
      <w:bookmarkStart w:id="199" w:name="_Toc177549039"/>
      <w:r w:rsidRPr="001366B4">
        <w:rPr>
          <w:noProof/>
        </w:rPr>
        <w:t>4.3.</w:t>
      </w:r>
      <w:r w:rsidRPr="001366B4">
        <w:rPr>
          <w:noProof/>
        </w:rPr>
        <w:tab/>
        <w:t>Digitale løsninger</w:t>
      </w:r>
      <w:bookmarkEnd w:id="198"/>
      <w:bookmarkEnd w:id="199"/>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A20390" w:rsidRPr="001366B4">
        <w:tc>
          <w:tcPr>
            <w:tcW w:w="9067" w:type="dxa"/>
          </w:tcPr>
          <w:p w:rsidR="00693ED0" w:rsidRPr="001366B4" w:rsidRDefault="00693ED0">
            <w:pPr>
              <w:rPr>
                <w:noProof/>
              </w:rPr>
            </w:pPr>
            <w:r w:rsidRPr="001366B4">
              <w:rPr>
                <w:noProof/>
              </w:rPr>
              <w:t>Ikke relevant</w:t>
            </w:r>
          </w:p>
        </w:tc>
      </w:tr>
    </w:tbl>
    <w:p w:rsidR="00693ED0" w:rsidRPr="001366B4" w:rsidRDefault="00693ED0" w:rsidP="00693ED0">
      <w:pPr>
        <w:pStyle w:val="ManualHeading2"/>
        <w:rPr>
          <w:rStyle w:val="Emphasis"/>
          <w:b w:val="0"/>
          <w:bCs/>
          <w:i w:val="0"/>
          <w:iCs w:val="0"/>
          <w:noProof/>
        </w:rPr>
      </w:pPr>
      <w:bookmarkStart w:id="200" w:name="_Toc167220304"/>
      <w:bookmarkStart w:id="201" w:name="_Toc177549040"/>
      <w:r w:rsidRPr="001366B4">
        <w:rPr>
          <w:rStyle w:val="Emphasis"/>
          <w:noProof/>
        </w:rPr>
        <w:t>4.4.</w:t>
      </w:r>
      <w:r w:rsidRPr="001366B4">
        <w:rPr>
          <w:noProof/>
        </w:rPr>
        <w:tab/>
      </w:r>
      <w:r w:rsidRPr="001366B4">
        <w:rPr>
          <w:rStyle w:val="Emphasis"/>
          <w:noProof/>
        </w:rPr>
        <w:t>Vurdering af interoperabilitet</w:t>
      </w:r>
      <w:bookmarkEnd w:id="200"/>
      <w:bookmarkEnd w:id="201"/>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A20390" w:rsidRPr="001366B4">
        <w:trPr>
          <w:trHeight w:val="300"/>
        </w:trPr>
        <w:tc>
          <w:tcPr>
            <w:tcW w:w="9067" w:type="dxa"/>
          </w:tcPr>
          <w:p w:rsidR="00693ED0" w:rsidRPr="001366B4" w:rsidRDefault="00693ED0">
            <w:pPr>
              <w:rPr>
                <w:i/>
                <w:iCs/>
                <w:noProof/>
              </w:rPr>
            </w:pPr>
            <w:r w:rsidRPr="001366B4">
              <w:rPr>
                <w:noProof/>
              </w:rPr>
              <w:t>Ikke relevant</w:t>
            </w:r>
          </w:p>
        </w:tc>
      </w:tr>
    </w:tbl>
    <w:p w:rsidR="00693ED0" w:rsidRPr="001366B4" w:rsidRDefault="00693ED0" w:rsidP="00693ED0">
      <w:pPr>
        <w:pStyle w:val="ManualHeading2"/>
        <w:rPr>
          <w:noProof/>
        </w:rPr>
      </w:pPr>
      <w:bookmarkStart w:id="202" w:name="_Toc167220306"/>
      <w:bookmarkStart w:id="203" w:name="_Toc177549041"/>
      <w:r w:rsidRPr="001366B4">
        <w:rPr>
          <w:noProof/>
        </w:rPr>
        <w:t>4.5.</w:t>
      </w:r>
      <w:r w:rsidRPr="001366B4">
        <w:rPr>
          <w:noProof/>
        </w:rPr>
        <w:tab/>
        <w:t>Foranstaltninger til støtte for digital gennemførelse</w:t>
      </w:r>
      <w:bookmarkEnd w:id="202"/>
      <w:bookmarkEnd w:id="203"/>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A20390" w:rsidRPr="001366B4">
        <w:tc>
          <w:tcPr>
            <w:tcW w:w="9067" w:type="dxa"/>
          </w:tcPr>
          <w:p w:rsidR="00693ED0" w:rsidRPr="001366B4" w:rsidRDefault="00693ED0">
            <w:pPr>
              <w:rPr>
                <w:noProof/>
              </w:rPr>
            </w:pPr>
            <w:r w:rsidRPr="001366B4">
              <w:rPr>
                <w:noProof/>
              </w:rPr>
              <w:t>Ikke relevant</w:t>
            </w:r>
          </w:p>
        </w:tc>
      </w:tr>
      <w:bookmarkEnd w:id="192"/>
    </w:tbl>
    <w:p w:rsidR="00630251" w:rsidRPr="001366B4" w:rsidRDefault="00630251" w:rsidP="00693ED0">
      <w:pPr>
        <w:rPr>
          <w:noProof/>
        </w:rPr>
      </w:pPr>
    </w:p>
    <w:sectPr w:rsidR="00630251" w:rsidRPr="001366B4" w:rsidSect="0029466A">
      <w:headerReference w:type="default" r:id="rId21"/>
      <w:footerReference w:type="defaul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F4" w:rsidRDefault="00061CF4" w:rsidP="00201A77">
      <w:pPr>
        <w:spacing w:before="0" w:after="0"/>
      </w:pPr>
      <w:r>
        <w:separator/>
      </w:r>
    </w:p>
  </w:endnote>
  <w:endnote w:type="continuationSeparator" w:id="0">
    <w:p w:rsidR="00061CF4" w:rsidRDefault="00061CF4" w:rsidP="00201A77">
      <w:pPr>
        <w:spacing w:before="0" w:after="0"/>
      </w:pPr>
      <w:r>
        <w:continuationSeparator/>
      </w:r>
    </w:p>
  </w:endnote>
  <w:endnote w:type="continuationNotice" w:id="1">
    <w:p w:rsidR="00061CF4" w:rsidRDefault="00061CF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EUAlbertina">
    <w:altName w:val="Cambria"/>
    <w:charset w:val="00"/>
    <w:family w:val="auto"/>
    <w:pitch w:val="variable"/>
    <w:sig w:usb0="800002EF" w:usb1="1000E0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A" w:rsidRPr="0029466A" w:rsidRDefault="0029466A" w:rsidP="0029466A">
    <w:pPr>
      <w:pStyle w:val="Footer"/>
      <w:rPr>
        <w:rFonts w:ascii="Arial" w:hAnsi="Arial" w:cs="Arial"/>
        <w:b/>
        <w:sz w:val="48"/>
      </w:rPr>
    </w:pPr>
    <w:r w:rsidRPr="0029466A">
      <w:rPr>
        <w:rFonts w:ascii="Arial" w:hAnsi="Arial" w:cs="Arial"/>
        <w:b/>
        <w:sz w:val="48"/>
      </w:rPr>
      <w:t>DA</w:t>
    </w:r>
    <w:r w:rsidRPr="0029466A">
      <w:rPr>
        <w:rFonts w:ascii="Arial" w:hAnsi="Arial" w:cs="Arial"/>
        <w:b/>
        <w:sz w:val="48"/>
      </w:rPr>
      <w:tab/>
    </w:r>
    <w:r w:rsidRPr="0029466A">
      <w:rPr>
        <w:rFonts w:ascii="Arial" w:hAnsi="Arial" w:cs="Arial"/>
        <w:b/>
        <w:sz w:val="48"/>
      </w:rPr>
      <w:tab/>
    </w:r>
    <w:r w:rsidRPr="0029466A">
      <w:tab/>
    </w:r>
    <w:r w:rsidRPr="0029466A">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A" w:rsidRPr="0029466A" w:rsidRDefault="0029466A" w:rsidP="0029466A">
    <w:pPr>
      <w:pStyle w:val="Footer"/>
      <w:rPr>
        <w:rFonts w:ascii="Arial" w:hAnsi="Arial" w:cs="Arial"/>
        <w:b/>
        <w:sz w:val="48"/>
      </w:rPr>
    </w:pPr>
    <w:r w:rsidRPr="0029466A">
      <w:rPr>
        <w:rFonts w:ascii="Arial" w:hAnsi="Arial" w:cs="Arial"/>
        <w:b/>
        <w:sz w:val="48"/>
      </w:rPr>
      <w:t>DA</w:t>
    </w:r>
    <w:r w:rsidRPr="0029466A">
      <w:rPr>
        <w:rFonts w:ascii="Arial" w:hAnsi="Arial" w:cs="Arial"/>
        <w:b/>
        <w:sz w:val="48"/>
      </w:rPr>
      <w:tab/>
    </w:r>
    <w:r w:rsidRPr="0029466A">
      <w:rPr>
        <w:rFonts w:ascii="Arial" w:hAnsi="Arial" w:cs="Arial"/>
        <w:b/>
        <w:sz w:val="48"/>
      </w:rPr>
      <w:tab/>
    </w:r>
    <w:r w:rsidRPr="0029466A">
      <w:tab/>
    </w:r>
    <w:r w:rsidRPr="0029466A">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A" w:rsidRDefault="002946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A" w:rsidRPr="0029466A" w:rsidRDefault="0029466A" w:rsidP="0029466A">
    <w:pPr>
      <w:pStyle w:val="Footer"/>
      <w:rPr>
        <w:rFonts w:ascii="Arial" w:hAnsi="Arial" w:cs="Arial"/>
        <w:b/>
        <w:sz w:val="48"/>
      </w:rPr>
    </w:pPr>
    <w:r w:rsidRPr="0029466A">
      <w:rPr>
        <w:rFonts w:ascii="Arial" w:hAnsi="Arial" w:cs="Arial"/>
        <w:b/>
        <w:sz w:val="48"/>
      </w:rPr>
      <w:t>DA</w:t>
    </w:r>
    <w:r w:rsidRPr="0029466A">
      <w:rPr>
        <w:rFonts w:ascii="Arial" w:hAnsi="Arial" w:cs="Arial"/>
        <w:b/>
        <w:sz w:val="48"/>
      </w:rPr>
      <w:tab/>
    </w:r>
    <w:r>
      <w:fldChar w:fldCharType="begin"/>
    </w:r>
    <w:r>
      <w:instrText xml:space="preserve"> PAGE  \* MERGEFORMAT </w:instrText>
    </w:r>
    <w:r>
      <w:fldChar w:fldCharType="separate"/>
    </w:r>
    <w:r w:rsidR="00327B02">
      <w:rPr>
        <w:noProof/>
      </w:rPr>
      <w:t>18</w:t>
    </w:r>
    <w:r>
      <w:fldChar w:fldCharType="end"/>
    </w:r>
    <w:r>
      <w:tab/>
    </w:r>
    <w:r w:rsidRPr="0029466A">
      <w:tab/>
    </w:r>
    <w:r w:rsidRPr="0029466A">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A" w:rsidRDefault="0029466A" w:rsidP="002946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A" w:rsidRPr="0029466A" w:rsidRDefault="0029466A" w:rsidP="0029466A">
    <w:pPr>
      <w:pStyle w:val="FooterLandscape"/>
      <w:rPr>
        <w:rFonts w:ascii="Arial" w:hAnsi="Arial" w:cs="Arial"/>
        <w:b/>
        <w:sz w:val="48"/>
      </w:rPr>
    </w:pPr>
    <w:r w:rsidRPr="0029466A">
      <w:rPr>
        <w:rFonts w:ascii="Arial" w:hAnsi="Arial" w:cs="Arial"/>
        <w:b/>
        <w:sz w:val="48"/>
      </w:rPr>
      <w:t>DA</w:t>
    </w:r>
    <w:r w:rsidRPr="0029466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9466A">
      <w:tab/>
    </w:r>
    <w:r w:rsidRPr="0029466A">
      <w:rPr>
        <w:rFonts w:ascii="Arial" w:hAnsi="Arial" w:cs="Arial"/>
        <w:b/>
        <w:sz w:val="48"/>
      </w:rPr>
      <w:t>DA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A" w:rsidRPr="0029466A" w:rsidRDefault="0029466A" w:rsidP="0029466A">
    <w:pPr>
      <w:pStyle w:val="Footer"/>
      <w:rPr>
        <w:rFonts w:ascii="Arial" w:hAnsi="Arial" w:cs="Arial"/>
        <w:b/>
        <w:sz w:val="48"/>
      </w:rPr>
    </w:pPr>
    <w:r w:rsidRPr="0029466A">
      <w:rPr>
        <w:rFonts w:ascii="Arial" w:hAnsi="Arial" w:cs="Arial"/>
        <w:b/>
        <w:sz w:val="48"/>
      </w:rPr>
      <w:t>DA</w:t>
    </w:r>
    <w:r w:rsidRPr="0029466A">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29466A">
      <w:tab/>
    </w:r>
    <w:r w:rsidRPr="0029466A">
      <w:rPr>
        <w:rFonts w:ascii="Arial" w:hAnsi="Arial" w:cs="Arial"/>
        <w:b/>
        <w:sz w:val="48"/>
      </w:rPr>
      <w:t>DA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F4" w:rsidRDefault="00061CF4" w:rsidP="00201A77">
      <w:pPr>
        <w:spacing w:before="0" w:after="0"/>
      </w:pPr>
      <w:r>
        <w:separator/>
      </w:r>
    </w:p>
  </w:footnote>
  <w:footnote w:type="continuationSeparator" w:id="0">
    <w:p w:rsidR="00061CF4" w:rsidRDefault="00061CF4" w:rsidP="00201A77">
      <w:pPr>
        <w:spacing w:before="0" w:after="0"/>
      </w:pPr>
      <w:r>
        <w:continuationSeparator/>
      </w:r>
    </w:p>
  </w:footnote>
  <w:footnote w:type="continuationNotice" w:id="1">
    <w:p w:rsidR="00061CF4" w:rsidRDefault="00061CF4">
      <w:pPr>
        <w:spacing w:before="0" w:after="0"/>
      </w:pPr>
    </w:p>
  </w:footnote>
  <w:footnote w:id="2">
    <w:p w:rsidR="00693ED0" w:rsidRPr="00D1100E" w:rsidRDefault="00693ED0" w:rsidP="00693ED0">
      <w:pPr>
        <w:pStyle w:val="FootnoteText"/>
      </w:pPr>
      <w:r>
        <w:rPr>
          <w:rStyle w:val="FootnoteReference"/>
        </w:rPr>
        <w:footnoteRef/>
      </w:r>
      <w:r>
        <w:tab/>
        <w:t xml:space="preserve">Europa-Parlamentets og Rådets direktiv 2013/32/EU </w:t>
      </w:r>
      <w:r w:rsidRPr="00A87ED6">
        <w:rPr>
          <w:lang w:val="pl-PL"/>
        </w:rPr>
        <w:t>af</w:t>
      </w:r>
      <w:r w:rsidR="00A87ED6" w:rsidRPr="00A87ED6">
        <w:rPr>
          <w:lang w:val="pl-PL"/>
        </w:rPr>
        <w:t> </w:t>
      </w:r>
      <w:r w:rsidRPr="00A87ED6">
        <w:rPr>
          <w:lang w:val="pl-PL"/>
        </w:rPr>
        <w:t>2</w:t>
      </w:r>
      <w:r>
        <w:t xml:space="preserve">6. juni 2013 om fælles procedurer for tildeling og fratagelse af international beskyttelse (omarbejdet) (EUT L 180 </w:t>
      </w:r>
      <w:r w:rsidRPr="00A87ED6">
        <w:rPr>
          <w:lang w:val="pl-PL"/>
        </w:rPr>
        <w:t>af</w:t>
      </w:r>
      <w:r w:rsidR="00A87ED6" w:rsidRPr="00A87ED6">
        <w:rPr>
          <w:lang w:val="pl-PL"/>
        </w:rPr>
        <w:t> </w:t>
      </w:r>
      <w:r w:rsidRPr="00A87ED6">
        <w:rPr>
          <w:lang w:val="pl-PL"/>
        </w:rPr>
        <w:t>2</w:t>
      </w:r>
      <w:r>
        <w:t>9.6.2013, s. 60).</w:t>
      </w:r>
    </w:p>
  </w:footnote>
  <w:footnote w:id="3">
    <w:p w:rsidR="00023C72" w:rsidRPr="00D1100E" w:rsidRDefault="00023C72" w:rsidP="00FB2320">
      <w:pPr>
        <w:pStyle w:val="FootnoteText"/>
      </w:pPr>
      <w:r>
        <w:rPr>
          <w:rStyle w:val="FootnoteReference"/>
        </w:rPr>
        <w:footnoteRef/>
      </w:r>
      <w:r>
        <w:tab/>
        <w:t xml:space="preserve">Europa-Parlamentets og Rådets forordning (EU) 2024/1348 </w:t>
      </w:r>
      <w:r w:rsidRPr="00A87ED6">
        <w:rPr>
          <w:lang w:val="pl-PL"/>
        </w:rPr>
        <w:t>af</w:t>
      </w:r>
      <w:r w:rsidR="00A87ED6" w:rsidRPr="00A87ED6">
        <w:rPr>
          <w:lang w:val="pl-PL"/>
        </w:rPr>
        <w:t> </w:t>
      </w:r>
      <w:r w:rsidRPr="00A87ED6">
        <w:rPr>
          <w:lang w:val="pl-PL"/>
        </w:rPr>
        <w:t>1</w:t>
      </w:r>
      <w:r>
        <w:t>4. </w:t>
      </w:r>
      <w:r w:rsidRPr="00A87ED6">
        <w:rPr>
          <w:lang w:val="pl-PL"/>
        </w:rPr>
        <w:t>maj</w:t>
      </w:r>
      <w:r w:rsidR="00A87ED6" w:rsidRPr="00A87ED6">
        <w:rPr>
          <w:lang w:val="pl-PL"/>
        </w:rPr>
        <w:t> </w:t>
      </w:r>
      <w:r w:rsidRPr="00A87ED6">
        <w:rPr>
          <w:lang w:val="pl-PL"/>
        </w:rPr>
        <w:t>2</w:t>
      </w:r>
      <w:r>
        <w:t>024 om en fælles procedure for international beskyttelse</w:t>
      </w:r>
      <w:r w:rsidR="00A87ED6">
        <w:t xml:space="preserve"> i Uni</w:t>
      </w:r>
      <w:r>
        <w:t>onen og om ophævelse af direktiv 2013/32/EU (EUT L, 2024/1348, 22.5.2024).</w:t>
      </w:r>
    </w:p>
  </w:footnote>
  <w:footnote w:id="4">
    <w:p w:rsidR="00693ED0" w:rsidRPr="002A2C8A" w:rsidRDefault="00693ED0" w:rsidP="00693ED0">
      <w:pPr>
        <w:pStyle w:val="FootnoteText"/>
      </w:pPr>
      <w:r>
        <w:rPr>
          <w:rStyle w:val="FootnoteReference"/>
        </w:rPr>
        <w:footnoteRef/>
      </w:r>
      <w:r>
        <w:tab/>
        <w:t xml:space="preserve">I artikel 57, </w:t>
      </w:r>
      <w:r w:rsidRPr="00A87ED6">
        <w:rPr>
          <w:lang w:val="pl-PL"/>
        </w:rPr>
        <w:t>stk.</w:t>
      </w:r>
      <w:r w:rsidR="00A87ED6" w:rsidRPr="00A87ED6">
        <w:rPr>
          <w:lang w:val="pl-PL"/>
        </w:rPr>
        <w:t> </w:t>
      </w:r>
      <w:r w:rsidRPr="00A87ED6">
        <w:rPr>
          <w:lang w:val="pl-PL"/>
        </w:rPr>
        <w:t>2</w:t>
      </w:r>
      <w:r>
        <w:t>,</w:t>
      </w:r>
      <w:r w:rsidR="00A87ED6">
        <w:t xml:space="preserve"> i for</w:t>
      </w:r>
      <w:r>
        <w:t>ordningen om asylproceduren defineres "effektiv beskyttelse" som omfattende: retten til at forblive på området, indtil ansøgningen om beskyttelse er blevet behandlet, en passende levestandard</w:t>
      </w:r>
      <w:r w:rsidR="00A87ED6">
        <w:t xml:space="preserve"> i for</w:t>
      </w:r>
      <w:r>
        <w:t>hold til den generelle situation</w:t>
      </w:r>
      <w:r w:rsidR="00A87ED6">
        <w:t xml:space="preserve"> i lan</w:t>
      </w:r>
      <w:r>
        <w:t xml:space="preserve">det, adgang til lægebehandling og uddannelse på de samme betingelser som for landets egne statsborgere og effektiv beskyttelse, indtil der kan findes en varig løsning. </w:t>
      </w:r>
    </w:p>
  </w:footnote>
  <w:footnote w:id="5">
    <w:p w:rsidR="00BC5F81" w:rsidRPr="00E86087" w:rsidRDefault="00BC5F81" w:rsidP="00BC5F81">
      <w:pPr>
        <w:pStyle w:val="FootnoteText"/>
      </w:pPr>
      <w:r>
        <w:rPr>
          <w:rStyle w:val="FootnoteReference"/>
        </w:rPr>
        <w:footnoteRef/>
      </w:r>
      <w:r>
        <w:tab/>
        <w:t xml:space="preserve">Forslag til Europa-Parlamentets og Rådets forordning om ændring af forordning (EU) 2024/1348 for så vidt angår udarbejdelsen af en liste over sikre oprindelseslande på EU-plan (COM(2025) 186 final </w:t>
      </w:r>
      <w:r w:rsidRPr="00A87ED6">
        <w:rPr>
          <w:lang w:val="pl-PL"/>
        </w:rPr>
        <w:t>af</w:t>
      </w:r>
      <w:r w:rsidR="00A87ED6" w:rsidRPr="00A87ED6">
        <w:rPr>
          <w:lang w:val="pl-PL"/>
        </w:rPr>
        <w:t> </w:t>
      </w:r>
      <w:r w:rsidRPr="00A87ED6">
        <w:rPr>
          <w:lang w:val="pl-PL"/>
        </w:rPr>
        <w:t>1</w:t>
      </w:r>
      <w:r>
        <w:t xml:space="preserve">6.4.2025). </w:t>
      </w:r>
    </w:p>
  </w:footnote>
  <w:footnote w:id="6">
    <w:p w:rsidR="005C3255" w:rsidRPr="00FD5361" w:rsidRDefault="005C3255" w:rsidP="005C3255">
      <w:pPr>
        <w:pStyle w:val="FootnoteText"/>
      </w:pPr>
      <w:r>
        <w:rPr>
          <w:rStyle w:val="FootnoteReference"/>
        </w:rPr>
        <w:footnoteRef/>
      </w:r>
      <w:r>
        <w:tab/>
        <w:t>SWD(2025) 600 fra GD HOME vedrørende forslaget om sikre tredjelande.</w:t>
      </w:r>
    </w:p>
  </w:footnote>
  <w:footnote w:id="7">
    <w:p w:rsidR="005C3255" w:rsidRPr="00FD5361" w:rsidRDefault="005C3255" w:rsidP="005C3255">
      <w:pPr>
        <w:pStyle w:val="FootnoteText"/>
      </w:pPr>
      <w:r>
        <w:rPr>
          <w:rStyle w:val="FootnoteReference"/>
        </w:rPr>
        <w:footnoteRef/>
      </w:r>
      <w:r>
        <w:tab/>
        <w:t>I henhold til betragtning 46</w:t>
      </w:r>
      <w:r w:rsidR="00A87ED6">
        <w:t xml:space="preserve"> i for</w:t>
      </w:r>
      <w:r>
        <w:t>ordningen om asylproceduren indebærer effektiv beskyttelse "adgang til tilstrækkelige subsistensmidler til at opretholde en passende levestandard</w:t>
      </w:r>
      <w:r w:rsidR="00A87ED6">
        <w:t xml:space="preserve"> i for</w:t>
      </w:r>
      <w:r>
        <w:t>hold til den generelle situation</w:t>
      </w:r>
      <w:r w:rsidR="00A87ED6">
        <w:t xml:space="preserve"> i vær</w:t>
      </w:r>
      <w:r>
        <w:t>tstredjelandet, adgang til lægebehandling og absolut nødvendig behandling af sygdomme og adgang til uddannelse på de betingelser, der generelt gør sig gældende</w:t>
      </w:r>
      <w:r w:rsidR="00A87ED6">
        <w:t xml:space="preserve"> i det</w:t>
      </w:r>
      <w:r>
        <w:t xml:space="preserve"> pågældende tredjeland". Endvidere bør "adgang til tilstrækkelige subsistensmidler til at opretholde en passende levestandard" ifølge betragtning 51 "forstås således, at det omfatter adgang til mad, tøj, bolig og husly og retten til at udøve lønnet beskæftigelse, f.eks. gennem adgang til arbejdsmarkedet, på betingelser, der ikke er mindre gunstige end dem, der under samme forhold gælder for tredjelandets ikkestatsborgere</w:t>
      </w:r>
      <w:r w:rsidR="00A87ED6">
        <w:t xml:space="preserve"> i alm</w:t>
      </w:r>
      <w:r>
        <w:t xml:space="preserve">indelighed". Disse krav svarer stort set til, hvad Genèvekonventionen </w:t>
      </w:r>
      <w:r w:rsidRPr="00A87ED6">
        <w:rPr>
          <w:lang w:val="pl-PL"/>
        </w:rPr>
        <w:t>fra</w:t>
      </w:r>
      <w:r w:rsidR="00A87ED6" w:rsidRPr="00A87ED6">
        <w:rPr>
          <w:lang w:val="pl-PL"/>
        </w:rPr>
        <w:t> </w:t>
      </w:r>
      <w:r w:rsidRPr="00A87ED6">
        <w:rPr>
          <w:lang w:val="pl-PL"/>
        </w:rPr>
        <w:t>1</w:t>
      </w:r>
      <w:r>
        <w:t>951 kræver for flygtninge, der opholder sig lovligt på området: Retten til lønnet beskæftigelse (artikel 17</w:t>
      </w:r>
      <w:r w:rsidR="00A87ED6">
        <w:t xml:space="preserve"> i Gen</w:t>
      </w:r>
      <w:r>
        <w:t>èvekonventionen), til en bolig (artikel 21) og til selvstændig virksomhed (artikel 18) bør gives på lige så gunstige vilkår som for tredjelandsstatsborgere med lovligt ophold</w:t>
      </w:r>
      <w:r w:rsidR="00A87ED6">
        <w:t xml:space="preserve"> i lan</w:t>
      </w:r>
      <w:r>
        <w:t>det. Retten til adgang til uddannelse (artikel 22) og til social sikring og sociale ydelser (artikel 24) bør gives på samme vilkår som for landets egne statsborgere.</w:t>
      </w:r>
    </w:p>
  </w:footnote>
  <w:footnote w:id="8">
    <w:p w:rsidR="005C3255" w:rsidRPr="00FD5361" w:rsidRDefault="005C3255" w:rsidP="005C3255">
      <w:pPr>
        <w:pStyle w:val="FootnoteText"/>
      </w:pPr>
      <w:r>
        <w:rPr>
          <w:rStyle w:val="FootnoteReference"/>
        </w:rPr>
        <w:footnoteRef/>
      </w:r>
      <w:r>
        <w:tab/>
        <w:t>Se afsnit 3 i SWD(2025) 600 fra GD HOME vedrørende forslaget om sikre tredjelande.</w:t>
      </w:r>
    </w:p>
  </w:footnote>
  <w:footnote w:id="9">
    <w:p w:rsidR="00D00F07" w:rsidRPr="00D556B2" w:rsidRDefault="00D00F07" w:rsidP="00D00F07">
      <w:pPr>
        <w:pStyle w:val="FootnoteText"/>
      </w:pPr>
      <w:r>
        <w:rPr>
          <w:rStyle w:val="FootnoteReference"/>
        </w:rPr>
        <w:footnoteRef/>
      </w:r>
      <w:r>
        <w:tab/>
        <w:t>Se afsnit 4 i SWD(2025) 600 fra GD HOME vedrørende forslaget om sikre tredjelande.</w:t>
      </w:r>
    </w:p>
  </w:footnote>
  <w:footnote w:id="10">
    <w:p w:rsidR="00590C94" w:rsidRPr="00055071" w:rsidRDefault="00590C94" w:rsidP="00590C94">
      <w:pPr>
        <w:pStyle w:val="FootnoteText"/>
      </w:pPr>
      <w:r>
        <w:rPr>
          <w:rStyle w:val="FootnoteReference"/>
        </w:rPr>
        <w:footnoteRef/>
      </w:r>
      <w:r>
        <w:tab/>
        <w:t>Forslag til Europa-Parlamentets og Rådets forordning om en fælles procedure for international beskyttelse i EU og om ophævelse af direktiv 2013/32/EU (COM(2016) 0467 final – 2016/0224 (COD)).</w:t>
      </w:r>
    </w:p>
  </w:footnote>
  <w:footnote w:id="11">
    <w:p w:rsidR="00C40C67" w:rsidRPr="00E74AAE" w:rsidRDefault="00C40C67">
      <w:pPr>
        <w:pStyle w:val="FootnoteText"/>
        <w:rPr>
          <w:lang w:val="en-IE"/>
        </w:rPr>
      </w:pPr>
      <w:r>
        <w:rPr>
          <w:rStyle w:val="FootnoteReference"/>
        </w:rPr>
        <w:footnoteRef/>
      </w:r>
      <w:r w:rsidRPr="00E74AAE">
        <w:rPr>
          <w:lang w:val="en-IE"/>
        </w:rPr>
        <w:tab/>
        <w:t>COM(2025) 101 final.</w:t>
      </w:r>
    </w:p>
  </w:footnote>
  <w:footnote w:id="12">
    <w:p w:rsidR="00693ED0" w:rsidRPr="00E74AAE" w:rsidRDefault="00693ED0" w:rsidP="00693ED0">
      <w:pPr>
        <w:pStyle w:val="FootnoteText"/>
        <w:rPr>
          <w:lang w:val="en-IE"/>
        </w:rPr>
      </w:pPr>
      <w:r>
        <w:rPr>
          <w:rStyle w:val="FootnoteReference"/>
        </w:rPr>
        <w:footnoteRef/>
      </w:r>
      <w:r w:rsidRPr="00E74AAE">
        <w:rPr>
          <w:lang w:val="en-IE"/>
        </w:rPr>
        <w:tab/>
        <w:t xml:space="preserve">Jf. f.eks. EUAA (2022): </w:t>
      </w:r>
      <w:hyperlink r:id="rId1">
        <w:r w:rsidRPr="00E74AAE">
          <w:rPr>
            <w:rStyle w:val="Hyperlink"/>
            <w:lang w:val="en-IE"/>
          </w:rPr>
          <w:t>Applying the Concept of Safe Countries in the Asylum Procedure</w:t>
        </w:r>
      </w:hyperlink>
      <w:r w:rsidRPr="00E74AAE">
        <w:rPr>
          <w:rStyle w:val="Hyperlink"/>
          <w:lang w:val="en-IE"/>
        </w:rPr>
        <w:t xml:space="preserve">; </w:t>
      </w:r>
      <w:r w:rsidRPr="00E74AAE">
        <w:rPr>
          <w:lang w:val="en-IE"/>
        </w:rPr>
        <w:t xml:space="preserve">Osso, B., "Unpacking the Safe Third Country Concept in the European Union: Borders, Legal Spaces, and Asylum in the Shadow of Externalization", </w:t>
      </w:r>
      <w:r w:rsidRPr="00E74AAE">
        <w:rPr>
          <w:i/>
          <w:lang w:val="en-IE"/>
        </w:rPr>
        <w:t>International Journal of Refugee Law</w:t>
      </w:r>
      <w:r w:rsidRPr="00E74AAE">
        <w:rPr>
          <w:lang w:val="en-IE"/>
        </w:rPr>
        <w:t xml:space="preserve">, udgave 35(3), oktober 2023. Thym, D., </w:t>
      </w:r>
      <w:r w:rsidRPr="00E74AAE">
        <w:rPr>
          <w:i/>
          <w:lang w:val="en-IE"/>
        </w:rPr>
        <w:t>Expert Opinion on Legal Requirements for Safe Third Countries in Asylum Law and Practical Implementation Options</w:t>
      </w:r>
      <w:r w:rsidRPr="00E74AAE">
        <w:rPr>
          <w:lang w:val="en-IE"/>
        </w:rPr>
        <w:t>, april 2024.</w:t>
      </w:r>
    </w:p>
  </w:footnote>
  <w:footnote w:id="13">
    <w:p w:rsidR="00E9170B" w:rsidRPr="005476A0" w:rsidRDefault="00E9170B">
      <w:pPr>
        <w:pStyle w:val="FootnoteText"/>
      </w:pPr>
      <w:r>
        <w:rPr>
          <w:rStyle w:val="FootnoteReference"/>
        </w:rPr>
        <w:footnoteRef/>
      </w:r>
      <w:r>
        <w:tab/>
        <w:t>FR, IT og PL.</w:t>
      </w:r>
    </w:p>
  </w:footnote>
  <w:footnote w:id="14">
    <w:p w:rsidR="00E9170B" w:rsidRPr="005476A0" w:rsidRDefault="00E9170B">
      <w:pPr>
        <w:pStyle w:val="FootnoteText"/>
      </w:pPr>
      <w:r>
        <w:rPr>
          <w:rStyle w:val="FootnoteReference"/>
        </w:rPr>
        <w:footnoteRef/>
      </w:r>
      <w:r>
        <w:tab/>
        <w:t>BG, EE, DE, EL og HU.</w:t>
      </w:r>
    </w:p>
  </w:footnote>
  <w:footnote w:id="15">
    <w:p w:rsidR="00E9170B" w:rsidRPr="00C87F7D" w:rsidRDefault="00E9170B">
      <w:pPr>
        <w:pStyle w:val="FootnoteText"/>
      </w:pPr>
      <w:r>
        <w:rPr>
          <w:rStyle w:val="FootnoteReference"/>
        </w:rPr>
        <w:footnoteRef/>
      </w:r>
      <w:r>
        <w:tab/>
        <w:t>AT, BE, CY, DK, FI, HR, IE, LV, LT, MT, NL og SE.</w:t>
      </w:r>
    </w:p>
  </w:footnote>
  <w:footnote w:id="16">
    <w:p w:rsidR="00E9170B" w:rsidRPr="00234F7B" w:rsidRDefault="00E9170B">
      <w:pPr>
        <w:pStyle w:val="FootnoteText"/>
      </w:pPr>
      <w:r>
        <w:rPr>
          <w:rStyle w:val="FootnoteReference"/>
        </w:rPr>
        <w:footnoteRef/>
      </w:r>
      <w:r>
        <w:tab/>
        <w:t>CZ, PT, RO, SK, SI og ES.</w:t>
      </w:r>
    </w:p>
  </w:footnote>
  <w:footnote w:id="17">
    <w:p w:rsidR="00693ED0" w:rsidRPr="00055071" w:rsidRDefault="00693ED0" w:rsidP="00693ED0">
      <w:pPr>
        <w:pStyle w:val="FootnoteText"/>
      </w:pPr>
      <w:r>
        <w:rPr>
          <w:rStyle w:val="FootnoteReference"/>
        </w:rPr>
        <w:footnoteRef/>
      </w:r>
      <w:r>
        <w:tab/>
        <w:t xml:space="preserve">Europa-Parlamentets og Rådets forordning (EU) 2024/1348 </w:t>
      </w:r>
      <w:r w:rsidRPr="00A87ED6">
        <w:rPr>
          <w:lang w:val="pl-PL"/>
        </w:rPr>
        <w:t>af</w:t>
      </w:r>
      <w:r w:rsidR="00A87ED6" w:rsidRPr="00A87ED6">
        <w:rPr>
          <w:lang w:val="pl-PL"/>
        </w:rPr>
        <w:t> </w:t>
      </w:r>
      <w:r w:rsidRPr="00A87ED6">
        <w:rPr>
          <w:lang w:val="pl-PL"/>
        </w:rPr>
        <w:t>1</w:t>
      </w:r>
      <w:r>
        <w:t>4. </w:t>
      </w:r>
      <w:r w:rsidRPr="00A87ED6">
        <w:rPr>
          <w:lang w:val="pl-PL"/>
        </w:rPr>
        <w:t>maj</w:t>
      </w:r>
      <w:r w:rsidR="00A87ED6" w:rsidRPr="00A87ED6">
        <w:rPr>
          <w:lang w:val="pl-PL"/>
        </w:rPr>
        <w:t> </w:t>
      </w:r>
      <w:r w:rsidRPr="00A87ED6">
        <w:rPr>
          <w:lang w:val="pl-PL"/>
        </w:rPr>
        <w:t>2</w:t>
      </w:r>
      <w:r>
        <w:t>024 om en fælles procedure for international beskyttelse</w:t>
      </w:r>
      <w:r w:rsidR="00A87ED6">
        <w:t xml:space="preserve"> i Uni</w:t>
      </w:r>
      <w:r>
        <w:t>onen og om ophævelse af direktiv 2013/32/EU (EUT L, 2024/1348, 22.5.2024, ELI: http://data.europa.eu/eli/reg/2024/1348/oj).</w:t>
      </w:r>
    </w:p>
  </w:footnote>
  <w:footnote w:id="18">
    <w:p w:rsidR="002E0F05" w:rsidRPr="000C2668" w:rsidRDefault="002E0F05">
      <w:pPr>
        <w:pStyle w:val="FootnoteText"/>
      </w:pPr>
      <w:r>
        <w:rPr>
          <w:rStyle w:val="FootnoteReference"/>
        </w:rPr>
        <w:footnoteRef/>
      </w:r>
      <w:r>
        <w:tab/>
        <w:t xml:space="preserve">Europa-Parlamentets og Rådets direktiv (EU) 2024/1346 </w:t>
      </w:r>
      <w:r w:rsidRPr="00A87ED6">
        <w:rPr>
          <w:lang w:val="pl-PL"/>
        </w:rPr>
        <w:t>af</w:t>
      </w:r>
      <w:r w:rsidR="00A87ED6" w:rsidRPr="00A87ED6">
        <w:rPr>
          <w:lang w:val="pl-PL"/>
        </w:rPr>
        <w:t> </w:t>
      </w:r>
      <w:r w:rsidRPr="00A87ED6">
        <w:rPr>
          <w:lang w:val="pl-PL"/>
        </w:rPr>
        <w:t>1</w:t>
      </w:r>
      <w:r>
        <w:t>4. </w:t>
      </w:r>
      <w:r w:rsidRPr="00A87ED6">
        <w:rPr>
          <w:lang w:val="pl-PL"/>
        </w:rPr>
        <w:t>maj</w:t>
      </w:r>
      <w:r w:rsidR="00A87ED6" w:rsidRPr="00A87ED6">
        <w:rPr>
          <w:lang w:val="pl-PL"/>
        </w:rPr>
        <w:t> </w:t>
      </w:r>
      <w:r w:rsidRPr="00A87ED6">
        <w:rPr>
          <w:lang w:val="pl-PL"/>
        </w:rPr>
        <w:t>2</w:t>
      </w:r>
      <w:r>
        <w:t>024 om fastlæggelse af standarder for modtagelse af ansøgere om international beskyttelse (EUT L, 2024/1346, 22.5.2024, ELI: http://data.europa.eu/eli/dir/2024/1346/oj).</w:t>
      </w:r>
    </w:p>
  </w:footnote>
  <w:footnote w:id="19">
    <w:p w:rsidR="00693ED0" w:rsidRDefault="00693ED0" w:rsidP="00693ED0">
      <w:pPr>
        <w:pStyle w:val="FootnoteText"/>
      </w:pPr>
      <w:r>
        <w:rPr>
          <w:rStyle w:val="FootnoteReference"/>
        </w:rPr>
        <w:footnoteRef/>
      </w:r>
      <w:r>
        <w:tab/>
        <w:t xml:space="preserve">Jf. finansforordningens artikel 58, </w:t>
      </w:r>
      <w:r w:rsidRPr="00A87ED6">
        <w:rPr>
          <w:lang w:val="pl-PL"/>
        </w:rPr>
        <w:t>stk.</w:t>
      </w:r>
      <w:r w:rsidR="00A87ED6" w:rsidRPr="00A87ED6">
        <w:rPr>
          <w:lang w:val="pl-PL"/>
        </w:rPr>
        <w:t> </w:t>
      </w:r>
      <w:r w:rsidRPr="00A87ED6">
        <w:rPr>
          <w:lang w:val="pl-PL"/>
        </w:rPr>
        <w:t>2</w:t>
      </w:r>
      <w:r>
        <w:t>, litra a) hhv. b).</w:t>
      </w:r>
    </w:p>
  </w:footnote>
  <w:footnote w:id="20">
    <w:p w:rsidR="00693ED0" w:rsidRDefault="00693ED0" w:rsidP="00693ED0">
      <w:pPr>
        <w:pStyle w:val="FootnoteText"/>
        <w:jc w:val="left"/>
        <w:rPr>
          <w:szCs w:val="24"/>
        </w:rPr>
      </w:pPr>
      <w:r>
        <w:rPr>
          <w:rStyle w:val="FootnoteReference"/>
        </w:rPr>
        <w:footnoteRef/>
      </w:r>
      <w:r>
        <w:tab/>
        <w:t xml:space="preserve">Forklaringer vedrørende budgetgennemførelsesmetoder og henvisninger til finansforordningen findes på webstedet BUDGpedia: </w:t>
      </w:r>
      <w:hyperlink r:id="rId2" w:history="1">
        <w:r>
          <w:rPr>
            <w:rStyle w:val="Hyperlink"/>
          </w:rPr>
          <w:t>https://myintracomm.ec.europa.eu/corp/budget/financial-rules/budget-implementation/Pages/implementation-methods.aspx</w:t>
        </w:r>
      </w:hyperlink>
      <w:r>
        <w:rPr>
          <w:rStyle w:val="Hyperlink"/>
        </w:rPr>
        <w:t>.</w:t>
      </w:r>
    </w:p>
  </w:footnote>
  <w:footnote w:id="21">
    <w:p w:rsidR="00693ED0" w:rsidRPr="001004A6" w:rsidRDefault="00693ED0" w:rsidP="00693ED0">
      <w:pPr>
        <w:pStyle w:val="FootnoteText"/>
      </w:pPr>
      <w:r>
        <w:rPr>
          <w:rStyle w:val="FootnoteReference"/>
        </w:rPr>
        <w:footnoteRef/>
      </w:r>
      <w:r>
        <w:tab/>
        <w:t>De nødvendige bevillinger bør fastsættes på grundlag af de årlige gennemsnitlige omkostninger, der er tilgængelige på det relevante BUDGpedia-websted.</w:t>
      </w:r>
    </w:p>
  </w:footnote>
  <w:footnote w:id="22">
    <w:p w:rsidR="00693ED0" w:rsidRPr="00C2043F" w:rsidRDefault="00693ED0" w:rsidP="00693ED0">
      <w:pPr>
        <w:pStyle w:val="FootnoteText"/>
      </w:pPr>
      <w:r>
        <w:rPr>
          <w:rStyle w:val="FootnoteReference"/>
        </w:rPr>
        <w:footnoteRef/>
      </w:r>
      <w:r>
        <w:tab/>
      </w:r>
      <w:r>
        <w:rPr>
          <w:sz w:val="18"/>
        </w:rPr>
        <w:t>Teknisk og/eller administrativ bistand og udgifter til støtte for gennemførelsen af EU's programmer og/eller foranstaltninger (tidligere BA-poster), indirekte forskning og direkte forskning.</w:t>
      </w:r>
    </w:p>
  </w:footnote>
  <w:footnote w:id="23">
    <w:p w:rsidR="00693ED0" w:rsidRPr="001004A6" w:rsidRDefault="00693ED0" w:rsidP="00693ED0">
      <w:pPr>
        <w:pStyle w:val="FootnoteText"/>
      </w:pPr>
      <w:r>
        <w:rPr>
          <w:rStyle w:val="FootnoteReference"/>
        </w:rPr>
        <w:footnoteRef/>
      </w:r>
      <w:r>
        <w:tab/>
        <w:t>De nødvendige bevillinger bør fastsættes på grundlag af de årlige gennemsnitlige omkostninger, der er tilgængelige på det relevante BUDGpedia-websted.</w:t>
      </w:r>
    </w:p>
  </w:footnote>
  <w:footnote w:id="24">
    <w:p w:rsidR="00693ED0" w:rsidRDefault="00693ED0" w:rsidP="00693ED0">
      <w:pPr>
        <w:pStyle w:val="FootnoteText"/>
        <w:rPr>
          <w:szCs w:val="24"/>
        </w:rPr>
      </w:pPr>
      <w:r>
        <w:rPr>
          <w:rStyle w:val="FootnoteReference"/>
        </w:rPr>
        <w:footnoteRef/>
      </w:r>
      <w:r>
        <w:tab/>
        <w:t>Resultater er de produkter og tjenesteydelser, der skal leveres (f.eks.: antal finansierede studenterudvekslinger, antal km bygget vej osv.).</w:t>
      </w:r>
    </w:p>
  </w:footnote>
  <w:footnote w:id="25">
    <w:p w:rsidR="00693ED0" w:rsidRDefault="00693ED0" w:rsidP="00693ED0">
      <w:pPr>
        <w:pStyle w:val="FootnoteText"/>
        <w:rPr>
          <w:szCs w:val="24"/>
        </w:rPr>
      </w:pPr>
      <w:r>
        <w:rPr>
          <w:rStyle w:val="FootnoteReference"/>
        </w:rPr>
        <w:footnoteRef/>
      </w:r>
      <w:r>
        <w:tab/>
        <w:t>Som beskrevet</w:t>
      </w:r>
      <w:r w:rsidR="00A87ED6">
        <w:t xml:space="preserve"> i afs</w:t>
      </w:r>
      <w:r>
        <w:t xml:space="preserve">nit 1.3.2. "Specifikt/specifikke mål". </w:t>
      </w:r>
    </w:p>
  </w:footnote>
  <w:footnote w:id="26">
    <w:p w:rsidR="00693ED0" w:rsidRPr="00F94A0A" w:rsidRDefault="00693ED0" w:rsidP="00693ED0">
      <w:pPr>
        <w:pStyle w:val="FootnoteText"/>
      </w:pPr>
      <w:r>
        <w:rPr>
          <w:rStyle w:val="FootnoteReference"/>
        </w:rPr>
        <w:footnoteRef/>
      </w:r>
      <w:r>
        <w:tab/>
        <w:t>Angiv nedenfor, hvor mange årsværk inden for det angivne antal der allerede er afsat til forvaltning af foranstaltningen og/eller kan omfordeles inden for dit generaldirektorat, og hvilke nettobehov du har.</w:t>
      </w:r>
    </w:p>
  </w:footnote>
  <w:footnote w:id="27">
    <w:p w:rsidR="00693ED0" w:rsidRDefault="00693ED0" w:rsidP="00693ED0">
      <w:pPr>
        <w:pStyle w:val="FootnoteText"/>
        <w:rPr>
          <w:szCs w:val="24"/>
        </w:rPr>
      </w:pPr>
      <w:r>
        <w:rPr>
          <w:rStyle w:val="FootnoteReference"/>
        </w:rPr>
        <w:footnoteRef/>
      </w:r>
      <w:r>
        <w:tab/>
        <w:t xml:space="preserve">Med hensyn til EU's traditionelle egne indtægter (told og sukkerafgifter) opgives beløbene netto, dvs. bruttobeløb, hvorfra der er trukket opkrævningsomkostninger </w:t>
      </w:r>
      <w:r w:rsidRPr="00A87ED6">
        <w:rPr>
          <w:lang w:val="pl-PL"/>
        </w:rPr>
        <w:t>på</w:t>
      </w:r>
      <w:r w:rsidR="00A87ED6" w:rsidRPr="00A87ED6">
        <w:rPr>
          <w:lang w:val="pl-PL"/>
        </w:rPr>
        <w:t> </w:t>
      </w:r>
      <w:r w:rsidRPr="00A87ED6">
        <w:rPr>
          <w:lang w:val="pl-PL"/>
        </w:rPr>
        <w:t>20</w:t>
      </w:r>
      <w:r w:rsidR="00A87ED6" w:rsidRPr="00A87ED6">
        <w:rPr>
          <w:lang w:val="pl-PL"/>
        </w:rPr>
        <w:t> </w:t>
      </w:r>
      <w:r w:rsidRPr="00A87ED6">
        <w:rPr>
          <w:lang w:val="pl-PL"/>
        </w:rPr>
        <w: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A" w:rsidRDefault="00294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A" w:rsidRDefault="0029466A" w:rsidP="00294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A" w:rsidRPr="0029466A" w:rsidRDefault="0029466A" w:rsidP="0029466A">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66A" w:rsidRPr="0029466A" w:rsidRDefault="0029466A" w:rsidP="00294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4540FD"/>
    <w:multiLevelType w:val="hybridMultilevel"/>
    <w:tmpl w:val="D0502986"/>
    <w:lvl w:ilvl="0" w:tplc="573AE0E6">
      <w:start w:val="1"/>
      <w:numFmt w:val="decimal"/>
      <w:pStyle w:val="Numberedpara"/>
      <w:lvlText w:val="%1)"/>
      <w:lvlJc w:val="left"/>
      <w:pPr>
        <w:ind w:left="720" w:hanging="360"/>
      </w:pPr>
    </w:lvl>
    <w:lvl w:ilvl="1" w:tplc="EC44AD80">
      <w:start w:val="1"/>
      <w:numFmt w:val="lowerLetter"/>
      <w:lvlText w:val="%2."/>
      <w:lvlJc w:val="left"/>
      <w:pPr>
        <w:ind w:left="1440" w:hanging="360"/>
      </w:pPr>
    </w:lvl>
    <w:lvl w:ilvl="2" w:tplc="BD40F4AC">
      <w:start w:val="1"/>
      <w:numFmt w:val="lowerRoman"/>
      <w:lvlText w:val="%3."/>
      <w:lvlJc w:val="right"/>
      <w:pPr>
        <w:ind w:left="2160" w:hanging="180"/>
      </w:pPr>
    </w:lvl>
    <w:lvl w:ilvl="3" w:tplc="259651BE">
      <w:start w:val="1"/>
      <w:numFmt w:val="decimal"/>
      <w:lvlText w:val="%4."/>
      <w:lvlJc w:val="left"/>
      <w:pPr>
        <w:ind w:left="2880" w:hanging="360"/>
      </w:pPr>
    </w:lvl>
    <w:lvl w:ilvl="4" w:tplc="63E8396A">
      <w:start w:val="1"/>
      <w:numFmt w:val="lowerLetter"/>
      <w:lvlText w:val="%5."/>
      <w:lvlJc w:val="left"/>
      <w:pPr>
        <w:ind w:left="3600" w:hanging="360"/>
      </w:pPr>
    </w:lvl>
    <w:lvl w:ilvl="5" w:tplc="EE04A226">
      <w:start w:val="1"/>
      <w:numFmt w:val="lowerRoman"/>
      <w:lvlText w:val="%6."/>
      <w:lvlJc w:val="right"/>
      <w:pPr>
        <w:ind w:left="4320" w:hanging="180"/>
      </w:pPr>
    </w:lvl>
    <w:lvl w:ilvl="6" w:tplc="F99ED444">
      <w:start w:val="1"/>
      <w:numFmt w:val="decimal"/>
      <w:lvlText w:val="%7."/>
      <w:lvlJc w:val="left"/>
      <w:pPr>
        <w:ind w:left="5040" w:hanging="360"/>
      </w:pPr>
    </w:lvl>
    <w:lvl w:ilvl="7" w:tplc="B7FA9D98">
      <w:start w:val="1"/>
      <w:numFmt w:val="lowerLetter"/>
      <w:lvlText w:val="%8."/>
      <w:lvlJc w:val="left"/>
      <w:pPr>
        <w:ind w:left="5760" w:hanging="360"/>
      </w:pPr>
    </w:lvl>
    <w:lvl w:ilvl="8" w:tplc="7FD69604">
      <w:start w:val="1"/>
      <w:numFmt w:val="lowerRoman"/>
      <w:lvlText w:val="%9."/>
      <w:lvlJc w:val="right"/>
      <w:pPr>
        <w:ind w:left="6480" w:hanging="180"/>
      </w:pPr>
    </w:lvl>
  </w:abstractNum>
  <w:abstractNum w:abstractNumId="3"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8A753C2"/>
    <w:multiLevelType w:val="hybridMultilevel"/>
    <w:tmpl w:val="B9C8E46E"/>
    <w:lvl w:ilvl="0" w:tplc="F582FC32">
      <w:start w:val="1"/>
      <w:numFmt w:val="lowerRoman"/>
      <w:pStyle w:val="Num"/>
      <w:lvlText w:val="%1)"/>
      <w:lvlJc w:val="left"/>
      <w:pPr>
        <w:ind w:left="2160" w:hanging="720"/>
      </w:pPr>
      <w:rPr>
        <w:rFonts w:hint="default"/>
        <w:b w:val="0"/>
      </w:r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1"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2"/>
  </w:num>
  <w:num w:numId="3">
    <w:abstractNumId w:val="9"/>
  </w:num>
  <w:num w:numId="4">
    <w:abstractNumId w:val="18"/>
  </w:num>
  <w:num w:numId="5">
    <w:abstractNumId w:val="17"/>
  </w:num>
  <w:num w:numId="6">
    <w:abstractNumId w:val="29"/>
  </w:num>
  <w:num w:numId="7">
    <w:abstractNumId w:val="26"/>
  </w:num>
  <w:num w:numId="8">
    <w:abstractNumId w:val="30"/>
  </w:num>
  <w:num w:numId="9">
    <w:abstractNumId w:val="31"/>
  </w:num>
  <w:num w:numId="10">
    <w:abstractNumId w:val="1"/>
  </w:num>
  <w:num w:numId="11">
    <w:abstractNumId w:val="11"/>
  </w:num>
  <w:num w:numId="12">
    <w:abstractNumId w:val="3"/>
  </w:num>
  <w:num w:numId="13">
    <w:abstractNumId w:val="12"/>
  </w:num>
  <w:num w:numId="14">
    <w:abstractNumId w:val="10"/>
  </w:num>
  <w:num w:numId="15">
    <w:abstractNumId w:val="19"/>
  </w:num>
  <w:num w:numId="16">
    <w:abstractNumId w:val="8"/>
  </w:num>
  <w:num w:numId="17">
    <w:abstractNumId w:val="25"/>
    <w:lvlOverride w:ilvl="0">
      <w:startOverride w:val="1"/>
    </w:lvlOverride>
  </w:num>
  <w:num w:numId="18">
    <w:abstractNumId w:val="2"/>
  </w:num>
  <w:num w:numId="19">
    <w:abstractNumId w:val="21"/>
  </w:num>
  <w:num w:numId="20">
    <w:abstractNumId w:val="32"/>
    <w:lvlOverride w:ilvl="0">
      <w:startOverride w:val="1"/>
    </w:lvlOverride>
  </w:num>
  <w:num w:numId="21">
    <w:abstractNumId w:val="25"/>
  </w:num>
  <w:num w:numId="22">
    <w:abstractNumId w:val="13"/>
  </w:num>
  <w:num w:numId="23">
    <w:abstractNumId w:val="28"/>
  </w:num>
  <w:num w:numId="24">
    <w:abstractNumId w:val="7"/>
  </w:num>
  <w:num w:numId="25">
    <w:abstractNumId w:val="14"/>
  </w:num>
  <w:num w:numId="26">
    <w:abstractNumId w:val="15"/>
  </w:num>
  <w:num w:numId="27">
    <w:abstractNumId w:val="5"/>
  </w:num>
  <w:num w:numId="28">
    <w:abstractNumId w:val="27"/>
  </w:num>
  <w:num w:numId="29">
    <w:abstractNumId w:val="4"/>
  </w:num>
  <w:num w:numId="30">
    <w:abstractNumId w:val="16"/>
  </w:num>
  <w:num w:numId="31">
    <w:abstractNumId w:val="23"/>
  </w:num>
  <w:num w:numId="32">
    <w:abstractNumId w:val="24"/>
  </w:num>
  <w:num w:numId="33">
    <w:abstractNumId w:val="6"/>
  </w:num>
  <w:num w:numId="34">
    <w:abstractNumId w:val="20"/>
  </w:num>
  <w:num w:numId="35">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5-06-13 19:55:2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86F2F0C-A866-4A4D-86DF-992FEA6BBC8B"/>
    <w:docVar w:name="LW_COVERPAGE_TYPE" w:val="1"/>
    <w:docVar w:name="LW_CreatedUtc" w:val="2025-02-25T15:48:10.6443689Z"/>
    <w:docVar w:name="LW_CROSSREFERENCE" w:val="{SWD(2025) 600 final}"/>
    <w:docVar w:name="LW_DocType" w:val="COM"/>
    <w:docVar w:name="LW_EMISSION" w:val="20.5.2025"/>
    <w:docVar w:name="LW_EMISSION_ISODATE" w:val="2025-05-20"/>
    <w:docVar w:name="LW_EMISSION_LOCATION" w:val="BRX"/>
    <w:docVar w:name="LW_EMISSION_PREFIX" w:val="Bruxelles,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132"/>
    <w:docVar w:name="LW_REF.II.NEW.CP_YEAR" w:val="2025"/>
    <w:docVar w:name="LW_REF.INST.NEW" w:val="COM"/>
    <w:docVar w:name="LW_REF.INST.NEW_ADOPTED" w:val="final"/>
    <w:docVar w:name="LW_REF.INST.NEW_TEXT" w:val="(2025) 25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ændring af forordning (EU) 2024/1348 for så vidt angår anvendelse af begrebet &quot;sikkert tredjeland&quot;"/>
    <w:docVar w:name="LW_TYPE.DOC.CP" w:val="EUROPA-PARLAMENTETS OG RÅDETS FORORDNING"/>
    <w:docVar w:name="LwApiVersions" w:val="LW4CoDe 1.24.5.0; LW 9.0, Build 20240221"/>
  </w:docVars>
  <w:rsids>
    <w:rsidRoot w:val="00201A77"/>
    <w:rsid w:val="00000080"/>
    <w:rsid w:val="0000016E"/>
    <w:rsid w:val="00000469"/>
    <w:rsid w:val="00000BC3"/>
    <w:rsid w:val="00000E65"/>
    <w:rsid w:val="00000F22"/>
    <w:rsid w:val="00001047"/>
    <w:rsid w:val="00001D37"/>
    <w:rsid w:val="000020FA"/>
    <w:rsid w:val="00003371"/>
    <w:rsid w:val="0000351B"/>
    <w:rsid w:val="000040EB"/>
    <w:rsid w:val="000047AF"/>
    <w:rsid w:val="0000484E"/>
    <w:rsid w:val="000048A4"/>
    <w:rsid w:val="00004D97"/>
    <w:rsid w:val="00005107"/>
    <w:rsid w:val="00005261"/>
    <w:rsid w:val="00005495"/>
    <w:rsid w:val="00005709"/>
    <w:rsid w:val="000058D1"/>
    <w:rsid w:val="0000648A"/>
    <w:rsid w:val="000066A0"/>
    <w:rsid w:val="00006D4E"/>
    <w:rsid w:val="00006F92"/>
    <w:rsid w:val="00007999"/>
    <w:rsid w:val="000102FF"/>
    <w:rsid w:val="00010449"/>
    <w:rsid w:val="00010E3A"/>
    <w:rsid w:val="00011704"/>
    <w:rsid w:val="000118C1"/>
    <w:rsid w:val="00011969"/>
    <w:rsid w:val="0001239A"/>
    <w:rsid w:val="000123D3"/>
    <w:rsid w:val="00012A5E"/>
    <w:rsid w:val="00012A72"/>
    <w:rsid w:val="00013194"/>
    <w:rsid w:val="00013306"/>
    <w:rsid w:val="000137E9"/>
    <w:rsid w:val="0001381B"/>
    <w:rsid w:val="00013AE5"/>
    <w:rsid w:val="0001423C"/>
    <w:rsid w:val="00014C83"/>
    <w:rsid w:val="000150F7"/>
    <w:rsid w:val="00015138"/>
    <w:rsid w:val="0001587B"/>
    <w:rsid w:val="000159FC"/>
    <w:rsid w:val="00015B25"/>
    <w:rsid w:val="00015BA3"/>
    <w:rsid w:val="00015DAE"/>
    <w:rsid w:val="00016156"/>
    <w:rsid w:val="00016DBD"/>
    <w:rsid w:val="000202FA"/>
    <w:rsid w:val="000204C6"/>
    <w:rsid w:val="0002051E"/>
    <w:rsid w:val="00020984"/>
    <w:rsid w:val="00020ADC"/>
    <w:rsid w:val="000210B8"/>
    <w:rsid w:val="00021B8C"/>
    <w:rsid w:val="00021FE8"/>
    <w:rsid w:val="0002240F"/>
    <w:rsid w:val="000225C9"/>
    <w:rsid w:val="000226F1"/>
    <w:rsid w:val="00022AD4"/>
    <w:rsid w:val="00022EFE"/>
    <w:rsid w:val="0002344C"/>
    <w:rsid w:val="00023980"/>
    <w:rsid w:val="00023C72"/>
    <w:rsid w:val="00023DA1"/>
    <w:rsid w:val="0002423D"/>
    <w:rsid w:val="000246EF"/>
    <w:rsid w:val="0002499F"/>
    <w:rsid w:val="00024A19"/>
    <w:rsid w:val="00025466"/>
    <w:rsid w:val="00025689"/>
    <w:rsid w:val="0002588F"/>
    <w:rsid w:val="00025E11"/>
    <w:rsid w:val="00026156"/>
    <w:rsid w:val="00026D86"/>
    <w:rsid w:val="00027303"/>
    <w:rsid w:val="000275CD"/>
    <w:rsid w:val="00030012"/>
    <w:rsid w:val="000304A8"/>
    <w:rsid w:val="000313EE"/>
    <w:rsid w:val="00031500"/>
    <w:rsid w:val="00033E01"/>
    <w:rsid w:val="00033F8B"/>
    <w:rsid w:val="00033FB8"/>
    <w:rsid w:val="0003422A"/>
    <w:rsid w:val="000343B1"/>
    <w:rsid w:val="0003468D"/>
    <w:rsid w:val="00034BFB"/>
    <w:rsid w:val="00035CFC"/>
    <w:rsid w:val="0003652C"/>
    <w:rsid w:val="00036776"/>
    <w:rsid w:val="00036C46"/>
    <w:rsid w:val="00036F19"/>
    <w:rsid w:val="000378A9"/>
    <w:rsid w:val="00037C21"/>
    <w:rsid w:val="00037E6E"/>
    <w:rsid w:val="00037ED2"/>
    <w:rsid w:val="000403FC"/>
    <w:rsid w:val="0004047D"/>
    <w:rsid w:val="0004080C"/>
    <w:rsid w:val="0004085E"/>
    <w:rsid w:val="00040A5B"/>
    <w:rsid w:val="00040BA1"/>
    <w:rsid w:val="00040C4E"/>
    <w:rsid w:val="00040DC2"/>
    <w:rsid w:val="0004115F"/>
    <w:rsid w:val="00041A79"/>
    <w:rsid w:val="00041DE3"/>
    <w:rsid w:val="00041FC8"/>
    <w:rsid w:val="00042454"/>
    <w:rsid w:val="000427DA"/>
    <w:rsid w:val="000428A1"/>
    <w:rsid w:val="00042AE3"/>
    <w:rsid w:val="00042BE5"/>
    <w:rsid w:val="00043117"/>
    <w:rsid w:val="0004342B"/>
    <w:rsid w:val="00043608"/>
    <w:rsid w:val="00043D01"/>
    <w:rsid w:val="0004465A"/>
    <w:rsid w:val="00044C92"/>
    <w:rsid w:val="00045419"/>
    <w:rsid w:val="000457B5"/>
    <w:rsid w:val="00045BAF"/>
    <w:rsid w:val="0004667E"/>
    <w:rsid w:val="00046D7D"/>
    <w:rsid w:val="000470E3"/>
    <w:rsid w:val="0004722F"/>
    <w:rsid w:val="00047274"/>
    <w:rsid w:val="00047311"/>
    <w:rsid w:val="00047676"/>
    <w:rsid w:val="00050723"/>
    <w:rsid w:val="00050BA0"/>
    <w:rsid w:val="00050C62"/>
    <w:rsid w:val="00051439"/>
    <w:rsid w:val="00051818"/>
    <w:rsid w:val="00052666"/>
    <w:rsid w:val="00052C5D"/>
    <w:rsid w:val="00052D06"/>
    <w:rsid w:val="000530D1"/>
    <w:rsid w:val="0005344E"/>
    <w:rsid w:val="00053A98"/>
    <w:rsid w:val="00053C20"/>
    <w:rsid w:val="00054033"/>
    <w:rsid w:val="00054DB5"/>
    <w:rsid w:val="00055071"/>
    <w:rsid w:val="000553EC"/>
    <w:rsid w:val="00055C33"/>
    <w:rsid w:val="00055DE1"/>
    <w:rsid w:val="00055F61"/>
    <w:rsid w:val="00056A22"/>
    <w:rsid w:val="000575E2"/>
    <w:rsid w:val="000578AE"/>
    <w:rsid w:val="000607CF"/>
    <w:rsid w:val="00060F0F"/>
    <w:rsid w:val="000610C3"/>
    <w:rsid w:val="00061BA6"/>
    <w:rsid w:val="00061CF4"/>
    <w:rsid w:val="0006250C"/>
    <w:rsid w:val="0006251F"/>
    <w:rsid w:val="000625D4"/>
    <w:rsid w:val="000628EB"/>
    <w:rsid w:val="000631CF"/>
    <w:rsid w:val="00063B08"/>
    <w:rsid w:val="00063EFE"/>
    <w:rsid w:val="000643AC"/>
    <w:rsid w:val="000645F1"/>
    <w:rsid w:val="000647ED"/>
    <w:rsid w:val="00064BD2"/>
    <w:rsid w:val="00065F42"/>
    <w:rsid w:val="00066806"/>
    <w:rsid w:val="00066894"/>
    <w:rsid w:val="00066BDB"/>
    <w:rsid w:val="000670C3"/>
    <w:rsid w:val="00067602"/>
    <w:rsid w:val="00067A12"/>
    <w:rsid w:val="000702A3"/>
    <w:rsid w:val="00070535"/>
    <w:rsid w:val="00070919"/>
    <w:rsid w:val="00070BAC"/>
    <w:rsid w:val="00071BC7"/>
    <w:rsid w:val="00073019"/>
    <w:rsid w:val="000736E1"/>
    <w:rsid w:val="000739C0"/>
    <w:rsid w:val="00073AB9"/>
    <w:rsid w:val="00073E11"/>
    <w:rsid w:val="00074D43"/>
    <w:rsid w:val="0007581C"/>
    <w:rsid w:val="0007626C"/>
    <w:rsid w:val="00076839"/>
    <w:rsid w:val="00076BE4"/>
    <w:rsid w:val="00077395"/>
    <w:rsid w:val="000774AC"/>
    <w:rsid w:val="0007760F"/>
    <w:rsid w:val="00077CD4"/>
    <w:rsid w:val="000804D3"/>
    <w:rsid w:val="00080A7A"/>
    <w:rsid w:val="00081F99"/>
    <w:rsid w:val="00082429"/>
    <w:rsid w:val="000826C7"/>
    <w:rsid w:val="000827BA"/>
    <w:rsid w:val="00083005"/>
    <w:rsid w:val="000837A1"/>
    <w:rsid w:val="0008393C"/>
    <w:rsid w:val="00083F85"/>
    <w:rsid w:val="00084708"/>
    <w:rsid w:val="00085106"/>
    <w:rsid w:val="00085447"/>
    <w:rsid w:val="00085674"/>
    <w:rsid w:val="00085B4C"/>
    <w:rsid w:val="00085E43"/>
    <w:rsid w:val="00085F5B"/>
    <w:rsid w:val="00086F1C"/>
    <w:rsid w:val="00087135"/>
    <w:rsid w:val="00087280"/>
    <w:rsid w:val="00087759"/>
    <w:rsid w:val="00087BC1"/>
    <w:rsid w:val="00087FE2"/>
    <w:rsid w:val="00090031"/>
    <w:rsid w:val="00090299"/>
    <w:rsid w:val="000903B4"/>
    <w:rsid w:val="000908E5"/>
    <w:rsid w:val="00090F2C"/>
    <w:rsid w:val="0009141D"/>
    <w:rsid w:val="00091615"/>
    <w:rsid w:val="000917B3"/>
    <w:rsid w:val="0009188C"/>
    <w:rsid w:val="00091D16"/>
    <w:rsid w:val="00091FD5"/>
    <w:rsid w:val="000926ED"/>
    <w:rsid w:val="00093511"/>
    <w:rsid w:val="000944A5"/>
    <w:rsid w:val="00094775"/>
    <w:rsid w:val="000948EE"/>
    <w:rsid w:val="00094C45"/>
    <w:rsid w:val="00094CB8"/>
    <w:rsid w:val="0009575D"/>
    <w:rsid w:val="00095825"/>
    <w:rsid w:val="000966A8"/>
    <w:rsid w:val="0009693C"/>
    <w:rsid w:val="00096D50"/>
    <w:rsid w:val="00097145"/>
    <w:rsid w:val="0009753C"/>
    <w:rsid w:val="00097702"/>
    <w:rsid w:val="00097B59"/>
    <w:rsid w:val="000A0516"/>
    <w:rsid w:val="000A05FE"/>
    <w:rsid w:val="000A1014"/>
    <w:rsid w:val="000A13D1"/>
    <w:rsid w:val="000A1435"/>
    <w:rsid w:val="000A15B0"/>
    <w:rsid w:val="000A19BA"/>
    <w:rsid w:val="000A1BB0"/>
    <w:rsid w:val="000A20A8"/>
    <w:rsid w:val="000A229B"/>
    <w:rsid w:val="000A2893"/>
    <w:rsid w:val="000A2D77"/>
    <w:rsid w:val="000A3083"/>
    <w:rsid w:val="000A3493"/>
    <w:rsid w:val="000A3D82"/>
    <w:rsid w:val="000A3DD8"/>
    <w:rsid w:val="000A3DEF"/>
    <w:rsid w:val="000A4099"/>
    <w:rsid w:val="000A428F"/>
    <w:rsid w:val="000A4579"/>
    <w:rsid w:val="000A46D5"/>
    <w:rsid w:val="000A4A8B"/>
    <w:rsid w:val="000A4D55"/>
    <w:rsid w:val="000A549A"/>
    <w:rsid w:val="000A54FC"/>
    <w:rsid w:val="000A5644"/>
    <w:rsid w:val="000A5740"/>
    <w:rsid w:val="000A5A4D"/>
    <w:rsid w:val="000A5B9E"/>
    <w:rsid w:val="000A5C0E"/>
    <w:rsid w:val="000A5C71"/>
    <w:rsid w:val="000A5D5F"/>
    <w:rsid w:val="000A60B8"/>
    <w:rsid w:val="000A67EA"/>
    <w:rsid w:val="000A6915"/>
    <w:rsid w:val="000A6C12"/>
    <w:rsid w:val="000A6E76"/>
    <w:rsid w:val="000A70B6"/>
    <w:rsid w:val="000A7137"/>
    <w:rsid w:val="000A73A5"/>
    <w:rsid w:val="000A7729"/>
    <w:rsid w:val="000A7768"/>
    <w:rsid w:val="000B009C"/>
    <w:rsid w:val="000B0243"/>
    <w:rsid w:val="000B0E2D"/>
    <w:rsid w:val="000B1BA8"/>
    <w:rsid w:val="000B2791"/>
    <w:rsid w:val="000B2EBE"/>
    <w:rsid w:val="000B2F5B"/>
    <w:rsid w:val="000B36DC"/>
    <w:rsid w:val="000B3B6E"/>
    <w:rsid w:val="000B45FA"/>
    <w:rsid w:val="000B5586"/>
    <w:rsid w:val="000B5892"/>
    <w:rsid w:val="000B5C51"/>
    <w:rsid w:val="000B61DE"/>
    <w:rsid w:val="000B6AAD"/>
    <w:rsid w:val="000B71C2"/>
    <w:rsid w:val="000B7711"/>
    <w:rsid w:val="000B791F"/>
    <w:rsid w:val="000B7E90"/>
    <w:rsid w:val="000B7EFB"/>
    <w:rsid w:val="000C0432"/>
    <w:rsid w:val="000C06BE"/>
    <w:rsid w:val="000C1C56"/>
    <w:rsid w:val="000C1FCF"/>
    <w:rsid w:val="000C2184"/>
    <w:rsid w:val="000C241E"/>
    <w:rsid w:val="000C2668"/>
    <w:rsid w:val="000C2CF7"/>
    <w:rsid w:val="000C2E45"/>
    <w:rsid w:val="000C3002"/>
    <w:rsid w:val="000C3DC2"/>
    <w:rsid w:val="000C3EE6"/>
    <w:rsid w:val="000C4096"/>
    <w:rsid w:val="000C4B87"/>
    <w:rsid w:val="000C4DE2"/>
    <w:rsid w:val="000C5C64"/>
    <w:rsid w:val="000C5CE5"/>
    <w:rsid w:val="000C6926"/>
    <w:rsid w:val="000C6A9B"/>
    <w:rsid w:val="000C6D75"/>
    <w:rsid w:val="000C7712"/>
    <w:rsid w:val="000C7716"/>
    <w:rsid w:val="000C79A6"/>
    <w:rsid w:val="000D01A1"/>
    <w:rsid w:val="000D01F1"/>
    <w:rsid w:val="000D08DA"/>
    <w:rsid w:val="000D0961"/>
    <w:rsid w:val="000D15C2"/>
    <w:rsid w:val="000D1AA1"/>
    <w:rsid w:val="000D1BB7"/>
    <w:rsid w:val="000D1E0C"/>
    <w:rsid w:val="000D22B3"/>
    <w:rsid w:val="000D2598"/>
    <w:rsid w:val="000D27E9"/>
    <w:rsid w:val="000D2941"/>
    <w:rsid w:val="000D2ED9"/>
    <w:rsid w:val="000D35FD"/>
    <w:rsid w:val="000D362F"/>
    <w:rsid w:val="000D3859"/>
    <w:rsid w:val="000D3860"/>
    <w:rsid w:val="000D3ABD"/>
    <w:rsid w:val="000D4515"/>
    <w:rsid w:val="000D4708"/>
    <w:rsid w:val="000D4910"/>
    <w:rsid w:val="000D4DD2"/>
    <w:rsid w:val="000D4F2F"/>
    <w:rsid w:val="000D5895"/>
    <w:rsid w:val="000D5D7D"/>
    <w:rsid w:val="000D6518"/>
    <w:rsid w:val="000D6ECE"/>
    <w:rsid w:val="000D75CC"/>
    <w:rsid w:val="000E0005"/>
    <w:rsid w:val="000E1009"/>
    <w:rsid w:val="000E131E"/>
    <w:rsid w:val="000E148A"/>
    <w:rsid w:val="000E14A2"/>
    <w:rsid w:val="000E1920"/>
    <w:rsid w:val="000E1B77"/>
    <w:rsid w:val="000E26D1"/>
    <w:rsid w:val="000E2812"/>
    <w:rsid w:val="000E2919"/>
    <w:rsid w:val="000E358F"/>
    <w:rsid w:val="000E3B29"/>
    <w:rsid w:val="000E467F"/>
    <w:rsid w:val="000E5593"/>
    <w:rsid w:val="000E5B1D"/>
    <w:rsid w:val="000E5CAA"/>
    <w:rsid w:val="000E5DFA"/>
    <w:rsid w:val="000E629C"/>
    <w:rsid w:val="000E6518"/>
    <w:rsid w:val="000E665A"/>
    <w:rsid w:val="000E70C6"/>
    <w:rsid w:val="000F000F"/>
    <w:rsid w:val="000F0179"/>
    <w:rsid w:val="000F10D4"/>
    <w:rsid w:val="000F177C"/>
    <w:rsid w:val="000F1D95"/>
    <w:rsid w:val="000F27E8"/>
    <w:rsid w:val="000F31A0"/>
    <w:rsid w:val="000F42EF"/>
    <w:rsid w:val="000F5035"/>
    <w:rsid w:val="000F5168"/>
    <w:rsid w:val="000F5211"/>
    <w:rsid w:val="000F53D3"/>
    <w:rsid w:val="000F5650"/>
    <w:rsid w:val="000F5C4D"/>
    <w:rsid w:val="000F6412"/>
    <w:rsid w:val="000F643D"/>
    <w:rsid w:val="000F6850"/>
    <w:rsid w:val="000F6929"/>
    <w:rsid w:val="000F6C70"/>
    <w:rsid w:val="000F6E8A"/>
    <w:rsid w:val="000F6FB8"/>
    <w:rsid w:val="000F7427"/>
    <w:rsid w:val="001000C6"/>
    <w:rsid w:val="001005EE"/>
    <w:rsid w:val="001007A2"/>
    <w:rsid w:val="00100B75"/>
    <w:rsid w:val="001012DA"/>
    <w:rsid w:val="001012F7"/>
    <w:rsid w:val="001016A6"/>
    <w:rsid w:val="00101B2D"/>
    <w:rsid w:val="00101ECB"/>
    <w:rsid w:val="001023B9"/>
    <w:rsid w:val="001023DE"/>
    <w:rsid w:val="00103546"/>
    <w:rsid w:val="0010376C"/>
    <w:rsid w:val="00104234"/>
    <w:rsid w:val="0010550C"/>
    <w:rsid w:val="001065F5"/>
    <w:rsid w:val="00106C15"/>
    <w:rsid w:val="001075F6"/>
    <w:rsid w:val="00107D55"/>
    <w:rsid w:val="00107E5D"/>
    <w:rsid w:val="00110614"/>
    <w:rsid w:val="001108C7"/>
    <w:rsid w:val="00110A99"/>
    <w:rsid w:val="00110EED"/>
    <w:rsid w:val="00111197"/>
    <w:rsid w:val="00111345"/>
    <w:rsid w:val="00111C1F"/>
    <w:rsid w:val="00111E8A"/>
    <w:rsid w:val="00112529"/>
    <w:rsid w:val="001127AF"/>
    <w:rsid w:val="00113667"/>
    <w:rsid w:val="00113AFA"/>
    <w:rsid w:val="00113F95"/>
    <w:rsid w:val="00114237"/>
    <w:rsid w:val="00114567"/>
    <w:rsid w:val="00114EED"/>
    <w:rsid w:val="0011553C"/>
    <w:rsid w:val="00115F47"/>
    <w:rsid w:val="00115F7F"/>
    <w:rsid w:val="00115FAC"/>
    <w:rsid w:val="001178EF"/>
    <w:rsid w:val="00117F9E"/>
    <w:rsid w:val="00117FB8"/>
    <w:rsid w:val="0012003B"/>
    <w:rsid w:val="00120CE3"/>
    <w:rsid w:val="001216F6"/>
    <w:rsid w:val="00122133"/>
    <w:rsid w:val="0012215C"/>
    <w:rsid w:val="00122625"/>
    <w:rsid w:val="001227B2"/>
    <w:rsid w:val="00122B22"/>
    <w:rsid w:val="00123376"/>
    <w:rsid w:val="001235B5"/>
    <w:rsid w:val="0012384C"/>
    <w:rsid w:val="001238EF"/>
    <w:rsid w:val="00123DFB"/>
    <w:rsid w:val="0012418B"/>
    <w:rsid w:val="001243E8"/>
    <w:rsid w:val="00125328"/>
    <w:rsid w:val="00125384"/>
    <w:rsid w:val="00126032"/>
    <w:rsid w:val="001263EA"/>
    <w:rsid w:val="0012742C"/>
    <w:rsid w:val="00127C95"/>
    <w:rsid w:val="00127E15"/>
    <w:rsid w:val="00127F9E"/>
    <w:rsid w:val="00130893"/>
    <w:rsid w:val="001319D2"/>
    <w:rsid w:val="00131C2C"/>
    <w:rsid w:val="00131FB5"/>
    <w:rsid w:val="001334C4"/>
    <w:rsid w:val="001334D1"/>
    <w:rsid w:val="00133689"/>
    <w:rsid w:val="00133BF9"/>
    <w:rsid w:val="001342FD"/>
    <w:rsid w:val="00134630"/>
    <w:rsid w:val="00134853"/>
    <w:rsid w:val="00134B2B"/>
    <w:rsid w:val="001351CE"/>
    <w:rsid w:val="00135298"/>
    <w:rsid w:val="00135808"/>
    <w:rsid w:val="00135ED6"/>
    <w:rsid w:val="00135F63"/>
    <w:rsid w:val="001366B4"/>
    <w:rsid w:val="001372BA"/>
    <w:rsid w:val="001378E1"/>
    <w:rsid w:val="00137B30"/>
    <w:rsid w:val="00137E41"/>
    <w:rsid w:val="0014027A"/>
    <w:rsid w:val="00140AA4"/>
    <w:rsid w:val="00140EED"/>
    <w:rsid w:val="001412E5"/>
    <w:rsid w:val="00141A7E"/>
    <w:rsid w:val="00141B80"/>
    <w:rsid w:val="00141FCC"/>
    <w:rsid w:val="001421BF"/>
    <w:rsid w:val="00142A44"/>
    <w:rsid w:val="001430CC"/>
    <w:rsid w:val="00143FAB"/>
    <w:rsid w:val="001445DD"/>
    <w:rsid w:val="00144918"/>
    <w:rsid w:val="00144CE6"/>
    <w:rsid w:val="00146329"/>
    <w:rsid w:val="00146BBF"/>
    <w:rsid w:val="0014720C"/>
    <w:rsid w:val="0014767C"/>
    <w:rsid w:val="00150177"/>
    <w:rsid w:val="00150AF8"/>
    <w:rsid w:val="00150CCA"/>
    <w:rsid w:val="00150FBB"/>
    <w:rsid w:val="00151670"/>
    <w:rsid w:val="00151ADF"/>
    <w:rsid w:val="0015210F"/>
    <w:rsid w:val="00152807"/>
    <w:rsid w:val="00153A34"/>
    <w:rsid w:val="0015466A"/>
    <w:rsid w:val="001546F3"/>
    <w:rsid w:val="00155C21"/>
    <w:rsid w:val="00155C41"/>
    <w:rsid w:val="00155F00"/>
    <w:rsid w:val="00156086"/>
    <w:rsid w:val="001561EE"/>
    <w:rsid w:val="0015620C"/>
    <w:rsid w:val="00156481"/>
    <w:rsid w:val="001565EA"/>
    <w:rsid w:val="00156844"/>
    <w:rsid w:val="00156889"/>
    <w:rsid w:val="00156D8D"/>
    <w:rsid w:val="001608E4"/>
    <w:rsid w:val="001614A5"/>
    <w:rsid w:val="001614BC"/>
    <w:rsid w:val="0016181F"/>
    <w:rsid w:val="0016243A"/>
    <w:rsid w:val="00162751"/>
    <w:rsid w:val="0016281F"/>
    <w:rsid w:val="00162A8C"/>
    <w:rsid w:val="0016338A"/>
    <w:rsid w:val="00163761"/>
    <w:rsid w:val="0016388F"/>
    <w:rsid w:val="00163997"/>
    <w:rsid w:val="00163C29"/>
    <w:rsid w:val="00163EB7"/>
    <w:rsid w:val="00163F59"/>
    <w:rsid w:val="00164223"/>
    <w:rsid w:val="00164E6C"/>
    <w:rsid w:val="001653AD"/>
    <w:rsid w:val="001656F8"/>
    <w:rsid w:val="00165F97"/>
    <w:rsid w:val="0016623E"/>
    <w:rsid w:val="001663F3"/>
    <w:rsid w:val="00166549"/>
    <w:rsid w:val="0016690B"/>
    <w:rsid w:val="00166E31"/>
    <w:rsid w:val="00167222"/>
    <w:rsid w:val="001675AC"/>
    <w:rsid w:val="0016792A"/>
    <w:rsid w:val="00167D64"/>
    <w:rsid w:val="00167D9D"/>
    <w:rsid w:val="00171BA5"/>
    <w:rsid w:val="0017230F"/>
    <w:rsid w:val="00172A8C"/>
    <w:rsid w:val="00172B13"/>
    <w:rsid w:val="00172EAB"/>
    <w:rsid w:val="0017327A"/>
    <w:rsid w:val="00173921"/>
    <w:rsid w:val="00173CB6"/>
    <w:rsid w:val="00174181"/>
    <w:rsid w:val="00174317"/>
    <w:rsid w:val="001747A4"/>
    <w:rsid w:val="0017497E"/>
    <w:rsid w:val="00174A8E"/>
    <w:rsid w:val="00174F1C"/>
    <w:rsid w:val="0017630B"/>
    <w:rsid w:val="00176760"/>
    <w:rsid w:val="00177047"/>
    <w:rsid w:val="00180D83"/>
    <w:rsid w:val="00181914"/>
    <w:rsid w:val="00181B28"/>
    <w:rsid w:val="00181CE7"/>
    <w:rsid w:val="0018206D"/>
    <w:rsid w:val="0018298C"/>
    <w:rsid w:val="00182B70"/>
    <w:rsid w:val="00183B76"/>
    <w:rsid w:val="00184F7C"/>
    <w:rsid w:val="00185008"/>
    <w:rsid w:val="00185C56"/>
    <w:rsid w:val="0018616C"/>
    <w:rsid w:val="0018653B"/>
    <w:rsid w:val="001867E8"/>
    <w:rsid w:val="001867F6"/>
    <w:rsid w:val="00186B86"/>
    <w:rsid w:val="00186BF8"/>
    <w:rsid w:val="00186CFA"/>
    <w:rsid w:val="00187AAE"/>
    <w:rsid w:val="00187C35"/>
    <w:rsid w:val="00187C41"/>
    <w:rsid w:val="00190146"/>
    <w:rsid w:val="001903D5"/>
    <w:rsid w:val="001907B1"/>
    <w:rsid w:val="00190913"/>
    <w:rsid w:val="00190A34"/>
    <w:rsid w:val="00191126"/>
    <w:rsid w:val="00191328"/>
    <w:rsid w:val="00191B86"/>
    <w:rsid w:val="00192EB5"/>
    <w:rsid w:val="00192F2E"/>
    <w:rsid w:val="00193097"/>
    <w:rsid w:val="0019322B"/>
    <w:rsid w:val="00193B4F"/>
    <w:rsid w:val="00193EEE"/>
    <w:rsid w:val="001940B5"/>
    <w:rsid w:val="00194391"/>
    <w:rsid w:val="0019465D"/>
    <w:rsid w:val="00194708"/>
    <w:rsid w:val="0019486F"/>
    <w:rsid w:val="001948C9"/>
    <w:rsid w:val="0019536B"/>
    <w:rsid w:val="00195921"/>
    <w:rsid w:val="00196041"/>
    <w:rsid w:val="001968D1"/>
    <w:rsid w:val="00197613"/>
    <w:rsid w:val="0019797F"/>
    <w:rsid w:val="00197C90"/>
    <w:rsid w:val="001A01FA"/>
    <w:rsid w:val="001A05C3"/>
    <w:rsid w:val="001A0956"/>
    <w:rsid w:val="001A10FD"/>
    <w:rsid w:val="001A130B"/>
    <w:rsid w:val="001A1FEE"/>
    <w:rsid w:val="001A23FD"/>
    <w:rsid w:val="001A2512"/>
    <w:rsid w:val="001A293E"/>
    <w:rsid w:val="001A2E02"/>
    <w:rsid w:val="001A30DF"/>
    <w:rsid w:val="001A34B6"/>
    <w:rsid w:val="001A3880"/>
    <w:rsid w:val="001A3DD7"/>
    <w:rsid w:val="001A418D"/>
    <w:rsid w:val="001A46C6"/>
    <w:rsid w:val="001A4D78"/>
    <w:rsid w:val="001A521B"/>
    <w:rsid w:val="001A5477"/>
    <w:rsid w:val="001A5653"/>
    <w:rsid w:val="001A590E"/>
    <w:rsid w:val="001A5D7B"/>
    <w:rsid w:val="001A661E"/>
    <w:rsid w:val="001A67E3"/>
    <w:rsid w:val="001A6933"/>
    <w:rsid w:val="001A6A05"/>
    <w:rsid w:val="001A7586"/>
    <w:rsid w:val="001A7CBE"/>
    <w:rsid w:val="001A7E4A"/>
    <w:rsid w:val="001A7EE8"/>
    <w:rsid w:val="001B01C3"/>
    <w:rsid w:val="001B01C5"/>
    <w:rsid w:val="001B0EF9"/>
    <w:rsid w:val="001B23B5"/>
    <w:rsid w:val="001B3338"/>
    <w:rsid w:val="001B33E1"/>
    <w:rsid w:val="001B415E"/>
    <w:rsid w:val="001B41C2"/>
    <w:rsid w:val="001B479F"/>
    <w:rsid w:val="001B4940"/>
    <w:rsid w:val="001B4C7D"/>
    <w:rsid w:val="001B5B0B"/>
    <w:rsid w:val="001B5B58"/>
    <w:rsid w:val="001B68A0"/>
    <w:rsid w:val="001B6BB1"/>
    <w:rsid w:val="001B7301"/>
    <w:rsid w:val="001B743B"/>
    <w:rsid w:val="001B7443"/>
    <w:rsid w:val="001B7E60"/>
    <w:rsid w:val="001C02B3"/>
    <w:rsid w:val="001C1538"/>
    <w:rsid w:val="001C1900"/>
    <w:rsid w:val="001C1D62"/>
    <w:rsid w:val="001C1E51"/>
    <w:rsid w:val="001C299A"/>
    <w:rsid w:val="001C2EC3"/>
    <w:rsid w:val="001C2EC5"/>
    <w:rsid w:val="001C3865"/>
    <w:rsid w:val="001C3A69"/>
    <w:rsid w:val="001C414F"/>
    <w:rsid w:val="001C423D"/>
    <w:rsid w:val="001C435F"/>
    <w:rsid w:val="001C4B95"/>
    <w:rsid w:val="001C4F05"/>
    <w:rsid w:val="001C4F16"/>
    <w:rsid w:val="001C5238"/>
    <w:rsid w:val="001C548E"/>
    <w:rsid w:val="001C6113"/>
    <w:rsid w:val="001C65BA"/>
    <w:rsid w:val="001C6ECF"/>
    <w:rsid w:val="001C7042"/>
    <w:rsid w:val="001C742E"/>
    <w:rsid w:val="001C7DE6"/>
    <w:rsid w:val="001D00E1"/>
    <w:rsid w:val="001D0352"/>
    <w:rsid w:val="001D0AA6"/>
    <w:rsid w:val="001D1585"/>
    <w:rsid w:val="001D18F6"/>
    <w:rsid w:val="001D1AED"/>
    <w:rsid w:val="001D200B"/>
    <w:rsid w:val="001D2161"/>
    <w:rsid w:val="001D2469"/>
    <w:rsid w:val="001D2534"/>
    <w:rsid w:val="001D2C9C"/>
    <w:rsid w:val="001D3360"/>
    <w:rsid w:val="001D3601"/>
    <w:rsid w:val="001D4783"/>
    <w:rsid w:val="001D49FE"/>
    <w:rsid w:val="001D5141"/>
    <w:rsid w:val="001D5940"/>
    <w:rsid w:val="001D5B0F"/>
    <w:rsid w:val="001D5C11"/>
    <w:rsid w:val="001D5F58"/>
    <w:rsid w:val="001D665E"/>
    <w:rsid w:val="001D6970"/>
    <w:rsid w:val="001D6FE9"/>
    <w:rsid w:val="001D7604"/>
    <w:rsid w:val="001D7F55"/>
    <w:rsid w:val="001E0395"/>
    <w:rsid w:val="001E046B"/>
    <w:rsid w:val="001E05C4"/>
    <w:rsid w:val="001E0D64"/>
    <w:rsid w:val="001E1342"/>
    <w:rsid w:val="001E18CF"/>
    <w:rsid w:val="001E1CE8"/>
    <w:rsid w:val="001E1DB7"/>
    <w:rsid w:val="001E25A1"/>
    <w:rsid w:val="001E3145"/>
    <w:rsid w:val="001E3961"/>
    <w:rsid w:val="001E3BE5"/>
    <w:rsid w:val="001E409E"/>
    <w:rsid w:val="001E4EF6"/>
    <w:rsid w:val="001E4F9A"/>
    <w:rsid w:val="001E530B"/>
    <w:rsid w:val="001E5925"/>
    <w:rsid w:val="001E5F08"/>
    <w:rsid w:val="001E62C3"/>
    <w:rsid w:val="001E686A"/>
    <w:rsid w:val="001E6DE5"/>
    <w:rsid w:val="001E72DD"/>
    <w:rsid w:val="001E74A9"/>
    <w:rsid w:val="001E7608"/>
    <w:rsid w:val="001E7F81"/>
    <w:rsid w:val="001F015D"/>
    <w:rsid w:val="001F0202"/>
    <w:rsid w:val="001F02EC"/>
    <w:rsid w:val="001F03F8"/>
    <w:rsid w:val="001F0720"/>
    <w:rsid w:val="001F074A"/>
    <w:rsid w:val="001F17A4"/>
    <w:rsid w:val="001F18C1"/>
    <w:rsid w:val="001F1CFD"/>
    <w:rsid w:val="001F221F"/>
    <w:rsid w:val="001F2423"/>
    <w:rsid w:val="001F261E"/>
    <w:rsid w:val="001F2A8F"/>
    <w:rsid w:val="001F31EC"/>
    <w:rsid w:val="001F3A49"/>
    <w:rsid w:val="001F401D"/>
    <w:rsid w:val="001F501D"/>
    <w:rsid w:val="001F5097"/>
    <w:rsid w:val="001F5612"/>
    <w:rsid w:val="001F5ABA"/>
    <w:rsid w:val="001F6159"/>
    <w:rsid w:val="001F6220"/>
    <w:rsid w:val="001F6362"/>
    <w:rsid w:val="001F6480"/>
    <w:rsid w:val="001F6B52"/>
    <w:rsid w:val="001F772C"/>
    <w:rsid w:val="001F7A07"/>
    <w:rsid w:val="001F7E9A"/>
    <w:rsid w:val="001F7FED"/>
    <w:rsid w:val="002007FE"/>
    <w:rsid w:val="00200C30"/>
    <w:rsid w:val="002010B6"/>
    <w:rsid w:val="00201A77"/>
    <w:rsid w:val="00201C11"/>
    <w:rsid w:val="0020267F"/>
    <w:rsid w:val="00202CFE"/>
    <w:rsid w:val="00203524"/>
    <w:rsid w:val="00203572"/>
    <w:rsid w:val="00203ADA"/>
    <w:rsid w:val="00203AE6"/>
    <w:rsid w:val="00203E94"/>
    <w:rsid w:val="00204454"/>
    <w:rsid w:val="00204E80"/>
    <w:rsid w:val="00205178"/>
    <w:rsid w:val="002056E4"/>
    <w:rsid w:val="00205F83"/>
    <w:rsid w:val="00206142"/>
    <w:rsid w:val="00206702"/>
    <w:rsid w:val="0020732C"/>
    <w:rsid w:val="00210648"/>
    <w:rsid w:val="0021096A"/>
    <w:rsid w:val="00210ACC"/>
    <w:rsid w:val="00210C19"/>
    <w:rsid w:val="00210FC4"/>
    <w:rsid w:val="00211456"/>
    <w:rsid w:val="00211745"/>
    <w:rsid w:val="00211846"/>
    <w:rsid w:val="002118B6"/>
    <w:rsid w:val="00211A5E"/>
    <w:rsid w:val="00211F3F"/>
    <w:rsid w:val="002122BF"/>
    <w:rsid w:val="00212733"/>
    <w:rsid w:val="00212EE1"/>
    <w:rsid w:val="002132EA"/>
    <w:rsid w:val="002137D7"/>
    <w:rsid w:val="00213A32"/>
    <w:rsid w:val="00214023"/>
    <w:rsid w:val="00214026"/>
    <w:rsid w:val="00214039"/>
    <w:rsid w:val="002141BC"/>
    <w:rsid w:val="0021440A"/>
    <w:rsid w:val="00214C71"/>
    <w:rsid w:val="00214FAF"/>
    <w:rsid w:val="002153E8"/>
    <w:rsid w:val="00215835"/>
    <w:rsid w:val="00215BD2"/>
    <w:rsid w:val="00215D37"/>
    <w:rsid w:val="00215DEB"/>
    <w:rsid w:val="00215F52"/>
    <w:rsid w:val="002168E2"/>
    <w:rsid w:val="002168F8"/>
    <w:rsid w:val="00216A38"/>
    <w:rsid w:val="002176A1"/>
    <w:rsid w:val="00217A5A"/>
    <w:rsid w:val="00217E64"/>
    <w:rsid w:val="002208AB"/>
    <w:rsid w:val="002211C3"/>
    <w:rsid w:val="002223A0"/>
    <w:rsid w:val="002224CE"/>
    <w:rsid w:val="00222A4F"/>
    <w:rsid w:val="00222AF6"/>
    <w:rsid w:val="00222B7E"/>
    <w:rsid w:val="00223125"/>
    <w:rsid w:val="00223236"/>
    <w:rsid w:val="002233EF"/>
    <w:rsid w:val="002234A0"/>
    <w:rsid w:val="002235DE"/>
    <w:rsid w:val="00223A84"/>
    <w:rsid w:val="002243C6"/>
    <w:rsid w:val="00224471"/>
    <w:rsid w:val="002247CC"/>
    <w:rsid w:val="00224956"/>
    <w:rsid w:val="00224C45"/>
    <w:rsid w:val="00224D71"/>
    <w:rsid w:val="00225548"/>
    <w:rsid w:val="00225672"/>
    <w:rsid w:val="00225793"/>
    <w:rsid w:val="00225A75"/>
    <w:rsid w:val="00225F0A"/>
    <w:rsid w:val="002277A6"/>
    <w:rsid w:val="002278B2"/>
    <w:rsid w:val="00227AC0"/>
    <w:rsid w:val="0023017E"/>
    <w:rsid w:val="00230758"/>
    <w:rsid w:val="00230974"/>
    <w:rsid w:val="0023185E"/>
    <w:rsid w:val="00231942"/>
    <w:rsid w:val="00231B27"/>
    <w:rsid w:val="0023298B"/>
    <w:rsid w:val="002329D6"/>
    <w:rsid w:val="00232C93"/>
    <w:rsid w:val="00233715"/>
    <w:rsid w:val="002338EB"/>
    <w:rsid w:val="00233DC7"/>
    <w:rsid w:val="00234206"/>
    <w:rsid w:val="00234B20"/>
    <w:rsid w:val="00234D5D"/>
    <w:rsid w:val="00234E1C"/>
    <w:rsid w:val="00234ED2"/>
    <w:rsid w:val="00234F7B"/>
    <w:rsid w:val="00234FD7"/>
    <w:rsid w:val="00235561"/>
    <w:rsid w:val="00235694"/>
    <w:rsid w:val="0023593F"/>
    <w:rsid w:val="00235CAE"/>
    <w:rsid w:val="00235E39"/>
    <w:rsid w:val="00236B0A"/>
    <w:rsid w:val="00236DAD"/>
    <w:rsid w:val="00236EB3"/>
    <w:rsid w:val="00237362"/>
    <w:rsid w:val="0023752F"/>
    <w:rsid w:val="00237916"/>
    <w:rsid w:val="00240956"/>
    <w:rsid w:val="00240A3D"/>
    <w:rsid w:val="00240C5B"/>
    <w:rsid w:val="00240DF0"/>
    <w:rsid w:val="00240F14"/>
    <w:rsid w:val="00241013"/>
    <w:rsid w:val="002410E6"/>
    <w:rsid w:val="002414A9"/>
    <w:rsid w:val="002417BF"/>
    <w:rsid w:val="00241DDA"/>
    <w:rsid w:val="002420A0"/>
    <w:rsid w:val="0024215D"/>
    <w:rsid w:val="002423A3"/>
    <w:rsid w:val="00242571"/>
    <w:rsid w:val="002427A8"/>
    <w:rsid w:val="002428AE"/>
    <w:rsid w:val="00243242"/>
    <w:rsid w:val="00243258"/>
    <w:rsid w:val="002435DB"/>
    <w:rsid w:val="0024377C"/>
    <w:rsid w:val="0024385D"/>
    <w:rsid w:val="00243A07"/>
    <w:rsid w:val="00243B82"/>
    <w:rsid w:val="00243EDE"/>
    <w:rsid w:val="00245245"/>
    <w:rsid w:val="00245FCC"/>
    <w:rsid w:val="002464C9"/>
    <w:rsid w:val="002465AB"/>
    <w:rsid w:val="00246987"/>
    <w:rsid w:val="002469C7"/>
    <w:rsid w:val="00246E99"/>
    <w:rsid w:val="0024747B"/>
    <w:rsid w:val="00247779"/>
    <w:rsid w:val="00247D3D"/>
    <w:rsid w:val="00250D37"/>
    <w:rsid w:val="00251035"/>
    <w:rsid w:val="00251431"/>
    <w:rsid w:val="0025178C"/>
    <w:rsid w:val="00252843"/>
    <w:rsid w:val="00252E75"/>
    <w:rsid w:val="00253333"/>
    <w:rsid w:val="00253C69"/>
    <w:rsid w:val="00253D6B"/>
    <w:rsid w:val="0025401D"/>
    <w:rsid w:val="00254156"/>
    <w:rsid w:val="00254C32"/>
    <w:rsid w:val="00254E7F"/>
    <w:rsid w:val="00254FEC"/>
    <w:rsid w:val="002555FC"/>
    <w:rsid w:val="00255E24"/>
    <w:rsid w:val="00257E2B"/>
    <w:rsid w:val="0026018A"/>
    <w:rsid w:val="0026053A"/>
    <w:rsid w:val="00260604"/>
    <w:rsid w:val="002607F6"/>
    <w:rsid w:val="0026151F"/>
    <w:rsid w:val="00261814"/>
    <w:rsid w:val="00262709"/>
    <w:rsid w:val="00262AB5"/>
    <w:rsid w:val="00263357"/>
    <w:rsid w:val="0026441F"/>
    <w:rsid w:val="00264957"/>
    <w:rsid w:val="00264EC9"/>
    <w:rsid w:val="002656A7"/>
    <w:rsid w:val="00265F37"/>
    <w:rsid w:val="00266094"/>
    <w:rsid w:val="002661FD"/>
    <w:rsid w:val="0026636B"/>
    <w:rsid w:val="002668A8"/>
    <w:rsid w:val="002669CD"/>
    <w:rsid w:val="00266B95"/>
    <w:rsid w:val="00266ECF"/>
    <w:rsid w:val="002671E3"/>
    <w:rsid w:val="0027038E"/>
    <w:rsid w:val="0027040E"/>
    <w:rsid w:val="002712F0"/>
    <w:rsid w:val="00271392"/>
    <w:rsid w:val="00271970"/>
    <w:rsid w:val="00271D67"/>
    <w:rsid w:val="002722A0"/>
    <w:rsid w:val="002723DB"/>
    <w:rsid w:val="002724CC"/>
    <w:rsid w:val="00273BF4"/>
    <w:rsid w:val="00274E02"/>
    <w:rsid w:val="00275EBF"/>
    <w:rsid w:val="002760E9"/>
    <w:rsid w:val="00276423"/>
    <w:rsid w:val="00276610"/>
    <w:rsid w:val="002766CD"/>
    <w:rsid w:val="00277026"/>
    <w:rsid w:val="00277178"/>
    <w:rsid w:val="00277358"/>
    <w:rsid w:val="00277CD7"/>
    <w:rsid w:val="0028031F"/>
    <w:rsid w:val="002806B0"/>
    <w:rsid w:val="00280B7D"/>
    <w:rsid w:val="00280EE7"/>
    <w:rsid w:val="00280F31"/>
    <w:rsid w:val="0028114F"/>
    <w:rsid w:val="002818BA"/>
    <w:rsid w:val="00281CBE"/>
    <w:rsid w:val="00281CE0"/>
    <w:rsid w:val="00282ABE"/>
    <w:rsid w:val="00282BB9"/>
    <w:rsid w:val="00282C28"/>
    <w:rsid w:val="00283827"/>
    <w:rsid w:val="00283D29"/>
    <w:rsid w:val="00283E3A"/>
    <w:rsid w:val="0028503D"/>
    <w:rsid w:val="002850BD"/>
    <w:rsid w:val="00285BEE"/>
    <w:rsid w:val="00285ECE"/>
    <w:rsid w:val="00286360"/>
    <w:rsid w:val="002868FA"/>
    <w:rsid w:val="00286C27"/>
    <w:rsid w:val="00286C7A"/>
    <w:rsid w:val="00286DC2"/>
    <w:rsid w:val="0028739E"/>
    <w:rsid w:val="002876EF"/>
    <w:rsid w:val="002877D6"/>
    <w:rsid w:val="00287E40"/>
    <w:rsid w:val="0029051D"/>
    <w:rsid w:val="00290F4B"/>
    <w:rsid w:val="00290FE4"/>
    <w:rsid w:val="002927FE"/>
    <w:rsid w:val="00293680"/>
    <w:rsid w:val="00293C99"/>
    <w:rsid w:val="00293D08"/>
    <w:rsid w:val="002945A8"/>
    <w:rsid w:val="0029466A"/>
    <w:rsid w:val="00294688"/>
    <w:rsid w:val="00294D64"/>
    <w:rsid w:val="00294E66"/>
    <w:rsid w:val="0029533F"/>
    <w:rsid w:val="002956A8"/>
    <w:rsid w:val="00295BD5"/>
    <w:rsid w:val="00295FE0"/>
    <w:rsid w:val="002960D9"/>
    <w:rsid w:val="00296736"/>
    <w:rsid w:val="00297A95"/>
    <w:rsid w:val="00297D9B"/>
    <w:rsid w:val="002A07A0"/>
    <w:rsid w:val="002A0AF1"/>
    <w:rsid w:val="002A0E28"/>
    <w:rsid w:val="002A1059"/>
    <w:rsid w:val="002A1589"/>
    <w:rsid w:val="002A180D"/>
    <w:rsid w:val="002A18AB"/>
    <w:rsid w:val="002A2182"/>
    <w:rsid w:val="002A2A42"/>
    <w:rsid w:val="002A2B1D"/>
    <w:rsid w:val="002A2C8A"/>
    <w:rsid w:val="002A2E4E"/>
    <w:rsid w:val="002A31F3"/>
    <w:rsid w:val="002A399E"/>
    <w:rsid w:val="002A3C1B"/>
    <w:rsid w:val="002A3C64"/>
    <w:rsid w:val="002A3FD0"/>
    <w:rsid w:val="002A41B0"/>
    <w:rsid w:val="002A4493"/>
    <w:rsid w:val="002A523D"/>
    <w:rsid w:val="002A5D2E"/>
    <w:rsid w:val="002A60D7"/>
    <w:rsid w:val="002A64CA"/>
    <w:rsid w:val="002A68AD"/>
    <w:rsid w:val="002A740D"/>
    <w:rsid w:val="002A776C"/>
    <w:rsid w:val="002A78E0"/>
    <w:rsid w:val="002A7A95"/>
    <w:rsid w:val="002B026A"/>
    <w:rsid w:val="002B0929"/>
    <w:rsid w:val="002B097C"/>
    <w:rsid w:val="002B1077"/>
    <w:rsid w:val="002B124C"/>
    <w:rsid w:val="002B1714"/>
    <w:rsid w:val="002B1D40"/>
    <w:rsid w:val="002B245F"/>
    <w:rsid w:val="002B27D4"/>
    <w:rsid w:val="002B30AF"/>
    <w:rsid w:val="002B3B6C"/>
    <w:rsid w:val="002B3D21"/>
    <w:rsid w:val="002B3FA6"/>
    <w:rsid w:val="002B453F"/>
    <w:rsid w:val="002B46AB"/>
    <w:rsid w:val="002B47F1"/>
    <w:rsid w:val="002B4FED"/>
    <w:rsid w:val="002B5116"/>
    <w:rsid w:val="002B5298"/>
    <w:rsid w:val="002B547B"/>
    <w:rsid w:val="002B54D8"/>
    <w:rsid w:val="002B590B"/>
    <w:rsid w:val="002B5EC2"/>
    <w:rsid w:val="002B62C1"/>
    <w:rsid w:val="002B685D"/>
    <w:rsid w:val="002B6E25"/>
    <w:rsid w:val="002B74FE"/>
    <w:rsid w:val="002B76CC"/>
    <w:rsid w:val="002B7B53"/>
    <w:rsid w:val="002C049B"/>
    <w:rsid w:val="002C0601"/>
    <w:rsid w:val="002C20C4"/>
    <w:rsid w:val="002C217E"/>
    <w:rsid w:val="002C29E8"/>
    <w:rsid w:val="002C2C49"/>
    <w:rsid w:val="002C3790"/>
    <w:rsid w:val="002C3E62"/>
    <w:rsid w:val="002C3E9A"/>
    <w:rsid w:val="002C482A"/>
    <w:rsid w:val="002C53A6"/>
    <w:rsid w:val="002C5CAF"/>
    <w:rsid w:val="002C6068"/>
    <w:rsid w:val="002C6A4C"/>
    <w:rsid w:val="002C6B58"/>
    <w:rsid w:val="002C6DE4"/>
    <w:rsid w:val="002C7A5B"/>
    <w:rsid w:val="002C7B80"/>
    <w:rsid w:val="002D0876"/>
    <w:rsid w:val="002D0AE8"/>
    <w:rsid w:val="002D1448"/>
    <w:rsid w:val="002D14BA"/>
    <w:rsid w:val="002D244B"/>
    <w:rsid w:val="002D2541"/>
    <w:rsid w:val="002D2B9B"/>
    <w:rsid w:val="002D2C6B"/>
    <w:rsid w:val="002D30E6"/>
    <w:rsid w:val="002D3658"/>
    <w:rsid w:val="002D3EB4"/>
    <w:rsid w:val="002D476C"/>
    <w:rsid w:val="002D511A"/>
    <w:rsid w:val="002D51AD"/>
    <w:rsid w:val="002D5A4A"/>
    <w:rsid w:val="002D5BEE"/>
    <w:rsid w:val="002D614B"/>
    <w:rsid w:val="002D6257"/>
    <w:rsid w:val="002D6370"/>
    <w:rsid w:val="002D659E"/>
    <w:rsid w:val="002D74F7"/>
    <w:rsid w:val="002D7F2E"/>
    <w:rsid w:val="002E051D"/>
    <w:rsid w:val="002E09A6"/>
    <w:rsid w:val="002E0C47"/>
    <w:rsid w:val="002E0DFA"/>
    <w:rsid w:val="002E0F05"/>
    <w:rsid w:val="002E1029"/>
    <w:rsid w:val="002E14A6"/>
    <w:rsid w:val="002E1DD9"/>
    <w:rsid w:val="002E1E94"/>
    <w:rsid w:val="002E24C6"/>
    <w:rsid w:val="002E2C12"/>
    <w:rsid w:val="002E3205"/>
    <w:rsid w:val="002E3CDD"/>
    <w:rsid w:val="002E43AA"/>
    <w:rsid w:val="002E49B8"/>
    <w:rsid w:val="002E5871"/>
    <w:rsid w:val="002E59C7"/>
    <w:rsid w:val="002E7233"/>
    <w:rsid w:val="002E7477"/>
    <w:rsid w:val="002E77C3"/>
    <w:rsid w:val="002E7A67"/>
    <w:rsid w:val="002F0993"/>
    <w:rsid w:val="002F0B65"/>
    <w:rsid w:val="002F0C67"/>
    <w:rsid w:val="002F12D4"/>
    <w:rsid w:val="002F16C9"/>
    <w:rsid w:val="002F2007"/>
    <w:rsid w:val="002F20B4"/>
    <w:rsid w:val="002F21A7"/>
    <w:rsid w:val="002F2517"/>
    <w:rsid w:val="002F290E"/>
    <w:rsid w:val="002F2C17"/>
    <w:rsid w:val="002F2E20"/>
    <w:rsid w:val="002F2EAB"/>
    <w:rsid w:val="002F32D5"/>
    <w:rsid w:val="002F4317"/>
    <w:rsid w:val="002F433C"/>
    <w:rsid w:val="002F4BEC"/>
    <w:rsid w:val="002F4C18"/>
    <w:rsid w:val="002F514F"/>
    <w:rsid w:val="002F53CF"/>
    <w:rsid w:val="002F580D"/>
    <w:rsid w:val="002F5A16"/>
    <w:rsid w:val="002F5F1A"/>
    <w:rsid w:val="002F61CE"/>
    <w:rsid w:val="002F627B"/>
    <w:rsid w:val="002F6E72"/>
    <w:rsid w:val="002F7457"/>
    <w:rsid w:val="002F7CD4"/>
    <w:rsid w:val="003003B3"/>
    <w:rsid w:val="0030072B"/>
    <w:rsid w:val="00300B59"/>
    <w:rsid w:val="00300BA8"/>
    <w:rsid w:val="00300E07"/>
    <w:rsid w:val="003011E8"/>
    <w:rsid w:val="00301352"/>
    <w:rsid w:val="0030229D"/>
    <w:rsid w:val="0030295C"/>
    <w:rsid w:val="00303351"/>
    <w:rsid w:val="00303555"/>
    <w:rsid w:val="00303CF3"/>
    <w:rsid w:val="003040A9"/>
    <w:rsid w:val="0030412E"/>
    <w:rsid w:val="003043EB"/>
    <w:rsid w:val="00304FEF"/>
    <w:rsid w:val="003052BE"/>
    <w:rsid w:val="00305329"/>
    <w:rsid w:val="00305BC0"/>
    <w:rsid w:val="0030600E"/>
    <w:rsid w:val="003060B9"/>
    <w:rsid w:val="0030633F"/>
    <w:rsid w:val="00306B31"/>
    <w:rsid w:val="003072FE"/>
    <w:rsid w:val="00307C7A"/>
    <w:rsid w:val="0031011A"/>
    <w:rsid w:val="003105DC"/>
    <w:rsid w:val="003106E2"/>
    <w:rsid w:val="00310B63"/>
    <w:rsid w:val="00310F60"/>
    <w:rsid w:val="003112E2"/>
    <w:rsid w:val="00311932"/>
    <w:rsid w:val="003128F7"/>
    <w:rsid w:val="003128FE"/>
    <w:rsid w:val="003129B0"/>
    <w:rsid w:val="00312A17"/>
    <w:rsid w:val="00312AFA"/>
    <w:rsid w:val="00313A1B"/>
    <w:rsid w:val="003141BF"/>
    <w:rsid w:val="003141F3"/>
    <w:rsid w:val="003142BD"/>
    <w:rsid w:val="00314889"/>
    <w:rsid w:val="00314A0C"/>
    <w:rsid w:val="00314A29"/>
    <w:rsid w:val="00314DF3"/>
    <w:rsid w:val="00314F7A"/>
    <w:rsid w:val="00314F8A"/>
    <w:rsid w:val="00315542"/>
    <w:rsid w:val="00315AA3"/>
    <w:rsid w:val="00316108"/>
    <w:rsid w:val="003162F1"/>
    <w:rsid w:val="003164BA"/>
    <w:rsid w:val="00317567"/>
    <w:rsid w:val="0031758D"/>
    <w:rsid w:val="003177C4"/>
    <w:rsid w:val="003179F4"/>
    <w:rsid w:val="00320AD5"/>
    <w:rsid w:val="00320D57"/>
    <w:rsid w:val="00321584"/>
    <w:rsid w:val="00321628"/>
    <w:rsid w:val="003216B7"/>
    <w:rsid w:val="00321732"/>
    <w:rsid w:val="00321837"/>
    <w:rsid w:val="0032252A"/>
    <w:rsid w:val="003225F1"/>
    <w:rsid w:val="0032299E"/>
    <w:rsid w:val="00322F0C"/>
    <w:rsid w:val="0032320B"/>
    <w:rsid w:val="003236B5"/>
    <w:rsid w:val="00324175"/>
    <w:rsid w:val="00324A27"/>
    <w:rsid w:val="00324B43"/>
    <w:rsid w:val="003253F7"/>
    <w:rsid w:val="003256BA"/>
    <w:rsid w:val="003256FC"/>
    <w:rsid w:val="003257AF"/>
    <w:rsid w:val="00325E1B"/>
    <w:rsid w:val="00326B14"/>
    <w:rsid w:val="0032709C"/>
    <w:rsid w:val="00327316"/>
    <w:rsid w:val="00327A87"/>
    <w:rsid w:val="00327B02"/>
    <w:rsid w:val="00330595"/>
    <w:rsid w:val="003308BF"/>
    <w:rsid w:val="00330FD6"/>
    <w:rsid w:val="003320FB"/>
    <w:rsid w:val="0033270B"/>
    <w:rsid w:val="00332865"/>
    <w:rsid w:val="00332BA1"/>
    <w:rsid w:val="00332BAF"/>
    <w:rsid w:val="00332D9A"/>
    <w:rsid w:val="00333185"/>
    <w:rsid w:val="0033344A"/>
    <w:rsid w:val="00333ABC"/>
    <w:rsid w:val="00334533"/>
    <w:rsid w:val="003347AC"/>
    <w:rsid w:val="0033480B"/>
    <w:rsid w:val="0033486B"/>
    <w:rsid w:val="0033492F"/>
    <w:rsid w:val="00335344"/>
    <w:rsid w:val="00335748"/>
    <w:rsid w:val="0033580F"/>
    <w:rsid w:val="00335A0D"/>
    <w:rsid w:val="00335AF1"/>
    <w:rsid w:val="00335B01"/>
    <w:rsid w:val="00335D6B"/>
    <w:rsid w:val="00335D92"/>
    <w:rsid w:val="00336350"/>
    <w:rsid w:val="00336DF7"/>
    <w:rsid w:val="0034053B"/>
    <w:rsid w:val="00340F7A"/>
    <w:rsid w:val="00341680"/>
    <w:rsid w:val="00341F3F"/>
    <w:rsid w:val="00342160"/>
    <w:rsid w:val="0034269C"/>
    <w:rsid w:val="003426D7"/>
    <w:rsid w:val="00343321"/>
    <w:rsid w:val="003435D3"/>
    <w:rsid w:val="0034382B"/>
    <w:rsid w:val="00343BF6"/>
    <w:rsid w:val="0034467C"/>
    <w:rsid w:val="003446E4"/>
    <w:rsid w:val="0034485F"/>
    <w:rsid w:val="00344D2E"/>
    <w:rsid w:val="0034531D"/>
    <w:rsid w:val="003456F6"/>
    <w:rsid w:val="003462DA"/>
    <w:rsid w:val="00346944"/>
    <w:rsid w:val="00346E13"/>
    <w:rsid w:val="003470DE"/>
    <w:rsid w:val="003501A4"/>
    <w:rsid w:val="00350AF5"/>
    <w:rsid w:val="00350BE9"/>
    <w:rsid w:val="00350FFC"/>
    <w:rsid w:val="0035137F"/>
    <w:rsid w:val="003513AC"/>
    <w:rsid w:val="003522F0"/>
    <w:rsid w:val="0035292A"/>
    <w:rsid w:val="00353564"/>
    <w:rsid w:val="003536DF"/>
    <w:rsid w:val="00354533"/>
    <w:rsid w:val="00355154"/>
    <w:rsid w:val="003555BA"/>
    <w:rsid w:val="00355A93"/>
    <w:rsid w:val="00355B27"/>
    <w:rsid w:val="00355E02"/>
    <w:rsid w:val="0035688B"/>
    <w:rsid w:val="00356BDA"/>
    <w:rsid w:val="0035702E"/>
    <w:rsid w:val="00357A42"/>
    <w:rsid w:val="00357A98"/>
    <w:rsid w:val="00357CE8"/>
    <w:rsid w:val="00357F71"/>
    <w:rsid w:val="003600EF"/>
    <w:rsid w:val="00360967"/>
    <w:rsid w:val="00360AB5"/>
    <w:rsid w:val="00360D19"/>
    <w:rsid w:val="0036125C"/>
    <w:rsid w:val="003619CA"/>
    <w:rsid w:val="00361D4D"/>
    <w:rsid w:val="003622F3"/>
    <w:rsid w:val="003624F1"/>
    <w:rsid w:val="003628D8"/>
    <w:rsid w:val="00362AF4"/>
    <w:rsid w:val="00363509"/>
    <w:rsid w:val="00363923"/>
    <w:rsid w:val="00363C54"/>
    <w:rsid w:val="003640E1"/>
    <w:rsid w:val="00364295"/>
    <w:rsid w:val="00364705"/>
    <w:rsid w:val="0036512A"/>
    <w:rsid w:val="003651D2"/>
    <w:rsid w:val="003655E4"/>
    <w:rsid w:val="00365768"/>
    <w:rsid w:val="00365B7C"/>
    <w:rsid w:val="00366002"/>
    <w:rsid w:val="0036601D"/>
    <w:rsid w:val="00366827"/>
    <w:rsid w:val="00366E59"/>
    <w:rsid w:val="00367017"/>
    <w:rsid w:val="00367044"/>
    <w:rsid w:val="0036750D"/>
    <w:rsid w:val="003675B1"/>
    <w:rsid w:val="00370170"/>
    <w:rsid w:val="0037024D"/>
    <w:rsid w:val="003704B6"/>
    <w:rsid w:val="00370544"/>
    <w:rsid w:val="00370A72"/>
    <w:rsid w:val="00370F7F"/>
    <w:rsid w:val="00371547"/>
    <w:rsid w:val="0037157B"/>
    <w:rsid w:val="00371E57"/>
    <w:rsid w:val="003726ED"/>
    <w:rsid w:val="00373457"/>
    <w:rsid w:val="00373BDF"/>
    <w:rsid w:val="00373D1B"/>
    <w:rsid w:val="00373D5E"/>
    <w:rsid w:val="0037445B"/>
    <w:rsid w:val="003748E8"/>
    <w:rsid w:val="003754A8"/>
    <w:rsid w:val="00375A30"/>
    <w:rsid w:val="00375F52"/>
    <w:rsid w:val="0037609D"/>
    <w:rsid w:val="003760A4"/>
    <w:rsid w:val="00376C0C"/>
    <w:rsid w:val="00376C21"/>
    <w:rsid w:val="00376CA4"/>
    <w:rsid w:val="003775B4"/>
    <w:rsid w:val="003778F2"/>
    <w:rsid w:val="00377E7A"/>
    <w:rsid w:val="00380C84"/>
    <w:rsid w:val="00380CCD"/>
    <w:rsid w:val="00381108"/>
    <w:rsid w:val="0038188C"/>
    <w:rsid w:val="00381A2D"/>
    <w:rsid w:val="00381B30"/>
    <w:rsid w:val="00381E1C"/>
    <w:rsid w:val="003821DA"/>
    <w:rsid w:val="00382C56"/>
    <w:rsid w:val="00382D4B"/>
    <w:rsid w:val="003830EE"/>
    <w:rsid w:val="003839F9"/>
    <w:rsid w:val="00383B00"/>
    <w:rsid w:val="00383E1A"/>
    <w:rsid w:val="00383F56"/>
    <w:rsid w:val="00384676"/>
    <w:rsid w:val="003847B9"/>
    <w:rsid w:val="00384B8F"/>
    <w:rsid w:val="00385032"/>
    <w:rsid w:val="00385254"/>
    <w:rsid w:val="00387A51"/>
    <w:rsid w:val="00387B9C"/>
    <w:rsid w:val="00390617"/>
    <w:rsid w:val="003906C3"/>
    <w:rsid w:val="00391070"/>
    <w:rsid w:val="00391506"/>
    <w:rsid w:val="003916F4"/>
    <w:rsid w:val="00391A38"/>
    <w:rsid w:val="0039202E"/>
    <w:rsid w:val="0039281C"/>
    <w:rsid w:val="00392D5C"/>
    <w:rsid w:val="00393B23"/>
    <w:rsid w:val="003940F3"/>
    <w:rsid w:val="00394407"/>
    <w:rsid w:val="0039473A"/>
    <w:rsid w:val="00394AC4"/>
    <w:rsid w:val="00394AD1"/>
    <w:rsid w:val="00394ECD"/>
    <w:rsid w:val="0039501B"/>
    <w:rsid w:val="00395987"/>
    <w:rsid w:val="00396037"/>
    <w:rsid w:val="00396A1C"/>
    <w:rsid w:val="00396ADF"/>
    <w:rsid w:val="00396E60"/>
    <w:rsid w:val="00396EDC"/>
    <w:rsid w:val="00397311"/>
    <w:rsid w:val="00397802"/>
    <w:rsid w:val="003978A8"/>
    <w:rsid w:val="003A0416"/>
    <w:rsid w:val="003A0478"/>
    <w:rsid w:val="003A1042"/>
    <w:rsid w:val="003A16D6"/>
    <w:rsid w:val="003A17D9"/>
    <w:rsid w:val="003A196A"/>
    <w:rsid w:val="003A3778"/>
    <w:rsid w:val="003A3836"/>
    <w:rsid w:val="003A4057"/>
    <w:rsid w:val="003A42B9"/>
    <w:rsid w:val="003A4D26"/>
    <w:rsid w:val="003A55C7"/>
    <w:rsid w:val="003A57C0"/>
    <w:rsid w:val="003A5A46"/>
    <w:rsid w:val="003A5D3D"/>
    <w:rsid w:val="003A620A"/>
    <w:rsid w:val="003A65CD"/>
    <w:rsid w:val="003A6D20"/>
    <w:rsid w:val="003A6D87"/>
    <w:rsid w:val="003A7378"/>
    <w:rsid w:val="003A77F3"/>
    <w:rsid w:val="003B080D"/>
    <w:rsid w:val="003B0A24"/>
    <w:rsid w:val="003B0B27"/>
    <w:rsid w:val="003B12DE"/>
    <w:rsid w:val="003B15F9"/>
    <w:rsid w:val="003B18FE"/>
    <w:rsid w:val="003B19ED"/>
    <w:rsid w:val="003B1C9F"/>
    <w:rsid w:val="003B2AF4"/>
    <w:rsid w:val="003B2DAB"/>
    <w:rsid w:val="003B2ED3"/>
    <w:rsid w:val="003B34A0"/>
    <w:rsid w:val="003B42FD"/>
    <w:rsid w:val="003B4525"/>
    <w:rsid w:val="003B4A06"/>
    <w:rsid w:val="003B5015"/>
    <w:rsid w:val="003B5A0F"/>
    <w:rsid w:val="003B5B89"/>
    <w:rsid w:val="003B5D63"/>
    <w:rsid w:val="003B607B"/>
    <w:rsid w:val="003B61D6"/>
    <w:rsid w:val="003B6EB1"/>
    <w:rsid w:val="003B7829"/>
    <w:rsid w:val="003B7E0A"/>
    <w:rsid w:val="003B7EA3"/>
    <w:rsid w:val="003C0070"/>
    <w:rsid w:val="003C0A3E"/>
    <w:rsid w:val="003C0DD7"/>
    <w:rsid w:val="003C1093"/>
    <w:rsid w:val="003C1BE0"/>
    <w:rsid w:val="003C1C4C"/>
    <w:rsid w:val="003C21EE"/>
    <w:rsid w:val="003C2529"/>
    <w:rsid w:val="003C2A0D"/>
    <w:rsid w:val="003C2C9E"/>
    <w:rsid w:val="003C32E3"/>
    <w:rsid w:val="003C3601"/>
    <w:rsid w:val="003C3E35"/>
    <w:rsid w:val="003C3EA1"/>
    <w:rsid w:val="003C43A2"/>
    <w:rsid w:val="003C4842"/>
    <w:rsid w:val="003C4DC3"/>
    <w:rsid w:val="003C509E"/>
    <w:rsid w:val="003C6263"/>
    <w:rsid w:val="003C645D"/>
    <w:rsid w:val="003C690D"/>
    <w:rsid w:val="003C6D8B"/>
    <w:rsid w:val="003C71F9"/>
    <w:rsid w:val="003C7D57"/>
    <w:rsid w:val="003D0329"/>
    <w:rsid w:val="003D0832"/>
    <w:rsid w:val="003D0EE1"/>
    <w:rsid w:val="003D1667"/>
    <w:rsid w:val="003D1B62"/>
    <w:rsid w:val="003D2298"/>
    <w:rsid w:val="003D27D2"/>
    <w:rsid w:val="003D2BBB"/>
    <w:rsid w:val="003D2F34"/>
    <w:rsid w:val="003D387C"/>
    <w:rsid w:val="003D3E66"/>
    <w:rsid w:val="003D426A"/>
    <w:rsid w:val="003D4768"/>
    <w:rsid w:val="003D4897"/>
    <w:rsid w:val="003D4DD0"/>
    <w:rsid w:val="003D5345"/>
    <w:rsid w:val="003D558D"/>
    <w:rsid w:val="003D5611"/>
    <w:rsid w:val="003D6D92"/>
    <w:rsid w:val="003D71C6"/>
    <w:rsid w:val="003D71C9"/>
    <w:rsid w:val="003D72DE"/>
    <w:rsid w:val="003D7795"/>
    <w:rsid w:val="003D7BCE"/>
    <w:rsid w:val="003D7E1B"/>
    <w:rsid w:val="003E0019"/>
    <w:rsid w:val="003E0098"/>
    <w:rsid w:val="003E029F"/>
    <w:rsid w:val="003E03EC"/>
    <w:rsid w:val="003E0F53"/>
    <w:rsid w:val="003E14DA"/>
    <w:rsid w:val="003E1525"/>
    <w:rsid w:val="003E1827"/>
    <w:rsid w:val="003E1ABB"/>
    <w:rsid w:val="003E20D2"/>
    <w:rsid w:val="003E23FE"/>
    <w:rsid w:val="003E3015"/>
    <w:rsid w:val="003E3E46"/>
    <w:rsid w:val="003E3F59"/>
    <w:rsid w:val="003E4629"/>
    <w:rsid w:val="003E4667"/>
    <w:rsid w:val="003E47CA"/>
    <w:rsid w:val="003E5469"/>
    <w:rsid w:val="003E5762"/>
    <w:rsid w:val="003E5D9E"/>
    <w:rsid w:val="003E5E0C"/>
    <w:rsid w:val="003E669A"/>
    <w:rsid w:val="003E67E1"/>
    <w:rsid w:val="003E6834"/>
    <w:rsid w:val="003E6BE7"/>
    <w:rsid w:val="003E74F1"/>
    <w:rsid w:val="003E7EE6"/>
    <w:rsid w:val="003F07C7"/>
    <w:rsid w:val="003F07ED"/>
    <w:rsid w:val="003F0B06"/>
    <w:rsid w:val="003F130B"/>
    <w:rsid w:val="003F132A"/>
    <w:rsid w:val="003F185B"/>
    <w:rsid w:val="003F1A2E"/>
    <w:rsid w:val="003F1DDD"/>
    <w:rsid w:val="003F1EE3"/>
    <w:rsid w:val="003F2031"/>
    <w:rsid w:val="003F2392"/>
    <w:rsid w:val="003F2A34"/>
    <w:rsid w:val="003F3709"/>
    <w:rsid w:val="003F3881"/>
    <w:rsid w:val="003F3E3A"/>
    <w:rsid w:val="003F3F17"/>
    <w:rsid w:val="003F41D6"/>
    <w:rsid w:val="003F4225"/>
    <w:rsid w:val="003F46F3"/>
    <w:rsid w:val="003F4743"/>
    <w:rsid w:val="003F4771"/>
    <w:rsid w:val="003F494E"/>
    <w:rsid w:val="003F4B41"/>
    <w:rsid w:val="003F4B42"/>
    <w:rsid w:val="003F5283"/>
    <w:rsid w:val="003F5437"/>
    <w:rsid w:val="003F5483"/>
    <w:rsid w:val="003F54DE"/>
    <w:rsid w:val="003F62A8"/>
    <w:rsid w:val="003F7348"/>
    <w:rsid w:val="003F77DF"/>
    <w:rsid w:val="003F7853"/>
    <w:rsid w:val="00400614"/>
    <w:rsid w:val="00400644"/>
    <w:rsid w:val="00400EF1"/>
    <w:rsid w:val="00401180"/>
    <w:rsid w:val="00401A27"/>
    <w:rsid w:val="00402EAF"/>
    <w:rsid w:val="0040343F"/>
    <w:rsid w:val="004041A3"/>
    <w:rsid w:val="00404969"/>
    <w:rsid w:val="004058F5"/>
    <w:rsid w:val="00406259"/>
    <w:rsid w:val="004063E0"/>
    <w:rsid w:val="004065F6"/>
    <w:rsid w:val="00406B26"/>
    <w:rsid w:val="00406C46"/>
    <w:rsid w:val="00406C7C"/>
    <w:rsid w:val="00406CA6"/>
    <w:rsid w:val="00406E5D"/>
    <w:rsid w:val="00407050"/>
    <w:rsid w:val="00407815"/>
    <w:rsid w:val="00407B7F"/>
    <w:rsid w:val="00407E1B"/>
    <w:rsid w:val="004103DC"/>
    <w:rsid w:val="0041282F"/>
    <w:rsid w:val="004129E4"/>
    <w:rsid w:val="00412FB2"/>
    <w:rsid w:val="004131AD"/>
    <w:rsid w:val="0041339C"/>
    <w:rsid w:val="00414F2A"/>
    <w:rsid w:val="0041511E"/>
    <w:rsid w:val="004155B1"/>
    <w:rsid w:val="00415CBE"/>
    <w:rsid w:val="00416342"/>
    <w:rsid w:val="00416533"/>
    <w:rsid w:val="0041700E"/>
    <w:rsid w:val="0041717A"/>
    <w:rsid w:val="004171BB"/>
    <w:rsid w:val="0041720E"/>
    <w:rsid w:val="0041773F"/>
    <w:rsid w:val="0041783E"/>
    <w:rsid w:val="0042016B"/>
    <w:rsid w:val="0042031E"/>
    <w:rsid w:val="00420A51"/>
    <w:rsid w:val="00420C39"/>
    <w:rsid w:val="00420D9E"/>
    <w:rsid w:val="00420E70"/>
    <w:rsid w:val="00421026"/>
    <w:rsid w:val="004210C3"/>
    <w:rsid w:val="0042111F"/>
    <w:rsid w:val="004214DB"/>
    <w:rsid w:val="00421A7E"/>
    <w:rsid w:val="00422096"/>
    <w:rsid w:val="00422272"/>
    <w:rsid w:val="00422727"/>
    <w:rsid w:val="004227D6"/>
    <w:rsid w:val="00422DEC"/>
    <w:rsid w:val="00422EC0"/>
    <w:rsid w:val="004236B3"/>
    <w:rsid w:val="004236B9"/>
    <w:rsid w:val="00423730"/>
    <w:rsid w:val="00423FDE"/>
    <w:rsid w:val="00424BE9"/>
    <w:rsid w:val="00424F3E"/>
    <w:rsid w:val="004253AE"/>
    <w:rsid w:val="004255F9"/>
    <w:rsid w:val="00425C1C"/>
    <w:rsid w:val="00426071"/>
    <w:rsid w:val="00426311"/>
    <w:rsid w:val="0042648E"/>
    <w:rsid w:val="004264D5"/>
    <w:rsid w:val="0042682F"/>
    <w:rsid w:val="00427271"/>
    <w:rsid w:val="00427B7D"/>
    <w:rsid w:val="00427D43"/>
    <w:rsid w:val="0043150F"/>
    <w:rsid w:val="00431557"/>
    <w:rsid w:val="00432149"/>
    <w:rsid w:val="004322F3"/>
    <w:rsid w:val="00433257"/>
    <w:rsid w:val="00433A3E"/>
    <w:rsid w:val="004348D8"/>
    <w:rsid w:val="004348DE"/>
    <w:rsid w:val="00434963"/>
    <w:rsid w:val="0043515D"/>
    <w:rsid w:val="0043671C"/>
    <w:rsid w:val="00436988"/>
    <w:rsid w:val="004369CA"/>
    <w:rsid w:val="00436C10"/>
    <w:rsid w:val="00437C80"/>
    <w:rsid w:val="00437E3D"/>
    <w:rsid w:val="004410DD"/>
    <w:rsid w:val="0044190F"/>
    <w:rsid w:val="00441A12"/>
    <w:rsid w:val="00441AE6"/>
    <w:rsid w:val="00441DA1"/>
    <w:rsid w:val="004430E6"/>
    <w:rsid w:val="00443926"/>
    <w:rsid w:val="0044411C"/>
    <w:rsid w:val="00444C8A"/>
    <w:rsid w:val="00444CC6"/>
    <w:rsid w:val="004467A2"/>
    <w:rsid w:val="00446A73"/>
    <w:rsid w:val="004470BC"/>
    <w:rsid w:val="00447167"/>
    <w:rsid w:val="004471BC"/>
    <w:rsid w:val="00447465"/>
    <w:rsid w:val="0044751F"/>
    <w:rsid w:val="004477E2"/>
    <w:rsid w:val="00447FFE"/>
    <w:rsid w:val="0045032E"/>
    <w:rsid w:val="00450512"/>
    <w:rsid w:val="00450752"/>
    <w:rsid w:val="00450902"/>
    <w:rsid w:val="00450DC4"/>
    <w:rsid w:val="00451017"/>
    <w:rsid w:val="0045101A"/>
    <w:rsid w:val="00451A90"/>
    <w:rsid w:val="00452269"/>
    <w:rsid w:val="00452747"/>
    <w:rsid w:val="00452F86"/>
    <w:rsid w:val="0045304E"/>
    <w:rsid w:val="00453892"/>
    <w:rsid w:val="00453DBB"/>
    <w:rsid w:val="0045403D"/>
    <w:rsid w:val="0045535C"/>
    <w:rsid w:val="00455412"/>
    <w:rsid w:val="0045545B"/>
    <w:rsid w:val="00455590"/>
    <w:rsid w:val="004555B4"/>
    <w:rsid w:val="004564A6"/>
    <w:rsid w:val="00456BB6"/>
    <w:rsid w:val="00456F41"/>
    <w:rsid w:val="004577E6"/>
    <w:rsid w:val="00457F05"/>
    <w:rsid w:val="0046076B"/>
    <w:rsid w:val="00460D42"/>
    <w:rsid w:val="00460D43"/>
    <w:rsid w:val="00460F1D"/>
    <w:rsid w:val="004615E3"/>
    <w:rsid w:val="004616E4"/>
    <w:rsid w:val="00461FBF"/>
    <w:rsid w:val="00462001"/>
    <w:rsid w:val="004629CA"/>
    <w:rsid w:val="0046300B"/>
    <w:rsid w:val="0046329D"/>
    <w:rsid w:val="004637B8"/>
    <w:rsid w:val="0046436F"/>
    <w:rsid w:val="00464D96"/>
    <w:rsid w:val="00464DC6"/>
    <w:rsid w:val="004657CB"/>
    <w:rsid w:val="00465A68"/>
    <w:rsid w:val="00466025"/>
    <w:rsid w:val="004668C0"/>
    <w:rsid w:val="00466A2F"/>
    <w:rsid w:val="0046727B"/>
    <w:rsid w:val="00467BD4"/>
    <w:rsid w:val="00467E7B"/>
    <w:rsid w:val="00470228"/>
    <w:rsid w:val="00470715"/>
    <w:rsid w:val="004708D2"/>
    <w:rsid w:val="00470ACE"/>
    <w:rsid w:val="00470D9F"/>
    <w:rsid w:val="004717D9"/>
    <w:rsid w:val="00471B65"/>
    <w:rsid w:val="00471C08"/>
    <w:rsid w:val="00471E67"/>
    <w:rsid w:val="0047214B"/>
    <w:rsid w:val="004725D6"/>
    <w:rsid w:val="00472B6E"/>
    <w:rsid w:val="00473690"/>
    <w:rsid w:val="00473A39"/>
    <w:rsid w:val="00473D9C"/>
    <w:rsid w:val="0047421E"/>
    <w:rsid w:val="00474B4E"/>
    <w:rsid w:val="00474CA8"/>
    <w:rsid w:val="00474D7A"/>
    <w:rsid w:val="00474DB3"/>
    <w:rsid w:val="00475770"/>
    <w:rsid w:val="00475BAE"/>
    <w:rsid w:val="00475CB3"/>
    <w:rsid w:val="00475F7F"/>
    <w:rsid w:val="004764DF"/>
    <w:rsid w:val="00476D5C"/>
    <w:rsid w:val="00476DE5"/>
    <w:rsid w:val="00477185"/>
    <w:rsid w:val="004779EB"/>
    <w:rsid w:val="00477A0E"/>
    <w:rsid w:val="00477A61"/>
    <w:rsid w:val="00477A7E"/>
    <w:rsid w:val="00477B12"/>
    <w:rsid w:val="00477CDA"/>
    <w:rsid w:val="00477D63"/>
    <w:rsid w:val="00477E59"/>
    <w:rsid w:val="00481391"/>
    <w:rsid w:val="0048186B"/>
    <w:rsid w:val="00481FF7"/>
    <w:rsid w:val="004827FB"/>
    <w:rsid w:val="0048285D"/>
    <w:rsid w:val="0048298F"/>
    <w:rsid w:val="00482A2C"/>
    <w:rsid w:val="00482E34"/>
    <w:rsid w:val="004832ED"/>
    <w:rsid w:val="00483D78"/>
    <w:rsid w:val="004843CD"/>
    <w:rsid w:val="0048469A"/>
    <w:rsid w:val="00485129"/>
    <w:rsid w:val="0048528F"/>
    <w:rsid w:val="004855DE"/>
    <w:rsid w:val="00486177"/>
    <w:rsid w:val="00486C03"/>
    <w:rsid w:val="0048704D"/>
    <w:rsid w:val="00487567"/>
    <w:rsid w:val="004900F8"/>
    <w:rsid w:val="004903A8"/>
    <w:rsid w:val="00490C2E"/>
    <w:rsid w:val="00491E3C"/>
    <w:rsid w:val="00491E94"/>
    <w:rsid w:val="00491EDC"/>
    <w:rsid w:val="00492025"/>
    <w:rsid w:val="004926BC"/>
    <w:rsid w:val="004927F2"/>
    <w:rsid w:val="00492D81"/>
    <w:rsid w:val="00493385"/>
    <w:rsid w:val="004934B8"/>
    <w:rsid w:val="004936D2"/>
    <w:rsid w:val="0049438B"/>
    <w:rsid w:val="00494F31"/>
    <w:rsid w:val="00496487"/>
    <w:rsid w:val="00496B32"/>
    <w:rsid w:val="0049701D"/>
    <w:rsid w:val="004970EE"/>
    <w:rsid w:val="00497156"/>
    <w:rsid w:val="00497315"/>
    <w:rsid w:val="00497990"/>
    <w:rsid w:val="004A0905"/>
    <w:rsid w:val="004A0F39"/>
    <w:rsid w:val="004A0FC9"/>
    <w:rsid w:val="004A13ED"/>
    <w:rsid w:val="004A1447"/>
    <w:rsid w:val="004A15FC"/>
    <w:rsid w:val="004A1BA3"/>
    <w:rsid w:val="004A26C7"/>
    <w:rsid w:val="004A2C14"/>
    <w:rsid w:val="004A2D4A"/>
    <w:rsid w:val="004A2E4C"/>
    <w:rsid w:val="004A3214"/>
    <w:rsid w:val="004A351C"/>
    <w:rsid w:val="004A3E08"/>
    <w:rsid w:val="004A3F94"/>
    <w:rsid w:val="004A46DA"/>
    <w:rsid w:val="004A4786"/>
    <w:rsid w:val="004A49E0"/>
    <w:rsid w:val="004A4D08"/>
    <w:rsid w:val="004A59D7"/>
    <w:rsid w:val="004A5B1F"/>
    <w:rsid w:val="004A5C69"/>
    <w:rsid w:val="004A5C94"/>
    <w:rsid w:val="004A611B"/>
    <w:rsid w:val="004A657E"/>
    <w:rsid w:val="004A68A4"/>
    <w:rsid w:val="004A69C7"/>
    <w:rsid w:val="004A6F15"/>
    <w:rsid w:val="004A7014"/>
    <w:rsid w:val="004A7134"/>
    <w:rsid w:val="004A76C7"/>
    <w:rsid w:val="004A7ED7"/>
    <w:rsid w:val="004B061E"/>
    <w:rsid w:val="004B0DEF"/>
    <w:rsid w:val="004B1554"/>
    <w:rsid w:val="004B19B0"/>
    <w:rsid w:val="004B1A2C"/>
    <w:rsid w:val="004B1E59"/>
    <w:rsid w:val="004B1EAD"/>
    <w:rsid w:val="004B2691"/>
    <w:rsid w:val="004B2A20"/>
    <w:rsid w:val="004B2E32"/>
    <w:rsid w:val="004B2EB8"/>
    <w:rsid w:val="004B35A5"/>
    <w:rsid w:val="004B3B6D"/>
    <w:rsid w:val="004B3BC9"/>
    <w:rsid w:val="004B3E49"/>
    <w:rsid w:val="004B4134"/>
    <w:rsid w:val="004B419D"/>
    <w:rsid w:val="004B459B"/>
    <w:rsid w:val="004B46EE"/>
    <w:rsid w:val="004B4A36"/>
    <w:rsid w:val="004B4DCB"/>
    <w:rsid w:val="004B5062"/>
    <w:rsid w:val="004B52FD"/>
    <w:rsid w:val="004B5D1A"/>
    <w:rsid w:val="004B63A9"/>
    <w:rsid w:val="004B6A57"/>
    <w:rsid w:val="004B6BE5"/>
    <w:rsid w:val="004B6C0F"/>
    <w:rsid w:val="004B6C1A"/>
    <w:rsid w:val="004B6E8C"/>
    <w:rsid w:val="004B7065"/>
    <w:rsid w:val="004B7121"/>
    <w:rsid w:val="004B721D"/>
    <w:rsid w:val="004B7BAB"/>
    <w:rsid w:val="004B7BF5"/>
    <w:rsid w:val="004B7CF0"/>
    <w:rsid w:val="004B7D0B"/>
    <w:rsid w:val="004B7DCF"/>
    <w:rsid w:val="004B7EFC"/>
    <w:rsid w:val="004C03E4"/>
    <w:rsid w:val="004C13AB"/>
    <w:rsid w:val="004C1F53"/>
    <w:rsid w:val="004C2A51"/>
    <w:rsid w:val="004C2EC4"/>
    <w:rsid w:val="004C313F"/>
    <w:rsid w:val="004C3243"/>
    <w:rsid w:val="004C34C2"/>
    <w:rsid w:val="004C37A1"/>
    <w:rsid w:val="004C3CE3"/>
    <w:rsid w:val="004C3D52"/>
    <w:rsid w:val="004C4074"/>
    <w:rsid w:val="004C430A"/>
    <w:rsid w:val="004C50F5"/>
    <w:rsid w:val="004C56F5"/>
    <w:rsid w:val="004C6016"/>
    <w:rsid w:val="004C60F4"/>
    <w:rsid w:val="004C638E"/>
    <w:rsid w:val="004C697B"/>
    <w:rsid w:val="004C6BDA"/>
    <w:rsid w:val="004C72DD"/>
    <w:rsid w:val="004C74EB"/>
    <w:rsid w:val="004C7573"/>
    <w:rsid w:val="004C790F"/>
    <w:rsid w:val="004C7962"/>
    <w:rsid w:val="004C79F9"/>
    <w:rsid w:val="004C7BE1"/>
    <w:rsid w:val="004D0478"/>
    <w:rsid w:val="004D0B81"/>
    <w:rsid w:val="004D105B"/>
    <w:rsid w:val="004D135A"/>
    <w:rsid w:val="004D1A82"/>
    <w:rsid w:val="004D1BA5"/>
    <w:rsid w:val="004D1E2E"/>
    <w:rsid w:val="004D2056"/>
    <w:rsid w:val="004D26CE"/>
    <w:rsid w:val="004D2C98"/>
    <w:rsid w:val="004D305F"/>
    <w:rsid w:val="004D3DB8"/>
    <w:rsid w:val="004D3FBF"/>
    <w:rsid w:val="004D45C0"/>
    <w:rsid w:val="004D47C3"/>
    <w:rsid w:val="004D481F"/>
    <w:rsid w:val="004D4AD4"/>
    <w:rsid w:val="004D4D1D"/>
    <w:rsid w:val="004D4E43"/>
    <w:rsid w:val="004D5621"/>
    <w:rsid w:val="004D5B75"/>
    <w:rsid w:val="004D5D68"/>
    <w:rsid w:val="004D5F03"/>
    <w:rsid w:val="004D6110"/>
    <w:rsid w:val="004D617A"/>
    <w:rsid w:val="004D66DF"/>
    <w:rsid w:val="004D6845"/>
    <w:rsid w:val="004D686E"/>
    <w:rsid w:val="004D68E9"/>
    <w:rsid w:val="004D6965"/>
    <w:rsid w:val="004D697E"/>
    <w:rsid w:val="004D76B1"/>
    <w:rsid w:val="004E0835"/>
    <w:rsid w:val="004E0B49"/>
    <w:rsid w:val="004E1AA4"/>
    <w:rsid w:val="004E2477"/>
    <w:rsid w:val="004E2A62"/>
    <w:rsid w:val="004E2AFC"/>
    <w:rsid w:val="004E2FE1"/>
    <w:rsid w:val="004E39EA"/>
    <w:rsid w:val="004E3C0D"/>
    <w:rsid w:val="004E3F68"/>
    <w:rsid w:val="004E411A"/>
    <w:rsid w:val="004E4161"/>
    <w:rsid w:val="004E42AC"/>
    <w:rsid w:val="004E4B7D"/>
    <w:rsid w:val="004E4CB7"/>
    <w:rsid w:val="004E534E"/>
    <w:rsid w:val="004E56FC"/>
    <w:rsid w:val="004E574B"/>
    <w:rsid w:val="004E5E17"/>
    <w:rsid w:val="004E5EC2"/>
    <w:rsid w:val="004E6262"/>
    <w:rsid w:val="004E63BB"/>
    <w:rsid w:val="004E6563"/>
    <w:rsid w:val="004E6923"/>
    <w:rsid w:val="004E6BAF"/>
    <w:rsid w:val="004E70F5"/>
    <w:rsid w:val="004E735E"/>
    <w:rsid w:val="004E740B"/>
    <w:rsid w:val="004E777F"/>
    <w:rsid w:val="004F0866"/>
    <w:rsid w:val="004F0A7A"/>
    <w:rsid w:val="004F0B9D"/>
    <w:rsid w:val="004F111B"/>
    <w:rsid w:val="004F12E7"/>
    <w:rsid w:val="004F140B"/>
    <w:rsid w:val="004F168C"/>
    <w:rsid w:val="004F1727"/>
    <w:rsid w:val="004F280F"/>
    <w:rsid w:val="004F2958"/>
    <w:rsid w:val="004F2ACF"/>
    <w:rsid w:val="004F31F5"/>
    <w:rsid w:val="004F3F61"/>
    <w:rsid w:val="004F41F5"/>
    <w:rsid w:val="004F43DC"/>
    <w:rsid w:val="004F44A5"/>
    <w:rsid w:val="004F4975"/>
    <w:rsid w:val="004F4E01"/>
    <w:rsid w:val="004F5187"/>
    <w:rsid w:val="004F5DB8"/>
    <w:rsid w:val="004F5E7D"/>
    <w:rsid w:val="004F61A8"/>
    <w:rsid w:val="004F6B39"/>
    <w:rsid w:val="004F70C1"/>
    <w:rsid w:val="004F72C7"/>
    <w:rsid w:val="004F76B0"/>
    <w:rsid w:val="004F7E22"/>
    <w:rsid w:val="00500D39"/>
    <w:rsid w:val="005012F3"/>
    <w:rsid w:val="00501685"/>
    <w:rsid w:val="00501F13"/>
    <w:rsid w:val="005026E4"/>
    <w:rsid w:val="00502993"/>
    <w:rsid w:val="00504247"/>
    <w:rsid w:val="005042F1"/>
    <w:rsid w:val="00504F39"/>
    <w:rsid w:val="00504F87"/>
    <w:rsid w:val="005052C5"/>
    <w:rsid w:val="0050609F"/>
    <w:rsid w:val="005063E6"/>
    <w:rsid w:val="00506745"/>
    <w:rsid w:val="005069EB"/>
    <w:rsid w:val="00507906"/>
    <w:rsid w:val="00507963"/>
    <w:rsid w:val="00507A20"/>
    <w:rsid w:val="00507D53"/>
    <w:rsid w:val="00507E59"/>
    <w:rsid w:val="005100FD"/>
    <w:rsid w:val="005105FF"/>
    <w:rsid w:val="00510857"/>
    <w:rsid w:val="00510894"/>
    <w:rsid w:val="00510EDC"/>
    <w:rsid w:val="0051142C"/>
    <w:rsid w:val="00511755"/>
    <w:rsid w:val="00512056"/>
    <w:rsid w:val="0051229D"/>
    <w:rsid w:val="00512D44"/>
    <w:rsid w:val="005131A7"/>
    <w:rsid w:val="005133E2"/>
    <w:rsid w:val="0051345D"/>
    <w:rsid w:val="0051356B"/>
    <w:rsid w:val="00513F8B"/>
    <w:rsid w:val="0051453D"/>
    <w:rsid w:val="00514A37"/>
    <w:rsid w:val="005150C5"/>
    <w:rsid w:val="00515241"/>
    <w:rsid w:val="00515C8C"/>
    <w:rsid w:val="00515F95"/>
    <w:rsid w:val="0051619F"/>
    <w:rsid w:val="00516643"/>
    <w:rsid w:val="005169B2"/>
    <w:rsid w:val="00516DC0"/>
    <w:rsid w:val="00517BAA"/>
    <w:rsid w:val="00517CC3"/>
    <w:rsid w:val="00520389"/>
    <w:rsid w:val="005206C4"/>
    <w:rsid w:val="00520964"/>
    <w:rsid w:val="00520F16"/>
    <w:rsid w:val="00521200"/>
    <w:rsid w:val="0052157F"/>
    <w:rsid w:val="00522788"/>
    <w:rsid w:val="00522849"/>
    <w:rsid w:val="00522A50"/>
    <w:rsid w:val="00522C34"/>
    <w:rsid w:val="005233F8"/>
    <w:rsid w:val="00523687"/>
    <w:rsid w:val="005238C6"/>
    <w:rsid w:val="0052456F"/>
    <w:rsid w:val="00524767"/>
    <w:rsid w:val="00524914"/>
    <w:rsid w:val="005252DF"/>
    <w:rsid w:val="00525C10"/>
    <w:rsid w:val="00525DDE"/>
    <w:rsid w:val="005264B9"/>
    <w:rsid w:val="00527117"/>
    <w:rsid w:val="00527349"/>
    <w:rsid w:val="005273FC"/>
    <w:rsid w:val="0052767A"/>
    <w:rsid w:val="0053015A"/>
    <w:rsid w:val="005301D0"/>
    <w:rsid w:val="0053043D"/>
    <w:rsid w:val="00530557"/>
    <w:rsid w:val="0053070D"/>
    <w:rsid w:val="00530E18"/>
    <w:rsid w:val="00530E4C"/>
    <w:rsid w:val="0053121B"/>
    <w:rsid w:val="0053132D"/>
    <w:rsid w:val="00531A3B"/>
    <w:rsid w:val="00531CF8"/>
    <w:rsid w:val="005321CD"/>
    <w:rsid w:val="00532636"/>
    <w:rsid w:val="00532B55"/>
    <w:rsid w:val="005334DC"/>
    <w:rsid w:val="00533D26"/>
    <w:rsid w:val="005341CA"/>
    <w:rsid w:val="00534208"/>
    <w:rsid w:val="0053430F"/>
    <w:rsid w:val="00534355"/>
    <w:rsid w:val="00534BA3"/>
    <w:rsid w:val="00534E09"/>
    <w:rsid w:val="00535881"/>
    <w:rsid w:val="00535E05"/>
    <w:rsid w:val="00535F65"/>
    <w:rsid w:val="00536388"/>
    <w:rsid w:val="00536578"/>
    <w:rsid w:val="005368CE"/>
    <w:rsid w:val="00537057"/>
    <w:rsid w:val="00537215"/>
    <w:rsid w:val="00537C1B"/>
    <w:rsid w:val="00540314"/>
    <w:rsid w:val="00540A72"/>
    <w:rsid w:val="00540CC9"/>
    <w:rsid w:val="00541355"/>
    <w:rsid w:val="00541ACC"/>
    <w:rsid w:val="00541CD6"/>
    <w:rsid w:val="00541F40"/>
    <w:rsid w:val="005421A5"/>
    <w:rsid w:val="005431FE"/>
    <w:rsid w:val="00543CA0"/>
    <w:rsid w:val="005440F7"/>
    <w:rsid w:val="00544939"/>
    <w:rsid w:val="005451E9"/>
    <w:rsid w:val="00545311"/>
    <w:rsid w:val="00545949"/>
    <w:rsid w:val="005459C8"/>
    <w:rsid w:val="00546380"/>
    <w:rsid w:val="00546C6B"/>
    <w:rsid w:val="005473C3"/>
    <w:rsid w:val="005476A0"/>
    <w:rsid w:val="00547C22"/>
    <w:rsid w:val="00550810"/>
    <w:rsid w:val="00550936"/>
    <w:rsid w:val="00550A9E"/>
    <w:rsid w:val="00550EBB"/>
    <w:rsid w:val="0055109B"/>
    <w:rsid w:val="005516DB"/>
    <w:rsid w:val="00551763"/>
    <w:rsid w:val="00552910"/>
    <w:rsid w:val="0055328D"/>
    <w:rsid w:val="00553482"/>
    <w:rsid w:val="00554322"/>
    <w:rsid w:val="0055441F"/>
    <w:rsid w:val="005545A5"/>
    <w:rsid w:val="005545AD"/>
    <w:rsid w:val="005546E4"/>
    <w:rsid w:val="00554953"/>
    <w:rsid w:val="00554CB6"/>
    <w:rsid w:val="00554FA0"/>
    <w:rsid w:val="0055553C"/>
    <w:rsid w:val="00555542"/>
    <w:rsid w:val="005556F9"/>
    <w:rsid w:val="00556384"/>
    <w:rsid w:val="005563C4"/>
    <w:rsid w:val="00556981"/>
    <w:rsid w:val="00557115"/>
    <w:rsid w:val="00557B09"/>
    <w:rsid w:val="00557BE9"/>
    <w:rsid w:val="00557E2E"/>
    <w:rsid w:val="005608D5"/>
    <w:rsid w:val="00560D69"/>
    <w:rsid w:val="0056153D"/>
    <w:rsid w:val="005627FA"/>
    <w:rsid w:val="00562C7B"/>
    <w:rsid w:val="00562DE9"/>
    <w:rsid w:val="00562FE0"/>
    <w:rsid w:val="00563343"/>
    <w:rsid w:val="00563ACF"/>
    <w:rsid w:val="00564472"/>
    <w:rsid w:val="00564AC5"/>
    <w:rsid w:val="00564E60"/>
    <w:rsid w:val="005653AF"/>
    <w:rsid w:val="00565614"/>
    <w:rsid w:val="00566287"/>
    <w:rsid w:val="005667D1"/>
    <w:rsid w:val="0056683A"/>
    <w:rsid w:val="00567560"/>
    <w:rsid w:val="00567D4F"/>
    <w:rsid w:val="00568A21"/>
    <w:rsid w:val="00570650"/>
    <w:rsid w:val="00570E6E"/>
    <w:rsid w:val="0057181F"/>
    <w:rsid w:val="00571960"/>
    <w:rsid w:val="0057196F"/>
    <w:rsid w:val="00572B72"/>
    <w:rsid w:val="0057365F"/>
    <w:rsid w:val="005736BE"/>
    <w:rsid w:val="00573988"/>
    <w:rsid w:val="00574CF4"/>
    <w:rsid w:val="00575111"/>
    <w:rsid w:val="005752BD"/>
    <w:rsid w:val="005752CD"/>
    <w:rsid w:val="005759EF"/>
    <w:rsid w:val="00575F7F"/>
    <w:rsid w:val="005772D1"/>
    <w:rsid w:val="00577E90"/>
    <w:rsid w:val="005801E9"/>
    <w:rsid w:val="00580214"/>
    <w:rsid w:val="00580572"/>
    <w:rsid w:val="00580C8E"/>
    <w:rsid w:val="005814C2"/>
    <w:rsid w:val="005816CB"/>
    <w:rsid w:val="00581AF2"/>
    <w:rsid w:val="0058293F"/>
    <w:rsid w:val="00582B6C"/>
    <w:rsid w:val="00582BC0"/>
    <w:rsid w:val="00582D0C"/>
    <w:rsid w:val="00583F57"/>
    <w:rsid w:val="00583FFD"/>
    <w:rsid w:val="005842A7"/>
    <w:rsid w:val="005846A7"/>
    <w:rsid w:val="00585072"/>
    <w:rsid w:val="0058539A"/>
    <w:rsid w:val="00585795"/>
    <w:rsid w:val="00585A3B"/>
    <w:rsid w:val="00586DF7"/>
    <w:rsid w:val="0058725D"/>
    <w:rsid w:val="00587438"/>
    <w:rsid w:val="00587C75"/>
    <w:rsid w:val="00590360"/>
    <w:rsid w:val="005904BC"/>
    <w:rsid w:val="0059069B"/>
    <w:rsid w:val="00590A1B"/>
    <w:rsid w:val="00590C94"/>
    <w:rsid w:val="00590EFC"/>
    <w:rsid w:val="00591433"/>
    <w:rsid w:val="0059159C"/>
    <w:rsid w:val="0059178D"/>
    <w:rsid w:val="0059193F"/>
    <w:rsid w:val="00591CB5"/>
    <w:rsid w:val="00593149"/>
    <w:rsid w:val="00593447"/>
    <w:rsid w:val="005936FA"/>
    <w:rsid w:val="0059374A"/>
    <w:rsid w:val="00593D17"/>
    <w:rsid w:val="00593FCA"/>
    <w:rsid w:val="00594BC9"/>
    <w:rsid w:val="00595670"/>
    <w:rsid w:val="005961BA"/>
    <w:rsid w:val="00596351"/>
    <w:rsid w:val="005963C1"/>
    <w:rsid w:val="005968DF"/>
    <w:rsid w:val="00596ABD"/>
    <w:rsid w:val="00596FB2"/>
    <w:rsid w:val="00597376"/>
    <w:rsid w:val="00597730"/>
    <w:rsid w:val="005A0892"/>
    <w:rsid w:val="005A0A1A"/>
    <w:rsid w:val="005A0B38"/>
    <w:rsid w:val="005A0C77"/>
    <w:rsid w:val="005A0EC7"/>
    <w:rsid w:val="005A0FFD"/>
    <w:rsid w:val="005A1578"/>
    <w:rsid w:val="005A15D7"/>
    <w:rsid w:val="005A1604"/>
    <w:rsid w:val="005A1665"/>
    <w:rsid w:val="005A20EC"/>
    <w:rsid w:val="005A2CB5"/>
    <w:rsid w:val="005A32D1"/>
    <w:rsid w:val="005A33B2"/>
    <w:rsid w:val="005A3588"/>
    <w:rsid w:val="005A3E1A"/>
    <w:rsid w:val="005A4ABC"/>
    <w:rsid w:val="005A5094"/>
    <w:rsid w:val="005A564A"/>
    <w:rsid w:val="005A5897"/>
    <w:rsid w:val="005A60EF"/>
    <w:rsid w:val="005A631A"/>
    <w:rsid w:val="005A6849"/>
    <w:rsid w:val="005A6BAC"/>
    <w:rsid w:val="005A6C8F"/>
    <w:rsid w:val="005A6DE7"/>
    <w:rsid w:val="005A6F9B"/>
    <w:rsid w:val="005A7E1B"/>
    <w:rsid w:val="005A7E2C"/>
    <w:rsid w:val="005B1EB6"/>
    <w:rsid w:val="005B1FF4"/>
    <w:rsid w:val="005B20EC"/>
    <w:rsid w:val="005B2B3A"/>
    <w:rsid w:val="005B42C0"/>
    <w:rsid w:val="005B4B45"/>
    <w:rsid w:val="005B4B61"/>
    <w:rsid w:val="005B5C67"/>
    <w:rsid w:val="005B5F55"/>
    <w:rsid w:val="005B624A"/>
    <w:rsid w:val="005B69C6"/>
    <w:rsid w:val="005B6D33"/>
    <w:rsid w:val="005B6FA1"/>
    <w:rsid w:val="005B7430"/>
    <w:rsid w:val="005B7844"/>
    <w:rsid w:val="005C00CD"/>
    <w:rsid w:val="005C09D9"/>
    <w:rsid w:val="005C0D82"/>
    <w:rsid w:val="005C135E"/>
    <w:rsid w:val="005C13D3"/>
    <w:rsid w:val="005C1989"/>
    <w:rsid w:val="005C20F4"/>
    <w:rsid w:val="005C2151"/>
    <w:rsid w:val="005C3255"/>
    <w:rsid w:val="005C44B7"/>
    <w:rsid w:val="005C57FA"/>
    <w:rsid w:val="005C58F7"/>
    <w:rsid w:val="005C5C5B"/>
    <w:rsid w:val="005C5DF1"/>
    <w:rsid w:val="005C5F9D"/>
    <w:rsid w:val="005C6A2D"/>
    <w:rsid w:val="005C70B3"/>
    <w:rsid w:val="005C7FC1"/>
    <w:rsid w:val="005D03B4"/>
    <w:rsid w:val="005D0487"/>
    <w:rsid w:val="005D0687"/>
    <w:rsid w:val="005D06C1"/>
    <w:rsid w:val="005D143A"/>
    <w:rsid w:val="005D163F"/>
    <w:rsid w:val="005D1DDF"/>
    <w:rsid w:val="005D20E4"/>
    <w:rsid w:val="005D2338"/>
    <w:rsid w:val="005D2494"/>
    <w:rsid w:val="005D2FFC"/>
    <w:rsid w:val="005D315F"/>
    <w:rsid w:val="005D3A9D"/>
    <w:rsid w:val="005D3C74"/>
    <w:rsid w:val="005D3D4A"/>
    <w:rsid w:val="005D3F1A"/>
    <w:rsid w:val="005D3FEC"/>
    <w:rsid w:val="005D4335"/>
    <w:rsid w:val="005D44BD"/>
    <w:rsid w:val="005D47BB"/>
    <w:rsid w:val="005D4B74"/>
    <w:rsid w:val="005D55A2"/>
    <w:rsid w:val="005D5C47"/>
    <w:rsid w:val="005D616F"/>
    <w:rsid w:val="005D6574"/>
    <w:rsid w:val="005D722C"/>
    <w:rsid w:val="005D7FBF"/>
    <w:rsid w:val="005E002D"/>
    <w:rsid w:val="005E06D2"/>
    <w:rsid w:val="005E0B65"/>
    <w:rsid w:val="005E0BCD"/>
    <w:rsid w:val="005E0D4D"/>
    <w:rsid w:val="005E0D5E"/>
    <w:rsid w:val="005E1035"/>
    <w:rsid w:val="005E1451"/>
    <w:rsid w:val="005E1BA2"/>
    <w:rsid w:val="005E1D8E"/>
    <w:rsid w:val="005E318A"/>
    <w:rsid w:val="005E3403"/>
    <w:rsid w:val="005E371B"/>
    <w:rsid w:val="005E3CF8"/>
    <w:rsid w:val="005E54EB"/>
    <w:rsid w:val="005E55D5"/>
    <w:rsid w:val="005E5784"/>
    <w:rsid w:val="005E6A0A"/>
    <w:rsid w:val="005E7040"/>
    <w:rsid w:val="005E70B6"/>
    <w:rsid w:val="005E75CE"/>
    <w:rsid w:val="005E760C"/>
    <w:rsid w:val="005E7E8D"/>
    <w:rsid w:val="005F003C"/>
    <w:rsid w:val="005F029C"/>
    <w:rsid w:val="005F1094"/>
    <w:rsid w:val="005F1196"/>
    <w:rsid w:val="005F2487"/>
    <w:rsid w:val="005F277B"/>
    <w:rsid w:val="005F2EF0"/>
    <w:rsid w:val="005F3589"/>
    <w:rsid w:val="005F360B"/>
    <w:rsid w:val="005F3F53"/>
    <w:rsid w:val="005F51B6"/>
    <w:rsid w:val="005F5621"/>
    <w:rsid w:val="005F59F3"/>
    <w:rsid w:val="005F5C5A"/>
    <w:rsid w:val="005F5C72"/>
    <w:rsid w:val="005F5F7B"/>
    <w:rsid w:val="005F6987"/>
    <w:rsid w:val="005F7D6E"/>
    <w:rsid w:val="0060092B"/>
    <w:rsid w:val="006011B0"/>
    <w:rsid w:val="00601634"/>
    <w:rsid w:val="00601822"/>
    <w:rsid w:val="00601B4B"/>
    <w:rsid w:val="00601BCE"/>
    <w:rsid w:val="00602EF7"/>
    <w:rsid w:val="00603023"/>
    <w:rsid w:val="006034FB"/>
    <w:rsid w:val="00603585"/>
    <w:rsid w:val="006037BC"/>
    <w:rsid w:val="00603A2C"/>
    <w:rsid w:val="00604448"/>
    <w:rsid w:val="00605217"/>
    <w:rsid w:val="00606307"/>
    <w:rsid w:val="0060653E"/>
    <w:rsid w:val="00606978"/>
    <w:rsid w:val="00607326"/>
    <w:rsid w:val="006076FC"/>
    <w:rsid w:val="00607A63"/>
    <w:rsid w:val="00610503"/>
    <w:rsid w:val="00611567"/>
    <w:rsid w:val="00611B37"/>
    <w:rsid w:val="00611FE8"/>
    <w:rsid w:val="006120F6"/>
    <w:rsid w:val="00612279"/>
    <w:rsid w:val="006123D5"/>
    <w:rsid w:val="006127AC"/>
    <w:rsid w:val="006127CF"/>
    <w:rsid w:val="006129F2"/>
    <w:rsid w:val="0061338F"/>
    <w:rsid w:val="006133EA"/>
    <w:rsid w:val="00613FE2"/>
    <w:rsid w:val="006146D9"/>
    <w:rsid w:val="0061491C"/>
    <w:rsid w:val="00614E74"/>
    <w:rsid w:val="006151FF"/>
    <w:rsid w:val="00615430"/>
    <w:rsid w:val="00615A42"/>
    <w:rsid w:val="00616C40"/>
    <w:rsid w:val="00617363"/>
    <w:rsid w:val="00620CEE"/>
    <w:rsid w:val="006210FB"/>
    <w:rsid w:val="00621E18"/>
    <w:rsid w:val="006220A2"/>
    <w:rsid w:val="0062273E"/>
    <w:rsid w:val="0062293E"/>
    <w:rsid w:val="00622F17"/>
    <w:rsid w:val="00623356"/>
    <w:rsid w:val="0062343F"/>
    <w:rsid w:val="00623958"/>
    <w:rsid w:val="00624002"/>
    <w:rsid w:val="0062459C"/>
    <w:rsid w:val="00624A52"/>
    <w:rsid w:val="00624DAB"/>
    <w:rsid w:val="0062505E"/>
    <w:rsid w:val="006256D0"/>
    <w:rsid w:val="006268BF"/>
    <w:rsid w:val="00626ECE"/>
    <w:rsid w:val="006275AB"/>
    <w:rsid w:val="00627A3D"/>
    <w:rsid w:val="00627C95"/>
    <w:rsid w:val="00627EE1"/>
    <w:rsid w:val="00630251"/>
    <w:rsid w:val="006308AB"/>
    <w:rsid w:val="00630B6E"/>
    <w:rsid w:val="0063395F"/>
    <w:rsid w:val="00633B51"/>
    <w:rsid w:val="00633F2A"/>
    <w:rsid w:val="006350A5"/>
    <w:rsid w:val="006352BD"/>
    <w:rsid w:val="00636979"/>
    <w:rsid w:val="00637A34"/>
    <w:rsid w:val="00637AEF"/>
    <w:rsid w:val="00637B63"/>
    <w:rsid w:val="00637BD3"/>
    <w:rsid w:val="006403ED"/>
    <w:rsid w:val="00640FAD"/>
    <w:rsid w:val="00640FC1"/>
    <w:rsid w:val="0064162A"/>
    <w:rsid w:val="006420EB"/>
    <w:rsid w:val="00642BA3"/>
    <w:rsid w:val="00642FAE"/>
    <w:rsid w:val="00643284"/>
    <w:rsid w:val="00643DCC"/>
    <w:rsid w:val="00644418"/>
    <w:rsid w:val="006456AE"/>
    <w:rsid w:val="0064645D"/>
    <w:rsid w:val="006502CD"/>
    <w:rsid w:val="00650572"/>
    <w:rsid w:val="0065072A"/>
    <w:rsid w:val="00650DEF"/>
    <w:rsid w:val="006523FD"/>
    <w:rsid w:val="00652772"/>
    <w:rsid w:val="0065298A"/>
    <w:rsid w:val="0065299F"/>
    <w:rsid w:val="00652B0C"/>
    <w:rsid w:val="00652B22"/>
    <w:rsid w:val="00652C5D"/>
    <w:rsid w:val="00654272"/>
    <w:rsid w:val="0065473B"/>
    <w:rsid w:val="00654AF4"/>
    <w:rsid w:val="00655254"/>
    <w:rsid w:val="006553C9"/>
    <w:rsid w:val="00655662"/>
    <w:rsid w:val="0065569E"/>
    <w:rsid w:val="006557D2"/>
    <w:rsid w:val="0065582C"/>
    <w:rsid w:val="00655B3B"/>
    <w:rsid w:val="00656A41"/>
    <w:rsid w:val="00656B57"/>
    <w:rsid w:val="00656C4D"/>
    <w:rsid w:val="00656DC4"/>
    <w:rsid w:val="00656DC6"/>
    <w:rsid w:val="00657345"/>
    <w:rsid w:val="006573AF"/>
    <w:rsid w:val="006576CC"/>
    <w:rsid w:val="0065777D"/>
    <w:rsid w:val="00657AAC"/>
    <w:rsid w:val="00657EC7"/>
    <w:rsid w:val="00660E8E"/>
    <w:rsid w:val="00661193"/>
    <w:rsid w:val="006612A8"/>
    <w:rsid w:val="00661636"/>
    <w:rsid w:val="00662E87"/>
    <w:rsid w:val="006632A9"/>
    <w:rsid w:val="006633D9"/>
    <w:rsid w:val="00664324"/>
    <w:rsid w:val="006649D2"/>
    <w:rsid w:val="00665300"/>
    <w:rsid w:val="006657B0"/>
    <w:rsid w:val="00665D54"/>
    <w:rsid w:val="00665FD7"/>
    <w:rsid w:val="00666B5F"/>
    <w:rsid w:val="006671F6"/>
    <w:rsid w:val="00667865"/>
    <w:rsid w:val="00667A4E"/>
    <w:rsid w:val="006716FA"/>
    <w:rsid w:val="00671781"/>
    <w:rsid w:val="00671827"/>
    <w:rsid w:val="00671ABA"/>
    <w:rsid w:val="00671FB0"/>
    <w:rsid w:val="006721BE"/>
    <w:rsid w:val="00672B91"/>
    <w:rsid w:val="00672BF1"/>
    <w:rsid w:val="00673093"/>
    <w:rsid w:val="006731F5"/>
    <w:rsid w:val="00673405"/>
    <w:rsid w:val="00673CA7"/>
    <w:rsid w:val="006745FE"/>
    <w:rsid w:val="00674700"/>
    <w:rsid w:val="006747DA"/>
    <w:rsid w:val="00675024"/>
    <w:rsid w:val="00675254"/>
    <w:rsid w:val="006755ED"/>
    <w:rsid w:val="00675BBF"/>
    <w:rsid w:val="00675BF2"/>
    <w:rsid w:val="00675C0F"/>
    <w:rsid w:val="00676456"/>
    <w:rsid w:val="00676DB3"/>
    <w:rsid w:val="0067728F"/>
    <w:rsid w:val="0067734E"/>
    <w:rsid w:val="006773B0"/>
    <w:rsid w:val="00677933"/>
    <w:rsid w:val="00680AD6"/>
    <w:rsid w:val="00680F19"/>
    <w:rsid w:val="0068148F"/>
    <w:rsid w:val="0068217B"/>
    <w:rsid w:val="00682229"/>
    <w:rsid w:val="0068263B"/>
    <w:rsid w:val="006827E9"/>
    <w:rsid w:val="00682B0B"/>
    <w:rsid w:val="00683242"/>
    <w:rsid w:val="006833B3"/>
    <w:rsid w:val="00683A41"/>
    <w:rsid w:val="00683FA8"/>
    <w:rsid w:val="0068403D"/>
    <w:rsid w:val="006840BF"/>
    <w:rsid w:val="00684302"/>
    <w:rsid w:val="006849D4"/>
    <w:rsid w:val="00684DAB"/>
    <w:rsid w:val="006851E7"/>
    <w:rsid w:val="00685580"/>
    <w:rsid w:val="006856A0"/>
    <w:rsid w:val="00685A25"/>
    <w:rsid w:val="006866ED"/>
    <w:rsid w:val="00686AF4"/>
    <w:rsid w:val="00686F72"/>
    <w:rsid w:val="00687D30"/>
    <w:rsid w:val="00687D74"/>
    <w:rsid w:val="00690291"/>
    <w:rsid w:val="00691087"/>
    <w:rsid w:val="00691766"/>
    <w:rsid w:val="00691CA0"/>
    <w:rsid w:val="00691F1A"/>
    <w:rsid w:val="006923C8"/>
    <w:rsid w:val="0069280E"/>
    <w:rsid w:val="00692B77"/>
    <w:rsid w:val="00692E72"/>
    <w:rsid w:val="00692F67"/>
    <w:rsid w:val="00693185"/>
    <w:rsid w:val="006931E4"/>
    <w:rsid w:val="00693944"/>
    <w:rsid w:val="00693ED0"/>
    <w:rsid w:val="006954F7"/>
    <w:rsid w:val="00696098"/>
    <w:rsid w:val="0069621B"/>
    <w:rsid w:val="006962FD"/>
    <w:rsid w:val="00696304"/>
    <w:rsid w:val="00696A9D"/>
    <w:rsid w:val="00696F77"/>
    <w:rsid w:val="00696F9D"/>
    <w:rsid w:val="00696FBA"/>
    <w:rsid w:val="00697027"/>
    <w:rsid w:val="00697172"/>
    <w:rsid w:val="00697315"/>
    <w:rsid w:val="00697ADD"/>
    <w:rsid w:val="00697E79"/>
    <w:rsid w:val="006A0178"/>
    <w:rsid w:val="006A0F2F"/>
    <w:rsid w:val="006A1930"/>
    <w:rsid w:val="006A2073"/>
    <w:rsid w:val="006A2203"/>
    <w:rsid w:val="006A2746"/>
    <w:rsid w:val="006A2A7E"/>
    <w:rsid w:val="006A2ACD"/>
    <w:rsid w:val="006A2D61"/>
    <w:rsid w:val="006A3549"/>
    <w:rsid w:val="006A35E3"/>
    <w:rsid w:val="006A403C"/>
    <w:rsid w:val="006A41B4"/>
    <w:rsid w:val="006A4545"/>
    <w:rsid w:val="006A4974"/>
    <w:rsid w:val="006A53F9"/>
    <w:rsid w:val="006A5711"/>
    <w:rsid w:val="006A5EE5"/>
    <w:rsid w:val="006A628B"/>
    <w:rsid w:val="006A6429"/>
    <w:rsid w:val="006A6A7B"/>
    <w:rsid w:val="006A7073"/>
    <w:rsid w:val="006A7BF3"/>
    <w:rsid w:val="006A7F82"/>
    <w:rsid w:val="006B07D7"/>
    <w:rsid w:val="006B0911"/>
    <w:rsid w:val="006B0984"/>
    <w:rsid w:val="006B1491"/>
    <w:rsid w:val="006B189C"/>
    <w:rsid w:val="006B23F6"/>
    <w:rsid w:val="006B330E"/>
    <w:rsid w:val="006B3A00"/>
    <w:rsid w:val="006B3C67"/>
    <w:rsid w:val="006B408C"/>
    <w:rsid w:val="006B42F7"/>
    <w:rsid w:val="006B447A"/>
    <w:rsid w:val="006B56FC"/>
    <w:rsid w:val="006B5A3C"/>
    <w:rsid w:val="006B5EC3"/>
    <w:rsid w:val="006B6308"/>
    <w:rsid w:val="006B674E"/>
    <w:rsid w:val="006B7484"/>
    <w:rsid w:val="006B7933"/>
    <w:rsid w:val="006C090D"/>
    <w:rsid w:val="006C0B4F"/>
    <w:rsid w:val="006C1052"/>
    <w:rsid w:val="006C17D7"/>
    <w:rsid w:val="006C258C"/>
    <w:rsid w:val="006C2788"/>
    <w:rsid w:val="006C2E89"/>
    <w:rsid w:val="006C3017"/>
    <w:rsid w:val="006C3CB7"/>
    <w:rsid w:val="006C4CCE"/>
    <w:rsid w:val="006C4D26"/>
    <w:rsid w:val="006C5668"/>
    <w:rsid w:val="006C567F"/>
    <w:rsid w:val="006C5684"/>
    <w:rsid w:val="006C616B"/>
    <w:rsid w:val="006C62FE"/>
    <w:rsid w:val="006C678B"/>
    <w:rsid w:val="006C69F6"/>
    <w:rsid w:val="006C738C"/>
    <w:rsid w:val="006C7651"/>
    <w:rsid w:val="006C778C"/>
    <w:rsid w:val="006C7D61"/>
    <w:rsid w:val="006D05DE"/>
    <w:rsid w:val="006D192F"/>
    <w:rsid w:val="006D22D7"/>
    <w:rsid w:val="006D2780"/>
    <w:rsid w:val="006D2AD2"/>
    <w:rsid w:val="006D348D"/>
    <w:rsid w:val="006D3606"/>
    <w:rsid w:val="006D39A1"/>
    <w:rsid w:val="006D4312"/>
    <w:rsid w:val="006D4566"/>
    <w:rsid w:val="006D465E"/>
    <w:rsid w:val="006D4C52"/>
    <w:rsid w:val="006D4E80"/>
    <w:rsid w:val="006D50C9"/>
    <w:rsid w:val="006D513D"/>
    <w:rsid w:val="006D559E"/>
    <w:rsid w:val="006D5D99"/>
    <w:rsid w:val="006D5F36"/>
    <w:rsid w:val="006D6080"/>
    <w:rsid w:val="006D629A"/>
    <w:rsid w:val="006D6633"/>
    <w:rsid w:val="006D66DF"/>
    <w:rsid w:val="006D6AAA"/>
    <w:rsid w:val="006D6DC9"/>
    <w:rsid w:val="006D6F6A"/>
    <w:rsid w:val="006D7015"/>
    <w:rsid w:val="006D7050"/>
    <w:rsid w:val="006D7144"/>
    <w:rsid w:val="006D75C4"/>
    <w:rsid w:val="006D76A5"/>
    <w:rsid w:val="006E09F0"/>
    <w:rsid w:val="006E0C1A"/>
    <w:rsid w:val="006E0E9C"/>
    <w:rsid w:val="006E0F75"/>
    <w:rsid w:val="006E11B3"/>
    <w:rsid w:val="006E1274"/>
    <w:rsid w:val="006E1533"/>
    <w:rsid w:val="006E19C3"/>
    <w:rsid w:val="006E1D9A"/>
    <w:rsid w:val="006E2773"/>
    <w:rsid w:val="006E2A18"/>
    <w:rsid w:val="006E32CC"/>
    <w:rsid w:val="006E33AB"/>
    <w:rsid w:val="006E3F4C"/>
    <w:rsid w:val="006E4509"/>
    <w:rsid w:val="006E4D13"/>
    <w:rsid w:val="006E4E41"/>
    <w:rsid w:val="006E55A2"/>
    <w:rsid w:val="006E5B2F"/>
    <w:rsid w:val="006E6275"/>
    <w:rsid w:val="006E6348"/>
    <w:rsid w:val="006E6390"/>
    <w:rsid w:val="006E6491"/>
    <w:rsid w:val="006E70A8"/>
    <w:rsid w:val="006E71EB"/>
    <w:rsid w:val="006E7242"/>
    <w:rsid w:val="006E7611"/>
    <w:rsid w:val="006E77AA"/>
    <w:rsid w:val="006F02E8"/>
    <w:rsid w:val="006F19FA"/>
    <w:rsid w:val="006F1FF2"/>
    <w:rsid w:val="006F2D18"/>
    <w:rsid w:val="006F2D7B"/>
    <w:rsid w:val="006F3356"/>
    <w:rsid w:val="006F3AC0"/>
    <w:rsid w:val="006F40C9"/>
    <w:rsid w:val="006F4374"/>
    <w:rsid w:val="006F4502"/>
    <w:rsid w:val="006F48CA"/>
    <w:rsid w:val="006F490C"/>
    <w:rsid w:val="006F4934"/>
    <w:rsid w:val="006F4D04"/>
    <w:rsid w:val="006F521E"/>
    <w:rsid w:val="006F5A46"/>
    <w:rsid w:val="006F5B78"/>
    <w:rsid w:val="006F61D2"/>
    <w:rsid w:val="006F6300"/>
    <w:rsid w:val="006F644F"/>
    <w:rsid w:val="006F6D76"/>
    <w:rsid w:val="006F7A56"/>
    <w:rsid w:val="006F7B28"/>
    <w:rsid w:val="006F7EB5"/>
    <w:rsid w:val="007003B5"/>
    <w:rsid w:val="00700531"/>
    <w:rsid w:val="00700799"/>
    <w:rsid w:val="00700859"/>
    <w:rsid w:val="00700982"/>
    <w:rsid w:val="00700C3A"/>
    <w:rsid w:val="00701DA8"/>
    <w:rsid w:val="00701F09"/>
    <w:rsid w:val="007024C6"/>
    <w:rsid w:val="007030AC"/>
    <w:rsid w:val="00703292"/>
    <w:rsid w:val="00703672"/>
    <w:rsid w:val="00704918"/>
    <w:rsid w:val="00705161"/>
    <w:rsid w:val="0070521F"/>
    <w:rsid w:val="007052E8"/>
    <w:rsid w:val="00706173"/>
    <w:rsid w:val="00706323"/>
    <w:rsid w:val="007069AF"/>
    <w:rsid w:val="0070703F"/>
    <w:rsid w:val="0070753B"/>
    <w:rsid w:val="00707D94"/>
    <w:rsid w:val="007104EC"/>
    <w:rsid w:val="007105D2"/>
    <w:rsid w:val="00710902"/>
    <w:rsid w:val="007109DB"/>
    <w:rsid w:val="00710A68"/>
    <w:rsid w:val="00710B24"/>
    <w:rsid w:val="00710B9C"/>
    <w:rsid w:val="0071163C"/>
    <w:rsid w:val="00711870"/>
    <w:rsid w:val="0071237A"/>
    <w:rsid w:val="00712602"/>
    <w:rsid w:val="0071298B"/>
    <w:rsid w:val="00712AB8"/>
    <w:rsid w:val="00712ABC"/>
    <w:rsid w:val="00712FE8"/>
    <w:rsid w:val="0071304E"/>
    <w:rsid w:val="007136A0"/>
    <w:rsid w:val="00713B7F"/>
    <w:rsid w:val="007142F2"/>
    <w:rsid w:val="007144AB"/>
    <w:rsid w:val="00714891"/>
    <w:rsid w:val="00714968"/>
    <w:rsid w:val="00714AE8"/>
    <w:rsid w:val="0071535D"/>
    <w:rsid w:val="00715534"/>
    <w:rsid w:val="00715D14"/>
    <w:rsid w:val="00715DED"/>
    <w:rsid w:val="0071606B"/>
    <w:rsid w:val="00716204"/>
    <w:rsid w:val="0071639F"/>
    <w:rsid w:val="0071649E"/>
    <w:rsid w:val="00716CFD"/>
    <w:rsid w:val="00716DFE"/>
    <w:rsid w:val="00717118"/>
    <w:rsid w:val="007172F6"/>
    <w:rsid w:val="007173F0"/>
    <w:rsid w:val="00717593"/>
    <w:rsid w:val="007176EA"/>
    <w:rsid w:val="00717B9F"/>
    <w:rsid w:val="00717CF7"/>
    <w:rsid w:val="00717ECE"/>
    <w:rsid w:val="0072004A"/>
    <w:rsid w:val="00720C17"/>
    <w:rsid w:val="00721B46"/>
    <w:rsid w:val="0072215A"/>
    <w:rsid w:val="00722417"/>
    <w:rsid w:val="00722DB0"/>
    <w:rsid w:val="00723211"/>
    <w:rsid w:val="0072321A"/>
    <w:rsid w:val="00723250"/>
    <w:rsid w:val="00723266"/>
    <w:rsid w:val="007232D7"/>
    <w:rsid w:val="007235E4"/>
    <w:rsid w:val="00724112"/>
    <w:rsid w:val="00724B5E"/>
    <w:rsid w:val="00724D28"/>
    <w:rsid w:val="00724E3F"/>
    <w:rsid w:val="00725546"/>
    <w:rsid w:val="00725E72"/>
    <w:rsid w:val="007262E3"/>
    <w:rsid w:val="007267F3"/>
    <w:rsid w:val="007268D6"/>
    <w:rsid w:val="00727279"/>
    <w:rsid w:val="00727832"/>
    <w:rsid w:val="00727C2C"/>
    <w:rsid w:val="00727F5C"/>
    <w:rsid w:val="007303F3"/>
    <w:rsid w:val="0073097A"/>
    <w:rsid w:val="007316DC"/>
    <w:rsid w:val="00731F58"/>
    <w:rsid w:val="007322E0"/>
    <w:rsid w:val="00732B0A"/>
    <w:rsid w:val="00733A43"/>
    <w:rsid w:val="00733DA5"/>
    <w:rsid w:val="00735076"/>
    <w:rsid w:val="007352CA"/>
    <w:rsid w:val="00735465"/>
    <w:rsid w:val="007354B5"/>
    <w:rsid w:val="0073564D"/>
    <w:rsid w:val="00735D00"/>
    <w:rsid w:val="00736057"/>
    <w:rsid w:val="007362C8"/>
    <w:rsid w:val="007364AB"/>
    <w:rsid w:val="007366BF"/>
    <w:rsid w:val="007366FF"/>
    <w:rsid w:val="00736EB7"/>
    <w:rsid w:val="007374CA"/>
    <w:rsid w:val="007377E9"/>
    <w:rsid w:val="00737C27"/>
    <w:rsid w:val="00737E12"/>
    <w:rsid w:val="00740317"/>
    <w:rsid w:val="00740406"/>
    <w:rsid w:val="00740C09"/>
    <w:rsid w:val="00740CE2"/>
    <w:rsid w:val="00740F2C"/>
    <w:rsid w:val="007411F9"/>
    <w:rsid w:val="00741640"/>
    <w:rsid w:val="00742173"/>
    <w:rsid w:val="0074232C"/>
    <w:rsid w:val="00742842"/>
    <w:rsid w:val="00742C36"/>
    <w:rsid w:val="00742E5B"/>
    <w:rsid w:val="00742EE3"/>
    <w:rsid w:val="00742EF8"/>
    <w:rsid w:val="007431EA"/>
    <w:rsid w:val="00743929"/>
    <w:rsid w:val="00743FDA"/>
    <w:rsid w:val="0074449B"/>
    <w:rsid w:val="007445C1"/>
    <w:rsid w:val="0074536F"/>
    <w:rsid w:val="00745B53"/>
    <w:rsid w:val="00745D27"/>
    <w:rsid w:val="0074652F"/>
    <w:rsid w:val="007465DB"/>
    <w:rsid w:val="00746B23"/>
    <w:rsid w:val="00746D01"/>
    <w:rsid w:val="00746DAA"/>
    <w:rsid w:val="007472B1"/>
    <w:rsid w:val="0074767F"/>
    <w:rsid w:val="0074776D"/>
    <w:rsid w:val="007511AE"/>
    <w:rsid w:val="007512CA"/>
    <w:rsid w:val="007513B7"/>
    <w:rsid w:val="0075163D"/>
    <w:rsid w:val="00751D36"/>
    <w:rsid w:val="00751DFC"/>
    <w:rsid w:val="00752678"/>
    <w:rsid w:val="00752AAD"/>
    <w:rsid w:val="0075470E"/>
    <w:rsid w:val="00754789"/>
    <w:rsid w:val="00754D1C"/>
    <w:rsid w:val="00755843"/>
    <w:rsid w:val="00755B48"/>
    <w:rsid w:val="00755D1E"/>
    <w:rsid w:val="007562AA"/>
    <w:rsid w:val="00756646"/>
    <w:rsid w:val="00756691"/>
    <w:rsid w:val="00756DCC"/>
    <w:rsid w:val="00757BE8"/>
    <w:rsid w:val="007607A0"/>
    <w:rsid w:val="00760EF3"/>
    <w:rsid w:val="00761B22"/>
    <w:rsid w:val="00761F10"/>
    <w:rsid w:val="00762132"/>
    <w:rsid w:val="0076255D"/>
    <w:rsid w:val="007626C5"/>
    <w:rsid w:val="007628F0"/>
    <w:rsid w:val="00762B2D"/>
    <w:rsid w:val="00762BF1"/>
    <w:rsid w:val="00763393"/>
    <w:rsid w:val="00763445"/>
    <w:rsid w:val="00763540"/>
    <w:rsid w:val="00763674"/>
    <w:rsid w:val="00763972"/>
    <w:rsid w:val="00764084"/>
    <w:rsid w:val="0076542B"/>
    <w:rsid w:val="0076588D"/>
    <w:rsid w:val="00765FC9"/>
    <w:rsid w:val="007660C2"/>
    <w:rsid w:val="00766565"/>
    <w:rsid w:val="00766A4A"/>
    <w:rsid w:val="007671B0"/>
    <w:rsid w:val="0076755F"/>
    <w:rsid w:val="00767577"/>
    <w:rsid w:val="0076778F"/>
    <w:rsid w:val="00767997"/>
    <w:rsid w:val="0077001E"/>
    <w:rsid w:val="007713B8"/>
    <w:rsid w:val="00771B91"/>
    <w:rsid w:val="00771F28"/>
    <w:rsid w:val="00771FD6"/>
    <w:rsid w:val="00772146"/>
    <w:rsid w:val="0077283B"/>
    <w:rsid w:val="00772D3E"/>
    <w:rsid w:val="00772DCA"/>
    <w:rsid w:val="00772E33"/>
    <w:rsid w:val="00773331"/>
    <w:rsid w:val="007734B9"/>
    <w:rsid w:val="00774128"/>
    <w:rsid w:val="007745B7"/>
    <w:rsid w:val="007749FE"/>
    <w:rsid w:val="00775285"/>
    <w:rsid w:val="007754B2"/>
    <w:rsid w:val="00775531"/>
    <w:rsid w:val="0077556C"/>
    <w:rsid w:val="007763BD"/>
    <w:rsid w:val="00777480"/>
    <w:rsid w:val="00780128"/>
    <w:rsid w:val="007802EB"/>
    <w:rsid w:val="0078040A"/>
    <w:rsid w:val="007808CC"/>
    <w:rsid w:val="0078094E"/>
    <w:rsid w:val="00781234"/>
    <w:rsid w:val="007814B0"/>
    <w:rsid w:val="007814EF"/>
    <w:rsid w:val="00781B3E"/>
    <w:rsid w:val="00781C22"/>
    <w:rsid w:val="00781CB1"/>
    <w:rsid w:val="00782150"/>
    <w:rsid w:val="00782386"/>
    <w:rsid w:val="00782C3F"/>
    <w:rsid w:val="0078305C"/>
    <w:rsid w:val="007837E4"/>
    <w:rsid w:val="00783ECC"/>
    <w:rsid w:val="00784159"/>
    <w:rsid w:val="00784195"/>
    <w:rsid w:val="00784AD5"/>
    <w:rsid w:val="00785523"/>
    <w:rsid w:val="0078586A"/>
    <w:rsid w:val="00785959"/>
    <w:rsid w:val="00785B93"/>
    <w:rsid w:val="007868BC"/>
    <w:rsid w:val="00786A7C"/>
    <w:rsid w:val="00787519"/>
    <w:rsid w:val="00790B3C"/>
    <w:rsid w:val="0079106E"/>
    <w:rsid w:val="00791172"/>
    <w:rsid w:val="00791636"/>
    <w:rsid w:val="0079181E"/>
    <w:rsid w:val="00791957"/>
    <w:rsid w:val="00791DAF"/>
    <w:rsid w:val="00791F1D"/>
    <w:rsid w:val="00792006"/>
    <w:rsid w:val="0079210D"/>
    <w:rsid w:val="007932EF"/>
    <w:rsid w:val="00793F1D"/>
    <w:rsid w:val="007950C9"/>
    <w:rsid w:val="007950CF"/>
    <w:rsid w:val="0079513C"/>
    <w:rsid w:val="00795924"/>
    <w:rsid w:val="00795BE0"/>
    <w:rsid w:val="00795EFB"/>
    <w:rsid w:val="0079605E"/>
    <w:rsid w:val="00797192"/>
    <w:rsid w:val="007974C1"/>
    <w:rsid w:val="007979BB"/>
    <w:rsid w:val="00797B7B"/>
    <w:rsid w:val="00797E4B"/>
    <w:rsid w:val="007A1FE8"/>
    <w:rsid w:val="007A201B"/>
    <w:rsid w:val="007A2300"/>
    <w:rsid w:val="007A2C46"/>
    <w:rsid w:val="007A32BC"/>
    <w:rsid w:val="007A33F7"/>
    <w:rsid w:val="007A36FD"/>
    <w:rsid w:val="007A40FA"/>
    <w:rsid w:val="007A4116"/>
    <w:rsid w:val="007A42C5"/>
    <w:rsid w:val="007A42FB"/>
    <w:rsid w:val="007A475E"/>
    <w:rsid w:val="007A5123"/>
    <w:rsid w:val="007A517E"/>
    <w:rsid w:val="007A56B2"/>
    <w:rsid w:val="007A58BB"/>
    <w:rsid w:val="007A5C65"/>
    <w:rsid w:val="007A69DA"/>
    <w:rsid w:val="007A73F9"/>
    <w:rsid w:val="007A7806"/>
    <w:rsid w:val="007A7D7A"/>
    <w:rsid w:val="007A7DD3"/>
    <w:rsid w:val="007A7DD8"/>
    <w:rsid w:val="007B0043"/>
    <w:rsid w:val="007B015C"/>
    <w:rsid w:val="007B09D0"/>
    <w:rsid w:val="007B0A3E"/>
    <w:rsid w:val="007B112E"/>
    <w:rsid w:val="007B15D9"/>
    <w:rsid w:val="007B1AF6"/>
    <w:rsid w:val="007B1E45"/>
    <w:rsid w:val="007B2153"/>
    <w:rsid w:val="007B243C"/>
    <w:rsid w:val="007B2666"/>
    <w:rsid w:val="007B272A"/>
    <w:rsid w:val="007B2D41"/>
    <w:rsid w:val="007B2D86"/>
    <w:rsid w:val="007B3073"/>
    <w:rsid w:val="007B3241"/>
    <w:rsid w:val="007B3595"/>
    <w:rsid w:val="007B371D"/>
    <w:rsid w:val="007B37BE"/>
    <w:rsid w:val="007B3A0F"/>
    <w:rsid w:val="007B3B50"/>
    <w:rsid w:val="007B40E9"/>
    <w:rsid w:val="007B46F0"/>
    <w:rsid w:val="007B4D88"/>
    <w:rsid w:val="007B4DCF"/>
    <w:rsid w:val="007B4DF2"/>
    <w:rsid w:val="007B4E57"/>
    <w:rsid w:val="007B4E7B"/>
    <w:rsid w:val="007B59CC"/>
    <w:rsid w:val="007B5CCA"/>
    <w:rsid w:val="007B5E17"/>
    <w:rsid w:val="007B65AA"/>
    <w:rsid w:val="007B6808"/>
    <w:rsid w:val="007B6C3E"/>
    <w:rsid w:val="007B6D62"/>
    <w:rsid w:val="007B6EA5"/>
    <w:rsid w:val="007B7047"/>
    <w:rsid w:val="007B7691"/>
    <w:rsid w:val="007B79D9"/>
    <w:rsid w:val="007B7F3E"/>
    <w:rsid w:val="007C01AE"/>
    <w:rsid w:val="007C0B96"/>
    <w:rsid w:val="007C11C4"/>
    <w:rsid w:val="007C125D"/>
    <w:rsid w:val="007C14C1"/>
    <w:rsid w:val="007C15EA"/>
    <w:rsid w:val="007C2828"/>
    <w:rsid w:val="007C29FA"/>
    <w:rsid w:val="007C2D7D"/>
    <w:rsid w:val="007C2FA8"/>
    <w:rsid w:val="007C376F"/>
    <w:rsid w:val="007C387C"/>
    <w:rsid w:val="007C43BA"/>
    <w:rsid w:val="007C4844"/>
    <w:rsid w:val="007C5963"/>
    <w:rsid w:val="007C5BAA"/>
    <w:rsid w:val="007C6125"/>
    <w:rsid w:val="007C66EB"/>
    <w:rsid w:val="007C6B9E"/>
    <w:rsid w:val="007C6CCA"/>
    <w:rsid w:val="007C7C7C"/>
    <w:rsid w:val="007C7E0A"/>
    <w:rsid w:val="007C7F46"/>
    <w:rsid w:val="007D03E7"/>
    <w:rsid w:val="007D0779"/>
    <w:rsid w:val="007D07B0"/>
    <w:rsid w:val="007D0FCB"/>
    <w:rsid w:val="007D1379"/>
    <w:rsid w:val="007D1FDC"/>
    <w:rsid w:val="007D2643"/>
    <w:rsid w:val="007D283A"/>
    <w:rsid w:val="007D28E7"/>
    <w:rsid w:val="007D29BD"/>
    <w:rsid w:val="007D29D4"/>
    <w:rsid w:val="007D2BC5"/>
    <w:rsid w:val="007D3042"/>
    <w:rsid w:val="007D34CF"/>
    <w:rsid w:val="007D384B"/>
    <w:rsid w:val="007D3B76"/>
    <w:rsid w:val="007D3E63"/>
    <w:rsid w:val="007D3EDC"/>
    <w:rsid w:val="007D4363"/>
    <w:rsid w:val="007D481F"/>
    <w:rsid w:val="007D4C50"/>
    <w:rsid w:val="007D4FC5"/>
    <w:rsid w:val="007D537F"/>
    <w:rsid w:val="007D57AC"/>
    <w:rsid w:val="007D585A"/>
    <w:rsid w:val="007D5E74"/>
    <w:rsid w:val="007D63E4"/>
    <w:rsid w:val="007D672F"/>
    <w:rsid w:val="007D6D2F"/>
    <w:rsid w:val="007D75C5"/>
    <w:rsid w:val="007D7678"/>
    <w:rsid w:val="007E0199"/>
    <w:rsid w:val="007E05B0"/>
    <w:rsid w:val="007E0682"/>
    <w:rsid w:val="007E0C89"/>
    <w:rsid w:val="007E1792"/>
    <w:rsid w:val="007E195D"/>
    <w:rsid w:val="007E2104"/>
    <w:rsid w:val="007E2A8F"/>
    <w:rsid w:val="007E3085"/>
    <w:rsid w:val="007E37CD"/>
    <w:rsid w:val="007E3E6D"/>
    <w:rsid w:val="007E4472"/>
    <w:rsid w:val="007E4606"/>
    <w:rsid w:val="007E4B07"/>
    <w:rsid w:val="007E6141"/>
    <w:rsid w:val="007E66A5"/>
    <w:rsid w:val="007E6AF4"/>
    <w:rsid w:val="007E6FA7"/>
    <w:rsid w:val="007E749A"/>
    <w:rsid w:val="007E7AEC"/>
    <w:rsid w:val="007F021D"/>
    <w:rsid w:val="007F0786"/>
    <w:rsid w:val="007F0C22"/>
    <w:rsid w:val="007F0CEE"/>
    <w:rsid w:val="007F1505"/>
    <w:rsid w:val="007F187B"/>
    <w:rsid w:val="007F1DF3"/>
    <w:rsid w:val="007F1EEE"/>
    <w:rsid w:val="007F1F46"/>
    <w:rsid w:val="007F244B"/>
    <w:rsid w:val="007F24C7"/>
    <w:rsid w:val="007F30EA"/>
    <w:rsid w:val="007F344C"/>
    <w:rsid w:val="007F365E"/>
    <w:rsid w:val="007F3DFC"/>
    <w:rsid w:val="007F464E"/>
    <w:rsid w:val="007F5326"/>
    <w:rsid w:val="007F561B"/>
    <w:rsid w:val="007F59A8"/>
    <w:rsid w:val="007F62E0"/>
    <w:rsid w:val="007F656D"/>
    <w:rsid w:val="007F665B"/>
    <w:rsid w:val="007F667D"/>
    <w:rsid w:val="007F6A9A"/>
    <w:rsid w:val="007F6F31"/>
    <w:rsid w:val="007F70ED"/>
    <w:rsid w:val="007F7162"/>
    <w:rsid w:val="00800998"/>
    <w:rsid w:val="00802686"/>
    <w:rsid w:val="008028F6"/>
    <w:rsid w:val="00803807"/>
    <w:rsid w:val="00803C64"/>
    <w:rsid w:val="00803D9D"/>
    <w:rsid w:val="0080514A"/>
    <w:rsid w:val="008051A5"/>
    <w:rsid w:val="00805C93"/>
    <w:rsid w:val="00805ED8"/>
    <w:rsid w:val="00806187"/>
    <w:rsid w:val="008061A2"/>
    <w:rsid w:val="00806919"/>
    <w:rsid w:val="0080696C"/>
    <w:rsid w:val="00806AB6"/>
    <w:rsid w:val="00806C5B"/>
    <w:rsid w:val="00807038"/>
    <w:rsid w:val="008071A2"/>
    <w:rsid w:val="008071EB"/>
    <w:rsid w:val="008079CD"/>
    <w:rsid w:val="00807A4F"/>
    <w:rsid w:val="00807C58"/>
    <w:rsid w:val="00807F41"/>
    <w:rsid w:val="008108F6"/>
    <w:rsid w:val="00810B4F"/>
    <w:rsid w:val="00810BB4"/>
    <w:rsid w:val="00810D04"/>
    <w:rsid w:val="00810FB7"/>
    <w:rsid w:val="0081139D"/>
    <w:rsid w:val="00811763"/>
    <w:rsid w:val="00811860"/>
    <w:rsid w:val="0081195B"/>
    <w:rsid w:val="008121FB"/>
    <w:rsid w:val="0081282D"/>
    <w:rsid w:val="0081339B"/>
    <w:rsid w:val="00813EA1"/>
    <w:rsid w:val="00813FD1"/>
    <w:rsid w:val="00814AED"/>
    <w:rsid w:val="008152B4"/>
    <w:rsid w:val="008156C2"/>
    <w:rsid w:val="008158D9"/>
    <w:rsid w:val="008164C2"/>
    <w:rsid w:val="008164D4"/>
    <w:rsid w:val="00816831"/>
    <w:rsid w:val="0081698B"/>
    <w:rsid w:val="00816ACF"/>
    <w:rsid w:val="00816AE9"/>
    <w:rsid w:val="0081718A"/>
    <w:rsid w:val="00820B13"/>
    <w:rsid w:val="008213E0"/>
    <w:rsid w:val="0082170C"/>
    <w:rsid w:val="00821720"/>
    <w:rsid w:val="00822B86"/>
    <w:rsid w:val="00822D4D"/>
    <w:rsid w:val="008230E0"/>
    <w:rsid w:val="00823BFC"/>
    <w:rsid w:val="00823C23"/>
    <w:rsid w:val="00823FB7"/>
    <w:rsid w:val="008244EB"/>
    <w:rsid w:val="00824F97"/>
    <w:rsid w:val="008250C2"/>
    <w:rsid w:val="008253F3"/>
    <w:rsid w:val="00825838"/>
    <w:rsid w:val="00825AED"/>
    <w:rsid w:val="00827AA3"/>
    <w:rsid w:val="00830568"/>
    <w:rsid w:val="00830EA9"/>
    <w:rsid w:val="00830F43"/>
    <w:rsid w:val="00831452"/>
    <w:rsid w:val="008318D1"/>
    <w:rsid w:val="008322E0"/>
    <w:rsid w:val="00832399"/>
    <w:rsid w:val="00832E46"/>
    <w:rsid w:val="00832F05"/>
    <w:rsid w:val="008331ED"/>
    <w:rsid w:val="00833764"/>
    <w:rsid w:val="00833FF1"/>
    <w:rsid w:val="00834317"/>
    <w:rsid w:val="00834F73"/>
    <w:rsid w:val="00835945"/>
    <w:rsid w:val="00835964"/>
    <w:rsid w:val="00836187"/>
    <w:rsid w:val="008364DF"/>
    <w:rsid w:val="00836961"/>
    <w:rsid w:val="00836BD8"/>
    <w:rsid w:val="008370AA"/>
    <w:rsid w:val="008371FA"/>
    <w:rsid w:val="008374ED"/>
    <w:rsid w:val="0083759F"/>
    <w:rsid w:val="00837870"/>
    <w:rsid w:val="008379F2"/>
    <w:rsid w:val="00837E9B"/>
    <w:rsid w:val="00840321"/>
    <w:rsid w:val="00840BAB"/>
    <w:rsid w:val="00840E8C"/>
    <w:rsid w:val="00841241"/>
    <w:rsid w:val="00841A12"/>
    <w:rsid w:val="00841F53"/>
    <w:rsid w:val="008422BD"/>
    <w:rsid w:val="0084256E"/>
    <w:rsid w:val="00842BF3"/>
    <w:rsid w:val="00842ED0"/>
    <w:rsid w:val="00844994"/>
    <w:rsid w:val="00845BEB"/>
    <w:rsid w:val="0084634A"/>
    <w:rsid w:val="00846B69"/>
    <w:rsid w:val="00847E6F"/>
    <w:rsid w:val="008512C2"/>
    <w:rsid w:val="008514BB"/>
    <w:rsid w:val="0085180B"/>
    <w:rsid w:val="00851D12"/>
    <w:rsid w:val="008523FE"/>
    <w:rsid w:val="008526CD"/>
    <w:rsid w:val="00852B1B"/>
    <w:rsid w:val="00853014"/>
    <w:rsid w:val="00853847"/>
    <w:rsid w:val="008540F4"/>
    <w:rsid w:val="0085459A"/>
    <w:rsid w:val="00854FFB"/>
    <w:rsid w:val="00855619"/>
    <w:rsid w:val="00855A58"/>
    <w:rsid w:val="00856106"/>
    <w:rsid w:val="008568F3"/>
    <w:rsid w:val="00856B11"/>
    <w:rsid w:val="008575B1"/>
    <w:rsid w:val="0085765E"/>
    <w:rsid w:val="00857CED"/>
    <w:rsid w:val="00857EB3"/>
    <w:rsid w:val="008603F2"/>
    <w:rsid w:val="008604F4"/>
    <w:rsid w:val="008614B9"/>
    <w:rsid w:val="0086150C"/>
    <w:rsid w:val="00861E89"/>
    <w:rsid w:val="00861FFD"/>
    <w:rsid w:val="0086275B"/>
    <w:rsid w:val="00862844"/>
    <w:rsid w:val="00862DDA"/>
    <w:rsid w:val="00863862"/>
    <w:rsid w:val="00863C09"/>
    <w:rsid w:val="00863E6D"/>
    <w:rsid w:val="008644FB"/>
    <w:rsid w:val="00864F6C"/>
    <w:rsid w:val="00865958"/>
    <w:rsid w:val="008659EB"/>
    <w:rsid w:val="00866F61"/>
    <w:rsid w:val="00867348"/>
    <w:rsid w:val="00867653"/>
    <w:rsid w:val="0086788A"/>
    <w:rsid w:val="008678C8"/>
    <w:rsid w:val="0086795D"/>
    <w:rsid w:val="0087011A"/>
    <w:rsid w:val="008701C9"/>
    <w:rsid w:val="00870A59"/>
    <w:rsid w:val="008711D3"/>
    <w:rsid w:val="0087141E"/>
    <w:rsid w:val="00871456"/>
    <w:rsid w:val="00871DBE"/>
    <w:rsid w:val="00871ECB"/>
    <w:rsid w:val="00872DF6"/>
    <w:rsid w:val="0087321F"/>
    <w:rsid w:val="008733CC"/>
    <w:rsid w:val="008733F3"/>
    <w:rsid w:val="00873426"/>
    <w:rsid w:val="00874724"/>
    <w:rsid w:val="0087472A"/>
    <w:rsid w:val="0087478E"/>
    <w:rsid w:val="00874AB6"/>
    <w:rsid w:val="00874D22"/>
    <w:rsid w:val="00874F76"/>
    <w:rsid w:val="00875453"/>
    <w:rsid w:val="00875D51"/>
    <w:rsid w:val="00875FE2"/>
    <w:rsid w:val="00876CA5"/>
    <w:rsid w:val="00877173"/>
    <w:rsid w:val="008772B4"/>
    <w:rsid w:val="008773AF"/>
    <w:rsid w:val="00880047"/>
    <w:rsid w:val="00880403"/>
    <w:rsid w:val="0088057A"/>
    <w:rsid w:val="0088061D"/>
    <w:rsid w:val="00880CED"/>
    <w:rsid w:val="00880DB4"/>
    <w:rsid w:val="00880EB4"/>
    <w:rsid w:val="00881305"/>
    <w:rsid w:val="0088175B"/>
    <w:rsid w:val="00882173"/>
    <w:rsid w:val="00882DFF"/>
    <w:rsid w:val="00882F7F"/>
    <w:rsid w:val="0088367E"/>
    <w:rsid w:val="0088390B"/>
    <w:rsid w:val="00884812"/>
    <w:rsid w:val="00884DAD"/>
    <w:rsid w:val="00884DE8"/>
    <w:rsid w:val="0088530F"/>
    <w:rsid w:val="00885ABA"/>
    <w:rsid w:val="00886B6C"/>
    <w:rsid w:val="00886DDA"/>
    <w:rsid w:val="00887769"/>
    <w:rsid w:val="0088781E"/>
    <w:rsid w:val="00890B64"/>
    <w:rsid w:val="00890BA4"/>
    <w:rsid w:val="008914B8"/>
    <w:rsid w:val="008916F0"/>
    <w:rsid w:val="0089190B"/>
    <w:rsid w:val="00891B4B"/>
    <w:rsid w:val="00891B67"/>
    <w:rsid w:val="00892474"/>
    <w:rsid w:val="00892620"/>
    <w:rsid w:val="00892CD8"/>
    <w:rsid w:val="00892DE3"/>
    <w:rsid w:val="0089333B"/>
    <w:rsid w:val="00893782"/>
    <w:rsid w:val="00893F7C"/>
    <w:rsid w:val="008942AE"/>
    <w:rsid w:val="00894922"/>
    <w:rsid w:val="00894B43"/>
    <w:rsid w:val="00894BD2"/>
    <w:rsid w:val="00895684"/>
    <w:rsid w:val="00895CF3"/>
    <w:rsid w:val="00895DD8"/>
    <w:rsid w:val="00895F0E"/>
    <w:rsid w:val="00896011"/>
    <w:rsid w:val="0089620E"/>
    <w:rsid w:val="00896A10"/>
    <w:rsid w:val="00896E16"/>
    <w:rsid w:val="008A0199"/>
    <w:rsid w:val="008A01CE"/>
    <w:rsid w:val="008A083A"/>
    <w:rsid w:val="008A08DC"/>
    <w:rsid w:val="008A0A86"/>
    <w:rsid w:val="008A12CD"/>
    <w:rsid w:val="008A1774"/>
    <w:rsid w:val="008A1C86"/>
    <w:rsid w:val="008A2914"/>
    <w:rsid w:val="008A2941"/>
    <w:rsid w:val="008A2ED6"/>
    <w:rsid w:val="008A3450"/>
    <w:rsid w:val="008A3F6A"/>
    <w:rsid w:val="008A420B"/>
    <w:rsid w:val="008A45F6"/>
    <w:rsid w:val="008A4A55"/>
    <w:rsid w:val="008A4BBE"/>
    <w:rsid w:val="008A517F"/>
    <w:rsid w:val="008A5496"/>
    <w:rsid w:val="008A5544"/>
    <w:rsid w:val="008A5973"/>
    <w:rsid w:val="008A6286"/>
    <w:rsid w:val="008A6543"/>
    <w:rsid w:val="008A6CD8"/>
    <w:rsid w:val="008A6E6C"/>
    <w:rsid w:val="008A6F58"/>
    <w:rsid w:val="008A6FC7"/>
    <w:rsid w:val="008A7308"/>
    <w:rsid w:val="008A7381"/>
    <w:rsid w:val="008A73BA"/>
    <w:rsid w:val="008A73ED"/>
    <w:rsid w:val="008B08A2"/>
    <w:rsid w:val="008B0B24"/>
    <w:rsid w:val="008B0C87"/>
    <w:rsid w:val="008B0FF0"/>
    <w:rsid w:val="008B118F"/>
    <w:rsid w:val="008B147A"/>
    <w:rsid w:val="008B1BC2"/>
    <w:rsid w:val="008B2990"/>
    <w:rsid w:val="008B2A10"/>
    <w:rsid w:val="008B2FE0"/>
    <w:rsid w:val="008B36B7"/>
    <w:rsid w:val="008B4AC5"/>
    <w:rsid w:val="008B62CB"/>
    <w:rsid w:val="008B65DF"/>
    <w:rsid w:val="008B68F3"/>
    <w:rsid w:val="008B7535"/>
    <w:rsid w:val="008B77ED"/>
    <w:rsid w:val="008C0376"/>
    <w:rsid w:val="008C05D8"/>
    <w:rsid w:val="008C0A92"/>
    <w:rsid w:val="008C0B36"/>
    <w:rsid w:val="008C0BAB"/>
    <w:rsid w:val="008C0BF3"/>
    <w:rsid w:val="008C1BD9"/>
    <w:rsid w:val="008C200F"/>
    <w:rsid w:val="008C24ED"/>
    <w:rsid w:val="008C2801"/>
    <w:rsid w:val="008C2C84"/>
    <w:rsid w:val="008C2D5A"/>
    <w:rsid w:val="008C321D"/>
    <w:rsid w:val="008C3259"/>
    <w:rsid w:val="008C4413"/>
    <w:rsid w:val="008C49F1"/>
    <w:rsid w:val="008C4E49"/>
    <w:rsid w:val="008C4F3D"/>
    <w:rsid w:val="008C5079"/>
    <w:rsid w:val="008C51C0"/>
    <w:rsid w:val="008C5230"/>
    <w:rsid w:val="008C52C4"/>
    <w:rsid w:val="008C6468"/>
    <w:rsid w:val="008C6481"/>
    <w:rsid w:val="008C65F6"/>
    <w:rsid w:val="008C69F3"/>
    <w:rsid w:val="008C757A"/>
    <w:rsid w:val="008D07FD"/>
    <w:rsid w:val="008D0A8A"/>
    <w:rsid w:val="008D1E44"/>
    <w:rsid w:val="008D1E9D"/>
    <w:rsid w:val="008D2082"/>
    <w:rsid w:val="008D20E6"/>
    <w:rsid w:val="008D2382"/>
    <w:rsid w:val="008D271D"/>
    <w:rsid w:val="008D2B88"/>
    <w:rsid w:val="008D2D62"/>
    <w:rsid w:val="008D3771"/>
    <w:rsid w:val="008D43BA"/>
    <w:rsid w:val="008D43FA"/>
    <w:rsid w:val="008D4658"/>
    <w:rsid w:val="008D4B4A"/>
    <w:rsid w:val="008D4BDE"/>
    <w:rsid w:val="008D4E2B"/>
    <w:rsid w:val="008D4F19"/>
    <w:rsid w:val="008D5206"/>
    <w:rsid w:val="008D521D"/>
    <w:rsid w:val="008D5803"/>
    <w:rsid w:val="008D5B4A"/>
    <w:rsid w:val="008D5B6A"/>
    <w:rsid w:val="008D5F11"/>
    <w:rsid w:val="008D60F7"/>
    <w:rsid w:val="008D6196"/>
    <w:rsid w:val="008D6421"/>
    <w:rsid w:val="008D6F5E"/>
    <w:rsid w:val="008D6F62"/>
    <w:rsid w:val="008D722A"/>
    <w:rsid w:val="008D7847"/>
    <w:rsid w:val="008D7A50"/>
    <w:rsid w:val="008E0739"/>
    <w:rsid w:val="008E0811"/>
    <w:rsid w:val="008E090F"/>
    <w:rsid w:val="008E1E9E"/>
    <w:rsid w:val="008E2070"/>
    <w:rsid w:val="008E214A"/>
    <w:rsid w:val="008E24FE"/>
    <w:rsid w:val="008E2665"/>
    <w:rsid w:val="008E2EDF"/>
    <w:rsid w:val="008E3428"/>
    <w:rsid w:val="008E385E"/>
    <w:rsid w:val="008E3DCE"/>
    <w:rsid w:val="008E3F81"/>
    <w:rsid w:val="008E3FD5"/>
    <w:rsid w:val="008E4513"/>
    <w:rsid w:val="008E462A"/>
    <w:rsid w:val="008E4D8E"/>
    <w:rsid w:val="008E5123"/>
    <w:rsid w:val="008E5B68"/>
    <w:rsid w:val="008E5C06"/>
    <w:rsid w:val="008E61E9"/>
    <w:rsid w:val="008E70D0"/>
    <w:rsid w:val="008E7679"/>
    <w:rsid w:val="008F0077"/>
    <w:rsid w:val="008F0519"/>
    <w:rsid w:val="008F0653"/>
    <w:rsid w:val="008F06F5"/>
    <w:rsid w:val="008F081B"/>
    <w:rsid w:val="008F0924"/>
    <w:rsid w:val="008F096B"/>
    <w:rsid w:val="008F098A"/>
    <w:rsid w:val="008F0E5A"/>
    <w:rsid w:val="008F14D5"/>
    <w:rsid w:val="008F1AFF"/>
    <w:rsid w:val="008F1DF2"/>
    <w:rsid w:val="008F1FE2"/>
    <w:rsid w:val="008F27F4"/>
    <w:rsid w:val="008F2AF1"/>
    <w:rsid w:val="008F2D3A"/>
    <w:rsid w:val="008F2E8F"/>
    <w:rsid w:val="008F2FB0"/>
    <w:rsid w:val="008F2FF4"/>
    <w:rsid w:val="008F3234"/>
    <w:rsid w:val="008F49BA"/>
    <w:rsid w:val="008F5012"/>
    <w:rsid w:val="008F50D9"/>
    <w:rsid w:val="008F5A61"/>
    <w:rsid w:val="008F6316"/>
    <w:rsid w:val="008F638E"/>
    <w:rsid w:val="008F6480"/>
    <w:rsid w:val="008F687C"/>
    <w:rsid w:val="008F6993"/>
    <w:rsid w:val="008F6CAB"/>
    <w:rsid w:val="008F6E19"/>
    <w:rsid w:val="008F6E6A"/>
    <w:rsid w:val="008F70DB"/>
    <w:rsid w:val="008F7C80"/>
    <w:rsid w:val="008F7DCF"/>
    <w:rsid w:val="0090107F"/>
    <w:rsid w:val="009011B9"/>
    <w:rsid w:val="00901400"/>
    <w:rsid w:val="0090141B"/>
    <w:rsid w:val="00901A84"/>
    <w:rsid w:val="00901C9F"/>
    <w:rsid w:val="0090213D"/>
    <w:rsid w:val="009022BA"/>
    <w:rsid w:val="0090299E"/>
    <w:rsid w:val="009029B3"/>
    <w:rsid w:val="0090323B"/>
    <w:rsid w:val="00903755"/>
    <w:rsid w:val="0090378B"/>
    <w:rsid w:val="0090394F"/>
    <w:rsid w:val="00903BB5"/>
    <w:rsid w:val="00904865"/>
    <w:rsid w:val="00904C48"/>
    <w:rsid w:val="0090540C"/>
    <w:rsid w:val="00905431"/>
    <w:rsid w:val="00905B08"/>
    <w:rsid w:val="0090663A"/>
    <w:rsid w:val="00906F70"/>
    <w:rsid w:val="009072B3"/>
    <w:rsid w:val="00907529"/>
    <w:rsid w:val="009100A1"/>
    <w:rsid w:val="009103DB"/>
    <w:rsid w:val="0091059D"/>
    <w:rsid w:val="00910682"/>
    <w:rsid w:val="0091076D"/>
    <w:rsid w:val="00910DB8"/>
    <w:rsid w:val="009113D4"/>
    <w:rsid w:val="00911422"/>
    <w:rsid w:val="00911616"/>
    <w:rsid w:val="00912725"/>
    <w:rsid w:val="009127C3"/>
    <w:rsid w:val="00912A05"/>
    <w:rsid w:val="00912B7F"/>
    <w:rsid w:val="00912DA0"/>
    <w:rsid w:val="00914227"/>
    <w:rsid w:val="00914E18"/>
    <w:rsid w:val="00914E24"/>
    <w:rsid w:val="00914E93"/>
    <w:rsid w:val="00914F5F"/>
    <w:rsid w:val="0091566F"/>
    <w:rsid w:val="00915819"/>
    <w:rsid w:val="00915EF3"/>
    <w:rsid w:val="009162C5"/>
    <w:rsid w:val="009166BD"/>
    <w:rsid w:val="00917083"/>
    <w:rsid w:val="0091777B"/>
    <w:rsid w:val="009177E7"/>
    <w:rsid w:val="00920119"/>
    <w:rsid w:val="00920432"/>
    <w:rsid w:val="009205FE"/>
    <w:rsid w:val="00920C3F"/>
    <w:rsid w:val="00921777"/>
    <w:rsid w:val="009218DA"/>
    <w:rsid w:val="009224E3"/>
    <w:rsid w:val="00922774"/>
    <w:rsid w:val="00922848"/>
    <w:rsid w:val="00924129"/>
    <w:rsid w:val="009246B4"/>
    <w:rsid w:val="00924746"/>
    <w:rsid w:val="00924A1E"/>
    <w:rsid w:val="00924A43"/>
    <w:rsid w:val="00924CFA"/>
    <w:rsid w:val="009251A7"/>
    <w:rsid w:val="00925250"/>
    <w:rsid w:val="00925364"/>
    <w:rsid w:val="0092544E"/>
    <w:rsid w:val="00925545"/>
    <w:rsid w:val="00925C1A"/>
    <w:rsid w:val="00925E33"/>
    <w:rsid w:val="009266BE"/>
    <w:rsid w:val="00926B3E"/>
    <w:rsid w:val="00926EFF"/>
    <w:rsid w:val="009271A8"/>
    <w:rsid w:val="00927E53"/>
    <w:rsid w:val="0093052D"/>
    <w:rsid w:val="00930D29"/>
    <w:rsid w:val="0093119C"/>
    <w:rsid w:val="009314F9"/>
    <w:rsid w:val="0093178C"/>
    <w:rsid w:val="00931A97"/>
    <w:rsid w:val="00931BBC"/>
    <w:rsid w:val="009322E7"/>
    <w:rsid w:val="00932331"/>
    <w:rsid w:val="00932CCA"/>
    <w:rsid w:val="0093302B"/>
    <w:rsid w:val="009330BE"/>
    <w:rsid w:val="009334AE"/>
    <w:rsid w:val="00933ABA"/>
    <w:rsid w:val="00933BBA"/>
    <w:rsid w:val="00934311"/>
    <w:rsid w:val="009345BA"/>
    <w:rsid w:val="00934892"/>
    <w:rsid w:val="00935371"/>
    <w:rsid w:val="00935425"/>
    <w:rsid w:val="00935829"/>
    <w:rsid w:val="00935936"/>
    <w:rsid w:val="009364AC"/>
    <w:rsid w:val="009370EE"/>
    <w:rsid w:val="00937A3B"/>
    <w:rsid w:val="00940D5E"/>
    <w:rsid w:val="00941345"/>
    <w:rsid w:val="009419A3"/>
    <w:rsid w:val="00943630"/>
    <w:rsid w:val="0094379F"/>
    <w:rsid w:val="0094432F"/>
    <w:rsid w:val="00944AE5"/>
    <w:rsid w:val="00944DBD"/>
    <w:rsid w:val="00944EA4"/>
    <w:rsid w:val="00945120"/>
    <w:rsid w:val="009461AC"/>
    <w:rsid w:val="009502ED"/>
    <w:rsid w:val="009504C3"/>
    <w:rsid w:val="009504D7"/>
    <w:rsid w:val="0095068A"/>
    <w:rsid w:val="009511A8"/>
    <w:rsid w:val="00951346"/>
    <w:rsid w:val="009525B3"/>
    <w:rsid w:val="0095279A"/>
    <w:rsid w:val="0095294E"/>
    <w:rsid w:val="00952B76"/>
    <w:rsid w:val="00952D91"/>
    <w:rsid w:val="00952E5E"/>
    <w:rsid w:val="00952F1F"/>
    <w:rsid w:val="00953987"/>
    <w:rsid w:val="009539FF"/>
    <w:rsid w:val="00953A10"/>
    <w:rsid w:val="00953B79"/>
    <w:rsid w:val="009540DA"/>
    <w:rsid w:val="00954FB9"/>
    <w:rsid w:val="009552B6"/>
    <w:rsid w:val="0095541C"/>
    <w:rsid w:val="00955A09"/>
    <w:rsid w:val="00955ADE"/>
    <w:rsid w:val="00955AEA"/>
    <w:rsid w:val="00955D22"/>
    <w:rsid w:val="009561D8"/>
    <w:rsid w:val="00956442"/>
    <w:rsid w:val="00956454"/>
    <w:rsid w:val="009564AA"/>
    <w:rsid w:val="00956F8C"/>
    <w:rsid w:val="009571B5"/>
    <w:rsid w:val="009579C7"/>
    <w:rsid w:val="00960EAD"/>
    <w:rsid w:val="0096146D"/>
    <w:rsid w:val="009615ED"/>
    <w:rsid w:val="00961847"/>
    <w:rsid w:val="009618E2"/>
    <w:rsid w:val="00961C1D"/>
    <w:rsid w:val="009620D5"/>
    <w:rsid w:val="00962567"/>
    <w:rsid w:val="00962BA6"/>
    <w:rsid w:val="00962D61"/>
    <w:rsid w:val="00963A6E"/>
    <w:rsid w:val="0096479B"/>
    <w:rsid w:val="00964958"/>
    <w:rsid w:val="00964E43"/>
    <w:rsid w:val="009658A1"/>
    <w:rsid w:val="0096590F"/>
    <w:rsid w:val="00965DE9"/>
    <w:rsid w:val="009667F0"/>
    <w:rsid w:val="00966B52"/>
    <w:rsid w:val="009676DD"/>
    <w:rsid w:val="0096778B"/>
    <w:rsid w:val="00967D53"/>
    <w:rsid w:val="00967E6B"/>
    <w:rsid w:val="0096DEA0"/>
    <w:rsid w:val="0097005A"/>
    <w:rsid w:val="009715B9"/>
    <w:rsid w:val="0097193D"/>
    <w:rsid w:val="0097214A"/>
    <w:rsid w:val="00972DF7"/>
    <w:rsid w:val="00972E01"/>
    <w:rsid w:val="00972E98"/>
    <w:rsid w:val="009730F5"/>
    <w:rsid w:val="00973A78"/>
    <w:rsid w:val="00973CF7"/>
    <w:rsid w:val="00973E15"/>
    <w:rsid w:val="009746B1"/>
    <w:rsid w:val="009747F3"/>
    <w:rsid w:val="00974D15"/>
    <w:rsid w:val="009755A2"/>
    <w:rsid w:val="0097590F"/>
    <w:rsid w:val="00975AA3"/>
    <w:rsid w:val="00975F7F"/>
    <w:rsid w:val="00976464"/>
    <w:rsid w:val="009766E6"/>
    <w:rsid w:val="009767A2"/>
    <w:rsid w:val="00976DED"/>
    <w:rsid w:val="00977346"/>
    <w:rsid w:val="00980974"/>
    <w:rsid w:val="0098097B"/>
    <w:rsid w:val="00980B94"/>
    <w:rsid w:val="00980E7A"/>
    <w:rsid w:val="00982203"/>
    <w:rsid w:val="009823A3"/>
    <w:rsid w:val="00982648"/>
    <w:rsid w:val="00982A2C"/>
    <w:rsid w:val="00982CA4"/>
    <w:rsid w:val="0098313D"/>
    <w:rsid w:val="0098433A"/>
    <w:rsid w:val="0098441C"/>
    <w:rsid w:val="009844D3"/>
    <w:rsid w:val="00984541"/>
    <w:rsid w:val="00984A7E"/>
    <w:rsid w:val="00984ED5"/>
    <w:rsid w:val="00985760"/>
    <w:rsid w:val="00985878"/>
    <w:rsid w:val="00985C74"/>
    <w:rsid w:val="00985F9E"/>
    <w:rsid w:val="0098622A"/>
    <w:rsid w:val="00986310"/>
    <w:rsid w:val="009869B6"/>
    <w:rsid w:val="00986BBB"/>
    <w:rsid w:val="00986CCF"/>
    <w:rsid w:val="00987F7A"/>
    <w:rsid w:val="00990348"/>
    <w:rsid w:val="00990479"/>
    <w:rsid w:val="009907F8"/>
    <w:rsid w:val="00990ADA"/>
    <w:rsid w:val="00991A07"/>
    <w:rsid w:val="00991DC6"/>
    <w:rsid w:val="009921A2"/>
    <w:rsid w:val="00992C3C"/>
    <w:rsid w:val="00992DC4"/>
    <w:rsid w:val="00992EE3"/>
    <w:rsid w:val="009937A8"/>
    <w:rsid w:val="00993BAC"/>
    <w:rsid w:val="00994578"/>
    <w:rsid w:val="00994EA9"/>
    <w:rsid w:val="00995571"/>
    <w:rsid w:val="00995717"/>
    <w:rsid w:val="00995B97"/>
    <w:rsid w:val="0099607C"/>
    <w:rsid w:val="009966AE"/>
    <w:rsid w:val="0099691E"/>
    <w:rsid w:val="00996CE2"/>
    <w:rsid w:val="0099782F"/>
    <w:rsid w:val="00997C6D"/>
    <w:rsid w:val="009A05D0"/>
    <w:rsid w:val="009A08B7"/>
    <w:rsid w:val="009A0991"/>
    <w:rsid w:val="009A0BAE"/>
    <w:rsid w:val="009A1AD4"/>
    <w:rsid w:val="009A1D5A"/>
    <w:rsid w:val="009A2039"/>
    <w:rsid w:val="009A2481"/>
    <w:rsid w:val="009A2D2A"/>
    <w:rsid w:val="009A3255"/>
    <w:rsid w:val="009A3324"/>
    <w:rsid w:val="009A35DA"/>
    <w:rsid w:val="009A35ED"/>
    <w:rsid w:val="009A4AB8"/>
    <w:rsid w:val="009A4F5A"/>
    <w:rsid w:val="009A56DA"/>
    <w:rsid w:val="009A5D01"/>
    <w:rsid w:val="009A629F"/>
    <w:rsid w:val="009A646D"/>
    <w:rsid w:val="009A6C9A"/>
    <w:rsid w:val="009A7068"/>
    <w:rsid w:val="009A7133"/>
    <w:rsid w:val="009A7285"/>
    <w:rsid w:val="009A7398"/>
    <w:rsid w:val="009A7B49"/>
    <w:rsid w:val="009B04E6"/>
    <w:rsid w:val="009B04F4"/>
    <w:rsid w:val="009B12A1"/>
    <w:rsid w:val="009B1351"/>
    <w:rsid w:val="009B17BC"/>
    <w:rsid w:val="009B1D1C"/>
    <w:rsid w:val="009B25D1"/>
    <w:rsid w:val="009B2AAF"/>
    <w:rsid w:val="009B2BB6"/>
    <w:rsid w:val="009B3714"/>
    <w:rsid w:val="009B3A74"/>
    <w:rsid w:val="009B3EE4"/>
    <w:rsid w:val="009B45BF"/>
    <w:rsid w:val="009B4ADB"/>
    <w:rsid w:val="009B4B99"/>
    <w:rsid w:val="009B5034"/>
    <w:rsid w:val="009B581C"/>
    <w:rsid w:val="009B5F1E"/>
    <w:rsid w:val="009B5FE7"/>
    <w:rsid w:val="009B647B"/>
    <w:rsid w:val="009B70D7"/>
    <w:rsid w:val="009B776F"/>
    <w:rsid w:val="009B791B"/>
    <w:rsid w:val="009B7943"/>
    <w:rsid w:val="009B7D7C"/>
    <w:rsid w:val="009C097E"/>
    <w:rsid w:val="009C12C1"/>
    <w:rsid w:val="009C1646"/>
    <w:rsid w:val="009C183B"/>
    <w:rsid w:val="009C1D00"/>
    <w:rsid w:val="009C1EE2"/>
    <w:rsid w:val="009C2A52"/>
    <w:rsid w:val="009C3053"/>
    <w:rsid w:val="009C3202"/>
    <w:rsid w:val="009C3280"/>
    <w:rsid w:val="009C3298"/>
    <w:rsid w:val="009C358C"/>
    <w:rsid w:val="009C4043"/>
    <w:rsid w:val="009C4821"/>
    <w:rsid w:val="009C4844"/>
    <w:rsid w:val="009C4922"/>
    <w:rsid w:val="009C5082"/>
    <w:rsid w:val="009C5D59"/>
    <w:rsid w:val="009C60F6"/>
    <w:rsid w:val="009C66B0"/>
    <w:rsid w:val="009C71BF"/>
    <w:rsid w:val="009C7426"/>
    <w:rsid w:val="009C7B61"/>
    <w:rsid w:val="009C7D3B"/>
    <w:rsid w:val="009D01B3"/>
    <w:rsid w:val="009D168E"/>
    <w:rsid w:val="009D1D6E"/>
    <w:rsid w:val="009D2007"/>
    <w:rsid w:val="009D2687"/>
    <w:rsid w:val="009D2CF1"/>
    <w:rsid w:val="009D2FE3"/>
    <w:rsid w:val="009D33EC"/>
    <w:rsid w:val="009D37F6"/>
    <w:rsid w:val="009D38DB"/>
    <w:rsid w:val="009D3DDD"/>
    <w:rsid w:val="009D4067"/>
    <w:rsid w:val="009D40DB"/>
    <w:rsid w:val="009D43FE"/>
    <w:rsid w:val="009D469A"/>
    <w:rsid w:val="009D5A1B"/>
    <w:rsid w:val="009D5A9E"/>
    <w:rsid w:val="009D651F"/>
    <w:rsid w:val="009D6A4F"/>
    <w:rsid w:val="009D701C"/>
    <w:rsid w:val="009D779E"/>
    <w:rsid w:val="009D7A6E"/>
    <w:rsid w:val="009D7B85"/>
    <w:rsid w:val="009E083A"/>
    <w:rsid w:val="009E08C9"/>
    <w:rsid w:val="009E0933"/>
    <w:rsid w:val="009E0A4C"/>
    <w:rsid w:val="009E140C"/>
    <w:rsid w:val="009E1B12"/>
    <w:rsid w:val="009E1F76"/>
    <w:rsid w:val="009E2268"/>
    <w:rsid w:val="009E2774"/>
    <w:rsid w:val="009E28C2"/>
    <w:rsid w:val="009E2B49"/>
    <w:rsid w:val="009E31A6"/>
    <w:rsid w:val="009E34F5"/>
    <w:rsid w:val="009E3506"/>
    <w:rsid w:val="009E350E"/>
    <w:rsid w:val="009E382A"/>
    <w:rsid w:val="009E38E4"/>
    <w:rsid w:val="009E3D24"/>
    <w:rsid w:val="009E3DA5"/>
    <w:rsid w:val="009E416C"/>
    <w:rsid w:val="009E4AA8"/>
    <w:rsid w:val="009E4AED"/>
    <w:rsid w:val="009E4F76"/>
    <w:rsid w:val="009E5464"/>
    <w:rsid w:val="009E73CE"/>
    <w:rsid w:val="009E7EFE"/>
    <w:rsid w:val="009E7FA9"/>
    <w:rsid w:val="009F0674"/>
    <w:rsid w:val="009F0CCC"/>
    <w:rsid w:val="009F10F2"/>
    <w:rsid w:val="009F1291"/>
    <w:rsid w:val="009F161A"/>
    <w:rsid w:val="009F1707"/>
    <w:rsid w:val="009F1D43"/>
    <w:rsid w:val="009F27E9"/>
    <w:rsid w:val="009F33D7"/>
    <w:rsid w:val="009F38F5"/>
    <w:rsid w:val="009F3A24"/>
    <w:rsid w:val="009F3B45"/>
    <w:rsid w:val="009F3C73"/>
    <w:rsid w:val="009F3CC1"/>
    <w:rsid w:val="009F426E"/>
    <w:rsid w:val="009F42F2"/>
    <w:rsid w:val="009F47DF"/>
    <w:rsid w:val="009F4ACA"/>
    <w:rsid w:val="009F4F34"/>
    <w:rsid w:val="009F57DB"/>
    <w:rsid w:val="009F58A9"/>
    <w:rsid w:val="009F59FA"/>
    <w:rsid w:val="009F6996"/>
    <w:rsid w:val="009F6ACB"/>
    <w:rsid w:val="009F6D30"/>
    <w:rsid w:val="009F7051"/>
    <w:rsid w:val="009F7242"/>
    <w:rsid w:val="009F73A1"/>
    <w:rsid w:val="00A0017B"/>
    <w:rsid w:val="00A006A9"/>
    <w:rsid w:val="00A007A3"/>
    <w:rsid w:val="00A00929"/>
    <w:rsid w:val="00A009D4"/>
    <w:rsid w:val="00A01805"/>
    <w:rsid w:val="00A01982"/>
    <w:rsid w:val="00A01BF5"/>
    <w:rsid w:val="00A022B3"/>
    <w:rsid w:val="00A025FD"/>
    <w:rsid w:val="00A02942"/>
    <w:rsid w:val="00A02AB7"/>
    <w:rsid w:val="00A02E68"/>
    <w:rsid w:val="00A02EFA"/>
    <w:rsid w:val="00A03070"/>
    <w:rsid w:val="00A03616"/>
    <w:rsid w:val="00A03B13"/>
    <w:rsid w:val="00A03B31"/>
    <w:rsid w:val="00A05DCF"/>
    <w:rsid w:val="00A0663D"/>
    <w:rsid w:val="00A066B3"/>
    <w:rsid w:val="00A0697F"/>
    <w:rsid w:val="00A06C5C"/>
    <w:rsid w:val="00A06DB8"/>
    <w:rsid w:val="00A072E4"/>
    <w:rsid w:val="00A07A3D"/>
    <w:rsid w:val="00A10500"/>
    <w:rsid w:val="00A1052A"/>
    <w:rsid w:val="00A10634"/>
    <w:rsid w:val="00A10960"/>
    <w:rsid w:val="00A10BEB"/>
    <w:rsid w:val="00A10EAF"/>
    <w:rsid w:val="00A112E0"/>
    <w:rsid w:val="00A1161E"/>
    <w:rsid w:val="00A1197A"/>
    <w:rsid w:val="00A11CE8"/>
    <w:rsid w:val="00A11CEE"/>
    <w:rsid w:val="00A12620"/>
    <w:rsid w:val="00A129FD"/>
    <w:rsid w:val="00A1360B"/>
    <w:rsid w:val="00A136CB"/>
    <w:rsid w:val="00A140B9"/>
    <w:rsid w:val="00A1480A"/>
    <w:rsid w:val="00A148FF"/>
    <w:rsid w:val="00A14B9F"/>
    <w:rsid w:val="00A14E30"/>
    <w:rsid w:val="00A14F4E"/>
    <w:rsid w:val="00A157E1"/>
    <w:rsid w:val="00A15862"/>
    <w:rsid w:val="00A15A5E"/>
    <w:rsid w:val="00A15CA6"/>
    <w:rsid w:val="00A16259"/>
    <w:rsid w:val="00A171EB"/>
    <w:rsid w:val="00A20390"/>
    <w:rsid w:val="00A20488"/>
    <w:rsid w:val="00A207F6"/>
    <w:rsid w:val="00A20A30"/>
    <w:rsid w:val="00A2118F"/>
    <w:rsid w:val="00A211CE"/>
    <w:rsid w:val="00A21F07"/>
    <w:rsid w:val="00A2295B"/>
    <w:rsid w:val="00A22F62"/>
    <w:rsid w:val="00A2302D"/>
    <w:rsid w:val="00A2383A"/>
    <w:rsid w:val="00A23A2C"/>
    <w:rsid w:val="00A23F00"/>
    <w:rsid w:val="00A2417C"/>
    <w:rsid w:val="00A2435D"/>
    <w:rsid w:val="00A24783"/>
    <w:rsid w:val="00A26086"/>
    <w:rsid w:val="00A26376"/>
    <w:rsid w:val="00A2671F"/>
    <w:rsid w:val="00A267B9"/>
    <w:rsid w:val="00A268F2"/>
    <w:rsid w:val="00A26F4F"/>
    <w:rsid w:val="00A2707F"/>
    <w:rsid w:val="00A27F3E"/>
    <w:rsid w:val="00A315FB"/>
    <w:rsid w:val="00A32705"/>
    <w:rsid w:val="00A32C7D"/>
    <w:rsid w:val="00A33014"/>
    <w:rsid w:val="00A33414"/>
    <w:rsid w:val="00A338A3"/>
    <w:rsid w:val="00A33E5F"/>
    <w:rsid w:val="00A3432B"/>
    <w:rsid w:val="00A346C2"/>
    <w:rsid w:val="00A34CA6"/>
    <w:rsid w:val="00A3518E"/>
    <w:rsid w:val="00A365AB"/>
    <w:rsid w:val="00A36812"/>
    <w:rsid w:val="00A368E8"/>
    <w:rsid w:val="00A36C17"/>
    <w:rsid w:val="00A37424"/>
    <w:rsid w:val="00A374B3"/>
    <w:rsid w:val="00A3751C"/>
    <w:rsid w:val="00A4014A"/>
    <w:rsid w:val="00A405A2"/>
    <w:rsid w:val="00A40656"/>
    <w:rsid w:val="00A415BB"/>
    <w:rsid w:val="00A41634"/>
    <w:rsid w:val="00A416E8"/>
    <w:rsid w:val="00A41BC0"/>
    <w:rsid w:val="00A425FD"/>
    <w:rsid w:val="00A42772"/>
    <w:rsid w:val="00A42997"/>
    <w:rsid w:val="00A42FF7"/>
    <w:rsid w:val="00A4347D"/>
    <w:rsid w:val="00A434FB"/>
    <w:rsid w:val="00A435C6"/>
    <w:rsid w:val="00A437F4"/>
    <w:rsid w:val="00A440C6"/>
    <w:rsid w:val="00A444AF"/>
    <w:rsid w:val="00A449A1"/>
    <w:rsid w:val="00A44BC1"/>
    <w:rsid w:val="00A44D52"/>
    <w:rsid w:val="00A45018"/>
    <w:rsid w:val="00A4598B"/>
    <w:rsid w:val="00A45B66"/>
    <w:rsid w:val="00A45D2F"/>
    <w:rsid w:val="00A45FD7"/>
    <w:rsid w:val="00A46004"/>
    <w:rsid w:val="00A461F2"/>
    <w:rsid w:val="00A464D3"/>
    <w:rsid w:val="00A465F8"/>
    <w:rsid w:val="00A46A28"/>
    <w:rsid w:val="00A46A2F"/>
    <w:rsid w:val="00A46C05"/>
    <w:rsid w:val="00A46E2C"/>
    <w:rsid w:val="00A47009"/>
    <w:rsid w:val="00A4702E"/>
    <w:rsid w:val="00A476DD"/>
    <w:rsid w:val="00A503E4"/>
    <w:rsid w:val="00A50654"/>
    <w:rsid w:val="00A50B6A"/>
    <w:rsid w:val="00A50EB0"/>
    <w:rsid w:val="00A51662"/>
    <w:rsid w:val="00A52132"/>
    <w:rsid w:val="00A531EB"/>
    <w:rsid w:val="00A53420"/>
    <w:rsid w:val="00A53543"/>
    <w:rsid w:val="00A54040"/>
    <w:rsid w:val="00A54503"/>
    <w:rsid w:val="00A54C32"/>
    <w:rsid w:val="00A5584F"/>
    <w:rsid w:val="00A56131"/>
    <w:rsid w:val="00A569B9"/>
    <w:rsid w:val="00A57872"/>
    <w:rsid w:val="00A578E4"/>
    <w:rsid w:val="00A57B65"/>
    <w:rsid w:val="00A57E29"/>
    <w:rsid w:val="00A57E53"/>
    <w:rsid w:val="00A60362"/>
    <w:rsid w:val="00A6045F"/>
    <w:rsid w:val="00A60B41"/>
    <w:rsid w:val="00A61014"/>
    <w:rsid w:val="00A613B5"/>
    <w:rsid w:val="00A61420"/>
    <w:rsid w:val="00A615C3"/>
    <w:rsid w:val="00A61C4C"/>
    <w:rsid w:val="00A61DFA"/>
    <w:rsid w:val="00A61E2D"/>
    <w:rsid w:val="00A625EF"/>
    <w:rsid w:val="00A63073"/>
    <w:rsid w:val="00A6344F"/>
    <w:rsid w:val="00A63E7A"/>
    <w:rsid w:val="00A63FD3"/>
    <w:rsid w:val="00A6429A"/>
    <w:rsid w:val="00A644FF"/>
    <w:rsid w:val="00A64771"/>
    <w:rsid w:val="00A647D0"/>
    <w:rsid w:val="00A64F65"/>
    <w:rsid w:val="00A6579E"/>
    <w:rsid w:val="00A65BCD"/>
    <w:rsid w:val="00A66069"/>
    <w:rsid w:val="00A66194"/>
    <w:rsid w:val="00A6725B"/>
    <w:rsid w:val="00A67387"/>
    <w:rsid w:val="00A67620"/>
    <w:rsid w:val="00A679DA"/>
    <w:rsid w:val="00A67A5D"/>
    <w:rsid w:val="00A7034B"/>
    <w:rsid w:val="00A706BD"/>
    <w:rsid w:val="00A70748"/>
    <w:rsid w:val="00A70960"/>
    <w:rsid w:val="00A70A0A"/>
    <w:rsid w:val="00A70A9A"/>
    <w:rsid w:val="00A70D18"/>
    <w:rsid w:val="00A71231"/>
    <w:rsid w:val="00A7285D"/>
    <w:rsid w:val="00A72C11"/>
    <w:rsid w:val="00A7385A"/>
    <w:rsid w:val="00A73E38"/>
    <w:rsid w:val="00A7417D"/>
    <w:rsid w:val="00A74809"/>
    <w:rsid w:val="00A74933"/>
    <w:rsid w:val="00A75426"/>
    <w:rsid w:val="00A756AD"/>
    <w:rsid w:val="00A75FD6"/>
    <w:rsid w:val="00A769A2"/>
    <w:rsid w:val="00A76D5A"/>
    <w:rsid w:val="00A773D4"/>
    <w:rsid w:val="00A77895"/>
    <w:rsid w:val="00A80366"/>
    <w:rsid w:val="00A806A3"/>
    <w:rsid w:val="00A808B3"/>
    <w:rsid w:val="00A80905"/>
    <w:rsid w:val="00A80B25"/>
    <w:rsid w:val="00A811D4"/>
    <w:rsid w:val="00A811DE"/>
    <w:rsid w:val="00A81463"/>
    <w:rsid w:val="00A81ACC"/>
    <w:rsid w:val="00A81F3B"/>
    <w:rsid w:val="00A821B3"/>
    <w:rsid w:val="00A82B65"/>
    <w:rsid w:val="00A83423"/>
    <w:rsid w:val="00A83CF2"/>
    <w:rsid w:val="00A84CF9"/>
    <w:rsid w:val="00A8544B"/>
    <w:rsid w:val="00A85594"/>
    <w:rsid w:val="00A8564C"/>
    <w:rsid w:val="00A85BDC"/>
    <w:rsid w:val="00A85E43"/>
    <w:rsid w:val="00A86482"/>
    <w:rsid w:val="00A86866"/>
    <w:rsid w:val="00A86A2A"/>
    <w:rsid w:val="00A8789A"/>
    <w:rsid w:val="00A87ED6"/>
    <w:rsid w:val="00A904C3"/>
    <w:rsid w:val="00A91234"/>
    <w:rsid w:val="00A9161B"/>
    <w:rsid w:val="00A91F74"/>
    <w:rsid w:val="00A9201A"/>
    <w:rsid w:val="00A922AB"/>
    <w:rsid w:val="00A92753"/>
    <w:rsid w:val="00A92A64"/>
    <w:rsid w:val="00A92A90"/>
    <w:rsid w:val="00A92A93"/>
    <w:rsid w:val="00A92BC2"/>
    <w:rsid w:val="00A9301D"/>
    <w:rsid w:val="00A9383C"/>
    <w:rsid w:val="00A93D49"/>
    <w:rsid w:val="00A946FF"/>
    <w:rsid w:val="00A94820"/>
    <w:rsid w:val="00A94B22"/>
    <w:rsid w:val="00A94BAE"/>
    <w:rsid w:val="00A94F55"/>
    <w:rsid w:val="00A9521B"/>
    <w:rsid w:val="00A95358"/>
    <w:rsid w:val="00A95408"/>
    <w:rsid w:val="00A95503"/>
    <w:rsid w:val="00A95A6D"/>
    <w:rsid w:val="00A95E9C"/>
    <w:rsid w:val="00A9676D"/>
    <w:rsid w:val="00A96884"/>
    <w:rsid w:val="00A969E2"/>
    <w:rsid w:val="00A96B2D"/>
    <w:rsid w:val="00A96C56"/>
    <w:rsid w:val="00A974D2"/>
    <w:rsid w:val="00A97D39"/>
    <w:rsid w:val="00AA0410"/>
    <w:rsid w:val="00AA0EFB"/>
    <w:rsid w:val="00AA11BD"/>
    <w:rsid w:val="00AA1552"/>
    <w:rsid w:val="00AA15C2"/>
    <w:rsid w:val="00AA1E9F"/>
    <w:rsid w:val="00AA212C"/>
    <w:rsid w:val="00AA2474"/>
    <w:rsid w:val="00AA2510"/>
    <w:rsid w:val="00AA267C"/>
    <w:rsid w:val="00AA280C"/>
    <w:rsid w:val="00AA29BF"/>
    <w:rsid w:val="00AA2A9F"/>
    <w:rsid w:val="00AA3339"/>
    <w:rsid w:val="00AA4303"/>
    <w:rsid w:val="00AA438B"/>
    <w:rsid w:val="00AA455B"/>
    <w:rsid w:val="00AA4BFA"/>
    <w:rsid w:val="00AA5631"/>
    <w:rsid w:val="00AA5F45"/>
    <w:rsid w:val="00AA6260"/>
    <w:rsid w:val="00AA6A1C"/>
    <w:rsid w:val="00AA7524"/>
    <w:rsid w:val="00AA7A56"/>
    <w:rsid w:val="00AA7E11"/>
    <w:rsid w:val="00AB00AD"/>
    <w:rsid w:val="00AB01C9"/>
    <w:rsid w:val="00AB02CE"/>
    <w:rsid w:val="00AB0402"/>
    <w:rsid w:val="00AB0A66"/>
    <w:rsid w:val="00AB0E59"/>
    <w:rsid w:val="00AB20A4"/>
    <w:rsid w:val="00AB25F9"/>
    <w:rsid w:val="00AB2D76"/>
    <w:rsid w:val="00AB3A53"/>
    <w:rsid w:val="00AB3BE0"/>
    <w:rsid w:val="00AB4200"/>
    <w:rsid w:val="00AB4895"/>
    <w:rsid w:val="00AB5294"/>
    <w:rsid w:val="00AB5679"/>
    <w:rsid w:val="00AB56F4"/>
    <w:rsid w:val="00AB58D3"/>
    <w:rsid w:val="00AB59DA"/>
    <w:rsid w:val="00AB5FA9"/>
    <w:rsid w:val="00AB6451"/>
    <w:rsid w:val="00AB666E"/>
    <w:rsid w:val="00AB6711"/>
    <w:rsid w:val="00AB6952"/>
    <w:rsid w:val="00AB6A9E"/>
    <w:rsid w:val="00AB74DE"/>
    <w:rsid w:val="00AC021C"/>
    <w:rsid w:val="00AC023E"/>
    <w:rsid w:val="00AC02E0"/>
    <w:rsid w:val="00AC0DDD"/>
    <w:rsid w:val="00AC1217"/>
    <w:rsid w:val="00AC1338"/>
    <w:rsid w:val="00AC1585"/>
    <w:rsid w:val="00AC1B9D"/>
    <w:rsid w:val="00AC2A9E"/>
    <w:rsid w:val="00AC31A3"/>
    <w:rsid w:val="00AC36B6"/>
    <w:rsid w:val="00AC36FD"/>
    <w:rsid w:val="00AC3C13"/>
    <w:rsid w:val="00AC3C3F"/>
    <w:rsid w:val="00AC447C"/>
    <w:rsid w:val="00AC44BD"/>
    <w:rsid w:val="00AC4910"/>
    <w:rsid w:val="00AC4B07"/>
    <w:rsid w:val="00AC4B92"/>
    <w:rsid w:val="00AC4D46"/>
    <w:rsid w:val="00AC5042"/>
    <w:rsid w:val="00AC5748"/>
    <w:rsid w:val="00AC5C49"/>
    <w:rsid w:val="00AC6606"/>
    <w:rsid w:val="00AC6A87"/>
    <w:rsid w:val="00AC7668"/>
    <w:rsid w:val="00AC7A33"/>
    <w:rsid w:val="00AD03FA"/>
    <w:rsid w:val="00AD0827"/>
    <w:rsid w:val="00AD1188"/>
    <w:rsid w:val="00AD12EF"/>
    <w:rsid w:val="00AD1B0E"/>
    <w:rsid w:val="00AD1B89"/>
    <w:rsid w:val="00AD1EB3"/>
    <w:rsid w:val="00AD20F9"/>
    <w:rsid w:val="00AD23EE"/>
    <w:rsid w:val="00AD27CD"/>
    <w:rsid w:val="00AD2BBA"/>
    <w:rsid w:val="00AD30B0"/>
    <w:rsid w:val="00AD334D"/>
    <w:rsid w:val="00AD35C5"/>
    <w:rsid w:val="00AD3B6C"/>
    <w:rsid w:val="00AD47ED"/>
    <w:rsid w:val="00AD4D37"/>
    <w:rsid w:val="00AD4E27"/>
    <w:rsid w:val="00AD4F37"/>
    <w:rsid w:val="00AD52B2"/>
    <w:rsid w:val="00AD6255"/>
    <w:rsid w:val="00AD757B"/>
    <w:rsid w:val="00AD7838"/>
    <w:rsid w:val="00AD7BBC"/>
    <w:rsid w:val="00AD7E33"/>
    <w:rsid w:val="00AD7F9E"/>
    <w:rsid w:val="00AE06E6"/>
    <w:rsid w:val="00AE0CF3"/>
    <w:rsid w:val="00AE187B"/>
    <w:rsid w:val="00AE19AB"/>
    <w:rsid w:val="00AE1EC8"/>
    <w:rsid w:val="00AE2BA4"/>
    <w:rsid w:val="00AE2D22"/>
    <w:rsid w:val="00AE354D"/>
    <w:rsid w:val="00AE36D3"/>
    <w:rsid w:val="00AE474D"/>
    <w:rsid w:val="00AE5561"/>
    <w:rsid w:val="00AE5786"/>
    <w:rsid w:val="00AE598C"/>
    <w:rsid w:val="00AE5C78"/>
    <w:rsid w:val="00AE64EE"/>
    <w:rsid w:val="00AE66E2"/>
    <w:rsid w:val="00AE68F9"/>
    <w:rsid w:val="00AE725F"/>
    <w:rsid w:val="00AE7353"/>
    <w:rsid w:val="00AE7442"/>
    <w:rsid w:val="00AE79AB"/>
    <w:rsid w:val="00AF0C2C"/>
    <w:rsid w:val="00AF13BD"/>
    <w:rsid w:val="00AF22E0"/>
    <w:rsid w:val="00AF2912"/>
    <w:rsid w:val="00AF2F8D"/>
    <w:rsid w:val="00AF332F"/>
    <w:rsid w:val="00AF36E6"/>
    <w:rsid w:val="00AF3899"/>
    <w:rsid w:val="00AF3BFB"/>
    <w:rsid w:val="00AF3D65"/>
    <w:rsid w:val="00AF3D78"/>
    <w:rsid w:val="00AF3E4E"/>
    <w:rsid w:val="00AF4620"/>
    <w:rsid w:val="00AF482A"/>
    <w:rsid w:val="00AF4D13"/>
    <w:rsid w:val="00AF4DBA"/>
    <w:rsid w:val="00AF53BB"/>
    <w:rsid w:val="00AF558E"/>
    <w:rsid w:val="00AF58AC"/>
    <w:rsid w:val="00AF5AA3"/>
    <w:rsid w:val="00AF5C6C"/>
    <w:rsid w:val="00AF618B"/>
    <w:rsid w:val="00AF61B6"/>
    <w:rsid w:val="00AF6499"/>
    <w:rsid w:val="00AF69A8"/>
    <w:rsid w:val="00AF6AF0"/>
    <w:rsid w:val="00AF6B41"/>
    <w:rsid w:val="00AF6D1C"/>
    <w:rsid w:val="00AF6EFF"/>
    <w:rsid w:val="00AF7410"/>
    <w:rsid w:val="00AF7A14"/>
    <w:rsid w:val="00AF7B2E"/>
    <w:rsid w:val="00AF7F75"/>
    <w:rsid w:val="00B00661"/>
    <w:rsid w:val="00B006D8"/>
    <w:rsid w:val="00B01074"/>
    <w:rsid w:val="00B01674"/>
    <w:rsid w:val="00B01CBB"/>
    <w:rsid w:val="00B01FCA"/>
    <w:rsid w:val="00B02096"/>
    <w:rsid w:val="00B02395"/>
    <w:rsid w:val="00B026EF"/>
    <w:rsid w:val="00B02E75"/>
    <w:rsid w:val="00B0443F"/>
    <w:rsid w:val="00B045FB"/>
    <w:rsid w:val="00B046CF"/>
    <w:rsid w:val="00B049EA"/>
    <w:rsid w:val="00B051F2"/>
    <w:rsid w:val="00B0692B"/>
    <w:rsid w:val="00B06BEE"/>
    <w:rsid w:val="00B06C61"/>
    <w:rsid w:val="00B06EC4"/>
    <w:rsid w:val="00B070B3"/>
    <w:rsid w:val="00B0716C"/>
    <w:rsid w:val="00B09ABC"/>
    <w:rsid w:val="00B10297"/>
    <w:rsid w:val="00B1043C"/>
    <w:rsid w:val="00B10C17"/>
    <w:rsid w:val="00B10C8A"/>
    <w:rsid w:val="00B1125C"/>
    <w:rsid w:val="00B11A84"/>
    <w:rsid w:val="00B11D94"/>
    <w:rsid w:val="00B121B5"/>
    <w:rsid w:val="00B1312E"/>
    <w:rsid w:val="00B133F2"/>
    <w:rsid w:val="00B13813"/>
    <w:rsid w:val="00B139B6"/>
    <w:rsid w:val="00B13E55"/>
    <w:rsid w:val="00B1416F"/>
    <w:rsid w:val="00B14240"/>
    <w:rsid w:val="00B14723"/>
    <w:rsid w:val="00B14813"/>
    <w:rsid w:val="00B149A7"/>
    <w:rsid w:val="00B14BEA"/>
    <w:rsid w:val="00B153A8"/>
    <w:rsid w:val="00B15874"/>
    <w:rsid w:val="00B16012"/>
    <w:rsid w:val="00B163E8"/>
    <w:rsid w:val="00B16579"/>
    <w:rsid w:val="00B16B99"/>
    <w:rsid w:val="00B16C3E"/>
    <w:rsid w:val="00B17616"/>
    <w:rsid w:val="00B17828"/>
    <w:rsid w:val="00B2010D"/>
    <w:rsid w:val="00B20373"/>
    <w:rsid w:val="00B2059D"/>
    <w:rsid w:val="00B20811"/>
    <w:rsid w:val="00B20A66"/>
    <w:rsid w:val="00B20AB5"/>
    <w:rsid w:val="00B20F52"/>
    <w:rsid w:val="00B21099"/>
    <w:rsid w:val="00B222D5"/>
    <w:rsid w:val="00B228FC"/>
    <w:rsid w:val="00B22FBF"/>
    <w:rsid w:val="00B234C7"/>
    <w:rsid w:val="00B236F6"/>
    <w:rsid w:val="00B23BEE"/>
    <w:rsid w:val="00B24651"/>
    <w:rsid w:val="00B246E0"/>
    <w:rsid w:val="00B249A7"/>
    <w:rsid w:val="00B24B5E"/>
    <w:rsid w:val="00B24E63"/>
    <w:rsid w:val="00B253D4"/>
    <w:rsid w:val="00B2547F"/>
    <w:rsid w:val="00B25710"/>
    <w:rsid w:val="00B26156"/>
    <w:rsid w:val="00B26168"/>
    <w:rsid w:val="00B26447"/>
    <w:rsid w:val="00B273CF"/>
    <w:rsid w:val="00B27B74"/>
    <w:rsid w:val="00B27B81"/>
    <w:rsid w:val="00B27C1D"/>
    <w:rsid w:val="00B3002B"/>
    <w:rsid w:val="00B30088"/>
    <w:rsid w:val="00B30BA2"/>
    <w:rsid w:val="00B30D1D"/>
    <w:rsid w:val="00B30F89"/>
    <w:rsid w:val="00B310E3"/>
    <w:rsid w:val="00B313D3"/>
    <w:rsid w:val="00B3169D"/>
    <w:rsid w:val="00B3184E"/>
    <w:rsid w:val="00B3227E"/>
    <w:rsid w:val="00B32C70"/>
    <w:rsid w:val="00B33324"/>
    <w:rsid w:val="00B33442"/>
    <w:rsid w:val="00B33673"/>
    <w:rsid w:val="00B33F0B"/>
    <w:rsid w:val="00B341D9"/>
    <w:rsid w:val="00B34B72"/>
    <w:rsid w:val="00B34B93"/>
    <w:rsid w:val="00B34BFC"/>
    <w:rsid w:val="00B3605E"/>
    <w:rsid w:val="00B363A0"/>
    <w:rsid w:val="00B3679E"/>
    <w:rsid w:val="00B36A4B"/>
    <w:rsid w:val="00B36CDE"/>
    <w:rsid w:val="00B36E3B"/>
    <w:rsid w:val="00B37098"/>
    <w:rsid w:val="00B3745C"/>
    <w:rsid w:val="00B37EA4"/>
    <w:rsid w:val="00B40576"/>
    <w:rsid w:val="00B41902"/>
    <w:rsid w:val="00B419EB"/>
    <w:rsid w:val="00B4236F"/>
    <w:rsid w:val="00B42530"/>
    <w:rsid w:val="00B42564"/>
    <w:rsid w:val="00B42A71"/>
    <w:rsid w:val="00B42EF5"/>
    <w:rsid w:val="00B433F2"/>
    <w:rsid w:val="00B43C40"/>
    <w:rsid w:val="00B4444A"/>
    <w:rsid w:val="00B44B8E"/>
    <w:rsid w:val="00B45C23"/>
    <w:rsid w:val="00B45C51"/>
    <w:rsid w:val="00B46168"/>
    <w:rsid w:val="00B46340"/>
    <w:rsid w:val="00B46884"/>
    <w:rsid w:val="00B46909"/>
    <w:rsid w:val="00B46BD6"/>
    <w:rsid w:val="00B46F95"/>
    <w:rsid w:val="00B472E1"/>
    <w:rsid w:val="00B477F7"/>
    <w:rsid w:val="00B47B23"/>
    <w:rsid w:val="00B50505"/>
    <w:rsid w:val="00B509C3"/>
    <w:rsid w:val="00B50BA1"/>
    <w:rsid w:val="00B50FF5"/>
    <w:rsid w:val="00B513C6"/>
    <w:rsid w:val="00B516E0"/>
    <w:rsid w:val="00B51881"/>
    <w:rsid w:val="00B51EDE"/>
    <w:rsid w:val="00B53067"/>
    <w:rsid w:val="00B5317A"/>
    <w:rsid w:val="00B533D4"/>
    <w:rsid w:val="00B538EA"/>
    <w:rsid w:val="00B54C2C"/>
    <w:rsid w:val="00B54D6A"/>
    <w:rsid w:val="00B55780"/>
    <w:rsid w:val="00B56559"/>
    <w:rsid w:val="00B56592"/>
    <w:rsid w:val="00B56E2A"/>
    <w:rsid w:val="00B570B0"/>
    <w:rsid w:val="00B5712D"/>
    <w:rsid w:val="00B578B0"/>
    <w:rsid w:val="00B5799E"/>
    <w:rsid w:val="00B57A92"/>
    <w:rsid w:val="00B60152"/>
    <w:rsid w:val="00B605A4"/>
    <w:rsid w:val="00B60BC9"/>
    <w:rsid w:val="00B60EE7"/>
    <w:rsid w:val="00B612C2"/>
    <w:rsid w:val="00B617E4"/>
    <w:rsid w:val="00B61C42"/>
    <w:rsid w:val="00B61E4B"/>
    <w:rsid w:val="00B62341"/>
    <w:rsid w:val="00B62CED"/>
    <w:rsid w:val="00B633EC"/>
    <w:rsid w:val="00B64077"/>
    <w:rsid w:val="00B64972"/>
    <w:rsid w:val="00B64A93"/>
    <w:rsid w:val="00B64AE4"/>
    <w:rsid w:val="00B64D76"/>
    <w:rsid w:val="00B6513F"/>
    <w:rsid w:val="00B65B20"/>
    <w:rsid w:val="00B65B44"/>
    <w:rsid w:val="00B65EBF"/>
    <w:rsid w:val="00B66282"/>
    <w:rsid w:val="00B66524"/>
    <w:rsid w:val="00B66ECF"/>
    <w:rsid w:val="00B66FD4"/>
    <w:rsid w:val="00B6700C"/>
    <w:rsid w:val="00B70123"/>
    <w:rsid w:val="00B70512"/>
    <w:rsid w:val="00B7072F"/>
    <w:rsid w:val="00B70B85"/>
    <w:rsid w:val="00B710BA"/>
    <w:rsid w:val="00B71308"/>
    <w:rsid w:val="00B71D25"/>
    <w:rsid w:val="00B71E8F"/>
    <w:rsid w:val="00B72651"/>
    <w:rsid w:val="00B73212"/>
    <w:rsid w:val="00B7331D"/>
    <w:rsid w:val="00B73A10"/>
    <w:rsid w:val="00B741D4"/>
    <w:rsid w:val="00B741FE"/>
    <w:rsid w:val="00B742DC"/>
    <w:rsid w:val="00B7472F"/>
    <w:rsid w:val="00B7656F"/>
    <w:rsid w:val="00B76576"/>
    <w:rsid w:val="00B76EDC"/>
    <w:rsid w:val="00B778B6"/>
    <w:rsid w:val="00B779F4"/>
    <w:rsid w:val="00B77FCF"/>
    <w:rsid w:val="00B806C1"/>
    <w:rsid w:val="00B807A9"/>
    <w:rsid w:val="00B8090E"/>
    <w:rsid w:val="00B80ADB"/>
    <w:rsid w:val="00B80E78"/>
    <w:rsid w:val="00B80E86"/>
    <w:rsid w:val="00B81098"/>
    <w:rsid w:val="00B810E4"/>
    <w:rsid w:val="00B814B4"/>
    <w:rsid w:val="00B81998"/>
    <w:rsid w:val="00B82219"/>
    <w:rsid w:val="00B82A43"/>
    <w:rsid w:val="00B82A72"/>
    <w:rsid w:val="00B8375B"/>
    <w:rsid w:val="00B83E57"/>
    <w:rsid w:val="00B83EA9"/>
    <w:rsid w:val="00B84087"/>
    <w:rsid w:val="00B84628"/>
    <w:rsid w:val="00B84670"/>
    <w:rsid w:val="00B84D34"/>
    <w:rsid w:val="00B8577A"/>
    <w:rsid w:val="00B85B16"/>
    <w:rsid w:val="00B86C29"/>
    <w:rsid w:val="00B86D76"/>
    <w:rsid w:val="00B870F7"/>
    <w:rsid w:val="00B87A78"/>
    <w:rsid w:val="00B87BE3"/>
    <w:rsid w:val="00B901D5"/>
    <w:rsid w:val="00B90ECD"/>
    <w:rsid w:val="00B9106D"/>
    <w:rsid w:val="00B91127"/>
    <w:rsid w:val="00B9122E"/>
    <w:rsid w:val="00B9174B"/>
    <w:rsid w:val="00B91A2B"/>
    <w:rsid w:val="00B949CD"/>
    <w:rsid w:val="00B95416"/>
    <w:rsid w:val="00B964EA"/>
    <w:rsid w:val="00B96DC4"/>
    <w:rsid w:val="00B977D4"/>
    <w:rsid w:val="00BA00E0"/>
    <w:rsid w:val="00BA05DC"/>
    <w:rsid w:val="00BA0BA3"/>
    <w:rsid w:val="00BA15E8"/>
    <w:rsid w:val="00BA1F98"/>
    <w:rsid w:val="00BA30A5"/>
    <w:rsid w:val="00BA315E"/>
    <w:rsid w:val="00BA3E59"/>
    <w:rsid w:val="00BA3FFE"/>
    <w:rsid w:val="00BA40A4"/>
    <w:rsid w:val="00BA4648"/>
    <w:rsid w:val="00BA4997"/>
    <w:rsid w:val="00BA4A89"/>
    <w:rsid w:val="00BA501A"/>
    <w:rsid w:val="00BA5052"/>
    <w:rsid w:val="00BA56D9"/>
    <w:rsid w:val="00BA5AF1"/>
    <w:rsid w:val="00BA5B5E"/>
    <w:rsid w:val="00BA6770"/>
    <w:rsid w:val="00BA72F5"/>
    <w:rsid w:val="00BA7507"/>
    <w:rsid w:val="00BA7515"/>
    <w:rsid w:val="00BA7BF1"/>
    <w:rsid w:val="00BB04F5"/>
    <w:rsid w:val="00BB0B9A"/>
    <w:rsid w:val="00BB0BA2"/>
    <w:rsid w:val="00BB0F18"/>
    <w:rsid w:val="00BB13FA"/>
    <w:rsid w:val="00BB1BDE"/>
    <w:rsid w:val="00BB23A5"/>
    <w:rsid w:val="00BB23F5"/>
    <w:rsid w:val="00BB383D"/>
    <w:rsid w:val="00BB3902"/>
    <w:rsid w:val="00BB3CE2"/>
    <w:rsid w:val="00BB481E"/>
    <w:rsid w:val="00BB4896"/>
    <w:rsid w:val="00BB4F8B"/>
    <w:rsid w:val="00BB4FD8"/>
    <w:rsid w:val="00BB5366"/>
    <w:rsid w:val="00BB5434"/>
    <w:rsid w:val="00BB5CAC"/>
    <w:rsid w:val="00BB673D"/>
    <w:rsid w:val="00BB6A68"/>
    <w:rsid w:val="00BB6F64"/>
    <w:rsid w:val="00BB711F"/>
    <w:rsid w:val="00BB7232"/>
    <w:rsid w:val="00BB7E1E"/>
    <w:rsid w:val="00BB7F2A"/>
    <w:rsid w:val="00BB7F6D"/>
    <w:rsid w:val="00BC0D32"/>
    <w:rsid w:val="00BC2117"/>
    <w:rsid w:val="00BC21A1"/>
    <w:rsid w:val="00BC2A50"/>
    <w:rsid w:val="00BC310E"/>
    <w:rsid w:val="00BC31A0"/>
    <w:rsid w:val="00BC3317"/>
    <w:rsid w:val="00BC38A4"/>
    <w:rsid w:val="00BC39D5"/>
    <w:rsid w:val="00BC3C0F"/>
    <w:rsid w:val="00BC475A"/>
    <w:rsid w:val="00BC4F15"/>
    <w:rsid w:val="00BC514D"/>
    <w:rsid w:val="00BC5175"/>
    <w:rsid w:val="00BC551E"/>
    <w:rsid w:val="00BC5B73"/>
    <w:rsid w:val="00BC5F81"/>
    <w:rsid w:val="00BC601A"/>
    <w:rsid w:val="00BC6245"/>
    <w:rsid w:val="00BC7EEF"/>
    <w:rsid w:val="00BD055C"/>
    <w:rsid w:val="00BD07E1"/>
    <w:rsid w:val="00BD09B3"/>
    <w:rsid w:val="00BD1DCE"/>
    <w:rsid w:val="00BD274C"/>
    <w:rsid w:val="00BD3D29"/>
    <w:rsid w:val="00BD4122"/>
    <w:rsid w:val="00BD4D57"/>
    <w:rsid w:val="00BD5197"/>
    <w:rsid w:val="00BD51BF"/>
    <w:rsid w:val="00BD58C8"/>
    <w:rsid w:val="00BD5BD5"/>
    <w:rsid w:val="00BD5D70"/>
    <w:rsid w:val="00BD627F"/>
    <w:rsid w:val="00BD62F8"/>
    <w:rsid w:val="00BD7033"/>
    <w:rsid w:val="00BD7103"/>
    <w:rsid w:val="00BD710C"/>
    <w:rsid w:val="00BD7376"/>
    <w:rsid w:val="00BD73CF"/>
    <w:rsid w:val="00BD7D35"/>
    <w:rsid w:val="00BE0186"/>
    <w:rsid w:val="00BE02BC"/>
    <w:rsid w:val="00BE0959"/>
    <w:rsid w:val="00BE0ABE"/>
    <w:rsid w:val="00BE1394"/>
    <w:rsid w:val="00BE17E9"/>
    <w:rsid w:val="00BE1A6B"/>
    <w:rsid w:val="00BE227D"/>
    <w:rsid w:val="00BE254C"/>
    <w:rsid w:val="00BE2A01"/>
    <w:rsid w:val="00BE2EA6"/>
    <w:rsid w:val="00BE32FD"/>
    <w:rsid w:val="00BE4D1E"/>
    <w:rsid w:val="00BE4D33"/>
    <w:rsid w:val="00BE5173"/>
    <w:rsid w:val="00BE5690"/>
    <w:rsid w:val="00BE64F3"/>
    <w:rsid w:val="00BE6969"/>
    <w:rsid w:val="00BE6C55"/>
    <w:rsid w:val="00BE6C88"/>
    <w:rsid w:val="00BE734C"/>
    <w:rsid w:val="00BF01A7"/>
    <w:rsid w:val="00BF05C5"/>
    <w:rsid w:val="00BF0C19"/>
    <w:rsid w:val="00BF0C5B"/>
    <w:rsid w:val="00BF11E0"/>
    <w:rsid w:val="00BF1CD2"/>
    <w:rsid w:val="00BF2CDE"/>
    <w:rsid w:val="00BF3D87"/>
    <w:rsid w:val="00BF402B"/>
    <w:rsid w:val="00BF4514"/>
    <w:rsid w:val="00BF4AA7"/>
    <w:rsid w:val="00BF4E8E"/>
    <w:rsid w:val="00BF529D"/>
    <w:rsid w:val="00BF5A3F"/>
    <w:rsid w:val="00BF5EF8"/>
    <w:rsid w:val="00BF645C"/>
    <w:rsid w:val="00BF647D"/>
    <w:rsid w:val="00BF64B6"/>
    <w:rsid w:val="00BF6E14"/>
    <w:rsid w:val="00BF719B"/>
    <w:rsid w:val="00BF72B4"/>
    <w:rsid w:val="00BF75B9"/>
    <w:rsid w:val="00BF7630"/>
    <w:rsid w:val="00BF79E2"/>
    <w:rsid w:val="00BF7BCC"/>
    <w:rsid w:val="00C0029B"/>
    <w:rsid w:val="00C004A5"/>
    <w:rsid w:val="00C009D0"/>
    <w:rsid w:val="00C00FC3"/>
    <w:rsid w:val="00C0156E"/>
    <w:rsid w:val="00C01587"/>
    <w:rsid w:val="00C01824"/>
    <w:rsid w:val="00C020D0"/>
    <w:rsid w:val="00C02149"/>
    <w:rsid w:val="00C02343"/>
    <w:rsid w:val="00C02373"/>
    <w:rsid w:val="00C02738"/>
    <w:rsid w:val="00C02963"/>
    <w:rsid w:val="00C02E8C"/>
    <w:rsid w:val="00C02E9D"/>
    <w:rsid w:val="00C0338F"/>
    <w:rsid w:val="00C0410A"/>
    <w:rsid w:val="00C044A1"/>
    <w:rsid w:val="00C0495E"/>
    <w:rsid w:val="00C04E13"/>
    <w:rsid w:val="00C04F97"/>
    <w:rsid w:val="00C0502A"/>
    <w:rsid w:val="00C05097"/>
    <w:rsid w:val="00C0554B"/>
    <w:rsid w:val="00C058D9"/>
    <w:rsid w:val="00C05AB5"/>
    <w:rsid w:val="00C05C5B"/>
    <w:rsid w:val="00C05CBE"/>
    <w:rsid w:val="00C05D5D"/>
    <w:rsid w:val="00C061F2"/>
    <w:rsid w:val="00C065EF"/>
    <w:rsid w:val="00C0669C"/>
    <w:rsid w:val="00C07626"/>
    <w:rsid w:val="00C07981"/>
    <w:rsid w:val="00C07BF1"/>
    <w:rsid w:val="00C07C31"/>
    <w:rsid w:val="00C10544"/>
    <w:rsid w:val="00C10B88"/>
    <w:rsid w:val="00C10B96"/>
    <w:rsid w:val="00C11526"/>
    <w:rsid w:val="00C11535"/>
    <w:rsid w:val="00C11CF4"/>
    <w:rsid w:val="00C12301"/>
    <w:rsid w:val="00C12311"/>
    <w:rsid w:val="00C12805"/>
    <w:rsid w:val="00C13352"/>
    <w:rsid w:val="00C1361D"/>
    <w:rsid w:val="00C1376D"/>
    <w:rsid w:val="00C13E8D"/>
    <w:rsid w:val="00C1484C"/>
    <w:rsid w:val="00C14F87"/>
    <w:rsid w:val="00C1605E"/>
    <w:rsid w:val="00C16583"/>
    <w:rsid w:val="00C16B05"/>
    <w:rsid w:val="00C17152"/>
    <w:rsid w:val="00C176BE"/>
    <w:rsid w:val="00C17BDB"/>
    <w:rsid w:val="00C20205"/>
    <w:rsid w:val="00C20267"/>
    <w:rsid w:val="00C20758"/>
    <w:rsid w:val="00C20AA8"/>
    <w:rsid w:val="00C20D22"/>
    <w:rsid w:val="00C20F41"/>
    <w:rsid w:val="00C2177E"/>
    <w:rsid w:val="00C21CFC"/>
    <w:rsid w:val="00C2209D"/>
    <w:rsid w:val="00C226F1"/>
    <w:rsid w:val="00C22844"/>
    <w:rsid w:val="00C22D28"/>
    <w:rsid w:val="00C23210"/>
    <w:rsid w:val="00C2363D"/>
    <w:rsid w:val="00C23DC0"/>
    <w:rsid w:val="00C2449A"/>
    <w:rsid w:val="00C24884"/>
    <w:rsid w:val="00C24F0F"/>
    <w:rsid w:val="00C24FA3"/>
    <w:rsid w:val="00C2521D"/>
    <w:rsid w:val="00C255B7"/>
    <w:rsid w:val="00C26054"/>
    <w:rsid w:val="00C26B4B"/>
    <w:rsid w:val="00C277DA"/>
    <w:rsid w:val="00C278AC"/>
    <w:rsid w:val="00C278D4"/>
    <w:rsid w:val="00C27A43"/>
    <w:rsid w:val="00C27F8A"/>
    <w:rsid w:val="00C3022D"/>
    <w:rsid w:val="00C30713"/>
    <w:rsid w:val="00C30B0B"/>
    <w:rsid w:val="00C30C59"/>
    <w:rsid w:val="00C31B8E"/>
    <w:rsid w:val="00C32E40"/>
    <w:rsid w:val="00C33111"/>
    <w:rsid w:val="00C334C9"/>
    <w:rsid w:val="00C33A91"/>
    <w:rsid w:val="00C33BC3"/>
    <w:rsid w:val="00C33EE7"/>
    <w:rsid w:val="00C3404A"/>
    <w:rsid w:val="00C34238"/>
    <w:rsid w:val="00C34334"/>
    <w:rsid w:val="00C346E5"/>
    <w:rsid w:val="00C34767"/>
    <w:rsid w:val="00C349AF"/>
    <w:rsid w:val="00C34CD5"/>
    <w:rsid w:val="00C34F58"/>
    <w:rsid w:val="00C357A4"/>
    <w:rsid w:val="00C359B0"/>
    <w:rsid w:val="00C369AC"/>
    <w:rsid w:val="00C371AB"/>
    <w:rsid w:val="00C40346"/>
    <w:rsid w:val="00C4092C"/>
    <w:rsid w:val="00C4093B"/>
    <w:rsid w:val="00C40C67"/>
    <w:rsid w:val="00C412F9"/>
    <w:rsid w:val="00C414C3"/>
    <w:rsid w:val="00C41617"/>
    <w:rsid w:val="00C41AEB"/>
    <w:rsid w:val="00C42336"/>
    <w:rsid w:val="00C430B2"/>
    <w:rsid w:val="00C434C2"/>
    <w:rsid w:val="00C4391F"/>
    <w:rsid w:val="00C440B7"/>
    <w:rsid w:val="00C458CF"/>
    <w:rsid w:val="00C45E88"/>
    <w:rsid w:val="00C462CE"/>
    <w:rsid w:val="00C46369"/>
    <w:rsid w:val="00C468A4"/>
    <w:rsid w:val="00C46F1A"/>
    <w:rsid w:val="00C47031"/>
    <w:rsid w:val="00C472D4"/>
    <w:rsid w:val="00C47840"/>
    <w:rsid w:val="00C479F5"/>
    <w:rsid w:val="00C508B7"/>
    <w:rsid w:val="00C50F52"/>
    <w:rsid w:val="00C516FC"/>
    <w:rsid w:val="00C5194C"/>
    <w:rsid w:val="00C51B6F"/>
    <w:rsid w:val="00C51C8F"/>
    <w:rsid w:val="00C51D71"/>
    <w:rsid w:val="00C52319"/>
    <w:rsid w:val="00C52B94"/>
    <w:rsid w:val="00C53605"/>
    <w:rsid w:val="00C53776"/>
    <w:rsid w:val="00C53A55"/>
    <w:rsid w:val="00C53B4B"/>
    <w:rsid w:val="00C53D62"/>
    <w:rsid w:val="00C5415A"/>
    <w:rsid w:val="00C5482C"/>
    <w:rsid w:val="00C55287"/>
    <w:rsid w:val="00C55342"/>
    <w:rsid w:val="00C55C0B"/>
    <w:rsid w:val="00C56528"/>
    <w:rsid w:val="00C567EF"/>
    <w:rsid w:val="00C56E3F"/>
    <w:rsid w:val="00C6075F"/>
    <w:rsid w:val="00C609A6"/>
    <w:rsid w:val="00C60CB7"/>
    <w:rsid w:val="00C60D66"/>
    <w:rsid w:val="00C60DC2"/>
    <w:rsid w:val="00C60F9A"/>
    <w:rsid w:val="00C61756"/>
    <w:rsid w:val="00C61BE9"/>
    <w:rsid w:val="00C627CB"/>
    <w:rsid w:val="00C62B62"/>
    <w:rsid w:val="00C62E7C"/>
    <w:rsid w:val="00C633A0"/>
    <w:rsid w:val="00C63D7E"/>
    <w:rsid w:val="00C64082"/>
    <w:rsid w:val="00C6428D"/>
    <w:rsid w:val="00C64562"/>
    <w:rsid w:val="00C649F8"/>
    <w:rsid w:val="00C64BE4"/>
    <w:rsid w:val="00C64CA6"/>
    <w:rsid w:val="00C64F5C"/>
    <w:rsid w:val="00C64FF1"/>
    <w:rsid w:val="00C656DA"/>
    <w:rsid w:val="00C65914"/>
    <w:rsid w:val="00C65C76"/>
    <w:rsid w:val="00C661F5"/>
    <w:rsid w:val="00C667D3"/>
    <w:rsid w:val="00C66F47"/>
    <w:rsid w:val="00C67C28"/>
    <w:rsid w:val="00C67CB9"/>
    <w:rsid w:val="00C67D95"/>
    <w:rsid w:val="00C67EBA"/>
    <w:rsid w:val="00C70561"/>
    <w:rsid w:val="00C70564"/>
    <w:rsid w:val="00C70B96"/>
    <w:rsid w:val="00C70BFE"/>
    <w:rsid w:val="00C70DD1"/>
    <w:rsid w:val="00C71187"/>
    <w:rsid w:val="00C722B6"/>
    <w:rsid w:val="00C7242A"/>
    <w:rsid w:val="00C72B5B"/>
    <w:rsid w:val="00C73A0F"/>
    <w:rsid w:val="00C73BCA"/>
    <w:rsid w:val="00C73C44"/>
    <w:rsid w:val="00C7492C"/>
    <w:rsid w:val="00C75775"/>
    <w:rsid w:val="00C758B0"/>
    <w:rsid w:val="00C758BC"/>
    <w:rsid w:val="00C75BD3"/>
    <w:rsid w:val="00C75F42"/>
    <w:rsid w:val="00C77977"/>
    <w:rsid w:val="00C77D59"/>
    <w:rsid w:val="00C8017B"/>
    <w:rsid w:val="00C80244"/>
    <w:rsid w:val="00C80753"/>
    <w:rsid w:val="00C81A3E"/>
    <w:rsid w:val="00C81E21"/>
    <w:rsid w:val="00C824E2"/>
    <w:rsid w:val="00C8295D"/>
    <w:rsid w:val="00C83272"/>
    <w:rsid w:val="00C8332C"/>
    <w:rsid w:val="00C835E1"/>
    <w:rsid w:val="00C84359"/>
    <w:rsid w:val="00C844E6"/>
    <w:rsid w:val="00C854AB"/>
    <w:rsid w:val="00C85FBA"/>
    <w:rsid w:val="00C863CB"/>
    <w:rsid w:val="00C86A54"/>
    <w:rsid w:val="00C86E71"/>
    <w:rsid w:val="00C8718E"/>
    <w:rsid w:val="00C8746A"/>
    <w:rsid w:val="00C8773F"/>
    <w:rsid w:val="00C87782"/>
    <w:rsid w:val="00C87ACA"/>
    <w:rsid w:val="00C87E63"/>
    <w:rsid w:val="00C87E92"/>
    <w:rsid w:val="00C87F05"/>
    <w:rsid w:val="00C87F7D"/>
    <w:rsid w:val="00C87FD2"/>
    <w:rsid w:val="00C904D2"/>
    <w:rsid w:val="00C910E5"/>
    <w:rsid w:val="00C9173F"/>
    <w:rsid w:val="00C91A76"/>
    <w:rsid w:val="00C91DBB"/>
    <w:rsid w:val="00C923A4"/>
    <w:rsid w:val="00C924A9"/>
    <w:rsid w:val="00C926E6"/>
    <w:rsid w:val="00C92CDA"/>
    <w:rsid w:val="00C93F63"/>
    <w:rsid w:val="00C94024"/>
    <w:rsid w:val="00C94405"/>
    <w:rsid w:val="00C94AE5"/>
    <w:rsid w:val="00C9591D"/>
    <w:rsid w:val="00C95A98"/>
    <w:rsid w:val="00C965D0"/>
    <w:rsid w:val="00C96CD4"/>
    <w:rsid w:val="00C96F4A"/>
    <w:rsid w:val="00C972DA"/>
    <w:rsid w:val="00CA0FA7"/>
    <w:rsid w:val="00CA152A"/>
    <w:rsid w:val="00CA166E"/>
    <w:rsid w:val="00CA1FFB"/>
    <w:rsid w:val="00CA209B"/>
    <w:rsid w:val="00CA27F4"/>
    <w:rsid w:val="00CA2A92"/>
    <w:rsid w:val="00CA2BDC"/>
    <w:rsid w:val="00CA30D8"/>
    <w:rsid w:val="00CA4748"/>
    <w:rsid w:val="00CA47DA"/>
    <w:rsid w:val="00CA48B7"/>
    <w:rsid w:val="00CA4D84"/>
    <w:rsid w:val="00CA5437"/>
    <w:rsid w:val="00CA58E5"/>
    <w:rsid w:val="00CA5991"/>
    <w:rsid w:val="00CA5FC0"/>
    <w:rsid w:val="00CA5FE2"/>
    <w:rsid w:val="00CA6E35"/>
    <w:rsid w:val="00CA6F52"/>
    <w:rsid w:val="00CA6FD6"/>
    <w:rsid w:val="00CA75C1"/>
    <w:rsid w:val="00CA7B4A"/>
    <w:rsid w:val="00CA7C43"/>
    <w:rsid w:val="00CB0449"/>
    <w:rsid w:val="00CB0EF7"/>
    <w:rsid w:val="00CB18A9"/>
    <w:rsid w:val="00CB1A65"/>
    <w:rsid w:val="00CB1A92"/>
    <w:rsid w:val="00CB1B84"/>
    <w:rsid w:val="00CB2434"/>
    <w:rsid w:val="00CB24C6"/>
    <w:rsid w:val="00CB260A"/>
    <w:rsid w:val="00CB3B69"/>
    <w:rsid w:val="00CB42B2"/>
    <w:rsid w:val="00CB47B9"/>
    <w:rsid w:val="00CB495E"/>
    <w:rsid w:val="00CB49D4"/>
    <w:rsid w:val="00CB5F7A"/>
    <w:rsid w:val="00CB676F"/>
    <w:rsid w:val="00CB67D4"/>
    <w:rsid w:val="00CB6801"/>
    <w:rsid w:val="00CB6AEB"/>
    <w:rsid w:val="00CB7294"/>
    <w:rsid w:val="00CB7B93"/>
    <w:rsid w:val="00CB7E02"/>
    <w:rsid w:val="00CC0F31"/>
    <w:rsid w:val="00CC14F5"/>
    <w:rsid w:val="00CC19E2"/>
    <w:rsid w:val="00CC34F6"/>
    <w:rsid w:val="00CC3787"/>
    <w:rsid w:val="00CC3924"/>
    <w:rsid w:val="00CC3E0A"/>
    <w:rsid w:val="00CC5279"/>
    <w:rsid w:val="00CC5383"/>
    <w:rsid w:val="00CC6BF6"/>
    <w:rsid w:val="00CC6E15"/>
    <w:rsid w:val="00CC77FC"/>
    <w:rsid w:val="00CC78EA"/>
    <w:rsid w:val="00CC7A27"/>
    <w:rsid w:val="00CC7CEE"/>
    <w:rsid w:val="00CC7FCA"/>
    <w:rsid w:val="00CD0AFE"/>
    <w:rsid w:val="00CD1E2E"/>
    <w:rsid w:val="00CD25F7"/>
    <w:rsid w:val="00CD359C"/>
    <w:rsid w:val="00CD3850"/>
    <w:rsid w:val="00CD3FDE"/>
    <w:rsid w:val="00CD41EF"/>
    <w:rsid w:val="00CD4DEE"/>
    <w:rsid w:val="00CD4E85"/>
    <w:rsid w:val="00CD5520"/>
    <w:rsid w:val="00CD59A7"/>
    <w:rsid w:val="00CD63B3"/>
    <w:rsid w:val="00CD6919"/>
    <w:rsid w:val="00CD69D0"/>
    <w:rsid w:val="00CD7076"/>
    <w:rsid w:val="00CD74E6"/>
    <w:rsid w:val="00CD76C8"/>
    <w:rsid w:val="00CD7C01"/>
    <w:rsid w:val="00CE03FD"/>
    <w:rsid w:val="00CE061C"/>
    <w:rsid w:val="00CE0776"/>
    <w:rsid w:val="00CE1398"/>
    <w:rsid w:val="00CE16A1"/>
    <w:rsid w:val="00CE1C51"/>
    <w:rsid w:val="00CE2945"/>
    <w:rsid w:val="00CE379D"/>
    <w:rsid w:val="00CE37B4"/>
    <w:rsid w:val="00CE4079"/>
    <w:rsid w:val="00CE436F"/>
    <w:rsid w:val="00CE43E6"/>
    <w:rsid w:val="00CE443B"/>
    <w:rsid w:val="00CE466D"/>
    <w:rsid w:val="00CE50C7"/>
    <w:rsid w:val="00CE5824"/>
    <w:rsid w:val="00CE6206"/>
    <w:rsid w:val="00CE71AB"/>
    <w:rsid w:val="00CE7578"/>
    <w:rsid w:val="00CE7E3B"/>
    <w:rsid w:val="00CE7EA2"/>
    <w:rsid w:val="00CF0EF8"/>
    <w:rsid w:val="00CF0F19"/>
    <w:rsid w:val="00CF173C"/>
    <w:rsid w:val="00CF1C42"/>
    <w:rsid w:val="00CF20B4"/>
    <w:rsid w:val="00CF269E"/>
    <w:rsid w:val="00CF31D2"/>
    <w:rsid w:val="00CF3431"/>
    <w:rsid w:val="00CF3552"/>
    <w:rsid w:val="00CF4F81"/>
    <w:rsid w:val="00CF6158"/>
    <w:rsid w:val="00CF6475"/>
    <w:rsid w:val="00CF670F"/>
    <w:rsid w:val="00CF6B74"/>
    <w:rsid w:val="00CF6F9D"/>
    <w:rsid w:val="00CF771B"/>
    <w:rsid w:val="00CF77DC"/>
    <w:rsid w:val="00CF78D4"/>
    <w:rsid w:val="00CF79E3"/>
    <w:rsid w:val="00CF7F1A"/>
    <w:rsid w:val="00D00891"/>
    <w:rsid w:val="00D00F07"/>
    <w:rsid w:val="00D0135E"/>
    <w:rsid w:val="00D014D5"/>
    <w:rsid w:val="00D014FD"/>
    <w:rsid w:val="00D01929"/>
    <w:rsid w:val="00D01971"/>
    <w:rsid w:val="00D01B81"/>
    <w:rsid w:val="00D02589"/>
    <w:rsid w:val="00D02CA8"/>
    <w:rsid w:val="00D0349E"/>
    <w:rsid w:val="00D03FA2"/>
    <w:rsid w:val="00D0485D"/>
    <w:rsid w:val="00D04C29"/>
    <w:rsid w:val="00D0524B"/>
    <w:rsid w:val="00D05E36"/>
    <w:rsid w:val="00D05F64"/>
    <w:rsid w:val="00D06473"/>
    <w:rsid w:val="00D0685E"/>
    <w:rsid w:val="00D06BE5"/>
    <w:rsid w:val="00D06E59"/>
    <w:rsid w:val="00D070EC"/>
    <w:rsid w:val="00D075EA"/>
    <w:rsid w:val="00D0773C"/>
    <w:rsid w:val="00D0785A"/>
    <w:rsid w:val="00D07DC9"/>
    <w:rsid w:val="00D07F19"/>
    <w:rsid w:val="00D1004B"/>
    <w:rsid w:val="00D1047D"/>
    <w:rsid w:val="00D10D07"/>
    <w:rsid w:val="00D1100E"/>
    <w:rsid w:val="00D1171D"/>
    <w:rsid w:val="00D1186F"/>
    <w:rsid w:val="00D11AF1"/>
    <w:rsid w:val="00D12F8E"/>
    <w:rsid w:val="00D13F3A"/>
    <w:rsid w:val="00D15DBB"/>
    <w:rsid w:val="00D16372"/>
    <w:rsid w:val="00D17E3D"/>
    <w:rsid w:val="00D20381"/>
    <w:rsid w:val="00D20E2F"/>
    <w:rsid w:val="00D213E5"/>
    <w:rsid w:val="00D21728"/>
    <w:rsid w:val="00D21C0D"/>
    <w:rsid w:val="00D21E1E"/>
    <w:rsid w:val="00D224CB"/>
    <w:rsid w:val="00D22663"/>
    <w:rsid w:val="00D227BB"/>
    <w:rsid w:val="00D22AEC"/>
    <w:rsid w:val="00D23096"/>
    <w:rsid w:val="00D235C9"/>
    <w:rsid w:val="00D238FC"/>
    <w:rsid w:val="00D23B1C"/>
    <w:rsid w:val="00D23B4A"/>
    <w:rsid w:val="00D23C02"/>
    <w:rsid w:val="00D246C5"/>
    <w:rsid w:val="00D24A5F"/>
    <w:rsid w:val="00D25474"/>
    <w:rsid w:val="00D25614"/>
    <w:rsid w:val="00D256D3"/>
    <w:rsid w:val="00D2592D"/>
    <w:rsid w:val="00D25A1D"/>
    <w:rsid w:val="00D25BCC"/>
    <w:rsid w:val="00D26091"/>
    <w:rsid w:val="00D260B7"/>
    <w:rsid w:val="00D26147"/>
    <w:rsid w:val="00D267A4"/>
    <w:rsid w:val="00D268AB"/>
    <w:rsid w:val="00D271EA"/>
    <w:rsid w:val="00D2751D"/>
    <w:rsid w:val="00D279B2"/>
    <w:rsid w:val="00D27A09"/>
    <w:rsid w:val="00D3024D"/>
    <w:rsid w:val="00D30308"/>
    <w:rsid w:val="00D3075C"/>
    <w:rsid w:val="00D30F29"/>
    <w:rsid w:val="00D312C0"/>
    <w:rsid w:val="00D31826"/>
    <w:rsid w:val="00D32538"/>
    <w:rsid w:val="00D32593"/>
    <w:rsid w:val="00D327B3"/>
    <w:rsid w:val="00D329A0"/>
    <w:rsid w:val="00D32FBD"/>
    <w:rsid w:val="00D3378B"/>
    <w:rsid w:val="00D33B99"/>
    <w:rsid w:val="00D33ED0"/>
    <w:rsid w:val="00D33FCC"/>
    <w:rsid w:val="00D3436B"/>
    <w:rsid w:val="00D3438F"/>
    <w:rsid w:val="00D34C27"/>
    <w:rsid w:val="00D34E7E"/>
    <w:rsid w:val="00D357F2"/>
    <w:rsid w:val="00D3664C"/>
    <w:rsid w:val="00D3679C"/>
    <w:rsid w:val="00D36A2C"/>
    <w:rsid w:val="00D36C62"/>
    <w:rsid w:val="00D402D2"/>
    <w:rsid w:val="00D40945"/>
    <w:rsid w:val="00D40A3F"/>
    <w:rsid w:val="00D41901"/>
    <w:rsid w:val="00D421A7"/>
    <w:rsid w:val="00D4257E"/>
    <w:rsid w:val="00D42703"/>
    <w:rsid w:val="00D427BE"/>
    <w:rsid w:val="00D4293E"/>
    <w:rsid w:val="00D42A39"/>
    <w:rsid w:val="00D42D17"/>
    <w:rsid w:val="00D43274"/>
    <w:rsid w:val="00D43ED9"/>
    <w:rsid w:val="00D4428C"/>
    <w:rsid w:val="00D45A42"/>
    <w:rsid w:val="00D46307"/>
    <w:rsid w:val="00D467F0"/>
    <w:rsid w:val="00D46827"/>
    <w:rsid w:val="00D4715C"/>
    <w:rsid w:val="00D47C89"/>
    <w:rsid w:val="00D47F33"/>
    <w:rsid w:val="00D502B5"/>
    <w:rsid w:val="00D5038A"/>
    <w:rsid w:val="00D5060C"/>
    <w:rsid w:val="00D507A3"/>
    <w:rsid w:val="00D508E2"/>
    <w:rsid w:val="00D50932"/>
    <w:rsid w:val="00D50A02"/>
    <w:rsid w:val="00D5279A"/>
    <w:rsid w:val="00D53089"/>
    <w:rsid w:val="00D53099"/>
    <w:rsid w:val="00D534DA"/>
    <w:rsid w:val="00D53C67"/>
    <w:rsid w:val="00D55449"/>
    <w:rsid w:val="00D5584C"/>
    <w:rsid w:val="00D55C01"/>
    <w:rsid w:val="00D562EB"/>
    <w:rsid w:val="00D56321"/>
    <w:rsid w:val="00D56C54"/>
    <w:rsid w:val="00D56E42"/>
    <w:rsid w:val="00D571C3"/>
    <w:rsid w:val="00D57CAB"/>
    <w:rsid w:val="00D57CF6"/>
    <w:rsid w:val="00D57F46"/>
    <w:rsid w:val="00D601C2"/>
    <w:rsid w:val="00D60229"/>
    <w:rsid w:val="00D602AF"/>
    <w:rsid w:val="00D608D2"/>
    <w:rsid w:val="00D60CBF"/>
    <w:rsid w:val="00D60FFF"/>
    <w:rsid w:val="00D614B5"/>
    <w:rsid w:val="00D614E4"/>
    <w:rsid w:val="00D619C8"/>
    <w:rsid w:val="00D6210D"/>
    <w:rsid w:val="00D621BD"/>
    <w:rsid w:val="00D62667"/>
    <w:rsid w:val="00D628F0"/>
    <w:rsid w:val="00D62902"/>
    <w:rsid w:val="00D62A21"/>
    <w:rsid w:val="00D6303E"/>
    <w:rsid w:val="00D63236"/>
    <w:rsid w:val="00D633A7"/>
    <w:rsid w:val="00D63642"/>
    <w:rsid w:val="00D63FAD"/>
    <w:rsid w:val="00D6456C"/>
    <w:rsid w:val="00D649B9"/>
    <w:rsid w:val="00D651C3"/>
    <w:rsid w:val="00D65C3D"/>
    <w:rsid w:val="00D664A0"/>
    <w:rsid w:val="00D679D8"/>
    <w:rsid w:val="00D67B55"/>
    <w:rsid w:val="00D711EC"/>
    <w:rsid w:val="00D712FE"/>
    <w:rsid w:val="00D7159D"/>
    <w:rsid w:val="00D71F9F"/>
    <w:rsid w:val="00D72227"/>
    <w:rsid w:val="00D724F6"/>
    <w:rsid w:val="00D72F1B"/>
    <w:rsid w:val="00D733AF"/>
    <w:rsid w:val="00D739FB"/>
    <w:rsid w:val="00D73BCE"/>
    <w:rsid w:val="00D744FB"/>
    <w:rsid w:val="00D746B8"/>
    <w:rsid w:val="00D74C55"/>
    <w:rsid w:val="00D74CCC"/>
    <w:rsid w:val="00D75609"/>
    <w:rsid w:val="00D75673"/>
    <w:rsid w:val="00D75E88"/>
    <w:rsid w:val="00D761F0"/>
    <w:rsid w:val="00D762BE"/>
    <w:rsid w:val="00D767C6"/>
    <w:rsid w:val="00D767FC"/>
    <w:rsid w:val="00D76805"/>
    <w:rsid w:val="00D76930"/>
    <w:rsid w:val="00D76D88"/>
    <w:rsid w:val="00D775A9"/>
    <w:rsid w:val="00D77769"/>
    <w:rsid w:val="00D778A3"/>
    <w:rsid w:val="00D8016C"/>
    <w:rsid w:val="00D803C4"/>
    <w:rsid w:val="00D805B4"/>
    <w:rsid w:val="00D8064A"/>
    <w:rsid w:val="00D80D6C"/>
    <w:rsid w:val="00D80FD6"/>
    <w:rsid w:val="00D81114"/>
    <w:rsid w:val="00D811AD"/>
    <w:rsid w:val="00D81253"/>
    <w:rsid w:val="00D816DE"/>
    <w:rsid w:val="00D81BB5"/>
    <w:rsid w:val="00D81BDA"/>
    <w:rsid w:val="00D823F7"/>
    <w:rsid w:val="00D83373"/>
    <w:rsid w:val="00D834D2"/>
    <w:rsid w:val="00D83C16"/>
    <w:rsid w:val="00D84342"/>
    <w:rsid w:val="00D845E9"/>
    <w:rsid w:val="00D84741"/>
    <w:rsid w:val="00D84A27"/>
    <w:rsid w:val="00D8506B"/>
    <w:rsid w:val="00D857CF"/>
    <w:rsid w:val="00D85B20"/>
    <w:rsid w:val="00D86031"/>
    <w:rsid w:val="00D86102"/>
    <w:rsid w:val="00D8662E"/>
    <w:rsid w:val="00D86816"/>
    <w:rsid w:val="00D86895"/>
    <w:rsid w:val="00D86FAD"/>
    <w:rsid w:val="00D871DB"/>
    <w:rsid w:val="00D87482"/>
    <w:rsid w:val="00D8752B"/>
    <w:rsid w:val="00D87AD3"/>
    <w:rsid w:val="00D90157"/>
    <w:rsid w:val="00D902F1"/>
    <w:rsid w:val="00D905A7"/>
    <w:rsid w:val="00D91258"/>
    <w:rsid w:val="00D9175B"/>
    <w:rsid w:val="00D9201E"/>
    <w:rsid w:val="00D929AC"/>
    <w:rsid w:val="00D92E53"/>
    <w:rsid w:val="00D92FF9"/>
    <w:rsid w:val="00D9353D"/>
    <w:rsid w:val="00D93A19"/>
    <w:rsid w:val="00D93DE1"/>
    <w:rsid w:val="00D94081"/>
    <w:rsid w:val="00D94648"/>
    <w:rsid w:val="00D946E8"/>
    <w:rsid w:val="00D94EB0"/>
    <w:rsid w:val="00D950F2"/>
    <w:rsid w:val="00D954C8"/>
    <w:rsid w:val="00D9592F"/>
    <w:rsid w:val="00D963A1"/>
    <w:rsid w:val="00D967B2"/>
    <w:rsid w:val="00D96A97"/>
    <w:rsid w:val="00D96BB5"/>
    <w:rsid w:val="00D97229"/>
    <w:rsid w:val="00D974A9"/>
    <w:rsid w:val="00D9798B"/>
    <w:rsid w:val="00D97CDC"/>
    <w:rsid w:val="00DA0999"/>
    <w:rsid w:val="00DA0DBA"/>
    <w:rsid w:val="00DA13C0"/>
    <w:rsid w:val="00DA24C0"/>
    <w:rsid w:val="00DA2B82"/>
    <w:rsid w:val="00DA2D62"/>
    <w:rsid w:val="00DA3405"/>
    <w:rsid w:val="00DA36CB"/>
    <w:rsid w:val="00DA3AFA"/>
    <w:rsid w:val="00DA3E78"/>
    <w:rsid w:val="00DA42FE"/>
    <w:rsid w:val="00DA4C75"/>
    <w:rsid w:val="00DA4D0A"/>
    <w:rsid w:val="00DA4E58"/>
    <w:rsid w:val="00DA4EF6"/>
    <w:rsid w:val="00DA506D"/>
    <w:rsid w:val="00DA5B9A"/>
    <w:rsid w:val="00DA5E8F"/>
    <w:rsid w:val="00DA5F78"/>
    <w:rsid w:val="00DA67DF"/>
    <w:rsid w:val="00DA68D9"/>
    <w:rsid w:val="00DA69EA"/>
    <w:rsid w:val="00DA6AEE"/>
    <w:rsid w:val="00DA7076"/>
    <w:rsid w:val="00DA794F"/>
    <w:rsid w:val="00DA7D61"/>
    <w:rsid w:val="00DA7F04"/>
    <w:rsid w:val="00DB02C8"/>
    <w:rsid w:val="00DB0E7A"/>
    <w:rsid w:val="00DB17AC"/>
    <w:rsid w:val="00DB241A"/>
    <w:rsid w:val="00DB29CD"/>
    <w:rsid w:val="00DB2A95"/>
    <w:rsid w:val="00DB2CC3"/>
    <w:rsid w:val="00DB2CDD"/>
    <w:rsid w:val="00DB31C5"/>
    <w:rsid w:val="00DB3D36"/>
    <w:rsid w:val="00DB4188"/>
    <w:rsid w:val="00DB5E10"/>
    <w:rsid w:val="00DB5E26"/>
    <w:rsid w:val="00DB5E78"/>
    <w:rsid w:val="00DB6227"/>
    <w:rsid w:val="00DB6699"/>
    <w:rsid w:val="00DB702D"/>
    <w:rsid w:val="00DB70A6"/>
    <w:rsid w:val="00DB71AC"/>
    <w:rsid w:val="00DB72EF"/>
    <w:rsid w:val="00DB75A2"/>
    <w:rsid w:val="00DB782D"/>
    <w:rsid w:val="00DB7947"/>
    <w:rsid w:val="00DB7A57"/>
    <w:rsid w:val="00DC013D"/>
    <w:rsid w:val="00DC029B"/>
    <w:rsid w:val="00DC03DD"/>
    <w:rsid w:val="00DC03E7"/>
    <w:rsid w:val="00DC072A"/>
    <w:rsid w:val="00DC0785"/>
    <w:rsid w:val="00DC0910"/>
    <w:rsid w:val="00DC1005"/>
    <w:rsid w:val="00DC1627"/>
    <w:rsid w:val="00DC1C0D"/>
    <w:rsid w:val="00DC2617"/>
    <w:rsid w:val="00DC37B3"/>
    <w:rsid w:val="00DC3F2C"/>
    <w:rsid w:val="00DC43F5"/>
    <w:rsid w:val="00DC4564"/>
    <w:rsid w:val="00DC4848"/>
    <w:rsid w:val="00DC48A7"/>
    <w:rsid w:val="00DC5091"/>
    <w:rsid w:val="00DC5229"/>
    <w:rsid w:val="00DC5F3F"/>
    <w:rsid w:val="00DC63CC"/>
    <w:rsid w:val="00DC69B4"/>
    <w:rsid w:val="00DC6D55"/>
    <w:rsid w:val="00DC7010"/>
    <w:rsid w:val="00DC7AB7"/>
    <w:rsid w:val="00DC7CB2"/>
    <w:rsid w:val="00DD00DB"/>
    <w:rsid w:val="00DD0D6F"/>
    <w:rsid w:val="00DD1346"/>
    <w:rsid w:val="00DD1ADB"/>
    <w:rsid w:val="00DD21ED"/>
    <w:rsid w:val="00DD26FF"/>
    <w:rsid w:val="00DD3139"/>
    <w:rsid w:val="00DD336D"/>
    <w:rsid w:val="00DD3E7D"/>
    <w:rsid w:val="00DD3EEA"/>
    <w:rsid w:val="00DD4419"/>
    <w:rsid w:val="00DD4C3C"/>
    <w:rsid w:val="00DD51C1"/>
    <w:rsid w:val="00DD553C"/>
    <w:rsid w:val="00DD5A55"/>
    <w:rsid w:val="00DD5C30"/>
    <w:rsid w:val="00DD6974"/>
    <w:rsid w:val="00DD6D45"/>
    <w:rsid w:val="00DD702C"/>
    <w:rsid w:val="00DD712F"/>
    <w:rsid w:val="00DD7132"/>
    <w:rsid w:val="00DD7BD5"/>
    <w:rsid w:val="00DD7D6F"/>
    <w:rsid w:val="00DE0114"/>
    <w:rsid w:val="00DE029D"/>
    <w:rsid w:val="00DE05FB"/>
    <w:rsid w:val="00DE0601"/>
    <w:rsid w:val="00DE07DF"/>
    <w:rsid w:val="00DE1FB5"/>
    <w:rsid w:val="00DE2A7A"/>
    <w:rsid w:val="00DE344C"/>
    <w:rsid w:val="00DE3829"/>
    <w:rsid w:val="00DE396E"/>
    <w:rsid w:val="00DE3A71"/>
    <w:rsid w:val="00DE4219"/>
    <w:rsid w:val="00DE4418"/>
    <w:rsid w:val="00DE4696"/>
    <w:rsid w:val="00DE5465"/>
    <w:rsid w:val="00DE54B5"/>
    <w:rsid w:val="00DE55C0"/>
    <w:rsid w:val="00DE5B81"/>
    <w:rsid w:val="00DE60AC"/>
    <w:rsid w:val="00DE69B5"/>
    <w:rsid w:val="00DE6C62"/>
    <w:rsid w:val="00DE70BB"/>
    <w:rsid w:val="00DE70F0"/>
    <w:rsid w:val="00DE720E"/>
    <w:rsid w:val="00DE72B9"/>
    <w:rsid w:val="00DE75B1"/>
    <w:rsid w:val="00DF02AF"/>
    <w:rsid w:val="00DF0415"/>
    <w:rsid w:val="00DF0669"/>
    <w:rsid w:val="00DF0B7B"/>
    <w:rsid w:val="00DF120F"/>
    <w:rsid w:val="00DF1255"/>
    <w:rsid w:val="00DF14F7"/>
    <w:rsid w:val="00DF1620"/>
    <w:rsid w:val="00DF17E1"/>
    <w:rsid w:val="00DF1EBC"/>
    <w:rsid w:val="00DF2D2B"/>
    <w:rsid w:val="00DF2ED1"/>
    <w:rsid w:val="00DF3E49"/>
    <w:rsid w:val="00DF42E4"/>
    <w:rsid w:val="00DF67CC"/>
    <w:rsid w:val="00DF6C1E"/>
    <w:rsid w:val="00DF6C97"/>
    <w:rsid w:val="00DF6E0C"/>
    <w:rsid w:val="00DF6F44"/>
    <w:rsid w:val="00DF7993"/>
    <w:rsid w:val="00DF7CE9"/>
    <w:rsid w:val="00DF7D98"/>
    <w:rsid w:val="00E0027D"/>
    <w:rsid w:val="00E00337"/>
    <w:rsid w:val="00E00505"/>
    <w:rsid w:val="00E00A3A"/>
    <w:rsid w:val="00E0149F"/>
    <w:rsid w:val="00E017B9"/>
    <w:rsid w:val="00E018B9"/>
    <w:rsid w:val="00E01DEB"/>
    <w:rsid w:val="00E01FA4"/>
    <w:rsid w:val="00E02D96"/>
    <w:rsid w:val="00E03432"/>
    <w:rsid w:val="00E0368D"/>
    <w:rsid w:val="00E03AED"/>
    <w:rsid w:val="00E03AF7"/>
    <w:rsid w:val="00E03D25"/>
    <w:rsid w:val="00E04457"/>
    <w:rsid w:val="00E04A14"/>
    <w:rsid w:val="00E04BC2"/>
    <w:rsid w:val="00E04CCF"/>
    <w:rsid w:val="00E051F6"/>
    <w:rsid w:val="00E0520A"/>
    <w:rsid w:val="00E056E8"/>
    <w:rsid w:val="00E0593B"/>
    <w:rsid w:val="00E05ED9"/>
    <w:rsid w:val="00E06BD1"/>
    <w:rsid w:val="00E06D11"/>
    <w:rsid w:val="00E06D7B"/>
    <w:rsid w:val="00E0728F"/>
    <w:rsid w:val="00E07786"/>
    <w:rsid w:val="00E100F3"/>
    <w:rsid w:val="00E10A13"/>
    <w:rsid w:val="00E112FE"/>
    <w:rsid w:val="00E1132F"/>
    <w:rsid w:val="00E1180A"/>
    <w:rsid w:val="00E12538"/>
    <w:rsid w:val="00E12924"/>
    <w:rsid w:val="00E12CB3"/>
    <w:rsid w:val="00E13194"/>
    <w:rsid w:val="00E1319B"/>
    <w:rsid w:val="00E1328A"/>
    <w:rsid w:val="00E13A02"/>
    <w:rsid w:val="00E14866"/>
    <w:rsid w:val="00E14EE0"/>
    <w:rsid w:val="00E15143"/>
    <w:rsid w:val="00E1578A"/>
    <w:rsid w:val="00E15AFB"/>
    <w:rsid w:val="00E161E0"/>
    <w:rsid w:val="00E166F2"/>
    <w:rsid w:val="00E16844"/>
    <w:rsid w:val="00E16B15"/>
    <w:rsid w:val="00E16BF7"/>
    <w:rsid w:val="00E16F00"/>
    <w:rsid w:val="00E170A6"/>
    <w:rsid w:val="00E1767A"/>
    <w:rsid w:val="00E17730"/>
    <w:rsid w:val="00E2036E"/>
    <w:rsid w:val="00E21048"/>
    <w:rsid w:val="00E21265"/>
    <w:rsid w:val="00E214C4"/>
    <w:rsid w:val="00E21AE8"/>
    <w:rsid w:val="00E21C96"/>
    <w:rsid w:val="00E21D38"/>
    <w:rsid w:val="00E21F5F"/>
    <w:rsid w:val="00E223F2"/>
    <w:rsid w:val="00E22542"/>
    <w:rsid w:val="00E228BC"/>
    <w:rsid w:val="00E23506"/>
    <w:rsid w:val="00E2359A"/>
    <w:rsid w:val="00E24465"/>
    <w:rsid w:val="00E2453B"/>
    <w:rsid w:val="00E24799"/>
    <w:rsid w:val="00E24853"/>
    <w:rsid w:val="00E25384"/>
    <w:rsid w:val="00E25B79"/>
    <w:rsid w:val="00E25CFD"/>
    <w:rsid w:val="00E25DE8"/>
    <w:rsid w:val="00E25F57"/>
    <w:rsid w:val="00E25F89"/>
    <w:rsid w:val="00E260D1"/>
    <w:rsid w:val="00E26A30"/>
    <w:rsid w:val="00E273A8"/>
    <w:rsid w:val="00E277F4"/>
    <w:rsid w:val="00E27EC9"/>
    <w:rsid w:val="00E30E45"/>
    <w:rsid w:val="00E311FD"/>
    <w:rsid w:val="00E32127"/>
    <w:rsid w:val="00E32521"/>
    <w:rsid w:val="00E3275A"/>
    <w:rsid w:val="00E327BB"/>
    <w:rsid w:val="00E32A2E"/>
    <w:rsid w:val="00E32B10"/>
    <w:rsid w:val="00E33001"/>
    <w:rsid w:val="00E330CB"/>
    <w:rsid w:val="00E33BD4"/>
    <w:rsid w:val="00E33DC2"/>
    <w:rsid w:val="00E34103"/>
    <w:rsid w:val="00E34549"/>
    <w:rsid w:val="00E34804"/>
    <w:rsid w:val="00E3493B"/>
    <w:rsid w:val="00E35798"/>
    <w:rsid w:val="00E35988"/>
    <w:rsid w:val="00E35A77"/>
    <w:rsid w:val="00E36222"/>
    <w:rsid w:val="00E368F6"/>
    <w:rsid w:val="00E36AE0"/>
    <w:rsid w:val="00E3705C"/>
    <w:rsid w:val="00E37987"/>
    <w:rsid w:val="00E379E9"/>
    <w:rsid w:val="00E37EF3"/>
    <w:rsid w:val="00E409C7"/>
    <w:rsid w:val="00E40AE7"/>
    <w:rsid w:val="00E40B40"/>
    <w:rsid w:val="00E4156E"/>
    <w:rsid w:val="00E41A60"/>
    <w:rsid w:val="00E420CB"/>
    <w:rsid w:val="00E4225A"/>
    <w:rsid w:val="00E423FD"/>
    <w:rsid w:val="00E425D0"/>
    <w:rsid w:val="00E42977"/>
    <w:rsid w:val="00E42B1A"/>
    <w:rsid w:val="00E42BC1"/>
    <w:rsid w:val="00E43350"/>
    <w:rsid w:val="00E43475"/>
    <w:rsid w:val="00E43789"/>
    <w:rsid w:val="00E437A4"/>
    <w:rsid w:val="00E43C4A"/>
    <w:rsid w:val="00E44B8F"/>
    <w:rsid w:val="00E45334"/>
    <w:rsid w:val="00E45533"/>
    <w:rsid w:val="00E45970"/>
    <w:rsid w:val="00E459E9"/>
    <w:rsid w:val="00E463C3"/>
    <w:rsid w:val="00E46893"/>
    <w:rsid w:val="00E47330"/>
    <w:rsid w:val="00E474CE"/>
    <w:rsid w:val="00E47A49"/>
    <w:rsid w:val="00E47A61"/>
    <w:rsid w:val="00E501B3"/>
    <w:rsid w:val="00E503D6"/>
    <w:rsid w:val="00E507AF"/>
    <w:rsid w:val="00E51040"/>
    <w:rsid w:val="00E5111F"/>
    <w:rsid w:val="00E517BF"/>
    <w:rsid w:val="00E51BE2"/>
    <w:rsid w:val="00E51ED5"/>
    <w:rsid w:val="00E520AA"/>
    <w:rsid w:val="00E5248D"/>
    <w:rsid w:val="00E5257E"/>
    <w:rsid w:val="00E527E0"/>
    <w:rsid w:val="00E5289C"/>
    <w:rsid w:val="00E529E7"/>
    <w:rsid w:val="00E544F7"/>
    <w:rsid w:val="00E545EB"/>
    <w:rsid w:val="00E54924"/>
    <w:rsid w:val="00E555C7"/>
    <w:rsid w:val="00E55957"/>
    <w:rsid w:val="00E559DF"/>
    <w:rsid w:val="00E569F4"/>
    <w:rsid w:val="00E56A46"/>
    <w:rsid w:val="00E56EBF"/>
    <w:rsid w:val="00E57395"/>
    <w:rsid w:val="00E5783E"/>
    <w:rsid w:val="00E57999"/>
    <w:rsid w:val="00E57A32"/>
    <w:rsid w:val="00E57D57"/>
    <w:rsid w:val="00E57F23"/>
    <w:rsid w:val="00E60086"/>
    <w:rsid w:val="00E605FE"/>
    <w:rsid w:val="00E60E01"/>
    <w:rsid w:val="00E60F0F"/>
    <w:rsid w:val="00E62075"/>
    <w:rsid w:val="00E62661"/>
    <w:rsid w:val="00E62693"/>
    <w:rsid w:val="00E627AC"/>
    <w:rsid w:val="00E62D4B"/>
    <w:rsid w:val="00E6318B"/>
    <w:rsid w:val="00E635CD"/>
    <w:rsid w:val="00E63F1D"/>
    <w:rsid w:val="00E64675"/>
    <w:rsid w:val="00E64882"/>
    <w:rsid w:val="00E64E04"/>
    <w:rsid w:val="00E65257"/>
    <w:rsid w:val="00E65613"/>
    <w:rsid w:val="00E660B8"/>
    <w:rsid w:val="00E6679A"/>
    <w:rsid w:val="00E671BD"/>
    <w:rsid w:val="00E6752E"/>
    <w:rsid w:val="00E67588"/>
    <w:rsid w:val="00E67C85"/>
    <w:rsid w:val="00E67F01"/>
    <w:rsid w:val="00E702D8"/>
    <w:rsid w:val="00E70680"/>
    <w:rsid w:val="00E70A18"/>
    <w:rsid w:val="00E70DC7"/>
    <w:rsid w:val="00E71171"/>
    <w:rsid w:val="00E71D48"/>
    <w:rsid w:val="00E723A4"/>
    <w:rsid w:val="00E7276C"/>
    <w:rsid w:val="00E72A9B"/>
    <w:rsid w:val="00E72C07"/>
    <w:rsid w:val="00E72F7B"/>
    <w:rsid w:val="00E730BA"/>
    <w:rsid w:val="00E734A8"/>
    <w:rsid w:val="00E73B98"/>
    <w:rsid w:val="00E74013"/>
    <w:rsid w:val="00E7405F"/>
    <w:rsid w:val="00E74A37"/>
    <w:rsid w:val="00E74AAE"/>
    <w:rsid w:val="00E74DDB"/>
    <w:rsid w:val="00E750E7"/>
    <w:rsid w:val="00E75696"/>
    <w:rsid w:val="00E75C32"/>
    <w:rsid w:val="00E75FBB"/>
    <w:rsid w:val="00E7616A"/>
    <w:rsid w:val="00E7625C"/>
    <w:rsid w:val="00E763B3"/>
    <w:rsid w:val="00E76425"/>
    <w:rsid w:val="00E7682D"/>
    <w:rsid w:val="00E771FA"/>
    <w:rsid w:val="00E774FC"/>
    <w:rsid w:val="00E80194"/>
    <w:rsid w:val="00E803EB"/>
    <w:rsid w:val="00E818F2"/>
    <w:rsid w:val="00E81A06"/>
    <w:rsid w:val="00E822DA"/>
    <w:rsid w:val="00E82E91"/>
    <w:rsid w:val="00E830FD"/>
    <w:rsid w:val="00E83403"/>
    <w:rsid w:val="00E84683"/>
    <w:rsid w:val="00E847C1"/>
    <w:rsid w:val="00E84DA0"/>
    <w:rsid w:val="00E85039"/>
    <w:rsid w:val="00E85080"/>
    <w:rsid w:val="00E85AE1"/>
    <w:rsid w:val="00E85BDF"/>
    <w:rsid w:val="00E85CC2"/>
    <w:rsid w:val="00E865A9"/>
    <w:rsid w:val="00E8698A"/>
    <w:rsid w:val="00E86A2A"/>
    <w:rsid w:val="00E86A45"/>
    <w:rsid w:val="00E87D09"/>
    <w:rsid w:val="00E904C9"/>
    <w:rsid w:val="00E90EAB"/>
    <w:rsid w:val="00E90FD9"/>
    <w:rsid w:val="00E91162"/>
    <w:rsid w:val="00E9170B"/>
    <w:rsid w:val="00E9190F"/>
    <w:rsid w:val="00E91ACF"/>
    <w:rsid w:val="00E91AE7"/>
    <w:rsid w:val="00E91F21"/>
    <w:rsid w:val="00E92182"/>
    <w:rsid w:val="00E9284B"/>
    <w:rsid w:val="00E92B23"/>
    <w:rsid w:val="00E9394B"/>
    <w:rsid w:val="00E9483F"/>
    <w:rsid w:val="00E94FE3"/>
    <w:rsid w:val="00E9530F"/>
    <w:rsid w:val="00E95563"/>
    <w:rsid w:val="00E9583C"/>
    <w:rsid w:val="00E95BBD"/>
    <w:rsid w:val="00E96840"/>
    <w:rsid w:val="00E971DE"/>
    <w:rsid w:val="00E972BB"/>
    <w:rsid w:val="00E97409"/>
    <w:rsid w:val="00E974E8"/>
    <w:rsid w:val="00E97F82"/>
    <w:rsid w:val="00EA0038"/>
    <w:rsid w:val="00EA08A3"/>
    <w:rsid w:val="00EA09A1"/>
    <w:rsid w:val="00EA1033"/>
    <w:rsid w:val="00EA1492"/>
    <w:rsid w:val="00EA14B0"/>
    <w:rsid w:val="00EA18CD"/>
    <w:rsid w:val="00EA1E17"/>
    <w:rsid w:val="00EA2B63"/>
    <w:rsid w:val="00EA2D5E"/>
    <w:rsid w:val="00EA3458"/>
    <w:rsid w:val="00EA385A"/>
    <w:rsid w:val="00EA3AD3"/>
    <w:rsid w:val="00EA449B"/>
    <w:rsid w:val="00EA5926"/>
    <w:rsid w:val="00EA71B7"/>
    <w:rsid w:val="00EA76C0"/>
    <w:rsid w:val="00EA795C"/>
    <w:rsid w:val="00EB1B83"/>
    <w:rsid w:val="00EB21D0"/>
    <w:rsid w:val="00EB2526"/>
    <w:rsid w:val="00EB283A"/>
    <w:rsid w:val="00EB2CC6"/>
    <w:rsid w:val="00EB2E54"/>
    <w:rsid w:val="00EB2EAE"/>
    <w:rsid w:val="00EB2EEE"/>
    <w:rsid w:val="00EB3762"/>
    <w:rsid w:val="00EB39B0"/>
    <w:rsid w:val="00EB3E90"/>
    <w:rsid w:val="00EB43C9"/>
    <w:rsid w:val="00EB4503"/>
    <w:rsid w:val="00EB4A81"/>
    <w:rsid w:val="00EB4D77"/>
    <w:rsid w:val="00EB50A8"/>
    <w:rsid w:val="00EB614A"/>
    <w:rsid w:val="00EB64DF"/>
    <w:rsid w:val="00EB6C73"/>
    <w:rsid w:val="00EB6CE0"/>
    <w:rsid w:val="00EB6D2C"/>
    <w:rsid w:val="00EB6E23"/>
    <w:rsid w:val="00EB71FC"/>
    <w:rsid w:val="00EB7F97"/>
    <w:rsid w:val="00EC0061"/>
    <w:rsid w:val="00EC008A"/>
    <w:rsid w:val="00EC0752"/>
    <w:rsid w:val="00EC0860"/>
    <w:rsid w:val="00EC0D0B"/>
    <w:rsid w:val="00EC0EA9"/>
    <w:rsid w:val="00EC0F99"/>
    <w:rsid w:val="00EC1991"/>
    <w:rsid w:val="00EC1A93"/>
    <w:rsid w:val="00EC1ECC"/>
    <w:rsid w:val="00EC293E"/>
    <w:rsid w:val="00EC2FE9"/>
    <w:rsid w:val="00EC3642"/>
    <w:rsid w:val="00EC385A"/>
    <w:rsid w:val="00EC402F"/>
    <w:rsid w:val="00EC52A5"/>
    <w:rsid w:val="00EC5559"/>
    <w:rsid w:val="00EC55BC"/>
    <w:rsid w:val="00EC59AE"/>
    <w:rsid w:val="00EC5D52"/>
    <w:rsid w:val="00EC5FC7"/>
    <w:rsid w:val="00EC6DB7"/>
    <w:rsid w:val="00EC738F"/>
    <w:rsid w:val="00EC7677"/>
    <w:rsid w:val="00EC7A7B"/>
    <w:rsid w:val="00EC7C3D"/>
    <w:rsid w:val="00EC7EA8"/>
    <w:rsid w:val="00ED005E"/>
    <w:rsid w:val="00ED0122"/>
    <w:rsid w:val="00ED0B68"/>
    <w:rsid w:val="00ED0EF7"/>
    <w:rsid w:val="00ED1159"/>
    <w:rsid w:val="00ED149D"/>
    <w:rsid w:val="00ED2014"/>
    <w:rsid w:val="00ED216B"/>
    <w:rsid w:val="00ED25B5"/>
    <w:rsid w:val="00ED3B4F"/>
    <w:rsid w:val="00ED428D"/>
    <w:rsid w:val="00ED4421"/>
    <w:rsid w:val="00ED4AE5"/>
    <w:rsid w:val="00ED4C65"/>
    <w:rsid w:val="00ED4C9C"/>
    <w:rsid w:val="00ED53CF"/>
    <w:rsid w:val="00ED5A64"/>
    <w:rsid w:val="00ED61E3"/>
    <w:rsid w:val="00ED640F"/>
    <w:rsid w:val="00ED6695"/>
    <w:rsid w:val="00ED67F9"/>
    <w:rsid w:val="00ED6EA3"/>
    <w:rsid w:val="00ED6F4A"/>
    <w:rsid w:val="00ED6FB8"/>
    <w:rsid w:val="00ED75F4"/>
    <w:rsid w:val="00ED760E"/>
    <w:rsid w:val="00ED7661"/>
    <w:rsid w:val="00ED7A57"/>
    <w:rsid w:val="00ED7CA3"/>
    <w:rsid w:val="00EE0739"/>
    <w:rsid w:val="00EE099E"/>
    <w:rsid w:val="00EE0D64"/>
    <w:rsid w:val="00EE0F9E"/>
    <w:rsid w:val="00EE2033"/>
    <w:rsid w:val="00EE3997"/>
    <w:rsid w:val="00EE3B88"/>
    <w:rsid w:val="00EE3DCF"/>
    <w:rsid w:val="00EE3FB2"/>
    <w:rsid w:val="00EE4B75"/>
    <w:rsid w:val="00EE4B86"/>
    <w:rsid w:val="00EE4DBA"/>
    <w:rsid w:val="00EE5726"/>
    <w:rsid w:val="00EE5887"/>
    <w:rsid w:val="00EE5D8F"/>
    <w:rsid w:val="00EE60A9"/>
    <w:rsid w:val="00EE64D9"/>
    <w:rsid w:val="00EE6B84"/>
    <w:rsid w:val="00EE6EE1"/>
    <w:rsid w:val="00EE6F5E"/>
    <w:rsid w:val="00EE72DB"/>
    <w:rsid w:val="00EE7756"/>
    <w:rsid w:val="00EE788B"/>
    <w:rsid w:val="00EF057F"/>
    <w:rsid w:val="00EF0870"/>
    <w:rsid w:val="00EF08F7"/>
    <w:rsid w:val="00EF0928"/>
    <w:rsid w:val="00EF0BF6"/>
    <w:rsid w:val="00EF0C15"/>
    <w:rsid w:val="00EF1D1F"/>
    <w:rsid w:val="00EF236A"/>
    <w:rsid w:val="00EF25BE"/>
    <w:rsid w:val="00EF2967"/>
    <w:rsid w:val="00EF2E52"/>
    <w:rsid w:val="00EF2ECE"/>
    <w:rsid w:val="00EF3C24"/>
    <w:rsid w:val="00EF492C"/>
    <w:rsid w:val="00EF4C33"/>
    <w:rsid w:val="00EF55FE"/>
    <w:rsid w:val="00EF5882"/>
    <w:rsid w:val="00EF5AF4"/>
    <w:rsid w:val="00EF5FF1"/>
    <w:rsid w:val="00EF64C4"/>
    <w:rsid w:val="00EF6B38"/>
    <w:rsid w:val="00EF6DAD"/>
    <w:rsid w:val="00EF6E3C"/>
    <w:rsid w:val="00EF789F"/>
    <w:rsid w:val="00EF7B41"/>
    <w:rsid w:val="00EF7D55"/>
    <w:rsid w:val="00EF7FE8"/>
    <w:rsid w:val="00F00C19"/>
    <w:rsid w:val="00F00CB9"/>
    <w:rsid w:val="00F00F84"/>
    <w:rsid w:val="00F01222"/>
    <w:rsid w:val="00F0179C"/>
    <w:rsid w:val="00F0196F"/>
    <w:rsid w:val="00F02748"/>
    <w:rsid w:val="00F0281F"/>
    <w:rsid w:val="00F02A87"/>
    <w:rsid w:val="00F02BE5"/>
    <w:rsid w:val="00F02CF7"/>
    <w:rsid w:val="00F03238"/>
    <w:rsid w:val="00F034BF"/>
    <w:rsid w:val="00F03CE1"/>
    <w:rsid w:val="00F03FE0"/>
    <w:rsid w:val="00F041E4"/>
    <w:rsid w:val="00F04B91"/>
    <w:rsid w:val="00F04CB1"/>
    <w:rsid w:val="00F05C09"/>
    <w:rsid w:val="00F05EEF"/>
    <w:rsid w:val="00F06D63"/>
    <w:rsid w:val="00F07299"/>
    <w:rsid w:val="00F105D5"/>
    <w:rsid w:val="00F118C5"/>
    <w:rsid w:val="00F11C54"/>
    <w:rsid w:val="00F12345"/>
    <w:rsid w:val="00F12A0A"/>
    <w:rsid w:val="00F1302E"/>
    <w:rsid w:val="00F133AD"/>
    <w:rsid w:val="00F1353A"/>
    <w:rsid w:val="00F135E7"/>
    <w:rsid w:val="00F13963"/>
    <w:rsid w:val="00F14C28"/>
    <w:rsid w:val="00F14C2B"/>
    <w:rsid w:val="00F14C97"/>
    <w:rsid w:val="00F14DDE"/>
    <w:rsid w:val="00F157F2"/>
    <w:rsid w:val="00F15FB1"/>
    <w:rsid w:val="00F160EE"/>
    <w:rsid w:val="00F16E17"/>
    <w:rsid w:val="00F16EEA"/>
    <w:rsid w:val="00F17A9A"/>
    <w:rsid w:val="00F17C06"/>
    <w:rsid w:val="00F17CB3"/>
    <w:rsid w:val="00F17D5E"/>
    <w:rsid w:val="00F17DF3"/>
    <w:rsid w:val="00F203C3"/>
    <w:rsid w:val="00F204C1"/>
    <w:rsid w:val="00F21037"/>
    <w:rsid w:val="00F2127F"/>
    <w:rsid w:val="00F21364"/>
    <w:rsid w:val="00F214C3"/>
    <w:rsid w:val="00F22B37"/>
    <w:rsid w:val="00F22C91"/>
    <w:rsid w:val="00F24B38"/>
    <w:rsid w:val="00F2595A"/>
    <w:rsid w:val="00F25E9B"/>
    <w:rsid w:val="00F25EB0"/>
    <w:rsid w:val="00F268E5"/>
    <w:rsid w:val="00F26F5D"/>
    <w:rsid w:val="00F27A97"/>
    <w:rsid w:val="00F27B53"/>
    <w:rsid w:val="00F30013"/>
    <w:rsid w:val="00F30480"/>
    <w:rsid w:val="00F3054D"/>
    <w:rsid w:val="00F30B3F"/>
    <w:rsid w:val="00F30FA4"/>
    <w:rsid w:val="00F31436"/>
    <w:rsid w:val="00F31AA1"/>
    <w:rsid w:val="00F31B5D"/>
    <w:rsid w:val="00F32147"/>
    <w:rsid w:val="00F32195"/>
    <w:rsid w:val="00F32297"/>
    <w:rsid w:val="00F32421"/>
    <w:rsid w:val="00F32984"/>
    <w:rsid w:val="00F32A79"/>
    <w:rsid w:val="00F33299"/>
    <w:rsid w:val="00F33604"/>
    <w:rsid w:val="00F33890"/>
    <w:rsid w:val="00F33913"/>
    <w:rsid w:val="00F33CFD"/>
    <w:rsid w:val="00F33E4E"/>
    <w:rsid w:val="00F33EBC"/>
    <w:rsid w:val="00F34033"/>
    <w:rsid w:val="00F3409C"/>
    <w:rsid w:val="00F35F37"/>
    <w:rsid w:val="00F360DA"/>
    <w:rsid w:val="00F37557"/>
    <w:rsid w:val="00F37D91"/>
    <w:rsid w:val="00F4034D"/>
    <w:rsid w:val="00F40710"/>
    <w:rsid w:val="00F40780"/>
    <w:rsid w:val="00F41251"/>
    <w:rsid w:val="00F417AC"/>
    <w:rsid w:val="00F41F40"/>
    <w:rsid w:val="00F421F4"/>
    <w:rsid w:val="00F42486"/>
    <w:rsid w:val="00F43096"/>
    <w:rsid w:val="00F434D2"/>
    <w:rsid w:val="00F437DD"/>
    <w:rsid w:val="00F43905"/>
    <w:rsid w:val="00F441A7"/>
    <w:rsid w:val="00F447B2"/>
    <w:rsid w:val="00F449FE"/>
    <w:rsid w:val="00F44F08"/>
    <w:rsid w:val="00F45835"/>
    <w:rsid w:val="00F45CAF"/>
    <w:rsid w:val="00F45E30"/>
    <w:rsid w:val="00F45F22"/>
    <w:rsid w:val="00F46841"/>
    <w:rsid w:val="00F46A28"/>
    <w:rsid w:val="00F46CE2"/>
    <w:rsid w:val="00F47299"/>
    <w:rsid w:val="00F47D25"/>
    <w:rsid w:val="00F50A20"/>
    <w:rsid w:val="00F515BB"/>
    <w:rsid w:val="00F51709"/>
    <w:rsid w:val="00F5186A"/>
    <w:rsid w:val="00F51AA1"/>
    <w:rsid w:val="00F52720"/>
    <w:rsid w:val="00F52789"/>
    <w:rsid w:val="00F52AF5"/>
    <w:rsid w:val="00F545A2"/>
    <w:rsid w:val="00F54DEF"/>
    <w:rsid w:val="00F54EB6"/>
    <w:rsid w:val="00F55664"/>
    <w:rsid w:val="00F56238"/>
    <w:rsid w:val="00F56550"/>
    <w:rsid w:val="00F56C55"/>
    <w:rsid w:val="00F56F94"/>
    <w:rsid w:val="00F56FF0"/>
    <w:rsid w:val="00F57323"/>
    <w:rsid w:val="00F57888"/>
    <w:rsid w:val="00F5791D"/>
    <w:rsid w:val="00F579D1"/>
    <w:rsid w:val="00F57A83"/>
    <w:rsid w:val="00F57BA3"/>
    <w:rsid w:val="00F57EE5"/>
    <w:rsid w:val="00F60160"/>
    <w:rsid w:val="00F601D4"/>
    <w:rsid w:val="00F604CB"/>
    <w:rsid w:val="00F6094B"/>
    <w:rsid w:val="00F60AAF"/>
    <w:rsid w:val="00F60D81"/>
    <w:rsid w:val="00F60DEF"/>
    <w:rsid w:val="00F60E8D"/>
    <w:rsid w:val="00F61036"/>
    <w:rsid w:val="00F610DA"/>
    <w:rsid w:val="00F618D4"/>
    <w:rsid w:val="00F628BF"/>
    <w:rsid w:val="00F62AB9"/>
    <w:rsid w:val="00F62B0B"/>
    <w:rsid w:val="00F62CD1"/>
    <w:rsid w:val="00F63400"/>
    <w:rsid w:val="00F634D8"/>
    <w:rsid w:val="00F638DA"/>
    <w:rsid w:val="00F643FB"/>
    <w:rsid w:val="00F645F8"/>
    <w:rsid w:val="00F64CB6"/>
    <w:rsid w:val="00F64CE7"/>
    <w:rsid w:val="00F65059"/>
    <w:rsid w:val="00F650E3"/>
    <w:rsid w:val="00F650F2"/>
    <w:rsid w:val="00F65775"/>
    <w:rsid w:val="00F657C9"/>
    <w:rsid w:val="00F65E86"/>
    <w:rsid w:val="00F66018"/>
    <w:rsid w:val="00F66876"/>
    <w:rsid w:val="00F66B88"/>
    <w:rsid w:val="00F6705D"/>
    <w:rsid w:val="00F676D0"/>
    <w:rsid w:val="00F67AF9"/>
    <w:rsid w:val="00F67DFE"/>
    <w:rsid w:val="00F67E32"/>
    <w:rsid w:val="00F703FD"/>
    <w:rsid w:val="00F709D6"/>
    <w:rsid w:val="00F71410"/>
    <w:rsid w:val="00F7150A"/>
    <w:rsid w:val="00F72C1B"/>
    <w:rsid w:val="00F7305A"/>
    <w:rsid w:val="00F731DF"/>
    <w:rsid w:val="00F74B9D"/>
    <w:rsid w:val="00F75280"/>
    <w:rsid w:val="00F759B7"/>
    <w:rsid w:val="00F76E20"/>
    <w:rsid w:val="00F773F0"/>
    <w:rsid w:val="00F775FB"/>
    <w:rsid w:val="00F777CE"/>
    <w:rsid w:val="00F77859"/>
    <w:rsid w:val="00F77A77"/>
    <w:rsid w:val="00F77C0C"/>
    <w:rsid w:val="00F77EB2"/>
    <w:rsid w:val="00F804AA"/>
    <w:rsid w:val="00F81BC6"/>
    <w:rsid w:val="00F81E60"/>
    <w:rsid w:val="00F81F0D"/>
    <w:rsid w:val="00F82A5B"/>
    <w:rsid w:val="00F830C7"/>
    <w:rsid w:val="00F83669"/>
    <w:rsid w:val="00F837B4"/>
    <w:rsid w:val="00F84FDE"/>
    <w:rsid w:val="00F85282"/>
    <w:rsid w:val="00F852F7"/>
    <w:rsid w:val="00F86538"/>
    <w:rsid w:val="00F86641"/>
    <w:rsid w:val="00F86EC3"/>
    <w:rsid w:val="00F87042"/>
    <w:rsid w:val="00F87227"/>
    <w:rsid w:val="00F877FB"/>
    <w:rsid w:val="00F9023D"/>
    <w:rsid w:val="00F90493"/>
    <w:rsid w:val="00F90CB6"/>
    <w:rsid w:val="00F91279"/>
    <w:rsid w:val="00F92053"/>
    <w:rsid w:val="00F92678"/>
    <w:rsid w:val="00F9294F"/>
    <w:rsid w:val="00F92A34"/>
    <w:rsid w:val="00F92E8F"/>
    <w:rsid w:val="00F932F5"/>
    <w:rsid w:val="00F933DB"/>
    <w:rsid w:val="00F93AE5"/>
    <w:rsid w:val="00F93BFF"/>
    <w:rsid w:val="00F93C68"/>
    <w:rsid w:val="00F94333"/>
    <w:rsid w:val="00F9439B"/>
    <w:rsid w:val="00F94A7B"/>
    <w:rsid w:val="00F94D03"/>
    <w:rsid w:val="00F94E80"/>
    <w:rsid w:val="00F94F1B"/>
    <w:rsid w:val="00F9528C"/>
    <w:rsid w:val="00F95434"/>
    <w:rsid w:val="00F96B81"/>
    <w:rsid w:val="00F96CDC"/>
    <w:rsid w:val="00F97142"/>
    <w:rsid w:val="00F97669"/>
    <w:rsid w:val="00FA023B"/>
    <w:rsid w:val="00FA0590"/>
    <w:rsid w:val="00FA0B52"/>
    <w:rsid w:val="00FA17A4"/>
    <w:rsid w:val="00FA193F"/>
    <w:rsid w:val="00FA1A32"/>
    <w:rsid w:val="00FA1B10"/>
    <w:rsid w:val="00FA1D02"/>
    <w:rsid w:val="00FA1EFC"/>
    <w:rsid w:val="00FA2039"/>
    <w:rsid w:val="00FA2236"/>
    <w:rsid w:val="00FA26FA"/>
    <w:rsid w:val="00FA2812"/>
    <w:rsid w:val="00FA2952"/>
    <w:rsid w:val="00FA2A44"/>
    <w:rsid w:val="00FA30A1"/>
    <w:rsid w:val="00FA3159"/>
    <w:rsid w:val="00FA3B33"/>
    <w:rsid w:val="00FA4476"/>
    <w:rsid w:val="00FA4CA1"/>
    <w:rsid w:val="00FA4FB9"/>
    <w:rsid w:val="00FA596A"/>
    <w:rsid w:val="00FA5BE3"/>
    <w:rsid w:val="00FA6021"/>
    <w:rsid w:val="00FA612B"/>
    <w:rsid w:val="00FA6211"/>
    <w:rsid w:val="00FA68BE"/>
    <w:rsid w:val="00FA6F29"/>
    <w:rsid w:val="00FA7B4C"/>
    <w:rsid w:val="00FB0351"/>
    <w:rsid w:val="00FB06A8"/>
    <w:rsid w:val="00FB0D4E"/>
    <w:rsid w:val="00FB0E5A"/>
    <w:rsid w:val="00FB139D"/>
    <w:rsid w:val="00FB19E3"/>
    <w:rsid w:val="00FB2189"/>
    <w:rsid w:val="00FB2320"/>
    <w:rsid w:val="00FB2C7A"/>
    <w:rsid w:val="00FB2F3E"/>
    <w:rsid w:val="00FB2F61"/>
    <w:rsid w:val="00FB2F95"/>
    <w:rsid w:val="00FB3C22"/>
    <w:rsid w:val="00FB4657"/>
    <w:rsid w:val="00FB47B7"/>
    <w:rsid w:val="00FB5706"/>
    <w:rsid w:val="00FB5B4C"/>
    <w:rsid w:val="00FB5C90"/>
    <w:rsid w:val="00FB5D44"/>
    <w:rsid w:val="00FB64B3"/>
    <w:rsid w:val="00FB64E9"/>
    <w:rsid w:val="00FB69AE"/>
    <w:rsid w:val="00FB69E4"/>
    <w:rsid w:val="00FB7BF6"/>
    <w:rsid w:val="00FB7F6B"/>
    <w:rsid w:val="00FB7FAA"/>
    <w:rsid w:val="00FC0185"/>
    <w:rsid w:val="00FC08D1"/>
    <w:rsid w:val="00FC0BD8"/>
    <w:rsid w:val="00FC0CC0"/>
    <w:rsid w:val="00FC0D43"/>
    <w:rsid w:val="00FC1816"/>
    <w:rsid w:val="00FC1D6F"/>
    <w:rsid w:val="00FC2228"/>
    <w:rsid w:val="00FC23F0"/>
    <w:rsid w:val="00FC30AB"/>
    <w:rsid w:val="00FC34FC"/>
    <w:rsid w:val="00FC37BA"/>
    <w:rsid w:val="00FC38CF"/>
    <w:rsid w:val="00FC38F8"/>
    <w:rsid w:val="00FC3C11"/>
    <w:rsid w:val="00FC3E41"/>
    <w:rsid w:val="00FC417F"/>
    <w:rsid w:val="00FC45A5"/>
    <w:rsid w:val="00FC469D"/>
    <w:rsid w:val="00FC4BAA"/>
    <w:rsid w:val="00FC4F7B"/>
    <w:rsid w:val="00FC5421"/>
    <w:rsid w:val="00FC556E"/>
    <w:rsid w:val="00FC58DE"/>
    <w:rsid w:val="00FC5C5A"/>
    <w:rsid w:val="00FC5F8E"/>
    <w:rsid w:val="00FC625A"/>
    <w:rsid w:val="00FC6393"/>
    <w:rsid w:val="00FC63A8"/>
    <w:rsid w:val="00FC76F9"/>
    <w:rsid w:val="00FC7B23"/>
    <w:rsid w:val="00FC7F2B"/>
    <w:rsid w:val="00FD00A5"/>
    <w:rsid w:val="00FD04E4"/>
    <w:rsid w:val="00FD05AF"/>
    <w:rsid w:val="00FD0748"/>
    <w:rsid w:val="00FD08E1"/>
    <w:rsid w:val="00FD0A85"/>
    <w:rsid w:val="00FD0ACC"/>
    <w:rsid w:val="00FD11D6"/>
    <w:rsid w:val="00FD1212"/>
    <w:rsid w:val="00FD124D"/>
    <w:rsid w:val="00FD1260"/>
    <w:rsid w:val="00FD2AEF"/>
    <w:rsid w:val="00FD3064"/>
    <w:rsid w:val="00FD3B64"/>
    <w:rsid w:val="00FD3F14"/>
    <w:rsid w:val="00FD3F99"/>
    <w:rsid w:val="00FD4425"/>
    <w:rsid w:val="00FD46D1"/>
    <w:rsid w:val="00FD5361"/>
    <w:rsid w:val="00FD6568"/>
    <w:rsid w:val="00FD6731"/>
    <w:rsid w:val="00FD688B"/>
    <w:rsid w:val="00FD6B91"/>
    <w:rsid w:val="00FD7090"/>
    <w:rsid w:val="00FD72FC"/>
    <w:rsid w:val="00FD75D1"/>
    <w:rsid w:val="00FD7A85"/>
    <w:rsid w:val="00FE1CA5"/>
    <w:rsid w:val="00FE1ECD"/>
    <w:rsid w:val="00FE200B"/>
    <w:rsid w:val="00FE2A45"/>
    <w:rsid w:val="00FE32C7"/>
    <w:rsid w:val="00FE4DCE"/>
    <w:rsid w:val="00FE4E2D"/>
    <w:rsid w:val="00FE59FD"/>
    <w:rsid w:val="00FE5CBA"/>
    <w:rsid w:val="00FE5FF0"/>
    <w:rsid w:val="00FE6190"/>
    <w:rsid w:val="00FE6C93"/>
    <w:rsid w:val="00FE70C1"/>
    <w:rsid w:val="00FE73A3"/>
    <w:rsid w:val="00FF0CD4"/>
    <w:rsid w:val="00FF0D56"/>
    <w:rsid w:val="00FF0DB6"/>
    <w:rsid w:val="00FF0F00"/>
    <w:rsid w:val="00FF14D6"/>
    <w:rsid w:val="00FF24B2"/>
    <w:rsid w:val="00FF2C29"/>
    <w:rsid w:val="00FF2CEE"/>
    <w:rsid w:val="00FF3E51"/>
    <w:rsid w:val="00FF407E"/>
    <w:rsid w:val="00FF427F"/>
    <w:rsid w:val="00FF4427"/>
    <w:rsid w:val="00FF46C8"/>
    <w:rsid w:val="00FF50BD"/>
    <w:rsid w:val="00FF67DA"/>
    <w:rsid w:val="00FF79AB"/>
    <w:rsid w:val="010CC023"/>
    <w:rsid w:val="010CCF1C"/>
    <w:rsid w:val="01389E89"/>
    <w:rsid w:val="013C67C4"/>
    <w:rsid w:val="016B8519"/>
    <w:rsid w:val="0182D241"/>
    <w:rsid w:val="019E2ADA"/>
    <w:rsid w:val="01B33049"/>
    <w:rsid w:val="01EB3B2A"/>
    <w:rsid w:val="01FA165A"/>
    <w:rsid w:val="021CD5D2"/>
    <w:rsid w:val="022349C9"/>
    <w:rsid w:val="023677FD"/>
    <w:rsid w:val="023E78B9"/>
    <w:rsid w:val="025F1ACB"/>
    <w:rsid w:val="026335F8"/>
    <w:rsid w:val="02AB1DDF"/>
    <w:rsid w:val="0322322A"/>
    <w:rsid w:val="0327CD4E"/>
    <w:rsid w:val="0341D698"/>
    <w:rsid w:val="034AFA59"/>
    <w:rsid w:val="037CEBF6"/>
    <w:rsid w:val="0392F248"/>
    <w:rsid w:val="03BCAD74"/>
    <w:rsid w:val="03D2205E"/>
    <w:rsid w:val="03D4D25E"/>
    <w:rsid w:val="0402926D"/>
    <w:rsid w:val="0418AB93"/>
    <w:rsid w:val="04A279F7"/>
    <w:rsid w:val="04C9259C"/>
    <w:rsid w:val="050C070E"/>
    <w:rsid w:val="05478B02"/>
    <w:rsid w:val="057A3D86"/>
    <w:rsid w:val="057E06FF"/>
    <w:rsid w:val="0598D192"/>
    <w:rsid w:val="05C1E425"/>
    <w:rsid w:val="05D623CE"/>
    <w:rsid w:val="06044632"/>
    <w:rsid w:val="061B2D7E"/>
    <w:rsid w:val="0649DA4D"/>
    <w:rsid w:val="064CB8BB"/>
    <w:rsid w:val="066BAB0D"/>
    <w:rsid w:val="06A8C17A"/>
    <w:rsid w:val="06AEDE4F"/>
    <w:rsid w:val="06AF084C"/>
    <w:rsid w:val="06DFC6DC"/>
    <w:rsid w:val="074AC8E7"/>
    <w:rsid w:val="07812686"/>
    <w:rsid w:val="07833F91"/>
    <w:rsid w:val="078D811A"/>
    <w:rsid w:val="07AE0422"/>
    <w:rsid w:val="07E5052B"/>
    <w:rsid w:val="0800810D"/>
    <w:rsid w:val="080F21AD"/>
    <w:rsid w:val="08135E9B"/>
    <w:rsid w:val="08A50679"/>
    <w:rsid w:val="091399AA"/>
    <w:rsid w:val="0926E737"/>
    <w:rsid w:val="096A4FDC"/>
    <w:rsid w:val="09D5E266"/>
    <w:rsid w:val="09E4F372"/>
    <w:rsid w:val="09F2C014"/>
    <w:rsid w:val="0A149124"/>
    <w:rsid w:val="0A4979A5"/>
    <w:rsid w:val="0A7A1FDB"/>
    <w:rsid w:val="0A9038C1"/>
    <w:rsid w:val="0AB7BE5F"/>
    <w:rsid w:val="0AD28958"/>
    <w:rsid w:val="0ADC237A"/>
    <w:rsid w:val="0AFF9601"/>
    <w:rsid w:val="0B010DC9"/>
    <w:rsid w:val="0B2D370E"/>
    <w:rsid w:val="0B3CEB71"/>
    <w:rsid w:val="0B71EB5D"/>
    <w:rsid w:val="0B8B3121"/>
    <w:rsid w:val="0B8B4F23"/>
    <w:rsid w:val="0B933E2D"/>
    <w:rsid w:val="0BB902CD"/>
    <w:rsid w:val="0BC95DF3"/>
    <w:rsid w:val="0BCFDB90"/>
    <w:rsid w:val="0BDC8D39"/>
    <w:rsid w:val="0BFFEA3B"/>
    <w:rsid w:val="0C2003D5"/>
    <w:rsid w:val="0C8A8CC5"/>
    <w:rsid w:val="0C905BFB"/>
    <w:rsid w:val="0C998DAE"/>
    <w:rsid w:val="0CAEAEA7"/>
    <w:rsid w:val="0CF08BE0"/>
    <w:rsid w:val="0D1BA0E2"/>
    <w:rsid w:val="0D2639BB"/>
    <w:rsid w:val="0D604492"/>
    <w:rsid w:val="0D6AC745"/>
    <w:rsid w:val="0D7B90A0"/>
    <w:rsid w:val="0D892666"/>
    <w:rsid w:val="0DBE50DB"/>
    <w:rsid w:val="0DBF68A2"/>
    <w:rsid w:val="0DC1C93A"/>
    <w:rsid w:val="0E1D54AA"/>
    <w:rsid w:val="0E3B564C"/>
    <w:rsid w:val="0E3FF65D"/>
    <w:rsid w:val="0E4F0CCB"/>
    <w:rsid w:val="0E791880"/>
    <w:rsid w:val="0E893A12"/>
    <w:rsid w:val="0EB62FAF"/>
    <w:rsid w:val="0ECC230F"/>
    <w:rsid w:val="0ED86533"/>
    <w:rsid w:val="0ED90AA5"/>
    <w:rsid w:val="0EEBAFFF"/>
    <w:rsid w:val="0EF2E4F4"/>
    <w:rsid w:val="0EFA8B44"/>
    <w:rsid w:val="0F267093"/>
    <w:rsid w:val="0F4637E0"/>
    <w:rsid w:val="0F52F29E"/>
    <w:rsid w:val="0F772C35"/>
    <w:rsid w:val="10386D97"/>
    <w:rsid w:val="104F5D30"/>
    <w:rsid w:val="10D7D5C2"/>
    <w:rsid w:val="1167A884"/>
    <w:rsid w:val="11CF67BB"/>
    <w:rsid w:val="11E233DD"/>
    <w:rsid w:val="123EA2AE"/>
    <w:rsid w:val="1245954D"/>
    <w:rsid w:val="125834C8"/>
    <w:rsid w:val="12662D15"/>
    <w:rsid w:val="129A4232"/>
    <w:rsid w:val="12B46541"/>
    <w:rsid w:val="12D72B06"/>
    <w:rsid w:val="12E3E95A"/>
    <w:rsid w:val="12E5FA2A"/>
    <w:rsid w:val="12F46147"/>
    <w:rsid w:val="134BCCBB"/>
    <w:rsid w:val="138D189F"/>
    <w:rsid w:val="13A06983"/>
    <w:rsid w:val="13AC7304"/>
    <w:rsid w:val="13BB50C3"/>
    <w:rsid w:val="13DF3D6B"/>
    <w:rsid w:val="13EB484A"/>
    <w:rsid w:val="141020DF"/>
    <w:rsid w:val="14326833"/>
    <w:rsid w:val="14687E85"/>
    <w:rsid w:val="14692397"/>
    <w:rsid w:val="146FE470"/>
    <w:rsid w:val="147EAF20"/>
    <w:rsid w:val="14B8F61C"/>
    <w:rsid w:val="14EB1DEC"/>
    <w:rsid w:val="152C4503"/>
    <w:rsid w:val="153B05C9"/>
    <w:rsid w:val="1542C346"/>
    <w:rsid w:val="157E3099"/>
    <w:rsid w:val="15E606ED"/>
    <w:rsid w:val="1612E5CA"/>
    <w:rsid w:val="16213134"/>
    <w:rsid w:val="162655EF"/>
    <w:rsid w:val="162E1FB3"/>
    <w:rsid w:val="16576369"/>
    <w:rsid w:val="16715DEB"/>
    <w:rsid w:val="1695B178"/>
    <w:rsid w:val="16CE4F8C"/>
    <w:rsid w:val="16D94C5C"/>
    <w:rsid w:val="16E8534A"/>
    <w:rsid w:val="1701D71F"/>
    <w:rsid w:val="171409C0"/>
    <w:rsid w:val="172D345E"/>
    <w:rsid w:val="173D1BDB"/>
    <w:rsid w:val="17618B6F"/>
    <w:rsid w:val="17655712"/>
    <w:rsid w:val="1773B2BF"/>
    <w:rsid w:val="17C585AF"/>
    <w:rsid w:val="17D96353"/>
    <w:rsid w:val="17F621B5"/>
    <w:rsid w:val="1805ACE3"/>
    <w:rsid w:val="182A7878"/>
    <w:rsid w:val="183F3322"/>
    <w:rsid w:val="18AB8F9C"/>
    <w:rsid w:val="18AF62B4"/>
    <w:rsid w:val="18D52C39"/>
    <w:rsid w:val="18DCF921"/>
    <w:rsid w:val="192DE181"/>
    <w:rsid w:val="192F7A70"/>
    <w:rsid w:val="19510434"/>
    <w:rsid w:val="19651979"/>
    <w:rsid w:val="19AD1E06"/>
    <w:rsid w:val="19C85041"/>
    <w:rsid w:val="19D5FE0C"/>
    <w:rsid w:val="1A17951B"/>
    <w:rsid w:val="1A1CB06E"/>
    <w:rsid w:val="1A38BAAC"/>
    <w:rsid w:val="1A5093AC"/>
    <w:rsid w:val="1A65022B"/>
    <w:rsid w:val="1A819119"/>
    <w:rsid w:val="1A836177"/>
    <w:rsid w:val="1A960709"/>
    <w:rsid w:val="1A9E0553"/>
    <w:rsid w:val="1ABEB9BA"/>
    <w:rsid w:val="1AF25A57"/>
    <w:rsid w:val="1B10E4E5"/>
    <w:rsid w:val="1B331EC6"/>
    <w:rsid w:val="1B3C65E5"/>
    <w:rsid w:val="1B695CF2"/>
    <w:rsid w:val="1B827A08"/>
    <w:rsid w:val="1B904D59"/>
    <w:rsid w:val="1B9AA5DE"/>
    <w:rsid w:val="1BB02F2B"/>
    <w:rsid w:val="1BE010D1"/>
    <w:rsid w:val="1BED2CD2"/>
    <w:rsid w:val="1C5D9E8C"/>
    <w:rsid w:val="1C68A451"/>
    <w:rsid w:val="1C8BFAC6"/>
    <w:rsid w:val="1CAC677C"/>
    <w:rsid w:val="1CC3A441"/>
    <w:rsid w:val="1CC664C9"/>
    <w:rsid w:val="1CE3EAD2"/>
    <w:rsid w:val="1CF71E40"/>
    <w:rsid w:val="1D1D7D8A"/>
    <w:rsid w:val="1D2A71D4"/>
    <w:rsid w:val="1D58F2F0"/>
    <w:rsid w:val="1D71A590"/>
    <w:rsid w:val="1D7884DC"/>
    <w:rsid w:val="1DAB90C0"/>
    <w:rsid w:val="1DD01BFB"/>
    <w:rsid w:val="1DD14EF3"/>
    <w:rsid w:val="1E1DF9FE"/>
    <w:rsid w:val="1E36B784"/>
    <w:rsid w:val="1E6EDAC5"/>
    <w:rsid w:val="1E7FF2FC"/>
    <w:rsid w:val="1E86C0A0"/>
    <w:rsid w:val="1E8D4643"/>
    <w:rsid w:val="1EE07989"/>
    <w:rsid w:val="1EE37DC3"/>
    <w:rsid w:val="1EF081EF"/>
    <w:rsid w:val="1EF12895"/>
    <w:rsid w:val="1F3D6D63"/>
    <w:rsid w:val="1F401DCE"/>
    <w:rsid w:val="1F502143"/>
    <w:rsid w:val="1FA3AE99"/>
    <w:rsid w:val="204CEA76"/>
    <w:rsid w:val="206750F2"/>
    <w:rsid w:val="207E8510"/>
    <w:rsid w:val="208F929F"/>
    <w:rsid w:val="20C71C0B"/>
    <w:rsid w:val="20DC8698"/>
    <w:rsid w:val="21067041"/>
    <w:rsid w:val="21352463"/>
    <w:rsid w:val="2146C6F8"/>
    <w:rsid w:val="218F27BB"/>
    <w:rsid w:val="21A97459"/>
    <w:rsid w:val="21CAED04"/>
    <w:rsid w:val="21CFBCC3"/>
    <w:rsid w:val="21FCACED"/>
    <w:rsid w:val="223E7820"/>
    <w:rsid w:val="2276F929"/>
    <w:rsid w:val="2291F0C9"/>
    <w:rsid w:val="2299DBBD"/>
    <w:rsid w:val="22CDAD9E"/>
    <w:rsid w:val="22CE4BBA"/>
    <w:rsid w:val="22CE5185"/>
    <w:rsid w:val="22F518E0"/>
    <w:rsid w:val="231BB6B6"/>
    <w:rsid w:val="2332F6D6"/>
    <w:rsid w:val="2339F1EE"/>
    <w:rsid w:val="23A204D8"/>
    <w:rsid w:val="23A98A94"/>
    <w:rsid w:val="23B7A924"/>
    <w:rsid w:val="23F09005"/>
    <w:rsid w:val="240AA712"/>
    <w:rsid w:val="2461FF94"/>
    <w:rsid w:val="2499A3FB"/>
    <w:rsid w:val="24B66EB2"/>
    <w:rsid w:val="24BF54D3"/>
    <w:rsid w:val="24F64C34"/>
    <w:rsid w:val="250D69AA"/>
    <w:rsid w:val="253234BF"/>
    <w:rsid w:val="25802DA7"/>
    <w:rsid w:val="2595F47C"/>
    <w:rsid w:val="25A0E4B0"/>
    <w:rsid w:val="25CA49C4"/>
    <w:rsid w:val="25DD173D"/>
    <w:rsid w:val="25DE1320"/>
    <w:rsid w:val="262547B6"/>
    <w:rsid w:val="263DE4A3"/>
    <w:rsid w:val="263F9EFF"/>
    <w:rsid w:val="2640F8E3"/>
    <w:rsid w:val="2695BD8A"/>
    <w:rsid w:val="26998989"/>
    <w:rsid w:val="26D4DBC6"/>
    <w:rsid w:val="26DBD5FF"/>
    <w:rsid w:val="26FCAAD7"/>
    <w:rsid w:val="2744358C"/>
    <w:rsid w:val="275570CA"/>
    <w:rsid w:val="276A6EAB"/>
    <w:rsid w:val="277D10D2"/>
    <w:rsid w:val="277F2585"/>
    <w:rsid w:val="27F9F0BB"/>
    <w:rsid w:val="283DA7A3"/>
    <w:rsid w:val="284FAD34"/>
    <w:rsid w:val="285AEB25"/>
    <w:rsid w:val="28616D1B"/>
    <w:rsid w:val="28A358C0"/>
    <w:rsid w:val="290314B5"/>
    <w:rsid w:val="2914348D"/>
    <w:rsid w:val="291A0C6E"/>
    <w:rsid w:val="2975F06E"/>
    <w:rsid w:val="2986300B"/>
    <w:rsid w:val="298F7964"/>
    <w:rsid w:val="29C15FFD"/>
    <w:rsid w:val="29D483DD"/>
    <w:rsid w:val="2A0444E8"/>
    <w:rsid w:val="2A67E698"/>
    <w:rsid w:val="2A9292DC"/>
    <w:rsid w:val="2AA75643"/>
    <w:rsid w:val="2AF5771C"/>
    <w:rsid w:val="2B175016"/>
    <w:rsid w:val="2B1AAAFD"/>
    <w:rsid w:val="2B3F37A2"/>
    <w:rsid w:val="2B75484F"/>
    <w:rsid w:val="2B837DAB"/>
    <w:rsid w:val="2BBB0B85"/>
    <w:rsid w:val="2BEC4E1C"/>
    <w:rsid w:val="2C1BF71D"/>
    <w:rsid w:val="2C3A5D3B"/>
    <w:rsid w:val="2C543325"/>
    <w:rsid w:val="2C77DE07"/>
    <w:rsid w:val="2CA6C4BE"/>
    <w:rsid w:val="2CB0CAEF"/>
    <w:rsid w:val="2CB5402A"/>
    <w:rsid w:val="2CF87604"/>
    <w:rsid w:val="2D4D6448"/>
    <w:rsid w:val="2D6CB715"/>
    <w:rsid w:val="2D8C8483"/>
    <w:rsid w:val="2DAB01BE"/>
    <w:rsid w:val="2DAD63F8"/>
    <w:rsid w:val="2DD75664"/>
    <w:rsid w:val="2DDD0490"/>
    <w:rsid w:val="2E6D1BFE"/>
    <w:rsid w:val="2E900707"/>
    <w:rsid w:val="2EBEA8B8"/>
    <w:rsid w:val="2EC87945"/>
    <w:rsid w:val="2EDFEE4E"/>
    <w:rsid w:val="2EFB64BA"/>
    <w:rsid w:val="2F0884C4"/>
    <w:rsid w:val="2F28617B"/>
    <w:rsid w:val="2F5EABF0"/>
    <w:rsid w:val="2FABC438"/>
    <w:rsid w:val="2FF6A9B8"/>
    <w:rsid w:val="30030150"/>
    <w:rsid w:val="300BC705"/>
    <w:rsid w:val="30270D84"/>
    <w:rsid w:val="3053D0F2"/>
    <w:rsid w:val="3057C901"/>
    <w:rsid w:val="30802CB1"/>
    <w:rsid w:val="3088B055"/>
    <w:rsid w:val="309914A6"/>
    <w:rsid w:val="30BDBC3E"/>
    <w:rsid w:val="30C2A469"/>
    <w:rsid w:val="30CCE07E"/>
    <w:rsid w:val="30D0B85E"/>
    <w:rsid w:val="310AF304"/>
    <w:rsid w:val="312EEAF0"/>
    <w:rsid w:val="315752FC"/>
    <w:rsid w:val="316AFA7E"/>
    <w:rsid w:val="317CAE11"/>
    <w:rsid w:val="3188E39D"/>
    <w:rsid w:val="31AA8A63"/>
    <w:rsid w:val="31B6B152"/>
    <w:rsid w:val="31C1F4E7"/>
    <w:rsid w:val="3229C2B2"/>
    <w:rsid w:val="3244D365"/>
    <w:rsid w:val="3250FF3B"/>
    <w:rsid w:val="325DA67D"/>
    <w:rsid w:val="3276193E"/>
    <w:rsid w:val="32AA08C1"/>
    <w:rsid w:val="32DBA97C"/>
    <w:rsid w:val="330A4C21"/>
    <w:rsid w:val="330AF890"/>
    <w:rsid w:val="3319BDFE"/>
    <w:rsid w:val="335B0E47"/>
    <w:rsid w:val="33906650"/>
    <w:rsid w:val="3397EF6F"/>
    <w:rsid w:val="33CFD36B"/>
    <w:rsid w:val="33D34ED4"/>
    <w:rsid w:val="33F76C20"/>
    <w:rsid w:val="340FFDB2"/>
    <w:rsid w:val="34174372"/>
    <w:rsid w:val="3422CB4C"/>
    <w:rsid w:val="343313E0"/>
    <w:rsid w:val="343F0BCB"/>
    <w:rsid w:val="345EC922"/>
    <w:rsid w:val="34B9F2AC"/>
    <w:rsid w:val="35246B4B"/>
    <w:rsid w:val="356D5871"/>
    <w:rsid w:val="358F896F"/>
    <w:rsid w:val="35E143E2"/>
    <w:rsid w:val="3603D611"/>
    <w:rsid w:val="3643CCDF"/>
    <w:rsid w:val="36487887"/>
    <w:rsid w:val="364E77BE"/>
    <w:rsid w:val="3670B9FB"/>
    <w:rsid w:val="3690265D"/>
    <w:rsid w:val="369708A9"/>
    <w:rsid w:val="36A6B550"/>
    <w:rsid w:val="36AD7D70"/>
    <w:rsid w:val="36CC2297"/>
    <w:rsid w:val="36F86091"/>
    <w:rsid w:val="370BD68B"/>
    <w:rsid w:val="371065EB"/>
    <w:rsid w:val="371231F4"/>
    <w:rsid w:val="373AC9EE"/>
    <w:rsid w:val="37915D23"/>
    <w:rsid w:val="379C0698"/>
    <w:rsid w:val="37CC24C3"/>
    <w:rsid w:val="37CC9E36"/>
    <w:rsid w:val="38359DCC"/>
    <w:rsid w:val="38372948"/>
    <w:rsid w:val="38407B82"/>
    <w:rsid w:val="385CD49B"/>
    <w:rsid w:val="385F79D6"/>
    <w:rsid w:val="3867A520"/>
    <w:rsid w:val="3868987F"/>
    <w:rsid w:val="389980EB"/>
    <w:rsid w:val="398AE775"/>
    <w:rsid w:val="39A3063A"/>
    <w:rsid w:val="39FF5A0B"/>
    <w:rsid w:val="3A085930"/>
    <w:rsid w:val="3A1FFF21"/>
    <w:rsid w:val="3A37DD72"/>
    <w:rsid w:val="3A40E21F"/>
    <w:rsid w:val="3A64F8A7"/>
    <w:rsid w:val="3AB8EFD6"/>
    <w:rsid w:val="3AC1CD1E"/>
    <w:rsid w:val="3B1D170B"/>
    <w:rsid w:val="3B541356"/>
    <w:rsid w:val="3B567719"/>
    <w:rsid w:val="3BAC7106"/>
    <w:rsid w:val="3BBAE1B0"/>
    <w:rsid w:val="3BBEF583"/>
    <w:rsid w:val="3BDD701B"/>
    <w:rsid w:val="3BE59708"/>
    <w:rsid w:val="3C3AE9A8"/>
    <w:rsid w:val="3C56B6DA"/>
    <w:rsid w:val="3C8BA94F"/>
    <w:rsid w:val="3CB7DE5D"/>
    <w:rsid w:val="3CBDD64A"/>
    <w:rsid w:val="3CBFE69A"/>
    <w:rsid w:val="3D152679"/>
    <w:rsid w:val="3D1C5276"/>
    <w:rsid w:val="3D39D60A"/>
    <w:rsid w:val="3D9CB290"/>
    <w:rsid w:val="3D9D8507"/>
    <w:rsid w:val="3DA82701"/>
    <w:rsid w:val="3DB98685"/>
    <w:rsid w:val="3DDDC4C9"/>
    <w:rsid w:val="3DE99398"/>
    <w:rsid w:val="3DF59BDE"/>
    <w:rsid w:val="3DFEE6B5"/>
    <w:rsid w:val="3E14681F"/>
    <w:rsid w:val="3E2500EC"/>
    <w:rsid w:val="3E25DA32"/>
    <w:rsid w:val="3E3566AA"/>
    <w:rsid w:val="3EABB7D1"/>
    <w:rsid w:val="3EB2494F"/>
    <w:rsid w:val="3EEAE10C"/>
    <w:rsid w:val="3EEED0FA"/>
    <w:rsid w:val="3F754B06"/>
    <w:rsid w:val="3FD9E8FC"/>
    <w:rsid w:val="401179CF"/>
    <w:rsid w:val="402060F1"/>
    <w:rsid w:val="404CA9D4"/>
    <w:rsid w:val="40536B40"/>
    <w:rsid w:val="40699EDA"/>
    <w:rsid w:val="40A5EC4E"/>
    <w:rsid w:val="40B32771"/>
    <w:rsid w:val="41034B4A"/>
    <w:rsid w:val="410EB859"/>
    <w:rsid w:val="410EBD25"/>
    <w:rsid w:val="41295DF5"/>
    <w:rsid w:val="4152545C"/>
    <w:rsid w:val="415EC49C"/>
    <w:rsid w:val="418CCA42"/>
    <w:rsid w:val="419B12F2"/>
    <w:rsid w:val="41BA3C76"/>
    <w:rsid w:val="41CB45F2"/>
    <w:rsid w:val="41CD3208"/>
    <w:rsid w:val="42063341"/>
    <w:rsid w:val="42101C6E"/>
    <w:rsid w:val="4220BADA"/>
    <w:rsid w:val="42CFA493"/>
    <w:rsid w:val="42E7D5A7"/>
    <w:rsid w:val="43052B62"/>
    <w:rsid w:val="432F6A2D"/>
    <w:rsid w:val="434D2706"/>
    <w:rsid w:val="43546572"/>
    <w:rsid w:val="43AB8EFD"/>
    <w:rsid w:val="43DBBC6D"/>
    <w:rsid w:val="43F6857D"/>
    <w:rsid w:val="43F76177"/>
    <w:rsid w:val="4464C20F"/>
    <w:rsid w:val="446E80AC"/>
    <w:rsid w:val="4495323C"/>
    <w:rsid w:val="44A022CD"/>
    <w:rsid w:val="44BC2C34"/>
    <w:rsid w:val="44BF47A6"/>
    <w:rsid w:val="44BFD1FA"/>
    <w:rsid w:val="44C15D1F"/>
    <w:rsid w:val="44F2C1A3"/>
    <w:rsid w:val="44FA7671"/>
    <w:rsid w:val="454BA94D"/>
    <w:rsid w:val="45690C8E"/>
    <w:rsid w:val="4585BB6E"/>
    <w:rsid w:val="45A029DC"/>
    <w:rsid w:val="45E4F4FA"/>
    <w:rsid w:val="45FFE41E"/>
    <w:rsid w:val="46217B37"/>
    <w:rsid w:val="4631523C"/>
    <w:rsid w:val="466E3653"/>
    <w:rsid w:val="467B0BA2"/>
    <w:rsid w:val="469E2EBD"/>
    <w:rsid w:val="46A0D250"/>
    <w:rsid w:val="46BC321D"/>
    <w:rsid w:val="46BDADC5"/>
    <w:rsid w:val="46BF92BC"/>
    <w:rsid w:val="46C82745"/>
    <w:rsid w:val="46D54636"/>
    <w:rsid w:val="47097833"/>
    <w:rsid w:val="471F9F58"/>
    <w:rsid w:val="475C9DA7"/>
    <w:rsid w:val="47D4320E"/>
    <w:rsid w:val="4800FC45"/>
    <w:rsid w:val="48043FC2"/>
    <w:rsid w:val="4883DB86"/>
    <w:rsid w:val="4884D58C"/>
    <w:rsid w:val="489B6424"/>
    <w:rsid w:val="48AD4ACA"/>
    <w:rsid w:val="48CF307A"/>
    <w:rsid w:val="48E7F7EB"/>
    <w:rsid w:val="48EEBA58"/>
    <w:rsid w:val="49215CDF"/>
    <w:rsid w:val="4921ED70"/>
    <w:rsid w:val="4929E612"/>
    <w:rsid w:val="494BF692"/>
    <w:rsid w:val="49AB24BA"/>
    <w:rsid w:val="49D491F8"/>
    <w:rsid w:val="49E8D6B0"/>
    <w:rsid w:val="4A2007A9"/>
    <w:rsid w:val="4A4D0EFD"/>
    <w:rsid w:val="4A916E2D"/>
    <w:rsid w:val="4B65874D"/>
    <w:rsid w:val="4B74518C"/>
    <w:rsid w:val="4B8A71E3"/>
    <w:rsid w:val="4B8F3E6F"/>
    <w:rsid w:val="4B96F300"/>
    <w:rsid w:val="4B9943E5"/>
    <w:rsid w:val="4BAFE015"/>
    <w:rsid w:val="4BCBB736"/>
    <w:rsid w:val="4C42F06D"/>
    <w:rsid w:val="4C59128B"/>
    <w:rsid w:val="4CD5ABA0"/>
    <w:rsid w:val="4D05168F"/>
    <w:rsid w:val="4D3A57EE"/>
    <w:rsid w:val="4D848D48"/>
    <w:rsid w:val="4D8FCC48"/>
    <w:rsid w:val="4DBBB24C"/>
    <w:rsid w:val="4DE764C6"/>
    <w:rsid w:val="4E0698E1"/>
    <w:rsid w:val="4E1F749E"/>
    <w:rsid w:val="4E297690"/>
    <w:rsid w:val="4E383C16"/>
    <w:rsid w:val="4E443E07"/>
    <w:rsid w:val="4ED3D0AB"/>
    <w:rsid w:val="4F0D6892"/>
    <w:rsid w:val="4F200B2B"/>
    <w:rsid w:val="4F293B14"/>
    <w:rsid w:val="4F2A17DB"/>
    <w:rsid w:val="4F3C045F"/>
    <w:rsid w:val="4F3CD2B9"/>
    <w:rsid w:val="4FA5C2D9"/>
    <w:rsid w:val="4FC23969"/>
    <w:rsid w:val="4FDB6E90"/>
    <w:rsid w:val="4FEA3288"/>
    <w:rsid w:val="501EAF3F"/>
    <w:rsid w:val="504AF7C3"/>
    <w:rsid w:val="504C44BB"/>
    <w:rsid w:val="50595930"/>
    <w:rsid w:val="508B55D0"/>
    <w:rsid w:val="50C5E593"/>
    <w:rsid w:val="50FB9F53"/>
    <w:rsid w:val="51262E68"/>
    <w:rsid w:val="512A68EA"/>
    <w:rsid w:val="5160C2CB"/>
    <w:rsid w:val="516F872E"/>
    <w:rsid w:val="51B177AD"/>
    <w:rsid w:val="51B95278"/>
    <w:rsid w:val="51DEA5B1"/>
    <w:rsid w:val="521F842A"/>
    <w:rsid w:val="522059CA"/>
    <w:rsid w:val="522EA12E"/>
    <w:rsid w:val="523B099F"/>
    <w:rsid w:val="5246B691"/>
    <w:rsid w:val="52535ABF"/>
    <w:rsid w:val="525F7524"/>
    <w:rsid w:val="527CB281"/>
    <w:rsid w:val="528CE690"/>
    <w:rsid w:val="52C176E8"/>
    <w:rsid w:val="52E192F7"/>
    <w:rsid w:val="52FAC1CE"/>
    <w:rsid w:val="52FD90CE"/>
    <w:rsid w:val="52FFD944"/>
    <w:rsid w:val="5321E376"/>
    <w:rsid w:val="533187D0"/>
    <w:rsid w:val="536BD8D2"/>
    <w:rsid w:val="5385EBCC"/>
    <w:rsid w:val="53A67537"/>
    <w:rsid w:val="53E3B645"/>
    <w:rsid w:val="53EFF9E2"/>
    <w:rsid w:val="5408D8BE"/>
    <w:rsid w:val="54455B77"/>
    <w:rsid w:val="5448FF26"/>
    <w:rsid w:val="544AB052"/>
    <w:rsid w:val="546913F9"/>
    <w:rsid w:val="54826648"/>
    <w:rsid w:val="54917DD5"/>
    <w:rsid w:val="54B502F9"/>
    <w:rsid w:val="54CF3E8B"/>
    <w:rsid w:val="54ED5DD6"/>
    <w:rsid w:val="5510305E"/>
    <w:rsid w:val="55310D90"/>
    <w:rsid w:val="553DD8FA"/>
    <w:rsid w:val="556A0D73"/>
    <w:rsid w:val="55A31312"/>
    <w:rsid w:val="55B14D3A"/>
    <w:rsid w:val="55E004FC"/>
    <w:rsid w:val="55FCF1D2"/>
    <w:rsid w:val="5613808C"/>
    <w:rsid w:val="56430730"/>
    <w:rsid w:val="565B5A3A"/>
    <w:rsid w:val="5662B6E3"/>
    <w:rsid w:val="56962352"/>
    <w:rsid w:val="56A14012"/>
    <w:rsid w:val="56ADD20A"/>
    <w:rsid w:val="56BD8909"/>
    <w:rsid w:val="56DFC2D0"/>
    <w:rsid w:val="56F2C146"/>
    <w:rsid w:val="57097773"/>
    <w:rsid w:val="5722BAC9"/>
    <w:rsid w:val="574208D2"/>
    <w:rsid w:val="57498B31"/>
    <w:rsid w:val="5768602F"/>
    <w:rsid w:val="5778192C"/>
    <w:rsid w:val="57C5D582"/>
    <w:rsid w:val="57DEB418"/>
    <w:rsid w:val="57E93DD2"/>
    <w:rsid w:val="5821B9FB"/>
    <w:rsid w:val="58238DEC"/>
    <w:rsid w:val="582901FC"/>
    <w:rsid w:val="583C1058"/>
    <w:rsid w:val="587211B5"/>
    <w:rsid w:val="58986B79"/>
    <w:rsid w:val="589EA572"/>
    <w:rsid w:val="58AB0633"/>
    <w:rsid w:val="58FA32A1"/>
    <w:rsid w:val="58FE3991"/>
    <w:rsid w:val="591093A3"/>
    <w:rsid w:val="594102F8"/>
    <w:rsid w:val="5957E839"/>
    <w:rsid w:val="595D3E8A"/>
    <w:rsid w:val="597DC24C"/>
    <w:rsid w:val="59D4F815"/>
    <w:rsid w:val="5A0F90E5"/>
    <w:rsid w:val="5A50E3B0"/>
    <w:rsid w:val="5A6C4EA6"/>
    <w:rsid w:val="5AADD119"/>
    <w:rsid w:val="5AAFB9AC"/>
    <w:rsid w:val="5AAFFB29"/>
    <w:rsid w:val="5AE0E00D"/>
    <w:rsid w:val="5B23AA4B"/>
    <w:rsid w:val="5B27008C"/>
    <w:rsid w:val="5BBF9EA8"/>
    <w:rsid w:val="5BCAFEF1"/>
    <w:rsid w:val="5BCD2C45"/>
    <w:rsid w:val="5C237A37"/>
    <w:rsid w:val="5C2FE1C5"/>
    <w:rsid w:val="5C426FC4"/>
    <w:rsid w:val="5C46003D"/>
    <w:rsid w:val="5C4B83E9"/>
    <w:rsid w:val="5C66E91C"/>
    <w:rsid w:val="5CEF6413"/>
    <w:rsid w:val="5CF54249"/>
    <w:rsid w:val="5D0DD143"/>
    <w:rsid w:val="5D24812A"/>
    <w:rsid w:val="5D73DF12"/>
    <w:rsid w:val="5D787BC3"/>
    <w:rsid w:val="5DB90CB6"/>
    <w:rsid w:val="5DBF535B"/>
    <w:rsid w:val="5E0379D8"/>
    <w:rsid w:val="5E187B39"/>
    <w:rsid w:val="5E233ABB"/>
    <w:rsid w:val="5E2CA672"/>
    <w:rsid w:val="5E58FB0C"/>
    <w:rsid w:val="5E75401E"/>
    <w:rsid w:val="5E85AF60"/>
    <w:rsid w:val="5EE1CC7C"/>
    <w:rsid w:val="5EECF08D"/>
    <w:rsid w:val="5EFC3AAB"/>
    <w:rsid w:val="5F0910F8"/>
    <w:rsid w:val="5F471397"/>
    <w:rsid w:val="5F53BFA2"/>
    <w:rsid w:val="5F6F8572"/>
    <w:rsid w:val="5FA7F8E3"/>
    <w:rsid w:val="5FD58940"/>
    <w:rsid w:val="5FDE94C0"/>
    <w:rsid w:val="5FFD5CCE"/>
    <w:rsid w:val="6034DA08"/>
    <w:rsid w:val="60601733"/>
    <w:rsid w:val="607A647D"/>
    <w:rsid w:val="60BB3574"/>
    <w:rsid w:val="60E5509E"/>
    <w:rsid w:val="612AC959"/>
    <w:rsid w:val="61490226"/>
    <w:rsid w:val="614BEDFE"/>
    <w:rsid w:val="61941832"/>
    <w:rsid w:val="61942AC6"/>
    <w:rsid w:val="619898A1"/>
    <w:rsid w:val="61B04B8E"/>
    <w:rsid w:val="61EB493A"/>
    <w:rsid w:val="62003A9C"/>
    <w:rsid w:val="620B6CD0"/>
    <w:rsid w:val="622CCB80"/>
    <w:rsid w:val="624B0595"/>
    <w:rsid w:val="62574003"/>
    <w:rsid w:val="6278CA31"/>
    <w:rsid w:val="6292CE62"/>
    <w:rsid w:val="62A6888E"/>
    <w:rsid w:val="62D41878"/>
    <w:rsid w:val="631C3ABE"/>
    <w:rsid w:val="63266A29"/>
    <w:rsid w:val="63B92A1F"/>
    <w:rsid w:val="63CF2F3A"/>
    <w:rsid w:val="64024664"/>
    <w:rsid w:val="64118999"/>
    <w:rsid w:val="64221D6F"/>
    <w:rsid w:val="646A5194"/>
    <w:rsid w:val="64A0C7D5"/>
    <w:rsid w:val="64AEE2B1"/>
    <w:rsid w:val="64B5116D"/>
    <w:rsid w:val="64B820C6"/>
    <w:rsid w:val="64D2FB63"/>
    <w:rsid w:val="650E5B28"/>
    <w:rsid w:val="65158280"/>
    <w:rsid w:val="6523F08F"/>
    <w:rsid w:val="654B0C54"/>
    <w:rsid w:val="65502E57"/>
    <w:rsid w:val="655A23C2"/>
    <w:rsid w:val="6580456F"/>
    <w:rsid w:val="6597FF32"/>
    <w:rsid w:val="65CD7B35"/>
    <w:rsid w:val="66039826"/>
    <w:rsid w:val="661FA5AC"/>
    <w:rsid w:val="662ED737"/>
    <w:rsid w:val="667B2E85"/>
    <w:rsid w:val="66850965"/>
    <w:rsid w:val="6710E77C"/>
    <w:rsid w:val="672A4B64"/>
    <w:rsid w:val="6736B936"/>
    <w:rsid w:val="673DA2F0"/>
    <w:rsid w:val="676CD90C"/>
    <w:rsid w:val="67B9079C"/>
    <w:rsid w:val="67BF9368"/>
    <w:rsid w:val="67DA9D20"/>
    <w:rsid w:val="680B1497"/>
    <w:rsid w:val="680B6E4A"/>
    <w:rsid w:val="6824BD31"/>
    <w:rsid w:val="6845D47D"/>
    <w:rsid w:val="6850C90E"/>
    <w:rsid w:val="6866A49B"/>
    <w:rsid w:val="6873164D"/>
    <w:rsid w:val="6873E265"/>
    <w:rsid w:val="68DB766A"/>
    <w:rsid w:val="68E83465"/>
    <w:rsid w:val="692B087D"/>
    <w:rsid w:val="694A7237"/>
    <w:rsid w:val="694FE520"/>
    <w:rsid w:val="69753AE4"/>
    <w:rsid w:val="69835BB8"/>
    <w:rsid w:val="69B11683"/>
    <w:rsid w:val="69B676DA"/>
    <w:rsid w:val="69B7CC82"/>
    <w:rsid w:val="69F5F3DB"/>
    <w:rsid w:val="6A0BB520"/>
    <w:rsid w:val="6A1004C7"/>
    <w:rsid w:val="6A2429A7"/>
    <w:rsid w:val="6A244893"/>
    <w:rsid w:val="6A2B5CFF"/>
    <w:rsid w:val="6ABC040A"/>
    <w:rsid w:val="6AD5C68C"/>
    <w:rsid w:val="6ADF420D"/>
    <w:rsid w:val="6AF122A5"/>
    <w:rsid w:val="6B027AA4"/>
    <w:rsid w:val="6B2D0F4C"/>
    <w:rsid w:val="6B3F48E4"/>
    <w:rsid w:val="6B75D316"/>
    <w:rsid w:val="6B98D94D"/>
    <w:rsid w:val="6B9AB4F3"/>
    <w:rsid w:val="6B9E2B5E"/>
    <w:rsid w:val="6BAF7E8C"/>
    <w:rsid w:val="6BC4BDA6"/>
    <w:rsid w:val="6C7F0D97"/>
    <w:rsid w:val="6CC6C682"/>
    <w:rsid w:val="6CCF5B0C"/>
    <w:rsid w:val="6CD49A75"/>
    <w:rsid w:val="6CEC2DA6"/>
    <w:rsid w:val="6D1D8885"/>
    <w:rsid w:val="6D2659C5"/>
    <w:rsid w:val="6D515BC2"/>
    <w:rsid w:val="6D58DD50"/>
    <w:rsid w:val="6D61C4F7"/>
    <w:rsid w:val="6D8D97D8"/>
    <w:rsid w:val="6DF0F26F"/>
    <w:rsid w:val="6E15B387"/>
    <w:rsid w:val="6E1AAE55"/>
    <w:rsid w:val="6E2418F5"/>
    <w:rsid w:val="6E670264"/>
    <w:rsid w:val="6E76B86A"/>
    <w:rsid w:val="6E80571A"/>
    <w:rsid w:val="6ECE55EA"/>
    <w:rsid w:val="6ED2ACDC"/>
    <w:rsid w:val="6EF2A3C9"/>
    <w:rsid w:val="6F3A9005"/>
    <w:rsid w:val="6F3F3FF0"/>
    <w:rsid w:val="6FAFB75B"/>
    <w:rsid w:val="6FC5CD1E"/>
    <w:rsid w:val="6FDE8BAB"/>
    <w:rsid w:val="6FF71516"/>
    <w:rsid w:val="704028AD"/>
    <w:rsid w:val="7046CBA0"/>
    <w:rsid w:val="70643053"/>
    <w:rsid w:val="70867697"/>
    <w:rsid w:val="70894AE1"/>
    <w:rsid w:val="708A7899"/>
    <w:rsid w:val="70FF511C"/>
    <w:rsid w:val="7111AECD"/>
    <w:rsid w:val="7165C790"/>
    <w:rsid w:val="7166A902"/>
    <w:rsid w:val="716814BF"/>
    <w:rsid w:val="7183E254"/>
    <w:rsid w:val="718C9B44"/>
    <w:rsid w:val="718FCD87"/>
    <w:rsid w:val="71C786BE"/>
    <w:rsid w:val="71D7A3F9"/>
    <w:rsid w:val="72475DA5"/>
    <w:rsid w:val="7260D251"/>
    <w:rsid w:val="726737DF"/>
    <w:rsid w:val="726EE96A"/>
    <w:rsid w:val="728AC11B"/>
    <w:rsid w:val="72A7B1E1"/>
    <w:rsid w:val="72BDDBC0"/>
    <w:rsid w:val="72F41711"/>
    <w:rsid w:val="73022A0A"/>
    <w:rsid w:val="73123B68"/>
    <w:rsid w:val="731B7863"/>
    <w:rsid w:val="73238BF7"/>
    <w:rsid w:val="73E97AD1"/>
    <w:rsid w:val="73EE77D0"/>
    <w:rsid w:val="73FF1CC9"/>
    <w:rsid w:val="743E5F48"/>
    <w:rsid w:val="745D8966"/>
    <w:rsid w:val="747AD1A0"/>
    <w:rsid w:val="74F1C5E0"/>
    <w:rsid w:val="74F96DC5"/>
    <w:rsid w:val="7524365A"/>
    <w:rsid w:val="75406FA0"/>
    <w:rsid w:val="755A71D3"/>
    <w:rsid w:val="7561516D"/>
    <w:rsid w:val="75628EFC"/>
    <w:rsid w:val="75693D98"/>
    <w:rsid w:val="759563AC"/>
    <w:rsid w:val="7597F6A3"/>
    <w:rsid w:val="7610472C"/>
    <w:rsid w:val="76350D6E"/>
    <w:rsid w:val="7635E321"/>
    <w:rsid w:val="7641D59D"/>
    <w:rsid w:val="7655A4CE"/>
    <w:rsid w:val="765C4888"/>
    <w:rsid w:val="76A75877"/>
    <w:rsid w:val="76B831D9"/>
    <w:rsid w:val="76BED1F5"/>
    <w:rsid w:val="76EC2BDB"/>
    <w:rsid w:val="7722B7B6"/>
    <w:rsid w:val="7734C9F0"/>
    <w:rsid w:val="776A30D5"/>
    <w:rsid w:val="7776F0F4"/>
    <w:rsid w:val="7783ACB1"/>
    <w:rsid w:val="778D747C"/>
    <w:rsid w:val="778F79E1"/>
    <w:rsid w:val="77B00666"/>
    <w:rsid w:val="77C74750"/>
    <w:rsid w:val="77EF7D61"/>
    <w:rsid w:val="77F34886"/>
    <w:rsid w:val="78092C9B"/>
    <w:rsid w:val="7849AE26"/>
    <w:rsid w:val="7858BA96"/>
    <w:rsid w:val="78811103"/>
    <w:rsid w:val="78897777"/>
    <w:rsid w:val="78E200DD"/>
    <w:rsid w:val="78EA3C35"/>
    <w:rsid w:val="78EC5254"/>
    <w:rsid w:val="78F8634A"/>
    <w:rsid w:val="79297900"/>
    <w:rsid w:val="7959DAE6"/>
    <w:rsid w:val="7966D1A3"/>
    <w:rsid w:val="797CDB47"/>
    <w:rsid w:val="799569B2"/>
    <w:rsid w:val="79B593CA"/>
    <w:rsid w:val="79EE253B"/>
    <w:rsid w:val="7A299E25"/>
    <w:rsid w:val="7A491FAD"/>
    <w:rsid w:val="7AA30AEB"/>
    <w:rsid w:val="7AAA2B59"/>
    <w:rsid w:val="7AB16035"/>
    <w:rsid w:val="7AE11A77"/>
    <w:rsid w:val="7AE23846"/>
    <w:rsid w:val="7B0ED327"/>
    <w:rsid w:val="7B2BC93A"/>
    <w:rsid w:val="7B3361F1"/>
    <w:rsid w:val="7B9E82DA"/>
    <w:rsid w:val="7BCCD124"/>
    <w:rsid w:val="7BD302D2"/>
    <w:rsid w:val="7BEAA614"/>
    <w:rsid w:val="7C0AEB2E"/>
    <w:rsid w:val="7C295C98"/>
    <w:rsid w:val="7C3BA7AB"/>
    <w:rsid w:val="7C3FBA65"/>
    <w:rsid w:val="7CE80B10"/>
    <w:rsid w:val="7D0498EC"/>
    <w:rsid w:val="7D3D3CC5"/>
    <w:rsid w:val="7D754BC2"/>
    <w:rsid w:val="7DD15A2A"/>
    <w:rsid w:val="7E1E006A"/>
    <w:rsid w:val="7E2A8B0A"/>
    <w:rsid w:val="7E2E0878"/>
    <w:rsid w:val="7E30F08C"/>
    <w:rsid w:val="7E45F659"/>
    <w:rsid w:val="7E68EEFE"/>
    <w:rsid w:val="7E6B4FC4"/>
    <w:rsid w:val="7E7DB185"/>
    <w:rsid w:val="7E967595"/>
    <w:rsid w:val="7EB0C240"/>
    <w:rsid w:val="7EDB87A5"/>
    <w:rsid w:val="7EDE29B6"/>
    <w:rsid w:val="7EE93FE9"/>
    <w:rsid w:val="7EF55ACD"/>
    <w:rsid w:val="7F1B6350"/>
    <w:rsid w:val="7F430906"/>
    <w:rsid w:val="7FB67B45"/>
    <w:rsid w:val="7FBE5281"/>
    <w:rsid w:val="7FD0B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37E74DE-9D3F-416B-B420-B783DCF4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01A77"/>
    <w:pPr>
      <w:numPr>
        <w:numId w:val="2"/>
      </w:numPr>
      <w:tabs>
        <w:tab w:val="num" w:pos="360"/>
      </w:tabs>
      <w:ind w:left="0" w:firstLine="0"/>
    </w:pPr>
    <w:rPr>
      <w:rFonts w:eastAsia="Times New Roman"/>
      <w:lang w:eastAsia="de-DE"/>
    </w:rPr>
  </w:style>
  <w:style w:type="paragraph" w:styleId="ListNumber">
    <w:name w:val="List Number"/>
    <w:basedOn w:val="Normal"/>
    <w:rsid w:val="00201A77"/>
    <w:pPr>
      <w:numPr>
        <w:numId w:val="6"/>
      </w:numPr>
    </w:pPr>
    <w:rPr>
      <w:rFonts w:eastAsia="Times New Roman"/>
      <w:lang w:eastAsia="de-DE"/>
    </w:rPr>
  </w:style>
  <w:style w:type="paragraph" w:customStyle="1" w:styleId="ListBullet1">
    <w:name w:val="List Bullet 1"/>
    <w:basedOn w:val="Normal"/>
    <w:rsid w:val="00201A77"/>
    <w:pPr>
      <w:numPr>
        <w:numId w:val="1"/>
      </w:numPr>
    </w:pPr>
    <w:rPr>
      <w:rFonts w:eastAsia="Times New Roman"/>
      <w:lang w:eastAsia="de-DE"/>
    </w:rPr>
  </w:style>
  <w:style w:type="paragraph" w:customStyle="1" w:styleId="ListDash">
    <w:name w:val="List Dash"/>
    <w:basedOn w:val="Normal"/>
    <w:rsid w:val="00201A77"/>
    <w:pPr>
      <w:numPr>
        <w:numId w:val="3"/>
      </w:numPr>
    </w:pPr>
    <w:rPr>
      <w:rFonts w:eastAsia="Times New Roman"/>
      <w:lang w:eastAsia="de-DE"/>
    </w:rPr>
  </w:style>
  <w:style w:type="paragraph" w:customStyle="1" w:styleId="ListDash1">
    <w:name w:val="List Dash 1"/>
    <w:basedOn w:val="Normal"/>
    <w:rsid w:val="00201A77"/>
    <w:pPr>
      <w:numPr>
        <w:numId w:val="4"/>
      </w:numPr>
    </w:pPr>
    <w:rPr>
      <w:rFonts w:eastAsia="Times New Roman"/>
      <w:lang w:eastAsia="de-DE"/>
    </w:rPr>
  </w:style>
  <w:style w:type="paragraph" w:customStyle="1" w:styleId="ListDash2">
    <w:name w:val="List Dash 2"/>
    <w:basedOn w:val="Normal"/>
    <w:rsid w:val="00201A77"/>
    <w:pPr>
      <w:numPr>
        <w:numId w:val="5"/>
      </w:numPr>
    </w:pPr>
    <w:rPr>
      <w:rFonts w:eastAsia="Times New Roman"/>
      <w:lang w:eastAsia="de-DE"/>
    </w:rPr>
  </w:style>
  <w:style w:type="paragraph" w:customStyle="1" w:styleId="ListNumberLevel2">
    <w:name w:val="List Number (Level 2)"/>
    <w:basedOn w:val="Normal"/>
    <w:rsid w:val="00201A77"/>
    <w:pPr>
      <w:numPr>
        <w:ilvl w:val="1"/>
        <w:numId w:val="6"/>
      </w:numPr>
    </w:pPr>
    <w:rPr>
      <w:rFonts w:eastAsia="Times New Roman"/>
      <w:lang w:eastAsia="de-DE"/>
    </w:rPr>
  </w:style>
  <w:style w:type="paragraph" w:customStyle="1" w:styleId="ListNumberLevel3">
    <w:name w:val="List Number (Level 3)"/>
    <w:basedOn w:val="Normal"/>
    <w:rsid w:val="00201A77"/>
    <w:pPr>
      <w:numPr>
        <w:ilvl w:val="2"/>
        <w:numId w:val="6"/>
      </w:numPr>
    </w:pPr>
    <w:rPr>
      <w:rFonts w:eastAsia="Times New Roman"/>
      <w:lang w:eastAsia="de-DE"/>
    </w:rPr>
  </w:style>
  <w:style w:type="paragraph" w:customStyle="1" w:styleId="ListNumberLevel4">
    <w:name w:val="List Number (Level 4)"/>
    <w:basedOn w:val="Normal"/>
    <w:rsid w:val="00201A77"/>
    <w:pPr>
      <w:numPr>
        <w:ilvl w:val="3"/>
        <w:numId w:val="6"/>
      </w:numPr>
    </w:pPr>
    <w:rPr>
      <w:rFonts w:eastAsia="Times New Roman"/>
      <w:lang w:eastAsia="de-DE"/>
    </w:rPr>
  </w:style>
  <w:style w:type="table" w:styleId="TableGrid">
    <w:name w:val="Table Grid"/>
    <w:basedOn w:val="TableNormal"/>
    <w:rsid w:val="00201A77"/>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A77"/>
    <w:rPr>
      <w:color w:val="0000FF"/>
      <w:u w:val="single"/>
    </w:rPr>
  </w:style>
  <w:style w:type="paragraph" w:styleId="ListBullet">
    <w:name w:val="List Bullet"/>
    <w:basedOn w:val="Normal"/>
    <w:rsid w:val="00201A77"/>
    <w:pPr>
      <w:numPr>
        <w:numId w:val="7"/>
      </w:numPr>
    </w:pPr>
    <w:rPr>
      <w:rFonts w:eastAsia="Times New Roman"/>
      <w:lang w:eastAsia="en-GB"/>
    </w:rPr>
  </w:style>
  <w:style w:type="paragraph" w:styleId="ListBullet2">
    <w:name w:val="List Bullet 2"/>
    <w:basedOn w:val="Normal"/>
    <w:rsid w:val="00201A77"/>
    <w:pPr>
      <w:numPr>
        <w:numId w:val="8"/>
      </w:numPr>
    </w:pPr>
    <w:rPr>
      <w:rFonts w:eastAsia="Times New Roman"/>
      <w:lang w:eastAsia="en-GB"/>
    </w:rPr>
  </w:style>
  <w:style w:type="paragraph" w:styleId="ListBullet3">
    <w:name w:val="List Bullet 3"/>
    <w:basedOn w:val="Normal"/>
    <w:rsid w:val="00201A77"/>
    <w:pPr>
      <w:numPr>
        <w:numId w:val="9"/>
      </w:numPr>
    </w:pPr>
    <w:rPr>
      <w:rFonts w:eastAsia="Times New Roman"/>
      <w:lang w:eastAsia="en-GB"/>
    </w:rPr>
  </w:style>
  <w:style w:type="paragraph" w:styleId="ListNumber2">
    <w:name w:val="List Number 2"/>
    <w:basedOn w:val="Normal"/>
    <w:rsid w:val="00201A77"/>
    <w:pPr>
      <w:numPr>
        <w:numId w:val="13"/>
      </w:numPr>
    </w:pPr>
    <w:rPr>
      <w:rFonts w:eastAsia="Times New Roman"/>
      <w:lang w:eastAsia="en-GB"/>
    </w:rPr>
  </w:style>
  <w:style w:type="paragraph" w:styleId="ListNumber3">
    <w:name w:val="List Number 3"/>
    <w:basedOn w:val="Normal"/>
    <w:rsid w:val="00201A77"/>
    <w:pPr>
      <w:numPr>
        <w:numId w:val="14"/>
      </w:numPr>
    </w:pPr>
    <w:rPr>
      <w:rFonts w:eastAsia="Times New Roman"/>
      <w:lang w:eastAsia="en-GB"/>
    </w:rPr>
  </w:style>
  <w:style w:type="paragraph" w:styleId="ListNumber4">
    <w:name w:val="List Number 4"/>
    <w:basedOn w:val="Normal"/>
    <w:rsid w:val="00201A77"/>
    <w:pPr>
      <w:numPr>
        <w:numId w:val="15"/>
      </w:numPr>
    </w:pPr>
    <w:rPr>
      <w:rFonts w:eastAsia="Times New Roman"/>
      <w:lang w:eastAsia="en-GB"/>
    </w:rPr>
  </w:style>
  <w:style w:type="paragraph" w:customStyle="1" w:styleId="ListDash3">
    <w:name w:val="List Dash 3"/>
    <w:basedOn w:val="Normal"/>
    <w:rsid w:val="00201A77"/>
    <w:pPr>
      <w:numPr>
        <w:numId w:val="10"/>
      </w:numPr>
    </w:pPr>
    <w:rPr>
      <w:rFonts w:eastAsia="Times New Roman"/>
      <w:lang w:eastAsia="en-GB"/>
    </w:rPr>
  </w:style>
  <w:style w:type="paragraph" w:customStyle="1" w:styleId="ListDash4">
    <w:name w:val="List Dash 4"/>
    <w:basedOn w:val="Normal"/>
    <w:rsid w:val="00201A77"/>
    <w:pPr>
      <w:numPr>
        <w:numId w:val="11"/>
      </w:numPr>
    </w:pPr>
    <w:rPr>
      <w:rFonts w:eastAsia="Times New Roman"/>
      <w:lang w:eastAsia="en-GB"/>
    </w:rPr>
  </w:style>
  <w:style w:type="paragraph" w:customStyle="1" w:styleId="ListNumber1">
    <w:name w:val="List Number 1"/>
    <w:basedOn w:val="Text1"/>
    <w:rsid w:val="00201A77"/>
    <w:pPr>
      <w:numPr>
        <w:numId w:val="12"/>
      </w:numPr>
    </w:pPr>
    <w:rPr>
      <w:rFonts w:eastAsia="Times New Roman"/>
      <w:lang w:eastAsia="en-GB"/>
    </w:rPr>
  </w:style>
  <w:style w:type="paragraph" w:customStyle="1" w:styleId="ListNumber1Level2">
    <w:name w:val="List Number 1 (Level 2)"/>
    <w:basedOn w:val="Text1"/>
    <w:rsid w:val="00201A77"/>
    <w:pPr>
      <w:numPr>
        <w:ilvl w:val="1"/>
        <w:numId w:val="12"/>
      </w:numPr>
    </w:pPr>
    <w:rPr>
      <w:rFonts w:eastAsia="Times New Roman"/>
      <w:lang w:eastAsia="en-GB"/>
    </w:rPr>
  </w:style>
  <w:style w:type="paragraph" w:customStyle="1" w:styleId="ListNumber2Level2">
    <w:name w:val="List Number 2 (Level 2)"/>
    <w:basedOn w:val="Text2"/>
    <w:rsid w:val="00201A77"/>
    <w:pPr>
      <w:numPr>
        <w:ilvl w:val="1"/>
        <w:numId w:val="13"/>
      </w:numPr>
    </w:pPr>
    <w:rPr>
      <w:rFonts w:eastAsia="Times New Roman"/>
      <w:lang w:eastAsia="en-GB"/>
    </w:rPr>
  </w:style>
  <w:style w:type="paragraph" w:customStyle="1" w:styleId="ListNumber3Level2">
    <w:name w:val="List Number 3 (Level 2)"/>
    <w:basedOn w:val="Text3"/>
    <w:rsid w:val="00201A77"/>
    <w:pPr>
      <w:numPr>
        <w:ilvl w:val="1"/>
        <w:numId w:val="14"/>
      </w:numPr>
    </w:pPr>
    <w:rPr>
      <w:rFonts w:eastAsia="Times New Roman"/>
      <w:lang w:eastAsia="en-GB"/>
    </w:rPr>
  </w:style>
  <w:style w:type="paragraph" w:customStyle="1" w:styleId="ListNumber4Level2">
    <w:name w:val="List Number 4 (Level 2)"/>
    <w:basedOn w:val="Text4"/>
    <w:rsid w:val="00201A77"/>
    <w:pPr>
      <w:numPr>
        <w:ilvl w:val="1"/>
        <w:numId w:val="15"/>
      </w:numPr>
    </w:pPr>
    <w:rPr>
      <w:rFonts w:eastAsia="Times New Roman"/>
      <w:lang w:eastAsia="en-GB"/>
    </w:rPr>
  </w:style>
  <w:style w:type="paragraph" w:customStyle="1" w:styleId="ListNumber1Level3">
    <w:name w:val="List Number 1 (Level 3)"/>
    <w:basedOn w:val="Text1"/>
    <w:rsid w:val="00201A77"/>
    <w:pPr>
      <w:numPr>
        <w:ilvl w:val="2"/>
        <w:numId w:val="12"/>
      </w:numPr>
    </w:pPr>
    <w:rPr>
      <w:rFonts w:eastAsia="Times New Roman"/>
      <w:lang w:eastAsia="en-GB"/>
    </w:rPr>
  </w:style>
  <w:style w:type="paragraph" w:customStyle="1" w:styleId="ListNumber2Level3">
    <w:name w:val="List Number 2 (Level 3)"/>
    <w:basedOn w:val="Text2"/>
    <w:rsid w:val="00201A77"/>
    <w:pPr>
      <w:numPr>
        <w:ilvl w:val="2"/>
        <w:numId w:val="13"/>
      </w:numPr>
    </w:pPr>
    <w:rPr>
      <w:rFonts w:eastAsia="Times New Roman"/>
      <w:lang w:eastAsia="en-GB"/>
    </w:rPr>
  </w:style>
  <w:style w:type="paragraph" w:customStyle="1" w:styleId="ListNumber3Level3">
    <w:name w:val="List Number 3 (Level 3)"/>
    <w:basedOn w:val="Text3"/>
    <w:rsid w:val="00201A77"/>
    <w:pPr>
      <w:numPr>
        <w:ilvl w:val="2"/>
        <w:numId w:val="14"/>
      </w:numPr>
    </w:pPr>
    <w:rPr>
      <w:rFonts w:eastAsia="Times New Roman"/>
      <w:lang w:eastAsia="en-GB"/>
    </w:rPr>
  </w:style>
  <w:style w:type="paragraph" w:customStyle="1" w:styleId="ListNumber4Level3">
    <w:name w:val="List Number 4 (Level 3)"/>
    <w:basedOn w:val="Text4"/>
    <w:rsid w:val="00201A77"/>
    <w:pPr>
      <w:numPr>
        <w:ilvl w:val="2"/>
        <w:numId w:val="15"/>
      </w:numPr>
    </w:pPr>
    <w:rPr>
      <w:rFonts w:eastAsia="Times New Roman"/>
      <w:lang w:eastAsia="en-GB"/>
    </w:rPr>
  </w:style>
  <w:style w:type="paragraph" w:customStyle="1" w:styleId="ListNumber1Level4">
    <w:name w:val="List Number 1 (Level 4)"/>
    <w:basedOn w:val="Text1"/>
    <w:rsid w:val="00201A77"/>
    <w:pPr>
      <w:numPr>
        <w:ilvl w:val="3"/>
        <w:numId w:val="12"/>
      </w:numPr>
    </w:pPr>
    <w:rPr>
      <w:rFonts w:eastAsia="Times New Roman"/>
      <w:lang w:eastAsia="en-GB"/>
    </w:rPr>
  </w:style>
  <w:style w:type="paragraph" w:customStyle="1" w:styleId="ListNumber2Level4">
    <w:name w:val="List Number 2 (Level 4)"/>
    <w:basedOn w:val="Text2"/>
    <w:rsid w:val="00201A77"/>
    <w:pPr>
      <w:numPr>
        <w:ilvl w:val="3"/>
        <w:numId w:val="13"/>
      </w:numPr>
    </w:pPr>
    <w:rPr>
      <w:rFonts w:eastAsia="Times New Roman"/>
      <w:lang w:eastAsia="en-GB"/>
    </w:rPr>
  </w:style>
  <w:style w:type="paragraph" w:customStyle="1" w:styleId="ListNumber3Level4">
    <w:name w:val="List Number 3 (Level 4)"/>
    <w:basedOn w:val="Text3"/>
    <w:rsid w:val="00201A77"/>
    <w:pPr>
      <w:numPr>
        <w:ilvl w:val="3"/>
        <w:numId w:val="14"/>
      </w:numPr>
    </w:pPr>
    <w:rPr>
      <w:rFonts w:eastAsia="Times New Roman"/>
      <w:lang w:eastAsia="en-GB"/>
    </w:rPr>
  </w:style>
  <w:style w:type="paragraph" w:customStyle="1" w:styleId="ListNumber4Level4">
    <w:name w:val="List Number 4 (Level 4)"/>
    <w:basedOn w:val="Text4"/>
    <w:rsid w:val="00201A77"/>
    <w:pPr>
      <w:numPr>
        <w:ilvl w:val="3"/>
        <w:numId w:val="15"/>
      </w:numPr>
    </w:pPr>
    <w:rPr>
      <w:rFonts w:eastAsia="Times New Roman"/>
      <w:lang w:eastAsia="en-GB"/>
    </w:rPr>
  </w:style>
  <w:style w:type="paragraph" w:customStyle="1" w:styleId="Annexetitreacte">
    <w:name w:val="Annexe titre (acte)"/>
    <w:basedOn w:val="Normal"/>
    <w:next w:val="Normal"/>
    <w:rsid w:val="00201A77"/>
    <w:pPr>
      <w:jc w:val="center"/>
    </w:pPr>
    <w:rPr>
      <w:rFonts w:eastAsia="Times New Roman"/>
      <w:b/>
      <w:u w:val="single"/>
      <w:lang w:eastAsia="en-GB"/>
    </w:rPr>
  </w:style>
  <w:style w:type="paragraph" w:customStyle="1" w:styleId="Annexetitreexposglobal">
    <w:name w:val="Annexe titre (exposé global)"/>
    <w:basedOn w:val="Normal"/>
    <w:next w:val="Normal"/>
    <w:rsid w:val="00201A77"/>
    <w:pPr>
      <w:jc w:val="center"/>
    </w:pPr>
    <w:rPr>
      <w:rFonts w:eastAsia="Times New Roman"/>
      <w:b/>
      <w:u w:val="single"/>
      <w:lang w:eastAsia="en-GB"/>
    </w:rPr>
  </w:style>
  <w:style w:type="paragraph" w:customStyle="1" w:styleId="Annexetitrefichefinacte">
    <w:name w:val="Annexe titre (fiche fin. acte)"/>
    <w:basedOn w:val="Normal"/>
    <w:next w:val="Normal"/>
    <w:rsid w:val="00201A77"/>
    <w:pPr>
      <w:jc w:val="center"/>
    </w:pPr>
    <w:rPr>
      <w:rFonts w:eastAsia="Times New Roman"/>
      <w:b/>
      <w:u w:val="single"/>
      <w:lang w:eastAsia="en-GB"/>
    </w:rPr>
  </w:style>
  <w:style w:type="paragraph" w:customStyle="1" w:styleId="Annexetitrefichefinglobale">
    <w:name w:val="Annexe titre (fiche fin. globale)"/>
    <w:basedOn w:val="Normal"/>
    <w:next w:val="Normal"/>
    <w:rsid w:val="00201A77"/>
    <w:pPr>
      <w:jc w:val="center"/>
    </w:pPr>
    <w:rPr>
      <w:rFonts w:eastAsia="Times New Roman"/>
      <w:b/>
      <w:u w:val="single"/>
      <w:lang w:eastAsia="en-GB"/>
    </w:rPr>
  </w:style>
  <w:style w:type="paragraph" w:customStyle="1" w:styleId="Annexetitreglobale">
    <w:name w:val="Annexe titre (globale)"/>
    <w:basedOn w:val="Normal"/>
    <w:next w:val="Normal"/>
    <w:rsid w:val="00201A77"/>
    <w:pPr>
      <w:jc w:val="center"/>
    </w:pPr>
    <w:rPr>
      <w:rFonts w:eastAsia="Times New Roman"/>
      <w:b/>
      <w:u w:val="single"/>
      <w:lang w:eastAsia="en-GB"/>
    </w:rPr>
  </w:style>
  <w:style w:type="paragraph" w:customStyle="1" w:styleId="Exposdesmotifstitreglobal">
    <w:name w:val="Exposé des motifs titre (global)"/>
    <w:basedOn w:val="Normal"/>
    <w:next w:val="Normal"/>
    <w:rsid w:val="00201A77"/>
    <w:pPr>
      <w:jc w:val="center"/>
    </w:pPr>
    <w:rPr>
      <w:rFonts w:eastAsia="Times New Roman"/>
      <w:b/>
      <w:u w:val="single"/>
      <w:lang w:eastAsia="en-GB"/>
    </w:rPr>
  </w:style>
  <w:style w:type="paragraph" w:customStyle="1" w:styleId="Langueoriginale">
    <w:name w:val="Langue originale"/>
    <w:basedOn w:val="Normal"/>
    <w:rsid w:val="00201A77"/>
    <w:pPr>
      <w:spacing w:before="360"/>
      <w:jc w:val="center"/>
    </w:pPr>
    <w:rPr>
      <w:rFonts w:eastAsia="Times New Roman"/>
      <w:caps/>
      <w:lang w:eastAsia="en-GB"/>
    </w:rPr>
  </w:style>
  <w:style w:type="paragraph" w:customStyle="1" w:styleId="Phrasefinale">
    <w:name w:val="Phrase finale"/>
    <w:basedOn w:val="Normal"/>
    <w:next w:val="Normal"/>
    <w:rsid w:val="00201A77"/>
    <w:pPr>
      <w:spacing w:before="360" w:after="0"/>
      <w:jc w:val="center"/>
    </w:pPr>
    <w:rPr>
      <w:rFonts w:eastAsia="Times New Roman"/>
      <w:lang w:eastAsia="en-GB"/>
    </w:rPr>
  </w:style>
  <w:style w:type="paragraph" w:customStyle="1" w:styleId="Prliminairetitre">
    <w:name w:val="Préliminaire titre"/>
    <w:basedOn w:val="Normal"/>
    <w:next w:val="Normal"/>
    <w:rsid w:val="00201A77"/>
    <w:pPr>
      <w:spacing w:before="360" w:after="360"/>
      <w:jc w:val="center"/>
    </w:pPr>
    <w:rPr>
      <w:rFonts w:eastAsia="Times New Roman"/>
      <w:b/>
      <w:lang w:eastAsia="en-GB"/>
    </w:rPr>
  </w:style>
  <w:style w:type="paragraph" w:customStyle="1" w:styleId="Prliminairetype">
    <w:name w:val="Préliminaire type"/>
    <w:basedOn w:val="Normal"/>
    <w:next w:val="Normal"/>
    <w:rsid w:val="00201A77"/>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201A77"/>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201A77"/>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201A77"/>
    <w:pPr>
      <w:spacing w:before="0" w:after="0"/>
      <w:ind w:left="5103"/>
      <w:jc w:val="left"/>
    </w:pPr>
    <w:rPr>
      <w:rFonts w:eastAsia="Times New Roman"/>
      <w:lang w:eastAsia="en-GB"/>
    </w:rPr>
  </w:style>
  <w:style w:type="paragraph" w:customStyle="1" w:styleId="Sous-titreobjetprliminaire">
    <w:name w:val="Sous-titre objet (préliminaire)"/>
    <w:basedOn w:val="Normal"/>
    <w:rsid w:val="00201A77"/>
    <w:pPr>
      <w:spacing w:before="0" w:after="0"/>
      <w:jc w:val="center"/>
    </w:pPr>
    <w:rPr>
      <w:rFonts w:eastAsia="Times New Roman"/>
      <w:b/>
      <w:lang w:eastAsia="en-GB"/>
    </w:rPr>
  </w:style>
  <w:style w:type="paragraph" w:customStyle="1" w:styleId="Statutprliminaire">
    <w:name w:val="Statut (préliminaire)"/>
    <w:basedOn w:val="Normal"/>
    <w:next w:val="Normal"/>
    <w:rsid w:val="00201A77"/>
    <w:pPr>
      <w:spacing w:before="360" w:after="0"/>
      <w:jc w:val="center"/>
    </w:pPr>
    <w:rPr>
      <w:rFonts w:eastAsia="Times New Roman"/>
      <w:lang w:eastAsia="en-GB"/>
    </w:rPr>
  </w:style>
  <w:style w:type="paragraph" w:customStyle="1" w:styleId="Titreobjetprliminaire">
    <w:name w:val="Titre objet (préliminaire)"/>
    <w:basedOn w:val="Normal"/>
    <w:next w:val="Normal"/>
    <w:rsid w:val="00201A77"/>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201A77"/>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201A77"/>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201A77"/>
    <w:pPr>
      <w:jc w:val="center"/>
    </w:pPr>
    <w:rPr>
      <w:rFonts w:eastAsia="Times New Roman"/>
      <w:b/>
      <w:u w:val="single"/>
      <w:lang w:eastAsia="en-GB"/>
    </w:rPr>
  </w:style>
  <w:style w:type="paragraph" w:customStyle="1" w:styleId="Fichefinanciretravailtitre">
    <w:name w:val="Fiche financière (travail) titre"/>
    <w:basedOn w:val="Normal"/>
    <w:next w:val="Normal"/>
    <w:rsid w:val="00201A77"/>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201A77"/>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201A77"/>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201A77"/>
    <w:pPr>
      <w:jc w:val="center"/>
    </w:pPr>
    <w:rPr>
      <w:rFonts w:eastAsia="Times New Roman"/>
      <w:b/>
      <w:u w:val="single"/>
      <w:lang w:eastAsia="en-GB"/>
    </w:rPr>
  </w:style>
  <w:style w:type="character" w:styleId="CommentReference">
    <w:name w:val="annotation reference"/>
    <w:rsid w:val="00201A77"/>
    <w:rPr>
      <w:rFonts w:cs="Times New Roman"/>
      <w:sz w:val="16"/>
      <w:szCs w:val="16"/>
    </w:rPr>
  </w:style>
  <w:style w:type="paragraph" w:styleId="CommentText">
    <w:name w:val="annotation text"/>
    <w:basedOn w:val="Normal"/>
    <w:link w:val="CommentTextChar"/>
    <w:rsid w:val="00201A77"/>
    <w:rPr>
      <w:rFonts w:eastAsia="Times New Roman"/>
      <w:sz w:val="20"/>
      <w:szCs w:val="20"/>
      <w:lang w:eastAsia="en-GB"/>
    </w:rPr>
  </w:style>
  <w:style w:type="character" w:customStyle="1" w:styleId="CommentTextChar">
    <w:name w:val="Comment Text Char"/>
    <w:basedOn w:val="DefaultParagraphFont"/>
    <w:link w:val="CommentText"/>
    <w:rsid w:val="00201A77"/>
    <w:rPr>
      <w:rFonts w:ascii="Times New Roman" w:eastAsia="Times New Roman" w:hAnsi="Times New Roman" w:cs="Times New Roman"/>
      <w:sz w:val="20"/>
      <w:szCs w:val="20"/>
      <w:lang w:val="da-DK" w:eastAsia="en-GB"/>
    </w:rPr>
  </w:style>
  <w:style w:type="paragraph" w:styleId="CommentSubject">
    <w:name w:val="annotation subject"/>
    <w:basedOn w:val="CommentText"/>
    <w:next w:val="CommentText"/>
    <w:link w:val="CommentSubjectChar"/>
    <w:rsid w:val="00201A77"/>
    <w:rPr>
      <w:b/>
      <w:bCs/>
    </w:rPr>
  </w:style>
  <w:style w:type="character" w:customStyle="1" w:styleId="CommentSubjectChar">
    <w:name w:val="Comment Subject Char"/>
    <w:basedOn w:val="CommentTextChar"/>
    <w:link w:val="CommentSubject"/>
    <w:rsid w:val="00201A77"/>
    <w:rPr>
      <w:rFonts w:ascii="Times New Roman" w:eastAsia="Times New Roman" w:hAnsi="Times New Roman" w:cs="Times New Roman"/>
      <w:b/>
      <w:bCs/>
      <w:sz w:val="20"/>
      <w:szCs w:val="20"/>
      <w:lang w:val="da-DK" w:eastAsia="en-GB"/>
    </w:rPr>
  </w:style>
  <w:style w:type="paragraph" w:styleId="BalloonText">
    <w:name w:val="Balloon Text"/>
    <w:basedOn w:val="Normal"/>
    <w:link w:val="BalloonTextChar"/>
    <w:rsid w:val="00201A77"/>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201A77"/>
    <w:rPr>
      <w:rFonts w:ascii="Tahoma" w:eastAsia="Times New Roman" w:hAnsi="Tahoma" w:cs="Tahoma"/>
      <w:sz w:val="16"/>
      <w:szCs w:val="16"/>
      <w:lang w:val="da-DK" w:eastAsia="en-GB"/>
    </w:rPr>
  </w:style>
  <w:style w:type="paragraph" w:styleId="Caption">
    <w:name w:val="caption"/>
    <w:basedOn w:val="Normal"/>
    <w:next w:val="Normal"/>
    <w:qFormat/>
    <w:rsid w:val="00201A77"/>
    <w:rPr>
      <w:rFonts w:eastAsia="Times New Roman"/>
      <w:b/>
      <w:bCs/>
      <w:sz w:val="20"/>
      <w:szCs w:val="20"/>
      <w:lang w:eastAsia="en-GB"/>
    </w:rPr>
  </w:style>
  <w:style w:type="paragraph" w:styleId="TableofFigures">
    <w:name w:val="table of figures"/>
    <w:basedOn w:val="Normal"/>
    <w:next w:val="Normal"/>
    <w:rsid w:val="00201A77"/>
    <w:rPr>
      <w:rFonts w:eastAsia="Times New Roman"/>
      <w:lang w:eastAsia="en-GB"/>
    </w:rPr>
  </w:style>
  <w:style w:type="character" w:styleId="PageNumber">
    <w:name w:val="page number"/>
    <w:rsid w:val="00201A77"/>
  </w:style>
  <w:style w:type="character" w:customStyle="1" w:styleId="tw4winMark">
    <w:name w:val="tw4winMark"/>
    <w:rsid w:val="00201A77"/>
    <w:rPr>
      <w:vanish/>
      <w:color w:val="800080"/>
      <w:vertAlign w:val="subscript"/>
    </w:rPr>
  </w:style>
  <w:style w:type="character" w:styleId="FollowedHyperlink">
    <w:name w:val="FollowedHyperlink"/>
    <w:rsid w:val="00201A77"/>
    <w:rPr>
      <w:color w:val="800080"/>
      <w:u w:val="single"/>
    </w:rPr>
  </w:style>
  <w:style w:type="paragraph" w:customStyle="1" w:styleId="Sous-titreobjet">
    <w:name w:val="Sous-titre objet"/>
    <w:basedOn w:val="Normal"/>
    <w:rsid w:val="00201A77"/>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01A77"/>
  </w:style>
  <w:style w:type="paragraph" w:styleId="Revision">
    <w:name w:val="Revision"/>
    <w:hidden/>
    <w:uiPriority w:val="99"/>
    <w:semiHidden/>
    <w:rsid w:val="00201A77"/>
    <w:rPr>
      <w:rFonts w:ascii="Calibri" w:eastAsia="Calibri" w:hAnsi="Calibri" w:cs="Times New Roman"/>
      <w:sz w:val="24"/>
      <w:lang w:eastAsia="en-GB"/>
    </w:rPr>
  </w:style>
  <w:style w:type="paragraph" w:customStyle="1" w:styleId="FooterCoverPage">
    <w:name w:val="Footer Cover Page"/>
    <w:basedOn w:val="Normal"/>
    <w:link w:val="FooterCoverPageChar"/>
    <w:rsid w:val="00201A77"/>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01A77"/>
    <w:rPr>
      <w:rFonts w:ascii="Times New Roman" w:hAnsi="Times New Roman" w:cs="Times New Roman"/>
      <w:b/>
      <w:sz w:val="28"/>
      <w:lang w:val="da-DK"/>
    </w:rPr>
  </w:style>
  <w:style w:type="character" w:customStyle="1" w:styleId="FooterCoverPageChar">
    <w:name w:val="Footer Cover Page Char"/>
    <w:link w:val="FooterCoverPage"/>
    <w:rsid w:val="00201A77"/>
    <w:rPr>
      <w:rFonts w:ascii="Times New Roman" w:eastAsia="Calibri" w:hAnsi="Times New Roman" w:cs="Times New Roman"/>
      <w:sz w:val="24"/>
      <w:lang w:val="da-DK" w:eastAsia="en-GB"/>
    </w:rPr>
  </w:style>
  <w:style w:type="paragraph" w:customStyle="1" w:styleId="HeaderCoverPage">
    <w:name w:val="Header Cover Page"/>
    <w:basedOn w:val="Normal"/>
    <w:link w:val="HeaderCoverPageChar"/>
    <w:rsid w:val="00201A77"/>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01A77"/>
    <w:rPr>
      <w:rFonts w:ascii="Times New Roman" w:eastAsia="Calibri" w:hAnsi="Times New Roman" w:cs="Times New Roman"/>
      <w:sz w:val="24"/>
      <w:lang w:val="da-DK" w:eastAsia="en-GB"/>
    </w:rPr>
  </w:style>
  <w:style w:type="character" w:customStyle="1" w:styleId="FooterSensitivityChar">
    <w:name w:val="Footer Sensitivity Char"/>
    <w:rsid w:val="00201A77"/>
    <w:rPr>
      <w:rFonts w:ascii="Times New Roman" w:hAnsi="Times New Roman" w:cs="Times New Roman"/>
      <w:b/>
      <w:sz w:val="32"/>
      <w:lang w:val="da-DK"/>
    </w:rPr>
  </w:style>
  <w:style w:type="character" w:customStyle="1" w:styleId="HeaderSensitivityChar">
    <w:name w:val="Header Sensitivity Char"/>
    <w:rsid w:val="00201A77"/>
    <w:rPr>
      <w:rFonts w:ascii="Times New Roman" w:hAnsi="Times New Roman" w:cs="Times New Roman"/>
      <w:b/>
      <w:sz w:val="32"/>
      <w:lang w:val="da-DK"/>
    </w:rPr>
  </w:style>
  <w:style w:type="character" w:customStyle="1" w:styleId="HeaderSensitivityRightChar">
    <w:name w:val="Header Sensitivity Right Char"/>
    <w:rsid w:val="00201A77"/>
    <w:rPr>
      <w:rFonts w:ascii="Times New Roman" w:hAnsi="Times New Roman" w:cs="Times New Roman"/>
      <w:sz w:val="28"/>
      <w:lang w:val="da-DK"/>
    </w:rPr>
  </w:style>
  <w:style w:type="paragraph" w:customStyle="1" w:styleId="LegalNumPar">
    <w:name w:val="LegalNumPar"/>
    <w:basedOn w:val="Normal"/>
    <w:rsid w:val="00201A77"/>
    <w:pPr>
      <w:numPr>
        <w:numId w:val="16"/>
      </w:numPr>
      <w:spacing w:line="360" w:lineRule="auto"/>
    </w:pPr>
    <w:rPr>
      <w:rFonts w:eastAsia="Times New Roman"/>
      <w:lang w:eastAsia="en-GB"/>
    </w:rPr>
  </w:style>
  <w:style w:type="paragraph" w:customStyle="1" w:styleId="LegalNumPar2">
    <w:name w:val="LegalNumPar2"/>
    <w:basedOn w:val="Normal"/>
    <w:rsid w:val="00201A77"/>
    <w:pPr>
      <w:numPr>
        <w:ilvl w:val="1"/>
        <w:numId w:val="16"/>
      </w:numPr>
      <w:spacing w:line="360" w:lineRule="auto"/>
    </w:pPr>
    <w:rPr>
      <w:rFonts w:eastAsia="Times New Roman"/>
      <w:lang w:eastAsia="en-GB"/>
    </w:rPr>
  </w:style>
  <w:style w:type="paragraph" w:customStyle="1" w:styleId="LegalNumPar3">
    <w:name w:val="LegalNumPar3"/>
    <w:basedOn w:val="Normal"/>
    <w:rsid w:val="00201A77"/>
    <w:pPr>
      <w:numPr>
        <w:ilvl w:val="2"/>
        <w:numId w:val="16"/>
      </w:numPr>
      <w:spacing w:line="360" w:lineRule="auto"/>
    </w:pPr>
    <w:rPr>
      <w:rFonts w:eastAsia="Times New Roman"/>
      <w:lang w:eastAsia="en-GB"/>
    </w:rPr>
  </w:style>
  <w:style w:type="paragraph" w:styleId="ListParagraph">
    <w:name w:val="List Paragraph"/>
    <w:aliases w:val="Bullet List,FooterText,List Paragraph1,Colorful List Accent 1,numbered,Paragraphe de liste1,列 出 段 落,列 出 段 落 1,Bulletr List Paragraph,List Paragraph2,List Paragraph21,Párrafo de lista1,Parágrafo da Lista1,リ ス ト 段 落 1,Plan,Dot pt,F5 List P"/>
    <w:basedOn w:val="Normal"/>
    <w:link w:val="ListParagraphChar"/>
    <w:uiPriority w:val="34"/>
    <w:qFormat/>
    <w:rsid w:val="00201A77"/>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201A77"/>
    <w:rPr>
      <w:color w:val="605E5C"/>
      <w:shd w:val="clear" w:color="auto" w:fill="E1DFDD"/>
    </w:rPr>
  </w:style>
  <w:style w:type="character" w:styleId="Strong">
    <w:name w:val="Strong"/>
    <w:basedOn w:val="DefaultParagraphFont"/>
    <w:qFormat/>
    <w:rsid w:val="00201A77"/>
    <w:rPr>
      <w:b/>
      <w:bCs/>
    </w:rPr>
  </w:style>
  <w:style w:type="character" w:styleId="Emphasis">
    <w:name w:val="Emphasis"/>
    <w:basedOn w:val="DefaultParagraphFont"/>
    <w:qFormat/>
    <w:rsid w:val="00201A77"/>
    <w:rPr>
      <w:i/>
      <w:iCs/>
    </w:rPr>
  </w:style>
  <w:style w:type="character" w:customStyle="1" w:styleId="Mention1">
    <w:name w:val="Mention1"/>
    <w:basedOn w:val="DefaultParagraphFont"/>
    <w:uiPriority w:val="99"/>
    <w:unhideWhenUsed/>
    <w:rsid w:val="00201A77"/>
    <w:rPr>
      <w:color w:val="2B579A"/>
      <w:shd w:val="clear" w:color="auto" w:fill="E1DFDD"/>
    </w:rPr>
  </w:style>
  <w:style w:type="character" w:customStyle="1" w:styleId="normaltextrun">
    <w:name w:val="normaltextrun"/>
    <w:basedOn w:val="DefaultParagraphFont"/>
    <w:rsid w:val="00201A77"/>
  </w:style>
  <w:style w:type="character" w:customStyle="1" w:styleId="eop">
    <w:name w:val="eop"/>
    <w:basedOn w:val="DefaultParagraphFont"/>
    <w:rsid w:val="00201A77"/>
  </w:style>
  <w:style w:type="paragraph" w:customStyle="1" w:styleId="Nota">
    <w:name w:val="Nota"/>
    <w:aliases w:val="Char1,(NECG) Footnote Reference,fr,Appel note de bas de p,o,Style 6,Signature Ch"/>
    <w:basedOn w:val="Normal"/>
    <w:link w:val="FootnoteReference"/>
    <w:uiPriority w:val="99"/>
    <w:rsid w:val="00A2707F"/>
    <w:pPr>
      <w:spacing w:before="0" w:after="160" w:line="240" w:lineRule="exact"/>
      <w:jc w:val="left"/>
    </w:pPr>
    <w:rPr>
      <w:rFonts w:asciiTheme="minorHAnsi" w:hAnsiTheme="minorHAnsi" w:cstheme="minorBidi"/>
      <w:sz w:val="22"/>
      <w:vertAlign w:val="superscript"/>
    </w:rPr>
  </w:style>
  <w:style w:type="character" w:customStyle="1" w:styleId="ListParagraphChar">
    <w:name w:val="List Paragraph Char"/>
    <w:aliases w:val="Bullet List Char,FooterText Char,List Paragraph1 Char,Colorful List Accent 1 Char,numbered Char,Paragraphe de liste1 Char,列 出 段 落 Char,列 出 段 落 1 Char,Bulletr List Paragraph Char,List Paragraph2 Char,List Paragraph21 Char,Plan Char"/>
    <w:basedOn w:val="DefaultParagraphFont"/>
    <w:link w:val="ListParagraph"/>
    <w:uiPriority w:val="34"/>
    <w:qFormat/>
    <w:locked/>
    <w:rsid w:val="00F877FB"/>
    <w:rPr>
      <w:rFonts w:ascii="Times New Roman" w:eastAsia="Times New Roman" w:hAnsi="Times New Roman" w:cs="Times New Roman"/>
      <w:sz w:val="24"/>
      <w:lang w:val="da-DK" w:eastAsia="en-GB"/>
    </w:rPr>
  </w:style>
  <w:style w:type="paragraph" w:customStyle="1" w:styleId="Numberedpara">
    <w:name w:val="Numbered para"/>
    <w:basedOn w:val="ListParagraph"/>
    <w:rsid w:val="006B0911"/>
    <w:pPr>
      <w:numPr>
        <w:numId w:val="18"/>
      </w:numPr>
    </w:pPr>
  </w:style>
  <w:style w:type="paragraph" w:customStyle="1" w:styleId="Num">
    <w:name w:val="Num"/>
    <w:basedOn w:val="ListParagraph"/>
    <w:rsid w:val="007D4FC5"/>
    <w:pPr>
      <w:numPr>
        <w:numId w:val="19"/>
      </w:numPr>
    </w:pPr>
  </w:style>
  <w:style w:type="character" w:customStyle="1" w:styleId="UnresolvedMention">
    <w:name w:val="Unresolved Mention"/>
    <w:basedOn w:val="DefaultParagraphFont"/>
    <w:uiPriority w:val="99"/>
    <w:semiHidden/>
    <w:unhideWhenUsed/>
    <w:rsid w:val="00CB7B93"/>
    <w:rPr>
      <w:color w:val="605E5C"/>
      <w:shd w:val="clear" w:color="auto" w:fill="E1DFDD"/>
    </w:rPr>
  </w:style>
  <w:style w:type="character" w:customStyle="1" w:styleId="HeaderChar">
    <w:name w:val="Header Char"/>
    <w:basedOn w:val="DefaultParagraphFont"/>
    <w:link w:val="Header"/>
    <w:uiPriority w:val="99"/>
    <w:rsid w:val="0029466A"/>
    <w:rPr>
      <w:rFonts w:ascii="Times New Roman" w:hAnsi="Times New Roman" w:cs="Times New Roman"/>
      <w:sz w:val="24"/>
      <w:lang w:val="da-DK"/>
    </w:rPr>
  </w:style>
  <w:style w:type="character" w:customStyle="1" w:styleId="FooterChar">
    <w:name w:val="Footer Char"/>
    <w:basedOn w:val="DefaultParagraphFont"/>
    <w:link w:val="Footer"/>
    <w:uiPriority w:val="99"/>
    <w:rsid w:val="0029466A"/>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a-D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a-D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a-D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a-D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a-D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Nota"/>
    <w:uiPriority w:val="99"/>
    <w:semiHidden/>
    <w:unhideWhenUsed/>
    <w:rPr>
      <w:shd w:val="clear" w:color="auto" w:fill="auto"/>
      <w:vertAlign w:val="superscript"/>
    </w:rPr>
  </w:style>
  <w:style w:type="paragraph" w:customStyle="1" w:styleId="HeaderSensitivity">
    <w:name w:val="Header Sensitivity"/>
    <w:basedOn w:val="Normal"/>
    <w:rsid w:val="0029466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9466A"/>
    <w:pPr>
      <w:spacing w:before="0"/>
      <w:jc w:val="right"/>
    </w:pPr>
    <w:rPr>
      <w:sz w:val="28"/>
    </w:rPr>
  </w:style>
  <w:style w:type="paragraph" w:customStyle="1" w:styleId="FooterSensitivity">
    <w:name w:val="Footer Sensitivity"/>
    <w:basedOn w:val="Normal"/>
    <w:rsid w:val="0029466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9466A"/>
    <w:pPr>
      <w:tabs>
        <w:tab w:val="center" w:pos="4535"/>
        <w:tab w:val="right" w:pos="9071"/>
      </w:tabs>
      <w:spacing w:before="0"/>
    </w:pPr>
  </w:style>
  <w:style w:type="paragraph" w:customStyle="1" w:styleId="HeaderLandscape">
    <w:name w:val="HeaderLandscape"/>
    <w:basedOn w:val="Normal"/>
    <w:rsid w:val="0029466A"/>
    <w:pPr>
      <w:tabs>
        <w:tab w:val="center" w:pos="7285"/>
        <w:tab w:val="right" w:pos="14003"/>
      </w:tabs>
      <w:spacing w:before="0"/>
    </w:pPr>
  </w:style>
  <w:style w:type="paragraph" w:styleId="Footer">
    <w:name w:val="footer"/>
    <w:basedOn w:val="Normal"/>
    <w:link w:val="FooterChar"/>
    <w:uiPriority w:val="99"/>
    <w:unhideWhenUsed/>
    <w:rsid w:val="0029466A"/>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9466A"/>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39515">
      <w:bodyDiv w:val="1"/>
      <w:marLeft w:val="0"/>
      <w:marRight w:val="0"/>
      <w:marTop w:val="0"/>
      <w:marBottom w:val="0"/>
      <w:divBdr>
        <w:top w:val="none" w:sz="0" w:space="0" w:color="auto"/>
        <w:left w:val="none" w:sz="0" w:space="0" w:color="auto"/>
        <w:bottom w:val="none" w:sz="0" w:space="0" w:color="auto"/>
        <w:right w:val="none" w:sz="0" w:space="0" w:color="auto"/>
      </w:divBdr>
    </w:div>
    <w:div w:id="962660896">
      <w:bodyDiv w:val="1"/>
      <w:marLeft w:val="0"/>
      <w:marRight w:val="0"/>
      <w:marTop w:val="0"/>
      <w:marBottom w:val="0"/>
      <w:divBdr>
        <w:top w:val="none" w:sz="0" w:space="0" w:color="auto"/>
        <w:left w:val="none" w:sz="0" w:space="0" w:color="auto"/>
        <w:bottom w:val="none" w:sz="0" w:space="0" w:color="auto"/>
        <w:right w:val="none" w:sz="0" w:space="0" w:color="auto"/>
      </w:divBdr>
    </w:div>
    <w:div w:id="1360010125">
      <w:bodyDiv w:val="1"/>
      <w:marLeft w:val="0"/>
      <w:marRight w:val="0"/>
      <w:marTop w:val="0"/>
      <w:marBottom w:val="0"/>
      <w:divBdr>
        <w:top w:val="none" w:sz="0" w:space="0" w:color="auto"/>
        <w:left w:val="none" w:sz="0" w:space="0" w:color="auto"/>
        <w:bottom w:val="none" w:sz="0" w:space="0" w:color="auto"/>
        <w:right w:val="none" w:sz="0" w:space="0" w:color="auto"/>
      </w:divBdr>
    </w:div>
    <w:div w:id="1383286346">
      <w:bodyDiv w:val="1"/>
      <w:marLeft w:val="0"/>
      <w:marRight w:val="0"/>
      <w:marTop w:val="0"/>
      <w:marBottom w:val="0"/>
      <w:divBdr>
        <w:top w:val="none" w:sz="0" w:space="0" w:color="auto"/>
        <w:left w:val="none" w:sz="0" w:space="0" w:color="auto"/>
        <w:bottom w:val="none" w:sz="0" w:space="0" w:color="auto"/>
        <w:right w:val="none" w:sz="0" w:space="0" w:color="auto"/>
      </w:divBdr>
    </w:div>
    <w:div w:id="1514799994">
      <w:bodyDiv w:val="1"/>
      <w:marLeft w:val="0"/>
      <w:marRight w:val="0"/>
      <w:marTop w:val="0"/>
      <w:marBottom w:val="0"/>
      <w:divBdr>
        <w:top w:val="none" w:sz="0" w:space="0" w:color="auto"/>
        <w:left w:val="none" w:sz="0" w:space="0" w:color="auto"/>
        <w:bottom w:val="none" w:sz="0" w:space="0" w:color="auto"/>
        <w:right w:val="none" w:sz="0" w:space="0" w:color="auto"/>
      </w:divBdr>
    </w:div>
    <w:div w:id="1857692257">
      <w:bodyDiv w:val="1"/>
      <w:marLeft w:val="0"/>
      <w:marRight w:val="0"/>
      <w:marTop w:val="0"/>
      <w:marBottom w:val="0"/>
      <w:divBdr>
        <w:top w:val="none" w:sz="0" w:space="0" w:color="auto"/>
        <w:left w:val="none" w:sz="0" w:space="0" w:color="auto"/>
        <w:bottom w:val="none" w:sz="0" w:space="0" w:color="auto"/>
        <w:right w:val="none" w:sz="0" w:space="0" w:color="auto"/>
      </w:divBdr>
    </w:div>
    <w:div w:id="19045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corp/budget/financial-rules/budget-implementation/Pages/implementation-methods.aspx" TargetMode="External"/><Relationship Id="rId1" Type="http://schemas.openxmlformats.org/officeDocument/2006/relationships/hyperlink" Target="https://euaa.europa.eu/sites/default/files/publications/2022-12/2022_safe_country_concept_asylum_procedure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322858357ED4DB8ACEC003F271AA8" ma:contentTypeVersion="6" ma:contentTypeDescription="Create a new document." ma:contentTypeScope="" ma:versionID="663d4c71e7e8ff3b13c9d28d5e5debee">
  <xsd:schema xmlns:xsd="http://www.w3.org/2001/XMLSchema" xmlns:xs="http://www.w3.org/2001/XMLSchema" xmlns:p="http://schemas.microsoft.com/office/2006/metadata/properties" xmlns:ns2="bf5373a9-3ae6-4627-894d-852f27c3d4f0" xmlns:ns3="3b32b93a-a41f-449a-9492-9bc9f41ec6d7" targetNamespace="http://schemas.microsoft.com/office/2006/metadata/properties" ma:root="true" ma:fieldsID="ca807bf77854f3f05e522b9ec3f10c10" ns2:_="" ns3:_="">
    <xsd:import namespace="bf5373a9-3ae6-4627-894d-852f27c3d4f0"/>
    <xsd:import namespace="3b32b93a-a41f-449a-9492-9bc9f41ec6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373a9-3ae6-4627-894d-852f27c3d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2b93a-a41f-449a-9492-9bc9f41ec6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67FC4-F52B-43D1-AA73-31CA0806E2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9DB7D1-5611-4FE0-B325-0D6AA5413A01}">
  <ds:schemaRefs>
    <ds:schemaRef ds:uri="http://schemas.microsoft.com/sharepoint/v3/contenttype/forms"/>
  </ds:schemaRefs>
</ds:datastoreItem>
</file>

<file path=customXml/itemProps3.xml><?xml version="1.0" encoding="utf-8"?>
<ds:datastoreItem xmlns:ds="http://schemas.openxmlformats.org/officeDocument/2006/customXml" ds:itemID="{88F97868-66CE-4C17-A375-97110D58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373a9-3ae6-4627-894d-852f27c3d4f0"/>
    <ds:schemaRef ds:uri="3b32b93a-a41f-449a-9492-9bc9f41ec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AB264-F4AD-40BF-AE63-2A43A9A9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31</TotalTime>
  <Pages>22</Pages>
  <Words>12496</Words>
  <Characters>71229</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83558</CharactersWithSpaces>
  <SharedDoc>false</SharedDoc>
  <HLinks>
    <vt:vector size="12" baseType="variant">
      <vt:variant>
        <vt:i4>262150</vt:i4>
      </vt:variant>
      <vt:variant>
        <vt:i4>3</vt:i4>
      </vt:variant>
      <vt:variant>
        <vt:i4>0</vt:i4>
      </vt:variant>
      <vt:variant>
        <vt:i4>5</vt:i4>
      </vt:variant>
      <vt:variant>
        <vt:lpwstr>https://myintracomm.ec.europa.eu/corp/budget/financial-rules/budget-implementation/Pages/implementation-methods.aspx</vt:lpwstr>
      </vt:variant>
      <vt:variant>
        <vt:lpwstr/>
      </vt:variant>
      <vt:variant>
        <vt:i4>6881337</vt:i4>
      </vt:variant>
      <vt:variant>
        <vt:i4>0</vt:i4>
      </vt:variant>
      <vt:variant>
        <vt:i4>0</vt:i4>
      </vt:variant>
      <vt:variant>
        <vt:i4>5</vt:i4>
      </vt:variant>
      <vt:variant>
        <vt:lpwstr>https://euaa.europa.eu/sites/default/files/publications/2022-12/2022_safe_country_concept_asylum_procedure_EN.pdf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48</cp:revision>
  <cp:lastPrinted>2025-05-15T14:05:00Z</cp:lastPrinted>
  <dcterms:created xsi:type="dcterms:W3CDTF">2025-05-20T08:49:00Z</dcterms:created>
  <dcterms:modified xsi:type="dcterms:W3CDTF">2025-06-13T17:55:00Z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2025-05-04T16:14:25Z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420f7c01-2474-45b2-a7bc-8e8b71ed3804</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ContentTypeId">
    <vt:lpwstr>0x010100E98322858357ED4DB8ACEC003F271AA8</vt:lpwstr>
  </property>
  <property fmtid="{D5CDD505-2E9C-101B-9397-08002B2CF9AE}" pid="16" name="DQCStatus">
    <vt:lpwstr>Green (DQC version 03)</vt:lpwstr>
  </property>
</Properties>
</file>