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BD0B3" w14:textId="1C391FF1" w:rsidR="0030602E" w:rsidRPr="006E75EA" w:rsidRDefault="009855C1" w:rsidP="009855C1">
      <w:pPr>
        <w:pStyle w:val="Pagedecouverture"/>
        <w:rPr>
          <w:noProof/>
        </w:rPr>
      </w:pPr>
      <w:bookmarkStart w:id="0" w:name="LW_BM_COVERPAGE"/>
      <w:r>
        <w:rPr>
          <w:noProof/>
        </w:rPr>
        <w:pict w14:anchorId="25D22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0ED0DDF3-95B3-47C1-AB5A-714871ABDC4B" style="width:455.25pt;height:336.75pt">
            <v:imagedata r:id="rId8" o:title=""/>
          </v:shape>
        </w:pict>
      </w:r>
    </w:p>
    <w:bookmarkEnd w:id="0"/>
    <w:p w14:paraId="44424230" w14:textId="77777777" w:rsidR="0030602E" w:rsidRPr="006E75EA" w:rsidRDefault="0030602E" w:rsidP="00D63731">
      <w:pPr>
        <w:jc w:val="both"/>
        <w:rPr>
          <w:rFonts w:ascii="Times New Roman" w:hAnsi="Times New Roman" w:cs="Times New Roman"/>
          <w:noProof/>
          <w:sz w:val="24"/>
          <w:szCs w:val="24"/>
        </w:rPr>
        <w:sectPr w:rsidR="0030602E" w:rsidRPr="006E75EA" w:rsidSect="009855C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66A7A159" w14:textId="47E5CBF7" w:rsidR="00717D46" w:rsidRPr="00717D46" w:rsidRDefault="00717D46" w:rsidP="00717D46">
      <w:pPr>
        <w:pStyle w:val="Typedudocument"/>
        <w:rPr>
          <w:noProof/>
        </w:rPr>
      </w:pPr>
      <w:bookmarkStart w:id="1" w:name="_GoBack"/>
      <w:bookmarkEnd w:id="1"/>
      <w:r w:rsidRPr="00717D46">
        <w:rPr>
          <w:noProof/>
        </w:rPr>
        <w:lastRenderedPageBreak/>
        <w:t>POROČILO KOMISIJE</w:t>
      </w:r>
    </w:p>
    <w:p w14:paraId="3B3D285A" w14:textId="1BAB9360" w:rsidR="00717D46" w:rsidRPr="00717D46" w:rsidRDefault="00717D46" w:rsidP="00717D46">
      <w:pPr>
        <w:pStyle w:val="Titreobjet"/>
        <w:rPr>
          <w:noProof/>
        </w:rPr>
      </w:pPr>
      <w:bookmarkStart w:id="2" w:name="_Hlk201147005"/>
      <w:r w:rsidRPr="00717D46">
        <w:rPr>
          <w:noProof/>
        </w:rPr>
        <w:t xml:space="preserve">EVROPSKEMU PARLAMENTU, SVETU IN EVROPSKI CENTRALNI BANKI </w:t>
      </w:r>
      <w:r w:rsidRPr="00717D46">
        <w:rPr>
          <w:noProof/>
        </w:rPr>
        <w:br/>
      </w:r>
      <w:r w:rsidRPr="00717D46">
        <w:rPr>
          <w:noProof/>
        </w:rPr>
        <w:br/>
        <w:t>o izvajanju in rezultatih programa Pericles IV za zaščito eura pred ponarejanjem v letu 2024</w:t>
      </w:r>
      <w:bookmarkEnd w:id="2"/>
    </w:p>
    <w:p w14:paraId="682A1A55" w14:textId="43BCC0CC" w:rsidR="00F54EA4" w:rsidRPr="006E75EA" w:rsidRDefault="00F54EA4" w:rsidP="00F54EA4">
      <w:pPr>
        <w:rPr>
          <w:noProof/>
          <w:lang w:eastAsia="zh-CN"/>
        </w:rPr>
      </w:pPr>
    </w:p>
    <w:p w14:paraId="32410D24" w14:textId="77777777" w:rsidR="00D63731" w:rsidRPr="006E75EA" w:rsidRDefault="00D63731" w:rsidP="00D63731">
      <w:pPr>
        <w:pStyle w:val="ManualNumPar1"/>
        <w:numPr>
          <w:ilvl w:val="0"/>
          <w:numId w:val="2"/>
        </w:numPr>
        <w:ind w:left="426" w:hanging="426"/>
        <w:rPr>
          <w:b/>
          <w:noProof/>
          <w:szCs w:val="24"/>
        </w:rPr>
      </w:pPr>
      <w:r>
        <w:rPr>
          <w:b/>
          <w:noProof/>
        </w:rPr>
        <w:t>Splošno</w:t>
      </w:r>
    </w:p>
    <w:p w14:paraId="04A1E4E4" w14:textId="3643740F" w:rsidR="00D63731" w:rsidRPr="006E75EA" w:rsidRDefault="00D63731" w:rsidP="00D63731">
      <w:pPr>
        <w:jc w:val="both"/>
        <w:rPr>
          <w:rFonts w:ascii="Times New Roman" w:hAnsi="Times New Roman" w:cs="Times New Roman"/>
          <w:noProof/>
          <w:sz w:val="24"/>
          <w:szCs w:val="24"/>
        </w:rPr>
      </w:pPr>
      <w:r>
        <w:rPr>
          <w:rFonts w:ascii="Times New Roman" w:hAnsi="Times New Roman"/>
          <w:noProof/>
          <w:sz w:val="24"/>
        </w:rPr>
        <w:t>Program Pericles IV je program izmenjave, pomoči in usposabljanja za zaščito eura pred ponarejanjem. Nadomešča program Pericles 2020, ki se je izvajal od leta 2013 do leta 2020, in programe Pericles, ki so se izvajali v obdobju 2002–2013. Ustanovljen je bil z </w:t>
      </w:r>
      <w:hyperlink r:id="rId15" w:history="1">
        <w:r>
          <w:rPr>
            <w:rStyle w:val="Hyperlink"/>
            <w:rFonts w:ascii="Times New Roman" w:hAnsi="Times New Roman"/>
            <w:noProof/>
            <w:sz w:val="24"/>
          </w:rPr>
          <w:t>Uredbo (EU) 2021/840</w:t>
        </w:r>
        <w:r w:rsidRPr="00AA7ED0">
          <w:rPr>
            <w:rStyle w:val="FootnoteReference"/>
            <w:rFonts w:ascii="Times New Roman" w:hAnsi="Times New Roman" w:cs="Times New Roman"/>
            <w:noProof/>
            <w:sz w:val="24"/>
            <w:szCs w:val="24"/>
          </w:rPr>
          <w:footnoteReference w:id="1"/>
        </w:r>
      </w:hyperlink>
      <w:r>
        <w:rPr>
          <w:rStyle w:val="Strong"/>
          <w:rFonts w:ascii="Times New Roman" w:hAnsi="Times New Roman"/>
          <w:b w:val="0"/>
          <w:noProof/>
          <w:sz w:val="24"/>
        </w:rPr>
        <w:t xml:space="preserve">. Njegova uporaba je bila razširjena na nesodelujoče države članice z </w:t>
      </w:r>
      <w:hyperlink r:id="rId16" w:history="1">
        <w:r>
          <w:rPr>
            <w:rStyle w:val="Hyperlink"/>
            <w:rFonts w:ascii="Times New Roman" w:hAnsi="Times New Roman"/>
            <w:noProof/>
            <w:sz w:val="24"/>
          </w:rPr>
          <w:t>Uredbo Sveta (EU) 2021/1696</w:t>
        </w:r>
        <w:r w:rsidRPr="00AA7ED0">
          <w:rPr>
            <w:rStyle w:val="FootnoteReference"/>
            <w:rFonts w:ascii="Times New Roman" w:hAnsi="Times New Roman" w:cs="Times New Roman"/>
            <w:noProof/>
            <w:sz w:val="24"/>
            <w:szCs w:val="24"/>
          </w:rPr>
          <w:footnoteReference w:id="2"/>
        </w:r>
      </w:hyperlink>
      <w:r>
        <w:rPr>
          <w:rFonts w:ascii="Times New Roman" w:hAnsi="Times New Roman"/>
          <w:noProof/>
          <w:sz w:val="24"/>
        </w:rPr>
        <w:t xml:space="preserve">. Uredba (EU) 2021/840 določa trajanje programa do 31. decembra 2027. S členom 12(3) </w:t>
      </w:r>
      <w:r>
        <w:rPr>
          <w:rStyle w:val="Strong"/>
          <w:rFonts w:ascii="Times New Roman" w:hAnsi="Times New Roman"/>
          <w:noProof/>
          <w:sz w:val="24"/>
        </w:rPr>
        <w:t>navedene uredbe</w:t>
      </w:r>
      <w:r>
        <w:rPr>
          <w:rFonts w:ascii="Times New Roman" w:hAnsi="Times New Roman"/>
          <w:noProof/>
          <w:sz w:val="24"/>
        </w:rPr>
        <w:t xml:space="preserve"> se zahteva, da Komisija Evropskemu parlamentu, Svetu in Evropski centralni banki letno zagotavlja informacije o rezultatih programa. To je letno poročilo za leto 2024. Poročilo vsebuje informacije o prevzetih obveznostih in izvajanju programa Pericles IV v letu 2024 ter o izvajanju ukrepov, za katere so bile obveznosti prevzete v prejšnjih letih, v letu 2024.</w:t>
      </w:r>
    </w:p>
    <w:p w14:paraId="51D6A4E4" w14:textId="4A3B8BD5" w:rsidR="00D63731" w:rsidRPr="006E75EA" w:rsidRDefault="00D63731" w:rsidP="004F2FCC">
      <w:pPr>
        <w:pStyle w:val="ManualNumPar1"/>
        <w:numPr>
          <w:ilvl w:val="0"/>
          <w:numId w:val="2"/>
        </w:numPr>
        <w:ind w:left="426" w:hanging="426"/>
        <w:rPr>
          <w:b/>
          <w:bCs/>
          <w:noProof/>
          <w:szCs w:val="24"/>
        </w:rPr>
      </w:pPr>
      <w:r>
        <w:rPr>
          <w:b/>
          <w:noProof/>
        </w:rPr>
        <w:t>Obveznosti v okviru letnega delovnega programa za leto 2024</w:t>
      </w:r>
    </w:p>
    <w:p w14:paraId="3280A329" w14:textId="48C738DD" w:rsidR="00D63731" w:rsidRPr="006E75EA" w:rsidRDefault="00D63731" w:rsidP="00D16FE6">
      <w:pPr>
        <w:jc w:val="both"/>
        <w:outlineLvl w:val="0"/>
        <w:rPr>
          <w:rFonts w:ascii="Times New Roman" w:hAnsi="Times New Roman" w:cs="Times New Roman"/>
          <w:noProof/>
          <w:sz w:val="24"/>
          <w:szCs w:val="24"/>
        </w:rPr>
      </w:pPr>
      <w:r>
        <w:rPr>
          <w:rFonts w:ascii="Times New Roman" w:hAnsi="Times New Roman"/>
          <w:noProof/>
          <w:sz w:val="24"/>
        </w:rPr>
        <w:t xml:space="preserve">Letni proračun za izvajanje programa Pericles IV za leto 2024 je bil določen na </w:t>
      </w:r>
      <w:r>
        <w:rPr>
          <w:rFonts w:ascii="Times New Roman" w:hAnsi="Times New Roman"/>
          <w:noProof/>
          <w:color w:val="000000" w:themeColor="text1"/>
          <w:sz w:val="24"/>
        </w:rPr>
        <w:t>884 755 EUR</w:t>
      </w:r>
      <w:r>
        <w:rPr>
          <w:rFonts w:ascii="Times New Roman" w:hAnsi="Times New Roman"/>
          <w:noProof/>
          <w:sz w:val="24"/>
        </w:rPr>
        <w:t xml:space="preserve"> in se je financiral iz proračunske vrstice </w:t>
      </w:r>
      <w:r>
        <w:rPr>
          <w:rFonts w:ascii="Times New Roman" w:hAnsi="Times New Roman"/>
          <w:noProof/>
          <w:color w:val="000000"/>
          <w:sz w:val="24"/>
        </w:rPr>
        <w:t>06.030100</w:t>
      </w:r>
      <w:bookmarkStart w:id="3" w:name="_Ref162278841"/>
      <w:bookmarkStart w:id="4" w:name="_Hlk188361720"/>
      <w:r>
        <w:rPr>
          <w:rFonts w:ascii="Times New Roman" w:hAnsi="Times New Roman"/>
          <w:noProof/>
          <w:color w:val="000000"/>
          <w:sz w:val="24"/>
        </w:rPr>
        <w:t>-C1</w:t>
      </w:r>
      <w:r w:rsidR="00414989" w:rsidRPr="00AA7ED0">
        <w:rPr>
          <w:rStyle w:val="FootnoteReference"/>
          <w:rFonts w:ascii="Times New Roman" w:hAnsi="Times New Roman" w:cs="Times New Roman"/>
          <w:noProof/>
          <w:sz w:val="24"/>
          <w:szCs w:val="24"/>
        </w:rPr>
        <w:footnoteReference w:id="3"/>
      </w:r>
      <w:bookmarkEnd w:id="3"/>
      <w:r>
        <w:rPr>
          <w:rFonts w:ascii="Times New Roman" w:hAnsi="Times New Roman"/>
          <w:noProof/>
          <w:color w:val="000000"/>
          <w:sz w:val="24"/>
        </w:rPr>
        <w:t xml:space="preserve"> </w:t>
      </w:r>
      <w:bookmarkEnd w:id="4"/>
      <w:r>
        <w:rPr>
          <w:rFonts w:ascii="Times New Roman" w:hAnsi="Times New Roman"/>
          <w:noProof/>
          <w:sz w:val="24"/>
        </w:rPr>
        <w:t>splošnega proračuna EU za leto 2024. V letu 2024 so bile prevzete obveznosti v skupnem znesku 884 755 EUR, kar je 100 % celotnega proračuna. Program se izvaja s sofinanciranimi ukrepi (nepovratna sredstva) pristojnih organov držav članic in z „ukrepi Komisije“, ki jih neposredno organizira Komisija. Skupni znesek prevzetih obveznosti vključuje tudi obveznost v višini 37 225 EUR za kritje letnih stroškov uporabe orodja e-Grants, tj. popolnoma elektronskega (brezpapirnega) sistema upravljanja nepovratnih sredstev</w:t>
      </w:r>
      <w:r w:rsidR="00FE2BCA" w:rsidRPr="00AA7ED0">
        <w:rPr>
          <w:rStyle w:val="FootnoteReference"/>
          <w:rFonts w:ascii="Times New Roman" w:hAnsi="Times New Roman" w:cs="Times New Roman"/>
          <w:noProof/>
          <w:sz w:val="24"/>
          <w:szCs w:val="24"/>
          <w:lang w:eastAsia="en-GB"/>
        </w:rPr>
        <w:footnoteReference w:id="4"/>
      </w:r>
      <w:r>
        <w:rPr>
          <w:rFonts w:ascii="Times New Roman" w:hAnsi="Times New Roman"/>
          <w:noProof/>
          <w:sz w:val="24"/>
        </w:rPr>
        <w:t>. Poleg operativne proračunske vrstice je bilo danih na voljo 81 896,64 EUR v proračunski vrstici, ki vključuje notranje namenske prejemke (proračunska vrstica 06.030100-C4 splošnega proračuna EU)</w:t>
      </w:r>
      <w:r w:rsidR="00A13A47" w:rsidRPr="00AA7ED0">
        <w:rPr>
          <w:rStyle w:val="FootnoteReference"/>
          <w:rFonts w:ascii="Times New Roman" w:hAnsi="Times New Roman" w:cs="Times New Roman"/>
          <w:noProof/>
          <w:sz w:val="24"/>
          <w:szCs w:val="24"/>
        </w:rPr>
        <w:footnoteReference w:id="5"/>
      </w:r>
      <w:r>
        <w:rPr>
          <w:rFonts w:ascii="Times New Roman" w:hAnsi="Times New Roman"/>
          <w:noProof/>
          <w:sz w:val="24"/>
        </w:rPr>
        <w:t>. Od tega zneska so bile v letu 2024 prevzete obveznosti v višini 66 456,34 EUR za nepovratna sredstva za dva projekta</w:t>
      </w:r>
      <w:r w:rsidR="00F56C9D">
        <w:rPr>
          <w:rStyle w:val="FootnoteReference"/>
          <w:rFonts w:ascii="Times New Roman" w:hAnsi="Times New Roman" w:cs="Times New Roman"/>
          <w:noProof/>
          <w:sz w:val="24"/>
          <w:szCs w:val="24"/>
          <w:lang w:eastAsia="en-GB"/>
        </w:rPr>
        <w:footnoteReference w:id="6"/>
      </w:r>
      <w:r>
        <w:rPr>
          <w:rFonts w:ascii="Times New Roman" w:hAnsi="Times New Roman"/>
          <w:noProof/>
          <w:sz w:val="24"/>
        </w:rPr>
        <w:t>.</w:t>
      </w:r>
    </w:p>
    <w:p w14:paraId="6D9CB149" w14:textId="4ECAA820" w:rsidR="00953D85" w:rsidRPr="006E75EA" w:rsidRDefault="00D63731" w:rsidP="00D63731">
      <w:pPr>
        <w:jc w:val="both"/>
        <w:outlineLvl w:val="0"/>
        <w:rPr>
          <w:rFonts w:ascii="Times New Roman" w:hAnsi="Times New Roman" w:cs="Times New Roman"/>
          <w:noProof/>
          <w:sz w:val="24"/>
          <w:szCs w:val="24"/>
        </w:rPr>
      </w:pPr>
      <w:r>
        <w:rPr>
          <w:rFonts w:ascii="Times New Roman" w:hAnsi="Times New Roman"/>
          <w:noProof/>
          <w:sz w:val="24"/>
        </w:rPr>
        <w:t>Izvajanje programa odraža zavezo držav članic in Komisije, da bodo euro zaščitile pred ponarejanjem. Na podlagi razprav o letni strategiji na sestankih skupine strokovnjakov za preprečevanje ponarejanja eura (ECEG) je bilo v letu 2024 mogoče opredeliti in obravnavati glavne grožnje ter prevzeti obveznosti v višini 100 % sredstev iz celotnega proračuna.</w:t>
      </w:r>
    </w:p>
    <w:p w14:paraId="0C0017B1" w14:textId="5CBFD135" w:rsidR="00D63731" w:rsidRPr="006E75EA" w:rsidRDefault="00D63731" w:rsidP="00D63731">
      <w:pPr>
        <w:jc w:val="both"/>
        <w:outlineLvl w:val="0"/>
        <w:rPr>
          <w:rFonts w:ascii="Times New Roman" w:hAnsi="Times New Roman" w:cs="Times New Roman"/>
          <w:noProof/>
          <w:sz w:val="24"/>
          <w:szCs w:val="24"/>
        </w:rPr>
      </w:pPr>
      <w:r>
        <w:rPr>
          <w:rFonts w:ascii="Times New Roman" w:hAnsi="Times New Roman"/>
          <w:noProof/>
          <w:sz w:val="24"/>
        </w:rPr>
        <w:t>V okviru programa so bile prevzete obveznosti za financiranje skupno desetih projektov</w:t>
      </w:r>
      <w:r w:rsidRPr="00AA7ED0">
        <w:rPr>
          <w:rStyle w:val="FootnoteReference"/>
          <w:rFonts w:ascii="Times New Roman" w:hAnsi="Times New Roman" w:cs="Times New Roman"/>
          <w:noProof/>
          <w:sz w:val="24"/>
          <w:szCs w:val="24"/>
        </w:rPr>
        <w:footnoteReference w:id="7"/>
      </w:r>
      <w:r>
        <w:rPr>
          <w:rFonts w:ascii="Times New Roman" w:hAnsi="Times New Roman"/>
          <w:noProof/>
          <w:sz w:val="24"/>
        </w:rPr>
        <w:t>: nepovratna sredstva so bila dodeljena osmim projektom iz vlog pristojnih organov držav članic, financirana pa sta bila tudi dva ukrepa Komisije.</w:t>
      </w:r>
    </w:p>
    <w:p w14:paraId="7A9992D3" w14:textId="095388E7" w:rsidR="00D63731" w:rsidRPr="006E75EA" w:rsidRDefault="000172E6" w:rsidP="00D63731">
      <w:pPr>
        <w:jc w:val="both"/>
        <w:outlineLvl w:val="0"/>
        <w:rPr>
          <w:rFonts w:ascii="Times New Roman" w:hAnsi="Times New Roman" w:cs="Times New Roman"/>
          <w:noProof/>
          <w:sz w:val="24"/>
          <w:szCs w:val="24"/>
        </w:rPr>
      </w:pPr>
      <w:r>
        <w:rPr>
          <w:rFonts w:ascii="Times New Roman" w:hAnsi="Times New Roman"/>
          <w:noProof/>
          <w:sz w:val="24"/>
        </w:rPr>
        <w:t>Ukrepa Komisije sta bila izvedena v letu 2024, nepovratna sredstva za dva projekta so bila v letu 2024 delno izvedena, za preostale projekte pa bodo izvedena v letu 2025 in pozneje.</w:t>
      </w:r>
    </w:p>
    <w:p w14:paraId="3ECD747F" w14:textId="1005FD40" w:rsidR="00537C11" w:rsidRPr="006E75EA" w:rsidRDefault="00D63731" w:rsidP="00D63731">
      <w:pPr>
        <w:jc w:val="both"/>
        <w:rPr>
          <w:rFonts w:ascii="Times New Roman" w:hAnsi="Times New Roman" w:cs="Times New Roman"/>
          <w:bCs/>
          <w:noProof/>
          <w:sz w:val="24"/>
          <w:szCs w:val="24"/>
        </w:rPr>
      </w:pPr>
      <w:r>
        <w:rPr>
          <w:rFonts w:ascii="Times New Roman" w:hAnsi="Times New Roman"/>
          <w:b/>
          <w:noProof/>
          <w:sz w:val="24"/>
        </w:rPr>
        <w:t>Grafa I in II: vrsta financiranih ukrepov in število ukrepov po državah članicah (ukrepi, za katere so bile prevzete obveznosti v letu 2024, glej Prilogo I)</w:t>
      </w:r>
    </w:p>
    <w:p w14:paraId="2B9386F7" w14:textId="77D25015" w:rsidR="00D63731" w:rsidRPr="006E75EA" w:rsidRDefault="00D63731" w:rsidP="00F110C1">
      <w:pPr>
        <w:tabs>
          <w:tab w:val="left" w:pos="567"/>
        </w:tabs>
        <w:spacing w:after="240"/>
        <w:ind w:left="-426" w:right="-567"/>
        <w:jc w:val="both"/>
        <w:outlineLvl w:val="0"/>
        <w:rPr>
          <w:rFonts w:ascii="Times New Roman" w:hAnsi="Times New Roman" w:cs="Times New Roman"/>
          <w:noProof/>
          <w:sz w:val="24"/>
          <w:szCs w:val="24"/>
        </w:rPr>
      </w:pPr>
      <w:r>
        <w:rPr>
          <w:rFonts w:ascii="Times New Roman" w:hAnsi="Times New Roman"/>
          <w:noProof/>
          <w:sz w:val="24"/>
        </w:rPr>
        <w:t xml:space="preserve"> </w:t>
      </w:r>
      <w:r>
        <w:rPr>
          <w:noProof/>
          <w:lang w:val="en-GB" w:eastAsia="en-GB"/>
        </w:rPr>
        <w:drawing>
          <wp:inline distT="0" distB="0" distL="0" distR="0" wp14:anchorId="6C275798" wp14:editId="35F14C74">
            <wp:extent cx="3060000" cy="3072700"/>
            <wp:effectExtent l="0" t="0" r="7620" b="13970"/>
            <wp:docPr id="1689974788" name="Chart 1" descr="Pie chart showing number of actions per Member State">
              <a:extLst xmlns:a="http://schemas.openxmlformats.org/drawingml/2006/main">
                <a:ext uri="{FF2B5EF4-FFF2-40B4-BE49-F238E27FC236}">
                  <a16:creationId xmlns:a16="http://schemas.microsoft.com/office/drawing/2014/main" id="{CC8E21C7-2C6D-C3B9-49DA-5E1D12979B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rPr>
        <w:t xml:space="preserve"> </w:t>
      </w:r>
      <w:r>
        <w:rPr>
          <w:noProof/>
          <w:lang w:val="en-GB" w:eastAsia="en-GB"/>
        </w:rPr>
        <w:drawing>
          <wp:inline distT="0" distB="0" distL="0" distR="0" wp14:anchorId="5CA960FE" wp14:editId="61003741">
            <wp:extent cx="2880000" cy="3074400"/>
            <wp:effectExtent l="0" t="0" r="15875" b="12065"/>
            <wp:docPr id="159625274" name="Chart 1" descr="Pie chart showing type of action financed">
              <a:extLst xmlns:a="http://schemas.openxmlformats.org/drawingml/2006/main">
                <a:ext uri="{FF2B5EF4-FFF2-40B4-BE49-F238E27FC236}">
                  <a16:creationId xmlns:a16="http://schemas.microsoft.com/office/drawing/2014/main" id="{4EC6A324-A36C-AD7E-373D-27613D3808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045106" w14:textId="1898C412" w:rsidR="00897E01" w:rsidRPr="006E75EA" w:rsidRDefault="002A5A35" w:rsidP="00897E01">
      <w:pPr>
        <w:jc w:val="both"/>
        <w:outlineLvl w:val="0"/>
        <w:rPr>
          <w:rFonts w:ascii="Times New Roman" w:hAnsi="Times New Roman" w:cs="Times New Roman"/>
          <w:noProof/>
          <w:sz w:val="24"/>
          <w:szCs w:val="24"/>
        </w:rPr>
      </w:pPr>
      <w:r>
        <w:rPr>
          <w:rFonts w:ascii="Times New Roman" w:hAnsi="Times New Roman"/>
          <w:noProof/>
          <w:sz w:val="24"/>
        </w:rPr>
        <w:t>Italija in Španija, ki spadata v skupino držav članic, ki jih je ponarejanje eura najbolj prizadelo, sta letos ponovno prejeli nepovratna sredstva v okviru programa Pericles. Poleg tega sta nepovratna sredstva v okviru programa v letu 2024 prejeli Portugalska in Hrvaška. Vsa ta prizadevanja krepijo zaščito eura, kar koristi tudi vsem drugim državam članicam.</w:t>
      </w:r>
    </w:p>
    <w:p w14:paraId="15453ED1" w14:textId="0CBC26AA" w:rsidR="00885ED3" w:rsidRPr="006E75EA" w:rsidRDefault="00D63731" w:rsidP="00D63731">
      <w:pPr>
        <w:spacing w:after="0"/>
        <w:jc w:val="both"/>
        <w:outlineLvl w:val="0"/>
        <w:rPr>
          <w:rFonts w:ascii="Times New Roman" w:hAnsi="Times New Roman" w:cs="Times New Roman"/>
          <w:noProof/>
          <w:sz w:val="24"/>
          <w:szCs w:val="24"/>
        </w:rPr>
      </w:pPr>
      <w:r>
        <w:rPr>
          <w:rFonts w:ascii="Times New Roman" w:hAnsi="Times New Roman"/>
          <w:noProof/>
          <w:sz w:val="24"/>
        </w:rPr>
        <w:t>Ukrepi, za katere so bile prevzete obveznosti v letu 2024, vključujejo štiri seminarje, tri izmenjave osebja, dve tehnični usposabljanji in en nakup opreme.</w:t>
      </w:r>
    </w:p>
    <w:p w14:paraId="3FE9EDD2" w14:textId="77777777" w:rsidR="00885ED3" w:rsidRPr="006E75EA" w:rsidRDefault="00885ED3" w:rsidP="00D63731">
      <w:pPr>
        <w:spacing w:after="0"/>
        <w:jc w:val="both"/>
        <w:outlineLvl w:val="0"/>
        <w:rPr>
          <w:rFonts w:ascii="Times New Roman" w:hAnsi="Times New Roman" w:cs="Times New Roman"/>
          <w:noProof/>
          <w:sz w:val="24"/>
          <w:szCs w:val="24"/>
        </w:rPr>
      </w:pPr>
    </w:p>
    <w:p w14:paraId="7A9FD670" w14:textId="7B07E4AB" w:rsidR="00D63731" w:rsidRPr="006E75EA" w:rsidRDefault="00D63731" w:rsidP="00D63731">
      <w:pPr>
        <w:spacing w:after="0"/>
        <w:jc w:val="both"/>
        <w:outlineLvl w:val="0"/>
        <w:rPr>
          <w:rFonts w:ascii="Times New Roman" w:hAnsi="Times New Roman" w:cs="Times New Roman"/>
          <w:noProof/>
          <w:sz w:val="24"/>
          <w:szCs w:val="24"/>
        </w:rPr>
      </w:pPr>
      <w:r>
        <w:rPr>
          <w:rFonts w:ascii="Times New Roman" w:hAnsi="Times New Roman"/>
          <w:noProof/>
          <w:sz w:val="24"/>
        </w:rPr>
        <w:t>Ukrepi naj bi se izvajali v EU in tudi zunaj nje, odvisno od posebnih potreb. Program že vse od svoje ustanovitve utrjuje regionalni pristop z izvajanjem ukrepov, ki vključujejo regije sveta, ki so še posebej pomembne za boj proti ponarejanju, kot so Jugovzhodna Evropa, Kitajska, Turčija in Južna Amerika.</w:t>
      </w:r>
    </w:p>
    <w:p w14:paraId="60F2738E" w14:textId="77777777" w:rsidR="00D63731" w:rsidRPr="006E75EA" w:rsidRDefault="00D63731" w:rsidP="00D63731">
      <w:pPr>
        <w:spacing w:after="0"/>
        <w:jc w:val="both"/>
        <w:outlineLvl w:val="0"/>
        <w:rPr>
          <w:rFonts w:ascii="Times New Roman" w:hAnsi="Times New Roman" w:cs="Times New Roman"/>
          <w:noProof/>
          <w:sz w:val="24"/>
          <w:szCs w:val="24"/>
        </w:rPr>
      </w:pPr>
    </w:p>
    <w:p w14:paraId="50480BF1" w14:textId="6E4744BF" w:rsidR="00D63731" w:rsidRPr="006E75EA" w:rsidRDefault="00D63731" w:rsidP="00AA7ED0">
      <w:pPr>
        <w:pStyle w:val="ManualNumPar1"/>
        <w:keepNext/>
        <w:numPr>
          <w:ilvl w:val="0"/>
          <w:numId w:val="2"/>
        </w:numPr>
        <w:ind w:left="426" w:hanging="426"/>
        <w:rPr>
          <w:b/>
          <w:noProof/>
          <w:szCs w:val="24"/>
        </w:rPr>
      </w:pPr>
      <w:r>
        <w:rPr>
          <w:b/>
          <w:noProof/>
        </w:rPr>
        <w:t>Izvajanje ukrepov v letu 2024</w:t>
      </w:r>
    </w:p>
    <w:p w14:paraId="76FEF1F7" w14:textId="77777777" w:rsidR="00D63731" w:rsidRPr="006E75EA" w:rsidRDefault="00D63731" w:rsidP="00AA7ED0">
      <w:pPr>
        <w:keepNext/>
        <w:spacing w:after="0"/>
        <w:jc w:val="both"/>
        <w:outlineLvl w:val="0"/>
        <w:rPr>
          <w:rFonts w:ascii="Times New Roman" w:hAnsi="Times New Roman" w:cs="Times New Roman"/>
          <w:i/>
          <w:noProof/>
          <w:sz w:val="24"/>
          <w:szCs w:val="24"/>
        </w:rPr>
      </w:pPr>
      <w:r>
        <w:rPr>
          <w:rFonts w:ascii="Times New Roman" w:hAnsi="Times New Roman"/>
          <w:i/>
          <w:noProof/>
          <w:sz w:val="24"/>
        </w:rPr>
        <w:t>Pregled</w:t>
      </w:r>
    </w:p>
    <w:p w14:paraId="304E162E" w14:textId="3FCDBFEA" w:rsidR="00023539" w:rsidRPr="006E75EA" w:rsidRDefault="00D63731" w:rsidP="00D63731">
      <w:pPr>
        <w:spacing w:after="0"/>
        <w:jc w:val="both"/>
        <w:outlineLvl w:val="0"/>
        <w:rPr>
          <w:rFonts w:ascii="Times New Roman" w:hAnsi="Times New Roman" w:cs="Times New Roman"/>
          <w:noProof/>
          <w:sz w:val="24"/>
          <w:szCs w:val="24"/>
        </w:rPr>
      </w:pPr>
      <w:r>
        <w:rPr>
          <w:rFonts w:ascii="Times New Roman" w:hAnsi="Times New Roman"/>
          <w:noProof/>
          <w:sz w:val="24"/>
        </w:rPr>
        <w:t>V tem oddelku je analizirano izvajanje vseh ukrepov, financiranih v okviru programa Pericles, v koledarskem letu 2024. Zato ta oddelek vključuje ukrepe, za katere so bile prevzete obveznosti v okviru proračunov programa Pericles IV za leti 2023</w:t>
      </w:r>
      <w:r w:rsidR="00A56A2C" w:rsidRPr="00AA7ED0">
        <w:rPr>
          <w:rStyle w:val="FootnoteReference"/>
          <w:rFonts w:ascii="Times New Roman" w:hAnsi="Times New Roman" w:cs="Times New Roman"/>
          <w:bCs/>
          <w:noProof/>
          <w:sz w:val="24"/>
          <w:szCs w:val="24"/>
        </w:rPr>
        <w:footnoteReference w:id="8"/>
      </w:r>
      <w:r>
        <w:rPr>
          <w:rFonts w:ascii="Times New Roman" w:hAnsi="Times New Roman"/>
          <w:noProof/>
          <w:sz w:val="24"/>
        </w:rPr>
        <w:t xml:space="preserve"> in 2024</w:t>
      </w:r>
      <w:r w:rsidR="00C77800" w:rsidRPr="00AA7ED0">
        <w:rPr>
          <w:rStyle w:val="FootnoteReference"/>
          <w:rFonts w:ascii="Times New Roman" w:hAnsi="Times New Roman" w:cs="Times New Roman"/>
          <w:noProof/>
          <w:sz w:val="24"/>
          <w:szCs w:val="24"/>
        </w:rPr>
        <w:footnoteReference w:id="9"/>
      </w:r>
      <w:r>
        <w:rPr>
          <w:rFonts w:ascii="Times New Roman" w:hAnsi="Times New Roman"/>
          <w:noProof/>
          <w:sz w:val="24"/>
        </w:rPr>
        <w:t xml:space="preserve"> (nepovratna sredstva za enajst projektov in dva ukrepa Komisije).</w:t>
      </w:r>
    </w:p>
    <w:p w14:paraId="280D35F5" w14:textId="77777777" w:rsidR="0054362D" w:rsidRPr="006E75EA" w:rsidRDefault="0054362D" w:rsidP="00D63731">
      <w:pPr>
        <w:spacing w:after="0"/>
        <w:jc w:val="both"/>
        <w:outlineLvl w:val="0"/>
        <w:rPr>
          <w:rFonts w:ascii="Times New Roman" w:hAnsi="Times New Roman" w:cs="Times New Roman"/>
          <w:noProof/>
          <w:sz w:val="24"/>
          <w:szCs w:val="24"/>
        </w:rPr>
      </w:pPr>
    </w:p>
    <w:p w14:paraId="5B7E8F76" w14:textId="17FC7183" w:rsidR="00D63731" w:rsidRPr="006E75EA" w:rsidRDefault="00D63731" w:rsidP="00D63731">
      <w:pPr>
        <w:spacing w:after="0"/>
        <w:jc w:val="both"/>
        <w:outlineLvl w:val="0"/>
        <w:rPr>
          <w:rFonts w:ascii="Times New Roman" w:hAnsi="Times New Roman" w:cs="Times New Roman"/>
          <w:noProof/>
          <w:sz w:val="24"/>
          <w:szCs w:val="24"/>
        </w:rPr>
      </w:pPr>
      <w:r>
        <w:rPr>
          <w:rFonts w:ascii="Times New Roman" w:hAnsi="Times New Roman"/>
          <w:noProof/>
          <w:sz w:val="24"/>
        </w:rPr>
        <w:t>V letu 2024 je bilo skupno izvedenih 13 ukrepov, financiranih v okviru programa Pericles, ki vključujejo:</w:t>
      </w:r>
    </w:p>
    <w:p w14:paraId="09D612CD" w14:textId="5348544A" w:rsidR="009E4FFB" w:rsidRPr="006E75EA" w:rsidRDefault="009E4FFB" w:rsidP="00D63731">
      <w:pPr>
        <w:pStyle w:val="ListParagraph"/>
        <w:numPr>
          <w:ilvl w:val="0"/>
          <w:numId w:val="3"/>
        </w:numPr>
        <w:spacing w:after="0" w:line="276" w:lineRule="auto"/>
        <w:outlineLvl w:val="0"/>
        <w:rPr>
          <w:noProof/>
          <w:szCs w:val="24"/>
        </w:rPr>
      </w:pPr>
      <w:r>
        <w:rPr>
          <w:noProof/>
        </w:rPr>
        <w:t>delna izvedba dveh ukrepov, financiranih z nepovratnimi sredstvi, za katera so bile prevzete obveznosti v letu 2024, s strani Hrvaške in Portugalske;</w:t>
      </w:r>
    </w:p>
    <w:p w14:paraId="21527976" w14:textId="206553A7" w:rsidR="00D63731" w:rsidRPr="006E75EA" w:rsidRDefault="00D63731" w:rsidP="00D63731">
      <w:pPr>
        <w:pStyle w:val="ListParagraph"/>
        <w:numPr>
          <w:ilvl w:val="0"/>
          <w:numId w:val="3"/>
        </w:numPr>
        <w:spacing w:after="0" w:line="276" w:lineRule="auto"/>
        <w:outlineLvl w:val="0"/>
        <w:rPr>
          <w:noProof/>
          <w:szCs w:val="24"/>
        </w:rPr>
      </w:pPr>
      <w:r>
        <w:rPr>
          <w:noProof/>
        </w:rPr>
        <w:t>izvedba devetih ukrepov, financiranih z nepovratnimi sredstvi, za katere so bile obveznosti prevzete v letu 2023, s strani držav članic: te ukrepe so izvedle Italija (štirje ukrepi), Španija (štirje ukrepi) in Francija (en ukrep);</w:t>
      </w:r>
    </w:p>
    <w:p w14:paraId="4DB6E644" w14:textId="40A78708" w:rsidR="00D63731" w:rsidRPr="006E75EA" w:rsidRDefault="00D63731" w:rsidP="00D63731">
      <w:pPr>
        <w:pStyle w:val="ListParagraph"/>
        <w:numPr>
          <w:ilvl w:val="0"/>
          <w:numId w:val="3"/>
        </w:numPr>
        <w:spacing w:after="0" w:line="276" w:lineRule="auto"/>
        <w:outlineLvl w:val="0"/>
        <w:rPr>
          <w:noProof/>
          <w:szCs w:val="24"/>
        </w:rPr>
      </w:pPr>
      <w:r>
        <w:rPr>
          <w:noProof/>
        </w:rPr>
        <w:t>izvedba dveh ukrepov, ki jih je naročila Komisija (za katera so bile obveznosti prevzete v letu 2024).</w:t>
      </w:r>
    </w:p>
    <w:p w14:paraId="2A22AD27" w14:textId="77777777" w:rsidR="00023539" w:rsidRPr="006E75EA" w:rsidRDefault="00023539" w:rsidP="00D63731">
      <w:pPr>
        <w:spacing w:after="0"/>
        <w:jc w:val="both"/>
        <w:outlineLvl w:val="0"/>
        <w:rPr>
          <w:rFonts w:ascii="Times New Roman" w:hAnsi="Times New Roman" w:cs="Times New Roman"/>
          <w:noProof/>
          <w:sz w:val="24"/>
          <w:szCs w:val="24"/>
        </w:rPr>
      </w:pPr>
    </w:p>
    <w:p w14:paraId="7CACA820" w14:textId="78934832" w:rsidR="00D63731" w:rsidRPr="006E75EA" w:rsidRDefault="00D63731" w:rsidP="00D63731">
      <w:pPr>
        <w:spacing w:after="0"/>
        <w:jc w:val="both"/>
        <w:outlineLvl w:val="0"/>
        <w:rPr>
          <w:rFonts w:ascii="Times New Roman" w:hAnsi="Times New Roman" w:cs="Times New Roman"/>
          <w:noProof/>
          <w:sz w:val="24"/>
          <w:szCs w:val="24"/>
        </w:rPr>
      </w:pPr>
      <w:r>
        <w:rPr>
          <w:rFonts w:ascii="Times New Roman" w:hAnsi="Times New Roman"/>
          <w:noProof/>
          <w:sz w:val="24"/>
        </w:rPr>
        <w:t>Navedeni ukrepi vključujejo pet izmenjav osebja, štiri tehnična usposabljanja, tri seminarje in en nakup opreme. V ukrepih je po ocenah sodelovalo 415 strokovnjakov</w:t>
      </w:r>
      <w:r w:rsidR="007D7612">
        <w:rPr>
          <w:rStyle w:val="FootnoteReference"/>
          <w:rFonts w:ascii="Times New Roman" w:hAnsi="Times New Roman" w:cs="Times New Roman"/>
          <w:noProof/>
          <w:sz w:val="24"/>
          <w:szCs w:val="24"/>
        </w:rPr>
        <w:footnoteReference w:id="10"/>
      </w:r>
      <w:r>
        <w:rPr>
          <w:rFonts w:ascii="Times New Roman" w:hAnsi="Times New Roman"/>
          <w:noProof/>
          <w:sz w:val="24"/>
        </w:rPr>
        <w:t>.</w:t>
      </w:r>
    </w:p>
    <w:p w14:paraId="36A001BE" w14:textId="77777777" w:rsidR="00916597" w:rsidRPr="006E75EA" w:rsidRDefault="00916597" w:rsidP="00D63731">
      <w:pPr>
        <w:spacing w:after="0"/>
        <w:jc w:val="both"/>
        <w:outlineLvl w:val="0"/>
        <w:rPr>
          <w:rFonts w:ascii="Times New Roman" w:hAnsi="Times New Roman" w:cs="Times New Roman"/>
          <w:noProof/>
          <w:sz w:val="24"/>
          <w:szCs w:val="24"/>
        </w:rPr>
      </w:pPr>
    </w:p>
    <w:p w14:paraId="0C05B05A" w14:textId="73A9D6B4" w:rsidR="00916597" w:rsidRPr="006E75EA" w:rsidRDefault="00916597" w:rsidP="00D63731">
      <w:pPr>
        <w:spacing w:after="0"/>
        <w:jc w:val="both"/>
        <w:outlineLvl w:val="0"/>
        <w:rPr>
          <w:rFonts w:ascii="Times New Roman" w:hAnsi="Times New Roman" w:cs="Times New Roman"/>
          <w:noProof/>
          <w:sz w:val="24"/>
          <w:szCs w:val="24"/>
        </w:rPr>
      </w:pPr>
      <w:r>
        <w:rPr>
          <w:rFonts w:ascii="Times New Roman" w:hAnsi="Times New Roman"/>
          <w:noProof/>
          <w:sz w:val="24"/>
        </w:rPr>
        <w:t>V letu 2024 je bila tudi opravljena vmesna ocena programa Pericles IV. V oceni (ki je zajemala obdobje 2021–2023) je bilo med drugim ocenjeno doseganje ciljev programa glede na merila uspešnosti, učinkovitosti, ustreznosti, skladnosti in dodane vrednosti EU.</w:t>
      </w:r>
    </w:p>
    <w:p w14:paraId="06BAC346" w14:textId="77777777" w:rsidR="00D63731" w:rsidRPr="006E75EA" w:rsidRDefault="00D63731" w:rsidP="00D63731">
      <w:pPr>
        <w:spacing w:after="0"/>
        <w:jc w:val="both"/>
        <w:outlineLvl w:val="0"/>
        <w:rPr>
          <w:rFonts w:ascii="Times New Roman" w:hAnsi="Times New Roman" w:cs="Times New Roman"/>
          <w:noProof/>
          <w:sz w:val="24"/>
          <w:szCs w:val="24"/>
        </w:rPr>
      </w:pPr>
    </w:p>
    <w:p w14:paraId="5BD65866" w14:textId="413E9EB3" w:rsidR="004C437F" w:rsidRPr="006E75EA" w:rsidRDefault="00781987" w:rsidP="0014177D">
      <w:pPr>
        <w:rPr>
          <w:noProof/>
        </w:rPr>
      </w:pPr>
      <w:r>
        <w:rPr>
          <w:noProof/>
        </w:rPr>
        <w:br w:type="page"/>
      </w:r>
      <w:r>
        <w:rPr>
          <w:rFonts w:ascii="Times New Roman" w:hAnsi="Times New Roman"/>
          <w:b/>
          <w:noProof/>
          <w:sz w:val="24"/>
        </w:rPr>
        <w:t>Grafa III in IV: izvor in poklicno področje udeležencev (ukrepi, izvedeni v letu 2024)</w:t>
      </w:r>
    </w:p>
    <w:tbl>
      <w:tblPr>
        <w:tblStyle w:val="TableGrid"/>
        <w:tblW w:w="0" w:type="auto"/>
        <w:tblLook w:val="04A0" w:firstRow="1" w:lastRow="0" w:firstColumn="1" w:lastColumn="0" w:noHBand="0" w:noVBand="1"/>
      </w:tblPr>
      <w:tblGrid>
        <w:gridCol w:w="4644"/>
        <w:gridCol w:w="4644"/>
      </w:tblGrid>
      <w:tr w:rsidR="004C437F" w:rsidRPr="006E75EA" w14:paraId="7BE38ADD" w14:textId="77777777" w:rsidTr="001D56D1">
        <w:tc>
          <w:tcPr>
            <w:tcW w:w="4866" w:type="dxa"/>
          </w:tcPr>
          <w:p w14:paraId="67889D6E" w14:textId="3D6214AD" w:rsidR="004C437F" w:rsidRPr="006E75EA" w:rsidRDefault="00AF7C12" w:rsidP="004C437F">
            <w:pPr>
              <w:jc w:val="both"/>
              <w:rPr>
                <w:noProof/>
              </w:rPr>
            </w:pPr>
            <w:r>
              <w:rPr>
                <w:noProof/>
                <w:lang w:val="en-GB" w:eastAsia="en-GB"/>
              </w:rPr>
              <w:drawing>
                <wp:inline distT="0" distB="0" distL="0" distR="0" wp14:anchorId="76BFF661" wp14:editId="66F30016">
                  <wp:extent cx="2952000" cy="3060000"/>
                  <wp:effectExtent l="0" t="0" r="1270" b="7620"/>
                  <wp:docPr id="895928738" name="Chart 1" descr="Pie chart showing origin of participants">
                    <a:extLst xmlns:a="http://schemas.openxmlformats.org/drawingml/2006/main">
                      <a:ext uri="{FF2B5EF4-FFF2-40B4-BE49-F238E27FC236}">
                        <a16:creationId xmlns:a16="http://schemas.microsoft.com/office/drawing/2014/main" id="{74252B76-006E-8F2D-8EE9-C0ADFDC9F8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422" w:type="dxa"/>
          </w:tcPr>
          <w:p w14:paraId="7F0C725A" w14:textId="781E534D" w:rsidR="004C437F" w:rsidRPr="006E75EA" w:rsidRDefault="001D56D1" w:rsidP="004C437F">
            <w:pPr>
              <w:jc w:val="both"/>
              <w:rPr>
                <w:noProof/>
              </w:rPr>
            </w:pPr>
            <w:r>
              <w:rPr>
                <w:noProof/>
                <w:lang w:val="en-GB" w:eastAsia="en-GB"/>
              </w:rPr>
              <w:drawing>
                <wp:inline distT="0" distB="0" distL="0" distR="0" wp14:anchorId="3E6EAD6E" wp14:editId="4409E680">
                  <wp:extent cx="2951480" cy="3079750"/>
                  <wp:effectExtent l="0" t="0" r="1270" b="6350"/>
                  <wp:docPr id="301495629" name="Chart 1" descr="Pie chart showing professional background of participants">
                    <a:extLst xmlns:a="http://schemas.openxmlformats.org/drawingml/2006/main">
                      <a:ext uri="{FF2B5EF4-FFF2-40B4-BE49-F238E27FC236}">
                        <a16:creationId xmlns:a16="http://schemas.microsoft.com/office/drawing/2014/main" id="{69C8C45E-278A-D7EC-D855-661DEFC946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00219A90" w14:textId="77777777" w:rsidR="004C437F" w:rsidRPr="006E75EA" w:rsidRDefault="004C437F" w:rsidP="004C437F">
      <w:pPr>
        <w:jc w:val="both"/>
        <w:rPr>
          <w:noProof/>
        </w:rPr>
      </w:pPr>
    </w:p>
    <w:p w14:paraId="0241D4D3" w14:textId="1F3ECB56" w:rsidR="007003F4" w:rsidRPr="006E75EA" w:rsidRDefault="007003F4" w:rsidP="0014177D">
      <w:pPr>
        <w:spacing w:after="0"/>
        <w:ind w:right="-567"/>
        <w:jc w:val="both"/>
        <w:outlineLvl w:val="0"/>
        <w:rPr>
          <w:rFonts w:ascii="Times New Roman" w:hAnsi="Times New Roman" w:cs="Times New Roman"/>
          <w:noProof/>
          <w:sz w:val="24"/>
          <w:szCs w:val="24"/>
        </w:rPr>
      </w:pPr>
      <w:r>
        <w:rPr>
          <w:rFonts w:ascii="Times New Roman" w:hAnsi="Times New Roman"/>
          <w:i/>
          <w:noProof/>
          <w:sz w:val="24"/>
        </w:rPr>
        <w:t>Izvor udeležencev</w:t>
      </w:r>
    </w:p>
    <w:p w14:paraId="5C543EA2" w14:textId="0656B227" w:rsidR="00D63731" w:rsidRPr="006E75EA" w:rsidRDefault="008E5F10" w:rsidP="00D63731">
      <w:pPr>
        <w:spacing w:after="0"/>
        <w:jc w:val="both"/>
        <w:outlineLvl w:val="0"/>
        <w:rPr>
          <w:rFonts w:ascii="Times New Roman" w:hAnsi="Times New Roman" w:cs="Times New Roman"/>
          <w:noProof/>
          <w:sz w:val="24"/>
          <w:szCs w:val="24"/>
        </w:rPr>
      </w:pPr>
      <w:bookmarkStart w:id="5" w:name="_Hlk188370862"/>
      <w:r>
        <w:rPr>
          <w:rFonts w:ascii="Times New Roman" w:hAnsi="Times New Roman"/>
          <w:noProof/>
          <w:sz w:val="24"/>
        </w:rPr>
        <w:t>Udeleženci so prihajali iz 51 držav. Večina udeležencev usposabljanja (70 %) je bila iz Evrope, in sicer 52 % iz držav članic euroobmočja, 6 % iz držav članic, ki niso v euroobmočju, in 12 % iz evropskih držav, ki niso države članice EU. Od preostalih udeležencev jih je bilo 12 % iz Latinske Amerike, 6 % iz evropskih institucij, 6 % iz Afrike in 6 % iz drugih regij.</w:t>
      </w:r>
    </w:p>
    <w:p w14:paraId="3172FC3D" w14:textId="77777777" w:rsidR="007003F4" w:rsidRPr="006E75EA" w:rsidRDefault="007003F4" w:rsidP="00D63731">
      <w:pPr>
        <w:spacing w:after="0"/>
        <w:jc w:val="both"/>
        <w:outlineLvl w:val="0"/>
        <w:rPr>
          <w:rFonts w:ascii="Times New Roman" w:hAnsi="Times New Roman" w:cs="Times New Roman"/>
          <w:noProof/>
          <w:sz w:val="24"/>
          <w:szCs w:val="24"/>
        </w:rPr>
      </w:pPr>
    </w:p>
    <w:p w14:paraId="59FEBB8E" w14:textId="1D7CA5C8" w:rsidR="007003F4" w:rsidRPr="006E75EA" w:rsidRDefault="007003F4" w:rsidP="007003F4">
      <w:pPr>
        <w:spacing w:after="0"/>
        <w:jc w:val="both"/>
        <w:outlineLvl w:val="0"/>
        <w:rPr>
          <w:rFonts w:ascii="Times New Roman" w:hAnsi="Times New Roman" w:cs="Times New Roman"/>
          <w:i/>
          <w:noProof/>
          <w:sz w:val="24"/>
          <w:szCs w:val="24"/>
        </w:rPr>
      </w:pPr>
      <w:r>
        <w:rPr>
          <w:rFonts w:ascii="Times New Roman" w:hAnsi="Times New Roman"/>
          <w:i/>
          <w:noProof/>
          <w:sz w:val="24"/>
        </w:rPr>
        <w:t xml:space="preserve">Poklicno </w:t>
      </w:r>
      <w:r w:rsidR="00717D46">
        <w:rPr>
          <w:rFonts w:ascii="Times New Roman" w:hAnsi="Times New Roman"/>
          <w:i/>
          <w:noProof/>
          <w:sz w:val="24"/>
        </w:rPr>
        <w:t>področje</w:t>
      </w:r>
      <w:r>
        <w:rPr>
          <w:rFonts w:ascii="Times New Roman" w:hAnsi="Times New Roman"/>
          <w:i/>
          <w:noProof/>
          <w:sz w:val="24"/>
        </w:rPr>
        <w:t xml:space="preserve"> udeležencev</w:t>
      </w:r>
    </w:p>
    <w:p w14:paraId="17CE9744" w14:textId="1B750C11" w:rsidR="007003F4" w:rsidRPr="006E75EA" w:rsidRDefault="007003F4" w:rsidP="00D63731">
      <w:pPr>
        <w:spacing w:after="0"/>
        <w:jc w:val="both"/>
        <w:outlineLvl w:val="0"/>
        <w:rPr>
          <w:rFonts w:ascii="Times New Roman" w:hAnsi="Times New Roman" w:cs="Times New Roman"/>
          <w:noProof/>
          <w:sz w:val="24"/>
          <w:szCs w:val="24"/>
        </w:rPr>
      </w:pPr>
    </w:p>
    <w:p w14:paraId="1643321A" w14:textId="1D99DCC3" w:rsidR="00D63731" w:rsidRPr="006E75EA" w:rsidRDefault="008E5F10" w:rsidP="00D63731">
      <w:pPr>
        <w:spacing w:after="0"/>
        <w:jc w:val="both"/>
        <w:outlineLvl w:val="0"/>
        <w:rPr>
          <w:rFonts w:ascii="Times New Roman" w:hAnsi="Times New Roman" w:cs="Times New Roman"/>
          <w:noProof/>
          <w:sz w:val="24"/>
          <w:szCs w:val="24"/>
        </w:rPr>
      </w:pPr>
      <w:r>
        <w:rPr>
          <w:rFonts w:ascii="Times New Roman" w:hAnsi="Times New Roman"/>
          <w:noProof/>
          <w:sz w:val="24"/>
        </w:rPr>
        <w:t xml:space="preserve">Pripadniki policijskih sil so predstavljali 49 % udeležencev. Tako močna zastopanost je posledica dejstva, da so policijski organi na čelu boja proti ponarejanju eura, policijsko osebje pa vključuje tako preiskovalce kot tehnično osebje. Druga največja skupina so bili strokovnjaki iz nacionalnih centralnih bank, ki so predstavljali 32 % udeležencev. Kot v letu 2023 je več ukrepov, izvedenih v letu 2024, vključevalo sodelovanje centralnih bank. Sodelovali so tudi uslužbenci evropskih institucij (6 %), nacionalne kovnice (3 %), sodstvo (3 %), carina (2 %) in druge kategorije (3 %), kar odraža celovit nabor poklicnih </w:t>
      </w:r>
      <w:r w:rsidR="00717D46">
        <w:rPr>
          <w:rFonts w:ascii="Times New Roman" w:hAnsi="Times New Roman"/>
          <w:noProof/>
          <w:sz w:val="24"/>
        </w:rPr>
        <w:t>področij</w:t>
      </w:r>
      <w:r>
        <w:rPr>
          <w:rFonts w:ascii="Times New Roman" w:hAnsi="Times New Roman"/>
          <w:noProof/>
          <w:sz w:val="24"/>
        </w:rPr>
        <w:t xml:space="preserve">. Poleg tega so se petega srečanja platforme 1210 že peto leto udeležili predstavniki industrije naprav za razvrščanje kovancev (3 %), kar še naprej potrjuje, da je zasebni sektor pomemben deležnik v boju proti ponarejanju. Tako izvajanje programa izpolnjuje zahtevo po nadnacionalni in interdisciplinarni razsežnosti iz Uredbe (EU) št. 2021/840 z visoko stopnjo diverzifikacije v smislu poklicnega </w:t>
      </w:r>
      <w:r w:rsidR="00717D46">
        <w:rPr>
          <w:rFonts w:ascii="Times New Roman" w:hAnsi="Times New Roman"/>
          <w:noProof/>
          <w:sz w:val="24"/>
        </w:rPr>
        <w:t>področja</w:t>
      </w:r>
      <w:r>
        <w:rPr>
          <w:rFonts w:ascii="Times New Roman" w:hAnsi="Times New Roman"/>
          <w:noProof/>
          <w:sz w:val="24"/>
        </w:rPr>
        <w:t>.</w:t>
      </w:r>
    </w:p>
    <w:bookmarkEnd w:id="5"/>
    <w:p w14:paraId="613DFF79" w14:textId="77777777" w:rsidR="00781987" w:rsidRPr="006E75EA" w:rsidRDefault="00781987" w:rsidP="00D63731">
      <w:pPr>
        <w:spacing w:after="0"/>
        <w:jc w:val="both"/>
        <w:outlineLvl w:val="0"/>
        <w:rPr>
          <w:rFonts w:ascii="Times New Roman" w:hAnsi="Times New Roman" w:cs="Times New Roman"/>
          <w:noProof/>
          <w:sz w:val="24"/>
          <w:szCs w:val="24"/>
          <w:highlight w:val="yellow"/>
        </w:rPr>
      </w:pPr>
    </w:p>
    <w:p w14:paraId="4E36C997" w14:textId="656DA68C" w:rsidR="00D63731" w:rsidRPr="006E75EA" w:rsidRDefault="00D63731" w:rsidP="00D63731">
      <w:pPr>
        <w:spacing w:after="0"/>
        <w:jc w:val="both"/>
        <w:outlineLvl w:val="0"/>
        <w:rPr>
          <w:rFonts w:ascii="Times New Roman" w:hAnsi="Times New Roman" w:cs="Times New Roman"/>
          <w:i/>
          <w:noProof/>
          <w:sz w:val="24"/>
          <w:szCs w:val="24"/>
        </w:rPr>
      </w:pPr>
      <w:r>
        <w:rPr>
          <w:rFonts w:ascii="Times New Roman" w:hAnsi="Times New Roman"/>
          <w:i/>
          <w:noProof/>
          <w:sz w:val="24"/>
        </w:rPr>
        <w:t>Glavni poudarki iz leta 2024</w:t>
      </w:r>
    </w:p>
    <w:p w14:paraId="26E09547" w14:textId="67F8D6D3" w:rsidR="00D63731" w:rsidRPr="006E75EA" w:rsidRDefault="00D63731" w:rsidP="00D63731">
      <w:pPr>
        <w:spacing w:after="0"/>
        <w:jc w:val="both"/>
        <w:outlineLvl w:val="0"/>
        <w:rPr>
          <w:rFonts w:ascii="Times New Roman" w:hAnsi="Times New Roman" w:cs="Times New Roman"/>
          <w:noProof/>
          <w:sz w:val="24"/>
          <w:szCs w:val="24"/>
        </w:rPr>
      </w:pPr>
    </w:p>
    <w:p w14:paraId="310EE2A7" w14:textId="487C9D70" w:rsidR="000610B4" w:rsidRPr="006E75EA" w:rsidRDefault="000610B4" w:rsidP="00D63731">
      <w:pPr>
        <w:spacing w:after="0"/>
        <w:jc w:val="both"/>
        <w:outlineLvl w:val="0"/>
        <w:rPr>
          <w:rFonts w:ascii="Times New Roman" w:hAnsi="Times New Roman" w:cs="Times New Roman"/>
          <w:noProof/>
          <w:sz w:val="24"/>
          <w:szCs w:val="24"/>
        </w:rPr>
      </w:pPr>
      <w:r>
        <w:rPr>
          <w:rFonts w:ascii="Times New Roman" w:hAnsi="Times New Roman"/>
          <w:noProof/>
          <w:sz w:val="24"/>
        </w:rPr>
        <w:t>Program je v letu 2024 uspešno ohranjal in dodatno krepil regionalno mednarodno sodelovanje v Jugovzhodni Evropi in Latinski Ameriki:</w:t>
      </w:r>
    </w:p>
    <w:p w14:paraId="27CED320" w14:textId="7CF2ECEB" w:rsidR="00252F5E" w:rsidRPr="006E75EA" w:rsidRDefault="00D63731" w:rsidP="00252F5E">
      <w:pPr>
        <w:pStyle w:val="ListParagraph"/>
        <w:numPr>
          <w:ilvl w:val="0"/>
          <w:numId w:val="5"/>
        </w:numPr>
        <w:spacing w:after="0" w:line="276" w:lineRule="auto"/>
        <w:outlineLvl w:val="0"/>
        <w:rPr>
          <w:noProof/>
        </w:rPr>
      </w:pPr>
      <w:r>
        <w:rPr>
          <w:noProof/>
        </w:rPr>
        <w:t>v letu 2024 je bilo izvedenih več ukrepov programa Pericles, ki so bili usmerjeni v spodbujanje in ohranjanje tesnega sodelovanja med nacionalnimi organi v Jugovzhodni Evropi. To je vključevalo izmenjave osebja, ki jih je organiziral italijanski Comando Carabinieri Antifalsificazione Monetaria (CCAFM), dve izmenjavi osebja, ki ju je organizirala italijanska Guardia di Finanza (GdF), in tehnično usposabljanje z udeleženci iz devetih držav Jugovzhodne Evrope, ki ga je organizirala Hrvatska narodna banka (HNB) in bo končano leta 2025. Ti ukrepi so vključevali tudi študijske obiske Turčije in/ali sodelovanje strokovnjakov iz te ključne prednostne države, ki je potencialna žariščna točka za proizvodnjo in tranzit ponaredkov eura;</w:t>
      </w:r>
    </w:p>
    <w:p w14:paraId="36F2F99C" w14:textId="5F1F0EA2" w:rsidR="003E7D3D" w:rsidRPr="006E75EA" w:rsidRDefault="00D63731" w:rsidP="003E7D3D">
      <w:pPr>
        <w:pStyle w:val="ListParagraph"/>
        <w:numPr>
          <w:ilvl w:val="0"/>
          <w:numId w:val="5"/>
        </w:numPr>
        <w:spacing w:after="0" w:line="276" w:lineRule="auto"/>
        <w:outlineLvl w:val="0"/>
        <w:rPr>
          <w:noProof/>
          <w:szCs w:val="24"/>
        </w:rPr>
      </w:pPr>
      <w:r>
        <w:rPr>
          <w:noProof/>
        </w:rPr>
        <w:t>španska Brigada de Investigación del Banco de España (BIBE) je organizirala tečaj o ponarejanju denarja za strokovnjake iz latinskoameriških držav, na katerem so se v Buenos Airesu v Argentini zbrali organi desetih latinskoameriških držav. Ukrep je spodbujal ukrepe za zaščito eura pred ponarejanjem v latinskoameriških državah, ki so zanj potencialno dovzetne. Poleg tega ukrep krepi povezave med posebnimi nedavno ustanovljenimi nacionalnimi centralnimi službami v tej regiji.</w:t>
      </w:r>
    </w:p>
    <w:p w14:paraId="2E6AA59B" w14:textId="77777777" w:rsidR="00C77800" w:rsidRPr="006E75EA" w:rsidRDefault="00C77800" w:rsidP="00874B28">
      <w:pPr>
        <w:spacing w:after="0"/>
        <w:outlineLvl w:val="0"/>
        <w:rPr>
          <w:noProof/>
          <w:szCs w:val="24"/>
        </w:rPr>
      </w:pPr>
    </w:p>
    <w:p w14:paraId="38D18DC6" w14:textId="458140E1" w:rsidR="003E7D3D" w:rsidRPr="006E75EA" w:rsidRDefault="003E7D3D" w:rsidP="00BB2DC8">
      <w:pPr>
        <w:spacing w:after="0"/>
        <w:jc w:val="both"/>
        <w:outlineLvl w:val="0"/>
        <w:rPr>
          <w:noProof/>
          <w:szCs w:val="24"/>
        </w:rPr>
      </w:pPr>
      <w:r>
        <w:rPr>
          <w:rFonts w:ascii="Times New Roman" w:hAnsi="Times New Roman"/>
          <w:noProof/>
          <w:sz w:val="24"/>
        </w:rPr>
        <w:t>Za izvajanje programa v letu 2024 so bili značilni tudi ukrepi, osredotočeni na aktualni razvoj v boju proti ponarejanju valut:</w:t>
      </w:r>
    </w:p>
    <w:p w14:paraId="4961F785" w14:textId="7D0BB5A5" w:rsidR="00B77916" w:rsidRPr="006E75EA" w:rsidRDefault="0055152E" w:rsidP="00BB2DC8">
      <w:pPr>
        <w:pStyle w:val="ListParagraph"/>
        <w:numPr>
          <w:ilvl w:val="0"/>
          <w:numId w:val="5"/>
        </w:numPr>
        <w:spacing w:after="0" w:line="276" w:lineRule="auto"/>
        <w:outlineLvl w:val="0"/>
        <w:rPr>
          <w:b/>
          <w:noProof/>
          <w:szCs w:val="24"/>
        </w:rPr>
      </w:pPr>
      <w:r>
        <w:rPr>
          <w:noProof/>
        </w:rPr>
        <w:t>prednostna naloga, ki jo je obravnavalo več ukrepov, so bili boj proti visokokakovostnim ponaredkom, izvajanje Uredbe (EU) št. 1210/2010 in ravnanje z eurokovanci, neprimernimi za obtok. Ukrepi s tem poudarkom so vključevali usposabljanje o analizi ponarejenih kovancev za tehnične strokovnjake in tehnično usposabljanje o dobrih praksah pri ravnanju z eurokovanci, neprimernimi za obtok, ki ju je organizirala Banco de España. Na šestem srečanju platforme 1210, ki je bilo organizirano kot ukrep Komisije, so sodelovali tudi deležniki iz industrije naprav za razvrščanje kovancev in nacionalnih centrov za analizo kovancev;</w:t>
      </w:r>
    </w:p>
    <w:p w14:paraId="639158C5" w14:textId="55438CD5" w:rsidR="00B82857" w:rsidRPr="006E75EA" w:rsidRDefault="000D7D91" w:rsidP="00EA53ED">
      <w:pPr>
        <w:pStyle w:val="ListParagraph"/>
        <w:numPr>
          <w:ilvl w:val="0"/>
          <w:numId w:val="5"/>
        </w:numPr>
        <w:spacing w:after="0" w:line="276" w:lineRule="auto"/>
        <w:outlineLvl w:val="0"/>
        <w:rPr>
          <w:noProof/>
          <w:szCs w:val="24"/>
        </w:rPr>
      </w:pPr>
      <w:r>
        <w:rPr>
          <w:noProof/>
        </w:rPr>
        <w:t>prednostna naloga glede spodbujanja sodelovanja z organi tretjih držav, v katerih obstaja sum ali dokaz o proizvodnji ponarejenih eurov, se je odražala v tretji platformi EU-Kitajska o zaščiti valut pred ponarejanjem. Dogodek, ki je bil organiziran kot ukrep Komisije, je predstavljal nadaljevanje dogodkov, ki sta bila predhodno organizirana v okviru platforme EU-Kitajska v Bruslju (2017) in Pekingu (2019). Na srečanju so imeli organi EU in Kitajske priložnost nadaljevati sodelovanje na operativni in upravni ravni, pri čemer je bilo poudarjeno, da je treba izboljšati komunikacijske kanale in olajšati izmenjavo informacij. Potekale so poglobljene razprave o vzajemnih izzivih na področju boja proti ponarejanju, kot so bankovci s spremenjeno podobo, ponarejeni varnostni elementi eura in ponarejeni eurokovanci, uvoženi iz Kitajske. To je omogočilo napredek pri krepitvi sodelovanja na upravni ravni.</w:t>
      </w:r>
    </w:p>
    <w:p w14:paraId="4D5C5766" w14:textId="77777777" w:rsidR="00525E80" w:rsidRPr="006E75EA" w:rsidRDefault="00525E80" w:rsidP="004333F9">
      <w:pPr>
        <w:spacing w:after="0"/>
        <w:outlineLvl w:val="0"/>
        <w:rPr>
          <w:noProof/>
          <w:szCs w:val="24"/>
        </w:rPr>
      </w:pPr>
    </w:p>
    <w:p w14:paraId="4776DCF4" w14:textId="599EE6ED" w:rsidR="004333F9" w:rsidRPr="006E75EA" w:rsidRDefault="004333F9" w:rsidP="0014177D">
      <w:pPr>
        <w:spacing w:after="0"/>
        <w:jc w:val="both"/>
        <w:outlineLvl w:val="0"/>
        <w:rPr>
          <w:noProof/>
          <w:szCs w:val="24"/>
        </w:rPr>
      </w:pPr>
      <w:r>
        <w:rPr>
          <w:rFonts w:ascii="Times New Roman" w:hAnsi="Times New Roman"/>
          <w:noProof/>
          <w:sz w:val="24"/>
        </w:rPr>
        <w:t>V letu 2024 je bilo izvedenih tudi več tečajev tehničnega usposabljanja z bolj inovativno zasnovo. Francoski OCRFM je organiziral tehnično in operativno usposabljanje o zaščiti eura pred ponarejanjem, sestavljeno iz več simulacijskih delavnic, na katerih so bili udeleženci postavljeni v situacije, ki so temeljile na dejanskih preiskavah ponarejanja. Poleg tega je portugalska Policia Judiciaria delno izvedla pobudo za krepitev zmogljivosti za odkrivanje, analizo in sporočanje ponarejenih eurobankovcih s strani policijskih organov Zelenortskih otokov (COUNTERACT), ki je vključevala nakup opreme, ki jo organi Zelenortskih otokov potrebujejo za izvajanje preiskav ponarejanja, in usposabljanje o njeni uporabi.</w:t>
      </w:r>
    </w:p>
    <w:p w14:paraId="7C80CD48" w14:textId="77777777" w:rsidR="00BB2DC8" w:rsidRPr="006E75EA" w:rsidRDefault="00BB2DC8" w:rsidP="00BB2DC8">
      <w:pPr>
        <w:pStyle w:val="ListParagraph"/>
        <w:spacing w:after="0" w:line="276" w:lineRule="auto"/>
        <w:outlineLvl w:val="0"/>
        <w:rPr>
          <w:b/>
          <w:noProof/>
          <w:szCs w:val="24"/>
        </w:rPr>
      </w:pPr>
    </w:p>
    <w:p w14:paraId="49E30479" w14:textId="4507BC72" w:rsidR="00D63731" w:rsidRPr="006E75EA" w:rsidRDefault="00D63731" w:rsidP="00D63731">
      <w:pPr>
        <w:pStyle w:val="ManualNumPar1"/>
        <w:numPr>
          <w:ilvl w:val="0"/>
          <w:numId w:val="2"/>
        </w:numPr>
        <w:spacing w:line="276" w:lineRule="auto"/>
        <w:ind w:left="426" w:hanging="426"/>
        <w:rPr>
          <w:b/>
          <w:noProof/>
          <w:szCs w:val="24"/>
        </w:rPr>
      </w:pPr>
      <w:r>
        <w:rPr>
          <w:b/>
          <w:noProof/>
        </w:rPr>
        <w:t>Spremljanje kvantitativnih in kvalitativnih kazalnikov</w:t>
      </w:r>
    </w:p>
    <w:p w14:paraId="252F774A" w14:textId="7238B3B6" w:rsidR="00D63731" w:rsidRPr="006E75EA" w:rsidRDefault="00D63731" w:rsidP="00D63731">
      <w:pPr>
        <w:jc w:val="both"/>
        <w:outlineLvl w:val="0"/>
        <w:rPr>
          <w:rFonts w:ascii="Times New Roman" w:hAnsi="Times New Roman" w:cs="Times New Roman"/>
          <w:noProof/>
          <w:sz w:val="24"/>
          <w:szCs w:val="24"/>
        </w:rPr>
      </w:pPr>
      <w:r>
        <w:rPr>
          <w:rFonts w:ascii="Times New Roman" w:hAnsi="Times New Roman"/>
          <w:noProof/>
          <w:sz w:val="24"/>
        </w:rPr>
        <w:t>V členu 12(3) Uredbe (EU) 2021/840 je navedeno, da bi se morali v tem poročilu upoštevati kvantitativni in kvalitativni kazalniki programa Pericles IV. Podatki o teh kazalnikih za leto 2024 so naslednji:</w:t>
      </w:r>
    </w:p>
    <w:p w14:paraId="7FE3F92E" w14:textId="7F1662AE" w:rsidR="00002099" w:rsidRPr="006E75EA" w:rsidRDefault="00D63731" w:rsidP="00C7667C">
      <w:pPr>
        <w:pStyle w:val="ListParagraph"/>
        <w:numPr>
          <w:ilvl w:val="0"/>
          <w:numId w:val="4"/>
        </w:numPr>
        <w:spacing w:line="276" w:lineRule="auto"/>
        <w:outlineLvl w:val="0"/>
        <w:rPr>
          <w:noProof/>
          <w:szCs w:val="24"/>
        </w:rPr>
      </w:pPr>
      <w:r>
        <w:rPr>
          <w:b/>
          <w:noProof/>
        </w:rPr>
        <w:t>število odkritih ponarejenih eurov (bankovci: 554 000, kovanci: 416 276):</w:t>
      </w:r>
      <w:r>
        <w:rPr>
          <w:noProof/>
        </w:rPr>
        <w:t xml:space="preserve"> cilj za ta kazalnik je ohraniti nadzor nad številom odkritih ponarejenih eurobankovcev in eurokovancev v razponu ± 5 % v primerjavi s povprečjem za obdobje 2014–2020 (671 000/174 112). Število odkritih ponarejenih eurobankovcev je manjše od cilja, vendar se postopoma povečuje. Število odkritih kovancev je preseglo zastavljeni cilj. Vendar obstaja le posredna povezava med programom in temi kazalniki, saj imajo pomembno vlogo tudi različni zunanji dejavniki. Ti vključujejo napredek pri policijskih preiskavah in količino proizvodnje ponaredkov;</w:t>
      </w:r>
    </w:p>
    <w:p w14:paraId="06524D1E" w14:textId="15893395" w:rsidR="00D63731" w:rsidRPr="006E75EA" w:rsidRDefault="00D63731" w:rsidP="00BE0461">
      <w:pPr>
        <w:pStyle w:val="ListParagraph"/>
        <w:numPr>
          <w:ilvl w:val="0"/>
          <w:numId w:val="4"/>
        </w:numPr>
        <w:spacing w:line="276" w:lineRule="auto"/>
        <w:outlineLvl w:val="0"/>
        <w:rPr>
          <w:noProof/>
          <w:szCs w:val="24"/>
        </w:rPr>
      </w:pPr>
      <w:r>
        <w:rPr>
          <w:b/>
          <w:noProof/>
        </w:rPr>
        <w:t xml:space="preserve">število uničenih nezakonitih tiskarn (9): </w:t>
      </w:r>
      <w:r>
        <w:rPr>
          <w:noProof/>
        </w:rPr>
        <w:t>cilj glede števila uničenih nezakonitih tiskarn je ohraniti število pod nadzorom v razponu ± 10 % v primerjavi s številom za leto 2019 (22). Število nezakonitih tiskarn, ki so bile uničene leta 2024, je manjše od cilja. Kot je bilo že pojasnjeno pri kazalniku 1, je povezava med programom in tem kazalnikom le posredna, saj imajo pomembno vlogo različni zunanji dejavniki;</w:t>
      </w:r>
    </w:p>
    <w:p w14:paraId="1E651EDD" w14:textId="26594CE3" w:rsidR="00D63731" w:rsidRPr="006E75EA" w:rsidRDefault="00D63731" w:rsidP="00BE0461">
      <w:pPr>
        <w:pStyle w:val="ListParagraph"/>
        <w:numPr>
          <w:ilvl w:val="0"/>
          <w:numId w:val="4"/>
        </w:numPr>
        <w:spacing w:line="276" w:lineRule="auto"/>
        <w:outlineLvl w:val="0"/>
        <w:rPr>
          <w:noProof/>
          <w:szCs w:val="24"/>
        </w:rPr>
      </w:pPr>
      <w:r>
        <w:rPr>
          <w:b/>
          <w:noProof/>
        </w:rPr>
        <w:t>število posameznih pristojnih organov, ki so se prijavili v program (9):</w:t>
      </w:r>
      <w:r>
        <w:rPr>
          <w:noProof/>
        </w:rPr>
        <w:t xml:space="preserve"> s tem kazalnikom se meri interes pristojnih nacionalnih organov za program. Cilj za leto 2024 je 12, za leto 2027 pa 24. Čeprav se število posameznih prosilcev za prijavo v program povečuje, je še vedno manjše od cilja;</w:t>
      </w:r>
    </w:p>
    <w:p w14:paraId="285DC925" w14:textId="08CB8E4C" w:rsidR="00D63731" w:rsidRPr="006E75EA" w:rsidRDefault="00D63731" w:rsidP="00D63731">
      <w:pPr>
        <w:pStyle w:val="ListParagraph"/>
        <w:numPr>
          <w:ilvl w:val="0"/>
          <w:numId w:val="4"/>
        </w:numPr>
        <w:spacing w:line="276" w:lineRule="auto"/>
        <w:outlineLvl w:val="0"/>
        <w:rPr>
          <w:noProof/>
          <w:szCs w:val="24"/>
        </w:rPr>
      </w:pPr>
      <w:r>
        <w:rPr>
          <w:b/>
          <w:noProof/>
        </w:rPr>
        <w:t>stopnja zadovoljstva udeležencev v ukrepih, ki se financirajo v okviru programa (99,36 %):</w:t>
      </w:r>
      <w:r>
        <w:rPr>
          <w:noProof/>
        </w:rPr>
        <w:t xml:space="preserve"> s tem kazalnikom se meri kakovost usposabljanja, kot jo dojemajo udeleženci. Cilj je 75 %. Stopnja pozitivnih povratnih informacij je znatno višja od cilja;</w:t>
      </w:r>
    </w:p>
    <w:p w14:paraId="5746E5DB" w14:textId="69CFFE42" w:rsidR="00DC2F68" w:rsidRPr="006E75EA" w:rsidRDefault="00D63731" w:rsidP="00DC2F68">
      <w:pPr>
        <w:pStyle w:val="ListParagraph"/>
        <w:numPr>
          <w:ilvl w:val="0"/>
          <w:numId w:val="4"/>
        </w:numPr>
        <w:spacing w:line="276" w:lineRule="auto"/>
        <w:outlineLvl w:val="0"/>
        <w:rPr>
          <w:noProof/>
          <w:szCs w:val="24"/>
        </w:rPr>
      </w:pPr>
      <w:r>
        <w:rPr>
          <w:b/>
          <w:noProof/>
        </w:rPr>
        <w:t xml:space="preserve">povratne informacije udeležencev v preteklih ukrepih programa Pericles o učinku programa na njihove dejavnosti na področju zaščite eura pred ponarejanjem (98,78 %): </w:t>
      </w:r>
      <w:r>
        <w:rPr>
          <w:noProof/>
        </w:rPr>
        <w:t>s tem kazalnikom se meri vzdržnost ukrepov v okviru programa. Cilj je 75 %. Odstotek pozitivnih povratnih informacij je znatno višji od cilja.</w:t>
      </w:r>
    </w:p>
    <w:p w14:paraId="6AC2A13D" w14:textId="77777777" w:rsidR="00C77800" w:rsidRPr="006E75EA" w:rsidRDefault="00C77800" w:rsidP="00874B28">
      <w:pPr>
        <w:pStyle w:val="ListParagraph"/>
        <w:spacing w:line="276" w:lineRule="auto"/>
        <w:outlineLvl w:val="0"/>
        <w:rPr>
          <w:noProof/>
          <w:szCs w:val="24"/>
        </w:rPr>
      </w:pPr>
    </w:p>
    <w:p w14:paraId="6E73D973" w14:textId="77777777" w:rsidR="00D63731" w:rsidRPr="006E75EA" w:rsidRDefault="00D63731" w:rsidP="00D63731">
      <w:pPr>
        <w:pStyle w:val="ManualNumPar1"/>
        <w:numPr>
          <w:ilvl w:val="0"/>
          <w:numId w:val="2"/>
        </w:numPr>
        <w:spacing w:line="276" w:lineRule="auto"/>
        <w:ind w:left="426" w:hanging="426"/>
        <w:rPr>
          <w:b/>
          <w:noProof/>
          <w:szCs w:val="24"/>
        </w:rPr>
      </w:pPr>
      <w:r>
        <w:rPr>
          <w:b/>
          <w:noProof/>
        </w:rPr>
        <w:t>Sklepne ugotovitve in nadaljnji ukrepi</w:t>
      </w:r>
    </w:p>
    <w:p w14:paraId="6D69F780" w14:textId="731FC251" w:rsidR="00D63731" w:rsidRPr="006E75EA" w:rsidRDefault="00D63731" w:rsidP="00D63731">
      <w:pPr>
        <w:jc w:val="both"/>
        <w:outlineLvl w:val="0"/>
        <w:rPr>
          <w:rFonts w:ascii="Times New Roman" w:hAnsi="Times New Roman" w:cs="Times New Roman"/>
          <w:noProof/>
          <w:sz w:val="24"/>
          <w:szCs w:val="24"/>
        </w:rPr>
      </w:pPr>
      <w:r>
        <w:rPr>
          <w:rFonts w:ascii="Times New Roman" w:hAnsi="Times New Roman"/>
          <w:noProof/>
          <w:sz w:val="24"/>
        </w:rPr>
        <w:t>Program Pericles IV je tako kot njegov predhodnik še naprej pomembno in učinkovito orodje v boju proti ponarejanju. Program podpira študije, vzdržuje in razvija sodelovanje ter podpira izmenjavo dobrih praks med vsemi deležniki, vključenimi v boj proti ponarejanju eura. Dejstvo, da so bile v letu 2024 prevzete obveznosti za 100 % celotnega proračuna, odraža interes držav članic za program.</w:t>
      </w:r>
    </w:p>
    <w:p w14:paraId="1548EAE7" w14:textId="08D0F666" w:rsidR="00D63731" w:rsidRPr="006E75EA" w:rsidRDefault="00D63731" w:rsidP="00D63731">
      <w:pPr>
        <w:spacing w:after="0"/>
        <w:jc w:val="both"/>
        <w:outlineLvl w:val="0"/>
        <w:rPr>
          <w:rFonts w:ascii="Times New Roman" w:hAnsi="Times New Roman" w:cs="Times New Roman"/>
          <w:noProof/>
          <w:sz w:val="24"/>
          <w:szCs w:val="24"/>
        </w:rPr>
      </w:pPr>
      <w:r>
        <w:rPr>
          <w:rFonts w:ascii="Times New Roman" w:hAnsi="Times New Roman"/>
          <w:noProof/>
          <w:sz w:val="24"/>
        </w:rPr>
        <w:t xml:space="preserve">Komisija rezultate projektov, ki se podpirajo v okviru programa, redno posreduje </w:t>
      </w:r>
      <w:r>
        <w:rPr>
          <w:rFonts w:ascii="Times New Roman" w:hAnsi="Times New Roman"/>
          <w:noProof/>
          <w:color w:val="000000"/>
          <w:sz w:val="24"/>
        </w:rPr>
        <w:t>skupini strokovnjakov za preprečevanje ponarejanja eura (ECEG). V letu 2024 se je skupina ECEG sestala trikrat.</w:t>
      </w:r>
      <w:r>
        <w:rPr>
          <w:rFonts w:ascii="Times New Roman" w:hAnsi="Times New Roman"/>
          <w:noProof/>
          <w:sz w:val="24"/>
        </w:rPr>
        <w:t xml:space="preserve"> Program kaže visoko stopnjo skladnosti in dopolnjevanja z drugimi ustreznimi programi in ukrepi na ravni EU, saj je izključno namenjen zaščiti eura s preprečevanjem posebne oblike organiziranega kriminala, tj. ponarejanja eura, in bojem proti njej. Primeri vključujejo instrument GD NEAR za </w:t>
      </w:r>
      <w:r>
        <w:rPr>
          <w:rFonts w:ascii="Times New Roman" w:hAnsi="Times New Roman"/>
          <w:b/>
          <w:noProof/>
          <w:sz w:val="24"/>
        </w:rPr>
        <w:t>izmenjavo informacij in tehnično pomoč (TAIEX)</w:t>
      </w:r>
      <w:r>
        <w:rPr>
          <w:rFonts w:ascii="Times New Roman" w:hAnsi="Times New Roman"/>
          <w:noProof/>
          <w:sz w:val="24"/>
        </w:rPr>
        <w:t>, ki se najpogosteje uporablja kot podpora pri pristopnih pogajanjih, ter Sklad za notranjo varnost – policija</w:t>
      </w:r>
      <w:r w:rsidRPr="00AA7ED0">
        <w:rPr>
          <w:rStyle w:val="FootnoteReference"/>
          <w:rFonts w:ascii="Times New Roman" w:hAnsi="Times New Roman" w:cs="Times New Roman"/>
          <w:noProof/>
          <w:sz w:val="24"/>
          <w:szCs w:val="24"/>
        </w:rPr>
        <w:footnoteReference w:id="11"/>
      </w:r>
      <w:r>
        <w:rPr>
          <w:rFonts w:ascii="Times New Roman" w:hAnsi="Times New Roman"/>
          <w:noProof/>
          <w:sz w:val="24"/>
        </w:rPr>
        <w:t xml:space="preserve"> v okviru GD HOME, ki zajema splošno preprečevanje kaznivih dejanj in boj proti njim. Po vključitvi boja proti ponarejanju denarja kot ene od prednostnih nalog v operativni akcijski načrt platforme EMPACT</w:t>
      </w:r>
      <w:r w:rsidR="00C35E58" w:rsidRPr="00AA7ED0">
        <w:rPr>
          <w:rStyle w:val="FootnoteReference"/>
          <w:rFonts w:ascii="Times New Roman" w:hAnsi="Times New Roman" w:cs="Times New Roman"/>
          <w:noProof/>
          <w:sz w:val="24"/>
          <w:szCs w:val="24"/>
        </w:rPr>
        <w:footnoteReference w:id="12"/>
      </w:r>
      <w:r>
        <w:rPr>
          <w:rFonts w:ascii="Times New Roman" w:hAnsi="Times New Roman"/>
          <w:noProof/>
          <w:sz w:val="24"/>
        </w:rPr>
        <w:t xml:space="preserve"> se Komisija tesno usklajuje z vodilno državo članico v okviru platforme EMPACT, da bi bilo dopolnjevanje med obema viroma financiranja čim večje.</w:t>
      </w:r>
    </w:p>
    <w:p w14:paraId="3B2F4E3F" w14:textId="77777777" w:rsidR="00D72FC6" w:rsidRPr="006E75EA" w:rsidRDefault="00D72FC6" w:rsidP="00D63731">
      <w:pPr>
        <w:spacing w:after="0"/>
        <w:jc w:val="both"/>
        <w:outlineLvl w:val="0"/>
        <w:rPr>
          <w:rFonts w:ascii="Times New Roman" w:hAnsi="Times New Roman" w:cs="Times New Roman"/>
          <w:b/>
          <w:noProof/>
          <w:sz w:val="24"/>
          <w:szCs w:val="24"/>
          <w:highlight w:val="yellow"/>
        </w:rPr>
      </w:pPr>
    </w:p>
    <w:p w14:paraId="26536D53" w14:textId="5A6DE208" w:rsidR="00D63731" w:rsidRPr="006E75EA" w:rsidRDefault="00D63731" w:rsidP="00D63731">
      <w:pPr>
        <w:spacing w:after="0"/>
        <w:jc w:val="both"/>
        <w:rPr>
          <w:rFonts w:ascii="Times New Roman" w:hAnsi="Times New Roman" w:cs="Times New Roman"/>
          <w:noProof/>
          <w:sz w:val="24"/>
          <w:szCs w:val="24"/>
        </w:rPr>
      </w:pPr>
      <w:r>
        <w:rPr>
          <w:rFonts w:ascii="Times New Roman" w:hAnsi="Times New Roman"/>
          <w:noProof/>
          <w:sz w:val="24"/>
        </w:rPr>
        <w:t>Na podlagi dosedanjih rezultatov programa in stalne analize novih groženj, o katerih je razpravljala skupina ECEG, so bile za leto 2025 določene naslednje prednostne naloge</w:t>
      </w:r>
      <w:r w:rsidRPr="00AA7ED0">
        <w:rPr>
          <w:rStyle w:val="FootnoteReference"/>
          <w:rFonts w:ascii="Times New Roman" w:hAnsi="Times New Roman" w:cs="Times New Roman"/>
          <w:noProof/>
          <w:sz w:val="24"/>
          <w:szCs w:val="24"/>
        </w:rPr>
        <w:footnoteReference w:id="13"/>
      </w:r>
      <w:r>
        <w:rPr>
          <w:rFonts w:ascii="Times New Roman" w:hAnsi="Times New Roman"/>
          <w:noProof/>
          <w:sz w:val="24"/>
        </w:rPr>
        <w:t>:</w:t>
      </w:r>
    </w:p>
    <w:p w14:paraId="34BC4CC2" w14:textId="44852206" w:rsidR="00D63731" w:rsidRPr="006E75EA" w:rsidRDefault="002F49D3" w:rsidP="00C7667C">
      <w:pPr>
        <w:pStyle w:val="ListParagraph"/>
        <w:numPr>
          <w:ilvl w:val="0"/>
          <w:numId w:val="1"/>
        </w:numPr>
        <w:rPr>
          <w:noProof/>
          <w:color w:val="000000"/>
          <w:szCs w:val="24"/>
        </w:rPr>
      </w:pPr>
      <w:r>
        <w:rPr>
          <w:noProof/>
          <w:color w:val="000000"/>
        </w:rPr>
        <w:t>podpora dejavnostim, ki so namenjene izboljšanju sodelovanja med državami članicami, na katere proizvodnja in distribucija ponaredkov še posebej vplivata;</w:t>
      </w:r>
    </w:p>
    <w:p w14:paraId="36D98685" w14:textId="7027ECB9" w:rsidR="00D63731" w:rsidRPr="006E75EA" w:rsidRDefault="002F49D3" w:rsidP="00C7667C">
      <w:pPr>
        <w:pStyle w:val="ListParagraph"/>
        <w:numPr>
          <w:ilvl w:val="0"/>
          <w:numId w:val="1"/>
        </w:numPr>
        <w:rPr>
          <w:noProof/>
          <w:color w:val="000000"/>
          <w:szCs w:val="24"/>
        </w:rPr>
      </w:pPr>
      <w:r>
        <w:rPr>
          <w:noProof/>
          <w:color w:val="000000"/>
        </w:rPr>
        <w:t>spodbujanje sodelovanja z organi tretjih držav, za katere obstaja sum ali dokaz, da v njih poteka proizvodnja ponarejenih eurov;</w:t>
      </w:r>
    </w:p>
    <w:p w14:paraId="520A6033" w14:textId="18BF8099" w:rsidR="00D63731" w:rsidRPr="006E75EA" w:rsidRDefault="002F49D3" w:rsidP="00C7667C">
      <w:pPr>
        <w:pStyle w:val="ListParagraph"/>
        <w:numPr>
          <w:ilvl w:val="0"/>
          <w:numId w:val="1"/>
        </w:numPr>
        <w:rPr>
          <w:noProof/>
          <w:color w:val="000000"/>
          <w:szCs w:val="24"/>
        </w:rPr>
      </w:pPr>
      <w:r>
        <w:rPr>
          <w:noProof/>
          <w:color w:val="000000"/>
        </w:rPr>
        <w:t>ohranjanje učinkovitega okvira za zaščito eura v Jugovzhodni Evropi;</w:t>
      </w:r>
    </w:p>
    <w:p w14:paraId="73197418" w14:textId="10C20E20" w:rsidR="00D63731" w:rsidRPr="006E75EA" w:rsidRDefault="002F49D3" w:rsidP="00D63731">
      <w:pPr>
        <w:pStyle w:val="ListParagraph"/>
        <w:numPr>
          <w:ilvl w:val="0"/>
          <w:numId w:val="1"/>
        </w:numPr>
        <w:spacing w:before="0" w:after="0" w:line="276" w:lineRule="auto"/>
        <w:rPr>
          <w:noProof/>
          <w:color w:val="000000"/>
          <w:szCs w:val="24"/>
        </w:rPr>
      </w:pPr>
      <w:r>
        <w:rPr>
          <w:noProof/>
          <w:color w:val="000000"/>
        </w:rPr>
        <w:t>aktualni dogodki:</w:t>
      </w:r>
    </w:p>
    <w:p w14:paraId="13755C8C" w14:textId="67E798E4" w:rsidR="00DF6A44" w:rsidRPr="006E75EA" w:rsidRDefault="002F49D3" w:rsidP="00DF6A44">
      <w:pPr>
        <w:pStyle w:val="ListParagraph"/>
        <w:numPr>
          <w:ilvl w:val="1"/>
          <w:numId w:val="1"/>
        </w:numPr>
        <w:spacing w:before="0" w:after="0" w:line="276" w:lineRule="auto"/>
        <w:rPr>
          <w:noProof/>
          <w:color w:val="000000"/>
          <w:szCs w:val="24"/>
        </w:rPr>
      </w:pPr>
      <w:r>
        <w:rPr>
          <w:noProof/>
          <w:color w:val="000000"/>
        </w:rPr>
        <w:t>distribucija ponaredkov in visokokakovostnih komponent na temnem omrežju ter spletna distribucija denarja, ki se uporablja pri snemanju filmov („movie money“), in lažnega denarja („prop copy“) (vključno z bankovci s spremenjeno podobo);</w:t>
      </w:r>
    </w:p>
    <w:p w14:paraId="186C2ECB" w14:textId="257F84B7" w:rsidR="00DF6A44" w:rsidRPr="006E75EA" w:rsidRDefault="002F49D3" w:rsidP="00DF6A44">
      <w:pPr>
        <w:pStyle w:val="ListParagraph"/>
        <w:numPr>
          <w:ilvl w:val="1"/>
          <w:numId w:val="1"/>
        </w:numPr>
        <w:spacing w:before="0" w:after="0" w:line="276" w:lineRule="auto"/>
        <w:rPr>
          <w:noProof/>
          <w:color w:val="000000"/>
          <w:szCs w:val="24"/>
        </w:rPr>
      </w:pPr>
      <w:r>
        <w:rPr>
          <w:noProof/>
          <w:color w:val="000000"/>
        </w:rPr>
        <w:t>podpora za ustanovitev/okrepitev nacionalnih centralnih služb;</w:t>
      </w:r>
    </w:p>
    <w:p w14:paraId="0288BEEA" w14:textId="6F1A9F09" w:rsidR="00B7024A" w:rsidRPr="006E75EA" w:rsidRDefault="002F49D3" w:rsidP="00D63731">
      <w:pPr>
        <w:pStyle w:val="ListParagraph"/>
        <w:numPr>
          <w:ilvl w:val="1"/>
          <w:numId w:val="1"/>
        </w:numPr>
        <w:spacing w:before="0" w:after="0" w:line="276" w:lineRule="auto"/>
        <w:rPr>
          <w:noProof/>
          <w:color w:val="000000"/>
          <w:szCs w:val="24"/>
        </w:rPr>
      </w:pPr>
      <w:r>
        <w:rPr>
          <w:noProof/>
          <w:color w:val="000000"/>
        </w:rPr>
        <w:t>eurokovanci: boj proti visokokakovostnim ponaredkom, izvajanje Uredbe (EU) št. 1210/2010 in ravnanje z eurokovanci, neprimernimi za obtok.</w:t>
      </w:r>
    </w:p>
    <w:sectPr w:rsidR="00B7024A" w:rsidRPr="006E75EA" w:rsidSect="00D63731">
      <w:headerReference w:type="even" r:id="rId21"/>
      <w:headerReference w:type="default" r:id="rId22"/>
      <w:footerReference w:type="even" r:id="rId23"/>
      <w:footerReference w:type="default" r:id="rId24"/>
      <w:headerReference w:type="first" r:id="rId25"/>
      <w:footerReference w:type="first" r:id="rId26"/>
      <w:pgSz w:w="11906" w:h="16838"/>
      <w:pgMar w:top="709" w:right="1417" w:bottom="1417" w:left="1417" w:header="708" w:footer="4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5D4D" w14:textId="77777777" w:rsidR="000E3114" w:rsidRPr="006E75EA" w:rsidRDefault="000E3114" w:rsidP="0030602E">
      <w:pPr>
        <w:spacing w:after="0" w:line="240" w:lineRule="auto"/>
      </w:pPr>
      <w:r w:rsidRPr="006E75EA">
        <w:separator/>
      </w:r>
    </w:p>
  </w:endnote>
  <w:endnote w:type="continuationSeparator" w:id="0">
    <w:p w14:paraId="20B4BC23" w14:textId="77777777" w:rsidR="000E3114" w:rsidRPr="006E75EA" w:rsidRDefault="000E3114" w:rsidP="0030602E">
      <w:pPr>
        <w:spacing w:after="0" w:line="240" w:lineRule="auto"/>
      </w:pPr>
      <w:r w:rsidRPr="006E75E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AFA54" w14:textId="44021BD3" w:rsidR="009855C1" w:rsidRPr="009855C1" w:rsidRDefault="009855C1" w:rsidP="009855C1">
    <w:pPr>
      <w:pStyle w:val="FooterCoverPage"/>
      <w:rPr>
        <w:rFonts w:ascii="Arial" w:hAnsi="Arial" w:cs="Arial"/>
        <w:b/>
        <w:sz w:val="48"/>
      </w:rPr>
    </w:pPr>
    <w:r w:rsidRPr="009855C1">
      <w:rPr>
        <w:rFonts w:ascii="Arial" w:hAnsi="Arial" w:cs="Arial"/>
        <w:b/>
        <w:sz w:val="48"/>
      </w:rPr>
      <w:t>SL</w:t>
    </w:r>
    <w:r w:rsidRPr="009855C1">
      <w:rPr>
        <w:rFonts w:ascii="Arial" w:hAnsi="Arial" w:cs="Arial"/>
        <w:b/>
        <w:sz w:val="48"/>
      </w:rPr>
      <w:tab/>
    </w:r>
    <w:r w:rsidRPr="009855C1">
      <w:rPr>
        <w:rFonts w:ascii="Arial" w:hAnsi="Arial" w:cs="Arial"/>
        <w:b/>
        <w:sz w:val="48"/>
      </w:rPr>
      <w:tab/>
    </w:r>
    <w:r w:rsidRPr="009855C1">
      <w:tab/>
    </w:r>
    <w:r w:rsidRPr="009855C1">
      <w:rPr>
        <w:rFonts w:ascii="Arial" w:hAnsi="Arial" w:cs="Arial"/>
        <w:b/>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26887" w14:textId="13268180" w:rsidR="009855C1" w:rsidRPr="009855C1" w:rsidRDefault="009855C1" w:rsidP="009855C1">
    <w:pPr>
      <w:pStyle w:val="FooterCoverPage"/>
      <w:rPr>
        <w:rFonts w:ascii="Arial" w:hAnsi="Arial" w:cs="Arial"/>
        <w:b/>
        <w:sz w:val="48"/>
      </w:rPr>
    </w:pPr>
    <w:r w:rsidRPr="009855C1">
      <w:rPr>
        <w:rFonts w:ascii="Arial" w:hAnsi="Arial" w:cs="Arial"/>
        <w:b/>
        <w:sz w:val="48"/>
      </w:rPr>
      <w:t>SL</w:t>
    </w:r>
    <w:r w:rsidRPr="009855C1">
      <w:rPr>
        <w:rFonts w:ascii="Arial" w:hAnsi="Arial" w:cs="Arial"/>
        <w:b/>
        <w:sz w:val="48"/>
      </w:rPr>
      <w:tab/>
    </w:r>
    <w:r w:rsidRPr="009855C1">
      <w:rPr>
        <w:rFonts w:ascii="Arial" w:hAnsi="Arial" w:cs="Arial"/>
        <w:b/>
        <w:sz w:val="48"/>
      </w:rPr>
      <w:tab/>
    </w:r>
    <w:r w:rsidRPr="009855C1">
      <w:tab/>
    </w:r>
    <w:r w:rsidRPr="009855C1">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0F40" w14:textId="77777777" w:rsidR="009855C1" w:rsidRPr="009855C1" w:rsidRDefault="009855C1" w:rsidP="009855C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76C1" w14:textId="77777777" w:rsidR="000E3114" w:rsidRPr="006E75EA" w:rsidRDefault="000E31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484346"/>
      <w:docPartObj>
        <w:docPartGallery w:val="Page Numbers (Bottom of Page)"/>
        <w:docPartUnique/>
      </w:docPartObj>
    </w:sdtPr>
    <w:sdtEndPr>
      <w:rPr>
        <w:rFonts w:ascii="Times New Roman" w:hAnsi="Times New Roman" w:cs="Times New Roman"/>
      </w:rPr>
    </w:sdtEndPr>
    <w:sdtContent>
      <w:p w14:paraId="416BB362" w14:textId="0FB67C23" w:rsidR="000E3114" w:rsidRPr="006E75EA" w:rsidRDefault="000E3114">
        <w:pPr>
          <w:pStyle w:val="Footer"/>
          <w:jc w:val="center"/>
          <w:rPr>
            <w:rFonts w:ascii="Times New Roman" w:hAnsi="Times New Roman" w:cs="Times New Roman"/>
          </w:rPr>
        </w:pPr>
        <w:r w:rsidRPr="006E75EA">
          <w:rPr>
            <w:rFonts w:ascii="Times New Roman" w:hAnsi="Times New Roman" w:cs="Times New Roman"/>
          </w:rPr>
          <w:fldChar w:fldCharType="begin"/>
        </w:r>
        <w:r w:rsidRPr="006E75EA">
          <w:rPr>
            <w:rFonts w:ascii="Times New Roman" w:hAnsi="Times New Roman" w:cs="Times New Roman"/>
          </w:rPr>
          <w:instrText xml:space="preserve"> PAGE   \* MERGEFORMAT </w:instrText>
        </w:r>
        <w:r w:rsidRPr="006E75EA">
          <w:rPr>
            <w:rFonts w:ascii="Times New Roman" w:hAnsi="Times New Roman" w:cs="Times New Roman"/>
          </w:rPr>
          <w:fldChar w:fldCharType="separate"/>
        </w:r>
        <w:r w:rsidR="009855C1">
          <w:rPr>
            <w:rFonts w:ascii="Times New Roman" w:hAnsi="Times New Roman" w:cs="Times New Roman"/>
            <w:noProof/>
          </w:rPr>
          <w:t>2</w:t>
        </w:r>
        <w:r w:rsidRPr="006E75EA">
          <w:rPr>
            <w:rFonts w:ascii="Times New Roman" w:hAnsi="Times New Roman" w:cs="Times New Roman"/>
          </w:rPr>
          <w:fldChar w:fldCharType="end"/>
        </w:r>
      </w:p>
    </w:sdtContent>
  </w:sdt>
  <w:p w14:paraId="5BCD9C0E" w14:textId="77777777" w:rsidR="000E3114" w:rsidRPr="006E75EA" w:rsidRDefault="000E31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71839" w14:textId="77777777" w:rsidR="000E3114" w:rsidRPr="006E75EA" w:rsidRDefault="000E3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D2D7D" w14:textId="77777777" w:rsidR="000E3114" w:rsidRPr="006E75EA" w:rsidRDefault="000E3114" w:rsidP="0030602E">
      <w:pPr>
        <w:spacing w:after="0" w:line="240" w:lineRule="auto"/>
      </w:pPr>
      <w:r w:rsidRPr="006E75EA">
        <w:separator/>
      </w:r>
    </w:p>
  </w:footnote>
  <w:footnote w:type="continuationSeparator" w:id="0">
    <w:p w14:paraId="4B93FB06" w14:textId="77777777" w:rsidR="000E3114" w:rsidRPr="006E75EA" w:rsidRDefault="000E3114" w:rsidP="0030602E">
      <w:pPr>
        <w:spacing w:after="0" w:line="240" w:lineRule="auto"/>
      </w:pPr>
      <w:r w:rsidRPr="006E75EA">
        <w:continuationSeparator/>
      </w:r>
    </w:p>
  </w:footnote>
  <w:footnote w:id="1">
    <w:p w14:paraId="18A9E8F6" w14:textId="6B540D2F" w:rsidR="000E3114" w:rsidRPr="006E75EA" w:rsidRDefault="000E3114" w:rsidP="006E75EA">
      <w:pPr>
        <w:pStyle w:val="FootnoteText"/>
        <w:ind w:left="284" w:hanging="142"/>
        <w:rPr>
          <w:sz w:val="16"/>
          <w:szCs w:val="16"/>
        </w:rPr>
      </w:pPr>
      <w:r>
        <w:rPr>
          <w:rStyle w:val="FootnoteReference"/>
          <w:sz w:val="16"/>
          <w:szCs w:val="16"/>
        </w:rPr>
        <w:footnoteRef/>
      </w:r>
      <w:r>
        <w:rPr>
          <w:sz w:val="16"/>
        </w:rPr>
        <w:t xml:space="preserve"> Uredba (EU) 2021/840 Evropskega parlamenta in Sveta z dne 20. maja 2021 o vzpostavitvi programa izmenjave, pomoči in usposabljanja za zaščito eura pred ponarejanjem za obdobje 2021–2027 (program „Pericles IV“) ter razveljavitvi Uredbe (EU) št. 331/2014.</w:t>
      </w:r>
    </w:p>
  </w:footnote>
  <w:footnote w:id="2">
    <w:p w14:paraId="495AED86" w14:textId="128ABA17" w:rsidR="000E3114" w:rsidRPr="006E75EA" w:rsidRDefault="000E3114" w:rsidP="006E75EA">
      <w:pPr>
        <w:pStyle w:val="FootnoteText"/>
        <w:ind w:left="284" w:hanging="142"/>
        <w:rPr>
          <w:sz w:val="16"/>
          <w:szCs w:val="16"/>
        </w:rPr>
      </w:pPr>
      <w:r>
        <w:rPr>
          <w:sz w:val="16"/>
          <w:szCs w:val="16"/>
          <w:vertAlign w:val="superscript"/>
        </w:rPr>
        <w:footnoteRef/>
      </w:r>
      <w:r>
        <w:rPr>
          <w:sz w:val="16"/>
          <w:vertAlign w:val="superscript"/>
        </w:rPr>
        <w:t xml:space="preserve"> </w:t>
      </w:r>
      <w:r>
        <w:rPr>
          <w:sz w:val="16"/>
        </w:rPr>
        <w:t>Uredba Sveta (EU) 2021/1696 z dne 21. septembra 2021 o razširitvi uporabe Uredbe (EU) 2021/840 Evropskega parlamenta in Sveta o vzpostavitvi programa izmenjave, pomoči in usposabljanja za zaščito eura pred ponarejanjem za obdobje 2021–2027 (program „Pericles IV“) na nesodelujoče države članice.</w:t>
      </w:r>
    </w:p>
  </w:footnote>
  <w:footnote w:id="3">
    <w:p w14:paraId="41E191ED" w14:textId="6F11BB20" w:rsidR="00414989" w:rsidRPr="006E75EA" w:rsidRDefault="00414989" w:rsidP="006E75EA">
      <w:pPr>
        <w:pStyle w:val="FootnoteText"/>
        <w:ind w:left="284" w:hanging="142"/>
        <w:rPr>
          <w:sz w:val="16"/>
          <w:szCs w:val="16"/>
        </w:rPr>
      </w:pPr>
      <w:r>
        <w:rPr>
          <w:sz w:val="16"/>
          <w:szCs w:val="16"/>
          <w:vertAlign w:val="superscript"/>
        </w:rPr>
        <w:footnoteRef/>
      </w:r>
      <w:r>
        <w:rPr>
          <w:sz w:val="16"/>
          <w:vertAlign w:val="superscript"/>
        </w:rPr>
        <w:t xml:space="preserve"> </w:t>
      </w:r>
      <w:r>
        <w:rPr>
          <w:sz w:val="16"/>
        </w:rPr>
        <w:t>Proračunska vrstica 06.030100-C1: zaščita eura pred ponarejanjem. C1: odobritve, ki jih je izglasoval proračunski organ za sedanji proračun.</w:t>
      </w:r>
    </w:p>
  </w:footnote>
  <w:footnote w:id="4">
    <w:p w14:paraId="33EF4B84" w14:textId="647B5773" w:rsidR="00FE2BCA" w:rsidRPr="006E75EA" w:rsidRDefault="00FE2BCA" w:rsidP="006E75EA">
      <w:pPr>
        <w:pStyle w:val="FootnoteText"/>
        <w:ind w:left="284" w:hanging="142"/>
      </w:pPr>
      <w:r>
        <w:rPr>
          <w:rStyle w:val="FootnoteReference"/>
        </w:rPr>
        <w:footnoteRef/>
      </w:r>
      <w:r>
        <w:t xml:space="preserve"> </w:t>
      </w:r>
      <w:r>
        <w:rPr>
          <w:sz w:val="16"/>
        </w:rPr>
        <w:t>Celotni znesek za stroške uporabe orodja e-Grants je znašal 44 941 EUR.</w:t>
      </w:r>
    </w:p>
  </w:footnote>
  <w:footnote w:id="5">
    <w:p w14:paraId="09DE6FA8" w14:textId="5C69A173" w:rsidR="00A13A47" w:rsidRPr="006E75EA" w:rsidRDefault="00A13A47" w:rsidP="00B574D1">
      <w:pPr>
        <w:pStyle w:val="FootnoteText"/>
        <w:ind w:left="142" w:hanging="142"/>
        <w:rPr>
          <w:sz w:val="16"/>
          <w:szCs w:val="16"/>
        </w:rPr>
      </w:pPr>
      <w:r>
        <w:rPr>
          <w:sz w:val="16"/>
          <w:szCs w:val="16"/>
          <w:vertAlign w:val="superscript"/>
        </w:rPr>
        <w:footnoteRef/>
      </w:r>
      <w:r>
        <w:rPr>
          <w:sz w:val="16"/>
          <w:vertAlign w:val="superscript"/>
        </w:rPr>
        <w:t xml:space="preserve"> </w:t>
      </w:r>
      <w:r>
        <w:rPr>
          <w:sz w:val="16"/>
        </w:rPr>
        <w:t>Proračunska vrstica 06.030100-C4: zaščita eura pred ponarejanjem – namenski prejemki. C4:</w:t>
      </w:r>
      <w:r>
        <w:t xml:space="preserve"> </w:t>
      </w:r>
      <w:r>
        <w:rPr>
          <w:sz w:val="16"/>
        </w:rPr>
        <w:t xml:space="preserve">namenski prejemki izhajajo iz naloga za vračilo (znesek, ki ga upravičenec vrne Komisiji zaradi neporabljenega predhodnega financiranja) v skladu s členom 21 </w:t>
      </w:r>
      <w:hyperlink r:id="rId1" w:history="1">
        <w:r>
          <w:rPr>
            <w:rStyle w:val="Hyperlink"/>
            <w:sz w:val="16"/>
          </w:rPr>
          <w:t>finančne uredbe, ki se uporablja za splošni proračun Unije (prenovitev</w:t>
        </w:r>
      </w:hyperlink>
      <w:r>
        <w:t>)</w:t>
      </w:r>
      <w:r>
        <w:rPr>
          <w:rStyle w:val="Hyperlink"/>
          <w:color w:val="auto"/>
          <w:sz w:val="16"/>
          <w:u w:val="none"/>
        </w:rPr>
        <w:t>.</w:t>
      </w:r>
    </w:p>
  </w:footnote>
  <w:footnote w:id="6">
    <w:p w14:paraId="7D2744BB" w14:textId="59BE8FE9" w:rsidR="00F56C9D" w:rsidRPr="00F56C9D" w:rsidRDefault="00F56C9D" w:rsidP="00AA7ED0">
      <w:pPr>
        <w:pStyle w:val="FootnoteText"/>
        <w:ind w:left="142" w:hanging="142"/>
      </w:pPr>
      <w:r>
        <w:rPr>
          <w:rStyle w:val="FootnoteReference"/>
        </w:rPr>
        <w:footnoteRef/>
      </w:r>
      <w:r>
        <w:t xml:space="preserve"> </w:t>
      </w:r>
      <w:r>
        <w:rPr>
          <w:sz w:val="16"/>
        </w:rPr>
        <w:t>Preostalih 15 440,30 EUR bo danih na voljo za izvajanje programa Pericles v letu 2025 (proračunska vrstica IAR2/2|2025|ECFIN|E.06030100PERICLES_21_27).</w:t>
      </w:r>
    </w:p>
  </w:footnote>
  <w:footnote w:id="7">
    <w:p w14:paraId="40570472" w14:textId="53CD6BE2" w:rsidR="000E3114" w:rsidRPr="006E75EA" w:rsidRDefault="000E3114" w:rsidP="00D63731">
      <w:pPr>
        <w:pStyle w:val="FootnoteText"/>
      </w:pPr>
      <w:r>
        <w:rPr>
          <w:rStyle w:val="FootnoteReference"/>
        </w:rPr>
        <w:footnoteRef/>
      </w:r>
      <w:r>
        <w:rPr>
          <w:rStyle w:val="FootnoteReference"/>
        </w:rPr>
        <w:t xml:space="preserve"> </w:t>
      </w:r>
      <w:r>
        <w:rPr>
          <w:sz w:val="16"/>
        </w:rPr>
        <w:t xml:space="preserve">Celovit pregled ukrepov programa Pericles, za katere so bile prevzete obveznosti v letu 2024, je na voljo v </w:t>
      </w:r>
      <w:r>
        <w:rPr>
          <w:color w:val="000000" w:themeColor="text1"/>
          <w:sz w:val="16"/>
        </w:rPr>
        <w:t>Prilogi I</w:t>
      </w:r>
      <w:r>
        <w:rPr>
          <w:sz w:val="16"/>
        </w:rPr>
        <w:t>.</w:t>
      </w:r>
    </w:p>
  </w:footnote>
  <w:footnote w:id="8">
    <w:p w14:paraId="352E8D71" w14:textId="77777777" w:rsidR="00A56A2C" w:rsidRPr="006E75EA" w:rsidRDefault="00A56A2C" w:rsidP="00A56A2C">
      <w:pPr>
        <w:pStyle w:val="Style4"/>
      </w:pPr>
      <w:r>
        <w:rPr>
          <w:rStyle w:val="FootnoteReference"/>
        </w:rPr>
        <w:footnoteRef/>
      </w:r>
      <w:r>
        <w:t xml:space="preserve"> Celovit pregled ukrepov, za katere so bile prevzete obveznosti za sredstva pred letom 2024 in so bili izvedeni v letu 2024, je na voljo v Prilogi II.</w:t>
      </w:r>
    </w:p>
  </w:footnote>
  <w:footnote w:id="9">
    <w:p w14:paraId="1A989A70" w14:textId="3B57DD4D" w:rsidR="00C77800" w:rsidRPr="006E75EA" w:rsidRDefault="00C77800" w:rsidP="00AA7ED0">
      <w:pPr>
        <w:pStyle w:val="FootnoteText"/>
        <w:ind w:left="112" w:hanging="112"/>
      </w:pPr>
      <w:r>
        <w:rPr>
          <w:rStyle w:val="FootnoteReference"/>
          <w:sz w:val="16"/>
          <w:szCs w:val="16"/>
        </w:rPr>
        <w:footnoteRef/>
      </w:r>
      <w:r>
        <w:rPr>
          <w:sz w:val="16"/>
        </w:rPr>
        <w:t xml:space="preserve"> Celovit pregled ukrepov programa Pericles, za katere so bile prevzete obveznosti v letu 2024, je na voljo v </w:t>
      </w:r>
      <w:r>
        <w:rPr>
          <w:color w:val="000000" w:themeColor="text1"/>
          <w:sz w:val="16"/>
        </w:rPr>
        <w:t>Prilogi I</w:t>
      </w:r>
      <w:r>
        <w:rPr>
          <w:sz w:val="16"/>
        </w:rPr>
        <w:t>. Upoštevati je treba, da se to poglavje nanaša le na tiste ukrepe iz Priloge I, ki so bili (delno) izvedeni v letu 2024.</w:t>
      </w:r>
    </w:p>
  </w:footnote>
  <w:footnote w:id="10">
    <w:p w14:paraId="069AC745" w14:textId="07361D5E" w:rsidR="007D7612" w:rsidRPr="00AA7ED0" w:rsidRDefault="007D7612" w:rsidP="00AA7ED0">
      <w:pPr>
        <w:pStyle w:val="Style4"/>
      </w:pPr>
      <w:r>
        <w:footnoteRef/>
      </w:r>
      <w:r>
        <w:rPr>
          <w:vertAlign w:val="superscript"/>
        </w:rPr>
        <w:t xml:space="preserve"> </w:t>
      </w:r>
      <w:r>
        <w:t>Ocena na podlagi končnega tehničnega poročila (če je bil že prejet) in prijavnih obrazcev, ki so jih poslali upravičenci.</w:t>
      </w:r>
    </w:p>
  </w:footnote>
  <w:footnote w:id="11">
    <w:p w14:paraId="46C57727" w14:textId="204BF31F" w:rsidR="000E3114" w:rsidRPr="006E75EA" w:rsidRDefault="000E3114" w:rsidP="006E75EA">
      <w:pPr>
        <w:autoSpaceDE w:val="0"/>
        <w:autoSpaceDN w:val="0"/>
        <w:adjustRightInd w:val="0"/>
        <w:spacing w:after="0" w:line="240" w:lineRule="auto"/>
      </w:pPr>
      <w:r>
        <w:rPr>
          <w:rStyle w:val="FootnoteReference"/>
          <w:sz w:val="16"/>
          <w:szCs w:val="16"/>
        </w:rPr>
        <w:footnoteRef/>
      </w:r>
      <w:r>
        <w:rPr>
          <w:rFonts w:ascii="Arial" w:hAnsi="Arial"/>
          <w:color w:val="333333"/>
          <w:sz w:val="27"/>
          <w:shd w:val="clear" w:color="auto" w:fill="FFFFFF"/>
        </w:rPr>
        <w:t xml:space="preserve"> </w:t>
      </w:r>
      <w:r w:rsidR="006E75EA" w:rsidRPr="006E75EA">
        <w:fldChar w:fldCharType="begin"/>
      </w:r>
      <w:r w:rsidR="006E75EA" w:rsidRPr="006E75EA">
        <w:fldChar w:fldCharType="separate"/>
      </w:r>
      <w:r w:rsidR="00C35E58" w:rsidRPr="006E75EA">
        <w:rPr>
          <w:rStyle w:val="Hyperlink"/>
          <w:rFonts w:ascii="Times New Roman" w:hAnsi="Times New Roman" w:cs="Times New Roman"/>
          <w:sz w:val="16"/>
        </w:rPr>
        <w:t>Regulation (EU) 2021/1149</w:t>
      </w:r>
      <w:r w:rsidR="006E75EA" w:rsidRPr="006E75EA">
        <w:rPr>
          <w:rStyle w:val="Hyperlink"/>
          <w:rFonts w:ascii="Times New Roman" w:hAnsi="Times New Roman" w:cs="Times New Roman"/>
          <w:sz w:val="16"/>
        </w:rPr>
        <w:fldChar w:fldCharType="end"/>
      </w:r>
      <w:r>
        <w:rPr>
          <w:rFonts w:ascii="Times New Roman" w:hAnsi="Times New Roman"/>
          <w:sz w:val="16"/>
        </w:rPr>
        <w:t>Uredba (EU) 2021/1149 Evropskega parlamenta in Sveta z dne 7. julija 2021 o vzpostavitvi Sklada za notranjo varnost (UL L 251, 15.7.2021, str. 94).</w:t>
      </w:r>
    </w:p>
  </w:footnote>
  <w:footnote w:id="12">
    <w:p w14:paraId="1545FA85" w14:textId="2BE9808F" w:rsidR="00C35E58" w:rsidRPr="006E75EA" w:rsidRDefault="00C35E58" w:rsidP="006E75EA">
      <w:pPr>
        <w:pStyle w:val="FootnoteText"/>
        <w:ind w:left="0" w:firstLine="0"/>
        <w:rPr>
          <w:sz w:val="16"/>
          <w:szCs w:val="16"/>
        </w:rPr>
      </w:pPr>
      <w:r>
        <w:rPr>
          <w:rStyle w:val="FootnoteReference"/>
          <w:sz w:val="16"/>
          <w:szCs w:val="16"/>
        </w:rPr>
        <w:footnoteRef/>
      </w:r>
      <w:r>
        <w:rPr>
          <w:sz w:val="16"/>
        </w:rPr>
        <w:t xml:space="preserve"> EMPACT (Evropska večdisciplinarna platforma proti grožnjam kriminala) je varnostna pobuda, ki jo vodijo države članice EU, da bi opredelile, prednostno razvrstile in obravnavale grožnje, ki jih predstavljajo mednarodni organizirani kriminal in hude oblike mednarodnega kriminala. V letu 2021 je platforma EMPACT postala stalni instrument, kot je določeno v sklepih Sveta o stalnem izvajanju političnega cikla EU proti mednarodnemu organiziranemu kriminalu in hudim oblikam mednarodnega kriminala. Država članica, ki vodi prednostno nalogo v okviru platforme EMPACT, ki zajema kriminal na področju intelektualne lastnine ter ponarejanja blaga in valut, je Bolgarija.</w:t>
      </w:r>
    </w:p>
  </w:footnote>
  <w:footnote w:id="13">
    <w:p w14:paraId="2078E01F" w14:textId="1A019225" w:rsidR="000E3114" w:rsidRPr="006E75EA" w:rsidRDefault="000E3114" w:rsidP="006E75EA">
      <w:pPr>
        <w:pStyle w:val="Default"/>
        <w:rPr>
          <w:sz w:val="16"/>
          <w:szCs w:val="16"/>
        </w:rPr>
      </w:pPr>
      <w:r>
        <w:rPr>
          <w:rStyle w:val="FootnoteReference"/>
          <w:sz w:val="16"/>
          <w:szCs w:val="16"/>
        </w:rPr>
        <w:footnoteRef/>
      </w:r>
      <w:r>
        <w:rPr>
          <w:sz w:val="16"/>
        </w:rPr>
        <w:t xml:space="preserve"> Prednostne naloge programa za leto 2025 so bistven del letnega delovnega programa, ki je priložen Sklepu Komisije z dne 18. februarja 2025 o financiranju programa Pericles IV in sprejetju letnega delovnega programa za leto 2025 (C(2025) 972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DCD44" w14:textId="77777777" w:rsidR="009855C1" w:rsidRPr="009855C1" w:rsidRDefault="009855C1" w:rsidP="009855C1">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D896" w14:textId="77777777" w:rsidR="009855C1" w:rsidRPr="009855C1" w:rsidRDefault="009855C1" w:rsidP="009855C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568DB" w14:textId="77777777" w:rsidR="009855C1" w:rsidRPr="009855C1" w:rsidRDefault="009855C1" w:rsidP="009855C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691D" w14:textId="77777777" w:rsidR="000E3114" w:rsidRPr="006E75EA" w:rsidRDefault="000E31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EB4C6" w14:textId="77777777" w:rsidR="000E3114" w:rsidRPr="006E75EA" w:rsidRDefault="000E31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F7FA6" w14:textId="77777777" w:rsidR="000E3114" w:rsidRPr="006E75EA" w:rsidRDefault="000E3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2F8"/>
    <w:multiLevelType w:val="hybridMultilevel"/>
    <w:tmpl w:val="C13CB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FA040B"/>
    <w:multiLevelType w:val="hybridMultilevel"/>
    <w:tmpl w:val="82FC888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384D0DF3"/>
    <w:multiLevelType w:val="hybridMultilevel"/>
    <w:tmpl w:val="8736A6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1A10B9"/>
    <w:multiLevelType w:val="hybridMultilevel"/>
    <w:tmpl w:val="5F4EB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7367E8"/>
    <w:multiLevelType w:val="hybridMultilevel"/>
    <w:tmpl w:val="E7A2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ED0DDF3-95B3-47C1-AB5A-714871ABDC4B"/>
    <w:docVar w:name="LW_COVERPAGE_TYPE" w:val="1"/>
    <w:docVar w:name="LW_CROSSREFERENCE" w:val="&lt;UNUSED&gt;"/>
    <w:docVar w:name="LW_DocType" w:val="NORMAL"/>
    <w:docVar w:name="LW_EMISSION" w:val="27.6.2025"/>
    <w:docVar w:name="LW_EMISSION_ISODATE" w:val="2025-06-27"/>
    <w:docVar w:name="LW_EMISSION_LOCATION" w:val="BRX"/>
    <w:docVar w:name="LW_EMISSION_PREFIX" w:val="Bruselj, "/>
    <w:docVar w:name="LW_EMISSION_SUFFIX" w:val=" "/>
    <w:docVar w:name="LW_ID_DOCTYPE_NONLW" w:val="CP-003"/>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5) 33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ROPSKEMU PARLAMENTU, SVETU IN EVROPSKI CENTRALNI BANKI _x000b__x000b_o izvajanju in rezultatih programa Pericles IV za za\u353?\u269?ito eura pred ponarejanjem v letu 2024"/>
    <w:docVar w:name="LW_TYPE.DOC.CP" w:val="PORO\u268?ILO KOMISIJE"/>
    <w:docVar w:name="LwApiVersions" w:val="LW4CoDe 1.24.5.0; LW 9.0, Build 20240221"/>
  </w:docVars>
  <w:rsids>
    <w:rsidRoot w:val="0030602E"/>
    <w:rsid w:val="00002099"/>
    <w:rsid w:val="000021EC"/>
    <w:rsid w:val="000172E6"/>
    <w:rsid w:val="00023539"/>
    <w:rsid w:val="00027A94"/>
    <w:rsid w:val="00030BFD"/>
    <w:rsid w:val="0003245C"/>
    <w:rsid w:val="0004158C"/>
    <w:rsid w:val="00041AD3"/>
    <w:rsid w:val="000431E8"/>
    <w:rsid w:val="00052FF5"/>
    <w:rsid w:val="00053A03"/>
    <w:rsid w:val="00053A3B"/>
    <w:rsid w:val="000610B4"/>
    <w:rsid w:val="0006407F"/>
    <w:rsid w:val="000816B8"/>
    <w:rsid w:val="000A2E1B"/>
    <w:rsid w:val="000A4E19"/>
    <w:rsid w:val="000C67C0"/>
    <w:rsid w:val="000D3B6A"/>
    <w:rsid w:val="000D62B4"/>
    <w:rsid w:val="000D7D91"/>
    <w:rsid w:val="000E3114"/>
    <w:rsid w:val="000E6748"/>
    <w:rsid w:val="000F69A4"/>
    <w:rsid w:val="0010546B"/>
    <w:rsid w:val="001176C1"/>
    <w:rsid w:val="00125EA6"/>
    <w:rsid w:val="001338C3"/>
    <w:rsid w:val="0013605E"/>
    <w:rsid w:val="00136665"/>
    <w:rsid w:val="00136D3E"/>
    <w:rsid w:val="0014177D"/>
    <w:rsid w:val="00144948"/>
    <w:rsid w:val="00144D90"/>
    <w:rsid w:val="00145AB6"/>
    <w:rsid w:val="001655C2"/>
    <w:rsid w:val="00165BB8"/>
    <w:rsid w:val="00176590"/>
    <w:rsid w:val="00180138"/>
    <w:rsid w:val="00186157"/>
    <w:rsid w:val="00190970"/>
    <w:rsid w:val="001A1DFF"/>
    <w:rsid w:val="001A3D82"/>
    <w:rsid w:val="001A45FD"/>
    <w:rsid w:val="001A6F97"/>
    <w:rsid w:val="001B4EB3"/>
    <w:rsid w:val="001B6AF5"/>
    <w:rsid w:val="001D56D1"/>
    <w:rsid w:val="001E4CAA"/>
    <w:rsid w:val="0020683B"/>
    <w:rsid w:val="00232B94"/>
    <w:rsid w:val="0024334D"/>
    <w:rsid w:val="002456DA"/>
    <w:rsid w:val="00246EBA"/>
    <w:rsid w:val="00252F5E"/>
    <w:rsid w:val="00261153"/>
    <w:rsid w:val="00263588"/>
    <w:rsid w:val="00272FAC"/>
    <w:rsid w:val="0028427F"/>
    <w:rsid w:val="00294CF2"/>
    <w:rsid w:val="002A372A"/>
    <w:rsid w:val="002A4659"/>
    <w:rsid w:val="002A5A35"/>
    <w:rsid w:val="002B5AB2"/>
    <w:rsid w:val="002B7591"/>
    <w:rsid w:val="002E611C"/>
    <w:rsid w:val="002F1352"/>
    <w:rsid w:val="002F49D3"/>
    <w:rsid w:val="002F5BF4"/>
    <w:rsid w:val="0030602E"/>
    <w:rsid w:val="0031181F"/>
    <w:rsid w:val="00316B38"/>
    <w:rsid w:val="0032004E"/>
    <w:rsid w:val="00320234"/>
    <w:rsid w:val="00322780"/>
    <w:rsid w:val="0032584B"/>
    <w:rsid w:val="00325992"/>
    <w:rsid w:val="00337247"/>
    <w:rsid w:val="0034063B"/>
    <w:rsid w:val="00342FD2"/>
    <w:rsid w:val="00343ECF"/>
    <w:rsid w:val="003451A0"/>
    <w:rsid w:val="003617E3"/>
    <w:rsid w:val="00361ABA"/>
    <w:rsid w:val="00393040"/>
    <w:rsid w:val="003B1D6D"/>
    <w:rsid w:val="003B2AFF"/>
    <w:rsid w:val="003B6948"/>
    <w:rsid w:val="003C0C90"/>
    <w:rsid w:val="003C3083"/>
    <w:rsid w:val="003D3E23"/>
    <w:rsid w:val="003E6F43"/>
    <w:rsid w:val="003E7D3D"/>
    <w:rsid w:val="003F7AFE"/>
    <w:rsid w:val="00404283"/>
    <w:rsid w:val="00406CEB"/>
    <w:rsid w:val="00414989"/>
    <w:rsid w:val="004314D6"/>
    <w:rsid w:val="004333F9"/>
    <w:rsid w:val="00434E5C"/>
    <w:rsid w:val="00435C23"/>
    <w:rsid w:val="004378AE"/>
    <w:rsid w:val="00440E9F"/>
    <w:rsid w:val="00442DDF"/>
    <w:rsid w:val="00450FA0"/>
    <w:rsid w:val="00456231"/>
    <w:rsid w:val="00456BBB"/>
    <w:rsid w:val="004634B9"/>
    <w:rsid w:val="00491672"/>
    <w:rsid w:val="004A1721"/>
    <w:rsid w:val="004C1DBE"/>
    <w:rsid w:val="004C2A4F"/>
    <w:rsid w:val="004C437F"/>
    <w:rsid w:val="004D1CB6"/>
    <w:rsid w:val="004D3CC5"/>
    <w:rsid w:val="004E3944"/>
    <w:rsid w:val="004E5092"/>
    <w:rsid w:val="004E5B3C"/>
    <w:rsid w:val="004F2FCC"/>
    <w:rsid w:val="005061B7"/>
    <w:rsid w:val="00506261"/>
    <w:rsid w:val="00507511"/>
    <w:rsid w:val="00513B8F"/>
    <w:rsid w:val="00525E80"/>
    <w:rsid w:val="0053285F"/>
    <w:rsid w:val="00533D86"/>
    <w:rsid w:val="005349E1"/>
    <w:rsid w:val="00537666"/>
    <w:rsid w:val="00537C11"/>
    <w:rsid w:val="0054362D"/>
    <w:rsid w:val="0055152E"/>
    <w:rsid w:val="005542A2"/>
    <w:rsid w:val="005542C3"/>
    <w:rsid w:val="00557A12"/>
    <w:rsid w:val="00557DBA"/>
    <w:rsid w:val="005661A6"/>
    <w:rsid w:val="00580E83"/>
    <w:rsid w:val="005843FA"/>
    <w:rsid w:val="00594ECB"/>
    <w:rsid w:val="0059743D"/>
    <w:rsid w:val="005A7797"/>
    <w:rsid w:val="005C775D"/>
    <w:rsid w:val="005D068D"/>
    <w:rsid w:val="005D30ED"/>
    <w:rsid w:val="005E71CA"/>
    <w:rsid w:val="00604F71"/>
    <w:rsid w:val="00615256"/>
    <w:rsid w:val="00615AFB"/>
    <w:rsid w:val="00617FB0"/>
    <w:rsid w:val="00627698"/>
    <w:rsid w:val="00627BC0"/>
    <w:rsid w:val="0063659A"/>
    <w:rsid w:val="00651C90"/>
    <w:rsid w:val="00651D49"/>
    <w:rsid w:val="0066745E"/>
    <w:rsid w:val="00667F8E"/>
    <w:rsid w:val="00672202"/>
    <w:rsid w:val="00686FC3"/>
    <w:rsid w:val="006967F3"/>
    <w:rsid w:val="006B7CA3"/>
    <w:rsid w:val="006C249A"/>
    <w:rsid w:val="006C7F13"/>
    <w:rsid w:val="006D4AB4"/>
    <w:rsid w:val="006E75EA"/>
    <w:rsid w:val="006F1EB6"/>
    <w:rsid w:val="006F3291"/>
    <w:rsid w:val="006F5401"/>
    <w:rsid w:val="007003F4"/>
    <w:rsid w:val="007010BE"/>
    <w:rsid w:val="00702AA9"/>
    <w:rsid w:val="00703F3F"/>
    <w:rsid w:val="00704AF5"/>
    <w:rsid w:val="00717D46"/>
    <w:rsid w:val="007239D5"/>
    <w:rsid w:val="00726BDC"/>
    <w:rsid w:val="007275E2"/>
    <w:rsid w:val="0073247B"/>
    <w:rsid w:val="00741B8E"/>
    <w:rsid w:val="00742BAF"/>
    <w:rsid w:val="00762944"/>
    <w:rsid w:val="0076641F"/>
    <w:rsid w:val="0076788C"/>
    <w:rsid w:val="00776B7B"/>
    <w:rsid w:val="00781389"/>
    <w:rsid w:val="00781987"/>
    <w:rsid w:val="00783AF0"/>
    <w:rsid w:val="00785158"/>
    <w:rsid w:val="007B3627"/>
    <w:rsid w:val="007B76F4"/>
    <w:rsid w:val="007C25B0"/>
    <w:rsid w:val="007D2A64"/>
    <w:rsid w:val="007D7612"/>
    <w:rsid w:val="007E14A7"/>
    <w:rsid w:val="007E1FD2"/>
    <w:rsid w:val="00811040"/>
    <w:rsid w:val="008311D7"/>
    <w:rsid w:val="00844A0A"/>
    <w:rsid w:val="008510A5"/>
    <w:rsid w:val="00860266"/>
    <w:rsid w:val="0086524F"/>
    <w:rsid w:val="00871F22"/>
    <w:rsid w:val="00874B28"/>
    <w:rsid w:val="00885ED3"/>
    <w:rsid w:val="00892423"/>
    <w:rsid w:val="00895474"/>
    <w:rsid w:val="00897E01"/>
    <w:rsid w:val="008A1497"/>
    <w:rsid w:val="008A1FFA"/>
    <w:rsid w:val="008A76CF"/>
    <w:rsid w:val="008B119A"/>
    <w:rsid w:val="008B3A0F"/>
    <w:rsid w:val="008B5A99"/>
    <w:rsid w:val="008B7FAE"/>
    <w:rsid w:val="008C7352"/>
    <w:rsid w:val="008D0B7E"/>
    <w:rsid w:val="008D2363"/>
    <w:rsid w:val="008D4F6F"/>
    <w:rsid w:val="008E5F10"/>
    <w:rsid w:val="009033A8"/>
    <w:rsid w:val="00916597"/>
    <w:rsid w:val="00920B5F"/>
    <w:rsid w:val="00931BA9"/>
    <w:rsid w:val="00934029"/>
    <w:rsid w:val="00934E22"/>
    <w:rsid w:val="00947416"/>
    <w:rsid w:val="00947E0B"/>
    <w:rsid w:val="00953D85"/>
    <w:rsid w:val="0095497D"/>
    <w:rsid w:val="00956DFD"/>
    <w:rsid w:val="00957862"/>
    <w:rsid w:val="00960EA5"/>
    <w:rsid w:val="0096141A"/>
    <w:rsid w:val="009736DC"/>
    <w:rsid w:val="00974D23"/>
    <w:rsid w:val="00976B15"/>
    <w:rsid w:val="00983530"/>
    <w:rsid w:val="009855C1"/>
    <w:rsid w:val="009857E3"/>
    <w:rsid w:val="00986633"/>
    <w:rsid w:val="0099350B"/>
    <w:rsid w:val="009B0359"/>
    <w:rsid w:val="009B7A02"/>
    <w:rsid w:val="009C0E01"/>
    <w:rsid w:val="009C4F4C"/>
    <w:rsid w:val="009C7B1F"/>
    <w:rsid w:val="009C7FAC"/>
    <w:rsid w:val="009E4FFB"/>
    <w:rsid w:val="009E5C70"/>
    <w:rsid w:val="009F40AA"/>
    <w:rsid w:val="00A00486"/>
    <w:rsid w:val="00A13A47"/>
    <w:rsid w:val="00A326B3"/>
    <w:rsid w:val="00A350B4"/>
    <w:rsid w:val="00A36CB1"/>
    <w:rsid w:val="00A375B1"/>
    <w:rsid w:val="00A37C25"/>
    <w:rsid w:val="00A42536"/>
    <w:rsid w:val="00A46C7D"/>
    <w:rsid w:val="00A53458"/>
    <w:rsid w:val="00A56A2C"/>
    <w:rsid w:val="00A61FFA"/>
    <w:rsid w:val="00A62BF2"/>
    <w:rsid w:val="00A715F8"/>
    <w:rsid w:val="00A73F8D"/>
    <w:rsid w:val="00A82A9B"/>
    <w:rsid w:val="00A9667E"/>
    <w:rsid w:val="00AA0334"/>
    <w:rsid w:val="00AA5C51"/>
    <w:rsid w:val="00AA7ED0"/>
    <w:rsid w:val="00AB3E07"/>
    <w:rsid w:val="00AC7D10"/>
    <w:rsid w:val="00AE2230"/>
    <w:rsid w:val="00AF7C12"/>
    <w:rsid w:val="00B17E29"/>
    <w:rsid w:val="00B207F1"/>
    <w:rsid w:val="00B2433C"/>
    <w:rsid w:val="00B277BE"/>
    <w:rsid w:val="00B45729"/>
    <w:rsid w:val="00B45B79"/>
    <w:rsid w:val="00B46BEB"/>
    <w:rsid w:val="00B47330"/>
    <w:rsid w:val="00B50B2C"/>
    <w:rsid w:val="00B574D1"/>
    <w:rsid w:val="00B64EAE"/>
    <w:rsid w:val="00B7024A"/>
    <w:rsid w:val="00B710B5"/>
    <w:rsid w:val="00B77916"/>
    <w:rsid w:val="00B82857"/>
    <w:rsid w:val="00B870C4"/>
    <w:rsid w:val="00B96A3B"/>
    <w:rsid w:val="00B97011"/>
    <w:rsid w:val="00BB2DC8"/>
    <w:rsid w:val="00BD0939"/>
    <w:rsid w:val="00BD71E4"/>
    <w:rsid w:val="00BE0461"/>
    <w:rsid w:val="00BE379D"/>
    <w:rsid w:val="00BF521C"/>
    <w:rsid w:val="00C02257"/>
    <w:rsid w:val="00C20117"/>
    <w:rsid w:val="00C230AD"/>
    <w:rsid w:val="00C3079C"/>
    <w:rsid w:val="00C3218D"/>
    <w:rsid w:val="00C3454E"/>
    <w:rsid w:val="00C35E58"/>
    <w:rsid w:val="00C505D2"/>
    <w:rsid w:val="00C512F2"/>
    <w:rsid w:val="00C64335"/>
    <w:rsid w:val="00C7667C"/>
    <w:rsid w:val="00C77800"/>
    <w:rsid w:val="00C82562"/>
    <w:rsid w:val="00C825B6"/>
    <w:rsid w:val="00CD63B9"/>
    <w:rsid w:val="00CD732D"/>
    <w:rsid w:val="00CE1124"/>
    <w:rsid w:val="00CF1EF2"/>
    <w:rsid w:val="00CF7E2A"/>
    <w:rsid w:val="00D16FE6"/>
    <w:rsid w:val="00D17FAB"/>
    <w:rsid w:val="00D20639"/>
    <w:rsid w:val="00D45398"/>
    <w:rsid w:val="00D56FC7"/>
    <w:rsid w:val="00D63731"/>
    <w:rsid w:val="00D72FC6"/>
    <w:rsid w:val="00D80585"/>
    <w:rsid w:val="00D82C61"/>
    <w:rsid w:val="00D874CF"/>
    <w:rsid w:val="00D878F8"/>
    <w:rsid w:val="00D93AE0"/>
    <w:rsid w:val="00D951F5"/>
    <w:rsid w:val="00DA552F"/>
    <w:rsid w:val="00DB58B8"/>
    <w:rsid w:val="00DC2F68"/>
    <w:rsid w:val="00DC53EF"/>
    <w:rsid w:val="00DF6A44"/>
    <w:rsid w:val="00E02B6F"/>
    <w:rsid w:val="00E067CD"/>
    <w:rsid w:val="00E144BF"/>
    <w:rsid w:val="00E277C4"/>
    <w:rsid w:val="00E75C2C"/>
    <w:rsid w:val="00E76115"/>
    <w:rsid w:val="00E86951"/>
    <w:rsid w:val="00E926CF"/>
    <w:rsid w:val="00E9613F"/>
    <w:rsid w:val="00EA53ED"/>
    <w:rsid w:val="00EA7300"/>
    <w:rsid w:val="00EB5042"/>
    <w:rsid w:val="00ED3B2E"/>
    <w:rsid w:val="00EF511C"/>
    <w:rsid w:val="00F02C30"/>
    <w:rsid w:val="00F03A44"/>
    <w:rsid w:val="00F07946"/>
    <w:rsid w:val="00F110C1"/>
    <w:rsid w:val="00F352D2"/>
    <w:rsid w:val="00F36DA9"/>
    <w:rsid w:val="00F47D71"/>
    <w:rsid w:val="00F54EA4"/>
    <w:rsid w:val="00F55883"/>
    <w:rsid w:val="00F56AFA"/>
    <w:rsid w:val="00F56C9D"/>
    <w:rsid w:val="00F5769B"/>
    <w:rsid w:val="00F8099B"/>
    <w:rsid w:val="00F81646"/>
    <w:rsid w:val="00F85295"/>
    <w:rsid w:val="00F87BFD"/>
    <w:rsid w:val="00FB23C0"/>
    <w:rsid w:val="00FD55A8"/>
    <w:rsid w:val="00FE0C38"/>
    <w:rsid w:val="00FE2BCA"/>
    <w:rsid w:val="00FE7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526B03E0"/>
  <w15:chartTrackingRefBased/>
  <w15:docId w15:val="{E967824C-4E41-4F09-A56E-AD67AC3E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0602E"/>
    <w:rPr>
      <w:color w:val="0000FF"/>
      <w:shd w:val="clear" w:color="auto" w:fill="auto"/>
    </w:rPr>
  </w:style>
  <w:style w:type="paragraph" w:styleId="Header">
    <w:name w:val="header"/>
    <w:basedOn w:val="Normal"/>
    <w:link w:val="HeaderChar"/>
    <w:uiPriority w:val="99"/>
    <w:unhideWhenUsed/>
    <w:rsid w:val="00306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02E"/>
  </w:style>
  <w:style w:type="paragraph" w:styleId="Footer">
    <w:name w:val="footer"/>
    <w:basedOn w:val="Normal"/>
    <w:link w:val="FooterChar"/>
    <w:uiPriority w:val="99"/>
    <w:unhideWhenUsed/>
    <w:rsid w:val="00306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02E"/>
  </w:style>
  <w:style w:type="paragraph" w:customStyle="1" w:styleId="Pagedecouverture">
    <w:name w:val="Page de couverture"/>
    <w:basedOn w:val="Normal"/>
    <w:next w:val="Normal"/>
    <w:rsid w:val="0030602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30602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0602E"/>
    <w:rPr>
      <w:rFonts w:ascii="Times New Roman" w:hAnsi="Times New Roman" w:cs="Times New Roman"/>
      <w:sz w:val="24"/>
    </w:rPr>
  </w:style>
  <w:style w:type="paragraph" w:customStyle="1" w:styleId="FooterSensitivity">
    <w:name w:val="Footer Sensitivity"/>
    <w:basedOn w:val="Normal"/>
    <w:link w:val="FooterSensitivityChar"/>
    <w:rsid w:val="0030602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30602E"/>
    <w:rPr>
      <w:rFonts w:ascii="Times New Roman" w:hAnsi="Times New Roman" w:cs="Times New Roman"/>
      <w:b/>
      <w:sz w:val="32"/>
    </w:rPr>
  </w:style>
  <w:style w:type="paragraph" w:customStyle="1" w:styleId="HeaderCoverPage">
    <w:name w:val="Header Cover Page"/>
    <w:basedOn w:val="Normal"/>
    <w:link w:val="HeaderCoverPageChar"/>
    <w:rsid w:val="0030602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0602E"/>
    <w:rPr>
      <w:rFonts w:ascii="Times New Roman" w:hAnsi="Times New Roman" w:cs="Times New Roman"/>
      <w:sz w:val="24"/>
    </w:rPr>
  </w:style>
  <w:style w:type="paragraph" w:customStyle="1" w:styleId="HeaderSensitivity">
    <w:name w:val="Header Sensitivity"/>
    <w:basedOn w:val="Normal"/>
    <w:link w:val="HeaderSensitivityChar"/>
    <w:rsid w:val="0030602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30602E"/>
    <w:rPr>
      <w:rFonts w:ascii="Times New Roman" w:hAnsi="Times New Roman" w:cs="Times New Roman"/>
      <w:b/>
      <w:sz w:val="32"/>
    </w:rPr>
  </w:style>
  <w:style w:type="paragraph" w:customStyle="1" w:styleId="HeaderSensitivityRight">
    <w:name w:val="Header Sensitivity Right"/>
    <w:basedOn w:val="Normal"/>
    <w:link w:val="HeaderSensitivityRightChar"/>
    <w:rsid w:val="0030602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30602E"/>
    <w:rPr>
      <w:rFonts w:ascii="Times New Roman" w:hAnsi="Times New Roman" w:cs="Times New Roman"/>
      <w:sz w:val="28"/>
    </w:rPr>
  </w:style>
  <w:style w:type="paragraph" w:styleId="ListParagraph">
    <w:name w:val="List Paragraph"/>
    <w:basedOn w:val="Normal"/>
    <w:uiPriority w:val="34"/>
    <w:qFormat/>
    <w:rsid w:val="00D63731"/>
    <w:pPr>
      <w:spacing w:before="120" w:after="120" w:line="240" w:lineRule="auto"/>
      <w:ind w:left="720"/>
      <w:contextualSpacing/>
      <w:jc w:val="both"/>
    </w:pPr>
    <w:rPr>
      <w:rFonts w:ascii="Times New Roman" w:eastAsia="Times New Roman" w:hAnsi="Times New Roman" w:cs="Times New Roman"/>
      <w:sz w:val="24"/>
      <w:szCs w:val="20"/>
      <w:lang w:eastAsia="zh-CN"/>
    </w:rPr>
  </w:style>
  <w:style w:type="paragraph" w:styleId="FootnoteText">
    <w:name w:val="footnote text"/>
    <w:basedOn w:val="Normal"/>
    <w:link w:val="FootnoteTextChar"/>
    <w:qFormat/>
    <w:rsid w:val="00D63731"/>
    <w:pPr>
      <w:spacing w:after="0" w:line="240" w:lineRule="auto"/>
      <w:ind w:left="720" w:hanging="720"/>
      <w:jc w:val="both"/>
    </w:pPr>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rsid w:val="00D63731"/>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sid w:val="00D63731"/>
    <w:rPr>
      <w:vertAlign w:val="superscript"/>
    </w:rPr>
  </w:style>
  <w:style w:type="paragraph" w:customStyle="1" w:styleId="ManualNumPar1">
    <w:name w:val="Manual NumPar 1"/>
    <w:basedOn w:val="Normal"/>
    <w:next w:val="Normal"/>
    <w:rsid w:val="00D63731"/>
    <w:pPr>
      <w:spacing w:before="120" w:after="120" w:line="240" w:lineRule="auto"/>
      <w:ind w:left="850" w:hanging="850"/>
      <w:jc w:val="both"/>
    </w:pPr>
    <w:rPr>
      <w:rFonts w:ascii="Times New Roman" w:eastAsia="Times New Roman" w:hAnsi="Times New Roman" w:cs="Times New Roman"/>
      <w:sz w:val="24"/>
      <w:szCs w:val="20"/>
      <w:lang w:eastAsia="zh-CN"/>
    </w:rPr>
  </w:style>
  <w:style w:type="paragraph" w:customStyle="1" w:styleId="Titreobjet">
    <w:name w:val="Titre objet"/>
    <w:basedOn w:val="Normal"/>
    <w:next w:val="Normal"/>
    <w:rsid w:val="00D63731"/>
    <w:pPr>
      <w:spacing w:before="360" w:after="360" w:line="240" w:lineRule="auto"/>
      <w:jc w:val="center"/>
    </w:pPr>
    <w:rPr>
      <w:rFonts w:ascii="Times New Roman" w:eastAsia="Times New Roman" w:hAnsi="Times New Roman" w:cs="Times New Roman"/>
      <w:b/>
      <w:sz w:val="24"/>
      <w:szCs w:val="20"/>
      <w:lang w:eastAsia="zh-CN"/>
    </w:rPr>
  </w:style>
  <w:style w:type="paragraph" w:customStyle="1" w:styleId="Typedudocument">
    <w:name w:val="Type du document"/>
    <w:basedOn w:val="Normal"/>
    <w:next w:val="Normal"/>
    <w:link w:val="TypedudocumentChar"/>
    <w:rsid w:val="00D63731"/>
    <w:pPr>
      <w:spacing w:before="360" w:after="0" w:line="240" w:lineRule="auto"/>
      <w:jc w:val="center"/>
    </w:pPr>
    <w:rPr>
      <w:rFonts w:ascii="Times New Roman" w:eastAsia="Times New Roman" w:hAnsi="Times New Roman" w:cs="Times New Roman"/>
      <w:b/>
      <w:sz w:val="24"/>
      <w:szCs w:val="20"/>
      <w:lang w:eastAsia="zh-CN"/>
    </w:rPr>
  </w:style>
  <w:style w:type="character" w:customStyle="1" w:styleId="TypedudocumentChar">
    <w:name w:val="Type du document Char"/>
    <w:link w:val="Typedudocument"/>
    <w:locked/>
    <w:rsid w:val="00D63731"/>
    <w:rPr>
      <w:rFonts w:ascii="Times New Roman" w:eastAsia="Times New Roman" w:hAnsi="Times New Roman" w:cs="Times New Roman"/>
      <w:b/>
      <w:sz w:val="24"/>
      <w:szCs w:val="20"/>
      <w:lang w:eastAsia="zh-CN"/>
    </w:rPr>
  </w:style>
  <w:style w:type="character" w:styleId="Strong">
    <w:name w:val="Strong"/>
    <w:basedOn w:val="DefaultParagraphFont"/>
    <w:uiPriority w:val="22"/>
    <w:qFormat/>
    <w:rsid w:val="00D63731"/>
    <w:rPr>
      <w:b/>
    </w:rPr>
  </w:style>
  <w:style w:type="paragraph" w:customStyle="1" w:styleId="Default">
    <w:name w:val="Default"/>
    <w:rsid w:val="00D637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Normal"/>
    <w:link w:val="Style4Char"/>
    <w:qFormat/>
    <w:rsid w:val="00D63731"/>
    <w:pPr>
      <w:spacing w:after="0" w:line="240" w:lineRule="auto"/>
      <w:ind w:left="720" w:hanging="720"/>
      <w:jc w:val="both"/>
    </w:pPr>
    <w:rPr>
      <w:rFonts w:ascii="Times New Roman" w:eastAsia="Times New Roman" w:hAnsi="Times New Roman" w:cs="Times New Roman"/>
      <w:sz w:val="16"/>
      <w:szCs w:val="16"/>
      <w:lang w:eastAsia="zh-CN"/>
    </w:rPr>
  </w:style>
  <w:style w:type="character" w:customStyle="1" w:styleId="Style4Char">
    <w:name w:val="Style4 Char"/>
    <w:basedOn w:val="DefaultParagraphFont"/>
    <w:link w:val="Style4"/>
    <w:rsid w:val="00D63731"/>
    <w:rPr>
      <w:rFonts w:ascii="Times New Roman" w:eastAsia="Times New Roman" w:hAnsi="Times New Roman" w:cs="Times New Roman"/>
      <w:sz w:val="16"/>
      <w:szCs w:val="16"/>
      <w:lang w:eastAsia="zh-CN"/>
    </w:rPr>
  </w:style>
  <w:style w:type="paragraph" w:styleId="BalloonText">
    <w:name w:val="Balloon Text"/>
    <w:basedOn w:val="Normal"/>
    <w:link w:val="BalloonTextChar"/>
    <w:uiPriority w:val="99"/>
    <w:semiHidden/>
    <w:unhideWhenUsed/>
    <w:rsid w:val="00604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F71"/>
    <w:rPr>
      <w:rFonts w:ascii="Segoe UI" w:hAnsi="Segoe UI" w:cs="Segoe UI"/>
      <w:sz w:val="18"/>
      <w:szCs w:val="18"/>
    </w:rPr>
  </w:style>
  <w:style w:type="character" w:styleId="CommentReference">
    <w:name w:val="annotation reference"/>
    <w:basedOn w:val="DefaultParagraphFont"/>
    <w:uiPriority w:val="99"/>
    <w:semiHidden/>
    <w:unhideWhenUsed/>
    <w:rsid w:val="00136D3E"/>
    <w:rPr>
      <w:sz w:val="16"/>
      <w:szCs w:val="16"/>
    </w:rPr>
  </w:style>
  <w:style w:type="paragraph" w:styleId="CommentText">
    <w:name w:val="annotation text"/>
    <w:basedOn w:val="Normal"/>
    <w:link w:val="CommentTextChar"/>
    <w:uiPriority w:val="99"/>
    <w:unhideWhenUsed/>
    <w:rsid w:val="00136D3E"/>
    <w:pPr>
      <w:spacing w:line="240" w:lineRule="auto"/>
    </w:pPr>
    <w:rPr>
      <w:sz w:val="20"/>
      <w:szCs w:val="20"/>
    </w:rPr>
  </w:style>
  <w:style w:type="character" w:customStyle="1" w:styleId="CommentTextChar">
    <w:name w:val="Comment Text Char"/>
    <w:basedOn w:val="DefaultParagraphFont"/>
    <w:link w:val="CommentText"/>
    <w:uiPriority w:val="99"/>
    <w:rsid w:val="00136D3E"/>
    <w:rPr>
      <w:sz w:val="20"/>
      <w:szCs w:val="20"/>
    </w:rPr>
  </w:style>
  <w:style w:type="paragraph" w:styleId="CommentSubject">
    <w:name w:val="annotation subject"/>
    <w:basedOn w:val="CommentText"/>
    <w:next w:val="CommentText"/>
    <w:link w:val="CommentSubjectChar"/>
    <w:uiPriority w:val="99"/>
    <w:semiHidden/>
    <w:unhideWhenUsed/>
    <w:rsid w:val="00136D3E"/>
    <w:rPr>
      <w:b/>
      <w:bCs/>
    </w:rPr>
  </w:style>
  <w:style w:type="character" w:customStyle="1" w:styleId="CommentSubjectChar">
    <w:name w:val="Comment Subject Char"/>
    <w:basedOn w:val="CommentTextChar"/>
    <w:link w:val="CommentSubject"/>
    <w:uiPriority w:val="99"/>
    <w:semiHidden/>
    <w:rsid w:val="00136D3E"/>
    <w:rPr>
      <w:b/>
      <w:bCs/>
      <w:sz w:val="20"/>
      <w:szCs w:val="20"/>
    </w:rPr>
  </w:style>
  <w:style w:type="paragraph" w:styleId="Revision">
    <w:name w:val="Revision"/>
    <w:hidden/>
    <w:uiPriority w:val="99"/>
    <w:semiHidden/>
    <w:rsid w:val="00E144BF"/>
    <w:pPr>
      <w:spacing w:after="0" w:line="240" w:lineRule="auto"/>
    </w:pPr>
  </w:style>
  <w:style w:type="table" w:styleId="TableGrid">
    <w:name w:val="Table Grid"/>
    <w:basedOn w:val="TableNormal"/>
    <w:uiPriority w:val="59"/>
    <w:rsid w:val="00002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D23"/>
    <w:rPr>
      <w:color w:val="0000FF" w:themeColor="hyperlink"/>
      <w:u w:val="single"/>
    </w:rPr>
  </w:style>
  <w:style w:type="character" w:customStyle="1" w:styleId="UnresolvedMention">
    <w:name w:val="Unresolved Mention"/>
    <w:basedOn w:val="DefaultParagraphFont"/>
    <w:uiPriority w:val="99"/>
    <w:semiHidden/>
    <w:unhideWhenUsed/>
    <w:rsid w:val="00974D23"/>
    <w:rPr>
      <w:color w:val="605E5C"/>
      <w:shd w:val="clear" w:color="auto" w:fill="E1DFDD"/>
    </w:rPr>
  </w:style>
  <w:style w:type="character" w:styleId="FollowedHyperlink">
    <w:name w:val="FollowedHyperlink"/>
    <w:basedOn w:val="DefaultParagraphFont"/>
    <w:uiPriority w:val="99"/>
    <w:semiHidden/>
    <w:unhideWhenUsed/>
    <w:rsid w:val="00B574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83056">
      <w:bodyDiv w:val="1"/>
      <w:marLeft w:val="0"/>
      <w:marRight w:val="0"/>
      <w:marTop w:val="0"/>
      <w:marBottom w:val="0"/>
      <w:divBdr>
        <w:top w:val="none" w:sz="0" w:space="0" w:color="auto"/>
        <w:left w:val="none" w:sz="0" w:space="0" w:color="auto"/>
        <w:bottom w:val="none" w:sz="0" w:space="0" w:color="auto"/>
        <w:right w:val="none" w:sz="0" w:space="0" w:color="auto"/>
      </w:divBdr>
    </w:div>
    <w:div w:id="948244119">
      <w:bodyDiv w:val="1"/>
      <w:marLeft w:val="0"/>
      <w:marRight w:val="0"/>
      <w:marTop w:val="0"/>
      <w:marBottom w:val="0"/>
      <w:divBdr>
        <w:top w:val="none" w:sz="0" w:space="0" w:color="auto"/>
        <w:left w:val="none" w:sz="0" w:space="0" w:color="auto"/>
        <w:bottom w:val="none" w:sz="0" w:space="0" w:color="auto"/>
        <w:right w:val="none" w:sz="0" w:space="0" w:color="auto"/>
      </w:divBdr>
    </w:div>
    <w:div w:id="13662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eur-lex.europa.eu/eli/reg/2021/1696/oj/slo"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ur-lex.europa.eu/legal-content/SL/TXT/?uri=celex:32021R0785"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p.europa.eu/sl/publication-detail/-/publication/990fe2a6-8f52-11ef-a130-01aa75ed71a1%20%2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net1.cec.eu.int\ECFIN\C\5\9%20-%20P%20E%20R%20I%20C%20L%20E%20S\Annual%20Report\2024\Statistics\2024%20-%20Statistic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net1.cec.eu.int\ECFIN\C\5\9%20-%20P%20E%20R%20I%20C%20L%20E%20S\Annual%20Report\2024\Statistics\2024%20-%20Statistic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net1.cec.eu.int\ECFIN\C\5\9%20-%20P%20E%20R%20I%20C%20L%20E%20S\Annual%20Report\2024\Statistics\2024%20-%20Statistic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rgbClr val="002060"/>
                </a:solidFill>
                <a:latin typeface="+mn-lt"/>
                <a:ea typeface="+mn-ea"/>
                <a:cs typeface="+mn-cs"/>
              </a:defRPr>
            </a:pPr>
            <a:r>
              <a:rPr lang="en-SI" sz="1000" cap="none" baseline="0">
                <a:solidFill>
                  <a:srgbClr val="002060"/>
                </a:solidFill>
                <a:latin typeface="+mj-lt"/>
                <a:ea typeface="+mn-ea"/>
                <a:cs typeface="+mn-cs"/>
              </a:rPr>
              <a:t>Število ukrepov po državah članicah</a:t>
            </a:r>
            <a:endParaRPr lang="en-IE" sz="1000" cap="none" baseline="0">
              <a:solidFill>
                <a:srgbClr val="002060"/>
              </a:solidFill>
              <a:latin typeface="+mj-lt"/>
            </a:endParaRPr>
          </a:p>
        </c:rich>
      </c:tx>
      <c:layout>
        <c:manualLayout>
          <c:xMode val="edge"/>
          <c:yMode val="edge"/>
          <c:x val="0.13212951432129513"/>
          <c:y val="4.1355671797742931E-2"/>
        </c:manualLayout>
      </c:layout>
      <c:overlay val="0"/>
      <c:spPr>
        <a:solidFill>
          <a:srgbClr val="06204A">
            <a:lumMod val="10000"/>
            <a:lumOff val="90000"/>
          </a:srgbClr>
        </a:solidFill>
        <a:ln w="3175" cap="flat" cmpd="sng" algn="ctr">
          <a:solidFill>
            <a:srgbClr val="3273DF"/>
          </a:solidFill>
          <a:prstDash val="solid"/>
        </a:ln>
        <a:effectLst/>
      </c:spPr>
      <c:txPr>
        <a:bodyPr rot="0" spcFirstLastPara="1" vertOverflow="ellipsis" vert="horz" wrap="square" anchor="ctr" anchorCtr="1"/>
        <a:lstStyle/>
        <a:p>
          <a:pPr>
            <a:defRPr sz="1400" b="1" i="0" u="none" strike="noStrike" kern="1200" cap="all" spc="50" baseline="0">
              <a:solidFill>
                <a:srgbClr val="002060"/>
              </a:solidFill>
              <a:latin typeface="+mn-lt"/>
              <a:ea typeface="+mn-ea"/>
              <a:cs typeface="+mn-cs"/>
            </a:defRPr>
          </a:pPr>
          <a:endParaRPr lang="en-US"/>
        </a:p>
      </c:txPr>
    </c:title>
    <c:autoTitleDeleted val="0"/>
    <c:plotArea>
      <c:layout>
        <c:manualLayout>
          <c:layoutTarget val="inner"/>
          <c:xMode val="edge"/>
          <c:yMode val="edge"/>
          <c:x val="0.13441732026143793"/>
          <c:y val="0.1463218016727959"/>
          <c:w val="0.7768192810457516"/>
          <c:h val="0.77360855273863383"/>
        </c:manualLayout>
      </c:layout>
      <c:pieChart>
        <c:varyColors val="1"/>
        <c:ser>
          <c:idx val="0"/>
          <c:order val="0"/>
          <c:spPr>
            <a:ln w="0">
              <a:solidFill>
                <a:srgbClr val="FFFFFF"/>
              </a:solidFill>
            </a:ln>
          </c:spPr>
          <c:dPt>
            <c:idx val="0"/>
            <c:bubble3D val="0"/>
            <c:spPr>
              <a:solidFill>
                <a:schemeClr val="accent1"/>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91A9-4E61-A5A0-690E6D13514A}"/>
              </c:ext>
            </c:extLst>
          </c:dPt>
          <c:dPt>
            <c:idx val="1"/>
            <c:bubble3D val="0"/>
            <c:spPr>
              <a:solidFill>
                <a:schemeClr val="accent2"/>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91A9-4E61-A5A0-690E6D13514A}"/>
              </c:ext>
            </c:extLst>
          </c:dPt>
          <c:dPt>
            <c:idx val="2"/>
            <c:bubble3D val="0"/>
            <c:spPr>
              <a:solidFill>
                <a:schemeClr val="accent3"/>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5-91A9-4E61-A5A0-690E6D13514A}"/>
              </c:ext>
            </c:extLst>
          </c:dPt>
          <c:dPt>
            <c:idx val="3"/>
            <c:bubble3D val="0"/>
            <c:spPr>
              <a:solidFill>
                <a:schemeClr val="accent4"/>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7-91A9-4E61-A5A0-690E6D13514A}"/>
              </c:ext>
            </c:extLst>
          </c:dPt>
          <c:dPt>
            <c:idx val="4"/>
            <c:bubble3D val="0"/>
            <c:spPr>
              <a:solidFill>
                <a:schemeClr val="accent5"/>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9-91A9-4E61-A5A0-690E6D13514A}"/>
              </c:ext>
            </c:extLst>
          </c:dPt>
          <c:dPt>
            <c:idx val="5"/>
            <c:bubble3D val="0"/>
            <c:spPr>
              <a:solidFill>
                <a:schemeClr val="accent6"/>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B-91A9-4E61-A5A0-690E6D13514A}"/>
              </c:ext>
            </c:extLst>
          </c:dPt>
          <c:dPt>
            <c:idx val="6"/>
            <c:bubble3D val="0"/>
            <c:spPr>
              <a:solidFill>
                <a:schemeClr val="accent1">
                  <a:lumMod val="6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D-91A9-4E61-A5A0-690E6D13514A}"/>
              </c:ext>
            </c:extLst>
          </c:dPt>
          <c:dPt>
            <c:idx val="7"/>
            <c:bubble3D val="0"/>
            <c:spPr>
              <a:solidFill>
                <a:schemeClr val="accent2">
                  <a:lumMod val="6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F-91A9-4E61-A5A0-690E6D13514A}"/>
              </c:ext>
            </c:extLst>
          </c:dPt>
          <c:dPt>
            <c:idx val="8"/>
            <c:bubble3D val="0"/>
            <c:spPr>
              <a:solidFill>
                <a:schemeClr val="accent3">
                  <a:lumMod val="6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1-91A9-4E61-A5A0-690E6D13514A}"/>
              </c:ext>
            </c:extLst>
          </c:dPt>
          <c:dPt>
            <c:idx val="9"/>
            <c:bubble3D val="0"/>
            <c:spPr>
              <a:solidFill>
                <a:schemeClr val="accent4">
                  <a:lumMod val="6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3-91A9-4E61-A5A0-690E6D13514A}"/>
              </c:ext>
            </c:extLst>
          </c:dPt>
          <c:dPt>
            <c:idx val="10"/>
            <c:bubble3D val="0"/>
            <c:spPr>
              <a:solidFill>
                <a:schemeClr val="accent5">
                  <a:lumMod val="6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5-91A9-4E61-A5A0-690E6D13514A}"/>
              </c:ext>
            </c:extLst>
          </c:dPt>
          <c:dPt>
            <c:idx val="11"/>
            <c:bubble3D val="0"/>
            <c:spPr>
              <a:solidFill>
                <a:schemeClr val="accent6">
                  <a:lumMod val="6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7-91A9-4E61-A5A0-690E6D13514A}"/>
              </c:ext>
            </c:extLst>
          </c:dPt>
          <c:dPt>
            <c:idx val="12"/>
            <c:bubble3D val="0"/>
            <c:spPr>
              <a:solidFill>
                <a:schemeClr val="accent1">
                  <a:lumMod val="80000"/>
                  <a:lumOff val="2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9-91A9-4E61-A5A0-690E6D13514A}"/>
              </c:ext>
            </c:extLst>
          </c:dPt>
          <c:dPt>
            <c:idx val="13"/>
            <c:bubble3D val="0"/>
            <c:spPr>
              <a:solidFill>
                <a:schemeClr val="accent2">
                  <a:lumMod val="80000"/>
                  <a:lumOff val="2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B-91A9-4E61-A5A0-690E6D13514A}"/>
              </c:ext>
            </c:extLst>
          </c:dPt>
          <c:dPt>
            <c:idx val="14"/>
            <c:bubble3D val="0"/>
            <c:spPr>
              <a:solidFill>
                <a:schemeClr val="accent3">
                  <a:lumMod val="80000"/>
                  <a:lumOff val="2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D-91A9-4E61-A5A0-690E6D13514A}"/>
              </c:ext>
            </c:extLst>
          </c:dPt>
          <c:dPt>
            <c:idx val="15"/>
            <c:bubble3D val="0"/>
            <c:spPr>
              <a:solidFill>
                <a:schemeClr val="accent4">
                  <a:lumMod val="80000"/>
                  <a:lumOff val="2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F-91A9-4E61-A5A0-690E6D13514A}"/>
              </c:ext>
            </c:extLst>
          </c:dPt>
          <c:dPt>
            <c:idx val="16"/>
            <c:bubble3D val="0"/>
            <c:spPr>
              <a:solidFill>
                <a:schemeClr val="accent5">
                  <a:lumMod val="80000"/>
                  <a:lumOff val="2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1-91A9-4E61-A5A0-690E6D13514A}"/>
              </c:ext>
            </c:extLst>
          </c:dPt>
          <c:dPt>
            <c:idx val="17"/>
            <c:bubble3D val="0"/>
            <c:spPr>
              <a:solidFill>
                <a:schemeClr val="accent6">
                  <a:lumMod val="80000"/>
                  <a:lumOff val="2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3-91A9-4E61-A5A0-690E6D13514A}"/>
              </c:ext>
            </c:extLst>
          </c:dPt>
          <c:dPt>
            <c:idx val="18"/>
            <c:bubble3D val="0"/>
            <c:spPr>
              <a:solidFill>
                <a:schemeClr val="accent1">
                  <a:lumMod val="8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5-91A9-4E61-A5A0-690E6D13514A}"/>
              </c:ext>
            </c:extLst>
          </c:dPt>
          <c:dPt>
            <c:idx val="19"/>
            <c:bubble3D val="0"/>
            <c:spPr>
              <a:solidFill>
                <a:schemeClr val="accent2">
                  <a:lumMod val="8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7-91A9-4E61-A5A0-690E6D13514A}"/>
              </c:ext>
            </c:extLst>
          </c:dPt>
          <c:dPt>
            <c:idx val="20"/>
            <c:bubble3D val="0"/>
            <c:spPr>
              <a:solidFill>
                <a:schemeClr val="accent3">
                  <a:lumMod val="8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9-91A9-4E61-A5A0-690E6D13514A}"/>
              </c:ext>
            </c:extLst>
          </c:dPt>
          <c:dPt>
            <c:idx val="21"/>
            <c:bubble3D val="0"/>
            <c:spPr>
              <a:solidFill>
                <a:schemeClr val="accent4">
                  <a:lumMod val="8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B-91A9-4E61-A5A0-690E6D13514A}"/>
              </c:ext>
            </c:extLst>
          </c:dPt>
          <c:dPt>
            <c:idx val="22"/>
            <c:bubble3D val="0"/>
            <c:spPr>
              <a:solidFill>
                <a:schemeClr val="accent5">
                  <a:lumMod val="8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D-91A9-4E61-A5A0-690E6D13514A}"/>
              </c:ext>
            </c:extLst>
          </c:dPt>
          <c:dPt>
            <c:idx val="23"/>
            <c:bubble3D val="0"/>
            <c:spPr>
              <a:solidFill>
                <a:schemeClr val="accent6">
                  <a:lumMod val="8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F-91A9-4E61-A5A0-690E6D13514A}"/>
              </c:ext>
            </c:extLst>
          </c:dPt>
          <c:dPt>
            <c:idx val="24"/>
            <c:bubble3D val="0"/>
            <c:spPr>
              <a:solidFill>
                <a:schemeClr val="accent1">
                  <a:lumMod val="60000"/>
                  <a:lumOff val="4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1-91A9-4E61-A5A0-690E6D13514A}"/>
              </c:ext>
            </c:extLst>
          </c:dPt>
          <c:dPt>
            <c:idx val="25"/>
            <c:bubble3D val="0"/>
            <c:spPr>
              <a:solidFill>
                <a:schemeClr val="accent2">
                  <a:lumMod val="60000"/>
                  <a:lumOff val="4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3-91A9-4E61-A5A0-690E6D13514A}"/>
              </c:ext>
            </c:extLst>
          </c:dPt>
          <c:dPt>
            <c:idx val="26"/>
            <c:bubble3D val="0"/>
            <c:spPr>
              <a:solidFill>
                <a:schemeClr val="accent3">
                  <a:lumMod val="60000"/>
                  <a:lumOff val="4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5-91A9-4E61-A5A0-690E6D13514A}"/>
              </c:ext>
            </c:extLst>
          </c:dPt>
          <c:dPt>
            <c:idx val="27"/>
            <c:bubble3D val="0"/>
            <c:spPr>
              <a:solidFill>
                <a:schemeClr val="accent4">
                  <a:lumMod val="60000"/>
                  <a:lumOff val="4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7-91A9-4E61-A5A0-690E6D13514A}"/>
              </c:ext>
            </c:extLst>
          </c:dPt>
          <c:dPt>
            <c:idx val="28"/>
            <c:bubble3D val="0"/>
            <c:spPr>
              <a:solidFill>
                <a:schemeClr val="accent5">
                  <a:lumMod val="60000"/>
                  <a:lumOff val="4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9-91A9-4E61-A5A0-690E6D13514A}"/>
              </c:ext>
            </c:extLst>
          </c:dPt>
          <c:dPt>
            <c:idx val="29"/>
            <c:bubble3D val="0"/>
            <c:spPr>
              <a:solidFill>
                <a:schemeClr val="accent6">
                  <a:lumMod val="60000"/>
                  <a:lumOff val="4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B-91A9-4E61-A5A0-690E6D13514A}"/>
              </c:ext>
            </c:extLst>
          </c:dPt>
          <c:dPt>
            <c:idx val="30"/>
            <c:bubble3D val="0"/>
            <c:spPr>
              <a:solidFill>
                <a:schemeClr val="accent1">
                  <a:lumMod val="5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D-91A9-4E61-A5A0-690E6D13514A}"/>
              </c:ext>
            </c:extLst>
          </c:dPt>
          <c:dPt>
            <c:idx val="31"/>
            <c:bubble3D val="0"/>
            <c:spPr>
              <a:solidFill>
                <a:schemeClr val="accent2">
                  <a:lumMod val="5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F-91A9-4E61-A5A0-690E6D13514A}"/>
              </c:ext>
            </c:extLst>
          </c:dPt>
          <c:dPt>
            <c:idx val="32"/>
            <c:bubble3D val="0"/>
            <c:spPr>
              <a:solidFill>
                <a:schemeClr val="accent3">
                  <a:lumMod val="5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1-91A9-4E61-A5A0-690E6D13514A}"/>
              </c:ext>
            </c:extLst>
          </c:dPt>
          <c:dPt>
            <c:idx val="33"/>
            <c:bubble3D val="0"/>
            <c:spPr>
              <a:solidFill>
                <a:schemeClr val="accent4">
                  <a:lumMod val="5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3-91A9-4E61-A5A0-690E6D13514A}"/>
              </c:ext>
            </c:extLst>
          </c:dPt>
          <c:dPt>
            <c:idx val="34"/>
            <c:bubble3D val="0"/>
            <c:spPr>
              <a:solidFill>
                <a:schemeClr val="accent5">
                  <a:lumMod val="5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5-91A9-4E61-A5A0-690E6D13514A}"/>
              </c:ext>
            </c:extLst>
          </c:dPt>
          <c:dPt>
            <c:idx val="35"/>
            <c:bubble3D val="0"/>
            <c:spPr>
              <a:solidFill>
                <a:schemeClr val="accent6">
                  <a:lumMod val="5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7-91A9-4E61-A5A0-690E6D13514A}"/>
              </c:ext>
            </c:extLst>
          </c:dPt>
          <c:dPt>
            <c:idx val="36"/>
            <c:bubble3D val="0"/>
            <c:spPr>
              <a:solidFill>
                <a:schemeClr val="accent1">
                  <a:lumMod val="70000"/>
                  <a:lumOff val="3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9-91A9-4E61-A5A0-690E6D13514A}"/>
              </c:ext>
            </c:extLst>
          </c:dPt>
          <c:dPt>
            <c:idx val="37"/>
            <c:bubble3D val="0"/>
            <c:spPr>
              <a:solidFill>
                <a:schemeClr val="accent2">
                  <a:lumMod val="70000"/>
                  <a:lumOff val="3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B-91A9-4E61-A5A0-690E6D13514A}"/>
              </c:ext>
            </c:extLst>
          </c:dPt>
          <c:dPt>
            <c:idx val="38"/>
            <c:bubble3D val="0"/>
            <c:spPr>
              <a:solidFill>
                <a:schemeClr val="accent3">
                  <a:lumMod val="70000"/>
                  <a:lumOff val="3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D-91A9-4E61-A5A0-690E6D13514A}"/>
              </c:ext>
            </c:extLst>
          </c:dPt>
          <c:dPt>
            <c:idx val="39"/>
            <c:bubble3D val="0"/>
            <c:spPr>
              <a:solidFill>
                <a:schemeClr val="accent4">
                  <a:lumMod val="70000"/>
                  <a:lumOff val="3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F-91A9-4E61-A5A0-690E6D13514A}"/>
              </c:ext>
            </c:extLst>
          </c:dPt>
          <c:dPt>
            <c:idx val="40"/>
            <c:bubble3D val="0"/>
            <c:spPr>
              <a:solidFill>
                <a:schemeClr val="accent5">
                  <a:lumMod val="70000"/>
                  <a:lumOff val="3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1-91A9-4E61-A5A0-690E6D13514A}"/>
              </c:ext>
            </c:extLst>
          </c:dPt>
          <c:dPt>
            <c:idx val="41"/>
            <c:bubble3D val="0"/>
            <c:spPr>
              <a:solidFill>
                <a:schemeClr val="accent6">
                  <a:lumMod val="70000"/>
                  <a:lumOff val="3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3-91A9-4E61-A5A0-690E6D13514A}"/>
              </c:ext>
            </c:extLst>
          </c:dPt>
          <c:dPt>
            <c:idx val="42"/>
            <c:bubble3D val="0"/>
            <c:spPr>
              <a:solidFill>
                <a:schemeClr val="accent1">
                  <a:lumMod val="7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5-91A9-4E61-A5A0-690E6D13514A}"/>
              </c:ext>
            </c:extLst>
          </c:dPt>
          <c:dPt>
            <c:idx val="43"/>
            <c:bubble3D val="0"/>
            <c:spPr>
              <a:solidFill>
                <a:schemeClr val="accent2">
                  <a:lumMod val="7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7-91A9-4E61-A5A0-690E6D13514A}"/>
              </c:ext>
            </c:extLst>
          </c:dPt>
          <c:dPt>
            <c:idx val="44"/>
            <c:bubble3D val="0"/>
            <c:spPr>
              <a:solidFill>
                <a:schemeClr val="accent3">
                  <a:lumMod val="70000"/>
                </a:schemeClr>
              </a:solidFill>
              <a:ln w="0">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9-91A9-4E61-A5A0-690E6D13514A}"/>
              </c:ext>
            </c:extLst>
          </c:dPt>
          <c:dLbls>
            <c:dLbl>
              <c:idx val="0"/>
              <c:layout>
                <c:manualLayout>
                  <c:x val="-0.18679966529713052"/>
                  <c:y val="0.19546096682106551"/>
                </c:manualLayout>
              </c:layout>
              <c:tx>
                <c:rich>
                  <a:bodyPr/>
                  <a:lstStyle/>
                  <a:p>
                    <a:r>
                      <a:rPr lang="en-US"/>
                      <a:t>Ev. komisija</a:t>
                    </a:r>
                    <a:r>
                      <a:rPr lang="en-US" baseline="0"/>
                      <a:t>, </a:t>
                    </a:r>
                    <a:fld id="{DAAE4C1C-B7A3-43A4-9D08-5811B806BCAE}" type="VALUE">
                      <a:rPr lang="en-US" baseline="0"/>
                      <a:pPr/>
                      <a:t>[VALUE]</a:t>
                    </a:fld>
                    <a:endParaRPr lang="en-US" baseline="0"/>
                  </a:p>
                </c:rich>
              </c:tx>
              <c:dLblPos val="bestFit"/>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manualLayout>
                      <c:w val="0.24293398692810458"/>
                      <c:h val="0.12306473134376933"/>
                    </c:manualLayout>
                  </c15:layout>
                  <c15:dlblFieldTable/>
                  <c15:showDataLabelsRange val="0"/>
                </c:ext>
                <c:ext xmlns:c16="http://schemas.microsoft.com/office/drawing/2014/chart" uri="{C3380CC4-5D6E-409C-BE32-E72D297353CC}">
                  <c16:uniqueId val="{00000001-91A9-4E61-A5A0-690E6D13514A}"/>
                </c:ext>
              </c:extLst>
            </c:dLbl>
            <c:dLbl>
              <c:idx val="1"/>
              <c:layout>
                <c:manualLayout>
                  <c:x val="-9.1307189542483666E-2"/>
                  <c:y val="-2.4782764344062225E-3"/>
                </c:manualLayout>
              </c:layout>
              <c:tx>
                <c:rich>
                  <a:bodyPr/>
                  <a:lstStyle/>
                  <a:p>
                    <a:r>
                      <a:rPr lang="en-US"/>
                      <a:t>Hrvaška</a:t>
                    </a:r>
                    <a:r>
                      <a:rPr lang="en-US" baseline="0"/>
                      <a:t>, </a:t>
                    </a:r>
                    <a:fld id="{96D6B66D-B84E-4639-82C1-A610DEFE40DE}" type="VALUE">
                      <a:rPr lang="en-US" baseline="0"/>
                      <a:pPr/>
                      <a:t>[VALUE]</a:t>
                    </a:fld>
                    <a:endParaRPr lang="en-US" baseline="0"/>
                  </a:p>
                </c:rich>
              </c:tx>
              <c:dLblPos val="bestFit"/>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manualLayout>
                      <c:w val="0.17788856209150328"/>
                      <c:h val="6.1067139649168482E-2"/>
                    </c:manualLayout>
                  </c15:layout>
                  <c15:dlblFieldTable/>
                  <c15:showDataLabelsRange val="0"/>
                </c:ext>
                <c:ext xmlns:c16="http://schemas.microsoft.com/office/drawing/2014/chart" uri="{C3380CC4-5D6E-409C-BE32-E72D297353CC}">
                  <c16:uniqueId val="{00000003-91A9-4E61-A5A0-690E6D13514A}"/>
                </c:ext>
              </c:extLst>
            </c:dLbl>
            <c:dLbl>
              <c:idx val="2"/>
              <c:layout/>
              <c:tx>
                <c:rich>
                  <a:bodyPr/>
                  <a:lstStyle/>
                  <a:p>
                    <a:r>
                      <a:rPr lang="en-US"/>
                      <a:t>Italija</a:t>
                    </a:r>
                    <a:r>
                      <a:rPr lang="en-US" baseline="0"/>
                      <a:t>, </a:t>
                    </a:r>
                    <a:fld id="{78BAA820-8730-4D45-8F3C-1D63F75A4C75}" type="VALUE">
                      <a:rPr lang="en-US" baseline="0"/>
                      <a:pPr/>
                      <a:t>[VALUE]</a:t>
                    </a:fld>
                    <a:endParaRPr lang="en-US" baseline="0"/>
                  </a:p>
                </c:rich>
              </c:tx>
              <c:dLblPos val="bestFit"/>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15:dlblFieldTable/>
                  <c15:showDataLabelsRange val="0"/>
                </c:ext>
                <c:ext xmlns:c16="http://schemas.microsoft.com/office/drawing/2014/chart" uri="{C3380CC4-5D6E-409C-BE32-E72D297353CC}">
                  <c16:uniqueId val="{00000005-91A9-4E61-A5A0-690E6D13514A}"/>
                </c:ext>
              </c:extLst>
            </c:dLbl>
            <c:dLbl>
              <c:idx val="3"/>
              <c:layout/>
              <c:tx>
                <c:rich>
                  <a:bodyPr/>
                  <a:lstStyle/>
                  <a:p>
                    <a:r>
                      <a:rPr lang="en-US"/>
                      <a:t>Portugalska</a:t>
                    </a:r>
                    <a:r>
                      <a:rPr lang="en-US" baseline="0"/>
                      <a:t>, </a:t>
                    </a:r>
                    <a:fld id="{69A44053-096A-452B-879E-5127D8192A39}" type="VALUE">
                      <a:rPr lang="en-US" baseline="0"/>
                      <a:pPr/>
                      <a:t>[VALUE]</a:t>
                    </a:fld>
                    <a:endParaRPr lang="en-US" baseline="0"/>
                  </a:p>
                </c:rich>
              </c:tx>
              <c:dLblPos val="bestFit"/>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15:dlblFieldTable/>
                  <c15:showDataLabelsRange val="0"/>
                </c:ext>
                <c:ext xmlns:c16="http://schemas.microsoft.com/office/drawing/2014/chart" uri="{C3380CC4-5D6E-409C-BE32-E72D297353CC}">
                  <c16:uniqueId val="{00000007-91A9-4E61-A5A0-690E6D13514A}"/>
                </c:ext>
              </c:extLst>
            </c:dLbl>
            <c:dLbl>
              <c:idx val="4"/>
              <c:layout/>
              <c:tx>
                <c:rich>
                  <a:bodyPr/>
                  <a:lstStyle/>
                  <a:p>
                    <a:r>
                      <a:rPr lang="en-US"/>
                      <a:t>Španija</a:t>
                    </a:r>
                    <a:r>
                      <a:rPr lang="en-US" baseline="0"/>
                      <a:t>, </a:t>
                    </a:r>
                    <a:fld id="{232D3524-193A-4976-8932-95D16B746A7B}" type="VALUE">
                      <a:rPr lang="en-US" baseline="0"/>
                      <a:pPr/>
                      <a:t>[VALUE]</a:t>
                    </a:fld>
                    <a:endParaRPr lang="en-US" baseline="0"/>
                  </a:p>
                </c:rich>
              </c:tx>
              <c:dLblPos val="bestFit"/>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15:dlblFieldTable/>
                  <c15:showDataLabelsRange val="0"/>
                </c:ext>
                <c:ext xmlns:c16="http://schemas.microsoft.com/office/drawing/2014/chart" uri="{C3380CC4-5D6E-409C-BE32-E72D297353CC}">
                  <c16:uniqueId val="{00000009-91A9-4E61-A5A0-690E6D13514A}"/>
                </c:ext>
              </c:extLst>
            </c:dLbl>
            <c:spPr>
              <a:solidFill>
                <a:srgbClr val="FFFFCC"/>
              </a:solidFill>
              <a:ln w="12700">
                <a:solidFill>
                  <a:srgbClr val="0070C0"/>
                </a:solidFill>
              </a:ln>
              <a:effectLst/>
            </c:spPr>
            <c:txPr>
              <a:bodyPr rot="0" spcFirstLastPara="1" vertOverflow="overflow" horzOverflow="overflow" vert="horz" wrap="none" lIns="0" tIns="18288" rIns="0" bIns="18288" anchor="ctr" anchorCtr="1">
                <a:noAutofit/>
              </a:bodyPr>
              <a:lstStyle/>
              <a:p>
                <a:pPr>
                  <a:defRPr sz="900" b="0" i="0" u="none" strike="noStrike" kern="1200" baseline="0">
                    <a:ln>
                      <a:noFill/>
                    </a:ln>
                    <a:solidFill>
                      <a:srgbClr val="002060"/>
                    </a:solidFill>
                    <a:latin typeface="+mj-lt"/>
                    <a:ea typeface="+mn-ea"/>
                    <a:cs typeface="+mn-cs"/>
                  </a:defRPr>
                </a:pPr>
                <a:endParaRPr lang="en-US"/>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roundRect">
                    <a:avLst/>
                  </a:prstGeom>
                  <a:noFill/>
                  <a:ln>
                    <a:noFill/>
                  </a:ln>
                </c15:spPr>
              </c:ext>
            </c:extLst>
          </c:dLbls>
          <c:cat>
            <c:strRef>
              <c:f>'Actions Member States'!$A$2:$A$6</c:f>
              <c:strCache>
                <c:ptCount val="5"/>
                <c:pt idx="0">
                  <c:v>Eur. Com.</c:v>
                </c:pt>
                <c:pt idx="1">
                  <c:v>Croatia</c:v>
                </c:pt>
                <c:pt idx="2">
                  <c:v>Italy</c:v>
                </c:pt>
                <c:pt idx="3">
                  <c:v>Portugal</c:v>
                </c:pt>
                <c:pt idx="4">
                  <c:v>Spain</c:v>
                </c:pt>
              </c:strCache>
            </c:strRef>
          </c:cat>
          <c:val>
            <c:numRef>
              <c:f>'Actions Member States'!$B$2:$B$6</c:f>
              <c:numCache>
                <c:formatCode>General</c:formatCode>
                <c:ptCount val="5"/>
                <c:pt idx="0">
                  <c:v>2</c:v>
                </c:pt>
                <c:pt idx="1">
                  <c:v>1</c:v>
                </c:pt>
                <c:pt idx="2">
                  <c:v>2</c:v>
                </c:pt>
                <c:pt idx="3">
                  <c:v>2</c:v>
                </c:pt>
                <c:pt idx="4">
                  <c:v>3</c:v>
                </c:pt>
              </c:numCache>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A-91A9-4E61-A5A0-690E6D13514A}"/>
            </c:ext>
          </c:extLst>
        </c:ser>
        <c:dLbls>
          <c:showLegendKey val="0"/>
          <c:showVal val="0"/>
          <c:showCatName val="1"/>
          <c:showSerName val="0"/>
          <c:showPercent val="0"/>
          <c:showBubbleSize val="0"/>
          <c:showLeaderLines val="1"/>
        </c:dLbls>
        <c:firstSliceAng val="0"/>
      </c:pieChart>
      <c:spPr>
        <a:noFill/>
        <a:ln w="0">
          <a:solidFill>
            <a:srgbClr val="FFFFFF"/>
          </a:solidFill>
        </a:ln>
        <a:effectLst/>
      </c:spPr>
    </c:plotArea>
    <c:plotVisOnly val="1"/>
    <c:dispBlanksAs val="gap"/>
    <c:showDLblsOverMax val="0"/>
  </c:chart>
  <c:spPr>
    <a:solidFill>
      <a:srgbClr val="FFFFFF"/>
    </a:solidFill>
    <a:ln w="12700" cap="flat" cmpd="dbl" algn="ctr">
      <a:solidFill>
        <a:srgbClr val="FFFFFF"/>
      </a:solidFill>
      <a:round/>
    </a:ln>
    <a:effectLst/>
  </c:spPr>
  <c:txPr>
    <a:bodyPr rot="-5400000" vert="horz"/>
    <a:lstStyle/>
    <a:p>
      <a:pPr>
        <a:defRPr>
          <a:solidFill>
            <a:srgbClr val="002060"/>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rgbClr val="000000"/>
                </a:solidFill>
                <a:latin typeface="+mn-lt"/>
                <a:ea typeface="+mn-ea"/>
                <a:cs typeface="+mn-cs"/>
              </a:defRPr>
            </a:pPr>
            <a:r>
              <a:rPr lang="en-SI" sz="1000" cap="none" baseline="0">
                <a:solidFill>
                  <a:srgbClr val="000000"/>
                </a:solidFill>
                <a:latin typeface="+mj-lt"/>
                <a:ea typeface="+mn-ea"/>
                <a:cs typeface="+mn-cs"/>
              </a:rPr>
              <a:t>Vrsta financiranih ukrepov</a:t>
            </a:r>
            <a:endParaRPr lang="en-IE" sz="1000" cap="none" baseline="0">
              <a:latin typeface="+mj-lt"/>
            </a:endParaRPr>
          </a:p>
        </c:rich>
      </c:tx>
      <c:layout/>
      <c:overlay val="0"/>
      <c:spPr>
        <a:solidFill>
          <a:srgbClr val="0E4194">
            <a:lumMod val="20000"/>
            <a:lumOff val="80000"/>
          </a:srgbClr>
        </a:solidFill>
        <a:ln w="3175" cap="flat" cmpd="sng" algn="ctr">
          <a:solidFill>
            <a:srgbClr val="3273DF"/>
          </a:solidFill>
          <a:prstDash val="solid"/>
        </a:ln>
        <a:effectLst/>
      </c:spPr>
      <c:txPr>
        <a:bodyPr rot="0" spcFirstLastPara="1" vertOverflow="ellipsis" vert="horz" wrap="square" anchor="ctr" anchorCtr="1"/>
        <a:lstStyle/>
        <a:p>
          <a:pPr>
            <a:defRPr sz="1400" b="1" i="0" u="none" strike="noStrike" kern="1200" cap="all" spc="50" baseline="0">
              <a:solidFill>
                <a:srgbClr val="000000"/>
              </a:solidFill>
              <a:latin typeface="+mn-lt"/>
              <a:ea typeface="+mn-ea"/>
              <a:cs typeface="+mn-cs"/>
            </a:defRPr>
          </a:pPr>
          <a:endParaRPr lang="en-US"/>
        </a:p>
      </c:txPr>
    </c:title>
    <c:autoTitleDeleted val="0"/>
    <c:plotArea>
      <c:layout>
        <c:manualLayout>
          <c:layoutTarget val="inner"/>
          <c:xMode val="edge"/>
          <c:yMode val="edge"/>
          <c:x val="0.14108199464524768"/>
          <c:y val="0.11736215277777776"/>
          <c:w val="0.77980208333333312"/>
          <c:h val="0.77980208333333312"/>
        </c:manualLayout>
      </c:layout>
      <c:pieChart>
        <c:varyColors val="1"/>
        <c:ser>
          <c:idx val="0"/>
          <c:order val="0"/>
          <c:spPr>
            <a:ln>
              <a:solidFill>
                <a:srgbClr val="FFFFFF"/>
              </a:solidFill>
            </a:ln>
          </c:spPr>
          <c:dPt>
            <c:idx val="0"/>
            <c:bubble3D val="0"/>
            <c:spPr>
              <a:solidFill>
                <a:schemeClr val="accent1"/>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FED5-42A3-9C0D-A7B667BAC832}"/>
              </c:ext>
            </c:extLst>
          </c:dPt>
          <c:dPt>
            <c:idx val="1"/>
            <c:bubble3D val="0"/>
            <c:spPr>
              <a:solidFill>
                <a:schemeClr val="accent2"/>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FED5-42A3-9C0D-A7B667BAC832}"/>
              </c:ext>
            </c:extLst>
          </c:dPt>
          <c:dPt>
            <c:idx val="2"/>
            <c:bubble3D val="0"/>
            <c:spPr>
              <a:solidFill>
                <a:schemeClr val="accent3"/>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5-FED5-42A3-9C0D-A7B667BAC832}"/>
              </c:ext>
            </c:extLst>
          </c:dPt>
          <c:dPt>
            <c:idx val="3"/>
            <c:bubble3D val="0"/>
            <c:spPr>
              <a:solidFill>
                <a:schemeClr val="accent4"/>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7-FED5-42A3-9C0D-A7B667BAC832}"/>
              </c:ext>
            </c:extLst>
          </c:dPt>
          <c:dPt>
            <c:idx val="4"/>
            <c:bubble3D val="0"/>
            <c:spPr>
              <a:solidFill>
                <a:schemeClr val="accent5"/>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9-FED5-42A3-9C0D-A7B667BAC832}"/>
              </c:ext>
            </c:extLst>
          </c:dPt>
          <c:dPt>
            <c:idx val="5"/>
            <c:bubble3D val="0"/>
            <c:spPr>
              <a:solidFill>
                <a:schemeClr val="accent6"/>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B-FED5-42A3-9C0D-A7B667BAC832}"/>
              </c:ext>
            </c:extLst>
          </c:dPt>
          <c:dPt>
            <c:idx val="6"/>
            <c:bubble3D val="0"/>
            <c:spPr>
              <a:solidFill>
                <a:schemeClr val="accent1">
                  <a:lumMod val="6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D-FED5-42A3-9C0D-A7B667BAC832}"/>
              </c:ext>
            </c:extLst>
          </c:dPt>
          <c:dPt>
            <c:idx val="7"/>
            <c:bubble3D val="0"/>
            <c:spPr>
              <a:solidFill>
                <a:schemeClr val="accent2">
                  <a:lumMod val="6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F-FED5-42A3-9C0D-A7B667BAC832}"/>
              </c:ext>
            </c:extLst>
          </c:dPt>
          <c:dPt>
            <c:idx val="8"/>
            <c:bubble3D val="0"/>
            <c:spPr>
              <a:solidFill>
                <a:schemeClr val="accent3">
                  <a:lumMod val="6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1-FED5-42A3-9C0D-A7B667BAC832}"/>
              </c:ext>
            </c:extLst>
          </c:dPt>
          <c:dPt>
            <c:idx val="9"/>
            <c:bubble3D val="0"/>
            <c:spPr>
              <a:solidFill>
                <a:schemeClr val="accent4">
                  <a:lumMod val="6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3-FED5-42A3-9C0D-A7B667BAC832}"/>
              </c:ext>
            </c:extLst>
          </c:dPt>
          <c:dPt>
            <c:idx val="10"/>
            <c:bubble3D val="0"/>
            <c:spPr>
              <a:solidFill>
                <a:schemeClr val="accent5">
                  <a:lumMod val="6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5-FED5-42A3-9C0D-A7B667BAC832}"/>
              </c:ext>
            </c:extLst>
          </c:dPt>
          <c:dPt>
            <c:idx val="11"/>
            <c:bubble3D val="0"/>
            <c:spPr>
              <a:solidFill>
                <a:schemeClr val="accent6">
                  <a:lumMod val="6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7-FED5-42A3-9C0D-A7B667BAC832}"/>
              </c:ext>
            </c:extLst>
          </c:dPt>
          <c:dPt>
            <c:idx val="12"/>
            <c:bubble3D val="0"/>
            <c:spPr>
              <a:solidFill>
                <a:schemeClr val="accent1">
                  <a:lumMod val="80000"/>
                  <a:lumOff val="2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9-FED5-42A3-9C0D-A7B667BAC832}"/>
              </c:ext>
            </c:extLst>
          </c:dPt>
          <c:dPt>
            <c:idx val="13"/>
            <c:bubble3D val="0"/>
            <c:spPr>
              <a:solidFill>
                <a:schemeClr val="accent2">
                  <a:lumMod val="80000"/>
                  <a:lumOff val="2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B-FED5-42A3-9C0D-A7B667BAC832}"/>
              </c:ext>
            </c:extLst>
          </c:dPt>
          <c:dPt>
            <c:idx val="14"/>
            <c:bubble3D val="0"/>
            <c:spPr>
              <a:solidFill>
                <a:schemeClr val="accent3">
                  <a:lumMod val="80000"/>
                  <a:lumOff val="2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D-FED5-42A3-9C0D-A7B667BAC832}"/>
              </c:ext>
            </c:extLst>
          </c:dPt>
          <c:dPt>
            <c:idx val="15"/>
            <c:bubble3D val="0"/>
            <c:spPr>
              <a:solidFill>
                <a:schemeClr val="accent4">
                  <a:lumMod val="80000"/>
                  <a:lumOff val="2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F-FED5-42A3-9C0D-A7B667BAC832}"/>
              </c:ext>
            </c:extLst>
          </c:dPt>
          <c:dPt>
            <c:idx val="16"/>
            <c:bubble3D val="0"/>
            <c:spPr>
              <a:solidFill>
                <a:schemeClr val="accent5">
                  <a:lumMod val="80000"/>
                  <a:lumOff val="2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1-FED5-42A3-9C0D-A7B667BAC832}"/>
              </c:ext>
            </c:extLst>
          </c:dPt>
          <c:dPt>
            <c:idx val="17"/>
            <c:bubble3D val="0"/>
            <c:spPr>
              <a:solidFill>
                <a:schemeClr val="accent6">
                  <a:lumMod val="80000"/>
                  <a:lumOff val="2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3-FED5-42A3-9C0D-A7B667BAC832}"/>
              </c:ext>
            </c:extLst>
          </c:dPt>
          <c:dPt>
            <c:idx val="18"/>
            <c:bubble3D val="0"/>
            <c:spPr>
              <a:solidFill>
                <a:schemeClr val="accent1">
                  <a:lumMod val="8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5-FED5-42A3-9C0D-A7B667BAC832}"/>
              </c:ext>
            </c:extLst>
          </c:dPt>
          <c:dPt>
            <c:idx val="19"/>
            <c:bubble3D val="0"/>
            <c:spPr>
              <a:solidFill>
                <a:schemeClr val="accent2">
                  <a:lumMod val="8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7-FED5-42A3-9C0D-A7B667BAC832}"/>
              </c:ext>
            </c:extLst>
          </c:dPt>
          <c:dPt>
            <c:idx val="20"/>
            <c:bubble3D val="0"/>
            <c:spPr>
              <a:solidFill>
                <a:schemeClr val="accent3">
                  <a:lumMod val="8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9-FED5-42A3-9C0D-A7B667BAC832}"/>
              </c:ext>
            </c:extLst>
          </c:dPt>
          <c:dPt>
            <c:idx val="21"/>
            <c:bubble3D val="0"/>
            <c:spPr>
              <a:solidFill>
                <a:schemeClr val="accent4">
                  <a:lumMod val="8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B-FED5-42A3-9C0D-A7B667BAC832}"/>
              </c:ext>
            </c:extLst>
          </c:dPt>
          <c:dPt>
            <c:idx val="22"/>
            <c:bubble3D val="0"/>
            <c:spPr>
              <a:solidFill>
                <a:schemeClr val="accent5">
                  <a:lumMod val="8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D-FED5-42A3-9C0D-A7B667BAC832}"/>
              </c:ext>
            </c:extLst>
          </c:dPt>
          <c:dPt>
            <c:idx val="23"/>
            <c:bubble3D val="0"/>
            <c:spPr>
              <a:solidFill>
                <a:schemeClr val="accent6">
                  <a:lumMod val="8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F-FED5-42A3-9C0D-A7B667BAC832}"/>
              </c:ext>
            </c:extLst>
          </c:dPt>
          <c:dPt>
            <c:idx val="24"/>
            <c:bubble3D val="0"/>
            <c:spPr>
              <a:solidFill>
                <a:schemeClr val="accent1">
                  <a:lumMod val="60000"/>
                  <a:lumOff val="4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1-FED5-42A3-9C0D-A7B667BAC832}"/>
              </c:ext>
            </c:extLst>
          </c:dPt>
          <c:dPt>
            <c:idx val="25"/>
            <c:bubble3D val="0"/>
            <c:spPr>
              <a:solidFill>
                <a:schemeClr val="accent2">
                  <a:lumMod val="60000"/>
                  <a:lumOff val="4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3-FED5-42A3-9C0D-A7B667BAC832}"/>
              </c:ext>
            </c:extLst>
          </c:dPt>
          <c:dPt>
            <c:idx val="26"/>
            <c:bubble3D val="0"/>
            <c:spPr>
              <a:solidFill>
                <a:schemeClr val="accent3">
                  <a:lumMod val="60000"/>
                  <a:lumOff val="4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5-FED5-42A3-9C0D-A7B667BAC832}"/>
              </c:ext>
            </c:extLst>
          </c:dPt>
          <c:dPt>
            <c:idx val="27"/>
            <c:bubble3D val="0"/>
            <c:spPr>
              <a:solidFill>
                <a:schemeClr val="accent4">
                  <a:lumMod val="60000"/>
                  <a:lumOff val="4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7-FED5-42A3-9C0D-A7B667BAC832}"/>
              </c:ext>
            </c:extLst>
          </c:dPt>
          <c:dPt>
            <c:idx val="28"/>
            <c:bubble3D val="0"/>
            <c:spPr>
              <a:solidFill>
                <a:schemeClr val="accent5">
                  <a:lumMod val="60000"/>
                  <a:lumOff val="4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9-FED5-42A3-9C0D-A7B667BAC832}"/>
              </c:ext>
            </c:extLst>
          </c:dPt>
          <c:dPt>
            <c:idx val="29"/>
            <c:bubble3D val="0"/>
            <c:spPr>
              <a:solidFill>
                <a:schemeClr val="accent6">
                  <a:lumMod val="60000"/>
                  <a:lumOff val="4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B-FED5-42A3-9C0D-A7B667BAC832}"/>
              </c:ext>
            </c:extLst>
          </c:dPt>
          <c:dPt>
            <c:idx val="30"/>
            <c:bubble3D val="0"/>
            <c:spPr>
              <a:solidFill>
                <a:schemeClr val="accent1">
                  <a:lumMod val="5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D-FED5-42A3-9C0D-A7B667BAC832}"/>
              </c:ext>
            </c:extLst>
          </c:dPt>
          <c:dPt>
            <c:idx val="31"/>
            <c:bubble3D val="0"/>
            <c:spPr>
              <a:solidFill>
                <a:schemeClr val="accent2">
                  <a:lumMod val="5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F-FED5-42A3-9C0D-A7B667BAC832}"/>
              </c:ext>
            </c:extLst>
          </c:dPt>
          <c:dPt>
            <c:idx val="32"/>
            <c:bubble3D val="0"/>
            <c:spPr>
              <a:solidFill>
                <a:schemeClr val="accent3">
                  <a:lumMod val="5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1-FED5-42A3-9C0D-A7B667BAC832}"/>
              </c:ext>
            </c:extLst>
          </c:dPt>
          <c:dPt>
            <c:idx val="33"/>
            <c:bubble3D val="0"/>
            <c:spPr>
              <a:solidFill>
                <a:schemeClr val="accent4">
                  <a:lumMod val="5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3-FED5-42A3-9C0D-A7B667BAC832}"/>
              </c:ext>
            </c:extLst>
          </c:dPt>
          <c:dPt>
            <c:idx val="34"/>
            <c:bubble3D val="0"/>
            <c:spPr>
              <a:solidFill>
                <a:schemeClr val="accent5">
                  <a:lumMod val="5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5-FED5-42A3-9C0D-A7B667BAC832}"/>
              </c:ext>
            </c:extLst>
          </c:dPt>
          <c:dPt>
            <c:idx val="35"/>
            <c:bubble3D val="0"/>
            <c:spPr>
              <a:solidFill>
                <a:schemeClr val="accent6">
                  <a:lumMod val="5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7-FED5-42A3-9C0D-A7B667BAC832}"/>
              </c:ext>
            </c:extLst>
          </c:dPt>
          <c:dPt>
            <c:idx val="36"/>
            <c:bubble3D val="0"/>
            <c:spPr>
              <a:solidFill>
                <a:schemeClr val="accent1">
                  <a:lumMod val="70000"/>
                  <a:lumOff val="3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9-FED5-42A3-9C0D-A7B667BAC832}"/>
              </c:ext>
            </c:extLst>
          </c:dPt>
          <c:dPt>
            <c:idx val="37"/>
            <c:bubble3D val="0"/>
            <c:spPr>
              <a:solidFill>
                <a:schemeClr val="accent2">
                  <a:lumMod val="70000"/>
                  <a:lumOff val="3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B-FED5-42A3-9C0D-A7B667BAC832}"/>
              </c:ext>
            </c:extLst>
          </c:dPt>
          <c:dPt>
            <c:idx val="38"/>
            <c:bubble3D val="0"/>
            <c:spPr>
              <a:solidFill>
                <a:schemeClr val="accent3">
                  <a:lumMod val="70000"/>
                  <a:lumOff val="3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D-FED5-42A3-9C0D-A7B667BAC832}"/>
              </c:ext>
            </c:extLst>
          </c:dPt>
          <c:dPt>
            <c:idx val="39"/>
            <c:bubble3D val="0"/>
            <c:spPr>
              <a:solidFill>
                <a:schemeClr val="accent4">
                  <a:lumMod val="70000"/>
                  <a:lumOff val="3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F-FED5-42A3-9C0D-A7B667BAC832}"/>
              </c:ext>
            </c:extLst>
          </c:dPt>
          <c:dPt>
            <c:idx val="40"/>
            <c:bubble3D val="0"/>
            <c:spPr>
              <a:solidFill>
                <a:schemeClr val="accent5">
                  <a:lumMod val="70000"/>
                  <a:lumOff val="3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1-FED5-42A3-9C0D-A7B667BAC832}"/>
              </c:ext>
            </c:extLst>
          </c:dPt>
          <c:dPt>
            <c:idx val="41"/>
            <c:bubble3D val="0"/>
            <c:spPr>
              <a:solidFill>
                <a:schemeClr val="accent6">
                  <a:lumMod val="70000"/>
                  <a:lumOff val="3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3-FED5-42A3-9C0D-A7B667BAC832}"/>
              </c:ext>
            </c:extLst>
          </c:dPt>
          <c:dPt>
            <c:idx val="42"/>
            <c:bubble3D val="0"/>
            <c:spPr>
              <a:solidFill>
                <a:schemeClr val="accent1">
                  <a:lumMod val="7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5-FED5-42A3-9C0D-A7B667BAC832}"/>
              </c:ext>
            </c:extLst>
          </c:dPt>
          <c:dPt>
            <c:idx val="43"/>
            <c:bubble3D val="0"/>
            <c:spPr>
              <a:solidFill>
                <a:schemeClr val="accent2">
                  <a:lumMod val="7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7-FED5-42A3-9C0D-A7B667BAC832}"/>
              </c:ext>
            </c:extLst>
          </c:dPt>
          <c:dPt>
            <c:idx val="44"/>
            <c:bubble3D val="0"/>
            <c:spPr>
              <a:solidFill>
                <a:schemeClr val="accent3">
                  <a:lumMod val="70000"/>
                </a:schemeClr>
              </a:solidFill>
              <a:ln>
                <a:solidFill>
                  <a:srgbClr val="FFFFFF"/>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9-FED5-42A3-9C0D-A7B667BAC832}"/>
              </c:ext>
            </c:extLst>
          </c:dPt>
          <c:dLbls>
            <c:dLbl>
              <c:idx val="0"/>
              <c:layout>
                <c:manualLayout>
                  <c:x val="-0.11066736233308339"/>
                  <c:y val="0.14098580242436609"/>
                </c:manualLayout>
              </c:layout>
              <c:tx>
                <c:rich>
                  <a:bodyPr/>
                  <a:lstStyle/>
                  <a:p>
                    <a:r>
                      <a:rPr lang="en-US" sz="800" b="0">
                        <a:latin typeface="+mj-lt"/>
                      </a:rPr>
                      <a:t>Izmenjave</a:t>
                    </a:r>
                    <a:r>
                      <a:rPr lang="en-US" sz="800" b="0" baseline="0">
                        <a:latin typeface="+mj-lt"/>
                      </a:rPr>
                      <a:t> osebja, </a:t>
                    </a:r>
                    <a:fld id="{23C31186-ECFD-48A0-9973-26D16B79E39D}" type="VALUE">
                      <a:rPr lang="en-US" sz="800" b="0" baseline="0">
                        <a:latin typeface="+mj-lt"/>
                      </a:rPr>
                      <a:pPr/>
                      <a:t>[VALUE]</a:t>
                    </a:fld>
                    <a:endParaRPr lang="en-US" sz="800" b="0" baseline="0">
                      <a:latin typeface="+mj-lt"/>
                    </a:endParaRPr>
                  </a:p>
                </c:rich>
              </c:tx>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manualLayout>
                      <c:w val="0.22753005929385614"/>
                      <c:h val="9.7319646653339989E-2"/>
                    </c:manualLayout>
                  </c15:layout>
                  <c15:dlblFieldTable/>
                  <c15:showDataLabelsRange val="0"/>
                </c:ext>
                <c:ext xmlns:c16="http://schemas.microsoft.com/office/drawing/2014/chart" uri="{C3380CC4-5D6E-409C-BE32-E72D297353CC}">
                  <c16:uniqueId val="{00000001-FED5-42A3-9C0D-A7B667BAC832}"/>
                </c:ext>
              </c:extLst>
            </c:dLbl>
            <c:dLbl>
              <c:idx val="1"/>
              <c:layout>
                <c:manualLayout>
                  <c:x val="-2.2364114629001113E-2"/>
                  <c:y val="-0.22037306016359598"/>
                </c:manualLayout>
              </c:layout>
              <c:tx>
                <c:rich>
                  <a:bodyPr/>
                  <a:lstStyle/>
                  <a:p>
                    <a:r>
                      <a:rPr lang="en-US"/>
                      <a:t>Tehnično usposabljanje,</a:t>
                    </a:r>
                    <a:r>
                      <a:rPr lang="en-US" baseline="0"/>
                      <a:t>
</a:t>
                    </a:r>
                    <a:fld id="{374A6E23-2828-4C54-B57A-0BD3E63B23D7}" type="VALUE">
                      <a:rPr lang="en-US" baseline="0"/>
                      <a:pPr/>
                      <a:t>[VALUE]</a:t>
                    </a:fld>
                    <a:endParaRPr lang="en-US" baseline="0"/>
                  </a:p>
                </c:rich>
              </c:tx>
              <c:showLegendKey val="0"/>
              <c:showVal val="1"/>
              <c:showCatName val="1"/>
              <c:showSerName val="0"/>
              <c:showPercent val="0"/>
              <c:showBubbleSize val="0"/>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manualLayout>
                      <c:w val="0.25502157324050034"/>
                      <c:h val="0.19099782533380391"/>
                    </c:manualLayout>
                  </c15:layout>
                  <c15:dlblFieldTable/>
                  <c15:showDataLabelsRange val="0"/>
                </c:ext>
                <c:ext xmlns:c16="http://schemas.microsoft.com/office/drawing/2014/chart" uri="{C3380CC4-5D6E-409C-BE32-E72D297353CC}">
                  <c16:uniqueId val="{00000003-FED5-42A3-9C0D-A7B667BAC832}"/>
                </c:ext>
              </c:extLst>
            </c:dLbl>
            <c:dLbl>
              <c:idx val="2"/>
              <c:layout>
                <c:manualLayout>
                  <c:x val="0.20181944444444444"/>
                  <c:y val="2.1550236388223048E-2"/>
                </c:manualLayout>
              </c:layout>
              <c:tx>
                <c:rich>
                  <a:bodyPr/>
                  <a:lstStyle/>
                  <a:p>
                    <a:r>
                      <a:rPr lang="en-US"/>
                      <a:t>Seminar</a:t>
                    </a:r>
                    <a:r>
                      <a:rPr lang="en-US" baseline="0"/>
                      <a:t>, </a:t>
                    </a:r>
                    <a:fld id="{B3EB66D6-7871-4AE7-8530-1F1B77119278}" type="VALUE">
                      <a:rPr lang="en-US" baseline="0"/>
                      <a:pPr/>
                      <a:t>[VALUE]</a:t>
                    </a:fld>
                    <a:endParaRPr lang="en-US" baseline="0"/>
                  </a:p>
                </c:rich>
              </c:tx>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15:dlblFieldTable/>
                  <c15:showDataLabelsRange val="0"/>
                </c:ext>
                <c:ext xmlns:c16="http://schemas.microsoft.com/office/drawing/2014/chart" uri="{C3380CC4-5D6E-409C-BE32-E72D297353CC}">
                  <c16:uniqueId val="{00000005-FED5-42A3-9C0D-A7B667BAC832}"/>
                </c:ext>
              </c:extLst>
            </c:dLbl>
            <c:dLbl>
              <c:idx val="3"/>
              <c:layout>
                <c:manualLayout>
                  <c:x val="0.20594353399479448"/>
                  <c:y val="0.2526863296389939"/>
                </c:manualLayout>
              </c:layout>
              <c:tx>
                <c:rich>
                  <a:bodyPr rot="0" spcFirstLastPara="1" vertOverflow="overflow" horzOverflow="overflow" vert="horz" wrap="square" lIns="0" tIns="0" rIns="0" bIns="0" anchor="ctr" anchorCtr="1">
                    <a:noAutofit/>
                  </a:bodyPr>
                  <a:lstStyle/>
                  <a:p>
                    <a:pPr>
                      <a:defRPr sz="900" b="0" i="0" u="none" strike="noStrike" kern="1200" baseline="0">
                        <a:solidFill>
                          <a:srgbClr val="002060"/>
                        </a:solidFill>
                        <a:latin typeface="+mn-lt"/>
                        <a:ea typeface="+mn-ea"/>
                        <a:cs typeface="+mn-cs"/>
                      </a:defRPr>
                    </a:pPr>
                    <a:r>
                      <a:rPr lang="en-US"/>
                      <a:t>Nakup opreme,</a:t>
                    </a:r>
                    <a:r>
                      <a:rPr lang="en-US" baseline="0"/>
                      <a:t> </a:t>
                    </a:r>
                    <a:fld id="{477EB590-8593-48BB-90EA-1823606A5D29}" type="VALUE">
                      <a:rPr lang="en-US" baseline="0"/>
                      <a:pPr>
                        <a:defRPr/>
                      </a:pPr>
                      <a:t>[VALUE]</a:t>
                    </a:fld>
                    <a:endParaRPr lang="en-US" baseline="0"/>
                  </a:p>
                </c:rich>
              </c:tx>
              <c:spPr>
                <a:solidFill>
                  <a:srgbClr val="FFFFCC"/>
                </a:solidFill>
                <a:ln>
                  <a:solidFill>
                    <a:srgbClr val="0070C0"/>
                  </a:solidFill>
                </a:ln>
                <a:effectLst/>
              </c:spPr>
              <c:txPr>
                <a:bodyPr rot="0" spcFirstLastPara="1" vertOverflow="overflow" horzOverflow="overflow" vert="horz" wrap="square" lIns="0" tIns="0" rIns="0" bIns="0" anchor="ctr" anchorCtr="1">
                  <a:noAutofit/>
                </a:bodyPr>
                <a:lstStyle/>
                <a:p>
                  <a:pPr>
                    <a:defRPr sz="900" b="0" i="0" u="none" strike="noStrike" kern="1200" baseline="0">
                      <a:solidFill>
                        <a:srgbClr val="002060"/>
                      </a:solidFill>
                      <a:latin typeface="+mn-lt"/>
                      <a:ea typeface="+mn-ea"/>
                      <a:cs typeface="+mn-cs"/>
                    </a:defRPr>
                  </a:pPr>
                  <a:endParaRPr lang="en-US"/>
                </a:p>
              </c:txPr>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RoundRectCallout">
                      <a:avLst/>
                    </a:prstGeom>
                    <a:noFill/>
                    <a:ln>
                      <a:noFill/>
                    </a:ln>
                  </c15:spPr>
                  <c15:layout>
                    <c:manualLayout>
                      <c:w val="0.18456658187847799"/>
                      <c:h val="0.11425666916609604"/>
                    </c:manualLayout>
                  </c15:layout>
                  <c15:dlblFieldTable/>
                  <c15:showDataLabelsRange val="0"/>
                </c:ext>
                <c:ext xmlns:c16="http://schemas.microsoft.com/office/drawing/2014/chart" uri="{C3380CC4-5D6E-409C-BE32-E72D297353CC}">
                  <c16:uniqueId val="{00000007-FED5-42A3-9C0D-A7B667BAC832}"/>
                </c:ext>
              </c:extLst>
            </c:dLbl>
            <c:dLbl>
              <c:idx val="5"/>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B-FED5-42A3-9C0D-A7B667BAC832}"/>
                </c:ext>
              </c:extLst>
            </c:dLbl>
            <c:dLbl>
              <c:idx val="6"/>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0D-FED5-42A3-9C0D-A7B667BAC832}"/>
                </c:ext>
              </c:extLst>
            </c:dLbl>
            <c:dLbl>
              <c:idx val="9"/>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ext xmlns:c16="http://schemas.microsoft.com/office/drawing/2014/chart" uri="{C3380CC4-5D6E-409C-BE32-E72D297353CC}">
                  <c16:uniqueId val="{00000013-FED5-42A3-9C0D-A7B667BAC832}"/>
                </c:ext>
              </c:extLst>
            </c:dLbl>
            <c:spPr>
              <a:solidFill>
                <a:srgbClr val="FFFFCC"/>
              </a:solidFill>
              <a:ln>
                <a:solidFill>
                  <a:srgbClr val="0070C0"/>
                </a:solidFill>
              </a:ln>
              <a:effectLst/>
            </c:spPr>
            <c:txPr>
              <a:bodyPr rot="0" spcFirstLastPara="1" vertOverflow="clip" horzOverflow="clip" vert="horz" wrap="square" lIns="0" tIns="0" rIns="0" bIns="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RoundRectCallout">
                    <a:avLst/>
                  </a:prstGeom>
                  <a:noFill/>
                  <a:ln>
                    <a:noFill/>
                  </a:ln>
                </c15:spPr>
              </c:ext>
            </c:extLst>
          </c:dLbls>
          <c:cat>
            <c:strRef>
              <c:f>'Type of action'!$A$2:$A$5</c:f>
              <c:strCache>
                <c:ptCount val="4"/>
                <c:pt idx="0">
                  <c:v>Staff exchanges</c:v>
                </c:pt>
                <c:pt idx="1">
                  <c:v>Technical training</c:v>
                </c:pt>
                <c:pt idx="2">
                  <c:v>Seminar</c:v>
                </c:pt>
                <c:pt idx="3">
                  <c:v>Purchase of equipment</c:v>
                </c:pt>
              </c:strCache>
            </c:strRef>
          </c:cat>
          <c:val>
            <c:numRef>
              <c:f>'Type of action'!$B$2:$B$5</c:f>
              <c:numCache>
                <c:formatCode>General</c:formatCode>
                <c:ptCount val="4"/>
                <c:pt idx="0">
                  <c:v>3</c:v>
                </c:pt>
                <c:pt idx="1">
                  <c:v>2</c:v>
                </c:pt>
                <c:pt idx="2">
                  <c:v>4</c:v>
                </c:pt>
                <c:pt idx="3" formatCode="#,##0">
                  <c:v>1</c:v>
                </c:pt>
              </c:numCache>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A-FED5-42A3-9C0D-A7B667BAC832}"/>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noFill/>
    <a:ln w="12700" cap="flat" cmpd="dbl" algn="ctr">
      <a:solidFill>
        <a:srgbClr val="000000">
          <a:lumMod val="25000"/>
          <a:lumOff val="75000"/>
        </a:srgbClr>
      </a:solidFill>
      <a:round/>
    </a:ln>
    <a:effectLst/>
  </c:spPr>
  <c:txPr>
    <a:bodyPr rot="-5400000" vert="horz"/>
    <a:lstStyle/>
    <a:p>
      <a:pPr>
        <a:defRPr>
          <a:solidFill>
            <a:srgbClr val="002060"/>
          </a:solidFil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rgbClr val="002060"/>
                </a:solidFill>
                <a:latin typeface="+mn-lt"/>
                <a:ea typeface="+mn-ea"/>
                <a:cs typeface="+mn-cs"/>
              </a:defRPr>
            </a:pPr>
            <a:r>
              <a:rPr lang="en-SI" sz="1000" cap="none" baseline="0">
                <a:ln>
                  <a:noFill/>
                </a:ln>
                <a:solidFill>
                  <a:srgbClr val="002060"/>
                </a:solidFill>
                <a:latin typeface="+mj-lt"/>
                <a:ea typeface="+mn-ea"/>
                <a:cs typeface="+mn-cs"/>
              </a:rPr>
              <a:t>Izvor udeležencev</a:t>
            </a:r>
            <a:endParaRPr lang="en-IE" sz="1000" cap="none" baseline="0">
              <a:ln>
                <a:noFill/>
              </a:ln>
              <a:solidFill>
                <a:srgbClr val="002060"/>
              </a:solidFill>
              <a:latin typeface="+mj-lt"/>
            </a:endParaRPr>
          </a:p>
        </c:rich>
      </c:tx>
      <c:layout/>
      <c:overlay val="0"/>
      <c:spPr>
        <a:solidFill>
          <a:srgbClr val="0E4194">
            <a:lumMod val="20000"/>
            <a:lumOff val="80000"/>
          </a:srgbClr>
        </a:solidFill>
        <a:ln w="3175" cap="flat" cmpd="sng" algn="ctr">
          <a:solidFill>
            <a:srgbClr val="3273DF"/>
          </a:solidFill>
          <a:prstDash val="solid"/>
        </a:ln>
        <a:effectLst/>
      </c:spPr>
      <c:txPr>
        <a:bodyPr rot="0" spcFirstLastPara="1" vertOverflow="ellipsis" vert="horz" wrap="square" anchor="ctr" anchorCtr="1"/>
        <a:lstStyle/>
        <a:p>
          <a:pPr>
            <a:defRPr sz="1400" b="1" i="0" u="none" strike="noStrike" kern="1200" cap="all" spc="50" baseline="0">
              <a:solidFill>
                <a:srgbClr val="002060"/>
              </a:solidFill>
              <a:latin typeface="+mn-lt"/>
              <a:ea typeface="+mn-ea"/>
              <a:cs typeface="+mn-cs"/>
            </a:defRPr>
          </a:pPr>
          <a:endParaRPr lang="en-US"/>
        </a:p>
      </c:txPr>
    </c:title>
    <c:autoTitleDeleted val="0"/>
    <c:plotArea>
      <c:layout>
        <c:manualLayout>
          <c:layoutTarget val="inner"/>
          <c:xMode val="edge"/>
          <c:yMode val="edge"/>
          <c:x val="0.10686111111111112"/>
          <c:y val="0.21067945364719559"/>
          <c:w val="0.77258039215686269"/>
          <c:h val="0.77258039215686269"/>
        </c:manualLayout>
      </c:layout>
      <c:pieChart>
        <c:varyColors val="1"/>
        <c:ser>
          <c:idx val="0"/>
          <c:order val="0"/>
          <c:spPr>
            <a:ln>
              <a:solidFill>
                <a:schemeClr val="bg1"/>
              </a:solidFill>
            </a:ln>
          </c:spPr>
          <c:dPt>
            <c:idx val="0"/>
            <c:bubble3D val="0"/>
            <c:spPr>
              <a:solidFill>
                <a:schemeClr val="accent1"/>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9C4A-4B70-AAB3-F8AB6F2E6BEF}"/>
              </c:ext>
            </c:extLst>
          </c:dPt>
          <c:dPt>
            <c:idx val="1"/>
            <c:bubble3D val="0"/>
            <c:spPr>
              <a:solidFill>
                <a:schemeClr val="accent2"/>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9C4A-4B70-AAB3-F8AB6F2E6BEF}"/>
              </c:ext>
            </c:extLst>
          </c:dPt>
          <c:dPt>
            <c:idx val="2"/>
            <c:bubble3D val="0"/>
            <c:spPr>
              <a:solidFill>
                <a:schemeClr val="accent3"/>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5-9C4A-4B70-AAB3-F8AB6F2E6BEF}"/>
              </c:ext>
            </c:extLst>
          </c:dPt>
          <c:dPt>
            <c:idx val="3"/>
            <c:bubble3D val="0"/>
            <c:spPr>
              <a:solidFill>
                <a:schemeClr val="accent4"/>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7-9C4A-4B70-AAB3-F8AB6F2E6BEF}"/>
              </c:ext>
            </c:extLst>
          </c:dPt>
          <c:dPt>
            <c:idx val="4"/>
            <c:bubble3D val="0"/>
            <c:spPr>
              <a:solidFill>
                <a:schemeClr val="accent5"/>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9-9C4A-4B70-AAB3-F8AB6F2E6BEF}"/>
              </c:ext>
            </c:extLst>
          </c:dPt>
          <c:dPt>
            <c:idx val="5"/>
            <c:bubble3D val="0"/>
            <c:spPr>
              <a:solidFill>
                <a:schemeClr val="accent6"/>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B-9C4A-4B70-AAB3-F8AB6F2E6BEF}"/>
              </c:ext>
            </c:extLst>
          </c:dPt>
          <c:dPt>
            <c:idx val="6"/>
            <c:bubble3D val="0"/>
            <c:spPr>
              <a:solidFill>
                <a:schemeClr val="accent1">
                  <a:lumMod val="6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D-9C4A-4B70-AAB3-F8AB6F2E6BEF}"/>
              </c:ext>
            </c:extLst>
          </c:dPt>
          <c:dPt>
            <c:idx val="7"/>
            <c:bubble3D val="0"/>
            <c:spPr>
              <a:solidFill>
                <a:schemeClr val="accent2">
                  <a:lumMod val="6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F-9C4A-4B70-AAB3-F8AB6F2E6BEF}"/>
              </c:ext>
            </c:extLst>
          </c:dPt>
          <c:dPt>
            <c:idx val="8"/>
            <c:bubble3D val="0"/>
            <c:spPr>
              <a:solidFill>
                <a:schemeClr val="accent3">
                  <a:lumMod val="6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1-9C4A-4B70-AAB3-F8AB6F2E6BEF}"/>
              </c:ext>
            </c:extLst>
          </c:dPt>
          <c:dPt>
            <c:idx val="9"/>
            <c:bubble3D val="0"/>
            <c:spPr>
              <a:solidFill>
                <a:schemeClr val="accent4">
                  <a:lumMod val="6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3-9C4A-4B70-AAB3-F8AB6F2E6BEF}"/>
              </c:ext>
            </c:extLst>
          </c:dPt>
          <c:dPt>
            <c:idx val="10"/>
            <c:bubble3D val="0"/>
            <c:spPr>
              <a:solidFill>
                <a:schemeClr val="accent5">
                  <a:lumMod val="6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5-9C4A-4B70-AAB3-F8AB6F2E6BEF}"/>
              </c:ext>
            </c:extLst>
          </c:dPt>
          <c:dPt>
            <c:idx val="11"/>
            <c:bubble3D val="0"/>
            <c:spPr>
              <a:solidFill>
                <a:schemeClr val="accent6">
                  <a:lumMod val="6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7-9C4A-4B70-AAB3-F8AB6F2E6BEF}"/>
              </c:ext>
            </c:extLst>
          </c:dPt>
          <c:dPt>
            <c:idx val="12"/>
            <c:bubble3D val="0"/>
            <c:spPr>
              <a:solidFill>
                <a:schemeClr val="accent1">
                  <a:lumMod val="80000"/>
                  <a:lumOff val="2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9-9C4A-4B70-AAB3-F8AB6F2E6BEF}"/>
              </c:ext>
            </c:extLst>
          </c:dPt>
          <c:dPt>
            <c:idx val="13"/>
            <c:bubble3D val="0"/>
            <c:spPr>
              <a:solidFill>
                <a:schemeClr val="accent2">
                  <a:lumMod val="80000"/>
                  <a:lumOff val="2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B-9C4A-4B70-AAB3-F8AB6F2E6BEF}"/>
              </c:ext>
            </c:extLst>
          </c:dPt>
          <c:dPt>
            <c:idx val="14"/>
            <c:bubble3D val="0"/>
            <c:spPr>
              <a:solidFill>
                <a:schemeClr val="accent3">
                  <a:lumMod val="80000"/>
                  <a:lumOff val="2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D-9C4A-4B70-AAB3-F8AB6F2E6BEF}"/>
              </c:ext>
            </c:extLst>
          </c:dPt>
          <c:dPt>
            <c:idx val="15"/>
            <c:bubble3D val="0"/>
            <c:spPr>
              <a:solidFill>
                <a:schemeClr val="accent4">
                  <a:lumMod val="80000"/>
                  <a:lumOff val="2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F-9C4A-4B70-AAB3-F8AB6F2E6BEF}"/>
              </c:ext>
            </c:extLst>
          </c:dPt>
          <c:dPt>
            <c:idx val="16"/>
            <c:bubble3D val="0"/>
            <c:spPr>
              <a:solidFill>
                <a:schemeClr val="accent5">
                  <a:lumMod val="80000"/>
                  <a:lumOff val="2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1-9C4A-4B70-AAB3-F8AB6F2E6BEF}"/>
              </c:ext>
            </c:extLst>
          </c:dPt>
          <c:dPt>
            <c:idx val="17"/>
            <c:bubble3D val="0"/>
            <c:spPr>
              <a:solidFill>
                <a:schemeClr val="accent6">
                  <a:lumMod val="80000"/>
                  <a:lumOff val="2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3-9C4A-4B70-AAB3-F8AB6F2E6BEF}"/>
              </c:ext>
            </c:extLst>
          </c:dPt>
          <c:dPt>
            <c:idx val="18"/>
            <c:bubble3D val="0"/>
            <c:spPr>
              <a:solidFill>
                <a:schemeClr val="accent1">
                  <a:lumMod val="8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5-9C4A-4B70-AAB3-F8AB6F2E6BEF}"/>
              </c:ext>
            </c:extLst>
          </c:dPt>
          <c:dPt>
            <c:idx val="19"/>
            <c:bubble3D val="0"/>
            <c:spPr>
              <a:solidFill>
                <a:schemeClr val="accent2">
                  <a:lumMod val="8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7-9C4A-4B70-AAB3-F8AB6F2E6BEF}"/>
              </c:ext>
            </c:extLst>
          </c:dPt>
          <c:dPt>
            <c:idx val="20"/>
            <c:bubble3D val="0"/>
            <c:spPr>
              <a:solidFill>
                <a:schemeClr val="accent3">
                  <a:lumMod val="8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9-9C4A-4B70-AAB3-F8AB6F2E6BEF}"/>
              </c:ext>
            </c:extLst>
          </c:dPt>
          <c:dPt>
            <c:idx val="21"/>
            <c:bubble3D val="0"/>
            <c:spPr>
              <a:solidFill>
                <a:schemeClr val="accent4">
                  <a:lumMod val="8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B-9C4A-4B70-AAB3-F8AB6F2E6BEF}"/>
              </c:ext>
            </c:extLst>
          </c:dPt>
          <c:dPt>
            <c:idx val="22"/>
            <c:bubble3D val="0"/>
            <c:spPr>
              <a:solidFill>
                <a:schemeClr val="accent5">
                  <a:lumMod val="8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D-9C4A-4B70-AAB3-F8AB6F2E6BEF}"/>
              </c:ext>
            </c:extLst>
          </c:dPt>
          <c:dPt>
            <c:idx val="23"/>
            <c:bubble3D val="0"/>
            <c:spPr>
              <a:solidFill>
                <a:schemeClr val="accent6">
                  <a:lumMod val="8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F-9C4A-4B70-AAB3-F8AB6F2E6BEF}"/>
              </c:ext>
            </c:extLst>
          </c:dPt>
          <c:dPt>
            <c:idx val="24"/>
            <c:bubble3D val="0"/>
            <c:spPr>
              <a:solidFill>
                <a:schemeClr val="accent1">
                  <a:lumMod val="60000"/>
                  <a:lumOff val="4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1-9C4A-4B70-AAB3-F8AB6F2E6BEF}"/>
              </c:ext>
            </c:extLst>
          </c:dPt>
          <c:dPt>
            <c:idx val="25"/>
            <c:bubble3D val="0"/>
            <c:spPr>
              <a:solidFill>
                <a:schemeClr val="accent2">
                  <a:lumMod val="60000"/>
                  <a:lumOff val="4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3-9C4A-4B70-AAB3-F8AB6F2E6BEF}"/>
              </c:ext>
            </c:extLst>
          </c:dPt>
          <c:dPt>
            <c:idx val="26"/>
            <c:bubble3D val="0"/>
            <c:spPr>
              <a:solidFill>
                <a:schemeClr val="accent3">
                  <a:lumMod val="60000"/>
                  <a:lumOff val="4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5-9C4A-4B70-AAB3-F8AB6F2E6BEF}"/>
              </c:ext>
            </c:extLst>
          </c:dPt>
          <c:dPt>
            <c:idx val="27"/>
            <c:bubble3D val="0"/>
            <c:spPr>
              <a:solidFill>
                <a:schemeClr val="accent4">
                  <a:lumMod val="60000"/>
                  <a:lumOff val="4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7-9C4A-4B70-AAB3-F8AB6F2E6BEF}"/>
              </c:ext>
            </c:extLst>
          </c:dPt>
          <c:dPt>
            <c:idx val="28"/>
            <c:bubble3D val="0"/>
            <c:spPr>
              <a:solidFill>
                <a:schemeClr val="accent5">
                  <a:lumMod val="60000"/>
                  <a:lumOff val="4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9-9C4A-4B70-AAB3-F8AB6F2E6BEF}"/>
              </c:ext>
            </c:extLst>
          </c:dPt>
          <c:dPt>
            <c:idx val="29"/>
            <c:bubble3D val="0"/>
            <c:spPr>
              <a:solidFill>
                <a:schemeClr val="accent6">
                  <a:lumMod val="60000"/>
                  <a:lumOff val="4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B-9C4A-4B70-AAB3-F8AB6F2E6BEF}"/>
              </c:ext>
            </c:extLst>
          </c:dPt>
          <c:dPt>
            <c:idx val="30"/>
            <c:bubble3D val="0"/>
            <c:spPr>
              <a:solidFill>
                <a:schemeClr val="accent1">
                  <a:lumMod val="5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D-9C4A-4B70-AAB3-F8AB6F2E6BEF}"/>
              </c:ext>
            </c:extLst>
          </c:dPt>
          <c:dPt>
            <c:idx val="31"/>
            <c:bubble3D val="0"/>
            <c:spPr>
              <a:solidFill>
                <a:schemeClr val="accent2">
                  <a:lumMod val="5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F-9C4A-4B70-AAB3-F8AB6F2E6BEF}"/>
              </c:ext>
            </c:extLst>
          </c:dPt>
          <c:dPt>
            <c:idx val="32"/>
            <c:bubble3D val="0"/>
            <c:spPr>
              <a:solidFill>
                <a:schemeClr val="accent3">
                  <a:lumMod val="5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1-9C4A-4B70-AAB3-F8AB6F2E6BEF}"/>
              </c:ext>
            </c:extLst>
          </c:dPt>
          <c:dPt>
            <c:idx val="33"/>
            <c:bubble3D val="0"/>
            <c:spPr>
              <a:solidFill>
                <a:schemeClr val="accent4">
                  <a:lumMod val="5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3-9C4A-4B70-AAB3-F8AB6F2E6BEF}"/>
              </c:ext>
            </c:extLst>
          </c:dPt>
          <c:dPt>
            <c:idx val="34"/>
            <c:bubble3D val="0"/>
            <c:spPr>
              <a:solidFill>
                <a:schemeClr val="accent5">
                  <a:lumMod val="5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5-9C4A-4B70-AAB3-F8AB6F2E6BEF}"/>
              </c:ext>
            </c:extLst>
          </c:dPt>
          <c:dPt>
            <c:idx val="35"/>
            <c:bubble3D val="0"/>
            <c:spPr>
              <a:solidFill>
                <a:schemeClr val="accent6">
                  <a:lumMod val="5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7-9C4A-4B70-AAB3-F8AB6F2E6BEF}"/>
              </c:ext>
            </c:extLst>
          </c:dPt>
          <c:dPt>
            <c:idx val="36"/>
            <c:bubble3D val="0"/>
            <c:spPr>
              <a:solidFill>
                <a:schemeClr val="accent1">
                  <a:lumMod val="70000"/>
                  <a:lumOff val="3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9-9C4A-4B70-AAB3-F8AB6F2E6BEF}"/>
              </c:ext>
            </c:extLst>
          </c:dPt>
          <c:dPt>
            <c:idx val="37"/>
            <c:bubble3D val="0"/>
            <c:spPr>
              <a:solidFill>
                <a:schemeClr val="accent2">
                  <a:lumMod val="70000"/>
                  <a:lumOff val="3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B-9C4A-4B70-AAB3-F8AB6F2E6BEF}"/>
              </c:ext>
            </c:extLst>
          </c:dPt>
          <c:dPt>
            <c:idx val="38"/>
            <c:bubble3D val="0"/>
            <c:spPr>
              <a:solidFill>
                <a:schemeClr val="accent3">
                  <a:lumMod val="70000"/>
                  <a:lumOff val="3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D-9C4A-4B70-AAB3-F8AB6F2E6BEF}"/>
              </c:ext>
            </c:extLst>
          </c:dPt>
          <c:dPt>
            <c:idx val="39"/>
            <c:bubble3D val="0"/>
            <c:spPr>
              <a:solidFill>
                <a:schemeClr val="accent4">
                  <a:lumMod val="70000"/>
                  <a:lumOff val="3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F-9C4A-4B70-AAB3-F8AB6F2E6BEF}"/>
              </c:ext>
            </c:extLst>
          </c:dPt>
          <c:dPt>
            <c:idx val="40"/>
            <c:bubble3D val="0"/>
            <c:spPr>
              <a:solidFill>
                <a:schemeClr val="accent5">
                  <a:lumMod val="70000"/>
                  <a:lumOff val="3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1-9C4A-4B70-AAB3-F8AB6F2E6BEF}"/>
              </c:ext>
            </c:extLst>
          </c:dPt>
          <c:dPt>
            <c:idx val="41"/>
            <c:bubble3D val="0"/>
            <c:spPr>
              <a:solidFill>
                <a:schemeClr val="accent6">
                  <a:lumMod val="70000"/>
                  <a:lumOff val="3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3-9C4A-4B70-AAB3-F8AB6F2E6BEF}"/>
              </c:ext>
            </c:extLst>
          </c:dPt>
          <c:dPt>
            <c:idx val="42"/>
            <c:bubble3D val="0"/>
            <c:spPr>
              <a:solidFill>
                <a:schemeClr val="accent1">
                  <a:lumMod val="7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5-9C4A-4B70-AAB3-F8AB6F2E6BEF}"/>
              </c:ext>
            </c:extLst>
          </c:dPt>
          <c:dPt>
            <c:idx val="43"/>
            <c:bubble3D val="0"/>
            <c:spPr>
              <a:solidFill>
                <a:schemeClr val="accent2">
                  <a:lumMod val="7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7-9C4A-4B70-AAB3-F8AB6F2E6BEF}"/>
              </c:ext>
            </c:extLst>
          </c:dPt>
          <c:dPt>
            <c:idx val="44"/>
            <c:bubble3D val="0"/>
            <c:spPr>
              <a:solidFill>
                <a:schemeClr val="accent3">
                  <a:lumMod val="7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9-9C4A-4B70-AAB3-F8AB6F2E6BEF}"/>
              </c:ext>
            </c:extLst>
          </c:dPt>
          <c:dLbls>
            <c:dLbl>
              <c:idx val="0"/>
              <c:layout>
                <c:manualLayout>
                  <c:x val="-0.19375923265615896"/>
                  <c:y val="3.7299104735195848E-2"/>
                </c:manualLayout>
              </c:layout>
              <c:tx>
                <c:rich>
                  <a:bodyPr/>
                  <a:lstStyle/>
                  <a:p>
                    <a:r>
                      <a:rPr lang="en-US"/>
                      <a:t>Euroobmočje</a:t>
                    </a:r>
                    <a:r>
                      <a:rPr lang="en-US" baseline="0"/>
                      <a:t>, </a:t>
                    </a:r>
                    <a:fld id="{6B8FB142-C346-4762-9DED-BB08CD21D207}" type="PERCENTAGE">
                      <a:rPr lang="en-US" baseline="0"/>
                      <a:pPr/>
                      <a:t>[PERCENTAGE]</a:t>
                    </a:fld>
                    <a:endParaRPr lang="en-US" baseline="0"/>
                  </a:p>
                </c:rich>
              </c:tx>
              <c:showLegendKey val="0"/>
              <c:showVal val="0"/>
              <c:showCatName val="1"/>
              <c:showSerName val="0"/>
              <c:showPercent val="1"/>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manualLayout>
                      <c:w val="0.22716806483526905"/>
                      <c:h val="8.6954105830170977E-2"/>
                    </c:manualLayout>
                  </c15:layout>
                  <c15:dlblFieldTable/>
                  <c15:showDataLabelsRange val="0"/>
                </c:ext>
                <c:ext xmlns:c16="http://schemas.microsoft.com/office/drawing/2014/chart" uri="{C3380CC4-5D6E-409C-BE32-E72D297353CC}">
                  <c16:uniqueId val="{00000001-9C4A-4B70-AAB3-F8AB6F2E6BEF}"/>
                </c:ext>
              </c:extLst>
            </c:dLbl>
            <c:dLbl>
              <c:idx val="1"/>
              <c:layout>
                <c:manualLayout>
                  <c:x val="0.14326612331679658"/>
                  <c:y val="-0.1027930607187114"/>
                </c:manualLayout>
              </c:layout>
              <c:tx>
                <c:rich>
                  <a:bodyPr/>
                  <a:lstStyle/>
                  <a:p>
                    <a:r>
                      <a:rPr lang="en-US"/>
                      <a:t>Izven euroobmočja</a:t>
                    </a:r>
                    <a:r>
                      <a:rPr lang="en-US" baseline="0"/>
                      <a:t>, </a:t>
                    </a:r>
                    <a:fld id="{237E11A7-E348-459E-AF80-2A03D18D367D}" type="PERCENTAGE">
                      <a:rPr lang="en-US" baseline="0"/>
                      <a:pPr/>
                      <a:t>[PERCENTAGE]</a:t>
                    </a:fld>
                    <a:endParaRPr lang="en-US" baseline="0"/>
                  </a:p>
                </c:rich>
              </c:tx>
              <c:showLegendKey val="0"/>
              <c:showVal val="0"/>
              <c:showCatName val="1"/>
              <c:showSerName val="0"/>
              <c:showPercent val="1"/>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manualLayout>
                      <c:w val="0.22057848943580849"/>
                      <c:h val="0.13043148560352746"/>
                    </c:manualLayout>
                  </c15:layout>
                  <c15:dlblFieldTable/>
                  <c15:showDataLabelsRange val="0"/>
                </c:ext>
                <c:ext xmlns:c16="http://schemas.microsoft.com/office/drawing/2014/chart" uri="{C3380CC4-5D6E-409C-BE32-E72D297353CC}">
                  <c16:uniqueId val="{00000003-9C4A-4B70-AAB3-F8AB6F2E6BEF}"/>
                </c:ext>
              </c:extLst>
            </c:dLbl>
            <c:dLbl>
              <c:idx val="2"/>
              <c:layout>
                <c:manualLayout>
                  <c:x val="0.13848594771241829"/>
                  <c:y val="-0.14685992540406143"/>
                </c:manualLayout>
              </c:layout>
              <c:tx>
                <c:rich>
                  <a:bodyPr/>
                  <a:lstStyle/>
                  <a:p>
                    <a:r>
                      <a:rPr lang="en-US"/>
                      <a:t>Evropa (izven EU)</a:t>
                    </a:r>
                    <a:r>
                      <a:rPr lang="en-US" baseline="0"/>
                      <a:t>, </a:t>
                    </a:r>
                    <a:fld id="{666EF2C2-675C-439C-9EFF-07FBEF8E1506}" type="PERCENTAGE">
                      <a:rPr lang="en-US" baseline="0"/>
                      <a:pPr/>
                      <a:t>[PERCENTAGE]</a:t>
                    </a:fld>
                    <a:endParaRPr lang="en-US" baseline="0"/>
                  </a:p>
                </c:rich>
              </c:tx>
              <c:showLegendKey val="0"/>
              <c:showVal val="0"/>
              <c:showCatName val="1"/>
              <c:showSerName val="0"/>
              <c:showPercent val="1"/>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15:dlblFieldTable/>
                  <c15:showDataLabelsRange val="0"/>
                </c:ext>
                <c:ext xmlns:c16="http://schemas.microsoft.com/office/drawing/2014/chart" uri="{C3380CC4-5D6E-409C-BE32-E72D297353CC}">
                  <c16:uniqueId val="{00000005-9C4A-4B70-AAB3-F8AB6F2E6BEF}"/>
                </c:ext>
              </c:extLst>
            </c:dLbl>
            <c:dLbl>
              <c:idx val="3"/>
              <c:layout>
                <c:manualLayout>
                  <c:x val="0.28447709222385464"/>
                  <c:y val="-3.3086406962287707E-2"/>
                </c:manualLayout>
              </c:layout>
              <c:tx>
                <c:rich>
                  <a:bodyPr/>
                  <a:lstStyle/>
                  <a:p>
                    <a:r>
                      <a:rPr lang="en-US"/>
                      <a:t>Druge regije</a:t>
                    </a:r>
                    <a:r>
                      <a:rPr lang="en-US" baseline="0"/>
                      <a:t>, </a:t>
                    </a:r>
                    <a:fld id="{539237AF-73BA-475D-BC35-5AC481B6A955}" type="PERCENTAGE">
                      <a:rPr lang="en-US" baseline="0"/>
                      <a:pPr/>
                      <a:t>[PERCENTAGE]</a:t>
                    </a:fld>
                    <a:endParaRPr lang="en-US" baseline="0"/>
                  </a:p>
                </c:rich>
              </c:tx>
              <c:showLegendKey val="0"/>
              <c:showVal val="0"/>
              <c:showCatName val="1"/>
              <c:showSerName val="0"/>
              <c:showPercent val="1"/>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manualLayout>
                      <c:w val="0.17804864000433682"/>
                      <c:h val="8.6954105830170977E-2"/>
                    </c:manualLayout>
                  </c15:layout>
                  <c15:dlblFieldTable/>
                  <c15:showDataLabelsRange val="0"/>
                </c:ext>
                <c:ext xmlns:c16="http://schemas.microsoft.com/office/drawing/2014/chart" uri="{C3380CC4-5D6E-409C-BE32-E72D297353CC}">
                  <c16:uniqueId val="{00000007-9C4A-4B70-AAB3-F8AB6F2E6BEF}"/>
                </c:ext>
              </c:extLst>
            </c:dLbl>
            <c:dLbl>
              <c:idx val="4"/>
              <c:layout>
                <c:manualLayout>
                  <c:x val="0.21904591503267973"/>
                  <c:y val="0.10348839618731868"/>
                </c:manualLayout>
              </c:layout>
              <c:tx>
                <c:rich>
                  <a:bodyPr/>
                  <a:lstStyle/>
                  <a:p>
                    <a:r>
                      <a:rPr lang="en-US"/>
                      <a:t>Latinska Amerika</a:t>
                    </a:r>
                    <a:r>
                      <a:rPr lang="en-US" baseline="0"/>
                      <a:t>, </a:t>
                    </a:r>
                    <a:fld id="{8E64032D-588A-428A-A941-591642F70A55}" type="PERCENTAGE">
                      <a:rPr lang="en-US" baseline="0"/>
                      <a:pPr/>
                      <a:t>[PERCENTAGE]</a:t>
                    </a:fld>
                    <a:endParaRPr lang="en-US" baseline="0"/>
                  </a:p>
                </c:rich>
              </c:tx>
              <c:showLegendKey val="0"/>
              <c:showVal val="0"/>
              <c:showCatName val="1"/>
              <c:showSerName val="0"/>
              <c:showPercent val="1"/>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15:dlblFieldTable/>
                  <c15:showDataLabelsRange val="0"/>
                </c:ext>
                <c:ext xmlns:c16="http://schemas.microsoft.com/office/drawing/2014/chart" uri="{C3380CC4-5D6E-409C-BE32-E72D297353CC}">
                  <c16:uniqueId val="{00000009-9C4A-4B70-AAB3-F8AB6F2E6BEF}"/>
                </c:ext>
              </c:extLst>
            </c:dLbl>
            <c:dLbl>
              <c:idx val="5"/>
              <c:layout>
                <c:manualLayout>
                  <c:x val="0.17359656862745099"/>
                  <c:y val="0.14656568586821384"/>
                </c:manualLayout>
              </c:layout>
              <c:tx>
                <c:rich>
                  <a:bodyPr/>
                  <a:lstStyle/>
                  <a:p>
                    <a:r>
                      <a:rPr lang="en-US"/>
                      <a:t>Ev. inst.</a:t>
                    </a:r>
                    <a:r>
                      <a:rPr lang="en-US" baseline="0"/>
                      <a:t>, </a:t>
                    </a:r>
                    <a:fld id="{A6D25418-827E-400B-8BB9-F1421DB94C45}" type="PERCENTAGE">
                      <a:rPr lang="en-US" baseline="0"/>
                      <a:pPr/>
                      <a:t>[PERCENTAGE]</a:t>
                    </a:fld>
                    <a:endParaRPr lang="en-US" baseline="0"/>
                  </a:p>
                </c:rich>
              </c:tx>
              <c:showLegendKey val="0"/>
              <c:showVal val="0"/>
              <c:showCatName val="1"/>
              <c:showSerName val="0"/>
              <c:showPercent val="1"/>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15:dlblFieldTable/>
                  <c15:showDataLabelsRange val="0"/>
                </c:ext>
                <c:ext xmlns:c16="http://schemas.microsoft.com/office/drawing/2014/chart" uri="{C3380CC4-5D6E-409C-BE32-E72D297353CC}">
                  <c16:uniqueId val="{0000000B-9C4A-4B70-AAB3-F8AB6F2E6BEF}"/>
                </c:ext>
              </c:extLst>
            </c:dLbl>
            <c:dLbl>
              <c:idx val="6"/>
              <c:layout>
                <c:manualLayout>
                  <c:x val="9.1870098039215684E-2"/>
                  <c:y val="0.10222337339411521"/>
                </c:manualLayout>
              </c:layout>
              <c:tx>
                <c:rich>
                  <a:bodyPr/>
                  <a:lstStyle/>
                  <a:p>
                    <a:r>
                      <a:rPr lang="en-US"/>
                      <a:t>Afrika</a:t>
                    </a:r>
                    <a:r>
                      <a:rPr lang="en-US" baseline="0"/>
                      <a:t>, </a:t>
                    </a:r>
                    <a:fld id="{859A3F2B-C1B2-4E7F-B0A0-50DB4B472726}" type="PERCENTAGE">
                      <a:rPr lang="en-US" baseline="0"/>
                      <a:pPr/>
                      <a:t>[PERCENTAGE]</a:t>
                    </a:fld>
                    <a:endParaRPr lang="en-US" baseline="0"/>
                  </a:p>
                </c:rich>
              </c:tx>
              <c:showLegendKey val="0"/>
              <c:showVal val="0"/>
              <c:showCatName val="1"/>
              <c:showSerName val="0"/>
              <c:showPercent val="1"/>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15:dlblFieldTable/>
                  <c15:showDataLabelsRange val="0"/>
                </c:ext>
                <c:ext xmlns:c16="http://schemas.microsoft.com/office/drawing/2014/chart" uri="{C3380CC4-5D6E-409C-BE32-E72D297353CC}">
                  <c16:uniqueId val="{0000000D-9C4A-4B70-AAB3-F8AB6F2E6BEF}"/>
                </c:ext>
              </c:extLst>
            </c:dLbl>
            <c:spPr>
              <a:solidFill>
                <a:srgbClr val="FFFFCC"/>
              </a:solidFill>
              <a:ln>
                <a:solidFill>
                  <a:srgbClr val="0070C0"/>
                </a:solidFill>
              </a:ln>
              <a:effectLst/>
            </c:spPr>
            <c:txPr>
              <a:bodyPr rot="0" spcFirstLastPara="1" vertOverflow="clip" horzOverflow="clip" vert="horz" wrap="square" lIns="0" tIns="0" rIns="0" bIns="0" anchor="ctr" anchorCtr="1">
                <a:spAutoFit/>
              </a:bodyPr>
              <a:lstStyle/>
              <a:p>
                <a:pPr>
                  <a:defRPr sz="800" b="0" i="0" u="none" strike="noStrike" kern="1200" baseline="0">
                    <a:solidFill>
                      <a:srgbClr val="002060"/>
                    </a:solidFill>
                    <a:latin typeface="+mj-lt"/>
                    <a:ea typeface="+mn-ea"/>
                    <a:cs typeface="+mn-cs"/>
                  </a:defRPr>
                </a:pPr>
                <a:endParaRPr lang="en-US"/>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RoundRectCallout">
                    <a:avLst/>
                  </a:prstGeom>
                  <a:noFill/>
                  <a:ln>
                    <a:noFill/>
                  </a:ln>
                </c15:spPr>
              </c:ext>
            </c:extLst>
          </c:dLbls>
          <c:cat>
            <c:strRef>
              <c:f>'Origin of participants'!$D$13:$D$19</c:f>
              <c:strCache>
                <c:ptCount val="7"/>
                <c:pt idx="0">
                  <c:v>Euro area</c:v>
                </c:pt>
                <c:pt idx="1">
                  <c:v>Non-Euro area</c:v>
                </c:pt>
                <c:pt idx="2">
                  <c:v>Europe (non-EU)</c:v>
                </c:pt>
                <c:pt idx="3">
                  <c:v>Other regions</c:v>
                </c:pt>
                <c:pt idx="4">
                  <c:v>Latin America</c:v>
                </c:pt>
                <c:pt idx="5">
                  <c:v>Eur. Inst.</c:v>
                </c:pt>
                <c:pt idx="6">
                  <c:v>Africa</c:v>
                </c:pt>
              </c:strCache>
            </c:strRef>
          </c:cat>
          <c:val>
            <c:numRef>
              <c:f>'Origin of participants'!$E$13:$E$19</c:f>
              <c:numCache>
                <c:formatCode>0.00%</c:formatCode>
                <c:ptCount val="7"/>
                <c:pt idx="0">
                  <c:v>0.52048192771084334</c:v>
                </c:pt>
                <c:pt idx="1">
                  <c:v>5.7831325301204821E-2</c:v>
                </c:pt>
                <c:pt idx="2">
                  <c:v>0.12048192771084337</c:v>
                </c:pt>
                <c:pt idx="3">
                  <c:v>5.7831325301204821E-2</c:v>
                </c:pt>
                <c:pt idx="4">
                  <c:v>0.12530120481927712</c:v>
                </c:pt>
                <c:pt idx="5">
                  <c:v>6.0240963855421686E-2</c:v>
                </c:pt>
                <c:pt idx="6">
                  <c:v>5.7831325301204821E-2</c:v>
                </c:pt>
              </c:numCache>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A-9C4A-4B70-AAB3-F8AB6F2E6BEF}"/>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rgbClr val="FFFFFF"/>
    </a:solidFill>
    <a:ln w="12700" cap="flat" cmpd="dbl" algn="ctr">
      <a:solidFill>
        <a:srgbClr val="000000">
          <a:lumMod val="25000"/>
          <a:lumOff val="75000"/>
        </a:srgbClr>
      </a:solidFill>
      <a:round/>
    </a:ln>
    <a:effectLst/>
  </c:spPr>
  <c:txPr>
    <a:bodyPr rot="-5400000" vert="horz"/>
    <a:lstStyle/>
    <a:p>
      <a:pPr>
        <a:defRPr>
          <a:solidFill>
            <a:srgbClr val="00206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rgbClr val="000000"/>
                </a:solidFill>
                <a:latin typeface="+mj-lt"/>
                <a:ea typeface="+mn-ea"/>
                <a:cs typeface="+mn-cs"/>
              </a:defRPr>
            </a:pPr>
            <a:r>
              <a:rPr lang="en-SI" sz="1000" cap="none" baseline="0">
                <a:solidFill>
                  <a:srgbClr val="000000"/>
                </a:solidFill>
                <a:latin typeface="+mj-lt"/>
                <a:ea typeface="+mn-ea"/>
                <a:cs typeface="+mn-cs"/>
              </a:rPr>
              <a:t>Poklicno področje</a:t>
            </a:r>
            <a:endParaRPr lang="en-IE" sz="1000" cap="none" baseline="0">
              <a:latin typeface="+mj-lt"/>
            </a:endParaRPr>
          </a:p>
        </c:rich>
      </c:tx>
      <c:layout>
        <c:manualLayout>
          <c:xMode val="edge"/>
          <c:yMode val="edge"/>
          <c:x val="0.24058366013071894"/>
          <c:y val="0"/>
        </c:manualLayout>
      </c:layout>
      <c:overlay val="0"/>
      <c:spPr>
        <a:solidFill>
          <a:srgbClr val="06204A">
            <a:lumMod val="10000"/>
            <a:lumOff val="90000"/>
          </a:srgbClr>
        </a:solidFill>
        <a:ln w="3175" cap="flat" cmpd="sng" algn="ctr">
          <a:solidFill>
            <a:srgbClr val="3273DF"/>
          </a:solidFill>
          <a:prstDash val="solid"/>
        </a:ln>
        <a:effectLst/>
      </c:spPr>
      <c:txPr>
        <a:bodyPr rot="0" spcFirstLastPara="1" vertOverflow="ellipsis" vert="horz" wrap="square" anchor="ctr" anchorCtr="1"/>
        <a:lstStyle/>
        <a:p>
          <a:pPr>
            <a:defRPr sz="1400" b="1" i="0" u="none" strike="noStrike" kern="1200" cap="all" spc="50" baseline="0">
              <a:solidFill>
                <a:srgbClr val="000000"/>
              </a:solidFill>
              <a:latin typeface="+mj-lt"/>
              <a:ea typeface="+mn-ea"/>
              <a:cs typeface="+mn-cs"/>
            </a:defRPr>
          </a:pPr>
          <a:endParaRPr lang="en-US"/>
        </a:p>
      </c:txPr>
    </c:title>
    <c:autoTitleDeleted val="0"/>
    <c:plotArea>
      <c:layout>
        <c:manualLayout>
          <c:layoutTarget val="inner"/>
          <c:xMode val="edge"/>
          <c:yMode val="edge"/>
          <c:x val="0.11877702034233673"/>
          <c:y val="0.19916973780339314"/>
          <c:w val="0.78628594771241833"/>
          <c:h val="0.78628594771241833"/>
        </c:manualLayout>
      </c:layout>
      <c:pieChart>
        <c:varyColors val="1"/>
        <c:ser>
          <c:idx val="0"/>
          <c:order val="0"/>
          <c:spPr>
            <a:ln>
              <a:solidFill>
                <a:schemeClr val="bg1"/>
              </a:solidFill>
            </a:ln>
          </c:spPr>
          <c:dPt>
            <c:idx val="0"/>
            <c:bubble3D val="0"/>
            <c:spPr>
              <a:solidFill>
                <a:schemeClr val="accent1"/>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5125-49CF-B577-8E77C9D471CA}"/>
              </c:ext>
            </c:extLst>
          </c:dPt>
          <c:dPt>
            <c:idx val="1"/>
            <c:bubble3D val="0"/>
            <c:spPr>
              <a:solidFill>
                <a:schemeClr val="accent2"/>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5125-49CF-B577-8E77C9D471CA}"/>
              </c:ext>
            </c:extLst>
          </c:dPt>
          <c:dPt>
            <c:idx val="2"/>
            <c:bubble3D val="0"/>
            <c:spPr>
              <a:solidFill>
                <a:schemeClr val="accent3"/>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5-5125-49CF-B577-8E77C9D471CA}"/>
              </c:ext>
            </c:extLst>
          </c:dPt>
          <c:dPt>
            <c:idx val="3"/>
            <c:bubble3D val="0"/>
            <c:spPr>
              <a:solidFill>
                <a:schemeClr val="accent4"/>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7-5125-49CF-B577-8E77C9D471CA}"/>
              </c:ext>
            </c:extLst>
          </c:dPt>
          <c:dPt>
            <c:idx val="4"/>
            <c:bubble3D val="0"/>
            <c:spPr>
              <a:solidFill>
                <a:schemeClr val="accent5"/>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9-5125-49CF-B577-8E77C9D471CA}"/>
              </c:ext>
            </c:extLst>
          </c:dPt>
          <c:dPt>
            <c:idx val="5"/>
            <c:bubble3D val="0"/>
            <c:spPr>
              <a:solidFill>
                <a:schemeClr val="accent6"/>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B-5125-49CF-B577-8E77C9D471CA}"/>
              </c:ext>
            </c:extLst>
          </c:dPt>
          <c:dPt>
            <c:idx val="6"/>
            <c:bubble3D val="0"/>
            <c:spPr>
              <a:solidFill>
                <a:schemeClr val="accent1">
                  <a:lumMod val="6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D-5125-49CF-B577-8E77C9D471CA}"/>
              </c:ext>
            </c:extLst>
          </c:dPt>
          <c:dPt>
            <c:idx val="7"/>
            <c:bubble3D val="0"/>
            <c:spPr>
              <a:solidFill>
                <a:schemeClr val="accent2">
                  <a:lumMod val="6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F-5125-49CF-B577-8E77C9D471CA}"/>
              </c:ext>
            </c:extLst>
          </c:dPt>
          <c:dPt>
            <c:idx val="8"/>
            <c:bubble3D val="0"/>
            <c:spPr>
              <a:solidFill>
                <a:schemeClr val="accent3">
                  <a:lumMod val="6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1-5125-49CF-B577-8E77C9D471CA}"/>
              </c:ext>
            </c:extLst>
          </c:dPt>
          <c:dPt>
            <c:idx val="9"/>
            <c:bubble3D val="0"/>
            <c:spPr>
              <a:solidFill>
                <a:schemeClr val="accent4">
                  <a:lumMod val="6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3-5125-49CF-B577-8E77C9D471CA}"/>
              </c:ext>
            </c:extLst>
          </c:dPt>
          <c:dPt>
            <c:idx val="10"/>
            <c:bubble3D val="0"/>
            <c:spPr>
              <a:solidFill>
                <a:schemeClr val="accent5">
                  <a:lumMod val="6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5-5125-49CF-B577-8E77C9D471CA}"/>
              </c:ext>
            </c:extLst>
          </c:dPt>
          <c:dPt>
            <c:idx val="11"/>
            <c:bubble3D val="0"/>
            <c:spPr>
              <a:solidFill>
                <a:schemeClr val="accent6">
                  <a:lumMod val="6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7-5125-49CF-B577-8E77C9D471CA}"/>
              </c:ext>
            </c:extLst>
          </c:dPt>
          <c:dPt>
            <c:idx val="12"/>
            <c:bubble3D val="0"/>
            <c:spPr>
              <a:solidFill>
                <a:schemeClr val="accent1">
                  <a:lumMod val="80000"/>
                  <a:lumOff val="2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9-5125-49CF-B577-8E77C9D471CA}"/>
              </c:ext>
            </c:extLst>
          </c:dPt>
          <c:dPt>
            <c:idx val="13"/>
            <c:bubble3D val="0"/>
            <c:spPr>
              <a:solidFill>
                <a:schemeClr val="accent2">
                  <a:lumMod val="80000"/>
                  <a:lumOff val="2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B-5125-49CF-B577-8E77C9D471CA}"/>
              </c:ext>
            </c:extLst>
          </c:dPt>
          <c:dPt>
            <c:idx val="14"/>
            <c:bubble3D val="0"/>
            <c:spPr>
              <a:solidFill>
                <a:schemeClr val="accent3">
                  <a:lumMod val="80000"/>
                  <a:lumOff val="2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D-5125-49CF-B577-8E77C9D471CA}"/>
              </c:ext>
            </c:extLst>
          </c:dPt>
          <c:dPt>
            <c:idx val="15"/>
            <c:bubble3D val="0"/>
            <c:spPr>
              <a:solidFill>
                <a:schemeClr val="accent4">
                  <a:lumMod val="80000"/>
                  <a:lumOff val="2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F-5125-49CF-B577-8E77C9D471CA}"/>
              </c:ext>
            </c:extLst>
          </c:dPt>
          <c:dPt>
            <c:idx val="16"/>
            <c:bubble3D val="0"/>
            <c:spPr>
              <a:solidFill>
                <a:schemeClr val="accent5">
                  <a:lumMod val="80000"/>
                  <a:lumOff val="2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1-5125-49CF-B577-8E77C9D471CA}"/>
              </c:ext>
            </c:extLst>
          </c:dPt>
          <c:dPt>
            <c:idx val="17"/>
            <c:bubble3D val="0"/>
            <c:spPr>
              <a:solidFill>
                <a:schemeClr val="accent6">
                  <a:lumMod val="80000"/>
                  <a:lumOff val="2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3-5125-49CF-B577-8E77C9D471CA}"/>
              </c:ext>
            </c:extLst>
          </c:dPt>
          <c:dPt>
            <c:idx val="18"/>
            <c:bubble3D val="0"/>
            <c:spPr>
              <a:solidFill>
                <a:schemeClr val="accent1">
                  <a:lumMod val="8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5-5125-49CF-B577-8E77C9D471CA}"/>
              </c:ext>
            </c:extLst>
          </c:dPt>
          <c:dPt>
            <c:idx val="19"/>
            <c:bubble3D val="0"/>
            <c:spPr>
              <a:solidFill>
                <a:schemeClr val="accent2">
                  <a:lumMod val="8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7-5125-49CF-B577-8E77C9D471CA}"/>
              </c:ext>
            </c:extLst>
          </c:dPt>
          <c:dPt>
            <c:idx val="20"/>
            <c:bubble3D val="0"/>
            <c:spPr>
              <a:solidFill>
                <a:schemeClr val="accent3">
                  <a:lumMod val="8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9-5125-49CF-B577-8E77C9D471CA}"/>
              </c:ext>
            </c:extLst>
          </c:dPt>
          <c:dPt>
            <c:idx val="21"/>
            <c:bubble3D val="0"/>
            <c:spPr>
              <a:solidFill>
                <a:schemeClr val="accent4">
                  <a:lumMod val="8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B-5125-49CF-B577-8E77C9D471CA}"/>
              </c:ext>
            </c:extLst>
          </c:dPt>
          <c:dPt>
            <c:idx val="22"/>
            <c:bubble3D val="0"/>
            <c:spPr>
              <a:solidFill>
                <a:schemeClr val="accent5">
                  <a:lumMod val="8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D-5125-49CF-B577-8E77C9D471CA}"/>
              </c:ext>
            </c:extLst>
          </c:dPt>
          <c:dPt>
            <c:idx val="23"/>
            <c:bubble3D val="0"/>
            <c:spPr>
              <a:solidFill>
                <a:schemeClr val="accent6">
                  <a:lumMod val="8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2F-5125-49CF-B577-8E77C9D471CA}"/>
              </c:ext>
            </c:extLst>
          </c:dPt>
          <c:dPt>
            <c:idx val="24"/>
            <c:bubble3D val="0"/>
            <c:spPr>
              <a:solidFill>
                <a:schemeClr val="accent1">
                  <a:lumMod val="60000"/>
                  <a:lumOff val="4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1-5125-49CF-B577-8E77C9D471CA}"/>
              </c:ext>
            </c:extLst>
          </c:dPt>
          <c:dPt>
            <c:idx val="25"/>
            <c:bubble3D val="0"/>
            <c:spPr>
              <a:solidFill>
                <a:schemeClr val="accent2">
                  <a:lumMod val="60000"/>
                  <a:lumOff val="4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3-5125-49CF-B577-8E77C9D471CA}"/>
              </c:ext>
            </c:extLst>
          </c:dPt>
          <c:dPt>
            <c:idx val="26"/>
            <c:bubble3D val="0"/>
            <c:spPr>
              <a:solidFill>
                <a:schemeClr val="accent3">
                  <a:lumMod val="60000"/>
                  <a:lumOff val="4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5-5125-49CF-B577-8E77C9D471CA}"/>
              </c:ext>
            </c:extLst>
          </c:dPt>
          <c:dPt>
            <c:idx val="27"/>
            <c:bubble3D val="0"/>
            <c:spPr>
              <a:solidFill>
                <a:schemeClr val="accent4">
                  <a:lumMod val="60000"/>
                  <a:lumOff val="4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7-5125-49CF-B577-8E77C9D471CA}"/>
              </c:ext>
            </c:extLst>
          </c:dPt>
          <c:dPt>
            <c:idx val="28"/>
            <c:bubble3D val="0"/>
            <c:spPr>
              <a:solidFill>
                <a:schemeClr val="accent5">
                  <a:lumMod val="60000"/>
                  <a:lumOff val="4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9-5125-49CF-B577-8E77C9D471CA}"/>
              </c:ext>
            </c:extLst>
          </c:dPt>
          <c:dPt>
            <c:idx val="29"/>
            <c:bubble3D val="0"/>
            <c:spPr>
              <a:solidFill>
                <a:schemeClr val="accent6">
                  <a:lumMod val="60000"/>
                  <a:lumOff val="4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B-5125-49CF-B577-8E77C9D471CA}"/>
              </c:ext>
            </c:extLst>
          </c:dPt>
          <c:dPt>
            <c:idx val="30"/>
            <c:bubble3D val="0"/>
            <c:spPr>
              <a:solidFill>
                <a:schemeClr val="accent1">
                  <a:lumMod val="5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D-5125-49CF-B577-8E77C9D471CA}"/>
              </c:ext>
            </c:extLst>
          </c:dPt>
          <c:dPt>
            <c:idx val="31"/>
            <c:bubble3D val="0"/>
            <c:spPr>
              <a:solidFill>
                <a:schemeClr val="accent2">
                  <a:lumMod val="5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3F-5125-49CF-B577-8E77C9D471CA}"/>
              </c:ext>
            </c:extLst>
          </c:dPt>
          <c:dPt>
            <c:idx val="32"/>
            <c:bubble3D val="0"/>
            <c:spPr>
              <a:solidFill>
                <a:schemeClr val="accent3">
                  <a:lumMod val="5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1-5125-49CF-B577-8E77C9D471CA}"/>
              </c:ext>
            </c:extLst>
          </c:dPt>
          <c:dPt>
            <c:idx val="33"/>
            <c:bubble3D val="0"/>
            <c:spPr>
              <a:solidFill>
                <a:schemeClr val="accent4">
                  <a:lumMod val="5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3-5125-49CF-B577-8E77C9D471CA}"/>
              </c:ext>
            </c:extLst>
          </c:dPt>
          <c:dPt>
            <c:idx val="34"/>
            <c:bubble3D val="0"/>
            <c:spPr>
              <a:solidFill>
                <a:schemeClr val="accent5">
                  <a:lumMod val="5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5-5125-49CF-B577-8E77C9D471CA}"/>
              </c:ext>
            </c:extLst>
          </c:dPt>
          <c:dPt>
            <c:idx val="35"/>
            <c:bubble3D val="0"/>
            <c:spPr>
              <a:solidFill>
                <a:schemeClr val="accent6">
                  <a:lumMod val="5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7-5125-49CF-B577-8E77C9D471CA}"/>
              </c:ext>
            </c:extLst>
          </c:dPt>
          <c:dPt>
            <c:idx val="36"/>
            <c:bubble3D val="0"/>
            <c:spPr>
              <a:solidFill>
                <a:schemeClr val="accent1">
                  <a:lumMod val="70000"/>
                  <a:lumOff val="3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9-5125-49CF-B577-8E77C9D471CA}"/>
              </c:ext>
            </c:extLst>
          </c:dPt>
          <c:dPt>
            <c:idx val="37"/>
            <c:bubble3D val="0"/>
            <c:spPr>
              <a:solidFill>
                <a:schemeClr val="accent2">
                  <a:lumMod val="70000"/>
                  <a:lumOff val="3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B-5125-49CF-B577-8E77C9D471CA}"/>
              </c:ext>
            </c:extLst>
          </c:dPt>
          <c:dPt>
            <c:idx val="38"/>
            <c:bubble3D val="0"/>
            <c:spPr>
              <a:solidFill>
                <a:schemeClr val="accent3">
                  <a:lumMod val="70000"/>
                  <a:lumOff val="3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D-5125-49CF-B577-8E77C9D471CA}"/>
              </c:ext>
            </c:extLst>
          </c:dPt>
          <c:dPt>
            <c:idx val="39"/>
            <c:bubble3D val="0"/>
            <c:spPr>
              <a:solidFill>
                <a:schemeClr val="accent4">
                  <a:lumMod val="70000"/>
                  <a:lumOff val="3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4F-5125-49CF-B577-8E77C9D471CA}"/>
              </c:ext>
            </c:extLst>
          </c:dPt>
          <c:dPt>
            <c:idx val="40"/>
            <c:bubble3D val="0"/>
            <c:spPr>
              <a:solidFill>
                <a:schemeClr val="accent5">
                  <a:lumMod val="70000"/>
                  <a:lumOff val="3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1-5125-49CF-B577-8E77C9D471CA}"/>
              </c:ext>
            </c:extLst>
          </c:dPt>
          <c:dPt>
            <c:idx val="41"/>
            <c:bubble3D val="0"/>
            <c:spPr>
              <a:solidFill>
                <a:schemeClr val="accent6">
                  <a:lumMod val="70000"/>
                  <a:lumOff val="3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3-5125-49CF-B577-8E77C9D471CA}"/>
              </c:ext>
            </c:extLst>
          </c:dPt>
          <c:dPt>
            <c:idx val="42"/>
            <c:bubble3D val="0"/>
            <c:spPr>
              <a:solidFill>
                <a:schemeClr val="accent1">
                  <a:lumMod val="7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5-5125-49CF-B577-8E77C9D471CA}"/>
              </c:ext>
            </c:extLst>
          </c:dPt>
          <c:dPt>
            <c:idx val="43"/>
            <c:bubble3D val="0"/>
            <c:spPr>
              <a:solidFill>
                <a:schemeClr val="accent2">
                  <a:lumMod val="7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7-5125-49CF-B577-8E77C9D471CA}"/>
              </c:ext>
            </c:extLst>
          </c:dPt>
          <c:dPt>
            <c:idx val="44"/>
            <c:bubble3D val="0"/>
            <c:spPr>
              <a:solidFill>
                <a:schemeClr val="accent3">
                  <a:lumMod val="70000"/>
                </a:schemeClr>
              </a:solidFill>
              <a:ln>
                <a:solidFill>
                  <a:schemeClr val="bg1"/>
                </a:solidFill>
              </a:ln>
              <a:effectLst/>
              <a:scene3d>
                <a:camera prst="orthographicFront"/>
                <a:lightRig rig="brightRoom" dir="t"/>
              </a:scene3d>
              <a:sp3d prstMaterial="flat">
                <a:bevelT w="50800" h="101600" prst="angle"/>
                <a:contourClr>
                  <a:srgbClr val="000000"/>
                </a:contourClr>
              </a:sp3d>
            </c:spPr>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9-5125-49CF-B577-8E77C9D471CA}"/>
              </c:ext>
            </c:extLst>
          </c:dPt>
          <c:dLbls>
            <c:dLbl>
              <c:idx val="0"/>
              <c:layout>
                <c:manualLayout>
                  <c:x val="-0.23947107843137255"/>
                  <c:y val="-0.14821993464052291"/>
                </c:manualLayout>
              </c:layout>
              <c:tx>
                <c:rich>
                  <a:bodyPr/>
                  <a:lstStyle/>
                  <a:p>
                    <a:r>
                      <a:rPr lang="en-US" baseline="0"/>
                      <a:t>Policija, </a:t>
                    </a:r>
                    <a:fld id="{39189929-E5B9-4976-88EB-5369B9E4B115}" type="VALUE">
                      <a:rPr lang="en-US" baseline="0"/>
                      <a:pPr/>
                      <a:t>[VALUE]</a:t>
                    </a:fld>
                    <a:endParaRPr lang="en-US" baseline="0"/>
                  </a:p>
                </c:rich>
              </c:tx>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15:dlblFieldTable/>
                  <c15:showDataLabelsRange val="0"/>
                </c:ext>
                <c:ext xmlns:c16="http://schemas.microsoft.com/office/drawing/2014/chart" uri="{C3380CC4-5D6E-409C-BE32-E72D297353CC}">
                  <c16:uniqueId val="{00000001-5125-49CF-B577-8E77C9D471CA}"/>
                </c:ext>
              </c:extLst>
            </c:dLbl>
            <c:dLbl>
              <c:idx val="1"/>
              <c:layout>
                <c:manualLayout>
                  <c:x val="0.23272581699346406"/>
                  <c:y val="-0.168231045751634"/>
                </c:manualLayout>
              </c:layout>
              <c:tx>
                <c:rich>
                  <a:bodyPr/>
                  <a:lstStyle/>
                  <a:p>
                    <a:r>
                      <a:rPr lang="en-US" baseline="0"/>
                      <a:t>Nacionalne centralne banke, </a:t>
                    </a:r>
                    <a:fld id="{E5D848FC-E376-4F65-9ABB-1062433D639F}" type="VALUE">
                      <a:rPr lang="en-US" baseline="0"/>
                      <a:pPr/>
                      <a:t>[VALUE]</a:t>
                    </a:fld>
                    <a:endParaRPr lang="en-US" baseline="0"/>
                  </a:p>
                </c:rich>
              </c:tx>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15:dlblFieldTable/>
                  <c15:showDataLabelsRange val="0"/>
                </c:ext>
                <c:ext xmlns:c16="http://schemas.microsoft.com/office/drawing/2014/chart" uri="{C3380CC4-5D6E-409C-BE32-E72D297353CC}">
                  <c16:uniqueId val="{00000003-5125-49CF-B577-8E77C9D471CA}"/>
                </c:ext>
              </c:extLst>
            </c:dLbl>
            <c:dLbl>
              <c:idx val="2"/>
              <c:layout>
                <c:manualLayout>
                  <c:x val="2.9913805954978521E-3"/>
                  <c:y val="2.9538111859728874E-2"/>
                </c:manualLayout>
              </c:layout>
              <c:tx>
                <c:rich>
                  <a:bodyPr/>
                  <a:lstStyle/>
                  <a:p>
                    <a:r>
                      <a:rPr lang="en-US" baseline="0"/>
                      <a:t>Sodstvo, </a:t>
                    </a:r>
                    <a:fld id="{8092946C-7783-4541-9655-97499642BB6A}" type="VALUE">
                      <a:rPr lang="en-US" baseline="0"/>
                      <a:pPr/>
                      <a:t>[VALUE]</a:t>
                    </a:fld>
                    <a:endParaRPr lang="en-US" baseline="0"/>
                  </a:p>
                </c:rich>
              </c:tx>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15:dlblFieldTable/>
                  <c15:showDataLabelsRange val="0"/>
                </c:ext>
                <c:ext xmlns:c16="http://schemas.microsoft.com/office/drawing/2014/chart" uri="{C3380CC4-5D6E-409C-BE32-E72D297353CC}">
                  <c16:uniqueId val="{00000005-5125-49CF-B577-8E77C9D471CA}"/>
                </c:ext>
              </c:extLst>
            </c:dLbl>
            <c:dLbl>
              <c:idx val="3"/>
              <c:layout>
                <c:manualLayout>
                  <c:x val="-4.461151693387724E-3"/>
                  <c:y val="3.1859404172416589E-2"/>
                </c:manualLayout>
              </c:layout>
              <c:tx>
                <c:rich>
                  <a:bodyPr/>
                  <a:lstStyle/>
                  <a:p>
                    <a:r>
                      <a:rPr lang="en-US"/>
                      <a:t>Ev. inst.</a:t>
                    </a:r>
                    <a:r>
                      <a:rPr lang="en-US" baseline="0"/>
                      <a:t>, </a:t>
                    </a:r>
                    <a:fld id="{A8BC7F9C-02B4-4FF5-9C2B-0EC276D83EE8}" type="VALUE">
                      <a:rPr lang="en-US" baseline="0"/>
                      <a:pPr/>
                      <a:t>[VALUE]</a:t>
                    </a:fld>
                    <a:endParaRPr lang="en-US" baseline="0"/>
                  </a:p>
                </c:rich>
              </c:tx>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15:dlblFieldTable/>
                  <c15:showDataLabelsRange val="0"/>
                </c:ext>
                <c:ext xmlns:c16="http://schemas.microsoft.com/office/drawing/2014/chart" uri="{C3380CC4-5D6E-409C-BE32-E72D297353CC}">
                  <c16:uniqueId val="{00000007-5125-49CF-B577-8E77C9D471CA}"/>
                </c:ext>
              </c:extLst>
            </c:dLbl>
            <c:dLbl>
              <c:idx val="4"/>
              <c:layout>
                <c:manualLayout>
                  <c:x val="-8.5636019895103471E-2"/>
                  <c:y val="1.7076710771978244E-2"/>
                </c:manualLayout>
              </c:layout>
              <c:tx>
                <c:rich>
                  <a:bodyPr/>
                  <a:lstStyle/>
                  <a:p>
                    <a:r>
                      <a:rPr lang="en-US" baseline="0"/>
                      <a:t>Drugo, </a:t>
                    </a:r>
                    <a:fld id="{2280FBC6-DAD7-400B-B561-FA60ED3FAE87}" type="VALUE">
                      <a:rPr lang="en-US" baseline="0"/>
                      <a:pPr/>
                      <a:t>[VALUE]</a:t>
                    </a:fld>
                    <a:endParaRPr lang="en-US" baseline="0"/>
                  </a:p>
                </c:rich>
              </c:tx>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15:dlblFieldTable/>
                  <c15:showDataLabelsRange val="0"/>
                </c:ext>
                <c:ext xmlns:c16="http://schemas.microsoft.com/office/drawing/2014/chart" uri="{C3380CC4-5D6E-409C-BE32-E72D297353CC}">
                  <c16:uniqueId val="{00000009-5125-49CF-B577-8E77C9D471CA}"/>
                </c:ext>
              </c:extLst>
            </c:dLbl>
            <c:dLbl>
              <c:idx val="5"/>
              <c:layout>
                <c:manualLayout>
                  <c:x val="3.7661783240950306E-2"/>
                  <c:y val="-2.4733176394187841E-2"/>
                </c:manualLayout>
              </c:layout>
              <c:tx>
                <c:rich>
                  <a:bodyPr/>
                  <a:lstStyle/>
                  <a:p>
                    <a:r>
                      <a:rPr lang="en-US"/>
                      <a:t>Industrija za razvrščanje kovancev</a:t>
                    </a:r>
                    <a:r>
                      <a:rPr lang="en-US" baseline="0"/>
                      <a:t>, </a:t>
                    </a:r>
                    <a:fld id="{FA12564B-BC73-4BF2-B8BA-4B7D6AFAB60E}" type="VALUE">
                      <a:rPr lang="en-US" baseline="0"/>
                      <a:pPr/>
                      <a:t>[VALUE]</a:t>
                    </a:fld>
                    <a:endParaRPr lang="en-US" baseline="0"/>
                  </a:p>
                </c:rich>
              </c:tx>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manualLayout>
                      <c:w val="0.32943921568627449"/>
                      <c:h val="7.9754575163398705E-2"/>
                    </c:manualLayout>
                  </c15:layout>
                  <c15:dlblFieldTable/>
                  <c15:showDataLabelsRange val="0"/>
                </c:ext>
                <c:ext xmlns:c16="http://schemas.microsoft.com/office/drawing/2014/chart" uri="{C3380CC4-5D6E-409C-BE32-E72D297353CC}">
                  <c16:uniqueId val="{0000000B-5125-49CF-B577-8E77C9D471CA}"/>
                </c:ext>
              </c:extLst>
            </c:dLbl>
            <c:dLbl>
              <c:idx val="6"/>
              <c:layout>
                <c:manualLayout>
                  <c:x val="0.12983655657500645"/>
                  <c:y val="-6.2858024190275197E-2"/>
                </c:manualLayout>
              </c:layout>
              <c:tx>
                <c:rich>
                  <a:bodyPr/>
                  <a:lstStyle/>
                  <a:p>
                    <a:r>
                      <a:rPr lang="en-US"/>
                      <a:t>Kovnice</a:t>
                    </a:r>
                    <a:r>
                      <a:rPr lang="en-US" baseline="0"/>
                      <a:t>, </a:t>
                    </a:r>
                    <a:fld id="{8742FC30-6E42-4F81-836E-2BE2ED72AF4D}" type="VALUE">
                      <a:rPr lang="en-US" baseline="0"/>
                      <a:pPr/>
                      <a:t>[VALUE]</a:t>
                    </a:fld>
                    <a:endParaRPr lang="en-US" baseline="0"/>
                  </a:p>
                </c:rich>
              </c:tx>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15:dlblFieldTable/>
                  <c15:showDataLabelsRange val="0"/>
                </c:ext>
                <c:ext xmlns:c16="http://schemas.microsoft.com/office/drawing/2014/chart" uri="{C3380CC4-5D6E-409C-BE32-E72D297353CC}">
                  <c16:uniqueId val="{0000000D-5125-49CF-B577-8E77C9D471CA}"/>
                </c:ext>
              </c:extLst>
            </c:dLbl>
            <c:dLbl>
              <c:idx val="7"/>
              <c:layout>
                <c:manualLayout>
                  <c:x val="0.26544665727025096"/>
                  <c:y val="8.8197093919961042E-3"/>
                </c:manualLayout>
              </c:layout>
              <c:tx>
                <c:rich>
                  <a:bodyPr/>
                  <a:lstStyle/>
                  <a:p>
                    <a:r>
                      <a:rPr lang="en-US"/>
                      <a:t>Carina</a:t>
                    </a:r>
                    <a:r>
                      <a:rPr lang="en-US" baseline="0"/>
                      <a:t>, </a:t>
                    </a:r>
                    <a:fld id="{D984291A-BEDD-43AF-9F9C-7927DF8DCE52}" type="VALUE">
                      <a:rPr lang="en-US" baseline="0"/>
                      <a:pPr/>
                      <a:t>[VALUE]</a:t>
                    </a:fld>
                    <a:endParaRPr lang="en-US" baseline="0"/>
                  </a:p>
                </c:rich>
              </c:tx>
              <c:showLegendKey val="0"/>
              <c:showVal val="1"/>
              <c:showCatName val="1"/>
              <c:showSerName val="0"/>
              <c:showPercent val="0"/>
              <c:showBubbleSize val="0"/>
              <c:separator>, </c:separator>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layout>
                    <c:manualLayout>
                      <c:w val="0.2639928861788618"/>
                      <c:h val="7.0257516339869278E-2"/>
                    </c:manualLayout>
                  </c15:layout>
                  <c15:dlblFieldTable/>
                  <c15:showDataLabelsRange val="0"/>
                </c:ext>
                <c:ext xmlns:c16="http://schemas.microsoft.com/office/drawing/2014/chart" uri="{C3380CC4-5D6E-409C-BE32-E72D297353CC}">
                  <c16:uniqueId val="{0000000F-5125-49CF-B577-8E77C9D471CA}"/>
                </c:ext>
              </c:extLst>
            </c:dLbl>
            <c:spPr>
              <a:pattFill prst="pct40">
                <a:fgClr>
                  <a:srgbClr val="FFFFCC"/>
                </a:fgClr>
                <a:bgClr>
                  <a:srgbClr val="FFFFFF"/>
                </a:bgClr>
              </a:pattFill>
              <a:ln>
                <a:solidFill>
                  <a:srgbClr val="0070C0"/>
                </a:solidFill>
              </a:ln>
              <a:effectLst/>
            </c:spPr>
            <c:txPr>
              <a:bodyPr rot="0" spcFirstLastPara="1" vertOverflow="clip" horzOverflow="clip" vert="horz" wrap="square" lIns="0" tIns="0" rIns="0" bIns="0" anchor="ctr" anchorCtr="1">
                <a:spAutoFit/>
              </a:bodyPr>
              <a:lstStyle/>
              <a:p>
                <a:pPr>
                  <a:defRPr sz="800" b="0" i="0" u="none" strike="noStrike" kern="1200" baseline="0">
                    <a:ln>
                      <a:noFill/>
                    </a:ln>
                    <a:solidFill>
                      <a:srgbClr val="002060"/>
                    </a:solidFill>
                    <a:latin typeface="+mj-lt"/>
                    <a:ea typeface="+mn-ea"/>
                    <a:cs typeface="+mn-cs"/>
                  </a:defRPr>
                </a:pPr>
                <a:endParaRPr lang="en-US"/>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5="http://schemas.microsoft.com/office/drawing/2012/chart" xmlns:c16="http://schemas.microsoft.com/office/drawing/2014/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RectCallout">
                    <a:avLst/>
                  </a:prstGeom>
                  <a:noFill/>
                  <a:ln>
                    <a:noFill/>
                  </a:ln>
                </c15:spPr>
              </c:ext>
            </c:extLst>
          </c:dLbls>
          <c:cat>
            <c:strRef>
              <c:f>'Professional background'!$A$11:$A$18</c:f>
              <c:strCache>
                <c:ptCount val="8"/>
                <c:pt idx="0">
                  <c:v>Police</c:v>
                </c:pt>
                <c:pt idx="1">
                  <c:v>National Central Banks</c:v>
                </c:pt>
                <c:pt idx="2">
                  <c:v>Judiciary</c:v>
                </c:pt>
                <c:pt idx="3">
                  <c:v>Eur. Inst.</c:v>
                </c:pt>
                <c:pt idx="4">
                  <c:v>Other </c:v>
                </c:pt>
                <c:pt idx="5">
                  <c:v>Coin processing industry</c:v>
                </c:pt>
                <c:pt idx="6">
                  <c:v>Mints</c:v>
                </c:pt>
                <c:pt idx="7">
                  <c:v>Customs</c:v>
                </c:pt>
              </c:strCache>
            </c:strRef>
          </c:cat>
          <c:val>
            <c:numRef>
              <c:f>'Professional background'!$B$11:$B$18</c:f>
              <c:numCache>
                <c:formatCode>0%</c:formatCode>
                <c:ptCount val="8"/>
                <c:pt idx="0">
                  <c:v>0.48915662650602409</c:v>
                </c:pt>
                <c:pt idx="1">
                  <c:v>0.3180722891566265</c:v>
                </c:pt>
                <c:pt idx="2">
                  <c:v>2.891566265060241E-2</c:v>
                </c:pt>
                <c:pt idx="3">
                  <c:v>6.0240963855421686E-2</c:v>
                </c:pt>
                <c:pt idx="4">
                  <c:v>2.6506024096385541E-2</c:v>
                </c:pt>
                <c:pt idx="5">
                  <c:v>3.3734939759036145E-2</c:v>
                </c:pt>
                <c:pt idx="6">
                  <c:v>2.6506024096385541E-2</c:v>
                </c:pt>
                <c:pt idx="7">
                  <c:v>1.6867469879518072E-2</c:v>
                </c:pt>
              </c:numCache>
            </c:numRef>
          </c:val>
          <c:extLst xmlns:c15="http://schemas.microsoft.com/office/drawing/2012/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5A-5125-49CF-B577-8E77C9D471CA}"/>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rgbClr val="FFFFFF"/>
    </a:solidFill>
    <a:ln w="12700" cap="flat" cmpd="dbl" algn="ctr">
      <a:solidFill>
        <a:srgbClr val="000000">
          <a:lumMod val="25000"/>
          <a:lumOff val="75000"/>
        </a:srgbClr>
      </a:solidFill>
      <a:round/>
    </a:ln>
    <a:effectLst/>
  </c:spPr>
  <c:txPr>
    <a:bodyPr rot="-5400000" vert="horz"/>
    <a:lstStyle/>
    <a:p>
      <a:pPr>
        <a:defRPr>
          <a:solidFill>
            <a:srgbClr val="00206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Management Plan 2022">
    <a:dk1>
      <a:srgbClr val="000000"/>
    </a:dk1>
    <a:lt1>
      <a:srgbClr val="FFFFFF"/>
    </a:lt1>
    <a:dk2>
      <a:srgbClr val="06204A"/>
    </a:dk2>
    <a:lt2>
      <a:srgbClr val="F2F2F2"/>
    </a:lt2>
    <a:accent1>
      <a:srgbClr val="0E4194"/>
    </a:accent1>
    <a:accent2>
      <a:srgbClr val="D2460F"/>
    </a:accent2>
    <a:accent3>
      <a:srgbClr val="FFC000"/>
    </a:accent3>
    <a:accent4>
      <a:srgbClr val="3273DF"/>
    </a:accent4>
    <a:accent5>
      <a:srgbClr val="A5A5A5"/>
    </a:accent5>
    <a:accent6>
      <a:srgbClr val="70AD47"/>
    </a:accent6>
    <a:hlink>
      <a:srgbClr val="3273DF"/>
    </a:hlink>
    <a:folHlink>
      <a:srgbClr val="800080"/>
    </a:folHlink>
  </a:clrScheme>
  <a:fontScheme name="Custom 1">
    <a:majorFont>
      <a:latin typeface="Times New Roman"/>
      <a:ea typeface=""/>
      <a:cs typeface=""/>
    </a:majorFont>
    <a:minorFont>
      <a:latin typeface="Calibri"/>
      <a:ea typeface=""/>
      <a:cs typeface=""/>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Management Plan 2022">
    <a:dk1>
      <a:srgbClr val="000000"/>
    </a:dk1>
    <a:lt1>
      <a:srgbClr val="FFFFFF"/>
    </a:lt1>
    <a:dk2>
      <a:srgbClr val="06204A"/>
    </a:dk2>
    <a:lt2>
      <a:srgbClr val="F2F2F2"/>
    </a:lt2>
    <a:accent1>
      <a:srgbClr val="0E4194"/>
    </a:accent1>
    <a:accent2>
      <a:srgbClr val="D2460F"/>
    </a:accent2>
    <a:accent3>
      <a:srgbClr val="FFC000"/>
    </a:accent3>
    <a:accent4>
      <a:srgbClr val="3273DF"/>
    </a:accent4>
    <a:accent5>
      <a:srgbClr val="A5A5A5"/>
    </a:accent5>
    <a:accent6>
      <a:srgbClr val="70AD47"/>
    </a:accent6>
    <a:hlink>
      <a:srgbClr val="3273DF"/>
    </a:hlink>
    <a:folHlink>
      <a:srgbClr val="800080"/>
    </a:folHlink>
  </a:clrScheme>
  <a:fontScheme name="Custom 1">
    <a:majorFont>
      <a:latin typeface="Times New Roman"/>
      <a:ea typeface=""/>
      <a:cs typeface=""/>
    </a:majorFont>
    <a:minorFont>
      <a:latin typeface="Calibri"/>
      <a:ea typeface=""/>
      <a:cs typeface=""/>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5B97E-BF1F-4F5D-AC7F-14FBF9A1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7</cp:revision>
  <dcterms:created xsi:type="dcterms:W3CDTF">2025-05-22T10:13:00Z</dcterms:created>
  <dcterms:modified xsi:type="dcterms:W3CDTF">2025-06-26T20:04:00Z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CP-003</vt:lpwstr>
  </property>
  <property fmtid="{D5CDD505-2E9C-101B-9397-08002B2CF9AE}" pid="7" name="Last edited using">
    <vt:lpwstr>LW 9.1, Build 20240808</vt:lpwstr>
  </property>
  <property fmtid="{D5CDD505-2E9C-101B-9397-08002B2CF9AE}" pid="8" name="Created using">
    <vt:lpwstr>LW 8.0, Build 20220128</vt:lpwstr>
  </property>
  <property fmtid="{D5CDD505-2E9C-101B-9397-08002B2CF9AE}" pid="9" name="MSIP_Label_6bd9ddd1-4d20-43f6-abfa-fc3c07406f94_Enabled">
    <vt:lpwstr>true</vt:lpwstr>
  </property>
  <property fmtid="{D5CDD505-2E9C-101B-9397-08002B2CF9AE}" pid="10" name="MSIP_Label_6bd9ddd1-4d20-43f6-abfa-fc3c07406f94_SetDate">
    <vt:lpwstr>2022-04-19T14:05:33Z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95d4ac8c-f99e-4d5d-9fe0-59c8a5c2ad94</vt:lpwstr>
  </property>
  <property fmtid="{D5CDD505-2E9C-101B-9397-08002B2CF9AE}" pid="15" name="MSIP_Label_6bd9ddd1-4d20-43f6-abfa-fc3c07406f94_ContentBits">
    <vt:lpwstr>0</vt:lpwstr>
  </property>
</Properties>
</file>